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D542D2" w:rsidTr="00D542D2" w14:paraId="6D827A25" w14:textId="77777777">
        <w:bookmarkStart w:name="_GoBack" w:displacedByCustomXml="next" w:id="0"/>
        <w:bookmarkEnd w:displacedByCustomXml="next" w:id="0"/>
        <w:sdt>
          <w:sdtPr>
            <w:tag w:val="bmZaakNummerAdvies"/>
            <w:id w:val="-1439602183"/>
            <w:lock w:val="sdtLocked"/>
            <w:placeholder>
              <w:docPart w:val="DefaultPlaceholder_-1854013440"/>
            </w:placeholder>
          </w:sdtPr>
          <w:sdtEndPr/>
          <w:sdtContent>
            <w:tc>
              <w:tcPr>
                <w:tcW w:w="4251" w:type="dxa"/>
              </w:tcPr>
              <w:p w:rsidR="00D542D2" w:rsidRDefault="00D542D2" w14:paraId="15AAB72E" w14:textId="68E8908C">
                <w:r>
                  <w:t>No. W13.23.00011/III</w:t>
                </w:r>
              </w:p>
            </w:tc>
          </w:sdtContent>
        </w:sdt>
        <w:sdt>
          <w:sdtPr>
            <w:tag w:val="bmDatumAdvies"/>
            <w:id w:val="-1257431271"/>
            <w:lock w:val="sdtLocked"/>
            <w:placeholder>
              <w:docPart w:val="DefaultPlaceholder_-1854013440"/>
            </w:placeholder>
          </w:sdtPr>
          <w:sdtEndPr/>
          <w:sdtContent>
            <w:tc>
              <w:tcPr>
                <w:tcW w:w="4252" w:type="dxa"/>
              </w:tcPr>
              <w:p w:rsidR="00D542D2" w:rsidRDefault="00D542D2" w14:paraId="514209E5" w14:textId="240B43F5">
                <w:r>
                  <w:t>'s-Gravenhage, 12 april 2023</w:t>
                </w:r>
              </w:p>
            </w:tc>
          </w:sdtContent>
        </w:sdt>
      </w:tr>
    </w:tbl>
    <w:p w:rsidR="00D542D2" w:rsidRDefault="00D542D2" w14:paraId="31184813" w14:textId="77777777"/>
    <w:p w:rsidR="00D542D2" w:rsidRDefault="00D542D2" w14:paraId="753F5FAB" w14:textId="77777777"/>
    <w:p w:rsidR="00CC6122" w:rsidRDefault="00F1327B" w14:paraId="79AD6B34" w14:textId="056AB17F">
      <w:sdt>
        <w:sdtPr>
          <w:tag w:val="bmAanhef"/>
          <w:id w:val="-1162148265"/>
          <w:lock w:val="sdtLocked"/>
          <w:placeholder>
            <w:docPart w:val="DefaultPlaceholder_-1854013440"/>
          </w:placeholder>
        </w:sdtPr>
        <w:sdtEndPr/>
        <w:sdtContent>
          <w:r w:rsidR="00D542D2">
            <w:rPr>
              <w:color w:val="000000"/>
            </w:rPr>
            <w:t>Bij Kabinetsmissive van 5 januari 2023, no.2023000017, heeft Uwe Majesteit, op voordracht van de Minister voor Langdurige Zorg en Sport, bij de Afdeling advisering van de Raad van State ter overweging aanhangig gemaakt het voorstel van wet tot wijziging van diverse wetten ter implementatie van Richtlijn (EU) 2019/882 van het Europees Parlement en de Raad van 17 april 2019 betreffende de toegankelijkheidsvoorschriften voor producten en diensten (Implementatiewet toegankelijkheidsvoorschriften producten en diensten), met memorie van toelichting.</w:t>
          </w:r>
        </w:sdtContent>
      </w:sdt>
    </w:p>
    <w:p w:rsidR="00CC6122" w:rsidRDefault="00CC6122" w14:paraId="79AD6B35" w14:textId="77777777"/>
    <w:sdt>
      <w:sdtPr>
        <w:tag w:val="bmVrijeTekst1"/>
        <w:id w:val="-1045988066"/>
        <w:lock w:val="sdtLocked"/>
        <w:placeholder>
          <w:docPart w:val="DefaultPlaceholder_-1854013440"/>
        </w:placeholder>
      </w:sdtPr>
      <w:sdtEndPr/>
      <w:sdtContent>
        <w:p w:rsidR="0023374E" w:rsidRDefault="00416DB3" w14:paraId="44C31FDA" w14:textId="7A6FB42D">
          <w:r>
            <w:t>H</w:t>
          </w:r>
          <w:r w:rsidR="00AE0DD5">
            <w:t xml:space="preserve">et wetsvoorstel strekt tot </w:t>
          </w:r>
          <w:r w:rsidR="004834FB">
            <w:t xml:space="preserve">de wijziging van meerdere wetten ter uitvoering van </w:t>
          </w:r>
          <w:r w:rsidR="00AE0DD5">
            <w:t>de Europese Richtlijn</w:t>
          </w:r>
          <w:r w:rsidR="003A47B6">
            <w:t xml:space="preserve"> betreffende de</w:t>
          </w:r>
          <w:r w:rsidR="00AE0DD5">
            <w:t xml:space="preserve"> </w:t>
          </w:r>
          <w:r w:rsidRPr="00510054" w:rsidR="00510054">
            <w:t xml:space="preserve">toegankelijkheidsvoorschriften voor producten en diensten </w:t>
          </w:r>
          <w:r w:rsidR="003A47B6">
            <w:t>(hierna: richtlijn).</w:t>
          </w:r>
          <w:r w:rsidR="001B766E">
            <w:rPr>
              <w:rStyle w:val="Voetnootmarkering"/>
            </w:rPr>
            <w:footnoteReference w:id="2"/>
          </w:r>
        </w:p>
        <w:p w:rsidR="00830489" w:rsidRDefault="00830489" w14:paraId="50D0A59C" w14:textId="77777777"/>
        <w:p w:rsidR="00830489" w:rsidP="00830489" w:rsidRDefault="00830489" w14:paraId="7D3F2D03" w14:textId="1BCC14B8">
          <w:r w:rsidRPr="006211F6">
            <w:t>De Afdeling advisering van de Raad van State m</w:t>
          </w:r>
          <w:r>
            <w:t>erkt op dat een goede beoordeling van het voorgestelde systeem van toezicht en handhaving niet goed mogelijk is, nu een inhoudelijke reactie op de uitvoeringstoetsen van de aangewezen toezichthouders ontbreekt. De Afdeling adviseert de toelichting</w:t>
          </w:r>
          <w:r w:rsidR="00216E0F">
            <w:t xml:space="preserve"> met inachtneming van het voorgaande aan te vullen. Daarnaast adviseert de Afdeling </w:t>
          </w:r>
          <w:r>
            <w:t>nader in te gaan op de wijze waarop de betrokkenheid van relevante belanghebbenden bij de totstandkoming van</w:t>
          </w:r>
          <w:r w:rsidR="00DB6E7F">
            <w:t xml:space="preserve"> richtsnoeren en</w:t>
          </w:r>
          <w:r>
            <w:t xml:space="preserve"> instrumenten wordt ge</w:t>
          </w:r>
          <w:r w:rsidR="0064255E">
            <w:t>waar</w:t>
          </w:r>
          <w:r>
            <w:t>borgd</w:t>
          </w:r>
          <w:r w:rsidRPr="006211F6">
            <w:t xml:space="preserve">. In verband daarmee is aanpassing van </w:t>
          </w:r>
          <w:r>
            <w:t>de toelichting</w:t>
          </w:r>
          <w:r w:rsidRPr="006211F6">
            <w:t xml:space="preserve"> wenselijk.</w:t>
          </w:r>
        </w:p>
        <w:p w:rsidR="00830489" w:rsidP="00830489" w:rsidRDefault="00830489" w14:paraId="7D1D5DB3" w14:textId="08AA9418"/>
        <w:p w:rsidR="00561E81" w:rsidP="00561E81" w:rsidRDefault="00561E81" w14:paraId="1D1AF6FB" w14:textId="5AA98D24">
          <w:r>
            <w:t>1.</w:t>
          </w:r>
          <w:r>
            <w:tab/>
          </w:r>
          <w:r w:rsidRPr="00561E81">
            <w:rPr>
              <w:u w:val="single"/>
            </w:rPr>
            <w:t>Achtergrond</w:t>
          </w:r>
        </w:p>
        <w:p w:rsidR="0023374E" w:rsidRDefault="0023374E" w14:paraId="7D5F6A54" w14:textId="77777777"/>
        <w:p w:rsidR="0023374E" w:rsidP="0023374E" w:rsidRDefault="0023374E" w14:paraId="631570A8" w14:textId="77777777">
          <w:r>
            <w:t xml:space="preserve">De richtlijn heeft tot </w:t>
          </w:r>
          <w:r w:rsidRPr="00E92325">
            <w:t xml:space="preserve">doel </w:t>
          </w:r>
          <w:r w:rsidRPr="000430D6">
            <w:t>een bijdrage te leveren aan het goed functioneren van de interne markt door</w:t>
          </w:r>
          <w:r>
            <w:t xml:space="preserve"> </w:t>
          </w:r>
          <w:r w:rsidRPr="00E92325">
            <w:t>de toegankelijkheidsvoorschriften</w:t>
          </w:r>
          <w:r>
            <w:t xml:space="preserve"> van lidstaten</w:t>
          </w:r>
          <w:r w:rsidRPr="00E92325">
            <w:t xml:space="preserve"> voor bepaalde producten en diensten </w:t>
          </w:r>
          <w:r>
            <w:t>voor</w:t>
          </w:r>
          <w:r w:rsidRPr="00E92325">
            <w:t xml:space="preserve"> personen met een handicap</w:t>
          </w:r>
          <w:r>
            <w:t xml:space="preserve"> te harmoniseren.</w:t>
          </w:r>
          <w:r>
            <w:rPr>
              <w:rStyle w:val="Voetnootmarkering"/>
            </w:rPr>
            <w:footnoteReference w:id="3"/>
          </w:r>
          <w:r>
            <w:t xml:space="preserve"> </w:t>
          </w:r>
          <w:r w:rsidRPr="00E92325">
            <w:t>De richtlijn heeft ook als doel deze producten en diensten toegankelijker te maken voor personen met een handicap om zo hun maatschappelijke participatie te vergroten.</w:t>
          </w:r>
          <w:r>
            <w:t xml:space="preserve"> Op grond van deze richtlijn zijn </w:t>
          </w:r>
          <w:r w:rsidRPr="00647A20">
            <w:t xml:space="preserve">de lidstaten verantwoordelijk voor </w:t>
          </w:r>
          <w:r>
            <w:t>het beschikbaar maken van</w:t>
          </w:r>
          <w:r w:rsidRPr="00647A20">
            <w:t xml:space="preserve"> passende en doeltreffende middelen om te waarborgen dat de bepalingen van deze richtlijn worden nageleefd.</w:t>
          </w:r>
          <w:r>
            <w:rPr>
              <w:rStyle w:val="Voetnootmarkering"/>
            </w:rPr>
            <w:footnoteReference w:id="4"/>
          </w:r>
        </w:p>
        <w:p w:rsidR="0023374E" w:rsidP="0023374E" w:rsidRDefault="0023374E" w14:paraId="488FDB83" w14:textId="77777777"/>
        <w:p w:rsidR="0023374E" w:rsidP="0023374E" w:rsidRDefault="0023374E" w14:paraId="51E4FB71" w14:textId="03E01673">
          <w:r w:rsidRPr="00E500EA">
            <w:t>Het wetsvoorstel regelt een gedeeltelijke implementatie</w:t>
          </w:r>
          <w:r>
            <w:t xml:space="preserve"> van de richtlijn</w:t>
          </w:r>
          <w:r w:rsidRPr="00E500EA">
            <w:t xml:space="preserve"> in </w:t>
          </w:r>
          <w:r w:rsidR="00F97719">
            <w:t xml:space="preserve">onder andere </w:t>
          </w:r>
          <w:r w:rsidRPr="00E500EA">
            <w:t xml:space="preserve">de Warenwet (producten), het Burgerlijk Wetboek (e-handelsdiensten), Wet op het financieel toezicht (bankdiensten), Telecommunicatiewet (elektronische communicatiediensten) </w:t>
          </w:r>
          <w:r w:rsidR="000A643D">
            <w:t>en de W</w:t>
          </w:r>
          <w:r w:rsidRPr="005B404D" w:rsidR="004F1FD3">
            <w:t>et gelijke behandeling op grond van handicap of chronische ziekte</w:t>
          </w:r>
          <w:r w:rsidRPr="00784DF9" w:rsidR="00C14620">
            <w:t xml:space="preserve"> </w:t>
          </w:r>
          <w:r w:rsidRPr="00E500EA">
            <w:t xml:space="preserve">en creëert </w:t>
          </w:r>
          <w:r w:rsidR="00137935">
            <w:t>onder andere</w:t>
          </w:r>
          <w:r w:rsidRPr="00E500EA" w:rsidR="00137935">
            <w:t xml:space="preserve"> </w:t>
          </w:r>
          <w:r w:rsidRPr="00E500EA">
            <w:t>grondslagen om voor de overige producten en diensten eisen te stellen op lager niveau.</w:t>
          </w:r>
        </w:p>
        <w:p w:rsidR="0023374E" w:rsidP="0023374E" w:rsidRDefault="0023374E" w14:paraId="0CD7B733" w14:textId="77777777"/>
        <w:p w:rsidRPr="00E86069" w:rsidR="0023374E" w:rsidP="0023374E" w:rsidRDefault="00561E81" w14:paraId="4A9BD2B5" w14:textId="08C0C2A2">
          <w:pPr>
            <w:rPr>
              <w:i/>
              <w:iCs/>
            </w:rPr>
          </w:pPr>
          <w:r>
            <w:lastRenderedPageBreak/>
            <w:t>2</w:t>
          </w:r>
          <w:r w:rsidR="0023374E">
            <w:t>.</w:t>
          </w:r>
          <w:r w:rsidR="0023374E">
            <w:tab/>
          </w:r>
          <w:r w:rsidRPr="002B1776" w:rsidR="0023374E">
            <w:rPr>
              <w:u w:val="single"/>
            </w:rPr>
            <w:t>Toezicht</w:t>
          </w:r>
        </w:p>
        <w:p w:rsidR="0023374E" w:rsidP="0023374E" w:rsidRDefault="0023374E" w14:paraId="56EF368C" w14:textId="77777777"/>
        <w:p w:rsidR="0023374E" w:rsidP="0023374E" w:rsidRDefault="0023374E" w14:paraId="320C6A62" w14:textId="0E043A39">
          <w:r>
            <w:t xml:space="preserve">In de toelichting wordt vermeld dat het toezicht </w:t>
          </w:r>
          <w:r w:rsidR="00A06678">
            <w:t>en de</w:t>
          </w:r>
          <w:r>
            <w:t xml:space="preserve"> handhaving van de nieuwe regels bij bestaande toezichthouders </w:t>
          </w:r>
          <w:r w:rsidR="00A06678">
            <w:t xml:space="preserve">van </w:t>
          </w:r>
          <w:r>
            <w:t>de verschillende sectoren wordt belegd.</w:t>
          </w:r>
          <w:r>
            <w:rPr>
              <w:rStyle w:val="Voetnootmarkering"/>
            </w:rPr>
            <w:footnoteReference w:id="5"/>
          </w:r>
          <w:r>
            <w:t xml:space="preserve"> </w:t>
          </w:r>
          <w:r w:rsidR="00F03D7C">
            <w:t>Door m</w:t>
          </w:r>
          <w:r>
            <w:t>iddel</w:t>
          </w:r>
          <w:r w:rsidR="00F03D7C">
            <w:t xml:space="preserve"> van</w:t>
          </w:r>
          <w:r>
            <w:t xml:space="preserve"> dit wetsvoorstel krijgen de aangewezen toezichthouders meerdere taken toebedeeld </w:t>
          </w:r>
          <w:r w:rsidRPr="004F14CD">
            <w:t xml:space="preserve">voor de handhaving van de verplichtingen </w:t>
          </w:r>
          <w:r>
            <w:t xml:space="preserve">die voortvloeien uit het bij of </w:t>
          </w:r>
          <w:r w:rsidRPr="004F14CD">
            <w:t xml:space="preserve">krachtens </w:t>
          </w:r>
          <w:r>
            <w:t>het wetsvoorstel bepaalde. Aa</w:t>
          </w:r>
          <w:r w:rsidRPr="00362054">
            <w:t>n de uitoefening van het toezicht op de naleving</w:t>
          </w:r>
          <w:r>
            <w:t xml:space="preserve"> kan</w:t>
          </w:r>
          <w:r w:rsidRPr="00362054">
            <w:t xml:space="preserve"> op verschillende manieren door de toezichthouders invulling worden gegeve</w:t>
          </w:r>
          <w:r>
            <w:t>n, aldus de toelichting.</w:t>
          </w:r>
          <w:r>
            <w:rPr>
              <w:rStyle w:val="Voetnootmarkering"/>
            </w:rPr>
            <w:footnoteReference w:id="6"/>
          </w:r>
        </w:p>
        <w:p w:rsidR="0023374E" w:rsidP="0023374E" w:rsidRDefault="0023374E" w14:paraId="2159FD0E" w14:textId="77777777"/>
        <w:p w:rsidR="00F03D7C" w:rsidP="0023374E" w:rsidRDefault="0023374E" w14:paraId="19B17D1C" w14:textId="77777777">
          <w:r>
            <w:t xml:space="preserve">De Afdeling merkt op dat </w:t>
          </w:r>
          <w:r w:rsidR="00024739">
            <w:t xml:space="preserve">de </w:t>
          </w:r>
          <w:r>
            <w:t xml:space="preserve">aangewezen </w:t>
          </w:r>
          <w:r w:rsidRPr="00D5401D">
            <w:t xml:space="preserve">toezichthouders een uitvoerings- en handhaafbaarheidstoets </w:t>
          </w:r>
          <w:r>
            <w:t>hebben uitgebracht. De toelichting gaat echter inhoudelijk enkel in op</w:t>
          </w:r>
          <w:r w:rsidR="00A673DA">
            <w:t xml:space="preserve"> </w:t>
          </w:r>
          <w:r>
            <w:t>de reactie van de Autoriteit Consument &amp; Markt. De toelichting vermeldt dat d</w:t>
          </w:r>
          <w:r w:rsidRPr="00D5401D">
            <w:t xml:space="preserve">e resultaten van </w:t>
          </w:r>
          <w:r>
            <w:t>de overige</w:t>
          </w:r>
          <w:r w:rsidRPr="00D5401D">
            <w:t xml:space="preserve"> toetsen worden verwerkt in de </w:t>
          </w:r>
          <w:r>
            <w:t>diverse algemene maatregelen van bestuur</w:t>
          </w:r>
          <w:r w:rsidRPr="00D5401D">
            <w:t xml:space="preserve"> die in het kader van de implementatie van de richtlijn </w:t>
          </w:r>
          <w:r>
            <w:t>zijn</w:t>
          </w:r>
          <w:r w:rsidR="00625C6A">
            <w:t xml:space="preserve"> of </w:t>
          </w:r>
          <w:r>
            <w:t>worden</w:t>
          </w:r>
          <w:r w:rsidRPr="00D5401D">
            <w:t xml:space="preserve"> gemaakt</w:t>
          </w:r>
          <w:r>
            <w:t>.</w:t>
          </w:r>
          <w:r>
            <w:rPr>
              <w:rStyle w:val="Voetnootmarkering"/>
            </w:rPr>
            <w:footnoteReference w:id="7"/>
          </w:r>
          <w:r>
            <w:t xml:space="preserve"> </w:t>
          </w:r>
        </w:p>
        <w:p w:rsidR="00884601" w:rsidP="0023374E" w:rsidRDefault="00884601" w14:paraId="0F4C4E54" w14:textId="77777777"/>
        <w:p w:rsidR="0023374E" w:rsidP="0023374E" w:rsidRDefault="006E313A" w14:paraId="16C695E1" w14:textId="76BF21E5">
          <w:r>
            <w:t xml:space="preserve">Nu een reactie </w:t>
          </w:r>
          <w:r w:rsidR="00BB1554">
            <w:t xml:space="preserve">op deze uitvoeringstoetsen in de toelichting bij het wetsvoorstel ontbreekt, is een goede beoordeling van de handhaafbaarheid en uitvoerbaarheid </w:t>
          </w:r>
          <w:r w:rsidR="00104A05">
            <w:t xml:space="preserve">van het voorstel niet goed mogelijk. </w:t>
          </w:r>
          <w:r w:rsidR="00A74A29">
            <w:t xml:space="preserve">Dit klemt te meer nu de betrokken toezichthouders in </w:t>
          </w:r>
          <w:r w:rsidR="00A02465">
            <w:t>hun uitvoeringstoetsen ingaan op de vormgeving van het toezicht als zodanig.</w:t>
          </w:r>
          <w:r w:rsidR="00A02465">
            <w:rPr>
              <w:rStyle w:val="Voetnootmarkering"/>
            </w:rPr>
            <w:footnoteReference w:id="8"/>
          </w:r>
          <w:r w:rsidR="00A02465">
            <w:t xml:space="preserve"> </w:t>
          </w:r>
          <w:r w:rsidR="00416236">
            <w:t>Verschillende</w:t>
          </w:r>
          <w:r w:rsidR="0023374E">
            <w:t xml:space="preserve"> aangewezen toezichthouders </w:t>
          </w:r>
          <w:r w:rsidR="00416236">
            <w:t xml:space="preserve">uiten </w:t>
          </w:r>
          <w:r w:rsidR="003A0BE2">
            <w:t xml:space="preserve">daarin </w:t>
          </w:r>
          <w:r w:rsidR="0023374E">
            <w:t>hun zorgen over het verdeeld</w:t>
          </w:r>
          <w:r w:rsidR="00ED14BD">
            <w:t>e</w:t>
          </w:r>
          <w:r w:rsidR="0023374E">
            <w:t xml:space="preserve"> toezicht. Tevens benadrukken zij dat </w:t>
          </w:r>
          <w:r w:rsidRPr="00BA55E8" w:rsidR="0023374E">
            <w:t>de toezicht</w:t>
          </w:r>
          <w:r w:rsidR="00B77260">
            <w:t>s</w:t>
          </w:r>
          <w:r w:rsidRPr="00BA55E8" w:rsidR="0023374E">
            <w:t xml:space="preserve">taak op het gebied van toegankelijkheidsvereisten </w:t>
          </w:r>
          <w:r w:rsidR="0023374E">
            <w:t>een</w:t>
          </w:r>
          <w:r w:rsidRPr="00BA55E8" w:rsidR="0023374E">
            <w:t xml:space="preserve"> nieuw toezichtterrein</w:t>
          </w:r>
          <w:r w:rsidR="0023374E">
            <w:t xml:space="preserve"> is.</w:t>
          </w:r>
          <w:r w:rsidR="0023374E">
            <w:rPr>
              <w:rStyle w:val="Voetnootmarkering"/>
            </w:rPr>
            <w:footnoteReference w:id="9"/>
          </w:r>
          <w:r w:rsidR="0023374E">
            <w:t xml:space="preserve"> Het stimuleren van afstemming tussen toezichthouders door de regering in een werkgroep om het toezicht waar mogelijk te uniformeren</w:t>
          </w:r>
          <w:r w:rsidR="00884601">
            <w:t>,</w:t>
          </w:r>
          <w:r w:rsidR="0023374E">
            <w:rPr>
              <w:rStyle w:val="Voetnootmarkering"/>
            </w:rPr>
            <w:footnoteReference w:id="10"/>
          </w:r>
          <w:r w:rsidR="0023374E">
            <w:t xml:space="preserve"> lijkt daardoor des te belangrijker. </w:t>
          </w:r>
        </w:p>
        <w:p w:rsidR="0023374E" w:rsidP="0023374E" w:rsidRDefault="0023374E" w14:paraId="5B70961A" w14:textId="77777777"/>
        <w:p w:rsidR="0023374E" w:rsidP="0023374E" w:rsidRDefault="0023374E" w14:paraId="093B5A96" w14:textId="45F70772">
          <w:r>
            <w:t xml:space="preserve">De Afdeling adviseert in de toelichting nader in te gaan op </w:t>
          </w:r>
          <w:r w:rsidR="003E565D">
            <w:t xml:space="preserve">alle </w:t>
          </w:r>
          <w:r>
            <w:t>uitvoeringstoetsen van de aangewezen toezichthouders</w:t>
          </w:r>
          <w:r w:rsidR="00640C88">
            <w:t xml:space="preserve"> en daarbij met name aandacht te besteden aan de wijze waarop het toezicht wordt afgestemd en geüniformeerd</w:t>
          </w:r>
          <w:r>
            <w:t xml:space="preserve">. </w:t>
          </w:r>
        </w:p>
        <w:p w:rsidR="0023374E" w:rsidP="0023374E" w:rsidRDefault="0023374E" w14:paraId="450ED8A0" w14:textId="77777777"/>
        <w:p w:rsidRPr="001B766E" w:rsidR="0023374E" w:rsidP="0023374E" w:rsidRDefault="00561E81" w14:paraId="65994B70" w14:textId="5F47FB9C">
          <w:pPr>
            <w:rPr>
              <w:i/>
              <w:iCs/>
              <w:u w:val="single"/>
            </w:rPr>
          </w:pPr>
          <w:r>
            <w:t>3</w:t>
          </w:r>
          <w:r w:rsidR="0023374E">
            <w:t>.</w:t>
          </w:r>
          <w:r w:rsidR="0023374E">
            <w:tab/>
          </w:r>
          <w:r w:rsidRPr="001B766E" w:rsidR="001B766E">
            <w:rPr>
              <w:u w:val="single"/>
            </w:rPr>
            <w:t>Richtsnoeren en i</w:t>
          </w:r>
          <w:r w:rsidRPr="001B766E" w:rsidR="006E4248">
            <w:rPr>
              <w:u w:val="single"/>
            </w:rPr>
            <w:t>nstrumenten micro-ondernemingen</w:t>
          </w:r>
        </w:p>
        <w:p w:rsidR="0023374E" w:rsidP="0023374E" w:rsidRDefault="0023374E" w14:paraId="44EFF54F" w14:textId="77777777"/>
        <w:p w:rsidR="0023374E" w:rsidP="0023374E" w:rsidRDefault="0023374E" w14:paraId="44A2A793" w14:textId="12D9C861">
          <w:r>
            <w:t xml:space="preserve">De Afdeling vraagt aandacht voor de positie van personen met een handicap die </w:t>
          </w:r>
          <w:r w:rsidRPr="007B660B">
            <w:t>op voet van gelijkheid met anderen de toegang</w:t>
          </w:r>
          <w:r>
            <w:t xml:space="preserve"> dienen te verkrijgen tot producten en diensten. Het is de bedoeling dat de nieuwe regels – gelet op de geformuleerde ambitie uit de richtlijn</w:t>
          </w:r>
          <w:r>
            <w:rPr>
              <w:rStyle w:val="Voetnootmarkering"/>
            </w:rPr>
            <w:footnoteReference w:id="11"/>
          </w:r>
          <w:r>
            <w:t xml:space="preserve"> – ervoor</w:t>
          </w:r>
          <w:r w:rsidRPr="00275BAD">
            <w:t xml:space="preserve"> </w:t>
          </w:r>
          <w:r>
            <w:t xml:space="preserve">gaan </w:t>
          </w:r>
          <w:r w:rsidRPr="00275BAD">
            <w:t xml:space="preserve">zorgen </w:t>
          </w:r>
          <w:r>
            <w:t>dat veelgebruikte</w:t>
          </w:r>
          <w:r w:rsidRPr="00275BAD">
            <w:t xml:space="preserve"> producten en diensten tegemoetkomen aan de specifieke behoeften van </w:t>
          </w:r>
          <w:r>
            <w:t xml:space="preserve">deze </w:t>
          </w:r>
          <w:r w:rsidRPr="00275BAD">
            <w:t>personen.</w:t>
          </w:r>
          <w:r>
            <w:t xml:space="preserve"> </w:t>
          </w:r>
          <w:r w:rsidR="009D40E4">
            <w:t xml:space="preserve">De vraag is echter </w:t>
          </w:r>
          <w:r>
            <w:t>hoe dit ge</w:t>
          </w:r>
          <w:r w:rsidR="009F7F88">
            <w:t>waar</w:t>
          </w:r>
          <w:r>
            <w:t>borgd wordt</w:t>
          </w:r>
          <w:r w:rsidR="00867E1A">
            <w:t xml:space="preserve"> bij de </w:t>
          </w:r>
          <w:r w:rsidR="004F2E68">
            <w:t>ontwikkeling van instrumenten voor micro-ondernem</w:t>
          </w:r>
          <w:r w:rsidR="00DF6B10">
            <w:t>i</w:t>
          </w:r>
          <w:r w:rsidR="004F2E68">
            <w:t>ngen</w:t>
          </w:r>
          <w:r>
            <w:t>.</w:t>
          </w:r>
        </w:p>
        <w:p w:rsidR="004F2E68" w:rsidP="0023374E" w:rsidRDefault="004F2E68" w14:paraId="58FABB1A" w14:textId="77777777"/>
        <w:p w:rsidR="004F2E68" w:rsidP="0023374E" w:rsidRDefault="002A7CC8" w14:paraId="3E535FD0" w14:textId="081D469A">
          <w:r>
            <w:lastRenderedPageBreak/>
            <w:t>Hoewel s</w:t>
          </w:r>
          <w:r w:rsidR="00A05EAB">
            <w:t>ommige</w:t>
          </w:r>
          <w:r w:rsidR="00126119">
            <w:t xml:space="preserve"> </w:t>
          </w:r>
          <w:r w:rsidR="001C1AAD">
            <w:t>m</w:t>
          </w:r>
          <w:r w:rsidR="005F2185">
            <w:t>icro-ondernemingen zijn vrijgesteld van de toegan</w:t>
          </w:r>
          <w:r w:rsidR="005612A3">
            <w:t>kelijkheidsvoorschriften uit de richtlijn</w:t>
          </w:r>
          <w:r w:rsidR="00893F66">
            <w:t>, dienen</w:t>
          </w:r>
          <w:r w:rsidR="005612A3">
            <w:t xml:space="preserve"> </w:t>
          </w:r>
          <w:r w:rsidR="00893F66">
            <w:t>l</w:t>
          </w:r>
          <w:r w:rsidR="002A5992">
            <w:t xml:space="preserve">idstaten </w:t>
          </w:r>
          <w:r w:rsidR="005247E5">
            <w:t xml:space="preserve">aan </w:t>
          </w:r>
          <w:r w:rsidR="00893F66">
            <w:t>micro-ondernemingen</w:t>
          </w:r>
          <w:r w:rsidR="00004A06">
            <w:t xml:space="preserve"> </w:t>
          </w:r>
          <w:r w:rsidR="00610C9D">
            <w:t xml:space="preserve">richtsnoeren en instrumenten </w:t>
          </w:r>
          <w:r w:rsidR="007E7E15">
            <w:t>te geven</w:t>
          </w:r>
          <w:r w:rsidR="009C034D">
            <w:t xml:space="preserve"> </w:t>
          </w:r>
          <w:r w:rsidR="001168DE">
            <w:t>ten behoeve van</w:t>
          </w:r>
          <w:r w:rsidRPr="00877707" w:rsidR="00877707">
            <w:t xml:space="preserve"> de toepassing van de nationale maatregelen ter omzetting van de richtlijn</w:t>
          </w:r>
          <w:r w:rsidR="001168DE">
            <w:t>. Dit dient in samen</w:t>
          </w:r>
          <w:r w:rsidR="00BA0446">
            <w:t>spraak met relevante</w:t>
          </w:r>
          <w:r w:rsidR="00C06E0A">
            <w:t xml:space="preserve"> belanghebbenden en</w:t>
          </w:r>
          <w:r w:rsidR="00BA0446">
            <w:t xml:space="preserve"> </w:t>
          </w:r>
          <w:r w:rsidR="00C06E0A">
            <w:t>vertegenwoordigers</w:t>
          </w:r>
          <w:r w:rsidR="00742AC4">
            <w:t xml:space="preserve"> </w:t>
          </w:r>
          <w:r w:rsidR="00751521">
            <w:t xml:space="preserve">van </w:t>
          </w:r>
          <w:r w:rsidRPr="00751521" w:rsidR="00751521">
            <w:t>personen met een handicap</w:t>
          </w:r>
          <w:r w:rsidR="00751521">
            <w:t xml:space="preserve"> </w:t>
          </w:r>
          <w:r w:rsidR="00742AC4">
            <w:t>te gebeuren.</w:t>
          </w:r>
          <w:r w:rsidR="00742AC4">
            <w:rPr>
              <w:rStyle w:val="Voetnootmarkering"/>
            </w:rPr>
            <w:footnoteReference w:id="12"/>
          </w:r>
          <w:r w:rsidR="00F11FF3">
            <w:t xml:space="preserve"> </w:t>
          </w:r>
          <w:r w:rsidR="00E638BA">
            <w:t xml:space="preserve">Het is </w:t>
          </w:r>
          <w:r w:rsidR="00965514">
            <w:t xml:space="preserve">daarmee </w:t>
          </w:r>
          <w:r w:rsidR="00E638BA">
            <w:t xml:space="preserve">de bedoeling </w:t>
          </w:r>
          <w:r w:rsidR="00CB77A6">
            <w:t>om</w:t>
          </w:r>
          <w:r w:rsidR="00965514">
            <w:t xml:space="preserve"> </w:t>
          </w:r>
          <w:r w:rsidR="00B150B5">
            <w:t xml:space="preserve">deze </w:t>
          </w:r>
          <w:r w:rsidR="00E638BA">
            <w:t>ondernemingen</w:t>
          </w:r>
          <w:r w:rsidR="00B150B5">
            <w:t>, ook die zijn vrijgesteld</w:t>
          </w:r>
          <w:r w:rsidR="00096935">
            <w:t>,</w:t>
          </w:r>
          <w:r w:rsidR="00E638BA">
            <w:t xml:space="preserve"> </w:t>
          </w:r>
          <w:r w:rsidR="00987F4E">
            <w:t>a</w:t>
          </w:r>
          <w:r w:rsidR="00E638BA">
            <w:t>an te moedigen</w:t>
          </w:r>
          <w:r w:rsidR="00EC666D">
            <w:t xml:space="preserve"> te</w:t>
          </w:r>
          <w:r w:rsidR="00E638BA">
            <w:t xml:space="preserve"> </w:t>
          </w:r>
          <w:r w:rsidRPr="00EC666D" w:rsidR="00EC666D">
            <w:t xml:space="preserve">voldoen aan de toegankelijkheidsvoorschriften van </w:t>
          </w:r>
          <w:r w:rsidR="00EC666D">
            <w:t>de</w:t>
          </w:r>
          <w:r w:rsidRPr="00EC666D" w:rsidR="00EC666D">
            <w:t xml:space="preserve"> richtli</w:t>
          </w:r>
          <w:r w:rsidR="00EC666D">
            <w:t>jn.</w:t>
          </w:r>
          <w:r w:rsidR="00980C9A">
            <w:rPr>
              <w:rStyle w:val="Voetnootmarkering"/>
            </w:rPr>
            <w:footnoteReference w:id="13"/>
          </w:r>
        </w:p>
        <w:p w:rsidR="0023374E" w:rsidP="0023374E" w:rsidRDefault="0023374E" w14:paraId="2F037E02" w14:textId="77777777"/>
        <w:p w:rsidR="0023374E" w:rsidP="0023374E" w:rsidRDefault="00150ECF" w14:paraId="5E26D853" w14:textId="76D98772">
          <w:r>
            <w:t>De</w:t>
          </w:r>
          <w:r w:rsidRPr="00FC518C" w:rsidR="00FC518C">
            <w:t xml:space="preserve"> afzonderlijke departementen bezien of het nodig is om te bepalen welke </w:t>
          </w:r>
          <w:r w:rsidR="00F55A91">
            <w:t xml:space="preserve">richtsnoeren en </w:t>
          </w:r>
          <w:r w:rsidRPr="00FC518C" w:rsidR="00FC518C">
            <w:t>instrumenten als effectief gezien worden om de micro-ondernemingen te ondersteunen</w:t>
          </w:r>
          <w:r w:rsidR="003841AD">
            <w:t xml:space="preserve">. Voorts meldt de toelichting dat er </w:t>
          </w:r>
          <w:r w:rsidR="009C1B10">
            <w:t xml:space="preserve">samenwerking </w:t>
          </w:r>
          <w:r w:rsidR="00191FD9">
            <w:t>zal zijn</w:t>
          </w:r>
          <w:r w:rsidR="0006578D">
            <w:t xml:space="preserve"> </w:t>
          </w:r>
          <w:r w:rsidR="003841AD">
            <w:t xml:space="preserve">wat betreft </w:t>
          </w:r>
          <w:r w:rsidR="0006578D">
            <w:t xml:space="preserve">de </w:t>
          </w:r>
          <w:r w:rsidR="003841AD">
            <w:t xml:space="preserve">totstandkoming van </w:t>
          </w:r>
          <w:r w:rsidR="0006578D">
            <w:t>richtsnoeren</w:t>
          </w:r>
          <w:r w:rsidRPr="00D76476" w:rsidR="00D76476">
            <w:t xml:space="preserve"> met MKB-Nederland en VNO-NCW</w:t>
          </w:r>
          <w:r w:rsidR="003841AD">
            <w:t>.</w:t>
          </w:r>
          <w:r w:rsidR="0022678C">
            <w:rPr>
              <w:rStyle w:val="Voetnootmarkering"/>
            </w:rPr>
            <w:footnoteReference w:id="14"/>
          </w:r>
          <w:r w:rsidR="0022678C">
            <w:t xml:space="preserve"> </w:t>
          </w:r>
          <w:r w:rsidR="003841AD">
            <w:t>De toelichting maakt echter niet</w:t>
          </w:r>
          <w:r w:rsidR="00A3103C">
            <w:t xml:space="preserve"> duidelijk op welke wijze de </w:t>
          </w:r>
          <w:r w:rsidR="00FB2E01">
            <w:t xml:space="preserve">samenwerking met </w:t>
          </w:r>
          <w:r w:rsidR="00876AE4">
            <w:t xml:space="preserve">relevante </w:t>
          </w:r>
          <w:r w:rsidR="00FB2E01">
            <w:t>belanghebbende</w:t>
          </w:r>
          <w:r w:rsidR="003F33C1">
            <w:t>n</w:t>
          </w:r>
          <w:r w:rsidR="00DF6B10">
            <w:t xml:space="preserve"> </w:t>
          </w:r>
          <w:r w:rsidR="00981A48">
            <w:t xml:space="preserve">en vertegenwoordigers van </w:t>
          </w:r>
          <w:r w:rsidRPr="00751521" w:rsidR="00981A48">
            <w:t>personen met een handicap</w:t>
          </w:r>
          <w:r w:rsidR="00981A48">
            <w:t xml:space="preserve"> </w:t>
          </w:r>
          <w:r w:rsidR="00DF6B10">
            <w:t>zal worden ge</w:t>
          </w:r>
          <w:r w:rsidR="00EE460B">
            <w:t>waar</w:t>
          </w:r>
          <w:r w:rsidR="00DF6B10">
            <w:t>borgd</w:t>
          </w:r>
          <w:r w:rsidR="00A3103C">
            <w:t xml:space="preserve"> bij de </w:t>
          </w:r>
          <w:r w:rsidR="003841AD">
            <w:t>ontwikkeling van instrumenten</w:t>
          </w:r>
          <w:r w:rsidR="0023374E">
            <w:t>.</w:t>
          </w:r>
          <w:r w:rsidR="00393A6F">
            <w:t xml:space="preserve"> </w:t>
          </w:r>
          <w:r w:rsidR="009E4A01">
            <w:t xml:space="preserve">Het betrekken van diverse partijen in de implementatie </w:t>
          </w:r>
          <w:r w:rsidR="00861A3D">
            <w:t>van de richtlijn</w:t>
          </w:r>
          <w:r w:rsidR="00A869EF">
            <w:t xml:space="preserve"> in onderhavige </w:t>
          </w:r>
          <w:r w:rsidR="009E4A01">
            <w:t>wet-</w:t>
          </w:r>
          <w:r w:rsidR="007A6B1F">
            <w:t xml:space="preserve"> </w:t>
          </w:r>
          <w:r w:rsidR="009E4A01">
            <w:t xml:space="preserve">en regelgeving is niet voldoende, nu </w:t>
          </w:r>
          <w:r w:rsidR="00CD68E2">
            <w:t xml:space="preserve">het </w:t>
          </w:r>
          <w:r w:rsidR="00A66C2A">
            <w:t>geven</w:t>
          </w:r>
          <w:r w:rsidR="00CD68E2">
            <w:t xml:space="preserve"> van </w:t>
          </w:r>
          <w:r w:rsidR="00A869EF">
            <w:t xml:space="preserve">de nodige richtsnoeren en </w:t>
          </w:r>
          <w:r w:rsidR="00CD68E2">
            <w:t xml:space="preserve">instrumenten geen deel uitmaakt van </w:t>
          </w:r>
          <w:r w:rsidR="002411F5">
            <w:t xml:space="preserve">dit </w:t>
          </w:r>
          <w:r w:rsidR="00CD68E2">
            <w:t>implementatietraject</w:t>
          </w:r>
          <w:r w:rsidR="00393A6F">
            <w:t>.</w:t>
          </w:r>
        </w:p>
        <w:p w:rsidR="005D1737" w:rsidP="0023374E" w:rsidRDefault="005D1737" w14:paraId="04E9AD0C" w14:textId="77777777"/>
        <w:p w:rsidR="00D87DE4" w:rsidRDefault="0023374E" w14:paraId="584BABF7" w14:textId="470AA509">
          <w:r>
            <w:t xml:space="preserve">De Afdeling adviseert in de toelichting </w:t>
          </w:r>
          <w:r w:rsidR="007D31FF">
            <w:t xml:space="preserve">op het voorgaande in te gaan en daarbij </w:t>
          </w:r>
          <w:r>
            <w:t xml:space="preserve">nader te motiveren </w:t>
          </w:r>
          <w:r w:rsidR="00C766B0">
            <w:t>hoe wordt ge</w:t>
          </w:r>
          <w:r w:rsidR="00EE460B">
            <w:t>waar</w:t>
          </w:r>
          <w:r w:rsidR="00C766B0">
            <w:t xml:space="preserve">borgd dat </w:t>
          </w:r>
          <w:r w:rsidR="0090778E">
            <w:t>relevante belanghebbenden worden</w:t>
          </w:r>
          <w:r w:rsidR="00EB50E5">
            <w:t xml:space="preserve"> </w:t>
          </w:r>
          <w:r w:rsidR="0090778E">
            <w:t xml:space="preserve">betrokken bij </w:t>
          </w:r>
          <w:r w:rsidR="009F124F">
            <w:t>het</w:t>
          </w:r>
          <w:r w:rsidR="0090778E">
            <w:t xml:space="preserve"> ontwikkel</w:t>
          </w:r>
          <w:r w:rsidR="009F124F">
            <w:t>en</w:t>
          </w:r>
          <w:r w:rsidR="0090778E">
            <w:t xml:space="preserve"> van</w:t>
          </w:r>
          <w:r w:rsidR="009F5E1B">
            <w:t xml:space="preserve"> de nodige richtsnoeren en</w:t>
          </w:r>
          <w:r w:rsidR="0090778E">
            <w:t xml:space="preserve"> instrumenten</w:t>
          </w:r>
          <w:r w:rsidR="003822A9">
            <w:t xml:space="preserve"> voor micro-ondernemingen</w:t>
          </w:r>
          <w:r w:rsidR="0090778E">
            <w:t>.</w:t>
          </w:r>
        </w:p>
      </w:sdtContent>
    </w:sdt>
    <w:p w:rsidR="00D87DE4" w:rsidRDefault="00D87DE4" w14:paraId="2B2322C7" w14:textId="77777777"/>
    <w:p w:rsidR="00D2686D" w:rsidP="0023374E" w:rsidRDefault="00F1327B" w14:paraId="42D57949" w14:textId="76B17996">
      <w:sdt>
        <w:sdtPr>
          <w:tag w:val="bmDictum"/>
          <w:id w:val="446057325"/>
          <w:lock w:val="sdtLocked"/>
          <w:placeholder>
            <w:docPart w:val="DefaultPlaceholder_-1854013440"/>
          </w:placeholder>
        </w:sdtPr>
        <w:sdtEndPr/>
        <w:sdtContent>
          <w:r w:rsidR="00D87DE4">
            <w:t xml:space="preserve">De Afdeling advisering van de Raad van State heeft een aantal opmerkingen bij het voorstel en adviseert daarmee rekening te houden voordat het voorstel bij de Tweede Kamer der Staten-Generaal wordt ingediend. </w:t>
          </w:r>
          <w:r w:rsidR="00D87DE4">
            <w:br/>
          </w:r>
          <w:r w:rsidR="00D87DE4">
            <w:br/>
          </w:r>
          <w:r w:rsidR="00D87DE4">
            <w:br/>
          </w:r>
          <w:r w:rsidR="00D87DE4">
            <w:br/>
          </w:r>
          <w:r w:rsidR="00D87DE4">
            <w:br/>
          </w:r>
          <w:r w:rsidR="00D87DE4">
            <w:br/>
            <w:t xml:space="preserve">De </w:t>
          </w:r>
          <w:proofErr w:type="spellStart"/>
          <w:r w:rsidR="00D87DE4">
            <w:t>vice-president</w:t>
          </w:r>
          <w:proofErr w:type="spellEnd"/>
          <w:r w:rsidR="00D87DE4">
            <w:t xml:space="preserve"> van de Raad van State,</w:t>
          </w:r>
        </w:sdtContent>
      </w:sdt>
      <w:r w:rsidR="002A043D">
        <w:t xml:space="preserve"> </w:t>
      </w:r>
    </w:p>
    <w:sectPr w:rsidR="00D2686D" w:rsidSect="00D542D2">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67022" w14:textId="77777777" w:rsidR="00CF2D24" w:rsidRDefault="00CF2D24">
      <w:r>
        <w:separator/>
      </w:r>
    </w:p>
  </w:endnote>
  <w:endnote w:type="continuationSeparator" w:id="0">
    <w:p w14:paraId="6D46B6BD" w14:textId="77777777" w:rsidR="00CF2D24" w:rsidRDefault="00CF2D24">
      <w:r>
        <w:continuationSeparator/>
      </w:r>
    </w:p>
  </w:endnote>
  <w:endnote w:type="continuationNotice" w:id="1">
    <w:p w14:paraId="66370058" w14:textId="77777777" w:rsidR="00CF2D24" w:rsidRDefault="00CF2D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D6B3B" w14:textId="77777777" w:rsidR="00CC6122" w:rsidRDefault="00CC612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BE13DD" w14:paraId="79AD6B3E" w14:textId="77777777" w:rsidTr="00CC6122">
      <w:tc>
        <w:tcPr>
          <w:tcW w:w="4815" w:type="dxa"/>
        </w:tcPr>
        <w:p w14:paraId="79AD6B3C" w14:textId="77777777" w:rsidR="00CC6122" w:rsidRDefault="00CC6122" w:rsidP="00CC6122">
          <w:pPr>
            <w:pStyle w:val="Voettekst"/>
          </w:pPr>
        </w:p>
      </w:tc>
      <w:tc>
        <w:tcPr>
          <w:tcW w:w="4247" w:type="dxa"/>
        </w:tcPr>
        <w:p w14:paraId="79AD6B3D" w14:textId="77777777" w:rsidR="00CC6122" w:rsidRDefault="00CC6122" w:rsidP="00CC6122">
          <w:pPr>
            <w:pStyle w:val="Voettekst"/>
            <w:jc w:val="right"/>
          </w:pPr>
        </w:p>
      </w:tc>
    </w:tr>
  </w:tbl>
  <w:p w14:paraId="79AD6B3F" w14:textId="77777777" w:rsidR="00CC6122" w:rsidRDefault="00CC612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4422B" w14:textId="09BE1383" w:rsidR="00D542D2" w:rsidRPr="00D542D2" w:rsidRDefault="00D542D2">
    <w:pPr>
      <w:pStyle w:val="Voettekst"/>
      <w:rPr>
        <w:rFonts w:ascii="Bembo" w:hAnsi="Bembo"/>
        <w:sz w:val="32"/>
      </w:rPr>
    </w:pPr>
    <w:r w:rsidRPr="00D542D2">
      <w:rPr>
        <w:rFonts w:ascii="Bembo" w:hAnsi="Bembo"/>
        <w:sz w:val="32"/>
      </w:rPr>
      <w:t>AAN DE KONING</w:t>
    </w:r>
  </w:p>
  <w:p w14:paraId="5023736C" w14:textId="77777777" w:rsidR="00D542D2" w:rsidRDefault="00D542D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F7602" w14:textId="77777777" w:rsidR="00CF2D24" w:rsidRDefault="00CF2D24">
      <w:r>
        <w:separator/>
      </w:r>
    </w:p>
  </w:footnote>
  <w:footnote w:type="continuationSeparator" w:id="0">
    <w:p w14:paraId="4D3BC0F4" w14:textId="77777777" w:rsidR="00CF2D24" w:rsidRDefault="00CF2D24">
      <w:r>
        <w:continuationSeparator/>
      </w:r>
    </w:p>
  </w:footnote>
  <w:footnote w:type="continuationNotice" w:id="1">
    <w:p w14:paraId="53CE92F7" w14:textId="77777777" w:rsidR="00CF2D24" w:rsidRDefault="00CF2D24"/>
  </w:footnote>
  <w:footnote w:id="2">
    <w:p w14:paraId="2A600EB2" w14:textId="77777777" w:rsidR="001B766E" w:rsidRDefault="001B766E" w:rsidP="001B766E">
      <w:pPr>
        <w:pStyle w:val="Voetnoottekst"/>
      </w:pPr>
      <w:r>
        <w:rPr>
          <w:rStyle w:val="Voetnootmarkering"/>
        </w:rPr>
        <w:footnoteRef/>
      </w:r>
      <w:r>
        <w:t xml:space="preserve"> </w:t>
      </w:r>
      <w:r w:rsidRPr="00E471C0">
        <w:t>Richtlijn (EU) 2019/882 van het Europees Parlement en de Raad van 17 april 2019 betreffende de toegankelijkheidsvoorschriften voor producten en diensten</w:t>
      </w:r>
      <w:r>
        <w:t xml:space="preserve">, </w:t>
      </w:r>
      <w:r w:rsidRPr="00E471C0">
        <w:t>Pb EU 2019, L 151</w:t>
      </w:r>
      <w:r>
        <w:t>.</w:t>
      </w:r>
    </w:p>
  </w:footnote>
  <w:footnote w:id="3">
    <w:p w14:paraId="7B06E734" w14:textId="77777777" w:rsidR="0023374E" w:rsidRPr="00961157" w:rsidRDefault="0023374E" w:rsidP="0023374E">
      <w:pPr>
        <w:pStyle w:val="Voetnoottekst"/>
      </w:pPr>
      <w:r>
        <w:rPr>
          <w:rStyle w:val="Voetnootmarkering"/>
        </w:rPr>
        <w:footnoteRef/>
      </w:r>
      <w:r>
        <w:t xml:space="preserve"> </w:t>
      </w:r>
      <w:r w:rsidRPr="00961157">
        <w:t>Het gaat</w:t>
      </w:r>
      <w:r>
        <w:t xml:space="preserve"> </w:t>
      </w:r>
      <w:r w:rsidRPr="00961157">
        <w:t xml:space="preserve">om personen met langdurige fysieke, mentale, intellectuele of zintuiglijke beperkingen die in hun interactie te kampen hebben met diverse drempels die hen kunnen beletten volledig, effectief en op voet van gelijkheid met anderen in de samenleving te participeren. </w:t>
      </w:r>
      <w:r>
        <w:t xml:space="preserve">Zie </w:t>
      </w:r>
      <w:r w:rsidRPr="00961157">
        <w:t>artikel 3 van de richtlijn</w:t>
      </w:r>
      <w:r>
        <w:t>.</w:t>
      </w:r>
    </w:p>
  </w:footnote>
  <w:footnote w:id="4">
    <w:p w14:paraId="52E0AA2E" w14:textId="77777777" w:rsidR="0023374E" w:rsidRPr="00270BEE" w:rsidRDefault="0023374E" w:rsidP="0023374E">
      <w:pPr>
        <w:pStyle w:val="Voetnoottekst"/>
      </w:pPr>
      <w:r>
        <w:rPr>
          <w:rStyle w:val="Voetnootmarkering"/>
        </w:rPr>
        <w:footnoteRef/>
      </w:r>
      <w:r>
        <w:t xml:space="preserve"> </w:t>
      </w:r>
      <w:r w:rsidRPr="002B1776">
        <w:t>Zie artikel 29 van de richtlijn.</w:t>
      </w:r>
    </w:p>
  </w:footnote>
  <w:footnote w:id="5">
    <w:p w14:paraId="0FED7CF5" w14:textId="77777777" w:rsidR="0023374E" w:rsidRDefault="0023374E" w:rsidP="0023374E">
      <w:pPr>
        <w:pStyle w:val="Voetnoottekst"/>
      </w:pPr>
      <w:r>
        <w:rPr>
          <w:rStyle w:val="Voetnootmarkering"/>
        </w:rPr>
        <w:footnoteRef/>
      </w:r>
      <w:r>
        <w:t xml:space="preserve"> Memorie van Toelichting, paragraaf 3.1.</w:t>
      </w:r>
    </w:p>
  </w:footnote>
  <w:footnote w:id="6">
    <w:p w14:paraId="24DF791B" w14:textId="77777777" w:rsidR="0023374E" w:rsidRPr="005A58C8" w:rsidRDefault="0023374E" w:rsidP="0023374E">
      <w:pPr>
        <w:pStyle w:val="Voetnoottekst"/>
      </w:pPr>
      <w:r>
        <w:rPr>
          <w:rStyle w:val="Voetnootmarkering"/>
        </w:rPr>
        <w:footnoteRef/>
      </w:r>
      <w:r>
        <w:t xml:space="preserve"> </w:t>
      </w:r>
      <w:r w:rsidRPr="002B1776">
        <w:t>I</w:t>
      </w:r>
      <w:r>
        <w:t>dem.</w:t>
      </w:r>
    </w:p>
  </w:footnote>
  <w:footnote w:id="7">
    <w:p w14:paraId="2C35B9D5" w14:textId="77777777" w:rsidR="0023374E" w:rsidRDefault="0023374E" w:rsidP="0023374E">
      <w:pPr>
        <w:pStyle w:val="Voetnoottekst"/>
      </w:pPr>
      <w:r>
        <w:rPr>
          <w:rStyle w:val="Voetnootmarkering"/>
        </w:rPr>
        <w:footnoteRef/>
      </w:r>
      <w:r>
        <w:t xml:space="preserve"> Memorie van Toelichting, hoofdstuk 4.</w:t>
      </w:r>
    </w:p>
  </w:footnote>
  <w:footnote w:id="8">
    <w:p w14:paraId="059BB00D" w14:textId="77777777" w:rsidR="00A02465" w:rsidRDefault="00A02465" w:rsidP="00A02465">
      <w:pPr>
        <w:pStyle w:val="Voetnoottekst"/>
      </w:pPr>
      <w:r>
        <w:rPr>
          <w:rStyle w:val="Voetnootmarkering"/>
        </w:rPr>
        <w:footnoteRef/>
      </w:r>
      <w:r>
        <w:t xml:space="preserve"> Autoriteit Consument &amp; Markt, advies 18 november 2022; Inspectie Leefomgeving en Transport, advies van 28 juli 2022 en 6 oktober 2022.</w:t>
      </w:r>
    </w:p>
  </w:footnote>
  <w:footnote w:id="9">
    <w:p w14:paraId="01EA9B1A" w14:textId="77777777" w:rsidR="0023374E" w:rsidRDefault="0023374E" w:rsidP="0023374E">
      <w:pPr>
        <w:pStyle w:val="Voetnoottekst"/>
      </w:pPr>
      <w:r>
        <w:rPr>
          <w:rStyle w:val="Voetnootmarkering"/>
        </w:rPr>
        <w:footnoteRef/>
      </w:r>
      <w:r>
        <w:t xml:space="preserve"> Idem en Autoriteit Financiële Markten, advies 14 oktober 2022.</w:t>
      </w:r>
    </w:p>
  </w:footnote>
  <w:footnote w:id="10">
    <w:p w14:paraId="204CF808" w14:textId="77777777" w:rsidR="0023374E" w:rsidRDefault="0023374E" w:rsidP="0023374E">
      <w:pPr>
        <w:pStyle w:val="Voetnoottekst"/>
      </w:pPr>
      <w:r>
        <w:rPr>
          <w:rStyle w:val="Voetnootmarkering"/>
        </w:rPr>
        <w:footnoteRef/>
      </w:r>
      <w:r>
        <w:t xml:space="preserve"> Memorie van Toelichting, paragraaf 3.1.</w:t>
      </w:r>
    </w:p>
  </w:footnote>
  <w:footnote w:id="11">
    <w:p w14:paraId="43D41E9B" w14:textId="77777777" w:rsidR="0023374E" w:rsidRDefault="0023374E" w:rsidP="0023374E">
      <w:pPr>
        <w:pStyle w:val="Voetnoottekst"/>
      </w:pPr>
      <w:r>
        <w:rPr>
          <w:rStyle w:val="Voetnootmarkering"/>
        </w:rPr>
        <w:footnoteRef/>
      </w:r>
      <w:r>
        <w:t xml:space="preserve"> Richtlijn, considerans, onderdeel 3.</w:t>
      </w:r>
    </w:p>
  </w:footnote>
  <w:footnote w:id="12">
    <w:p w14:paraId="778928EB" w14:textId="17EF7130" w:rsidR="00742AC4" w:rsidRDefault="00742AC4">
      <w:pPr>
        <w:pStyle w:val="Voetnoottekst"/>
      </w:pPr>
      <w:r>
        <w:rPr>
          <w:rStyle w:val="Voetnootmarkering"/>
        </w:rPr>
        <w:footnoteRef/>
      </w:r>
      <w:r>
        <w:t xml:space="preserve"> Artikel 4, lid 5 en 6</w:t>
      </w:r>
      <w:r w:rsidR="00310E44">
        <w:t xml:space="preserve"> van de richtlijn.</w:t>
      </w:r>
      <w:r w:rsidR="00651E92">
        <w:t xml:space="preserve"> </w:t>
      </w:r>
      <w:r w:rsidR="008629E9" w:rsidRPr="008629E9">
        <w:t>Voor wat betreft de relevante belanghebbenden, noemt de richtlijn personen met een handicap en organisaties die hen vertegenwoordigen</w:t>
      </w:r>
      <w:r w:rsidR="008629E9">
        <w:t xml:space="preserve"> (</w:t>
      </w:r>
      <w:r w:rsidR="002F59D2">
        <w:t>considerans, overweging 96)</w:t>
      </w:r>
      <w:r w:rsidR="008629E9" w:rsidRPr="008629E9">
        <w:t xml:space="preserve">. </w:t>
      </w:r>
    </w:p>
  </w:footnote>
  <w:footnote w:id="13">
    <w:p w14:paraId="2A4C4589" w14:textId="361F9FC8" w:rsidR="00980C9A" w:rsidRDefault="00980C9A">
      <w:pPr>
        <w:pStyle w:val="Voetnoottekst"/>
      </w:pPr>
      <w:r>
        <w:rPr>
          <w:rStyle w:val="Voetnootmarkering"/>
        </w:rPr>
        <w:footnoteRef/>
      </w:r>
      <w:r>
        <w:t xml:space="preserve"> Richtlijn, considerans, overweging 72.</w:t>
      </w:r>
    </w:p>
  </w:footnote>
  <w:footnote w:id="14">
    <w:p w14:paraId="11430316" w14:textId="77777777" w:rsidR="0022678C" w:rsidRPr="00FD4E00" w:rsidRDefault="0022678C" w:rsidP="0022678C">
      <w:pPr>
        <w:pStyle w:val="Voetnoottekst"/>
      </w:pPr>
      <w:r>
        <w:rPr>
          <w:rStyle w:val="Voetnootmarkering"/>
        </w:rPr>
        <w:footnoteRef/>
      </w:r>
      <w:r w:rsidRPr="00FD4E00">
        <w:t xml:space="preserve"> Memorie van To</w:t>
      </w:r>
      <w:r>
        <w:t xml:space="preserve">elichting, hoofdstuk 4.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D6B39" w14:textId="77777777" w:rsidR="00CC6122" w:rsidRDefault="00CC612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D6B3A" w14:textId="5EE58667" w:rsidR="00CC6122" w:rsidRDefault="009E14E6" w:rsidP="00CC6122">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F1327B">
      <w:rPr>
        <w:rStyle w:val="Paginanummer"/>
        <w:noProof/>
      </w:rPr>
      <w:t>3</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D6B40" w14:textId="77777777" w:rsidR="00CC6122" w:rsidRDefault="009E14E6" w:rsidP="00CC6122">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79AD6B41" w14:textId="77777777" w:rsidR="00CC6122" w:rsidRDefault="009E14E6">
    <w:pPr>
      <w:pStyle w:val="Koptekst"/>
    </w:pPr>
    <w:r>
      <w:rPr>
        <w:noProof/>
      </w:rPr>
      <w:drawing>
        <wp:anchor distT="0" distB="0" distL="114300" distR="114300" simplePos="0" relativeHeight="251658240" behindDoc="1" locked="0" layoutInCell="1" allowOverlap="1" wp14:anchorId="79AD6B4C" wp14:editId="79AD6B4D">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B6BEA"/>
    <w:multiLevelType w:val="hybridMultilevel"/>
    <w:tmpl w:val="274C12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BAF741B"/>
    <w:multiLevelType w:val="hybridMultilevel"/>
    <w:tmpl w:val="ED0A18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3DD"/>
    <w:rsid w:val="00003046"/>
    <w:rsid w:val="000034BF"/>
    <w:rsid w:val="00004A06"/>
    <w:rsid w:val="0000570B"/>
    <w:rsid w:val="000066D6"/>
    <w:rsid w:val="00011E1A"/>
    <w:rsid w:val="00012296"/>
    <w:rsid w:val="00013B97"/>
    <w:rsid w:val="00024739"/>
    <w:rsid w:val="00024C5A"/>
    <w:rsid w:val="00031A3F"/>
    <w:rsid w:val="00035600"/>
    <w:rsid w:val="0004294D"/>
    <w:rsid w:val="000430D6"/>
    <w:rsid w:val="00044F03"/>
    <w:rsid w:val="000465A0"/>
    <w:rsid w:val="00053F42"/>
    <w:rsid w:val="0005722D"/>
    <w:rsid w:val="00061EC8"/>
    <w:rsid w:val="00064834"/>
    <w:rsid w:val="00064D4D"/>
    <w:rsid w:val="0006578D"/>
    <w:rsid w:val="00065F27"/>
    <w:rsid w:val="000674F4"/>
    <w:rsid w:val="00072E9F"/>
    <w:rsid w:val="0007359D"/>
    <w:rsid w:val="00082511"/>
    <w:rsid w:val="00083006"/>
    <w:rsid w:val="00084711"/>
    <w:rsid w:val="00086EB2"/>
    <w:rsid w:val="00087552"/>
    <w:rsid w:val="000937CC"/>
    <w:rsid w:val="00093AC0"/>
    <w:rsid w:val="00096935"/>
    <w:rsid w:val="000A315B"/>
    <w:rsid w:val="000A643D"/>
    <w:rsid w:val="000B1015"/>
    <w:rsid w:val="000B1E5B"/>
    <w:rsid w:val="000B1FC9"/>
    <w:rsid w:val="000B2C8D"/>
    <w:rsid w:val="000B3338"/>
    <w:rsid w:val="000B3FCC"/>
    <w:rsid w:val="000B702F"/>
    <w:rsid w:val="000C1D87"/>
    <w:rsid w:val="000C33DA"/>
    <w:rsid w:val="000D2F9B"/>
    <w:rsid w:val="000D43D8"/>
    <w:rsid w:val="000D7990"/>
    <w:rsid w:val="000E395C"/>
    <w:rsid w:val="000F1F60"/>
    <w:rsid w:val="001017DC"/>
    <w:rsid w:val="00101A1E"/>
    <w:rsid w:val="00101E39"/>
    <w:rsid w:val="001049A9"/>
    <w:rsid w:val="00104A05"/>
    <w:rsid w:val="00104D1E"/>
    <w:rsid w:val="00107352"/>
    <w:rsid w:val="00107A9B"/>
    <w:rsid w:val="00107BD4"/>
    <w:rsid w:val="001164C9"/>
    <w:rsid w:val="001168DE"/>
    <w:rsid w:val="001175F6"/>
    <w:rsid w:val="00117BFC"/>
    <w:rsid w:val="0012194A"/>
    <w:rsid w:val="00126119"/>
    <w:rsid w:val="00126859"/>
    <w:rsid w:val="00131CD9"/>
    <w:rsid w:val="00137935"/>
    <w:rsid w:val="001470A9"/>
    <w:rsid w:val="00150ADA"/>
    <w:rsid w:val="00150E17"/>
    <w:rsid w:val="00150ECF"/>
    <w:rsid w:val="00155D78"/>
    <w:rsid w:val="00157819"/>
    <w:rsid w:val="0016027B"/>
    <w:rsid w:val="001622FC"/>
    <w:rsid w:val="00162B89"/>
    <w:rsid w:val="0017043C"/>
    <w:rsid w:val="0017242D"/>
    <w:rsid w:val="001724BF"/>
    <w:rsid w:val="0017268A"/>
    <w:rsid w:val="00173E54"/>
    <w:rsid w:val="00176DF5"/>
    <w:rsid w:val="0018046A"/>
    <w:rsid w:val="00180982"/>
    <w:rsid w:val="00191F12"/>
    <w:rsid w:val="00191FD9"/>
    <w:rsid w:val="001A291F"/>
    <w:rsid w:val="001A3365"/>
    <w:rsid w:val="001A35FB"/>
    <w:rsid w:val="001A583E"/>
    <w:rsid w:val="001B4C07"/>
    <w:rsid w:val="001B4C82"/>
    <w:rsid w:val="001B72AC"/>
    <w:rsid w:val="001B766E"/>
    <w:rsid w:val="001C1AAD"/>
    <w:rsid w:val="001C2DE3"/>
    <w:rsid w:val="001C393F"/>
    <w:rsid w:val="001C50AE"/>
    <w:rsid w:val="001D22ED"/>
    <w:rsid w:val="001D3557"/>
    <w:rsid w:val="001D3AFD"/>
    <w:rsid w:val="001E16FA"/>
    <w:rsid w:val="001E1E66"/>
    <w:rsid w:val="001E1EA3"/>
    <w:rsid w:val="001E2B3F"/>
    <w:rsid w:val="001E379B"/>
    <w:rsid w:val="001E459E"/>
    <w:rsid w:val="001E4897"/>
    <w:rsid w:val="001E61FA"/>
    <w:rsid w:val="001F1242"/>
    <w:rsid w:val="001F3184"/>
    <w:rsid w:val="001F4413"/>
    <w:rsid w:val="001F4A02"/>
    <w:rsid w:val="001F4EDE"/>
    <w:rsid w:val="00201B14"/>
    <w:rsid w:val="00204CB4"/>
    <w:rsid w:val="0020716E"/>
    <w:rsid w:val="00213D77"/>
    <w:rsid w:val="00216E0F"/>
    <w:rsid w:val="00223101"/>
    <w:rsid w:val="00224BF9"/>
    <w:rsid w:val="0022678C"/>
    <w:rsid w:val="00226A49"/>
    <w:rsid w:val="0023374E"/>
    <w:rsid w:val="00233DA6"/>
    <w:rsid w:val="002345FE"/>
    <w:rsid w:val="002411F5"/>
    <w:rsid w:val="00243BD2"/>
    <w:rsid w:val="002554E2"/>
    <w:rsid w:val="002617AF"/>
    <w:rsid w:val="0026546D"/>
    <w:rsid w:val="0026585D"/>
    <w:rsid w:val="00266937"/>
    <w:rsid w:val="002705E4"/>
    <w:rsid w:val="00270BEE"/>
    <w:rsid w:val="002721C8"/>
    <w:rsid w:val="00274132"/>
    <w:rsid w:val="00275BAD"/>
    <w:rsid w:val="002767FF"/>
    <w:rsid w:val="0028372D"/>
    <w:rsid w:val="002908D9"/>
    <w:rsid w:val="00292230"/>
    <w:rsid w:val="002942B4"/>
    <w:rsid w:val="002950DD"/>
    <w:rsid w:val="002952CA"/>
    <w:rsid w:val="002A043D"/>
    <w:rsid w:val="002A5992"/>
    <w:rsid w:val="002A756E"/>
    <w:rsid w:val="002A7CC8"/>
    <w:rsid w:val="002B1463"/>
    <w:rsid w:val="002B1776"/>
    <w:rsid w:val="002B5B84"/>
    <w:rsid w:val="002C3842"/>
    <w:rsid w:val="002C492D"/>
    <w:rsid w:val="002C51D1"/>
    <w:rsid w:val="002C544C"/>
    <w:rsid w:val="002C7B01"/>
    <w:rsid w:val="002D19D7"/>
    <w:rsid w:val="002E0387"/>
    <w:rsid w:val="002E5B08"/>
    <w:rsid w:val="002F2B55"/>
    <w:rsid w:val="002F4B16"/>
    <w:rsid w:val="002F5523"/>
    <w:rsid w:val="002F590E"/>
    <w:rsid w:val="002F59D2"/>
    <w:rsid w:val="002F6485"/>
    <w:rsid w:val="002F6F9F"/>
    <w:rsid w:val="003021B9"/>
    <w:rsid w:val="00310E38"/>
    <w:rsid w:val="00310E44"/>
    <w:rsid w:val="003257DE"/>
    <w:rsid w:val="00327C84"/>
    <w:rsid w:val="00333483"/>
    <w:rsid w:val="00340C3C"/>
    <w:rsid w:val="00344ACD"/>
    <w:rsid w:val="00345A0F"/>
    <w:rsid w:val="0034745D"/>
    <w:rsid w:val="0035065F"/>
    <w:rsid w:val="0035539B"/>
    <w:rsid w:val="00356BEE"/>
    <w:rsid w:val="00362054"/>
    <w:rsid w:val="003634AD"/>
    <w:rsid w:val="00365CC6"/>
    <w:rsid w:val="003706E0"/>
    <w:rsid w:val="003721F9"/>
    <w:rsid w:val="0037406D"/>
    <w:rsid w:val="00377716"/>
    <w:rsid w:val="00377B64"/>
    <w:rsid w:val="00377C2E"/>
    <w:rsid w:val="00380B3A"/>
    <w:rsid w:val="003822A9"/>
    <w:rsid w:val="00382ACC"/>
    <w:rsid w:val="003841AD"/>
    <w:rsid w:val="003909C8"/>
    <w:rsid w:val="00393A6F"/>
    <w:rsid w:val="0039589E"/>
    <w:rsid w:val="0039769C"/>
    <w:rsid w:val="003A0BE2"/>
    <w:rsid w:val="003A107B"/>
    <w:rsid w:val="003A47B6"/>
    <w:rsid w:val="003A636B"/>
    <w:rsid w:val="003B26AC"/>
    <w:rsid w:val="003B4417"/>
    <w:rsid w:val="003B729F"/>
    <w:rsid w:val="003C3EC3"/>
    <w:rsid w:val="003C6FA9"/>
    <w:rsid w:val="003D2865"/>
    <w:rsid w:val="003D38F0"/>
    <w:rsid w:val="003D46AD"/>
    <w:rsid w:val="003D770C"/>
    <w:rsid w:val="003D7828"/>
    <w:rsid w:val="003E4296"/>
    <w:rsid w:val="003E565D"/>
    <w:rsid w:val="003F33C1"/>
    <w:rsid w:val="003F456E"/>
    <w:rsid w:val="003F4F17"/>
    <w:rsid w:val="003F5E7A"/>
    <w:rsid w:val="00400B41"/>
    <w:rsid w:val="0040147A"/>
    <w:rsid w:val="00411D42"/>
    <w:rsid w:val="00413BE3"/>
    <w:rsid w:val="00414A13"/>
    <w:rsid w:val="00415278"/>
    <w:rsid w:val="00416236"/>
    <w:rsid w:val="00416DB3"/>
    <w:rsid w:val="004174F4"/>
    <w:rsid w:val="00417953"/>
    <w:rsid w:val="00421EFB"/>
    <w:rsid w:val="00431757"/>
    <w:rsid w:val="00431E2F"/>
    <w:rsid w:val="00432796"/>
    <w:rsid w:val="00433C47"/>
    <w:rsid w:val="00436ACA"/>
    <w:rsid w:val="004424B0"/>
    <w:rsid w:val="0044384D"/>
    <w:rsid w:val="004442EF"/>
    <w:rsid w:val="00444516"/>
    <w:rsid w:val="00453555"/>
    <w:rsid w:val="004564C1"/>
    <w:rsid w:val="004620C7"/>
    <w:rsid w:val="0046504B"/>
    <w:rsid w:val="00466B1C"/>
    <w:rsid w:val="00474F04"/>
    <w:rsid w:val="0047696E"/>
    <w:rsid w:val="004775A5"/>
    <w:rsid w:val="00482BAC"/>
    <w:rsid w:val="004834FB"/>
    <w:rsid w:val="004903BC"/>
    <w:rsid w:val="004918F3"/>
    <w:rsid w:val="00491CBB"/>
    <w:rsid w:val="00492B6B"/>
    <w:rsid w:val="00493725"/>
    <w:rsid w:val="00495601"/>
    <w:rsid w:val="004A0245"/>
    <w:rsid w:val="004A125A"/>
    <w:rsid w:val="004A2371"/>
    <w:rsid w:val="004B1241"/>
    <w:rsid w:val="004B44ED"/>
    <w:rsid w:val="004B5C7A"/>
    <w:rsid w:val="004C0DB6"/>
    <w:rsid w:val="004C2285"/>
    <w:rsid w:val="004C3367"/>
    <w:rsid w:val="004C4957"/>
    <w:rsid w:val="004C5D47"/>
    <w:rsid w:val="004D2A48"/>
    <w:rsid w:val="004D3395"/>
    <w:rsid w:val="004D4846"/>
    <w:rsid w:val="004E2101"/>
    <w:rsid w:val="004E5C67"/>
    <w:rsid w:val="004E6CDC"/>
    <w:rsid w:val="004F14CD"/>
    <w:rsid w:val="004F1FD3"/>
    <w:rsid w:val="004F2E68"/>
    <w:rsid w:val="004F4723"/>
    <w:rsid w:val="00500628"/>
    <w:rsid w:val="0050074F"/>
    <w:rsid w:val="00510054"/>
    <w:rsid w:val="0051065A"/>
    <w:rsid w:val="00516F18"/>
    <w:rsid w:val="005240FA"/>
    <w:rsid w:val="005247E5"/>
    <w:rsid w:val="005311D2"/>
    <w:rsid w:val="00531929"/>
    <w:rsid w:val="00541789"/>
    <w:rsid w:val="005438DD"/>
    <w:rsid w:val="005461E8"/>
    <w:rsid w:val="005464A8"/>
    <w:rsid w:val="00547C2D"/>
    <w:rsid w:val="00554CC4"/>
    <w:rsid w:val="005552C2"/>
    <w:rsid w:val="00557074"/>
    <w:rsid w:val="005612A3"/>
    <w:rsid w:val="005614FB"/>
    <w:rsid w:val="00561C72"/>
    <w:rsid w:val="00561E81"/>
    <w:rsid w:val="00562578"/>
    <w:rsid w:val="00566D57"/>
    <w:rsid w:val="00567E41"/>
    <w:rsid w:val="00573C35"/>
    <w:rsid w:val="00580F12"/>
    <w:rsid w:val="005812E7"/>
    <w:rsid w:val="0058131B"/>
    <w:rsid w:val="00583B1B"/>
    <w:rsid w:val="005A58C8"/>
    <w:rsid w:val="005A71A0"/>
    <w:rsid w:val="005B404D"/>
    <w:rsid w:val="005B4D22"/>
    <w:rsid w:val="005B7460"/>
    <w:rsid w:val="005C0667"/>
    <w:rsid w:val="005C1BBA"/>
    <w:rsid w:val="005C4AF9"/>
    <w:rsid w:val="005D1737"/>
    <w:rsid w:val="005D1932"/>
    <w:rsid w:val="005D660A"/>
    <w:rsid w:val="005E104B"/>
    <w:rsid w:val="005E2B3D"/>
    <w:rsid w:val="005E33D9"/>
    <w:rsid w:val="005E3EE3"/>
    <w:rsid w:val="005F2185"/>
    <w:rsid w:val="005F3165"/>
    <w:rsid w:val="005F3617"/>
    <w:rsid w:val="00605D62"/>
    <w:rsid w:val="00610C9D"/>
    <w:rsid w:val="00612955"/>
    <w:rsid w:val="00614DF3"/>
    <w:rsid w:val="006156EB"/>
    <w:rsid w:val="00616A8D"/>
    <w:rsid w:val="00620499"/>
    <w:rsid w:val="006211F6"/>
    <w:rsid w:val="00625C6A"/>
    <w:rsid w:val="0062629F"/>
    <w:rsid w:val="006270E9"/>
    <w:rsid w:val="006312CF"/>
    <w:rsid w:val="006357AB"/>
    <w:rsid w:val="00636594"/>
    <w:rsid w:val="0063683E"/>
    <w:rsid w:val="00640C88"/>
    <w:rsid w:val="0064192B"/>
    <w:rsid w:val="0064255E"/>
    <w:rsid w:val="0064655F"/>
    <w:rsid w:val="00647A20"/>
    <w:rsid w:val="0065010C"/>
    <w:rsid w:val="00651E92"/>
    <w:rsid w:val="00653490"/>
    <w:rsid w:val="00653729"/>
    <w:rsid w:val="00655648"/>
    <w:rsid w:val="006608DE"/>
    <w:rsid w:val="00665523"/>
    <w:rsid w:val="00673B7E"/>
    <w:rsid w:val="006756C6"/>
    <w:rsid w:val="00675CCD"/>
    <w:rsid w:val="00681114"/>
    <w:rsid w:val="006851C4"/>
    <w:rsid w:val="00694942"/>
    <w:rsid w:val="00696B78"/>
    <w:rsid w:val="006B2345"/>
    <w:rsid w:val="006B68B9"/>
    <w:rsid w:val="006C378C"/>
    <w:rsid w:val="006C4EBD"/>
    <w:rsid w:val="006C5FD5"/>
    <w:rsid w:val="006D0648"/>
    <w:rsid w:val="006D1F3C"/>
    <w:rsid w:val="006E2EA3"/>
    <w:rsid w:val="006E313A"/>
    <w:rsid w:val="006E38B5"/>
    <w:rsid w:val="006E4248"/>
    <w:rsid w:val="006E74F1"/>
    <w:rsid w:val="006E7BD3"/>
    <w:rsid w:val="006F6700"/>
    <w:rsid w:val="00700930"/>
    <w:rsid w:val="007063A5"/>
    <w:rsid w:val="00712CC5"/>
    <w:rsid w:val="00715443"/>
    <w:rsid w:val="007243EE"/>
    <w:rsid w:val="00726C2C"/>
    <w:rsid w:val="007277B2"/>
    <w:rsid w:val="00730205"/>
    <w:rsid w:val="007339A1"/>
    <w:rsid w:val="00737825"/>
    <w:rsid w:val="007420B2"/>
    <w:rsid w:val="00742AC4"/>
    <w:rsid w:val="007470E4"/>
    <w:rsid w:val="00747BE2"/>
    <w:rsid w:val="00751521"/>
    <w:rsid w:val="00754912"/>
    <w:rsid w:val="00757EA3"/>
    <w:rsid w:val="00763471"/>
    <w:rsid w:val="00773E8D"/>
    <w:rsid w:val="007772C2"/>
    <w:rsid w:val="00777B55"/>
    <w:rsid w:val="00784DF9"/>
    <w:rsid w:val="007877A4"/>
    <w:rsid w:val="0079102D"/>
    <w:rsid w:val="007914A4"/>
    <w:rsid w:val="007915FE"/>
    <w:rsid w:val="00796981"/>
    <w:rsid w:val="00796FE0"/>
    <w:rsid w:val="007A478D"/>
    <w:rsid w:val="007A6B1F"/>
    <w:rsid w:val="007B660B"/>
    <w:rsid w:val="007C3B2B"/>
    <w:rsid w:val="007C4CD1"/>
    <w:rsid w:val="007D1851"/>
    <w:rsid w:val="007D2658"/>
    <w:rsid w:val="007D31FF"/>
    <w:rsid w:val="007D4E8A"/>
    <w:rsid w:val="007D57D9"/>
    <w:rsid w:val="007D6887"/>
    <w:rsid w:val="007D6E9D"/>
    <w:rsid w:val="007E0FF4"/>
    <w:rsid w:val="007E38B7"/>
    <w:rsid w:val="007E5391"/>
    <w:rsid w:val="007E7AA1"/>
    <w:rsid w:val="007E7E15"/>
    <w:rsid w:val="00801671"/>
    <w:rsid w:val="00807C34"/>
    <w:rsid w:val="00810242"/>
    <w:rsid w:val="008267F1"/>
    <w:rsid w:val="00830489"/>
    <w:rsid w:val="00830D58"/>
    <w:rsid w:val="0083405B"/>
    <w:rsid w:val="0084579F"/>
    <w:rsid w:val="008546D0"/>
    <w:rsid w:val="0085624B"/>
    <w:rsid w:val="0086008E"/>
    <w:rsid w:val="00861A3D"/>
    <w:rsid w:val="008629E9"/>
    <w:rsid w:val="008642E3"/>
    <w:rsid w:val="00864C1B"/>
    <w:rsid w:val="00867E1A"/>
    <w:rsid w:val="008759E2"/>
    <w:rsid w:val="00876504"/>
    <w:rsid w:val="00876AE4"/>
    <w:rsid w:val="00877707"/>
    <w:rsid w:val="008777A8"/>
    <w:rsid w:val="00882C2C"/>
    <w:rsid w:val="00884601"/>
    <w:rsid w:val="00884C2D"/>
    <w:rsid w:val="00885211"/>
    <w:rsid w:val="0089039F"/>
    <w:rsid w:val="00893F66"/>
    <w:rsid w:val="00894467"/>
    <w:rsid w:val="00896A0A"/>
    <w:rsid w:val="008A1564"/>
    <w:rsid w:val="008A53BE"/>
    <w:rsid w:val="008B5011"/>
    <w:rsid w:val="008B5955"/>
    <w:rsid w:val="008B6462"/>
    <w:rsid w:val="008C4958"/>
    <w:rsid w:val="008C5515"/>
    <w:rsid w:val="008C7B87"/>
    <w:rsid w:val="008D2A60"/>
    <w:rsid w:val="008D37F8"/>
    <w:rsid w:val="008E2FA5"/>
    <w:rsid w:val="008E511A"/>
    <w:rsid w:val="008F5096"/>
    <w:rsid w:val="008F75FA"/>
    <w:rsid w:val="0090042D"/>
    <w:rsid w:val="009044D0"/>
    <w:rsid w:val="00907040"/>
    <w:rsid w:val="0090778E"/>
    <w:rsid w:val="00913708"/>
    <w:rsid w:val="009142CD"/>
    <w:rsid w:val="009239DE"/>
    <w:rsid w:val="0093027A"/>
    <w:rsid w:val="00930EDE"/>
    <w:rsid w:val="00930F1D"/>
    <w:rsid w:val="00930FE4"/>
    <w:rsid w:val="009331BA"/>
    <w:rsid w:val="009425D9"/>
    <w:rsid w:val="009433D5"/>
    <w:rsid w:val="0094482E"/>
    <w:rsid w:val="0095137C"/>
    <w:rsid w:val="009527DC"/>
    <w:rsid w:val="00952AE8"/>
    <w:rsid w:val="00955E9D"/>
    <w:rsid w:val="00961157"/>
    <w:rsid w:val="0096245B"/>
    <w:rsid w:val="00962689"/>
    <w:rsid w:val="00965514"/>
    <w:rsid w:val="00974A8F"/>
    <w:rsid w:val="00975D6B"/>
    <w:rsid w:val="00980C9A"/>
    <w:rsid w:val="00981A48"/>
    <w:rsid w:val="009820EB"/>
    <w:rsid w:val="00983BCC"/>
    <w:rsid w:val="00985AB9"/>
    <w:rsid w:val="00986062"/>
    <w:rsid w:val="00987F4E"/>
    <w:rsid w:val="00990BBA"/>
    <w:rsid w:val="00992EF2"/>
    <w:rsid w:val="009A2F8B"/>
    <w:rsid w:val="009A460A"/>
    <w:rsid w:val="009A57F0"/>
    <w:rsid w:val="009B026E"/>
    <w:rsid w:val="009B26FC"/>
    <w:rsid w:val="009B6B59"/>
    <w:rsid w:val="009C034D"/>
    <w:rsid w:val="009C1B10"/>
    <w:rsid w:val="009C2914"/>
    <w:rsid w:val="009C7814"/>
    <w:rsid w:val="009D0D63"/>
    <w:rsid w:val="009D40E4"/>
    <w:rsid w:val="009D4752"/>
    <w:rsid w:val="009E027B"/>
    <w:rsid w:val="009E14E6"/>
    <w:rsid w:val="009E31BB"/>
    <w:rsid w:val="009E4A01"/>
    <w:rsid w:val="009E6553"/>
    <w:rsid w:val="009F124F"/>
    <w:rsid w:val="009F2143"/>
    <w:rsid w:val="009F5E1B"/>
    <w:rsid w:val="009F7649"/>
    <w:rsid w:val="009F7F88"/>
    <w:rsid w:val="00A0129C"/>
    <w:rsid w:val="00A02465"/>
    <w:rsid w:val="00A05EAB"/>
    <w:rsid w:val="00A06678"/>
    <w:rsid w:val="00A107AA"/>
    <w:rsid w:val="00A10926"/>
    <w:rsid w:val="00A1103C"/>
    <w:rsid w:val="00A11860"/>
    <w:rsid w:val="00A12AE2"/>
    <w:rsid w:val="00A235C0"/>
    <w:rsid w:val="00A25306"/>
    <w:rsid w:val="00A26A62"/>
    <w:rsid w:val="00A275F8"/>
    <w:rsid w:val="00A3103C"/>
    <w:rsid w:val="00A329E1"/>
    <w:rsid w:val="00A32FAE"/>
    <w:rsid w:val="00A33D62"/>
    <w:rsid w:val="00A35955"/>
    <w:rsid w:val="00A35E54"/>
    <w:rsid w:val="00A37357"/>
    <w:rsid w:val="00A37DE5"/>
    <w:rsid w:val="00A40531"/>
    <w:rsid w:val="00A42998"/>
    <w:rsid w:val="00A452E6"/>
    <w:rsid w:val="00A458AF"/>
    <w:rsid w:val="00A477A9"/>
    <w:rsid w:val="00A62FDB"/>
    <w:rsid w:val="00A65E32"/>
    <w:rsid w:val="00A662BC"/>
    <w:rsid w:val="00A66C2A"/>
    <w:rsid w:val="00A673DA"/>
    <w:rsid w:val="00A67C57"/>
    <w:rsid w:val="00A73DEA"/>
    <w:rsid w:val="00A74A29"/>
    <w:rsid w:val="00A770DA"/>
    <w:rsid w:val="00A869EF"/>
    <w:rsid w:val="00A87FBB"/>
    <w:rsid w:val="00A917F0"/>
    <w:rsid w:val="00A9465E"/>
    <w:rsid w:val="00A96EEC"/>
    <w:rsid w:val="00AA4621"/>
    <w:rsid w:val="00AB211E"/>
    <w:rsid w:val="00AB3FBB"/>
    <w:rsid w:val="00AB41C7"/>
    <w:rsid w:val="00AB7338"/>
    <w:rsid w:val="00AC3063"/>
    <w:rsid w:val="00AC434D"/>
    <w:rsid w:val="00AD7FED"/>
    <w:rsid w:val="00AE083C"/>
    <w:rsid w:val="00AE0D81"/>
    <w:rsid w:val="00AE0DD5"/>
    <w:rsid w:val="00AE5A5A"/>
    <w:rsid w:val="00AE7AE7"/>
    <w:rsid w:val="00AF1D08"/>
    <w:rsid w:val="00B016F0"/>
    <w:rsid w:val="00B02757"/>
    <w:rsid w:val="00B03588"/>
    <w:rsid w:val="00B10AC2"/>
    <w:rsid w:val="00B11776"/>
    <w:rsid w:val="00B150B5"/>
    <w:rsid w:val="00B2377B"/>
    <w:rsid w:val="00B25493"/>
    <w:rsid w:val="00B26EE8"/>
    <w:rsid w:val="00B27BDD"/>
    <w:rsid w:val="00B320F0"/>
    <w:rsid w:val="00B34193"/>
    <w:rsid w:val="00B35CEE"/>
    <w:rsid w:val="00B3746B"/>
    <w:rsid w:val="00B422E3"/>
    <w:rsid w:val="00B4761B"/>
    <w:rsid w:val="00B51E7E"/>
    <w:rsid w:val="00B55159"/>
    <w:rsid w:val="00B5519D"/>
    <w:rsid w:val="00B612F5"/>
    <w:rsid w:val="00B62591"/>
    <w:rsid w:val="00B635C4"/>
    <w:rsid w:val="00B63855"/>
    <w:rsid w:val="00B701DC"/>
    <w:rsid w:val="00B71374"/>
    <w:rsid w:val="00B7521C"/>
    <w:rsid w:val="00B7524B"/>
    <w:rsid w:val="00B77260"/>
    <w:rsid w:val="00B77663"/>
    <w:rsid w:val="00B835FB"/>
    <w:rsid w:val="00B86C21"/>
    <w:rsid w:val="00B93DF8"/>
    <w:rsid w:val="00B95CE1"/>
    <w:rsid w:val="00BA0446"/>
    <w:rsid w:val="00BA2490"/>
    <w:rsid w:val="00BA55E8"/>
    <w:rsid w:val="00BB06A9"/>
    <w:rsid w:val="00BB1554"/>
    <w:rsid w:val="00BB3DF4"/>
    <w:rsid w:val="00BC037B"/>
    <w:rsid w:val="00BC054C"/>
    <w:rsid w:val="00BC30D0"/>
    <w:rsid w:val="00BC747A"/>
    <w:rsid w:val="00BD0DF7"/>
    <w:rsid w:val="00BD0FDD"/>
    <w:rsid w:val="00BE1195"/>
    <w:rsid w:val="00BE13DD"/>
    <w:rsid w:val="00BE6211"/>
    <w:rsid w:val="00BE6C55"/>
    <w:rsid w:val="00BF2899"/>
    <w:rsid w:val="00C04B39"/>
    <w:rsid w:val="00C05FA4"/>
    <w:rsid w:val="00C06E0A"/>
    <w:rsid w:val="00C07476"/>
    <w:rsid w:val="00C13808"/>
    <w:rsid w:val="00C14620"/>
    <w:rsid w:val="00C16EE4"/>
    <w:rsid w:val="00C25D0C"/>
    <w:rsid w:val="00C264F8"/>
    <w:rsid w:val="00C267CD"/>
    <w:rsid w:val="00C3200F"/>
    <w:rsid w:val="00C32E62"/>
    <w:rsid w:val="00C33FC5"/>
    <w:rsid w:val="00C35D84"/>
    <w:rsid w:val="00C35F60"/>
    <w:rsid w:val="00C402D4"/>
    <w:rsid w:val="00C42EA7"/>
    <w:rsid w:val="00C47AAE"/>
    <w:rsid w:val="00C52EA3"/>
    <w:rsid w:val="00C55BC2"/>
    <w:rsid w:val="00C5792F"/>
    <w:rsid w:val="00C62CE1"/>
    <w:rsid w:val="00C7195A"/>
    <w:rsid w:val="00C743AC"/>
    <w:rsid w:val="00C7575A"/>
    <w:rsid w:val="00C766B0"/>
    <w:rsid w:val="00C834A2"/>
    <w:rsid w:val="00C879D9"/>
    <w:rsid w:val="00C90E02"/>
    <w:rsid w:val="00C94846"/>
    <w:rsid w:val="00C94D29"/>
    <w:rsid w:val="00CA1868"/>
    <w:rsid w:val="00CA3250"/>
    <w:rsid w:val="00CB3EC8"/>
    <w:rsid w:val="00CB4681"/>
    <w:rsid w:val="00CB60CB"/>
    <w:rsid w:val="00CB77A6"/>
    <w:rsid w:val="00CC0353"/>
    <w:rsid w:val="00CC6122"/>
    <w:rsid w:val="00CC61F4"/>
    <w:rsid w:val="00CD12AA"/>
    <w:rsid w:val="00CD4865"/>
    <w:rsid w:val="00CD68E2"/>
    <w:rsid w:val="00CD698C"/>
    <w:rsid w:val="00CE00EB"/>
    <w:rsid w:val="00CE15BD"/>
    <w:rsid w:val="00CE5966"/>
    <w:rsid w:val="00CE792F"/>
    <w:rsid w:val="00CF2D24"/>
    <w:rsid w:val="00CF4300"/>
    <w:rsid w:val="00CF4C69"/>
    <w:rsid w:val="00CF5109"/>
    <w:rsid w:val="00CF52B5"/>
    <w:rsid w:val="00CF72BB"/>
    <w:rsid w:val="00CF78EE"/>
    <w:rsid w:val="00D01409"/>
    <w:rsid w:val="00D1574F"/>
    <w:rsid w:val="00D17908"/>
    <w:rsid w:val="00D206A7"/>
    <w:rsid w:val="00D2686D"/>
    <w:rsid w:val="00D26C0E"/>
    <w:rsid w:val="00D37112"/>
    <w:rsid w:val="00D4058F"/>
    <w:rsid w:val="00D4190A"/>
    <w:rsid w:val="00D45430"/>
    <w:rsid w:val="00D45E47"/>
    <w:rsid w:val="00D46D29"/>
    <w:rsid w:val="00D47BB3"/>
    <w:rsid w:val="00D505AB"/>
    <w:rsid w:val="00D5401D"/>
    <w:rsid w:val="00D542D2"/>
    <w:rsid w:val="00D55368"/>
    <w:rsid w:val="00D579C5"/>
    <w:rsid w:val="00D61B5D"/>
    <w:rsid w:val="00D63393"/>
    <w:rsid w:val="00D704F0"/>
    <w:rsid w:val="00D72EDD"/>
    <w:rsid w:val="00D74CF4"/>
    <w:rsid w:val="00D76476"/>
    <w:rsid w:val="00D8243F"/>
    <w:rsid w:val="00D835EC"/>
    <w:rsid w:val="00D84ECA"/>
    <w:rsid w:val="00D87DE4"/>
    <w:rsid w:val="00D87E57"/>
    <w:rsid w:val="00DA068C"/>
    <w:rsid w:val="00DA09EE"/>
    <w:rsid w:val="00DA3B10"/>
    <w:rsid w:val="00DA3EED"/>
    <w:rsid w:val="00DA4FC3"/>
    <w:rsid w:val="00DB0D2B"/>
    <w:rsid w:val="00DB4346"/>
    <w:rsid w:val="00DB6E7F"/>
    <w:rsid w:val="00DC0C4B"/>
    <w:rsid w:val="00DC117C"/>
    <w:rsid w:val="00DC3BFF"/>
    <w:rsid w:val="00DC7252"/>
    <w:rsid w:val="00DD0905"/>
    <w:rsid w:val="00DD55F2"/>
    <w:rsid w:val="00DE29F2"/>
    <w:rsid w:val="00DE523F"/>
    <w:rsid w:val="00DF0A7F"/>
    <w:rsid w:val="00DF1979"/>
    <w:rsid w:val="00DF6B10"/>
    <w:rsid w:val="00E00CFE"/>
    <w:rsid w:val="00E11137"/>
    <w:rsid w:val="00E14009"/>
    <w:rsid w:val="00E146CD"/>
    <w:rsid w:val="00E15A48"/>
    <w:rsid w:val="00E25861"/>
    <w:rsid w:val="00E25E33"/>
    <w:rsid w:val="00E33116"/>
    <w:rsid w:val="00E332AE"/>
    <w:rsid w:val="00E43E66"/>
    <w:rsid w:val="00E44058"/>
    <w:rsid w:val="00E4631A"/>
    <w:rsid w:val="00E470B9"/>
    <w:rsid w:val="00E471C0"/>
    <w:rsid w:val="00E500EA"/>
    <w:rsid w:val="00E551B9"/>
    <w:rsid w:val="00E56084"/>
    <w:rsid w:val="00E5713D"/>
    <w:rsid w:val="00E638BA"/>
    <w:rsid w:val="00E63D09"/>
    <w:rsid w:val="00E65F79"/>
    <w:rsid w:val="00E66274"/>
    <w:rsid w:val="00E70BC9"/>
    <w:rsid w:val="00E731FB"/>
    <w:rsid w:val="00E73877"/>
    <w:rsid w:val="00E74146"/>
    <w:rsid w:val="00E76D1C"/>
    <w:rsid w:val="00E82823"/>
    <w:rsid w:val="00E837CE"/>
    <w:rsid w:val="00E837FA"/>
    <w:rsid w:val="00E86069"/>
    <w:rsid w:val="00E91923"/>
    <w:rsid w:val="00E92325"/>
    <w:rsid w:val="00EA2B5F"/>
    <w:rsid w:val="00EA3E00"/>
    <w:rsid w:val="00EB04C8"/>
    <w:rsid w:val="00EB2638"/>
    <w:rsid w:val="00EB50E5"/>
    <w:rsid w:val="00EB526C"/>
    <w:rsid w:val="00EB561A"/>
    <w:rsid w:val="00EB7DC5"/>
    <w:rsid w:val="00EC1950"/>
    <w:rsid w:val="00EC2FC2"/>
    <w:rsid w:val="00EC4DAA"/>
    <w:rsid w:val="00EC6405"/>
    <w:rsid w:val="00EC666D"/>
    <w:rsid w:val="00ED0A49"/>
    <w:rsid w:val="00ED14BD"/>
    <w:rsid w:val="00ED78CD"/>
    <w:rsid w:val="00EE2ACD"/>
    <w:rsid w:val="00EE2D6F"/>
    <w:rsid w:val="00EE45A3"/>
    <w:rsid w:val="00EE460B"/>
    <w:rsid w:val="00EE4FD2"/>
    <w:rsid w:val="00EF082B"/>
    <w:rsid w:val="00EF0D5C"/>
    <w:rsid w:val="00EF2257"/>
    <w:rsid w:val="00EF3F94"/>
    <w:rsid w:val="00EF72CB"/>
    <w:rsid w:val="00F01D58"/>
    <w:rsid w:val="00F03D7C"/>
    <w:rsid w:val="00F068FD"/>
    <w:rsid w:val="00F07430"/>
    <w:rsid w:val="00F11FF3"/>
    <w:rsid w:val="00F12FEB"/>
    <w:rsid w:val="00F1327B"/>
    <w:rsid w:val="00F134C2"/>
    <w:rsid w:val="00F14958"/>
    <w:rsid w:val="00F24759"/>
    <w:rsid w:val="00F25FE3"/>
    <w:rsid w:val="00F31412"/>
    <w:rsid w:val="00F31510"/>
    <w:rsid w:val="00F31F2D"/>
    <w:rsid w:val="00F36B1E"/>
    <w:rsid w:val="00F41FC0"/>
    <w:rsid w:val="00F4385C"/>
    <w:rsid w:val="00F476CB"/>
    <w:rsid w:val="00F50D4D"/>
    <w:rsid w:val="00F51E42"/>
    <w:rsid w:val="00F55A91"/>
    <w:rsid w:val="00F56971"/>
    <w:rsid w:val="00F5768D"/>
    <w:rsid w:val="00F673D5"/>
    <w:rsid w:val="00F675AA"/>
    <w:rsid w:val="00F71486"/>
    <w:rsid w:val="00F7246D"/>
    <w:rsid w:val="00F73DB4"/>
    <w:rsid w:val="00F769C5"/>
    <w:rsid w:val="00F86411"/>
    <w:rsid w:val="00F90B16"/>
    <w:rsid w:val="00F93490"/>
    <w:rsid w:val="00F97719"/>
    <w:rsid w:val="00F97F99"/>
    <w:rsid w:val="00FA4693"/>
    <w:rsid w:val="00FA6923"/>
    <w:rsid w:val="00FB2E01"/>
    <w:rsid w:val="00FC2578"/>
    <w:rsid w:val="00FC47EE"/>
    <w:rsid w:val="00FC518C"/>
    <w:rsid w:val="00FD15F4"/>
    <w:rsid w:val="00FD3394"/>
    <w:rsid w:val="00FD3425"/>
    <w:rsid w:val="00FD3BB2"/>
    <w:rsid w:val="00FD4E00"/>
    <w:rsid w:val="00FE19C3"/>
    <w:rsid w:val="00FF0B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AD6B2C"/>
  <w15:docId w15:val="{A28018E7-BA2E-424E-A19B-564D44BB0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8267F1"/>
    <w:rPr>
      <w:color w:val="808080"/>
    </w:rPr>
  </w:style>
  <w:style w:type="paragraph" w:styleId="Revisie">
    <w:name w:val="Revision"/>
    <w:hidden/>
    <w:uiPriority w:val="99"/>
    <w:semiHidden/>
    <w:rsid w:val="00416DB3"/>
    <w:rPr>
      <w:rFonts w:ascii="Univers" w:hAnsi="Univers"/>
      <w:sz w:val="22"/>
      <w:szCs w:val="24"/>
    </w:rPr>
  </w:style>
  <w:style w:type="paragraph" w:styleId="Voetnoottekst">
    <w:name w:val="footnote text"/>
    <w:basedOn w:val="Standaard"/>
    <w:link w:val="VoetnoottekstChar"/>
    <w:uiPriority w:val="99"/>
    <w:semiHidden/>
    <w:unhideWhenUsed/>
    <w:rsid w:val="003A47B6"/>
    <w:rPr>
      <w:sz w:val="20"/>
      <w:szCs w:val="20"/>
    </w:rPr>
  </w:style>
  <w:style w:type="character" w:customStyle="1" w:styleId="VoetnoottekstChar">
    <w:name w:val="Voetnoottekst Char"/>
    <w:basedOn w:val="Standaardalinea-lettertype"/>
    <w:link w:val="Voetnoottekst"/>
    <w:uiPriority w:val="99"/>
    <w:semiHidden/>
    <w:rsid w:val="003A47B6"/>
    <w:rPr>
      <w:rFonts w:ascii="Univers" w:hAnsi="Univers"/>
    </w:rPr>
  </w:style>
  <w:style w:type="character" w:styleId="Voetnootmarkering">
    <w:name w:val="footnote reference"/>
    <w:basedOn w:val="Standaardalinea-lettertype"/>
    <w:uiPriority w:val="99"/>
    <w:semiHidden/>
    <w:unhideWhenUsed/>
    <w:rsid w:val="003A47B6"/>
    <w:rPr>
      <w:vertAlign w:val="superscript"/>
    </w:rPr>
  </w:style>
  <w:style w:type="character" w:styleId="Hyperlink">
    <w:name w:val="Hyperlink"/>
    <w:basedOn w:val="Standaardalinea-lettertype"/>
    <w:uiPriority w:val="99"/>
    <w:unhideWhenUsed/>
    <w:rsid w:val="00E500EA"/>
    <w:rPr>
      <w:color w:val="0000FF"/>
      <w:u w:val="single"/>
    </w:rPr>
  </w:style>
  <w:style w:type="paragraph" w:styleId="Lijstalinea">
    <w:name w:val="List Paragraph"/>
    <w:basedOn w:val="Standaard"/>
    <w:uiPriority w:val="34"/>
    <w:qFormat/>
    <w:rsid w:val="00E86069"/>
    <w:pPr>
      <w:ind w:left="720"/>
      <w:contextualSpacing/>
    </w:pPr>
  </w:style>
  <w:style w:type="character" w:styleId="Verwijzingopmerking">
    <w:name w:val="annotation reference"/>
    <w:basedOn w:val="Standaardalinea-lettertype"/>
    <w:uiPriority w:val="99"/>
    <w:semiHidden/>
    <w:unhideWhenUsed/>
    <w:rsid w:val="00C35D84"/>
    <w:rPr>
      <w:sz w:val="16"/>
      <w:szCs w:val="16"/>
    </w:rPr>
  </w:style>
  <w:style w:type="paragraph" w:styleId="Tekstopmerking">
    <w:name w:val="annotation text"/>
    <w:basedOn w:val="Standaard"/>
    <w:link w:val="TekstopmerkingChar"/>
    <w:uiPriority w:val="99"/>
    <w:unhideWhenUsed/>
    <w:rsid w:val="00C35D84"/>
    <w:rPr>
      <w:sz w:val="20"/>
      <w:szCs w:val="20"/>
    </w:rPr>
  </w:style>
  <w:style w:type="character" w:customStyle="1" w:styleId="TekstopmerkingChar">
    <w:name w:val="Tekst opmerking Char"/>
    <w:basedOn w:val="Standaardalinea-lettertype"/>
    <w:link w:val="Tekstopmerking"/>
    <w:uiPriority w:val="99"/>
    <w:rsid w:val="00C35D84"/>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C35D84"/>
    <w:rPr>
      <w:b/>
      <w:bCs/>
    </w:rPr>
  </w:style>
  <w:style w:type="character" w:customStyle="1" w:styleId="OnderwerpvanopmerkingChar">
    <w:name w:val="Onderwerp van opmerking Char"/>
    <w:basedOn w:val="TekstopmerkingChar"/>
    <w:link w:val="Onderwerpvanopmerking"/>
    <w:uiPriority w:val="99"/>
    <w:semiHidden/>
    <w:rsid w:val="00C35D84"/>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9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gemeen"/>
          <w:gallery w:val="placeholder"/>
        </w:category>
        <w:types>
          <w:type w:val="bbPlcHdr"/>
        </w:types>
        <w:behaviors>
          <w:behavior w:val="content"/>
        </w:behaviors>
        <w:guid w:val="{7D65F044-AFBF-49EB-B8AF-CC88CF1C1767}"/>
      </w:docPartPr>
      <w:docPartBody>
        <w:p w:rsidR="00AF2F72" w:rsidRDefault="00693D0A">
          <w:r w:rsidRPr="00B140DC">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D0A"/>
    <w:rsid w:val="0027262E"/>
    <w:rsid w:val="002D421E"/>
    <w:rsid w:val="00693D0A"/>
    <w:rsid w:val="007F2F14"/>
    <w:rsid w:val="009B1E95"/>
    <w:rsid w:val="00AF2F72"/>
    <w:rsid w:val="00DD0F38"/>
    <w:rsid w:val="00EE27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93D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944</ap:Words>
  <ap:Characters>5828</ap:Characters>
  <ap:DocSecurity>0</ap:DocSecurity>
  <ap:Lines>48</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6759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2023-04-13T10:18:00.0000000Z</lastPrinted>
  <dcterms:created xsi:type="dcterms:W3CDTF">2023-06-22T08:34:00.0000000Z</dcterms:created>
  <dcterms:modified xsi:type="dcterms:W3CDTF">2023-06-22T08:34:00.0000000Z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W13.23.00011/III</vt:lpwstr>
  </property>
  <property fmtid="{D5CDD505-2E9C-101B-9397-08002B2CF9AE}" pid="5" name="zaaktype">
    <vt:lpwstr>WET</vt:lpwstr>
  </property>
  <property fmtid="{D5CDD505-2E9C-101B-9397-08002B2CF9AE}" pid="6" name="ContentTypeId">
    <vt:lpwstr>0x010100FA5A77795FEADA4EA512273036134446002933E6E2013B28448B3366BD63D3C9D9</vt:lpwstr>
  </property>
  <property fmtid="{D5CDD505-2E9C-101B-9397-08002B2CF9AE}" pid="7" name="Bestemming">
    <vt:lpwstr>2;#Corsa|a7721b99-8166-4953-a37e-7c8574fb4b8b</vt:lpwstr>
  </property>
  <property fmtid="{D5CDD505-2E9C-101B-9397-08002B2CF9AE}" pid="8" name="_dlc_DocIdItemGuid">
    <vt:lpwstr>faf2c5c3-cd13-4fbb-87e6-a6cc76e08487</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DocumentSetDescription">
    <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TriggerFlowInfo">
    <vt:lpwstr/>
  </property>
  <property fmtid="{D5CDD505-2E9C-101B-9397-08002B2CF9AE}" pid="17" name="xd_Signature">
    <vt:bool>false</vt:bool>
  </property>
  <property fmtid="{D5CDD505-2E9C-101B-9397-08002B2CF9AE}" pid="18" name="Order">
    <vt:r8>3800</vt:r8>
  </property>
  <property fmtid="{D5CDD505-2E9C-101B-9397-08002B2CF9AE}" pid="19" name="processtap">
    <vt:lpwstr>Advies (ter ondertekening)</vt:lpwstr>
  </property>
</Properties>
</file>