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414131" w:rsidTr="00414131" w14:paraId="36E795B5" w14:textId="77777777">
        <w:sdt>
          <w:sdtPr>
            <w:tag w:val="bmZaakNummerAdvies"/>
            <w:id w:val="808528157"/>
            <w:lock w:val="sdtLocked"/>
            <w:placeholder>
              <w:docPart w:val="DefaultPlaceholder_-1854013440"/>
            </w:placeholder>
          </w:sdtPr>
          <w:sdtEndPr/>
          <w:sdtContent>
            <w:tc>
              <w:tcPr>
                <w:tcW w:w="4251" w:type="dxa"/>
              </w:tcPr>
              <w:p w:rsidR="00414131" w:rsidRDefault="00414131" w14:paraId="436FBCBA" w14:textId="55243F05">
                <w:r>
                  <w:t>No. W06.23.00077/III</w:t>
                </w:r>
              </w:p>
            </w:tc>
          </w:sdtContent>
        </w:sdt>
        <w:sdt>
          <w:sdtPr>
            <w:tag w:val="bmDatumAdvies"/>
            <w:id w:val="641011114"/>
            <w:lock w:val="sdtLocked"/>
            <w:placeholder>
              <w:docPart w:val="DefaultPlaceholder_-1854013440"/>
            </w:placeholder>
          </w:sdtPr>
          <w:sdtEndPr/>
          <w:sdtContent>
            <w:tc>
              <w:tcPr>
                <w:tcW w:w="4252" w:type="dxa"/>
              </w:tcPr>
              <w:p w:rsidR="00414131" w:rsidRDefault="00414131" w14:paraId="30A7F826" w14:textId="5C37E0B3">
                <w:r>
                  <w:t>'s-Gravenhage, 17 mei 2023</w:t>
                </w:r>
              </w:p>
            </w:tc>
          </w:sdtContent>
        </w:sdt>
      </w:tr>
    </w:tbl>
    <w:p w:rsidR="00414131" w:rsidRDefault="00414131" w14:paraId="1B79505B" w14:textId="77777777"/>
    <w:p w:rsidR="00414131" w:rsidRDefault="00414131" w14:paraId="1D44FA88" w14:textId="77777777"/>
    <w:p w:rsidR="00414131" w:rsidRDefault="00414131" w14:paraId="4E832B26" w14:textId="77777777"/>
    <w:sdt>
      <w:sdtPr>
        <w:tag w:val="bmAanhef"/>
        <w:id w:val="-1723215097"/>
        <w:lock w:val="sdtLocked"/>
        <w:placeholder>
          <w:docPart w:val="DefaultPlaceholder_-1854013440"/>
        </w:placeholder>
      </w:sdtPr>
      <w:sdtEndPr/>
      <w:sdtContent>
        <w:p w:rsidR="00414131" w:rsidRDefault="00414131" w14:paraId="1584647D" w14:textId="77777777">
          <w:pPr>
            <w:rPr>
              <w:color w:val="000000"/>
            </w:rPr>
          </w:pPr>
          <w:r>
            <w:rPr>
              <w:color w:val="000000"/>
            </w:rPr>
            <w:t>Bij Kabinetsmissive van 29 maart 2023, no.2023000855, heeft Uwe Majesteit, op voordracht van de Staatssecretaris Fiscaliteit en Belastingdienst, bij de Afdeling advisering van de Raad van State ter overweging aanhangig gemaakt het voorstel van wet houdende Invoering van de Wet minimumbelasting 2024 en enkele wijzigingen in de Algemene wet inzake rijksbelastingen en in de Invorderingswet 1990 in verband met de implementatie van Richtlijn (EU) 2022/2523 van de Raad van 14 december 2022, tot waarborging van een mondiaal minimumniveau van belastingheffing voor groepen van multinationale ondernemingen en omvangrijke binnenlandse groepen in de Unie (PbEU 2022, L 328/1), met memorie van toelichting.</w:t>
          </w:r>
        </w:p>
        <w:p w:rsidR="00414131" w:rsidRDefault="00414131" w14:paraId="5F1BCB7B" w14:textId="77777777">
          <w:pPr>
            <w:rPr>
              <w:color w:val="000000"/>
            </w:rPr>
          </w:pPr>
        </w:p>
        <w:p w:rsidR="00414131" w:rsidRDefault="00414131" w14:paraId="5DBD7DCA" w14:textId="77777777">
          <w:pPr>
            <w:rPr>
              <w:color w:val="000000"/>
            </w:rPr>
          </w:pPr>
          <w:r>
            <w:rPr>
              <w:color w:val="000000"/>
            </w:rPr>
            <w:t>Het wetvoorstel strekt tot implementatie van Richtlijn (EU) 2022/2523 van de Raad van 14 december 2022 tot waarborging van een mondiaal minimumniveau van belastingheffing voor groepen van multinationale ondernemingen en omvangrijke binnenlandse groepen in de Unie (hierna: de richtlijn).Daartoe wordt een nieuwe rijksbelasting geïntroduceerd, de zogenoemde minimumbelasting.</w:t>
          </w:r>
        </w:p>
        <w:p w:rsidR="00414131" w:rsidRDefault="00414131" w14:paraId="22138843" w14:textId="77777777">
          <w:pPr>
            <w:rPr>
              <w:color w:val="000000"/>
            </w:rPr>
          </w:pPr>
        </w:p>
        <w:p w:rsidR="006938F0" w:rsidRDefault="00414131" w14:paraId="627E558A" w14:textId="2318372A">
          <w:r>
            <w:rPr>
              <w:color w:val="000000"/>
            </w:rPr>
            <w:t>De Afdeling advisering van de Raad van State maakt opmerkingen over de inbedding van de voorgestelde rijksbelasting in het geldende stelsel voor rijksbelastingen, alsmede over de verhouding met de voorzieningen inzake wederzijdse bijstand bij de heffing en invordering van belastingen. Tot slot vraagt zij naar de gevolgen van het voorstel voor het beleid inzake de vennootschapsbelasting en het verdragsbeleid. In verband met deze opmerkingen is aanpassing van het wetsvoorstel en de toelichting wenselijk.</w:t>
          </w:r>
        </w:p>
      </w:sdtContent>
    </w:sdt>
    <w:p w:rsidR="006938F0" w:rsidRDefault="006938F0" w14:paraId="627E558B" w14:textId="77777777"/>
    <w:sdt>
      <w:sdtPr>
        <w:tag w:val="bmVrijeTekst1"/>
        <w:id w:val="128068688"/>
        <w:lock w:val="sdtLocked"/>
        <w:placeholder>
          <w:docPart w:val="DefaultPlaceholder_-1854013440"/>
        </w:placeholder>
      </w:sdtPr>
      <w:sdtEndPr/>
      <w:sdtContent>
        <w:p w:rsidRPr="00414131" w:rsidR="003F0557" w:rsidP="00903D30" w:rsidRDefault="003F0557" w14:paraId="2A683A64" w14:textId="43A91932">
          <w:pPr>
            <w:rPr>
              <w:rFonts w:eastAsia="Calibri"/>
              <w:szCs w:val="18"/>
              <w:u w:val="single"/>
            </w:rPr>
          </w:pPr>
          <w:r w:rsidRPr="00DA564C">
            <w:rPr>
              <w:rFonts w:eastAsia="Calibri"/>
              <w:szCs w:val="18"/>
            </w:rPr>
            <w:t>1.</w:t>
          </w:r>
          <w:r w:rsidRPr="00DA564C">
            <w:rPr>
              <w:rFonts w:eastAsia="Calibri"/>
              <w:szCs w:val="18"/>
            </w:rPr>
            <w:tab/>
          </w:r>
          <w:r w:rsidRPr="00414131">
            <w:rPr>
              <w:rFonts w:eastAsia="Calibri"/>
              <w:szCs w:val="18"/>
              <w:u w:val="single"/>
            </w:rPr>
            <w:t>Inleiding</w:t>
          </w:r>
        </w:p>
        <w:p w:rsidR="003F0557" w:rsidP="003F0557" w:rsidRDefault="003F0557" w14:paraId="7B94E085" w14:textId="77777777">
          <w:pPr>
            <w:rPr>
              <w:rFonts w:eastAsia="Calibri"/>
              <w:szCs w:val="18"/>
            </w:rPr>
          </w:pPr>
        </w:p>
        <w:p w:rsidRPr="00EC0157" w:rsidR="003F0557" w:rsidP="00EC0157" w:rsidRDefault="003F0557" w14:paraId="1976587D" w14:textId="2C552D8E">
          <w:pPr>
            <w:rPr>
              <w:rFonts w:eastAsia="Calibri"/>
            </w:rPr>
          </w:pPr>
          <w:r w:rsidRPr="00DA564C">
            <w:rPr>
              <w:rFonts w:eastAsia="Calibri"/>
              <w:szCs w:val="18"/>
            </w:rPr>
            <w:t>a.</w:t>
          </w:r>
          <w:r w:rsidRPr="00DA564C">
            <w:rPr>
              <w:rFonts w:eastAsia="Calibri"/>
              <w:szCs w:val="18"/>
            </w:rPr>
            <w:tab/>
          </w:r>
          <w:r w:rsidRPr="00414131">
            <w:rPr>
              <w:rFonts w:eastAsia="Calibri"/>
              <w:i/>
              <w:iCs/>
            </w:rPr>
            <w:t>Het voorstel</w:t>
          </w:r>
        </w:p>
        <w:p w:rsidRPr="00A14A9D" w:rsidR="003F0557" w:rsidP="003F0557" w:rsidRDefault="003F0557" w14:paraId="248067C3" w14:textId="2A099810">
          <w:pPr>
            <w:rPr>
              <w:rFonts w:eastAsia="Calibri"/>
              <w:szCs w:val="18"/>
            </w:rPr>
          </w:pPr>
          <w:r>
            <w:rPr>
              <w:rFonts w:eastAsia="Calibri"/>
              <w:szCs w:val="18"/>
            </w:rPr>
            <w:t xml:space="preserve">Het wetvoorstel </w:t>
          </w:r>
          <w:r w:rsidRPr="00F148AF">
            <w:rPr>
              <w:rFonts w:eastAsia="Calibri"/>
              <w:szCs w:val="18"/>
            </w:rPr>
            <w:t xml:space="preserve">strekt tot implementatie van </w:t>
          </w:r>
          <w:r w:rsidR="00D21A46">
            <w:rPr>
              <w:rFonts w:eastAsia="Calibri"/>
              <w:szCs w:val="18"/>
            </w:rPr>
            <w:t>de r</w:t>
          </w:r>
          <w:r w:rsidRPr="00F148AF">
            <w:rPr>
              <w:rFonts w:eastAsia="Calibri"/>
            </w:rPr>
            <w:t>ichtlijn</w:t>
          </w:r>
          <w:r w:rsidR="00D21A46">
            <w:rPr>
              <w:rFonts w:eastAsia="Calibri"/>
            </w:rPr>
            <w:t>. Hiermee</w:t>
          </w:r>
          <w:r>
            <w:rPr>
              <w:rFonts w:eastAsia="Calibri"/>
            </w:rPr>
            <w:t xml:space="preserve"> </w:t>
          </w:r>
          <w:r>
            <w:rPr>
              <w:rFonts w:eastAsia="Calibri"/>
              <w:szCs w:val="18"/>
            </w:rPr>
            <w:t>wordt in een afzonderlijke belastingwet een rijksbelasting – de minimumbelasting – ingevoerd om te bewerkstelligen dat multinationale groepen en binnenlandse groepen</w:t>
          </w:r>
          <w:r>
            <w:rPr>
              <w:rStyle w:val="Voetnootmarkering"/>
              <w:rFonts w:eastAsia="Calibri"/>
              <w:szCs w:val="18"/>
            </w:rPr>
            <w:footnoteReference w:id="2"/>
          </w:r>
          <w:r>
            <w:rPr>
              <w:rFonts w:eastAsia="Calibri"/>
              <w:szCs w:val="18"/>
            </w:rPr>
            <w:t xml:space="preserve"> met een omzet van € 750 miljoen of meer ten minste effectief 15% aan belasting over hun winst betalen. Het wetsvoorstel voorziet in een bijheffing als te weinig winstbelasting is betaald. De </w:t>
          </w:r>
          <w:r w:rsidRPr="00F148AF">
            <w:rPr>
              <w:rFonts w:eastAsia="Calibri"/>
            </w:rPr>
            <w:t xml:space="preserve">minimumbelasting </w:t>
          </w:r>
          <w:r>
            <w:rPr>
              <w:rFonts w:eastAsia="Calibri"/>
            </w:rPr>
            <w:t xml:space="preserve">wordt </w:t>
          </w:r>
          <w:r w:rsidRPr="00F148AF">
            <w:rPr>
              <w:rFonts w:eastAsia="Calibri"/>
            </w:rPr>
            <w:t xml:space="preserve">geheven van in Nederland gevestigde entiteiten van </w:t>
          </w:r>
          <w:r>
            <w:rPr>
              <w:rFonts w:eastAsia="Calibri"/>
            </w:rPr>
            <w:t>een</w:t>
          </w:r>
          <w:r w:rsidRPr="00F148AF">
            <w:rPr>
              <w:rFonts w:eastAsia="Calibri"/>
            </w:rPr>
            <w:t xml:space="preserve"> multinationale groep of </w:t>
          </w:r>
          <w:r>
            <w:rPr>
              <w:rFonts w:eastAsia="Calibri"/>
            </w:rPr>
            <w:t>een</w:t>
          </w:r>
          <w:r w:rsidRPr="00F148AF">
            <w:rPr>
              <w:rFonts w:eastAsia="Calibri"/>
            </w:rPr>
            <w:t xml:space="preserve"> binnenlandse groep. Als het effectieve belastingtarief lager is dan het minimumbelastingtarief</w:t>
          </w:r>
          <w:r>
            <w:rPr>
              <w:rFonts w:eastAsia="Calibri"/>
            </w:rPr>
            <w:t xml:space="preserve"> van 15%</w:t>
          </w:r>
          <w:r w:rsidRPr="00F148AF">
            <w:rPr>
              <w:rFonts w:eastAsia="Calibri"/>
            </w:rPr>
            <w:t xml:space="preserve"> wordt het verschil bijgeheven door toepassing van de </w:t>
          </w:r>
          <w:r>
            <w:rPr>
              <w:rFonts w:eastAsia="Calibri"/>
            </w:rPr>
            <w:t xml:space="preserve">zogenoemde </w:t>
          </w:r>
          <w:r w:rsidRPr="00F148AF">
            <w:rPr>
              <w:rFonts w:eastAsia="Calibri"/>
            </w:rPr>
            <w:t>kwalificerende binnenlandse bijheffing, de inkomen-inclusie</w:t>
          </w:r>
          <w:r w:rsidR="007F6247">
            <w:rPr>
              <w:rFonts w:eastAsia="Calibri"/>
            </w:rPr>
            <w:t>bijheffing</w:t>
          </w:r>
          <w:r w:rsidRPr="00F148AF">
            <w:rPr>
              <w:rFonts w:eastAsia="Calibri"/>
            </w:rPr>
            <w:t xml:space="preserve"> of de </w:t>
          </w:r>
          <w:r w:rsidRPr="00F148AF">
            <w:rPr>
              <w:rFonts w:eastAsia="Calibri"/>
            </w:rPr>
            <w:lastRenderedPageBreak/>
            <w:t>onderbelastewinst</w:t>
          </w:r>
          <w:r w:rsidR="007F6247">
            <w:rPr>
              <w:rFonts w:eastAsia="Calibri"/>
            </w:rPr>
            <w:t>bijheffing</w:t>
          </w:r>
          <w:r w:rsidRPr="00F148AF">
            <w:rPr>
              <w:rFonts w:eastAsia="Calibri"/>
            </w:rPr>
            <w:t>.</w:t>
          </w:r>
          <w:r w:rsidR="00263A04">
            <w:rPr>
              <w:rStyle w:val="Voetnootmarkering"/>
              <w:rFonts w:eastAsia="Calibri"/>
            </w:rPr>
            <w:footnoteReference w:id="3"/>
          </w:r>
          <w:r>
            <w:rPr>
              <w:rFonts w:eastAsia="Calibri"/>
            </w:rPr>
            <w:t xml:space="preserve"> </w:t>
          </w:r>
          <w:r w:rsidRPr="00A14A9D">
            <w:rPr>
              <w:rFonts w:eastAsia="Calibri"/>
              <w:szCs w:val="18"/>
            </w:rPr>
            <w:t>De te weinig geheven winstbelasting wordt bepaald door het bijheffingspercentage</w:t>
          </w:r>
          <w:r>
            <w:rPr>
              <w:rFonts w:eastAsia="Calibri"/>
              <w:szCs w:val="18"/>
            </w:rPr>
            <w:t xml:space="preserve"> – </w:t>
          </w:r>
          <w:r w:rsidRPr="00A14A9D">
            <w:rPr>
              <w:rFonts w:eastAsia="Calibri"/>
              <w:szCs w:val="18"/>
            </w:rPr>
            <w:t xml:space="preserve">de som van het minimumbelastingtarief </w:t>
          </w:r>
          <w:r>
            <w:rPr>
              <w:rFonts w:eastAsia="Calibri"/>
              <w:szCs w:val="18"/>
            </w:rPr>
            <w:t xml:space="preserve">verminderd met </w:t>
          </w:r>
          <w:r w:rsidRPr="00A14A9D">
            <w:rPr>
              <w:rFonts w:eastAsia="Calibri"/>
              <w:szCs w:val="18"/>
            </w:rPr>
            <w:t>het effectieve belastingtarief</w:t>
          </w:r>
          <w:r>
            <w:rPr>
              <w:rFonts w:eastAsia="Calibri"/>
              <w:szCs w:val="18"/>
            </w:rPr>
            <w:t xml:space="preserve"> – </w:t>
          </w:r>
          <w:r w:rsidRPr="00A14A9D">
            <w:rPr>
              <w:rFonts w:eastAsia="Calibri"/>
              <w:szCs w:val="18"/>
            </w:rPr>
            <w:t>te vermenigvuldigen met de grondslag</w:t>
          </w:r>
          <w:r w:rsidR="00A866A7">
            <w:rPr>
              <w:rFonts w:eastAsia="Calibri"/>
              <w:szCs w:val="18"/>
            </w:rPr>
            <w:t>,</w:t>
          </w:r>
          <w:r>
            <w:rPr>
              <w:rFonts w:eastAsia="Calibri"/>
              <w:szCs w:val="18"/>
            </w:rPr>
            <w:t xml:space="preserve"> </w:t>
          </w:r>
          <w:r w:rsidRPr="00A14A9D">
            <w:rPr>
              <w:rFonts w:eastAsia="Calibri"/>
              <w:szCs w:val="18"/>
            </w:rPr>
            <w:t xml:space="preserve">de zogenoemde overwinst. </w:t>
          </w:r>
        </w:p>
        <w:p w:rsidR="003F0557" w:rsidP="003F0557" w:rsidRDefault="003F0557" w14:paraId="6D195750" w14:textId="77777777">
          <w:pPr>
            <w:rPr>
              <w:rFonts w:eastAsia="Calibri"/>
              <w:szCs w:val="18"/>
            </w:rPr>
          </w:pPr>
        </w:p>
        <w:p w:rsidRPr="00337D40" w:rsidR="003F0557" w:rsidP="003F0557" w:rsidRDefault="003F0557" w14:paraId="0037901A" w14:textId="77777777">
          <w:pPr>
            <w:rPr>
              <w:rFonts w:eastAsia="Calibri"/>
              <w:i/>
              <w:iCs/>
              <w:szCs w:val="18"/>
            </w:rPr>
          </w:pPr>
          <w:r>
            <w:rPr>
              <w:rFonts w:eastAsia="Calibri"/>
              <w:szCs w:val="18"/>
            </w:rPr>
            <w:t>b.</w:t>
          </w:r>
          <w:r>
            <w:rPr>
              <w:rFonts w:eastAsia="Calibri"/>
              <w:szCs w:val="18"/>
            </w:rPr>
            <w:tab/>
          </w:r>
          <w:r w:rsidRPr="00337D40">
            <w:rPr>
              <w:rFonts w:eastAsia="Calibri"/>
              <w:i/>
              <w:iCs/>
              <w:szCs w:val="18"/>
            </w:rPr>
            <w:t>Internationale context</w:t>
          </w:r>
        </w:p>
        <w:p w:rsidR="003F0557" w:rsidP="003F0557" w:rsidRDefault="003F0557" w14:paraId="6E9FE89E" w14:textId="688F1E85">
          <w:pPr>
            <w:rPr>
              <w:rFonts w:eastAsia="Calibri"/>
              <w:szCs w:val="18"/>
            </w:rPr>
          </w:pPr>
          <w:r>
            <w:rPr>
              <w:rFonts w:eastAsia="Calibri"/>
              <w:szCs w:val="18"/>
            </w:rPr>
            <w:t xml:space="preserve">In </w:t>
          </w:r>
          <w:r w:rsidR="00DA1F5C">
            <w:rPr>
              <w:rFonts w:eastAsia="Calibri"/>
              <w:szCs w:val="18"/>
            </w:rPr>
            <w:t>oktober 2021 he</w:t>
          </w:r>
          <w:r w:rsidR="00C72529">
            <w:rPr>
              <w:rFonts w:eastAsia="Calibri"/>
              <w:szCs w:val="18"/>
            </w:rPr>
            <w:t>eft een groot aantal</w:t>
          </w:r>
          <w:r w:rsidR="00DA1F5C">
            <w:rPr>
              <w:rFonts w:eastAsia="Calibri"/>
              <w:szCs w:val="18"/>
            </w:rPr>
            <w:t xml:space="preserve"> landen, waaronder Nederland, binnen het door de </w:t>
          </w:r>
          <w:r w:rsidRPr="006C2D18" w:rsidR="006C2D18">
            <w:rPr>
              <w:rFonts w:eastAsia="Calibri"/>
              <w:szCs w:val="18"/>
            </w:rPr>
            <w:t xml:space="preserve">Organisatie voor Economische Samenwerking en Ontwikkeling </w:t>
          </w:r>
          <w:r w:rsidR="006C2D18">
            <w:rPr>
              <w:rFonts w:eastAsia="Calibri"/>
              <w:szCs w:val="18"/>
            </w:rPr>
            <w:t>(OESO) georganiseerde</w:t>
          </w:r>
          <w:r w:rsidR="000777BB">
            <w:rPr>
              <w:rFonts w:eastAsia="Calibri"/>
              <w:szCs w:val="18"/>
            </w:rPr>
            <w:t xml:space="preserve"> </w:t>
          </w:r>
          <w:r w:rsidRPr="000777BB" w:rsidR="000777BB">
            <w:rPr>
              <w:rFonts w:eastAsia="Calibri"/>
              <w:szCs w:val="18"/>
            </w:rPr>
            <w:t>Inclusive Framework</w:t>
          </w:r>
          <w:r w:rsidR="000777BB">
            <w:rPr>
              <w:rFonts w:eastAsia="Calibri"/>
              <w:szCs w:val="18"/>
            </w:rPr>
            <w:t xml:space="preserve"> (IF)</w:t>
          </w:r>
          <w:r w:rsidR="000777BB">
            <w:rPr>
              <w:rStyle w:val="Voetnootmarkering"/>
              <w:rFonts w:eastAsia="Calibri"/>
              <w:szCs w:val="18"/>
            </w:rPr>
            <w:footnoteReference w:id="4"/>
          </w:r>
          <w:r w:rsidRPr="000777BB" w:rsidR="000777BB">
            <w:rPr>
              <w:rFonts w:eastAsia="Calibri"/>
              <w:szCs w:val="18"/>
            </w:rPr>
            <w:t xml:space="preserve"> </w:t>
          </w:r>
          <w:r w:rsidR="002E5C8C">
            <w:rPr>
              <w:rFonts w:eastAsia="Calibri"/>
              <w:szCs w:val="18"/>
            </w:rPr>
            <w:t>politieke overeenstemming bereikt over onder meer de zogenoemde Pijler 2. Doel van Pijler 2 is</w:t>
          </w:r>
          <w:r w:rsidDel="00BB0BF6">
            <w:rPr>
              <w:rFonts w:eastAsia="Calibri"/>
              <w:szCs w:val="18"/>
            </w:rPr>
            <w:t xml:space="preserve"> </w:t>
          </w:r>
          <w:r>
            <w:rPr>
              <w:rFonts w:eastAsia="Calibri"/>
              <w:szCs w:val="18"/>
            </w:rPr>
            <w:t xml:space="preserve">om te komen tot een </w:t>
          </w:r>
          <w:r w:rsidRPr="00F148AF">
            <w:rPr>
              <w:rFonts w:eastAsia="Calibri"/>
              <w:szCs w:val="18"/>
            </w:rPr>
            <w:t xml:space="preserve">mondiaal minimumniveau van belastingheffing voor </w:t>
          </w:r>
          <w:r w:rsidR="00BB0BF6">
            <w:rPr>
              <w:rFonts w:eastAsia="Calibri"/>
              <w:szCs w:val="18"/>
            </w:rPr>
            <w:t xml:space="preserve">grote </w:t>
          </w:r>
          <w:r w:rsidRPr="00F148AF">
            <w:rPr>
              <w:rFonts w:eastAsia="Calibri"/>
              <w:szCs w:val="18"/>
            </w:rPr>
            <w:t>multinationale groepen</w:t>
          </w:r>
          <w:r>
            <w:rPr>
              <w:rFonts w:eastAsia="Calibri"/>
              <w:szCs w:val="18"/>
            </w:rPr>
            <w:t xml:space="preserve">. Daarmee wordt beoogd </w:t>
          </w:r>
          <w:r w:rsidRPr="00F148AF">
            <w:rPr>
              <w:rFonts w:eastAsia="Calibri"/>
              <w:szCs w:val="18"/>
            </w:rPr>
            <w:t xml:space="preserve">belastingconcurrentie </w:t>
          </w:r>
          <w:r w:rsidR="00BB0BF6">
            <w:rPr>
              <w:rFonts w:eastAsia="Calibri"/>
              <w:szCs w:val="18"/>
            </w:rPr>
            <w:t xml:space="preserve">tussen landen </w:t>
          </w:r>
          <w:r w:rsidRPr="00F148AF">
            <w:rPr>
              <w:rFonts w:eastAsia="Calibri"/>
              <w:szCs w:val="18"/>
            </w:rPr>
            <w:t xml:space="preserve">en </w:t>
          </w:r>
          <w:r w:rsidR="00BB0BF6">
            <w:rPr>
              <w:rFonts w:eastAsia="Calibri"/>
              <w:szCs w:val="18"/>
            </w:rPr>
            <w:t xml:space="preserve">daardoor veroorzaakte </w:t>
          </w:r>
          <w:r w:rsidRPr="00F148AF">
            <w:rPr>
              <w:rFonts w:eastAsia="Calibri"/>
              <w:szCs w:val="18"/>
            </w:rPr>
            <w:t xml:space="preserve">belastingontwijking </w:t>
          </w:r>
          <w:r w:rsidR="00BB0BF6">
            <w:rPr>
              <w:rFonts w:eastAsia="Calibri"/>
              <w:szCs w:val="18"/>
            </w:rPr>
            <w:t xml:space="preserve">door grote bedrijven </w:t>
          </w:r>
          <w:r w:rsidRPr="00F148AF">
            <w:rPr>
              <w:rFonts w:eastAsia="Calibri"/>
              <w:szCs w:val="18"/>
            </w:rPr>
            <w:t>te beperken</w:t>
          </w:r>
          <w:r w:rsidR="00D86D65">
            <w:rPr>
              <w:rFonts w:eastAsia="Calibri"/>
              <w:szCs w:val="18"/>
            </w:rPr>
            <w:t xml:space="preserve"> </w:t>
          </w:r>
          <w:r>
            <w:rPr>
              <w:rFonts w:eastAsia="Calibri"/>
              <w:szCs w:val="18"/>
            </w:rPr>
            <w:t xml:space="preserve">en een gelijker speelveld te creëren voor internationaal opererende bedrijven. </w:t>
          </w:r>
        </w:p>
        <w:p w:rsidR="003F0557" w:rsidP="003F0557" w:rsidRDefault="003F0557" w14:paraId="07ABF7EE" w14:textId="77777777">
          <w:pPr>
            <w:rPr>
              <w:rFonts w:eastAsia="Calibri"/>
              <w:szCs w:val="18"/>
            </w:rPr>
          </w:pPr>
        </w:p>
        <w:p w:rsidR="003F0557" w:rsidP="003F0557" w:rsidRDefault="00E10537" w14:paraId="6B5310FE" w14:textId="19DCF712">
          <w:pPr>
            <w:rPr>
              <w:rFonts w:eastAsia="Calibri"/>
              <w:szCs w:val="18"/>
            </w:rPr>
          </w:pPr>
          <w:r>
            <w:rPr>
              <w:rFonts w:eastAsia="Calibri"/>
              <w:szCs w:val="18"/>
            </w:rPr>
            <w:t>In december 2021 heeft de OESO Pijler 2-</w:t>
          </w:r>
          <w:r w:rsidR="003F0557">
            <w:rPr>
              <w:rFonts w:eastAsia="Calibri"/>
              <w:szCs w:val="18"/>
            </w:rPr>
            <w:t>model</w:t>
          </w:r>
          <w:r w:rsidR="00C174E8">
            <w:rPr>
              <w:rFonts w:eastAsia="Calibri"/>
              <w:szCs w:val="18"/>
            </w:rPr>
            <w:t>regels</w:t>
          </w:r>
          <w:r w:rsidR="003F0557">
            <w:rPr>
              <w:rFonts w:eastAsia="Calibri"/>
              <w:szCs w:val="18"/>
            </w:rPr>
            <w:t xml:space="preserve"> gepubliceerd waarmee de deelnemende staten het zogenoemde Pijler 2-akkoord in hun nationale wetgeving kunnen omzetten.</w:t>
          </w:r>
          <w:r w:rsidR="00525D59">
            <w:rPr>
              <w:rStyle w:val="Voetnootmarkering"/>
              <w:rFonts w:eastAsia="Calibri"/>
              <w:szCs w:val="18"/>
            </w:rPr>
            <w:footnoteReference w:id="5"/>
          </w:r>
          <w:r w:rsidR="003F0557">
            <w:rPr>
              <w:rFonts w:eastAsia="Calibri"/>
              <w:szCs w:val="18"/>
            </w:rPr>
            <w:t xml:space="preserve"> </w:t>
          </w:r>
          <w:r w:rsidR="008E63C9">
            <w:rPr>
              <w:rFonts w:eastAsia="Calibri"/>
              <w:szCs w:val="18"/>
            </w:rPr>
            <w:t xml:space="preserve">De OESO </w:t>
          </w:r>
          <w:r w:rsidR="008E29A4">
            <w:rPr>
              <w:rFonts w:eastAsia="Calibri"/>
              <w:szCs w:val="18"/>
            </w:rPr>
            <w:t xml:space="preserve">geeft </w:t>
          </w:r>
          <w:r w:rsidR="008E63C9">
            <w:rPr>
              <w:rFonts w:eastAsia="Calibri"/>
              <w:szCs w:val="18"/>
            </w:rPr>
            <w:t xml:space="preserve">hier </w:t>
          </w:r>
          <w:r w:rsidR="00587136">
            <w:rPr>
              <w:rFonts w:eastAsia="Calibri"/>
              <w:szCs w:val="18"/>
            </w:rPr>
            <w:t xml:space="preserve">een </w:t>
          </w:r>
          <w:r w:rsidR="008E63C9">
            <w:rPr>
              <w:rFonts w:eastAsia="Calibri"/>
              <w:szCs w:val="18"/>
            </w:rPr>
            <w:t>verdere uitwerking aan in reeds gepubliceerde en nog te publiceren</w:t>
          </w:r>
          <w:r w:rsidR="008B2149">
            <w:rPr>
              <w:rFonts w:eastAsia="Calibri"/>
              <w:szCs w:val="18"/>
            </w:rPr>
            <w:t xml:space="preserve"> </w:t>
          </w:r>
          <w:r w:rsidRPr="008B2149" w:rsidR="008B2149">
            <w:rPr>
              <w:rFonts w:eastAsia="Calibri"/>
              <w:i/>
              <w:iCs/>
              <w:szCs w:val="18"/>
            </w:rPr>
            <w:t>administrative guidance</w:t>
          </w:r>
          <w:r w:rsidR="008B2149">
            <w:rPr>
              <w:rFonts w:eastAsia="Calibri"/>
              <w:szCs w:val="18"/>
            </w:rPr>
            <w:t xml:space="preserve"> (hierna: richtsnoeren). </w:t>
          </w:r>
          <w:r w:rsidR="007160F3">
            <w:rPr>
              <w:rFonts w:eastAsia="Calibri"/>
              <w:szCs w:val="18"/>
            </w:rPr>
            <w:t>De</w:t>
          </w:r>
          <w:r w:rsidDel="00701D86" w:rsidR="003F0557">
            <w:rPr>
              <w:rFonts w:eastAsia="Calibri"/>
              <w:szCs w:val="18"/>
            </w:rPr>
            <w:t xml:space="preserve"> </w:t>
          </w:r>
          <w:r w:rsidR="003F0557">
            <w:rPr>
              <w:rFonts w:eastAsia="Calibri"/>
              <w:szCs w:val="18"/>
            </w:rPr>
            <w:t xml:space="preserve">staten die het IF-akkoord onderschrijven </w:t>
          </w:r>
          <w:r w:rsidR="00701D86">
            <w:rPr>
              <w:rFonts w:eastAsia="Calibri"/>
              <w:szCs w:val="18"/>
            </w:rPr>
            <w:t>kunnen</w:t>
          </w:r>
          <w:r w:rsidR="003F0557">
            <w:rPr>
              <w:rFonts w:eastAsia="Calibri"/>
              <w:szCs w:val="18"/>
            </w:rPr>
            <w:t xml:space="preserve"> niet </w:t>
          </w:r>
          <w:r w:rsidR="00701D86">
            <w:rPr>
              <w:rFonts w:eastAsia="Calibri"/>
              <w:szCs w:val="18"/>
            </w:rPr>
            <w:t xml:space="preserve">worden </w:t>
          </w:r>
          <w:r w:rsidR="003F0557">
            <w:rPr>
              <w:rFonts w:eastAsia="Calibri"/>
              <w:szCs w:val="18"/>
            </w:rPr>
            <w:t>verplicht om de OESO-modelregels te implementeren</w:t>
          </w:r>
          <w:r w:rsidR="00701D86">
            <w:rPr>
              <w:rFonts w:eastAsia="Calibri"/>
              <w:szCs w:val="18"/>
            </w:rPr>
            <w:t>. Diverse landen</w:t>
          </w:r>
          <w:r w:rsidR="00443293">
            <w:rPr>
              <w:rFonts w:eastAsia="Calibri"/>
              <w:szCs w:val="18"/>
            </w:rPr>
            <w:t xml:space="preserve">, </w:t>
          </w:r>
          <w:r w:rsidR="00DA564C">
            <w:rPr>
              <w:rFonts w:eastAsia="Calibri"/>
              <w:szCs w:val="18"/>
            </w:rPr>
            <w:t xml:space="preserve">in het bijzonder </w:t>
          </w:r>
          <w:r w:rsidR="00443293">
            <w:rPr>
              <w:rFonts w:eastAsia="Calibri"/>
              <w:szCs w:val="18"/>
            </w:rPr>
            <w:t>buiten de groep van G-20 landen, hebben nog geen stappen gezet ten aanzien van de Pijler 2-implementatie</w:t>
          </w:r>
          <w:r w:rsidR="005A3AC5">
            <w:rPr>
              <w:rFonts w:eastAsia="Calibri"/>
              <w:szCs w:val="18"/>
            </w:rPr>
            <w:t>.</w:t>
          </w:r>
          <w:r w:rsidR="005A3AC5">
            <w:rPr>
              <w:rStyle w:val="Voetnootmarkering"/>
              <w:rFonts w:eastAsia="Calibri"/>
              <w:szCs w:val="18"/>
            </w:rPr>
            <w:footnoteReference w:id="6"/>
          </w:r>
          <w:r w:rsidR="005A3AC5">
            <w:rPr>
              <w:rFonts w:eastAsia="Calibri"/>
              <w:szCs w:val="18"/>
            </w:rPr>
            <w:t xml:space="preserve"> </w:t>
          </w:r>
          <w:r w:rsidR="00AA3D28">
            <w:rPr>
              <w:rFonts w:eastAsia="Calibri"/>
              <w:szCs w:val="18"/>
            </w:rPr>
            <w:t xml:space="preserve">Wel worden ze geacht </w:t>
          </w:r>
          <w:r w:rsidR="003F0557">
            <w:rPr>
              <w:rFonts w:eastAsia="Calibri"/>
              <w:szCs w:val="18"/>
            </w:rPr>
            <w:t>te accepteren dat andere staten kunnen bijheffen over in hun staat gevestigde laagbelaste groepsentiteiten. Als een deelnemende staat de regels implementeert</w:t>
          </w:r>
          <w:r w:rsidR="00EA0E8F">
            <w:rPr>
              <w:rFonts w:eastAsia="Calibri"/>
              <w:szCs w:val="18"/>
            </w:rPr>
            <w:t>,</w:t>
          </w:r>
          <w:r w:rsidR="003F0557">
            <w:rPr>
              <w:rFonts w:eastAsia="Calibri"/>
              <w:szCs w:val="18"/>
            </w:rPr>
            <w:t xml:space="preserve"> </w:t>
          </w:r>
          <w:r w:rsidR="0098093D">
            <w:rPr>
              <w:rFonts w:eastAsia="Calibri"/>
              <w:szCs w:val="18"/>
            </w:rPr>
            <w:t>wordt deze geacht</w:t>
          </w:r>
          <w:r w:rsidR="00DB1273">
            <w:rPr>
              <w:rFonts w:eastAsia="Calibri"/>
              <w:szCs w:val="18"/>
            </w:rPr>
            <w:t xml:space="preserve"> </w:t>
          </w:r>
          <w:r w:rsidR="003F0557">
            <w:rPr>
              <w:rFonts w:eastAsia="Calibri"/>
              <w:szCs w:val="18"/>
            </w:rPr>
            <w:t>de regels consistent met de OESO-modelregels</w:t>
          </w:r>
          <w:r w:rsidR="00190965">
            <w:rPr>
              <w:rFonts w:eastAsia="Calibri"/>
              <w:szCs w:val="18"/>
            </w:rPr>
            <w:t xml:space="preserve"> en richtsnoeren te implementeren en uit te voeren</w:t>
          </w:r>
          <w:r w:rsidR="003F0557">
            <w:rPr>
              <w:rFonts w:eastAsia="Calibri"/>
              <w:szCs w:val="18"/>
            </w:rPr>
            <w:t xml:space="preserve">. </w:t>
          </w:r>
        </w:p>
        <w:p w:rsidR="003F0557" w:rsidP="003F0557" w:rsidRDefault="003F0557" w14:paraId="6CBFCE91" w14:textId="77777777">
          <w:pPr>
            <w:rPr>
              <w:rFonts w:eastAsia="Calibri"/>
              <w:szCs w:val="18"/>
            </w:rPr>
          </w:pPr>
        </w:p>
        <w:p w:rsidR="003F0557" w:rsidP="003F0557" w:rsidRDefault="003F0557" w14:paraId="156478E7" w14:textId="5834B1D7">
          <w:pPr>
            <w:rPr>
              <w:rFonts w:eastAsia="Calibri"/>
              <w:szCs w:val="18"/>
            </w:rPr>
          </w:pPr>
          <w:r>
            <w:rPr>
              <w:rFonts w:eastAsia="Calibri"/>
              <w:szCs w:val="18"/>
            </w:rPr>
            <w:lastRenderedPageBreak/>
            <w:t xml:space="preserve">Om ervoor te zorgen dat de Pijler 2-maatregelen binnen de Europese Unie op dezelfde wijze in nationale wetgeving worden omgezet en om strijd met </w:t>
          </w:r>
          <w:r w:rsidR="001D3660">
            <w:rPr>
              <w:rFonts w:eastAsia="Calibri"/>
              <w:szCs w:val="18"/>
            </w:rPr>
            <w:t>het</w:t>
          </w:r>
          <w:r w:rsidR="003E2A7E">
            <w:rPr>
              <w:rFonts w:eastAsia="Calibri"/>
              <w:szCs w:val="18"/>
            </w:rPr>
            <w:t xml:space="preserve"> </w:t>
          </w:r>
          <w:r w:rsidR="004935B3">
            <w:rPr>
              <w:rFonts w:eastAsia="Calibri"/>
              <w:szCs w:val="18"/>
            </w:rPr>
            <w:t>Unie</w:t>
          </w:r>
          <w:r>
            <w:rPr>
              <w:rFonts w:eastAsia="Calibri"/>
              <w:szCs w:val="18"/>
            </w:rPr>
            <w:t xml:space="preserve">recht te voorkomen is op 14 december 2022 </w:t>
          </w:r>
          <w:r w:rsidR="00A60F35">
            <w:rPr>
              <w:rFonts w:eastAsia="Calibri"/>
              <w:szCs w:val="18"/>
            </w:rPr>
            <w:t>R</w:t>
          </w:r>
          <w:r>
            <w:rPr>
              <w:rFonts w:eastAsia="Calibri"/>
              <w:szCs w:val="18"/>
            </w:rPr>
            <w:t>ichtlijn</w:t>
          </w:r>
          <w:r w:rsidR="00242805">
            <w:rPr>
              <w:rFonts w:eastAsia="Calibri"/>
              <w:szCs w:val="18"/>
            </w:rPr>
            <w:t xml:space="preserve"> (EU) 2022/2523</w:t>
          </w:r>
          <w:r>
            <w:rPr>
              <w:rFonts w:eastAsia="Calibri"/>
              <w:szCs w:val="18"/>
            </w:rPr>
            <w:t xml:space="preserve"> vastgesteld. </w:t>
          </w:r>
          <w:r w:rsidR="007F27A3">
            <w:rPr>
              <w:rFonts w:eastAsia="Calibri"/>
              <w:szCs w:val="18"/>
            </w:rPr>
            <w:t>De richtlijn sluit v</w:t>
          </w:r>
          <w:r>
            <w:rPr>
              <w:rFonts w:eastAsia="Calibri"/>
              <w:szCs w:val="18"/>
            </w:rPr>
            <w:t xml:space="preserve">oor de uitwerking en interpretatie aan </w:t>
          </w:r>
          <w:r w:rsidR="007F27A3">
            <w:rPr>
              <w:rFonts w:eastAsia="Calibri"/>
              <w:szCs w:val="18"/>
            </w:rPr>
            <w:t xml:space="preserve">bij </w:t>
          </w:r>
          <w:r>
            <w:rPr>
              <w:rFonts w:eastAsia="Calibri"/>
              <w:szCs w:val="18"/>
            </w:rPr>
            <w:t>en verw</w:t>
          </w:r>
          <w:r w:rsidR="007F27A3">
            <w:rPr>
              <w:rFonts w:eastAsia="Calibri"/>
              <w:szCs w:val="18"/>
            </w:rPr>
            <w:t>ijst</w:t>
          </w:r>
          <w:r>
            <w:rPr>
              <w:rFonts w:eastAsia="Calibri"/>
              <w:szCs w:val="18"/>
            </w:rPr>
            <w:t xml:space="preserve"> naar de </w:t>
          </w:r>
          <w:r w:rsidR="007F27A3">
            <w:rPr>
              <w:rFonts w:eastAsia="Calibri"/>
              <w:szCs w:val="18"/>
            </w:rPr>
            <w:t>IF-</w:t>
          </w:r>
          <w:r>
            <w:rPr>
              <w:rFonts w:eastAsia="Calibri"/>
              <w:szCs w:val="18"/>
            </w:rPr>
            <w:t xml:space="preserve">afspraken </w:t>
          </w:r>
          <w:r w:rsidR="00DF1937">
            <w:rPr>
              <w:rFonts w:eastAsia="Calibri"/>
              <w:szCs w:val="18"/>
            </w:rPr>
            <w:t xml:space="preserve">en OESO-modelregels </w:t>
          </w:r>
          <w:r>
            <w:rPr>
              <w:rFonts w:eastAsia="Calibri"/>
              <w:szCs w:val="18"/>
            </w:rPr>
            <w:t xml:space="preserve">en </w:t>
          </w:r>
          <w:r w:rsidR="00013E7A">
            <w:rPr>
              <w:rFonts w:eastAsia="Calibri"/>
              <w:szCs w:val="18"/>
            </w:rPr>
            <w:t xml:space="preserve">de nadere </w:t>
          </w:r>
          <w:r>
            <w:rPr>
              <w:rFonts w:eastAsia="Calibri"/>
              <w:szCs w:val="18"/>
            </w:rPr>
            <w:t>uitwerk</w:t>
          </w:r>
          <w:r w:rsidR="00013E7A">
            <w:rPr>
              <w:rFonts w:eastAsia="Calibri"/>
              <w:szCs w:val="18"/>
            </w:rPr>
            <w:t>ing daarvan in OESO-richtsnoeren</w:t>
          </w:r>
          <w:r>
            <w:rPr>
              <w:rFonts w:eastAsia="Calibri"/>
              <w:szCs w:val="18"/>
            </w:rPr>
            <w:t xml:space="preserve">. </w:t>
          </w:r>
          <w:r w:rsidDel="005B3429">
            <w:rPr>
              <w:rFonts w:eastAsia="Calibri"/>
              <w:szCs w:val="18"/>
            </w:rPr>
            <w:t xml:space="preserve">Om strijd met </w:t>
          </w:r>
          <w:r w:rsidR="00242805">
            <w:rPr>
              <w:rFonts w:eastAsia="Calibri"/>
              <w:szCs w:val="18"/>
            </w:rPr>
            <w:t>het Unie</w:t>
          </w:r>
          <w:r w:rsidDel="005B3429">
            <w:rPr>
              <w:rFonts w:eastAsia="Calibri"/>
              <w:szCs w:val="18"/>
            </w:rPr>
            <w:t xml:space="preserve">recht te voorkomen vallen niet alleen multinationale groepen, maar ook </w:t>
          </w:r>
          <w:r w:rsidRPr="00F148AF" w:rsidDel="005B3429">
            <w:rPr>
              <w:rFonts w:eastAsia="Calibri"/>
            </w:rPr>
            <w:t>binnenlandse groep</w:t>
          </w:r>
          <w:r w:rsidDel="005B3429">
            <w:rPr>
              <w:rFonts w:eastAsia="Calibri"/>
            </w:rPr>
            <w:t xml:space="preserve">en binnen de reikwijdte van </w:t>
          </w:r>
          <w:r>
            <w:rPr>
              <w:rFonts w:eastAsia="Calibri"/>
            </w:rPr>
            <w:t xml:space="preserve">de richtlijn en daarmee ook van </w:t>
          </w:r>
          <w:r w:rsidDel="005B3429">
            <w:rPr>
              <w:rFonts w:eastAsia="Calibri"/>
            </w:rPr>
            <w:t xml:space="preserve">het wetsvoorstel. Dit betreft een uitbreiding op de OESO-modelregels. </w:t>
          </w:r>
          <w:r>
            <w:rPr>
              <w:rFonts w:eastAsia="Calibri"/>
              <w:szCs w:val="18"/>
            </w:rPr>
            <w:t xml:space="preserve">De richtlijn dient op 31 december 2023 in wetgeving te zijn omgezet. </w:t>
          </w:r>
        </w:p>
        <w:p w:rsidR="003F0557" w:rsidP="003F0557" w:rsidRDefault="003F0557" w14:paraId="4A7F02DE" w14:textId="77777777">
          <w:pPr>
            <w:rPr>
              <w:rFonts w:eastAsia="Calibri"/>
              <w:szCs w:val="18"/>
            </w:rPr>
          </w:pPr>
        </w:p>
        <w:p w:rsidRPr="00A42266" w:rsidR="00A42266" w:rsidP="00A42266" w:rsidRDefault="003F0557" w14:paraId="0B420735" w14:textId="38BB471E">
          <w:pPr>
            <w:rPr>
              <w:rFonts w:eastAsia="Calibri"/>
              <w:szCs w:val="18"/>
            </w:rPr>
          </w:pPr>
          <w:r>
            <w:rPr>
              <w:rFonts w:eastAsia="Calibri"/>
              <w:szCs w:val="18"/>
            </w:rPr>
            <w:t xml:space="preserve">Het voorstel, hoewel </w:t>
          </w:r>
          <w:r w:rsidR="00F766A1">
            <w:rPr>
              <w:rFonts w:eastAsia="Calibri"/>
              <w:szCs w:val="18"/>
            </w:rPr>
            <w:t xml:space="preserve">– evenals de richtlijn </w:t>
          </w:r>
          <w:r w:rsidR="00BA547F">
            <w:rPr>
              <w:rFonts w:eastAsia="Calibri"/>
              <w:szCs w:val="18"/>
            </w:rPr>
            <w:t>–</w:t>
          </w:r>
          <w:r w:rsidR="00F766A1">
            <w:rPr>
              <w:rFonts w:eastAsia="Calibri"/>
              <w:szCs w:val="18"/>
            </w:rPr>
            <w:t xml:space="preserve"> </w:t>
          </w:r>
          <w:r>
            <w:rPr>
              <w:rFonts w:eastAsia="Calibri"/>
              <w:szCs w:val="18"/>
            </w:rPr>
            <w:t>groot in omvang</w:t>
          </w:r>
          <w:r w:rsidR="009C44D1">
            <w:rPr>
              <w:rFonts w:eastAsia="Calibri"/>
              <w:szCs w:val="18"/>
            </w:rPr>
            <w:t xml:space="preserve"> en verstrekkend wat betreft de implicaties</w:t>
          </w:r>
          <w:r w:rsidR="00575838">
            <w:rPr>
              <w:rFonts w:eastAsia="Calibri"/>
              <w:szCs w:val="18"/>
            </w:rPr>
            <w:t>,</w:t>
          </w:r>
          <w:r w:rsidDel="00D567E3" w:rsidR="00622791">
            <w:rPr>
              <w:rStyle w:val="Voetnootmarkering"/>
              <w:rFonts w:eastAsia="Calibri"/>
              <w:szCs w:val="18"/>
            </w:rPr>
            <w:footnoteReference w:id="7"/>
          </w:r>
          <w:r>
            <w:rPr>
              <w:rFonts w:eastAsia="Calibri"/>
              <w:szCs w:val="18"/>
            </w:rPr>
            <w:t xml:space="preserve"> </w:t>
          </w:r>
          <w:r w:rsidR="001F7391">
            <w:rPr>
              <w:rFonts w:eastAsia="Calibri"/>
              <w:szCs w:val="18"/>
            </w:rPr>
            <w:t xml:space="preserve">behelst </w:t>
          </w:r>
          <w:r>
            <w:rPr>
              <w:rFonts w:eastAsia="Calibri"/>
              <w:szCs w:val="18"/>
            </w:rPr>
            <w:t xml:space="preserve">grotendeels niet meer dan de </w:t>
          </w:r>
          <w:r w:rsidR="0083025B">
            <w:rPr>
              <w:rFonts w:eastAsia="Calibri"/>
              <w:szCs w:val="18"/>
            </w:rPr>
            <w:t xml:space="preserve">zuivere </w:t>
          </w:r>
          <w:r>
            <w:rPr>
              <w:rFonts w:eastAsia="Calibri"/>
              <w:szCs w:val="18"/>
            </w:rPr>
            <w:t xml:space="preserve">implementatie van de richtlijn. </w:t>
          </w:r>
          <w:r w:rsidR="003D1759">
            <w:rPr>
              <w:rFonts w:eastAsia="Calibri"/>
              <w:szCs w:val="18"/>
            </w:rPr>
            <w:t>In</w:t>
          </w:r>
          <w:r w:rsidR="004348E1">
            <w:rPr>
              <w:rFonts w:eastAsia="Calibri"/>
              <w:szCs w:val="18"/>
            </w:rPr>
            <w:t xml:space="preserve"> de toelichting</w:t>
          </w:r>
          <w:r w:rsidR="003D1759">
            <w:rPr>
              <w:rFonts w:eastAsia="Calibri"/>
              <w:szCs w:val="18"/>
            </w:rPr>
            <w:t xml:space="preserve"> is aangegeven dat </w:t>
          </w:r>
          <w:r w:rsidR="00E20756">
            <w:rPr>
              <w:rFonts w:eastAsia="Calibri"/>
              <w:szCs w:val="18"/>
            </w:rPr>
            <w:t>de richtlijn voorschr</w:t>
          </w:r>
          <w:r w:rsidR="00962E29">
            <w:rPr>
              <w:rFonts w:eastAsia="Calibri"/>
              <w:szCs w:val="18"/>
            </w:rPr>
            <w:t>ijft</w:t>
          </w:r>
          <w:r w:rsidR="00E20756">
            <w:rPr>
              <w:rFonts w:eastAsia="Calibri"/>
              <w:szCs w:val="18"/>
            </w:rPr>
            <w:t xml:space="preserve"> dat </w:t>
          </w:r>
          <w:r w:rsidR="006171FD">
            <w:rPr>
              <w:rFonts w:eastAsia="Calibri"/>
              <w:szCs w:val="18"/>
            </w:rPr>
            <w:t xml:space="preserve">het </w:t>
          </w:r>
          <w:r w:rsidR="00B678D2">
            <w:t>OESO-commentaar bij de OESO-modelregels als bron van illustratie en uitleg bij de implementatie van de richtlijnteksten gebruikt dien</w:t>
          </w:r>
          <w:r w:rsidR="000D55A8">
            <w:t>t</w:t>
          </w:r>
          <w:r w:rsidR="00B678D2">
            <w:t xml:space="preserve"> te worden.</w:t>
          </w:r>
          <w:r w:rsidR="002663EE">
            <w:rPr>
              <w:rStyle w:val="Voetnootmarkering"/>
            </w:rPr>
            <w:footnoteReference w:id="8"/>
          </w:r>
          <w:r w:rsidR="00E20756">
            <w:t xml:space="preserve"> </w:t>
          </w:r>
          <w:r w:rsidR="00FB2ABB">
            <w:t>Uit de toelichting komt verder naar voren dat a</w:t>
          </w:r>
          <w:r w:rsidR="00E20756">
            <w:t xml:space="preserve">anvankelijk </w:t>
          </w:r>
          <w:r w:rsidRPr="00A42266" w:rsidR="00A42266">
            <w:rPr>
              <w:rFonts w:eastAsia="Calibri"/>
              <w:szCs w:val="18"/>
            </w:rPr>
            <w:t xml:space="preserve">de Engelse taalversie van de richtlijn als uitgangspunt </w:t>
          </w:r>
          <w:r w:rsidR="00FB2ABB">
            <w:rPr>
              <w:rFonts w:eastAsia="Calibri"/>
              <w:szCs w:val="18"/>
            </w:rPr>
            <w:t>is</w:t>
          </w:r>
          <w:r w:rsidRPr="00A42266" w:rsidR="00A42266">
            <w:rPr>
              <w:rFonts w:eastAsia="Calibri"/>
              <w:szCs w:val="18"/>
            </w:rPr>
            <w:t xml:space="preserve"> genomen.</w:t>
          </w:r>
          <w:r w:rsidR="00B055A0">
            <w:rPr>
              <w:rStyle w:val="Voetnootmarkering"/>
              <w:rFonts w:eastAsia="Calibri"/>
              <w:szCs w:val="18"/>
            </w:rPr>
            <w:footnoteReference w:id="9"/>
          </w:r>
          <w:r w:rsidRPr="00A42266" w:rsidR="00A42266">
            <w:rPr>
              <w:rFonts w:eastAsia="Calibri"/>
              <w:szCs w:val="18"/>
            </w:rPr>
            <w:t xml:space="preserve"> De toelichting geeft niet aan wat de relatie van het voorstel is met de Nederlandse taalversie van de richtlijn.</w:t>
          </w:r>
        </w:p>
        <w:p w:rsidR="00E1363A" w:rsidP="003F0557" w:rsidRDefault="00E1363A" w14:paraId="08F8677C" w14:textId="7F1B38B8">
          <w:pPr>
            <w:rPr>
              <w:rFonts w:eastAsia="Calibri"/>
              <w:szCs w:val="18"/>
            </w:rPr>
          </w:pPr>
        </w:p>
        <w:p w:rsidR="00FA447D" w:rsidP="003F0557" w:rsidRDefault="003F0557" w14:paraId="3420F469" w14:textId="1A5D6619">
          <w:pPr>
            <w:rPr>
              <w:rFonts w:eastAsia="Calibri"/>
              <w:szCs w:val="18"/>
            </w:rPr>
          </w:pPr>
          <w:r>
            <w:rPr>
              <w:rFonts w:eastAsia="Calibri"/>
              <w:szCs w:val="18"/>
            </w:rPr>
            <w:t xml:space="preserve">De richtlijn </w:t>
          </w:r>
          <w:r w:rsidR="0083025B">
            <w:rPr>
              <w:rFonts w:eastAsia="Calibri"/>
              <w:szCs w:val="18"/>
            </w:rPr>
            <w:t xml:space="preserve">biedt </w:t>
          </w:r>
          <w:r>
            <w:rPr>
              <w:rFonts w:eastAsia="Calibri"/>
              <w:szCs w:val="18"/>
            </w:rPr>
            <w:t xml:space="preserve">slechts beperkte mogelijkheden tot het maken van keuzes. </w:t>
          </w:r>
          <w:r w:rsidR="0083025B">
            <w:rPr>
              <w:rFonts w:eastAsia="Calibri"/>
              <w:szCs w:val="18"/>
            </w:rPr>
            <w:t xml:space="preserve">De ruimte voor de Nederlandse </w:t>
          </w:r>
          <w:r w:rsidR="001400BA">
            <w:rPr>
              <w:rFonts w:eastAsia="Calibri"/>
              <w:szCs w:val="18"/>
            </w:rPr>
            <w:t>wetgever</w:t>
          </w:r>
          <w:r w:rsidR="0083025B">
            <w:rPr>
              <w:rFonts w:eastAsia="Calibri"/>
              <w:szCs w:val="18"/>
            </w:rPr>
            <w:t xml:space="preserve"> is in dit stadium derhalve zeer beperkt. </w:t>
          </w:r>
          <w:r>
            <w:rPr>
              <w:rFonts w:eastAsia="Calibri"/>
              <w:szCs w:val="18"/>
            </w:rPr>
            <w:t>De Afdeling heeft hier bij de beoordeling van het wetsvoorstel rekening mee gehouden en zich vooral gericht op de inbedding van deze nieuwe rijksbelasting in het bestaande fiscale stelstel en op de</w:t>
          </w:r>
          <w:r w:rsidR="00322682">
            <w:rPr>
              <w:rFonts w:eastAsia="Calibri"/>
              <w:szCs w:val="18"/>
            </w:rPr>
            <w:t xml:space="preserve"> keuzes die de regering </w:t>
          </w:r>
          <w:r w:rsidR="006D0D82">
            <w:rPr>
              <w:rFonts w:eastAsia="Calibri"/>
              <w:szCs w:val="18"/>
            </w:rPr>
            <w:t xml:space="preserve">heeft gemaakt </w:t>
          </w:r>
          <w:r w:rsidR="00322682">
            <w:rPr>
              <w:rFonts w:eastAsia="Calibri"/>
              <w:szCs w:val="18"/>
            </w:rPr>
            <w:t xml:space="preserve">binnen de beperkte ruimte </w:t>
          </w:r>
          <w:r w:rsidR="0015509F">
            <w:rPr>
              <w:rFonts w:eastAsia="Calibri"/>
              <w:szCs w:val="18"/>
            </w:rPr>
            <w:t xml:space="preserve">die </w:t>
          </w:r>
          <w:r w:rsidR="007A4B2C">
            <w:rPr>
              <w:rFonts w:eastAsia="Calibri"/>
              <w:szCs w:val="18"/>
            </w:rPr>
            <w:t xml:space="preserve">daarvoor </w:t>
          </w:r>
          <w:r w:rsidR="0015509F">
            <w:rPr>
              <w:rFonts w:eastAsia="Calibri"/>
              <w:szCs w:val="18"/>
            </w:rPr>
            <w:t>beschikbaar is</w:t>
          </w:r>
          <w:r w:rsidR="00322682">
            <w:rPr>
              <w:rFonts w:eastAsia="Calibri"/>
              <w:szCs w:val="18"/>
            </w:rPr>
            <w:t>.</w:t>
          </w:r>
        </w:p>
        <w:p w:rsidR="003F0557" w:rsidP="003F0557" w:rsidRDefault="003F0557" w14:paraId="16A90101" w14:textId="1BEF3F6E">
          <w:pPr>
            <w:rPr>
              <w:rFonts w:eastAsia="Calibri"/>
              <w:szCs w:val="18"/>
            </w:rPr>
          </w:pPr>
          <w:r>
            <w:rPr>
              <w:rFonts w:eastAsia="Calibri"/>
              <w:szCs w:val="18"/>
            </w:rPr>
            <w:t xml:space="preserve"> </w:t>
          </w:r>
        </w:p>
        <w:p w:rsidRPr="0053662E" w:rsidR="003F0557" w:rsidP="003F0557" w:rsidRDefault="003F0557" w14:paraId="6C983783" w14:textId="77777777">
          <w:pPr>
            <w:rPr>
              <w:rFonts w:eastAsia="Calibri"/>
              <w:szCs w:val="18"/>
              <w:u w:val="single"/>
            </w:rPr>
          </w:pPr>
          <w:r>
            <w:rPr>
              <w:rFonts w:eastAsia="Calibri"/>
              <w:szCs w:val="18"/>
            </w:rPr>
            <w:t>2.</w:t>
          </w:r>
          <w:r>
            <w:rPr>
              <w:rFonts w:eastAsia="Calibri"/>
              <w:szCs w:val="18"/>
            </w:rPr>
            <w:tab/>
          </w:r>
          <w:r w:rsidRPr="0053662E">
            <w:rPr>
              <w:rFonts w:eastAsia="Calibri"/>
              <w:szCs w:val="18"/>
              <w:u w:val="single"/>
            </w:rPr>
            <w:t>Inbedding minimumbelasting in fiscale stelsel</w:t>
          </w:r>
        </w:p>
        <w:p w:rsidR="003F0557" w:rsidP="003F0557" w:rsidRDefault="003F0557" w14:paraId="2696869E" w14:textId="77777777">
          <w:pPr>
            <w:rPr>
              <w:rFonts w:eastAsia="Calibri"/>
              <w:szCs w:val="18"/>
            </w:rPr>
          </w:pPr>
        </w:p>
        <w:p w:rsidR="003F0557" w:rsidP="003F0557" w:rsidRDefault="003F0557" w14:paraId="77B70FC5" w14:textId="19513FF5">
          <w:pPr>
            <w:rPr>
              <w:rFonts w:eastAsia="Calibri"/>
              <w:szCs w:val="18"/>
            </w:rPr>
          </w:pPr>
          <w:r>
            <w:rPr>
              <w:rFonts w:eastAsia="Calibri"/>
              <w:szCs w:val="18"/>
            </w:rPr>
            <w:t>De regering heeft de keuze gemaakt om de minimumbelasting op te nemen in een afzonderlijke heffingswet en deze niet onder te brengen in de Wet op de vennootschapsbelasting 1969 (Wet Vpb 1969). De Afdeling begrijpt deze keuze. Zoals de regering aangeeft</w:t>
          </w:r>
          <w:r w:rsidR="000A3DD6">
            <w:rPr>
              <w:rFonts w:eastAsia="Calibri"/>
              <w:szCs w:val="18"/>
            </w:rPr>
            <w:t>,</w:t>
          </w:r>
          <w:r>
            <w:rPr>
              <w:rFonts w:eastAsia="Calibri"/>
              <w:szCs w:val="18"/>
            </w:rPr>
            <w:t xml:space="preserve"> wordt met een zelfstandige heffingswet recht gedaan aan de basisgedachte van de Pijler 2-maatregelen om als een aanvullende heffing te gelden, bovenop de bestaande winstbelastingen. Bovendien zou inbedding in de Wet Vpb 1969 tot toenemende complexiteit leiden. </w:t>
          </w:r>
        </w:p>
        <w:p w:rsidR="00191136" w:rsidP="003F0557" w:rsidRDefault="00191136" w14:paraId="269697DE" w14:textId="77777777">
          <w:pPr>
            <w:rPr>
              <w:rFonts w:eastAsia="Calibri"/>
              <w:szCs w:val="18"/>
            </w:rPr>
          </w:pPr>
        </w:p>
        <w:p w:rsidR="008A1D7C" w:rsidP="003F0557" w:rsidRDefault="003F0557" w14:paraId="5F77ADCF" w14:textId="3049E9E1">
          <w:pPr>
            <w:rPr>
              <w:rFonts w:eastAsia="Calibri"/>
              <w:szCs w:val="18"/>
            </w:rPr>
          </w:pPr>
          <w:r>
            <w:rPr>
              <w:rFonts w:eastAsia="Calibri"/>
              <w:szCs w:val="18"/>
            </w:rPr>
            <w:t xml:space="preserve">De voorgestelde belasting is een rijksbelasting in de zin van de Algemene wet inzake rijksbelastingen (AWR). Dat betekent dat </w:t>
          </w:r>
          <w:r w:rsidR="00B32C45">
            <w:rPr>
              <w:rFonts w:eastAsia="Calibri"/>
              <w:szCs w:val="18"/>
            </w:rPr>
            <w:t>de</w:t>
          </w:r>
          <w:r>
            <w:rPr>
              <w:rFonts w:eastAsia="Calibri"/>
              <w:szCs w:val="18"/>
            </w:rPr>
            <w:t xml:space="preserve"> regels </w:t>
          </w:r>
          <w:r w:rsidR="00D13036">
            <w:rPr>
              <w:rFonts w:eastAsia="Calibri"/>
              <w:szCs w:val="18"/>
            </w:rPr>
            <w:t xml:space="preserve">van toepassing zijn </w:t>
          </w:r>
          <w:r>
            <w:rPr>
              <w:rFonts w:eastAsia="Calibri"/>
              <w:szCs w:val="18"/>
            </w:rPr>
            <w:t xml:space="preserve">die </w:t>
          </w:r>
          <w:r>
            <w:rPr>
              <w:rFonts w:eastAsia="Calibri"/>
              <w:szCs w:val="18"/>
            </w:rPr>
            <w:lastRenderedPageBreak/>
            <w:t xml:space="preserve">gelden voor rijksbelastingen, zoals die uit de AWR, maar bijvoorbeeld </w:t>
          </w:r>
          <w:r w:rsidR="00D13036">
            <w:rPr>
              <w:rFonts w:eastAsia="Calibri"/>
              <w:szCs w:val="18"/>
            </w:rPr>
            <w:t xml:space="preserve">ook </w:t>
          </w:r>
          <w:r w:rsidR="005D2595">
            <w:rPr>
              <w:rFonts w:eastAsia="Calibri"/>
              <w:szCs w:val="18"/>
            </w:rPr>
            <w:t xml:space="preserve">die uit </w:t>
          </w:r>
          <w:r>
            <w:rPr>
              <w:rFonts w:eastAsia="Calibri"/>
              <w:szCs w:val="18"/>
            </w:rPr>
            <w:t xml:space="preserve">de Invorderingswet 1990. </w:t>
          </w:r>
        </w:p>
        <w:p w:rsidR="008A1D7C" w:rsidP="003F0557" w:rsidRDefault="008A1D7C" w14:paraId="1628E1DC" w14:textId="77777777">
          <w:pPr>
            <w:rPr>
              <w:rFonts w:eastAsia="Calibri"/>
              <w:szCs w:val="18"/>
            </w:rPr>
          </w:pPr>
        </w:p>
        <w:p w:rsidRPr="006D3EF8" w:rsidR="006D3EF8" w:rsidP="006D3EF8" w:rsidRDefault="00090B72" w14:paraId="45014DE2" w14:textId="13FBC824">
          <w:pPr>
            <w:rPr>
              <w:rFonts w:eastAsia="Calibri"/>
              <w:i/>
              <w:iCs/>
              <w:szCs w:val="18"/>
            </w:rPr>
          </w:pPr>
          <w:r w:rsidRPr="007C42F3">
            <w:rPr>
              <w:rFonts w:eastAsia="Calibri"/>
              <w:szCs w:val="18"/>
            </w:rPr>
            <w:t>a</w:t>
          </w:r>
          <w:r w:rsidRPr="007C42F3" w:rsidR="006D3EF8">
            <w:rPr>
              <w:rFonts w:eastAsia="Calibri"/>
              <w:szCs w:val="18"/>
            </w:rPr>
            <w:t>.</w:t>
          </w:r>
          <w:r w:rsidRPr="006D3EF8" w:rsidR="006D3EF8">
            <w:rPr>
              <w:rFonts w:eastAsia="Calibri"/>
              <w:i/>
              <w:iCs/>
              <w:szCs w:val="18"/>
            </w:rPr>
            <w:tab/>
            <w:t>Vervallen naheffing</w:t>
          </w:r>
          <w:r w:rsidR="007A2CC0">
            <w:rPr>
              <w:rFonts w:eastAsia="Calibri"/>
              <w:i/>
              <w:iCs/>
              <w:szCs w:val="18"/>
            </w:rPr>
            <w:t xml:space="preserve"> </w:t>
          </w:r>
          <w:r w:rsidR="00E84317">
            <w:rPr>
              <w:rFonts w:eastAsia="Calibri"/>
              <w:i/>
              <w:iCs/>
              <w:szCs w:val="18"/>
            </w:rPr>
            <w:t>kwalificerende binnenlandse bijheffing</w:t>
          </w:r>
        </w:p>
        <w:p w:rsidR="003F0557" w:rsidP="003F0557" w:rsidRDefault="004D7C70" w14:paraId="1A990827" w14:textId="5466AB6D">
          <w:pPr>
            <w:rPr>
              <w:rFonts w:eastAsia="Calibri"/>
              <w:szCs w:val="18"/>
            </w:rPr>
          </w:pPr>
          <w:r>
            <w:rPr>
              <w:rFonts w:eastAsia="Calibri"/>
              <w:szCs w:val="18"/>
            </w:rPr>
            <w:t>H</w:t>
          </w:r>
          <w:r w:rsidR="003F0557">
            <w:rPr>
              <w:rFonts w:eastAsia="Calibri"/>
              <w:szCs w:val="18"/>
            </w:rPr>
            <w:t xml:space="preserve">et voorstel </w:t>
          </w:r>
          <w:r>
            <w:rPr>
              <w:rFonts w:eastAsia="Calibri"/>
              <w:szCs w:val="18"/>
            </w:rPr>
            <w:t xml:space="preserve">voorziet </w:t>
          </w:r>
          <w:r w:rsidR="007E3D5C">
            <w:rPr>
              <w:rFonts w:eastAsia="Calibri"/>
              <w:szCs w:val="18"/>
            </w:rPr>
            <w:t>er</w:t>
          </w:r>
          <w:r w:rsidR="003F0557">
            <w:rPr>
              <w:rFonts w:eastAsia="Calibri"/>
              <w:szCs w:val="18"/>
            </w:rPr>
            <w:t xml:space="preserve">in </w:t>
          </w:r>
          <w:r w:rsidR="007E3D5C">
            <w:rPr>
              <w:rFonts w:eastAsia="Calibri"/>
              <w:szCs w:val="18"/>
            </w:rPr>
            <w:t xml:space="preserve">dat </w:t>
          </w:r>
          <w:r w:rsidR="000F1B40">
            <w:rPr>
              <w:rFonts w:eastAsia="Calibri"/>
              <w:szCs w:val="18"/>
            </w:rPr>
            <w:t>in een specifiek</w:t>
          </w:r>
          <w:r w:rsidR="008D00C7">
            <w:rPr>
              <w:rFonts w:eastAsia="Calibri"/>
              <w:szCs w:val="18"/>
            </w:rPr>
            <w:t xml:space="preserve"> geval</w:t>
          </w:r>
          <w:r w:rsidR="00F25A6E">
            <w:rPr>
              <w:rFonts w:eastAsia="Calibri"/>
              <w:szCs w:val="18"/>
            </w:rPr>
            <w:t xml:space="preserve"> </w:t>
          </w:r>
          <w:r w:rsidR="003F0557">
            <w:rPr>
              <w:rFonts w:eastAsia="Calibri"/>
              <w:szCs w:val="18"/>
            </w:rPr>
            <w:t xml:space="preserve">de </w:t>
          </w:r>
          <w:r w:rsidR="00E84317">
            <w:rPr>
              <w:rFonts w:eastAsia="Calibri"/>
              <w:szCs w:val="18"/>
            </w:rPr>
            <w:t>bevoegdheid</w:t>
          </w:r>
          <w:r w:rsidR="003F0557">
            <w:rPr>
              <w:rFonts w:eastAsia="Calibri"/>
              <w:szCs w:val="18"/>
            </w:rPr>
            <w:t xml:space="preserve"> </w:t>
          </w:r>
          <w:r w:rsidR="007E3D5C">
            <w:rPr>
              <w:rFonts w:eastAsia="Calibri"/>
              <w:szCs w:val="18"/>
            </w:rPr>
            <w:t xml:space="preserve">vervalt </w:t>
          </w:r>
          <w:r w:rsidR="003F0557">
            <w:rPr>
              <w:rFonts w:eastAsia="Calibri"/>
              <w:szCs w:val="18"/>
            </w:rPr>
            <w:t xml:space="preserve">tot naheffing </w:t>
          </w:r>
          <w:r w:rsidR="00B17B7D">
            <w:rPr>
              <w:rFonts w:eastAsia="Calibri"/>
              <w:szCs w:val="18"/>
            </w:rPr>
            <w:t xml:space="preserve">van </w:t>
          </w:r>
          <w:r w:rsidR="006B1BC5">
            <w:rPr>
              <w:rFonts w:eastAsia="Calibri"/>
              <w:szCs w:val="18"/>
            </w:rPr>
            <w:t xml:space="preserve">kwalificerende </w:t>
          </w:r>
          <w:r w:rsidR="002D4AD9">
            <w:rPr>
              <w:rFonts w:eastAsia="Calibri"/>
              <w:szCs w:val="18"/>
            </w:rPr>
            <w:t>binnenlandse bijheffing</w:t>
          </w:r>
          <w:r w:rsidR="007D0B10">
            <w:rPr>
              <w:rFonts w:eastAsia="Calibri"/>
              <w:szCs w:val="18"/>
            </w:rPr>
            <w:t>.</w:t>
          </w:r>
          <w:r w:rsidR="00EF33E9">
            <w:rPr>
              <w:rStyle w:val="Voetnootmarkering"/>
              <w:rFonts w:eastAsia="Calibri"/>
              <w:szCs w:val="18"/>
            </w:rPr>
            <w:footnoteReference w:id="10"/>
          </w:r>
          <w:r w:rsidR="007D0B10">
            <w:rPr>
              <w:rFonts w:eastAsia="Calibri"/>
              <w:szCs w:val="18"/>
            </w:rPr>
            <w:t xml:space="preserve"> </w:t>
          </w:r>
          <w:r w:rsidR="00DA7B40">
            <w:rPr>
              <w:rFonts w:eastAsia="Calibri"/>
              <w:szCs w:val="18"/>
            </w:rPr>
            <w:t>Dan</w:t>
          </w:r>
          <w:r w:rsidR="007D0B10">
            <w:rPr>
              <w:rFonts w:eastAsia="Calibri"/>
              <w:szCs w:val="18"/>
            </w:rPr>
            <w:t xml:space="preserve"> vervallen </w:t>
          </w:r>
          <w:r w:rsidR="003F0557">
            <w:rPr>
              <w:rFonts w:eastAsia="Calibri"/>
              <w:szCs w:val="18"/>
            </w:rPr>
            <w:t xml:space="preserve">ook </w:t>
          </w:r>
          <w:r w:rsidR="007D0B10">
            <w:rPr>
              <w:rFonts w:eastAsia="Calibri"/>
              <w:szCs w:val="18"/>
            </w:rPr>
            <w:t xml:space="preserve">reeds </w:t>
          </w:r>
          <w:r w:rsidR="003F0557">
            <w:rPr>
              <w:rFonts w:eastAsia="Calibri"/>
              <w:szCs w:val="18"/>
            </w:rPr>
            <w:t>opgelegde</w:t>
          </w:r>
          <w:r w:rsidR="007D0B10">
            <w:rPr>
              <w:rFonts w:eastAsia="Calibri"/>
              <w:szCs w:val="18"/>
            </w:rPr>
            <w:t>,</w:t>
          </w:r>
          <w:r w:rsidR="003F0557">
            <w:rPr>
              <w:rFonts w:eastAsia="Calibri"/>
              <w:szCs w:val="18"/>
            </w:rPr>
            <w:t xml:space="preserve"> maar nog niet ingevorderde naheffingsaanslagen</w:t>
          </w:r>
          <w:r w:rsidR="00D80D4E">
            <w:rPr>
              <w:rFonts w:eastAsia="Calibri"/>
              <w:szCs w:val="18"/>
            </w:rPr>
            <w:t xml:space="preserve"> die daarop zien</w:t>
          </w:r>
          <w:r w:rsidR="003F0557">
            <w:rPr>
              <w:rFonts w:eastAsia="Calibri"/>
              <w:szCs w:val="18"/>
            </w:rPr>
            <w:t>. Deze bepaling houd</w:t>
          </w:r>
          <w:r w:rsidR="00251292">
            <w:rPr>
              <w:rFonts w:eastAsia="Calibri"/>
              <w:szCs w:val="18"/>
            </w:rPr>
            <w:t>t</w:t>
          </w:r>
          <w:r w:rsidR="003F0557">
            <w:rPr>
              <w:rFonts w:eastAsia="Calibri"/>
              <w:szCs w:val="18"/>
            </w:rPr>
            <w:t xml:space="preserve"> verband met de conversie van een niet </w:t>
          </w:r>
          <w:r w:rsidR="00765F71">
            <w:rPr>
              <w:rFonts w:eastAsia="Calibri"/>
              <w:szCs w:val="18"/>
            </w:rPr>
            <w:t xml:space="preserve">binnen </w:t>
          </w:r>
          <w:r w:rsidR="00A25667">
            <w:rPr>
              <w:rFonts w:eastAsia="Calibri"/>
              <w:szCs w:val="18"/>
            </w:rPr>
            <w:t>een</w:t>
          </w:r>
          <w:r w:rsidR="00765F71">
            <w:rPr>
              <w:rFonts w:eastAsia="Calibri"/>
              <w:szCs w:val="18"/>
            </w:rPr>
            <w:t xml:space="preserve"> </w:t>
          </w:r>
          <w:r w:rsidR="00A25667">
            <w:rPr>
              <w:rFonts w:eastAsia="Calibri"/>
              <w:szCs w:val="18"/>
            </w:rPr>
            <w:t>bepaalde</w:t>
          </w:r>
          <w:r w:rsidRPr="00DB20F0" w:rsidR="00DB20F0">
            <w:rPr>
              <w:rFonts w:eastAsia="Calibri"/>
              <w:szCs w:val="18"/>
              <w:vertAlign w:val="superscript"/>
            </w:rPr>
            <w:footnoteReference w:id="11"/>
          </w:r>
          <w:r w:rsidR="00765F71">
            <w:rPr>
              <w:rFonts w:eastAsia="Calibri"/>
              <w:szCs w:val="18"/>
            </w:rPr>
            <w:t xml:space="preserve"> termijn</w:t>
          </w:r>
          <w:r w:rsidR="003F0557">
            <w:rPr>
              <w:rFonts w:eastAsia="Calibri"/>
              <w:szCs w:val="18"/>
            </w:rPr>
            <w:t xml:space="preserve"> betaalde kwalificerende binnenlandse bijheffing in een additionele bijheffing v</w:t>
          </w:r>
          <w:r w:rsidR="00B54B51">
            <w:rPr>
              <w:rFonts w:eastAsia="Calibri"/>
              <w:szCs w:val="18"/>
            </w:rPr>
            <w:t>an</w:t>
          </w:r>
          <w:r w:rsidR="003F0557">
            <w:rPr>
              <w:rFonts w:eastAsia="Calibri"/>
              <w:szCs w:val="18"/>
            </w:rPr>
            <w:t xml:space="preserve"> inkomen-inclusie</w:t>
          </w:r>
          <w:r w:rsidR="00FA03B7">
            <w:rPr>
              <w:rFonts w:eastAsia="Calibri"/>
              <w:szCs w:val="18"/>
            </w:rPr>
            <w:t>bijheffing</w:t>
          </w:r>
          <w:r w:rsidR="003F0557">
            <w:rPr>
              <w:rFonts w:eastAsia="Calibri"/>
              <w:szCs w:val="18"/>
            </w:rPr>
            <w:t xml:space="preserve"> of onderbelastewinst</w:t>
          </w:r>
          <w:r w:rsidR="00FA03B7">
            <w:rPr>
              <w:rFonts w:eastAsia="Calibri"/>
              <w:szCs w:val="18"/>
            </w:rPr>
            <w:t>bijheffing</w:t>
          </w:r>
          <w:r w:rsidR="003F0557">
            <w:rPr>
              <w:rFonts w:eastAsia="Calibri"/>
              <w:szCs w:val="18"/>
            </w:rPr>
            <w:t>.</w:t>
          </w:r>
          <w:r w:rsidR="003F0557">
            <w:rPr>
              <w:rStyle w:val="Voetnootmarkering"/>
              <w:rFonts w:eastAsia="Calibri"/>
              <w:szCs w:val="18"/>
            </w:rPr>
            <w:footnoteReference w:id="12"/>
          </w:r>
          <w:r w:rsidR="003F0557">
            <w:rPr>
              <w:rFonts w:eastAsia="Calibri"/>
              <w:szCs w:val="18"/>
            </w:rPr>
            <w:t xml:space="preserve"> Uit </w:t>
          </w:r>
          <w:r w:rsidR="00FA03B7">
            <w:rPr>
              <w:rFonts w:eastAsia="Calibri"/>
              <w:szCs w:val="18"/>
            </w:rPr>
            <w:t>het voorstel</w:t>
          </w:r>
          <w:r w:rsidR="003F0557">
            <w:rPr>
              <w:rFonts w:eastAsia="Calibri"/>
              <w:szCs w:val="18"/>
            </w:rPr>
            <w:t xml:space="preserve"> en </w:t>
          </w:r>
          <w:r w:rsidR="00B5532B">
            <w:rPr>
              <w:rFonts w:eastAsia="Calibri"/>
              <w:szCs w:val="18"/>
            </w:rPr>
            <w:t>de</w:t>
          </w:r>
          <w:r w:rsidR="003F0557">
            <w:rPr>
              <w:rFonts w:eastAsia="Calibri"/>
              <w:szCs w:val="18"/>
            </w:rPr>
            <w:t xml:space="preserve"> toelichting wordt niet duidelijk wat de gevolgen zijn voor beschikkingen die samenhangen met dergelijke naheffingsaanslagen, zoals rentebeschikkingen en boetebeschikkingen. Ook is niet duidelijk </w:t>
          </w:r>
          <w:r w:rsidR="00254D62">
            <w:rPr>
              <w:rFonts w:eastAsia="Calibri"/>
              <w:szCs w:val="18"/>
            </w:rPr>
            <w:t>wat het gevolg is</w:t>
          </w:r>
          <w:r w:rsidR="00E50433">
            <w:rPr>
              <w:rFonts w:eastAsia="Calibri"/>
              <w:szCs w:val="18"/>
            </w:rPr>
            <w:t xml:space="preserve"> wanneer </w:t>
          </w:r>
          <w:r w:rsidR="003F0557">
            <w:rPr>
              <w:rFonts w:eastAsia="Calibri"/>
              <w:szCs w:val="18"/>
            </w:rPr>
            <w:t xml:space="preserve">een naheffingsaanslag </w:t>
          </w:r>
          <w:r w:rsidR="00E50433">
            <w:rPr>
              <w:rFonts w:eastAsia="Calibri"/>
              <w:szCs w:val="18"/>
            </w:rPr>
            <w:t xml:space="preserve">op het moment van conversie al </w:t>
          </w:r>
          <w:r w:rsidR="003F0557">
            <w:rPr>
              <w:rFonts w:eastAsia="Calibri"/>
              <w:szCs w:val="18"/>
            </w:rPr>
            <w:t xml:space="preserve">gedeeltelijk is </w:t>
          </w:r>
          <w:r w:rsidR="00E50433">
            <w:rPr>
              <w:rFonts w:eastAsia="Calibri"/>
              <w:szCs w:val="18"/>
            </w:rPr>
            <w:t>betaald</w:t>
          </w:r>
          <w:r w:rsidR="003F0557">
            <w:rPr>
              <w:rFonts w:eastAsia="Calibri"/>
              <w:szCs w:val="18"/>
            </w:rPr>
            <w:t xml:space="preserve">. </w:t>
          </w:r>
        </w:p>
        <w:p w:rsidR="003F0557" w:rsidP="003F0557" w:rsidRDefault="003F0557" w14:paraId="7BDA7FC7" w14:textId="77777777">
          <w:pPr>
            <w:rPr>
              <w:rFonts w:eastAsia="Calibri"/>
              <w:szCs w:val="18"/>
            </w:rPr>
          </w:pPr>
        </w:p>
        <w:p w:rsidR="00FA2663" w:rsidP="003F0557" w:rsidRDefault="00FA2663" w14:paraId="3F4CBA12" w14:textId="0E5D60AE">
          <w:pPr>
            <w:rPr>
              <w:rFonts w:eastAsia="Calibri"/>
              <w:szCs w:val="18"/>
            </w:rPr>
          </w:pPr>
          <w:r w:rsidRPr="007C42F3">
            <w:rPr>
              <w:rFonts w:eastAsia="Calibri"/>
              <w:szCs w:val="18"/>
            </w:rPr>
            <w:t>b.</w:t>
          </w:r>
          <w:r w:rsidRPr="006D3EF8">
            <w:rPr>
              <w:rFonts w:eastAsia="Calibri"/>
              <w:i/>
              <w:iCs/>
              <w:szCs w:val="18"/>
            </w:rPr>
            <w:tab/>
          </w:r>
          <w:r w:rsidR="00DC78B2">
            <w:rPr>
              <w:rFonts w:eastAsia="Calibri"/>
              <w:i/>
              <w:iCs/>
              <w:szCs w:val="18"/>
            </w:rPr>
            <w:t>Inlichtingenverplichting</w:t>
          </w:r>
        </w:p>
        <w:p w:rsidR="00810D93" w:rsidP="003F0557" w:rsidRDefault="00DA0EAB" w14:paraId="7E1E76E5" w14:textId="5826B832">
          <w:pPr>
            <w:rPr>
              <w:rFonts w:eastAsia="Calibri"/>
              <w:szCs w:val="18"/>
            </w:rPr>
          </w:pPr>
          <w:r>
            <w:rPr>
              <w:rFonts w:eastAsia="Calibri"/>
              <w:szCs w:val="18"/>
            </w:rPr>
            <w:t xml:space="preserve">Bij </w:t>
          </w:r>
          <w:r w:rsidR="003F0557">
            <w:rPr>
              <w:rFonts w:eastAsia="Calibri"/>
              <w:szCs w:val="18"/>
            </w:rPr>
            <w:t xml:space="preserve">het vervallen van de </w:t>
          </w:r>
          <w:r w:rsidR="006C69E7">
            <w:rPr>
              <w:rFonts w:eastAsia="Calibri"/>
              <w:szCs w:val="18"/>
            </w:rPr>
            <w:t xml:space="preserve">bevoegdheid tot </w:t>
          </w:r>
          <w:r>
            <w:rPr>
              <w:rFonts w:eastAsia="Calibri"/>
              <w:szCs w:val="18"/>
            </w:rPr>
            <w:t>naheffing</w:t>
          </w:r>
          <w:r w:rsidR="005E6291">
            <w:rPr>
              <w:rFonts w:eastAsia="Calibri"/>
              <w:szCs w:val="18"/>
            </w:rPr>
            <w:t xml:space="preserve"> </w:t>
          </w:r>
          <w:r w:rsidR="00A35E27">
            <w:rPr>
              <w:rFonts w:eastAsia="Calibri"/>
              <w:szCs w:val="18"/>
            </w:rPr>
            <w:t xml:space="preserve">van </w:t>
          </w:r>
          <w:r w:rsidR="00A07C94">
            <w:rPr>
              <w:rFonts w:eastAsia="Calibri"/>
              <w:szCs w:val="18"/>
            </w:rPr>
            <w:t>minimum</w:t>
          </w:r>
          <w:r w:rsidR="00A35E27">
            <w:rPr>
              <w:rFonts w:eastAsia="Calibri"/>
              <w:szCs w:val="18"/>
            </w:rPr>
            <w:t>b</w:t>
          </w:r>
          <w:r w:rsidR="00A134FD">
            <w:rPr>
              <w:rFonts w:eastAsia="Calibri"/>
              <w:szCs w:val="18"/>
            </w:rPr>
            <w:t>elasting</w:t>
          </w:r>
          <w:r w:rsidR="00B54B51">
            <w:rPr>
              <w:rFonts w:eastAsia="Calibri"/>
              <w:szCs w:val="18"/>
            </w:rPr>
            <w:t>,</w:t>
          </w:r>
          <w:r w:rsidRPr="005E6291" w:rsidR="005E6291">
            <w:rPr>
              <w:rFonts w:eastAsia="Calibri"/>
              <w:szCs w:val="18"/>
              <w:vertAlign w:val="superscript"/>
            </w:rPr>
            <w:footnoteReference w:id="13"/>
          </w:r>
          <w:r w:rsidR="00EF0F38">
            <w:rPr>
              <w:rFonts w:eastAsia="Calibri"/>
              <w:szCs w:val="18"/>
            </w:rPr>
            <w:t xml:space="preserve"> vervalt ook de zogenoemde </w:t>
          </w:r>
          <w:r w:rsidR="003F0557">
            <w:rPr>
              <w:rFonts w:eastAsia="Calibri"/>
              <w:szCs w:val="18"/>
            </w:rPr>
            <w:t>inlichtingenverplichting</w:t>
          </w:r>
          <w:r w:rsidR="006C6A7F">
            <w:rPr>
              <w:rFonts w:eastAsia="Calibri"/>
              <w:szCs w:val="18"/>
            </w:rPr>
            <w:t>.</w:t>
          </w:r>
          <w:r w:rsidR="003F0557">
            <w:rPr>
              <w:rStyle w:val="Voetnootmarkering"/>
              <w:rFonts w:eastAsia="Calibri"/>
              <w:szCs w:val="18"/>
            </w:rPr>
            <w:footnoteReference w:id="14"/>
          </w:r>
          <w:r w:rsidR="00B77615">
            <w:rPr>
              <w:rFonts w:eastAsia="Calibri"/>
              <w:szCs w:val="18"/>
            </w:rPr>
            <w:t xml:space="preserve"> D</w:t>
          </w:r>
          <w:r w:rsidR="003F0557">
            <w:rPr>
              <w:rFonts w:eastAsia="Calibri"/>
              <w:szCs w:val="18"/>
            </w:rPr>
            <w:t xml:space="preserve">e mogelijkheid </w:t>
          </w:r>
          <w:r w:rsidR="00B77615">
            <w:rPr>
              <w:rFonts w:eastAsia="Calibri"/>
              <w:szCs w:val="18"/>
            </w:rPr>
            <w:t xml:space="preserve">om </w:t>
          </w:r>
          <w:r w:rsidR="003F0557">
            <w:rPr>
              <w:rFonts w:eastAsia="Calibri"/>
              <w:szCs w:val="18"/>
            </w:rPr>
            <w:t xml:space="preserve">een vergrijpboete </w:t>
          </w:r>
          <w:r w:rsidR="00B77615">
            <w:rPr>
              <w:rFonts w:eastAsia="Calibri"/>
              <w:szCs w:val="18"/>
            </w:rPr>
            <w:t xml:space="preserve">op te leggen </w:t>
          </w:r>
          <w:r w:rsidR="003F0557">
            <w:rPr>
              <w:rFonts w:eastAsia="Calibri"/>
              <w:szCs w:val="18"/>
            </w:rPr>
            <w:t xml:space="preserve">wegens het aan grove schuld of opzet te wijten niet voldoen aan deze plicht vervalt </w:t>
          </w:r>
          <w:r w:rsidR="006A1ED2">
            <w:rPr>
              <w:rFonts w:eastAsia="Calibri"/>
              <w:szCs w:val="18"/>
            </w:rPr>
            <w:t>dan eveneens</w:t>
          </w:r>
          <w:r w:rsidR="003F0557">
            <w:rPr>
              <w:rFonts w:eastAsia="Calibri"/>
              <w:szCs w:val="18"/>
            </w:rPr>
            <w:t>.</w:t>
          </w:r>
          <w:r w:rsidR="003F0557">
            <w:rPr>
              <w:rStyle w:val="Voetnootmarkering"/>
              <w:rFonts w:eastAsia="Calibri"/>
              <w:szCs w:val="18"/>
            </w:rPr>
            <w:footnoteReference w:id="15"/>
          </w:r>
          <w:r w:rsidR="003F0557">
            <w:rPr>
              <w:rFonts w:eastAsia="Calibri"/>
              <w:szCs w:val="18"/>
            </w:rPr>
            <w:t xml:space="preserve"> Dit is niet nader onderbouwd. Hoewel de inlichtingen na deze termijn als zodanig niet meer kunnen leiden tot een wijziging van de verschuldigde minimumbelasting en daarom hun relevantie hebben verloren, blijft gelden dat </w:t>
          </w:r>
          <w:r w:rsidR="00FB7AF0">
            <w:rPr>
              <w:rFonts w:eastAsia="Calibri"/>
              <w:szCs w:val="18"/>
            </w:rPr>
            <w:t>een belastingplichtige</w:t>
          </w:r>
          <w:r w:rsidR="003F0557">
            <w:rPr>
              <w:rFonts w:eastAsia="Calibri"/>
              <w:szCs w:val="18"/>
            </w:rPr>
            <w:t xml:space="preserve"> gedurende de periode dat deze inlichtingen nog wel relevant waren</w:t>
          </w:r>
          <w:r w:rsidR="002C7FEC">
            <w:rPr>
              <w:rFonts w:eastAsia="Calibri"/>
              <w:szCs w:val="18"/>
            </w:rPr>
            <w:t>,</w:t>
          </w:r>
          <w:r w:rsidR="003F0557">
            <w:rPr>
              <w:rFonts w:eastAsia="Calibri"/>
              <w:szCs w:val="18"/>
            </w:rPr>
            <w:t xml:space="preserve"> deze niet heeft verstrekt</w:t>
          </w:r>
          <w:r w:rsidR="00B46F92">
            <w:rPr>
              <w:rFonts w:eastAsia="Calibri"/>
              <w:szCs w:val="18"/>
            </w:rPr>
            <w:t>.</w:t>
          </w:r>
          <w:r w:rsidR="00946132">
            <w:rPr>
              <w:rFonts w:eastAsia="Calibri"/>
              <w:szCs w:val="18"/>
            </w:rPr>
            <w:t xml:space="preserve"> </w:t>
          </w:r>
          <w:r w:rsidR="00B46F92">
            <w:rPr>
              <w:rFonts w:eastAsia="Calibri"/>
              <w:szCs w:val="18"/>
            </w:rPr>
            <w:t>D</w:t>
          </w:r>
          <w:r w:rsidR="00946132">
            <w:rPr>
              <w:rFonts w:eastAsia="Calibri"/>
              <w:szCs w:val="18"/>
            </w:rPr>
            <w:t>eze belastingplichtige</w:t>
          </w:r>
          <w:r w:rsidR="003F0557">
            <w:rPr>
              <w:rFonts w:eastAsia="Calibri"/>
              <w:szCs w:val="18"/>
            </w:rPr>
            <w:t xml:space="preserve"> </w:t>
          </w:r>
          <w:r w:rsidR="00B46F92">
            <w:rPr>
              <w:rFonts w:eastAsia="Calibri"/>
              <w:szCs w:val="18"/>
            </w:rPr>
            <w:t>heeft</w:t>
          </w:r>
          <w:r w:rsidR="003F0557">
            <w:rPr>
              <w:rFonts w:eastAsia="Calibri"/>
              <w:szCs w:val="18"/>
            </w:rPr>
            <w:t xml:space="preserve"> niet aan een wettelijke plicht voldaan die als dusdanig ernstig wordt bestempeld dat hier een vergrijpboete aan is</w:t>
          </w:r>
          <w:r w:rsidR="00B46F92">
            <w:rPr>
              <w:rFonts w:eastAsia="Calibri"/>
              <w:szCs w:val="18"/>
            </w:rPr>
            <w:t xml:space="preserve"> verbonden</w:t>
          </w:r>
          <w:r w:rsidR="003F0557">
            <w:rPr>
              <w:rFonts w:eastAsia="Calibri"/>
              <w:szCs w:val="18"/>
            </w:rPr>
            <w:t xml:space="preserve">. </w:t>
          </w:r>
          <w:r w:rsidR="007300ED">
            <w:rPr>
              <w:rFonts w:eastAsia="Calibri"/>
              <w:szCs w:val="18"/>
            </w:rPr>
            <w:t>De toelichting maakt niet duidelijk</w:t>
          </w:r>
          <w:r w:rsidR="003F0557">
            <w:rPr>
              <w:rFonts w:eastAsia="Calibri"/>
              <w:szCs w:val="18"/>
            </w:rPr>
            <w:t xml:space="preserve"> waarom die gedraging</w:t>
          </w:r>
          <w:r w:rsidR="00B80A71">
            <w:rPr>
              <w:rFonts w:eastAsia="Calibri"/>
              <w:szCs w:val="18"/>
            </w:rPr>
            <w:t>, die reeds heeft plaatsgevonden,</w:t>
          </w:r>
          <w:r w:rsidR="003F0557">
            <w:rPr>
              <w:rFonts w:eastAsia="Calibri"/>
              <w:szCs w:val="18"/>
            </w:rPr>
            <w:t xml:space="preserve"> niet meer beboetbaar zou moeten zijn vanaf het moment dat er geen </w:t>
          </w:r>
          <w:r w:rsidR="00C50F6B">
            <w:rPr>
              <w:rFonts w:eastAsia="Calibri"/>
              <w:szCs w:val="18"/>
            </w:rPr>
            <w:t>na</w:t>
          </w:r>
          <w:r w:rsidR="003F0557">
            <w:rPr>
              <w:rFonts w:eastAsia="Calibri"/>
              <w:szCs w:val="18"/>
            </w:rPr>
            <w:t>heffingsaanslag meer kan worden opgelegd.</w:t>
          </w:r>
        </w:p>
        <w:p w:rsidR="00810D93" w:rsidP="003F0557" w:rsidRDefault="00810D93" w14:paraId="30CDD5F7" w14:textId="77777777">
          <w:pPr>
            <w:rPr>
              <w:rFonts w:eastAsia="Calibri"/>
              <w:szCs w:val="18"/>
            </w:rPr>
          </w:pPr>
        </w:p>
        <w:p w:rsidR="003F0557" w:rsidP="003F0557" w:rsidRDefault="00810D93" w14:paraId="0864FDAB" w14:textId="2BBDBFD3">
          <w:pPr>
            <w:rPr>
              <w:rFonts w:eastAsia="Calibri"/>
              <w:szCs w:val="18"/>
            </w:rPr>
          </w:pPr>
          <w:r>
            <w:rPr>
              <w:rFonts w:eastAsia="Calibri"/>
              <w:szCs w:val="18"/>
            </w:rPr>
            <w:t xml:space="preserve">Het voorstel voorziet in een zelfstandige bepaling om voornoemde vergrijpboete op te kunnen </w:t>
          </w:r>
          <w:r w:rsidR="00312FFD">
            <w:rPr>
              <w:rFonts w:eastAsia="Calibri"/>
              <w:szCs w:val="18"/>
            </w:rPr>
            <w:t xml:space="preserve">leggen. </w:t>
          </w:r>
          <w:r w:rsidR="00312FFD">
            <w:t xml:space="preserve">In de AWR </w:t>
          </w:r>
          <w:r w:rsidR="00F331D1">
            <w:t>staan</w:t>
          </w:r>
          <w:r w:rsidR="00312FFD">
            <w:t xml:space="preserve"> diverse bepalingen op basis waarvan voor de verschillende rijksbelastingen vergrijpboetes </w:t>
          </w:r>
          <w:r w:rsidR="00F331D1">
            <w:t>kunnen worden opgelegd</w:t>
          </w:r>
          <w:r w:rsidR="00312FFD">
            <w:rPr>
              <w:rStyle w:val="Voetnootmarkering"/>
            </w:rPr>
            <w:footnoteReference w:id="16"/>
          </w:r>
          <w:r w:rsidR="00312FFD">
            <w:t xml:space="preserve"> </w:t>
          </w:r>
          <w:r w:rsidR="00E30CE9">
            <w:t xml:space="preserve">dan wel </w:t>
          </w:r>
          <w:r w:rsidR="00776756">
            <w:t>informatieverplichtingen kunnen worden afgedwongen</w:t>
          </w:r>
          <w:r w:rsidR="000348E5">
            <w:t>.</w:t>
          </w:r>
          <w:r w:rsidR="00A44E2B">
            <w:rPr>
              <w:rStyle w:val="Voetnootmarkering"/>
            </w:rPr>
            <w:footnoteReference w:id="17"/>
          </w:r>
          <w:r w:rsidR="00776756">
            <w:t xml:space="preserve"> </w:t>
          </w:r>
          <w:r w:rsidR="000348E5">
            <w:t>I</w:t>
          </w:r>
          <w:r w:rsidR="00845A72">
            <w:t xml:space="preserve">n de toelichting </w:t>
          </w:r>
          <w:r w:rsidR="000348E5">
            <w:t xml:space="preserve">is </w:t>
          </w:r>
          <w:r w:rsidR="00845A72">
            <w:lastRenderedPageBreak/>
            <w:t xml:space="preserve">niet </w:t>
          </w:r>
          <w:r w:rsidR="00E179E6">
            <w:t>gemotiveer</w:t>
          </w:r>
          <w:r w:rsidR="00845A72">
            <w:t xml:space="preserve">d waarom </w:t>
          </w:r>
          <w:r w:rsidR="00A51A88">
            <w:t xml:space="preserve">de voorliggende vergrijpboete </w:t>
          </w:r>
          <w:r w:rsidR="001612F5">
            <w:t xml:space="preserve">niet </w:t>
          </w:r>
          <w:r w:rsidR="00A51A88">
            <w:t>is ondergebracht in de AWR</w:t>
          </w:r>
          <w:r w:rsidR="00EB2557">
            <w:t>.</w:t>
          </w:r>
          <w:r w:rsidR="00E92207">
            <w:rPr>
              <w:rStyle w:val="Voetnootmarkering"/>
            </w:rPr>
            <w:footnoteReference w:id="18"/>
          </w:r>
          <w:r w:rsidR="003F0557">
            <w:rPr>
              <w:rFonts w:eastAsia="Calibri"/>
              <w:szCs w:val="18"/>
            </w:rPr>
            <w:t xml:space="preserve"> </w:t>
          </w:r>
        </w:p>
        <w:p w:rsidR="003F0557" w:rsidP="003F0557" w:rsidRDefault="003F0557" w14:paraId="25642CB7" w14:textId="77777777">
          <w:pPr>
            <w:rPr>
              <w:rFonts w:eastAsia="Calibri"/>
              <w:szCs w:val="18"/>
            </w:rPr>
          </w:pPr>
        </w:p>
        <w:p w:rsidR="00414131" w:rsidP="00BA0114" w:rsidRDefault="00414131" w14:paraId="180A19F1" w14:textId="77777777">
          <w:pPr>
            <w:rPr>
              <w:rFonts w:eastAsia="Calibri"/>
              <w:szCs w:val="18"/>
            </w:rPr>
          </w:pPr>
        </w:p>
        <w:p w:rsidRPr="00BA0114" w:rsidR="00BA0114" w:rsidP="00BA0114" w:rsidRDefault="00BA0114" w14:paraId="4C598A69" w14:textId="5B27919D">
          <w:pPr>
            <w:rPr>
              <w:rFonts w:eastAsia="Calibri"/>
              <w:i/>
              <w:iCs/>
              <w:szCs w:val="18"/>
            </w:rPr>
          </w:pPr>
          <w:r w:rsidRPr="00464F96">
            <w:rPr>
              <w:rFonts w:eastAsia="Calibri"/>
              <w:szCs w:val="18"/>
            </w:rPr>
            <w:t>c.</w:t>
          </w:r>
          <w:r w:rsidRPr="00BA0114">
            <w:rPr>
              <w:rFonts w:eastAsia="Calibri"/>
              <w:szCs w:val="18"/>
            </w:rPr>
            <w:tab/>
          </w:r>
          <w:r w:rsidRPr="00BA0114">
            <w:rPr>
              <w:rFonts w:eastAsia="Calibri"/>
              <w:i/>
              <w:iCs/>
              <w:szCs w:val="18"/>
            </w:rPr>
            <w:t>Aansprakelijkstelling</w:t>
          </w:r>
        </w:p>
        <w:p w:rsidRPr="00885548" w:rsidR="00BA0114" w:rsidP="00BA0114" w:rsidRDefault="00BA0114" w14:paraId="221FAD6C" w14:textId="761D2EB9">
          <w:pPr>
            <w:rPr>
              <w:rFonts w:eastAsia="Calibri"/>
              <w:szCs w:val="18"/>
            </w:rPr>
          </w:pPr>
          <w:r w:rsidRPr="00BA0114">
            <w:rPr>
              <w:rFonts w:eastAsia="Calibri"/>
              <w:szCs w:val="18"/>
            </w:rPr>
            <w:t>Het wetsvoorstel voorziet in een nieuw artikel 41a van de Invorderingswet 1990.</w:t>
          </w:r>
          <w:r w:rsidR="00D244FC">
            <w:rPr>
              <w:rStyle w:val="Voetnootmarkering"/>
              <w:rFonts w:eastAsia="Calibri"/>
              <w:szCs w:val="18"/>
            </w:rPr>
            <w:footnoteReference w:id="19"/>
          </w:r>
          <w:r w:rsidRPr="00BA0114">
            <w:rPr>
              <w:rFonts w:eastAsia="Calibri"/>
              <w:szCs w:val="18"/>
            </w:rPr>
            <w:t xml:space="preserve"> Daarin is voor de minimumbelasting van een groepsentiteit hoofdelijke aansprakelijkheid geregeld van elk van de andere groepsentiteiten. </w:t>
          </w:r>
          <w:r w:rsidR="00625B2F">
            <w:rPr>
              <w:rFonts w:eastAsia="Calibri"/>
              <w:szCs w:val="18"/>
            </w:rPr>
            <w:t>De toelichting geeft slechts een sum</w:t>
          </w:r>
          <w:r w:rsidR="00CC55C9">
            <w:rPr>
              <w:rFonts w:eastAsia="Calibri"/>
              <w:szCs w:val="18"/>
            </w:rPr>
            <w:t>m</w:t>
          </w:r>
          <w:r w:rsidR="00625B2F">
            <w:rPr>
              <w:rFonts w:eastAsia="Calibri"/>
              <w:szCs w:val="18"/>
            </w:rPr>
            <w:t xml:space="preserve">iere </w:t>
          </w:r>
          <w:r w:rsidR="007567FF">
            <w:rPr>
              <w:rFonts w:eastAsia="Calibri"/>
              <w:szCs w:val="18"/>
            </w:rPr>
            <w:t>motiver</w:t>
          </w:r>
          <w:r w:rsidR="00625B2F">
            <w:rPr>
              <w:rFonts w:eastAsia="Calibri"/>
              <w:szCs w:val="18"/>
            </w:rPr>
            <w:t xml:space="preserve">ing voor deze </w:t>
          </w:r>
          <w:r w:rsidR="00B506DA">
            <w:rPr>
              <w:rFonts w:eastAsia="Calibri"/>
              <w:szCs w:val="18"/>
            </w:rPr>
            <w:t xml:space="preserve">in vergelijking met andere belastingen </w:t>
          </w:r>
          <w:r w:rsidR="0015361E">
            <w:rPr>
              <w:rFonts w:eastAsia="Calibri"/>
              <w:szCs w:val="18"/>
            </w:rPr>
            <w:t>ongebruikelijke en ruime</w:t>
          </w:r>
          <w:r w:rsidR="00B8495A">
            <w:rPr>
              <w:rFonts w:eastAsia="Calibri"/>
              <w:szCs w:val="18"/>
            </w:rPr>
            <w:t xml:space="preserve"> </w:t>
          </w:r>
          <w:r w:rsidR="00546900">
            <w:rPr>
              <w:rFonts w:eastAsia="Calibri"/>
              <w:szCs w:val="18"/>
            </w:rPr>
            <w:t>aansprakelijkheid,</w:t>
          </w:r>
          <w:r w:rsidR="00AD3497">
            <w:rPr>
              <w:rStyle w:val="Voetnootmarkering"/>
              <w:rFonts w:eastAsia="Calibri"/>
              <w:szCs w:val="18"/>
            </w:rPr>
            <w:footnoteReference w:id="20"/>
          </w:r>
          <w:r w:rsidR="00546900">
            <w:rPr>
              <w:rFonts w:eastAsia="Calibri"/>
              <w:szCs w:val="18"/>
            </w:rPr>
            <w:t xml:space="preserve"> namelijk dat het kabinet d</w:t>
          </w:r>
          <w:r w:rsidR="00CC55C9">
            <w:rPr>
              <w:rFonts w:eastAsia="Calibri"/>
              <w:szCs w:val="18"/>
            </w:rPr>
            <w:t>it wenselijk acht.</w:t>
          </w:r>
          <w:r w:rsidR="008824FD">
            <w:rPr>
              <w:rStyle w:val="Voetnootmarkering"/>
              <w:rFonts w:eastAsia="Calibri"/>
              <w:szCs w:val="18"/>
            </w:rPr>
            <w:footnoteReference w:id="21"/>
          </w:r>
          <w:r w:rsidR="00CC55C9">
            <w:rPr>
              <w:rFonts w:eastAsia="Calibri"/>
              <w:szCs w:val="18"/>
            </w:rPr>
            <w:t xml:space="preserve"> </w:t>
          </w:r>
          <w:r w:rsidR="00841D42">
            <w:rPr>
              <w:rFonts w:eastAsia="Calibri"/>
              <w:szCs w:val="18"/>
            </w:rPr>
            <w:t>Voor in Nederland gevestigde</w:t>
          </w:r>
          <w:r w:rsidR="00DD6AD1">
            <w:rPr>
              <w:rFonts w:eastAsia="Calibri"/>
              <w:szCs w:val="18"/>
            </w:rPr>
            <w:t xml:space="preserve"> groepsentiteiten kan de ratio voor deze aansprakelijkheid </w:t>
          </w:r>
          <w:r w:rsidR="00E9096B">
            <w:rPr>
              <w:rFonts w:eastAsia="Calibri"/>
              <w:szCs w:val="18"/>
            </w:rPr>
            <w:t xml:space="preserve">mogelijk </w:t>
          </w:r>
          <w:r w:rsidR="00DD6AD1">
            <w:rPr>
              <w:rFonts w:eastAsia="Calibri"/>
              <w:szCs w:val="18"/>
            </w:rPr>
            <w:t xml:space="preserve">worden gevonden in het feit dat </w:t>
          </w:r>
          <w:r w:rsidR="00524DB7">
            <w:rPr>
              <w:rFonts w:eastAsia="Calibri"/>
              <w:szCs w:val="18"/>
            </w:rPr>
            <w:t xml:space="preserve">de binnenlandse bijheffing wordt </w:t>
          </w:r>
          <w:r w:rsidR="009963A6">
            <w:rPr>
              <w:rFonts w:eastAsia="Calibri"/>
              <w:szCs w:val="18"/>
            </w:rPr>
            <w:t xml:space="preserve">geheven alsof er één </w:t>
          </w:r>
          <w:r w:rsidR="00B60437">
            <w:rPr>
              <w:rFonts w:eastAsia="Calibri"/>
              <w:szCs w:val="18"/>
            </w:rPr>
            <w:t>belastingplichtige is</w:t>
          </w:r>
          <w:r w:rsidR="00D17DB2">
            <w:rPr>
              <w:rFonts w:eastAsia="Calibri"/>
              <w:szCs w:val="18"/>
            </w:rPr>
            <w:t xml:space="preserve"> en </w:t>
          </w:r>
          <w:r w:rsidR="00DD6AD1">
            <w:rPr>
              <w:rFonts w:eastAsia="Calibri"/>
              <w:szCs w:val="18"/>
            </w:rPr>
            <w:t xml:space="preserve">voor alle groepsentiteiten </w:t>
          </w:r>
          <w:r w:rsidR="008A44BD">
            <w:rPr>
              <w:rFonts w:eastAsia="Calibri"/>
              <w:szCs w:val="18"/>
            </w:rPr>
            <w:t xml:space="preserve">samen één aangifte wordt gedaan. </w:t>
          </w:r>
          <w:r w:rsidRPr="00BA0114">
            <w:rPr>
              <w:rFonts w:eastAsia="Calibri"/>
              <w:szCs w:val="18"/>
            </w:rPr>
            <w:t xml:space="preserve">De aansprakelijkheid strekt zich </w:t>
          </w:r>
          <w:r w:rsidR="008A44BD">
            <w:rPr>
              <w:rFonts w:eastAsia="Calibri"/>
              <w:szCs w:val="18"/>
            </w:rPr>
            <w:t xml:space="preserve">echter </w:t>
          </w:r>
          <w:r w:rsidRPr="00BA0114">
            <w:rPr>
              <w:rFonts w:eastAsia="Calibri"/>
              <w:szCs w:val="18"/>
            </w:rPr>
            <w:t>ook uit over groepsentiteiten die in een andere staat zijn gevestigd.</w:t>
          </w:r>
        </w:p>
        <w:p w:rsidR="006A4E15" w:rsidP="00BA0114" w:rsidRDefault="006A4E15" w14:paraId="6E979B43" w14:textId="77777777">
          <w:pPr>
            <w:rPr>
              <w:rFonts w:eastAsia="Calibri"/>
              <w:szCs w:val="18"/>
            </w:rPr>
          </w:pPr>
        </w:p>
        <w:p w:rsidRPr="00BA0114" w:rsidR="00BA0114" w:rsidP="00BA0114" w:rsidRDefault="00BA0114" w14:paraId="7FCCBB25" w14:textId="63E335B5">
          <w:pPr>
            <w:rPr>
              <w:rFonts w:eastAsia="Calibri"/>
              <w:szCs w:val="18"/>
            </w:rPr>
          </w:pPr>
          <w:r w:rsidRPr="00BA0114">
            <w:rPr>
              <w:rFonts w:eastAsia="Calibri"/>
              <w:szCs w:val="18"/>
            </w:rPr>
            <w:t xml:space="preserve">Los van de vraag of een dergelijke aansprakelijkheid </w:t>
          </w:r>
          <w:r w:rsidR="006A4E15">
            <w:rPr>
              <w:rFonts w:eastAsia="Calibri"/>
              <w:szCs w:val="18"/>
            </w:rPr>
            <w:t xml:space="preserve">proportioneel en </w:t>
          </w:r>
          <w:r w:rsidRPr="00BA0114">
            <w:rPr>
              <w:rFonts w:eastAsia="Calibri"/>
              <w:szCs w:val="18"/>
            </w:rPr>
            <w:t xml:space="preserve">opportuun is, merkt de Afdeling op, dat de mogelijkheden om een dergelijke aansprakelijkheid daadwerkelijk in het buitenland te (laten) effectueren afhankelijk is van de afspraken die in internationaal of Europees verband, bilateraal of multilateraal zijn gemaakt over wederzijdse bijstand bij de invordering van belastingen. </w:t>
          </w:r>
          <w:r w:rsidR="003533FF">
            <w:rPr>
              <w:rFonts w:eastAsia="Calibri"/>
              <w:szCs w:val="18"/>
            </w:rPr>
            <w:t>D</w:t>
          </w:r>
          <w:r w:rsidRPr="00BA0114">
            <w:rPr>
              <w:rFonts w:eastAsia="Calibri"/>
              <w:szCs w:val="18"/>
            </w:rPr>
            <w:t xml:space="preserve">ie mogelijkheden </w:t>
          </w:r>
          <w:r w:rsidR="003533FF">
            <w:rPr>
              <w:rFonts w:eastAsia="Calibri"/>
              <w:szCs w:val="18"/>
            </w:rPr>
            <w:t xml:space="preserve">zijn </w:t>
          </w:r>
          <w:r w:rsidRPr="00BA0114">
            <w:rPr>
              <w:rFonts w:eastAsia="Calibri"/>
              <w:szCs w:val="18"/>
            </w:rPr>
            <w:t>vooralsnog vrij beperkt.</w:t>
          </w:r>
          <w:r w:rsidR="008F1CF7">
            <w:rPr>
              <w:rFonts w:eastAsia="Calibri"/>
              <w:szCs w:val="18"/>
            </w:rPr>
            <w:t xml:space="preserve"> Veel landen hebben </w:t>
          </w:r>
          <w:r w:rsidR="00500288">
            <w:rPr>
              <w:rFonts w:eastAsia="Calibri"/>
              <w:szCs w:val="18"/>
            </w:rPr>
            <w:t>voorbehouden</w:t>
          </w:r>
          <w:r w:rsidR="00960278">
            <w:rPr>
              <w:rFonts w:eastAsia="Calibri"/>
              <w:szCs w:val="18"/>
            </w:rPr>
            <w:t xml:space="preserve"> gemaakt bij de bepalingen over hulp bij invordering in </w:t>
          </w:r>
          <w:r w:rsidR="00D52149">
            <w:rPr>
              <w:rFonts w:eastAsia="Calibri"/>
              <w:szCs w:val="18"/>
            </w:rPr>
            <w:t xml:space="preserve">het </w:t>
          </w:r>
          <w:r w:rsidR="00D42AE6">
            <w:rPr>
              <w:rFonts w:eastAsia="Calibri"/>
              <w:szCs w:val="18"/>
            </w:rPr>
            <w:t>multilaterale</w:t>
          </w:r>
          <w:r w:rsidR="00CC488A">
            <w:rPr>
              <w:rFonts w:eastAsia="Calibri"/>
              <w:szCs w:val="18"/>
            </w:rPr>
            <w:t xml:space="preserve"> </w:t>
          </w:r>
          <w:r w:rsidRPr="00D52149" w:rsidR="00D52149">
            <w:rPr>
              <w:rFonts w:eastAsia="Calibri"/>
              <w:szCs w:val="18"/>
            </w:rPr>
            <w:t>Verdrag inzake wederzijdse administratieve bijstand in belastingzaken</w:t>
          </w:r>
          <w:r w:rsidR="00960278">
            <w:rPr>
              <w:rFonts w:eastAsia="Calibri"/>
              <w:szCs w:val="18"/>
            </w:rPr>
            <w:t>.</w:t>
          </w:r>
          <w:r w:rsidR="00440D02">
            <w:rPr>
              <w:rFonts w:eastAsia="Calibri"/>
              <w:szCs w:val="18"/>
            </w:rPr>
            <w:t xml:space="preserve"> Weliswaar is er een Europese richtlijn over administratieve bijstand bij invordering</w:t>
          </w:r>
          <w:r w:rsidR="00E241D4">
            <w:rPr>
              <w:rFonts w:eastAsia="Calibri"/>
              <w:szCs w:val="18"/>
            </w:rPr>
            <w:t>,</w:t>
          </w:r>
          <w:r w:rsidRPr="000A464D" w:rsidR="000A464D">
            <w:rPr>
              <w:rFonts w:eastAsia="Calibri"/>
              <w:szCs w:val="18"/>
              <w:vertAlign w:val="superscript"/>
            </w:rPr>
            <w:footnoteReference w:id="22"/>
          </w:r>
          <w:r w:rsidR="00E241D4">
            <w:rPr>
              <w:rFonts w:eastAsia="Calibri"/>
              <w:szCs w:val="18"/>
            </w:rPr>
            <w:t xml:space="preserve"> maar het is de vraag of andere landen erg genegen zullen zijn om zich actief in te zetten om Nederland bij de</w:t>
          </w:r>
          <w:r w:rsidR="006575DD">
            <w:rPr>
              <w:rFonts w:eastAsia="Calibri"/>
              <w:szCs w:val="18"/>
            </w:rPr>
            <w:t>ze</w:t>
          </w:r>
          <w:r w:rsidR="00E241D4">
            <w:rPr>
              <w:rFonts w:eastAsia="Calibri"/>
              <w:szCs w:val="18"/>
            </w:rPr>
            <w:t xml:space="preserve"> invordering te ondersteunen</w:t>
          </w:r>
          <w:r w:rsidR="00354E55">
            <w:rPr>
              <w:rFonts w:eastAsia="Calibri"/>
              <w:szCs w:val="18"/>
            </w:rPr>
            <w:t>.</w:t>
          </w:r>
          <w:r w:rsidRPr="00BA0114">
            <w:rPr>
              <w:rFonts w:eastAsia="Calibri"/>
              <w:szCs w:val="18"/>
            </w:rPr>
            <w:t xml:space="preserve"> </w:t>
          </w:r>
        </w:p>
        <w:p w:rsidR="00BA0114" w:rsidP="003F0557" w:rsidRDefault="00BA0114" w14:paraId="4FE70850" w14:textId="77777777">
          <w:pPr>
            <w:rPr>
              <w:rFonts w:eastAsia="Calibri"/>
              <w:szCs w:val="18"/>
            </w:rPr>
          </w:pPr>
        </w:p>
        <w:p w:rsidRPr="00FF1E7F" w:rsidR="00FF1E7F" w:rsidP="00FF1E7F" w:rsidRDefault="00FF1E7F" w14:paraId="79EF1591" w14:textId="77CDF420">
          <w:pPr>
            <w:rPr>
              <w:rFonts w:eastAsia="Calibri"/>
              <w:i/>
              <w:iCs/>
              <w:szCs w:val="18"/>
            </w:rPr>
          </w:pPr>
          <w:r w:rsidRPr="00464F96">
            <w:rPr>
              <w:rFonts w:eastAsia="Calibri"/>
              <w:szCs w:val="18"/>
            </w:rPr>
            <w:t>d.</w:t>
          </w:r>
          <w:r w:rsidRPr="00FF1E7F">
            <w:rPr>
              <w:rFonts w:eastAsia="Calibri"/>
              <w:i/>
              <w:iCs/>
              <w:szCs w:val="18"/>
            </w:rPr>
            <w:tab/>
            <w:t>Keuzes belastingplichtige</w:t>
          </w:r>
        </w:p>
        <w:p w:rsidR="003F0557" w:rsidP="003F0557" w:rsidRDefault="00FF1E7F" w14:paraId="0F1426AD" w14:textId="5CF08683">
          <w:pPr>
            <w:rPr>
              <w:rFonts w:eastAsia="Calibri"/>
              <w:szCs w:val="18"/>
            </w:rPr>
          </w:pPr>
          <w:r>
            <w:rPr>
              <w:rFonts w:eastAsia="Calibri"/>
              <w:szCs w:val="18"/>
            </w:rPr>
            <w:t>H</w:t>
          </w:r>
          <w:r w:rsidR="003F0557">
            <w:rPr>
              <w:rFonts w:eastAsia="Calibri"/>
              <w:szCs w:val="18"/>
            </w:rPr>
            <w:t xml:space="preserve">et voorstel </w:t>
          </w:r>
          <w:r w:rsidR="00154858">
            <w:rPr>
              <w:rFonts w:eastAsia="Calibri"/>
              <w:szCs w:val="18"/>
            </w:rPr>
            <w:t xml:space="preserve">geeft belastingplichtigen voor een aantal </w:t>
          </w:r>
          <w:r w:rsidR="003F0557">
            <w:rPr>
              <w:rFonts w:eastAsia="Calibri"/>
              <w:szCs w:val="18"/>
            </w:rPr>
            <w:t>regeling</w:t>
          </w:r>
          <w:r w:rsidR="00154858">
            <w:rPr>
              <w:rFonts w:eastAsia="Calibri"/>
              <w:szCs w:val="18"/>
            </w:rPr>
            <w:t>en</w:t>
          </w:r>
          <w:r w:rsidR="003F0557">
            <w:rPr>
              <w:rFonts w:eastAsia="Calibri"/>
              <w:szCs w:val="18"/>
            </w:rPr>
            <w:t xml:space="preserve"> </w:t>
          </w:r>
          <w:r w:rsidR="00927521">
            <w:rPr>
              <w:rFonts w:eastAsia="Calibri"/>
              <w:szCs w:val="18"/>
            </w:rPr>
            <w:t>de mogelijkheid om een</w:t>
          </w:r>
          <w:r w:rsidR="003F0557">
            <w:rPr>
              <w:rFonts w:eastAsia="Calibri"/>
              <w:szCs w:val="18"/>
            </w:rPr>
            <w:t xml:space="preserve"> keuze</w:t>
          </w:r>
          <w:r w:rsidR="00927521">
            <w:rPr>
              <w:rFonts w:eastAsia="Calibri"/>
              <w:szCs w:val="18"/>
            </w:rPr>
            <w:t xml:space="preserve"> te maken.</w:t>
          </w:r>
          <w:r w:rsidR="003F0557">
            <w:rPr>
              <w:rFonts w:eastAsia="Calibri"/>
              <w:szCs w:val="18"/>
            </w:rPr>
            <w:t xml:space="preserve"> </w:t>
          </w:r>
          <w:r w:rsidR="00761495">
            <w:rPr>
              <w:rFonts w:eastAsia="Calibri"/>
              <w:szCs w:val="18"/>
            </w:rPr>
            <w:t xml:space="preserve">Deze keuze </w:t>
          </w:r>
          <w:r w:rsidR="008518B8">
            <w:rPr>
              <w:rFonts w:eastAsia="Calibri"/>
              <w:szCs w:val="18"/>
            </w:rPr>
            <w:t>maken</w:t>
          </w:r>
          <w:r w:rsidR="00761495">
            <w:rPr>
              <w:rFonts w:eastAsia="Calibri"/>
              <w:szCs w:val="18"/>
            </w:rPr>
            <w:t xml:space="preserve"> belastingplichtigen</w:t>
          </w:r>
          <w:r w:rsidR="00435288">
            <w:rPr>
              <w:rFonts w:eastAsia="Calibri"/>
              <w:szCs w:val="18"/>
            </w:rPr>
            <w:t xml:space="preserve">, afhankelijk </w:t>
          </w:r>
          <w:r w:rsidR="0062331E">
            <w:rPr>
              <w:rFonts w:eastAsia="Calibri"/>
              <w:szCs w:val="18"/>
            </w:rPr>
            <w:t>van welke keuze het betreft</w:t>
          </w:r>
          <w:r w:rsidR="00DC09CA">
            <w:rPr>
              <w:rFonts w:eastAsia="Calibri"/>
              <w:szCs w:val="18"/>
            </w:rPr>
            <w:t>,</w:t>
          </w:r>
          <w:r w:rsidDel="00DC09CA" w:rsidR="00761495">
            <w:rPr>
              <w:rFonts w:eastAsia="Calibri"/>
              <w:szCs w:val="18"/>
            </w:rPr>
            <w:t xml:space="preserve"> </w:t>
          </w:r>
          <w:r w:rsidR="00761495">
            <w:rPr>
              <w:rFonts w:eastAsia="Calibri"/>
              <w:szCs w:val="18"/>
            </w:rPr>
            <w:t>voor één</w:t>
          </w:r>
          <w:r w:rsidR="008518B8">
            <w:rPr>
              <w:rFonts w:eastAsia="Calibri"/>
              <w:szCs w:val="18"/>
            </w:rPr>
            <w:t xml:space="preserve"> </w:t>
          </w:r>
          <w:r w:rsidR="00202CA9">
            <w:rPr>
              <w:rFonts w:eastAsia="Calibri"/>
              <w:szCs w:val="18"/>
            </w:rPr>
            <w:t>verslag</w:t>
          </w:r>
          <w:r w:rsidR="008518B8">
            <w:rPr>
              <w:rFonts w:eastAsia="Calibri"/>
              <w:szCs w:val="18"/>
            </w:rPr>
            <w:t xml:space="preserve">jaar </w:t>
          </w:r>
          <w:r w:rsidR="00826B3F">
            <w:rPr>
              <w:rFonts w:eastAsia="Calibri"/>
              <w:szCs w:val="18"/>
            </w:rPr>
            <w:t>of</w:t>
          </w:r>
          <w:r w:rsidR="008518B8">
            <w:rPr>
              <w:rFonts w:eastAsia="Calibri"/>
              <w:szCs w:val="18"/>
            </w:rPr>
            <w:t xml:space="preserve"> vijf </w:t>
          </w:r>
          <w:r w:rsidR="00202CA9">
            <w:rPr>
              <w:rFonts w:eastAsia="Calibri"/>
              <w:szCs w:val="18"/>
            </w:rPr>
            <w:t>verslag</w:t>
          </w:r>
          <w:r w:rsidR="008518B8">
            <w:rPr>
              <w:rFonts w:eastAsia="Calibri"/>
              <w:szCs w:val="18"/>
            </w:rPr>
            <w:t>jar</w:t>
          </w:r>
          <w:r w:rsidR="00202CA9">
            <w:rPr>
              <w:rFonts w:eastAsia="Calibri"/>
              <w:szCs w:val="18"/>
            </w:rPr>
            <w:t>en</w:t>
          </w:r>
          <w:r w:rsidR="008518B8">
            <w:rPr>
              <w:rFonts w:eastAsia="Calibri"/>
              <w:szCs w:val="18"/>
            </w:rPr>
            <w:t>.</w:t>
          </w:r>
          <w:r w:rsidR="0050377C">
            <w:rPr>
              <w:rStyle w:val="Voetnootmarkering"/>
              <w:rFonts w:eastAsia="Calibri"/>
              <w:szCs w:val="18"/>
            </w:rPr>
            <w:footnoteReference w:id="23"/>
          </w:r>
          <w:r w:rsidR="008518B8">
            <w:rPr>
              <w:rFonts w:eastAsia="Calibri"/>
              <w:szCs w:val="18"/>
            </w:rPr>
            <w:t xml:space="preserve"> </w:t>
          </w:r>
          <w:r w:rsidR="004F30AE">
            <w:rPr>
              <w:rFonts w:eastAsia="Calibri"/>
              <w:szCs w:val="18"/>
            </w:rPr>
            <w:t xml:space="preserve">Zij moeten de </w:t>
          </w:r>
          <w:r w:rsidR="004F30AE">
            <w:rPr>
              <w:rFonts w:eastAsia="Calibri"/>
              <w:szCs w:val="18"/>
            </w:rPr>
            <w:lastRenderedPageBreak/>
            <w:t xml:space="preserve">keuzes </w:t>
          </w:r>
          <w:r w:rsidR="003F0557">
            <w:rPr>
              <w:rFonts w:eastAsia="Calibri"/>
              <w:szCs w:val="18"/>
            </w:rPr>
            <w:t>kenbaar mak</w:t>
          </w:r>
          <w:r w:rsidR="005A2A09">
            <w:rPr>
              <w:rFonts w:eastAsia="Calibri"/>
              <w:szCs w:val="18"/>
            </w:rPr>
            <w:t>en</w:t>
          </w:r>
          <w:r w:rsidR="003F0557">
            <w:rPr>
              <w:rFonts w:eastAsia="Calibri"/>
              <w:szCs w:val="18"/>
            </w:rPr>
            <w:t xml:space="preserve"> in de bijheffing-informatieaangifte.</w:t>
          </w:r>
          <w:r w:rsidR="003F0557">
            <w:rPr>
              <w:rStyle w:val="Voetnootmarkering"/>
              <w:rFonts w:eastAsia="Calibri"/>
              <w:szCs w:val="18"/>
            </w:rPr>
            <w:footnoteReference w:id="24"/>
          </w:r>
          <w:r w:rsidR="003F0557">
            <w:rPr>
              <w:rFonts w:eastAsia="Calibri"/>
              <w:szCs w:val="18"/>
            </w:rPr>
            <w:t xml:space="preserve"> De</w:t>
          </w:r>
          <w:r w:rsidR="005A2A09">
            <w:rPr>
              <w:rFonts w:eastAsia="Calibri"/>
              <w:szCs w:val="18"/>
            </w:rPr>
            <w:t xml:space="preserve"> mogelijkheid tot het maken van bepaalde </w:t>
          </w:r>
          <w:r w:rsidR="003F0557">
            <w:rPr>
              <w:rFonts w:eastAsia="Calibri"/>
              <w:szCs w:val="18"/>
            </w:rPr>
            <w:t>keuzes vloei</w:t>
          </w:r>
          <w:r w:rsidR="005A2A09">
            <w:rPr>
              <w:rFonts w:eastAsia="Calibri"/>
              <w:szCs w:val="18"/>
            </w:rPr>
            <w:t>t</w:t>
          </w:r>
          <w:r w:rsidR="003F0557">
            <w:rPr>
              <w:rFonts w:eastAsia="Calibri"/>
              <w:szCs w:val="18"/>
            </w:rPr>
            <w:t xml:space="preserve"> als zodanig voort uit de richtlijn. In het wetsvoorstel </w:t>
          </w:r>
          <w:r w:rsidR="00D76CD4">
            <w:rPr>
              <w:rFonts w:eastAsia="Calibri"/>
              <w:szCs w:val="18"/>
            </w:rPr>
            <w:t xml:space="preserve">of de toelichting is </w:t>
          </w:r>
          <w:r w:rsidR="003F0557">
            <w:rPr>
              <w:rFonts w:eastAsia="Calibri"/>
              <w:szCs w:val="18"/>
            </w:rPr>
            <w:t xml:space="preserve">echter </w:t>
          </w:r>
          <w:r w:rsidR="00D76CD4">
            <w:rPr>
              <w:rFonts w:eastAsia="Calibri"/>
              <w:szCs w:val="18"/>
            </w:rPr>
            <w:t xml:space="preserve">niet </w:t>
          </w:r>
          <w:r w:rsidR="003F0557">
            <w:rPr>
              <w:rFonts w:eastAsia="Calibri"/>
              <w:szCs w:val="18"/>
            </w:rPr>
            <w:t>nader uit</w:t>
          </w:r>
          <w:r w:rsidR="00D76CD4">
            <w:rPr>
              <w:rFonts w:eastAsia="Calibri"/>
              <w:szCs w:val="18"/>
            </w:rPr>
            <w:t>ge</w:t>
          </w:r>
          <w:r w:rsidR="003F0557">
            <w:rPr>
              <w:rFonts w:eastAsia="Calibri"/>
              <w:szCs w:val="18"/>
            </w:rPr>
            <w:t>werk</w:t>
          </w:r>
          <w:r w:rsidR="00D76CD4">
            <w:rPr>
              <w:rFonts w:eastAsia="Calibri"/>
              <w:szCs w:val="18"/>
            </w:rPr>
            <w:t>t</w:t>
          </w:r>
          <w:r w:rsidR="003F0557">
            <w:rPr>
              <w:rFonts w:eastAsia="Calibri"/>
              <w:szCs w:val="18"/>
            </w:rPr>
            <w:t xml:space="preserve"> </w:t>
          </w:r>
          <w:r w:rsidR="00696773">
            <w:rPr>
              <w:rFonts w:eastAsia="Calibri"/>
              <w:szCs w:val="18"/>
            </w:rPr>
            <w:t xml:space="preserve">wat de </w:t>
          </w:r>
          <w:r w:rsidR="00D57795">
            <w:rPr>
              <w:rFonts w:eastAsia="Calibri"/>
              <w:szCs w:val="18"/>
            </w:rPr>
            <w:t xml:space="preserve">exacte </w:t>
          </w:r>
          <w:r w:rsidR="00696773">
            <w:rPr>
              <w:rFonts w:eastAsia="Calibri"/>
              <w:szCs w:val="18"/>
            </w:rPr>
            <w:t>procedure</w:t>
          </w:r>
          <w:r w:rsidR="00C11CBB">
            <w:rPr>
              <w:rFonts w:eastAsia="Calibri"/>
              <w:szCs w:val="18"/>
            </w:rPr>
            <w:t xml:space="preserve"> is en </w:t>
          </w:r>
          <w:r w:rsidR="00DB4EC4">
            <w:rPr>
              <w:rFonts w:eastAsia="Calibri"/>
              <w:szCs w:val="18"/>
            </w:rPr>
            <w:t xml:space="preserve">wat </w:t>
          </w:r>
          <w:r w:rsidR="00C11CBB">
            <w:rPr>
              <w:rFonts w:eastAsia="Calibri"/>
              <w:szCs w:val="18"/>
            </w:rPr>
            <w:t xml:space="preserve">de daarbij geldende termijnen </w:t>
          </w:r>
          <w:r w:rsidR="00272573">
            <w:rPr>
              <w:rFonts w:eastAsia="Calibri"/>
              <w:szCs w:val="18"/>
            </w:rPr>
            <w:t xml:space="preserve">zijn </w:t>
          </w:r>
          <w:r w:rsidR="003F0557">
            <w:rPr>
              <w:rFonts w:eastAsia="Calibri"/>
              <w:szCs w:val="18"/>
            </w:rPr>
            <w:t xml:space="preserve">met betrekking tot </w:t>
          </w:r>
          <w:r w:rsidR="00C11CBB">
            <w:rPr>
              <w:rFonts w:eastAsia="Calibri"/>
              <w:szCs w:val="18"/>
            </w:rPr>
            <w:t xml:space="preserve">het maken of </w:t>
          </w:r>
          <w:r w:rsidR="003F0557">
            <w:rPr>
              <w:rFonts w:eastAsia="Calibri"/>
              <w:szCs w:val="18"/>
            </w:rPr>
            <w:t>herzien</w:t>
          </w:r>
          <w:r w:rsidR="00C11CBB">
            <w:rPr>
              <w:rFonts w:eastAsia="Calibri"/>
              <w:szCs w:val="18"/>
            </w:rPr>
            <w:t xml:space="preserve"> </w:t>
          </w:r>
          <w:r w:rsidR="003F0557">
            <w:rPr>
              <w:rFonts w:eastAsia="Calibri"/>
              <w:szCs w:val="18"/>
            </w:rPr>
            <w:t>van deze keuzes</w:t>
          </w:r>
          <w:r w:rsidR="006F05FB">
            <w:rPr>
              <w:rFonts w:eastAsia="Calibri"/>
              <w:szCs w:val="18"/>
            </w:rPr>
            <w:t>.</w:t>
          </w:r>
          <w:r w:rsidR="00A63A13">
            <w:rPr>
              <w:rFonts w:eastAsia="Calibri"/>
              <w:szCs w:val="18"/>
            </w:rPr>
            <w:t xml:space="preserve"> Zo is niet duidelijk </w:t>
          </w:r>
          <w:r w:rsidR="00EB65B9">
            <w:rPr>
              <w:rFonts w:eastAsia="Calibri"/>
              <w:szCs w:val="18"/>
            </w:rPr>
            <w:t xml:space="preserve">of, hoe en </w:t>
          </w:r>
          <w:r w:rsidR="00A63A13">
            <w:rPr>
              <w:rFonts w:eastAsia="Calibri"/>
              <w:szCs w:val="18"/>
            </w:rPr>
            <w:t xml:space="preserve">tot welk moment een </w:t>
          </w:r>
          <w:r w:rsidR="000C18B1">
            <w:rPr>
              <w:rFonts w:eastAsia="Calibri"/>
              <w:szCs w:val="18"/>
            </w:rPr>
            <w:t>keuze kan worden herzien</w:t>
          </w:r>
          <w:r w:rsidR="007B6212">
            <w:rPr>
              <w:rFonts w:eastAsia="Calibri"/>
              <w:szCs w:val="18"/>
            </w:rPr>
            <w:t xml:space="preserve"> en of het mogelijk is dat een belastingplichtige geen keuze maakt en wat daarvan het gevolg is</w:t>
          </w:r>
          <w:r w:rsidR="003F0557">
            <w:rPr>
              <w:rFonts w:eastAsia="Calibri"/>
              <w:szCs w:val="18"/>
            </w:rPr>
            <w:t>.</w:t>
          </w:r>
        </w:p>
        <w:p w:rsidR="00A70DD9" w:rsidP="003F0557" w:rsidRDefault="00A70DD9" w14:paraId="68721D80" w14:textId="77777777">
          <w:pPr>
            <w:rPr>
              <w:rFonts w:eastAsia="Calibri"/>
              <w:szCs w:val="18"/>
            </w:rPr>
          </w:pPr>
        </w:p>
        <w:p w:rsidRPr="00201B4A" w:rsidR="00A70DD9" w:rsidP="003F0557" w:rsidRDefault="00A70DD9" w14:paraId="4F25A69F" w14:textId="5FC3D974">
          <w:pPr>
            <w:rPr>
              <w:rFonts w:eastAsia="Calibri"/>
              <w:i/>
              <w:szCs w:val="18"/>
            </w:rPr>
          </w:pPr>
          <w:r w:rsidRPr="00464F96">
            <w:rPr>
              <w:rFonts w:eastAsia="Calibri"/>
              <w:szCs w:val="18"/>
            </w:rPr>
            <w:t>e.</w:t>
          </w:r>
          <w:r w:rsidRPr="00201B4A">
            <w:rPr>
              <w:rFonts w:eastAsia="Calibri"/>
              <w:i/>
              <w:szCs w:val="18"/>
            </w:rPr>
            <w:tab/>
            <w:t>Belastingrente</w:t>
          </w:r>
        </w:p>
        <w:p w:rsidR="00EB2C0B" w:rsidP="003F0557" w:rsidRDefault="00AF49A2" w14:paraId="1F750694" w14:textId="1E9050C6">
          <w:pPr>
            <w:contextualSpacing/>
          </w:pPr>
          <w:r>
            <w:t xml:space="preserve">Het </w:t>
          </w:r>
          <w:r w:rsidR="003533FF">
            <w:t>wets</w:t>
          </w:r>
          <w:r>
            <w:t xml:space="preserve">voorstel voorziet in een </w:t>
          </w:r>
          <w:r w:rsidR="00DE3DC0">
            <w:t xml:space="preserve">zelfstandige </w:t>
          </w:r>
          <w:r>
            <w:t xml:space="preserve">bepaling om </w:t>
          </w:r>
          <w:r w:rsidR="00142419">
            <w:t xml:space="preserve">bij het vaststellen van een naheffingsaanslag </w:t>
          </w:r>
          <w:r w:rsidR="00411927">
            <w:t xml:space="preserve">minimumbelasting </w:t>
          </w:r>
          <w:r w:rsidRPr="00AB6CF8" w:rsidR="00A70DD9">
            <w:t xml:space="preserve">belastingrente </w:t>
          </w:r>
          <w:r>
            <w:t>in rekening te brengen</w:t>
          </w:r>
          <w:r w:rsidR="00D3458E">
            <w:t xml:space="preserve">. </w:t>
          </w:r>
          <w:r w:rsidR="008D292B">
            <w:t xml:space="preserve">In de AWR zijn reeds diverse bepalingen opgenomen </w:t>
          </w:r>
          <w:r w:rsidR="004103D8">
            <w:t xml:space="preserve">op basis waarvan voor de verschillende rijksbelastingen belastingrente </w:t>
          </w:r>
          <w:r w:rsidR="000916A3">
            <w:t>in rekening wordt gebracht dan wel wordt vergoed.</w:t>
          </w:r>
          <w:r w:rsidR="00C46733">
            <w:rPr>
              <w:rStyle w:val="Voetnootmarkering"/>
            </w:rPr>
            <w:footnoteReference w:id="25"/>
          </w:r>
          <w:r w:rsidR="000916A3">
            <w:t xml:space="preserve"> </w:t>
          </w:r>
          <w:r w:rsidR="0046191D">
            <w:t xml:space="preserve">In de toelichting is niet </w:t>
          </w:r>
          <w:r w:rsidR="003533FF">
            <w:t>gemotiveer</w:t>
          </w:r>
          <w:r w:rsidR="0046191D">
            <w:t>d waarom</w:t>
          </w:r>
          <w:r w:rsidR="00DE3DC0">
            <w:t xml:space="preserve"> voor de minimumbelasting</w:t>
          </w:r>
          <w:r w:rsidR="00B13295">
            <w:t xml:space="preserve"> van de gebruikelijke systematiek wordt afgeweken</w:t>
          </w:r>
          <w:r w:rsidR="0095270A">
            <w:t>, zeker nu dit – in tegenstelling tot bijvoorbeeld de solidariteitsbijdrage – een structureel in te voeren heffing betreft</w:t>
          </w:r>
          <w:r w:rsidR="00B13295">
            <w:t>.</w:t>
          </w:r>
          <w:r w:rsidR="00267F2B">
            <w:t xml:space="preserve"> </w:t>
          </w:r>
          <w:r w:rsidR="00EB2C0B">
            <w:br/>
          </w:r>
        </w:p>
        <w:p w:rsidR="00A70DD9" w:rsidP="003F0557" w:rsidRDefault="00267F2B" w14:paraId="44154A40" w14:textId="2177849D">
          <w:pPr>
            <w:contextualSpacing/>
            <w:rPr>
              <w:rFonts w:eastAsia="Calibri"/>
            </w:rPr>
          </w:pPr>
          <w:r>
            <w:t xml:space="preserve">Voor de </w:t>
          </w:r>
          <w:r w:rsidRPr="00AB6CF8" w:rsidR="00A70DD9">
            <w:t>vast</w:t>
          </w:r>
          <w:r>
            <w:t>stelling</w:t>
          </w:r>
          <w:r w:rsidRPr="00AB6CF8" w:rsidR="00A70DD9">
            <w:t xml:space="preserve"> </w:t>
          </w:r>
          <w:r>
            <w:t xml:space="preserve">van het </w:t>
          </w:r>
          <w:r w:rsidR="00DF5C5C">
            <w:t xml:space="preserve">percentage aan belastingrente wordt wel aangesloten </w:t>
          </w:r>
          <w:r w:rsidRPr="00AB6CF8" w:rsidR="00A70DD9">
            <w:t xml:space="preserve">bij </w:t>
          </w:r>
          <w:r w:rsidR="00DF5C5C">
            <w:t xml:space="preserve">de </w:t>
          </w:r>
          <w:r w:rsidR="0030143D">
            <w:t xml:space="preserve">hiervoor </w:t>
          </w:r>
          <w:r w:rsidR="00B81173">
            <w:t xml:space="preserve">op de AWR gebaseerde </w:t>
          </w:r>
          <w:r w:rsidRPr="00AB6CF8" w:rsidR="00A70DD9">
            <w:t>algemene maatregel van bestuur</w:t>
          </w:r>
          <w:r w:rsidR="00B81173">
            <w:t>.</w:t>
          </w:r>
          <w:r w:rsidR="00B81173">
            <w:rPr>
              <w:rStyle w:val="Voetnootmarkering"/>
            </w:rPr>
            <w:footnoteReference w:id="26"/>
          </w:r>
          <w:r w:rsidRPr="00AB6CF8" w:rsidR="00A70DD9">
            <w:t xml:space="preserve"> </w:t>
          </w:r>
          <w:r w:rsidR="00D82B03">
            <w:t xml:space="preserve">In de toelichting wordt </w:t>
          </w:r>
          <w:r w:rsidR="003D062F">
            <w:t xml:space="preserve">in dit kader </w:t>
          </w:r>
          <w:r w:rsidR="00D82B03">
            <w:t xml:space="preserve">enkel vermeld dat </w:t>
          </w:r>
          <w:r w:rsidR="00EB6ACE">
            <w:t>het</w:t>
          </w:r>
          <w:r w:rsidR="00D82B03">
            <w:t xml:space="preserve"> percentage aan belastingrente op een later moment bekend zal worden gemaakt bij algemene maatregel van bestuur.</w:t>
          </w:r>
          <w:r w:rsidR="00C72386">
            <w:rPr>
              <w:rStyle w:val="Voetnootmarkering"/>
            </w:rPr>
            <w:footnoteReference w:id="27"/>
          </w:r>
          <w:r w:rsidR="00EB6ACE">
            <w:t xml:space="preserve"> </w:t>
          </w:r>
          <w:r w:rsidR="00A06F28">
            <w:t xml:space="preserve">In het kader van transparantie </w:t>
          </w:r>
          <w:r w:rsidR="00681B45">
            <w:t xml:space="preserve">verdient het de voorkeur om belastingplichtigen op voorhand inzicht te </w:t>
          </w:r>
          <w:r w:rsidR="005A6A67">
            <w:t>bieden</w:t>
          </w:r>
          <w:r w:rsidR="00681B45">
            <w:t xml:space="preserve"> </w:t>
          </w:r>
          <w:r w:rsidR="003D062F">
            <w:t>i</w:t>
          </w:r>
          <w:r w:rsidR="005A6A67">
            <w:t xml:space="preserve">n </w:t>
          </w:r>
          <w:r w:rsidR="00681B45">
            <w:t>het te verwachten</w:t>
          </w:r>
          <w:r w:rsidR="005A6A67">
            <w:t xml:space="preserve"> percentage aan belastingrente</w:t>
          </w:r>
          <w:r w:rsidR="00EF5349">
            <w:t xml:space="preserve">, </w:t>
          </w:r>
          <w:r w:rsidR="00D022A2">
            <w:t>b</w:t>
          </w:r>
          <w:r w:rsidR="005A6A67">
            <w:t xml:space="preserve">ijvoorbeeld </w:t>
          </w:r>
          <w:r w:rsidR="00EF5349">
            <w:t xml:space="preserve">door </w:t>
          </w:r>
          <w:r w:rsidR="003D062F">
            <w:t xml:space="preserve">in de toelichting </w:t>
          </w:r>
          <w:r w:rsidR="00EF5349">
            <w:t xml:space="preserve">aan te geven </w:t>
          </w:r>
          <w:r w:rsidR="00643661">
            <w:t>of en zo ja bij welke bestaande categorie zal worden aangesloten</w:t>
          </w:r>
          <w:r w:rsidRPr="00AB6CF8" w:rsidR="00A70DD9">
            <w:t>.</w:t>
          </w:r>
          <w:r w:rsidRPr="00AB6CF8" w:rsidR="00A70DD9">
            <w:rPr>
              <w:vertAlign w:val="superscript"/>
            </w:rPr>
            <w:footnoteReference w:id="28"/>
          </w:r>
        </w:p>
        <w:p w:rsidR="003F0557" w:rsidP="003F0557" w:rsidRDefault="003F0557" w14:paraId="283E8368" w14:textId="77777777">
          <w:pPr>
            <w:contextualSpacing/>
            <w:rPr>
              <w:rFonts w:eastAsia="Calibri"/>
            </w:rPr>
          </w:pPr>
        </w:p>
        <w:p w:rsidRPr="00064F02" w:rsidR="003F0557" w:rsidP="003F0557" w:rsidRDefault="003F0557" w14:paraId="4362879A" w14:textId="012735DC">
          <w:pPr>
            <w:rPr>
              <w:rFonts w:eastAsia="Calibri"/>
              <w:szCs w:val="18"/>
            </w:rPr>
          </w:pPr>
          <w:r>
            <w:rPr>
              <w:rFonts w:eastAsia="Calibri"/>
              <w:szCs w:val="18"/>
            </w:rPr>
            <w:t>De Afdeling adviseert in het licht van het vo</w:t>
          </w:r>
          <w:r w:rsidR="003533FF">
            <w:rPr>
              <w:rFonts w:eastAsia="Calibri"/>
              <w:szCs w:val="18"/>
            </w:rPr>
            <w:t>o</w:t>
          </w:r>
          <w:r>
            <w:rPr>
              <w:rFonts w:eastAsia="Calibri"/>
              <w:szCs w:val="18"/>
            </w:rPr>
            <w:t>r</w:t>
          </w:r>
          <w:r w:rsidR="003533FF">
            <w:rPr>
              <w:rFonts w:eastAsia="Calibri"/>
              <w:szCs w:val="18"/>
            </w:rPr>
            <w:t>g</w:t>
          </w:r>
          <w:r>
            <w:rPr>
              <w:rFonts w:eastAsia="Calibri"/>
              <w:szCs w:val="18"/>
            </w:rPr>
            <w:t xml:space="preserve">aande deze aspecten van het voorstel nader </w:t>
          </w:r>
          <w:r w:rsidR="00986F83">
            <w:rPr>
              <w:rFonts w:eastAsia="Calibri"/>
              <w:szCs w:val="18"/>
            </w:rPr>
            <w:t>toe te lichten</w:t>
          </w:r>
          <w:r>
            <w:rPr>
              <w:rFonts w:eastAsia="Calibri"/>
              <w:szCs w:val="18"/>
            </w:rPr>
            <w:t xml:space="preserve"> en het </w:t>
          </w:r>
          <w:r w:rsidR="003533FF">
            <w:rPr>
              <w:rFonts w:eastAsia="Calibri"/>
              <w:szCs w:val="18"/>
            </w:rPr>
            <w:t>wets</w:t>
          </w:r>
          <w:r>
            <w:rPr>
              <w:rFonts w:eastAsia="Calibri"/>
              <w:szCs w:val="18"/>
            </w:rPr>
            <w:t xml:space="preserve">voorstel aan te passen. </w:t>
          </w:r>
        </w:p>
        <w:p w:rsidR="003F0557" w:rsidP="003F0557" w:rsidRDefault="003F0557" w14:paraId="35F8FC62" w14:textId="77777777">
          <w:pPr>
            <w:rPr>
              <w:rFonts w:eastAsia="Calibri"/>
              <w:szCs w:val="18"/>
            </w:rPr>
          </w:pPr>
        </w:p>
        <w:p w:rsidR="003F0557" w:rsidP="003F0557" w:rsidRDefault="003F0557" w14:paraId="2BF7027C" w14:textId="4314BE41">
          <w:pPr>
            <w:rPr>
              <w:rFonts w:eastAsia="Calibri"/>
              <w:szCs w:val="18"/>
            </w:rPr>
          </w:pPr>
          <w:r>
            <w:rPr>
              <w:rFonts w:eastAsia="Calibri"/>
              <w:szCs w:val="18"/>
            </w:rPr>
            <w:t>3.</w:t>
          </w:r>
          <w:r>
            <w:rPr>
              <w:rFonts w:eastAsia="Calibri"/>
              <w:szCs w:val="18"/>
            </w:rPr>
            <w:tab/>
          </w:r>
          <w:r w:rsidRPr="007E6C83">
            <w:rPr>
              <w:rFonts w:eastAsia="Calibri"/>
              <w:szCs w:val="18"/>
              <w:u w:val="single"/>
            </w:rPr>
            <w:t>Wederzijdse bijstand</w:t>
          </w:r>
          <w:r w:rsidR="003A2080">
            <w:rPr>
              <w:rFonts w:eastAsia="Calibri"/>
              <w:szCs w:val="18"/>
              <w:u w:val="single"/>
            </w:rPr>
            <w:t xml:space="preserve"> </w:t>
          </w:r>
          <w:r w:rsidRPr="001837A5" w:rsidR="0044753E">
            <w:rPr>
              <w:rFonts w:eastAsia="Calibri"/>
              <w:szCs w:val="18"/>
              <w:u w:val="single"/>
            </w:rPr>
            <w:t>en verdragstoepassing</w:t>
          </w:r>
        </w:p>
        <w:p w:rsidR="003F0557" w:rsidP="003F0557" w:rsidRDefault="003F0557" w14:paraId="3E272271" w14:textId="77777777">
          <w:pPr>
            <w:rPr>
              <w:rFonts w:eastAsia="Calibri"/>
              <w:szCs w:val="18"/>
            </w:rPr>
          </w:pPr>
        </w:p>
        <w:p w:rsidR="0045788E" w:rsidP="003F0557" w:rsidRDefault="003F0557" w14:paraId="43C12C2A" w14:textId="5849DC96">
          <w:pPr>
            <w:rPr>
              <w:rFonts w:eastAsia="Calibri"/>
              <w:szCs w:val="18"/>
            </w:rPr>
          </w:pPr>
          <w:r>
            <w:rPr>
              <w:rFonts w:eastAsia="Calibri"/>
              <w:szCs w:val="18"/>
            </w:rPr>
            <w:t>De werking van het beoogde stelsel is in sterke mate afhankelijk van een goede samenwerking tussen de</w:t>
          </w:r>
          <w:r w:rsidRPr="00064F02">
            <w:rPr>
              <w:rFonts w:eastAsia="Calibri"/>
              <w:szCs w:val="18"/>
            </w:rPr>
            <w:t xml:space="preserve"> </w:t>
          </w:r>
          <w:r>
            <w:rPr>
              <w:rFonts w:eastAsia="Calibri"/>
              <w:szCs w:val="18"/>
            </w:rPr>
            <w:t>belastingdiensten van de betrokken staten. Zoals uit de toelichting blijkt wordt nog hard gewerkt aan de totstandkoming van afspraken inzake wederzijdse bijstand die voor die samenwerking de basis moeten bieden. Het betreft daarbij hoofdzakelijk mogelijkheden tot informatie</w:t>
          </w:r>
          <w:r w:rsidR="00D140D1">
            <w:rPr>
              <w:rFonts w:eastAsia="Calibri"/>
              <w:szCs w:val="18"/>
            </w:rPr>
            <w:t>-</w:t>
          </w:r>
          <w:r>
            <w:rPr>
              <w:rFonts w:eastAsia="Calibri"/>
              <w:szCs w:val="18"/>
            </w:rPr>
            <w:t xml:space="preserve">uitwisseling. </w:t>
          </w:r>
          <w:r w:rsidR="0045788E">
            <w:rPr>
              <w:rFonts w:eastAsia="Calibri"/>
              <w:szCs w:val="18"/>
            </w:rPr>
            <w:t xml:space="preserve">Ook is er, zoals de toelichting ook aangeeft, op dit moment nog geen mogelijkheid tot geschillenbeslechting als </w:t>
          </w:r>
          <w:r w:rsidR="008E6C2B">
            <w:rPr>
              <w:rFonts w:eastAsia="Calibri"/>
              <w:szCs w:val="18"/>
            </w:rPr>
            <w:t>betrokken</w:t>
          </w:r>
          <w:r w:rsidR="0045788E">
            <w:rPr>
              <w:rFonts w:eastAsia="Calibri"/>
              <w:szCs w:val="18"/>
            </w:rPr>
            <w:t xml:space="preserve"> landen een </w:t>
          </w:r>
          <w:r w:rsidR="005C3EF7">
            <w:rPr>
              <w:rFonts w:eastAsia="Calibri"/>
              <w:szCs w:val="18"/>
            </w:rPr>
            <w:t>verschillend</w:t>
          </w:r>
          <w:r w:rsidR="0045788E">
            <w:rPr>
              <w:rFonts w:eastAsia="Calibri"/>
              <w:szCs w:val="18"/>
            </w:rPr>
            <w:t xml:space="preserve"> inzicht hebben over het toepassen van de regels op een specifieke belastingplichtige.</w:t>
          </w:r>
        </w:p>
        <w:p w:rsidR="0045788E" w:rsidP="003F0557" w:rsidRDefault="0045788E" w14:paraId="78E33558" w14:textId="77777777">
          <w:pPr>
            <w:rPr>
              <w:rFonts w:eastAsia="Calibri"/>
              <w:szCs w:val="18"/>
            </w:rPr>
          </w:pPr>
        </w:p>
        <w:p w:rsidR="003A2080" w:rsidP="003F0557" w:rsidRDefault="003F0557" w14:paraId="1B5A25D2" w14:textId="5F4AB3BF">
          <w:pPr>
            <w:rPr>
              <w:rFonts w:eastAsia="Calibri"/>
              <w:szCs w:val="18"/>
            </w:rPr>
          </w:pPr>
          <w:r>
            <w:rPr>
              <w:rFonts w:eastAsia="Calibri"/>
              <w:szCs w:val="18"/>
            </w:rPr>
            <w:lastRenderedPageBreak/>
            <w:t xml:space="preserve">De Nederlandse Wet op de internationale bijstandsverlening bij de heffing van belastingen kan in beginsel, nu sprake is van een rijksbelasting, ook worden toegepast op de voorliggende belasting. De toelichting is echter niet duidelijk over de vraag in hoeverre reeds bestaande bilaterale en multilaterale instrumenten van wederzijdse bijstand daadwerkelijk kunnen worden </w:t>
          </w:r>
          <w:r w:rsidR="00F00176">
            <w:rPr>
              <w:rFonts w:eastAsia="Calibri"/>
              <w:szCs w:val="18"/>
            </w:rPr>
            <w:t xml:space="preserve">toegepast </w:t>
          </w:r>
          <w:r>
            <w:rPr>
              <w:rFonts w:eastAsia="Calibri"/>
              <w:szCs w:val="18"/>
            </w:rPr>
            <w:t xml:space="preserve">ten behoeve van deze belasting. </w:t>
          </w:r>
        </w:p>
        <w:p w:rsidR="003A2080" w:rsidP="003F0557" w:rsidRDefault="003A2080" w14:paraId="7F5AF15F" w14:textId="77777777">
          <w:pPr>
            <w:rPr>
              <w:rFonts w:eastAsia="Calibri"/>
              <w:szCs w:val="18"/>
            </w:rPr>
          </w:pPr>
        </w:p>
        <w:p w:rsidR="004765F8" w:rsidP="003F0557" w:rsidRDefault="003A2080" w14:paraId="11E6E625" w14:textId="24A05204">
          <w:pPr>
            <w:rPr>
              <w:rFonts w:eastAsia="Calibri"/>
              <w:szCs w:val="18"/>
            </w:rPr>
          </w:pPr>
          <w:r>
            <w:rPr>
              <w:rFonts w:eastAsia="Calibri"/>
              <w:szCs w:val="18"/>
            </w:rPr>
            <w:t>Meer in zijn algemeenheid geldt dat</w:t>
          </w:r>
          <w:r w:rsidR="007B35C2">
            <w:rPr>
              <w:rFonts w:eastAsia="Calibri"/>
              <w:szCs w:val="18"/>
            </w:rPr>
            <w:t xml:space="preserve"> d</w:t>
          </w:r>
          <w:r w:rsidRPr="00BD385E" w:rsidR="00BD385E">
            <w:rPr>
              <w:rFonts w:eastAsia="Calibri"/>
              <w:szCs w:val="18"/>
            </w:rPr>
            <w:t xml:space="preserve">e </w:t>
          </w:r>
          <w:r w:rsidR="00824188">
            <w:rPr>
              <w:rFonts w:eastAsia="Calibri"/>
              <w:szCs w:val="18"/>
            </w:rPr>
            <w:t>minimum</w:t>
          </w:r>
          <w:r w:rsidRPr="00BD385E" w:rsidR="00BD385E">
            <w:rPr>
              <w:rFonts w:eastAsia="Calibri"/>
              <w:szCs w:val="18"/>
            </w:rPr>
            <w:t>belasting</w:t>
          </w:r>
          <w:r w:rsidRPr="00BD385E" w:rsidDel="007B35C2" w:rsidR="00BD385E">
            <w:rPr>
              <w:rFonts w:eastAsia="Calibri"/>
              <w:szCs w:val="18"/>
            </w:rPr>
            <w:t xml:space="preserve"> </w:t>
          </w:r>
          <w:r w:rsidRPr="00BD385E" w:rsidR="00BD385E">
            <w:rPr>
              <w:rFonts w:eastAsia="Calibri"/>
              <w:szCs w:val="18"/>
            </w:rPr>
            <w:t xml:space="preserve">niet expliciet in reeds gesloten bilaterale belastingverdragen </w:t>
          </w:r>
          <w:r w:rsidR="007B35C2">
            <w:rPr>
              <w:rFonts w:eastAsia="Calibri"/>
              <w:szCs w:val="18"/>
            </w:rPr>
            <w:t xml:space="preserve">wordt </w:t>
          </w:r>
          <w:r w:rsidRPr="00BD385E" w:rsidR="00BD385E">
            <w:rPr>
              <w:rFonts w:eastAsia="Calibri"/>
              <w:szCs w:val="18"/>
            </w:rPr>
            <w:t xml:space="preserve">genoemd. </w:t>
          </w:r>
          <w:r w:rsidR="0007442B">
            <w:rPr>
              <w:rFonts w:eastAsia="Calibri"/>
              <w:szCs w:val="18"/>
            </w:rPr>
            <w:t>In de toelichting wordt herhaaldelijk opgemerkt dat definities uit het voorstel</w:t>
          </w:r>
          <w:r w:rsidR="00A11F50">
            <w:rPr>
              <w:rFonts w:eastAsia="Calibri"/>
              <w:szCs w:val="18"/>
            </w:rPr>
            <w:t xml:space="preserve"> geen invloed hebben op de interpretatie van begrippen in belastingverdragen, </w:t>
          </w:r>
          <w:r w:rsidR="00D45040">
            <w:rPr>
              <w:rFonts w:eastAsia="Calibri"/>
              <w:szCs w:val="18"/>
            </w:rPr>
            <w:t xml:space="preserve">maar de toelichting is </w:t>
          </w:r>
          <w:r w:rsidR="003533FF">
            <w:rPr>
              <w:rFonts w:eastAsia="Calibri"/>
              <w:szCs w:val="18"/>
            </w:rPr>
            <w:t xml:space="preserve">niet </w:t>
          </w:r>
          <w:r w:rsidR="00F82E67">
            <w:rPr>
              <w:rFonts w:eastAsia="Calibri"/>
              <w:szCs w:val="18"/>
            </w:rPr>
            <w:t xml:space="preserve">helder </w:t>
          </w:r>
          <w:r w:rsidR="00D45040">
            <w:rPr>
              <w:rFonts w:eastAsia="Calibri"/>
              <w:szCs w:val="18"/>
            </w:rPr>
            <w:t xml:space="preserve">over de vraag of </w:t>
          </w:r>
          <w:r w:rsidR="00F82E67">
            <w:rPr>
              <w:rFonts w:eastAsia="Calibri"/>
              <w:szCs w:val="18"/>
            </w:rPr>
            <w:t xml:space="preserve">het voorstel onder het toepassingsbereik van </w:t>
          </w:r>
          <w:r w:rsidR="00F4641D">
            <w:rPr>
              <w:rFonts w:eastAsia="Calibri"/>
              <w:szCs w:val="18"/>
            </w:rPr>
            <w:t xml:space="preserve">bilaterale belastingverdragen </w:t>
          </w:r>
          <w:r w:rsidR="00F82E67">
            <w:rPr>
              <w:rFonts w:eastAsia="Calibri"/>
              <w:szCs w:val="18"/>
            </w:rPr>
            <w:t xml:space="preserve">valt. </w:t>
          </w:r>
          <w:r w:rsidR="005161B8">
            <w:rPr>
              <w:rFonts w:eastAsia="Calibri"/>
              <w:szCs w:val="18"/>
            </w:rPr>
            <w:t>In de artikelsgewijze toelichting op bijvoorbeeld artikel 1.3, elfde lid</w:t>
          </w:r>
          <w:r w:rsidR="00337C69">
            <w:rPr>
              <w:rFonts w:eastAsia="Calibri"/>
              <w:szCs w:val="18"/>
            </w:rPr>
            <w:t>,</w:t>
          </w:r>
          <w:r w:rsidR="005161B8">
            <w:rPr>
              <w:rFonts w:eastAsia="Calibri"/>
              <w:szCs w:val="18"/>
            </w:rPr>
            <w:t xml:space="preserve"> lijkt hier wel impliciet van uit te worden gegaan.</w:t>
          </w:r>
          <w:r w:rsidR="0007442B">
            <w:rPr>
              <w:rFonts w:eastAsia="Calibri"/>
              <w:szCs w:val="18"/>
            </w:rPr>
            <w:t xml:space="preserve"> </w:t>
          </w:r>
          <w:r w:rsidRPr="00BD385E" w:rsidR="00BD385E">
            <w:rPr>
              <w:rFonts w:eastAsia="Calibri"/>
              <w:szCs w:val="18"/>
            </w:rPr>
            <w:t xml:space="preserve">Voor OESO-conforme verdragen geldt dat naderhand geïntroduceerde soortgelijke belastingen naar het inkomen en de winst binnen het toepassingsbereik van het verdrag vallen, maar dat </w:t>
          </w:r>
          <w:r w:rsidR="000C32C1">
            <w:rPr>
              <w:rFonts w:eastAsia="Calibri"/>
              <w:szCs w:val="18"/>
            </w:rPr>
            <w:t xml:space="preserve">dit aan </w:t>
          </w:r>
          <w:r w:rsidRPr="00BD385E" w:rsidR="00BD385E">
            <w:rPr>
              <w:rFonts w:eastAsia="Calibri"/>
              <w:szCs w:val="18"/>
            </w:rPr>
            <w:t>de verdragspartner moet worden genotificeerd. Het is de vraag of het via OESO-werkgroepen</w:t>
          </w:r>
          <w:r w:rsidR="00131971">
            <w:rPr>
              <w:rFonts w:eastAsia="Calibri"/>
              <w:szCs w:val="18"/>
            </w:rPr>
            <w:t xml:space="preserve"> of </w:t>
          </w:r>
          <w:r w:rsidR="00024ABF">
            <w:rPr>
              <w:rFonts w:eastAsia="Calibri"/>
              <w:szCs w:val="18"/>
            </w:rPr>
            <w:t>vanwege het instemmen</w:t>
          </w:r>
          <w:r w:rsidR="00EE0F10">
            <w:rPr>
              <w:rFonts w:eastAsia="Calibri"/>
              <w:szCs w:val="18"/>
            </w:rPr>
            <w:t xml:space="preserve"> met</w:t>
          </w:r>
          <w:r w:rsidR="00E16C63">
            <w:rPr>
              <w:rFonts w:eastAsia="Calibri"/>
              <w:szCs w:val="18"/>
            </w:rPr>
            <w:t xml:space="preserve"> de EU</w:t>
          </w:r>
          <w:r w:rsidR="00BB0767">
            <w:rPr>
              <w:rFonts w:eastAsia="Calibri"/>
              <w:szCs w:val="18"/>
            </w:rPr>
            <w:t>-richtlijn</w:t>
          </w:r>
          <w:r w:rsidRPr="00BD385E" w:rsidR="00BD385E">
            <w:rPr>
              <w:rFonts w:eastAsia="Calibri"/>
              <w:szCs w:val="18"/>
            </w:rPr>
            <w:t xml:space="preserve"> op de hoogte kunnen zijn van de Nederlandse implementatie van Pijler 2 </w:t>
          </w:r>
          <w:r w:rsidR="00044791">
            <w:rPr>
              <w:rFonts w:eastAsia="Calibri"/>
              <w:szCs w:val="18"/>
            </w:rPr>
            <w:t xml:space="preserve">in dat licht </w:t>
          </w:r>
          <w:r w:rsidRPr="00BD385E" w:rsidR="00BD385E">
            <w:rPr>
              <w:rFonts w:eastAsia="Calibri"/>
              <w:szCs w:val="18"/>
            </w:rPr>
            <w:t>voldoende is.</w:t>
          </w:r>
        </w:p>
        <w:p w:rsidR="004765F8" w:rsidP="003F0557" w:rsidRDefault="004765F8" w14:paraId="779FB5A4" w14:textId="77777777">
          <w:pPr>
            <w:rPr>
              <w:rFonts w:eastAsia="Calibri"/>
              <w:szCs w:val="18"/>
            </w:rPr>
          </w:pPr>
        </w:p>
        <w:p w:rsidR="003F0557" w:rsidP="003F0557" w:rsidRDefault="003F0557" w14:paraId="60586EAB" w14:textId="35773B7F">
          <w:pPr>
            <w:rPr>
              <w:rFonts w:eastAsia="Calibri"/>
              <w:szCs w:val="18"/>
            </w:rPr>
          </w:pPr>
          <w:r>
            <w:rPr>
              <w:rFonts w:eastAsia="Calibri"/>
              <w:szCs w:val="18"/>
            </w:rPr>
            <w:t xml:space="preserve">De Afdeling </w:t>
          </w:r>
          <w:r w:rsidR="00410143">
            <w:rPr>
              <w:rFonts w:eastAsia="Calibri"/>
              <w:szCs w:val="18"/>
            </w:rPr>
            <w:t>merkt op dat</w:t>
          </w:r>
          <w:r>
            <w:rPr>
              <w:rFonts w:eastAsia="Calibri"/>
              <w:szCs w:val="18"/>
            </w:rPr>
            <w:t xml:space="preserve"> duidelijkheid hierover niet alleen nodig </w:t>
          </w:r>
          <w:r w:rsidR="00410143">
            <w:rPr>
              <w:rFonts w:eastAsia="Calibri"/>
              <w:szCs w:val="18"/>
            </w:rPr>
            <w:t xml:space="preserve">is </w:t>
          </w:r>
          <w:r>
            <w:rPr>
              <w:rFonts w:eastAsia="Calibri"/>
              <w:szCs w:val="18"/>
            </w:rPr>
            <w:t>voor de situatie waarin de beoogde</w:t>
          </w:r>
          <w:r w:rsidR="004571A3">
            <w:rPr>
              <w:rFonts w:eastAsia="Calibri"/>
              <w:szCs w:val="18"/>
            </w:rPr>
            <w:t>,</w:t>
          </w:r>
          <w:r>
            <w:rPr>
              <w:rFonts w:eastAsia="Calibri"/>
              <w:szCs w:val="18"/>
            </w:rPr>
            <w:t xml:space="preserve"> nog tot stand te komen regels niet tijdig zullen kunnen worden </w:t>
          </w:r>
          <w:r w:rsidR="00F00176">
            <w:rPr>
              <w:rFonts w:eastAsia="Calibri"/>
              <w:szCs w:val="18"/>
            </w:rPr>
            <w:t>toegepast</w:t>
          </w:r>
          <w:r>
            <w:rPr>
              <w:rFonts w:eastAsia="Calibri"/>
              <w:szCs w:val="18"/>
            </w:rPr>
            <w:t xml:space="preserve">, maar ook omdat de voorwaarden voor de toepassing van de bestaande instrumenten in de verschillende bestaande regelingen van wederzijdse bijstand verschillende voorwaarden kennen. </w:t>
          </w:r>
        </w:p>
        <w:p w:rsidR="0013363A" w:rsidP="003F0557" w:rsidRDefault="0013363A" w14:paraId="20A0A8AB" w14:textId="77777777">
          <w:pPr>
            <w:rPr>
              <w:rFonts w:eastAsia="Calibri"/>
              <w:szCs w:val="18"/>
            </w:rPr>
          </w:pPr>
        </w:p>
        <w:p w:rsidR="003F0557" w:rsidP="003F0557" w:rsidRDefault="003F0557" w14:paraId="3B9A8B3C" w14:textId="3A323B06">
          <w:pPr>
            <w:rPr>
              <w:rFonts w:eastAsia="Calibri"/>
              <w:szCs w:val="18"/>
            </w:rPr>
          </w:pPr>
          <w:r>
            <w:rPr>
              <w:rFonts w:eastAsia="Calibri"/>
              <w:szCs w:val="18"/>
            </w:rPr>
            <w:t>De Afdeling adviseert in de toelichting nader op het vo</w:t>
          </w:r>
          <w:r w:rsidR="00B24810">
            <w:rPr>
              <w:rFonts w:eastAsia="Calibri"/>
              <w:szCs w:val="18"/>
            </w:rPr>
            <w:t>o</w:t>
          </w:r>
          <w:r>
            <w:rPr>
              <w:rFonts w:eastAsia="Calibri"/>
              <w:szCs w:val="18"/>
            </w:rPr>
            <w:t>r</w:t>
          </w:r>
          <w:r w:rsidR="00B24810">
            <w:rPr>
              <w:rFonts w:eastAsia="Calibri"/>
              <w:szCs w:val="18"/>
            </w:rPr>
            <w:t>g</w:t>
          </w:r>
          <w:r>
            <w:rPr>
              <w:rFonts w:eastAsia="Calibri"/>
              <w:szCs w:val="18"/>
            </w:rPr>
            <w:t xml:space="preserve">aande in te gaan. </w:t>
          </w:r>
        </w:p>
        <w:p w:rsidR="003F0557" w:rsidP="003F0557" w:rsidRDefault="003F0557" w14:paraId="32DC52F7" w14:textId="77777777">
          <w:pPr>
            <w:rPr>
              <w:rFonts w:eastAsia="Calibri"/>
              <w:szCs w:val="18"/>
            </w:rPr>
          </w:pPr>
        </w:p>
        <w:p w:rsidRPr="004A788B" w:rsidR="003F0557" w:rsidP="003F0557" w:rsidRDefault="003F0557" w14:paraId="13425C6B" w14:textId="77777777">
          <w:pPr>
            <w:rPr>
              <w:rFonts w:eastAsia="Calibri"/>
              <w:szCs w:val="18"/>
              <w:u w:val="single"/>
            </w:rPr>
          </w:pPr>
          <w:r>
            <w:rPr>
              <w:rFonts w:eastAsia="Calibri"/>
              <w:szCs w:val="18"/>
            </w:rPr>
            <w:t>4.</w:t>
          </w:r>
          <w:r>
            <w:rPr>
              <w:rFonts w:eastAsia="Calibri"/>
              <w:szCs w:val="18"/>
            </w:rPr>
            <w:tab/>
          </w:r>
          <w:r>
            <w:rPr>
              <w:rFonts w:eastAsia="Calibri"/>
              <w:szCs w:val="18"/>
              <w:u w:val="single"/>
            </w:rPr>
            <w:t>Gevolgen belastingbeleid</w:t>
          </w:r>
        </w:p>
        <w:p w:rsidR="003F0557" w:rsidP="003F0557" w:rsidRDefault="003F0557" w14:paraId="73E036BB" w14:textId="77777777">
          <w:pPr>
            <w:rPr>
              <w:rFonts w:eastAsia="Calibri"/>
              <w:szCs w:val="18"/>
            </w:rPr>
          </w:pPr>
        </w:p>
        <w:p w:rsidR="00B24810" w:rsidP="003F0557" w:rsidRDefault="003F0557" w14:paraId="0E9D82A9" w14:textId="77777777">
          <w:pPr>
            <w:rPr>
              <w:rFonts w:eastAsia="Calibri"/>
              <w:szCs w:val="18"/>
            </w:rPr>
          </w:pPr>
          <w:r>
            <w:rPr>
              <w:rFonts w:eastAsia="Calibri"/>
              <w:szCs w:val="18"/>
            </w:rPr>
            <w:t>De minimumbelasting leidt ertoe dat ongeacht de hoogte van de heffing van vennootschapsbelasting (Vpb) bij de verschillende tot een groep behorende groepsentiteiten effectief een minimumpercentage van 15% geldt</w:t>
          </w:r>
          <w:r w:rsidR="00B651C2">
            <w:rPr>
              <w:rFonts w:eastAsia="Calibri"/>
              <w:szCs w:val="18"/>
            </w:rPr>
            <w:t xml:space="preserve"> over de op basis van </w:t>
          </w:r>
          <w:r w:rsidR="00E965C0">
            <w:rPr>
              <w:rFonts w:eastAsia="Calibri"/>
              <w:szCs w:val="18"/>
            </w:rPr>
            <w:t xml:space="preserve">een </w:t>
          </w:r>
          <w:r w:rsidRPr="00F148AF" w:rsidR="00D5293B">
            <w:rPr>
              <w:szCs w:val="20"/>
            </w:rPr>
            <w:t>geaccepteerde financiële verslaggevingstandaard</w:t>
          </w:r>
          <w:r w:rsidR="00B651C2">
            <w:rPr>
              <w:rFonts w:eastAsia="Calibri"/>
              <w:szCs w:val="18"/>
            </w:rPr>
            <w:t xml:space="preserve"> bepaalde winst (met een aantal in de richtlijn opgenomen correcties)</w:t>
          </w:r>
          <w:r>
            <w:rPr>
              <w:rFonts w:eastAsia="Calibri"/>
              <w:szCs w:val="18"/>
            </w:rPr>
            <w:t xml:space="preserve">. Dit kan ook gevolgen hebben voor het Nederlandse beleid inzake de Vpb alsmede voor het Nederlandse verdragsbeleid. Immers, het door Nederland toepassen van belastingfaciliteiten binnen de Vpb of het afzien van heffing van Vpb in internationaal verband, betekent voor de doelgroep van de minimumbelasting dat alsnog in Nederland minimumbelasting zal worden bijgeheven, dan wel dat een andere staat dat zal doen. </w:t>
          </w:r>
        </w:p>
        <w:p w:rsidR="00B24810" w:rsidP="003F0557" w:rsidRDefault="00B24810" w14:paraId="76916922" w14:textId="77777777">
          <w:pPr>
            <w:rPr>
              <w:rFonts w:eastAsia="Calibri"/>
              <w:szCs w:val="18"/>
            </w:rPr>
          </w:pPr>
        </w:p>
        <w:p w:rsidR="00414131" w:rsidRDefault="003F0557" w14:paraId="6D596AAE" w14:textId="77777777">
          <w:r>
            <w:rPr>
              <w:rFonts w:eastAsia="Calibri"/>
              <w:szCs w:val="18"/>
            </w:rPr>
            <w:t xml:space="preserve">Dit roept de vraag op welke gevolgen Nederland in het fiscale beleid inzake de Vpb en in het Nederlandse verdragsbeleid wil verbinden aan de introductie van de minimumbelasting. De Afdeling merkt op dat deze vraag losstaat van de thans voorliggende implementatie, maar acht het wel wenselijk dat </w:t>
          </w:r>
          <w:r w:rsidR="00B651C2">
            <w:rPr>
              <w:rFonts w:eastAsia="Calibri"/>
              <w:szCs w:val="18"/>
            </w:rPr>
            <w:t xml:space="preserve">de regering </w:t>
          </w:r>
          <w:r>
            <w:rPr>
              <w:rFonts w:eastAsia="Calibri"/>
              <w:szCs w:val="18"/>
            </w:rPr>
            <w:lastRenderedPageBreak/>
            <w:t>separaat aan dit wetsvoorstel hierover duidelijkheid creëer</w:t>
          </w:r>
          <w:r w:rsidR="00B651C2">
            <w:rPr>
              <w:rFonts w:eastAsia="Calibri"/>
              <w:szCs w:val="18"/>
            </w:rPr>
            <w:t>t</w:t>
          </w:r>
          <w:r>
            <w:rPr>
              <w:rFonts w:eastAsia="Calibri"/>
              <w:szCs w:val="18"/>
            </w:rPr>
            <w:t xml:space="preserve">. </w:t>
          </w:r>
          <w:r w:rsidR="00EE1078">
            <w:rPr>
              <w:rFonts w:eastAsia="Calibri"/>
              <w:szCs w:val="18"/>
            </w:rPr>
            <w:t>De Afdeling adviseert hier</w:t>
          </w:r>
          <w:r w:rsidR="003B3FC7">
            <w:rPr>
              <w:rFonts w:eastAsia="Calibri"/>
              <w:szCs w:val="18"/>
            </w:rPr>
            <w:t xml:space="preserve"> </w:t>
          </w:r>
          <w:r w:rsidR="00EE1078">
            <w:rPr>
              <w:rFonts w:eastAsia="Calibri"/>
              <w:szCs w:val="18"/>
            </w:rPr>
            <w:t>op</w:t>
          </w:r>
          <w:r w:rsidR="003B3FC7">
            <w:rPr>
              <w:rFonts w:eastAsia="Calibri"/>
              <w:szCs w:val="18"/>
            </w:rPr>
            <w:t>volging</w:t>
          </w:r>
          <w:r w:rsidR="00D070AB">
            <w:rPr>
              <w:rFonts w:eastAsia="Calibri"/>
              <w:szCs w:val="18"/>
            </w:rPr>
            <w:t xml:space="preserve"> aan te geven</w:t>
          </w:r>
          <w:r w:rsidR="00EE1078">
            <w:rPr>
              <w:rFonts w:eastAsia="Calibri"/>
              <w:szCs w:val="18"/>
            </w:rPr>
            <w:t>.</w:t>
          </w:r>
        </w:p>
        <w:p w:rsidR="00414131" w:rsidRDefault="00414131" w14:paraId="38FE7C2F" w14:textId="77777777">
          <w:r>
            <w:br w:type="page"/>
          </w:r>
        </w:p>
        <w:p w:rsidR="006938F0" w:rsidRDefault="004C0A0F" w14:paraId="627E558C" w14:textId="1A5E9172"/>
      </w:sdtContent>
    </w:sdt>
    <w:p w:rsidR="008B1814" w:rsidRDefault="008B1814" w14:paraId="51F0FB9A" w14:textId="4CC0E588"/>
    <w:sdt>
      <w:sdtPr>
        <w:tag w:val="bmDictum"/>
        <w:id w:val="1310901584"/>
        <w:lock w:val="sdtLocked"/>
        <w:placeholder>
          <w:docPart w:val="DefaultPlaceholder_-1854013440"/>
        </w:placeholder>
      </w:sdtPr>
      <w:sdtEndPr/>
      <w:sdtContent>
        <w:p w:rsidR="002B2612" w:rsidRDefault="00FF7B44" w14:paraId="1F326A13" w14:textId="42015DDA">
          <w:r>
            <w:t xml:space="preserve">De Afdeling advisering van de Raad van State heeft een aantal opmerkingen bij het voorstel en adviseert daarmee rekening te houden voordat het voorstel bij de Tweede Kamer der Staten-Generaal wordt ingediend. </w:t>
          </w:r>
          <w:r>
            <w:br/>
          </w:r>
          <w:r>
            <w:br/>
          </w:r>
          <w:r>
            <w:br/>
          </w:r>
          <w:r>
            <w:br/>
          </w:r>
          <w:r>
            <w:br/>
          </w:r>
          <w:r>
            <w:br/>
            <w:t>De vice-president van de Raad van State,</w:t>
          </w:r>
        </w:p>
      </w:sdtContent>
    </w:sdt>
    <w:sectPr w:rsidR="002B2612" w:rsidSect="00414131">
      <w:headerReference w:type="even" r:id="rId7"/>
      <w:headerReference w:type="default" r:id="rId8"/>
      <w:footerReference w:type="even" r:id="rId9"/>
      <w:footerReference w:type="default" r:id="rId10"/>
      <w:headerReference w:type="first" r:id="rId11"/>
      <w:footerReference w:type="first" r:id="rId12"/>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98FF5" w14:textId="77777777" w:rsidR="001A68EF" w:rsidRDefault="001A68EF">
      <w:r>
        <w:separator/>
      </w:r>
    </w:p>
  </w:endnote>
  <w:endnote w:type="continuationSeparator" w:id="0">
    <w:p w14:paraId="2E10BAAC" w14:textId="77777777" w:rsidR="001A68EF" w:rsidRDefault="001A68EF">
      <w:r>
        <w:continuationSeparator/>
      </w:r>
    </w:p>
  </w:endnote>
  <w:endnote w:type="continuationNotice" w:id="1">
    <w:p w14:paraId="79C94033" w14:textId="77777777" w:rsidR="001A68EF" w:rsidRDefault="001A68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A3D89" w14:textId="77777777" w:rsidR="004C0A0F" w:rsidRDefault="004C0A0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581678" w14:paraId="627E5594" w14:textId="77777777">
      <w:tc>
        <w:tcPr>
          <w:tcW w:w="4815" w:type="dxa"/>
        </w:tcPr>
        <w:p w14:paraId="627E5592" w14:textId="77777777" w:rsidR="006938F0" w:rsidRDefault="006938F0">
          <w:pPr>
            <w:pStyle w:val="Voettekst"/>
          </w:pPr>
        </w:p>
      </w:tc>
      <w:tc>
        <w:tcPr>
          <w:tcW w:w="4247" w:type="dxa"/>
        </w:tcPr>
        <w:p w14:paraId="627E5593" w14:textId="77777777" w:rsidR="006938F0" w:rsidRDefault="006938F0">
          <w:pPr>
            <w:pStyle w:val="Voettekst"/>
            <w:jc w:val="right"/>
          </w:pPr>
        </w:p>
      </w:tc>
    </w:tr>
  </w:tbl>
  <w:p w14:paraId="627E5595" w14:textId="77777777" w:rsidR="006938F0" w:rsidRDefault="006938F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629C5" w14:textId="6911E175" w:rsidR="00414131" w:rsidRPr="00414131" w:rsidRDefault="00414131">
    <w:pPr>
      <w:pStyle w:val="Voettekst"/>
      <w:rPr>
        <w:rFonts w:ascii="Bembo" w:hAnsi="Bembo"/>
        <w:sz w:val="32"/>
      </w:rPr>
    </w:pPr>
    <w:r w:rsidRPr="00414131">
      <w:rPr>
        <w:rFonts w:ascii="Bembo" w:hAnsi="Bembo"/>
        <w:sz w:val="32"/>
      </w:rPr>
      <w:t>AAN DE KONING</w:t>
    </w:r>
  </w:p>
  <w:p w14:paraId="66F69394" w14:textId="77777777" w:rsidR="00414131" w:rsidRDefault="0041413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99D50" w14:textId="77777777" w:rsidR="001A68EF" w:rsidRDefault="001A68EF">
      <w:r>
        <w:separator/>
      </w:r>
    </w:p>
  </w:footnote>
  <w:footnote w:type="continuationSeparator" w:id="0">
    <w:p w14:paraId="584E9806" w14:textId="77777777" w:rsidR="001A68EF" w:rsidRDefault="001A68EF">
      <w:r>
        <w:continuationSeparator/>
      </w:r>
    </w:p>
  </w:footnote>
  <w:footnote w:type="continuationNotice" w:id="1">
    <w:p w14:paraId="3DB606C6" w14:textId="77777777" w:rsidR="001A68EF" w:rsidRDefault="001A68EF"/>
  </w:footnote>
  <w:footnote w:id="2">
    <w:p w14:paraId="643AC125" w14:textId="77777777" w:rsidR="003F0557" w:rsidRPr="002E09A1" w:rsidRDefault="003F0557" w:rsidP="003F0557">
      <w:pPr>
        <w:pStyle w:val="Voetnoottekst"/>
        <w:rPr>
          <w:rFonts w:ascii="Univers" w:hAnsi="Univers"/>
          <w:sz w:val="18"/>
          <w:szCs w:val="18"/>
          <w:lang w:val="nl-NL"/>
        </w:rPr>
      </w:pPr>
      <w:r w:rsidRPr="002E09A1">
        <w:rPr>
          <w:rStyle w:val="Voetnootmarkering"/>
          <w:rFonts w:ascii="Univers" w:hAnsi="Univers"/>
          <w:sz w:val="18"/>
          <w:szCs w:val="18"/>
        </w:rPr>
        <w:footnoteRef/>
      </w:r>
      <w:r w:rsidRPr="002E09A1">
        <w:rPr>
          <w:rFonts w:ascii="Univers" w:hAnsi="Univers"/>
          <w:sz w:val="18"/>
          <w:szCs w:val="18"/>
          <w:lang w:val="nl-NL"/>
        </w:rPr>
        <w:t xml:space="preserve"> Binnenlandse groepen zijn groepen waarvan alle entiteiten in Nederland zijn gevestigd</w:t>
      </w:r>
      <w:r>
        <w:rPr>
          <w:rFonts w:ascii="Univers" w:hAnsi="Univers"/>
          <w:sz w:val="18"/>
          <w:szCs w:val="18"/>
          <w:lang w:val="nl-NL"/>
        </w:rPr>
        <w:t>.</w:t>
      </w:r>
    </w:p>
  </w:footnote>
  <w:footnote w:id="3">
    <w:p w14:paraId="49BD50C2" w14:textId="26090A7F" w:rsidR="00044173" w:rsidRPr="004B2DB5" w:rsidRDefault="00263A04" w:rsidP="00044173">
      <w:pPr>
        <w:pStyle w:val="Voetnoottekst"/>
        <w:rPr>
          <w:rFonts w:ascii="Univers" w:hAnsi="Univers"/>
          <w:sz w:val="18"/>
          <w:szCs w:val="18"/>
          <w:lang w:val="nl-NL"/>
        </w:rPr>
      </w:pPr>
      <w:r w:rsidRPr="004B2DB5">
        <w:rPr>
          <w:rStyle w:val="Voetnootmarkering"/>
          <w:rFonts w:ascii="Univers" w:hAnsi="Univers"/>
          <w:sz w:val="18"/>
          <w:szCs w:val="18"/>
        </w:rPr>
        <w:footnoteRef/>
      </w:r>
      <w:r w:rsidRPr="004B2DB5">
        <w:rPr>
          <w:rFonts w:ascii="Univers" w:hAnsi="Univers"/>
          <w:sz w:val="18"/>
          <w:szCs w:val="18"/>
          <w:lang w:val="nl-NL"/>
        </w:rPr>
        <w:t xml:space="preserve"> </w:t>
      </w:r>
      <w:r w:rsidR="00044173" w:rsidRPr="004B2DB5">
        <w:rPr>
          <w:rFonts w:ascii="Univers" w:hAnsi="Univers"/>
          <w:sz w:val="18"/>
          <w:szCs w:val="18"/>
          <w:lang w:val="nl-NL"/>
        </w:rPr>
        <w:t>Bij de inkomen-inclusie</w:t>
      </w:r>
      <w:r w:rsidR="008866D4">
        <w:rPr>
          <w:rFonts w:ascii="Univers" w:hAnsi="Univers"/>
          <w:sz w:val="18"/>
          <w:szCs w:val="18"/>
          <w:lang w:val="nl-NL"/>
        </w:rPr>
        <w:t>bijheffing</w:t>
      </w:r>
      <w:r w:rsidR="00044173" w:rsidRPr="004B2DB5">
        <w:rPr>
          <w:rFonts w:ascii="Univers" w:hAnsi="Univers"/>
          <w:sz w:val="18"/>
          <w:szCs w:val="18"/>
          <w:lang w:val="nl-NL"/>
        </w:rPr>
        <w:t xml:space="preserve"> wordt het deel van de overwinst van een laagbelaste groepsentiteit die zich ergens in de groepsstructuur bevindt over het algemeen belast op het niveau van de uiteindelijkemoederentiteit. </w:t>
      </w:r>
    </w:p>
    <w:p w14:paraId="7ECFEE73" w14:textId="2D0D2902" w:rsidR="00044173" w:rsidRPr="004B2DB5" w:rsidRDefault="00044173" w:rsidP="00044173">
      <w:pPr>
        <w:pStyle w:val="Voetnoottekst"/>
        <w:rPr>
          <w:rFonts w:ascii="Univers" w:hAnsi="Univers"/>
          <w:sz w:val="18"/>
          <w:szCs w:val="18"/>
          <w:lang w:val="nl-NL"/>
        </w:rPr>
      </w:pPr>
      <w:r w:rsidRPr="004B2DB5">
        <w:rPr>
          <w:rFonts w:ascii="Univers" w:hAnsi="Univers"/>
          <w:sz w:val="18"/>
          <w:szCs w:val="18"/>
          <w:lang w:val="nl-NL"/>
        </w:rPr>
        <w:t>De inkomen-inclusie</w:t>
      </w:r>
      <w:r w:rsidR="008866D4">
        <w:rPr>
          <w:rFonts w:ascii="Univers" w:hAnsi="Univers"/>
          <w:sz w:val="18"/>
          <w:szCs w:val="18"/>
          <w:lang w:val="nl-NL"/>
        </w:rPr>
        <w:t>bijheffing</w:t>
      </w:r>
      <w:r w:rsidRPr="004B2DB5">
        <w:rPr>
          <w:rFonts w:ascii="Univers" w:hAnsi="Univers"/>
          <w:sz w:val="18"/>
          <w:szCs w:val="18"/>
          <w:lang w:val="nl-NL"/>
        </w:rPr>
        <w:t xml:space="preserve"> wordt niet alleen toegepast op laagbelaste groepsentiteiten die in een andere staat zijn gevestigd dan de moederentiteit, maar ook ter zake van de laagbelaste moederentiteit zelf alsmede haar – in diezelfde staat gevestigde – laagbelaste groepsentiteiten. Voor zover geen inkomen-inclusie</w:t>
      </w:r>
      <w:r w:rsidR="008866D4">
        <w:rPr>
          <w:rFonts w:ascii="Univers" w:hAnsi="Univers"/>
          <w:sz w:val="18"/>
          <w:szCs w:val="18"/>
          <w:lang w:val="nl-NL"/>
        </w:rPr>
        <w:t>bijheffing</w:t>
      </w:r>
      <w:r w:rsidRPr="004B2DB5">
        <w:rPr>
          <w:rFonts w:ascii="Univers" w:hAnsi="Univers"/>
          <w:sz w:val="18"/>
          <w:szCs w:val="18"/>
          <w:lang w:val="nl-NL"/>
        </w:rPr>
        <w:t xml:space="preserve"> wordt toegepast door de staat waarin de uiteindelijkemoederentiteit is gevestigd, wordt de (resterende) bijheffing verzekerd door toepassing van de onderbelastewinst</w:t>
      </w:r>
      <w:r w:rsidR="0091050C">
        <w:rPr>
          <w:rFonts w:ascii="Univers" w:hAnsi="Univers"/>
          <w:sz w:val="18"/>
          <w:szCs w:val="18"/>
          <w:lang w:val="nl-NL"/>
        </w:rPr>
        <w:t>bijheffing</w:t>
      </w:r>
      <w:r w:rsidRPr="004B2DB5">
        <w:rPr>
          <w:rFonts w:ascii="Univers" w:hAnsi="Univers"/>
          <w:sz w:val="18"/>
          <w:szCs w:val="18"/>
          <w:lang w:val="nl-NL"/>
        </w:rPr>
        <w:t>. De onderbelastewinst</w:t>
      </w:r>
      <w:r w:rsidR="0091050C">
        <w:rPr>
          <w:rFonts w:ascii="Univers" w:hAnsi="Univers"/>
          <w:sz w:val="18"/>
          <w:szCs w:val="18"/>
          <w:lang w:val="nl-NL"/>
        </w:rPr>
        <w:t>bijheffing</w:t>
      </w:r>
      <w:r w:rsidRPr="004B2DB5">
        <w:rPr>
          <w:rFonts w:ascii="Univers" w:hAnsi="Univers"/>
          <w:sz w:val="18"/>
          <w:szCs w:val="18"/>
          <w:lang w:val="nl-NL"/>
        </w:rPr>
        <w:t xml:space="preserve"> werkt als zogenoemde </w:t>
      </w:r>
      <w:r w:rsidR="00B41AFE">
        <w:rPr>
          <w:rFonts w:ascii="Univers" w:hAnsi="Univers"/>
          <w:sz w:val="18"/>
          <w:szCs w:val="18"/>
          <w:lang w:val="nl-NL"/>
        </w:rPr>
        <w:t>“</w:t>
      </w:r>
      <w:r w:rsidRPr="004B2DB5">
        <w:rPr>
          <w:rFonts w:ascii="Univers" w:hAnsi="Univers"/>
          <w:sz w:val="18"/>
          <w:szCs w:val="18"/>
          <w:lang w:val="nl-NL"/>
        </w:rPr>
        <w:t>backstop</w:t>
      </w:r>
      <w:r w:rsidR="00B41AFE">
        <w:rPr>
          <w:rFonts w:ascii="Univers" w:hAnsi="Univers"/>
          <w:sz w:val="18"/>
          <w:szCs w:val="18"/>
          <w:lang w:val="nl-NL"/>
        </w:rPr>
        <w:t>”</w:t>
      </w:r>
      <w:r w:rsidRPr="004B2DB5">
        <w:rPr>
          <w:rFonts w:ascii="Univers" w:hAnsi="Univers"/>
          <w:sz w:val="18"/>
          <w:szCs w:val="18"/>
          <w:lang w:val="nl-NL"/>
        </w:rPr>
        <w:t xml:space="preserve"> van de inkomen-inclusie</w:t>
      </w:r>
      <w:r w:rsidR="0091050C">
        <w:rPr>
          <w:rFonts w:ascii="Univers" w:hAnsi="Univers"/>
          <w:sz w:val="18"/>
          <w:szCs w:val="18"/>
          <w:lang w:val="nl-NL"/>
        </w:rPr>
        <w:t>bijheffing</w:t>
      </w:r>
      <w:r w:rsidRPr="004B2DB5">
        <w:rPr>
          <w:rFonts w:ascii="Univers" w:hAnsi="Univers"/>
          <w:sz w:val="18"/>
          <w:szCs w:val="18"/>
          <w:lang w:val="nl-NL"/>
        </w:rPr>
        <w:t xml:space="preserve">. </w:t>
      </w:r>
    </w:p>
    <w:p w14:paraId="1F194C7E" w14:textId="30114ECF" w:rsidR="00263A04" w:rsidRPr="004B2DB5" w:rsidRDefault="00044173" w:rsidP="00044173">
      <w:pPr>
        <w:pStyle w:val="Voetnoottekst"/>
        <w:rPr>
          <w:lang w:val="nl-NL"/>
        </w:rPr>
      </w:pPr>
      <w:r w:rsidRPr="004B2DB5">
        <w:rPr>
          <w:rFonts w:ascii="Univers" w:hAnsi="Univers"/>
          <w:sz w:val="18"/>
          <w:szCs w:val="18"/>
          <w:lang w:val="nl-NL"/>
        </w:rPr>
        <w:t xml:space="preserve">Daarnaast biedt </w:t>
      </w:r>
      <w:r w:rsidR="00D21A46">
        <w:rPr>
          <w:rFonts w:ascii="Univers" w:hAnsi="Univers"/>
          <w:sz w:val="18"/>
          <w:szCs w:val="18"/>
          <w:lang w:val="nl-NL"/>
        </w:rPr>
        <w:t>de r</w:t>
      </w:r>
      <w:r w:rsidRPr="004B2DB5">
        <w:rPr>
          <w:rFonts w:ascii="Univers" w:hAnsi="Univers"/>
          <w:sz w:val="18"/>
          <w:szCs w:val="18"/>
          <w:lang w:val="nl-NL"/>
        </w:rPr>
        <w:t>ichtlijn</w:t>
      </w:r>
      <w:r w:rsidR="007B2B45">
        <w:rPr>
          <w:rFonts w:ascii="Univers" w:hAnsi="Univers"/>
          <w:sz w:val="18"/>
          <w:szCs w:val="18"/>
          <w:lang w:val="nl-NL"/>
        </w:rPr>
        <w:t xml:space="preserve"> </w:t>
      </w:r>
      <w:r w:rsidRPr="004B2DB5">
        <w:rPr>
          <w:rFonts w:ascii="Univers" w:hAnsi="Univers"/>
          <w:sz w:val="18"/>
          <w:szCs w:val="18"/>
          <w:lang w:val="nl-NL"/>
        </w:rPr>
        <w:t xml:space="preserve">de lidstaten de mogelijkheid om een zogenoemde kwalificerende binnenlandse bijheffing te implementeren. </w:t>
      </w:r>
      <w:r w:rsidR="00F02B8A">
        <w:rPr>
          <w:rFonts w:ascii="Univers" w:hAnsi="Univers"/>
          <w:sz w:val="18"/>
          <w:szCs w:val="18"/>
          <w:lang w:val="nl-NL"/>
        </w:rPr>
        <w:t>De regering</w:t>
      </w:r>
      <w:r w:rsidRPr="004B2DB5">
        <w:rPr>
          <w:rFonts w:ascii="Univers" w:hAnsi="Univers"/>
          <w:sz w:val="18"/>
          <w:szCs w:val="18"/>
          <w:lang w:val="nl-NL"/>
        </w:rPr>
        <w:t xml:space="preserve"> heeft ervoor gekozen om een dergelijke binnenlandse bijheffing in te voeren. Met een kwalificerende binnenlandse bijheffing heeft Nederland de mogelijkheid om – kort gezegd – ook over de overwinst van in Nederland gevestigde laagbelaste groepsentiteiten van een multinationale groep zonder uiteindelijkemoederentiteit in Nederland bij te heffen tot een effectief tarief van 15%.</w:t>
      </w:r>
      <w:r w:rsidRPr="00044173">
        <w:rPr>
          <w:lang w:val="nl-NL"/>
        </w:rPr>
        <w:t xml:space="preserve"> </w:t>
      </w:r>
    </w:p>
  </w:footnote>
  <w:footnote w:id="4">
    <w:p w14:paraId="5B825218" w14:textId="405FA1D9" w:rsidR="000777BB" w:rsidRPr="000777BB" w:rsidRDefault="000777BB">
      <w:pPr>
        <w:pStyle w:val="Voetnoottekst"/>
        <w:rPr>
          <w:rFonts w:ascii="Univers" w:hAnsi="Univers"/>
          <w:sz w:val="18"/>
          <w:szCs w:val="18"/>
          <w:lang w:val="nl-NL"/>
        </w:rPr>
      </w:pPr>
      <w:r w:rsidRPr="000777BB">
        <w:rPr>
          <w:rStyle w:val="Voetnootmarkering"/>
          <w:rFonts w:ascii="Univers" w:hAnsi="Univers"/>
          <w:sz w:val="18"/>
          <w:szCs w:val="18"/>
        </w:rPr>
        <w:footnoteRef/>
      </w:r>
      <w:r w:rsidRPr="000777BB">
        <w:rPr>
          <w:rFonts w:ascii="Univers" w:hAnsi="Univers"/>
          <w:sz w:val="18"/>
          <w:szCs w:val="18"/>
          <w:lang w:val="nl-NL"/>
        </w:rPr>
        <w:t xml:space="preserve"> Hierin werken zowel lidstaten als niet-lidstaten van de OESO samen.</w:t>
      </w:r>
    </w:p>
  </w:footnote>
  <w:footnote w:id="5">
    <w:p w14:paraId="66483059" w14:textId="569D66F7" w:rsidR="00525D59" w:rsidRPr="00525D59" w:rsidRDefault="00525D59">
      <w:pPr>
        <w:pStyle w:val="Voetnoottekst"/>
        <w:rPr>
          <w:rFonts w:ascii="Univers" w:hAnsi="Univers"/>
          <w:sz w:val="18"/>
          <w:szCs w:val="18"/>
        </w:rPr>
      </w:pPr>
      <w:r w:rsidRPr="00525D59">
        <w:rPr>
          <w:rStyle w:val="Voetnootmarkering"/>
          <w:rFonts w:ascii="Univers" w:hAnsi="Univers"/>
          <w:sz w:val="18"/>
          <w:szCs w:val="18"/>
        </w:rPr>
        <w:footnoteRef/>
      </w:r>
      <w:r w:rsidRPr="00525D59">
        <w:rPr>
          <w:rFonts w:ascii="Univers" w:hAnsi="Univers"/>
          <w:sz w:val="18"/>
          <w:szCs w:val="18"/>
        </w:rPr>
        <w:t xml:space="preserve"> </w:t>
      </w:r>
      <w:r w:rsidRPr="00525D59">
        <w:rPr>
          <w:rFonts w:ascii="Univers" w:hAnsi="Univers"/>
          <w:sz w:val="18"/>
          <w:szCs w:val="18"/>
          <w:lang w:val="en-GB"/>
        </w:rPr>
        <w:t xml:space="preserve">OECD (2021) Tax Challenges Arising from the Digitalisation of the Economy – Globals Anti-Base erosion Model Rules (Pillar two). </w:t>
      </w:r>
    </w:p>
  </w:footnote>
  <w:footnote w:id="6">
    <w:p w14:paraId="0880B052" w14:textId="44007F50" w:rsidR="005A3AC5" w:rsidRPr="00D25E1E" w:rsidRDefault="005A3AC5">
      <w:pPr>
        <w:pStyle w:val="Voetnoottekst"/>
        <w:rPr>
          <w:rFonts w:ascii="Univers" w:hAnsi="Univers"/>
          <w:sz w:val="18"/>
          <w:szCs w:val="18"/>
        </w:rPr>
      </w:pPr>
      <w:r w:rsidRPr="00D25E1E">
        <w:rPr>
          <w:rStyle w:val="Voetnootmarkering"/>
          <w:rFonts w:ascii="Univers" w:hAnsi="Univers"/>
          <w:sz w:val="18"/>
          <w:szCs w:val="18"/>
        </w:rPr>
        <w:footnoteRef/>
      </w:r>
      <w:r w:rsidRPr="00D25E1E">
        <w:rPr>
          <w:rFonts w:ascii="Univers" w:hAnsi="Univers"/>
          <w:sz w:val="18"/>
          <w:szCs w:val="18"/>
        </w:rPr>
        <w:t xml:space="preserve"> </w:t>
      </w:r>
      <w:r w:rsidR="008835BE" w:rsidRPr="00D25E1E">
        <w:rPr>
          <w:rFonts w:ascii="Univers" w:hAnsi="Univers"/>
          <w:sz w:val="18"/>
          <w:szCs w:val="18"/>
          <w:lang w:val="en-GB"/>
        </w:rPr>
        <w:t xml:space="preserve">Zie </w:t>
      </w:r>
      <w:hyperlink r:id="rId1" w:history="1">
        <w:r w:rsidR="008835BE" w:rsidRPr="00D25E1E">
          <w:rPr>
            <w:rStyle w:val="Hyperlink"/>
            <w:rFonts w:ascii="Univers" w:hAnsi="Univers"/>
            <w:sz w:val="18"/>
            <w:szCs w:val="18"/>
          </w:rPr>
          <w:t>https://www.pwc.com/gx/en/services/tax/pillar-two-readiness/country-tracker.html</w:t>
        </w:r>
      </w:hyperlink>
      <w:r w:rsidR="008835BE" w:rsidRPr="00D25E1E">
        <w:rPr>
          <w:rFonts w:ascii="Univers" w:hAnsi="Univers"/>
          <w:sz w:val="18"/>
          <w:szCs w:val="18"/>
          <w:lang w:val="en-GB"/>
        </w:rPr>
        <w:t xml:space="preserve"> en Mindy Herzfeld, A Pillar 2 Tour Around the World, Tax </w:t>
      </w:r>
      <w:r w:rsidR="00551298">
        <w:rPr>
          <w:rFonts w:ascii="Univers" w:hAnsi="Univers"/>
          <w:sz w:val="18"/>
          <w:szCs w:val="18"/>
          <w:lang w:val="en-GB"/>
        </w:rPr>
        <w:t>N</w:t>
      </w:r>
      <w:r w:rsidR="008835BE" w:rsidRPr="00D25E1E">
        <w:rPr>
          <w:rFonts w:ascii="Univers" w:hAnsi="Univers"/>
          <w:sz w:val="18"/>
          <w:szCs w:val="18"/>
          <w:lang w:val="en-GB"/>
        </w:rPr>
        <w:t xml:space="preserve">otes </w:t>
      </w:r>
      <w:r w:rsidR="00551298">
        <w:rPr>
          <w:rFonts w:ascii="Univers" w:hAnsi="Univers"/>
          <w:sz w:val="18"/>
          <w:szCs w:val="18"/>
          <w:lang w:val="en-GB"/>
        </w:rPr>
        <w:t>I</w:t>
      </w:r>
      <w:r w:rsidR="008835BE" w:rsidRPr="00D25E1E">
        <w:rPr>
          <w:rFonts w:ascii="Univers" w:hAnsi="Univers"/>
          <w:sz w:val="18"/>
          <w:szCs w:val="18"/>
          <w:lang w:val="en-GB"/>
        </w:rPr>
        <w:t>nternational 17 april 2023</w:t>
      </w:r>
      <w:r w:rsidR="00551298">
        <w:rPr>
          <w:rFonts w:ascii="Univers" w:hAnsi="Univers"/>
          <w:sz w:val="18"/>
          <w:szCs w:val="18"/>
          <w:lang w:val="en-GB"/>
        </w:rPr>
        <w:t xml:space="preserve">, p. </w:t>
      </w:r>
      <w:r w:rsidR="00F562D3">
        <w:rPr>
          <w:rFonts w:ascii="Univers" w:hAnsi="Univers"/>
          <w:sz w:val="18"/>
          <w:szCs w:val="18"/>
          <w:lang w:val="en-GB"/>
        </w:rPr>
        <w:t>305-</w:t>
      </w:r>
      <w:r w:rsidR="00D31127">
        <w:rPr>
          <w:rFonts w:ascii="Univers" w:hAnsi="Univers"/>
          <w:sz w:val="18"/>
          <w:szCs w:val="18"/>
          <w:lang w:val="en-GB"/>
        </w:rPr>
        <w:t>309</w:t>
      </w:r>
      <w:r w:rsidR="008835BE">
        <w:rPr>
          <w:rFonts w:ascii="Univers" w:hAnsi="Univers"/>
          <w:sz w:val="18"/>
          <w:szCs w:val="18"/>
          <w:lang w:val="en-GB"/>
        </w:rPr>
        <w:t xml:space="preserve">. </w:t>
      </w:r>
    </w:p>
  </w:footnote>
  <w:footnote w:id="7">
    <w:p w14:paraId="1416A9ED" w14:textId="1CF7D3D3" w:rsidR="00622791" w:rsidRPr="00622791" w:rsidRDefault="00622791">
      <w:pPr>
        <w:pStyle w:val="Voetnoottekst"/>
        <w:rPr>
          <w:rFonts w:ascii="Univers" w:hAnsi="Univers"/>
          <w:sz w:val="18"/>
          <w:szCs w:val="18"/>
          <w:lang w:val="nl-NL"/>
        </w:rPr>
      </w:pPr>
      <w:r w:rsidRPr="00622791" w:rsidDel="00D567E3">
        <w:rPr>
          <w:rStyle w:val="Voetnootmarkering"/>
          <w:rFonts w:ascii="Univers" w:hAnsi="Univers"/>
          <w:sz w:val="18"/>
          <w:szCs w:val="18"/>
        </w:rPr>
        <w:footnoteRef/>
      </w:r>
      <w:r w:rsidRPr="00622791" w:rsidDel="00D567E3">
        <w:rPr>
          <w:rFonts w:ascii="Univers" w:hAnsi="Univers"/>
          <w:sz w:val="18"/>
          <w:szCs w:val="18"/>
          <w:lang w:val="nl-NL"/>
        </w:rPr>
        <w:t xml:space="preserve"> Dit geldt niet alleen voor bedrijven die binnen het bereik van het voorstel vallen, maar ook voor de lidstaten van de EU. Zie bijvoorbeeld de uitspraken van Benjamin Angel in het artikel “Pillar 2 is transformational for the EU, Top Tax Official says” in Tax Notes International van 24 april 202</w:t>
      </w:r>
      <w:r w:rsidR="00F07C2C" w:rsidDel="00D567E3">
        <w:rPr>
          <w:rFonts w:ascii="Univers" w:hAnsi="Univers"/>
          <w:sz w:val="18"/>
          <w:szCs w:val="18"/>
          <w:lang w:val="nl-NL"/>
        </w:rPr>
        <w:t>3</w:t>
      </w:r>
      <w:r w:rsidR="00781163" w:rsidDel="00D567E3">
        <w:rPr>
          <w:rFonts w:ascii="Univers" w:hAnsi="Univers"/>
          <w:sz w:val="18"/>
          <w:szCs w:val="18"/>
          <w:lang w:val="nl-NL"/>
        </w:rPr>
        <w:t>, p. 518</w:t>
      </w:r>
      <w:r w:rsidRPr="00622791" w:rsidDel="00D567E3">
        <w:rPr>
          <w:rFonts w:ascii="Univers" w:hAnsi="Univers"/>
          <w:sz w:val="18"/>
          <w:szCs w:val="18"/>
          <w:lang w:val="nl-NL"/>
        </w:rPr>
        <w:t>.</w:t>
      </w:r>
    </w:p>
  </w:footnote>
  <w:footnote w:id="8">
    <w:p w14:paraId="3E469495" w14:textId="27F8A00B" w:rsidR="002663EE" w:rsidRPr="00476E5F" w:rsidRDefault="002663EE">
      <w:pPr>
        <w:pStyle w:val="Voetnoottekst"/>
        <w:rPr>
          <w:rFonts w:ascii="Univers" w:hAnsi="Univers"/>
          <w:sz w:val="18"/>
          <w:szCs w:val="18"/>
          <w:lang w:val="nl-NL"/>
        </w:rPr>
      </w:pPr>
      <w:r w:rsidRPr="00476E5F">
        <w:rPr>
          <w:rStyle w:val="Voetnootmarkering"/>
          <w:rFonts w:ascii="Univers" w:hAnsi="Univers"/>
          <w:sz w:val="18"/>
          <w:szCs w:val="18"/>
        </w:rPr>
        <w:footnoteRef/>
      </w:r>
      <w:r w:rsidRPr="00476E5F">
        <w:rPr>
          <w:rFonts w:ascii="Univers" w:hAnsi="Univers"/>
          <w:sz w:val="18"/>
          <w:szCs w:val="18"/>
          <w:lang w:val="nl-NL"/>
        </w:rPr>
        <w:t xml:space="preserve"> Memorie van toelichting, paragraaf 2.1. </w:t>
      </w:r>
    </w:p>
  </w:footnote>
  <w:footnote w:id="9">
    <w:p w14:paraId="65DECD99" w14:textId="2BE9A247" w:rsidR="00B055A0" w:rsidRPr="009E3790" w:rsidRDefault="00B055A0">
      <w:pPr>
        <w:pStyle w:val="Voetnoottekst"/>
        <w:rPr>
          <w:rFonts w:ascii="Univers" w:hAnsi="Univers"/>
          <w:sz w:val="18"/>
          <w:szCs w:val="18"/>
          <w:lang w:val="nl-NL"/>
        </w:rPr>
      </w:pPr>
      <w:r w:rsidRPr="009E3790">
        <w:rPr>
          <w:rStyle w:val="Voetnootmarkering"/>
          <w:rFonts w:ascii="Univers" w:hAnsi="Univers"/>
          <w:sz w:val="18"/>
          <w:szCs w:val="18"/>
        </w:rPr>
        <w:footnoteRef/>
      </w:r>
      <w:r w:rsidRPr="009E3790">
        <w:rPr>
          <w:rFonts w:ascii="Univers" w:hAnsi="Univers"/>
          <w:sz w:val="18"/>
          <w:szCs w:val="18"/>
          <w:lang w:val="nl-NL"/>
        </w:rPr>
        <w:t xml:space="preserve"> Memorie van toelichting, pa</w:t>
      </w:r>
      <w:r w:rsidR="009E3790" w:rsidRPr="009E3790">
        <w:rPr>
          <w:rFonts w:ascii="Univers" w:hAnsi="Univers"/>
          <w:sz w:val="18"/>
          <w:szCs w:val="18"/>
          <w:lang w:val="nl-NL"/>
        </w:rPr>
        <w:t>ragra</w:t>
      </w:r>
      <w:r w:rsidR="002663EE">
        <w:rPr>
          <w:rFonts w:ascii="Univers" w:hAnsi="Univers"/>
          <w:sz w:val="18"/>
          <w:szCs w:val="18"/>
          <w:lang w:val="nl-NL"/>
        </w:rPr>
        <w:t>a</w:t>
      </w:r>
      <w:r w:rsidR="009E3790" w:rsidRPr="009E3790">
        <w:rPr>
          <w:rFonts w:ascii="Univers" w:hAnsi="Univers"/>
          <w:sz w:val="18"/>
          <w:szCs w:val="18"/>
          <w:lang w:val="nl-NL"/>
        </w:rPr>
        <w:t xml:space="preserve">f </w:t>
      </w:r>
      <w:r w:rsidR="002663EE">
        <w:rPr>
          <w:rFonts w:ascii="Univers" w:hAnsi="Univers"/>
          <w:sz w:val="18"/>
          <w:szCs w:val="18"/>
          <w:lang w:val="nl-NL"/>
        </w:rPr>
        <w:t>8</w:t>
      </w:r>
      <w:r w:rsidR="009E3790" w:rsidRPr="009E3790">
        <w:rPr>
          <w:rFonts w:ascii="Univers" w:hAnsi="Univers"/>
          <w:sz w:val="18"/>
          <w:szCs w:val="18"/>
          <w:lang w:val="nl-NL"/>
        </w:rPr>
        <w:t>.</w:t>
      </w:r>
      <w:r w:rsidR="000C6C81" w:rsidRPr="009E3790">
        <w:rPr>
          <w:rFonts w:ascii="Univers" w:hAnsi="Univers"/>
          <w:sz w:val="18"/>
          <w:szCs w:val="18"/>
          <w:lang w:val="nl-NL"/>
        </w:rPr>
        <w:t xml:space="preserve"> </w:t>
      </w:r>
    </w:p>
  </w:footnote>
  <w:footnote w:id="10">
    <w:p w14:paraId="378FC637" w14:textId="1D4A9E2A" w:rsidR="00EF33E9" w:rsidRPr="00172100" w:rsidRDefault="00EF33E9">
      <w:pPr>
        <w:pStyle w:val="Voetnoottekst"/>
        <w:rPr>
          <w:rFonts w:ascii="Univers" w:hAnsi="Univers"/>
          <w:sz w:val="18"/>
          <w:szCs w:val="18"/>
          <w:lang w:val="nl-NL"/>
        </w:rPr>
      </w:pPr>
      <w:r w:rsidRPr="00172100">
        <w:rPr>
          <w:rStyle w:val="Voetnootmarkering"/>
          <w:rFonts w:ascii="Univers" w:hAnsi="Univers"/>
          <w:sz w:val="18"/>
          <w:szCs w:val="18"/>
        </w:rPr>
        <w:footnoteRef/>
      </w:r>
      <w:r w:rsidRPr="00172100">
        <w:rPr>
          <w:rFonts w:ascii="Univers" w:hAnsi="Univers"/>
          <w:sz w:val="18"/>
          <w:szCs w:val="18"/>
          <w:lang w:val="nl-NL"/>
        </w:rPr>
        <w:t xml:space="preserve"> Artikel </w:t>
      </w:r>
      <w:r w:rsidR="00172100" w:rsidRPr="00172100">
        <w:rPr>
          <w:rFonts w:ascii="Univers" w:hAnsi="Univers"/>
          <w:sz w:val="18"/>
          <w:szCs w:val="18"/>
          <w:lang w:val="nl-NL"/>
        </w:rPr>
        <w:t>11.2, derde lid.</w:t>
      </w:r>
    </w:p>
  </w:footnote>
  <w:footnote w:id="11">
    <w:p w14:paraId="648570E9" w14:textId="042F2558" w:rsidR="00DB20F0" w:rsidRPr="002036C1" w:rsidRDefault="00DB20F0" w:rsidP="00DB20F0">
      <w:pPr>
        <w:pStyle w:val="Voetnoottekst"/>
        <w:rPr>
          <w:rFonts w:ascii="Univers" w:hAnsi="Univers"/>
          <w:sz w:val="18"/>
          <w:szCs w:val="18"/>
          <w:lang w:val="nl-NL"/>
        </w:rPr>
      </w:pPr>
      <w:r w:rsidRPr="002036C1">
        <w:rPr>
          <w:rStyle w:val="Voetnootmarkering"/>
          <w:rFonts w:ascii="Univers" w:hAnsi="Univers"/>
          <w:sz w:val="18"/>
          <w:szCs w:val="18"/>
        </w:rPr>
        <w:footnoteRef/>
      </w:r>
      <w:r w:rsidRPr="002036C1">
        <w:rPr>
          <w:rFonts w:ascii="Univers" w:hAnsi="Univers"/>
          <w:sz w:val="18"/>
          <w:szCs w:val="18"/>
          <w:lang w:val="nl-NL"/>
        </w:rPr>
        <w:t xml:space="preserve"> Dit betreft de termijn van artikel 8.4, zevende lid</w:t>
      </w:r>
      <w:r w:rsidR="00535F7B">
        <w:rPr>
          <w:rFonts w:ascii="Univers" w:hAnsi="Univers"/>
          <w:sz w:val="18"/>
          <w:szCs w:val="18"/>
          <w:lang w:val="nl-NL"/>
        </w:rPr>
        <w:t>: h</w:t>
      </w:r>
      <w:r w:rsidRPr="002036C1">
        <w:rPr>
          <w:rFonts w:ascii="Univers" w:hAnsi="Univers"/>
          <w:sz w:val="18"/>
          <w:szCs w:val="18"/>
          <w:lang w:val="nl-NL"/>
        </w:rPr>
        <w:t xml:space="preserve">et niet betalen binnen </w:t>
      </w:r>
      <w:r w:rsidRPr="002036C1">
        <w:rPr>
          <w:rFonts w:ascii="Univers" w:eastAsia="Times New Roman" w:hAnsi="Univers" w:cs="Times New Roman"/>
          <w:bCs/>
          <w:sz w:val="18"/>
          <w:szCs w:val="18"/>
          <w:lang w:val="nl-NL" w:eastAsia="nl-NL"/>
        </w:rPr>
        <w:t>vier verslagjaren na het verslagjaar waarover de b</w:t>
      </w:r>
      <w:r w:rsidR="005F2A6E">
        <w:rPr>
          <w:rFonts w:ascii="Univers" w:eastAsia="Times New Roman" w:hAnsi="Univers" w:cs="Times New Roman"/>
          <w:bCs/>
          <w:sz w:val="18"/>
          <w:szCs w:val="18"/>
          <w:lang w:val="nl-NL" w:eastAsia="nl-NL"/>
        </w:rPr>
        <w:t>ijheffing</w:t>
      </w:r>
      <w:r w:rsidRPr="002036C1">
        <w:rPr>
          <w:rFonts w:ascii="Univers" w:eastAsia="Times New Roman" w:hAnsi="Univers" w:cs="Times New Roman"/>
          <w:bCs/>
          <w:sz w:val="18"/>
          <w:szCs w:val="18"/>
          <w:lang w:val="nl-NL" w:eastAsia="nl-NL"/>
        </w:rPr>
        <w:t xml:space="preserve"> was verschuldigd.</w:t>
      </w:r>
    </w:p>
  </w:footnote>
  <w:footnote w:id="12">
    <w:p w14:paraId="38CDD579" w14:textId="77777777" w:rsidR="003F0557" w:rsidRPr="00390316" w:rsidRDefault="003F0557" w:rsidP="003F0557">
      <w:pPr>
        <w:pStyle w:val="Voetnoottekst"/>
        <w:rPr>
          <w:rFonts w:ascii="Univers" w:hAnsi="Univers"/>
          <w:sz w:val="18"/>
          <w:szCs w:val="18"/>
          <w:lang w:val="nl-NL"/>
        </w:rPr>
      </w:pPr>
      <w:r w:rsidRPr="00390316">
        <w:rPr>
          <w:rStyle w:val="Voetnootmarkering"/>
          <w:rFonts w:ascii="Univers" w:hAnsi="Univers"/>
          <w:sz w:val="18"/>
          <w:szCs w:val="18"/>
        </w:rPr>
        <w:footnoteRef/>
      </w:r>
      <w:r w:rsidRPr="00244024">
        <w:rPr>
          <w:rFonts w:ascii="Univers" w:hAnsi="Univers"/>
          <w:sz w:val="18"/>
          <w:szCs w:val="18"/>
          <w:lang w:val="nl-NL"/>
        </w:rPr>
        <w:t xml:space="preserve"> </w:t>
      </w:r>
      <w:r w:rsidRPr="00390316">
        <w:rPr>
          <w:rFonts w:ascii="Univers" w:hAnsi="Univers"/>
          <w:sz w:val="18"/>
          <w:szCs w:val="18"/>
          <w:lang w:val="nl-NL"/>
        </w:rPr>
        <w:t>Artikel 8.4, zevende lid.</w:t>
      </w:r>
    </w:p>
  </w:footnote>
  <w:footnote w:id="13">
    <w:p w14:paraId="31725837" w14:textId="35BF96AD" w:rsidR="005E6291" w:rsidRPr="003219EB" w:rsidRDefault="005E6291" w:rsidP="005E6291">
      <w:pPr>
        <w:pStyle w:val="Voetnoottekst"/>
        <w:rPr>
          <w:rFonts w:ascii="Univers" w:hAnsi="Univers"/>
          <w:sz w:val="18"/>
          <w:szCs w:val="18"/>
          <w:lang w:val="nl-NL"/>
        </w:rPr>
      </w:pPr>
      <w:r w:rsidRPr="003219EB">
        <w:rPr>
          <w:rStyle w:val="Voetnootmarkering"/>
          <w:rFonts w:ascii="Univers" w:hAnsi="Univers"/>
          <w:sz w:val="18"/>
          <w:szCs w:val="18"/>
        </w:rPr>
        <w:footnoteRef/>
      </w:r>
      <w:r w:rsidRPr="003219EB">
        <w:rPr>
          <w:rFonts w:ascii="Univers" w:hAnsi="Univers"/>
          <w:sz w:val="18"/>
          <w:szCs w:val="18"/>
          <w:lang w:val="nl-NL"/>
        </w:rPr>
        <w:t xml:space="preserve"> Artikel 11.2, eerste en tweede lid</w:t>
      </w:r>
      <w:r w:rsidR="005F1592">
        <w:rPr>
          <w:rFonts w:ascii="Univers" w:hAnsi="Univers"/>
          <w:sz w:val="18"/>
          <w:szCs w:val="18"/>
          <w:lang w:val="nl-NL"/>
        </w:rPr>
        <w:t>: na verloop van zes jaren en vier maanden respectievelijk zes jaren en zeven maanden.</w:t>
      </w:r>
      <w:r w:rsidRPr="003219EB">
        <w:rPr>
          <w:rFonts w:ascii="Univers" w:hAnsi="Univers"/>
          <w:sz w:val="18"/>
          <w:szCs w:val="18"/>
          <w:lang w:val="nl-NL"/>
        </w:rPr>
        <w:t xml:space="preserve"> </w:t>
      </w:r>
    </w:p>
  </w:footnote>
  <w:footnote w:id="14">
    <w:p w14:paraId="4B836842" w14:textId="77777777" w:rsidR="003F0557" w:rsidRPr="00244024" w:rsidRDefault="003F0557" w:rsidP="003F0557">
      <w:pPr>
        <w:pStyle w:val="Voetnoottekst"/>
        <w:rPr>
          <w:rFonts w:ascii="Univers" w:hAnsi="Univers"/>
          <w:sz w:val="18"/>
          <w:szCs w:val="18"/>
          <w:lang w:val="nl-NL"/>
        </w:rPr>
      </w:pPr>
      <w:r w:rsidRPr="00244024">
        <w:rPr>
          <w:rStyle w:val="Voetnootmarkering"/>
          <w:rFonts w:ascii="Univers" w:hAnsi="Univers"/>
          <w:sz w:val="18"/>
          <w:szCs w:val="18"/>
        </w:rPr>
        <w:footnoteRef/>
      </w:r>
      <w:r w:rsidRPr="00244024">
        <w:rPr>
          <w:rFonts w:ascii="Univers" w:hAnsi="Univers"/>
          <w:sz w:val="18"/>
          <w:szCs w:val="18"/>
          <w:lang w:val="nl-NL"/>
        </w:rPr>
        <w:t xml:space="preserve"> Artikel 12.2, derde en vierde lid.</w:t>
      </w:r>
    </w:p>
  </w:footnote>
  <w:footnote w:id="15">
    <w:p w14:paraId="0B439BFF" w14:textId="77777777" w:rsidR="003F0557" w:rsidRPr="00F86EF0" w:rsidRDefault="003F0557" w:rsidP="003F0557">
      <w:pPr>
        <w:pStyle w:val="Voetnoottekst"/>
        <w:rPr>
          <w:rFonts w:ascii="Univers" w:hAnsi="Univers"/>
          <w:sz w:val="18"/>
          <w:szCs w:val="18"/>
          <w:lang w:val="nl-NL"/>
        </w:rPr>
      </w:pPr>
      <w:r w:rsidRPr="00F86EF0">
        <w:rPr>
          <w:rStyle w:val="Voetnootmarkering"/>
          <w:rFonts w:ascii="Univers" w:hAnsi="Univers"/>
          <w:sz w:val="18"/>
          <w:szCs w:val="18"/>
        </w:rPr>
        <w:footnoteRef/>
      </w:r>
      <w:r w:rsidRPr="00F86EF0">
        <w:rPr>
          <w:rFonts w:ascii="Univers" w:hAnsi="Univers"/>
          <w:sz w:val="18"/>
          <w:szCs w:val="18"/>
          <w:lang w:val="nl-NL"/>
        </w:rPr>
        <w:t xml:space="preserve"> Artikel 12.4, vierde en vijfde lid.</w:t>
      </w:r>
    </w:p>
  </w:footnote>
  <w:footnote w:id="16">
    <w:p w14:paraId="76E64E58" w14:textId="42D43246" w:rsidR="00312FFD" w:rsidRPr="00F1293E" w:rsidRDefault="00312FFD" w:rsidP="00312FFD">
      <w:pPr>
        <w:pStyle w:val="Voetnoottekst"/>
        <w:rPr>
          <w:rFonts w:ascii="Univers" w:hAnsi="Univers"/>
          <w:sz w:val="18"/>
          <w:szCs w:val="18"/>
          <w:lang w:val="nl-NL"/>
        </w:rPr>
      </w:pPr>
      <w:r w:rsidRPr="00F1293E">
        <w:rPr>
          <w:rStyle w:val="Voetnootmarkering"/>
          <w:rFonts w:ascii="Univers" w:hAnsi="Univers"/>
          <w:sz w:val="18"/>
          <w:szCs w:val="18"/>
        </w:rPr>
        <w:footnoteRef/>
      </w:r>
      <w:r w:rsidRPr="00F1293E">
        <w:rPr>
          <w:rFonts w:ascii="Univers" w:hAnsi="Univers"/>
          <w:sz w:val="18"/>
          <w:szCs w:val="18"/>
          <w:lang w:val="nl-NL"/>
        </w:rPr>
        <w:t xml:space="preserve"> Hoofdstuk V</w:t>
      </w:r>
      <w:r w:rsidR="0038127A">
        <w:rPr>
          <w:rFonts w:ascii="Univers" w:hAnsi="Univers"/>
          <w:sz w:val="18"/>
          <w:szCs w:val="18"/>
          <w:lang w:val="nl-NL"/>
        </w:rPr>
        <w:t>III</w:t>
      </w:r>
      <w:r w:rsidRPr="00F1293E">
        <w:rPr>
          <w:rFonts w:ascii="Univers" w:hAnsi="Univers"/>
          <w:sz w:val="18"/>
          <w:szCs w:val="18"/>
          <w:lang w:val="nl-NL"/>
        </w:rPr>
        <w:t>A</w:t>
      </w:r>
      <w:r w:rsidR="0038127A">
        <w:rPr>
          <w:rFonts w:ascii="Univers" w:hAnsi="Univers"/>
          <w:sz w:val="18"/>
          <w:szCs w:val="18"/>
          <w:lang w:val="nl-NL"/>
        </w:rPr>
        <w:t>, paragraaf 2,</w:t>
      </w:r>
      <w:r w:rsidRPr="00F1293E">
        <w:rPr>
          <w:rFonts w:ascii="Univers" w:hAnsi="Univers"/>
          <w:sz w:val="18"/>
          <w:szCs w:val="18"/>
          <w:lang w:val="nl-NL"/>
        </w:rPr>
        <w:t xml:space="preserve"> AWR.</w:t>
      </w:r>
    </w:p>
  </w:footnote>
  <w:footnote w:id="17">
    <w:p w14:paraId="54BCBC23" w14:textId="49149705" w:rsidR="00A44E2B" w:rsidRPr="00284B4A" w:rsidRDefault="00A44E2B">
      <w:pPr>
        <w:pStyle w:val="Voetnoottekst"/>
        <w:rPr>
          <w:rFonts w:ascii="Univers" w:hAnsi="Univers"/>
          <w:sz w:val="18"/>
          <w:szCs w:val="18"/>
          <w:lang w:val="nl-NL"/>
        </w:rPr>
      </w:pPr>
      <w:r w:rsidRPr="00284B4A">
        <w:rPr>
          <w:rStyle w:val="Voetnootmarkering"/>
          <w:rFonts w:ascii="Univers" w:hAnsi="Univers"/>
          <w:sz w:val="18"/>
          <w:szCs w:val="18"/>
        </w:rPr>
        <w:footnoteRef/>
      </w:r>
      <w:r w:rsidRPr="00284B4A">
        <w:rPr>
          <w:rFonts w:ascii="Univers" w:hAnsi="Univers"/>
          <w:sz w:val="18"/>
          <w:szCs w:val="18"/>
          <w:lang w:val="nl-NL"/>
        </w:rPr>
        <w:t xml:space="preserve"> </w:t>
      </w:r>
      <w:r w:rsidR="009068E9">
        <w:rPr>
          <w:rFonts w:ascii="Univers" w:hAnsi="Univers"/>
          <w:sz w:val="18"/>
          <w:szCs w:val="18"/>
          <w:lang w:val="nl-NL"/>
        </w:rPr>
        <w:t>Zoals a</w:t>
      </w:r>
      <w:r w:rsidR="00284B4A" w:rsidRPr="00284B4A">
        <w:rPr>
          <w:rFonts w:ascii="Univers" w:hAnsi="Univers"/>
          <w:sz w:val="18"/>
          <w:szCs w:val="18"/>
          <w:lang w:val="nl-NL"/>
        </w:rPr>
        <w:t>rtikel 52a, vierde lid, AWR.</w:t>
      </w:r>
    </w:p>
  </w:footnote>
  <w:footnote w:id="18">
    <w:p w14:paraId="605B0DEF" w14:textId="562D772B" w:rsidR="00E92207" w:rsidRPr="00E92207" w:rsidRDefault="00E92207">
      <w:pPr>
        <w:pStyle w:val="Voetnoottekst"/>
        <w:rPr>
          <w:rFonts w:ascii="Univers" w:hAnsi="Univers"/>
          <w:sz w:val="18"/>
          <w:szCs w:val="18"/>
          <w:lang w:val="nl-NL"/>
        </w:rPr>
      </w:pPr>
      <w:r w:rsidRPr="00E92207">
        <w:rPr>
          <w:rStyle w:val="Voetnootmarkering"/>
          <w:rFonts w:ascii="Univers" w:hAnsi="Univers"/>
          <w:sz w:val="18"/>
          <w:szCs w:val="18"/>
        </w:rPr>
        <w:footnoteRef/>
      </w:r>
      <w:r w:rsidRPr="00E92207">
        <w:rPr>
          <w:rFonts w:ascii="Univers" w:hAnsi="Univers"/>
          <w:sz w:val="18"/>
          <w:szCs w:val="18"/>
          <w:lang w:val="nl-NL"/>
        </w:rPr>
        <w:t xml:space="preserve"> </w:t>
      </w:r>
      <w:r>
        <w:rPr>
          <w:rFonts w:ascii="Univers" w:hAnsi="Univers"/>
          <w:sz w:val="18"/>
          <w:szCs w:val="18"/>
          <w:lang w:val="nl-NL"/>
        </w:rPr>
        <w:t>Waarbij h</w:t>
      </w:r>
      <w:r w:rsidRPr="00E92207">
        <w:rPr>
          <w:rFonts w:ascii="Univers" w:hAnsi="Univers"/>
          <w:sz w:val="18"/>
          <w:szCs w:val="18"/>
          <w:lang w:val="nl-NL"/>
        </w:rPr>
        <w:t xml:space="preserve">et feit dat in de Wet bronbelasting 2021 een soortgelijke bepaling is opgenomen als zodanig </w:t>
      </w:r>
      <w:r>
        <w:rPr>
          <w:rFonts w:ascii="Univers" w:hAnsi="Univers"/>
          <w:sz w:val="18"/>
          <w:szCs w:val="18"/>
          <w:lang w:val="nl-NL"/>
        </w:rPr>
        <w:t xml:space="preserve">geen toereikende </w:t>
      </w:r>
      <w:r w:rsidRPr="00E92207">
        <w:rPr>
          <w:rFonts w:ascii="Univers" w:hAnsi="Univers"/>
          <w:sz w:val="18"/>
          <w:szCs w:val="18"/>
          <w:lang w:val="nl-NL"/>
        </w:rPr>
        <w:t>onderbouwing</w:t>
      </w:r>
      <w:r>
        <w:rPr>
          <w:rFonts w:ascii="Univers" w:hAnsi="Univers"/>
          <w:sz w:val="18"/>
          <w:szCs w:val="18"/>
          <w:lang w:val="nl-NL"/>
        </w:rPr>
        <w:t xml:space="preserve"> is</w:t>
      </w:r>
      <w:r w:rsidRPr="00E92207">
        <w:rPr>
          <w:rFonts w:ascii="Univers" w:hAnsi="Univers"/>
          <w:sz w:val="18"/>
          <w:szCs w:val="18"/>
          <w:lang w:val="nl-NL"/>
        </w:rPr>
        <w:t>.</w:t>
      </w:r>
    </w:p>
  </w:footnote>
  <w:footnote w:id="19">
    <w:p w14:paraId="3E67C557" w14:textId="6A3478C6" w:rsidR="00D244FC" w:rsidRPr="008461A0" w:rsidRDefault="00D244FC">
      <w:pPr>
        <w:pStyle w:val="Voetnoottekst"/>
        <w:rPr>
          <w:rFonts w:ascii="Univers" w:hAnsi="Univers" w:cstheme="minorHAnsi"/>
          <w:sz w:val="18"/>
          <w:szCs w:val="18"/>
          <w:lang w:val="nl-NL"/>
        </w:rPr>
      </w:pPr>
      <w:r w:rsidRPr="008461A0">
        <w:rPr>
          <w:rStyle w:val="Voetnootmarkering"/>
          <w:rFonts w:ascii="Univers" w:hAnsi="Univers" w:cstheme="minorHAnsi"/>
          <w:sz w:val="18"/>
          <w:szCs w:val="18"/>
        </w:rPr>
        <w:footnoteRef/>
      </w:r>
      <w:r w:rsidRPr="008461A0">
        <w:rPr>
          <w:rFonts w:ascii="Univers" w:hAnsi="Univers" w:cstheme="minorHAnsi"/>
          <w:sz w:val="18"/>
          <w:szCs w:val="18"/>
          <w:lang w:val="nl-NL"/>
        </w:rPr>
        <w:t xml:space="preserve"> Artikel 16.1</w:t>
      </w:r>
      <w:r w:rsidR="00962EA9" w:rsidRPr="008461A0">
        <w:rPr>
          <w:rFonts w:ascii="Univers" w:hAnsi="Univers" w:cstheme="minorHAnsi"/>
          <w:sz w:val="18"/>
          <w:szCs w:val="18"/>
          <w:lang w:val="nl-NL"/>
        </w:rPr>
        <w:t>.</w:t>
      </w:r>
    </w:p>
  </w:footnote>
  <w:footnote w:id="20">
    <w:p w14:paraId="5E876A00" w14:textId="730A74FC" w:rsidR="00AD3497" w:rsidRPr="008461A0" w:rsidRDefault="00AD3497" w:rsidP="00AD3497">
      <w:pPr>
        <w:pStyle w:val="Voetnoottekst"/>
        <w:rPr>
          <w:rFonts w:ascii="Univers" w:hAnsi="Univers" w:cstheme="minorHAnsi"/>
          <w:sz w:val="18"/>
          <w:szCs w:val="18"/>
          <w:lang w:val="nl-NL"/>
        </w:rPr>
      </w:pPr>
      <w:r w:rsidRPr="008461A0">
        <w:rPr>
          <w:rStyle w:val="Voetnootmarkering"/>
          <w:rFonts w:ascii="Univers" w:hAnsi="Univers" w:cstheme="minorHAnsi"/>
          <w:sz w:val="18"/>
          <w:szCs w:val="18"/>
        </w:rPr>
        <w:footnoteRef/>
      </w:r>
      <w:r w:rsidRPr="008461A0">
        <w:rPr>
          <w:rFonts w:ascii="Univers" w:hAnsi="Univers" w:cstheme="minorHAnsi"/>
          <w:sz w:val="18"/>
          <w:szCs w:val="18"/>
          <w:lang w:val="nl-NL"/>
        </w:rPr>
        <w:t xml:space="preserve"> Hierbij zij opgemerkt dat ook de recente Wet tijdelijke solidariteitsbijdrage een ongebruikelijke en ruime aansprakelijkheid bevat, in dat geval gekoppeld aan de fiscale eenheid voor de vennootschapsbelasting, waar de Afdeling kritisch over heeft geadviseerd (Advies van 17 oktober 2022, W06.22.0203/III).</w:t>
      </w:r>
    </w:p>
  </w:footnote>
  <w:footnote w:id="21">
    <w:p w14:paraId="6EB94C38" w14:textId="07334B9A" w:rsidR="008824FD" w:rsidRPr="0088134A" w:rsidRDefault="008824FD">
      <w:pPr>
        <w:pStyle w:val="Voetnoottekst"/>
        <w:rPr>
          <w:rFonts w:ascii="Univers" w:hAnsi="Univers"/>
          <w:sz w:val="18"/>
          <w:szCs w:val="18"/>
          <w:lang w:val="nl-NL"/>
        </w:rPr>
      </w:pPr>
      <w:r w:rsidRPr="0088134A">
        <w:rPr>
          <w:rStyle w:val="Voetnootmarkering"/>
          <w:rFonts w:ascii="Univers" w:hAnsi="Univers"/>
          <w:sz w:val="18"/>
          <w:szCs w:val="18"/>
        </w:rPr>
        <w:footnoteRef/>
      </w:r>
      <w:r w:rsidRPr="0088134A">
        <w:rPr>
          <w:rFonts w:ascii="Univers" w:hAnsi="Univers"/>
          <w:sz w:val="18"/>
          <w:szCs w:val="18"/>
          <w:lang w:val="nl-NL"/>
        </w:rPr>
        <w:t xml:space="preserve"> Memorie van </w:t>
      </w:r>
      <w:r w:rsidR="00FC5FF5">
        <w:rPr>
          <w:rFonts w:ascii="Univers" w:hAnsi="Univers"/>
          <w:sz w:val="18"/>
          <w:szCs w:val="18"/>
          <w:lang w:val="nl-NL"/>
        </w:rPr>
        <w:t>t</w:t>
      </w:r>
      <w:r w:rsidRPr="0088134A">
        <w:rPr>
          <w:rFonts w:ascii="Univers" w:hAnsi="Univers"/>
          <w:sz w:val="18"/>
          <w:szCs w:val="18"/>
          <w:lang w:val="nl-NL"/>
        </w:rPr>
        <w:t xml:space="preserve">oelichting, pagina </w:t>
      </w:r>
      <w:r w:rsidR="0088134A" w:rsidRPr="0088134A">
        <w:rPr>
          <w:rFonts w:ascii="Univers" w:hAnsi="Univers"/>
          <w:sz w:val="18"/>
          <w:szCs w:val="18"/>
          <w:lang w:val="nl-NL"/>
        </w:rPr>
        <w:t>45.</w:t>
      </w:r>
    </w:p>
  </w:footnote>
  <w:footnote w:id="22">
    <w:p w14:paraId="38B527E9" w14:textId="75FF73A5" w:rsidR="000A464D" w:rsidRPr="000A464D" w:rsidRDefault="000A464D" w:rsidP="000A464D">
      <w:pPr>
        <w:pStyle w:val="Voetnoottekst"/>
        <w:rPr>
          <w:rFonts w:ascii="Univers" w:hAnsi="Univers"/>
          <w:sz w:val="18"/>
          <w:szCs w:val="18"/>
          <w:lang w:val="nl-NL"/>
        </w:rPr>
      </w:pPr>
      <w:r w:rsidRPr="00CF74BA">
        <w:rPr>
          <w:rStyle w:val="Voetnootmarkering"/>
          <w:rFonts w:ascii="Univers" w:hAnsi="Univers"/>
          <w:sz w:val="18"/>
          <w:szCs w:val="18"/>
        </w:rPr>
        <w:footnoteRef/>
      </w:r>
      <w:r w:rsidRPr="00CF74BA">
        <w:rPr>
          <w:rFonts w:ascii="Univers" w:hAnsi="Univers"/>
          <w:sz w:val="18"/>
          <w:szCs w:val="18"/>
          <w:lang w:val="nl-NL"/>
        </w:rPr>
        <w:t xml:space="preserve"> Richtlijn 2010/24/EU van de Raad van 16 maart 2010 betreffende de wederzijdse bijstand inzake de invordering van schuldvorderingen die voortvloeien uit belastingen, rechten en andere maatregelen</w:t>
      </w:r>
      <w:r>
        <w:rPr>
          <w:rFonts w:ascii="Univers" w:hAnsi="Univers"/>
          <w:sz w:val="18"/>
          <w:szCs w:val="18"/>
          <w:lang w:val="nl-NL"/>
        </w:rPr>
        <w:t xml:space="preserve"> </w:t>
      </w:r>
      <w:r w:rsidRPr="007F5D2B">
        <w:rPr>
          <w:rFonts w:ascii="Univers" w:hAnsi="Univers" w:cs="Arial"/>
          <w:color w:val="333333"/>
          <w:sz w:val="18"/>
          <w:szCs w:val="18"/>
          <w:shd w:val="clear" w:color="auto" w:fill="FFFFFF"/>
          <w:lang w:val="nl-NL"/>
        </w:rPr>
        <w:t>(PbEU 2010, L 84).</w:t>
      </w:r>
    </w:p>
  </w:footnote>
  <w:footnote w:id="23">
    <w:p w14:paraId="05AEA299" w14:textId="65147799" w:rsidR="0050377C" w:rsidRPr="0050377C" w:rsidRDefault="0050377C">
      <w:pPr>
        <w:pStyle w:val="Voetnoottekst"/>
        <w:rPr>
          <w:rFonts w:ascii="Univers" w:hAnsi="Univers"/>
          <w:sz w:val="18"/>
          <w:szCs w:val="18"/>
          <w:lang w:val="nl-NL"/>
        </w:rPr>
      </w:pPr>
      <w:r w:rsidRPr="0050377C">
        <w:rPr>
          <w:rStyle w:val="Voetnootmarkering"/>
          <w:rFonts w:ascii="Univers" w:hAnsi="Univers"/>
          <w:sz w:val="18"/>
          <w:szCs w:val="18"/>
        </w:rPr>
        <w:footnoteRef/>
      </w:r>
      <w:r w:rsidRPr="0050377C">
        <w:rPr>
          <w:rFonts w:ascii="Univers" w:hAnsi="Univers"/>
          <w:sz w:val="18"/>
          <w:szCs w:val="18"/>
          <w:lang w:val="nl-NL"/>
        </w:rPr>
        <w:t xml:space="preserve"> </w:t>
      </w:r>
      <w:r w:rsidR="000C142F">
        <w:rPr>
          <w:rFonts w:ascii="Univers" w:hAnsi="Univers"/>
          <w:sz w:val="18"/>
          <w:szCs w:val="18"/>
          <w:lang w:val="nl-NL"/>
        </w:rPr>
        <w:t>In a</w:t>
      </w:r>
      <w:r>
        <w:rPr>
          <w:rFonts w:ascii="Univers" w:hAnsi="Univers"/>
          <w:sz w:val="18"/>
          <w:szCs w:val="18"/>
          <w:lang w:val="nl-NL"/>
        </w:rPr>
        <w:t xml:space="preserve">rtikel </w:t>
      </w:r>
      <w:r w:rsidR="003A0CE3">
        <w:rPr>
          <w:rFonts w:ascii="Univers" w:hAnsi="Univers"/>
          <w:sz w:val="18"/>
          <w:szCs w:val="18"/>
          <w:lang w:val="nl-NL"/>
        </w:rPr>
        <w:t xml:space="preserve">13.2, eerste </w:t>
      </w:r>
      <w:r w:rsidR="000634F3">
        <w:rPr>
          <w:rFonts w:ascii="Univers" w:hAnsi="Univers"/>
          <w:sz w:val="18"/>
          <w:szCs w:val="18"/>
          <w:lang w:val="nl-NL"/>
        </w:rPr>
        <w:t>lid</w:t>
      </w:r>
      <w:r w:rsidR="000C142F">
        <w:rPr>
          <w:rFonts w:ascii="Univers" w:hAnsi="Univers"/>
          <w:sz w:val="18"/>
          <w:szCs w:val="18"/>
          <w:lang w:val="nl-NL"/>
        </w:rPr>
        <w:t>,</w:t>
      </w:r>
      <w:r w:rsidR="000634F3">
        <w:rPr>
          <w:rFonts w:ascii="Univers" w:hAnsi="Univers"/>
          <w:sz w:val="18"/>
          <w:szCs w:val="18"/>
          <w:lang w:val="nl-NL"/>
        </w:rPr>
        <w:t xml:space="preserve"> </w:t>
      </w:r>
      <w:r w:rsidR="000C142F">
        <w:rPr>
          <w:rFonts w:ascii="Univers" w:hAnsi="Univers"/>
          <w:sz w:val="18"/>
          <w:szCs w:val="18"/>
          <w:lang w:val="nl-NL"/>
        </w:rPr>
        <w:t xml:space="preserve">zijn de regelingen opgenomen waarvoor de </w:t>
      </w:r>
      <w:r w:rsidR="000634F3">
        <w:rPr>
          <w:rFonts w:ascii="Univers" w:hAnsi="Univers"/>
          <w:sz w:val="18"/>
          <w:szCs w:val="18"/>
          <w:lang w:val="nl-NL"/>
        </w:rPr>
        <w:t>vijfja</w:t>
      </w:r>
      <w:r w:rsidR="000C142F">
        <w:rPr>
          <w:rFonts w:ascii="Univers" w:hAnsi="Univers"/>
          <w:sz w:val="18"/>
          <w:szCs w:val="18"/>
          <w:lang w:val="nl-NL"/>
        </w:rPr>
        <w:t>a</w:t>
      </w:r>
      <w:r w:rsidR="000634F3">
        <w:rPr>
          <w:rFonts w:ascii="Univers" w:hAnsi="Univers"/>
          <w:sz w:val="18"/>
          <w:szCs w:val="18"/>
          <w:lang w:val="nl-NL"/>
        </w:rPr>
        <w:t>r</w:t>
      </w:r>
      <w:r w:rsidR="000C142F">
        <w:rPr>
          <w:rFonts w:ascii="Univers" w:hAnsi="Univers"/>
          <w:sz w:val="18"/>
          <w:szCs w:val="18"/>
          <w:lang w:val="nl-NL"/>
        </w:rPr>
        <w:t>speriode geldt</w:t>
      </w:r>
      <w:r w:rsidR="000634F3">
        <w:rPr>
          <w:rFonts w:ascii="Univers" w:hAnsi="Univers"/>
          <w:sz w:val="18"/>
          <w:szCs w:val="18"/>
          <w:lang w:val="nl-NL"/>
        </w:rPr>
        <w:t xml:space="preserve"> en</w:t>
      </w:r>
      <w:r w:rsidR="00FB4D63">
        <w:rPr>
          <w:rFonts w:ascii="Univers" w:hAnsi="Univers"/>
          <w:sz w:val="18"/>
          <w:szCs w:val="18"/>
          <w:lang w:val="nl-NL"/>
        </w:rPr>
        <w:t xml:space="preserve"> in artikel 13.2, tweede lid, zijn de regelingen opgenomen waarvoor de een</w:t>
      </w:r>
      <w:r w:rsidR="000634F3">
        <w:rPr>
          <w:rFonts w:ascii="Univers" w:hAnsi="Univers"/>
          <w:sz w:val="18"/>
          <w:szCs w:val="18"/>
          <w:lang w:val="nl-NL"/>
        </w:rPr>
        <w:t>jaar</w:t>
      </w:r>
      <w:r w:rsidR="00FB4D63">
        <w:rPr>
          <w:rFonts w:ascii="Univers" w:hAnsi="Univers"/>
          <w:sz w:val="18"/>
          <w:szCs w:val="18"/>
          <w:lang w:val="nl-NL"/>
        </w:rPr>
        <w:t>speriode geldt</w:t>
      </w:r>
      <w:r w:rsidR="000634F3">
        <w:rPr>
          <w:rFonts w:ascii="Univers" w:hAnsi="Univers"/>
          <w:sz w:val="18"/>
          <w:szCs w:val="18"/>
          <w:lang w:val="nl-NL"/>
        </w:rPr>
        <w:t>.</w:t>
      </w:r>
    </w:p>
  </w:footnote>
  <w:footnote w:id="24">
    <w:p w14:paraId="3BC44E51" w14:textId="77777777" w:rsidR="003F0557" w:rsidRPr="004A788B" w:rsidRDefault="003F0557" w:rsidP="003F0557">
      <w:pPr>
        <w:pStyle w:val="Voetnoottekst"/>
        <w:rPr>
          <w:rFonts w:ascii="Univers" w:hAnsi="Univers"/>
          <w:sz w:val="18"/>
          <w:szCs w:val="18"/>
          <w:lang w:val="nl-NL"/>
        </w:rPr>
      </w:pPr>
      <w:r w:rsidRPr="004A788B">
        <w:rPr>
          <w:rStyle w:val="Voetnootmarkering"/>
          <w:rFonts w:ascii="Univers" w:hAnsi="Univers"/>
          <w:sz w:val="18"/>
          <w:szCs w:val="18"/>
        </w:rPr>
        <w:footnoteRef/>
      </w:r>
      <w:r w:rsidRPr="00244024">
        <w:rPr>
          <w:rFonts w:ascii="Univers" w:hAnsi="Univers"/>
          <w:sz w:val="18"/>
          <w:szCs w:val="18"/>
          <w:lang w:val="nl-NL"/>
        </w:rPr>
        <w:t xml:space="preserve"> </w:t>
      </w:r>
      <w:r w:rsidRPr="004A788B">
        <w:rPr>
          <w:rFonts w:ascii="Univers" w:hAnsi="Univers"/>
          <w:sz w:val="18"/>
          <w:szCs w:val="18"/>
          <w:lang w:val="nl-NL"/>
        </w:rPr>
        <w:t>Artikel 13.2</w:t>
      </w:r>
      <w:r>
        <w:rPr>
          <w:rFonts w:ascii="Univers" w:hAnsi="Univers"/>
          <w:sz w:val="18"/>
          <w:szCs w:val="18"/>
          <w:lang w:val="nl-NL"/>
        </w:rPr>
        <w:t xml:space="preserve"> en 13.1, vijfde lid, onderdeel d</w:t>
      </w:r>
      <w:r w:rsidRPr="004A788B">
        <w:rPr>
          <w:rFonts w:ascii="Univers" w:hAnsi="Univers"/>
          <w:sz w:val="18"/>
          <w:szCs w:val="18"/>
          <w:lang w:val="nl-NL"/>
        </w:rPr>
        <w:t>.</w:t>
      </w:r>
    </w:p>
  </w:footnote>
  <w:footnote w:id="25">
    <w:p w14:paraId="32B0B086" w14:textId="063B5BD7" w:rsidR="00C46733" w:rsidRPr="00F1293E" w:rsidRDefault="00C46733">
      <w:pPr>
        <w:pStyle w:val="Voetnoottekst"/>
        <w:rPr>
          <w:rFonts w:ascii="Univers" w:hAnsi="Univers"/>
          <w:sz w:val="18"/>
          <w:szCs w:val="18"/>
          <w:lang w:val="nl-NL"/>
        </w:rPr>
      </w:pPr>
      <w:r w:rsidRPr="00F1293E">
        <w:rPr>
          <w:rStyle w:val="Voetnootmarkering"/>
          <w:rFonts w:ascii="Univers" w:hAnsi="Univers"/>
          <w:sz w:val="18"/>
          <w:szCs w:val="18"/>
        </w:rPr>
        <w:footnoteRef/>
      </w:r>
      <w:r w:rsidRPr="00F1293E">
        <w:rPr>
          <w:rFonts w:ascii="Univers" w:hAnsi="Univers"/>
          <w:sz w:val="18"/>
          <w:szCs w:val="18"/>
          <w:lang w:val="nl-NL"/>
        </w:rPr>
        <w:t xml:space="preserve"> Hoofdstuk </w:t>
      </w:r>
      <w:r w:rsidR="00F1293E" w:rsidRPr="00F1293E">
        <w:rPr>
          <w:rFonts w:ascii="Univers" w:hAnsi="Univers"/>
          <w:sz w:val="18"/>
          <w:szCs w:val="18"/>
          <w:lang w:val="nl-NL"/>
        </w:rPr>
        <w:t>VA AWR.</w:t>
      </w:r>
    </w:p>
  </w:footnote>
  <w:footnote w:id="26">
    <w:p w14:paraId="725522B4" w14:textId="3F53245C" w:rsidR="00B81173" w:rsidRPr="0030143D" w:rsidRDefault="00B81173">
      <w:pPr>
        <w:pStyle w:val="Voetnoottekst"/>
        <w:rPr>
          <w:rFonts w:ascii="Univers" w:hAnsi="Univers"/>
          <w:sz w:val="18"/>
          <w:szCs w:val="18"/>
          <w:lang w:val="nl-NL"/>
        </w:rPr>
      </w:pPr>
      <w:r w:rsidRPr="0030143D">
        <w:rPr>
          <w:rStyle w:val="Voetnootmarkering"/>
          <w:rFonts w:ascii="Univers" w:hAnsi="Univers"/>
          <w:sz w:val="18"/>
          <w:szCs w:val="18"/>
        </w:rPr>
        <w:footnoteRef/>
      </w:r>
      <w:r w:rsidRPr="0030143D">
        <w:rPr>
          <w:rFonts w:ascii="Univers" w:hAnsi="Univers"/>
          <w:sz w:val="18"/>
          <w:szCs w:val="18"/>
          <w:lang w:val="nl-NL"/>
        </w:rPr>
        <w:t xml:space="preserve"> </w:t>
      </w:r>
      <w:r w:rsidR="002139E3" w:rsidRPr="0030143D">
        <w:rPr>
          <w:rFonts w:ascii="Univers" w:hAnsi="Univers"/>
          <w:sz w:val="18"/>
          <w:szCs w:val="18"/>
          <w:lang w:val="nl-NL"/>
        </w:rPr>
        <w:t>Via het in a</w:t>
      </w:r>
      <w:r w:rsidRPr="0030143D">
        <w:rPr>
          <w:rFonts w:ascii="Univers" w:hAnsi="Univers"/>
          <w:sz w:val="18"/>
          <w:szCs w:val="18"/>
          <w:lang w:val="nl-NL"/>
        </w:rPr>
        <w:t xml:space="preserve">rtikel </w:t>
      </w:r>
      <w:r w:rsidR="007B1278" w:rsidRPr="0030143D">
        <w:rPr>
          <w:rFonts w:ascii="Univers" w:hAnsi="Univers"/>
          <w:sz w:val="18"/>
          <w:szCs w:val="18"/>
          <w:lang w:val="nl-NL"/>
        </w:rPr>
        <w:t xml:space="preserve">12.1, vijfde lid, </w:t>
      </w:r>
      <w:r w:rsidR="002139E3" w:rsidRPr="0030143D">
        <w:rPr>
          <w:rFonts w:ascii="Univers" w:hAnsi="Univers"/>
          <w:sz w:val="18"/>
          <w:szCs w:val="18"/>
          <w:lang w:val="nl-NL"/>
        </w:rPr>
        <w:t xml:space="preserve">van overeenkomstige toepassing verklaren van </w:t>
      </w:r>
      <w:r w:rsidR="007B1278" w:rsidRPr="0030143D">
        <w:rPr>
          <w:rFonts w:ascii="Univers" w:hAnsi="Univers"/>
          <w:sz w:val="18"/>
          <w:szCs w:val="18"/>
          <w:lang w:val="nl-NL"/>
        </w:rPr>
        <w:t xml:space="preserve">artikel </w:t>
      </w:r>
      <w:r w:rsidR="002139E3" w:rsidRPr="0030143D">
        <w:rPr>
          <w:rFonts w:ascii="Univers" w:hAnsi="Univers"/>
          <w:sz w:val="18"/>
          <w:szCs w:val="18"/>
          <w:lang w:val="nl-NL"/>
        </w:rPr>
        <w:t>30hb AWR.</w:t>
      </w:r>
    </w:p>
  </w:footnote>
  <w:footnote w:id="27">
    <w:p w14:paraId="707CA54F" w14:textId="71607DB6" w:rsidR="00C72386" w:rsidRPr="00976F6C" w:rsidRDefault="00C72386">
      <w:pPr>
        <w:pStyle w:val="Voetnoottekst"/>
        <w:rPr>
          <w:rFonts w:ascii="Univers" w:hAnsi="Univers"/>
          <w:sz w:val="18"/>
          <w:szCs w:val="18"/>
          <w:lang w:val="nl-NL"/>
        </w:rPr>
      </w:pPr>
      <w:r w:rsidRPr="00976F6C">
        <w:rPr>
          <w:rStyle w:val="Voetnootmarkering"/>
          <w:rFonts w:ascii="Univers" w:hAnsi="Univers"/>
          <w:sz w:val="18"/>
          <w:szCs w:val="18"/>
        </w:rPr>
        <w:footnoteRef/>
      </w:r>
      <w:r w:rsidRPr="00976F6C">
        <w:rPr>
          <w:rFonts w:ascii="Univers" w:hAnsi="Univers"/>
          <w:sz w:val="18"/>
          <w:szCs w:val="18"/>
          <w:lang w:val="nl-NL"/>
        </w:rPr>
        <w:t xml:space="preserve"> </w:t>
      </w:r>
      <w:r w:rsidR="0044754B">
        <w:rPr>
          <w:rFonts w:ascii="Univers" w:hAnsi="Univers"/>
          <w:sz w:val="18"/>
          <w:szCs w:val="18"/>
          <w:lang w:val="nl-NL"/>
        </w:rPr>
        <w:t xml:space="preserve">Memorie van </w:t>
      </w:r>
      <w:r w:rsidR="007F5D2B">
        <w:rPr>
          <w:rFonts w:ascii="Univers" w:hAnsi="Univers"/>
          <w:sz w:val="18"/>
          <w:szCs w:val="18"/>
          <w:lang w:val="nl-NL"/>
        </w:rPr>
        <w:t>t</w:t>
      </w:r>
      <w:r w:rsidR="0044754B">
        <w:rPr>
          <w:rFonts w:ascii="Univers" w:hAnsi="Univers"/>
          <w:sz w:val="18"/>
          <w:szCs w:val="18"/>
          <w:lang w:val="nl-NL"/>
        </w:rPr>
        <w:t>oelichting, pagina 45 en 282.</w:t>
      </w:r>
      <w:r w:rsidR="00B439A7" w:rsidRPr="00976F6C">
        <w:rPr>
          <w:rFonts w:ascii="Univers" w:hAnsi="Univers"/>
          <w:sz w:val="18"/>
          <w:szCs w:val="18"/>
          <w:lang w:val="nl-NL"/>
        </w:rPr>
        <w:t xml:space="preserve"> </w:t>
      </w:r>
    </w:p>
  </w:footnote>
  <w:footnote w:id="28">
    <w:p w14:paraId="10F3EBC1" w14:textId="53E804A9" w:rsidR="00A70DD9" w:rsidRPr="00173364" w:rsidRDefault="00A70DD9" w:rsidP="00D82C63">
      <w:pPr>
        <w:pStyle w:val="Voetnoottekst"/>
        <w:rPr>
          <w:lang w:val="nl-NL"/>
        </w:rPr>
      </w:pPr>
      <w:r w:rsidRPr="00173364">
        <w:rPr>
          <w:rStyle w:val="Voetnootmarkering"/>
          <w:rFonts w:ascii="Univers" w:hAnsi="Univers"/>
          <w:sz w:val="18"/>
          <w:szCs w:val="18"/>
        </w:rPr>
        <w:footnoteRef/>
      </w:r>
      <w:r w:rsidRPr="00173364">
        <w:rPr>
          <w:rFonts w:ascii="Univers" w:hAnsi="Univers"/>
          <w:sz w:val="18"/>
          <w:szCs w:val="18"/>
          <w:lang w:val="nl-NL"/>
        </w:rPr>
        <w:t xml:space="preserve"> </w:t>
      </w:r>
      <w:r w:rsidR="000E092D">
        <w:rPr>
          <w:rFonts w:ascii="Univers" w:hAnsi="Univers"/>
          <w:sz w:val="18"/>
          <w:szCs w:val="18"/>
          <w:lang w:val="nl-NL"/>
        </w:rPr>
        <w:t>Artikel 1, onderde</w:t>
      </w:r>
      <w:r w:rsidR="00B21189">
        <w:rPr>
          <w:rFonts w:ascii="Univers" w:hAnsi="Univers"/>
          <w:sz w:val="18"/>
          <w:szCs w:val="18"/>
          <w:lang w:val="nl-NL"/>
        </w:rPr>
        <w:t>e</w:t>
      </w:r>
      <w:r w:rsidR="000E092D">
        <w:rPr>
          <w:rFonts w:ascii="Univers" w:hAnsi="Univers"/>
          <w:sz w:val="18"/>
          <w:szCs w:val="18"/>
          <w:lang w:val="nl-NL"/>
        </w:rPr>
        <w:t>l a</w:t>
      </w:r>
      <w:r w:rsidR="00532C34">
        <w:rPr>
          <w:rFonts w:ascii="Univers" w:hAnsi="Univers"/>
          <w:sz w:val="18"/>
          <w:szCs w:val="18"/>
          <w:lang w:val="nl-NL"/>
        </w:rPr>
        <w:t>,</w:t>
      </w:r>
      <w:r w:rsidR="000E092D">
        <w:rPr>
          <w:rFonts w:ascii="Univers" w:hAnsi="Univers"/>
          <w:sz w:val="18"/>
          <w:szCs w:val="18"/>
          <w:lang w:val="nl-NL"/>
        </w:rPr>
        <w:t xml:space="preserve"> </w:t>
      </w:r>
      <w:r w:rsidR="00B21189">
        <w:rPr>
          <w:rFonts w:ascii="Univers" w:hAnsi="Univers"/>
          <w:sz w:val="18"/>
          <w:szCs w:val="18"/>
          <w:lang w:val="nl-NL"/>
        </w:rPr>
        <w:t xml:space="preserve">onderscheidenlijk onderdeel </w:t>
      </w:r>
      <w:r w:rsidR="000E092D">
        <w:rPr>
          <w:rFonts w:ascii="Univers" w:hAnsi="Univers"/>
          <w:sz w:val="18"/>
          <w:szCs w:val="18"/>
          <w:lang w:val="nl-NL"/>
        </w:rPr>
        <w:t xml:space="preserve">b, van het Besluit </w:t>
      </w:r>
      <w:r w:rsidR="00792144">
        <w:rPr>
          <w:rFonts w:ascii="Univers" w:hAnsi="Univers"/>
          <w:sz w:val="18"/>
          <w:szCs w:val="18"/>
          <w:lang w:val="nl-NL"/>
        </w:rPr>
        <w:t>belasting- en invorderingsrente</w:t>
      </w:r>
      <w:r w:rsidRPr="00173364">
        <w:rPr>
          <w:rFonts w:ascii="Univers" w:hAnsi="Univers"/>
          <w:sz w:val="18"/>
          <w:szCs w:val="18"/>
          <w:lang w:val="nl-NL"/>
        </w:rPr>
        <w:t>.</w:t>
      </w:r>
      <w:r w:rsidRPr="00173364">
        <w:rPr>
          <w:lang w:val="nl-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C40E3" w14:textId="77777777" w:rsidR="004C0A0F" w:rsidRDefault="004C0A0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E5590" w14:textId="77777777" w:rsidR="006938F0" w:rsidRDefault="002A536F">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E5596" w14:textId="77777777" w:rsidR="006938F0" w:rsidRDefault="002A536F">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627E5597" w14:textId="77777777" w:rsidR="006938F0" w:rsidRDefault="002A536F">
    <w:pPr>
      <w:pStyle w:val="Koptekst"/>
    </w:pPr>
    <w:r>
      <w:rPr>
        <w:noProof/>
      </w:rPr>
      <w:drawing>
        <wp:anchor distT="0" distB="0" distL="114300" distR="114300" simplePos="0" relativeHeight="251658240" behindDoc="1" locked="0" layoutInCell="1" allowOverlap="1" wp14:anchorId="627E55A2" wp14:editId="627E55A3">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4276C"/>
    <w:multiLevelType w:val="hybridMultilevel"/>
    <w:tmpl w:val="B10A5628"/>
    <w:lvl w:ilvl="0" w:tplc="B6B4AF1E">
      <w:start w:val="2"/>
      <w:numFmt w:val="lowerLetter"/>
      <w:lvlText w:val="%1."/>
      <w:lvlJc w:val="left"/>
      <w:pPr>
        <w:ind w:left="1065" w:hanging="705"/>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B9A2420"/>
    <w:multiLevelType w:val="hybridMultilevel"/>
    <w:tmpl w:val="241CAF2C"/>
    <w:lvl w:ilvl="0" w:tplc="A302EE28">
      <w:start w:val="2"/>
      <w:numFmt w:val="lowerLetter"/>
      <w:lvlText w:val="%1."/>
      <w:lvlJc w:val="left"/>
      <w:pPr>
        <w:ind w:left="1065" w:hanging="705"/>
      </w:pPr>
      <w:rPr>
        <w:rFonts w:hint="default"/>
        <w:u w:val="no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80541589">
    <w:abstractNumId w:val="1"/>
  </w:num>
  <w:num w:numId="2" w16cid:durableId="414673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678"/>
    <w:rsid w:val="000021BF"/>
    <w:rsid w:val="00002A55"/>
    <w:rsid w:val="000073CF"/>
    <w:rsid w:val="0000768B"/>
    <w:rsid w:val="000077FD"/>
    <w:rsid w:val="0001239C"/>
    <w:rsid w:val="000126FD"/>
    <w:rsid w:val="00012F11"/>
    <w:rsid w:val="00013E7A"/>
    <w:rsid w:val="00014647"/>
    <w:rsid w:val="00014B8A"/>
    <w:rsid w:val="0001509B"/>
    <w:rsid w:val="00015570"/>
    <w:rsid w:val="00016EDE"/>
    <w:rsid w:val="00016FD5"/>
    <w:rsid w:val="00017749"/>
    <w:rsid w:val="00021297"/>
    <w:rsid w:val="00024ABF"/>
    <w:rsid w:val="00027644"/>
    <w:rsid w:val="000348E5"/>
    <w:rsid w:val="00041F9F"/>
    <w:rsid w:val="00042B81"/>
    <w:rsid w:val="00044173"/>
    <w:rsid w:val="00044791"/>
    <w:rsid w:val="00045E9C"/>
    <w:rsid w:val="00047D42"/>
    <w:rsid w:val="0005020F"/>
    <w:rsid w:val="0005072D"/>
    <w:rsid w:val="00051591"/>
    <w:rsid w:val="00054626"/>
    <w:rsid w:val="00054A00"/>
    <w:rsid w:val="00054D14"/>
    <w:rsid w:val="0006025C"/>
    <w:rsid w:val="000603BC"/>
    <w:rsid w:val="000634F3"/>
    <w:rsid w:val="00065246"/>
    <w:rsid w:val="00067396"/>
    <w:rsid w:val="00073F45"/>
    <w:rsid w:val="0007442B"/>
    <w:rsid w:val="00077261"/>
    <w:rsid w:val="000777BB"/>
    <w:rsid w:val="0008221C"/>
    <w:rsid w:val="00083A32"/>
    <w:rsid w:val="00084E30"/>
    <w:rsid w:val="00084F8A"/>
    <w:rsid w:val="000870EC"/>
    <w:rsid w:val="00087C0A"/>
    <w:rsid w:val="00090B72"/>
    <w:rsid w:val="000916A3"/>
    <w:rsid w:val="000928C9"/>
    <w:rsid w:val="00096D21"/>
    <w:rsid w:val="00097AC8"/>
    <w:rsid w:val="000A279D"/>
    <w:rsid w:val="000A3DD6"/>
    <w:rsid w:val="000A464D"/>
    <w:rsid w:val="000A52E8"/>
    <w:rsid w:val="000A7C1C"/>
    <w:rsid w:val="000B1785"/>
    <w:rsid w:val="000B3206"/>
    <w:rsid w:val="000B347C"/>
    <w:rsid w:val="000B4E99"/>
    <w:rsid w:val="000B601C"/>
    <w:rsid w:val="000B6378"/>
    <w:rsid w:val="000C142F"/>
    <w:rsid w:val="000C18B1"/>
    <w:rsid w:val="000C1AF0"/>
    <w:rsid w:val="000C32C1"/>
    <w:rsid w:val="000C67C1"/>
    <w:rsid w:val="000C6A05"/>
    <w:rsid w:val="000C6C81"/>
    <w:rsid w:val="000D18A6"/>
    <w:rsid w:val="000D55A8"/>
    <w:rsid w:val="000D5953"/>
    <w:rsid w:val="000D69E9"/>
    <w:rsid w:val="000D6D7E"/>
    <w:rsid w:val="000D759E"/>
    <w:rsid w:val="000E092D"/>
    <w:rsid w:val="000E2473"/>
    <w:rsid w:val="000E6D22"/>
    <w:rsid w:val="000F00E7"/>
    <w:rsid w:val="000F1B40"/>
    <w:rsid w:val="000F21CB"/>
    <w:rsid w:val="000F6E8A"/>
    <w:rsid w:val="000F7A02"/>
    <w:rsid w:val="00100332"/>
    <w:rsid w:val="0010177D"/>
    <w:rsid w:val="001017C9"/>
    <w:rsid w:val="00102A76"/>
    <w:rsid w:val="00102D5B"/>
    <w:rsid w:val="00102EE8"/>
    <w:rsid w:val="0010414D"/>
    <w:rsid w:val="001063AF"/>
    <w:rsid w:val="00112715"/>
    <w:rsid w:val="00114FBE"/>
    <w:rsid w:val="00116E7F"/>
    <w:rsid w:val="00121F70"/>
    <w:rsid w:val="00124A5F"/>
    <w:rsid w:val="00124BA7"/>
    <w:rsid w:val="001255DB"/>
    <w:rsid w:val="00126959"/>
    <w:rsid w:val="0013103E"/>
    <w:rsid w:val="001314F0"/>
    <w:rsid w:val="00131971"/>
    <w:rsid w:val="0013363A"/>
    <w:rsid w:val="001400BA"/>
    <w:rsid w:val="0014036D"/>
    <w:rsid w:val="00140F30"/>
    <w:rsid w:val="00141156"/>
    <w:rsid w:val="00142192"/>
    <w:rsid w:val="00142419"/>
    <w:rsid w:val="00146901"/>
    <w:rsid w:val="001474E0"/>
    <w:rsid w:val="00151EF7"/>
    <w:rsid w:val="00152800"/>
    <w:rsid w:val="0015361E"/>
    <w:rsid w:val="00154858"/>
    <w:rsid w:val="00154E54"/>
    <w:rsid w:val="0015509F"/>
    <w:rsid w:val="0015663C"/>
    <w:rsid w:val="001612F5"/>
    <w:rsid w:val="0016197A"/>
    <w:rsid w:val="00162F02"/>
    <w:rsid w:val="00166462"/>
    <w:rsid w:val="0016689D"/>
    <w:rsid w:val="00172100"/>
    <w:rsid w:val="0017306D"/>
    <w:rsid w:val="00173364"/>
    <w:rsid w:val="00176017"/>
    <w:rsid w:val="00177B31"/>
    <w:rsid w:val="0018117D"/>
    <w:rsid w:val="001837A5"/>
    <w:rsid w:val="001872B2"/>
    <w:rsid w:val="00190965"/>
    <w:rsid w:val="00191136"/>
    <w:rsid w:val="00191309"/>
    <w:rsid w:val="0019487A"/>
    <w:rsid w:val="0019551B"/>
    <w:rsid w:val="001A17BC"/>
    <w:rsid w:val="001A258B"/>
    <w:rsid w:val="001A2B49"/>
    <w:rsid w:val="001A3405"/>
    <w:rsid w:val="001A4AE8"/>
    <w:rsid w:val="001A5070"/>
    <w:rsid w:val="001A6402"/>
    <w:rsid w:val="001A68EF"/>
    <w:rsid w:val="001A7557"/>
    <w:rsid w:val="001A7770"/>
    <w:rsid w:val="001B0A9B"/>
    <w:rsid w:val="001B104C"/>
    <w:rsid w:val="001B167B"/>
    <w:rsid w:val="001B3DEB"/>
    <w:rsid w:val="001B70C7"/>
    <w:rsid w:val="001C0084"/>
    <w:rsid w:val="001C08E9"/>
    <w:rsid w:val="001C141B"/>
    <w:rsid w:val="001C2662"/>
    <w:rsid w:val="001C34F5"/>
    <w:rsid w:val="001C4EC8"/>
    <w:rsid w:val="001D3660"/>
    <w:rsid w:val="001D46B9"/>
    <w:rsid w:val="001D5220"/>
    <w:rsid w:val="001D7F75"/>
    <w:rsid w:val="001E0E75"/>
    <w:rsid w:val="001E173B"/>
    <w:rsid w:val="001E5ED8"/>
    <w:rsid w:val="001E66C5"/>
    <w:rsid w:val="001E6C48"/>
    <w:rsid w:val="001F2094"/>
    <w:rsid w:val="001F2B0C"/>
    <w:rsid w:val="001F49B2"/>
    <w:rsid w:val="001F7095"/>
    <w:rsid w:val="001F7391"/>
    <w:rsid w:val="00201B4A"/>
    <w:rsid w:val="00202CA9"/>
    <w:rsid w:val="002036C1"/>
    <w:rsid w:val="0020389E"/>
    <w:rsid w:val="00206FAC"/>
    <w:rsid w:val="002139E3"/>
    <w:rsid w:val="00214A87"/>
    <w:rsid w:val="00224B76"/>
    <w:rsid w:val="0022513F"/>
    <w:rsid w:val="0022531B"/>
    <w:rsid w:val="00231690"/>
    <w:rsid w:val="00231AA7"/>
    <w:rsid w:val="002323A0"/>
    <w:rsid w:val="00233E8E"/>
    <w:rsid w:val="002349C0"/>
    <w:rsid w:val="00235287"/>
    <w:rsid w:val="00237918"/>
    <w:rsid w:val="00241B3B"/>
    <w:rsid w:val="00242805"/>
    <w:rsid w:val="002470F4"/>
    <w:rsid w:val="002510FB"/>
    <w:rsid w:val="00251292"/>
    <w:rsid w:val="00254D62"/>
    <w:rsid w:val="00255514"/>
    <w:rsid w:val="00255791"/>
    <w:rsid w:val="00256CE3"/>
    <w:rsid w:val="00260AEB"/>
    <w:rsid w:val="00262C4D"/>
    <w:rsid w:val="00263111"/>
    <w:rsid w:val="0026329D"/>
    <w:rsid w:val="00263A04"/>
    <w:rsid w:val="002649E9"/>
    <w:rsid w:val="002654C3"/>
    <w:rsid w:val="002663EE"/>
    <w:rsid w:val="00267754"/>
    <w:rsid w:val="00267F2B"/>
    <w:rsid w:val="00270560"/>
    <w:rsid w:val="0027201E"/>
    <w:rsid w:val="00272573"/>
    <w:rsid w:val="00273F29"/>
    <w:rsid w:val="0027738E"/>
    <w:rsid w:val="00277D30"/>
    <w:rsid w:val="00280A31"/>
    <w:rsid w:val="00280C49"/>
    <w:rsid w:val="00284B4A"/>
    <w:rsid w:val="0028714A"/>
    <w:rsid w:val="002872F2"/>
    <w:rsid w:val="002874A7"/>
    <w:rsid w:val="002878FE"/>
    <w:rsid w:val="00292A10"/>
    <w:rsid w:val="00292A9F"/>
    <w:rsid w:val="00293BB0"/>
    <w:rsid w:val="00294422"/>
    <w:rsid w:val="00295ADC"/>
    <w:rsid w:val="00295C01"/>
    <w:rsid w:val="002A536F"/>
    <w:rsid w:val="002A54D2"/>
    <w:rsid w:val="002A7D43"/>
    <w:rsid w:val="002B016B"/>
    <w:rsid w:val="002B1A58"/>
    <w:rsid w:val="002B25DC"/>
    <w:rsid w:val="002B2612"/>
    <w:rsid w:val="002B2BDD"/>
    <w:rsid w:val="002B3593"/>
    <w:rsid w:val="002B3DD6"/>
    <w:rsid w:val="002B492E"/>
    <w:rsid w:val="002B49CF"/>
    <w:rsid w:val="002B5546"/>
    <w:rsid w:val="002B5EF9"/>
    <w:rsid w:val="002B60AD"/>
    <w:rsid w:val="002C3833"/>
    <w:rsid w:val="002C6D19"/>
    <w:rsid w:val="002C7139"/>
    <w:rsid w:val="002C7FEC"/>
    <w:rsid w:val="002D0EFC"/>
    <w:rsid w:val="002D1D65"/>
    <w:rsid w:val="002D4AD9"/>
    <w:rsid w:val="002D7AD6"/>
    <w:rsid w:val="002E08D2"/>
    <w:rsid w:val="002E11D5"/>
    <w:rsid w:val="002E2C0C"/>
    <w:rsid w:val="002E443C"/>
    <w:rsid w:val="002E5692"/>
    <w:rsid w:val="002E5C8C"/>
    <w:rsid w:val="002E7778"/>
    <w:rsid w:val="002F05E7"/>
    <w:rsid w:val="002F5186"/>
    <w:rsid w:val="0030143D"/>
    <w:rsid w:val="00301E6C"/>
    <w:rsid w:val="00303555"/>
    <w:rsid w:val="00304F61"/>
    <w:rsid w:val="00306A90"/>
    <w:rsid w:val="003079EE"/>
    <w:rsid w:val="00312FFD"/>
    <w:rsid w:val="0031316B"/>
    <w:rsid w:val="0031357B"/>
    <w:rsid w:val="00315D94"/>
    <w:rsid w:val="00317586"/>
    <w:rsid w:val="0032051E"/>
    <w:rsid w:val="003219EB"/>
    <w:rsid w:val="00322682"/>
    <w:rsid w:val="00322B33"/>
    <w:rsid w:val="003269C3"/>
    <w:rsid w:val="00326B82"/>
    <w:rsid w:val="00331142"/>
    <w:rsid w:val="0033137A"/>
    <w:rsid w:val="00332C1A"/>
    <w:rsid w:val="00335CE1"/>
    <w:rsid w:val="00335DA0"/>
    <w:rsid w:val="003376E1"/>
    <w:rsid w:val="00337C69"/>
    <w:rsid w:val="003405A1"/>
    <w:rsid w:val="003415EF"/>
    <w:rsid w:val="00342ECD"/>
    <w:rsid w:val="00343152"/>
    <w:rsid w:val="00344A16"/>
    <w:rsid w:val="00344CEA"/>
    <w:rsid w:val="00346DBE"/>
    <w:rsid w:val="003509DC"/>
    <w:rsid w:val="00351F10"/>
    <w:rsid w:val="003528CE"/>
    <w:rsid w:val="003533FF"/>
    <w:rsid w:val="00353CFB"/>
    <w:rsid w:val="00354D90"/>
    <w:rsid w:val="00354E55"/>
    <w:rsid w:val="00363A9F"/>
    <w:rsid w:val="00365F49"/>
    <w:rsid w:val="00367E2A"/>
    <w:rsid w:val="00371005"/>
    <w:rsid w:val="003716BD"/>
    <w:rsid w:val="00371896"/>
    <w:rsid w:val="00376604"/>
    <w:rsid w:val="003767F1"/>
    <w:rsid w:val="003801CE"/>
    <w:rsid w:val="0038127A"/>
    <w:rsid w:val="003825A1"/>
    <w:rsid w:val="00382C28"/>
    <w:rsid w:val="003851E2"/>
    <w:rsid w:val="00386FA8"/>
    <w:rsid w:val="00387C96"/>
    <w:rsid w:val="00390F72"/>
    <w:rsid w:val="00391619"/>
    <w:rsid w:val="00393028"/>
    <w:rsid w:val="00393369"/>
    <w:rsid w:val="00393772"/>
    <w:rsid w:val="0039383B"/>
    <w:rsid w:val="00395E43"/>
    <w:rsid w:val="003A0CE3"/>
    <w:rsid w:val="003A0DEA"/>
    <w:rsid w:val="003A2080"/>
    <w:rsid w:val="003A30BD"/>
    <w:rsid w:val="003A3671"/>
    <w:rsid w:val="003A478E"/>
    <w:rsid w:val="003A56AB"/>
    <w:rsid w:val="003B0261"/>
    <w:rsid w:val="003B1B6F"/>
    <w:rsid w:val="003B3021"/>
    <w:rsid w:val="003B35C4"/>
    <w:rsid w:val="003B3AF0"/>
    <w:rsid w:val="003B3FC7"/>
    <w:rsid w:val="003B51B5"/>
    <w:rsid w:val="003B6930"/>
    <w:rsid w:val="003B70F3"/>
    <w:rsid w:val="003B7E33"/>
    <w:rsid w:val="003C037A"/>
    <w:rsid w:val="003C400B"/>
    <w:rsid w:val="003C64B9"/>
    <w:rsid w:val="003D062F"/>
    <w:rsid w:val="003D1759"/>
    <w:rsid w:val="003D2244"/>
    <w:rsid w:val="003D510F"/>
    <w:rsid w:val="003D56C7"/>
    <w:rsid w:val="003E2A7E"/>
    <w:rsid w:val="003E4494"/>
    <w:rsid w:val="003E4750"/>
    <w:rsid w:val="003E4D49"/>
    <w:rsid w:val="003F02DA"/>
    <w:rsid w:val="003F0557"/>
    <w:rsid w:val="003F0BB1"/>
    <w:rsid w:val="003F3E71"/>
    <w:rsid w:val="003F4489"/>
    <w:rsid w:val="003F698A"/>
    <w:rsid w:val="00404D91"/>
    <w:rsid w:val="00404E7E"/>
    <w:rsid w:val="004071E7"/>
    <w:rsid w:val="00410143"/>
    <w:rsid w:val="004103D8"/>
    <w:rsid w:val="00410BA7"/>
    <w:rsid w:val="00410DEB"/>
    <w:rsid w:val="00411927"/>
    <w:rsid w:val="00414131"/>
    <w:rsid w:val="0041479F"/>
    <w:rsid w:val="00415ECB"/>
    <w:rsid w:val="00416216"/>
    <w:rsid w:val="004223EA"/>
    <w:rsid w:val="004232AD"/>
    <w:rsid w:val="00423659"/>
    <w:rsid w:val="00423FE6"/>
    <w:rsid w:val="0042416F"/>
    <w:rsid w:val="004248FF"/>
    <w:rsid w:val="0042520D"/>
    <w:rsid w:val="004307A2"/>
    <w:rsid w:val="004318F0"/>
    <w:rsid w:val="00432EA9"/>
    <w:rsid w:val="004348E1"/>
    <w:rsid w:val="00435288"/>
    <w:rsid w:val="00435ECE"/>
    <w:rsid w:val="004373DC"/>
    <w:rsid w:val="00440D02"/>
    <w:rsid w:val="00442DFF"/>
    <w:rsid w:val="00443293"/>
    <w:rsid w:val="00444A9F"/>
    <w:rsid w:val="00445E2C"/>
    <w:rsid w:val="00446761"/>
    <w:rsid w:val="00446837"/>
    <w:rsid w:val="0044753E"/>
    <w:rsid w:val="0044754B"/>
    <w:rsid w:val="0045197B"/>
    <w:rsid w:val="00455422"/>
    <w:rsid w:val="004571A3"/>
    <w:rsid w:val="0045788E"/>
    <w:rsid w:val="0046017C"/>
    <w:rsid w:val="0046191D"/>
    <w:rsid w:val="00461C6B"/>
    <w:rsid w:val="00461EBE"/>
    <w:rsid w:val="00464F96"/>
    <w:rsid w:val="0046515A"/>
    <w:rsid w:val="00466D76"/>
    <w:rsid w:val="00467089"/>
    <w:rsid w:val="004707F0"/>
    <w:rsid w:val="004765F8"/>
    <w:rsid w:val="00476D70"/>
    <w:rsid w:val="00476E5F"/>
    <w:rsid w:val="004805CB"/>
    <w:rsid w:val="00480995"/>
    <w:rsid w:val="00481303"/>
    <w:rsid w:val="004815A0"/>
    <w:rsid w:val="0048238E"/>
    <w:rsid w:val="00482C7A"/>
    <w:rsid w:val="004847D3"/>
    <w:rsid w:val="004862B8"/>
    <w:rsid w:val="004877A5"/>
    <w:rsid w:val="00491266"/>
    <w:rsid w:val="00492690"/>
    <w:rsid w:val="00492992"/>
    <w:rsid w:val="004935B3"/>
    <w:rsid w:val="004942CA"/>
    <w:rsid w:val="00494411"/>
    <w:rsid w:val="00494938"/>
    <w:rsid w:val="00494D74"/>
    <w:rsid w:val="00496C76"/>
    <w:rsid w:val="0049780C"/>
    <w:rsid w:val="00497CD0"/>
    <w:rsid w:val="004A161A"/>
    <w:rsid w:val="004A1897"/>
    <w:rsid w:val="004A2CEC"/>
    <w:rsid w:val="004A373C"/>
    <w:rsid w:val="004A4874"/>
    <w:rsid w:val="004A4A99"/>
    <w:rsid w:val="004A5213"/>
    <w:rsid w:val="004A5E1F"/>
    <w:rsid w:val="004A6A98"/>
    <w:rsid w:val="004B1CA0"/>
    <w:rsid w:val="004B2DB5"/>
    <w:rsid w:val="004B5FEE"/>
    <w:rsid w:val="004B6A02"/>
    <w:rsid w:val="004C085A"/>
    <w:rsid w:val="004C0A0F"/>
    <w:rsid w:val="004C1184"/>
    <w:rsid w:val="004C385A"/>
    <w:rsid w:val="004C3AF7"/>
    <w:rsid w:val="004C791B"/>
    <w:rsid w:val="004C7CF1"/>
    <w:rsid w:val="004D03EB"/>
    <w:rsid w:val="004D15E5"/>
    <w:rsid w:val="004D1693"/>
    <w:rsid w:val="004D4E77"/>
    <w:rsid w:val="004D527F"/>
    <w:rsid w:val="004D7C70"/>
    <w:rsid w:val="004E0AEB"/>
    <w:rsid w:val="004E1762"/>
    <w:rsid w:val="004E275B"/>
    <w:rsid w:val="004F18AF"/>
    <w:rsid w:val="004F30AE"/>
    <w:rsid w:val="00500151"/>
    <w:rsid w:val="00500288"/>
    <w:rsid w:val="005003E0"/>
    <w:rsid w:val="00500DED"/>
    <w:rsid w:val="005015C2"/>
    <w:rsid w:val="00502034"/>
    <w:rsid w:val="00502D42"/>
    <w:rsid w:val="00503587"/>
    <w:rsid w:val="0050377C"/>
    <w:rsid w:val="0050431D"/>
    <w:rsid w:val="0050597E"/>
    <w:rsid w:val="0051048D"/>
    <w:rsid w:val="0051186C"/>
    <w:rsid w:val="00513E7B"/>
    <w:rsid w:val="0051434A"/>
    <w:rsid w:val="005161B8"/>
    <w:rsid w:val="005174F2"/>
    <w:rsid w:val="0051797F"/>
    <w:rsid w:val="00521BE2"/>
    <w:rsid w:val="00524D51"/>
    <w:rsid w:val="00524DB7"/>
    <w:rsid w:val="00525D59"/>
    <w:rsid w:val="0053254D"/>
    <w:rsid w:val="005326E1"/>
    <w:rsid w:val="00532C34"/>
    <w:rsid w:val="00533E40"/>
    <w:rsid w:val="00535F7B"/>
    <w:rsid w:val="005402DC"/>
    <w:rsid w:val="0054052C"/>
    <w:rsid w:val="00540847"/>
    <w:rsid w:val="005426B4"/>
    <w:rsid w:val="00544BE9"/>
    <w:rsid w:val="00545BE6"/>
    <w:rsid w:val="00546166"/>
    <w:rsid w:val="005463B3"/>
    <w:rsid w:val="00546900"/>
    <w:rsid w:val="00546FE7"/>
    <w:rsid w:val="0055049A"/>
    <w:rsid w:val="00551298"/>
    <w:rsid w:val="005565F5"/>
    <w:rsid w:val="0056105A"/>
    <w:rsid w:val="00562CC6"/>
    <w:rsid w:val="00565554"/>
    <w:rsid w:val="0056625B"/>
    <w:rsid w:val="00573120"/>
    <w:rsid w:val="00574809"/>
    <w:rsid w:val="00575838"/>
    <w:rsid w:val="0057613C"/>
    <w:rsid w:val="005809B1"/>
    <w:rsid w:val="00581678"/>
    <w:rsid w:val="00582A92"/>
    <w:rsid w:val="005833ED"/>
    <w:rsid w:val="005859B6"/>
    <w:rsid w:val="00585B35"/>
    <w:rsid w:val="00585E22"/>
    <w:rsid w:val="00587136"/>
    <w:rsid w:val="00590AFB"/>
    <w:rsid w:val="00591884"/>
    <w:rsid w:val="00592675"/>
    <w:rsid w:val="00593157"/>
    <w:rsid w:val="005943FF"/>
    <w:rsid w:val="005945B9"/>
    <w:rsid w:val="005950B3"/>
    <w:rsid w:val="00595156"/>
    <w:rsid w:val="005957A7"/>
    <w:rsid w:val="00596E81"/>
    <w:rsid w:val="005A01E0"/>
    <w:rsid w:val="005A1AA8"/>
    <w:rsid w:val="005A2A09"/>
    <w:rsid w:val="005A3AC5"/>
    <w:rsid w:val="005A45FA"/>
    <w:rsid w:val="005A587F"/>
    <w:rsid w:val="005A5DBC"/>
    <w:rsid w:val="005A6A67"/>
    <w:rsid w:val="005B1ACC"/>
    <w:rsid w:val="005B2D9C"/>
    <w:rsid w:val="005B3AD3"/>
    <w:rsid w:val="005B3E7A"/>
    <w:rsid w:val="005C109B"/>
    <w:rsid w:val="005C30D2"/>
    <w:rsid w:val="005C3EF7"/>
    <w:rsid w:val="005D19DD"/>
    <w:rsid w:val="005D2595"/>
    <w:rsid w:val="005D5563"/>
    <w:rsid w:val="005D61A4"/>
    <w:rsid w:val="005E1D38"/>
    <w:rsid w:val="005E4AAD"/>
    <w:rsid w:val="005E4AFB"/>
    <w:rsid w:val="005E6103"/>
    <w:rsid w:val="005E6291"/>
    <w:rsid w:val="005F1592"/>
    <w:rsid w:val="005F29D4"/>
    <w:rsid w:val="005F2A6E"/>
    <w:rsid w:val="005F43C9"/>
    <w:rsid w:val="0060229F"/>
    <w:rsid w:val="006024FD"/>
    <w:rsid w:val="006033DB"/>
    <w:rsid w:val="00605815"/>
    <w:rsid w:val="00606C23"/>
    <w:rsid w:val="00613007"/>
    <w:rsid w:val="0061331C"/>
    <w:rsid w:val="00615453"/>
    <w:rsid w:val="006171FD"/>
    <w:rsid w:val="00622723"/>
    <w:rsid w:val="00622791"/>
    <w:rsid w:val="00622E28"/>
    <w:rsid w:val="0062331E"/>
    <w:rsid w:val="006253AF"/>
    <w:rsid w:val="00625B2F"/>
    <w:rsid w:val="0062680B"/>
    <w:rsid w:val="006306C3"/>
    <w:rsid w:val="006312CA"/>
    <w:rsid w:val="00632BD8"/>
    <w:rsid w:val="006330DB"/>
    <w:rsid w:val="0063455D"/>
    <w:rsid w:val="006376AD"/>
    <w:rsid w:val="006413D0"/>
    <w:rsid w:val="00641F5E"/>
    <w:rsid w:val="00643661"/>
    <w:rsid w:val="00651721"/>
    <w:rsid w:val="006575DD"/>
    <w:rsid w:val="0066040C"/>
    <w:rsid w:val="00666B52"/>
    <w:rsid w:val="006716A2"/>
    <w:rsid w:val="006734F0"/>
    <w:rsid w:val="0067406B"/>
    <w:rsid w:val="0067406D"/>
    <w:rsid w:val="00674614"/>
    <w:rsid w:val="00674A9F"/>
    <w:rsid w:val="006778B3"/>
    <w:rsid w:val="00681B45"/>
    <w:rsid w:val="00682129"/>
    <w:rsid w:val="006862BB"/>
    <w:rsid w:val="00686ED0"/>
    <w:rsid w:val="00687BDB"/>
    <w:rsid w:val="00690B4E"/>
    <w:rsid w:val="006938F0"/>
    <w:rsid w:val="00693F05"/>
    <w:rsid w:val="0069446B"/>
    <w:rsid w:val="006949BA"/>
    <w:rsid w:val="00696773"/>
    <w:rsid w:val="006968A1"/>
    <w:rsid w:val="006969A0"/>
    <w:rsid w:val="006A03A1"/>
    <w:rsid w:val="006A154A"/>
    <w:rsid w:val="006A1A0C"/>
    <w:rsid w:val="006A1ED2"/>
    <w:rsid w:val="006A4E15"/>
    <w:rsid w:val="006A5217"/>
    <w:rsid w:val="006A6477"/>
    <w:rsid w:val="006A770E"/>
    <w:rsid w:val="006B1BC5"/>
    <w:rsid w:val="006B28C9"/>
    <w:rsid w:val="006B3E1A"/>
    <w:rsid w:val="006B7AD1"/>
    <w:rsid w:val="006C0E0B"/>
    <w:rsid w:val="006C0FA2"/>
    <w:rsid w:val="006C2D18"/>
    <w:rsid w:val="006C3B27"/>
    <w:rsid w:val="006C3C79"/>
    <w:rsid w:val="006C69E7"/>
    <w:rsid w:val="006C6A7F"/>
    <w:rsid w:val="006C70E6"/>
    <w:rsid w:val="006D0D82"/>
    <w:rsid w:val="006D109F"/>
    <w:rsid w:val="006D177B"/>
    <w:rsid w:val="006D30C8"/>
    <w:rsid w:val="006D3583"/>
    <w:rsid w:val="006D3EF8"/>
    <w:rsid w:val="006D45CF"/>
    <w:rsid w:val="006E036B"/>
    <w:rsid w:val="006E0C78"/>
    <w:rsid w:val="006E0F68"/>
    <w:rsid w:val="006E21BB"/>
    <w:rsid w:val="006E2394"/>
    <w:rsid w:val="006E43A8"/>
    <w:rsid w:val="006F05FB"/>
    <w:rsid w:val="006F26A1"/>
    <w:rsid w:val="006F2F7B"/>
    <w:rsid w:val="006F5AED"/>
    <w:rsid w:val="00701D86"/>
    <w:rsid w:val="00705D03"/>
    <w:rsid w:val="00705F34"/>
    <w:rsid w:val="007063D6"/>
    <w:rsid w:val="00713974"/>
    <w:rsid w:val="0071578A"/>
    <w:rsid w:val="007160F3"/>
    <w:rsid w:val="0071674C"/>
    <w:rsid w:val="00717FD9"/>
    <w:rsid w:val="00720034"/>
    <w:rsid w:val="00721D21"/>
    <w:rsid w:val="007300ED"/>
    <w:rsid w:val="0073059B"/>
    <w:rsid w:val="00730631"/>
    <w:rsid w:val="0073355C"/>
    <w:rsid w:val="007401BD"/>
    <w:rsid w:val="00741DF9"/>
    <w:rsid w:val="00745C32"/>
    <w:rsid w:val="00751AF0"/>
    <w:rsid w:val="00751BA6"/>
    <w:rsid w:val="00754498"/>
    <w:rsid w:val="007557A1"/>
    <w:rsid w:val="007567FF"/>
    <w:rsid w:val="007579F7"/>
    <w:rsid w:val="00760498"/>
    <w:rsid w:val="00761495"/>
    <w:rsid w:val="00763C97"/>
    <w:rsid w:val="00765F71"/>
    <w:rsid w:val="00771AA1"/>
    <w:rsid w:val="00772579"/>
    <w:rsid w:val="007750BA"/>
    <w:rsid w:val="00775DC7"/>
    <w:rsid w:val="00776756"/>
    <w:rsid w:val="00776DB8"/>
    <w:rsid w:val="00781163"/>
    <w:rsid w:val="00781E7E"/>
    <w:rsid w:val="00782A37"/>
    <w:rsid w:val="0078462E"/>
    <w:rsid w:val="00784D1E"/>
    <w:rsid w:val="0079004A"/>
    <w:rsid w:val="00790081"/>
    <w:rsid w:val="0079204B"/>
    <w:rsid w:val="00792144"/>
    <w:rsid w:val="007931D3"/>
    <w:rsid w:val="007A049B"/>
    <w:rsid w:val="007A2CC0"/>
    <w:rsid w:val="007A3AA7"/>
    <w:rsid w:val="007A481A"/>
    <w:rsid w:val="007A4B2C"/>
    <w:rsid w:val="007A6759"/>
    <w:rsid w:val="007A7A27"/>
    <w:rsid w:val="007B1278"/>
    <w:rsid w:val="007B2B45"/>
    <w:rsid w:val="007B2BFB"/>
    <w:rsid w:val="007B35C2"/>
    <w:rsid w:val="007B3DD8"/>
    <w:rsid w:val="007B4B8B"/>
    <w:rsid w:val="007B519F"/>
    <w:rsid w:val="007B5C12"/>
    <w:rsid w:val="007B6135"/>
    <w:rsid w:val="007B6212"/>
    <w:rsid w:val="007B6FD8"/>
    <w:rsid w:val="007B7577"/>
    <w:rsid w:val="007C111B"/>
    <w:rsid w:val="007C42F3"/>
    <w:rsid w:val="007D0B10"/>
    <w:rsid w:val="007D100E"/>
    <w:rsid w:val="007D1D46"/>
    <w:rsid w:val="007D22B3"/>
    <w:rsid w:val="007D2C8A"/>
    <w:rsid w:val="007D4089"/>
    <w:rsid w:val="007D6CB4"/>
    <w:rsid w:val="007E0763"/>
    <w:rsid w:val="007E3D5C"/>
    <w:rsid w:val="007E6850"/>
    <w:rsid w:val="007E6EF1"/>
    <w:rsid w:val="007F03F7"/>
    <w:rsid w:val="007F1DDA"/>
    <w:rsid w:val="007F27A3"/>
    <w:rsid w:val="007F4E59"/>
    <w:rsid w:val="007F5346"/>
    <w:rsid w:val="007F5D2B"/>
    <w:rsid w:val="007F6247"/>
    <w:rsid w:val="0080023C"/>
    <w:rsid w:val="008016E8"/>
    <w:rsid w:val="00802149"/>
    <w:rsid w:val="008025E6"/>
    <w:rsid w:val="00804FE0"/>
    <w:rsid w:val="008069E6"/>
    <w:rsid w:val="00810866"/>
    <w:rsid w:val="008108D1"/>
    <w:rsid w:val="00810D93"/>
    <w:rsid w:val="00812A27"/>
    <w:rsid w:val="00814417"/>
    <w:rsid w:val="00820639"/>
    <w:rsid w:val="00823CD0"/>
    <w:rsid w:val="00824188"/>
    <w:rsid w:val="00826B3F"/>
    <w:rsid w:val="00827294"/>
    <w:rsid w:val="0083025B"/>
    <w:rsid w:val="00830DC2"/>
    <w:rsid w:val="00831F42"/>
    <w:rsid w:val="00832EE3"/>
    <w:rsid w:val="00833D64"/>
    <w:rsid w:val="008377CD"/>
    <w:rsid w:val="00840E21"/>
    <w:rsid w:val="00841BE4"/>
    <w:rsid w:val="00841D42"/>
    <w:rsid w:val="00841E5D"/>
    <w:rsid w:val="00843224"/>
    <w:rsid w:val="00845A72"/>
    <w:rsid w:val="008461A0"/>
    <w:rsid w:val="0084701F"/>
    <w:rsid w:val="008518B8"/>
    <w:rsid w:val="00851D19"/>
    <w:rsid w:val="00852EE7"/>
    <w:rsid w:val="00854911"/>
    <w:rsid w:val="00856046"/>
    <w:rsid w:val="00856994"/>
    <w:rsid w:val="00860412"/>
    <w:rsid w:val="008628A3"/>
    <w:rsid w:val="00862ACF"/>
    <w:rsid w:val="00863BE1"/>
    <w:rsid w:val="008651E2"/>
    <w:rsid w:val="0086753E"/>
    <w:rsid w:val="00875F2E"/>
    <w:rsid w:val="00880EFB"/>
    <w:rsid w:val="0088134A"/>
    <w:rsid w:val="00881CB5"/>
    <w:rsid w:val="008824FD"/>
    <w:rsid w:val="008830ED"/>
    <w:rsid w:val="00883454"/>
    <w:rsid w:val="008835BE"/>
    <w:rsid w:val="00885548"/>
    <w:rsid w:val="008866D4"/>
    <w:rsid w:val="00887D2F"/>
    <w:rsid w:val="00890B9D"/>
    <w:rsid w:val="00891B82"/>
    <w:rsid w:val="0089249D"/>
    <w:rsid w:val="0089368F"/>
    <w:rsid w:val="00894262"/>
    <w:rsid w:val="00896121"/>
    <w:rsid w:val="00897A97"/>
    <w:rsid w:val="008A0090"/>
    <w:rsid w:val="008A1D7C"/>
    <w:rsid w:val="008A2F86"/>
    <w:rsid w:val="008A44BD"/>
    <w:rsid w:val="008A47A4"/>
    <w:rsid w:val="008B1814"/>
    <w:rsid w:val="008B2149"/>
    <w:rsid w:val="008B31C2"/>
    <w:rsid w:val="008B4CB2"/>
    <w:rsid w:val="008B5F80"/>
    <w:rsid w:val="008B7D86"/>
    <w:rsid w:val="008C08DD"/>
    <w:rsid w:val="008C0DB3"/>
    <w:rsid w:val="008C29D2"/>
    <w:rsid w:val="008C3A75"/>
    <w:rsid w:val="008D00C7"/>
    <w:rsid w:val="008D1F66"/>
    <w:rsid w:val="008D292B"/>
    <w:rsid w:val="008D3AF8"/>
    <w:rsid w:val="008D3DEA"/>
    <w:rsid w:val="008D6330"/>
    <w:rsid w:val="008D727A"/>
    <w:rsid w:val="008E018B"/>
    <w:rsid w:val="008E20E7"/>
    <w:rsid w:val="008E245F"/>
    <w:rsid w:val="008E29A4"/>
    <w:rsid w:val="008E542B"/>
    <w:rsid w:val="008E606D"/>
    <w:rsid w:val="008E63C9"/>
    <w:rsid w:val="008E6C2B"/>
    <w:rsid w:val="008F0C56"/>
    <w:rsid w:val="008F0E79"/>
    <w:rsid w:val="008F1CF7"/>
    <w:rsid w:val="008F2DEA"/>
    <w:rsid w:val="008F60E0"/>
    <w:rsid w:val="009019DD"/>
    <w:rsid w:val="0090295D"/>
    <w:rsid w:val="00903D30"/>
    <w:rsid w:val="0090632C"/>
    <w:rsid w:val="009068E9"/>
    <w:rsid w:val="0091050C"/>
    <w:rsid w:val="009127C6"/>
    <w:rsid w:val="009142BE"/>
    <w:rsid w:val="00915F4C"/>
    <w:rsid w:val="00916ABA"/>
    <w:rsid w:val="00920F10"/>
    <w:rsid w:val="0092250E"/>
    <w:rsid w:val="0092267B"/>
    <w:rsid w:val="00922A29"/>
    <w:rsid w:val="00926DCB"/>
    <w:rsid w:val="00927521"/>
    <w:rsid w:val="009335E7"/>
    <w:rsid w:val="00934F26"/>
    <w:rsid w:val="009352DC"/>
    <w:rsid w:val="00940A67"/>
    <w:rsid w:val="00940ABA"/>
    <w:rsid w:val="00943784"/>
    <w:rsid w:val="00946132"/>
    <w:rsid w:val="00951A77"/>
    <w:rsid w:val="0095270A"/>
    <w:rsid w:val="0095425C"/>
    <w:rsid w:val="009542C6"/>
    <w:rsid w:val="00955837"/>
    <w:rsid w:val="00956612"/>
    <w:rsid w:val="00957A69"/>
    <w:rsid w:val="00960278"/>
    <w:rsid w:val="009606D3"/>
    <w:rsid w:val="00962704"/>
    <w:rsid w:val="009627E4"/>
    <w:rsid w:val="00962E29"/>
    <w:rsid w:val="00962EA9"/>
    <w:rsid w:val="009643EA"/>
    <w:rsid w:val="009644F6"/>
    <w:rsid w:val="00967811"/>
    <w:rsid w:val="00970256"/>
    <w:rsid w:val="009708F5"/>
    <w:rsid w:val="00970A3E"/>
    <w:rsid w:val="00971FEB"/>
    <w:rsid w:val="00972428"/>
    <w:rsid w:val="009725F5"/>
    <w:rsid w:val="00972707"/>
    <w:rsid w:val="00972D3A"/>
    <w:rsid w:val="00973EAD"/>
    <w:rsid w:val="009748C7"/>
    <w:rsid w:val="00974999"/>
    <w:rsid w:val="009766F4"/>
    <w:rsid w:val="009769A2"/>
    <w:rsid w:val="00976F6C"/>
    <w:rsid w:val="009801CD"/>
    <w:rsid w:val="0098093D"/>
    <w:rsid w:val="00980A4C"/>
    <w:rsid w:val="0098196F"/>
    <w:rsid w:val="00984571"/>
    <w:rsid w:val="00985405"/>
    <w:rsid w:val="00986BB2"/>
    <w:rsid w:val="00986F83"/>
    <w:rsid w:val="00991E92"/>
    <w:rsid w:val="0099457C"/>
    <w:rsid w:val="009963A6"/>
    <w:rsid w:val="009979EE"/>
    <w:rsid w:val="009A2DA3"/>
    <w:rsid w:val="009B148C"/>
    <w:rsid w:val="009B2F39"/>
    <w:rsid w:val="009B354F"/>
    <w:rsid w:val="009B4B8A"/>
    <w:rsid w:val="009B6462"/>
    <w:rsid w:val="009C07D6"/>
    <w:rsid w:val="009C0B65"/>
    <w:rsid w:val="009C1323"/>
    <w:rsid w:val="009C2941"/>
    <w:rsid w:val="009C307F"/>
    <w:rsid w:val="009C44D1"/>
    <w:rsid w:val="009C46F0"/>
    <w:rsid w:val="009D3B8C"/>
    <w:rsid w:val="009D4B15"/>
    <w:rsid w:val="009D5418"/>
    <w:rsid w:val="009D620B"/>
    <w:rsid w:val="009D6D84"/>
    <w:rsid w:val="009E1BB9"/>
    <w:rsid w:val="009E2E3B"/>
    <w:rsid w:val="009E3022"/>
    <w:rsid w:val="009E34AE"/>
    <w:rsid w:val="009E3595"/>
    <w:rsid w:val="009E3790"/>
    <w:rsid w:val="009E408D"/>
    <w:rsid w:val="009F3BD4"/>
    <w:rsid w:val="009F4DA6"/>
    <w:rsid w:val="009F5778"/>
    <w:rsid w:val="009F6A5E"/>
    <w:rsid w:val="009F7881"/>
    <w:rsid w:val="00A00DAF"/>
    <w:rsid w:val="00A019B1"/>
    <w:rsid w:val="00A05E64"/>
    <w:rsid w:val="00A06277"/>
    <w:rsid w:val="00A06F28"/>
    <w:rsid w:val="00A07C94"/>
    <w:rsid w:val="00A106AB"/>
    <w:rsid w:val="00A11F50"/>
    <w:rsid w:val="00A1279F"/>
    <w:rsid w:val="00A134FD"/>
    <w:rsid w:val="00A17061"/>
    <w:rsid w:val="00A170DE"/>
    <w:rsid w:val="00A17467"/>
    <w:rsid w:val="00A2460B"/>
    <w:rsid w:val="00A25667"/>
    <w:rsid w:val="00A26290"/>
    <w:rsid w:val="00A26CA4"/>
    <w:rsid w:val="00A3053E"/>
    <w:rsid w:val="00A35BC4"/>
    <w:rsid w:val="00A35E27"/>
    <w:rsid w:val="00A3632B"/>
    <w:rsid w:val="00A36E88"/>
    <w:rsid w:val="00A37FBA"/>
    <w:rsid w:val="00A42266"/>
    <w:rsid w:val="00A42280"/>
    <w:rsid w:val="00A42CD1"/>
    <w:rsid w:val="00A4379C"/>
    <w:rsid w:val="00A443B2"/>
    <w:rsid w:val="00A44E2B"/>
    <w:rsid w:val="00A45ACE"/>
    <w:rsid w:val="00A46A5A"/>
    <w:rsid w:val="00A5000F"/>
    <w:rsid w:val="00A50469"/>
    <w:rsid w:val="00A51A88"/>
    <w:rsid w:val="00A53646"/>
    <w:rsid w:val="00A53D5A"/>
    <w:rsid w:val="00A54983"/>
    <w:rsid w:val="00A570FB"/>
    <w:rsid w:val="00A5715A"/>
    <w:rsid w:val="00A57623"/>
    <w:rsid w:val="00A5786A"/>
    <w:rsid w:val="00A60100"/>
    <w:rsid w:val="00A60F35"/>
    <w:rsid w:val="00A61ADA"/>
    <w:rsid w:val="00A61D0D"/>
    <w:rsid w:val="00A62624"/>
    <w:rsid w:val="00A629CE"/>
    <w:rsid w:val="00A63777"/>
    <w:rsid w:val="00A63A13"/>
    <w:rsid w:val="00A6408F"/>
    <w:rsid w:val="00A65DE1"/>
    <w:rsid w:val="00A670F3"/>
    <w:rsid w:val="00A6797A"/>
    <w:rsid w:val="00A701C5"/>
    <w:rsid w:val="00A701E5"/>
    <w:rsid w:val="00A70DD9"/>
    <w:rsid w:val="00A71F90"/>
    <w:rsid w:val="00A74DE3"/>
    <w:rsid w:val="00A84191"/>
    <w:rsid w:val="00A84DE4"/>
    <w:rsid w:val="00A866A7"/>
    <w:rsid w:val="00A925B7"/>
    <w:rsid w:val="00A93AAE"/>
    <w:rsid w:val="00A943E7"/>
    <w:rsid w:val="00A96A9C"/>
    <w:rsid w:val="00AA1D4A"/>
    <w:rsid w:val="00AA3AE8"/>
    <w:rsid w:val="00AA3D28"/>
    <w:rsid w:val="00AA456B"/>
    <w:rsid w:val="00AA6FF9"/>
    <w:rsid w:val="00AB64B6"/>
    <w:rsid w:val="00AC2040"/>
    <w:rsid w:val="00AC3E90"/>
    <w:rsid w:val="00AC4EC9"/>
    <w:rsid w:val="00AC54F3"/>
    <w:rsid w:val="00AC5CAC"/>
    <w:rsid w:val="00AD3497"/>
    <w:rsid w:val="00AD7E52"/>
    <w:rsid w:val="00AE4ADC"/>
    <w:rsid w:val="00AE7A90"/>
    <w:rsid w:val="00AE7B4D"/>
    <w:rsid w:val="00AF1CA5"/>
    <w:rsid w:val="00AF3C5F"/>
    <w:rsid w:val="00AF3E84"/>
    <w:rsid w:val="00AF49A2"/>
    <w:rsid w:val="00AF586C"/>
    <w:rsid w:val="00B00177"/>
    <w:rsid w:val="00B01E01"/>
    <w:rsid w:val="00B038E6"/>
    <w:rsid w:val="00B03F32"/>
    <w:rsid w:val="00B049B8"/>
    <w:rsid w:val="00B055A0"/>
    <w:rsid w:val="00B06DF8"/>
    <w:rsid w:val="00B0759F"/>
    <w:rsid w:val="00B11F1E"/>
    <w:rsid w:val="00B13295"/>
    <w:rsid w:val="00B138E8"/>
    <w:rsid w:val="00B176DD"/>
    <w:rsid w:val="00B17B7D"/>
    <w:rsid w:val="00B203D0"/>
    <w:rsid w:val="00B21189"/>
    <w:rsid w:val="00B21336"/>
    <w:rsid w:val="00B21C0F"/>
    <w:rsid w:val="00B238E0"/>
    <w:rsid w:val="00B24810"/>
    <w:rsid w:val="00B264A5"/>
    <w:rsid w:val="00B27913"/>
    <w:rsid w:val="00B32C45"/>
    <w:rsid w:val="00B33427"/>
    <w:rsid w:val="00B36F20"/>
    <w:rsid w:val="00B40704"/>
    <w:rsid w:val="00B40C6F"/>
    <w:rsid w:val="00B41AFE"/>
    <w:rsid w:val="00B439A7"/>
    <w:rsid w:val="00B43CAA"/>
    <w:rsid w:val="00B44950"/>
    <w:rsid w:val="00B45E13"/>
    <w:rsid w:val="00B46F92"/>
    <w:rsid w:val="00B506DA"/>
    <w:rsid w:val="00B53E36"/>
    <w:rsid w:val="00B54B51"/>
    <w:rsid w:val="00B5532B"/>
    <w:rsid w:val="00B55C45"/>
    <w:rsid w:val="00B57536"/>
    <w:rsid w:val="00B60437"/>
    <w:rsid w:val="00B622A2"/>
    <w:rsid w:val="00B62CD0"/>
    <w:rsid w:val="00B64A4C"/>
    <w:rsid w:val="00B651C2"/>
    <w:rsid w:val="00B659E9"/>
    <w:rsid w:val="00B65A8A"/>
    <w:rsid w:val="00B678D2"/>
    <w:rsid w:val="00B679AC"/>
    <w:rsid w:val="00B700E4"/>
    <w:rsid w:val="00B70658"/>
    <w:rsid w:val="00B72070"/>
    <w:rsid w:val="00B73B82"/>
    <w:rsid w:val="00B74C0D"/>
    <w:rsid w:val="00B774D2"/>
    <w:rsid w:val="00B77615"/>
    <w:rsid w:val="00B80A71"/>
    <w:rsid w:val="00B81173"/>
    <w:rsid w:val="00B82C32"/>
    <w:rsid w:val="00B83A3C"/>
    <w:rsid w:val="00B844CC"/>
    <w:rsid w:val="00B8495A"/>
    <w:rsid w:val="00B85278"/>
    <w:rsid w:val="00B85B65"/>
    <w:rsid w:val="00B86098"/>
    <w:rsid w:val="00B87202"/>
    <w:rsid w:val="00B90A6F"/>
    <w:rsid w:val="00B91E9F"/>
    <w:rsid w:val="00B92584"/>
    <w:rsid w:val="00B97B88"/>
    <w:rsid w:val="00BA0114"/>
    <w:rsid w:val="00BA136C"/>
    <w:rsid w:val="00BA3940"/>
    <w:rsid w:val="00BA547F"/>
    <w:rsid w:val="00BA5E33"/>
    <w:rsid w:val="00BA75A3"/>
    <w:rsid w:val="00BB0767"/>
    <w:rsid w:val="00BB0953"/>
    <w:rsid w:val="00BB0BF6"/>
    <w:rsid w:val="00BB1458"/>
    <w:rsid w:val="00BB25FA"/>
    <w:rsid w:val="00BB4014"/>
    <w:rsid w:val="00BB52D0"/>
    <w:rsid w:val="00BB6415"/>
    <w:rsid w:val="00BB6E2D"/>
    <w:rsid w:val="00BC6449"/>
    <w:rsid w:val="00BD09F1"/>
    <w:rsid w:val="00BD19CA"/>
    <w:rsid w:val="00BD1A88"/>
    <w:rsid w:val="00BD2770"/>
    <w:rsid w:val="00BD3089"/>
    <w:rsid w:val="00BD3090"/>
    <w:rsid w:val="00BD385E"/>
    <w:rsid w:val="00BE5ACD"/>
    <w:rsid w:val="00BE5BA9"/>
    <w:rsid w:val="00BE6E4A"/>
    <w:rsid w:val="00BF52EE"/>
    <w:rsid w:val="00BF58B4"/>
    <w:rsid w:val="00BF6759"/>
    <w:rsid w:val="00C00464"/>
    <w:rsid w:val="00C012C8"/>
    <w:rsid w:val="00C01CBE"/>
    <w:rsid w:val="00C028E1"/>
    <w:rsid w:val="00C02F20"/>
    <w:rsid w:val="00C058A8"/>
    <w:rsid w:val="00C11CBB"/>
    <w:rsid w:val="00C14DD1"/>
    <w:rsid w:val="00C157EB"/>
    <w:rsid w:val="00C160C5"/>
    <w:rsid w:val="00C1691E"/>
    <w:rsid w:val="00C174E8"/>
    <w:rsid w:val="00C207AC"/>
    <w:rsid w:val="00C23A9C"/>
    <w:rsid w:val="00C24AA7"/>
    <w:rsid w:val="00C3015B"/>
    <w:rsid w:val="00C30FB4"/>
    <w:rsid w:val="00C31055"/>
    <w:rsid w:val="00C317BE"/>
    <w:rsid w:val="00C3301A"/>
    <w:rsid w:val="00C33162"/>
    <w:rsid w:val="00C340DC"/>
    <w:rsid w:val="00C35139"/>
    <w:rsid w:val="00C3626C"/>
    <w:rsid w:val="00C36274"/>
    <w:rsid w:val="00C36E18"/>
    <w:rsid w:val="00C40653"/>
    <w:rsid w:val="00C4073A"/>
    <w:rsid w:val="00C42F13"/>
    <w:rsid w:val="00C44677"/>
    <w:rsid w:val="00C46733"/>
    <w:rsid w:val="00C46847"/>
    <w:rsid w:val="00C50708"/>
    <w:rsid w:val="00C50ACD"/>
    <w:rsid w:val="00C50F6B"/>
    <w:rsid w:val="00C522A8"/>
    <w:rsid w:val="00C5275B"/>
    <w:rsid w:val="00C56298"/>
    <w:rsid w:val="00C56680"/>
    <w:rsid w:val="00C5706C"/>
    <w:rsid w:val="00C6153C"/>
    <w:rsid w:val="00C6465A"/>
    <w:rsid w:val="00C64DD5"/>
    <w:rsid w:val="00C67A77"/>
    <w:rsid w:val="00C70D09"/>
    <w:rsid w:val="00C72386"/>
    <w:rsid w:val="00C72529"/>
    <w:rsid w:val="00C72A3F"/>
    <w:rsid w:val="00C72ED9"/>
    <w:rsid w:val="00C739EE"/>
    <w:rsid w:val="00C7475C"/>
    <w:rsid w:val="00C75103"/>
    <w:rsid w:val="00C7595E"/>
    <w:rsid w:val="00C77C4C"/>
    <w:rsid w:val="00C80563"/>
    <w:rsid w:val="00C817E6"/>
    <w:rsid w:val="00C82315"/>
    <w:rsid w:val="00C8386C"/>
    <w:rsid w:val="00C852AE"/>
    <w:rsid w:val="00C86134"/>
    <w:rsid w:val="00C86F8E"/>
    <w:rsid w:val="00C87AC2"/>
    <w:rsid w:val="00C96C9D"/>
    <w:rsid w:val="00CA2AC5"/>
    <w:rsid w:val="00CA5C37"/>
    <w:rsid w:val="00CB0F57"/>
    <w:rsid w:val="00CB158C"/>
    <w:rsid w:val="00CB1ADD"/>
    <w:rsid w:val="00CC488A"/>
    <w:rsid w:val="00CC55C9"/>
    <w:rsid w:val="00CD1477"/>
    <w:rsid w:val="00CD1644"/>
    <w:rsid w:val="00CD2424"/>
    <w:rsid w:val="00CD5172"/>
    <w:rsid w:val="00CD536B"/>
    <w:rsid w:val="00CD6BA6"/>
    <w:rsid w:val="00CD76A8"/>
    <w:rsid w:val="00CE026C"/>
    <w:rsid w:val="00CE2E4D"/>
    <w:rsid w:val="00CE3F7B"/>
    <w:rsid w:val="00CE45B7"/>
    <w:rsid w:val="00CE5BE9"/>
    <w:rsid w:val="00CE616A"/>
    <w:rsid w:val="00CF0DC8"/>
    <w:rsid w:val="00CF1516"/>
    <w:rsid w:val="00CF399A"/>
    <w:rsid w:val="00CF410C"/>
    <w:rsid w:val="00CF5929"/>
    <w:rsid w:val="00CF65EE"/>
    <w:rsid w:val="00CF681F"/>
    <w:rsid w:val="00CF6AC8"/>
    <w:rsid w:val="00CF7ED4"/>
    <w:rsid w:val="00D0105D"/>
    <w:rsid w:val="00D01519"/>
    <w:rsid w:val="00D022A2"/>
    <w:rsid w:val="00D04A80"/>
    <w:rsid w:val="00D070AB"/>
    <w:rsid w:val="00D12D06"/>
    <w:rsid w:val="00D13036"/>
    <w:rsid w:val="00D140D1"/>
    <w:rsid w:val="00D15965"/>
    <w:rsid w:val="00D17468"/>
    <w:rsid w:val="00D17718"/>
    <w:rsid w:val="00D17DB2"/>
    <w:rsid w:val="00D21A46"/>
    <w:rsid w:val="00D22FA6"/>
    <w:rsid w:val="00D23191"/>
    <w:rsid w:val="00D23FB8"/>
    <w:rsid w:val="00D244FC"/>
    <w:rsid w:val="00D25E1E"/>
    <w:rsid w:val="00D25E49"/>
    <w:rsid w:val="00D26D95"/>
    <w:rsid w:val="00D31127"/>
    <w:rsid w:val="00D3145B"/>
    <w:rsid w:val="00D3159A"/>
    <w:rsid w:val="00D32A06"/>
    <w:rsid w:val="00D3458E"/>
    <w:rsid w:val="00D34D1D"/>
    <w:rsid w:val="00D41AD2"/>
    <w:rsid w:val="00D42810"/>
    <w:rsid w:val="00D42AE6"/>
    <w:rsid w:val="00D43113"/>
    <w:rsid w:val="00D43F2A"/>
    <w:rsid w:val="00D45040"/>
    <w:rsid w:val="00D467B6"/>
    <w:rsid w:val="00D4714F"/>
    <w:rsid w:val="00D52149"/>
    <w:rsid w:val="00D5291B"/>
    <w:rsid w:val="00D5293B"/>
    <w:rsid w:val="00D567E3"/>
    <w:rsid w:val="00D57795"/>
    <w:rsid w:val="00D6035C"/>
    <w:rsid w:val="00D611DE"/>
    <w:rsid w:val="00D6223F"/>
    <w:rsid w:val="00D62B6B"/>
    <w:rsid w:val="00D66CDF"/>
    <w:rsid w:val="00D66FBA"/>
    <w:rsid w:val="00D7107E"/>
    <w:rsid w:val="00D7653F"/>
    <w:rsid w:val="00D76CD4"/>
    <w:rsid w:val="00D8079E"/>
    <w:rsid w:val="00D80D4E"/>
    <w:rsid w:val="00D8183F"/>
    <w:rsid w:val="00D829D9"/>
    <w:rsid w:val="00D82B03"/>
    <w:rsid w:val="00D82C63"/>
    <w:rsid w:val="00D82CFA"/>
    <w:rsid w:val="00D83161"/>
    <w:rsid w:val="00D847E7"/>
    <w:rsid w:val="00D85126"/>
    <w:rsid w:val="00D865A6"/>
    <w:rsid w:val="00D86D65"/>
    <w:rsid w:val="00D9032E"/>
    <w:rsid w:val="00D92B3D"/>
    <w:rsid w:val="00D93CAE"/>
    <w:rsid w:val="00D9680F"/>
    <w:rsid w:val="00DA0EAB"/>
    <w:rsid w:val="00DA1F5C"/>
    <w:rsid w:val="00DA21B4"/>
    <w:rsid w:val="00DA30C3"/>
    <w:rsid w:val="00DA4D2F"/>
    <w:rsid w:val="00DA5584"/>
    <w:rsid w:val="00DA564C"/>
    <w:rsid w:val="00DA5804"/>
    <w:rsid w:val="00DA63D2"/>
    <w:rsid w:val="00DA7B40"/>
    <w:rsid w:val="00DA7D1E"/>
    <w:rsid w:val="00DB1273"/>
    <w:rsid w:val="00DB20F0"/>
    <w:rsid w:val="00DB22FD"/>
    <w:rsid w:val="00DB36D1"/>
    <w:rsid w:val="00DB4EC4"/>
    <w:rsid w:val="00DB59E8"/>
    <w:rsid w:val="00DB74AF"/>
    <w:rsid w:val="00DC0246"/>
    <w:rsid w:val="00DC09CA"/>
    <w:rsid w:val="00DC23DE"/>
    <w:rsid w:val="00DC304F"/>
    <w:rsid w:val="00DC4BD3"/>
    <w:rsid w:val="00DC5768"/>
    <w:rsid w:val="00DC6E83"/>
    <w:rsid w:val="00DC78B2"/>
    <w:rsid w:val="00DD1427"/>
    <w:rsid w:val="00DD5449"/>
    <w:rsid w:val="00DD547E"/>
    <w:rsid w:val="00DD6AD1"/>
    <w:rsid w:val="00DD72DC"/>
    <w:rsid w:val="00DE1061"/>
    <w:rsid w:val="00DE27FF"/>
    <w:rsid w:val="00DE3DC0"/>
    <w:rsid w:val="00DE452B"/>
    <w:rsid w:val="00DE70C7"/>
    <w:rsid w:val="00DF1937"/>
    <w:rsid w:val="00DF1D40"/>
    <w:rsid w:val="00DF3575"/>
    <w:rsid w:val="00DF3DDC"/>
    <w:rsid w:val="00DF5C5C"/>
    <w:rsid w:val="00DF63A1"/>
    <w:rsid w:val="00DF6A85"/>
    <w:rsid w:val="00E02809"/>
    <w:rsid w:val="00E05ACD"/>
    <w:rsid w:val="00E07B92"/>
    <w:rsid w:val="00E10537"/>
    <w:rsid w:val="00E10CE9"/>
    <w:rsid w:val="00E1363A"/>
    <w:rsid w:val="00E16282"/>
    <w:rsid w:val="00E16C63"/>
    <w:rsid w:val="00E179E6"/>
    <w:rsid w:val="00E20756"/>
    <w:rsid w:val="00E20AD9"/>
    <w:rsid w:val="00E210FB"/>
    <w:rsid w:val="00E241D4"/>
    <w:rsid w:val="00E2574E"/>
    <w:rsid w:val="00E26807"/>
    <w:rsid w:val="00E27A91"/>
    <w:rsid w:val="00E27C55"/>
    <w:rsid w:val="00E301C6"/>
    <w:rsid w:val="00E30CE9"/>
    <w:rsid w:val="00E33A7D"/>
    <w:rsid w:val="00E36131"/>
    <w:rsid w:val="00E36520"/>
    <w:rsid w:val="00E37CC9"/>
    <w:rsid w:val="00E37D52"/>
    <w:rsid w:val="00E41FA8"/>
    <w:rsid w:val="00E426D5"/>
    <w:rsid w:val="00E44DF5"/>
    <w:rsid w:val="00E50433"/>
    <w:rsid w:val="00E504EC"/>
    <w:rsid w:val="00E50FD5"/>
    <w:rsid w:val="00E547EA"/>
    <w:rsid w:val="00E5550B"/>
    <w:rsid w:val="00E603F7"/>
    <w:rsid w:val="00E703BD"/>
    <w:rsid w:val="00E70BC7"/>
    <w:rsid w:val="00E74411"/>
    <w:rsid w:val="00E74E05"/>
    <w:rsid w:val="00E77F38"/>
    <w:rsid w:val="00E81B61"/>
    <w:rsid w:val="00E84317"/>
    <w:rsid w:val="00E879AC"/>
    <w:rsid w:val="00E9096B"/>
    <w:rsid w:val="00E91092"/>
    <w:rsid w:val="00E92207"/>
    <w:rsid w:val="00E9427C"/>
    <w:rsid w:val="00E96106"/>
    <w:rsid w:val="00E965C0"/>
    <w:rsid w:val="00EA009E"/>
    <w:rsid w:val="00EA012E"/>
    <w:rsid w:val="00EA0E8F"/>
    <w:rsid w:val="00EA2F00"/>
    <w:rsid w:val="00EA45C1"/>
    <w:rsid w:val="00EA5522"/>
    <w:rsid w:val="00EA755E"/>
    <w:rsid w:val="00EA7B33"/>
    <w:rsid w:val="00EB027E"/>
    <w:rsid w:val="00EB17D6"/>
    <w:rsid w:val="00EB2557"/>
    <w:rsid w:val="00EB2C0B"/>
    <w:rsid w:val="00EB65B9"/>
    <w:rsid w:val="00EB692F"/>
    <w:rsid w:val="00EB6ACE"/>
    <w:rsid w:val="00EC0157"/>
    <w:rsid w:val="00EC20B1"/>
    <w:rsid w:val="00EC2556"/>
    <w:rsid w:val="00EC4F1E"/>
    <w:rsid w:val="00EC7D34"/>
    <w:rsid w:val="00ED0A36"/>
    <w:rsid w:val="00EE0A97"/>
    <w:rsid w:val="00EE0F10"/>
    <w:rsid w:val="00EE1078"/>
    <w:rsid w:val="00EE4036"/>
    <w:rsid w:val="00EE4C75"/>
    <w:rsid w:val="00EE6BFC"/>
    <w:rsid w:val="00EE76D3"/>
    <w:rsid w:val="00EF0977"/>
    <w:rsid w:val="00EF0AD3"/>
    <w:rsid w:val="00EF0F38"/>
    <w:rsid w:val="00EF33E9"/>
    <w:rsid w:val="00EF5349"/>
    <w:rsid w:val="00EF7474"/>
    <w:rsid w:val="00F00176"/>
    <w:rsid w:val="00F02B8A"/>
    <w:rsid w:val="00F06A5D"/>
    <w:rsid w:val="00F07439"/>
    <w:rsid w:val="00F07C2C"/>
    <w:rsid w:val="00F108D5"/>
    <w:rsid w:val="00F118AE"/>
    <w:rsid w:val="00F12149"/>
    <w:rsid w:val="00F1293E"/>
    <w:rsid w:val="00F13190"/>
    <w:rsid w:val="00F15FAE"/>
    <w:rsid w:val="00F1646B"/>
    <w:rsid w:val="00F16C7C"/>
    <w:rsid w:val="00F17165"/>
    <w:rsid w:val="00F2008B"/>
    <w:rsid w:val="00F20EEE"/>
    <w:rsid w:val="00F23911"/>
    <w:rsid w:val="00F246B5"/>
    <w:rsid w:val="00F24A47"/>
    <w:rsid w:val="00F25A6E"/>
    <w:rsid w:val="00F25F27"/>
    <w:rsid w:val="00F27BC0"/>
    <w:rsid w:val="00F27EB1"/>
    <w:rsid w:val="00F331D1"/>
    <w:rsid w:val="00F34698"/>
    <w:rsid w:val="00F35455"/>
    <w:rsid w:val="00F35FD8"/>
    <w:rsid w:val="00F42BAD"/>
    <w:rsid w:val="00F42C47"/>
    <w:rsid w:val="00F45360"/>
    <w:rsid w:val="00F45AF6"/>
    <w:rsid w:val="00F45C87"/>
    <w:rsid w:val="00F4641D"/>
    <w:rsid w:val="00F504F3"/>
    <w:rsid w:val="00F5210C"/>
    <w:rsid w:val="00F5495D"/>
    <w:rsid w:val="00F562D3"/>
    <w:rsid w:val="00F56477"/>
    <w:rsid w:val="00F6389E"/>
    <w:rsid w:val="00F67356"/>
    <w:rsid w:val="00F70009"/>
    <w:rsid w:val="00F70116"/>
    <w:rsid w:val="00F702DD"/>
    <w:rsid w:val="00F723C0"/>
    <w:rsid w:val="00F75D7A"/>
    <w:rsid w:val="00F7622D"/>
    <w:rsid w:val="00F766A1"/>
    <w:rsid w:val="00F8003D"/>
    <w:rsid w:val="00F81F0F"/>
    <w:rsid w:val="00F82E67"/>
    <w:rsid w:val="00F83FD0"/>
    <w:rsid w:val="00F86A8F"/>
    <w:rsid w:val="00F86E5B"/>
    <w:rsid w:val="00F875CA"/>
    <w:rsid w:val="00F97954"/>
    <w:rsid w:val="00FA03B7"/>
    <w:rsid w:val="00FA2663"/>
    <w:rsid w:val="00FA447D"/>
    <w:rsid w:val="00FA5578"/>
    <w:rsid w:val="00FB23A4"/>
    <w:rsid w:val="00FB2ABB"/>
    <w:rsid w:val="00FB42C5"/>
    <w:rsid w:val="00FB45F8"/>
    <w:rsid w:val="00FB47A2"/>
    <w:rsid w:val="00FB4D63"/>
    <w:rsid w:val="00FB620A"/>
    <w:rsid w:val="00FB7AF0"/>
    <w:rsid w:val="00FC2965"/>
    <w:rsid w:val="00FC2A9D"/>
    <w:rsid w:val="00FC433E"/>
    <w:rsid w:val="00FC5FF5"/>
    <w:rsid w:val="00FC653A"/>
    <w:rsid w:val="00FC6C9B"/>
    <w:rsid w:val="00FC7699"/>
    <w:rsid w:val="00FD093C"/>
    <w:rsid w:val="00FD48AB"/>
    <w:rsid w:val="00FD7493"/>
    <w:rsid w:val="00FE218E"/>
    <w:rsid w:val="00FE2E32"/>
    <w:rsid w:val="00FE507D"/>
    <w:rsid w:val="00FE618D"/>
    <w:rsid w:val="00FE7504"/>
    <w:rsid w:val="00FE76AC"/>
    <w:rsid w:val="00FE79F2"/>
    <w:rsid w:val="00FF16E5"/>
    <w:rsid w:val="00FF1B5F"/>
    <w:rsid w:val="00FF1E7F"/>
    <w:rsid w:val="00FF3C51"/>
    <w:rsid w:val="00FF3E1C"/>
    <w:rsid w:val="00FF4E39"/>
    <w:rsid w:val="00FF7B4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7E5582"/>
  <w15:docId w15:val="{B4550522-745B-4268-BF3F-566E2CD7C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3A3671"/>
    <w:rPr>
      <w:color w:val="808080"/>
    </w:rPr>
  </w:style>
  <w:style w:type="paragraph" w:styleId="Revisie">
    <w:name w:val="Revision"/>
    <w:hidden/>
    <w:uiPriority w:val="99"/>
    <w:semiHidden/>
    <w:rsid w:val="002A536F"/>
    <w:rPr>
      <w:rFonts w:ascii="Univers" w:hAnsi="Univers"/>
      <w:sz w:val="22"/>
      <w:szCs w:val="24"/>
    </w:rPr>
  </w:style>
  <w:style w:type="paragraph" w:styleId="Voetnoottekst">
    <w:name w:val="footnote text"/>
    <w:aliases w:val="Voetnoottekst Char1,Voetnoottekst Char2 Char,Voetnoottekst Char1 Char Char,Voetnoottekst Char3 Char Char Char,Voetnoottekst Char2 Char Char Char Char,Voetnoottekst Char1 Char Char Char Char Char,Voetnoottekst Char2,Voetnoottekst Char1 Cha"/>
    <w:basedOn w:val="Standaard"/>
    <w:link w:val="VoetnoottekstChar"/>
    <w:uiPriority w:val="99"/>
    <w:unhideWhenUsed/>
    <w:rsid w:val="003F0557"/>
    <w:rPr>
      <w:rFonts w:ascii="Verdana" w:eastAsiaTheme="minorHAnsi" w:hAnsi="Verdana" w:cstheme="minorBidi"/>
      <w:sz w:val="20"/>
      <w:szCs w:val="20"/>
      <w:lang w:val="en-US" w:eastAsia="en-US"/>
    </w:rPr>
  </w:style>
  <w:style w:type="character" w:customStyle="1" w:styleId="VoetnoottekstChar">
    <w:name w:val="Voetnoottekst Char"/>
    <w:aliases w:val="Voetnoottekst Char1 Char,Voetnoottekst Char2 Char Char,Voetnoottekst Char1 Char Char Char,Voetnoottekst Char3 Char Char Char Char,Voetnoottekst Char2 Char Char Char Char Char,Voetnoottekst Char1 Char Char Char Char Char Char"/>
    <w:basedOn w:val="Standaardalinea-lettertype"/>
    <w:link w:val="Voetnoottekst"/>
    <w:uiPriority w:val="99"/>
    <w:rsid w:val="003F0557"/>
    <w:rPr>
      <w:rFonts w:ascii="Verdana" w:eastAsiaTheme="minorHAnsi" w:hAnsi="Verdana" w:cstheme="minorBidi"/>
      <w:lang w:val="en-US" w:eastAsia="en-US"/>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
    <w:basedOn w:val="Standaardalinea-lettertype"/>
    <w:uiPriority w:val="99"/>
    <w:unhideWhenUsed/>
    <w:qFormat/>
    <w:rsid w:val="003F0557"/>
    <w:rPr>
      <w:vertAlign w:val="superscript"/>
    </w:rPr>
  </w:style>
  <w:style w:type="character" w:styleId="Hyperlink">
    <w:name w:val="Hyperlink"/>
    <w:basedOn w:val="Standaardalinea-lettertype"/>
    <w:uiPriority w:val="99"/>
    <w:unhideWhenUsed/>
    <w:rsid w:val="008835BE"/>
    <w:rPr>
      <w:color w:val="0000FF" w:themeColor="hyperlink"/>
      <w:u w:val="single"/>
    </w:rPr>
  </w:style>
  <w:style w:type="character" w:styleId="Onopgelostemelding">
    <w:name w:val="Unresolved Mention"/>
    <w:basedOn w:val="Standaardalinea-lettertype"/>
    <w:uiPriority w:val="99"/>
    <w:rsid w:val="008835BE"/>
    <w:rPr>
      <w:color w:val="605E5C"/>
      <w:shd w:val="clear" w:color="auto" w:fill="E1DFDD"/>
    </w:rPr>
  </w:style>
  <w:style w:type="character" w:styleId="GevolgdeHyperlink">
    <w:name w:val="FollowedHyperlink"/>
    <w:basedOn w:val="Standaardalinea-lettertype"/>
    <w:uiPriority w:val="99"/>
    <w:semiHidden/>
    <w:unhideWhenUsed/>
    <w:rsid w:val="004C7CF1"/>
    <w:rPr>
      <w:color w:val="800080" w:themeColor="followedHyperlink"/>
      <w:u w:val="single"/>
    </w:rPr>
  </w:style>
  <w:style w:type="character" w:styleId="Verwijzingopmerking">
    <w:name w:val="annotation reference"/>
    <w:basedOn w:val="Standaardalinea-lettertype"/>
    <w:uiPriority w:val="99"/>
    <w:semiHidden/>
    <w:unhideWhenUsed/>
    <w:rsid w:val="00014B8A"/>
    <w:rPr>
      <w:sz w:val="16"/>
      <w:szCs w:val="16"/>
    </w:rPr>
  </w:style>
  <w:style w:type="paragraph" w:styleId="Tekstopmerking">
    <w:name w:val="annotation text"/>
    <w:basedOn w:val="Standaard"/>
    <w:link w:val="TekstopmerkingChar"/>
    <w:uiPriority w:val="99"/>
    <w:semiHidden/>
    <w:unhideWhenUsed/>
    <w:rsid w:val="00014B8A"/>
    <w:rPr>
      <w:sz w:val="20"/>
      <w:szCs w:val="20"/>
    </w:rPr>
  </w:style>
  <w:style w:type="character" w:customStyle="1" w:styleId="TekstopmerkingChar">
    <w:name w:val="Tekst opmerking Char"/>
    <w:basedOn w:val="Standaardalinea-lettertype"/>
    <w:link w:val="Tekstopmerking"/>
    <w:uiPriority w:val="99"/>
    <w:semiHidden/>
    <w:rsid w:val="00014B8A"/>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014B8A"/>
    <w:rPr>
      <w:b/>
      <w:bCs/>
    </w:rPr>
  </w:style>
  <w:style w:type="character" w:customStyle="1" w:styleId="OnderwerpvanopmerkingChar">
    <w:name w:val="Onderwerp van opmerking Char"/>
    <w:basedOn w:val="TekstopmerkingChar"/>
    <w:link w:val="Onderwerpvanopmerking"/>
    <w:uiPriority w:val="99"/>
    <w:semiHidden/>
    <w:rsid w:val="00014B8A"/>
    <w:rPr>
      <w:rFonts w:ascii="Univers" w:hAnsi="Univers"/>
      <w:b/>
      <w:bCs/>
    </w:rPr>
  </w:style>
  <w:style w:type="paragraph" w:styleId="Lijstalinea">
    <w:name w:val="List Paragraph"/>
    <w:basedOn w:val="Standaard"/>
    <w:uiPriority w:val="34"/>
    <w:qFormat/>
    <w:rsid w:val="00DA56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993545">
      <w:bodyDiv w:val="1"/>
      <w:marLeft w:val="0"/>
      <w:marRight w:val="0"/>
      <w:marTop w:val="0"/>
      <w:marBottom w:val="0"/>
      <w:divBdr>
        <w:top w:val="none" w:sz="0" w:space="0" w:color="auto"/>
        <w:left w:val="none" w:sz="0" w:space="0" w:color="auto"/>
        <w:bottom w:val="none" w:sz="0" w:space="0" w:color="auto"/>
        <w:right w:val="none" w:sz="0" w:space="0" w:color="auto"/>
      </w:divBdr>
    </w:div>
    <w:div w:id="1821843383">
      <w:bodyDiv w:val="1"/>
      <w:marLeft w:val="0"/>
      <w:marRight w:val="0"/>
      <w:marTop w:val="0"/>
      <w:marBottom w:val="0"/>
      <w:divBdr>
        <w:top w:val="none" w:sz="0" w:space="0" w:color="auto"/>
        <w:left w:val="none" w:sz="0" w:space="0" w:color="auto"/>
        <w:bottom w:val="none" w:sz="0" w:space="0" w:color="auto"/>
        <w:right w:val="none" w:sz="0" w:space="0" w:color="auto"/>
      </w:divBdr>
    </w:div>
    <w:div w:id="196249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pwc.com/gx/en/services/tax/pillar-two-readiness/country-tracker.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77D9FC24-B086-4251-9161-7829F1C090A7}"/>
      </w:docPartPr>
      <w:docPartBody>
        <w:p w:rsidR="003910D9" w:rsidRDefault="00024CCE">
          <w:r w:rsidRPr="00A405C2">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CE"/>
    <w:rsid w:val="00024CCE"/>
    <w:rsid w:val="000B2A98"/>
    <w:rsid w:val="00250892"/>
    <w:rsid w:val="003910D9"/>
    <w:rsid w:val="00701538"/>
    <w:rsid w:val="0093390F"/>
    <w:rsid w:val="00FE4C1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24CC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2375</ap:Words>
  <ap:Characters>14494</ap:Characters>
  <ap:DocSecurity>0</ap:DocSecurity>
  <ap:Lines>120</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16836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2023-05-09T00:44:00.0000000Z</lastPrinted>
  <dcterms:created xsi:type="dcterms:W3CDTF">2023-04-19T20:34:00.0000000Z</dcterms:created>
  <dcterms:modified xsi:type="dcterms:W3CDTF">2023-05-31T14:46:00.0000000Z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W06.23.00077/III</vt:lpwstr>
  </property>
  <property fmtid="{D5CDD505-2E9C-101B-9397-08002B2CF9AE}" pid="5" name="zaaktype">
    <vt:lpwstr>WET</vt:lpwstr>
  </property>
  <property fmtid="{D5CDD505-2E9C-101B-9397-08002B2CF9AE}" pid="6" name="ContentTypeId">
    <vt:lpwstr>0x010100FA5A77795FEADA4EA51227303613444600D1A91232D21C2C4C93BC96990CE20A8F</vt:lpwstr>
  </property>
  <property fmtid="{D5CDD505-2E9C-101B-9397-08002B2CF9AE}" pid="7" name="Bestemming">
    <vt:lpwstr>2;#Corsa|a7721b99-8166-4953-a37e-7c8574fb4b8b</vt:lpwstr>
  </property>
  <property fmtid="{D5CDD505-2E9C-101B-9397-08002B2CF9AE}" pid="8" name="_dlc_DocIdItemGuid">
    <vt:lpwstr>9210d4ac-7d2d-44c8-a95a-fbb4bf63f738</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y fmtid="{D5CDD505-2E9C-101B-9397-08002B2CF9AE}" pid="13" name="MSIP_Label_112e3eac-4767-4d29-949e-d809b1160d11_Enabled">
    <vt:lpwstr>true</vt:lpwstr>
  </property>
  <property fmtid="{D5CDD505-2E9C-101B-9397-08002B2CF9AE}" pid="14" name="MSIP_Label_112e3eac-4767-4d29-949e-d809b1160d11_SetDate">
    <vt:lpwstr>2023-05-31T14:45:49Z</vt:lpwstr>
  </property>
  <property fmtid="{D5CDD505-2E9C-101B-9397-08002B2CF9AE}" pid="15" name="MSIP_Label_112e3eac-4767-4d29-949e-d809b1160d11_Method">
    <vt:lpwstr>Standard</vt:lpwstr>
  </property>
  <property fmtid="{D5CDD505-2E9C-101B-9397-08002B2CF9AE}" pid="16" name="MSIP_Label_112e3eac-4767-4d29-949e-d809b1160d11_Name">
    <vt:lpwstr>Rijksoverheid (SGC)</vt:lpwstr>
  </property>
  <property fmtid="{D5CDD505-2E9C-101B-9397-08002B2CF9AE}" pid="17" name="MSIP_Label_112e3eac-4767-4d29-949e-d809b1160d11_SiteId">
    <vt:lpwstr>84712536-f524-40a0-913b-5d25ba502732</vt:lpwstr>
  </property>
  <property fmtid="{D5CDD505-2E9C-101B-9397-08002B2CF9AE}" pid="18" name="MSIP_Label_112e3eac-4767-4d29-949e-d809b1160d11_ActionId">
    <vt:lpwstr>ad4af631-906a-40ea-bbc3-474adda435f0</vt:lpwstr>
  </property>
  <property fmtid="{D5CDD505-2E9C-101B-9397-08002B2CF9AE}" pid="19" name="MSIP_Label_112e3eac-4767-4d29-949e-d809b1160d11_ContentBits">
    <vt:lpwstr>0</vt:lpwstr>
  </property>
</Properties>
</file>