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2740C84A" w14:textId="77777777">
          <w:pPr>
            <w:tabs>
              <w:tab w:val="left" w:pos="3686"/>
            </w:tabs>
          </w:pPr>
          <w:r>
            <w:rPr>
              <w:noProof/>
            </w:rPr>
            <mc:AlternateContent>
              <mc:Choice Requires="wps">
                <w:drawing>
                  <wp:anchor distT="0" distB="0" distL="114300" distR="114300" simplePos="0" relativeHeight="251657728" behindDoc="0" locked="0" layoutInCell="1" allowOverlap="1" wp14:editId="50DE2E39" wp14:anchorId="069658ED">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752592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9658ED">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4752592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A20FC42" wp14:anchorId="76A02E6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W17.22.0197/IV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14 december 2022</w:t>
              </w:r>
            </w:sdtContent>
          </w:sdt>
        </w:p>
        <w:p w:rsidR="00503044" w:rsidP="00503044" w:rsidRDefault="00503044" w14:paraId="7B509652" w14:textId="77777777">
          <w:pPr>
            <w:tabs>
              <w:tab w:val="left" w:pos="3685"/>
            </w:tabs>
          </w:pPr>
        </w:p>
        <w:p w:rsidR="00503044" w:rsidP="00503044" w:rsidRDefault="00503044" w14:paraId="5DA3C70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CA3329" w:rsidRDefault="001059D8" w14:paraId="6F16CEC6" w14:textId="77777777">
              <w:r>
                <w:t>Bij Kabinetsmissive van 6 oktober 2022, no.2022002169, heeft Uwe Majesteit, op voordracht van de Minister van Infrastructuur en Waterstaat, bij de Afdeling advisering van de Raad van State ter overweging aanhangig gemaakt het voorstel van wet tot wijziging van de Binnenvaartwet in verband met de implementatie van Richtlijn (EU) 2017/2397 van het Europees Parlement en de Raad betreffende de erkenning van beroepskwalificaties in de binnenvaart en tot intrekking van de richtlijnen 91/672/EEG en 96/50/EG van de Raad, met memorie van toelichting.</w:t>
              </w:r>
            </w:p>
          </w:sdtContent>
        </w:sdt>
        <w:p w:rsidR="0071031E" w:rsidRDefault="0071031E" w14:paraId="59077877" w14:textId="77777777"/>
        <w:sdt>
          <w:sdtPr>
            <w:alias w:val="VrijeTekst1"/>
            <w:tag w:val="VrijeTekst1"/>
            <w:id w:val="-437221631"/>
            <w:lock w:val="sdtLocked"/>
          </w:sdtPr>
          <w:sdtEndPr/>
          <w:sdtContent>
            <w:sdt>
              <w:sdtPr>
                <w:alias w:val="VrijeTekst1"/>
                <w:tag w:val="VrijeTekst1"/>
                <w:id w:val="-1729522840"/>
              </w:sdtPr>
              <w:sdtEndPr/>
              <w:sdtContent>
                <w:sdt>
                  <w:sdtPr>
                    <w:alias w:val="VrijeTekst1"/>
                    <w:tag w:val="VrijeTekst1"/>
                    <w:id w:val="-34511947"/>
                  </w:sdtPr>
                  <w:sdtEndPr/>
                  <w:sdtContent>
                    <w:sdt>
                      <w:sdtPr>
                        <w:alias w:val="VrijeTekst1"/>
                        <w:tag w:val="VrijeTekst1"/>
                        <w:id w:val="1696883825"/>
                      </w:sdtPr>
                      <w:sdtEndPr/>
                      <w:sdtContent>
                        <w:p w:rsidR="00155F33" w:rsidP="00155F33" w:rsidRDefault="001059D8" w14:paraId="0EA554DC" w14:textId="77777777">
                          <w:r>
                            <w:t>Het wetsvoorstel voorziet in de implementatie van richtlijn (EU) 2017/2397, die ten doel heeft het tot stand brengen van een gemeenschappelijk kader voor de erkenning van minimumberoepskwalificaties voor de binnenvaart.</w:t>
                          </w:r>
                          <w:r>
                            <w:rPr>
                              <w:rStyle w:val="Voetnootmarkering"/>
                            </w:rPr>
                            <w:footnoteReference w:id="1"/>
                          </w:r>
                          <w:r>
                            <w:t xml:space="preserve"> Met de richtlijn worden de voorwaarden en procedures vastgesteld voor de certificering van de beroepskwalificaties van personen die betrokken zijn bij het bedienen van een vaartuig dat de binnenwateren in de Unie bevaart en voor de erkenning van die kwalificaties in de andere lidstaten. De certificering van de beroepskwalificatie betrof enkel de schipper en wordt nu uitgebreid </w:t>
                          </w:r>
                          <w:r w:rsidRPr="003F69FB">
                            <w:t>naar alle dekbemanningsleden</w:t>
                          </w:r>
                          <w:r>
                            <w:t xml:space="preserve"> en </w:t>
                          </w:r>
                          <w:r w:rsidRPr="003F69FB">
                            <w:t xml:space="preserve">het ervaringsgerichte kwalificatiesysteem </w:t>
                          </w:r>
                          <w:r>
                            <w:t xml:space="preserve">wordt </w:t>
                          </w:r>
                          <w:r w:rsidRPr="003F69FB">
                            <w:t>gewijzigd in een competentiegericht kwalificatiesysteem.</w:t>
                          </w:r>
                          <w:r>
                            <w:t xml:space="preserve"> Daartoe worden in het wetsvoorstel grondslagen gecreëerd voor verdere implementatie in het Binnenvaartbesluit en de Binnenvaartregeling.</w:t>
                          </w:r>
                          <w:r>
                            <w:rPr>
                              <w:rStyle w:val="Voetnootmarkering"/>
                            </w:rPr>
                            <w:footnoteReference w:id="2"/>
                          </w:r>
                        </w:p>
                        <w:p w:rsidR="00155F33" w:rsidP="00155F33" w:rsidRDefault="00CB0907" w14:paraId="77B53769" w14:textId="77777777"/>
                        <w:p w:rsidR="00155F33" w:rsidP="00155F33" w:rsidRDefault="001059D8" w14:paraId="7E1BBFE3" w14:textId="77777777">
                          <w:r>
                            <w:t xml:space="preserve">De Afdeling advisering van de Raad van State maakt opmerkingen over de </w:t>
                          </w:r>
                          <w:r w:rsidRPr="006450B7">
                            <w:t>certificerings- en erkenningstrajecten voor de opleiding</w:t>
                          </w:r>
                          <w:r>
                            <w:t>en met betrekking tot de beroepskwalificaties en de terugwerkende kracht voor onderdelen van de wet. In verband daarmee is aanpassing van het wetsvoorstel en de toelichting wenselijk.</w:t>
                          </w:r>
                        </w:p>
                        <w:p w:rsidR="00155F33" w:rsidP="00155F33" w:rsidRDefault="00CB0907" w14:paraId="099D5457" w14:textId="77777777"/>
                        <w:p w:rsidR="00155F33" w:rsidP="00155F33" w:rsidRDefault="001059D8" w14:paraId="73B93E3B" w14:textId="77777777">
                          <w:r>
                            <w:t xml:space="preserve">1. </w:t>
                          </w:r>
                          <w:r>
                            <w:tab/>
                          </w:r>
                          <w:r w:rsidRPr="006450B7">
                            <w:rPr>
                              <w:u w:val="single"/>
                            </w:rPr>
                            <w:t>Certificerings- en erkenningstrajecten voor opleiding</w:t>
                          </w:r>
                          <w:r>
                            <w:rPr>
                              <w:u w:val="single"/>
                            </w:rPr>
                            <w:t>en</w:t>
                          </w:r>
                        </w:p>
                        <w:p w:rsidR="00155F33" w:rsidP="00155F33" w:rsidRDefault="00CB0907" w14:paraId="24955938" w14:textId="77777777"/>
                        <w:p w:rsidR="00155F33" w:rsidDel="00E36E9C" w:rsidP="00155F33" w:rsidRDefault="001059D8" w14:paraId="108C6F85" w14:textId="77777777">
                          <w:r>
                            <w:t>Met betrekking tot de uitvoering en handhaving van dit wetsvoorstel wordt in de t</w:t>
                          </w:r>
                          <w:r w:rsidRPr="00C16E40">
                            <w:t xml:space="preserve">oelichting </w:t>
                          </w:r>
                          <w:r>
                            <w:t xml:space="preserve">onder meer opgemerkt dat de Inspectie Leefomgeving en Transport (hierna: ILT) is </w:t>
                          </w:r>
                          <w:r w:rsidRPr="00506FB8">
                            <w:t>belast met de certificerings- en erkenningstrajecten voor de opleidingstrajecten en medische keuringen voor het binnenvaartpersoneel.</w:t>
                          </w:r>
                          <w:r>
                            <w:rPr>
                              <w:rStyle w:val="Voetnootmarkering"/>
                            </w:rPr>
                            <w:footnoteReference w:id="3"/>
                          </w:r>
                          <w:r w:rsidRPr="00506FB8">
                            <w:t xml:space="preserve"> </w:t>
                          </w:r>
                          <w:r>
                            <w:t xml:space="preserve">Zoals de ILT in de uitgevoerde </w:t>
                          </w:r>
                          <w:r w:rsidRPr="00842FF3">
                            <w:t xml:space="preserve">handhavings-, uitvoerings- en </w:t>
                          </w:r>
                          <w:r w:rsidRPr="00842FF3">
                            <w:lastRenderedPageBreak/>
                            <w:t>fraudebestendigheidstoets</w:t>
                          </w:r>
                          <w:r>
                            <w:t>, de zogenoemde HUF-toets opmerkt, is</w:t>
                          </w:r>
                          <w:r w:rsidRPr="00C16E40">
                            <w:t xml:space="preserve"> het merendeel van soortgelijke taken in de binnenvaart bij het CBR is belegd.</w:t>
                          </w:r>
                          <w:r>
                            <w:rPr>
                              <w:rStyle w:val="Voetnootmarkering"/>
                            </w:rPr>
                            <w:footnoteReference w:id="4"/>
                          </w:r>
                          <w:r w:rsidRPr="00C16E40">
                            <w:t xml:space="preserve"> </w:t>
                          </w:r>
                          <w:r>
                            <w:t xml:space="preserve">Het </w:t>
                          </w:r>
                          <w:r w:rsidRPr="00C16E40">
                            <w:t xml:space="preserve">CBR </w:t>
                          </w:r>
                          <w:r>
                            <w:t xml:space="preserve">heeft </w:t>
                          </w:r>
                          <w:r w:rsidRPr="00C16E40">
                            <w:t>ervaring met het afgeven van vergelijkbare documenten en het erkennen van opleidingsprogramma’s</w:t>
                          </w:r>
                          <w:r>
                            <w:t xml:space="preserve">, waardoor het beleggen van deze taken bij het CBR </w:t>
                          </w:r>
                          <w:r w:rsidRPr="00C16E40">
                            <w:t xml:space="preserve">de uitvoerbaarheid </w:t>
                          </w:r>
                          <w:r>
                            <w:t>van het wetsvoorstel zal vergroten</w:t>
                          </w:r>
                          <w:r w:rsidRPr="00C16E40">
                            <w:t xml:space="preserve">. </w:t>
                          </w:r>
                          <w:r>
                            <w:t>De toelichting maakt ten onrechte niet inzichtelijk waarom dergelijke taken niettemin bij de ILT worden belegd.</w:t>
                          </w:r>
                        </w:p>
                        <w:p w:rsidR="00155F33" w:rsidP="00155F33" w:rsidRDefault="00CB0907" w14:paraId="769F014D" w14:textId="77777777"/>
                        <w:p w:rsidR="00155F33" w:rsidP="00155F33" w:rsidRDefault="001059D8" w14:paraId="4D01EBD2" w14:textId="77777777">
                          <w:r>
                            <w:t xml:space="preserve">De Afdeling adviseert in de toelichting dragend te motiveren waarom is gekozen voor het beleggen van </w:t>
                          </w:r>
                          <w:r w:rsidRPr="001D14F2">
                            <w:t>de</w:t>
                          </w:r>
                          <w:r>
                            <w:t xml:space="preserve"> taken met </w:t>
                          </w:r>
                          <w:r w:rsidRPr="001D14F2">
                            <w:t xml:space="preserve">betrekking tot </w:t>
                          </w:r>
                          <w:r>
                            <w:t xml:space="preserve">de </w:t>
                          </w:r>
                          <w:r w:rsidRPr="001D14F2">
                            <w:t>certificerings- en erkenningstrajecten voor de opleidingstrajecten en medische keuringen voor het binnenvaartpersoneel</w:t>
                          </w:r>
                          <w:r>
                            <w:t xml:space="preserve"> bij de ILT. </w:t>
                          </w:r>
                        </w:p>
                        <w:p w:rsidR="00155F33" w:rsidP="00155F33" w:rsidRDefault="00CB0907" w14:paraId="5DC0B313" w14:textId="77777777"/>
                        <w:p w:rsidR="00155F33" w:rsidP="00155F33" w:rsidRDefault="001059D8" w14:paraId="44A2CD4C" w14:textId="77777777">
                          <w:r>
                            <w:t>2.</w:t>
                          </w:r>
                          <w:r>
                            <w:tab/>
                          </w:r>
                          <w:r w:rsidRPr="006450B7">
                            <w:rPr>
                              <w:u w:val="single"/>
                            </w:rPr>
                            <w:t>Terugwerkende kracht</w:t>
                          </w:r>
                          <w:r>
                            <w:t xml:space="preserve"> </w:t>
                          </w:r>
                        </w:p>
                        <w:p w:rsidR="00155F33" w:rsidP="00155F33" w:rsidRDefault="00CB0907" w14:paraId="34AABDF1" w14:textId="77777777"/>
                        <w:p w:rsidR="00155F33" w:rsidP="00155F33" w:rsidRDefault="001059D8" w14:paraId="15459E85" w14:textId="77777777">
                          <w:r>
                            <w:t xml:space="preserve">Er wordt op dit moment </w:t>
                          </w:r>
                          <w:r w:rsidRPr="006450B7">
                            <w:t>gestreefd naar de inwerkingtredingsdatum van uiterlijk 1</w:t>
                          </w:r>
                          <w:r>
                            <w:t> </w:t>
                          </w:r>
                          <w:r w:rsidRPr="006450B7">
                            <w:t>april 2023.</w:t>
                          </w:r>
                          <w:r>
                            <w:t xml:space="preserve"> In de toelichting staat dat a</w:t>
                          </w:r>
                          <w:r w:rsidRPr="006450B7">
                            <w:t>an onderdelen van de wet terugwerkende kracht kan worden verleend tot uiterlijk 17 januari 2022</w:t>
                          </w:r>
                          <w:r>
                            <w:t>, de uiterste implementatietermijn</w:t>
                          </w:r>
                          <w:r w:rsidRPr="006450B7">
                            <w:t>.</w:t>
                          </w:r>
                          <w:r>
                            <w:rPr>
                              <w:rStyle w:val="Voetnootmarkering"/>
                            </w:rPr>
                            <w:footnoteReference w:id="5"/>
                          </w:r>
                          <w:r w:rsidRPr="006450B7">
                            <w:t xml:space="preserve"> </w:t>
                          </w:r>
                          <w:r>
                            <w:t xml:space="preserve">Het staat volgens de toelichting echter nog </w:t>
                          </w:r>
                          <w:r w:rsidRPr="006450B7">
                            <w:t xml:space="preserve">niet vast dat dit nodig zal zijn. </w:t>
                          </w:r>
                          <w:r>
                            <w:t xml:space="preserve">In de Binnenvaartregeling is </w:t>
                          </w:r>
                          <w:r w:rsidRPr="003F69FB">
                            <w:t>al gedeeltelijk uitvoering gegeven a</w:t>
                          </w:r>
                          <w:r>
                            <w:t>an de implementatie</w:t>
                          </w:r>
                          <w:r w:rsidRPr="006450B7">
                            <w:t>.</w:t>
                          </w:r>
                          <w:r>
                            <w:rPr>
                              <w:rStyle w:val="Voetnootmarkering"/>
                            </w:rPr>
                            <w:footnoteReference w:id="6"/>
                          </w:r>
                          <w:r w:rsidRPr="006450B7">
                            <w:t xml:space="preserve"> </w:t>
                          </w:r>
                          <w:r>
                            <w:t xml:space="preserve">Hierdoor zouden er volgens de toelichting </w:t>
                          </w:r>
                          <w:r w:rsidRPr="006450B7">
                            <w:t xml:space="preserve">situaties </w:t>
                          </w:r>
                          <w:r>
                            <w:t xml:space="preserve">kunnen zijn </w:t>
                          </w:r>
                          <w:r w:rsidRPr="006450B7">
                            <w:t>ontstaan</w:t>
                          </w:r>
                          <w:r>
                            <w:t>,</w:t>
                          </w:r>
                          <w:r w:rsidRPr="006450B7">
                            <w:t xml:space="preserve"> waar</w:t>
                          </w:r>
                          <w:r>
                            <w:t>voor</w:t>
                          </w:r>
                          <w:r w:rsidRPr="006450B7">
                            <w:t xml:space="preserve"> terugwerkende kracht van enkele bepalingen in dit wetsvoorstel nodig </w:t>
                          </w:r>
                          <w:r>
                            <w:t>kan zijn</w:t>
                          </w:r>
                          <w:r w:rsidRPr="006450B7">
                            <w:t>.</w:t>
                          </w:r>
                          <w:r>
                            <w:t xml:space="preserve"> Naar de Afdeling heeft begrepen is het reeds mogelijk een kwalificatiecertificaat schipper aan te vragen.</w:t>
                          </w:r>
                          <w:r>
                            <w:rPr>
                              <w:rStyle w:val="Voetnootmarkering"/>
                            </w:rPr>
                            <w:footnoteReference w:id="7"/>
                          </w:r>
                          <w:r>
                            <w:t xml:space="preserve"> Daarvoor wordt een bestaande grondslag gebruikt en is derhalve geen terugwerkende kracht nodig.</w:t>
                          </w:r>
                          <w:r>
                            <w:rPr>
                              <w:rStyle w:val="Voetnootmarkering"/>
                            </w:rPr>
                            <w:footnoteReference w:id="8"/>
                          </w:r>
                          <w:r>
                            <w:t xml:space="preserve"> De toelichting maakt evenwel niet duidelijk voor welke andere situaties terugwerkende kracht wel noodzakelijk kan zijn.</w:t>
                          </w:r>
                        </w:p>
                        <w:p w:rsidR="00155F33" w:rsidP="00155F33" w:rsidRDefault="00CB0907" w14:paraId="2ADF113C" w14:textId="77777777"/>
                        <w:p w:rsidR="001059D8" w:rsidP="00155F33" w:rsidRDefault="001059D8" w14:paraId="4E2FCDFE" w14:textId="77777777">
                          <w:r>
                            <w:t>Bij het opstellen van een regeling dient reeds duidelijk te zijn in welke gevallen het verlenen van terugwerkende kracht aan delen daarvan noodzakelijk is. Dit klemt temeer voor het geval sprake kan zijn van belastende regelingen. B</w:t>
                          </w:r>
                          <w:r w:rsidRPr="00F663CB">
                            <w:t>ehoudens in uitzonderlijke gevallen</w:t>
                          </w:r>
                          <w:r>
                            <w:t xml:space="preserve"> wordt dan</w:t>
                          </w:r>
                          <w:r w:rsidRPr="00F663CB">
                            <w:t xml:space="preserve"> geen terugwerkende kracht toegekend.</w:t>
                          </w:r>
                          <w:r>
                            <w:rPr>
                              <w:rStyle w:val="Voetnootmarkering"/>
                            </w:rPr>
                            <w:footnoteReference w:id="9"/>
                          </w:r>
                          <w:r>
                            <w:t xml:space="preserve"> De Afdeling adviseert de toelichting en het wetsvoorstel met inachtneming van het voorgaande aan te passen.</w:t>
                          </w:r>
                        </w:p>
                      </w:sdtContent>
                    </w:sdt>
                  </w:sdtContent>
                </w:sdt>
              </w:sdtContent>
            </w:sdt>
            <w:p w:rsidR="001059D8" w:rsidRDefault="001059D8" w14:paraId="2D6F12B9" w14:textId="77777777">
              <w:r>
                <w:br w:type="page"/>
              </w:r>
            </w:p>
            <w:p w:rsidR="00F141AA" w:rsidP="00155F33" w:rsidRDefault="00CB0907" w14:paraId="4AA4F81F" w14:textId="1AFE6B82"/>
          </w:sdtContent>
        </w:sdt>
        <w:p w:rsidR="003A1FC7" w:rsidRDefault="003A1FC7" w14:paraId="35CFA87C" w14:textId="77777777"/>
        <w:sdt>
          <w:sdtPr>
            <w:alias w:val="Dictum"/>
            <w:tag w:val="Dictum"/>
            <w:id w:val="1621489950"/>
            <w:lock w:val="sdtContentLocked"/>
            <w:placeholder>
              <w:docPart w:val="DefaultPlaceholder_1082065158"/>
            </w:placeholder>
            <w:text w:multiLine="1"/>
          </w:sdtPr>
          <w:sdtEndPr/>
          <w:sdtContent>
            <w:p w:rsidR="00CA3329" w:rsidRDefault="001059D8" w14:paraId="7A7F741C"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CA332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A013" w14:textId="77777777" w:rsidR="00CB0907" w:rsidRDefault="00CB0907" w:rsidP="005B3E03">
      <w:r>
        <w:separator/>
      </w:r>
    </w:p>
    <w:p w14:paraId="0FCBC302" w14:textId="77777777" w:rsidR="00CB0907" w:rsidRDefault="00CB0907"/>
  </w:endnote>
  <w:endnote w:type="continuationSeparator" w:id="0">
    <w:p w14:paraId="33726D04" w14:textId="77777777" w:rsidR="00CB0907" w:rsidRDefault="00CB0907" w:rsidP="005B3E03">
      <w:r>
        <w:continuationSeparator/>
      </w:r>
    </w:p>
    <w:p w14:paraId="47CCFEBB" w14:textId="77777777" w:rsidR="00CB0907" w:rsidRDefault="00CB0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09F9"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7A3D61F" wp14:editId="135A51C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2CCCA"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3D61F"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7462CCCA"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FCF5" w14:textId="77777777" w:rsidR="00CB0907" w:rsidRDefault="00CB0907" w:rsidP="005B3E03">
      <w:r>
        <w:separator/>
      </w:r>
    </w:p>
    <w:p w14:paraId="250CE805" w14:textId="77777777" w:rsidR="00CB0907" w:rsidRDefault="00CB0907"/>
  </w:footnote>
  <w:footnote w:type="continuationSeparator" w:id="0">
    <w:p w14:paraId="28AA248E" w14:textId="77777777" w:rsidR="00CB0907" w:rsidRDefault="00CB0907" w:rsidP="005B3E03">
      <w:r>
        <w:continuationSeparator/>
      </w:r>
    </w:p>
    <w:p w14:paraId="2249253E" w14:textId="77777777" w:rsidR="00CB0907" w:rsidRDefault="00CB0907"/>
  </w:footnote>
  <w:footnote w:id="1">
    <w:p w14:paraId="0B003C6D" w14:textId="77777777" w:rsidR="00155F33" w:rsidRPr="003F69FB" w:rsidRDefault="001059D8" w:rsidP="00155F33">
      <w:pPr>
        <w:pStyle w:val="Voetnoottekst"/>
      </w:pPr>
      <w:r>
        <w:rPr>
          <w:rStyle w:val="Voetnootmarkering"/>
        </w:rPr>
        <w:footnoteRef/>
      </w:r>
      <w:r>
        <w:t xml:space="preserve">   </w:t>
      </w:r>
      <w:r w:rsidRPr="003F69FB">
        <w:t>Richtlijn (EU) 2017/2397 van het Europees Parlement en de Raad van 12 december 2017 betreffende de erkenning van beroepskwalificaties in de binnenvaart en tot intrekking van de richtlijnen 91/672/EEG en 96/50/EG van de Raad (</w:t>
      </w:r>
      <w:proofErr w:type="spellStart"/>
      <w:r w:rsidRPr="003F69FB">
        <w:t>PbEU</w:t>
      </w:r>
      <w:proofErr w:type="spellEnd"/>
      <w:r w:rsidRPr="003F69FB">
        <w:t xml:space="preserve"> 2017, L 345)</w:t>
      </w:r>
      <w:r>
        <w:t>. A</w:t>
      </w:r>
      <w:r w:rsidRPr="00A0377D">
        <w:t xml:space="preserve">rtikelen 10 en 38 van de richtlijn zijn inmiddels gewijzigd door </w:t>
      </w:r>
      <w:r w:rsidRPr="002E21B7">
        <w:t>Richtlijn (EU) 2021/1233 van het Europees Parlement en de Raad van 14 juli 2021 tot wijziging van Richtlijn (EU) 2017/2397 wat betreft de overgangsmaatregelen voor de erkenning van certificaten van derde landen</w:t>
      </w:r>
      <w:r>
        <w:t>.</w:t>
      </w:r>
    </w:p>
  </w:footnote>
  <w:footnote w:id="2">
    <w:p w14:paraId="231AE21D" w14:textId="77777777" w:rsidR="00155F33" w:rsidRPr="003F69FB" w:rsidRDefault="001059D8" w:rsidP="00155F33">
      <w:pPr>
        <w:pStyle w:val="Voetnoottekst"/>
      </w:pPr>
      <w:r>
        <w:rPr>
          <w:rStyle w:val="Voetnootmarkering"/>
        </w:rPr>
        <w:footnoteRef/>
      </w:r>
      <w:r>
        <w:t xml:space="preserve"> </w:t>
      </w:r>
      <w:r w:rsidRPr="003F69FB">
        <w:t xml:space="preserve"> </w:t>
      </w:r>
      <w:r>
        <w:t xml:space="preserve"> Met het oog op de </w:t>
      </w:r>
      <w:r w:rsidRPr="00F05179">
        <w:t>uiterste implementatiedatum van 17 januari 2022</w:t>
      </w:r>
      <w:r>
        <w:t xml:space="preserve"> is in de Binnenvaartregeling </w:t>
      </w:r>
      <w:r w:rsidRPr="003F69FB">
        <w:t>al gedeeltelijk uitvoering gegeven a</w:t>
      </w:r>
      <w:r>
        <w:t xml:space="preserve">an de implementatie van de richtlijn, zie </w:t>
      </w:r>
      <w:r w:rsidRPr="00310CE6">
        <w:t>Stct. 2022, 5098</w:t>
      </w:r>
      <w:r>
        <w:t>.</w:t>
      </w:r>
    </w:p>
  </w:footnote>
  <w:footnote w:id="3">
    <w:p w14:paraId="59613512" w14:textId="77777777" w:rsidR="00155F33" w:rsidRPr="00842FF3" w:rsidRDefault="001059D8" w:rsidP="00155F33">
      <w:pPr>
        <w:pStyle w:val="Voetnoottekst"/>
      </w:pPr>
      <w:r>
        <w:rPr>
          <w:rStyle w:val="Voetnootmarkering"/>
        </w:rPr>
        <w:footnoteRef/>
      </w:r>
      <w:r>
        <w:t xml:space="preserve"> </w:t>
      </w:r>
      <w:r w:rsidRPr="00842FF3">
        <w:t xml:space="preserve">  Zie paragraaf 7.1 </w:t>
      </w:r>
      <w:r>
        <w:t xml:space="preserve">“Uitvoering/Toezicht” </w:t>
      </w:r>
      <w:r w:rsidRPr="00842FF3">
        <w:t>van de Memorie v</w:t>
      </w:r>
      <w:r>
        <w:t>an Toelichting.</w:t>
      </w:r>
    </w:p>
  </w:footnote>
  <w:footnote w:id="4">
    <w:p w14:paraId="013DD8C5" w14:textId="77777777" w:rsidR="00155F33" w:rsidRPr="00A0377D" w:rsidRDefault="001059D8" w:rsidP="00155F33">
      <w:pPr>
        <w:pStyle w:val="Voetnoottekst"/>
      </w:pPr>
      <w:r>
        <w:rPr>
          <w:rStyle w:val="Voetnootmarkering"/>
        </w:rPr>
        <w:footnoteRef/>
      </w:r>
      <w:r>
        <w:t xml:space="preserve">   </w:t>
      </w:r>
      <w:r w:rsidRPr="00922362">
        <w:t>De ILT is voor wat betreft de opleidingen momenteel uitsluitend belast met de erkenning van opleidingen voor veiligheidskundige voor de passagiersvaart</w:t>
      </w:r>
      <w:r>
        <w:t xml:space="preserve">. Het CBR is belast met de certificering en erkenning van alle overige vaardocumenten en vergunningen voor de binnenvaart. </w:t>
      </w:r>
    </w:p>
  </w:footnote>
  <w:footnote w:id="5">
    <w:p w14:paraId="3CB1C041" w14:textId="77777777" w:rsidR="00155F33" w:rsidRPr="00310CE6" w:rsidRDefault="001059D8" w:rsidP="00155F33">
      <w:pPr>
        <w:pStyle w:val="Voetnoottekst"/>
      </w:pPr>
      <w:r>
        <w:rPr>
          <w:rStyle w:val="Voetnootmarkering"/>
        </w:rPr>
        <w:footnoteRef/>
      </w:r>
      <w:r>
        <w:t xml:space="preserve"> </w:t>
      </w:r>
      <w:r w:rsidRPr="00310CE6">
        <w:t xml:space="preserve">  Zie paragraaf 9.1 “Inwerkingtreding” van de M</w:t>
      </w:r>
      <w:r>
        <w:t>emorie van Toelichting.</w:t>
      </w:r>
    </w:p>
  </w:footnote>
  <w:footnote w:id="6">
    <w:p w14:paraId="0A294A6B" w14:textId="77777777" w:rsidR="00155F33" w:rsidRPr="00310CE6" w:rsidRDefault="001059D8" w:rsidP="00155F33">
      <w:pPr>
        <w:pStyle w:val="Voetnoottekst"/>
        <w:rPr>
          <w:lang w:val="en-US"/>
        </w:rPr>
      </w:pPr>
      <w:r>
        <w:rPr>
          <w:rStyle w:val="Voetnootmarkering"/>
        </w:rPr>
        <w:footnoteRef/>
      </w:r>
      <w:r w:rsidRPr="00506FB8">
        <w:rPr>
          <w:lang w:val="en-GB"/>
        </w:rPr>
        <w:t xml:space="preserve">   </w:t>
      </w:r>
      <w:proofErr w:type="spellStart"/>
      <w:r w:rsidRPr="00506FB8">
        <w:rPr>
          <w:lang w:val="en-GB"/>
        </w:rPr>
        <w:t>Stct</w:t>
      </w:r>
      <w:proofErr w:type="spellEnd"/>
      <w:r w:rsidRPr="00506FB8">
        <w:rPr>
          <w:lang w:val="en-GB"/>
        </w:rPr>
        <w:t>. 2022, 5098.</w:t>
      </w:r>
    </w:p>
  </w:footnote>
  <w:footnote w:id="7">
    <w:p w14:paraId="6D18B0C7" w14:textId="77777777" w:rsidR="00155F33" w:rsidRPr="004C0B80" w:rsidRDefault="001059D8" w:rsidP="00155F33">
      <w:pPr>
        <w:pStyle w:val="Voetnoottekst"/>
        <w:rPr>
          <w:lang w:val="en-US"/>
        </w:rPr>
      </w:pPr>
      <w:r>
        <w:rPr>
          <w:rStyle w:val="Voetnootmarkering"/>
        </w:rPr>
        <w:footnoteRef/>
      </w:r>
      <w:r w:rsidRPr="004C0B80">
        <w:rPr>
          <w:lang w:val="en-US"/>
        </w:rPr>
        <w:t xml:space="preserve">   https://www.cbr.nl/nl/beroepsexamens/binnenvaart/nl/vaardocumenten-en-vergunningen.htm.</w:t>
      </w:r>
    </w:p>
  </w:footnote>
  <w:footnote w:id="8">
    <w:p w14:paraId="6742AE30" w14:textId="77777777" w:rsidR="00155F33" w:rsidRPr="00104567" w:rsidRDefault="001059D8" w:rsidP="00155F33">
      <w:pPr>
        <w:pStyle w:val="Voetnoottekst"/>
      </w:pPr>
      <w:r>
        <w:rPr>
          <w:rStyle w:val="Voetnootmarkering"/>
        </w:rPr>
        <w:footnoteRef/>
      </w:r>
      <w:r>
        <w:t xml:space="preserve">   Zie artikel 26 van de Binnenvaartwet.</w:t>
      </w:r>
    </w:p>
  </w:footnote>
  <w:footnote w:id="9">
    <w:p w14:paraId="042156DC" w14:textId="77777777" w:rsidR="00155F33" w:rsidRDefault="001059D8" w:rsidP="00155F33">
      <w:pPr>
        <w:pStyle w:val="Voetnoottekst"/>
      </w:pPr>
      <w:r>
        <w:rPr>
          <w:rStyle w:val="Voetnootmarkering"/>
        </w:rPr>
        <w:footnoteRef/>
      </w:r>
      <w:r>
        <w:t xml:space="preserve">   Zie Aanwijzing 5.62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6CA7"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7109"/>
    <w:multiLevelType w:val="hybridMultilevel"/>
    <w:tmpl w:val="FCCE0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541A46"/>
    <w:multiLevelType w:val="hybridMultilevel"/>
    <w:tmpl w:val="A63CE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81242A"/>
    <w:multiLevelType w:val="hybridMultilevel"/>
    <w:tmpl w:val="295860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425B68"/>
    <w:multiLevelType w:val="hybridMultilevel"/>
    <w:tmpl w:val="22ECF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703D03"/>
    <w:multiLevelType w:val="hybridMultilevel"/>
    <w:tmpl w:val="0F42A7A6"/>
    <w:lvl w:ilvl="0" w:tplc="1D826AD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059D8"/>
    <w:rsid w:val="00156F0B"/>
    <w:rsid w:val="0017188E"/>
    <w:rsid w:val="002656A3"/>
    <w:rsid w:val="0027703A"/>
    <w:rsid w:val="002A16F1"/>
    <w:rsid w:val="002C6867"/>
    <w:rsid w:val="002D0875"/>
    <w:rsid w:val="00303CA7"/>
    <w:rsid w:val="00304F44"/>
    <w:rsid w:val="00322CB5"/>
    <w:rsid w:val="003A1FC7"/>
    <w:rsid w:val="004421C1"/>
    <w:rsid w:val="004C120D"/>
    <w:rsid w:val="00503044"/>
    <w:rsid w:val="00507E2C"/>
    <w:rsid w:val="006D3E6B"/>
    <w:rsid w:val="0071031E"/>
    <w:rsid w:val="00724C4B"/>
    <w:rsid w:val="00743D19"/>
    <w:rsid w:val="00831756"/>
    <w:rsid w:val="008611CD"/>
    <w:rsid w:val="009E72D2"/>
    <w:rsid w:val="00A349AF"/>
    <w:rsid w:val="00AA44F3"/>
    <w:rsid w:val="00B03C96"/>
    <w:rsid w:val="00B44919"/>
    <w:rsid w:val="00C02F92"/>
    <w:rsid w:val="00C5066A"/>
    <w:rsid w:val="00C50D4F"/>
    <w:rsid w:val="00C94D31"/>
    <w:rsid w:val="00CA3329"/>
    <w:rsid w:val="00CB0907"/>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6CF27"/>
  <w15:docId w15:val="{70593F79-1CC5-4F27-A9D4-D370B34E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3F69FB"/>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565ED0"/>
    <w:rPr>
      <w:rFonts w:ascii="Univers" w:hAnsi="Univers"/>
      <w:sz w:val="22"/>
      <w:szCs w:val="24"/>
    </w:rPr>
  </w:style>
  <w:style w:type="character" w:styleId="Verwijzingopmerking">
    <w:name w:val="annotation reference"/>
    <w:basedOn w:val="Standaardalinea-lettertype"/>
    <w:semiHidden/>
    <w:unhideWhenUsed/>
    <w:rsid w:val="00447565"/>
    <w:rPr>
      <w:sz w:val="16"/>
      <w:szCs w:val="16"/>
    </w:rPr>
  </w:style>
  <w:style w:type="paragraph" w:styleId="Tekstopmerking">
    <w:name w:val="annotation text"/>
    <w:basedOn w:val="Standaard"/>
    <w:link w:val="TekstopmerkingChar"/>
    <w:semiHidden/>
    <w:unhideWhenUsed/>
    <w:rsid w:val="00447565"/>
    <w:rPr>
      <w:sz w:val="20"/>
      <w:szCs w:val="20"/>
    </w:rPr>
  </w:style>
  <w:style w:type="character" w:customStyle="1" w:styleId="TekstopmerkingChar">
    <w:name w:val="Tekst opmerking Char"/>
    <w:basedOn w:val="Standaardalinea-lettertype"/>
    <w:link w:val="Tekstopmerking"/>
    <w:semiHidden/>
    <w:rsid w:val="00447565"/>
    <w:rPr>
      <w:rFonts w:ascii="Univers" w:hAnsi="Univers"/>
    </w:rPr>
  </w:style>
  <w:style w:type="paragraph" w:styleId="Onderwerpvanopmerking">
    <w:name w:val="annotation subject"/>
    <w:basedOn w:val="Tekstopmerking"/>
    <w:next w:val="Tekstopmerking"/>
    <w:link w:val="OnderwerpvanopmerkingChar"/>
    <w:semiHidden/>
    <w:unhideWhenUsed/>
    <w:rsid w:val="00447565"/>
    <w:rPr>
      <w:b/>
      <w:bCs/>
    </w:rPr>
  </w:style>
  <w:style w:type="character" w:customStyle="1" w:styleId="OnderwerpvanopmerkingChar">
    <w:name w:val="Onderwerp van opmerking Char"/>
    <w:basedOn w:val="TekstopmerkingChar"/>
    <w:link w:val="Onderwerpvanopmerking"/>
    <w:semiHidden/>
    <w:rsid w:val="00447565"/>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255DFA"/>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420E3"/>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635</ap:Words>
  <ap:Characters>3952</ap:Characters>
  <ap:DocSecurity>0</ap:DocSecurity>
  <ap:Lines>164</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2023-02-15T09:13:00.0000000Z</dcterms:created>
  <dcterms:modified xsi:type="dcterms:W3CDTF">2023-02-15T09:13:00.0000000Z</dcterms:modified>
  <dc:description>------------------------</dc:description>
  <dc:subject/>
  <dc:title/>
  <keywords/>
  <version/>
  <category/>
</coreProperties>
</file>