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Tweede Kamer der Staten-</w:t>
            </w:r>
            <w:r w:rsidRPr="00544E9D">
              <w:rPr>
                <w:rFonts w:ascii="Times New Roman" w:hAnsi="Times New Roman"/>
              </w:rPr>
              <w:fldChar w:fldCharType="begin"/>
            </w:r>
            <w:r w:rsidRPr="00544E9D">
              <w:rPr>
                <w:rFonts w:ascii="Times New Roman" w:hAnsi="Times New Roman"/>
              </w:rPr>
              <w:instrText xml:space="preserve">PRIVATE </w:instrText>
            </w:r>
            <w:r w:rsidRPr="00544E9D">
              <w:rPr>
                <w:rFonts w:ascii="Times New Roman" w:hAnsi="Times New Roman"/>
              </w:rPr>
              <w:fldChar w:fldCharType="end"/>
            </w: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Generaal zendt bijgaand door</w:t>
            </w: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haar aangenomen wetsvoorstel</w:t>
            </w: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aan de Eerste Kamer.</w:t>
            </w: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44E9D">
              <w:rPr>
                <w:rFonts w:ascii="Times New Roman" w:hAnsi="Times New Roman"/>
              </w:rPr>
              <w:t>De Voorzitter,</w:t>
            </w: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44E9D" w:rsidR="00876951" w:rsidP="00876951" w:rsidRDefault="00876951">
            <w:pPr>
              <w:rPr>
                <w:rFonts w:ascii="Times New Roman" w:hAnsi="Times New Roman"/>
              </w:rPr>
            </w:pPr>
          </w:p>
          <w:p w:rsidRPr="002168F4" w:rsidR="00CB3578" w:rsidP="00876951" w:rsidRDefault="00876951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876951" w:rsidTr="006C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15BB5" w:rsidR="00876951" w:rsidP="000D5BC4" w:rsidRDefault="00876951">
            <w:pPr>
              <w:rPr>
                <w:rFonts w:ascii="Times New Roman" w:hAnsi="Times New Roman"/>
                <w:b/>
                <w:sz w:val="24"/>
              </w:rPr>
            </w:pPr>
            <w:r w:rsidRPr="000053B9">
              <w:rPr>
                <w:rFonts w:ascii="Times New Roman" w:hAnsi="Times New Roman"/>
                <w:b/>
                <w:sz w:val="24"/>
              </w:rPr>
              <w:t>Wijziging van de begrotingsstaat van het Ministerie van Buitenlandse Zaken (V)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876951" w:rsidTr="009F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876951" w:rsidRDefault="0087695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90A89"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</w:p>
    <w:p w:rsidRPr="00C90A89"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C90A89"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Buitenlandse Zaken (V) voor het jaar 2022;</w:t>
      </w:r>
    </w:p>
    <w:p w:rsidRPr="00C90A89"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Pr="00C90A89" w:rsidR="00C90A89" w:rsidP="00C90A89" w:rsidRDefault="00C90A89">
      <w:pPr>
        <w:rPr>
          <w:rFonts w:ascii="Times New Roman" w:hAnsi="Times New Roman"/>
          <w:b/>
          <w:sz w:val="24"/>
          <w:szCs w:val="20"/>
        </w:rPr>
      </w:pPr>
      <w:r w:rsidRPr="00C90A89">
        <w:rPr>
          <w:rFonts w:ascii="Times New Roman" w:hAnsi="Times New Roman"/>
          <w:b/>
          <w:sz w:val="24"/>
          <w:szCs w:val="20"/>
        </w:rPr>
        <w:t>Artikel 1</w:t>
      </w:r>
    </w:p>
    <w:p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</w:p>
    <w:p w:rsidRPr="00C90A89"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De departementale begrotingsstaat van het Ministerie van Buitenlandse Zaken (V) voor het jaar 2022 wordt gewijzigd, zoals blijkt uit de desbetreffende bij deze wet behorende staat.</w:t>
      </w: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Pr="00C90A89" w:rsidR="00C90A89" w:rsidP="00C90A89" w:rsidRDefault="00C90A89">
      <w:pPr>
        <w:rPr>
          <w:rFonts w:ascii="Times New Roman" w:hAnsi="Times New Roman"/>
          <w:b/>
          <w:sz w:val="24"/>
          <w:szCs w:val="20"/>
        </w:rPr>
      </w:pPr>
      <w:r w:rsidRPr="00C90A89">
        <w:rPr>
          <w:rFonts w:ascii="Times New Roman" w:hAnsi="Times New Roman"/>
          <w:b/>
          <w:sz w:val="24"/>
          <w:szCs w:val="20"/>
        </w:rPr>
        <w:t>Artikel 2</w:t>
      </w:r>
    </w:p>
    <w:p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</w:p>
    <w:p w:rsidRPr="00C90A89"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Pr="00C90A89" w:rsidR="00C90A89" w:rsidP="00C90A89" w:rsidRDefault="00C90A89">
      <w:pPr>
        <w:rPr>
          <w:rFonts w:ascii="Times New Roman" w:hAnsi="Times New Roman"/>
          <w:b/>
          <w:sz w:val="24"/>
          <w:szCs w:val="20"/>
        </w:rPr>
      </w:pPr>
      <w:r w:rsidRPr="00C90A89">
        <w:rPr>
          <w:rFonts w:ascii="Times New Roman" w:hAnsi="Times New Roman"/>
          <w:b/>
          <w:sz w:val="24"/>
          <w:szCs w:val="20"/>
        </w:rPr>
        <w:t>Artikel 3</w:t>
      </w:r>
    </w:p>
    <w:p w:rsidRPr="00C90A89" w:rsidR="00C90A89" w:rsidP="00C90A89" w:rsidRDefault="00C90A89">
      <w:pPr>
        <w:ind w:firstLine="284"/>
        <w:rPr>
          <w:rFonts w:ascii="Times New Roman" w:hAnsi="Times New Roman"/>
          <w:b/>
          <w:sz w:val="24"/>
          <w:szCs w:val="20"/>
        </w:rPr>
      </w:pPr>
    </w:p>
    <w:p w:rsidRPr="00C90A89"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</w:p>
    <w:p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</w:p>
    <w:p w:rsidR="00876951" w:rsidRDefault="00876951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C90A89" w:rsidR="00C90A89" w:rsidP="00C90A89" w:rsidRDefault="00C90A89">
      <w:pPr>
        <w:ind w:firstLine="284"/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C90A89"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Pr="00C90A89" w:rsidR="00C90A89" w:rsidP="00C90A89" w:rsidRDefault="00C90A89">
      <w:pPr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Gegeven</w:t>
      </w:r>
    </w:p>
    <w:p w:rsidRPr="00C90A89"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Pr="00C90A89"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p w:rsidR="00876951" w:rsidP="00C90A89" w:rsidRDefault="00C90A89">
      <w:pPr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De Minister van Buitenlandse Zaken</w:t>
      </w:r>
      <w:r>
        <w:rPr>
          <w:rFonts w:ascii="Times New Roman" w:hAnsi="Times New Roman"/>
          <w:sz w:val="24"/>
          <w:szCs w:val="20"/>
        </w:rPr>
        <w:t>,</w:t>
      </w:r>
    </w:p>
    <w:p w:rsidRPr="00C90A89"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Pr="00C90A89" w:rsidR="00876951" w:rsidP="00876951" w:rsidRDefault="00876951">
      <w:pPr>
        <w:rPr>
          <w:rFonts w:ascii="Times New Roman" w:hAnsi="Times New Roman"/>
          <w:sz w:val="24"/>
          <w:szCs w:val="20"/>
        </w:rPr>
      </w:pPr>
    </w:p>
    <w:p w:rsidR="00876951" w:rsidP="00876951" w:rsidRDefault="00876951">
      <w:pPr>
        <w:rPr>
          <w:rFonts w:ascii="Times New Roman" w:hAnsi="Times New Roman"/>
          <w:sz w:val="24"/>
          <w:szCs w:val="20"/>
        </w:rPr>
      </w:pPr>
      <w:r w:rsidRPr="00C90A89">
        <w:rPr>
          <w:rFonts w:ascii="Times New Roman" w:hAnsi="Times New Roman"/>
          <w:sz w:val="24"/>
          <w:szCs w:val="20"/>
        </w:rPr>
        <w:t>De Minister van Buitenlandse Zaken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>
        <w:rPr>
          <w:rFonts w:ascii="Times New Roman" w:hAnsi="Times New Roman"/>
          <w:sz w:val="24"/>
          <w:szCs w:val="20"/>
        </w:rPr>
        <w:br w:type="page"/>
      </w:r>
    </w:p>
    <w:p w:rsidR="00C90A89" w:rsidP="00C90A89" w:rsidRDefault="00C90A89">
      <w:pPr>
        <w:rPr>
          <w:rFonts w:ascii="Times New Roman" w:hAnsi="Times New Roman"/>
          <w:sz w:val="24"/>
          <w:szCs w:val="20"/>
        </w:rPr>
      </w:pPr>
    </w:p>
    <w:tbl>
      <w:tblPr>
        <w:tblW w:w="9694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"/>
        <w:gridCol w:w="3756"/>
        <w:gridCol w:w="1124"/>
        <w:gridCol w:w="789"/>
        <w:gridCol w:w="1020"/>
        <w:gridCol w:w="1124"/>
        <w:gridCol w:w="727"/>
        <w:gridCol w:w="1020"/>
      </w:tblGrid>
      <w:tr w:rsidRPr="00C90A89" w:rsidR="00C90A89" w:rsidTr="00C90A89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br w:type="page"/>
            </w:r>
            <w:r w:rsidRPr="00C90A89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begrotingsstaat van het Ministerie van Buitenlandse Zaken (V) voor het jaar 2022 (Eerste suppletoire begroting) (bedragen x € 1.000)</w:t>
            </w:r>
          </w:p>
        </w:tc>
      </w:tr>
      <w:tr w:rsidRPr="00C90A89" w:rsidR="00C90A89" w:rsidTr="00C90A89">
        <w:trPr>
          <w:tblHeader/>
        </w:trPr>
        <w:tc>
          <w:tcPr>
            <w:tcW w:w="13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(1)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(2)</w:t>
            </w:r>
          </w:p>
        </w:tc>
        <w:tc>
          <w:tcPr>
            <w:tcW w:w="102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2933" w:type="dxa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Vastgestelde begroting</w:t>
            </w:r>
          </w:p>
        </w:tc>
        <w:tc>
          <w:tcPr>
            <w:tcW w:w="2871" w:type="dxa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Mutaties 1e suppletoire begroting</w:t>
            </w:r>
          </w:p>
        </w:tc>
      </w:tr>
      <w:tr w:rsidRPr="00C90A89" w:rsidR="00C90A89" w:rsidTr="00C90A89">
        <w:tc>
          <w:tcPr>
            <w:tcW w:w="1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11 691 848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11 807 800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965 770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1 158 936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1 131 012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278 987</w:t>
            </w: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10 711 739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10 862 691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902 590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1 063 602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1 035 678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292 767</w:t>
            </w: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Versterkte internationale rechtsorde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114 112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123 822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56 745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11 010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</w:t>
            </w: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Veiligheid en stabiliteit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276 987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282 496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1 000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23 823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14 072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</w:t>
            </w: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Effectieve Europese samenwerking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10 265 666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10 402 889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868 916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1 022 551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1 020 753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278 467</w:t>
            </w: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</w:t>
            </w: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Consulaire dienstverlening en uitdragen van Nederlandse waarden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54 974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53 484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32 674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8 129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17 987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14 300</w:t>
            </w: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980 109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945 109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63 180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95 334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95 334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‒ 13 780</w:t>
            </w: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</w:t>
            </w: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Geheim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</w:t>
            </w: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2 868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2 868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1 544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1 544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C90A89" w:rsidR="00C90A89" w:rsidTr="00C90A89">
        <w:tc>
          <w:tcPr>
            <w:tcW w:w="134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</w:t>
            </w:r>
          </w:p>
        </w:tc>
        <w:tc>
          <w:tcPr>
            <w:tcW w:w="375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977 241</w:t>
            </w:r>
          </w:p>
        </w:tc>
        <w:tc>
          <w:tcPr>
            <w:tcW w:w="78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942 241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63 180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96 878</w:t>
            </w:r>
          </w:p>
        </w:tc>
        <w:tc>
          <w:tcPr>
            <w:tcW w:w="72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96 878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C90A89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13 780</w:t>
            </w:r>
          </w:p>
        </w:tc>
      </w:tr>
      <w:tr w:rsidRPr="00C90A89" w:rsidR="00C90A89" w:rsidTr="00C90A89">
        <w:tc>
          <w:tcPr>
            <w:tcW w:w="1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75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2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90A89" w:rsidR="00C90A89" w:rsidP="00C90A89" w:rsidRDefault="00C90A89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</w:tbl>
    <w:p w:rsidRPr="002168F4" w:rsidR="00CB3578" w:rsidP="00C90A89" w:rsidRDefault="00CB3578">
      <w:pPr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A5" w:rsidRDefault="009E61A5">
      <w:pPr>
        <w:spacing w:line="20" w:lineRule="exact"/>
      </w:pPr>
    </w:p>
  </w:endnote>
  <w:endnote w:type="continuationSeparator" w:id="0">
    <w:p w:rsidR="009E61A5" w:rsidRDefault="009E61A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E61A5" w:rsidRDefault="009E61A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76951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A5" w:rsidRDefault="009E61A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E61A5" w:rsidRDefault="009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0CAB"/>
    <w:multiLevelType w:val="multilevel"/>
    <w:tmpl w:val="38D23C2E"/>
    <w:styleLink w:val="ol-footnotes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000346D"/>
    <w:multiLevelType w:val="multilevel"/>
    <w:tmpl w:val="F93AD0D0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A5"/>
    <w:rsid w:val="000053B9"/>
    <w:rsid w:val="00012DBE"/>
    <w:rsid w:val="000A1D81"/>
    <w:rsid w:val="000E182A"/>
    <w:rsid w:val="00111ED3"/>
    <w:rsid w:val="001C190E"/>
    <w:rsid w:val="002168F4"/>
    <w:rsid w:val="00265D32"/>
    <w:rsid w:val="002A727C"/>
    <w:rsid w:val="00436655"/>
    <w:rsid w:val="00451617"/>
    <w:rsid w:val="00467AB0"/>
    <w:rsid w:val="00520752"/>
    <w:rsid w:val="005D2707"/>
    <w:rsid w:val="00606255"/>
    <w:rsid w:val="006962E8"/>
    <w:rsid w:val="006B607A"/>
    <w:rsid w:val="007D451C"/>
    <w:rsid w:val="00826224"/>
    <w:rsid w:val="00876951"/>
    <w:rsid w:val="00930A23"/>
    <w:rsid w:val="009C7354"/>
    <w:rsid w:val="009E61A5"/>
    <w:rsid w:val="009E6D7F"/>
    <w:rsid w:val="00A11E73"/>
    <w:rsid w:val="00A2521E"/>
    <w:rsid w:val="00A260EA"/>
    <w:rsid w:val="00AC16AC"/>
    <w:rsid w:val="00AE436A"/>
    <w:rsid w:val="00C135B1"/>
    <w:rsid w:val="00C77A12"/>
    <w:rsid w:val="00C90A89"/>
    <w:rsid w:val="00C92DF8"/>
    <w:rsid w:val="00CB3578"/>
    <w:rsid w:val="00D20AFA"/>
    <w:rsid w:val="00D55648"/>
    <w:rsid w:val="00E16443"/>
    <w:rsid w:val="00E23701"/>
    <w:rsid w:val="00E36EE9"/>
    <w:rsid w:val="00F13442"/>
    <w:rsid w:val="00F15BB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AF4E9D-EC1C-4879-AD58-9C83B4ED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numbering" w:customStyle="1" w:styleId="ol-footnotes">
    <w:name w:val="ol-footnotes"/>
    <w:basedOn w:val="Geenlijst"/>
    <w:rsid w:val="00C77A12"/>
    <w:pPr>
      <w:numPr>
        <w:numId w:val="1"/>
      </w:numPr>
    </w:pPr>
  </w:style>
  <w:style w:type="numbering" w:customStyle="1" w:styleId="ol-footnotes1">
    <w:name w:val="ol-footnotes1"/>
    <w:basedOn w:val="Geenlijst"/>
    <w:rsid w:val="00E2370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422</ap:Words>
  <ap:Characters>2210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2022-07-05T09:55:00.0000000Z</dcterms:created>
  <dcterms:modified xsi:type="dcterms:W3CDTF">2022-07-05T09:59:00.0000000Z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