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47A6" w:rsidR="000715DB" w:rsidP="000715DB" w:rsidRDefault="000715DB" w14:paraId="4B296D0A" w14:textId="17468267">
      <w:pPr>
        <w:rPr>
          <w:b/>
          <w:lang w:val="nl-NL"/>
        </w:rPr>
      </w:pPr>
      <w:r w:rsidRPr="000C47A6">
        <w:rPr>
          <w:b/>
          <w:lang w:val="nl-NL"/>
        </w:rPr>
        <w:t xml:space="preserve">Overzicht beleidsmatige mutaties na </w:t>
      </w:r>
      <w:r w:rsidRPr="000C47A6" w:rsidR="000C47A6">
        <w:rPr>
          <w:b/>
          <w:lang w:val="nl-NL"/>
        </w:rPr>
        <w:t>tweede suppletoire begroting 202</w:t>
      </w:r>
      <w:r w:rsidR="003A359D">
        <w:rPr>
          <w:b/>
          <w:lang w:val="nl-NL"/>
        </w:rPr>
        <w:t>2</w:t>
      </w:r>
      <w:r w:rsidRPr="000C47A6" w:rsidR="000C47A6">
        <w:rPr>
          <w:b/>
          <w:lang w:val="nl-NL"/>
        </w:rPr>
        <w:t xml:space="preserve"> van</w:t>
      </w:r>
      <w:r w:rsidRPr="000C47A6">
        <w:rPr>
          <w:b/>
          <w:lang w:val="nl-NL"/>
        </w:rPr>
        <w:t xml:space="preserve"> </w:t>
      </w:r>
      <w:r w:rsidR="00007479">
        <w:rPr>
          <w:b/>
          <w:lang w:val="nl-NL"/>
        </w:rPr>
        <w:t>het ministerie van Volksgezondheid, Welzijn en Sport (</w:t>
      </w:r>
      <w:r w:rsidRPr="000C47A6">
        <w:rPr>
          <w:b/>
          <w:lang w:val="nl-NL"/>
        </w:rPr>
        <w:t>VWS</w:t>
      </w:r>
      <w:r w:rsidR="00007479">
        <w:rPr>
          <w:b/>
          <w:lang w:val="nl-NL"/>
        </w:rPr>
        <w:t>)</w:t>
      </w:r>
    </w:p>
    <w:p w:rsidR="002F4A53" w:rsidP="00B8321D" w:rsidRDefault="000C47A6" w14:paraId="2C4086DB" w14:textId="0E98A079">
      <w:pPr>
        <w:rPr>
          <w:szCs w:val="18"/>
          <w:lang w:val="nl-NL"/>
        </w:rPr>
      </w:pPr>
      <w:r>
        <w:rPr>
          <w:szCs w:val="18"/>
          <w:lang w:val="nl-NL"/>
        </w:rPr>
        <w:t>In onderstaande tabel zijn</w:t>
      </w:r>
      <w:r w:rsidRPr="00FC50E3">
        <w:rPr>
          <w:szCs w:val="18"/>
          <w:lang w:val="nl-NL"/>
        </w:rPr>
        <w:t xml:space="preserve"> alle </w:t>
      </w:r>
      <w:r w:rsidRPr="00E20625">
        <w:rPr>
          <w:lang w:val="nl-NL"/>
        </w:rPr>
        <w:t>beleidsmatige mutaties</w:t>
      </w:r>
      <w:r w:rsidRPr="00FC50E3">
        <w:rPr>
          <w:szCs w:val="18"/>
          <w:lang w:val="nl-NL"/>
        </w:rPr>
        <w:t xml:space="preserve"> die zich hebben v</w:t>
      </w:r>
      <w:r>
        <w:rPr>
          <w:szCs w:val="18"/>
          <w:lang w:val="nl-NL"/>
        </w:rPr>
        <w:t>oorgedaan na de tweede suppletoire begroting 202</w:t>
      </w:r>
      <w:r w:rsidR="003A359D">
        <w:rPr>
          <w:szCs w:val="18"/>
          <w:lang w:val="nl-NL"/>
        </w:rPr>
        <w:t>2</w:t>
      </w:r>
      <w:r>
        <w:rPr>
          <w:szCs w:val="18"/>
          <w:lang w:val="nl-NL"/>
        </w:rPr>
        <w:t xml:space="preserve"> cijfermatig opgenomen</w:t>
      </w:r>
      <w:r w:rsidRPr="00C84D99">
        <w:rPr>
          <w:szCs w:val="18"/>
          <w:lang w:val="nl-NL"/>
        </w:rPr>
        <w:t xml:space="preserve">. </w:t>
      </w:r>
      <w:r w:rsidR="00675F4B">
        <w:rPr>
          <w:szCs w:val="18"/>
          <w:lang w:val="nl-NL"/>
        </w:rPr>
        <w:t xml:space="preserve">Mutaties vanaf € 2,5 miljoen </w:t>
      </w:r>
      <w:r w:rsidRPr="00C84D99" w:rsidR="00675F4B">
        <w:rPr>
          <w:szCs w:val="18"/>
          <w:lang w:val="nl-NL"/>
        </w:rPr>
        <w:t>of wanneer deze als (politiek) relevant word</w:t>
      </w:r>
      <w:r w:rsidR="001C24EC">
        <w:rPr>
          <w:szCs w:val="18"/>
          <w:lang w:val="nl-NL"/>
        </w:rPr>
        <w:t>en</w:t>
      </w:r>
      <w:r w:rsidRPr="00C84D99" w:rsidR="00675F4B">
        <w:rPr>
          <w:szCs w:val="18"/>
          <w:lang w:val="nl-NL"/>
        </w:rPr>
        <w:t xml:space="preserve"> beschouwd</w:t>
      </w:r>
      <w:r w:rsidR="001C24EC">
        <w:rPr>
          <w:szCs w:val="18"/>
          <w:lang w:val="nl-NL"/>
        </w:rPr>
        <w:t>,</w:t>
      </w:r>
      <w:r w:rsidR="00675F4B">
        <w:rPr>
          <w:szCs w:val="18"/>
          <w:lang w:val="nl-NL"/>
        </w:rPr>
        <w:t xml:space="preserve"> worden voorzien van een toelichting. Dit is in lijn met de voorgaande begrotingstukken</w:t>
      </w:r>
      <w:r w:rsidRPr="00C84D99" w:rsidR="00021FAD">
        <w:rPr>
          <w:szCs w:val="18"/>
          <w:lang w:val="nl-NL"/>
        </w:rPr>
        <w:t>.</w:t>
      </w:r>
      <w:r w:rsidR="00021FAD">
        <w:rPr>
          <w:szCs w:val="18"/>
          <w:lang w:val="nl-NL"/>
        </w:rPr>
        <w:t xml:space="preserve"> </w:t>
      </w:r>
      <w:r>
        <w:rPr>
          <w:szCs w:val="18"/>
          <w:lang w:val="nl-NL"/>
        </w:rPr>
        <w:t xml:space="preserve">De mutaties worden verwerkt in de Slotwet </w:t>
      </w:r>
      <w:r w:rsidR="009E47A7">
        <w:rPr>
          <w:szCs w:val="18"/>
          <w:lang w:val="nl-NL"/>
        </w:rPr>
        <w:t xml:space="preserve">2022 </w:t>
      </w:r>
      <w:r>
        <w:rPr>
          <w:szCs w:val="18"/>
          <w:lang w:val="nl-NL"/>
        </w:rPr>
        <w:t>van het ministerie van VWS.</w:t>
      </w:r>
      <w:r w:rsidR="0022728E">
        <w:rPr>
          <w:szCs w:val="18"/>
          <w:lang w:val="nl-NL"/>
        </w:rPr>
        <w:t xml:space="preserve"> </w:t>
      </w:r>
    </w:p>
    <w:p w:rsidRPr="00E20625" w:rsidR="00E20625" w:rsidP="00B8321D" w:rsidRDefault="00E20625" w14:paraId="73FD4C88" w14:textId="154CC386">
      <w:pPr>
        <w:rPr>
          <w:i/>
          <w:iCs/>
          <w:szCs w:val="18"/>
          <w:lang w:val="nl-NL"/>
        </w:rPr>
      </w:pPr>
      <w:r w:rsidRPr="00E20625">
        <w:rPr>
          <w:i/>
          <w:iCs/>
          <w:szCs w:val="18"/>
          <w:lang w:val="nl-NL"/>
        </w:rPr>
        <w:t>Tabel</w:t>
      </w:r>
      <w:r>
        <w:rPr>
          <w:i/>
          <w:iCs/>
          <w:szCs w:val="18"/>
          <w:lang w:val="nl-NL"/>
        </w:rPr>
        <w:t xml:space="preserve"> 1</w:t>
      </w:r>
      <w:r w:rsidRPr="00E20625">
        <w:rPr>
          <w:i/>
          <w:iCs/>
          <w:szCs w:val="18"/>
          <w:lang w:val="nl-NL"/>
        </w:rPr>
        <w:t xml:space="preserve">: Overzicht per </w:t>
      </w:r>
      <w:r w:rsidR="0086584B">
        <w:rPr>
          <w:i/>
          <w:iCs/>
          <w:szCs w:val="18"/>
          <w:lang w:val="nl-NL"/>
        </w:rPr>
        <w:t>artikel</w:t>
      </w:r>
      <w:r w:rsidR="009E47A7">
        <w:rPr>
          <w:i/>
          <w:iCs/>
          <w:szCs w:val="18"/>
          <w:lang w:val="nl-NL"/>
        </w:rPr>
        <w:t>onderdeel</w:t>
      </w:r>
      <w:r w:rsidR="0086584B">
        <w:rPr>
          <w:i/>
          <w:iCs/>
          <w:szCs w:val="18"/>
          <w:lang w:val="nl-NL"/>
        </w:rPr>
        <w:t xml:space="preserve"> van de</w:t>
      </w:r>
      <w:r w:rsidRPr="00E20625">
        <w:rPr>
          <w:i/>
          <w:iCs/>
          <w:szCs w:val="18"/>
          <w:lang w:val="nl-NL"/>
        </w:rPr>
        <w:t xml:space="preserve"> mutaties na tweede suppletoire begroting</w:t>
      </w:r>
      <w:r w:rsidR="009E47A7">
        <w:rPr>
          <w:i/>
          <w:iCs/>
          <w:szCs w:val="18"/>
          <w:lang w:val="nl-NL"/>
        </w:rPr>
        <w:t xml:space="preserve"> 2022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3"/>
        <w:gridCol w:w="4163"/>
        <w:gridCol w:w="1882"/>
        <w:gridCol w:w="1049"/>
        <w:gridCol w:w="1370"/>
      </w:tblGrid>
      <w:tr w:rsidRPr="00B8321D" w:rsidR="000715DB" w:rsidTr="00CF6B76" w14:paraId="40CEE60D" w14:textId="77777777">
        <w:trPr>
          <w:trHeight w:val="300"/>
        </w:trPr>
        <w:tc>
          <w:tcPr>
            <w:tcW w:w="553" w:type="dxa"/>
            <w:hideMark/>
          </w:tcPr>
          <w:p w:rsidRPr="00533EB4" w:rsidR="000715DB" w:rsidP="00B8321D" w:rsidRDefault="000715DB" w14:paraId="7AC4B20F" w14:textId="77777777">
            <w:pPr>
              <w:pStyle w:val="Geenafstand"/>
            </w:pPr>
            <w:r w:rsidRPr="00533EB4">
              <w:t>Art.</w:t>
            </w:r>
          </w:p>
        </w:tc>
        <w:tc>
          <w:tcPr>
            <w:tcW w:w="4163" w:type="dxa"/>
            <w:hideMark/>
          </w:tcPr>
          <w:p w:rsidRPr="00533EB4" w:rsidR="000715DB" w:rsidP="00B8321D" w:rsidRDefault="000715DB" w14:paraId="66EFE827" w14:textId="77777777">
            <w:pPr>
              <w:pStyle w:val="Geenafstand"/>
            </w:pPr>
            <w:r w:rsidRPr="00533EB4">
              <w:t>Omschrijving</w:t>
            </w:r>
          </w:p>
        </w:tc>
        <w:tc>
          <w:tcPr>
            <w:tcW w:w="4301" w:type="dxa"/>
            <w:gridSpan w:val="3"/>
            <w:hideMark/>
          </w:tcPr>
          <w:p w:rsidRPr="00533EB4" w:rsidR="000715DB" w:rsidP="00B8321D" w:rsidRDefault="000715DB" w14:paraId="1CAA0001" w14:textId="534465C3">
            <w:pPr>
              <w:pStyle w:val="Geenafstand"/>
            </w:pPr>
            <w:r w:rsidRPr="00533EB4">
              <w:t>x €1000</w:t>
            </w:r>
          </w:p>
        </w:tc>
      </w:tr>
      <w:tr w:rsidRPr="00B8321D" w:rsidR="000715DB" w:rsidTr="00CF6B76" w14:paraId="6FF41728" w14:textId="77777777">
        <w:trPr>
          <w:trHeight w:val="300"/>
        </w:trPr>
        <w:tc>
          <w:tcPr>
            <w:tcW w:w="553" w:type="dxa"/>
            <w:hideMark/>
          </w:tcPr>
          <w:p w:rsidRPr="00533EB4" w:rsidR="000715DB" w:rsidP="00B8321D" w:rsidRDefault="000715DB" w14:paraId="5C5C69B2" w14:textId="77777777">
            <w:pPr>
              <w:pStyle w:val="Geenafstand"/>
            </w:pPr>
            <w:r w:rsidRPr="00533EB4">
              <w:t> </w:t>
            </w:r>
          </w:p>
        </w:tc>
        <w:tc>
          <w:tcPr>
            <w:tcW w:w="4163" w:type="dxa"/>
            <w:hideMark/>
          </w:tcPr>
          <w:p w:rsidRPr="00533EB4" w:rsidR="000715DB" w:rsidP="00B8321D" w:rsidRDefault="000715DB" w14:paraId="604FBDDC" w14:textId="77777777">
            <w:pPr>
              <w:pStyle w:val="Geenafstand"/>
            </w:pPr>
            <w:r w:rsidRPr="00533EB4">
              <w:t> </w:t>
            </w:r>
          </w:p>
        </w:tc>
        <w:tc>
          <w:tcPr>
            <w:tcW w:w="1882" w:type="dxa"/>
          </w:tcPr>
          <w:p w:rsidRPr="00533EB4" w:rsidR="000715DB" w:rsidP="00B8321D" w:rsidRDefault="000715DB" w14:paraId="6E3385D9" w14:textId="77777777">
            <w:pPr>
              <w:pStyle w:val="Geenafstand"/>
            </w:pPr>
            <w:r w:rsidRPr="00533EB4">
              <w:t>Verplichtingen</w:t>
            </w:r>
          </w:p>
        </w:tc>
        <w:tc>
          <w:tcPr>
            <w:tcW w:w="1049" w:type="dxa"/>
          </w:tcPr>
          <w:p w:rsidRPr="00533EB4" w:rsidR="000715DB" w:rsidP="00B8321D" w:rsidRDefault="000B0E7F" w14:paraId="49A2C95F" w14:textId="4691DCD1">
            <w:pPr>
              <w:pStyle w:val="Geenafstand"/>
            </w:pPr>
            <w:r w:rsidRPr="00533EB4">
              <w:t>Ui</w:t>
            </w:r>
            <w:r w:rsidRPr="00533EB4" w:rsidR="000715DB">
              <w:t>tgaven</w:t>
            </w:r>
          </w:p>
        </w:tc>
        <w:tc>
          <w:tcPr>
            <w:tcW w:w="1370" w:type="dxa"/>
          </w:tcPr>
          <w:p w:rsidRPr="00533EB4" w:rsidR="000715DB" w:rsidP="00B8321D" w:rsidRDefault="000715DB" w14:paraId="05141EF4" w14:textId="77777777">
            <w:pPr>
              <w:pStyle w:val="Geenafstand"/>
            </w:pPr>
            <w:r w:rsidRPr="00533EB4">
              <w:t>Ontvangsten</w:t>
            </w:r>
          </w:p>
        </w:tc>
      </w:tr>
      <w:tr w:rsidRPr="008E5918" w:rsidR="0075640A" w:rsidTr="00CF6B76" w14:paraId="5A41009C" w14:textId="77777777">
        <w:trPr>
          <w:trHeight w:val="300"/>
        </w:trPr>
        <w:tc>
          <w:tcPr>
            <w:tcW w:w="553" w:type="dxa"/>
            <w:hideMark/>
          </w:tcPr>
          <w:p w:rsidRPr="008E5918" w:rsidR="0075640A" w:rsidP="0075640A" w:rsidRDefault="0075640A" w14:paraId="0229534B" w14:textId="77777777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066D1E2B" w14:textId="77777777">
            <w:pPr>
              <w:pStyle w:val="Geenafstand"/>
              <w:rPr>
                <w:b/>
                <w:bCs/>
              </w:rPr>
            </w:pPr>
            <w:r w:rsidRPr="008E5918">
              <w:rPr>
                <w:b/>
                <w:bCs/>
              </w:rPr>
              <w:t>Totaal</w:t>
            </w:r>
          </w:p>
        </w:tc>
        <w:tc>
          <w:tcPr>
            <w:tcW w:w="1882" w:type="dxa"/>
          </w:tcPr>
          <w:p w:rsidRPr="0075640A" w:rsidR="0075640A" w:rsidP="0075640A" w:rsidRDefault="0075640A" w14:paraId="232B1AC3" w14:textId="361DB0F3">
            <w:pPr>
              <w:jc w:val="right"/>
              <w:rPr>
                <w:b/>
                <w:bCs/>
                <w:szCs w:val="18"/>
              </w:rPr>
            </w:pPr>
            <w:r w:rsidRPr="0075640A">
              <w:rPr>
                <w:b/>
                <w:bCs/>
              </w:rPr>
              <w:t>1.039.478</w:t>
            </w:r>
          </w:p>
        </w:tc>
        <w:tc>
          <w:tcPr>
            <w:tcW w:w="1049" w:type="dxa"/>
          </w:tcPr>
          <w:p w:rsidRPr="0075640A" w:rsidR="0075640A" w:rsidP="0075640A" w:rsidRDefault="0075640A" w14:paraId="47AE6BB8" w14:textId="051A4B64">
            <w:pPr>
              <w:jc w:val="right"/>
              <w:rPr>
                <w:b/>
                <w:bCs/>
                <w:szCs w:val="18"/>
              </w:rPr>
            </w:pPr>
            <w:r w:rsidRPr="0075640A">
              <w:rPr>
                <w:b/>
                <w:bCs/>
              </w:rPr>
              <w:t>459.358</w:t>
            </w:r>
          </w:p>
        </w:tc>
        <w:tc>
          <w:tcPr>
            <w:tcW w:w="1370" w:type="dxa"/>
          </w:tcPr>
          <w:p w:rsidRPr="0075640A" w:rsidR="0075640A" w:rsidP="0075640A" w:rsidRDefault="0075640A" w14:paraId="096747FA" w14:textId="724BEE94">
            <w:pPr>
              <w:jc w:val="right"/>
              <w:rPr>
                <w:rFonts w:cs="Calibri"/>
                <w:b/>
                <w:bCs/>
                <w:color w:val="000000"/>
                <w:szCs w:val="18"/>
              </w:rPr>
            </w:pPr>
            <w:r w:rsidRPr="0075640A">
              <w:rPr>
                <w:b/>
                <w:bCs/>
              </w:rPr>
              <w:t>460.221</w:t>
            </w:r>
          </w:p>
        </w:tc>
      </w:tr>
      <w:tr w:rsidRPr="008E5918" w:rsidR="000715DB" w:rsidTr="00CF6B76" w14:paraId="5D3213FD" w14:textId="77777777">
        <w:trPr>
          <w:trHeight w:val="300"/>
        </w:trPr>
        <w:tc>
          <w:tcPr>
            <w:tcW w:w="553" w:type="dxa"/>
            <w:hideMark/>
          </w:tcPr>
          <w:p w:rsidRPr="008E5918" w:rsidR="000715DB" w:rsidP="00B8321D" w:rsidRDefault="000715DB" w14:paraId="0AC142C2" w14:textId="77777777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0715DB" w:rsidP="00B8321D" w:rsidRDefault="000715DB" w14:paraId="332AB709" w14:textId="77777777">
            <w:pPr>
              <w:pStyle w:val="Geenafstand"/>
            </w:pPr>
            <w:r w:rsidRPr="008E5918">
              <w:t> </w:t>
            </w:r>
          </w:p>
        </w:tc>
        <w:tc>
          <w:tcPr>
            <w:tcW w:w="1882" w:type="dxa"/>
          </w:tcPr>
          <w:p w:rsidRPr="008E5918" w:rsidR="000715DB" w:rsidP="00C442F9" w:rsidRDefault="000715DB" w14:paraId="08BCB4B5" w14:textId="77777777">
            <w:pPr>
              <w:pStyle w:val="Geenafstand"/>
              <w:jc w:val="right"/>
              <w:rPr>
                <w:rFonts w:cs="Calibri"/>
              </w:rPr>
            </w:pPr>
          </w:p>
        </w:tc>
        <w:tc>
          <w:tcPr>
            <w:tcW w:w="1049" w:type="dxa"/>
          </w:tcPr>
          <w:p w:rsidRPr="008E5918" w:rsidR="000715DB" w:rsidP="00C442F9" w:rsidRDefault="000715DB" w14:paraId="4A6D2E76" w14:textId="77777777">
            <w:pPr>
              <w:pStyle w:val="Geenafstand"/>
              <w:jc w:val="right"/>
              <w:rPr>
                <w:rFonts w:cs="Calibri"/>
              </w:rPr>
            </w:pPr>
          </w:p>
        </w:tc>
        <w:tc>
          <w:tcPr>
            <w:tcW w:w="1370" w:type="dxa"/>
          </w:tcPr>
          <w:p w:rsidRPr="008E5918" w:rsidR="000715DB" w:rsidP="00C442F9" w:rsidRDefault="000715DB" w14:paraId="599C533C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0715DB" w:rsidTr="00CF6B76" w14:paraId="19624230" w14:textId="77777777">
        <w:trPr>
          <w:trHeight w:val="300"/>
        </w:trPr>
        <w:tc>
          <w:tcPr>
            <w:tcW w:w="553" w:type="dxa"/>
            <w:hideMark/>
          </w:tcPr>
          <w:p w:rsidRPr="008E5918" w:rsidR="000715DB" w:rsidP="00B8321D" w:rsidRDefault="000715DB" w14:paraId="6535C007" w14:textId="77777777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0715DB" w:rsidP="00B8321D" w:rsidRDefault="000715DB" w14:paraId="5A14B4B1" w14:textId="77777777">
            <w:pPr>
              <w:pStyle w:val="Geenafstand"/>
              <w:rPr>
                <w:b/>
                <w:bCs/>
              </w:rPr>
            </w:pPr>
            <w:r w:rsidRPr="008E5918">
              <w:rPr>
                <w:b/>
                <w:bCs/>
              </w:rPr>
              <w:t>Beleidsartikelen</w:t>
            </w:r>
          </w:p>
        </w:tc>
        <w:tc>
          <w:tcPr>
            <w:tcW w:w="1882" w:type="dxa"/>
          </w:tcPr>
          <w:p w:rsidRPr="008E5918" w:rsidR="000715DB" w:rsidP="00C442F9" w:rsidRDefault="000715DB" w14:paraId="6764D692" w14:textId="77777777">
            <w:pPr>
              <w:pStyle w:val="Geenafstand"/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1049" w:type="dxa"/>
          </w:tcPr>
          <w:p w:rsidRPr="008E5918" w:rsidR="000715DB" w:rsidP="00C442F9" w:rsidRDefault="000715DB" w14:paraId="22888AF0" w14:textId="77777777">
            <w:pPr>
              <w:pStyle w:val="Geenafstand"/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1370" w:type="dxa"/>
          </w:tcPr>
          <w:p w:rsidRPr="008E5918" w:rsidR="000715DB" w:rsidP="00C442F9" w:rsidRDefault="000715DB" w14:paraId="6B46E23E" w14:textId="77777777">
            <w:pPr>
              <w:pStyle w:val="Geenafstand"/>
              <w:jc w:val="right"/>
              <w:rPr>
                <w:rFonts w:cs="Calibri"/>
                <w:b/>
                <w:bCs/>
              </w:rPr>
            </w:pPr>
          </w:p>
        </w:tc>
      </w:tr>
      <w:tr w:rsidRPr="008E5918" w:rsidR="0075640A" w:rsidTr="00CF6B76" w14:paraId="3E09D15E" w14:textId="77777777">
        <w:trPr>
          <w:trHeight w:val="300"/>
        </w:trPr>
        <w:tc>
          <w:tcPr>
            <w:tcW w:w="553" w:type="dxa"/>
            <w:hideMark/>
          </w:tcPr>
          <w:p w:rsidRPr="008E5918" w:rsidR="0075640A" w:rsidP="0075640A" w:rsidRDefault="0075640A" w14:paraId="6991E102" w14:textId="77777777">
            <w:pPr>
              <w:pStyle w:val="Geenafstand"/>
            </w:pPr>
            <w:r w:rsidRPr="008E5918">
              <w:t>1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1C720510" w14:textId="77777777">
            <w:pPr>
              <w:pStyle w:val="Geenafstand"/>
            </w:pPr>
            <w:r w:rsidRPr="008E5918">
              <w:t>Volksgezondheid</w:t>
            </w:r>
          </w:p>
        </w:tc>
        <w:tc>
          <w:tcPr>
            <w:tcW w:w="1882" w:type="dxa"/>
          </w:tcPr>
          <w:p w:rsidRPr="0075640A" w:rsidR="0075640A" w:rsidP="0075640A" w:rsidRDefault="0075640A" w14:paraId="6B642BD8" w14:textId="09741E22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75640A">
              <w:rPr>
                <w:b/>
                <w:bCs/>
              </w:rPr>
              <w:t>343.296</w:t>
            </w:r>
          </w:p>
        </w:tc>
        <w:tc>
          <w:tcPr>
            <w:tcW w:w="1049" w:type="dxa"/>
          </w:tcPr>
          <w:p w:rsidRPr="0075640A" w:rsidR="0075640A" w:rsidP="0075640A" w:rsidRDefault="0075640A" w14:paraId="7CF30011" w14:textId="1ED74F84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75640A">
              <w:rPr>
                <w:b/>
                <w:bCs/>
              </w:rPr>
              <w:t>5.161</w:t>
            </w:r>
          </w:p>
        </w:tc>
        <w:tc>
          <w:tcPr>
            <w:tcW w:w="1370" w:type="dxa"/>
          </w:tcPr>
          <w:p w:rsidRPr="008E5918" w:rsidR="0075640A" w:rsidP="0075640A" w:rsidRDefault="0075640A" w14:paraId="11567D19" w14:textId="19FFAA46">
            <w:pPr>
              <w:pStyle w:val="Geenafstand"/>
              <w:jc w:val="right"/>
              <w:rPr>
                <w:rFonts w:cs="Calibri"/>
                <w:b/>
                <w:bCs/>
              </w:rPr>
            </w:pPr>
            <w:r w:rsidRPr="008E5918">
              <w:rPr>
                <w:rFonts w:cs="Calibri"/>
                <w:b/>
                <w:bCs/>
              </w:rPr>
              <w:t>0</w:t>
            </w:r>
          </w:p>
        </w:tc>
      </w:tr>
      <w:tr w:rsidRPr="008E5918" w:rsidR="0075640A" w:rsidTr="00CF6B76" w14:paraId="49AC7398" w14:textId="77777777">
        <w:trPr>
          <w:trHeight w:val="300"/>
        </w:trPr>
        <w:tc>
          <w:tcPr>
            <w:tcW w:w="553" w:type="dxa"/>
            <w:hideMark/>
          </w:tcPr>
          <w:p w:rsidRPr="008E5918" w:rsidR="0075640A" w:rsidP="0075640A" w:rsidRDefault="0075640A" w14:paraId="19B1E036" w14:textId="77777777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57F34205" w14:textId="77777777">
            <w:pPr>
              <w:pStyle w:val="Geenafstand"/>
            </w:pPr>
            <w:r w:rsidRPr="008E5918">
              <w:t>1. Gezondheidsbeleid</w:t>
            </w:r>
          </w:p>
        </w:tc>
        <w:tc>
          <w:tcPr>
            <w:tcW w:w="1882" w:type="dxa"/>
          </w:tcPr>
          <w:p w:rsidRPr="008E5918" w:rsidR="0075640A" w:rsidP="0075640A" w:rsidRDefault="0075640A" w14:paraId="59A4AD42" w14:textId="66DF345F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B952B6">
              <w:t>38.712</w:t>
            </w:r>
          </w:p>
        </w:tc>
        <w:tc>
          <w:tcPr>
            <w:tcW w:w="1049" w:type="dxa"/>
          </w:tcPr>
          <w:p w:rsidRPr="008E5918" w:rsidR="0075640A" w:rsidP="0075640A" w:rsidRDefault="0075640A" w14:paraId="1D97B11E" w14:textId="55A50BAD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B952B6">
              <w:t>1.207</w:t>
            </w:r>
          </w:p>
        </w:tc>
        <w:tc>
          <w:tcPr>
            <w:tcW w:w="1370" w:type="dxa"/>
          </w:tcPr>
          <w:p w:rsidRPr="008E5918" w:rsidR="0075640A" w:rsidP="0075640A" w:rsidRDefault="0075640A" w14:paraId="5F729434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75640A" w:rsidTr="00CF6B76" w14:paraId="4C8DB0A7" w14:textId="77777777">
        <w:trPr>
          <w:trHeight w:val="300"/>
        </w:trPr>
        <w:tc>
          <w:tcPr>
            <w:tcW w:w="553" w:type="dxa"/>
          </w:tcPr>
          <w:p w:rsidRPr="008E5918" w:rsidR="0075640A" w:rsidP="0075640A" w:rsidRDefault="0075640A" w14:paraId="761336E0" w14:textId="77777777">
            <w:pPr>
              <w:pStyle w:val="Geenafstand"/>
            </w:pPr>
          </w:p>
        </w:tc>
        <w:tc>
          <w:tcPr>
            <w:tcW w:w="4163" w:type="dxa"/>
          </w:tcPr>
          <w:p w:rsidRPr="008E5918" w:rsidR="0075640A" w:rsidP="0075640A" w:rsidRDefault="0075640A" w14:paraId="5A2D3499" w14:textId="2DD31ED4">
            <w:pPr>
              <w:pStyle w:val="Geenafstand"/>
            </w:pPr>
            <w:r w:rsidRPr="008E5918">
              <w:t>2. Ziektepreventie</w:t>
            </w:r>
          </w:p>
        </w:tc>
        <w:tc>
          <w:tcPr>
            <w:tcW w:w="1882" w:type="dxa"/>
          </w:tcPr>
          <w:p w:rsidRPr="008E5918" w:rsidR="0075640A" w:rsidP="0075640A" w:rsidRDefault="0075640A" w14:paraId="1347A9ED" w14:textId="05308FCE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B952B6">
              <w:t>278.569</w:t>
            </w:r>
          </w:p>
        </w:tc>
        <w:tc>
          <w:tcPr>
            <w:tcW w:w="1049" w:type="dxa"/>
          </w:tcPr>
          <w:p w:rsidRPr="008E5918" w:rsidR="0075640A" w:rsidP="0075640A" w:rsidRDefault="0075640A" w14:paraId="3F4EA27E" w14:textId="0EFBA35C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B952B6">
              <w:t>5.527</w:t>
            </w:r>
          </w:p>
        </w:tc>
        <w:tc>
          <w:tcPr>
            <w:tcW w:w="1370" w:type="dxa"/>
          </w:tcPr>
          <w:p w:rsidRPr="008E5918" w:rsidR="0075640A" w:rsidP="0075640A" w:rsidRDefault="0075640A" w14:paraId="46BC9ADB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75640A" w:rsidTr="00CF6B76" w14:paraId="1D47690E" w14:textId="77777777">
        <w:trPr>
          <w:trHeight w:val="300"/>
        </w:trPr>
        <w:tc>
          <w:tcPr>
            <w:tcW w:w="553" w:type="dxa"/>
            <w:hideMark/>
          </w:tcPr>
          <w:p w:rsidRPr="008E5918" w:rsidR="0075640A" w:rsidP="0075640A" w:rsidRDefault="0075640A" w14:paraId="77DB6CDA" w14:textId="48C741C4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37EBD0D8" w14:textId="7A9DE8EF">
            <w:pPr>
              <w:pStyle w:val="Geenafstand"/>
            </w:pPr>
            <w:r w:rsidRPr="008E5918">
              <w:t>3. Gezondheidsbevordering</w:t>
            </w:r>
          </w:p>
        </w:tc>
        <w:tc>
          <w:tcPr>
            <w:tcW w:w="1882" w:type="dxa"/>
          </w:tcPr>
          <w:p w:rsidRPr="008E5918" w:rsidR="0075640A" w:rsidP="0075640A" w:rsidRDefault="0075640A" w14:paraId="6CB7CCCD" w14:textId="0A1A907D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B952B6">
              <w:t>22.277</w:t>
            </w:r>
          </w:p>
        </w:tc>
        <w:tc>
          <w:tcPr>
            <w:tcW w:w="1049" w:type="dxa"/>
          </w:tcPr>
          <w:p w:rsidRPr="008E5918" w:rsidR="0075640A" w:rsidP="0075640A" w:rsidRDefault="0075640A" w14:paraId="6238C89C" w14:textId="1C43CEB0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B952B6">
              <w:t>-1.573</w:t>
            </w:r>
          </w:p>
        </w:tc>
        <w:tc>
          <w:tcPr>
            <w:tcW w:w="1370" w:type="dxa"/>
          </w:tcPr>
          <w:p w:rsidRPr="008E5918" w:rsidR="0075640A" w:rsidP="0075640A" w:rsidRDefault="0075640A" w14:paraId="3774F77E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75640A" w:rsidTr="00CF6B76" w14:paraId="2FD4F813" w14:textId="77777777">
        <w:trPr>
          <w:trHeight w:val="361"/>
        </w:trPr>
        <w:tc>
          <w:tcPr>
            <w:tcW w:w="553" w:type="dxa"/>
            <w:hideMark/>
          </w:tcPr>
          <w:p w:rsidRPr="008E5918" w:rsidR="0075640A" w:rsidP="0075640A" w:rsidRDefault="0075640A" w14:paraId="5795EE1D" w14:textId="5A56084E">
            <w:pPr>
              <w:pStyle w:val="Geenafstand"/>
            </w:pPr>
          </w:p>
        </w:tc>
        <w:tc>
          <w:tcPr>
            <w:tcW w:w="4163" w:type="dxa"/>
            <w:hideMark/>
          </w:tcPr>
          <w:p w:rsidRPr="008E5918" w:rsidR="0075640A" w:rsidP="0075640A" w:rsidRDefault="0075640A" w14:paraId="2DDCB8EF" w14:textId="0485D0A4">
            <w:pPr>
              <w:pStyle w:val="Geenafstand"/>
            </w:pPr>
            <w:r w:rsidRPr="008E5918">
              <w:t>4. Ethiek</w:t>
            </w:r>
          </w:p>
        </w:tc>
        <w:tc>
          <w:tcPr>
            <w:tcW w:w="1882" w:type="dxa"/>
          </w:tcPr>
          <w:p w:rsidRPr="008E5918" w:rsidR="0075640A" w:rsidP="0075640A" w:rsidRDefault="0075640A" w14:paraId="72CD0A15" w14:textId="3C24E31F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B952B6">
              <w:t>3.738</w:t>
            </w:r>
          </w:p>
        </w:tc>
        <w:tc>
          <w:tcPr>
            <w:tcW w:w="1049" w:type="dxa"/>
          </w:tcPr>
          <w:p w:rsidRPr="008E5918" w:rsidR="0075640A" w:rsidP="0075640A" w:rsidRDefault="0075640A" w14:paraId="3F08C249" w14:textId="5B518F6D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B952B6">
              <w:t>0</w:t>
            </w:r>
          </w:p>
        </w:tc>
        <w:tc>
          <w:tcPr>
            <w:tcW w:w="1370" w:type="dxa"/>
          </w:tcPr>
          <w:p w:rsidRPr="008E5918" w:rsidR="0075640A" w:rsidP="0075640A" w:rsidRDefault="0075640A" w14:paraId="4E1251B2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75640A" w:rsidTr="00CF6B76" w14:paraId="49C92A4C" w14:textId="77777777">
        <w:trPr>
          <w:trHeight w:val="338"/>
        </w:trPr>
        <w:tc>
          <w:tcPr>
            <w:tcW w:w="553" w:type="dxa"/>
          </w:tcPr>
          <w:p w:rsidRPr="008E5918" w:rsidR="0075640A" w:rsidP="0075640A" w:rsidRDefault="0075640A" w14:paraId="183DC5A6" w14:textId="30DD56BA">
            <w:pPr>
              <w:pStyle w:val="Geenafstand"/>
            </w:pPr>
            <w:r w:rsidRPr="008E5918">
              <w:t>2</w:t>
            </w:r>
          </w:p>
        </w:tc>
        <w:tc>
          <w:tcPr>
            <w:tcW w:w="4163" w:type="dxa"/>
          </w:tcPr>
          <w:p w:rsidRPr="008E5918" w:rsidR="0075640A" w:rsidP="0075640A" w:rsidRDefault="0075640A" w14:paraId="14D4357E" w14:textId="738A957D">
            <w:pPr>
              <w:pStyle w:val="Geenafstand"/>
            </w:pPr>
            <w:r w:rsidRPr="008E5918">
              <w:t>Curatieve Zorg</w:t>
            </w:r>
          </w:p>
        </w:tc>
        <w:tc>
          <w:tcPr>
            <w:tcW w:w="1882" w:type="dxa"/>
          </w:tcPr>
          <w:p w:rsidRPr="0075640A" w:rsidR="0075640A" w:rsidP="0075640A" w:rsidRDefault="0075640A" w14:paraId="381B5386" w14:textId="7B01A756">
            <w:pPr>
              <w:jc w:val="right"/>
              <w:rPr>
                <w:b/>
                <w:bCs/>
                <w:color w:val="000000" w:themeColor="text1"/>
                <w:szCs w:val="18"/>
              </w:rPr>
            </w:pPr>
            <w:r w:rsidRPr="0075640A">
              <w:rPr>
                <w:b/>
                <w:bCs/>
              </w:rPr>
              <w:t>26.620</w:t>
            </w:r>
          </w:p>
        </w:tc>
        <w:tc>
          <w:tcPr>
            <w:tcW w:w="1049" w:type="dxa"/>
          </w:tcPr>
          <w:p w:rsidRPr="0075640A" w:rsidR="0075640A" w:rsidP="0075640A" w:rsidRDefault="0075640A" w14:paraId="0B6010BA" w14:textId="2E087D08">
            <w:pPr>
              <w:jc w:val="right"/>
              <w:rPr>
                <w:rFonts w:cs="Calibri"/>
                <w:b/>
                <w:bCs/>
                <w:color w:val="000000" w:themeColor="text1"/>
                <w:szCs w:val="18"/>
              </w:rPr>
            </w:pPr>
            <w:r w:rsidRPr="0075640A">
              <w:rPr>
                <w:b/>
                <w:bCs/>
              </w:rPr>
              <w:t>-5.535</w:t>
            </w:r>
          </w:p>
        </w:tc>
        <w:tc>
          <w:tcPr>
            <w:tcW w:w="1370" w:type="dxa"/>
          </w:tcPr>
          <w:p w:rsidRPr="008E5918" w:rsidR="0075640A" w:rsidP="0075640A" w:rsidRDefault="0075640A" w14:paraId="7F6E6943" w14:textId="4DDC5D9A">
            <w:pPr>
              <w:pStyle w:val="Geenafstand"/>
              <w:jc w:val="right"/>
              <w:rPr>
                <w:rFonts w:cs="Calibri"/>
                <w:b/>
                <w:bCs/>
              </w:rPr>
            </w:pPr>
            <w:r w:rsidRPr="008E5918">
              <w:rPr>
                <w:b/>
                <w:bCs/>
              </w:rPr>
              <w:t>0</w:t>
            </w:r>
          </w:p>
        </w:tc>
      </w:tr>
      <w:tr w:rsidRPr="008E5918" w:rsidR="0075640A" w:rsidTr="00CF6B76" w14:paraId="6F0A54E9" w14:textId="77777777">
        <w:trPr>
          <w:trHeight w:val="555"/>
        </w:trPr>
        <w:tc>
          <w:tcPr>
            <w:tcW w:w="553" w:type="dxa"/>
            <w:hideMark/>
          </w:tcPr>
          <w:p w:rsidRPr="008E5918" w:rsidR="0075640A" w:rsidP="0075640A" w:rsidRDefault="0075640A" w14:paraId="4568824C" w14:textId="576284EC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555B6B89" w14:textId="7AB4F482">
            <w:pPr>
              <w:pStyle w:val="Geenafstand"/>
            </w:pPr>
            <w:r w:rsidRPr="008E5918">
              <w:t>1. Kwaliteit, toegankelijkheid en betaalbaarheid van de zorg</w:t>
            </w:r>
          </w:p>
        </w:tc>
        <w:tc>
          <w:tcPr>
            <w:tcW w:w="1882" w:type="dxa"/>
          </w:tcPr>
          <w:p w:rsidRPr="008E5918" w:rsidR="0075640A" w:rsidP="0075640A" w:rsidRDefault="0075640A" w14:paraId="2F393D03" w14:textId="2E3EB1BF">
            <w:pPr>
              <w:pStyle w:val="Geenafstand"/>
              <w:jc w:val="right"/>
              <w:rPr>
                <w:color w:val="000000" w:themeColor="text1"/>
              </w:rPr>
            </w:pPr>
            <w:r w:rsidRPr="00D25876">
              <w:t>10.023</w:t>
            </w:r>
          </w:p>
        </w:tc>
        <w:tc>
          <w:tcPr>
            <w:tcW w:w="1049" w:type="dxa"/>
          </w:tcPr>
          <w:p w:rsidRPr="008E5918" w:rsidR="0075640A" w:rsidP="0075640A" w:rsidRDefault="0075640A" w14:paraId="41E6788D" w14:textId="4405FEA7">
            <w:pPr>
              <w:pStyle w:val="Geenafstand"/>
              <w:jc w:val="right"/>
              <w:rPr>
                <w:color w:val="000000" w:themeColor="text1"/>
              </w:rPr>
            </w:pPr>
            <w:r w:rsidRPr="00D25876">
              <w:t>-4.254</w:t>
            </w:r>
          </w:p>
        </w:tc>
        <w:tc>
          <w:tcPr>
            <w:tcW w:w="1370" w:type="dxa"/>
          </w:tcPr>
          <w:p w:rsidRPr="008E5918" w:rsidR="0075640A" w:rsidP="0075640A" w:rsidRDefault="0075640A" w14:paraId="41AB989B" w14:textId="57174BA6">
            <w:pPr>
              <w:pStyle w:val="Geenafstand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Pr="008E5918" w:rsidR="0075640A" w:rsidTr="00CF6B76" w14:paraId="03DA519B" w14:textId="77777777">
        <w:trPr>
          <w:trHeight w:val="300"/>
        </w:trPr>
        <w:tc>
          <w:tcPr>
            <w:tcW w:w="553" w:type="dxa"/>
            <w:hideMark/>
          </w:tcPr>
          <w:p w:rsidRPr="008E5918" w:rsidR="0075640A" w:rsidP="0075640A" w:rsidRDefault="0075640A" w14:paraId="7A687058" w14:textId="1A1D1157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13AAC9FF" w14:textId="6CD0E289">
            <w:pPr>
              <w:pStyle w:val="Geenafstand"/>
            </w:pPr>
            <w:r w:rsidRPr="008E5918">
              <w:t>3. Ondersteuning van het zorgstelsel</w:t>
            </w:r>
          </w:p>
        </w:tc>
        <w:tc>
          <w:tcPr>
            <w:tcW w:w="1882" w:type="dxa"/>
          </w:tcPr>
          <w:p w:rsidRPr="008E5918" w:rsidR="0075640A" w:rsidP="0075640A" w:rsidRDefault="0075640A" w14:paraId="1A13F004" w14:textId="6F1232C0">
            <w:pPr>
              <w:pStyle w:val="Geenafstand"/>
              <w:jc w:val="right"/>
              <w:rPr>
                <w:color w:val="000000" w:themeColor="text1"/>
              </w:rPr>
            </w:pPr>
            <w:r w:rsidRPr="00D25876">
              <w:t>16.597</w:t>
            </w:r>
          </w:p>
        </w:tc>
        <w:tc>
          <w:tcPr>
            <w:tcW w:w="1049" w:type="dxa"/>
          </w:tcPr>
          <w:p w:rsidRPr="008E5918" w:rsidR="0075640A" w:rsidP="0075640A" w:rsidRDefault="0075640A" w14:paraId="09EB7BA9" w14:textId="1A5448EB">
            <w:pPr>
              <w:pStyle w:val="Geenafstand"/>
              <w:jc w:val="right"/>
              <w:rPr>
                <w:color w:val="000000" w:themeColor="text1"/>
              </w:rPr>
            </w:pPr>
            <w:r w:rsidRPr="00D25876">
              <w:t>-1.281</w:t>
            </w:r>
          </w:p>
        </w:tc>
        <w:tc>
          <w:tcPr>
            <w:tcW w:w="1370" w:type="dxa"/>
          </w:tcPr>
          <w:p w:rsidRPr="008E5918" w:rsidR="0075640A" w:rsidP="0075640A" w:rsidRDefault="0075640A" w14:paraId="29F3AA55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75640A" w:rsidTr="00CF6B76" w14:paraId="6D664D6E" w14:textId="77777777">
        <w:trPr>
          <w:trHeight w:val="353"/>
        </w:trPr>
        <w:tc>
          <w:tcPr>
            <w:tcW w:w="553" w:type="dxa"/>
            <w:hideMark/>
          </w:tcPr>
          <w:p w:rsidRPr="008E5918" w:rsidR="0075640A" w:rsidP="0075640A" w:rsidRDefault="0075640A" w14:paraId="697948CD" w14:textId="68ED95F6">
            <w:pPr>
              <w:pStyle w:val="Geenafstand"/>
            </w:pPr>
            <w:r w:rsidRPr="008E5918">
              <w:t>3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6CEAC1BA" w14:textId="55DE4CA0">
            <w:pPr>
              <w:pStyle w:val="Geenafstand"/>
              <w:rPr>
                <w:color w:val="000000" w:themeColor="text1"/>
              </w:rPr>
            </w:pPr>
            <w:r w:rsidRPr="008E5918">
              <w:rPr>
                <w:color w:val="000000" w:themeColor="text1"/>
              </w:rPr>
              <w:t>Langdurige zorg en ondersteuning</w:t>
            </w:r>
          </w:p>
        </w:tc>
        <w:tc>
          <w:tcPr>
            <w:tcW w:w="1882" w:type="dxa"/>
          </w:tcPr>
          <w:p w:rsidRPr="0075640A" w:rsidR="0075640A" w:rsidP="0075640A" w:rsidRDefault="0075640A" w14:paraId="0516F3EF" w14:textId="58DD16DD">
            <w:pPr>
              <w:jc w:val="right"/>
              <w:rPr>
                <w:rFonts w:cs="Calibri"/>
                <w:b/>
                <w:bCs/>
                <w:color w:val="000000" w:themeColor="text1"/>
                <w:szCs w:val="18"/>
              </w:rPr>
            </w:pPr>
            <w:r w:rsidRPr="0075640A">
              <w:rPr>
                <w:b/>
                <w:bCs/>
              </w:rPr>
              <w:t>110.858</w:t>
            </w:r>
          </w:p>
        </w:tc>
        <w:tc>
          <w:tcPr>
            <w:tcW w:w="1049" w:type="dxa"/>
          </w:tcPr>
          <w:p w:rsidRPr="0075640A" w:rsidR="0075640A" w:rsidP="0075640A" w:rsidRDefault="0075640A" w14:paraId="5C98D8EF" w14:textId="39E41335">
            <w:pPr>
              <w:jc w:val="right"/>
              <w:rPr>
                <w:rFonts w:cs="Calibri"/>
                <w:b/>
                <w:bCs/>
                <w:color w:val="000000" w:themeColor="text1"/>
                <w:szCs w:val="18"/>
              </w:rPr>
            </w:pPr>
            <w:r w:rsidRPr="0075640A">
              <w:rPr>
                <w:b/>
                <w:bCs/>
              </w:rPr>
              <w:t>-3.942</w:t>
            </w:r>
          </w:p>
        </w:tc>
        <w:tc>
          <w:tcPr>
            <w:tcW w:w="1370" w:type="dxa"/>
          </w:tcPr>
          <w:p w:rsidRPr="008E5918" w:rsidR="0075640A" w:rsidP="0075640A" w:rsidRDefault="0075640A" w14:paraId="6EC7431B" w14:textId="3C279AD9">
            <w:pPr>
              <w:pStyle w:val="Geenafstand"/>
              <w:jc w:val="right"/>
              <w:rPr>
                <w:rFonts w:cs="Calibri"/>
                <w:b/>
                <w:bCs/>
              </w:rPr>
            </w:pPr>
            <w:r w:rsidRPr="008E5918">
              <w:rPr>
                <w:rFonts w:cs="Calibri"/>
                <w:b/>
                <w:bCs/>
              </w:rPr>
              <w:t>0</w:t>
            </w:r>
          </w:p>
        </w:tc>
      </w:tr>
      <w:tr w:rsidRPr="008E5918" w:rsidR="0075640A" w:rsidTr="00CF6B76" w14:paraId="0845C9FC" w14:textId="77777777">
        <w:trPr>
          <w:trHeight w:val="551"/>
        </w:trPr>
        <w:tc>
          <w:tcPr>
            <w:tcW w:w="553" w:type="dxa"/>
          </w:tcPr>
          <w:p w:rsidRPr="008E5918" w:rsidR="0075640A" w:rsidP="0075640A" w:rsidRDefault="0075640A" w14:paraId="78FCD07B" w14:textId="77777777">
            <w:pPr>
              <w:pStyle w:val="Geenafstand"/>
            </w:pPr>
          </w:p>
        </w:tc>
        <w:tc>
          <w:tcPr>
            <w:tcW w:w="4163" w:type="dxa"/>
          </w:tcPr>
          <w:p w:rsidRPr="008E5918" w:rsidR="0075640A" w:rsidP="0075640A" w:rsidRDefault="0075640A" w14:paraId="15D6EC02" w14:textId="6821B61A">
            <w:pPr>
              <w:pStyle w:val="Geenafstand"/>
              <w:rPr>
                <w:color w:val="000000" w:themeColor="text1"/>
              </w:rPr>
            </w:pPr>
            <w:r w:rsidRPr="008E5918">
              <w:rPr>
                <w:color w:val="000000" w:themeColor="text1"/>
              </w:rPr>
              <w:t>1. Participatie en zelfredzaamheid van mensen met beperkingen</w:t>
            </w:r>
          </w:p>
        </w:tc>
        <w:tc>
          <w:tcPr>
            <w:tcW w:w="1882" w:type="dxa"/>
          </w:tcPr>
          <w:p w:rsidRPr="008E5918" w:rsidR="0075640A" w:rsidP="0075640A" w:rsidRDefault="0075640A" w14:paraId="7128BCCD" w14:textId="090E2916">
            <w:pPr>
              <w:pStyle w:val="Geenafstand"/>
              <w:jc w:val="right"/>
              <w:rPr>
                <w:rFonts w:cs="Calibri"/>
                <w:color w:val="000000"/>
              </w:rPr>
            </w:pPr>
            <w:r w:rsidRPr="0078781D">
              <w:t>48</w:t>
            </w:r>
          </w:p>
        </w:tc>
        <w:tc>
          <w:tcPr>
            <w:tcW w:w="1049" w:type="dxa"/>
          </w:tcPr>
          <w:p w:rsidRPr="008E5918" w:rsidR="0075640A" w:rsidP="0075640A" w:rsidRDefault="0075640A" w14:paraId="42DFE787" w14:textId="7834155D">
            <w:pPr>
              <w:pStyle w:val="Geenafstand"/>
              <w:jc w:val="right"/>
              <w:rPr>
                <w:rFonts w:cs="Calibri"/>
                <w:color w:val="000000"/>
              </w:rPr>
            </w:pPr>
            <w:r w:rsidRPr="0078781D">
              <w:t>48</w:t>
            </w:r>
          </w:p>
        </w:tc>
        <w:tc>
          <w:tcPr>
            <w:tcW w:w="1370" w:type="dxa"/>
          </w:tcPr>
          <w:p w:rsidRPr="008E5918" w:rsidR="0075640A" w:rsidP="0075640A" w:rsidRDefault="0075640A" w14:paraId="22C204FB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75640A" w:rsidTr="00CF6B76" w14:paraId="4F972552" w14:textId="77777777">
        <w:trPr>
          <w:trHeight w:val="551"/>
        </w:trPr>
        <w:tc>
          <w:tcPr>
            <w:tcW w:w="553" w:type="dxa"/>
            <w:hideMark/>
          </w:tcPr>
          <w:p w:rsidRPr="008E5918" w:rsidR="0075640A" w:rsidP="0075640A" w:rsidRDefault="0075640A" w14:paraId="28831CC0" w14:textId="3FBAC163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48F2C8D1" w14:textId="792D6E30">
            <w:pPr>
              <w:pStyle w:val="Geenafstand"/>
              <w:rPr>
                <w:color w:val="000000" w:themeColor="text1"/>
              </w:rPr>
            </w:pPr>
            <w:r w:rsidRPr="008E5918">
              <w:rPr>
                <w:color w:val="000000" w:themeColor="text1"/>
              </w:rPr>
              <w:t>2. Zorgdragen voor langdurige zorg tegen maatschappelijk aanvaardbare kosten</w:t>
            </w:r>
          </w:p>
        </w:tc>
        <w:tc>
          <w:tcPr>
            <w:tcW w:w="1882" w:type="dxa"/>
          </w:tcPr>
          <w:p w:rsidRPr="008E5918" w:rsidR="0075640A" w:rsidP="0075640A" w:rsidRDefault="0075640A" w14:paraId="250ED650" w14:textId="737C0469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78781D">
              <w:t>110.810</w:t>
            </w:r>
          </w:p>
        </w:tc>
        <w:tc>
          <w:tcPr>
            <w:tcW w:w="1049" w:type="dxa"/>
          </w:tcPr>
          <w:p w:rsidRPr="008E5918" w:rsidR="0075640A" w:rsidP="0075640A" w:rsidRDefault="0075640A" w14:paraId="4540937A" w14:textId="70A8B953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78781D">
              <w:t>-3.990</w:t>
            </w:r>
          </w:p>
        </w:tc>
        <w:tc>
          <w:tcPr>
            <w:tcW w:w="1370" w:type="dxa"/>
          </w:tcPr>
          <w:p w:rsidRPr="008E5918" w:rsidR="0075640A" w:rsidP="0075640A" w:rsidRDefault="0075640A" w14:paraId="5966960C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75640A" w:rsidTr="00CF6B76" w14:paraId="67B5438A" w14:textId="77777777">
        <w:trPr>
          <w:trHeight w:val="417"/>
        </w:trPr>
        <w:tc>
          <w:tcPr>
            <w:tcW w:w="553" w:type="dxa"/>
            <w:hideMark/>
          </w:tcPr>
          <w:p w:rsidRPr="008E5918" w:rsidR="0075640A" w:rsidP="0075640A" w:rsidRDefault="0075640A" w14:paraId="747FA842" w14:textId="42FCF595">
            <w:pPr>
              <w:pStyle w:val="Geenafstand"/>
            </w:pPr>
            <w:r w:rsidRPr="008E5918">
              <w:t>4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6066D446" w14:textId="5497AC97">
            <w:pPr>
              <w:pStyle w:val="Geenafstand"/>
            </w:pPr>
            <w:r w:rsidRPr="008E5918">
              <w:t>Zorgbreed beleid</w:t>
            </w:r>
          </w:p>
        </w:tc>
        <w:tc>
          <w:tcPr>
            <w:tcW w:w="1882" w:type="dxa"/>
          </w:tcPr>
          <w:p w:rsidRPr="0075640A" w:rsidR="0075640A" w:rsidP="0075640A" w:rsidRDefault="0075640A" w14:paraId="63EA7BA3" w14:textId="278C63EC">
            <w:pPr>
              <w:jc w:val="right"/>
              <w:rPr>
                <w:rFonts w:cs="Calibri"/>
                <w:b/>
                <w:bCs/>
                <w:color w:val="000000" w:themeColor="text1"/>
                <w:szCs w:val="18"/>
              </w:rPr>
            </w:pPr>
            <w:r w:rsidRPr="0075640A">
              <w:rPr>
                <w:b/>
                <w:bCs/>
              </w:rPr>
              <w:t>48.313</w:t>
            </w:r>
          </w:p>
        </w:tc>
        <w:tc>
          <w:tcPr>
            <w:tcW w:w="1049" w:type="dxa"/>
          </w:tcPr>
          <w:p w:rsidRPr="0075640A" w:rsidR="0075640A" w:rsidP="0075640A" w:rsidRDefault="0075640A" w14:paraId="3595FFDF" w14:textId="2E3687B8">
            <w:pPr>
              <w:jc w:val="right"/>
              <w:rPr>
                <w:rFonts w:cs="Calibri"/>
                <w:b/>
                <w:bCs/>
                <w:color w:val="000000" w:themeColor="text1"/>
                <w:szCs w:val="18"/>
              </w:rPr>
            </w:pPr>
            <w:r w:rsidRPr="0075640A">
              <w:rPr>
                <w:b/>
                <w:bCs/>
              </w:rPr>
              <w:t>333</w:t>
            </w:r>
          </w:p>
        </w:tc>
        <w:tc>
          <w:tcPr>
            <w:tcW w:w="1370" w:type="dxa"/>
          </w:tcPr>
          <w:p w:rsidRPr="008E5918" w:rsidR="0075640A" w:rsidP="0075640A" w:rsidRDefault="0075640A" w14:paraId="5685D7D1" w14:textId="64236005">
            <w:pPr>
              <w:pStyle w:val="Geenafstand"/>
              <w:jc w:val="right"/>
              <w:rPr>
                <w:rFonts w:cs="Calibri"/>
                <w:b/>
                <w:bCs/>
              </w:rPr>
            </w:pPr>
            <w:r w:rsidRPr="008E5918">
              <w:rPr>
                <w:rFonts w:cs="Calibri"/>
                <w:b/>
                <w:bCs/>
              </w:rPr>
              <w:t>0</w:t>
            </w:r>
          </w:p>
        </w:tc>
      </w:tr>
      <w:tr w:rsidRPr="008E5918" w:rsidR="0075640A" w:rsidTr="00CF6B76" w14:paraId="293D5B60" w14:textId="77777777">
        <w:trPr>
          <w:trHeight w:val="300"/>
        </w:trPr>
        <w:tc>
          <w:tcPr>
            <w:tcW w:w="553" w:type="dxa"/>
          </w:tcPr>
          <w:p w:rsidRPr="008E5918" w:rsidR="0075640A" w:rsidP="0075640A" w:rsidRDefault="0075640A" w14:paraId="43A3C926" w14:textId="77777777">
            <w:pPr>
              <w:pStyle w:val="Geenafstand"/>
            </w:pPr>
          </w:p>
        </w:tc>
        <w:tc>
          <w:tcPr>
            <w:tcW w:w="4163" w:type="dxa"/>
          </w:tcPr>
          <w:p w:rsidRPr="008E5918" w:rsidR="0075640A" w:rsidP="0075640A" w:rsidRDefault="0075640A" w14:paraId="7D689489" w14:textId="4F598096">
            <w:pPr>
              <w:pStyle w:val="Geenafstand"/>
            </w:pPr>
            <w:r w:rsidRPr="008E5918">
              <w:t xml:space="preserve">1. Positie client en transparantie van zorg </w:t>
            </w:r>
          </w:p>
        </w:tc>
        <w:tc>
          <w:tcPr>
            <w:tcW w:w="1882" w:type="dxa"/>
          </w:tcPr>
          <w:p w:rsidRPr="008E5918" w:rsidR="0075640A" w:rsidP="0075640A" w:rsidRDefault="0075640A" w14:paraId="301754E4" w14:textId="3C92C3A9">
            <w:pPr>
              <w:pStyle w:val="Geenafstand"/>
              <w:jc w:val="right"/>
              <w:rPr>
                <w:color w:val="000000" w:themeColor="text1"/>
              </w:rPr>
            </w:pPr>
            <w:r w:rsidRPr="00EE7256">
              <w:t>1.100</w:t>
            </w:r>
          </w:p>
        </w:tc>
        <w:tc>
          <w:tcPr>
            <w:tcW w:w="1049" w:type="dxa"/>
          </w:tcPr>
          <w:p w:rsidRPr="008E5918" w:rsidR="0075640A" w:rsidP="0075640A" w:rsidRDefault="0075640A" w14:paraId="0A2071E4" w14:textId="07EE4DD2">
            <w:pPr>
              <w:pStyle w:val="Geenafstand"/>
              <w:jc w:val="right"/>
              <w:rPr>
                <w:color w:val="000000" w:themeColor="text1"/>
              </w:rPr>
            </w:pPr>
            <w:r w:rsidRPr="00EE7256">
              <w:t>0</w:t>
            </w:r>
          </w:p>
        </w:tc>
        <w:tc>
          <w:tcPr>
            <w:tcW w:w="1370" w:type="dxa"/>
          </w:tcPr>
          <w:p w:rsidRPr="008E5918" w:rsidR="0075640A" w:rsidP="0075640A" w:rsidRDefault="0075640A" w14:paraId="19BE011C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75640A" w:rsidTr="00CF6B76" w14:paraId="20189DA8" w14:textId="77777777">
        <w:trPr>
          <w:trHeight w:val="300"/>
        </w:trPr>
        <w:tc>
          <w:tcPr>
            <w:tcW w:w="553" w:type="dxa"/>
            <w:hideMark/>
          </w:tcPr>
          <w:p w:rsidRPr="008E5918" w:rsidR="0075640A" w:rsidP="0075640A" w:rsidRDefault="0075640A" w14:paraId="51B8A818" w14:textId="31B4F03E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3415814D" w14:textId="680BE1F7">
            <w:pPr>
              <w:pStyle w:val="Geenafstand"/>
            </w:pPr>
            <w:r w:rsidRPr="008E5918">
              <w:t>3. Informatiebeleid</w:t>
            </w:r>
          </w:p>
        </w:tc>
        <w:tc>
          <w:tcPr>
            <w:tcW w:w="1882" w:type="dxa"/>
          </w:tcPr>
          <w:p w:rsidRPr="008E5918" w:rsidR="0075640A" w:rsidP="0075640A" w:rsidRDefault="0075640A" w14:paraId="380E45FC" w14:textId="3D23D471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A854A4">
              <w:t>5.800</w:t>
            </w:r>
          </w:p>
        </w:tc>
        <w:tc>
          <w:tcPr>
            <w:tcW w:w="1049" w:type="dxa"/>
          </w:tcPr>
          <w:p w:rsidRPr="008E5918" w:rsidR="0075640A" w:rsidP="0075640A" w:rsidRDefault="0075640A" w14:paraId="169F9450" w14:textId="0019FDBC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A854A4">
              <w:t>0</w:t>
            </w:r>
          </w:p>
        </w:tc>
        <w:tc>
          <w:tcPr>
            <w:tcW w:w="1370" w:type="dxa"/>
          </w:tcPr>
          <w:p w:rsidRPr="008E5918" w:rsidR="0075640A" w:rsidP="0075640A" w:rsidRDefault="0075640A" w14:paraId="03098AA5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75640A" w:rsidTr="00CF6B76" w14:paraId="5C387DBA" w14:textId="77777777">
        <w:trPr>
          <w:trHeight w:val="300"/>
        </w:trPr>
        <w:tc>
          <w:tcPr>
            <w:tcW w:w="553" w:type="dxa"/>
            <w:hideMark/>
          </w:tcPr>
          <w:p w:rsidRPr="008E5918" w:rsidR="0075640A" w:rsidP="0075640A" w:rsidRDefault="0075640A" w14:paraId="6B64F4F9" w14:textId="436C08F5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75640A" w:rsidP="0075640A" w:rsidRDefault="0075640A" w14:paraId="1B16D51E" w14:textId="03794EED">
            <w:pPr>
              <w:pStyle w:val="Geenafstand"/>
            </w:pPr>
            <w:r w:rsidRPr="008E5918">
              <w:t>4. Inrichting Zorgstelsel</w:t>
            </w:r>
          </w:p>
        </w:tc>
        <w:tc>
          <w:tcPr>
            <w:tcW w:w="1882" w:type="dxa"/>
          </w:tcPr>
          <w:p w:rsidRPr="008E5918" w:rsidR="0075640A" w:rsidP="0075640A" w:rsidRDefault="0075640A" w14:paraId="55FA9FA9" w14:textId="0ED2E230">
            <w:pPr>
              <w:jc w:val="right"/>
              <w:rPr>
                <w:rFonts w:cs="Calibri"/>
                <w:color w:val="000000" w:themeColor="text1"/>
                <w:szCs w:val="18"/>
              </w:rPr>
            </w:pPr>
            <w:r w:rsidRPr="00A854A4">
              <w:t>41.413</w:t>
            </w:r>
          </w:p>
        </w:tc>
        <w:tc>
          <w:tcPr>
            <w:tcW w:w="1049" w:type="dxa"/>
          </w:tcPr>
          <w:p w:rsidRPr="008E5918" w:rsidR="0075640A" w:rsidP="0075640A" w:rsidRDefault="0075640A" w14:paraId="0ACC0657" w14:textId="58470919">
            <w:pPr>
              <w:jc w:val="right"/>
              <w:rPr>
                <w:rFonts w:cs="Calibri"/>
                <w:color w:val="000000" w:themeColor="text1"/>
                <w:szCs w:val="18"/>
              </w:rPr>
            </w:pPr>
            <w:r w:rsidRPr="00A854A4">
              <w:t>333</w:t>
            </w:r>
          </w:p>
        </w:tc>
        <w:tc>
          <w:tcPr>
            <w:tcW w:w="1370" w:type="dxa"/>
          </w:tcPr>
          <w:p w:rsidRPr="008E5918" w:rsidR="0075640A" w:rsidP="0075640A" w:rsidRDefault="0075640A" w14:paraId="501BF951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CF6B76" w:rsidTr="00CF6B76" w14:paraId="2A6E04B6" w14:textId="77777777">
        <w:trPr>
          <w:trHeight w:val="300"/>
        </w:trPr>
        <w:tc>
          <w:tcPr>
            <w:tcW w:w="553" w:type="dxa"/>
          </w:tcPr>
          <w:p w:rsidRPr="008E5918" w:rsidR="00CF6B76" w:rsidP="00CF6B76" w:rsidRDefault="00CF6B76" w14:paraId="2D7BBFDF" w14:textId="77777777">
            <w:pPr>
              <w:pStyle w:val="Geenafstand"/>
            </w:pPr>
          </w:p>
        </w:tc>
        <w:tc>
          <w:tcPr>
            <w:tcW w:w="4163" w:type="dxa"/>
          </w:tcPr>
          <w:p w:rsidRPr="008E5918" w:rsidR="00CF6B76" w:rsidP="00CF6B76" w:rsidRDefault="00CF6B76" w14:paraId="7F7C97D0" w14:textId="1E7CEA77">
            <w:pPr>
              <w:pStyle w:val="Geenafstand"/>
            </w:pPr>
            <w:r w:rsidRPr="008E5918">
              <w:t>5. Zorg, welzijn en jeugdzorg op Caribisch Nederland</w:t>
            </w:r>
          </w:p>
        </w:tc>
        <w:tc>
          <w:tcPr>
            <w:tcW w:w="1882" w:type="dxa"/>
          </w:tcPr>
          <w:p w:rsidRPr="008E5918" w:rsidR="00CF6B76" w:rsidP="00CF6B76" w:rsidRDefault="00CF6B76" w14:paraId="69D9038A" w14:textId="32CC38A9">
            <w:pPr>
              <w:jc w:val="right"/>
              <w:rPr>
                <w:color w:val="000000" w:themeColor="text1"/>
                <w:szCs w:val="18"/>
                <w:lang w:val="nl-NL"/>
              </w:rPr>
            </w:pPr>
            <w:r w:rsidRPr="008E5918">
              <w:rPr>
                <w:rFonts w:cs="Calibri"/>
                <w:color w:val="000000"/>
                <w:szCs w:val="18"/>
              </w:rPr>
              <w:t>0</w:t>
            </w:r>
          </w:p>
        </w:tc>
        <w:tc>
          <w:tcPr>
            <w:tcW w:w="1049" w:type="dxa"/>
          </w:tcPr>
          <w:p w:rsidRPr="008E5918" w:rsidR="00CF6B76" w:rsidP="00CF6B76" w:rsidRDefault="00CF6B76" w14:paraId="4569C470" w14:textId="111E8E4F">
            <w:pPr>
              <w:jc w:val="right"/>
              <w:rPr>
                <w:color w:val="000000" w:themeColor="text1"/>
                <w:szCs w:val="18"/>
                <w:lang w:val="nl-NL"/>
              </w:rPr>
            </w:pPr>
            <w:r w:rsidRPr="008E5918">
              <w:rPr>
                <w:rFonts w:cs="Calibri"/>
                <w:color w:val="000000"/>
                <w:szCs w:val="18"/>
              </w:rPr>
              <w:t>0</w:t>
            </w:r>
          </w:p>
        </w:tc>
        <w:tc>
          <w:tcPr>
            <w:tcW w:w="1370" w:type="dxa"/>
          </w:tcPr>
          <w:p w:rsidRPr="008E5918" w:rsidR="00CF6B76" w:rsidP="00CF6B76" w:rsidRDefault="00CF6B76" w14:paraId="05A1C778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CF6B76" w:rsidTr="00CF6B76" w14:paraId="2D80E8ED" w14:textId="77777777">
        <w:trPr>
          <w:trHeight w:val="348"/>
        </w:trPr>
        <w:tc>
          <w:tcPr>
            <w:tcW w:w="553" w:type="dxa"/>
            <w:hideMark/>
          </w:tcPr>
          <w:p w:rsidRPr="008E5918" w:rsidR="00CF6B76" w:rsidP="00CF6B76" w:rsidRDefault="00CF6B76" w14:paraId="7E3C3896" w14:textId="67557721">
            <w:pPr>
              <w:pStyle w:val="Geenafstand"/>
            </w:pPr>
            <w:r w:rsidRPr="008E5918">
              <w:t>6</w:t>
            </w:r>
          </w:p>
        </w:tc>
        <w:tc>
          <w:tcPr>
            <w:tcW w:w="4163" w:type="dxa"/>
            <w:hideMark/>
          </w:tcPr>
          <w:p w:rsidRPr="008E5918" w:rsidR="00CF6B76" w:rsidP="00CF6B76" w:rsidRDefault="00CF6B76" w14:paraId="6753C189" w14:textId="19EE56DA">
            <w:pPr>
              <w:pStyle w:val="Geenafstand"/>
            </w:pPr>
            <w:r w:rsidRPr="008E5918">
              <w:t>Sport en bewegen</w:t>
            </w:r>
          </w:p>
        </w:tc>
        <w:tc>
          <w:tcPr>
            <w:tcW w:w="1882" w:type="dxa"/>
          </w:tcPr>
          <w:p w:rsidRPr="008E5918" w:rsidR="00CF6B76" w:rsidP="00CF6B76" w:rsidRDefault="00CF6B76" w14:paraId="1334861B" w14:textId="0541ABCC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8E5918">
              <w:rPr>
                <w:rFonts w:cs="Calibri"/>
                <w:b/>
                <w:bCs/>
                <w:color w:val="000000"/>
              </w:rPr>
              <w:t>38.020</w:t>
            </w:r>
          </w:p>
        </w:tc>
        <w:tc>
          <w:tcPr>
            <w:tcW w:w="1049" w:type="dxa"/>
          </w:tcPr>
          <w:p w:rsidRPr="008E5918" w:rsidR="00CF6B76" w:rsidP="00CF6B76" w:rsidRDefault="00CF6B76" w14:paraId="61096B69" w14:textId="174F1B83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8E5918">
              <w:rPr>
                <w:rFonts w:cs="Calibri"/>
                <w:b/>
                <w:bCs/>
                <w:color w:val="000000"/>
              </w:rPr>
              <w:t>-30</w:t>
            </w:r>
          </w:p>
        </w:tc>
        <w:tc>
          <w:tcPr>
            <w:tcW w:w="1370" w:type="dxa"/>
          </w:tcPr>
          <w:p w:rsidRPr="008E5918" w:rsidR="00CF6B76" w:rsidP="00CF6B76" w:rsidRDefault="00CF6B76" w14:paraId="416A7E6D" w14:textId="6228871F">
            <w:pPr>
              <w:pStyle w:val="Geenafstand"/>
              <w:jc w:val="right"/>
              <w:rPr>
                <w:rFonts w:cs="Calibri"/>
                <w:b/>
                <w:bCs/>
              </w:rPr>
            </w:pPr>
            <w:r w:rsidRPr="008E5918">
              <w:rPr>
                <w:b/>
                <w:bCs/>
              </w:rPr>
              <w:t>0</w:t>
            </w:r>
          </w:p>
        </w:tc>
      </w:tr>
      <w:tr w:rsidRPr="008E5918" w:rsidR="00CF6B76" w:rsidTr="00CF6B76" w14:paraId="5D7CA663" w14:textId="77777777">
        <w:trPr>
          <w:trHeight w:val="300"/>
        </w:trPr>
        <w:tc>
          <w:tcPr>
            <w:tcW w:w="553" w:type="dxa"/>
            <w:hideMark/>
          </w:tcPr>
          <w:p w:rsidRPr="008E5918" w:rsidR="00CF6B76" w:rsidP="00CF6B76" w:rsidRDefault="00CF6B76" w14:paraId="457490F5" w14:textId="46016F92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CF6B76" w:rsidP="00CF6B76" w:rsidRDefault="00CF6B76" w14:paraId="23E9DE13" w14:textId="72D2010F">
            <w:pPr>
              <w:pStyle w:val="Geenafstand"/>
            </w:pPr>
            <w:r w:rsidRPr="008E5918">
              <w:t>4. Sport verenigt Nederland</w:t>
            </w:r>
          </w:p>
        </w:tc>
        <w:tc>
          <w:tcPr>
            <w:tcW w:w="1882" w:type="dxa"/>
          </w:tcPr>
          <w:p w:rsidRPr="008E5918" w:rsidR="00CF6B76" w:rsidP="00CF6B76" w:rsidRDefault="00CF6B76" w14:paraId="5DF934ED" w14:textId="1C29A9D5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8E5918">
              <w:rPr>
                <w:rFonts w:cs="Calibri"/>
                <w:color w:val="000000"/>
              </w:rPr>
              <w:t>38.020</w:t>
            </w:r>
          </w:p>
        </w:tc>
        <w:tc>
          <w:tcPr>
            <w:tcW w:w="1049" w:type="dxa"/>
          </w:tcPr>
          <w:p w:rsidRPr="008E5918" w:rsidR="00CF6B76" w:rsidP="00CF6B76" w:rsidRDefault="00CF6B76" w14:paraId="3C704083" w14:textId="1134A482">
            <w:pPr>
              <w:pStyle w:val="Geenafstand"/>
              <w:jc w:val="right"/>
              <w:rPr>
                <w:rFonts w:cs="Calibri"/>
                <w:b/>
                <w:color w:val="000000" w:themeColor="text1"/>
              </w:rPr>
            </w:pPr>
            <w:r w:rsidRPr="008E5918">
              <w:rPr>
                <w:rFonts w:cs="Calibri"/>
                <w:color w:val="000000"/>
              </w:rPr>
              <w:t>-30</w:t>
            </w:r>
          </w:p>
        </w:tc>
        <w:tc>
          <w:tcPr>
            <w:tcW w:w="1370" w:type="dxa"/>
          </w:tcPr>
          <w:p w:rsidRPr="008E5918" w:rsidR="00CF6B76" w:rsidP="00CF6B76" w:rsidRDefault="00CF6B76" w14:paraId="3967C851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CF6B76" w:rsidTr="00CF6B76" w14:paraId="55D1AE34" w14:textId="77777777">
        <w:trPr>
          <w:trHeight w:val="541"/>
        </w:trPr>
        <w:tc>
          <w:tcPr>
            <w:tcW w:w="553" w:type="dxa"/>
            <w:hideMark/>
          </w:tcPr>
          <w:p w:rsidRPr="008E5918" w:rsidR="00CF6B76" w:rsidP="00CF6B76" w:rsidRDefault="00CF6B76" w14:paraId="12081170" w14:textId="1E4CF94B">
            <w:pPr>
              <w:pStyle w:val="Geenafstand"/>
            </w:pPr>
            <w:r w:rsidRPr="008E5918">
              <w:t>7</w:t>
            </w:r>
          </w:p>
        </w:tc>
        <w:tc>
          <w:tcPr>
            <w:tcW w:w="4163" w:type="dxa"/>
            <w:hideMark/>
          </w:tcPr>
          <w:p w:rsidRPr="008E5918" w:rsidR="00CF6B76" w:rsidP="00CF6B76" w:rsidRDefault="00CF6B76" w14:paraId="5A91B7A0" w14:textId="6751A9C5">
            <w:pPr>
              <w:pStyle w:val="Geenafstand"/>
            </w:pPr>
            <w:r w:rsidRPr="008E5918">
              <w:t>Oorlogsgetroffenen en Herinnering Wereldoorlog II</w:t>
            </w:r>
          </w:p>
        </w:tc>
        <w:tc>
          <w:tcPr>
            <w:tcW w:w="1882" w:type="dxa"/>
          </w:tcPr>
          <w:p w:rsidRPr="008E5918" w:rsidR="00CF6B76" w:rsidP="00CF6B76" w:rsidRDefault="00CF6B76" w14:paraId="233E48F9" w14:textId="77BF08F0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8E5918">
              <w:rPr>
                <w:rFonts w:cs="Calibri"/>
                <w:b/>
                <w:bCs/>
                <w:color w:val="000000"/>
              </w:rPr>
              <w:t>1.300</w:t>
            </w:r>
          </w:p>
        </w:tc>
        <w:tc>
          <w:tcPr>
            <w:tcW w:w="1049" w:type="dxa"/>
          </w:tcPr>
          <w:p w:rsidRPr="008E5918" w:rsidR="00CF6B76" w:rsidP="00CF6B76" w:rsidRDefault="00CF6B76" w14:paraId="278235C0" w14:textId="47AB431C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8E5918">
              <w:rPr>
                <w:rFonts w:cs="Calibri"/>
                <w:b/>
                <w:bCs/>
                <w:color w:val="000000"/>
              </w:rPr>
              <w:t>-1.200</w:t>
            </w:r>
          </w:p>
        </w:tc>
        <w:tc>
          <w:tcPr>
            <w:tcW w:w="1370" w:type="dxa"/>
          </w:tcPr>
          <w:p w:rsidRPr="008E5918" w:rsidR="00CF6B76" w:rsidP="00CF6B76" w:rsidRDefault="00CF6B76" w14:paraId="4954D08E" w14:textId="30515448">
            <w:pPr>
              <w:pStyle w:val="Geenafstand"/>
              <w:jc w:val="right"/>
              <w:rPr>
                <w:rFonts w:cs="Calibri"/>
                <w:b/>
                <w:bCs/>
              </w:rPr>
            </w:pPr>
            <w:r w:rsidRPr="008E5918">
              <w:rPr>
                <w:b/>
                <w:bCs/>
              </w:rPr>
              <w:t>0</w:t>
            </w:r>
          </w:p>
        </w:tc>
      </w:tr>
      <w:tr w:rsidRPr="008E5918" w:rsidR="00CF6B76" w:rsidTr="00CF6B76" w14:paraId="4E0D1D8B" w14:textId="77777777">
        <w:trPr>
          <w:trHeight w:val="300"/>
        </w:trPr>
        <w:tc>
          <w:tcPr>
            <w:tcW w:w="553" w:type="dxa"/>
            <w:hideMark/>
          </w:tcPr>
          <w:p w:rsidRPr="008E5918" w:rsidR="00CF6B76" w:rsidP="00CF6B76" w:rsidRDefault="00CF6B76" w14:paraId="6814D9D4" w14:textId="11C32DD2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CF6B76" w:rsidP="00CF6B76" w:rsidRDefault="00CF6B76" w14:paraId="02F58B29" w14:textId="2590AA91">
            <w:pPr>
              <w:pStyle w:val="Geenafstand"/>
            </w:pPr>
            <w:r w:rsidRPr="008E5918">
              <w:t>1. De zorg- en dienstverlening aan verzetsdeelnemers en oorlogsgetroffenen WO II en de herinnering aan WO II</w:t>
            </w:r>
          </w:p>
        </w:tc>
        <w:tc>
          <w:tcPr>
            <w:tcW w:w="1882" w:type="dxa"/>
          </w:tcPr>
          <w:p w:rsidRPr="008E5918" w:rsidR="00CF6B76" w:rsidP="00CF6B76" w:rsidRDefault="00CF6B76" w14:paraId="20E86203" w14:textId="287CD837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8E5918">
              <w:rPr>
                <w:rFonts w:cs="Calibri"/>
                <w:color w:val="000000"/>
              </w:rPr>
              <w:t>1.300</w:t>
            </w:r>
          </w:p>
        </w:tc>
        <w:tc>
          <w:tcPr>
            <w:tcW w:w="1049" w:type="dxa"/>
          </w:tcPr>
          <w:p w:rsidRPr="008E5918" w:rsidR="00CF6B76" w:rsidP="00CF6B76" w:rsidRDefault="00CF6B76" w14:paraId="0E04D6D3" w14:textId="2E8F960D">
            <w:pPr>
              <w:pStyle w:val="Geenafstand"/>
              <w:jc w:val="right"/>
              <w:rPr>
                <w:rFonts w:cs="Calibri"/>
                <w:b/>
                <w:color w:val="000000" w:themeColor="text1"/>
              </w:rPr>
            </w:pPr>
            <w:r w:rsidRPr="008E5918">
              <w:rPr>
                <w:rFonts w:cs="Calibri"/>
                <w:color w:val="000000"/>
              </w:rPr>
              <w:t>-1.200</w:t>
            </w:r>
          </w:p>
        </w:tc>
        <w:tc>
          <w:tcPr>
            <w:tcW w:w="1370" w:type="dxa"/>
          </w:tcPr>
          <w:p w:rsidRPr="008E5918" w:rsidR="00CF6B76" w:rsidP="00CF6B76" w:rsidRDefault="00CF6B76" w14:paraId="6AB21CF0" w14:textId="77777777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662B94" w:rsidTr="00CF6B76" w14:paraId="07954E70" w14:textId="77777777">
        <w:trPr>
          <w:trHeight w:val="300"/>
        </w:trPr>
        <w:tc>
          <w:tcPr>
            <w:tcW w:w="553" w:type="dxa"/>
          </w:tcPr>
          <w:p w:rsidRPr="008E5918" w:rsidR="00662B94" w:rsidP="00662B94" w:rsidRDefault="00662B94" w14:paraId="0052CCA6" w14:textId="5EFFFE92">
            <w:pPr>
              <w:pStyle w:val="Geenafstand"/>
            </w:pPr>
            <w:r w:rsidRPr="008E5918">
              <w:t>8</w:t>
            </w:r>
          </w:p>
        </w:tc>
        <w:tc>
          <w:tcPr>
            <w:tcW w:w="4163" w:type="dxa"/>
          </w:tcPr>
          <w:p w:rsidRPr="008E5918" w:rsidR="00662B94" w:rsidP="00662B94" w:rsidRDefault="00662B94" w14:paraId="0381B5EE" w14:textId="1DD62020">
            <w:pPr>
              <w:pStyle w:val="Geenafstand"/>
            </w:pPr>
            <w:r w:rsidRPr="008E5918">
              <w:t>Tegemoetkoming specifieke kosten</w:t>
            </w:r>
          </w:p>
        </w:tc>
        <w:tc>
          <w:tcPr>
            <w:tcW w:w="1882" w:type="dxa"/>
          </w:tcPr>
          <w:p w:rsidRPr="008E5918" w:rsidR="00662B94" w:rsidP="00662B94" w:rsidRDefault="00662B94" w14:paraId="222D12BA" w14:textId="45536681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8E5918">
              <w:rPr>
                <w:b/>
                <w:bCs/>
                <w:color w:val="000000" w:themeColor="text1"/>
              </w:rPr>
              <w:t>460.000</w:t>
            </w:r>
          </w:p>
        </w:tc>
        <w:tc>
          <w:tcPr>
            <w:tcW w:w="1049" w:type="dxa"/>
          </w:tcPr>
          <w:p w:rsidRPr="008E5918" w:rsidR="00662B94" w:rsidP="00662B94" w:rsidRDefault="00662B94" w14:paraId="36343250" w14:textId="58C02830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8E5918">
              <w:rPr>
                <w:b/>
                <w:bCs/>
                <w:color w:val="000000" w:themeColor="text1"/>
              </w:rPr>
              <w:t>460.000</w:t>
            </w:r>
          </w:p>
        </w:tc>
        <w:tc>
          <w:tcPr>
            <w:tcW w:w="1370" w:type="dxa"/>
          </w:tcPr>
          <w:p w:rsidRPr="008E5918" w:rsidR="00662B94" w:rsidP="00662B94" w:rsidRDefault="00662B94" w14:paraId="0B7AF853" w14:textId="530F126F">
            <w:pPr>
              <w:pStyle w:val="Geenafstand"/>
              <w:jc w:val="right"/>
              <w:rPr>
                <w:rFonts w:cs="Calibri"/>
                <w:b/>
                <w:bCs/>
              </w:rPr>
            </w:pPr>
            <w:r w:rsidRPr="008E5918">
              <w:rPr>
                <w:b/>
                <w:bCs/>
              </w:rPr>
              <w:t>460.000</w:t>
            </w:r>
          </w:p>
        </w:tc>
      </w:tr>
      <w:tr w:rsidRPr="008E5918" w:rsidR="00662B94" w:rsidTr="00CF6B76" w14:paraId="4577468F" w14:textId="77777777">
        <w:trPr>
          <w:trHeight w:val="300"/>
        </w:trPr>
        <w:tc>
          <w:tcPr>
            <w:tcW w:w="553" w:type="dxa"/>
          </w:tcPr>
          <w:p w:rsidRPr="008E5918" w:rsidR="00662B94" w:rsidP="00662B94" w:rsidRDefault="00662B94" w14:paraId="1FDD8719" w14:textId="07045E57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</w:tcPr>
          <w:p w:rsidRPr="008E5918" w:rsidR="00662B94" w:rsidP="00662B94" w:rsidRDefault="00662B94" w14:paraId="10949790" w14:textId="4DA3DD29">
            <w:pPr>
              <w:pStyle w:val="Geenafstand"/>
            </w:pPr>
            <w:r w:rsidRPr="008E5918">
              <w:t>Zorgtoeslag</w:t>
            </w:r>
          </w:p>
        </w:tc>
        <w:tc>
          <w:tcPr>
            <w:tcW w:w="1882" w:type="dxa"/>
          </w:tcPr>
          <w:p w:rsidRPr="008E5918" w:rsidR="00662B94" w:rsidP="00662B94" w:rsidRDefault="00662B94" w14:paraId="2F871BBF" w14:textId="1AC065E3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8E5918">
              <w:rPr>
                <w:color w:val="000000" w:themeColor="text1"/>
              </w:rPr>
              <w:t>460.000</w:t>
            </w:r>
          </w:p>
        </w:tc>
        <w:tc>
          <w:tcPr>
            <w:tcW w:w="1049" w:type="dxa"/>
          </w:tcPr>
          <w:p w:rsidRPr="008E5918" w:rsidR="00662B94" w:rsidP="00662B94" w:rsidRDefault="00662B94" w14:paraId="6D403D35" w14:textId="558B6254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8E5918">
              <w:rPr>
                <w:color w:val="000000" w:themeColor="text1"/>
              </w:rPr>
              <w:t>460.000</w:t>
            </w:r>
          </w:p>
        </w:tc>
        <w:tc>
          <w:tcPr>
            <w:tcW w:w="1370" w:type="dxa"/>
          </w:tcPr>
          <w:p w:rsidRPr="008E5918" w:rsidR="00662B94" w:rsidP="00662B94" w:rsidRDefault="00662B94" w14:paraId="54791DC1" w14:textId="6F873224">
            <w:pPr>
              <w:pStyle w:val="Geenafstand"/>
              <w:jc w:val="right"/>
              <w:rPr>
                <w:rFonts w:cs="Calibri"/>
              </w:rPr>
            </w:pPr>
            <w:r w:rsidRPr="008E5918">
              <w:rPr>
                <w:rFonts w:cs="Calibri"/>
              </w:rPr>
              <w:t>460.000</w:t>
            </w:r>
          </w:p>
        </w:tc>
      </w:tr>
      <w:tr w:rsidRPr="008E5918" w:rsidR="004C3838" w:rsidTr="00CF6B76" w14:paraId="3032132F" w14:textId="77777777">
        <w:trPr>
          <w:trHeight w:val="300"/>
        </w:trPr>
        <w:tc>
          <w:tcPr>
            <w:tcW w:w="553" w:type="dxa"/>
          </w:tcPr>
          <w:p w:rsidRPr="008E5918" w:rsidR="004C3838" w:rsidP="00B8321D" w:rsidRDefault="004C3838" w14:paraId="2EBF5CE6" w14:textId="16BA149D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</w:tcPr>
          <w:p w:rsidRPr="008E5918" w:rsidR="004C3838" w:rsidP="00B8321D" w:rsidRDefault="004C3838" w14:paraId="7E5BB419" w14:textId="7BAF45AC">
            <w:pPr>
              <w:pStyle w:val="Geenafstand"/>
            </w:pPr>
            <w:r w:rsidRPr="008E5918">
              <w:t>Niet-beleidsartikelen</w:t>
            </w:r>
          </w:p>
        </w:tc>
        <w:tc>
          <w:tcPr>
            <w:tcW w:w="1882" w:type="dxa"/>
          </w:tcPr>
          <w:p w:rsidRPr="008E5918" w:rsidR="004C3838" w:rsidP="00C442F9" w:rsidRDefault="004C3838" w14:paraId="1F192D67" w14:textId="0E10E361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</w:p>
        </w:tc>
        <w:tc>
          <w:tcPr>
            <w:tcW w:w="1049" w:type="dxa"/>
          </w:tcPr>
          <w:p w:rsidRPr="008E5918" w:rsidR="004C3838" w:rsidP="00C442F9" w:rsidRDefault="004C3838" w14:paraId="23EF87E2" w14:textId="38EFB883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</w:p>
        </w:tc>
        <w:tc>
          <w:tcPr>
            <w:tcW w:w="1370" w:type="dxa"/>
          </w:tcPr>
          <w:p w:rsidRPr="008E5918" w:rsidR="004C3838" w:rsidP="00C442F9" w:rsidRDefault="004C3838" w14:paraId="373CBD2C" w14:textId="5F863CE0">
            <w:pPr>
              <w:pStyle w:val="Geenafstand"/>
              <w:jc w:val="right"/>
              <w:rPr>
                <w:rFonts w:cs="Calibri"/>
              </w:rPr>
            </w:pPr>
          </w:p>
        </w:tc>
      </w:tr>
      <w:tr w:rsidRPr="008E5918" w:rsidR="003876F4" w:rsidTr="00CF6B76" w14:paraId="146FAA80" w14:textId="77777777">
        <w:trPr>
          <w:trHeight w:val="333"/>
        </w:trPr>
        <w:tc>
          <w:tcPr>
            <w:tcW w:w="553" w:type="dxa"/>
            <w:hideMark/>
          </w:tcPr>
          <w:p w:rsidRPr="008E5918" w:rsidR="003876F4" w:rsidP="003876F4" w:rsidRDefault="003876F4" w14:paraId="68334F16" w14:textId="3E2BC327">
            <w:pPr>
              <w:pStyle w:val="Geenafstand"/>
            </w:pPr>
            <w:r w:rsidRPr="008E5918">
              <w:t>10</w:t>
            </w:r>
          </w:p>
        </w:tc>
        <w:tc>
          <w:tcPr>
            <w:tcW w:w="4163" w:type="dxa"/>
            <w:hideMark/>
          </w:tcPr>
          <w:p w:rsidRPr="008E5918" w:rsidR="003876F4" w:rsidP="003876F4" w:rsidRDefault="003876F4" w14:paraId="136DE6EC" w14:textId="5232736F">
            <w:pPr>
              <w:pStyle w:val="Geenafstand"/>
            </w:pPr>
            <w:r w:rsidRPr="008E5918">
              <w:t>Apparaatsuitgaven</w:t>
            </w:r>
          </w:p>
        </w:tc>
        <w:tc>
          <w:tcPr>
            <w:tcW w:w="1882" w:type="dxa"/>
          </w:tcPr>
          <w:p w:rsidRPr="008E5918" w:rsidR="003876F4" w:rsidP="003876F4" w:rsidRDefault="0030745F" w14:paraId="1BC9D08F" w14:textId="1C127447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8E5918">
              <w:rPr>
                <w:b/>
                <w:bCs/>
                <w:color w:val="000000" w:themeColor="text1"/>
              </w:rPr>
              <w:t>11.071</w:t>
            </w:r>
          </w:p>
        </w:tc>
        <w:tc>
          <w:tcPr>
            <w:tcW w:w="1049" w:type="dxa"/>
          </w:tcPr>
          <w:p w:rsidRPr="008E5918" w:rsidR="003876F4" w:rsidP="003876F4" w:rsidRDefault="003876F4" w14:paraId="2852C5F5" w14:textId="62AE1A02">
            <w:pPr>
              <w:pStyle w:val="Geenafstand"/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8E5918">
              <w:rPr>
                <w:b/>
                <w:bCs/>
                <w:color w:val="000000" w:themeColor="text1"/>
              </w:rPr>
              <w:t>4.</w:t>
            </w:r>
            <w:r w:rsidRPr="008E5918" w:rsidR="0030745F">
              <w:rPr>
                <w:b/>
                <w:bCs/>
                <w:color w:val="000000" w:themeColor="text1"/>
              </w:rPr>
              <w:t>5</w:t>
            </w:r>
            <w:r w:rsidRPr="008E5918">
              <w:rPr>
                <w:b/>
                <w:bCs/>
                <w:color w:val="000000" w:themeColor="text1"/>
              </w:rPr>
              <w:t>71</w:t>
            </w:r>
          </w:p>
        </w:tc>
        <w:tc>
          <w:tcPr>
            <w:tcW w:w="1370" w:type="dxa"/>
          </w:tcPr>
          <w:p w:rsidRPr="008E5918" w:rsidR="003876F4" w:rsidP="003876F4" w:rsidRDefault="003876F4" w14:paraId="0A8110D6" w14:textId="73294693">
            <w:pPr>
              <w:pStyle w:val="Geenafstand"/>
              <w:jc w:val="right"/>
              <w:rPr>
                <w:rFonts w:cs="Calibri"/>
                <w:b/>
                <w:bCs/>
              </w:rPr>
            </w:pPr>
            <w:r w:rsidRPr="008E5918">
              <w:rPr>
                <w:b/>
                <w:bCs/>
              </w:rPr>
              <w:t>221</w:t>
            </w:r>
          </w:p>
        </w:tc>
      </w:tr>
      <w:tr w:rsidRPr="008E5918" w:rsidR="003876F4" w:rsidTr="00CF6B76" w14:paraId="05134696" w14:textId="77777777">
        <w:trPr>
          <w:trHeight w:val="367"/>
        </w:trPr>
        <w:tc>
          <w:tcPr>
            <w:tcW w:w="553" w:type="dxa"/>
            <w:hideMark/>
          </w:tcPr>
          <w:p w:rsidRPr="008E5918" w:rsidR="003876F4" w:rsidP="003876F4" w:rsidRDefault="003876F4" w14:paraId="1AECB24A" w14:textId="110BD629">
            <w:pPr>
              <w:pStyle w:val="Geenafstand"/>
            </w:pPr>
            <w:r w:rsidRPr="008E5918">
              <w:t> </w:t>
            </w:r>
          </w:p>
        </w:tc>
        <w:tc>
          <w:tcPr>
            <w:tcW w:w="4163" w:type="dxa"/>
            <w:hideMark/>
          </w:tcPr>
          <w:p w:rsidRPr="008E5918" w:rsidR="003876F4" w:rsidP="003876F4" w:rsidRDefault="003876F4" w14:paraId="058086CB" w14:textId="0A239FF5">
            <w:pPr>
              <w:pStyle w:val="Geenafstand"/>
            </w:pPr>
            <w:r w:rsidRPr="008E5918">
              <w:t xml:space="preserve">Kerndepartement   </w:t>
            </w:r>
          </w:p>
        </w:tc>
        <w:tc>
          <w:tcPr>
            <w:tcW w:w="1882" w:type="dxa"/>
          </w:tcPr>
          <w:p w:rsidRPr="008E5918" w:rsidR="003876F4" w:rsidP="003876F4" w:rsidRDefault="0030745F" w14:paraId="2EBFDF48" w14:textId="067E229B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8E5918">
              <w:rPr>
                <w:color w:val="000000" w:themeColor="text1"/>
              </w:rPr>
              <w:t>11.071</w:t>
            </w:r>
          </w:p>
        </w:tc>
        <w:tc>
          <w:tcPr>
            <w:tcW w:w="1049" w:type="dxa"/>
          </w:tcPr>
          <w:p w:rsidRPr="008E5918" w:rsidR="003876F4" w:rsidP="003876F4" w:rsidRDefault="003876F4" w14:paraId="11E59637" w14:textId="4FD8BD29">
            <w:pPr>
              <w:pStyle w:val="Geenafstand"/>
              <w:jc w:val="right"/>
              <w:rPr>
                <w:rFonts w:cs="Calibri"/>
                <w:color w:val="000000" w:themeColor="text1"/>
              </w:rPr>
            </w:pPr>
            <w:r w:rsidRPr="008E5918">
              <w:rPr>
                <w:color w:val="000000" w:themeColor="text1"/>
              </w:rPr>
              <w:t>4.</w:t>
            </w:r>
            <w:r w:rsidRPr="008E5918" w:rsidR="0030745F">
              <w:rPr>
                <w:color w:val="000000" w:themeColor="text1"/>
              </w:rPr>
              <w:t>5</w:t>
            </w:r>
            <w:r w:rsidRPr="008E5918">
              <w:rPr>
                <w:color w:val="000000" w:themeColor="text1"/>
              </w:rPr>
              <w:t>71</w:t>
            </w:r>
          </w:p>
        </w:tc>
        <w:tc>
          <w:tcPr>
            <w:tcW w:w="1370" w:type="dxa"/>
          </w:tcPr>
          <w:p w:rsidRPr="008E5918" w:rsidR="003876F4" w:rsidP="003876F4" w:rsidRDefault="003876F4" w14:paraId="2FC07347" w14:textId="37CD1A9F">
            <w:pPr>
              <w:pStyle w:val="Geenafstand"/>
              <w:jc w:val="right"/>
              <w:rPr>
                <w:rFonts w:cs="Calibri"/>
              </w:rPr>
            </w:pPr>
            <w:r w:rsidRPr="008E5918">
              <w:rPr>
                <w:rFonts w:cs="Calibri"/>
              </w:rPr>
              <w:t>221</w:t>
            </w:r>
          </w:p>
        </w:tc>
      </w:tr>
    </w:tbl>
    <w:p w:rsidR="00770C48" w:rsidP="00B8321D" w:rsidRDefault="00770C48" w14:paraId="064DD048" w14:textId="77777777">
      <w:pPr>
        <w:pStyle w:val="Geenafstand"/>
        <w:rPr>
          <w:b/>
        </w:rPr>
      </w:pPr>
    </w:p>
    <w:p w:rsidRPr="00181318" w:rsidR="000715DB" w:rsidP="00B8321D" w:rsidRDefault="000715DB" w14:paraId="31952848" w14:textId="07814C03">
      <w:pPr>
        <w:pStyle w:val="Geenafstand"/>
        <w:rPr>
          <w:b/>
        </w:rPr>
      </w:pPr>
      <w:r w:rsidRPr="00181318">
        <w:rPr>
          <w:b/>
        </w:rPr>
        <w:lastRenderedPageBreak/>
        <w:t>Artikel 1 Volksgezondheid</w:t>
      </w:r>
    </w:p>
    <w:p w:rsidRPr="00181318" w:rsidR="000715DB" w:rsidP="00B8321D" w:rsidRDefault="000715DB" w14:paraId="423724E1" w14:textId="77777777">
      <w:pPr>
        <w:pStyle w:val="Geenafstand"/>
      </w:pPr>
    </w:p>
    <w:p w:rsidRPr="00181318" w:rsidR="000715DB" w:rsidP="00B8321D" w:rsidRDefault="000715DB" w14:paraId="70C10F79" w14:textId="13D23BB4">
      <w:pPr>
        <w:pStyle w:val="Geenafstand"/>
      </w:pPr>
      <w:r w:rsidRPr="00181318">
        <w:t>1. Gezondheidsbeleid</w:t>
      </w:r>
    </w:p>
    <w:p w:rsidRPr="00181318" w:rsidR="00231039" w:rsidP="00231039" w:rsidRDefault="00231039" w14:paraId="68DD35BD" w14:textId="77777777">
      <w:pPr>
        <w:pStyle w:val="Geenafstand"/>
      </w:pPr>
    </w:p>
    <w:p w:rsidR="0048109E" w:rsidP="00231039" w:rsidRDefault="001B49CB" w14:paraId="16DC2E27" w14:textId="1C9544EF">
      <w:pPr>
        <w:pStyle w:val="Geenafstand"/>
      </w:pPr>
      <w:r>
        <w:t>De verplichtingenruimte</w:t>
      </w:r>
      <w:r w:rsidRPr="00533EB4" w:rsidR="00231039">
        <w:t xml:space="preserve"> op dit artikelonderdeel is </w:t>
      </w:r>
      <w:r w:rsidR="0048109E">
        <w:t xml:space="preserve">in totaal </w:t>
      </w:r>
      <w:r w:rsidRPr="00533EB4" w:rsidR="00231039">
        <w:t xml:space="preserve">met € </w:t>
      </w:r>
      <w:r w:rsidRPr="00533EB4" w:rsidR="00533EB4">
        <w:t>38,7</w:t>
      </w:r>
      <w:r w:rsidRPr="00533EB4" w:rsidR="00231039">
        <w:t xml:space="preserve"> miljoen verhoogd</w:t>
      </w:r>
      <w:r w:rsidR="0048109E">
        <w:t>.</w:t>
      </w:r>
    </w:p>
    <w:p w:rsidR="00F54133" w:rsidP="00F54133" w:rsidRDefault="00997585" w14:paraId="5B1808E4" w14:textId="7217449D">
      <w:pPr>
        <w:pStyle w:val="Geenafstand"/>
      </w:pPr>
      <w:r>
        <w:t xml:space="preserve">In het kader van </w:t>
      </w:r>
      <w:r w:rsidR="006C6D7A">
        <w:t>de</w:t>
      </w:r>
      <w:r w:rsidRPr="00533EB4" w:rsidR="006C6D7A">
        <w:t xml:space="preserve"> goedkeuring</w:t>
      </w:r>
      <w:r w:rsidR="006C6D7A">
        <w:t xml:space="preserve"> </w:t>
      </w:r>
      <w:r w:rsidRPr="00533EB4" w:rsidR="006C6D7A">
        <w:t xml:space="preserve">van het jaarplan NVWA </w:t>
      </w:r>
      <w:r w:rsidR="006C6D7A">
        <w:t xml:space="preserve">2023 en het aangaan van de verplichting </w:t>
      </w:r>
      <w:r>
        <w:t xml:space="preserve">voor 2023 </w:t>
      </w:r>
      <w:r w:rsidR="006C6D7A">
        <w:t>is</w:t>
      </w:r>
      <w:r w:rsidR="00675F4B">
        <w:t xml:space="preserve"> </w:t>
      </w:r>
      <w:r w:rsidRPr="00533EB4" w:rsidR="00231039">
        <w:t xml:space="preserve">€ </w:t>
      </w:r>
      <w:r w:rsidRPr="00533EB4" w:rsidR="00533EB4">
        <w:t>38,5</w:t>
      </w:r>
      <w:r w:rsidRPr="00533EB4" w:rsidR="00231039">
        <w:t xml:space="preserve"> miljoen </w:t>
      </w:r>
      <w:r w:rsidR="00007479">
        <w:t xml:space="preserve">aanvullende </w:t>
      </w:r>
      <w:r w:rsidRPr="00533EB4" w:rsidR="00533EB4">
        <w:t xml:space="preserve">verplichtingenruimte </w:t>
      </w:r>
      <w:r>
        <w:t>verschoven van 2023</w:t>
      </w:r>
      <w:r w:rsidR="007E6123">
        <w:t xml:space="preserve"> </w:t>
      </w:r>
      <w:r w:rsidR="00AF5373">
        <w:t>naar 2022</w:t>
      </w:r>
      <w:r w:rsidR="00272E60">
        <w:t>.</w:t>
      </w:r>
      <w:r w:rsidRPr="00F54133" w:rsidR="00F54133">
        <w:t xml:space="preserve"> </w:t>
      </w:r>
    </w:p>
    <w:p w:rsidR="00004538" w:rsidP="00231039" w:rsidRDefault="00272E60" w14:paraId="1C6A375B" w14:textId="559DDFF9">
      <w:pPr>
        <w:pStyle w:val="Geenafstand"/>
      </w:pPr>
      <w:r>
        <w:t xml:space="preserve"> </w:t>
      </w:r>
    </w:p>
    <w:p w:rsidR="00B04BCE" w:rsidP="00231039" w:rsidRDefault="0048109E" w14:paraId="350D5D9C" w14:textId="4585A3A9">
      <w:pPr>
        <w:pStyle w:val="Geenafstand"/>
      </w:pPr>
      <w:r>
        <w:t xml:space="preserve">Ook is vanuit </w:t>
      </w:r>
      <w:r w:rsidRPr="00181318" w:rsidR="00B6455D">
        <w:t xml:space="preserve">artikel 2 Curatieve Zorg € </w:t>
      </w:r>
      <w:r w:rsidR="0011257A">
        <w:t>4,</w:t>
      </w:r>
      <w:r w:rsidR="006C7CED">
        <w:t>9</w:t>
      </w:r>
      <w:r w:rsidR="0011257A">
        <w:t xml:space="preserve"> </w:t>
      </w:r>
      <w:r w:rsidRPr="00181318" w:rsidR="00B6455D">
        <w:t>miljoen aan kas</w:t>
      </w:r>
      <w:r w:rsidR="001B49CB">
        <w:t>budget</w:t>
      </w:r>
      <w:r w:rsidRPr="00181318" w:rsidR="00B6455D">
        <w:t xml:space="preserve"> en </w:t>
      </w:r>
      <w:r w:rsidRPr="00181318" w:rsidR="001B49CB">
        <w:t>verplichtingen</w:t>
      </w:r>
      <w:r w:rsidR="001B49CB">
        <w:t xml:space="preserve">ruimte </w:t>
      </w:r>
      <w:r w:rsidR="00AE6375">
        <w:t xml:space="preserve">overgeboekt </w:t>
      </w:r>
      <w:r w:rsidR="00BF2845">
        <w:t xml:space="preserve">naar dit artikelonderdeel </w:t>
      </w:r>
      <w:r w:rsidRPr="00181318" w:rsidR="00B6455D">
        <w:t>voor de financiering van additionele opdrachten die verstrekt zijn aan</w:t>
      </w:r>
      <w:r w:rsidR="00B6455D">
        <w:t xml:space="preserve"> </w:t>
      </w:r>
      <w:r w:rsidRPr="00181318" w:rsidR="00B6455D">
        <w:t>ZonMw</w:t>
      </w:r>
      <w:r w:rsidR="009134ED">
        <w:t>. Dit betreft de uitvoering van FAST</w:t>
      </w:r>
      <w:r w:rsidR="00B67F94">
        <w:t>-</w:t>
      </w:r>
      <w:r w:rsidR="009134ED">
        <w:t>activiteiten</w:t>
      </w:r>
      <w:r w:rsidR="00007479">
        <w:t>; dat beoogt om nieuwe behandelingen tegen aanvaardbare kosten zo snel mogelijk bij de patiënt te krijgen</w:t>
      </w:r>
      <w:r w:rsidR="009C1AA4">
        <w:t xml:space="preserve"> (</w:t>
      </w:r>
      <w:r w:rsidR="002921E8">
        <w:t>€</w:t>
      </w:r>
      <w:r w:rsidR="00DB2DAD">
        <w:t xml:space="preserve"> </w:t>
      </w:r>
      <w:r w:rsidR="009C1AA4">
        <w:t>2 miljoen)</w:t>
      </w:r>
      <w:r w:rsidR="009134ED">
        <w:t xml:space="preserve"> en het programma de Juiste Zorg op de Juiste Plek</w:t>
      </w:r>
      <w:r w:rsidR="009C1AA4">
        <w:t xml:space="preserve"> (</w:t>
      </w:r>
      <w:r w:rsidR="002921E8">
        <w:t>€</w:t>
      </w:r>
      <w:r w:rsidR="00DB2DAD">
        <w:t xml:space="preserve"> </w:t>
      </w:r>
      <w:r w:rsidR="009C1AA4">
        <w:t>2,</w:t>
      </w:r>
      <w:r w:rsidR="006C7CED">
        <w:t xml:space="preserve">9 </w:t>
      </w:r>
      <w:r w:rsidR="009C1AA4">
        <w:t>miljoen)</w:t>
      </w:r>
      <w:r w:rsidR="009134ED">
        <w:t xml:space="preserve">. </w:t>
      </w:r>
    </w:p>
    <w:p w:rsidRPr="00816CD4" w:rsidR="00816CD4" w:rsidP="00231039" w:rsidRDefault="00816CD4" w14:paraId="797F3367" w14:textId="5F934AD1">
      <w:pPr>
        <w:pStyle w:val="Geenafstand"/>
      </w:pPr>
    </w:p>
    <w:p w:rsidR="005F5C76" w:rsidP="00231039" w:rsidRDefault="005F5C76" w14:paraId="0132EE6F" w14:textId="60715C71">
      <w:pPr>
        <w:pStyle w:val="Geenafstand"/>
      </w:pPr>
      <w:r>
        <w:t>2. Ziektepreventie</w:t>
      </w:r>
    </w:p>
    <w:p w:rsidR="005F5C76" w:rsidP="00231039" w:rsidRDefault="005F5C76" w14:paraId="77F43E67" w14:textId="374CFE15">
      <w:pPr>
        <w:pStyle w:val="Geenafstand"/>
      </w:pPr>
    </w:p>
    <w:p w:rsidR="00554A30" w:rsidP="00231039" w:rsidRDefault="005535A1" w14:paraId="575FD4D3" w14:textId="4146E860">
      <w:pPr>
        <w:pStyle w:val="Geenafstand"/>
      </w:pPr>
      <w:r>
        <w:t>O</w:t>
      </w:r>
      <w:r w:rsidRPr="005535A1">
        <w:t xml:space="preserve">p dit artikelonderdeel is het kasbudget en verplichtingenruimte verhoogd met € 5,6 en € </w:t>
      </w:r>
      <w:r w:rsidRPr="00B952B6" w:rsidR="0075640A">
        <w:t>278</w:t>
      </w:r>
      <w:r w:rsidR="0075640A">
        <w:t xml:space="preserve">,6 </w:t>
      </w:r>
      <w:r w:rsidRPr="005535A1">
        <w:t xml:space="preserve">miljoen. Er vindt een ophoging van de verplichtingenruimte plaats van € 178 miljoen. Dit betreft een technische correctie waarbij de verplichtingenruimte gelijk wordt getrokken met het beschikbare kasbudget. </w:t>
      </w:r>
      <w:r w:rsidRPr="0075640A" w:rsidR="0075640A">
        <w:t xml:space="preserve">Daarnaast wordt de verplichtingenruimte 2022 opgehoogd </w:t>
      </w:r>
      <w:r w:rsidR="0075640A">
        <w:t xml:space="preserve">met € 94,7 miljoen </w:t>
      </w:r>
      <w:r w:rsidRPr="0075640A" w:rsidR="0075640A">
        <w:t xml:space="preserve">in verband met het vastleggen in 2022 van de opdracht aan het RIVM voor de uitvoering van COVID-programma’s. De kasbetalingen hiervan komen </w:t>
      </w:r>
      <w:r w:rsidRPr="0075640A" w:rsidR="009E47A7">
        <w:t>ten laste van</w:t>
      </w:r>
      <w:r w:rsidRPr="0075640A" w:rsidR="0075640A">
        <w:t xml:space="preserve"> het jaar 2023.</w:t>
      </w:r>
      <w:r w:rsidR="0075640A">
        <w:t xml:space="preserve"> Als laatste </w:t>
      </w:r>
      <w:r w:rsidRPr="005535A1">
        <w:t>vind</w:t>
      </w:r>
      <w:r w:rsidR="009E47A7">
        <w:t>t</w:t>
      </w:r>
      <w:r w:rsidRPr="005535A1">
        <w:t xml:space="preserve"> een correctieboeking plaats binnen dit artikel van Gezondheidsbeleid naar Ziektepreventie voor de Covid-19 vaccinatiecampagne 2022. </w:t>
      </w:r>
    </w:p>
    <w:p w:rsidR="005535A1" w:rsidP="00231039" w:rsidRDefault="005535A1" w14:paraId="358150F0" w14:textId="77777777">
      <w:pPr>
        <w:pStyle w:val="Geenafstand"/>
      </w:pPr>
    </w:p>
    <w:p w:rsidR="00C62971" w:rsidP="00231039" w:rsidRDefault="00C62971" w14:paraId="3E1305AF" w14:textId="436FDD15">
      <w:pPr>
        <w:pStyle w:val="Geenafstand"/>
      </w:pPr>
      <w:r>
        <w:t>3. Gezondheidsbevordering</w:t>
      </w:r>
    </w:p>
    <w:p w:rsidR="00C62971" w:rsidP="00231039" w:rsidRDefault="00C62971" w14:paraId="62779533" w14:textId="510BCD21">
      <w:pPr>
        <w:pStyle w:val="Geenafstand"/>
      </w:pPr>
    </w:p>
    <w:p w:rsidRPr="00181318" w:rsidR="00C62971" w:rsidP="00231039" w:rsidRDefault="001B49CB" w14:paraId="4CC94A86" w14:textId="0E04A51D">
      <w:pPr>
        <w:pStyle w:val="Geenafstand"/>
      </w:pPr>
      <w:r>
        <w:t>De verplichtingenruimte</w:t>
      </w:r>
      <w:r w:rsidR="00C62971">
        <w:t xml:space="preserve"> is </w:t>
      </w:r>
      <w:r w:rsidR="00910890">
        <w:t xml:space="preserve">per saldo </w:t>
      </w:r>
      <w:r w:rsidR="00C62971">
        <w:t xml:space="preserve">verhoogd met </w:t>
      </w:r>
      <w:r w:rsidR="001B1118">
        <w:t>€</w:t>
      </w:r>
      <w:r w:rsidR="00DB2DAD">
        <w:t xml:space="preserve"> </w:t>
      </w:r>
      <w:r w:rsidR="00C62971">
        <w:t>22,</w:t>
      </w:r>
      <w:r w:rsidR="009D363B">
        <w:t>3</w:t>
      </w:r>
      <w:r w:rsidR="00C62971">
        <w:t xml:space="preserve"> miljoen. </w:t>
      </w:r>
      <w:r w:rsidR="00007479">
        <w:t xml:space="preserve">Dit betreft voor </w:t>
      </w:r>
      <w:r w:rsidRPr="00A75112" w:rsidR="001B1118">
        <w:rPr>
          <w:color w:val="000000" w:themeColor="text1"/>
        </w:rPr>
        <w:t>€</w:t>
      </w:r>
      <w:r w:rsidR="00DB2DAD">
        <w:rPr>
          <w:color w:val="000000" w:themeColor="text1"/>
        </w:rPr>
        <w:t xml:space="preserve"> </w:t>
      </w:r>
      <w:r w:rsidRPr="00A75112" w:rsidR="00C62971">
        <w:rPr>
          <w:color w:val="000000" w:themeColor="text1"/>
        </w:rPr>
        <w:t>2</w:t>
      </w:r>
      <w:r w:rsidRPr="00A75112" w:rsidR="00AF35E7">
        <w:rPr>
          <w:color w:val="000000" w:themeColor="text1"/>
        </w:rPr>
        <w:t>2,7</w:t>
      </w:r>
      <w:r w:rsidRPr="00A75112" w:rsidR="00C62971">
        <w:rPr>
          <w:color w:val="000000" w:themeColor="text1"/>
        </w:rPr>
        <w:t xml:space="preserve"> miljoen </w:t>
      </w:r>
      <w:r w:rsidR="00007479">
        <w:rPr>
          <w:color w:val="000000" w:themeColor="text1"/>
        </w:rPr>
        <w:t xml:space="preserve">een verhoging </w:t>
      </w:r>
      <w:r w:rsidR="00910890">
        <w:rPr>
          <w:color w:val="000000" w:themeColor="text1"/>
        </w:rPr>
        <w:t>voor</w:t>
      </w:r>
      <w:r w:rsidRPr="00A75112" w:rsidR="00C62971">
        <w:rPr>
          <w:color w:val="000000" w:themeColor="text1"/>
        </w:rPr>
        <w:t xml:space="preserve"> </w:t>
      </w:r>
      <w:r w:rsidRPr="00A75112" w:rsidR="00AF35E7">
        <w:rPr>
          <w:color w:val="000000" w:themeColor="text1"/>
        </w:rPr>
        <w:t xml:space="preserve">het </w:t>
      </w:r>
      <w:r w:rsidRPr="00A75112" w:rsidR="00C62971">
        <w:rPr>
          <w:color w:val="000000" w:themeColor="text1"/>
        </w:rPr>
        <w:t>aangaan van verplichting</w:t>
      </w:r>
      <w:r w:rsidR="00910890">
        <w:rPr>
          <w:color w:val="000000" w:themeColor="text1"/>
        </w:rPr>
        <w:t>en voor</w:t>
      </w:r>
      <w:r w:rsidRPr="00A75112" w:rsidR="00C62971">
        <w:rPr>
          <w:color w:val="000000" w:themeColor="text1"/>
        </w:rPr>
        <w:t xml:space="preserve"> 2023 voor de S</w:t>
      </w:r>
      <w:r w:rsidR="00910890">
        <w:rPr>
          <w:color w:val="000000" w:themeColor="text1"/>
        </w:rPr>
        <w:t>pecifieke uitkeringen</w:t>
      </w:r>
      <w:r w:rsidRPr="00A75112" w:rsidR="00C62971">
        <w:rPr>
          <w:color w:val="000000" w:themeColor="text1"/>
        </w:rPr>
        <w:t xml:space="preserve"> A</w:t>
      </w:r>
      <w:r w:rsidR="00910890">
        <w:rPr>
          <w:color w:val="000000" w:themeColor="text1"/>
        </w:rPr>
        <w:t xml:space="preserve">anvullende Seksuele Gezondheid </w:t>
      </w:r>
      <w:r w:rsidR="00675F4B">
        <w:rPr>
          <w:color w:val="000000" w:themeColor="text1"/>
        </w:rPr>
        <w:t>(</w:t>
      </w:r>
      <w:r w:rsidRPr="00A75112" w:rsidR="00C62971">
        <w:rPr>
          <w:color w:val="000000" w:themeColor="text1"/>
        </w:rPr>
        <w:t>ASG</w:t>
      </w:r>
      <w:r w:rsidR="00910890">
        <w:rPr>
          <w:color w:val="000000" w:themeColor="text1"/>
        </w:rPr>
        <w:t xml:space="preserve">) </w:t>
      </w:r>
      <w:r w:rsidRPr="00A75112" w:rsidR="00C62971">
        <w:rPr>
          <w:color w:val="000000" w:themeColor="text1"/>
        </w:rPr>
        <w:t xml:space="preserve">en PrEP. </w:t>
      </w:r>
    </w:p>
    <w:p w:rsidRPr="00181318" w:rsidR="00983457" w:rsidP="00B8321D" w:rsidRDefault="00983457" w14:paraId="4937D78C" w14:textId="77777777">
      <w:pPr>
        <w:pStyle w:val="Geenafstand"/>
        <w:spacing w:line="276" w:lineRule="auto"/>
      </w:pPr>
    </w:p>
    <w:p w:rsidRPr="00181318" w:rsidR="000715DB" w:rsidP="00B8321D" w:rsidRDefault="000715DB" w14:paraId="4E059EE8" w14:textId="77777777">
      <w:pPr>
        <w:pStyle w:val="Geenafstand"/>
      </w:pPr>
      <w:r w:rsidRPr="00181318">
        <w:t>4. Ethiek</w:t>
      </w:r>
    </w:p>
    <w:p w:rsidRPr="00181318" w:rsidR="000715DB" w:rsidP="00B8321D" w:rsidRDefault="000715DB" w14:paraId="48AE083E" w14:textId="77777777">
      <w:pPr>
        <w:pStyle w:val="Geenafstand"/>
      </w:pPr>
    </w:p>
    <w:p w:rsidRPr="00487D6A" w:rsidR="000715DB" w:rsidP="00761839" w:rsidRDefault="00823EF2" w14:paraId="3EC26C33" w14:textId="44EAA7E3">
      <w:pPr>
        <w:pStyle w:val="Geenafstand"/>
        <w:rPr>
          <w:color w:val="000000" w:themeColor="text1"/>
        </w:rPr>
      </w:pPr>
      <w:r w:rsidRPr="00487D6A">
        <w:rPr>
          <w:color w:val="000000" w:themeColor="text1"/>
        </w:rPr>
        <w:t xml:space="preserve">Op </w:t>
      </w:r>
      <w:r w:rsidR="00997585">
        <w:rPr>
          <w:color w:val="000000" w:themeColor="text1"/>
        </w:rPr>
        <w:t xml:space="preserve">dit artikelonderdeel </w:t>
      </w:r>
      <w:r w:rsidRPr="00487D6A">
        <w:rPr>
          <w:color w:val="000000" w:themeColor="text1"/>
        </w:rPr>
        <w:t>is de verplichtingenruimte verhoogd met €</w:t>
      </w:r>
      <w:r w:rsidRPr="00487D6A" w:rsidR="00DB2DAD">
        <w:rPr>
          <w:color w:val="000000" w:themeColor="text1"/>
        </w:rPr>
        <w:t xml:space="preserve"> </w:t>
      </w:r>
      <w:r w:rsidRPr="00487D6A" w:rsidR="00C62971">
        <w:rPr>
          <w:color w:val="000000" w:themeColor="text1"/>
        </w:rPr>
        <w:t>3,</w:t>
      </w:r>
      <w:r w:rsidRPr="00487D6A" w:rsidR="005D4194">
        <w:rPr>
          <w:color w:val="000000" w:themeColor="text1"/>
        </w:rPr>
        <w:t>7</w:t>
      </w:r>
      <w:r w:rsidRPr="00487D6A">
        <w:rPr>
          <w:color w:val="000000" w:themeColor="text1"/>
        </w:rPr>
        <w:t xml:space="preserve"> miljoen</w:t>
      </w:r>
      <w:r w:rsidRPr="00487D6A" w:rsidR="00C62971">
        <w:rPr>
          <w:color w:val="000000" w:themeColor="text1"/>
        </w:rPr>
        <w:t xml:space="preserve"> </w:t>
      </w:r>
      <w:r w:rsidRPr="00487D6A">
        <w:rPr>
          <w:color w:val="000000" w:themeColor="text1"/>
        </w:rPr>
        <w:t>voor de vastlegging van de</w:t>
      </w:r>
      <w:r w:rsidR="00910890">
        <w:rPr>
          <w:color w:val="000000" w:themeColor="text1"/>
        </w:rPr>
        <w:t xml:space="preserve"> verplichtingen </w:t>
      </w:r>
      <w:r w:rsidR="00997585">
        <w:rPr>
          <w:color w:val="000000" w:themeColor="text1"/>
        </w:rPr>
        <w:t>in het kader van</w:t>
      </w:r>
      <w:r w:rsidR="00910890">
        <w:rPr>
          <w:color w:val="000000" w:themeColor="text1"/>
        </w:rPr>
        <w:t xml:space="preserve"> de </w:t>
      </w:r>
      <w:r w:rsidRPr="00487D6A" w:rsidR="00C62971">
        <w:rPr>
          <w:color w:val="000000" w:themeColor="text1"/>
        </w:rPr>
        <w:t xml:space="preserve">Subsidieregeling </w:t>
      </w:r>
      <w:r w:rsidRPr="00910890" w:rsidR="00910890">
        <w:rPr>
          <w:color w:val="000000" w:themeColor="text1"/>
        </w:rPr>
        <w:t>Kunstmatige inseminatie met donorsemen (KID)</w:t>
      </w:r>
      <w:r w:rsidR="00997585">
        <w:rPr>
          <w:color w:val="000000" w:themeColor="text1"/>
        </w:rPr>
        <w:t xml:space="preserve"> </w:t>
      </w:r>
      <w:r w:rsidRPr="00487D6A" w:rsidR="00C62971">
        <w:rPr>
          <w:color w:val="000000" w:themeColor="text1"/>
        </w:rPr>
        <w:t xml:space="preserve">2023 en de verplichting </w:t>
      </w:r>
      <w:r w:rsidR="00910890">
        <w:rPr>
          <w:color w:val="000000" w:themeColor="text1"/>
        </w:rPr>
        <w:t xml:space="preserve">voor </w:t>
      </w:r>
      <w:r w:rsidRPr="00487D6A" w:rsidR="00675F4B">
        <w:rPr>
          <w:color w:val="000000" w:themeColor="text1"/>
        </w:rPr>
        <w:t>het toekomstig bestendig maken van het KIDS-registratiesysteem</w:t>
      </w:r>
      <w:r w:rsidR="00675F4B">
        <w:rPr>
          <w:color w:val="000000" w:themeColor="text1"/>
        </w:rPr>
        <w:t xml:space="preserve"> in 2023 bij het CIBG.</w:t>
      </w:r>
      <w:r w:rsidRPr="00487D6A" w:rsidR="00C62971">
        <w:rPr>
          <w:color w:val="000000" w:themeColor="text1"/>
        </w:rPr>
        <w:t xml:space="preserve"> </w:t>
      </w:r>
    </w:p>
    <w:p w:rsidRPr="00181318" w:rsidR="00823EF2" w:rsidP="00B8321D" w:rsidRDefault="00823EF2" w14:paraId="3B64D745" w14:textId="77777777">
      <w:pPr>
        <w:pStyle w:val="Geenafstand"/>
        <w:spacing w:line="276" w:lineRule="auto"/>
        <w:rPr>
          <w:b/>
        </w:rPr>
      </w:pPr>
    </w:p>
    <w:p w:rsidR="00554A30" w:rsidP="00B8321D" w:rsidRDefault="00554A30" w14:paraId="2DE5D7E0" w14:textId="77777777">
      <w:pPr>
        <w:pStyle w:val="Geenafstand"/>
        <w:spacing w:line="276" w:lineRule="auto"/>
        <w:rPr>
          <w:b/>
        </w:rPr>
      </w:pPr>
    </w:p>
    <w:p w:rsidRPr="00181318" w:rsidR="00DA7647" w:rsidP="00B8321D" w:rsidRDefault="000715DB" w14:paraId="472433FF" w14:textId="0DCA8891">
      <w:pPr>
        <w:pStyle w:val="Geenafstand"/>
        <w:spacing w:line="276" w:lineRule="auto"/>
        <w:rPr>
          <w:b/>
        </w:rPr>
      </w:pPr>
      <w:r w:rsidRPr="00181318">
        <w:rPr>
          <w:b/>
        </w:rPr>
        <w:t>Artikel 2 Curatieve zorg</w:t>
      </w:r>
    </w:p>
    <w:p w:rsidRPr="00181318" w:rsidR="001C36DD" w:rsidP="00B8321D" w:rsidRDefault="001C36DD" w14:paraId="732545AA" w14:textId="27956A92">
      <w:pPr>
        <w:pStyle w:val="Geenafstand"/>
        <w:spacing w:line="276" w:lineRule="auto"/>
        <w:rPr>
          <w:b/>
        </w:rPr>
      </w:pPr>
    </w:p>
    <w:p w:rsidRPr="00181318" w:rsidR="00F765C9" w:rsidP="00B8321D" w:rsidRDefault="00F765C9" w14:paraId="2A26286D" w14:textId="52ADD8E4">
      <w:pPr>
        <w:pStyle w:val="Geenafstand"/>
      </w:pPr>
      <w:r w:rsidRPr="00181318">
        <w:t>1. Kwaliteit, toegankelijkheid en betaalbaarheid van de zorg</w:t>
      </w:r>
    </w:p>
    <w:p w:rsidRPr="00181318" w:rsidR="00F765C9" w:rsidP="00B8321D" w:rsidRDefault="00F765C9" w14:paraId="726689C7" w14:textId="77777777">
      <w:pPr>
        <w:pStyle w:val="Geenafstand"/>
        <w:rPr>
          <w:b/>
        </w:rPr>
      </w:pPr>
    </w:p>
    <w:p w:rsidR="00CD47D9" w:rsidP="00E133FB" w:rsidRDefault="00997585" w14:paraId="0A9B0251" w14:textId="64DCE7DF">
      <w:pPr>
        <w:pStyle w:val="Geenafstand"/>
      </w:pPr>
      <w:r>
        <w:t>Op</w:t>
      </w:r>
      <w:r w:rsidR="001212DB">
        <w:t xml:space="preserve"> dit artikelonderdeel is de verplichtingenruimte met </w:t>
      </w:r>
      <w:r w:rsidR="002921E8">
        <w:t>€</w:t>
      </w:r>
      <w:r w:rsidR="00DB2DAD">
        <w:t xml:space="preserve"> </w:t>
      </w:r>
      <w:r w:rsidR="001212DB">
        <w:t>1</w:t>
      </w:r>
      <w:r w:rsidR="001447DD">
        <w:t>0</w:t>
      </w:r>
      <w:r w:rsidR="001212DB">
        <w:t xml:space="preserve"> miljoen verhoogd. </w:t>
      </w:r>
      <w:r w:rsidRPr="00181318" w:rsidR="000C47A6">
        <w:t xml:space="preserve">Hieronder valt een correctie van </w:t>
      </w:r>
      <w:r w:rsidR="002921E8">
        <w:t>€</w:t>
      </w:r>
      <w:r w:rsidR="00DB2DAD">
        <w:t xml:space="preserve"> </w:t>
      </w:r>
      <w:r w:rsidR="001212DB">
        <w:t xml:space="preserve">14,3 miljoen </w:t>
      </w:r>
      <w:r w:rsidR="00DA7F2B">
        <w:t>ten behoeve van</w:t>
      </w:r>
      <w:r w:rsidR="001212DB">
        <w:t xml:space="preserve"> twee meerjarige projectsubsidies </w:t>
      </w:r>
      <w:r w:rsidR="005D4194">
        <w:t xml:space="preserve">die </w:t>
      </w:r>
      <w:r w:rsidR="001212DB">
        <w:t>verstrekt</w:t>
      </w:r>
      <w:r w:rsidR="005D4194">
        <w:t xml:space="preserve"> zijn</w:t>
      </w:r>
      <w:r w:rsidR="001212DB">
        <w:t xml:space="preserve"> voor de kickstart medicatie-overdracht. </w:t>
      </w:r>
      <w:r w:rsidR="005D4194">
        <w:t>Deze v</w:t>
      </w:r>
      <w:r w:rsidR="001212DB">
        <w:t xml:space="preserve">erplichtingenruimte </w:t>
      </w:r>
      <w:r w:rsidR="005D4194">
        <w:t xml:space="preserve">wordt </w:t>
      </w:r>
      <w:r w:rsidR="001212DB">
        <w:t xml:space="preserve">uit latere jaren naar voren gehaald. </w:t>
      </w:r>
      <w:r w:rsidR="002921E8">
        <w:t>Daarnaast vind</w:t>
      </w:r>
      <w:r w:rsidR="00127705">
        <w:t>t</w:t>
      </w:r>
      <w:r w:rsidR="002921E8">
        <w:t xml:space="preserve"> de eerdergenoemde overheveling naar artikel 1 plaats van €</w:t>
      </w:r>
      <w:r w:rsidR="00DB2DAD">
        <w:t xml:space="preserve"> </w:t>
      </w:r>
      <w:r w:rsidR="002921E8">
        <w:t>2 miljoen</w:t>
      </w:r>
      <w:r w:rsidR="00007479">
        <w:t xml:space="preserve"> voor de uitvoering van FAST-activiteiten</w:t>
      </w:r>
      <w:r w:rsidR="002921E8">
        <w:t xml:space="preserve">. </w:t>
      </w:r>
      <w:r w:rsidR="00856B3D">
        <w:t>Onder andere</w:t>
      </w:r>
      <w:r w:rsidR="00A75112">
        <w:t xml:space="preserve"> hierdoor wordt het kasbudget met €</w:t>
      </w:r>
      <w:r w:rsidR="00DB2DAD">
        <w:t xml:space="preserve"> </w:t>
      </w:r>
      <w:r w:rsidR="001447DD">
        <w:t>4,3</w:t>
      </w:r>
      <w:r w:rsidR="00A75112">
        <w:t xml:space="preserve"> miljoen verlaagd.</w:t>
      </w:r>
      <w:r w:rsidR="00DB2DAD">
        <w:t xml:space="preserve"> </w:t>
      </w:r>
    </w:p>
    <w:p w:rsidR="005F4E6D" w:rsidP="005F4E6D" w:rsidRDefault="005F4E6D" w14:paraId="541D7CBE" w14:textId="77777777">
      <w:pPr>
        <w:spacing w:line="240" w:lineRule="auto"/>
        <w:rPr>
          <w:lang w:val="nl-NL"/>
        </w:rPr>
      </w:pPr>
    </w:p>
    <w:p w:rsidRPr="00181318" w:rsidR="008F699D" w:rsidP="00307FA0" w:rsidRDefault="00BA23E5" w14:paraId="508A0401" w14:textId="02CED712">
      <w:pPr>
        <w:rPr>
          <w:lang w:val="nl-NL"/>
        </w:rPr>
      </w:pPr>
      <w:r w:rsidRPr="00181318">
        <w:rPr>
          <w:lang w:val="nl-NL"/>
        </w:rPr>
        <w:t>3. On</w:t>
      </w:r>
      <w:r w:rsidRPr="00181318" w:rsidR="00307FA0">
        <w:rPr>
          <w:lang w:val="nl-NL"/>
        </w:rPr>
        <w:t>dersteuning van het zorgstelsel</w:t>
      </w:r>
    </w:p>
    <w:p w:rsidRPr="00975C6A" w:rsidR="00457F6F" w:rsidP="00E133FB" w:rsidRDefault="0022728E" w14:paraId="42DDC3DF" w14:textId="3BF3623B">
      <w:pPr>
        <w:pStyle w:val="Geenafstand"/>
      </w:pPr>
      <w:r>
        <w:t xml:space="preserve">Binnen dit artikelonderdeel vinden een aantal verplichtingenmutaties plaats. </w:t>
      </w:r>
      <w:r w:rsidRPr="00975C6A" w:rsidR="00C01DB5">
        <w:t>O</w:t>
      </w:r>
      <w:r>
        <w:t>nder andere o</w:t>
      </w:r>
      <w:r w:rsidRPr="00975C6A" w:rsidR="00C01DB5">
        <w:t xml:space="preserve">mdat de afhandeling van de </w:t>
      </w:r>
      <w:r w:rsidRPr="00975C6A" w:rsidR="0013429F">
        <w:t xml:space="preserve">bijdragen </w:t>
      </w:r>
      <w:r w:rsidRPr="00975C6A" w:rsidR="00C01DB5">
        <w:t>FLO/VUT</w:t>
      </w:r>
      <w:r w:rsidRPr="00975C6A" w:rsidR="0013429F">
        <w:t xml:space="preserve"> 2023</w:t>
      </w:r>
      <w:r w:rsidRPr="00975C6A" w:rsidR="001170B0">
        <w:t>-</w:t>
      </w:r>
      <w:r w:rsidRPr="00975C6A" w:rsidR="00C01DB5">
        <w:t xml:space="preserve">aanvragen pas in 2023 plaatsvindt, </w:t>
      </w:r>
      <w:r w:rsidR="00675F4B">
        <w:t>wordt er</w:t>
      </w:r>
      <w:r w:rsidRPr="00975C6A" w:rsidR="00C01DB5">
        <w:t xml:space="preserve"> </w:t>
      </w:r>
      <w:r w:rsidR="001447DD">
        <w:t xml:space="preserve">       </w:t>
      </w:r>
      <w:r w:rsidRPr="00975C6A" w:rsidR="005D4194">
        <w:t>€</w:t>
      </w:r>
      <w:r w:rsidR="00675F4B">
        <w:t xml:space="preserve"> </w:t>
      </w:r>
      <w:r w:rsidRPr="00975C6A" w:rsidR="00C01DB5">
        <w:t>20,7 miljoen verplichtingen</w:t>
      </w:r>
      <w:r w:rsidR="00675F4B">
        <w:t xml:space="preserve">ruimte </w:t>
      </w:r>
      <w:r w:rsidR="009E47A7">
        <w:t xml:space="preserve">van 2022 </w:t>
      </w:r>
      <w:r w:rsidR="00675F4B">
        <w:t>doorgeschoven naar 2023</w:t>
      </w:r>
      <w:r w:rsidR="009E47A7">
        <w:t>.</w:t>
      </w:r>
    </w:p>
    <w:p w:rsidRPr="00975C6A" w:rsidR="00457F6F" w:rsidP="00E133FB" w:rsidRDefault="00457F6F" w14:paraId="5E10ED20" w14:textId="77777777">
      <w:pPr>
        <w:pStyle w:val="Geenafstand"/>
      </w:pPr>
    </w:p>
    <w:p w:rsidRPr="00975C6A" w:rsidR="001C7D05" w:rsidP="00E133FB" w:rsidRDefault="0022728E" w14:paraId="3B1D31AE" w14:textId="7D841A29">
      <w:pPr>
        <w:pStyle w:val="Geenafstand"/>
      </w:pPr>
      <w:r>
        <w:t xml:space="preserve">Daarnaast wordt </w:t>
      </w:r>
      <w:r w:rsidR="009E47A7">
        <w:t>€ 7,7 miljoen aan verplichtingenruimte voor</w:t>
      </w:r>
      <w:r w:rsidR="00795006">
        <w:t xml:space="preserve"> Veelbelovende Zorg (VEZO) </w:t>
      </w:r>
      <w:r>
        <w:t>m</w:t>
      </w:r>
      <w:r w:rsidRPr="00975C6A" w:rsidR="002F14C2">
        <w:t>et betrekking tot Eurocross</w:t>
      </w:r>
      <w:r w:rsidR="00007479">
        <w:t xml:space="preserve"> </w:t>
      </w:r>
      <w:r w:rsidRPr="00975C6A" w:rsidR="002F14C2">
        <w:t>naar voren gehaald</w:t>
      </w:r>
      <w:r w:rsidR="009E47A7">
        <w:t>.</w:t>
      </w:r>
    </w:p>
    <w:p w:rsidRPr="00975C6A" w:rsidR="001B1118" w:rsidP="00E133FB" w:rsidRDefault="001B1118" w14:paraId="50E8BEEA" w14:textId="1D831A2A">
      <w:pPr>
        <w:pStyle w:val="Geenafstand"/>
      </w:pPr>
    </w:p>
    <w:p w:rsidR="003547DB" w:rsidP="003547DB" w:rsidRDefault="003547DB" w14:paraId="20FB55EB" w14:textId="03E7570E">
      <w:pPr>
        <w:pStyle w:val="Geenafstand"/>
      </w:pPr>
      <w:r w:rsidRPr="00975C6A">
        <w:t xml:space="preserve">Tot slot vindt de </w:t>
      </w:r>
      <w:r w:rsidR="00795006">
        <w:t xml:space="preserve">bij artikel 1 </w:t>
      </w:r>
      <w:r w:rsidRPr="00975C6A">
        <w:t>genoemde overheveling naar artikel 1 plaats van € 2,9 miljoen</w:t>
      </w:r>
      <w:r w:rsidR="00007479">
        <w:t xml:space="preserve"> voor het programma</w:t>
      </w:r>
      <w:r w:rsidR="00152AB6">
        <w:t xml:space="preserve"> de Juiste Zorg op de Juiste Plek.</w:t>
      </w:r>
    </w:p>
    <w:p w:rsidR="00FF6110" w:rsidP="000C6B1B" w:rsidRDefault="00FF6110" w14:paraId="1DA0FA8F" w14:textId="7D49C52C">
      <w:pPr>
        <w:pStyle w:val="Geenafstand"/>
        <w:spacing w:line="276" w:lineRule="auto"/>
        <w:rPr>
          <w:b/>
        </w:rPr>
      </w:pPr>
    </w:p>
    <w:p w:rsidR="009E47A7" w:rsidP="000C6B1B" w:rsidRDefault="009E47A7" w14:paraId="43730023" w14:textId="77777777">
      <w:pPr>
        <w:pStyle w:val="Geenafstand"/>
        <w:spacing w:line="276" w:lineRule="auto"/>
        <w:rPr>
          <w:b/>
        </w:rPr>
      </w:pPr>
    </w:p>
    <w:p w:rsidRPr="00E01CCB" w:rsidR="000C6B1B" w:rsidP="000C6B1B" w:rsidRDefault="000C6B1B" w14:paraId="210C778B" w14:textId="4FEC9DEA">
      <w:pPr>
        <w:pStyle w:val="Geenafstand"/>
        <w:spacing w:line="276" w:lineRule="auto"/>
        <w:rPr>
          <w:rFonts w:cstheme="minorHAnsi"/>
          <w:b/>
        </w:rPr>
      </w:pPr>
      <w:r w:rsidRPr="00E01CCB">
        <w:rPr>
          <w:b/>
        </w:rPr>
        <w:t xml:space="preserve">Artikel 3 </w:t>
      </w:r>
      <w:r w:rsidRPr="00E01CCB">
        <w:rPr>
          <w:rFonts w:cstheme="minorHAnsi"/>
          <w:b/>
        </w:rPr>
        <w:t>Langdurige zorg en ondersteuning</w:t>
      </w:r>
    </w:p>
    <w:p w:rsidR="000C6B1B" w:rsidP="000C6B1B" w:rsidRDefault="000C6B1B" w14:paraId="7652D507" w14:textId="77777777">
      <w:pPr>
        <w:pStyle w:val="Geenafstand"/>
        <w:spacing w:line="276" w:lineRule="auto"/>
      </w:pPr>
    </w:p>
    <w:p w:rsidRPr="00181318" w:rsidR="000C6B1B" w:rsidP="000C6B1B" w:rsidRDefault="000C6B1B" w14:paraId="2E7662C0" w14:textId="70DDF6C7">
      <w:pPr>
        <w:rPr>
          <w:lang w:val="nl-NL"/>
        </w:rPr>
      </w:pPr>
      <w:bookmarkStart w:name="_Hlk121396443" w:id="0"/>
      <w:r w:rsidRPr="00181318">
        <w:rPr>
          <w:lang w:val="nl-NL"/>
        </w:rPr>
        <w:t>2. Zorgdragen voor langdurige zorg tegen maatschappelijk aanvaardbare kosten</w:t>
      </w:r>
    </w:p>
    <w:p w:rsidR="00613487" w:rsidP="000C6B1B" w:rsidRDefault="000C6B1B" w14:paraId="755A89A0" w14:textId="2DD9084C">
      <w:pPr>
        <w:pStyle w:val="Geenafstand"/>
      </w:pPr>
      <w:bookmarkStart w:name="_Hlk121397721" w:id="1"/>
      <w:r w:rsidRPr="00181318">
        <w:t xml:space="preserve">Het </w:t>
      </w:r>
      <w:r w:rsidR="00BE2DC1">
        <w:t>kas</w:t>
      </w:r>
      <w:r w:rsidR="001B49CB">
        <w:t>budget</w:t>
      </w:r>
      <w:r w:rsidR="001447DD">
        <w:t xml:space="preserve"> en verplichtingenruimte</w:t>
      </w:r>
      <w:r w:rsidR="000C2456">
        <w:t xml:space="preserve"> </w:t>
      </w:r>
      <w:r w:rsidR="00531995">
        <w:t>binnen</w:t>
      </w:r>
      <w:r w:rsidRPr="00181318">
        <w:t xml:space="preserve"> dit artikelonderdeel is </w:t>
      </w:r>
      <w:r>
        <w:t>verlaagd</w:t>
      </w:r>
      <w:r w:rsidRPr="00181318">
        <w:t xml:space="preserve"> met </w:t>
      </w:r>
      <w:r w:rsidRPr="000C6B1B">
        <w:rPr>
          <w:color w:val="000000" w:themeColor="text1"/>
        </w:rPr>
        <w:t>€</w:t>
      </w:r>
      <w:r w:rsidR="00B67F94">
        <w:rPr>
          <w:color w:val="000000" w:themeColor="text1"/>
        </w:rPr>
        <w:t xml:space="preserve"> </w:t>
      </w:r>
      <w:r w:rsidR="00813466">
        <w:rPr>
          <w:color w:val="000000" w:themeColor="text1"/>
        </w:rPr>
        <w:t>4,0</w:t>
      </w:r>
      <w:r w:rsidRPr="000C6B1B">
        <w:rPr>
          <w:color w:val="000000" w:themeColor="text1"/>
        </w:rPr>
        <w:t xml:space="preserve"> miljoen</w:t>
      </w:r>
      <w:r w:rsidRPr="00181318">
        <w:t xml:space="preserve">. Deze </w:t>
      </w:r>
      <w:r w:rsidR="00531995">
        <w:t>mutatie</w:t>
      </w:r>
      <w:r w:rsidRPr="00181318">
        <w:t xml:space="preserve"> </w:t>
      </w:r>
      <w:r w:rsidR="00531995">
        <w:t>houdt verband</w:t>
      </w:r>
      <w:r w:rsidRPr="00181318">
        <w:t xml:space="preserve"> </w:t>
      </w:r>
      <w:r w:rsidR="00531995">
        <w:t>met de overgang van</w:t>
      </w:r>
      <w:r>
        <w:t xml:space="preserve"> </w:t>
      </w:r>
      <w:r w:rsidR="00531995">
        <w:t>de opdracht voor</w:t>
      </w:r>
      <w:r w:rsidR="00BE2DC1">
        <w:t xml:space="preserve"> </w:t>
      </w:r>
      <w:r w:rsidR="00B67F94">
        <w:t>de</w:t>
      </w:r>
      <w:r>
        <w:t xml:space="preserve"> doorontwikkeling en beheer van PGB2.0 van ICTU</w:t>
      </w:r>
      <w:r w:rsidR="00531995">
        <w:t xml:space="preserve"> naar RDO</w:t>
      </w:r>
      <w:r>
        <w:t>.</w:t>
      </w:r>
      <w:r w:rsidR="00531995">
        <w:t xml:space="preserve"> In plaats van een opdracht zal sprake zijn van inhuur (zie ook </w:t>
      </w:r>
      <w:r w:rsidR="00795006">
        <w:t xml:space="preserve">de </w:t>
      </w:r>
      <w:r w:rsidR="00D632E2">
        <w:t xml:space="preserve">toelichting bij </w:t>
      </w:r>
      <w:r w:rsidR="00531995">
        <w:t>artikel 10).</w:t>
      </w:r>
    </w:p>
    <w:bookmarkEnd w:id="1"/>
    <w:p w:rsidR="00613487" w:rsidP="000C6B1B" w:rsidRDefault="00613487" w14:paraId="23DC6DEC" w14:textId="77777777">
      <w:pPr>
        <w:pStyle w:val="Geenafstand"/>
      </w:pPr>
    </w:p>
    <w:p w:rsidRPr="00181318" w:rsidR="000C2456" w:rsidP="000C6B1B" w:rsidRDefault="00B029FD" w14:paraId="2D7E4E74" w14:textId="58A09F3E">
      <w:pPr>
        <w:pStyle w:val="Geenafstand"/>
      </w:pPr>
      <w:r>
        <w:t xml:space="preserve">Daarnaast is </w:t>
      </w:r>
      <w:r w:rsidR="001B49CB">
        <w:t xml:space="preserve">de verplichtingenruimte </w:t>
      </w:r>
      <w:r w:rsidR="000C2456">
        <w:t>op het beleidsinstrument bijdrage</w:t>
      </w:r>
      <w:r w:rsidR="00795006">
        <w:t>n</w:t>
      </w:r>
      <w:r w:rsidR="000C2456">
        <w:t xml:space="preserve"> aan ZBO/RWT’s verhoogd met €</w:t>
      </w:r>
      <w:r w:rsidR="00DB2DAD">
        <w:t xml:space="preserve"> </w:t>
      </w:r>
      <w:r w:rsidR="000C2456">
        <w:t xml:space="preserve">114,8 miljoen om verplichtingen aan te kunnen gaan voor het </w:t>
      </w:r>
      <w:r w:rsidR="00152AB6">
        <w:t>Centrum Indicatiestelling Zorg (</w:t>
      </w:r>
      <w:r w:rsidR="000C2456">
        <w:t>CIZ</w:t>
      </w:r>
      <w:r w:rsidR="00152AB6">
        <w:t xml:space="preserve">) </w:t>
      </w:r>
      <w:r w:rsidR="00EC2D69">
        <w:t xml:space="preserve">in 2022 </w:t>
      </w:r>
      <w:r w:rsidR="00152AB6">
        <w:t>voor de uitvoering in 2023</w:t>
      </w:r>
      <w:r w:rsidR="000C2456">
        <w:t xml:space="preserve">. </w:t>
      </w:r>
    </w:p>
    <w:bookmarkEnd w:id="0"/>
    <w:p w:rsidR="000C6B1B" w:rsidP="00B8321D" w:rsidRDefault="000C6B1B" w14:paraId="5EA3DA95" w14:textId="77777777">
      <w:pPr>
        <w:rPr>
          <w:b/>
          <w:lang w:val="nl-NL"/>
        </w:rPr>
      </w:pPr>
    </w:p>
    <w:p w:rsidRPr="00AE26A0" w:rsidR="00FB1F39" w:rsidP="00B8321D" w:rsidRDefault="00E40A00" w14:paraId="495B7D9F" w14:textId="35D07A99">
      <w:pPr>
        <w:rPr>
          <w:b/>
          <w:lang w:val="nl-NL"/>
        </w:rPr>
      </w:pPr>
      <w:r w:rsidRPr="00181318">
        <w:rPr>
          <w:b/>
          <w:lang w:val="nl-NL"/>
        </w:rPr>
        <w:t>Ar</w:t>
      </w:r>
      <w:r w:rsidRPr="00181318" w:rsidR="000715DB">
        <w:rPr>
          <w:b/>
          <w:lang w:val="nl-NL"/>
        </w:rPr>
        <w:t>tikel 4 Zorgbreed beleid</w:t>
      </w:r>
      <w:r w:rsidRPr="00AF5373" w:rsidR="00626B65">
        <w:rPr>
          <w:i/>
          <w:iCs/>
          <w:lang w:val="nl-NL"/>
        </w:rPr>
        <w:t xml:space="preserve"> </w:t>
      </w:r>
    </w:p>
    <w:p w:rsidRPr="00181318" w:rsidR="00ED594D" w:rsidP="00B8321D" w:rsidRDefault="000715DB" w14:paraId="1114E3EF" w14:textId="0CF28882">
      <w:pPr>
        <w:rPr>
          <w:lang w:val="nl-NL"/>
        </w:rPr>
      </w:pPr>
      <w:r w:rsidRPr="00181318">
        <w:rPr>
          <w:lang w:val="nl-NL"/>
        </w:rPr>
        <w:t>3. Informatiebeleid</w:t>
      </w:r>
    </w:p>
    <w:p w:rsidR="00ED594D" w:rsidP="00E133FB" w:rsidRDefault="00ED594D" w14:paraId="7B7213FF" w14:textId="3E385897">
      <w:pPr>
        <w:pStyle w:val="Geenafstand"/>
        <w:rPr>
          <w:color w:val="000000" w:themeColor="text1"/>
        </w:rPr>
      </w:pPr>
      <w:r w:rsidRPr="00181318">
        <w:t xml:space="preserve">Op het instrument bijdragen aan agentschappen en subsidies </w:t>
      </w:r>
      <w:r w:rsidR="00915077">
        <w:t xml:space="preserve">is </w:t>
      </w:r>
      <w:r w:rsidRPr="00181318">
        <w:t xml:space="preserve">in het kader van informatiebeleid een bedrag van respectievelijk € </w:t>
      </w:r>
      <w:r w:rsidR="00C01DB5">
        <w:t>3,5</w:t>
      </w:r>
      <w:r w:rsidRPr="00181318">
        <w:t xml:space="preserve"> miljoen en € </w:t>
      </w:r>
      <w:r w:rsidR="00C01DB5">
        <w:t>2,3</w:t>
      </w:r>
      <w:r w:rsidRPr="00181318">
        <w:t xml:space="preserve"> miljoen aan verplichtingenruimte naar voren gehaald om verplichtingen voor 202</w:t>
      </w:r>
      <w:r w:rsidR="00C01DB5">
        <w:t>3</w:t>
      </w:r>
      <w:r w:rsidRPr="00181318">
        <w:t xml:space="preserve"> in 202</w:t>
      </w:r>
      <w:r w:rsidR="00C01DB5">
        <w:t>2</w:t>
      </w:r>
      <w:r w:rsidRPr="00181318">
        <w:t xml:space="preserve"> vast te kunnen leggen</w:t>
      </w:r>
      <w:r w:rsidR="008D1A39">
        <w:t>.</w:t>
      </w:r>
      <w:r w:rsidR="00136211">
        <w:rPr>
          <w:color w:val="000000" w:themeColor="text1"/>
        </w:rPr>
        <w:t xml:space="preserve"> </w:t>
      </w:r>
      <w:r w:rsidR="00856B3D">
        <w:rPr>
          <w:color w:val="000000" w:themeColor="text1"/>
        </w:rPr>
        <w:t xml:space="preserve">In totaal leidt dit tot een verhoging van </w:t>
      </w:r>
      <w:r w:rsidR="001B49CB">
        <w:rPr>
          <w:color w:val="000000" w:themeColor="text1"/>
        </w:rPr>
        <w:t>de verplichtingenruimte</w:t>
      </w:r>
      <w:r w:rsidR="00856B3D">
        <w:rPr>
          <w:color w:val="000000" w:themeColor="text1"/>
        </w:rPr>
        <w:t xml:space="preserve"> van €</w:t>
      </w:r>
      <w:r w:rsidR="00DB2DAD">
        <w:rPr>
          <w:color w:val="000000" w:themeColor="text1"/>
        </w:rPr>
        <w:t xml:space="preserve"> </w:t>
      </w:r>
      <w:r w:rsidR="0075640A">
        <w:rPr>
          <w:color w:val="000000" w:themeColor="text1"/>
        </w:rPr>
        <w:t>5,8</w:t>
      </w:r>
      <w:r w:rsidR="00856B3D">
        <w:rPr>
          <w:color w:val="000000" w:themeColor="text1"/>
        </w:rPr>
        <w:t xml:space="preserve"> miljoen.</w:t>
      </w:r>
    </w:p>
    <w:p w:rsidR="000C6B1B" w:rsidP="00E133FB" w:rsidRDefault="000C6B1B" w14:paraId="5C8101C6" w14:textId="5C2DE970">
      <w:pPr>
        <w:pStyle w:val="Geenafstand"/>
        <w:rPr>
          <w:color w:val="000000" w:themeColor="text1"/>
        </w:rPr>
      </w:pPr>
    </w:p>
    <w:p w:rsidR="000C6B1B" w:rsidP="00E133FB" w:rsidRDefault="000C6B1B" w14:paraId="686145BA" w14:textId="4623737E">
      <w:pPr>
        <w:pStyle w:val="Geenafstand"/>
      </w:pPr>
      <w:r w:rsidRPr="00533EB4">
        <w:t>4. Inrichting Zorgstelsel</w:t>
      </w:r>
    </w:p>
    <w:p w:rsidR="000C6B1B" w:rsidP="00E133FB" w:rsidRDefault="000C6B1B" w14:paraId="59129472" w14:textId="38D5B3EE">
      <w:pPr>
        <w:pStyle w:val="Geenafstand"/>
      </w:pPr>
    </w:p>
    <w:p w:rsidR="000C6B1B" w:rsidP="000C6B1B" w:rsidRDefault="000C6B1B" w14:paraId="61F5FE65" w14:textId="73425A04">
      <w:pPr>
        <w:pStyle w:val="Geenafstand"/>
      </w:pPr>
      <w:r w:rsidRPr="00181318">
        <w:t xml:space="preserve">Voor </w:t>
      </w:r>
      <w:r w:rsidR="00770C48">
        <w:t>de</w:t>
      </w:r>
      <w:r w:rsidRPr="00181318">
        <w:t xml:space="preserve"> uitvoeringskosten van het Zorginstituut Nederland </w:t>
      </w:r>
      <w:r w:rsidR="001B49CB">
        <w:t>dient er verplichtingenruimte</w:t>
      </w:r>
      <w:r w:rsidRPr="00181318">
        <w:t xml:space="preserve"> </w:t>
      </w:r>
      <w:r w:rsidR="001B49CB">
        <w:t>naar voren te worden gehaald</w:t>
      </w:r>
      <w:r w:rsidRPr="00181318">
        <w:t xml:space="preserve"> omdat de toekenningsbrief inzake het budget 202</w:t>
      </w:r>
      <w:r w:rsidR="0043318B">
        <w:t>3</w:t>
      </w:r>
      <w:r w:rsidRPr="00181318">
        <w:t xml:space="preserve"> dit jaar nog </w:t>
      </w:r>
      <w:r w:rsidR="00795006">
        <w:t xml:space="preserve">wordt </w:t>
      </w:r>
      <w:r w:rsidRPr="00181318">
        <w:t>verzonden en daarmee de verplichting in 202</w:t>
      </w:r>
      <w:r w:rsidR="0043318B">
        <w:t>2</w:t>
      </w:r>
      <w:r w:rsidRPr="00181318">
        <w:t xml:space="preserve"> </w:t>
      </w:r>
      <w:r w:rsidR="00915077">
        <w:t xml:space="preserve">wordt </w:t>
      </w:r>
      <w:r w:rsidRPr="00181318">
        <w:t xml:space="preserve">vastgelegd. </w:t>
      </w:r>
      <w:r w:rsidR="001B49CB">
        <w:t>In totaal wordt</w:t>
      </w:r>
      <w:r w:rsidRPr="00181318">
        <w:t xml:space="preserve"> €</w:t>
      </w:r>
      <w:r w:rsidR="004A11C0">
        <w:t> </w:t>
      </w:r>
      <w:r w:rsidR="00BE2DC1">
        <w:t>41</w:t>
      </w:r>
      <w:r w:rsidR="0043318B">
        <w:t>,</w:t>
      </w:r>
      <w:r w:rsidR="0076516B">
        <w:t>4</w:t>
      </w:r>
      <w:r w:rsidRPr="00181318">
        <w:t xml:space="preserve"> miljoen</w:t>
      </w:r>
      <w:r w:rsidR="001B49CB">
        <w:t xml:space="preserve"> </w:t>
      </w:r>
      <w:r w:rsidR="00823E4A">
        <w:t xml:space="preserve">aan verplichtingenruimte </w:t>
      </w:r>
      <w:r w:rsidR="0010332B">
        <w:t xml:space="preserve">naar voren gehaald. </w:t>
      </w:r>
    </w:p>
    <w:p w:rsidR="0043318B" w:rsidP="000C6B1B" w:rsidRDefault="0043318B" w14:paraId="1A309927" w14:textId="5570365F">
      <w:pPr>
        <w:pStyle w:val="Geenafstand"/>
      </w:pPr>
    </w:p>
    <w:p w:rsidRPr="00487D6A" w:rsidR="000C6B1B" w:rsidP="000C6B1B" w:rsidRDefault="0043318B" w14:paraId="352D6633" w14:textId="3EB8965A">
      <w:pPr>
        <w:pStyle w:val="Geenafstand"/>
        <w:rPr>
          <w:color w:val="000000" w:themeColor="text1"/>
        </w:rPr>
      </w:pPr>
      <w:r w:rsidRPr="00487D6A">
        <w:rPr>
          <w:color w:val="000000" w:themeColor="text1"/>
        </w:rPr>
        <w:t>5. Zorg, welzijn en jeugdzorg op Caribisch Nederland</w:t>
      </w:r>
    </w:p>
    <w:p w:rsidRPr="00487D6A" w:rsidR="0043318B" w:rsidP="000C6B1B" w:rsidRDefault="0043318B" w14:paraId="4A6CCE17" w14:textId="4B2B2890">
      <w:pPr>
        <w:pStyle w:val="Geenafstand"/>
        <w:rPr>
          <w:color w:val="000000" w:themeColor="text1"/>
        </w:rPr>
      </w:pPr>
    </w:p>
    <w:p w:rsidRPr="00487D6A" w:rsidR="0043318B" w:rsidP="000C6B1B" w:rsidRDefault="00795006" w14:paraId="51BFFED8" w14:textId="21045FFF">
      <w:pPr>
        <w:pStyle w:val="Geenafstand"/>
        <w:rPr>
          <w:color w:val="000000" w:themeColor="text1"/>
        </w:rPr>
      </w:pPr>
      <w:r>
        <w:rPr>
          <w:color w:val="000000" w:themeColor="text1"/>
        </w:rPr>
        <w:t xml:space="preserve">Binnen dit </w:t>
      </w:r>
      <w:r w:rsidR="00975C6A">
        <w:rPr>
          <w:color w:val="000000" w:themeColor="text1"/>
        </w:rPr>
        <w:t xml:space="preserve">artikelonderdeel is </w:t>
      </w:r>
      <w:r>
        <w:rPr>
          <w:color w:val="000000" w:themeColor="text1"/>
        </w:rPr>
        <w:t xml:space="preserve">sprake van een verschuiving van </w:t>
      </w:r>
      <w:r w:rsidR="00975C6A">
        <w:rPr>
          <w:color w:val="000000" w:themeColor="text1"/>
        </w:rPr>
        <w:t xml:space="preserve">€ 53,5 miljoen </w:t>
      </w:r>
      <w:r>
        <w:rPr>
          <w:color w:val="000000" w:themeColor="text1"/>
        </w:rPr>
        <w:t xml:space="preserve">tussen instrumenten, namelijk van het </w:t>
      </w:r>
      <w:r w:rsidR="00975C6A">
        <w:rPr>
          <w:color w:val="000000" w:themeColor="text1"/>
        </w:rPr>
        <w:t xml:space="preserve">instrument </w:t>
      </w:r>
      <w:r w:rsidR="006B4AB7">
        <w:rPr>
          <w:color w:val="000000" w:themeColor="text1"/>
        </w:rPr>
        <w:t>o</w:t>
      </w:r>
      <w:r w:rsidR="00975C6A">
        <w:rPr>
          <w:color w:val="000000" w:themeColor="text1"/>
        </w:rPr>
        <w:t xml:space="preserve">pdrachten naar het instrument bekostiging. </w:t>
      </w:r>
    </w:p>
    <w:p w:rsidRPr="00136211" w:rsidR="000C6B1B" w:rsidP="00E133FB" w:rsidRDefault="000C6B1B" w14:paraId="7964751E" w14:textId="77777777">
      <w:pPr>
        <w:pStyle w:val="Geenafstand"/>
        <w:rPr>
          <w:color w:val="000000" w:themeColor="text1"/>
        </w:rPr>
      </w:pPr>
    </w:p>
    <w:p w:rsidRPr="00181318" w:rsidR="00E133FB" w:rsidP="00E133FB" w:rsidRDefault="00E133FB" w14:paraId="30DBCB20" w14:textId="77777777">
      <w:pPr>
        <w:pStyle w:val="Geenafstand"/>
        <w:rPr>
          <w:color w:val="1F497D"/>
        </w:rPr>
      </w:pPr>
    </w:p>
    <w:p w:rsidRPr="00181318" w:rsidR="000715DB" w:rsidP="00B8321D" w:rsidRDefault="000715DB" w14:paraId="604C96C1" w14:textId="77777777">
      <w:pPr>
        <w:rPr>
          <w:b/>
          <w:szCs w:val="18"/>
          <w:lang w:val="nl-NL"/>
        </w:rPr>
      </w:pPr>
      <w:r w:rsidRPr="00181318">
        <w:rPr>
          <w:b/>
          <w:szCs w:val="18"/>
          <w:lang w:val="nl-NL"/>
        </w:rPr>
        <w:t>Artikel 6 Sport</w:t>
      </w:r>
    </w:p>
    <w:p w:rsidRPr="00181318" w:rsidR="000715DB" w:rsidP="00B8321D" w:rsidRDefault="000715DB" w14:paraId="75404453" w14:textId="77777777">
      <w:pPr>
        <w:rPr>
          <w:szCs w:val="18"/>
          <w:lang w:val="nl-NL"/>
        </w:rPr>
      </w:pPr>
      <w:r w:rsidRPr="00181318">
        <w:rPr>
          <w:szCs w:val="18"/>
          <w:lang w:val="nl-NL"/>
        </w:rPr>
        <w:t>4. Sport verenigt Nederland</w:t>
      </w:r>
    </w:p>
    <w:p w:rsidR="00C40D45" w:rsidP="00E133FB" w:rsidRDefault="00136211" w14:paraId="01996A10" w14:textId="7FD2CE2C">
      <w:pPr>
        <w:pStyle w:val="Geenafstand"/>
      </w:pPr>
      <w:r>
        <w:t xml:space="preserve">Op dit artikel is de verplichtingenruimte verhoogd met </w:t>
      </w:r>
      <w:r w:rsidR="000A7E42">
        <w:t>€</w:t>
      </w:r>
      <w:r w:rsidR="00DB2DAD">
        <w:t xml:space="preserve"> </w:t>
      </w:r>
      <w:r>
        <w:t>38 miljoen. D</w:t>
      </w:r>
      <w:r w:rsidR="002859D0">
        <w:t>eze mutatie</w:t>
      </w:r>
      <w:r w:rsidR="00C40D45">
        <w:t xml:space="preserve"> betreft het naar voren halen van verplichtingruimte en is noodzakelijk om een meerjarige projectsubsidie (€ 2 miljoen), een instellingsubsidie (€ 27 miljoen) en enkele meerjarige opdrachten (€</w:t>
      </w:r>
      <w:r w:rsidR="001B49CB">
        <w:t xml:space="preserve"> </w:t>
      </w:r>
      <w:r w:rsidR="00C40D45">
        <w:t>9 miljoen) in 2022 vast te kunnen leggen. De kaseffecten vallen in de jaren 2023 en 2024.</w:t>
      </w:r>
    </w:p>
    <w:p w:rsidR="00C40D45" w:rsidP="00E133FB" w:rsidRDefault="00C40D45" w14:paraId="47763DC3" w14:textId="26FC97D1">
      <w:pPr>
        <w:pStyle w:val="Geenafstand"/>
      </w:pPr>
    </w:p>
    <w:p w:rsidRPr="00181318" w:rsidR="00626B65" w:rsidP="003C0E9F" w:rsidRDefault="00626B65" w14:paraId="531BB287" w14:textId="77777777">
      <w:pPr>
        <w:pStyle w:val="Geenafstand"/>
      </w:pPr>
    </w:p>
    <w:p w:rsidRPr="00181318" w:rsidR="004F503C" w:rsidP="00B8321D" w:rsidRDefault="004F503C" w14:paraId="40BCC606" w14:textId="0DAA2517">
      <w:pPr>
        <w:rPr>
          <w:b/>
          <w:lang w:val="nl-NL"/>
        </w:rPr>
      </w:pPr>
      <w:r w:rsidRPr="00181318">
        <w:rPr>
          <w:b/>
          <w:lang w:val="nl-NL"/>
        </w:rPr>
        <w:t>Artikel 8 Tegemoetkoming specifieke kosten</w:t>
      </w:r>
    </w:p>
    <w:p w:rsidRPr="00181318" w:rsidR="004F503C" w:rsidP="00B8321D" w:rsidRDefault="004F503C" w14:paraId="2505B643" w14:textId="5215027B">
      <w:pPr>
        <w:rPr>
          <w:lang w:val="nl-NL"/>
        </w:rPr>
      </w:pPr>
      <w:r w:rsidRPr="00181318">
        <w:rPr>
          <w:lang w:val="nl-NL"/>
        </w:rPr>
        <w:t>Inkomensoverdrachten</w:t>
      </w:r>
    </w:p>
    <w:p w:rsidR="00662B94" w:rsidP="00662B94" w:rsidRDefault="00662B94" w14:paraId="1B256099" w14:textId="22EBC2C5">
      <w:pPr>
        <w:pStyle w:val="Geenafstand"/>
      </w:pPr>
      <w:r>
        <w:t>Om aan te sluiten bij de ramingen van het Centraal Planbureau worden in de VWS-begroting de netto uitgaven aan zorgtoeslag weergegeven. Dat wil zeggen de uitgaven aan zorgtoeslag verminderd met de terugvorderingen en ontvangsten. Bij Slotwet/Jaarverslag worden de uitgaven en de ontvangsten daarentegen afzonderlijk gepresenteerd. Vooruitlopend op deze desaldering wordt reeds nu een technische bijstelling gedaan aan de uitgaven- en ontvangstenkant ten aanzien van de zorgtoeslag, zodat de bijstelling bij Slotwet beperkt kan blijven. De totale netto-uitgaven aan de zorgtoeslag wijzigen niet. Het betreft een opwaartse bijstelling van € 460 miljoen ten opzichte van de tweede suppletoire wet aan de uitgavenkant en een opwaartse bijstelling van €</w:t>
      </w:r>
      <w:r w:rsidR="004A11C0">
        <w:t> </w:t>
      </w:r>
      <w:r>
        <w:t>460 miljoen aan de ontvangstenkant. Dit bedrag is een raming op basis van de gerealiseerde ontvangsten zorgtoeslag tot en met oktober.</w:t>
      </w:r>
    </w:p>
    <w:p w:rsidR="00770C48" w:rsidP="00662B94" w:rsidRDefault="00770C48" w14:paraId="499BD3EF" w14:textId="77777777">
      <w:pPr>
        <w:pStyle w:val="Geenafstand"/>
      </w:pPr>
    </w:p>
    <w:p w:rsidR="00770C48" w:rsidP="00B8321D" w:rsidRDefault="00770C48" w14:paraId="12B3BC19" w14:textId="77777777">
      <w:pPr>
        <w:rPr>
          <w:b/>
          <w:szCs w:val="18"/>
          <w:lang w:val="nl-NL"/>
        </w:rPr>
      </w:pPr>
    </w:p>
    <w:p w:rsidR="00770C48" w:rsidP="00B8321D" w:rsidRDefault="00770C48" w14:paraId="0748563C" w14:textId="77777777">
      <w:pPr>
        <w:rPr>
          <w:b/>
          <w:szCs w:val="18"/>
          <w:lang w:val="nl-NL"/>
        </w:rPr>
      </w:pPr>
    </w:p>
    <w:p w:rsidRPr="00181318" w:rsidR="000715DB" w:rsidP="00B8321D" w:rsidRDefault="000715DB" w14:paraId="2CEB6C60" w14:textId="1443C77A">
      <w:pPr>
        <w:rPr>
          <w:b/>
          <w:szCs w:val="18"/>
          <w:lang w:val="nl-NL"/>
        </w:rPr>
      </w:pPr>
      <w:r w:rsidRPr="00181318">
        <w:rPr>
          <w:b/>
          <w:szCs w:val="18"/>
          <w:lang w:val="nl-NL"/>
        </w:rPr>
        <w:lastRenderedPageBreak/>
        <w:t>Artikel 10 Apparaatsuitgaven</w:t>
      </w:r>
    </w:p>
    <w:p w:rsidR="00881294" w:rsidP="00881294" w:rsidRDefault="00881294" w14:paraId="678A8BF0" w14:textId="136DB083">
      <w:pPr>
        <w:pStyle w:val="Geenafstand"/>
      </w:pPr>
      <w:bookmarkStart w:name="_Hlk121744618" w:id="2"/>
      <w:r w:rsidRPr="00181318">
        <w:t xml:space="preserve">Binnen het apparaatsartikel zijn diverse </w:t>
      </w:r>
      <w:r>
        <w:t>mutaties</w:t>
      </w:r>
      <w:r w:rsidRPr="00181318">
        <w:t xml:space="preserve"> uitgevoerd met een totale omvang van</w:t>
      </w:r>
      <w:r>
        <w:t xml:space="preserve"> </w:t>
      </w:r>
      <w:r w:rsidRPr="00181318">
        <w:t xml:space="preserve">€ </w:t>
      </w:r>
      <w:r>
        <w:t>11,</w:t>
      </w:r>
      <w:r w:rsidR="002C3ADA">
        <w:t>1</w:t>
      </w:r>
      <w:r w:rsidRPr="00181318">
        <w:t xml:space="preserve"> miljoen aan </w:t>
      </w:r>
      <w:r w:rsidRPr="00181318" w:rsidR="001B49CB">
        <w:t>verplichtingen</w:t>
      </w:r>
      <w:r w:rsidR="001B49CB">
        <w:t>ruimte</w:t>
      </w:r>
      <w:r w:rsidR="008E3208">
        <w:t>.</w:t>
      </w:r>
      <w:r>
        <w:t xml:space="preserve"> Het </w:t>
      </w:r>
      <w:r>
        <w:rPr>
          <w:rFonts w:cstheme="minorHAnsi"/>
        </w:rPr>
        <w:t xml:space="preserve">betreft hier onder andere een mutatie van € 6,5 miljoen voor het aangaan van verplichtingen voor 2023 voor de inzet van Woo-juristen. Daarnaast is er een budgetmutatie van € </w:t>
      </w:r>
      <w:r w:rsidR="00D30E6B">
        <w:rPr>
          <w:rFonts w:cstheme="minorHAnsi"/>
        </w:rPr>
        <w:t>4,0 m</w:t>
      </w:r>
      <w:r>
        <w:rPr>
          <w:rFonts w:cstheme="minorHAnsi"/>
        </w:rPr>
        <w:t xml:space="preserve">iljoen op het </w:t>
      </w:r>
      <w:r w:rsidR="00040484">
        <w:rPr>
          <w:rFonts w:cstheme="minorHAnsi"/>
        </w:rPr>
        <w:t>kas</w:t>
      </w:r>
      <w:r w:rsidR="001B49CB">
        <w:rPr>
          <w:rFonts w:cstheme="minorHAnsi"/>
        </w:rPr>
        <w:t xml:space="preserve">budget </w:t>
      </w:r>
      <w:r>
        <w:rPr>
          <w:rFonts w:cstheme="minorHAnsi"/>
        </w:rPr>
        <w:t xml:space="preserve">en </w:t>
      </w:r>
      <w:r w:rsidR="001B49CB">
        <w:rPr>
          <w:rFonts w:cstheme="minorHAnsi"/>
        </w:rPr>
        <w:t>verplichtingenruimte</w:t>
      </w:r>
      <w:r w:rsidR="00813466">
        <w:rPr>
          <w:rFonts w:cstheme="minorHAnsi"/>
        </w:rPr>
        <w:t>,</w:t>
      </w:r>
      <w:r w:rsidR="001B49CB">
        <w:rPr>
          <w:rFonts w:cstheme="minorHAnsi"/>
        </w:rPr>
        <w:t xml:space="preserve"> </w:t>
      </w:r>
      <w:r>
        <w:rPr>
          <w:rFonts w:cstheme="minorHAnsi"/>
        </w:rPr>
        <w:t xml:space="preserve">voor inhuur externen. Deze mutatie houdt verband met </w:t>
      </w:r>
      <w:r>
        <w:t xml:space="preserve">de overgang van de opdracht voor doorontwikkeling en beheer van PGB2.0 van ICTU naar RDO. In plaats van een opdracht aan ICTU zal sprake zijn van inhuur (zie ook </w:t>
      </w:r>
      <w:r w:rsidR="004A11C0">
        <w:t xml:space="preserve">de </w:t>
      </w:r>
      <w:r>
        <w:t>toelichting bij artikel 3).</w:t>
      </w:r>
    </w:p>
    <w:bookmarkEnd w:id="2"/>
    <w:p w:rsidRPr="00181318" w:rsidR="00833142" w:rsidP="00E133FB" w:rsidRDefault="00833142" w14:paraId="1C608160" w14:textId="60D33F31">
      <w:pPr>
        <w:pStyle w:val="Geenafstand"/>
        <w:rPr>
          <w:rFonts w:cstheme="minorHAnsi"/>
        </w:rPr>
      </w:pPr>
    </w:p>
    <w:sectPr w:rsidRPr="00181318" w:rsidR="00833142" w:rsidSect="001E6A24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C100" w14:textId="77777777" w:rsidR="00EE42EB" w:rsidRDefault="00EE42EB" w:rsidP="002F4A53">
      <w:pPr>
        <w:spacing w:after="0" w:line="240" w:lineRule="auto"/>
      </w:pPr>
      <w:r>
        <w:separator/>
      </w:r>
    </w:p>
  </w:endnote>
  <w:endnote w:type="continuationSeparator" w:id="0">
    <w:p w14:paraId="0C03ED87" w14:textId="77777777" w:rsidR="00EE42EB" w:rsidRDefault="00EE42EB" w:rsidP="002F4A53">
      <w:pPr>
        <w:spacing w:after="0" w:line="240" w:lineRule="auto"/>
      </w:pPr>
      <w:r>
        <w:continuationSeparator/>
      </w:r>
    </w:p>
  </w:endnote>
  <w:endnote w:type="continuationNotice" w:id="1">
    <w:p w14:paraId="02849EF7" w14:textId="77777777" w:rsidR="00EE42EB" w:rsidRDefault="00EE4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DDA2" w14:textId="77777777" w:rsidR="002F4A53" w:rsidRDefault="002F4A53">
    <w:pPr>
      <w:pStyle w:val="Voettekst"/>
      <w:jc w:val="right"/>
    </w:pPr>
  </w:p>
  <w:p w14:paraId="52411ED7" w14:textId="7D287683" w:rsidR="002F4A53" w:rsidRDefault="005479F4">
    <w:pPr>
      <w:pStyle w:val="Voettekst"/>
      <w:jc w:val="right"/>
    </w:pPr>
    <w:sdt>
      <w:sdtPr>
        <w:id w:val="1454358269"/>
        <w:docPartObj>
          <w:docPartGallery w:val="Page Numbers (Bottom of Page)"/>
          <w:docPartUnique/>
        </w:docPartObj>
      </w:sdtPr>
      <w:sdtEndPr/>
      <w:sdtContent>
        <w:r w:rsidR="002F4A53">
          <w:fldChar w:fldCharType="begin"/>
        </w:r>
        <w:r w:rsidR="002F4A53">
          <w:instrText>PAGE   \* MERGEFORMAT</w:instrText>
        </w:r>
        <w:r w:rsidR="002F4A53">
          <w:fldChar w:fldCharType="separate"/>
        </w:r>
        <w:r w:rsidR="0065682E" w:rsidRPr="0065682E">
          <w:rPr>
            <w:noProof/>
            <w:lang w:val="nl-NL"/>
          </w:rPr>
          <w:t>4</w:t>
        </w:r>
        <w:r w:rsidR="002F4A53">
          <w:fldChar w:fldCharType="end"/>
        </w:r>
      </w:sdtContent>
    </w:sdt>
  </w:p>
  <w:p w14:paraId="689985C7" w14:textId="77777777" w:rsidR="002F4A53" w:rsidRDefault="002F4A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F1EA" w14:textId="77777777" w:rsidR="00EE42EB" w:rsidRDefault="00EE42EB" w:rsidP="002F4A53">
      <w:pPr>
        <w:spacing w:after="0" w:line="240" w:lineRule="auto"/>
      </w:pPr>
      <w:r>
        <w:separator/>
      </w:r>
    </w:p>
  </w:footnote>
  <w:footnote w:type="continuationSeparator" w:id="0">
    <w:p w14:paraId="0B81C145" w14:textId="77777777" w:rsidR="00EE42EB" w:rsidRDefault="00EE42EB" w:rsidP="002F4A53">
      <w:pPr>
        <w:spacing w:after="0" w:line="240" w:lineRule="auto"/>
      </w:pPr>
      <w:r>
        <w:continuationSeparator/>
      </w:r>
    </w:p>
  </w:footnote>
  <w:footnote w:type="continuationNotice" w:id="1">
    <w:p w14:paraId="30E3F679" w14:textId="77777777" w:rsidR="00EE42EB" w:rsidRDefault="00EE42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ADEA" w14:textId="77777777" w:rsidR="00E20625" w:rsidRDefault="00E206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5F"/>
    <w:multiLevelType w:val="hybridMultilevel"/>
    <w:tmpl w:val="1CFE94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03B7"/>
    <w:multiLevelType w:val="hybridMultilevel"/>
    <w:tmpl w:val="C00E586C"/>
    <w:lvl w:ilvl="0" w:tplc="BBAA2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40C1"/>
    <w:multiLevelType w:val="hybridMultilevel"/>
    <w:tmpl w:val="D98A28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1DB3"/>
    <w:multiLevelType w:val="hybridMultilevel"/>
    <w:tmpl w:val="0B842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35B6"/>
    <w:multiLevelType w:val="hybridMultilevel"/>
    <w:tmpl w:val="FD64B1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5CA8"/>
    <w:multiLevelType w:val="hybridMultilevel"/>
    <w:tmpl w:val="5AC488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75DD1"/>
    <w:multiLevelType w:val="hybridMultilevel"/>
    <w:tmpl w:val="E1284A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5E19"/>
    <w:multiLevelType w:val="hybridMultilevel"/>
    <w:tmpl w:val="1A84B550"/>
    <w:lvl w:ilvl="0" w:tplc="EA4642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4E5E"/>
    <w:multiLevelType w:val="hybridMultilevel"/>
    <w:tmpl w:val="BED440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D2BF1"/>
    <w:multiLevelType w:val="hybridMultilevel"/>
    <w:tmpl w:val="987EAC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706C9"/>
    <w:multiLevelType w:val="hybridMultilevel"/>
    <w:tmpl w:val="38824F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B7873"/>
    <w:multiLevelType w:val="hybridMultilevel"/>
    <w:tmpl w:val="89DA00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E7E12"/>
    <w:multiLevelType w:val="hybridMultilevel"/>
    <w:tmpl w:val="F5763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5731A"/>
    <w:multiLevelType w:val="hybridMultilevel"/>
    <w:tmpl w:val="BD3419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B4222"/>
    <w:multiLevelType w:val="hybridMultilevel"/>
    <w:tmpl w:val="B5D68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14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3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38"/>
    <w:rsid w:val="000008D3"/>
    <w:rsid w:val="00004538"/>
    <w:rsid w:val="00007479"/>
    <w:rsid w:val="000106E2"/>
    <w:rsid w:val="00021FAD"/>
    <w:rsid w:val="00023EDB"/>
    <w:rsid w:val="00025BE1"/>
    <w:rsid w:val="00040484"/>
    <w:rsid w:val="00061593"/>
    <w:rsid w:val="000715DB"/>
    <w:rsid w:val="0007776F"/>
    <w:rsid w:val="00085666"/>
    <w:rsid w:val="000A7E42"/>
    <w:rsid w:val="000B0E7F"/>
    <w:rsid w:val="000B4306"/>
    <w:rsid w:val="000B4B19"/>
    <w:rsid w:val="000B6D70"/>
    <w:rsid w:val="000C2456"/>
    <w:rsid w:val="000C3D6D"/>
    <w:rsid w:val="000C47A6"/>
    <w:rsid w:val="000C5718"/>
    <w:rsid w:val="000C6B1B"/>
    <w:rsid w:val="000C75C6"/>
    <w:rsid w:val="000C7A40"/>
    <w:rsid w:val="000C7F94"/>
    <w:rsid w:val="000D582F"/>
    <w:rsid w:val="000F0CCA"/>
    <w:rsid w:val="000F3AC4"/>
    <w:rsid w:val="000F5334"/>
    <w:rsid w:val="0010332B"/>
    <w:rsid w:val="00104FDA"/>
    <w:rsid w:val="0011257A"/>
    <w:rsid w:val="001154FE"/>
    <w:rsid w:val="001170B0"/>
    <w:rsid w:val="001212DB"/>
    <w:rsid w:val="00127705"/>
    <w:rsid w:val="00130E82"/>
    <w:rsid w:val="0013429F"/>
    <w:rsid w:val="00135046"/>
    <w:rsid w:val="00136211"/>
    <w:rsid w:val="0014281F"/>
    <w:rsid w:val="00143A2C"/>
    <w:rsid w:val="001447DD"/>
    <w:rsid w:val="00152AB6"/>
    <w:rsid w:val="00161E5A"/>
    <w:rsid w:val="001718FF"/>
    <w:rsid w:val="0017268C"/>
    <w:rsid w:val="001727F0"/>
    <w:rsid w:val="00180D4F"/>
    <w:rsid w:val="00181318"/>
    <w:rsid w:val="00181AFF"/>
    <w:rsid w:val="001825A8"/>
    <w:rsid w:val="00185266"/>
    <w:rsid w:val="00186522"/>
    <w:rsid w:val="00193191"/>
    <w:rsid w:val="001932A0"/>
    <w:rsid w:val="001950A4"/>
    <w:rsid w:val="0019539A"/>
    <w:rsid w:val="0019649C"/>
    <w:rsid w:val="001A03DF"/>
    <w:rsid w:val="001A2062"/>
    <w:rsid w:val="001A4039"/>
    <w:rsid w:val="001A455B"/>
    <w:rsid w:val="001A4DEB"/>
    <w:rsid w:val="001A4F1E"/>
    <w:rsid w:val="001B1118"/>
    <w:rsid w:val="001B49CB"/>
    <w:rsid w:val="001C1903"/>
    <w:rsid w:val="001C24EC"/>
    <w:rsid w:val="001C36DD"/>
    <w:rsid w:val="001C45A3"/>
    <w:rsid w:val="001C7D05"/>
    <w:rsid w:val="001D5903"/>
    <w:rsid w:val="001E2DAF"/>
    <w:rsid w:val="001E4F08"/>
    <w:rsid w:val="001E536E"/>
    <w:rsid w:val="001E6A24"/>
    <w:rsid w:val="001F5B8B"/>
    <w:rsid w:val="00202653"/>
    <w:rsid w:val="00205F6D"/>
    <w:rsid w:val="00222D0D"/>
    <w:rsid w:val="002230E3"/>
    <w:rsid w:val="0022728E"/>
    <w:rsid w:val="00231039"/>
    <w:rsid w:val="0023482D"/>
    <w:rsid w:val="00237C52"/>
    <w:rsid w:val="00244E27"/>
    <w:rsid w:val="0025026A"/>
    <w:rsid w:val="00253AE4"/>
    <w:rsid w:val="0025709D"/>
    <w:rsid w:val="002578E0"/>
    <w:rsid w:val="00270ADF"/>
    <w:rsid w:val="00271400"/>
    <w:rsid w:val="00272E60"/>
    <w:rsid w:val="00275AFA"/>
    <w:rsid w:val="002815D5"/>
    <w:rsid w:val="002859D0"/>
    <w:rsid w:val="00285F4C"/>
    <w:rsid w:val="002860F1"/>
    <w:rsid w:val="00291204"/>
    <w:rsid w:val="002921E8"/>
    <w:rsid w:val="0029796D"/>
    <w:rsid w:val="002B0482"/>
    <w:rsid w:val="002B1492"/>
    <w:rsid w:val="002B4458"/>
    <w:rsid w:val="002B5AFE"/>
    <w:rsid w:val="002C3ADA"/>
    <w:rsid w:val="002D21BA"/>
    <w:rsid w:val="002E24D3"/>
    <w:rsid w:val="002F14C2"/>
    <w:rsid w:val="002F4A53"/>
    <w:rsid w:val="002F6668"/>
    <w:rsid w:val="0030745F"/>
    <w:rsid w:val="00307FA0"/>
    <w:rsid w:val="0031008B"/>
    <w:rsid w:val="00310C33"/>
    <w:rsid w:val="0033186B"/>
    <w:rsid w:val="00336D8F"/>
    <w:rsid w:val="00342C24"/>
    <w:rsid w:val="00351529"/>
    <w:rsid w:val="003547DB"/>
    <w:rsid w:val="00356871"/>
    <w:rsid w:val="00370805"/>
    <w:rsid w:val="003876DB"/>
    <w:rsid w:val="003876F4"/>
    <w:rsid w:val="00387854"/>
    <w:rsid w:val="0039317E"/>
    <w:rsid w:val="00393F7A"/>
    <w:rsid w:val="003A359D"/>
    <w:rsid w:val="003B26FE"/>
    <w:rsid w:val="003B2727"/>
    <w:rsid w:val="003C0E9F"/>
    <w:rsid w:val="003C372D"/>
    <w:rsid w:val="003D55B4"/>
    <w:rsid w:val="003D580D"/>
    <w:rsid w:val="003E4775"/>
    <w:rsid w:val="003F5789"/>
    <w:rsid w:val="00415E74"/>
    <w:rsid w:val="00417AED"/>
    <w:rsid w:val="00424E9A"/>
    <w:rsid w:val="00432D58"/>
    <w:rsid w:val="0043318B"/>
    <w:rsid w:val="00434A85"/>
    <w:rsid w:val="0044199A"/>
    <w:rsid w:val="00456676"/>
    <w:rsid w:val="004579F2"/>
    <w:rsid w:val="00457F6F"/>
    <w:rsid w:val="004655DC"/>
    <w:rsid w:val="00471B93"/>
    <w:rsid w:val="0048109E"/>
    <w:rsid w:val="00484C91"/>
    <w:rsid w:val="00487D6A"/>
    <w:rsid w:val="00490074"/>
    <w:rsid w:val="004A11C0"/>
    <w:rsid w:val="004A18E8"/>
    <w:rsid w:val="004C3838"/>
    <w:rsid w:val="004C3BB0"/>
    <w:rsid w:val="004D0EE5"/>
    <w:rsid w:val="004D367C"/>
    <w:rsid w:val="004E0424"/>
    <w:rsid w:val="004E5697"/>
    <w:rsid w:val="004E7CBB"/>
    <w:rsid w:val="004F503C"/>
    <w:rsid w:val="00504037"/>
    <w:rsid w:val="005047EA"/>
    <w:rsid w:val="00505965"/>
    <w:rsid w:val="005116D1"/>
    <w:rsid w:val="005201A9"/>
    <w:rsid w:val="00531321"/>
    <w:rsid w:val="00531995"/>
    <w:rsid w:val="00533EB4"/>
    <w:rsid w:val="0053541E"/>
    <w:rsid w:val="005417EE"/>
    <w:rsid w:val="005424A0"/>
    <w:rsid w:val="005479F4"/>
    <w:rsid w:val="005535A1"/>
    <w:rsid w:val="00554956"/>
    <w:rsid w:val="00554A30"/>
    <w:rsid w:val="00555196"/>
    <w:rsid w:val="00561EB1"/>
    <w:rsid w:val="005650B9"/>
    <w:rsid w:val="005709A8"/>
    <w:rsid w:val="00580650"/>
    <w:rsid w:val="005B4B3E"/>
    <w:rsid w:val="005D4194"/>
    <w:rsid w:val="005D70CB"/>
    <w:rsid w:val="005E3A8E"/>
    <w:rsid w:val="005E3DC9"/>
    <w:rsid w:val="005E4DC4"/>
    <w:rsid w:val="005E5C3C"/>
    <w:rsid w:val="005F081B"/>
    <w:rsid w:val="005F2102"/>
    <w:rsid w:val="005F4E6D"/>
    <w:rsid w:val="005F5C76"/>
    <w:rsid w:val="0060105B"/>
    <w:rsid w:val="006115AC"/>
    <w:rsid w:val="00613487"/>
    <w:rsid w:val="0061717D"/>
    <w:rsid w:val="00623201"/>
    <w:rsid w:val="00626B65"/>
    <w:rsid w:val="0063785E"/>
    <w:rsid w:val="006428DC"/>
    <w:rsid w:val="00645180"/>
    <w:rsid w:val="00645C91"/>
    <w:rsid w:val="00646F87"/>
    <w:rsid w:val="006502EB"/>
    <w:rsid w:val="0065168C"/>
    <w:rsid w:val="00653FBF"/>
    <w:rsid w:val="00654775"/>
    <w:rsid w:val="00655243"/>
    <w:rsid w:val="0065682E"/>
    <w:rsid w:val="006624A1"/>
    <w:rsid w:val="00662B94"/>
    <w:rsid w:val="00666726"/>
    <w:rsid w:val="00673AF1"/>
    <w:rsid w:val="00675259"/>
    <w:rsid w:val="00675F4B"/>
    <w:rsid w:val="006811F6"/>
    <w:rsid w:val="00684074"/>
    <w:rsid w:val="00686661"/>
    <w:rsid w:val="006939EC"/>
    <w:rsid w:val="00694CFC"/>
    <w:rsid w:val="00695821"/>
    <w:rsid w:val="006A58DE"/>
    <w:rsid w:val="006A5F8D"/>
    <w:rsid w:val="006B243F"/>
    <w:rsid w:val="006B4AB7"/>
    <w:rsid w:val="006B671A"/>
    <w:rsid w:val="006B7A1F"/>
    <w:rsid w:val="006C6D7A"/>
    <w:rsid w:val="006C6EFA"/>
    <w:rsid w:val="006C7CED"/>
    <w:rsid w:val="006D3F01"/>
    <w:rsid w:val="006D5470"/>
    <w:rsid w:val="006D618C"/>
    <w:rsid w:val="006E060F"/>
    <w:rsid w:val="006E35EB"/>
    <w:rsid w:val="006F09CA"/>
    <w:rsid w:val="006F3FA1"/>
    <w:rsid w:val="006F6620"/>
    <w:rsid w:val="00701C55"/>
    <w:rsid w:val="0070375D"/>
    <w:rsid w:val="00732439"/>
    <w:rsid w:val="0074607F"/>
    <w:rsid w:val="00755C29"/>
    <w:rsid w:val="0075640A"/>
    <w:rsid w:val="00757341"/>
    <w:rsid w:val="00760760"/>
    <w:rsid w:val="00761839"/>
    <w:rsid w:val="00762BC6"/>
    <w:rsid w:val="00763B82"/>
    <w:rsid w:val="00764CD2"/>
    <w:rsid w:val="0076516B"/>
    <w:rsid w:val="00770C48"/>
    <w:rsid w:val="00772A8E"/>
    <w:rsid w:val="00774C58"/>
    <w:rsid w:val="00790F91"/>
    <w:rsid w:val="00795006"/>
    <w:rsid w:val="007A05A8"/>
    <w:rsid w:val="007B3F9C"/>
    <w:rsid w:val="007B4474"/>
    <w:rsid w:val="007D6FA8"/>
    <w:rsid w:val="007E6123"/>
    <w:rsid w:val="007F37EE"/>
    <w:rsid w:val="0081217A"/>
    <w:rsid w:val="00813466"/>
    <w:rsid w:val="0081501F"/>
    <w:rsid w:val="00816C88"/>
    <w:rsid w:val="00816CD4"/>
    <w:rsid w:val="00823E4A"/>
    <w:rsid w:val="00823EF2"/>
    <w:rsid w:val="00827E9D"/>
    <w:rsid w:val="00833142"/>
    <w:rsid w:val="00837C0F"/>
    <w:rsid w:val="0085068B"/>
    <w:rsid w:val="00856B3D"/>
    <w:rsid w:val="008654C2"/>
    <w:rsid w:val="0086584B"/>
    <w:rsid w:val="00866515"/>
    <w:rsid w:val="00867DA2"/>
    <w:rsid w:val="00876E02"/>
    <w:rsid w:val="00881294"/>
    <w:rsid w:val="00885D3F"/>
    <w:rsid w:val="00887D48"/>
    <w:rsid w:val="008A1138"/>
    <w:rsid w:val="008A7D5E"/>
    <w:rsid w:val="008B582E"/>
    <w:rsid w:val="008B67D5"/>
    <w:rsid w:val="008B7F9A"/>
    <w:rsid w:val="008C3E27"/>
    <w:rsid w:val="008C425A"/>
    <w:rsid w:val="008C79B2"/>
    <w:rsid w:val="008D1A39"/>
    <w:rsid w:val="008D2C03"/>
    <w:rsid w:val="008D35E7"/>
    <w:rsid w:val="008D403B"/>
    <w:rsid w:val="008D63BC"/>
    <w:rsid w:val="008E3208"/>
    <w:rsid w:val="008E5918"/>
    <w:rsid w:val="008F4AF7"/>
    <w:rsid w:val="008F699D"/>
    <w:rsid w:val="00900073"/>
    <w:rsid w:val="00904FD4"/>
    <w:rsid w:val="0090554B"/>
    <w:rsid w:val="00906739"/>
    <w:rsid w:val="009107C5"/>
    <w:rsid w:val="00910890"/>
    <w:rsid w:val="009134ED"/>
    <w:rsid w:val="0091385D"/>
    <w:rsid w:val="00915077"/>
    <w:rsid w:val="00925B76"/>
    <w:rsid w:val="009274BC"/>
    <w:rsid w:val="00933C49"/>
    <w:rsid w:val="009408BA"/>
    <w:rsid w:val="00945E8D"/>
    <w:rsid w:val="0095082E"/>
    <w:rsid w:val="00951FB8"/>
    <w:rsid w:val="00956C55"/>
    <w:rsid w:val="00967CF6"/>
    <w:rsid w:val="00973D7D"/>
    <w:rsid w:val="00975C6A"/>
    <w:rsid w:val="00976FEB"/>
    <w:rsid w:val="00980B5D"/>
    <w:rsid w:val="009811BE"/>
    <w:rsid w:val="00983457"/>
    <w:rsid w:val="009910E7"/>
    <w:rsid w:val="00997585"/>
    <w:rsid w:val="009A4561"/>
    <w:rsid w:val="009A55DF"/>
    <w:rsid w:val="009A78BB"/>
    <w:rsid w:val="009C1AA4"/>
    <w:rsid w:val="009C3ADA"/>
    <w:rsid w:val="009C62C2"/>
    <w:rsid w:val="009D0FD9"/>
    <w:rsid w:val="009D363B"/>
    <w:rsid w:val="009D4441"/>
    <w:rsid w:val="009D4B0E"/>
    <w:rsid w:val="009D5CD0"/>
    <w:rsid w:val="009D652C"/>
    <w:rsid w:val="009D7781"/>
    <w:rsid w:val="009E0EC9"/>
    <w:rsid w:val="009E47A7"/>
    <w:rsid w:val="009E4E36"/>
    <w:rsid w:val="009E53EA"/>
    <w:rsid w:val="009F638E"/>
    <w:rsid w:val="00A00956"/>
    <w:rsid w:val="00A034C1"/>
    <w:rsid w:val="00A04D9D"/>
    <w:rsid w:val="00A13AD0"/>
    <w:rsid w:val="00A15371"/>
    <w:rsid w:val="00A2339D"/>
    <w:rsid w:val="00A243B3"/>
    <w:rsid w:val="00A313D0"/>
    <w:rsid w:val="00A36CE9"/>
    <w:rsid w:val="00A402ED"/>
    <w:rsid w:val="00A55B11"/>
    <w:rsid w:val="00A7096C"/>
    <w:rsid w:val="00A743FF"/>
    <w:rsid w:val="00A75112"/>
    <w:rsid w:val="00A7739C"/>
    <w:rsid w:val="00A806FC"/>
    <w:rsid w:val="00A81770"/>
    <w:rsid w:val="00A961A9"/>
    <w:rsid w:val="00AA7153"/>
    <w:rsid w:val="00AB1351"/>
    <w:rsid w:val="00AB68AB"/>
    <w:rsid w:val="00AC46BC"/>
    <w:rsid w:val="00AD0E38"/>
    <w:rsid w:val="00AE0FFA"/>
    <w:rsid w:val="00AE26A0"/>
    <w:rsid w:val="00AE3C32"/>
    <w:rsid w:val="00AE51CB"/>
    <w:rsid w:val="00AE6375"/>
    <w:rsid w:val="00AE7494"/>
    <w:rsid w:val="00AF35E7"/>
    <w:rsid w:val="00AF5373"/>
    <w:rsid w:val="00AF7B98"/>
    <w:rsid w:val="00B029FD"/>
    <w:rsid w:val="00B04BCE"/>
    <w:rsid w:val="00B05B36"/>
    <w:rsid w:val="00B06494"/>
    <w:rsid w:val="00B06701"/>
    <w:rsid w:val="00B10189"/>
    <w:rsid w:val="00B1522F"/>
    <w:rsid w:val="00B15AA8"/>
    <w:rsid w:val="00B170A4"/>
    <w:rsid w:val="00B22247"/>
    <w:rsid w:val="00B24BE5"/>
    <w:rsid w:val="00B261A5"/>
    <w:rsid w:val="00B27308"/>
    <w:rsid w:val="00B31F43"/>
    <w:rsid w:val="00B333B2"/>
    <w:rsid w:val="00B41606"/>
    <w:rsid w:val="00B50CE7"/>
    <w:rsid w:val="00B52CBC"/>
    <w:rsid w:val="00B6222A"/>
    <w:rsid w:val="00B6455D"/>
    <w:rsid w:val="00B67F94"/>
    <w:rsid w:val="00B67FFC"/>
    <w:rsid w:val="00B71672"/>
    <w:rsid w:val="00B80633"/>
    <w:rsid w:val="00B81B1D"/>
    <w:rsid w:val="00B822F0"/>
    <w:rsid w:val="00B8321D"/>
    <w:rsid w:val="00B84A32"/>
    <w:rsid w:val="00B95A6C"/>
    <w:rsid w:val="00BA23E5"/>
    <w:rsid w:val="00BA4F5B"/>
    <w:rsid w:val="00BD0B4D"/>
    <w:rsid w:val="00BD7760"/>
    <w:rsid w:val="00BE0C88"/>
    <w:rsid w:val="00BE2DC1"/>
    <w:rsid w:val="00BE3897"/>
    <w:rsid w:val="00BE6EFF"/>
    <w:rsid w:val="00BF2067"/>
    <w:rsid w:val="00BF2845"/>
    <w:rsid w:val="00BF34EC"/>
    <w:rsid w:val="00BF3917"/>
    <w:rsid w:val="00BF3D19"/>
    <w:rsid w:val="00C01DB5"/>
    <w:rsid w:val="00C12835"/>
    <w:rsid w:val="00C14155"/>
    <w:rsid w:val="00C16F22"/>
    <w:rsid w:val="00C254F0"/>
    <w:rsid w:val="00C27387"/>
    <w:rsid w:val="00C316DC"/>
    <w:rsid w:val="00C40D45"/>
    <w:rsid w:val="00C442F9"/>
    <w:rsid w:val="00C54DDB"/>
    <w:rsid w:val="00C57960"/>
    <w:rsid w:val="00C62971"/>
    <w:rsid w:val="00C63DF9"/>
    <w:rsid w:val="00C743E5"/>
    <w:rsid w:val="00C80846"/>
    <w:rsid w:val="00C84D99"/>
    <w:rsid w:val="00C90A47"/>
    <w:rsid w:val="00CA53FD"/>
    <w:rsid w:val="00CB4F9E"/>
    <w:rsid w:val="00CB6041"/>
    <w:rsid w:val="00CD030E"/>
    <w:rsid w:val="00CD47D9"/>
    <w:rsid w:val="00CD52DB"/>
    <w:rsid w:val="00CE5BA2"/>
    <w:rsid w:val="00CE5FA3"/>
    <w:rsid w:val="00CE6166"/>
    <w:rsid w:val="00CF22E4"/>
    <w:rsid w:val="00CF5D73"/>
    <w:rsid w:val="00CF6B76"/>
    <w:rsid w:val="00CF7682"/>
    <w:rsid w:val="00CF7BDD"/>
    <w:rsid w:val="00D02029"/>
    <w:rsid w:val="00D0263A"/>
    <w:rsid w:val="00D05633"/>
    <w:rsid w:val="00D207DA"/>
    <w:rsid w:val="00D30E6B"/>
    <w:rsid w:val="00D5237A"/>
    <w:rsid w:val="00D56585"/>
    <w:rsid w:val="00D57403"/>
    <w:rsid w:val="00D626B3"/>
    <w:rsid w:val="00D632E2"/>
    <w:rsid w:val="00D66E39"/>
    <w:rsid w:val="00D750FB"/>
    <w:rsid w:val="00D7749F"/>
    <w:rsid w:val="00D8195E"/>
    <w:rsid w:val="00D82B2A"/>
    <w:rsid w:val="00D91F76"/>
    <w:rsid w:val="00D95070"/>
    <w:rsid w:val="00DA0562"/>
    <w:rsid w:val="00DA4FEF"/>
    <w:rsid w:val="00DA7647"/>
    <w:rsid w:val="00DA7C47"/>
    <w:rsid w:val="00DA7F2B"/>
    <w:rsid w:val="00DB166F"/>
    <w:rsid w:val="00DB2DAD"/>
    <w:rsid w:val="00DB5FC6"/>
    <w:rsid w:val="00DB74FA"/>
    <w:rsid w:val="00E00B3F"/>
    <w:rsid w:val="00E01CCB"/>
    <w:rsid w:val="00E133FB"/>
    <w:rsid w:val="00E16E8F"/>
    <w:rsid w:val="00E20625"/>
    <w:rsid w:val="00E24C41"/>
    <w:rsid w:val="00E25AD9"/>
    <w:rsid w:val="00E27F73"/>
    <w:rsid w:val="00E3184D"/>
    <w:rsid w:val="00E4013B"/>
    <w:rsid w:val="00E40A00"/>
    <w:rsid w:val="00E52BF6"/>
    <w:rsid w:val="00E55369"/>
    <w:rsid w:val="00E56B4D"/>
    <w:rsid w:val="00E57CE7"/>
    <w:rsid w:val="00E6317A"/>
    <w:rsid w:val="00E64DCE"/>
    <w:rsid w:val="00E661C5"/>
    <w:rsid w:val="00E76626"/>
    <w:rsid w:val="00E76F44"/>
    <w:rsid w:val="00EB1880"/>
    <w:rsid w:val="00EC2D69"/>
    <w:rsid w:val="00ED076B"/>
    <w:rsid w:val="00ED594D"/>
    <w:rsid w:val="00EE17BE"/>
    <w:rsid w:val="00EE26DC"/>
    <w:rsid w:val="00EE42EB"/>
    <w:rsid w:val="00EE6124"/>
    <w:rsid w:val="00F00619"/>
    <w:rsid w:val="00F157AA"/>
    <w:rsid w:val="00F27B3C"/>
    <w:rsid w:val="00F314E5"/>
    <w:rsid w:val="00F53494"/>
    <w:rsid w:val="00F54133"/>
    <w:rsid w:val="00F54771"/>
    <w:rsid w:val="00F67A76"/>
    <w:rsid w:val="00F754FA"/>
    <w:rsid w:val="00F765C9"/>
    <w:rsid w:val="00F92EAE"/>
    <w:rsid w:val="00FA09E9"/>
    <w:rsid w:val="00FB1F39"/>
    <w:rsid w:val="00FB674E"/>
    <w:rsid w:val="00FC3690"/>
    <w:rsid w:val="00FC50E3"/>
    <w:rsid w:val="00FC547B"/>
    <w:rsid w:val="00FC5A17"/>
    <w:rsid w:val="00FD0711"/>
    <w:rsid w:val="00FD0A4E"/>
    <w:rsid w:val="00FD2E2E"/>
    <w:rsid w:val="00FF601C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11A4"/>
  <w15:chartTrackingRefBased/>
  <w15:docId w15:val="{16F4F74A-C09F-4656-B7A8-44BAD8B4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15D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A04D9D"/>
    <w:pPr>
      <w:spacing w:after="0" w:line="240" w:lineRule="auto"/>
    </w:pPr>
    <w:rPr>
      <w:rFonts w:cs="Times New Roman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1718F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27E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7E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7E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7E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7E9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7E9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E9D"/>
    <w:rPr>
      <w:rFonts w:ascii="Segoe UI" w:hAnsi="Segoe UI" w:cs="Segoe UI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F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4A53"/>
  </w:style>
  <w:style w:type="paragraph" w:styleId="Voettekst">
    <w:name w:val="footer"/>
    <w:basedOn w:val="Standaard"/>
    <w:link w:val="VoettekstChar"/>
    <w:uiPriority w:val="99"/>
    <w:unhideWhenUsed/>
    <w:rsid w:val="002F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4A53"/>
  </w:style>
  <w:style w:type="paragraph" w:styleId="Revisie">
    <w:name w:val="Revision"/>
    <w:hidden/>
    <w:uiPriority w:val="99"/>
    <w:semiHidden/>
    <w:rsid w:val="00E20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1372</ap:Words>
  <ap:Characters>7552</ap:Characters>
  <ap:DocSecurity>0</ap:DocSecurity>
  <ap:Lines>62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2022-12-14T07:59:00.0000000Z</dcterms:created>
  <dcterms:modified xsi:type="dcterms:W3CDTF">2022-12-16T12:12:00.0000000Z</dcterms:modified>
  <version/>
  <category/>
</coreProperties>
</file>