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B7074" w:rsidR="00D2254F" w:rsidP="00D2254F" w:rsidRDefault="00D2254F" w14:paraId="4B5E438B" w14:textId="12297859">
      <w:pPr>
        <w:ind w:firstLine="0"/>
        <w:rPr>
          <w:rFonts w:ascii="Verdana" w:hAnsi="Verdana"/>
          <w:b/>
          <w:sz w:val="18"/>
          <w:szCs w:val="18"/>
          <w:lang w:val="nl-NL"/>
        </w:rPr>
      </w:pPr>
      <w:r w:rsidRPr="00BB7074">
        <w:rPr>
          <w:rFonts w:ascii="Verdana" w:hAnsi="Verdana"/>
          <w:b/>
          <w:sz w:val="18"/>
          <w:szCs w:val="18"/>
          <w:lang w:val="nl-NL"/>
        </w:rPr>
        <w:t xml:space="preserve">Verdrag tussen het Koninkrijk der Nederlanden en de Republiek Colombia tot het vermijden van dubbele belasting met betrekking tot belastingen naar het inkomen en het voorkomen van het </w:t>
      </w:r>
      <w:r w:rsidR="00A12C45">
        <w:rPr>
          <w:rFonts w:ascii="Verdana" w:hAnsi="Verdana"/>
          <w:b/>
          <w:sz w:val="18"/>
          <w:szCs w:val="18"/>
          <w:lang w:val="nl-NL"/>
        </w:rPr>
        <w:t>ontduiken</w:t>
      </w:r>
      <w:r w:rsidRPr="00BB7074" w:rsidR="00A12C45">
        <w:rPr>
          <w:rFonts w:ascii="Verdana" w:hAnsi="Verdana"/>
          <w:b/>
          <w:sz w:val="18"/>
          <w:szCs w:val="18"/>
          <w:lang w:val="nl-NL"/>
        </w:rPr>
        <w:t xml:space="preserve"> </w:t>
      </w:r>
      <w:r w:rsidRPr="00BB7074">
        <w:rPr>
          <w:rFonts w:ascii="Verdana" w:hAnsi="Verdana"/>
          <w:b/>
          <w:sz w:val="18"/>
          <w:szCs w:val="18"/>
          <w:lang w:val="nl-NL"/>
        </w:rPr>
        <w:t xml:space="preserve">en ontwijken van belasting, met Protocol; </w:t>
      </w:r>
      <w:r w:rsidR="007A068D">
        <w:rPr>
          <w:rFonts w:ascii="Verdana" w:hAnsi="Verdana"/>
          <w:b/>
          <w:sz w:val="18"/>
          <w:szCs w:val="18"/>
          <w:lang w:val="nl-NL"/>
        </w:rPr>
        <w:t>‘s-Gravenhage</w:t>
      </w:r>
      <w:r w:rsidRPr="00BB7074">
        <w:rPr>
          <w:rFonts w:ascii="Verdana" w:hAnsi="Verdana"/>
          <w:b/>
          <w:sz w:val="18"/>
          <w:szCs w:val="18"/>
          <w:lang w:val="nl-NL"/>
        </w:rPr>
        <w:t xml:space="preserve">, </w:t>
      </w:r>
      <w:r w:rsidR="007A068D">
        <w:rPr>
          <w:rFonts w:ascii="Verdana" w:hAnsi="Verdana"/>
          <w:b/>
          <w:sz w:val="18"/>
          <w:szCs w:val="18"/>
          <w:lang w:val="nl-NL"/>
        </w:rPr>
        <w:t>16 februari 2022</w:t>
      </w:r>
      <w:r w:rsidRPr="00BB7074">
        <w:rPr>
          <w:rFonts w:ascii="Verdana" w:hAnsi="Verdana"/>
          <w:b/>
          <w:sz w:val="18"/>
          <w:szCs w:val="18"/>
          <w:lang w:val="nl-NL"/>
        </w:rPr>
        <w:t xml:space="preserve"> (</w:t>
      </w:r>
      <w:r w:rsidRPr="00BB7074">
        <w:rPr>
          <w:rFonts w:ascii="Verdana" w:hAnsi="Verdana"/>
          <w:b/>
          <w:i/>
          <w:sz w:val="18"/>
          <w:szCs w:val="18"/>
          <w:lang w:val="nl-NL"/>
        </w:rPr>
        <w:t>Trb</w:t>
      </w:r>
      <w:r w:rsidRPr="00BB7074">
        <w:rPr>
          <w:rFonts w:ascii="Verdana" w:hAnsi="Verdana"/>
          <w:b/>
          <w:sz w:val="18"/>
          <w:szCs w:val="18"/>
          <w:lang w:val="nl-NL"/>
        </w:rPr>
        <w:t>. 20</w:t>
      </w:r>
      <w:r w:rsidR="007A068D">
        <w:rPr>
          <w:rFonts w:ascii="Verdana" w:hAnsi="Verdana"/>
          <w:b/>
          <w:sz w:val="18"/>
          <w:szCs w:val="18"/>
          <w:lang w:val="nl-NL"/>
        </w:rPr>
        <w:t>22</w:t>
      </w:r>
      <w:r w:rsidRPr="00BB7074">
        <w:rPr>
          <w:rFonts w:ascii="Verdana" w:hAnsi="Verdana"/>
          <w:b/>
          <w:sz w:val="18"/>
          <w:szCs w:val="18"/>
          <w:lang w:val="nl-NL"/>
        </w:rPr>
        <w:t>,</w:t>
      </w:r>
      <w:r w:rsidR="007A068D">
        <w:rPr>
          <w:rFonts w:ascii="Verdana" w:hAnsi="Verdana"/>
          <w:b/>
          <w:sz w:val="18"/>
          <w:szCs w:val="18"/>
          <w:lang w:val="nl-NL"/>
        </w:rPr>
        <w:t xml:space="preserve"> 18</w:t>
      </w:r>
      <w:r w:rsidRPr="00BB7074">
        <w:rPr>
          <w:rFonts w:ascii="Verdana" w:hAnsi="Verdana"/>
          <w:b/>
          <w:sz w:val="18"/>
          <w:szCs w:val="18"/>
          <w:lang w:val="nl-NL"/>
        </w:rPr>
        <w:t>)</w:t>
      </w:r>
    </w:p>
    <w:p w:rsidRPr="00BB7074" w:rsidR="00D2254F" w:rsidP="00D2254F" w:rsidRDefault="00D2254F" w14:paraId="7A5207F4" w14:textId="77777777">
      <w:pPr>
        <w:ind w:firstLine="0"/>
        <w:rPr>
          <w:rFonts w:ascii="Verdana" w:hAnsi="Verdana"/>
          <w:sz w:val="18"/>
          <w:szCs w:val="18"/>
          <w:lang w:val="nl-NL"/>
        </w:rPr>
      </w:pPr>
    </w:p>
    <w:p w:rsidRPr="00B603B8" w:rsidR="00D2254F" w:rsidP="00B603B8" w:rsidRDefault="00D2254F" w14:paraId="38082163" w14:textId="2CA0E114">
      <w:pPr>
        <w:ind w:firstLine="0"/>
        <w:rPr>
          <w:b/>
          <w:lang w:val="nl-NL"/>
        </w:rPr>
      </w:pPr>
      <w:r w:rsidRPr="00B603B8">
        <w:rPr>
          <w:b/>
          <w:lang w:val="nl-NL"/>
        </w:rPr>
        <w:t>TOELICHTENDE NOTA</w:t>
      </w:r>
    </w:p>
    <w:p w:rsidRPr="00BB7074" w:rsidR="00D2254F" w:rsidP="00D2254F" w:rsidRDefault="00D2254F" w14:paraId="32E775F6" w14:textId="77777777">
      <w:pPr>
        <w:ind w:firstLine="0"/>
        <w:rPr>
          <w:rFonts w:ascii="Verdana" w:hAnsi="Verdana"/>
          <w:b/>
          <w:sz w:val="18"/>
          <w:szCs w:val="18"/>
          <w:lang w:val="nl-NL"/>
        </w:rPr>
      </w:pPr>
    </w:p>
    <w:p w:rsidRPr="00BB7074" w:rsidR="00861834" w:rsidP="00A927AA" w:rsidRDefault="003E03A0" w14:paraId="63D72A0A" w14:textId="357DE24A">
      <w:pPr>
        <w:pStyle w:val="Heading1"/>
        <w:rPr>
          <w:rFonts w:ascii="Verdana" w:hAnsi="Verdana"/>
          <w:sz w:val="18"/>
          <w:szCs w:val="18"/>
          <w:lang w:val="nl-NL"/>
        </w:rPr>
      </w:pPr>
      <w:r w:rsidRPr="00BB7074">
        <w:rPr>
          <w:rFonts w:ascii="Verdana" w:hAnsi="Verdana"/>
          <w:sz w:val="18"/>
          <w:szCs w:val="18"/>
          <w:lang w:val="nl-NL"/>
        </w:rPr>
        <w:t xml:space="preserve">I. </w:t>
      </w:r>
      <w:r w:rsidRPr="00BB7074" w:rsidR="00861834">
        <w:rPr>
          <w:rFonts w:ascii="Verdana" w:hAnsi="Verdana"/>
          <w:sz w:val="18"/>
          <w:szCs w:val="18"/>
          <w:lang w:val="nl-NL"/>
        </w:rPr>
        <w:t>Algeme</w:t>
      </w:r>
      <w:r w:rsidR="000121C9">
        <w:rPr>
          <w:rFonts w:ascii="Verdana" w:hAnsi="Verdana"/>
          <w:sz w:val="18"/>
          <w:szCs w:val="18"/>
          <w:lang w:val="nl-NL"/>
        </w:rPr>
        <w:t>E</w:t>
      </w:r>
      <w:r w:rsidRPr="00BB7074" w:rsidR="00861834">
        <w:rPr>
          <w:rFonts w:ascii="Verdana" w:hAnsi="Verdana"/>
          <w:sz w:val="18"/>
          <w:szCs w:val="18"/>
          <w:lang w:val="nl-NL"/>
        </w:rPr>
        <w:t>n</w:t>
      </w:r>
      <w:r w:rsidRPr="00BB7074" w:rsidR="00F51C30">
        <w:rPr>
          <w:rFonts w:ascii="Verdana" w:hAnsi="Verdana"/>
          <w:sz w:val="18"/>
          <w:szCs w:val="18"/>
          <w:lang w:val="nl-NL"/>
        </w:rPr>
        <w:t xml:space="preserve"> </w:t>
      </w:r>
    </w:p>
    <w:p w:rsidRPr="00BB7074" w:rsidR="00861834" w:rsidP="00A927AA" w:rsidRDefault="003E03A0" w14:paraId="04F555FD" w14:textId="6E0CD2F4">
      <w:pPr>
        <w:pStyle w:val="Heading2"/>
        <w:rPr>
          <w:rFonts w:ascii="Verdana" w:hAnsi="Verdana"/>
          <w:sz w:val="18"/>
          <w:szCs w:val="18"/>
          <w:lang w:val="nl-NL"/>
        </w:rPr>
      </w:pPr>
      <w:r w:rsidRPr="00BB7074">
        <w:rPr>
          <w:rFonts w:ascii="Verdana" w:hAnsi="Verdana"/>
          <w:sz w:val="18"/>
          <w:szCs w:val="18"/>
          <w:lang w:val="nl-NL"/>
        </w:rPr>
        <w:t>I.1</w:t>
      </w:r>
      <w:r w:rsidR="00142864">
        <w:rPr>
          <w:rFonts w:ascii="Verdana" w:hAnsi="Verdana"/>
          <w:sz w:val="18"/>
          <w:szCs w:val="18"/>
          <w:lang w:val="nl-NL"/>
        </w:rPr>
        <w:t>.</w:t>
      </w:r>
      <w:r w:rsidRPr="00BB7074">
        <w:rPr>
          <w:rFonts w:ascii="Verdana" w:hAnsi="Verdana"/>
          <w:sz w:val="18"/>
          <w:szCs w:val="18"/>
          <w:lang w:val="nl-NL"/>
        </w:rPr>
        <w:t xml:space="preserve"> </w:t>
      </w:r>
      <w:r w:rsidRPr="00BB7074" w:rsidR="00861834">
        <w:rPr>
          <w:rFonts w:ascii="Verdana" w:hAnsi="Verdana"/>
          <w:sz w:val="18"/>
          <w:szCs w:val="18"/>
          <w:lang w:val="nl-NL"/>
        </w:rPr>
        <w:t>Inleiding</w:t>
      </w:r>
    </w:p>
    <w:p w:rsidRPr="00BB7074" w:rsidR="00D2254F" w:rsidP="00D2254F" w:rsidRDefault="007A068D" w14:paraId="6E03CEAA" w14:textId="4DE701F8">
      <w:pPr>
        <w:rPr>
          <w:rFonts w:ascii="Verdana" w:hAnsi="Verdana"/>
          <w:sz w:val="18"/>
          <w:szCs w:val="18"/>
          <w:lang w:val="nl-NL"/>
        </w:rPr>
      </w:pPr>
      <w:r>
        <w:rPr>
          <w:rFonts w:ascii="Verdana" w:hAnsi="Verdana"/>
          <w:sz w:val="18"/>
          <w:szCs w:val="18"/>
          <w:lang w:val="nl-NL"/>
        </w:rPr>
        <w:t>Op 16 februari 2022</w:t>
      </w:r>
      <w:r w:rsidRPr="00BB7074" w:rsidR="00D2254F">
        <w:rPr>
          <w:rFonts w:ascii="Verdana" w:hAnsi="Verdana"/>
          <w:sz w:val="18"/>
          <w:szCs w:val="18"/>
          <w:lang w:val="nl-NL"/>
        </w:rPr>
        <w:t xml:space="preserve"> is te </w:t>
      </w:r>
      <w:r>
        <w:rPr>
          <w:rFonts w:ascii="Verdana" w:hAnsi="Verdana"/>
          <w:sz w:val="18"/>
          <w:szCs w:val="18"/>
          <w:lang w:val="nl-NL"/>
        </w:rPr>
        <w:t>‘s-Gravenhage</w:t>
      </w:r>
      <w:r w:rsidRPr="00BB7074" w:rsidR="00D2254F">
        <w:rPr>
          <w:rFonts w:ascii="Verdana" w:hAnsi="Verdana"/>
          <w:sz w:val="18"/>
          <w:szCs w:val="18"/>
          <w:lang w:val="nl-NL"/>
        </w:rPr>
        <w:t xml:space="preserve"> het Verdrag tussen het Koninkrijk der Nederlanden en de Republiek Colombia tot het vermijden van dubbele belasting met betrekking tot belastingen naar het inkomen en het voorkomen van het </w:t>
      </w:r>
      <w:r w:rsidR="00A12C45">
        <w:rPr>
          <w:rFonts w:ascii="Verdana" w:hAnsi="Verdana"/>
          <w:sz w:val="18"/>
          <w:szCs w:val="18"/>
          <w:lang w:val="nl-NL"/>
        </w:rPr>
        <w:t>ontduiken</w:t>
      </w:r>
      <w:r w:rsidRPr="00BB7074" w:rsidR="00A12C45">
        <w:rPr>
          <w:rFonts w:ascii="Verdana" w:hAnsi="Verdana"/>
          <w:sz w:val="18"/>
          <w:szCs w:val="18"/>
          <w:lang w:val="nl-NL"/>
        </w:rPr>
        <w:t xml:space="preserve"> </w:t>
      </w:r>
      <w:r w:rsidRPr="00BB7074" w:rsidR="00D2254F">
        <w:rPr>
          <w:rFonts w:ascii="Verdana" w:hAnsi="Verdana"/>
          <w:sz w:val="18"/>
          <w:szCs w:val="18"/>
          <w:lang w:val="nl-NL"/>
        </w:rPr>
        <w:t xml:space="preserve">en ontwijken van belasting, met Protocol, (hierna: </w:t>
      </w:r>
      <w:r w:rsidR="006A7785">
        <w:rPr>
          <w:rFonts w:ascii="Verdana" w:hAnsi="Verdana"/>
          <w:sz w:val="18"/>
          <w:szCs w:val="18"/>
          <w:lang w:val="nl-NL"/>
        </w:rPr>
        <w:t>‘</w:t>
      </w:r>
      <w:r w:rsidRPr="00BB7074" w:rsidR="00D2254F">
        <w:rPr>
          <w:rFonts w:ascii="Verdana" w:hAnsi="Verdana"/>
          <w:sz w:val="18"/>
          <w:szCs w:val="18"/>
          <w:lang w:val="nl-NL"/>
        </w:rPr>
        <w:t>het Verdrag</w:t>
      </w:r>
      <w:r w:rsidR="006A7785">
        <w:rPr>
          <w:rFonts w:ascii="Verdana" w:hAnsi="Verdana"/>
          <w:sz w:val="18"/>
          <w:szCs w:val="18"/>
          <w:lang w:val="nl-NL"/>
        </w:rPr>
        <w:t>’</w:t>
      </w:r>
      <w:r w:rsidRPr="00BB7074" w:rsidR="00D2254F">
        <w:rPr>
          <w:rFonts w:ascii="Verdana" w:hAnsi="Verdana"/>
          <w:sz w:val="18"/>
          <w:szCs w:val="18"/>
          <w:lang w:val="nl-NL"/>
        </w:rPr>
        <w:t xml:space="preserve"> en </w:t>
      </w:r>
      <w:r w:rsidR="006A7785">
        <w:rPr>
          <w:rFonts w:ascii="Verdana" w:hAnsi="Verdana"/>
          <w:sz w:val="18"/>
          <w:szCs w:val="18"/>
          <w:lang w:val="nl-NL"/>
        </w:rPr>
        <w:t>‘</w:t>
      </w:r>
      <w:r w:rsidRPr="00BB7074" w:rsidR="00D2254F">
        <w:rPr>
          <w:rFonts w:ascii="Verdana" w:hAnsi="Verdana"/>
          <w:sz w:val="18"/>
          <w:szCs w:val="18"/>
          <w:lang w:val="nl-NL"/>
        </w:rPr>
        <w:t>het Protocol</w:t>
      </w:r>
      <w:r w:rsidR="006A7785">
        <w:rPr>
          <w:rFonts w:ascii="Verdana" w:hAnsi="Verdana"/>
          <w:sz w:val="18"/>
          <w:szCs w:val="18"/>
          <w:lang w:val="nl-NL"/>
        </w:rPr>
        <w:t>’)</w:t>
      </w:r>
      <w:r w:rsidRPr="00BB7074" w:rsidR="00D2254F">
        <w:rPr>
          <w:rFonts w:ascii="Verdana" w:hAnsi="Verdana"/>
          <w:sz w:val="18"/>
          <w:szCs w:val="18"/>
          <w:lang w:val="nl-NL"/>
        </w:rPr>
        <w:t xml:space="preserve"> tot stand gekomen. Het Verdrag bevat regels die aanwijzen welke van de verdragsluitende staten bevoegd is om in overeenstemming met zijn nationale wetgeving belasting te heffen over het inkomen van inwoners van één of van beide staten. Daarnaast is in het Verdrag, onder meer met het oog op het voorkomen van het </w:t>
      </w:r>
      <w:r w:rsidR="00A12C45">
        <w:rPr>
          <w:rFonts w:ascii="Verdana" w:hAnsi="Verdana"/>
          <w:sz w:val="18"/>
          <w:szCs w:val="18"/>
          <w:lang w:val="nl-NL"/>
        </w:rPr>
        <w:t>ontduiken</w:t>
      </w:r>
      <w:r w:rsidRPr="00BB7074" w:rsidR="00A12C45">
        <w:rPr>
          <w:rFonts w:ascii="Verdana" w:hAnsi="Verdana"/>
          <w:sz w:val="18"/>
          <w:szCs w:val="18"/>
          <w:lang w:val="nl-NL"/>
        </w:rPr>
        <w:t xml:space="preserve"> </w:t>
      </w:r>
      <w:r w:rsidRPr="00BB7074" w:rsidR="00D2254F">
        <w:rPr>
          <w:rFonts w:ascii="Verdana" w:hAnsi="Verdana"/>
          <w:sz w:val="18"/>
          <w:szCs w:val="18"/>
          <w:lang w:val="nl-NL"/>
        </w:rPr>
        <w:t>en ontwijken van belasting, een juridische basis opgenomen voor onderling overleg, voor uitwisseling van gegevens en voor bijstand bij de invordering van belastingschulden.</w:t>
      </w:r>
    </w:p>
    <w:p w:rsidRPr="00BB7074" w:rsidR="00D2254F" w:rsidP="00D2254F" w:rsidRDefault="00673494" w14:paraId="231C48C5" w14:textId="783D901D">
      <w:pPr>
        <w:rPr>
          <w:rFonts w:ascii="Verdana" w:hAnsi="Verdana"/>
          <w:sz w:val="18"/>
          <w:szCs w:val="18"/>
          <w:lang w:val="nl-NL"/>
        </w:rPr>
      </w:pPr>
      <w:r w:rsidRPr="00BB7074">
        <w:rPr>
          <w:rFonts w:ascii="Verdana" w:hAnsi="Verdana"/>
          <w:sz w:val="18"/>
          <w:szCs w:val="18"/>
          <w:lang w:val="nl-NL"/>
        </w:rPr>
        <w:t>De onderhandelingen voor dit Verdrag zijn gevoerd voordat de Notitie Fiscaal Verdragsbeleid 2020</w:t>
      </w:r>
      <w:r w:rsidRPr="00BB7074">
        <w:rPr>
          <w:rStyle w:val="FootnoteReference"/>
          <w:rFonts w:ascii="Verdana" w:hAnsi="Verdana"/>
          <w:sz w:val="18"/>
          <w:szCs w:val="18"/>
          <w:lang w:val="nl-NL"/>
        </w:rPr>
        <w:footnoteReference w:id="1"/>
      </w:r>
      <w:r w:rsidRPr="00BB7074">
        <w:rPr>
          <w:rFonts w:ascii="Verdana" w:hAnsi="Verdana"/>
          <w:sz w:val="18"/>
          <w:szCs w:val="18"/>
          <w:lang w:val="nl-NL"/>
        </w:rPr>
        <w:t xml:space="preserve"> (hierna</w:t>
      </w:r>
      <w:r w:rsidRPr="00BB7074" w:rsidR="00FA6BED">
        <w:rPr>
          <w:rFonts w:ascii="Verdana" w:hAnsi="Verdana"/>
          <w:sz w:val="18"/>
          <w:szCs w:val="18"/>
          <w:lang w:val="nl-NL"/>
        </w:rPr>
        <w:t>:</w:t>
      </w:r>
      <w:r w:rsidRPr="00BB7074">
        <w:rPr>
          <w:rFonts w:ascii="Verdana" w:hAnsi="Verdana"/>
          <w:sz w:val="18"/>
          <w:szCs w:val="18"/>
          <w:lang w:val="nl-NL"/>
        </w:rPr>
        <w:t xml:space="preserve"> </w:t>
      </w:r>
      <w:r w:rsidR="006A7785">
        <w:rPr>
          <w:rFonts w:ascii="Verdana" w:hAnsi="Verdana"/>
          <w:sz w:val="18"/>
          <w:szCs w:val="18"/>
          <w:lang w:val="nl-NL"/>
        </w:rPr>
        <w:t>‘</w:t>
      </w:r>
      <w:r w:rsidRPr="00BB7074">
        <w:rPr>
          <w:rFonts w:ascii="Verdana" w:hAnsi="Verdana"/>
          <w:sz w:val="18"/>
          <w:szCs w:val="18"/>
          <w:lang w:val="nl-NL"/>
        </w:rPr>
        <w:t>NFV 2020</w:t>
      </w:r>
      <w:r w:rsidR="006A7785">
        <w:rPr>
          <w:rFonts w:ascii="Verdana" w:hAnsi="Verdana"/>
          <w:sz w:val="18"/>
          <w:szCs w:val="18"/>
          <w:lang w:val="nl-NL"/>
        </w:rPr>
        <w:t>’</w:t>
      </w:r>
      <w:r w:rsidRPr="00BB7074">
        <w:rPr>
          <w:rFonts w:ascii="Verdana" w:hAnsi="Verdana"/>
          <w:sz w:val="18"/>
          <w:szCs w:val="18"/>
          <w:lang w:val="nl-NL"/>
        </w:rPr>
        <w:t xml:space="preserve">) werd afgerond. Er is daarom met name gewerkt </w:t>
      </w:r>
      <w:r w:rsidRPr="00BB7074" w:rsidR="00D2254F">
        <w:rPr>
          <w:rFonts w:ascii="Verdana" w:hAnsi="Verdana"/>
          <w:sz w:val="18"/>
          <w:szCs w:val="18"/>
          <w:lang w:val="nl-NL"/>
        </w:rPr>
        <w:t>binnen de kaders van de Notitie Fiscaal Verdragsbeleid 2011</w:t>
      </w:r>
      <w:r w:rsidRPr="00BB7074" w:rsidR="00D2254F">
        <w:rPr>
          <w:rFonts w:ascii="Verdana" w:hAnsi="Verdana"/>
          <w:sz w:val="18"/>
          <w:szCs w:val="18"/>
          <w:vertAlign w:val="superscript"/>
        </w:rPr>
        <w:footnoteReference w:id="2"/>
      </w:r>
      <w:r w:rsidRPr="00BB7074" w:rsidR="00D2254F">
        <w:rPr>
          <w:rFonts w:ascii="Verdana" w:hAnsi="Verdana"/>
          <w:sz w:val="18"/>
          <w:szCs w:val="18"/>
          <w:lang w:val="nl-NL"/>
        </w:rPr>
        <w:t xml:space="preserve"> (hierna: </w:t>
      </w:r>
      <w:r w:rsidR="006A7785">
        <w:rPr>
          <w:rFonts w:ascii="Verdana" w:hAnsi="Verdana"/>
          <w:sz w:val="18"/>
          <w:szCs w:val="18"/>
          <w:lang w:val="nl-NL"/>
        </w:rPr>
        <w:t>‘</w:t>
      </w:r>
      <w:r w:rsidRPr="00BB7074" w:rsidR="00D2254F">
        <w:rPr>
          <w:rFonts w:ascii="Verdana" w:hAnsi="Verdana"/>
          <w:sz w:val="18"/>
          <w:szCs w:val="18"/>
          <w:lang w:val="nl-NL"/>
        </w:rPr>
        <w:t>NFV 2011</w:t>
      </w:r>
      <w:r w:rsidR="006A7785">
        <w:rPr>
          <w:rFonts w:ascii="Verdana" w:hAnsi="Verdana"/>
          <w:sz w:val="18"/>
          <w:szCs w:val="18"/>
          <w:lang w:val="nl-NL"/>
        </w:rPr>
        <w:t>’</w:t>
      </w:r>
      <w:r w:rsidRPr="00BB7074" w:rsidR="00D2254F">
        <w:rPr>
          <w:rFonts w:ascii="Verdana" w:hAnsi="Verdana"/>
          <w:sz w:val="18"/>
          <w:szCs w:val="18"/>
          <w:lang w:val="nl-NL"/>
        </w:rPr>
        <w:t>)</w:t>
      </w:r>
      <w:r w:rsidRPr="00BB7074">
        <w:rPr>
          <w:rFonts w:ascii="Verdana" w:hAnsi="Verdana"/>
          <w:sz w:val="18"/>
          <w:szCs w:val="18"/>
          <w:lang w:val="nl-NL"/>
        </w:rPr>
        <w:t>. De uitkomst past binnen de uitgangspunten van beide notities.</w:t>
      </w:r>
      <w:r w:rsidRPr="00BB7074" w:rsidR="00D2254F">
        <w:rPr>
          <w:rFonts w:ascii="Verdana" w:hAnsi="Verdana"/>
          <w:sz w:val="18"/>
          <w:szCs w:val="18"/>
          <w:lang w:val="nl-NL"/>
        </w:rPr>
        <w:t xml:space="preserve"> </w:t>
      </w:r>
      <w:r w:rsidRPr="00BB7074" w:rsidR="00B33960">
        <w:rPr>
          <w:rFonts w:ascii="Verdana" w:hAnsi="Verdana"/>
          <w:sz w:val="18"/>
          <w:szCs w:val="18"/>
          <w:lang w:val="nl-NL"/>
        </w:rPr>
        <w:t xml:space="preserve">Het </w:t>
      </w:r>
      <w:r w:rsidRPr="00BB7074" w:rsidR="00D2254F">
        <w:rPr>
          <w:rFonts w:ascii="Verdana" w:hAnsi="Verdana"/>
          <w:sz w:val="18"/>
          <w:szCs w:val="18"/>
          <w:lang w:val="nl-NL"/>
        </w:rPr>
        <w:t>Toetsschema</w:t>
      </w:r>
      <w:r w:rsidRPr="00BB7074" w:rsidR="00FC0E8E">
        <w:rPr>
          <w:rFonts w:ascii="Verdana" w:hAnsi="Verdana"/>
          <w:sz w:val="18"/>
          <w:szCs w:val="18"/>
          <w:lang w:val="nl-NL"/>
        </w:rPr>
        <w:t xml:space="preserve"> Standaardcriteria Fiscaal Verdragsbeleid 2020 </w:t>
      </w:r>
      <w:r w:rsidRPr="00BB7074" w:rsidR="00B33960">
        <w:rPr>
          <w:rFonts w:ascii="Verdana" w:hAnsi="Verdana"/>
          <w:sz w:val="18"/>
          <w:szCs w:val="18"/>
          <w:lang w:val="nl-NL"/>
        </w:rPr>
        <w:t xml:space="preserve">is in deze toelichtende nota </w:t>
      </w:r>
      <w:r w:rsidRPr="00BB7074" w:rsidR="00D2254F">
        <w:rPr>
          <w:rFonts w:ascii="Verdana" w:hAnsi="Verdana"/>
          <w:sz w:val="18"/>
          <w:szCs w:val="18"/>
          <w:lang w:val="nl-NL"/>
        </w:rPr>
        <w:t>opgenomen.</w:t>
      </w:r>
    </w:p>
    <w:p w:rsidRPr="00BB7074" w:rsidR="00861834" w:rsidP="002F0BBD" w:rsidRDefault="003E03A0" w14:paraId="5DA10A0D" w14:textId="3E0175F1">
      <w:pPr>
        <w:pStyle w:val="Heading2"/>
        <w:rPr>
          <w:rFonts w:ascii="Verdana" w:hAnsi="Verdana"/>
          <w:sz w:val="18"/>
          <w:szCs w:val="18"/>
          <w:lang w:val="nl-NL"/>
        </w:rPr>
      </w:pPr>
      <w:r w:rsidRPr="00BB7074">
        <w:rPr>
          <w:rFonts w:ascii="Verdana" w:hAnsi="Verdana"/>
          <w:sz w:val="18"/>
          <w:szCs w:val="18"/>
          <w:lang w:val="nl-NL"/>
        </w:rPr>
        <w:t>I.2</w:t>
      </w:r>
      <w:r w:rsidR="00142864">
        <w:rPr>
          <w:rFonts w:ascii="Verdana" w:hAnsi="Verdana"/>
          <w:sz w:val="18"/>
          <w:szCs w:val="18"/>
          <w:lang w:val="nl-NL"/>
        </w:rPr>
        <w:t>.</w:t>
      </w:r>
      <w:r w:rsidRPr="00BB7074">
        <w:rPr>
          <w:rFonts w:ascii="Verdana" w:hAnsi="Verdana"/>
          <w:sz w:val="18"/>
          <w:szCs w:val="18"/>
          <w:lang w:val="nl-NL"/>
        </w:rPr>
        <w:t xml:space="preserve"> </w:t>
      </w:r>
      <w:r w:rsidRPr="00BB7074" w:rsidR="00861834">
        <w:rPr>
          <w:rFonts w:ascii="Verdana" w:hAnsi="Verdana"/>
          <w:sz w:val="18"/>
          <w:szCs w:val="18"/>
          <w:lang w:val="nl-NL"/>
        </w:rPr>
        <w:t>Aanleiding voor en verloop van de onderhandelingen</w:t>
      </w:r>
    </w:p>
    <w:p w:rsidRPr="00BB7074" w:rsidR="00875BA2" w:rsidP="00875BA2" w:rsidRDefault="00875BA2" w14:paraId="6CF41870" w14:textId="77777777">
      <w:pPr>
        <w:rPr>
          <w:rFonts w:ascii="Verdana" w:hAnsi="Verdana"/>
          <w:sz w:val="18"/>
          <w:szCs w:val="18"/>
          <w:lang w:val="nl-NL"/>
        </w:rPr>
      </w:pPr>
      <w:r w:rsidRPr="00BB7074">
        <w:rPr>
          <w:rFonts w:ascii="Verdana" w:hAnsi="Verdana"/>
          <w:sz w:val="18"/>
          <w:szCs w:val="18"/>
          <w:lang w:val="nl-NL"/>
        </w:rPr>
        <w:t>De onderhandelingen om tot een belastingverdrag te komen zijn in 2008 op initiatief van Colombia gestart. Tussen 2008 en 2013 hebben vier onderhandelingsrondes plaatsgevonden. Het is in die periode echter niet gelukt om over alle verdragsartikelen overeenstemming te bereiken.</w:t>
      </w:r>
    </w:p>
    <w:p w:rsidRPr="00BB7074" w:rsidR="00875BA2" w:rsidP="00875BA2" w:rsidRDefault="00875BA2" w14:paraId="6B5A78A5" w14:textId="4DB7A3C7">
      <w:pPr>
        <w:rPr>
          <w:rFonts w:ascii="Verdana" w:hAnsi="Verdana"/>
          <w:sz w:val="18"/>
          <w:szCs w:val="18"/>
          <w:lang w:val="nl-NL"/>
        </w:rPr>
      </w:pPr>
      <w:r w:rsidRPr="00BB7074">
        <w:rPr>
          <w:rFonts w:ascii="Verdana" w:hAnsi="Verdana"/>
          <w:sz w:val="18"/>
          <w:szCs w:val="18"/>
          <w:lang w:val="nl-NL"/>
        </w:rPr>
        <w:t>In 2018 is op initiatief van Nederland besloten om de onderhandelingen te hervatten. Met het oog op intensivering van de betrekkingen tussen Colombia en Nederland was wederzijds interesse blijven bestaan in het sluiten van een belastingverdrag. Ook achtten beide landen het realistisch dat het nu wel zou lukken om het over alle verdragsartikelen eens te worden, mede omdat Colombia in de tussentijd ook belastingverdragen had gesloten met andere West-Europese landen (Frankrijk in 2015 en het Verenigd Koninkrijk in 2016)</w:t>
      </w:r>
      <w:r w:rsidRPr="00BB7074" w:rsidR="00AA192D">
        <w:rPr>
          <w:rFonts w:ascii="Verdana" w:hAnsi="Verdana"/>
          <w:sz w:val="18"/>
          <w:szCs w:val="18"/>
          <w:lang w:val="nl-NL"/>
        </w:rPr>
        <w:t xml:space="preserve"> en</w:t>
      </w:r>
      <w:r w:rsidRPr="00BB7074" w:rsidR="0068576F">
        <w:rPr>
          <w:rFonts w:ascii="Verdana" w:hAnsi="Verdana"/>
          <w:sz w:val="18"/>
          <w:szCs w:val="18"/>
          <w:lang w:val="nl-NL"/>
        </w:rPr>
        <w:t xml:space="preserve"> belangstelling had getoond voor lidmaatschap van de O</w:t>
      </w:r>
      <w:r w:rsidRPr="00BB7074" w:rsidR="00C70480">
        <w:rPr>
          <w:rFonts w:ascii="Verdana" w:hAnsi="Verdana"/>
          <w:sz w:val="18"/>
          <w:szCs w:val="18"/>
          <w:lang w:val="nl-NL"/>
        </w:rPr>
        <w:t xml:space="preserve">rganisatie voor Economische Samenwerking en Ontwikkeling (hierna: </w:t>
      </w:r>
      <w:r w:rsidR="006A7785">
        <w:rPr>
          <w:rFonts w:ascii="Verdana" w:hAnsi="Verdana"/>
          <w:sz w:val="18"/>
          <w:szCs w:val="18"/>
          <w:lang w:val="nl-NL"/>
        </w:rPr>
        <w:t>‘</w:t>
      </w:r>
      <w:r w:rsidRPr="00BB7074" w:rsidR="00C70480">
        <w:rPr>
          <w:rFonts w:ascii="Verdana" w:hAnsi="Verdana"/>
          <w:sz w:val="18"/>
          <w:szCs w:val="18"/>
          <w:lang w:val="nl-NL"/>
        </w:rPr>
        <w:t>O</w:t>
      </w:r>
      <w:r w:rsidRPr="00BB7074" w:rsidR="0068576F">
        <w:rPr>
          <w:rFonts w:ascii="Verdana" w:hAnsi="Verdana"/>
          <w:sz w:val="18"/>
          <w:szCs w:val="18"/>
          <w:lang w:val="nl-NL"/>
        </w:rPr>
        <w:t>ESO</w:t>
      </w:r>
      <w:r w:rsidR="006A7785">
        <w:rPr>
          <w:rFonts w:ascii="Verdana" w:hAnsi="Verdana"/>
          <w:sz w:val="18"/>
          <w:szCs w:val="18"/>
          <w:lang w:val="nl-NL"/>
        </w:rPr>
        <w:t>’</w:t>
      </w:r>
      <w:r w:rsidRPr="00BB7074" w:rsidR="00C70480">
        <w:rPr>
          <w:rFonts w:ascii="Verdana" w:hAnsi="Verdana"/>
          <w:sz w:val="18"/>
          <w:szCs w:val="18"/>
          <w:lang w:val="nl-NL"/>
        </w:rPr>
        <w:t>)</w:t>
      </w:r>
      <w:r w:rsidRPr="00BB7074" w:rsidR="000024CC">
        <w:rPr>
          <w:rFonts w:ascii="Verdana" w:hAnsi="Verdana"/>
          <w:sz w:val="18"/>
          <w:szCs w:val="18"/>
          <w:lang w:val="nl-NL"/>
        </w:rPr>
        <w:t>, wat</w:t>
      </w:r>
      <w:r w:rsidRPr="00BB7074" w:rsidR="00AA192D">
        <w:rPr>
          <w:rFonts w:ascii="Verdana" w:hAnsi="Verdana"/>
          <w:sz w:val="18"/>
          <w:szCs w:val="18"/>
          <w:lang w:val="nl-NL"/>
        </w:rPr>
        <w:t xml:space="preserve"> </w:t>
      </w:r>
      <w:r w:rsidRPr="00BB7074" w:rsidR="000024CC">
        <w:rPr>
          <w:rFonts w:ascii="Verdana" w:hAnsi="Verdana"/>
          <w:sz w:val="18"/>
          <w:szCs w:val="18"/>
          <w:lang w:val="nl-NL"/>
        </w:rPr>
        <w:t>op 28 april 2020 is gerealiseerd.</w:t>
      </w:r>
    </w:p>
    <w:p w:rsidR="002F0BBD" w:rsidP="00875BA2" w:rsidRDefault="00875BA2" w14:paraId="2D0279E9" w14:textId="12E13316">
      <w:pPr>
        <w:rPr>
          <w:rFonts w:ascii="Verdana" w:hAnsi="Verdana"/>
          <w:sz w:val="18"/>
          <w:szCs w:val="18"/>
          <w:lang w:val="nl-NL"/>
        </w:rPr>
      </w:pPr>
      <w:r w:rsidRPr="00BB7074">
        <w:rPr>
          <w:rFonts w:ascii="Verdana" w:hAnsi="Verdana"/>
          <w:sz w:val="18"/>
          <w:szCs w:val="18"/>
          <w:lang w:val="nl-NL"/>
        </w:rPr>
        <w:t xml:space="preserve">Tijdens </w:t>
      </w:r>
      <w:r w:rsidRPr="00BB7074" w:rsidR="003736D1">
        <w:rPr>
          <w:rFonts w:ascii="Verdana" w:hAnsi="Verdana"/>
          <w:sz w:val="18"/>
          <w:szCs w:val="18"/>
          <w:lang w:val="nl-NL"/>
        </w:rPr>
        <w:t>een onderhandelingsronde in Bogo</w:t>
      </w:r>
      <w:r w:rsidRPr="00BB7074">
        <w:rPr>
          <w:rFonts w:ascii="Verdana" w:hAnsi="Verdana"/>
          <w:sz w:val="18"/>
          <w:szCs w:val="18"/>
          <w:lang w:val="nl-NL"/>
        </w:rPr>
        <w:t>t</w:t>
      </w:r>
      <w:r w:rsidRPr="00BB7074" w:rsidR="003736D1">
        <w:rPr>
          <w:rFonts w:ascii="Verdana" w:hAnsi="Verdana"/>
          <w:sz w:val="18"/>
          <w:szCs w:val="18"/>
          <w:lang w:val="nl-NL"/>
        </w:rPr>
        <w:t>á</w:t>
      </w:r>
      <w:r w:rsidRPr="00BB7074">
        <w:rPr>
          <w:rFonts w:ascii="Verdana" w:hAnsi="Verdana"/>
          <w:sz w:val="18"/>
          <w:szCs w:val="18"/>
          <w:lang w:val="nl-NL"/>
        </w:rPr>
        <w:t xml:space="preserve"> in 2018 is onder meer gesproken over veranderingen in </w:t>
      </w:r>
      <w:r w:rsidRPr="00BB7074" w:rsidR="00FA6BED">
        <w:rPr>
          <w:rFonts w:ascii="Verdana" w:hAnsi="Verdana"/>
          <w:sz w:val="18"/>
          <w:szCs w:val="18"/>
          <w:lang w:val="nl-NL"/>
        </w:rPr>
        <w:t xml:space="preserve">de </w:t>
      </w:r>
      <w:r w:rsidRPr="00BB7074">
        <w:rPr>
          <w:rFonts w:ascii="Verdana" w:hAnsi="Verdana"/>
          <w:sz w:val="18"/>
          <w:szCs w:val="18"/>
          <w:lang w:val="nl-NL"/>
        </w:rPr>
        <w:t xml:space="preserve">nationale belastingwetgeving </w:t>
      </w:r>
      <w:r w:rsidRPr="00BB7074" w:rsidR="00FA6BED">
        <w:rPr>
          <w:rFonts w:ascii="Verdana" w:hAnsi="Verdana"/>
          <w:sz w:val="18"/>
          <w:szCs w:val="18"/>
          <w:lang w:val="nl-NL"/>
        </w:rPr>
        <w:t>va</w:t>
      </w:r>
      <w:r w:rsidRPr="00BB7074">
        <w:rPr>
          <w:rFonts w:ascii="Verdana" w:hAnsi="Verdana"/>
          <w:sz w:val="18"/>
          <w:szCs w:val="18"/>
          <w:lang w:val="nl-NL"/>
        </w:rPr>
        <w:t xml:space="preserve">n beide landen sinds de laatste onderhandelingsronde in 2013 en de positie van beide landen ten aanzien van de </w:t>
      </w:r>
      <w:proofErr w:type="spellStart"/>
      <w:r w:rsidRPr="00BB7074">
        <w:rPr>
          <w:rFonts w:ascii="Verdana" w:hAnsi="Verdana"/>
          <w:sz w:val="18"/>
          <w:szCs w:val="18"/>
          <w:lang w:val="nl-NL"/>
        </w:rPr>
        <w:t>verdragsgerelateerde</w:t>
      </w:r>
      <w:proofErr w:type="spellEnd"/>
      <w:r w:rsidRPr="00BB7074">
        <w:rPr>
          <w:rFonts w:ascii="Verdana" w:hAnsi="Verdana"/>
          <w:sz w:val="18"/>
          <w:szCs w:val="18"/>
          <w:lang w:val="nl-NL"/>
        </w:rPr>
        <w:t xml:space="preserve"> maatregelen uit het BEPS-project </w:t>
      </w:r>
      <w:r w:rsidRPr="00BB7074" w:rsidR="0065255B">
        <w:rPr>
          <w:rFonts w:ascii="Verdana" w:hAnsi="Verdana"/>
          <w:sz w:val="18"/>
          <w:szCs w:val="18"/>
          <w:lang w:val="nl-NL"/>
        </w:rPr>
        <w:t xml:space="preserve">tegen grondslaguitholling en </w:t>
      </w:r>
      <w:r w:rsidRPr="00BB7074" w:rsidR="0065255B">
        <w:rPr>
          <w:rFonts w:ascii="Verdana" w:hAnsi="Verdana"/>
          <w:sz w:val="18"/>
          <w:szCs w:val="18"/>
          <w:lang w:val="nl-NL"/>
        </w:rPr>
        <w:lastRenderedPageBreak/>
        <w:t>winstverschuiving (</w:t>
      </w:r>
      <w:r w:rsidRPr="00BB7074" w:rsidR="0065255B">
        <w:rPr>
          <w:rFonts w:ascii="Verdana" w:hAnsi="Verdana"/>
          <w:i/>
          <w:sz w:val="18"/>
          <w:szCs w:val="18"/>
          <w:lang w:val="nl-NL"/>
        </w:rPr>
        <w:t xml:space="preserve">base </w:t>
      </w:r>
      <w:proofErr w:type="spellStart"/>
      <w:r w:rsidRPr="00BB7074" w:rsidR="0065255B">
        <w:rPr>
          <w:rFonts w:ascii="Verdana" w:hAnsi="Verdana"/>
          <w:i/>
          <w:sz w:val="18"/>
          <w:szCs w:val="18"/>
          <w:lang w:val="nl-NL"/>
        </w:rPr>
        <w:t>erosion</w:t>
      </w:r>
      <w:proofErr w:type="spellEnd"/>
      <w:r w:rsidRPr="00BB7074" w:rsidR="0065255B">
        <w:rPr>
          <w:rFonts w:ascii="Verdana" w:hAnsi="Verdana"/>
          <w:i/>
          <w:sz w:val="18"/>
          <w:szCs w:val="18"/>
          <w:lang w:val="nl-NL"/>
        </w:rPr>
        <w:t xml:space="preserve"> </w:t>
      </w:r>
      <w:proofErr w:type="spellStart"/>
      <w:r w:rsidRPr="00BB7074" w:rsidR="0065255B">
        <w:rPr>
          <w:rFonts w:ascii="Verdana" w:hAnsi="Verdana"/>
          <w:i/>
          <w:sz w:val="18"/>
          <w:szCs w:val="18"/>
          <w:lang w:val="nl-NL"/>
        </w:rPr>
        <w:t>and</w:t>
      </w:r>
      <w:proofErr w:type="spellEnd"/>
      <w:r w:rsidRPr="00BB7074" w:rsidR="0065255B">
        <w:rPr>
          <w:rFonts w:ascii="Verdana" w:hAnsi="Verdana"/>
          <w:i/>
          <w:sz w:val="18"/>
          <w:szCs w:val="18"/>
          <w:lang w:val="nl-NL"/>
        </w:rPr>
        <w:t xml:space="preserve"> </w:t>
      </w:r>
      <w:proofErr w:type="spellStart"/>
      <w:r w:rsidRPr="00BB7074" w:rsidR="0065255B">
        <w:rPr>
          <w:rFonts w:ascii="Verdana" w:hAnsi="Verdana"/>
          <w:i/>
          <w:sz w:val="18"/>
          <w:szCs w:val="18"/>
          <w:lang w:val="nl-NL"/>
        </w:rPr>
        <w:t>profit</w:t>
      </w:r>
      <w:proofErr w:type="spellEnd"/>
      <w:r w:rsidRPr="00BB7074" w:rsidR="0065255B">
        <w:rPr>
          <w:rFonts w:ascii="Verdana" w:hAnsi="Verdana"/>
          <w:i/>
          <w:sz w:val="18"/>
          <w:szCs w:val="18"/>
          <w:lang w:val="nl-NL"/>
        </w:rPr>
        <w:t xml:space="preserve"> </w:t>
      </w:r>
      <w:proofErr w:type="spellStart"/>
      <w:r w:rsidRPr="00BB7074" w:rsidR="0065255B">
        <w:rPr>
          <w:rFonts w:ascii="Verdana" w:hAnsi="Verdana"/>
          <w:i/>
          <w:sz w:val="18"/>
          <w:szCs w:val="18"/>
          <w:lang w:val="nl-NL"/>
        </w:rPr>
        <w:t>shifting</w:t>
      </w:r>
      <w:proofErr w:type="spellEnd"/>
      <w:r w:rsidRPr="00BB7074" w:rsidR="0065255B">
        <w:rPr>
          <w:rFonts w:ascii="Verdana" w:hAnsi="Verdana"/>
          <w:i/>
          <w:sz w:val="18"/>
          <w:szCs w:val="18"/>
          <w:lang w:val="nl-NL"/>
        </w:rPr>
        <w:t xml:space="preserve">) </w:t>
      </w:r>
      <w:r w:rsidRPr="00BB7074">
        <w:rPr>
          <w:rFonts w:ascii="Verdana" w:hAnsi="Verdana"/>
          <w:sz w:val="18"/>
          <w:szCs w:val="18"/>
          <w:lang w:val="nl-NL"/>
        </w:rPr>
        <w:t>van de OESO/G20</w:t>
      </w:r>
      <w:r w:rsidRPr="00BB7074" w:rsidR="000666F0">
        <w:rPr>
          <w:rFonts w:ascii="Verdana" w:hAnsi="Verdana"/>
          <w:sz w:val="18"/>
          <w:szCs w:val="18"/>
          <w:lang w:val="nl-NL"/>
        </w:rPr>
        <w:t>.</w:t>
      </w:r>
      <w:r w:rsidRPr="00BB7074">
        <w:rPr>
          <w:rFonts w:ascii="Verdana" w:hAnsi="Verdana"/>
          <w:sz w:val="18"/>
          <w:szCs w:val="18"/>
          <w:lang w:val="nl-NL"/>
        </w:rPr>
        <w:t xml:space="preserve"> </w:t>
      </w:r>
      <w:r w:rsidRPr="00BB7074" w:rsidR="003116D5">
        <w:rPr>
          <w:rFonts w:ascii="Verdana" w:hAnsi="Verdana"/>
          <w:sz w:val="18"/>
          <w:szCs w:val="18"/>
          <w:lang w:val="nl-NL"/>
        </w:rPr>
        <w:t>T</w:t>
      </w:r>
      <w:r w:rsidRPr="00BB7074">
        <w:rPr>
          <w:rFonts w:ascii="Verdana" w:hAnsi="Verdana"/>
          <w:sz w:val="18"/>
          <w:szCs w:val="18"/>
          <w:lang w:val="nl-NL"/>
        </w:rPr>
        <w:t xml:space="preserve">ijdens deze onderhandelingsronde </w:t>
      </w:r>
      <w:r w:rsidRPr="00BB7074" w:rsidR="003116D5">
        <w:rPr>
          <w:rFonts w:ascii="Verdana" w:hAnsi="Verdana"/>
          <w:sz w:val="18"/>
          <w:szCs w:val="18"/>
          <w:lang w:val="nl-NL"/>
        </w:rPr>
        <w:t xml:space="preserve">is het </w:t>
      </w:r>
      <w:r w:rsidRPr="00BB7074">
        <w:rPr>
          <w:rFonts w:ascii="Verdana" w:hAnsi="Verdana"/>
          <w:sz w:val="18"/>
          <w:szCs w:val="18"/>
          <w:lang w:val="nl-NL"/>
        </w:rPr>
        <w:t xml:space="preserve">gelukt om op een groot aantal punten overeenstemming te bereiken. In een laatste onderhandelingsronde in Den Haag in 2019 is overeenstemming bereikt over de laatste openstaande punten. In 2020 zijn via e-mail enkele laatste technische punten </w:t>
      </w:r>
      <w:r w:rsidR="004B379C">
        <w:rPr>
          <w:rFonts w:ascii="Verdana" w:hAnsi="Verdana"/>
          <w:sz w:val="18"/>
          <w:szCs w:val="18"/>
          <w:lang w:val="nl-NL"/>
        </w:rPr>
        <w:t>afgestemd</w:t>
      </w:r>
      <w:r w:rsidRPr="00BB7074">
        <w:rPr>
          <w:rFonts w:ascii="Verdana" w:hAnsi="Verdana"/>
          <w:sz w:val="18"/>
          <w:szCs w:val="18"/>
          <w:lang w:val="nl-NL"/>
        </w:rPr>
        <w:t>.</w:t>
      </w:r>
    </w:p>
    <w:p w:rsidRPr="00BB7074" w:rsidR="00A927AA" w:rsidP="002F0BBD" w:rsidRDefault="003E03A0" w14:paraId="44634BC2" w14:textId="1C352E89">
      <w:pPr>
        <w:pStyle w:val="Heading2"/>
        <w:rPr>
          <w:rFonts w:ascii="Verdana" w:hAnsi="Verdana"/>
          <w:sz w:val="18"/>
          <w:szCs w:val="18"/>
          <w:lang w:val="nl-NL"/>
        </w:rPr>
      </w:pPr>
      <w:r w:rsidRPr="00BB7074">
        <w:rPr>
          <w:rFonts w:ascii="Verdana" w:hAnsi="Verdana"/>
          <w:sz w:val="18"/>
          <w:szCs w:val="18"/>
          <w:lang w:val="nl-NL"/>
        </w:rPr>
        <w:t>I.3</w:t>
      </w:r>
      <w:r w:rsidR="00142864">
        <w:rPr>
          <w:rFonts w:ascii="Verdana" w:hAnsi="Verdana"/>
          <w:sz w:val="18"/>
          <w:szCs w:val="18"/>
          <w:lang w:val="nl-NL"/>
        </w:rPr>
        <w:t>.</w:t>
      </w:r>
      <w:r w:rsidRPr="00BB7074">
        <w:rPr>
          <w:rFonts w:ascii="Verdana" w:hAnsi="Verdana"/>
          <w:sz w:val="18"/>
          <w:szCs w:val="18"/>
          <w:lang w:val="nl-NL"/>
        </w:rPr>
        <w:t xml:space="preserve"> </w:t>
      </w:r>
      <w:r w:rsidRPr="00BB7074" w:rsidR="00861834">
        <w:rPr>
          <w:rFonts w:ascii="Verdana" w:hAnsi="Verdana"/>
          <w:sz w:val="18"/>
          <w:szCs w:val="18"/>
          <w:lang w:val="nl-NL"/>
        </w:rPr>
        <w:t xml:space="preserve">Belastingsysteem </w:t>
      </w:r>
      <w:r w:rsidRPr="00BB7074" w:rsidR="00307E15">
        <w:rPr>
          <w:rFonts w:ascii="Verdana" w:hAnsi="Verdana"/>
          <w:sz w:val="18"/>
          <w:szCs w:val="18"/>
          <w:lang w:val="nl-NL"/>
        </w:rPr>
        <w:t xml:space="preserve">en verdragennetwerk van </w:t>
      </w:r>
      <w:r w:rsidRPr="00BB7074" w:rsidR="00473A49">
        <w:rPr>
          <w:rFonts w:ascii="Verdana" w:hAnsi="Verdana"/>
          <w:sz w:val="18"/>
          <w:szCs w:val="18"/>
          <w:lang w:val="nl-NL"/>
        </w:rPr>
        <w:t>Colombia</w:t>
      </w:r>
    </w:p>
    <w:p w:rsidRPr="00BB7074" w:rsidR="00875BA2" w:rsidP="00875BA2" w:rsidRDefault="00875BA2" w14:paraId="1508513E" w14:textId="2EE224C8">
      <w:pPr>
        <w:rPr>
          <w:rFonts w:ascii="Verdana" w:hAnsi="Verdana"/>
          <w:sz w:val="18"/>
          <w:szCs w:val="18"/>
          <w:lang w:val="nl-NL"/>
        </w:rPr>
      </w:pPr>
      <w:r w:rsidRPr="00BB7074">
        <w:rPr>
          <w:rFonts w:ascii="Verdana" w:hAnsi="Verdana"/>
          <w:sz w:val="18"/>
          <w:szCs w:val="18"/>
          <w:lang w:val="nl-NL"/>
        </w:rPr>
        <w:t>Colombia kent een fiscaal stelsel dat net als dat van Nederland be</w:t>
      </w:r>
      <w:r w:rsidRPr="00BB7074" w:rsidR="008B5BF7">
        <w:rPr>
          <w:rFonts w:ascii="Verdana" w:hAnsi="Verdana"/>
          <w:sz w:val="18"/>
          <w:szCs w:val="18"/>
          <w:lang w:val="nl-NL"/>
        </w:rPr>
        <w:t>staat</w:t>
      </w:r>
      <w:r w:rsidRPr="00BB7074">
        <w:rPr>
          <w:rFonts w:ascii="Verdana" w:hAnsi="Verdana"/>
          <w:sz w:val="18"/>
          <w:szCs w:val="18"/>
          <w:lang w:val="nl-NL"/>
        </w:rPr>
        <w:t xml:space="preserve"> uit een samenstel van directe en indirecte belastingen. De voornaamste indirecte belasting is de </w:t>
      </w:r>
      <w:r w:rsidR="004B379C">
        <w:rPr>
          <w:rFonts w:ascii="Verdana" w:hAnsi="Verdana"/>
          <w:sz w:val="18"/>
          <w:szCs w:val="18"/>
          <w:lang w:val="nl-NL"/>
        </w:rPr>
        <w:t>omzetbelasting</w:t>
      </w:r>
      <w:r w:rsidRPr="00BB7074">
        <w:rPr>
          <w:rFonts w:ascii="Verdana" w:hAnsi="Verdana"/>
          <w:sz w:val="18"/>
          <w:szCs w:val="18"/>
          <w:lang w:val="nl-NL"/>
        </w:rPr>
        <w:t xml:space="preserve"> (met een algemeen tarief van 19% en verlaagde tarieven van 5% en 0%) en de voornaamste directe belasting is de inkomstenbelasting met bijbehorende belastingen. Het </w:t>
      </w:r>
      <w:r w:rsidRPr="00BB7074" w:rsidR="00F46AD2">
        <w:rPr>
          <w:rFonts w:ascii="Verdana" w:hAnsi="Verdana"/>
          <w:sz w:val="18"/>
          <w:szCs w:val="18"/>
          <w:lang w:val="nl-NL"/>
        </w:rPr>
        <w:t>V</w:t>
      </w:r>
      <w:r w:rsidRPr="00BB7074">
        <w:rPr>
          <w:rFonts w:ascii="Verdana" w:hAnsi="Verdana"/>
          <w:sz w:val="18"/>
          <w:szCs w:val="18"/>
          <w:lang w:val="nl-NL"/>
        </w:rPr>
        <w:t>erdrag ziet uitsluitend op de directe belastingen.</w:t>
      </w:r>
    </w:p>
    <w:p w:rsidRPr="00BB7074" w:rsidR="00875BA2" w:rsidP="00875BA2" w:rsidRDefault="00875BA2" w14:paraId="7B216AB2" w14:textId="7C939D31">
      <w:pPr>
        <w:rPr>
          <w:rFonts w:ascii="Verdana" w:hAnsi="Verdana"/>
          <w:sz w:val="18"/>
          <w:szCs w:val="18"/>
          <w:lang w:val="nl-NL"/>
        </w:rPr>
      </w:pPr>
      <w:r w:rsidRPr="00BB7074">
        <w:rPr>
          <w:rFonts w:ascii="Verdana" w:hAnsi="Verdana"/>
          <w:sz w:val="18"/>
          <w:szCs w:val="18"/>
          <w:lang w:val="nl-NL"/>
        </w:rPr>
        <w:t xml:space="preserve">De inkomstenbelasting wordt in Colombia geheven over het wereldinkomen van binnenlands belastingplichtige </w:t>
      </w:r>
      <w:r w:rsidRPr="00BB7074" w:rsidR="00473A49">
        <w:rPr>
          <w:rFonts w:ascii="Verdana" w:hAnsi="Verdana"/>
          <w:sz w:val="18"/>
          <w:szCs w:val="18"/>
          <w:lang w:val="nl-NL"/>
        </w:rPr>
        <w:t>natuurlijke personen</w:t>
      </w:r>
      <w:r w:rsidRPr="00BB7074">
        <w:rPr>
          <w:rFonts w:ascii="Verdana" w:hAnsi="Verdana"/>
          <w:sz w:val="18"/>
          <w:szCs w:val="18"/>
          <w:lang w:val="nl-NL"/>
        </w:rPr>
        <w:t xml:space="preserve"> en lichamen. Van buitenlands belastingplichtige</w:t>
      </w:r>
      <w:r w:rsidRPr="00BB7074" w:rsidR="00E80050">
        <w:rPr>
          <w:rFonts w:ascii="Verdana" w:hAnsi="Verdana"/>
          <w:sz w:val="18"/>
          <w:szCs w:val="18"/>
          <w:lang w:val="nl-NL"/>
        </w:rPr>
        <w:t xml:space="preserve"> natuurlijke personen en lichamen</w:t>
      </w:r>
      <w:r w:rsidRPr="00BB7074">
        <w:rPr>
          <w:rFonts w:ascii="Verdana" w:hAnsi="Verdana"/>
          <w:sz w:val="18"/>
          <w:szCs w:val="18"/>
          <w:lang w:val="nl-NL"/>
        </w:rPr>
        <w:t xml:space="preserve"> wordt inkomstenbelasting geheven over inkomen uit bronnen in Colombia. Voor</w:t>
      </w:r>
      <w:r w:rsidRPr="00BB7074" w:rsidR="00473A49">
        <w:rPr>
          <w:rFonts w:ascii="Verdana" w:hAnsi="Verdana"/>
          <w:sz w:val="18"/>
          <w:szCs w:val="18"/>
          <w:lang w:val="nl-NL"/>
        </w:rPr>
        <w:t xml:space="preserve"> natuurlijke personen</w:t>
      </w:r>
      <w:r w:rsidRPr="00BB7074">
        <w:rPr>
          <w:rFonts w:ascii="Verdana" w:hAnsi="Verdana"/>
          <w:sz w:val="18"/>
          <w:szCs w:val="18"/>
          <w:lang w:val="nl-NL"/>
        </w:rPr>
        <w:t xml:space="preserve"> kent de inkomstenbelasting in Colombia, afhankelijk van de hoogte van het inkomen, tarieven variërend van 0% tot 39% voor algemeen inkomen en van 0% tot 1</w:t>
      </w:r>
      <w:r w:rsidRPr="00BB7074" w:rsidR="00946FB3">
        <w:rPr>
          <w:rFonts w:ascii="Verdana" w:hAnsi="Verdana"/>
          <w:sz w:val="18"/>
          <w:szCs w:val="18"/>
          <w:lang w:val="nl-NL"/>
        </w:rPr>
        <w:t>0</w:t>
      </w:r>
      <w:r w:rsidRPr="00BB7074">
        <w:rPr>
          <w:rFonts w:ascii="Verdana" w:hAnsi="Verdana"/>
          <w:sz w:val="18"/>
          <w:szCs w:val="18"/>
          <w:lang w:val="nl-NL"/>
        </w:rPr>
        <w:t>% voor dividendinkomen. Voor lichamen geldt een algemeen tarief van 3</w:t>
      </w:r>
      <w:r w:rsidRPr="00BB7074" w:rsidR="00946FB3">
        <w:rPr>
          <w:rFonts w:ascii="Verdana" w:hAnsi="Verdana"/>
          <w:sz w:val="18"/>
          <w:szCs w:val="18"/>
          <w:lang w:val="nl-NL"/>
        </w:rPr>
        <w:t>1</w:t>
      </w:r>
      <w:r w:rsidRPr="00BB7074">
        <w:rPr>
          <w:rFonts w:ascii="Verdana" w:hAnsi="Verdana"/>
          <w:sz w:val="18"/>
          <w:szCs w:val="18"/>
          <w:lang w:val="nl-NL"/>
        </w:rPr>
        <w:t>%</w:t>
      </w:r>
      <w:r w:rsidRPr="00BB7074" w:rsidR="00946FB3">
        <w:rPr>
          <w:rFonts w:ascii="Verdana" w:hAnsi="Verdana"/>
          <w:sz w:val="18"/>
          <w:szCs w:val="18"/>
          <w:lang w:val="nl-NL"/>
        </w:rPr>
        <w:t xml:space="preserve"> (2021)</w:t>
      </w:r>
      <w:r w:rsidRPr="00BB7074">
        <w:rPr>
          <w:rFonts w:ascii="Verdana" w:hAnsi="Verdana"/>
          <w:sz w:val="18"/>
          <w:szCs w:val="18"/>
          <w:lang w:val="nl-NL"/>
        </w:rPr>
        <w:t xml:space="preserve">. Er kunnen echter vrijstellingen of verlaagde tarieven van toepassing zijn op lichamen die actief zijn in een bepaalde regio of sector. Zo gelden bijvoorbeeld tijdelijke vrijstellingen voor lichamen die bepaalde nieuwe agrarische activiteiten </w:t>
      </w:r>
      <w:r w:rsidRPr="00BB7074" w:rsidR="003736D1">
        <w:rPr>
          <w:rFonts w:ascii="Verdana" w:hAnsi="Verdana"/>
          <w:sz w:val="18"/>
          <w:szCs w:val="18"/>
          <w:lang w:val="nl-NL"/>
        </w:rPr>
        <w:t xml:space="preserve">of activiteiten in de culturele, </w:t>
      </w:r>
      <w:r w:rsidRPr="00BB7074">
        <w:rPr>
          <w:rFonts w:ascii="Verdana" w:hAnsi="Verdana"/>
          <w:sz w:val="18"/>
          <w:szCs w:val="18"/>
          <w:lang w:val="nl-NL"/>
        </w:rPr>
        <w:t xml:space="preserve">creatieve </w:t>
      </w:r>
      <w:r w:rsidRPr="00BB7074" w:rsidR="003736D1">
        <w:rPr>
          <w:rFonts w:ascii="Verdana" w:hAnsi="Verdana"/>
          <w:sz w:val="18"/>
          <w:szCs w:val="18"/>
          <w:lang w:val="nl-NL"/>
        </w:rPr>
        <w:t xml:space="preserve">of toeristische </w:t>
      </w:r>
      <w:r w:rsidRPr="00BB7074">
        <w:rPr>
          <w:rFonts w:ascii="Verdana" w:hAnsi="Verdana"/>
          <w:sz w:val="18"/>
          <w:szCs w:val="18"/>
          <w:lang w:val="nl-NL"/>
        </w:rPr>
        <w:t>sector ontplooien.</w:t>
      </w:r>
    </w:p>
    <w:p w:rsidRPr="00BB7074" w:rsidR="00875BA2" w:rsidP="00875BA2" w:rsidRDefault="00875BA2" w14:paraId="4C073130" w14:textId="0B42E198">
      <w:pPr>
        <w:rPr>
          <w:rFonts w:ascii="Verdana" w:hAnsi="Verdana"/>
          <w:sz w:val="18"/>
          <w:szCs w:val="18"/>
          <w:lang w:val="nl-NL"/>
        </w:rPr>
      </w:pPr>
      <w:r w:rsidRPr="00BB7074">
        <w:rPr>
          <w:rFonts w:ascii="Verdana" w:hAnsi="Verdana"/>
          <w:sz w:val="18"/>
          <w:szCs w:val="18"/>
          <w:lang w:val="nl-NL"/>
        </w:rPr>
        <w:t xml:space="preserve">Colombia heft daarnaast bronbelastingen op betalingen </w:t>
      </w:r>
      <w:r w:rsidRPr="00BB7074" w:rsidR="00473A49">
        <w:rPr>
          <w:rFonts w:ascii="Verdana" w:hAnsi="Verdana"/>
          <w:sz w:val="18"/>
          <w:szCs w:val="18"/>
          <w:lang w:val="nl-NL"/>
        </w:rPr>
        <w:t xml:space="preserve">naar het </w:t>
      </w:r>
      <w:r w:rsidRPr="00BB7074" w:rsidR="00AE711F">
        <w:rPr>
          <w:rFonts w:ascii="Verdana" w:hAnsi="Verdana"/>
          <w:sz w:val="18"/>
          <w:szCs w:val="18"/>
          <w:lang w:val="nl-NL"/>
        </w:rPr>
        <w:t>buitenland, onder andere</w:t>
      </w:r>
      <w:r w:rsidR="00D35D6B">
        <w:rPr>
          <w:rFonts w:ascii="Verdana" w:hAnsi="Verdana"/>
          <w:sz w:val="18"/>
          <w:szCs w:val="18"/>
          <w:lang w:val="nl-NL"/>
        </w:rPr>
        <w:t>:</w:t>
      </w:r>
      <w:r w:rsidRPr="00BB7074">
        <w:rPr>
          <w:rFonts w:ascii="Verdana" w:hAnsi="Verdana"/>
          <w:sz w:val="18"/>
          <w:szCs w:val="18"/>
          <w:lang w:val="nl-NL"/>
        </w:rPr>
        <w:t xml:space="preserve"> </w:t>
      </w:r>
    </w:p>
    <w:p w:rsidRPr="00BB7074" w:rsidR="00875BA2" w:rsidP="00875BA2" w:rsidRDefault="00875BA2" w14:paraId="4AF6E876" w14:textId="1529C29E">
      <w:pPr>
        <w:numPr>
          <w:ilvl w:val="0"/>
          <w:numId w:val="17"/>
        </w:numPr>
        <w:rPr>
          <w:rFonts w:ascii="Verdana" w:hAnsi="Verdana"/>
          <w:sz w:val="18"/>
          <w:szCs w:val="18"/>
          <w:lang w:val="nl-NL"/>
        </w:rPr>
      </w:pPr>
      <w:r w:rsidRPr="00BB7074">
        <w:rPr>
          <w:rFonts w:ascii="Verdana" w:hAnsi="Verdana"/>
          <w:sz w:val="18"/>
          <w:szCs w:val="18"/>
          <w:lang w:val="nl-NL"/>
        </w:rPr>
        <w:t>Een bronbelasting op dividend</w:t>
      </w:r>
      <w:r w:rsidRPr="00BB7074" w:rsidR="000F7B77">
        <w:rPr>
          <w:rFonts w:ascii="Verdana" w:hAnsi="Verdana"/>
          <w:sz w:val="18"/>
          <w:szCs w:val="18"/>
          <w:lang w:val="nl-NL"/>
        </w:rPr>
        <w:t xml:space="preserve"> van </w:t>
      </w:r>
      <w:r w:rsidR="000B5D4D">
        <w:rPr>
          <w:rFonts w:ascii="Verdana" w:hAnsi="Verdana"/>
          <w:sz w:val="18"/>
          <w:szCs w:val="18"/>
          <w:lang w:val="nl-NL"/>
        </w:rPr>
        <w:t>10</w:t>
      </w:r>
      <w:r w:rsidRPr="00BB7074" w:rsidR="000F7B77">
        <w:rPr>
          <w:rFonts w:ascii="Verdana" w:hAnsi="Verdana"/>
          <w:sz w:val="18"/>
          <w:szCs w:val="18"/>
          <w:lang w:val="nl-NL"/>
        </w:rPr>
        <w:t>%</w:t>
      </w:r>
      <w:r w:rsidRPr="00BB7074" w:rsidR="00AE711F">
        <w:rPr>
          <w:rFonts w:ascii="Verdana" w:hAnsi="Verdana"/>
          <w:sz w:val="18"/>
          <w:szCs w:val="18"/>
          <w:lang w:val="nl-NL"/>
        </w:rPr>
        <w:t>.</w:t>
      </w:r>
      <w:r w:rsidRPr="00BB7074">
        <w:rPr>
          <w:rFonts w:ascii="Verdana" w:hAnsi="Verdana"/>
          <w:sz w:val="18"/>
          <w:szCs w:val="18"/>
          <w:lang w:val="nl-NL"/>
        </w:rPr>
        <w:t xml:space="preserve"> </w:t>
      </w:r>
      <w:r w:rsidRPr="00BB7074" w:rsidR="00AE711F">
        <w:rPr>
          <w:rFonts w:ascii="Verdana" w:hAnsi="Verdana"/>
          <w:sz w:val="18"/>
          <w:szCs w:val="18"/>
          <w:lang w:val="nl-NL"/>
        </w:rPr>
        <w:t xml:space="preserve">Als het dividend wordt betaald uit winst die in Colombia niet aan inkomstenbelasting onderworpen is geweest, wordt een bronbelasting geheven over het brutodividend tegen het op dat moment geldende tarief van de inkomstenbelasting. In aanvulling daarop wordt </w:t>
      </w:r>
      <w:r w:rsidRPr="00BB7074" w:rsidR="000F7B77">
        <w:rPr>
          <w:rFonts w:ascii="Verdana" w:hAnsi="Verdana"/>
          <w:sz w:val="18"/>
          <w:szCs w:val="18"/>
          <w:lang w:val="nl-NL"/>
        </w:rPr>
        <w:t>de bronbelasting van 10%</w:t>
      </w:r>
      <w:r w:rsidRPr="00BB7074" w:rsidR="00AE711F">
        <w:rPr>
          <w:rFonts w:ascii="Verdana" w:hAnsi="Verdana"/>
          <w:sz w:val="18"/>
          <w:szCs w:val="18"/>
          <w:lang w:val="nl-NL"/>
        </w:rPr>
        <w:t xml:space="preserve"> geheven over het brutodividend verminderd met het bedrag van de hiervoor genoemde bronbelasting tegen het inkomstenbelastingtarief</w:t>
      </w:r>
      <w:r w:rsidRPr="00BB7074" w:rsidR="000F7B77">
        <w:rPr>
          <w:rFonts w:ascii="Verdana" w:hAnsi="Verdana"/>
          <w:sz w:val="18"/>
          <w:szCs w:val="18"/>
          <w:lang w:val="nl-NL"/>
        </w:rPr>
        <w:t>.</w:t>
      </w:r>
    </w:p>
    <w:p w:rsidRPr="00BB7074" w:rsidR="00875BA2" w:rsidP="00875BA2" w:rsidRDefault="00875BA2" w14:paraId="7D40D187" w14:textId="08440D8D">
      <w:pPr>
        <w:numPr>
          <w:ilvl w:val="0"/>
          <w:numId w:val="17"/>
        </w:numPr>
        <w:rPr>
          <w:rFonts w:ascii="Verdana" w:hAnsi="Verdana"/>
          <w:sz w:val="18"/>
          <w:szCs w:val="18"/>
          <w:lang w:val="nl-NL"/>
        </w:rPr>
      </w:pPr>
      <w:r w:rsidRPr="00BB7074">
        <w:rPr>
          <w:rFonts w:ascii="Verdana" w:hAnsi="Verdana"/>
          <w:sz w:val="18"/>
          <w:szCs w:val="18"/>
          <w:lang w:val="nl-NL"/>
        </w:rPr>
        <w:t>Een</w:t>
      </w:r>
      <w:r w:rsidRPr="00BB7074" w:rsidR="00473A49">
        <w:rPr>
          <w:rFonts w:ascii="Verdana" w:hAnsi="Verdana"/>
          <w:sz w:val="18"/>
          <w:szCs w:val="18"/>
          <w:lang w:val="nl-NL"/>
        </w:rPr>
        <w:t xml:space="preserve"> zogenoemde</w:t>
      </w:r>
      <w:r w:rsidRPr="00BB7074">
        <w:rPr>
          <w:rFonts w:ascii="Verdana" w:hAnsi="Verdana"/>
          <w:sz w:val="18"/>
          <w:szCs w:val="18"/>
          <w:lang w:val="nl-NL"/>
        </w:rPr>
        <w:t xml:space="preserve"> ‘</w:t>
      </w:r>
      <w:proofErr w:type="spellStart"/>
      <w:r w:rsidRPr="00BB7074">
        <w:rPr>
          <w:rFonts w:ascii="Verdana" w:hAnsi="Verdana"/>
          <w:sz w:val="18"/>
          <w:szCs w:val="18"/>
          <w:lang w:val="nl-NL"/>
        </w:rPr>
        <w:t>branch</w:t>
      </w:r>
      <w:proofErr w:type="spellEnd"/>
      <w:r w:rsidRPr="00BB7074">
        <w:rPr>
          <w:rFonts w:ascii="Verdana" w:hAnsi="Verdana"/>
          <w:sz w:val="18"/>
          <w:szCs w:val="18"/>
          <w:lang w:val="nl-NL"/>
        </w:rPr>
        <w:t xml:space="preserve"> </w:t>
      </w:r>
      <w:proofErr w:type="spellStart"/>
      <w:r w:rsidRPr="00BB7074">
        <w:rPr>
          <w:rFonts w:ascii="Verdana" w:hAnsi="Verdana"/>
          <w:sz w:val="18"/>
          <w:szCs w:val="18"/>
          <w:lang w:val="nl-NL"/>
        </w:rPr>
        <w:t>remittance</w:t>
      </w:r>
      <w:proofErr w:type="spellEnd"/>
      <w:r w:rsidRPr="00BB7074">
        <w:rPr>
          <w:rFonts w:ascii="Verdana" w:hAnsi="Verdana"/>
          <w:sz w:val="18"/>
          <w:szCs w:val="18"/>
          <w:lang w:val="nl-NL"/>
        </w:rPr>
        <w:t xml:space="preserve"> </w:t>
      </w:r>
      <w:proofErr w:type="spellStart"/>
      <w:r w:rsidRPr="00BB7074">
        <w:rPr>
          <w:rFonts w:ascii="Verdana" w:hAnsi="Verdana"/>
          <w:sz w:val="18"/>
          <w:szCs w:val="18"/>
          <w:lang w:val="nl-NL"/>
        </w:rPr>
        <w:t>tax</w:t>
      </w:r>
      <w:proofErr w:type="spellEnd"/>
      <w:r w:rsidRPr="00BB7074">
        <w:rPr>
          <w:rFonts w:ascii="Verdana" w:hAnsi="Verdana"/>
          <w:sz w:val="18"/>
          <w:szCs w:val="18"/>
          <w:lang w:val="nl-NL"/>
        </w:rPr>
        <w:t xml:space="preserve">’ op de winsten van een in Colombia </w:t>
      </w:r>
      <w:r w:rsidRPr="00BB7074" w:rsidR="00D33662">
        <w:rPr>
          <w:rFonts w:ascii="Verdana" w:hAnsi="Verdana"/>
          <w:sz w:val="18"/>
          <w:szCs w:val="18"/>
          <w:lang w:val="nl-NL"/>
        </w:rPr>
        <w:t xml:space="preserve">gelegen </w:t>
      </w:r>
      <w:r w:rsidRPr="00BB7074">
        <w:rPr>
          <w:rFonts w:ascii="Verdana" w:hAnsi="Verdana"/>
          <w:sz w:val="18"/>
          <w:szCs w:val="18"/>
          <w:lang w:val="nl-NL"/>
        </w:rPr>
        <w:t>vaste inrichting volgens de methode en tarieven die voor de br</w:t>
      </w:r>
      <w:r w:rsidRPr="00BB7074" w:rsidR="00C336FA">
        <w:rPr>
          <w:rFonts w:ascii="Verdana" w:hAnsi="Verdana"/>
          <w:sz w:val="18"/>
          <w:szCs w:val="18"/>
          <w:lang w:val="nl-NL"/>
        </w:rPr>
        <w:t>onbelasting op dividend gelden.</w:t>
      </w:r>
    </w:p>
    <w:p w:rsidRPr="00BB7074" w:rsidR="00875BA2" w:rsidP="00875BA2" w:rsidRDefault="00875BA2" w14:paraId="3AB32001" w14:textId="4464844E">
      <w:pPr>
        <w:numPr>
          <w:ilvl w:val="0"/>
          <w:numId w:val="17"/>
        </w:numPr>
        <w:rPr>
          <w:rFonts w:ascii="Verdana" w:hAnsi="Verdana"/>
          <w:sz w:val="18"/>
          <w:szCs w:val="18"/>
          <w:lang w:val="nl-NL"/>
        </w:rPr>
      </w:pPr>
      <w:r w:rsidRPr="00BB7074">
        <w:rPr>
          <w:rFonts w:ascii="Verdana" w:hAnsi="Verdana"/>
          <w:sz w:val="18"/>
          <w:szCs w:val="18"/>
          <w:lang w:val="nl-NL"/>
        </w:rPr>
        <w:t>Een bronbelasting op interest</w:t>
      </w:r>
      <w:r w:rsidRPr="00BB7074" w:rsidR="000F7B77">
        <w:rPr>
          <w:rFonts w:ascii="Verdana" w:hAnsi="Verdana"/>
          <w:sz w:val="18"/>
          <w:szCs w:val="18"/>
          <w:lang w:val="nl-NL"/>
        </w:rPr>
        <w:t>, waarbij het standaardtarief</w:t>
      </w:r>
      <w:r w:rsidRPr="00BB7074">
        <w:rPr>
          <w:rFonts w:ascii="Verdana" w:hAnsi="Verdana"/>
          <w:sz w:val="18"/>
          <w:szCs w:val="18"/>
          <w:lang w:val="nl-NL"/>
        </w:rPr>
        <w:t xml:space="preserve"> </w:t>
      </w:r>
      <w:r w:rsidR="00F6150F">
        <w:rPr>
          <w:rFonts w:ascii="Verdana" w:hAnsi="Verdana"/>
          <w:sz w:val="18"/>
          <w:szCs w:val="18"/>
          <w:lang w:val="nl-NL"/>
        </w:rPr>
        <w:t>20</w:t>
      </w:r>
      <w:r w:rsidRPr="00BB7074" w:rsidR="000F7B77">
        <w:rPr>
          <w:rFonts w:ascii="Verdana" w:hAnsi="Verdana"/>
          <w:sz w:val="18"/>
          <w:szCs w:val="18"/>
          <w:lang w:val="nl-NL"/>
        </w:rPr>
        <w:t>% is (er zijn uitzonderingen)</w:t>
      </w:r>
      <w:r w:rsidRPr="00BB7074">
        <w:rPr>
          <w:rFonts w:ascii="Verdana" w:hAnsi="Verdana"/>
          <w:sz w:val="18"/>
          <w:szCs w:val="18"/>
          <w:lang w:val="nl-NL"/>
        </w:rPr>
        <w:t xml:space="preserve">. </w:t>
      </w:r>
    </w:p>
    <w:p w:rsidRPr="00BB7074" w:rsidR="00875BA2" w:rsidP="00875BA2" w:rsidRDefault="00875BA2" w14:paraId="04DF98DD" w14:textId="3ED6D468">
      <w:pPr>
        <w:numPr>
          <w:ilvl w:val="0"/>
          <w:numId w:val="17"/>
        </w:numPr>
        <w:rPr>
          <w:rFonts w:ascii="Verdana" w:hAnsi="Verdana"/>
          <w:sz w:val="18"/>
          <w:szCs w:val="18"/>
          <w:lang w:val="nl-NL"/>
        </w:rPr>
      </w:pPr>
      <w:r w:rsidRPr="00BB7074">
        <w:rPr>
          <w:rFonts w:ascii="Verdana" w:hAnsi="Verdana"/>
          <w:sz w:val="18"/>
          <w:szCs w:val="18"/>
          <w:lang w:val="nl-NL"/>
        </w:rPr>
        <w:t xml:space="preserve">Een </w:t>
      </w:r>
      <w:r w:rsidRPr="00BB7074" w:rsidR="000F7B77">
        <w:rPr>
          <w:rFonts w:ascii="Verdana" w:hAnsi="Verdana"/>
          <w:sz w:val="18"/>
          <w:szCs w:val="18"/>
          <w:lang w:val="nl-NL"/>
        </w:rPr>
        <w:t xml:space="preserve">bronbelasting op royalty’s, waarbij het standaardtarief </w:t>
      </w:r>
      <w:r w:rsidR="00F6150F">
        <w:rPr>
          <w:rFonts w:ascii="Verdana" w:hAnsi="Verdana"/>
          <w:sz w:val="18"/>
          <w:szCs w:val="18"/>
          <w:lang w:val="nl-NL"/>
        </w:rPr>
        <w:t>2</w:t>
      </w:r>
      <w:r w:rsidRPr="00BB7074">
        <w:rPr>
          <w:rFonts w:ascii="Verdana" w:hAnsi="Verdana"/>
          <w:sz w:val="18"/>
          <w:szCs w:val="18"/>
          <w:lang w:val="nl-NL"/>
        </w:rPr>
        <w:t>0%</w:t>
      </w:r>
      <w:r w:rsidRPr="00BB7074" w:rsidR="000F7B77">
        <w:rPr>
          <w:rFonts w:ascii="Verdana" w:hAnsi="Verdana"/>
          <w:sz w:val="18"/>
          <w:szCs w:val="18"/>
          <w:lang w:val="nl-NL"/>
        </w:rPr>
        <w:t xml:space="preserve"> is (er zijn uitzonderingen)</w:t>
      </w:r>
      <w:r w:rsidRPr="00BB7074">
        <w:rPr>
          <w:rFonts w:ascii="Verdana" w:hAnsi="Verdana"/>
          <w:sz w:val="18"/>
          <w:szCs w:val="18"/>
          <w:lang w:val="nl-NL"/>
        </w:rPr>
        <w:t xml:space="preserve">. </w:t>
      </w:r>
    </w:p>
    <w:p w:rsidRPr="00BB7074" w:rsidR="00875BA2" w:rsidP="00875BA2" w:rsidRDefault="00875BA2" w14:paraId="10F8093D" w14:textId="321D227B">
      <w:pPr>
        <w:numPr>
          <w:ilvl w:val="0"/>
          <w:numId w:val="17"/>
        </w:numPr>
        <w:rPr>
          <w:rFonts w:ascii="Verdana" w:hAnsi="Verdana"/>
          <w:sz w:val="18"/>
          <w:szCs w:val="18"/>
          <w:lang w:val="nl-NL"/>
        </w:rPr>
      </w:pPr>
      <w:r w:rsidRPr="00BB7074">
        <w:rPr>
          <w:rFonts w:ascii="Verdana" w:hAnsi="Verdana"/>
          <w:sz w:val="18"/>
          <w:szCs w:val="18"/>
          <w:lang w:val="nl-NL"/>
        </w:rPr>
        <w:t>Daarnaast kent Colombia specifieke bronbelastingen op betalingen voor</w:t>
      </w:r>
      <w:r w:rsidRPr="00BB7074" w:rsidR="000F7B77">
        <w:rPr>
          <w:rFonts w:ascii="Verdana" w:hAnsi="Verdana"/>
          <w:sz w:val="18"/>
          <w:szCs w:val="18"/>
          <w:lang w:val="nl-NL"/>
        </w:rPr>
        <w:t xml:space="preserve"> technische diensten, overige diensten, </w:t>
      </w:r>
      <w:proofErr w:type="spellStart"/>
      <w:r w:rsidRPr="00BB7074" w:rsidR="000F7B77">
        <w:rPr>
          <w:rFonts w:ascii="Verdana" w:hAnsi="Verdana"/>
          <w:sz w:val="18"/>
          <w:szCs w:val="18"/>
          <w:lang w:val="nl-NL"/>
        </w:rPr>
        <w:t>turnkey</w:t>
      </w:r>
      <w:proofErr w:type="spellEnd"/>
      <w:r w:rsidR="00A9298D">
        <w:rPr>
          <w:rFonts w:ascii="Verdana" w:hAnsi="Verdana"/>
          <w:sz w:val="18"/>
          <w:szCs w:val="18"/>
          <w:lang w:val="nl-NL"/>
        </w:rPr>
        <w:t>-</w:t>
      </w:r>
      <w:r w:rsidRPr="00BB7074" w:rsidR="000F7B77">
        <w:rPr>
          <w:rFonts w:ascii="Verdana" w:hAnsi="Verdana"/>
          <w:sz w:val="18"/>
          <w:szCs w:val="18"/>
          <w:lang w:val="nl-NL"/>
        </w:rPr>
        <w:t xml:space="preserve">contracten, </w:t>
      </w:r>
      <w:r w:rsidRPr="00BB7074">
        <w:rPr>
          <w:rFonts w:ascii="Verdana" w:hAnsi="Verdana"/>
          <w:sz w:val="18"/>
          <w:szCs w:val="18"/>
          <w:lang w:val="nl-NL"/>
        </w:rPr>
        <w:t>internationale vervoersdiensten, betalingen voor het leasen van bouwmachines door Colombiaanse aannemers om uitvoering te geven aan internationale publiek-private contracten</w:t>
      </w:r>
      <w:r w:rsidRPr="00BB7074" w:rsidR="000F7B77">
        <w:rPr>
          <w:rFonts w:ascii="Verdana" w:hAnsi="Verdana"/>
          <w:sz w:val="18"/>
          <w:szCs w:val="18"/>
          <w:lang w:val="nl-NL"/>
        </w:rPr>
        <w:t xml:space="preserve">, </w:t>
      </w:r>
      <w:r w:rsidR="00A9298D">
        <w:rPr>
          <w:rFonts w:ascii="Verdana" w:hAnsi="Verdana"/>
          <w:sz w:val="18"/>
          <w:szCs w:val="18"/>
          <w:lang w:val="nl-NL"/>
        </w:rPr>
        <w:t xml:space="preserve">en </w:t>
      </w:r>
      <w:r w:rsidRPr="00BB7074">
        <w:rPr>
          <w:rFonts w:ascii="Verdana" w:hAnsi="Verdana"/>
          <w:sz w:val="18"/>
          <w:szCs w:val="18"/>
          <w:lang w:val="nl-NL"/>
        </w:rPr>
        <w:t xml:space="preserve">herverzekeringspremies betaald door verzekeringsmaatschappijen in Colombia. </w:t>
      </w:r>
      <w:r w:rsidRPr="00BB7074" w:rsidR="000F7B77">
        <w:rPr>
          <w:rFonts w:ascii="Verdana" w:hAnsi="Verdana"/>
          <w:sz w:val="18"/>
          <w:szCs w:val="18"/>
          <w:lang w:val="nl-NL"/>
        </w:rPr>
        <w:t>Voor deze bronbelastingen hangt het tarief af van de aard van het inkomen.</w:t>
      </w:r>
    </w:p>
    <w:p w:rsidRPr="00BB7074" w:rsidR="00875BA2" w:rsidP="00875BA2" w:rsidRDefault="00875BA2" w14:paraId="5B5948BE" w14:textId="77777777">
      <w:pPr>
        <w:rPr>
          <w:rFonts w:ascii="Verdana" w:hAnsi="Verdana"/>
          <w:sz w:val="18"/>
          <w:szCs w:val="18"/>
          <w:lang w:val="nl-NL"/>
        </w:rPr>
      </w:pPr>
      <w:r w:rsidRPr="00BB7074">
        <w:rPr>
          <w:rFonts w:ascii="Verdana" w:hAnsi="Verdana"/>
          <w:sz w:val="18"/>
          <w:szCs w:val="18"/>
          <w:lang w:val="nl-NL"/>
        </w:rPr>
        <w:t>Tot slot heft Colombia een belasting van 10% op de winst behaald met de vervreemding van aandelen in vennootschappen die in Colombia zijn gevestigd.</w:t>
      </w:r>
    </w:p>
    <w:p w:rsidRPr="00BB7074" w:rsidR="00875BA2" w:rsidP="00875BA2" w:rsidRDefault="00875BA2" w14:paraId="0B4892FE" w14:textId="172DE608">
      <w:pPr>
        <w:rPr>
          <w:rFonts w:ascii="Verdana" w:hAnsi="Verdana"/>
          <w:sz w:val="18"/>
          <w:szCs w:val="18"/>
          <w:lang w:val="nl-NL"/>
        </w:rPr>
      </w:pPr>
      <w:r w:rsidRPr="00BB7074">
        <w:rPr>
          <w:rFonts w:ascii="Verdana" w:hAnsi="Verdana"/>
          <w:sz w:val="18"/>
          <w:szCs w:val="18"/>
          <w:lang w:val="nl-NL"/>
        </w:rPr>
        <w:lastRenderedPageBreak/>
        <w:t xml:space="preserve">Ter vermijding van dubbele belasting hanteert Colombia een </w:t>
      </w:r>
      <w:proofErr w:type="spellStart"/>
      <w:r w:rsidRPr="00BB7074">
        <w:rPr>
          <w:rFonts w:ascii="Verdana" w:hAnsi="Verdana"/>
          <w:sz w:val="18"/>
          <w:szCs w:val="18"/>
          <w:lang w:val="nl-NL"/>
        </w:rPr>
        <w:t>verrekening</w:t>
      </w:r>
      <w:r w:rsidRPr="00BB7074" w:rsidR="00E11E4E">
        <w:rPr>
          <w:rFonts w:ascii="Verdana" w:hAnsi="Verdana"/>
          <w:sz w:val="18"/>
          <w:szCs w:val="18"/>
          <w:lang w:val="nl-NL"/>
        </w:rPr>
        <w:t>s</w:t>
      </w:r>
      <w:r w:rsidRPr="00BB7074">
        <w:rPr>
          <w:rFonts w:ascii="Verdana" w:hAnsi="Verdana"/>
          <w:sz w:val="18"/>
          <w:szCs w:val="18"/>
          <w:lang w:val="nl-NL"/>
        </w:rPr>
        <w:t>stelsel</w:t>
      </w:r>
      <w:proofErr w:type="spellEnd"/>
      <w:r w:rsidRPr="00BB7074">
        <w:rPr>
          <w:rFonts w:ascii="Verdana" w:hAnsi="Verdana"/>
          <w:sz w:val="18"/>
          <w:szCs w:val="18"/>
          <w:lang w:val="nl-NL"/>
        </w:rPr>
        <w:t xml:space="preserve"> waarbij de verrekening voor de buitenlandse belasting niet hoger kan uitvallen dan de Colombiaanse belasting die is toe te rekenen aan de desbetreffende buitenlandse inkomsten.</w:t>
      </w:r>
    </w:p>
    <w:p w:rsidRPr="00BB7074" w:rsidR="00861834" w:rsidP="002F0BBD" w:rsidRDefault="003E03A0" w14:paraId="42171280" w14:textId="7D3FAB77">
      <w:pPr>
        <w:pStyle w:val="Heading2"/>
        <w:rPr>
          <w:rFonts w:ascii="Verdana" w:hAnsi="Verdana"/>
          <w:sz w:val="18"/>
          <w:szCs w:val="18"/>
          <w:lang w:val="nl-NL"/>
        </w:rPr>
      </w:pPr>
      <w:r w:rsidRPr="00BB7074">
        <w:rPr>
          <w:rFonts w:ascii="Verdana" w:hAnsi="Verdana"/>
          <w:sz w:val="18"/>
          <w:szCs w:val="18"/>
          <w:lang w:val="nl-NL"/>
        </w:rPr>
        <w:t>I.4</w:t>
      </w:r>
      <w:r w:rsidR="00142864">
        <w:rPr>
          <w:rFonts w:ascii="Verdana" w:hAnsi="Verdana"/>
          <w:sz w:val="18"/>
          <w:szCs w:val="18"/>
          <w:lang w:val="nl-NL"/>
        </w:rPr>
        <w:t>.</w:t>
      </w:r>
      <w:r w:rsidRPr="00BB7074">
        <w:rPr>
          <w:rFonts w:ascii="Verdana" w:hAnsi="Verdana"/>
          <w:sz w:val="18"/>
          <w:szCs w:val="18"/>
          <w:lang w:val="nl-NL"/>
        </w:rPr>
        <w:t xml:space="preserve"> </w:t>
      </w:r>
      <w:r w:rsidRPr="00BB7074" w:rsidR="00861834">
        <w:rPr>
          <w:rFonts w:ascii="Verdana" w:hAnsi="Verdana"/>
          <w:sz w:val="18"/>
          <w:szCs w:val="18"/>
          <w:lang w:val="nl-NL"/>
        </w:rPr>
        <w:t>Inbreng van derden</w:t>
      </w:r>
    </w:p>
    <w:p w:rsidRPr="00BB7074" w:rsidR="002F0BBD" w:rsidP="00875BA2" w:rsidRDefault="00875BA2" w14:paraId="21D8E654" w14:textId="71FC5CA8">
      <w:pPr>
        <w:rPr>
          <w:rFonts w:ascii="Verdana" w:hAnsi="Verdana"/>
          <w:sz w:val="18"/>
          <w:szCs w:val="18"/>
          <w:lang w:val="nl-NL"/>
        </w:rPr>
      </w:pPr>
      <w:r w:rsidRPr="00BB7074">
        <w:rPr>
          <w:rFonts w:ascii="Verdana" w:hAnsi="Verdana"/>
          <w:sz w:val="18"/>
          <w:szCs w:val="18"/>
          <w:lang w:val="nl-NL"/>
        </w:rPr>
        <w:t>Het Ministerie van Financiën heeft via de gebruikelijke nieuwsberichten de onderhandelingen met Colombia onder de aandacht gebracht en belanghebbenden verzocht de voor hen van belang zijnde aangelegenheden kenbaar te maken. Daarop zijn geen reacties ontvangen. Wel is van de zijde van het Nederlands</w:t>
      </w:r>
      <w:r w:rsidRPr="00BB7074" w:rsidR="00F27538">
        <w:rPr>
          <w:rFonts w:ascii="Verdana" w:hAnsi="Verdana"/>
          <w:sz w:val="18"/>
          <w:szCs w:val="18"/>
          <w:lang w:val="nl-NL"/>
        </w:rPr>
        <w:t>e</w:t>
      </w:r>
      <w:r w:rsidRPr="00BB7074">
        <w:rPr>
          <w:rFonts w:ascii="Verdana" w:hAnsi="Verdana"/>
          <w:sz w:val="18"/>
          <w:szCs w:val="18"/>
          <w:lang w:val="nl-NL"/>
        </w:rPr>
        <w:t xml:space="preserve"> bedrijfsleven </w:t>
      </w:r>
      <w:r w:rsidRPr="00BB7074" w:rsidR="003116D5">
        <w:rPr>
          <w:rFonts w:ascii="Verdana" w:hAnsi="Verdana"/>
          <w:sz w:val="18"/>
          <w:szCs w:val="18"/>
          <w:lang w:val="nl-NL"/>
        </w:rPr>
        <w:t xml:space="preserve">in algemene zin </w:t>
      </w:r>
      <w:r w:rsidRPr="00BB7074">
        <w:rPr>
          <w:rFonts w:ascii="Verdana" w:hAnsi="Verdana"/>
          <w:sz w:val="18"/>
          <w:szCs w:val="18"/>
          <w:lang w:val="nl-NL"/>
        </w:rPr>
        <w:t>het belang bij de totstandkoming van een belastingverdrag met Colombia kenbaar gemaakt.</w:t>
      </w:r>
    </w:p>
    <w:p w:rsidRPr="00BB7074" w:rsidR="00861834" w:rsidP="002F0BBD" w:rsidRDefault="003E03A0" w14:paraId="1EF9418C" w14:textId="36FD025E">
      <w:pPr>
        <w:pStyle w:val="Heading2"/>
        <w:rPr>
          <w:rFonts w:ascii="Verdana" w:hAnsi="Verdana"/>
          <w:sz w:val="18"/>
          <w:szCs w:val="18"/>
          <w:lang w:val="nl-NL"/>
        </w:rPr>
      </w:pPr>
      <w:r w:rsidRPr="00BB7074">
        <w:rPr>
          <w:rFonts w:ascii="Verdana" w:hAnsi="Verdana"/>
          <w:sz w:val="18"/>
          <w:szCs w:val="18"/>
          <w:lang w:val="nl-NL"/>
        </w:rPr>
        <w:t>I.5</w:t>
      </w:r>
      <w:r w:rsidR="00142864">
        <w:rPr>
          <w:rFonts w:ascii="Verdana" w:hAnsi="Verdana"/>
          <w:sz w:val="18"/>
          <w:szCs w:val="18"/>
          <w:lang w:val="nl-NL"/>
        </w:rPr>
        <w:t>.</w:t>
      </w:r>
      <w:r w:rsidRPr="00BB7074">
        <w:rPr>
          <w:rFonts w:ascii="Verdana" w:hAnsi="Verdana"/>
          <w:sz w:val="18"/>
          <w:szCs w:val="18"/>
          <w:lang w:val="nl-NL"/>
        </w:rPr>
        <w:t xml:space="preserve"> </w:t>
      </w:r>
      <w:r w:rsidRPr="00BB7074" w:rsidR="00803D9F">
        <w:rPr>
          <w:rFonts w:ascii="Verdana" w:hAnsi="Verdana"/>
          <w:sz w:val="18"/>
          <w:szCs w:val="18"/>
          <w:lang w:val="nl-NL"/>
        </w:rPr>
        <w:t>Opzet en korte s</w:t>
      </w:r>
      <w:r w:rsidRPr="00BB7074" w:rsidR="00861834">
        <w:rPr>
          <w:rFonts w:ascii="Verdana" w:hAnsi="Verdana"/>
          <w:sz w:val="18"/>
          <w:szCs w:val="18"/>
          <w:lang w:val="nl-NL"/>
        </w:rPr>
        <w:t>amenvatting</w:t>
      </w:r>
      <w:r w:rsidRPr="00BB7074" w:rsidR="00806900">
        <w:rPr>
          <w:rFonts w:ascii="Verdana" w:hAnsi="Verdana"/>
          <w:sz w:val="18"/>
          <w:szCs w:val="18"/>
          <w:lang w:val="nl-NL"/>
        </w:rPr>
        <w:t xml:space="preserve"> van het</w:t>
      </w:r>
      <w:r w:rsidRPr="00BB7074" w:rsidR="00861834">
        <w:rPr>
          <w:rFonts w:ascii="Verdana" w:hAnsi="Verdana"/>
          <w:sz w:val="18"/>
          <w:szCs w:val="18"/>
          <w:lang w:val="nl-NL"/>
        </w:rPr>
        <w:t xml:space="preserve"> verdrag</w:t>
      </w:r>
    </w:p>
    <w:p w:rsidRPr="00BB7074" w:rsidR="00875BA2" w:rsidP="00875BA2" w:rsidRDefault="00875BA2" w14:paraId="174815DA" w14:textId="77777777">
      <w:pPr>
        <w:rPr>
          <w:rFonts w:ascii="Verdana" w:hAnsi="Verdana"/>
          <w:sz w:val="18"/>
          <w:szCs w:val="18"/>
          <w:lang w:val="nl-NL"/>
        </w:rPr>
      </w:pPr>
      <w:r w:rsidRPr="00BB7074">
        <w:rPr>
          <w:rFonts w:ascii="Verdana" w:hAnsi="Verdana"/>
          <w:sz w:val="18"/>
          <w:szCs w:val="18"/>
          <w:lang w:val="nl-NL"/>
        </w:rPr>
        <w:t xml:space="preserve">De structuur, inhoud en bewoordingen van het Verdrag stemmen in het algemeen overeen met andere recent door Nederland gesloten belastingverdragen. </w:t>
      </w:r>
    </w:p>
    <w:p w:rsidRPr="00BB7074" w:rsidR="00875BA2" w:rsidP="00875BA2" w:rsidRDefault="00875BA2" w14:paraId="437B013F" w14:textId="7943D89A">
      <w:pPr>
        <w:rPr>
          <w:rFonts w:ascii="Verdana" w:hAnsi="Verdana"/>
          <w:sz w:val="18"/>
          <w:szCs w:val="18"/>
          <w:lang w:val="nl-NL"/>
        </w:rPr>
      </w:pPr>
      <w:r w:rsidRPr="00BB7074">
        <w:rPr>
          <w:rFonts w:ascii="Verdana" w:hAnsi="Verdana"/>
          <w:sz w:val="18"/>
          <w:szCs w:val="18"/>
          <w:lang w:val="nl-NL"/>
        </w:rPr>
        <w:t>De Nederlandse inzet bij de onderhandelingen in 2018 en 2019 was gebaseerd op het verdragsbeleid dat is neergelegd in de NFV 2011 en dat, wat betreft het tegengaan van belastingontwijking, nader is verwoord in de kabinetsappreciatie van de actierapporten van het BEPS-project</w:t>
      </w:r>
      <w:r w:rsidRPr="004B379C">
        <w:rPr>
          <w:rFonts w:ascii="Verdana" w:hAnsi="Verdana"/>
          <w:sz w:val="18"/>
          <w:szCs w:val="18"/>
          <w:vertAlign w:val="superscript"/>
          <w:lang w:val="nl-NL"/>
        </w:rPr>
        <w:footnoteReference w:id="3"/>
      </w:r>
      <w:r w:rsidRPr="00BB7074">
        <w:rPr>
          <w:rFonts w:ascii="Verdana" w:hAnsi="Verdana"/>
          <w:sz w:val="18"/>
          <w:szCs w:val="18"/>
          <w:lang w:val="nl-NL"/>
        </w:rPr>
        <w:t xml:space="preserve"> en de in de brief van 28 oktober 2016</w:t>
      </w:r>
      <w:r w:rsidRPr="004B379C">
        <w:rPr>
          <w:rFonts w:ascii="Verdana" w:hAnsi="Verdana"/>
          <w:sz w:val="18"/>
          <w:szCs w:val="18"/>
          <w:vertAlign w:val="superscript"/>
          <w:lang w:val="nl-NL"/>
        </w:rPr>
        <w:footnoteReference w:id="4"/>
      </w:r>
      <w:r w:rsidRPr="00BB7074">
        <w:rPr>
          <w:rFonts w:ascii="Verdana" w:hAnsi="Verdana"/>
          <w:sz w:val="18"/>
          <w:szCs w:val="18"/>
          <w:lang w:val="nl-NL"/>
        </w:rPr>
        <w:t xml:space="preserve"> gegeven reactie op het</w:t>
      </w:r>
      <w:r w:rsidR="00D57B5C">
        <w:rPr>
          <w:rFonts w:ascii="Verdana" w:hAnsi="Verdana"/>
          <w:sz w:val="18"/>
          <w:szCs w:val="18"/>
          <w:lang w:val="nl-NL"/>
        </w:rPr>
        <w:t xml:space="preserve"> </w:t>
      </w:r>
      <w:r w:rsidR="00365473">
        <w:rPr>
          <w:rFonts w:ascii="Verdana" w:hAnsi="Verdana"/>
          <w:sz w:val="18"/>
          <w:szCs w:val="18"/>
          <w:lang w:val="nl-NL"/>
        </w:rPr>
        <w:t xml:space="preserve">uiteindelijk </w:t>
      </w:r>
      <w:r w:rsidR="00D57B5C">
        <w:rPr>
          <w:rFonts w:ascii="Verdana" w:hAnsi="Verdana"/>
          <w:sz w:val="18"/>
          <w:szCs w:val="18"/>
          <w:lang w:val="nl-NL"/>
        </w:rPr>
        <w:t>op 24 november 2016 te Parijs tot stand gekomen</w:t>
      </w:r>
      <w:r w:rsidRPr="00BB7074">
        <w:rPr>
          <w:rFonts w:ascii="Verdana" w:hAnsi="Verdana"/>
          <w:sz w:val="18"/>
          <w:szCs w:val="18"/>
          <w:lang w:val="nl-NL"/>
        </w:rPr>
        <w:t xml:space="preserve"> </w:t>
      </w:r>
      <w:r w:rsidRPr="00392D2D" w:rsidR="00392D2D">
        <w:rPr>
          <w:rFonts w:ascii="Verdana" w:hAnsi="Verdana"/>
          <w:sz w:val="18"/>
          <w:szCs w:val="18"/>
          <w:lang w:val="nl-NL"/>
        </w:rPr>
        <w:t>Multilateraal Verdrag ter implementatie van aan belastingverdragen gerelateerde maatregelen ter voorkoming van grondslaguitholling en winstverschuiving</w:t>
      </w:r>
      <w:r w:rsidRPr="00392D2D" w:rsidDel="00392D2D" w:rsidR="00392D2D">
        <w:rPr>
          <w:rFonts w:ascii="Verdana" w:hAnsi="Verdana"/>
          <w:sz w:val="18"/>
          <w:szCs w:val="18"/>
          <w:lang w:val="nl-NL"/>
        </w:rPr>
        <w:t xml:space="preserve"> </w:t>
      </w:r>
      <w:r w:rsidRPr="006E5CFF" w:rsidR="00D57B5C">
        <w:rPr>
          <w:rFonts w:ascii="Verdana" w:hAnsi="Verdana"/>
          <w:sz w:val="18"/>
          <w:szCs w:val="18"/>
          <w:lang w:val="nl-NL"/>
        </w:rPr>
        <w:t>(</w:t>
      </w:r>
      <w:r w:rsidRPr="00337338" w:rsidR="00D57B5C">
        <w:rPr>
          <w:rFonts w:ascii="Verdana" w:hAnsi="Verdana"/>
          <w:i/>
          <w:sz w:val="18"/>
          <w:szCs w:val="18"/>
          <w:lang w:val="nl-NL"/>
        </w:rPr>
        <w:t>Trb</w:t>
      </w:r>
      <w:r w:rsidR="00D57B5C">
        <w:rPr>
          <w:rFonts w:ascii="Verdana" w:hAnsi="Verdana"/>
          <w:sz w:val="18"/>
          <w:szCs w:val="18"/>
          <w:lang w:val="nl-NL"/>
        </w:rPr>
        <w:t xml:space="preserve">. 2017, 86) </w:t>
      </w:r>
      <w:r w:rsidRPr="00BB7074">
        <w:rPr>
          <w:rFonts w:ascii="Verdana" w:hAnsi="Verdana"/>
          <w:sz w:val="18"/>
          <w:szCs w:val="18"/>
          <w:lang w:val="nl-NL"/>
        </w:rPr>
        <w:t xml:space="preserve">(hierna: het </w:t>
      </w:r>
      <w:r w:rsidR="006A7785">
        <w:rPr>
          <w:rFonts w:ascii="Verdana" w:hAnsi="Verdana"/>
          <w:sz w:val="18"/>
          <w:szCs w:val="18"/>
          <w:lang w:val="nl-NL"/>
        </w:rPr>
        <w:t>‘</w:t>
      </w:r>
      <w:r w:rsidR="00392D2D">
        <w:rPr>
          <w:rFonts w:ascii="Verdana" w:hAnsi="Verdana"/>
          <w:sz w:val="18"/>
          <w:szCs w:val="18"/>
          <w:lang w:val="nl-NL"/>
        </w:rPr>
        <w:t>MLI</w:t>
      </w:r>
      <w:r w:rsidR="006A7785">
        <w:rPr>
          <w:rFonts w:ascii="Verdana" w:hAnsi="Verdana"/>
          <w:sz w:val="18"/>
          <w:szCs w:val="18"/>
          <w:lang w:val="nl-NL"/>
        </w:rPr>
        <w:t>’</w:t>
      </w:r>
      <w:r w:rsidRPr="00BB7074">
        <w:rPr>
          <w:rFonts w:ascii="Verdana" w:hAnsi="Verdana"/>
          <w:sz w:val="18"/>
          <w:szCs w:val="18"/>
          <w:lang w:val="nl-NL"/>
        </w:rPr>
        <w:t>)</w:t>
      </w:r>
      <w:r w:rsidRPr="00BB7074" w:rsidR="00AF2156">
        <w:rPr>
          <w:rFonts w:ascii="Verdana" w:hAnsi="Verdana"/>
          <w:sz w:val="18"/>
          <w:szCs w:val="18"/>
          <w:lang w:val="nl-NL"/>
        </w:rPr>
        <w:t>.</w:t>
      </w:r>
      <w:r w:rsidRPr="00BB7074">
        <w:rPr>
          <w:rFonts w:ascii="Verdana" w:hAnsi="Verdana"/>
          <w:sz w:val="18"/>
          <w:szCs w:val="18"/>
          <w:lang w:val="nl-NL"/>
        </w:rPr>
        <w:t xml:space="preserve"> Hierbij is voor het instrumentarium zoveel mogelijk aangeknoopt bij de bepalingen van het OESO-modelverdrag, inclusief commentaar, volgens de teksteditie van 21 november 2017 (hierna: het </w:t>
      </w:r>
      <w:r w:rsidR="006A7785">
        <w:rPr>
          <w:rFonts w:ascii="Verdana" w:hAnsi="Verdana"/>
          <w:sz w:val="18"/>
          <w:szCs w:val="18"/>
          <w:lang w:val="nl-NL"/>
        </w:rPr>
        <w:t>‘</w:t>
      </w:r>
      <w:r w:rsidRPr="00BB7074">
        <w:rPr>
          <w:rFonts w:ascii="Verdana" w:hAnsi="Verdana"/>
          <w:sz w:val="18"/>
          <w:szCs w:val="18"/>
          <w:lang w:val="nl-NL"/>
        </w:rPr>
        <w:t>OESO-modelverdrag</w:t>
      </w:r>
      <w:r w:rsidR="006A7785">
        <w:rPr>
          <w:rFonts w:ascii="Verdana" w:hAnsi="Verdana"/>
          <w:sz w:val="18"/>
          <w:szCs w:val="18"/>
          <w:lang w:val="nl-NL"/>
        </w:rPr>
        <w:t>’</w:t>
      </w:r>
      <w:r w:rsidRPr="00BB7074">
        <w:rPr>
          <w:rFonts w:ascii="Verdana" w:hAnsi="Verdana"/>
          <w:sz w:val="18"/>
          <w:szCs w:val="18"/>
          <w:lang w:val="nl-NL"/>
        </w:rPr>
        <w:t>). De inzet van Colombia was mede gebaseerd op het door de Verenigde Naties ontwikkelde modelverdrag voor belastingverdragen tussen ontwikkelde en on</w:t>
      </w:r>
      <w:r w:rsidR="006A7785">
        <w:rPr>
          <w:rFonts w:ascii="Verdana" w:hAnsi="Verdana"/>
          <w:sz w:val="18"/>
          <w:szCs w:val="18"/>
          <w:lang w:val="nl-NL"/>
        </w:rPr>
        <w:t>twikkelingslanden (hierna: het ‘</w:t>
      </w:r>
      <w:r w:rsidRPr="00BB7074">
        <w:rPr>
          <w:rFonts w:ascii="Verdana" w:hAnsi="Verdana"/>
          <w:sz w:val="18"/>
          <w:szCs w:val="18"/>
          <w:lang w:val="nl-NL"/>
        </w:rPr>
        <w:t>VN-modelverdrag</w:t>
      </w:r>
      <w:r w:rsidR="006A7785">
        <w:rPr>
          <w:rFonts w:ascii="Verdana" w:hAnsi="Verdana"/>
          <w:sz w:val="18"/>
          <w:szCs w:val="18"/>
          <w:lang w:val="nl-NL"/>
        </w:rPr>
        <w:t>’</w:t>
      </w:r>
      <w:r w:rsidRPr="00BB7074">
        <w:rPr>
          <w:rFonts w:ascii="Verdana" w:hAnsi="Verdana"/>
          <w:sz w:val="18"/>
          <w:szCs w:val="18"/>
          <w:lang w:val="nl-NL"/>
        </w:rPr>
        <w:t>).</w:t>
      </w:r>
    </w:p>
    <w:p w:rsidRPr="00BB7074" w:rsidR="00875BA2" w:rsidP="00875BA2" w:rsidRDefault="00875BA2" w14:paraId="60EB9870" w14:textId="29EDFC7C">
      <w:pPr>
        <w:rPr>
          <w:rFonts w:ascii="Verdana" w:hAnsi="Verdana"/>
          <w:sz w:val="18"/>
          <w:szCs w:val="18"/>
          <w:lang w:val="nl-NL"/>
        </w:rPr>
      </w:pPr>
      <w:r w:rsidRPr="00BB7074">
        <w:rPr>
          <w:rFonts w:ascii="Verdana" w:hAnsi="Verdana"/>
          <w:sz w:val="18"/>
          <w:szCs w:val="18"/>
          <w:lang w:val="nl-NL"/>
        </w:rPr>
        <w:t xml:space="preserve">Het Verdrag voldoet aan de minimumstandaarden die voortvloeien uit het BEPS-project. Dit houdt in dat uit de titel en preambule van het Verdrag duidelijk blijkt dat het tegengaan van het </w:t>
      </w:r>
      <w:r w:rsidR="00AB225E">
        <w:rPr>
          <w:rFonts w:ascii="Verdana" w:hAnsi="Verdana"/>
          <w:sz w:val="18"/>
          <w:szCs w:val="18"/>
          <w:lang w:val="nl-NL"/>
        </w:rPr>
        <w:t>ontduiken</w:t>
      </w:r>
      <w:r w:rsidRPr="00BB7074" w:rsidR="00AB225E">
        <w:rPr>
          <w:rFonts w:ascii="Verdana" w:hAnsi="Verdana"/>
          <w:sz w:val="18"/>
          <w:szCs w:val="18"/>
          <w:lang w:val="nl-NL"/>
        </w:rPr>
        <w:t xml:space="preserve"> </w:t>
      </w:r>
      <w:r w:rsidRPr="00BB7074">
        <w:rPr>
          <w:rFonts w:ascii="Verdana" w:hAnsi="Verdana"/>
          <w:sz w:val="18"/>
          <w:szCs w:val="18"/>
          <w:lang w:val="nl-NL"/>
        </w:rPr>
        <w:t>en ontwijken van belasting een doel van het Verdrag is, dat het Verdrag voorziet in een onderlinge overlegprocedure om geschillen op te lossen (artikel 23) en dat een algemene antimisbruikbepaling is opgenomen (artikel 25). Wat betreft de algemene antimisbruikbepaling in artikel 25 is op verzoek van Colombia een ‘</w:t>
      </w:r>
      <w:proofErr w:type="spellStart"/>
      <w:r w:rsidRPr="0091375C">
        <w:rPr>
          <w:rFonts w:ascii="Verdana" w:hAnsi="Verdana"/>
          <w:sz w:val="18"/>
          <w:szCs w:val="18"/>
          <w:lang w:val="nl-NL"/>
        </w:rPr>
        <w:t>limitation</w:t>
      </w:r>
      <w:proofErr w:type="spellEnd"/>
      <w:r w:rsidRPr="0091375C">
        <w:rPr>
          <w:rFonts w:ascii="Verdana" w:hAnsi="Verdana"/>
          <w:sz w:val="18"/>
          <w:szCs w:val="18"/>
          <w:lang w:val="nl-NL"/>
        </w:rPr>
        <w:t>-on-benefits</w:t>
      </w:r>
      <w:r w:rsidRPr="00BB7074">
        <w:rPr>
          <w:rFonts w:ascii="Verdana" w:hAnsi="Verdana"/>
          <w:i/>
          <w:sz w:val="18"/>
          <w:szCs w:val="18"/>
          <w:lang w:val="nl-NL"/>
        </w:rPr>
        <w:t>-</w:t>
      </w:r>
      <w:r w:rsidRPr="0091375C">
        <w:rPr>
          <w:rFonts w:ascii="Verdana" w:hAnsi="Verdana"/>
          <w:sz w:val="18"/>
          <w:szCs w:val="18"/>
          <w:lang w:val="nl-NL"/>
        </w:rPr>
        <w:t>bepaling</w:t>
      </w:r>
      <w:r w:rsidRPr="00BB7074">
        <w:rPr>
          <w:rFonts w:ascii="Verdana" w:hAnsi="Verdana"/>
          <w:sz w:val="18"/>
          <w:szCs w:val="18"/>
          <w:lang w:val="nl-NL"/>
        </w:rPr>
        <w:t>’ opgenomen</w:t>
      </w:r>
      <w:r w:rsidRPr="00BB7074">
        <w:rPr>
          <w:rFonts w:ascii="Verdana" w:hAnsi="Verdana"/>
          <w:i/>
          <w:sz w:val="18"/>
          <w:szCs w:val="18"/>
          <w:lang w:val="nl-NL"/>
        </w:rPr>
        <w:t xml:space="preserve"> </w:t>
      </w:r>
      <w:r w:rsidRPr="00BB7074">
        <w:rPr>
          <w:rFonts w:ascii="Verdana" w:hAnsi="Verdana"/>
          <w:sz w:val="18"/>
          <w:szCs w:val="18"/>
          <w:lang w:val="nl-NL"/>
        </w:rPr>
        <w:t>in aanvulling op de zogenoemde ‘</w:t>
      </w:r>
      <w:proofErr w:type="spellStart"/>
      <w:r w:rsidRPr="00BB7074">
        <w:rPr>
          <w:rFonts w:ascii="Verdana" w:hAnsi="Verdana"/>
          <w:i/>
          <w:sz w:val="18"/>
          <w:szCs w:val="18"/>
          <w:lang w:val="nl-NL"/>
        </w:rPr>
        <w:t>principal</w:t>
      </w:r>
      <w:proofErr w:type="spellEnd"/>
      <w:r w:rsidRPr="00BB7074">
        <w:rPr>
          <w:rFonts w:ascii="Verdana" w:hAnsi="Verdana"/>
          <w:i/>
          <w:sz w:val="18"/>
          <w:szCs w:val="18"/>
          <w:lang w:val="nl-NL"/>
        </w:rPr>
        <w:t xml:space="preserve"> </w:t>
      </w:r>
      <w:proofErr w:type="spellStart"/>
      <w:r w:rsidRPr="00BB7074">
        <w:rPr>
          <w:rFonts w:ascii="Verdana" w:hAnsi="Verdana"/>
          <w:i/>
          <w:sz w:val="18"/>
          <w:szCs w:val="18"/>
          <w:lang w:val="nl-NL"/>
        </w:rPr>
        <w:t>purposes</w:t>
      </w:r>
      <w:proofErr w:type="spellEnd"/>
      <w:r w:rsidRPr="00BB7074">
        <w:rPr>
          <w:rFonts w:ascii="Verdana" w:hAnsi="Verdana"/>
          <w:i/>
          <w:sz w:val="18"/>
          <w:szCs w:val="18"/>
          <w:lang w:val="nl-NL"/>
        </w:rPr>
        <w:t xml:space="preserve"> test</w:t>
      </w:r>
      <w:r w:rsidRPr="00BB7074">
        <w:rPr>
          <w:rFonts w:ascii="Verdana" w:hAnsi="Verdana"/>
          <w:sz w:val="18"/>
          <w:szCs w:val="18"/>
          <w:lang w:val="nl-NL"/>
        </w:rPr>
        <w:t xml:space="preserve">’. </w:t>
      </w:r>
    </w:p>
    <w:p w:rsidRPr="00BB7074" w:rsidR="00875BA2" w:rsidP="00875BA2" w:rsidRDefault="00875BA2" w14:paraId="4943F6A0" w14:textId="77777777">
      <w:pPr>
        <w:rPr>
          <w:rFonts w:ascii="Verdana" w:hAnsi="Verdana"/>
          <w:sz w:val="18"/>
          <w:szCs w:val="18"/>
          <w:lang w:val="nl-NL"/>
        </w:rPr>
      </w:pPr>
      <w:r w:rsidRPr="00BB7074">
        <w:rPr>
          <w:rFonts w:ascii="Verdana" w:hAnsi="Verdana"/>
          <w:sz w:val="18"/>
          <w:szCs w:val="18"/>
          <w:lang w:val="nl-NL"/>
        </w:rPr>
        <w:t>In lijn met de Nederlandse onderhandelingsinzet bevat het Verdrag daarnaast een groot aantal verdragsmaatregelen die voortvloeien uit het BEPS-project, maar geen deel uitmaken van de minimumstandaarden. Het betreft:</w:t>
      </w:r>
    </w:p>
    <w:p w:rsidRPr="00BB7074" w:rsidR="00875BA2" w:rsidP="00875BA2" w:rsidRDefault="00875BA2" w14:paraId="4F592E38" w14:textId="77777777">
      <w:pPr>
        <w:numPr>
          <w:ilvl w:val="0"/>
          <w:numId w:val="17"/>
        </w:numPr>
        <w:rPr>
          <w:rFonts w:ascii="Verdana" w:hAnsi="Verdana"/>
          <w:sz w:val="18"/>
          <w:szCs w:val="18"/>
          <w:lang w:val="nl-NL"/>
        </w:rPr>
      </w:pPr>
      <w:r w:rsidRPr="00BB7074">
        <w:rPr>
          <w:rFonts w:ascii="Verdana" w:hAnsi="Verdana"/>
          <w:sz w:val="18"/>
          <w:szCs w:val="18"/>
          <w:lang w:val="nl-NL"/>
        </w:rPr>
        <w:t>een bepaling over verdragstoepassing bij hybride entiteiten in artikel 1 van het Verdrag;</w:t>
      </w:r>
    </w:p>
    <w:p w:rsidRPr="00BB7074" w:rsidR="00875BA2" w:rsidP="00875BA2" w:rsidRDefault="00875BA2" w14:paraId="2B4EE8DF" w14:textId="722A4771">
      <w:pPr>
        <w:numPr>
          <w:ilvl w:val="0"/>
          <w:numId w:val="17"/>
        </w:numPr>
        <w:rPr>
          <w:rFonts w:ascii="Verdana" w:hAnsi="Verdana"/>
          <w:sz w:val="18"/>
          <w:szCs w:val="18"/>
          <w:lang w:val="nl-NL"/>
        </w:rPr>
      </w:pPr>
      <w:r w:rsidRPr="00BB7074">
        <w:rPr>
          <w:rFonts w:ascii="Verdana" w:hAnsi="Verdana"/>
          <w:sz w:val="18"/>
          <w:szCs w:val="18"/>
          <w:lang w:val="nl-NL"/>
        </w:rPr>
        <w:t xml:space="preserve">een bepaling in artikel 4 van het Verdrag </w:t>
      </w:r>
      <w:r w:rsidR="0098589E">
        <w:rPr>
          <w:rFonts w:ascii="Verdana" w:hAnsi="Verdana"/>
          <w:sz w:val="18"/>
          <w:szCs w:val="18"/>
          <w:lang w:val="nl-NL"/>
        </w:rPr>
        <w:t xml:space="preserve">die stelt </w:t>
      </w:r>
      <w:r w:rsidRPr="00BB7074">
        <w:rPr>
          <w:rFonts w:ascii="Verdana" w:hAnsi="Verdana"/>
          <w:sz w:val="18"/>
          <w:szCs w:val="18"/>
          <w:lang w:val="nl-NL"/>
        </w:rPr>
        <w:t>dat situaties van een dubbele woonplaats van lichamen voor de toepassing van het Verdrag worden beslecht op basis van onderling overleg;</w:t>
      </w:r>
    </w:p>
    <w:p w:rsidRPr="00BB7074" w:rsidR="00875BA2" w:rsidP="00875BA2" w:rsidRDefault="00875BA2" w14:paraId="0D487447" w14:textId="77777777">
      <w:pPr>
        <w:numPr>
          <w:ilvl w:val="0"/>
          <w:numId w:val="17"/>
        </w:numPr>
        <w:rPr>
          <w:rFonts w:ascii="Verdana" w:hAnsi="Verdana"/>
          <w:sz w:val="18"/>
          <w:szCs w:val="18"/>
          <w:lang w:val="nl-NL"/>
        </w:rPr>
      </w:pPr>
      <w:r w:rsidRPr="00BB7074">
        <w:rPr>
          <w:rFonts w:ascii="Verdana" w:hAnsi="Verdana"/>
          <w:sz w:val="18"/>
          <w:szCs w:val="18"/>
          <w:lang w:val="nl-NL"/>
        </w:rPr>
        <w:lastRenderedPageBreak/>
        <w:t>maatregelen tegen het kunstmatig ontgaan van een vaste inrichting in artikel 5 van het Verdrag;</w:t>
      </w:r>
    </w:p>
    <w:p w:rsidRPr="00BB7074" w:rsidR="00875BA2" w:rsidP="00875BA2" w:rsidRDefault="00875BA2" w14:paraId="2FA1834A" w14:textId="77777777">
      <w:pPr>
        <w:numPr>
          <w:ilvl w:val="0"/>
          <w:numId w:val="17"/>
        </w:numPr>
        <w:rPr>
          <w:rFonts w:ascii="Verdana" w:hAnsi="Verdana"/>
          <w:sz w:val="18"/>
          <w:szCs w:val="18"/>
          <w:lang w:val="nl-NL"/>
        </w:rPr>
      </w:pPr>
      <w:r w:rsidRPr="00BB7074">
        <w:rPr>
          <w:rFonts w:ascii="Verdana" w:hAnsi="Verdana"/>
          <w:sz w:val="18"/>
          <w:szCs w:val="18"/>
          <w:lang w:val="nl-NL"/>
        </w:rPr>
        <w:t>een bezitsperiode van ten minste 365 dagen voordat aanspraak kan worden gemaakt op het verlaagde bronheffingstarief voor deelnemingsdividenden in artikel 10 van het Verdrag;</w:t>
      </w:r>
    </w:p>
    <w:p w:rsidRPr="00BB7074" w:rsidR="00875BA2" w:rsidP="00875BA2" w:rsidRDefault="00875BA2" w14:paraId="623669E6" w14:textId="62742F30">
      <w:pPr>
        <w:numPr>
          <w:ilvl w:val="0"/>
          <w:numId w:val="17"/>
        </w:numPr>
        <w:rPr>
          <w:rFonts w:ascii="Verdana" w:hAnsi="Verdana"/>
          <w:sz w:val="18"/>
          <w:szCs w:val="18"/>
          <w:lang w:val="nl-NL"/>
        </w:rPr>
      </w:pPr>
      <w:r w:rsidRPr="00BB7074">
        <w:rPr>
          <w:rFonts w:ascii="Verdana" w:hAnsi="Verdana"/>
          <w:sz w:val="18"/>
          <w:szCs w:val="18"/>
          <w:lang w:val="nl-NL"/>
        </w:rPr>
        <w:t xml:space="preserve">aangescherpte criteria om te beoordelen of sprake is van </w:t>
      </w:r>
      <w:r w:rsidRPr="00BB7074" w:rsidR="000569FA">
        <w:rPr>
          <w:rFonts w:ascii="Verdana" w:hAnsi="Verdana"/>
          <w:sz w:val="18"/>
          <w:szCs w:val="18"/>
          <w:lang w:val="nl-NL"/>
        </w:rPr>
        <w:t>een zogenoemd</w:t>
      </w:r>
      <w:r w:rsidRPr="00BB7074">
        <w:rPr>
          <w:rFonts w:ascii="Verdana" w:hAnsi="Verdana"/>
          <w:sz w:val="18"/>
          <w:szCs w:val="18"/>
          <w:lang w:val="nl-NL"/>
        </w:rPr>
        <w:t xml:space="preserve"> </w:t>
      </w:r>
      <w:proofErr w:type="spellStart"/>
      <w:r w:rsidRPr="00BB7074">
        <w:rPr>
          <w:rFonts w:ascii="Verdana" w:hAnsi="Verdana"/>
          <w:sz w:val="18"/>
          <w:szCs w:val="18"/>
          <w:lang w:val="nl-NL"/>
        </w:rPr>
        <w:t>onroerendeza</w:t>
      </w:r>
      <w:r w:rsidRPr="00BB7074" w:rsidR="000569FA">
        <w:rPr>
          <w:rFonts w:ascii="Verdana" w:hAnsi="Verdana"/>
          <w:sz w:val="18"/>
          <w:szCs w:val="18"/>
          <w:lang w:val="nl-NL"/>
        </w:rPr>
        <w:t>a</w:t>
      </w:r>
      <w:r w:rsidRPr="00BB7074">
        <w:rPr>
          <w:rFonts w:ascii="Verdana" w:hAnsi="Verdana"/>
          <w:sz w:val="18"/>
          <w:szCs w:val="18"/>
          <w:lang w:val="nl-NL"/>
        </w:rPr>
        <w:t>k</w:t>
      </w:r>
      <w:r w:rsidRPr="00BB7074" w:rsidR="000569FA">
        <w:rPr>
          <w:rFonts w:ascii="Verdana" w:hAnsi="Verdana"/>
          <w:sz w:val="18"/>
          <w:szCs w:val="18"/>
          <w:lang w:val="nl-NL"/>
        </w:rPr>
        <w:t>lichaam</w:t>
      </w:r>
      <w:proofErr w:type="spellEnd"/>
      <w:r w:rsidRPr="00BB7074">
        <w:rPr>
          <w:rFonts w:ascii="Verdana" w:hAnsi="Verdana"/>
          <w:sz w:val="18"/>
          <w:szCs w:val="18"/>
          <w:lang w:val="nl-NL"/>
        </w:rPr>
        <w:t xml:space="preserve"> </w:t>
      </w:r>
      <w:r w:rsidRPr="00BB7074" w:rsidR="000569FA">
        <w:rPr>
          <w:rFonts w:ascii="Verdana" w:hAnsi="Verdana"/>
          <w:sz w:val="18"/>
          <w:szCs w:val="18"/>
          <w:lang w:val="nl-NL"/>
        </w:rPr>
        <w:t xml:space="preserve">als bedoeld </w:t>
      </w:r>
      <w:r w:rsidRPr="00BB7074">
        <w:rPr>
          <w:rFonts w:ascii="Verdana" w:hAnsi="Verdana"/>
          <w:sz w:val="18"/>
          <w:szCs w:val="18"/>
          <w:lang w:val="nl-NL"/>
        </w:rPr>
        <w:t>in artikel 13 van het Verdrag;</w:t>
      </w:r>
    </w:p>
    <w:p w:rsidRPr="00BB7074" w:rsidR="00875BA2" w:rsidP="00875BA2" w:rsidRDefault="00875BA2" w14:paraId="5C898959" w14:textId="11D8BC6E">
      <w:pPr>
        <w:numPr>
          <w:ilvl w:val="0"/>
          <w:numId w:val="17"/>
        </w:numPr>
        <w:rPr>
          <w:rFonts w:ascii="Verdana" w:hAnsi="Verdana"/>
          <w:sz w:val="18"/>
          <w:szCs w:val="18"/>
          <w:lang w:val="nl-NL"/>
        </w:rPr>
      </w:pPr>
      <w:r w:rsidRPr="00BB7074">
        <w:rPr>
          <w:rFonts w:ascii="Verdana" w:hAnsi="Verdana"/>
          <w:sz w:val="18"/>
          <w:szCs w:val="18"/>
          <w:lang w:val="nl-NL"/>
        </w:rPr>
        <w:t xml:space="preserve">de verplichting dat de </w:t>
      </w:r>
      <w:r w:rsidRPr="00BB7074" w:rsidR="001D7663">
        <w:rPr>
          <w:rFonts w:ascii="Verdana" w:hAnsi="Verdana"/>
          <w:sz w:val="18"/>
          <w:szCs w:val="18"/>
          <w:lang w:val="nl-NL"/>
        </w:rPr>
        <w:t xml:space="preserve">verdragsluitende </w:t>
      </w:r>
      <w:r w:rsidRPr="00BB7074">
        <w:rPr>
          <w:rFonts w:ascii="Verdana" w:hAnsi="Verdana"/>
          <w:sz w:val="18"/>
          <w:szCs w:val="18"/>
          <w:lang w:val="nl-NL"/>
        </w:rPr>
        <w:t xml:space="preserve">staten over en weer rekening houden met (winst)correcties die bij ondernemingen worden aangebracht in overeenstemming met het </w:t>
      </w:r>
      <w:proofErr w:type="spellStart"/>
      <w:r w:rsidRPr="0018301C" w:rsidR="00392D2D">
        <w:rPr>
          <w:rFonts w:ascii="Verdana" w:hAnsi="Verdana" w:cs="Arial"/>
          <w:sz w:val="18"/>
          <w:szCs w:val="18"/>
          <w:lang w:val="nl-NL"/>
        </w:rPr>
        <w:t>arm</w:t>
      </w:r>
      <w:r w:rsidR="00392D2D">
        <w:rPr>
          <w:rFonts w:ascii="Verdana" w:hAnsi="Verdana" w:cs="Arial"/>
          <w:sz w:val="18"/>
          <w:szCs w:val="18"/>
          <w:lang w:val="nl-NL"/>
        </w:rPr>
        <w:t>’</w:t>
      </w:r>
      <w:r w:rsidRPr="0018301C" w:rsidR="00392D2D">
        <w:rPr>
          <w:rFonts w:ascii="Verdana" w:hAnsi="Verdana" w:cs="Arial"/>
          <w:sz w:val="18"/>
          <w:szCs w:val="18"/>
          <w:lang w:val="nl-NL"/>
        </w:rPr>
        <w:t>s</w:t>
      </w:r>
      <w:proofErr w:type="spellEnd"/>
      <w:r w:rsidR="00392D2D">
        <w:rPr>
          <w:rFonts w:ascii="Verdana" w:hAnsi="Verdana" w:cs="Arial"/>
          <w:sz w:val="18"/>
          <w:szCs w:val="18"/>
          <w:lang w:val="nl-NL"/>
        </w:rPr>
        <w:t>-</w:t>
      </w:r>
      <w:proofErr w:type="spellStart"/>
      <w:r w:rsidRPr="0018301C" w:rsidR="00392D2D">
        <w:rPr>
          <w:rFonts w:ascii="Verdana" w:hAnsi="Verdana" w:cs="Arial"/>
          <w:sz w:val="18"/>
          <w:szCs w:val="18"/>
          <w:lang w:val="nl-NL"/>
        </w:rPr>
        <w:t>length</w:t>
      </w:r>
      <w:proofErr w:type="spellEnd"/>
      <w:r w:rsidR="00392D2D">
        <w:rPr>
          <w:rFonts w:ascii="Verdana" w:hAnsi="Verdana" w:cs="Arial"/>
          <w:sz w:val="18"/>
          <w:szCs w:val="18"/>
          <w:lang w:val="nl-NL"/>
        </w:rPr>
        <w:t>-</w:t>
      </w:r>
      <w:r w:rsidRPr="0018301C" w:rsidR="00392D2D">
        <w:rPr>
          <w:rFonts w:ascii="Verdana" w:hAnsi="Verdana" w:cs="Arial"/>
          <w:sz w:val="18"/>
          <w:szCs w:val="18"/>
          <w:lang w:val="nl-NL"/>
        </w:rPr>
        <w:t>beginsel</w:t>
      </w:r>
      <w:r w:rsidRPr="00556990" w:rsidR="00392D2D">
        <w:rPr>
          <w:rFonts w:ascii="Verdana" w:hAnsi="Verdana" w:cs="Arial"/>
          <w:sz w:val="18"/>
          <w:szCs w:val="18"/>
          <w:lang w:val="nl-NL"/>
        </w:rPr>
        <w:t xml:space="preserve"> </w:t>
      </w:r>
      <w:r w:rsidRPr="00BB7074">
        <w:rPr>
          <w:rFonts w:ascii="Verdana" w:hAnsi="Verdana"/>
          <w:sz w:val="18"/>
          <w:szCs w:val="18"/>
          <w:lang w:val="nl-NL"/>
        </w:rPr>
        <w:t>in artikel 7 en artikel 9 van het Verdrag;</w:t>
      </w:r>
    </w:p>
    <w:p w:rsidRPr="00BB7074" w:rsidR="00875BA2" w:rsidP="00875BA2" w:rsidRDefault="00875BA2" w14:paraId="236711A5" w14:textId="39789E49">
      <w:pPr>
        <w:numPr>
          <w:ilvl w:val="0"/>
          <w:numId w:val="17"/>
        </w:numPr>
        <w:rPr>
          <w:rFonts w:ascii="Verdana" w:hAnsi="Verdana"/>
          <w:sz w:val="18"/>
          <w:szCs w:val="18"/>
          <w:lang w:val="nl-NL"/>
        </w:rPr>
      </w:pPr>
      <w:r w:rsidRPr="00BB7074">
        <w:rPr>
          <w:rFonts w:ascii="Verdana" w:hAnsi="Verdana"/>
          <w:sz w:val="18"/>
          <w:szCs w:val="18"/>
          <w:lang w:val="nl-NL"/>
        </w:rPr>
        <w:t xml:space="preserve">uitbreiding in artikel 23 van het Verdrag van de mogelijkheden om geschillen met betrekking tot de toerekening van winst aan vaste inrichtingen op basis van artikel 7 van het Verdrag of de toepassing van het </w:t>
      </w:r>
      <w:proofErr w:type="spellStart"/>
      <w:r w:rsidRPr="0018301C" w:rsidR="00392D2D">
        <w:rPr>
          <w:rFonts w:ascii="Verdana" w:hAnsi="Verdana" w:cs="Arial"/>
          <w:sz w:val="18"/>
          <w:szCs w:val="18"/>
          <w:lang w:val="nl-NL"/>
        </w:rPr>
        <w:t>arm</w:t>
      </w:r>
      <w:r w:rsidR="00392D2D">
        <w:rPr>
          <w:rFonts w:ascii="Verdana" w:hAnsi="Verdana" w:cs="Arial"/>
          <w:sz w:val="18"/>
          <w:szCs w:val="18"/>
          <w:lang w:val="nl-NL"/>
        </w:rPr>
        <w:t>’</w:t>
      </w:r>
      <w:r w:rsidRPr="0018301C" w:rsidR="00392D2D">
        <w:rPr>
          <w:rFonts w:ascii="Verdana" w:hAnsi="Verdana" w:cs="Arial"/>
          <w:sz w:val="18"/>
          <w:szCs w:val="18"/>
          <w:lang w:val="nl-NL"/>
        </w:rPr>
        <w:t>s</w:t>
      </w:r>
      <w:proofErr w:type="spellEnd"/>
      <w:r w:rsidR="00392D2D">
        <w:rPr>
          <w:rFonts w:ascii="Verdana" w:hAnsi="Verdana" w:cs="Arial"/>
          <w:sz w:val="18"/>
          <w:szCs w:val="18"/>
          <w:lang w:val="nl-NL"/>
        </w:rPr>
        <w:t>-</w:t>
      </w:r>
      <w:proofErr w:type="spellStart"/>
      <w:r w:rsidRPr="0018301C" w:rsidR="00392D2D">
        <w:rPr>
          <w:rFonts w:ascii="Verdana" w:hAnsi="Verdana" w:cs="Arial"/>
          <w:sz w:val="18"/>
          <w:szCs w:val="18"/>
          <w:lang w:val="nl-NL"/>
        </w:rPr>
        <w:t>length</w:t>
      </w:r>
      <w:proofErr w:type="spellEnd"/>
      <w:r w:rsidR="00392D2D">
        <w:rPr>
          <w:rFonts w:ascii="Verdana" w:hAnsi="Verdana" w:cs="Arial"/>
          <w:sz w:val="18"/>
          <w:szCs w:val="18"/>
          <w:lang w:val="nl-NL"/>
        </w:rPr>
        <w:t>-</w:t>
      </w:r>
      <w:r w:rsidRPr="0018301C" w:rsidR="00392D2D">
        <w:rPr>
          <w:rFonts w:ascii="Verdana" w:hAnsi="Verdana" w:cs="Arial"/>
          <w:sz w:val="18"/>
          <w:szCs w:val="18"/>
          <w:lang w:val="nl-NL"/>
        </w:rPr>
        <w:t>beginsel</w:t>
      </w:r>
      <w:r w:rsidRPr="00556990" w:rsidR="00392D2D">
        <w:rPr>
          <w:rFonts w:ascii="Verdana" w:hAnsi="Verdana" w:cs="Arial"/>
          <w:sz w:val="18"/>
          <w:szCs w:val="18"/>
          <w:lang w:val="nl-NL"/>
        </w:rPr>
        <w:t xml:space="preserve"> </w:t>
      </w:r>
      <w:r w:rsidRPr="00BB7074">
        <w:rPr>
          <w:rFonts w:ascii="Verdana" w:hAnsi="Verdana"/>
          <w:sz w:val="18"/>
          <w:szCs w:val="18"/>
          <w:lang w:val="nl-NL"/>
        </w:rPr>
        <w:t xml:space="preserve">op basis van artikel 9 van het Verdrag te beslechten door middel van verplichte en bindende arbitrage; en </w:t>
      </w:r>
    </w:p>
    <w:p w:rsidRPr="00BB7074" w:rsidR="00875BA2" w:rsidP="00875BA2" w:rsidRDefault="00875BA2" w14:paraId="441CB983" w14:textId="72990F14">
      <w:pPr>
        <w:numPr>
          <w:ilvl w:val="0"/>
          <w:numId w:val="17"/>
        </w:numPr>
        <w:rPr>
          <w:rFonts w:ascii="Verdana" w:hAnsi="Verdana"/>
          <w:sz w:val="18"/>
          <w:szCs w:val="18"/>
          <w:lang w:val="nl-NL"/>
        </w:rPr>
      </w:pPr>
      <w:r w:rsidRPr="00BB7074">
        <w:rPr>
          <w:rFonts w:ascii="Verdana" w:hAnsi="Verdana"/>
          <w:sz w:val="18"/>
          <w:szCs w:val="18"/>
          <w:lang w:val="nl-NL"/>
        </w:rPr>
        <w:t xml:space="preserve">een maatregel met als doel </w:t>
      </w:r>
      <w:r w:rsidRPr="00BB7074" w:rsidR="000569FA">
        <w:rPr>
          <w:rFonts w:ascii="Verdana" w:hAnsi="Verdana"/>
          <w:sz w:val="18"/>
          <w:szCs w:val="18"/>
          <w:lang w:val="nl-NL"/>
        </w:rPr>
        <w:t xml:space="preserve">de aanspraak op </w:t>
      </w:r>
      <w:r w:rsidRPr="00BB7074">
        <w:rPr>
          <w:rFonts w:ascii="Verdana" w:hAnsi="Verdana"/>
          <w:sz w:val="18"/>
          <w:szCs w:val="18"/>
          <w:lang w:val="nl-NL"/>
        </w:rPr>
        <w:t xml:space="preserve">verdragsvoordelen over inkomen te beperken als dat inkomen in de </w:t>
      </w:r>
      <w:r w:rsidRPr="00BB7074" w:rsidR="008B5BF7">
        <w:rPr>
          <w:rFonts w:ascii="Verdana" w:hAnsi="Verdana"/>
          <w:sz w:val="18"/>
          <w:szCs w:val="18"/>
          <w:lang w:val="nl-NL"/>
        </w:rPr>
        <w:t>staat</w:t>
      </w:r>
      <w:r w:rsidRPr="00BB7074">
        <w:rPr>
          <w:rFonts w:ascii="Verdana" w:hAnsi="Verdana"/>
          <w:sz w:val="18"/>
          <w:szCs w:val="18"/>
          <w:lang w:val="nl-NL"/>
        </w:rPr>
        <w:t xml:space="preserve"> waar de ontvanger ervan is gevestigd, wordt vrijgesteld omdat het inkomen wordt toegerekend aan een vaste inrichting in een derde </w:t>
      </w:r>
      <w:r w:rsidRPr="00BB7074" w:rsidR="000569FA">
        <w:rPr>
          <w:rFonts w:ascii="Verdana" w:hAnsi="Verdana"/>
          <w:sz w:val="18"/>
          <w:szCs w:val="18"/>
          <w:lang w:val="nl-NL"/>
        </w:rPr>
        <w:t xml:space="preserve">rechtsgebied </w:t>
      </w:r>
      <w:r w:rsidRPr="00BB7074">
        <w:rPr>
          <w:rFonts w:ascii="Verdana" w:hAnsi="Verdana"/>
          <w:sz w:val="18"/>
          <w:szCs w:val="18"/>
          <w:lang w:val="nl-NL"/>
        </w:rPr>
        <w:t>dat dit inkomen niet of slechts beperkt belast (artikel 25 van het Verdrag).</w:t>
      </w:r>
    </w:p>
    <w:p w:rsidRPr="00BB7074" w:rsidR="00D60344" w:rsidP="00875BA2" w:rsidRDefault="00D60344" w14:paraId="15E135A9" w14:textId="77777777">
      <w:pPr>
        <w:rPr>
          <w:rFonts w:ascii="Verdana" w:hAnsi="Verdana"/>
          <w:sz w:val="18"/>
          <w:szCs w:val="18"/>
          <w:lang w:val="nl-NL"/>
        </w:rPr>
      </w:pPr>
    </w:p>
    <w:p w:rsidRPr="00BB7074" w:rsidR="00875BA2" w:rsidP="00875BA2" w:rsidRDefault="00875BA2" w14:paraId="1D05B6E0" w14:textId="456CE4E6">
      <w:pPr>
        <w:rPr>
          <w:rFonts w:ascii="Verdana" w:hAnsi="Verdana"/>
          <w:sz w:val="18"/>
          <w:szCs w:val="18"/>
          <w:lang w:val="nl-NL"/>
        </w:rPr>
      </w:pPr>
      <w:r w:rsidRPr="00BB7074">
        <w:rPr>
          <w:rFonts w:ascii="Verdana" w:hAnsi="Verdana"/>
          <w:sz w:val="18"/>
          <w:szCs w:val="18"/>
          <w:lang w:val="nl-NL"/>
        </w:rPr>
        <w:t>Een in het algemeen door Nederland gewenste exclusieve woon</w:t>
      </w:r>
      <w:r w:rsidRPr="00BB7074" w:rsidR="008B5BF7">
        <w:rPr>
          <w:rFonts w:ascii="Verdana" w:hAnsi="Verdana"/>
          <w:sz w:val="18"/>
          <w:szCs w:val="18"/>
          <w:lang w:val="nl-NL"/>
        </w:rPr>
        <w:t>staat</w:t>
      </w:r>
      <w:r w:rsidRPr="00BB7074">
        <w:rPr>
          <w:rFonts w:ascii="Verdana" w:hAnsi="Verdana"/>
          <w:sz w:val="18"/>
          <w:szCs w:val="18"/>
          <w:lang w:val="nl-NL"/>
        </w:rPr>
        <w:t xml:space="preserve">heffing voor deelnemingsdividenden, interest, royalty’s en vervreemdingswinst op aandelen (niet zijnde aandelen in </w:t>
      </w:r>
      <w:r w:rsidRPr="00BB7074" w:rsidR="0093713D">
        <w:rPr>
          <w:rFonts w:ascii="Verdana" w:hAnsi="Verdana"/>
          <w:sz w:val="18"/>
          <w:szCs w:val="18"/>
          <w:lang w:val="nl-NL"/>
        </w:rPr>
        <w:t xml:space="preserve">een </w:t>
      </w:r>
      <w:proofErr w:type="spellStart"/>
      <w:r w:rsidRPr="00BB7074">
        <w:rPr>
          <w:rFonts w:ascii="Verdana" w:hAnsi="Verdana"/>
          <w:sz w:val="18"/>
          <w:szCs w:val="18"/>
          <w:lang w:val="nl-NL"/>
        </w:rPr>
        <w:t>onroerendezaaklicha</w:t>
      </w:r>
      <w:r w:rsidRPr="00BB7074" w:rsidR="0093713D">
        <w:rPr>
          <w:rFonts w:ascii="Verdana" w:hAnsi="Verdana"/>
          <w:sz w:val="18"/>
          <w:szCs w:val="18"/>
          <w:lang w:val="nl-NL"/>
        </w:rPr>
        <w:t>a</w:t>
      </w:r>
      <w:r w:rsidRPr="00BB7074">
        <w:rPr>
          <w:rFonts w:ascii="Verdana" w:hAnsi="Verdana"/>
          <w:sz w:val="18"/>
          <w:szCs w:val="18"/>
          <w:lang w:val="nl-NL"/>
        </w:rPr>
        <w:t>m</w:t>
      </w:r>
      <w:proofErr w:type="spellEnd"/>
      <w:r w:rsidRPr="00BB7074">
        <w:rPr>
          <w:rFonts w:ascii="Verdana" w:hAnsi="Verdana"/>
          <w:sz w:val="18"/>
          <w:szCs w:val="18"/>
          <w:lang w:val="nl-NL"/>
        </w:rPr>
        <w:t>) was geen haalbaar resultaat. In het kader van een totaalcompromis is met betrekking tot deze inkomensbesta</w:t>
      </w:r>
      <w:r w:rsidRPr="00BB7074" w:rsidR="00B32291">
        <w:rPr>
          <w:rFonts w:ascii="Verdana" w:hAnsi="Verdana"/>
          <w:sz w:val="18"/>
          <w:szCs w:val="18"/>
          <w:lang w:val="nl-NL"/>
        </w:rPr>
        <w:t xml:space="preserve">nddelen </w:t>
      </w:r>
      <w:r w:rsidRPr="00BB7074">
        <w:rPr>
          <w:rFonts w:ascii="Verdana" w:hAnsi="Verdana"/>
          <w:sz w:val="18"/>
          <w:szCs w:val="18"/>
          <w:lang w:val="nl-NL"/>
        </w:rPr>
        <w:t>het volgende afgesproken:</w:t>
      </w:r>
    </w:p>
    <w:p w:rsidRPr="00BB7074" w:rsidR="00875BA2" w:rsidP="00875BA2" w:rsidRDefault="00875BA2" w14:paraId="7F457282" w14:textId="696585C5">
      <w:pPr>
        <w:numPr>
          <w:ilvl w:val="0"/>
          <w:numId w:val="17"/>
        </w:numPr>
        <w:rPr>
          <w:rFonts w:ascii="Verdana" w:hAnsi="Verdana"/>
          <w:sz w:val="18"/>
          <w:szCs w:val="18"/>
          <w:lang w:val="nl-NL"/>
        </w:rPr>
      </w:pPr>
      <w:r w:rsidRPr="00BB7074">
        <w:rPr>
          <w:rFonts w:ascii="Verdana" w:hAnsi="Verdana"/>
          <w:sz w:val="18"/>
          <w:szCs w:val="18"/>
          <w:lang w:val="nl-NL"/>
        </w:rPr>
        <w:t>In artikel 10 van het Verdrag is een exclusieve woon</w:t>
      </w:r>
      <w:r w:rsidRPr="00BB7074" w:rsidR="008B5BF7">
        <w:rPr>
          <w:rFonts w:ascii="Verdana" w:hAnsi="Verdana"/>
          <w:sz w:val="18"/>
          <w:szCs w:val="18"/>
          <w:lang w:val="nl-NL"/>
        </w:rPr>
        <w:t>staat</w:t>
      </w:r>
      <w:r w:rsidRPr="00BB7074">
        <w:rPr>
          <w:rFonts w:ascii="Verdana" w:hAnsi="Verdana"/>
          <w:sz w:val="18"/>
          <w:szCs w:val="18"/>
          <w:lang w:val="nl-NL"/>
        </w:rPr>
        <w:t>heffing overeengekomen voor dividenden betaald aan een vrijgesteld pensioenfonds, een bron</w:t>
      </w:r>
      <w:r w:rsidRPr="00BB7074" w:rsidR="008B5BF7">
        <w:rPr>
          <w:rFonts w:ascii="Verdana" w:hAnsi="Verdana"/>
          <w:sz w:val="18"/>
          <w:szCs w:val="18"/>
          <w:lang w:val="nl-NL"/>
        </w:rPr>
        <w:t>staat</w:t>
      </w:r>
      <w:r w:rsidRPr="00BB7074">
        <w:rPr>
          <w:rFonts w:ascii="Verdana" w:hAnsi="Verdana"/>
          <w:sz w:val="18"/>
          <w:szCs w:val="18"/>
          <w:lang w:val="nl-NL"/>
        </w:rPr>
        <w:t>heffing van 5% voor deelnemingsdividenden en een bron</w:t>
      </w:r>
      <w:r w:rsidRPr="00BB7074" w:rsidR="008B5BF7">
        <w:rPr>
          <w:rFonts w:ascii="Verdana" w:hAnsi="Verdana"/>
          <w:sz w:val="18"/>
          <w:szCs w:val="18"/>
          <w:lang w:val="nl-NL"/>
        </w:rPr>
        <w:t>staat</w:t>
      </w:r>
      <w:r w:rsidRPr="00BB7074">
        <w:rPr>
          <w:rFonts w:ascii="Verdana" w:hAnsi="Verdana"/>
          <w:sz w:val="18"/>
          <w:szCs w:val="18"/>
          <w:lang w:val="nl-NL"/>
        </w:rPr>
        <w:t xml:space="preserve">heffing van 15% voor overige dividenden. </w:t>
      </w:r>
    </w:p>
    <w:p w:rsidRPr="00BB7074" w:rsidR="00875BA2" w:rsidP="00875BA2" w:rsidRDefault="00875BA2" w14:paraId="2646DBD7" w14:textId="2A26F905">
      <w:pPr>
        <w:numPr>
          <w:ilvl w:val="0"/>
          <w:numId w:val="17"/>
        </w:numPr>
        <w:rPr>
          <w:rFonts w:ascii="Verdana" w:hAnsi="Verdana"/>
          <w:sz w:val="18"/>
          <w:szCs w:val="18"/>
          <w:lang w:val="nl-NL"/>
        </w:rPr>
      </w:pPr>
      <w:r w:rsidRPr="00BB7074">
        <w:rPr>
          <w:rFonts w:ascii="Verdana" w:hAnsi="Verdana"/>
          <w:sz w:val="18"/>
          <w:szCs w:val="18"/>
          <w:lang w:val="nl-NL"/>
        </w:rPr>
        <w:t>In artikel 11 van het Verdrag is een exclusieve woon</w:t>
      </w:r>
      <w:r w:rsidRPr="00BB7074" w:rsidR="008B5BF7">
        <w:rPr>
          <w:rFonts w:ascii="Verdana" w:hAnsi="Verdana"/>
          <w:sz w:val="18"/>
          <w:szCs w:val="18"/>
          <w:lang w:val="nl-NL"/>
        </w:rPr>
        <w:t>staat</w:t>
      </w:r>
      <w:r w:rsidRPr="00BB7074">
        <w:rPr>
          <w:rFonts w:ascii="Verdana" w:hAnsi="Verdana"/>
          <w:sz w:val="18"/>
          <w:szCs w:val="18"/>
          <w:lang w:val="nl-NL"/>
        </w:rPr>
        <w:t xml:space="preserve">heffing overeengekomen voor een aantal specifiek bepaalde interestbetalingen, waaronder interest betaald op een lening die gegarandeerd wordt door de overheid en interest betaald op een lening die is verstrekt door een vrijgesteld pensioenfonds. </w:t>
      </w:r>
      <w:r w:rsidRPr="00BB7074" w:rsidR="0072457F">
        <w:rPr>
          <w:rFonts w:ascii="Verdana" w:hAnsi="Verdana"/>
          <w:sz w:val="18"/>
          <w:szCs w:val="18"/>
          <w:lang w:val="nl-NL"/>
        </w:rPr>
        <w:t xml:space="preserve">Voor gevallen waarin </w:t>
      </w:r>
      <w:r w:rsidRPr="00BB7074">
        <w:rPr>
          <w:rFonts w:ascii="Verdana" w:hAnsi="Verdana"/>
          <w:sz w:val="18"/>
          <w:szCs w:val="18"/>
          <w:lang w:val="nl-NL"/>
        </w:rPr>
        <w:t>geen sprake is van een specifieke interestbetaling waarvoor de exclusieve woon</w:t>
      </w:r>
      <w:r w:rsidRPr="00BB7074" w:rsidR="008B5BF7">
        <w:rPr>
          <w:rFonts w:ascii="Verdana" w:hAnsi="Verdana"/>
          <w:sz w:val="18"/>
          <w:szCs w:val="18"/>
          <w:lang w:val="nl-NL"/>
        </w:rPr>
        <w:t>staat</w:t>
      </w:r>
      <w:r w:rsidRPr="00BB7074">
        <w:rPr>
          <w:rFonts w:ascii="Verdana" w:hAnsi="Verdana"/>
          <w:sz w:val="18"/>
          <w:szCs w:val="18"/>
          <w:lang w:val="nl-NL"/>
        </w:rPr>
        <w:t>heffing geldt, is een bron</w:t>
      </w:r>
      <w:r w:rsidRPr="00BB7074" w:rsidR="008B5BF7">
        <w:rPr>
          <w:rFonts w:ascii="Verdana" w:hAnsi="Verdana"/>
          <w:sz w:val="18"/>
          <w:szCs w:val="18"/>
          <w:lang w:val="nl-NL"/>
        </w:rPr>
        <w:t>staat</w:t>
      </w:r>
      <w:r w:rsidRPr="00BB7074">
        <w:rPr>
          <w:rFonts w:ascii="Verdana" w:hAnsi="Verdana"/>
          <w:sz w:val="18"/>
          <w:szCs w:val="18"/>
          <w:lang w:val="nl-NL"/>
        </w:rPr>
        <w:t>heffing overeengekomen van 5% voor interest op leningen voor infrastructuurprojecten met een looptijd van ten minste drie jaar en van 10% voor overige interestbetalingen.</w:t>
      </w:r>
    </w:p>
    <w:p w:rsidRPr="00BB7074" w:rsidR="00875BA2" w:rsidP="00875BA2" w:rsidRDefault="00875BA2" w14:paraId="076C8F44" w14:textId="0079278D">
      <w:pPr>
        <w:numPr>
          <w:ilvl w:val="0"/>
          <w:numId w:val="17"/>
        </w:numPr>
        <w:rPr>
          <w:rFonts w:ascii="Verdana" w:hAnsi="Verdana"/>
          <w:sz w:val="18"/>
          <w:szCs w:val="18"/>
          <w:lang w:val="nl-NL"/>
        </w:rPr>
      </w:pPr>
      <w:r w:rsidRPr="00BB7074">
        <w:rPr>
          <w:rFonts w:ascii="Verdana" w:hAnsi="Verdana"/>
          <w:sz w:val="18"/>
          <w:szCs w:val="18"/>
          <w:lang w:val="nl-NL"/>
        </w:rPr>
        <w:t>In artikel 12 van het Verdrag is een bron</w:t>
      </w:r>
      <w:r w:rsidRPr="00BB7074" w:rsidR="008B5BF7">
        <w:rPr>
          <w:rFonts w:ascii="Verdana" w:hAnsi="Verdana"/>
          <w:sz w:val="18"/>
          <w:szCs w:val="18"/>
          <w:lang w:val="nl-NL"/>
        </w:rPr>
        <w:t>staat</w:t>
      </w:r>
      <w:r w:rsidRPr="00BB7074">
        <w:rPr>
          <w:rFonts w:ascii="Verdana" w:hAnsi="Verdana"/>
          <w:sz w:val="18"/>
          <w:szCs w:val="18"/>
          <w:lang w:val="nl-NL"/>
        </w:rPr>
        <w:t xml:space="preserve">heffing van 5% overeengekomen voor betalingen voor het (recht van) gebruik van industriële en wetenschappelijke uitrusting en 10% voor </w:t>
      </w:r>
      <w:r w:rsidRPr="00BB7074" w:rsidR="008B3C27">
        <w:rPr>
          <w:rFonts w:ascii="Verdana" w:hAnsi="Verdana"/>
          <w:sz w:val="18"/>
          <w:szCs w:val="18"/>
          <w:lang w:val="nl-NL"/>
        </w:rPr>
        <w:t>(</w:t>
      </w:r>
      <w:r w:rsidRPr="00BB7074">
        <w:rPr>
          <w:rFonts w:ascii="Verdana" w:hAnsi="Verdana"/>
          <w:sz w:val="18"/>
          <w:szCs w:val="18"/>
          <w:lang w:val="nl-NL"/>
        </w:rPr>
        <w:t>overige</w:t>
      </w:r>
      <w:r w:rsidRPr="00BB7074" w:rsidR="008B3C27">
        <w:rPr>
          <w:rFonts w:ascii="Verdana" w:hAnsi="Verdana"/>
          <w:sz w:val="18"/>
          <w:szCs w:val="18"/>
          <w:lang w:val="nl-NL"/>
        </w:rPr>
        <w:t>)</w:t>
      </w:r>
      <w:r w:rsidRPr="00BB7074">
        <w:rPr>
          <w:rFonts w:ascii="Verdana" w:hAnsi="Verdana"/>
          <w:sz w:val="18"/>
          <w:szCs w:val="18"/>
          <w:lang w:val="nl-NL"/>
        </w:rPr>
        <w:t xml:space="preserve"> betalingen van royalty’s.</w:t>
      </w:r>
    </w:p>
    <w:p w:rsidRPr="00BB7074" w:rsidR="00B32291" w:rsidP="00875BA2" w:rsidRDefault="00875BA2" w14:paraId="1006C748" w14:textId="495008C9">
      <w:pPr>
        <w:numPr>
          <w:ilvl w:val="0"/>
          <w:numId w:val="17"/>
        </w:numPr>
        <w:rPr>
          <w:rFonts w:ascii="Verdana" w:hAnsi="Verdana"/>
          <w:sz w:val="18"/>
          <w:szCs w:val="18"/>
          <w:lang w:val="nl-NL"/>
        </w:rPr>
      </w:pPr>
      <w:r w:rsidRPr="00BB7074">
        <w:rPr>
          <w:rFonts w:ascii="Verdana" w:hAnsi="Verdana"/>
          <w:sz w:val="18"/>
          <w:szCs w:val="18"/>
          <w:lang w:val="nl-NL"/>
        </w:rPr>
        <w:t>Artikel 13 geeft de bron</w:t>
      </w:r>
      <w:r w:rsidRPr="00BB7074" w:rsidR="008B5BF7">
        <w:rPr>
          <w:rFonts w:ascii="Verdana" w:hAnsi="Verdana"/>
          <w:sz w:val="18"/>
          <w:szCs w:val="18"/>
          <w:lang w:val="nl-NL"/>
        </w:rPr>
        <w:t>staat</w:t>
      </w:r>
      <w:r w:rsidRPr="00BB7074">
        <w:rPr>
          <w:rFonts w:ascii="Verdana" w:hAnsi="Verdana"/>
          <w:sz w:val="18"/>
          <w:szCs w:val="18"/>
          <w:lang w:val="nl-NL"/>
        </w:rPr>
        <w:t xml:space="preserve"> in beginsel het recht om een belasting van ten hoogste 10% te heffen over de </w:t>
      </w:r>
      <w:r w:rsidRPr="00BB7074" w:rsidR="008B3C27">
        <w:rPr>
          <w:rFonts w:ascii="Verdana" w:hAnsi="Verdana"/>
          <w:sz w:val="18"/>
          <w:szCs w:val="18"/>
          <w:lang w:val="nl-NL"/>
        </w:rPr>
        <w:t>vermogens</w:t>
      </w:r>
      <w:r w:rsidRPr="00BB7074">
        <w:rPr>
          <w:rFonts w:ascii="Verdana" w:hAnsi="Verdana"/>
          <w:sz w:val="18"/>
          <w:szCs w:val="18"/>
          <w:lang w:val="nl-NL"/>
        </w:rPr>
        <w:t>winst behaald met de vervreemding van aandelen in een in de bron</w:t>
      </w:r>
      <w:r w:rsidRPr="00BB7074" w:rsidR="008B5BF7">
        <w:rPr>
          <w:rFonts w:ascii="Verdana" w:hAnsi="Verdana"/>
          <w:sz w:val="18"/>
          <w:szCs w:val="18"/>
          <w:lang w:val="nl-NL"/>
        </w:rPr>
        <w:t>staat</w:t>
      </w:r>
      <w:r w:rsidRPr="00BB7074">
        <w:rPr>
          <w:rFonts w:ascii="Verdana" w:hAnsi="Verdana"/>
          <w:sz w:val="18"/>
          <w:szCs w:val="18"/>
          <w:lang w:val="nl-NL"/>
        </w:rPr>
        <w:t xml:space="preserve"> gevestigd lichaam </w:t>
      </w:r>
      <w:r w:rsidRPr="00BB7074" w:rsidR="00FA3136">
        <w:rPr>
          <w:rFonts w:ascii="Verdana" w:hAnsi="Verdana"/>
          <w:sz w:val="18"/>
          <w:szCs w:val="18"/>
          <w:lang w:val="nl-NL"/>
        </w:rPr>
        <w:t xml:space="preserve">(niet zijnde aandelen in een </w:t>
      </w:r>
      <w:proofErr w:type="spellStart"/>
      <w:r w:rsidRPr="00BB7074" w:rsidR="00FA3136">
        <w:rPr>
          <w:rFonts w:ascii="Verdana" w:hAnsi="Verdana"/>
          <w:sz w:val="18"/>
          <w:szCs w:val="18"/>
          <w:lang w:val="nl-NL"/>
        </w:rPr>
        <w:lastRenderedPageBreak/>
        <w:t>onroerendezaaklichaam</w:t>
      </w:r>
      <w:proofErr w:type="spellEnd"/>
      <w:r w:rsidRPr="00BB7074" w:rsidR="00FA3136">
        <w:rPr>
          <w:rFonts w:ascii="Verdana" w:hAnsi="Verdana"/>
          <w:sz w:val="18"/>
          <w:szCs w:val="18"/>
          <w:lang w:val="nl-NL"/>
        </w:rPr>
        <w:t xml:space="preserve">) </w:t>
      </w:r>
      <w:r w:rsidRPr="00BB7074">
        <w:rPr>
          <w:rFonts w:ascii="Verdana" w:hAnsi="Verdana"/>
          <w:sz w:val="18"/>
          <w:szCs w:val="18"/>
          <w:lang w:val="nl-NL"/>
        </w:rPr>
        <w:t>waar</w:t>
      </w:r>
      <w:r w:rsidRPr="00BB7074" w:rsidR="00284838">
        <w:rPr>
          <w:rFonts w:ascii="Verdana" w:hAnsi="Verdana"/>
          <w:sz w:val="18"/>
          <w:szCs w:val="18"/>
          <w:lang w:val="nl-NL"/>
        </w:rPr>
        <w:t>bij</w:t>
      </w:r>
      <w:r w:rsidRPr="00BB7074">
        <w:rPr>
          <w:rFonts w:ascii="Verdana" w:hAnsi="Verdana"/>
          <w:sz w:val="18"/>
          <w:szCs w:val="18"/>
          <w:lang w:val="nl-NL"/>
        </w:rPr>
        <w:t xml:space="preserve"> </w:t>
      </w:r>
      <w:r w:rsidRPr="00BB7074" w:rsidR="00C95BE5">
        <w:rPr>
          <w:rFonts w:ascii="Verdana" w:hAnsi="Verdana"/>
          <w:sz w:val="18"/>
          <w:szCs w:val="18"/>
          <w:lang w:val="nl-NL"/>
        </w:rPr>
        <w:t xml:space="preserve">geldt dat </w:t>
      </w:r>
      <w:r w:rsidRPr="00BB7074">
        <w:rPr>
          <w:rFonts w:ascii="Verdana" w:hAnsi="Verdana"/>
          <w:sz w:val="18"/>
          <w:szCs w:val="18"/>
          <w:lang w:val="nl-NL"/>
        </w:rPr>
        <w:t>de vervreemder op enig moment in de 365 dagen voorafgaand aan de vervreemding ten minste 20% van het kapitaal in dat lichaam heeft bezeten. De bron</w:t>
      </w:r>
      <w:r w:rsidRPr="00BB7074" w:rsidR="008B5BF7">
        <w:rPr>
          <w:rFonts w:ascii="Verdana" w:hAnsi="Verdana"/>
          <w:sz w:val="18"/>
          <w:szCs w:val="18"/>
          <w:lang w:val="nl-NL"/>
        </w:rPr>
        <w:t>staat</w:t>
      </w:r>
      <w:r w:rsidRPr="00BB7074">
        <w:rPr>
          <w:rFonts w:ascii="Verdana" w:hAnsi="Verdana"/>
          <w:sz w:val="18"/>
          <w:szCs w:val="18"/>
          <w:lang w:val="nl-NL"/>
        </w:rPr>
        <w:t xml:space="preserve"> mag echter niet heffen als sprake is van een vervreemding in het kader van een fiscaal gefacilieerde reorganisatie, fusie, splitsing of vergelijkbare handeling. </w:t>
      </w:r>
    </w:p>
    <w:p w:rsidRPr="00BB7074" w:rsidR="003736D1" w:rsidP="00A243A9" w:rsidRDefault="003736D1" w14:paraId="1237037C" w14:textId="2B411E32">
      <w:pPr>
        <w:rPr>
          <w:rFonts w:ascii="Verdana" w:hAnsi="Verdana"/>
          <w:sz w:val="18"/>
          <w:szCs w:val="18"/>
          <w:lang w:val="nl-NL"/>
        </w:rPr>
      </w:pPr>
      <w:r w:rsidRPr="00BB7074">
        <w:rPr>
          <w:rFonts w:ascii="Verdana" w:hAnsi="Verdana"/>
          <w:sz w:val="18"/>
          <w:szCs w:val="18"/>
          <w:lang w:val="nl-NL"/>
        </w:rPr>
        <w:t>In het totaalcompromis zijn de volgende elementen opgenomen waar Nederland</w:t>
      </w:r>
      <w:r w:rsidRPr="00BB7074" w:rsidR="000F210E">
        <w:rPr>
          <w:rFonts w:ascii="Verdana" w:hAnsi="Verdana"/>
          <w:sz w:val="18"/>
          <w:szCs w:val="18"/>
          <w:lang w:val="nl-NL"/>
        </w:rPr>
        <w:t xml:space="preserve"> zich</w:t>
      </w:r>
      <w:r w:rsidRPr="00BB7074">
        <w:rPr>
          <w:rFonts w:ascii="Verdana" w:hAnsi="Verdana"/>
          <w:sz w:val="18"/>
          <w:szCs w:val="18"/>
          <w:lang w:val="nl-NL"/>
        </w:rPr>
        <w:t xml:space="preserve"> in </w:t>
      </w:r>
      <w:r w:rsidRPr="00BB7074" w:rsidR="000F210E">
        <w:rPr>
          <w:rFonts w:ascii="Verdana" w:hAnsi="Verdana"/>
          <w:sz w:val="18"/>
          <w:szCs w:val="18"/>
          <w:lang w:val="nl-NL"/>
        </w:rPr>
        <w:t>onderhandelingen</w:t>
      </w:r>
      <w:r w:rsidRPr="00BB7074">
        <w:rPr>
          <w:rFonts w:ascii="Verdana" w:hAnsi="Verdana"/>
          <w:sz w:val="18"/>
          <w:szCs w:val="18"/>
          <w:lang w:val="nl-NL"/>
        </w:rPr>
        <w:t xml:space="preserve"> altijd </w:t>
      </w:r>
      <w:r w:rsidRPr="00BB7074" w:rsidR="000F210E">
        <w:rPr>
          <w:rFonts w:ascii="Verdana" w:hAnsi="Verdana"/>
          <w:sz w:val="18"/>
          <w:szCs w:val="18"/>
          <w:lang w:val="nl-NL"/>
        </w:rPr>
        <w:t>voor</w:t>
      </w:r>
      <w:r w:rsidRPr="00BB7074">
        <w:rPr>
          <w:rFonts w:ascii="Verdana" w:hAnsi="Verdana"/>
          <w:sz w:val="18"/>
          <w:szCs w:val="18"/>
          <w:lang w:val="nl-NL"/>
        </w:rPr>
        <w:t xml:space="preserve"> </w:t>
      </w:r>
      <w:r w:rsidRPr="00BB7074" w:rsidR="000F210E">
        <w:rPr>
          <w:rFonts w:ascii="Verdana" w:hAnsi="Verdana"/>
          <w:sz w:val="18"/>
          <w:szCs w:val="18"/>
          <w:lang w:val="nl-NL"/>
        </w:rPr>
        <w:t>inzet</w:t>
      </w:r>
      <w:r w:rsidRPr="00BB7074" w:rsidR="00AF2156">
        <w:rPr>
          <w:rFonts w:ascii="Verdana" w:hAnsi="Verdana"/>
          <w:sz w:val="18"/>
          <w:szCs w:val="18"/>
          <w:lang w:val="nl-NL"/>
        </w:rPr>
        <w:t>:</w:t>
      </w:r>
    </w:p>
    <w:p w:rsidRPr="00BB7074" w:rsidR="00B32291" w:rsidP="00A243A9" w:rsidRDefault="00284838" w14:paraId="7720DE07" w14:textId="10055ED8">
      <w:pPr>
        <w:pStyle w:val="ListParagraph"/>
        <w:numPr>
          <w:ilvl w:val="0"/>
          <w:numId w:val="23"/>
        </w:numPr>
        <w:spacing w:after="0" w:line="360" w:lineRule="auto"/>
        <w:ind w:left="1417" w:hanging="357"/>
        <w:rPr>
          <w:rFonts w:ascii="Verdana" w:hAnsi="Verdana"/>
          <w:sz w:val="18"/>
          <w:szCs w:val="18"/>
        </w:rPr>
      </w:pPr>
      <w:r w:rsidRPr="00BB7074">
        <w:rPr>
          <w:rFonts w:ascii="Verdana" w:hAnsi="Verdana"/>
          <w:sz w:val="18"/>
          <w:szCs w:val="18"/>
        </w:rPr>
        <w:t>De a</w:t>
      </w:r>
      <w:r w:rsidRPr="00BB7074" w:rsidR="00A243A9">
        <w:rPr>
          <w:rFonts w:ascii="Verdana" w:hAnsi="Verdana"/>
          <w:sz w:val="18"/>
          <w:szCs w:val="18"/>
        </w:rPr>
        <w:t>rtikel</w:t>
      </w:r>
      <w:r w:rsidRPr="00BB7074">
        <w:rPr>
          <w:rFonts w:ascii="Verdana" w:hAnsi="Verdana"/>
          <w:sz w:val="18"/>
          <w:szCs w:val="18"/>
        </w:rPr>
        <w:t>en</w:t>
      </w:r>
      <w:r w:rsidRPr="00BB7074" w:rsidR="00A243A9">
        <w:rPr>
          <w:rFonts w:ascii="Verdana" w:hAnsi="Verdana"/>
          <w:sz w:val="18"/>
          <w:szCs w:val="18"/>
        </w:rPr>
        <w:t xml:space="preserve"> </w:t>
      </w:r>
      <w:r w:rsidRPr="00BB7074" w:rsidR="00342E6A">
        <w:rPr>
          <w:rFonts w:ascii="Verdana" w:hAnsi="Verdana"/>
          <w:sz w:val="18"/>
          <w:szCs w:val="18"/>
        </w:rPr>
        <w:t xml:space="preserve">10 en </w:t>
      </w:r>
      <w:r w:rsidRPr="00BB7074" w:rsidR="00875BA2">
        <w:rPr>
          <w:rFonts w:ascii="Verdana" w:hAnsi="Verdana"/>
          <w:sz w:val="18"/>
          <w:szCs w:val="18"/>
        </w:rPr>
        <w:t xml:space="preserve">13 van het Verdrag </w:t>
      </w:r>
      <w:r w:rsidRPr="00BB7074" w:rsidR="00A243A9">
        <w:rPr>
          <w:rFonts w:ascii="Verdana" w:hAnsi="Verdana"/>
          <w:sz w:val="18"/>
          <w:szCs w:val="18"/>
        </w:rPr>
        <w:t>bevat</w:t>
      </w:r>
      <w:r w:rsidRPr="00BB7074" w:rsidR="00342E6A">
        <w:rPr>
          <w:rFonts w:ascii="Verdana" w:hAnsi="Verdana"/>
          <w:sz w:val="18"/>
          <w:szCs w:val="18"/>
        </w:rPr>
        <w:t>ten</w:t>
      </w:r>
      <w:r w:rsidRPr="00BB7074" w:rsidR="00875BA2">
        <w:rPr>
          <w:rFonts w:ascii="Verdana" w:hAnsi="Verdana"/>
          <w:sz w:val="18"/>
          <w:szCs w:val="18"/>
        </w:rPr>
        <w:t xml:space="preserve"> een regeling voor de belastingheffing bij emigratie van een aanmerkelijkbelanghouder naar de andere </w:t>
      </w:r>
      <w:r w:rsidRPr="00BB7074">
        <w:rPr>
          <w:rFonts w:ascii="Verdana" w:hAnsi="Verdana"/>
          <w:sz w:val="18"/>
          <w:szCs w:val="18"/>
        </w:rPr>
        <w:t xml:space="preserve">verdragsluitende </w:t>
      </w:r>
      <w:r w:rsidRPr="00BB7074" w:rsidR="008B5BF7">
        <w:rPr>
          <w:rFonts w:ascii="Verdana" w:hAnsi="Verdana"/>
          <w:sz w:val="18"/>
          <w:szCs w:val="18"/>
        </w:rPr>
        <w:t>staat</w:t>
      </w:r>
      <w:r w:rsidRPr="00BB7074" w:rsidR="00875BA2">
        <w:rPr>
          <w:rFonts w:ascii="Verdana" w:hAnsi="Verdana"/>
          <w:sz w:val="18"/>
          <w:szCs w:val="18"/>
        </w:rPr>
        <w:t>.</w:t>
      </w:r>
    </w:p>
    <w:p w:rsidRPr="00BB7074" w:rsidR="00875BA2" w:rsidP="00875BA2" w:rsidRDefault="00A243A9" w14:paraId="6AC0D41B" w14:textId="589DD653">
      <w:pPr>
        <w:numPr>
          <w:ilvl w:val="0"/>
          <w:numId w:val="17"/>
        </w:numPr>
        <w:rPr>
          <w:rFonts w:ascii="Verdana" w:hAnsi="Verdana"/>
          <w:sz w:val="18"/>
          <w:szCs w:val="18"/>
          <w:lang w:val="nl-NL"/>
        </w:rPr>
      </w:pPr>
      <w:r w:rsidRPr="00BB7074">
        <w:rPr>
          <w:rFonts w:ascii="Verdana" w:hAnsi="Verdana"/>
          <w:sz w:val="18"/>
          <w:szCs w:val="18"/>
          <w:lang w:val="nl-NL"/>
        </w:rPr>
        <w:t xml:space="preserve">Artikel 17 bevat </w:t>
      </w:r>
      <w:r w:rsidRPr="00BB7074" w:rsidR="00B32291">
        <w:rPr>
          <w:rFonts w:ascii="Verdana" w:hAnsi="Verdana"/>
          <w:sz w:val="18"/>
          <w:szCs w:val="18"/>
          <w:lang w:val="nl-NL"/>
        </w:rPr>
        <w:t>een bron</w:t>
      </w:r>
      <w:r w:rsidRPr="00BB7074" w:rsidR="008B5BF7">
        <w:rPr>
          <w:rFonts w:ascii="Verdana" w:hAnsi="Verdana"/>
          <w:sz w:val="18"/>
          <w:szCs w:val="18"/>
          <w:lang w:val="nl-NL"/>
        </w:rPr>
        <w:t>staat</w:t>
      </w:r>
      <w:r w:rsidRPr="00BB7074" w:rsidR="00B32291">
        <w:rPr>
          <w:rFonts w:ascii="Verdana" w:hAnsi="Verdana"/>
          <w:sz w:val="18"/>
          <w:szCs w:val="18"/>
          <w:lang w:val="nl-NL"/>
        </w:rPr>
        <w:t>heffing voor pensioenen, lijfrenten en socialezekerheidsuitkeringen.</w:t>
      </w:r>
    </w:p>
    <w:p w:rsidRPr="00BB7074" w:rsidR="00875BA2" w:rsidP="00A243A9" w:rsidRDefault="00875BA2" w14:paraId="0295F6B0" w14:textId="77777777">
      <w:pPr>
        <w:rPr>
          <w:rFonts w:ascii="Verdana" w:hAnsi="Verdana"/>
          <w:sz w:val="18"/>
          <w:szCs w:val="18"/>
          <w:lang w:val="nl-NL"/>
        </w:rPr>
      </w:pPr>
      <w:r w:rsidRPr="00BB7074">
        <w:rPr>
          <w:rFonts w:ascii="Verdana" w:hAnsi="Verdana"/>
          <w:sz w:val="18"/>
          <w:szCs w:val="18"/>
          <w:lang w:val="nl-NL"/>
        </w:rPr>
        <w:t>Verder bevat het Verdrag de volgende noemenswaardige afspraken:</w:t>
      </w:r>
    </w:p>
    <w:p w:rsidRPr="00BB7074" w:rsidR="00875BA2" w:rsidP="00875BA2" w:rsidRDefault="00875BA2" w14:paraId="4E258079" w14:textId="031E3E22">
      <w:pPr>
        <w:numPr>
          <w:ilvl w:val="0"/>
          <w:numId w:val="17"/>
        </w:numPr>
        <w:rPr>
          <w:rFonts w:ascii="Verdana" w:hAnsi="Verdana"/>
          <w:sz w:val="18"/>
          <w:szCs w:val="18"/>
          <w:lang w:val="nl-NL"/>
        </w:rPr>
      </w:pPr>
      <w:r w:rsidRPr="00BB7074">
        <w:rPr>
          <w:rFonts w:ascii="Verdana" w:hAnsi="Verdana"/>
          <w:sz w:val="18"/>
          <w:szCs w:val="18"/>
          <w:lang w:val="nl-NL"/>
        </w:rPr>
        <w:t>A</w:t>
      </w:r>
      <w:r w:rsidRPr="00BB7074" w:rsidR="00284838">
        <w:rPr>
          <w:rFonts w:ascii="Verdana" w:hAnsi="Verdana"/>
          <w:sz w:val="18"/>
          <w:szCs w:val="18"/>
          <w:lang w:val="nl-NL"/>
        </w:rPr>
        <w:t>fzonderlijke</w:t>
      </w:r>
      <w:r w:rsidRPr="00BB7074">
        <w:rPr>
          <w:rFonts w:ascii="Verdana" w:hAnsi="Verdana"/>
          <w:sz w:val="18"/>
          <w:szCs w:val="18"/>
          <w:lang w:val="nl-NL"/>
        </w:rPr>
        <w:t xml:space="preserve"> toewijzingsbepalingen voor werkzaamheden buitengaats en voor diensten die een ondernemer in de andere </w:t>
      </w:r>
      <w:r w:rsidRPr="00BB7074" w:rsidR="0031052B">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verricht </w:t>
      </w:r>
      <w:r w:rsidR="00325282">
        <w:rPr>
          <w:rFonts w:ascii="Verdana" w:hAnsi="Verdana"/>
          <w:sz w:val="18"/>
          <w:szCs w:val="18"/>
          <w:lang w:val="nl-NL"/>
        </w:rPr>
        <w:t>(</w:t>
      </w:r>
      <w:r w:rsidRPr="00BB7074">
        <w:rPr>
          <w:rFonts w:ascii="Verdana" w:hAnsi="Verdana"/>
          <w:sz w:val="18"/>
          <w:szCs w:val="18"/>
          <w:lang w:val="nl-NL"/>
        </w:rPr>
        <w:t>artikel 5 van het Verdrag</w:t>
      </w:r>
      <w:r w:rsidR="00325282">
        <w:rPr>
          <w:rFonts w:ascii="Verdana" w:hAnsi="Verdana"/>
          <w:sz w:val="18"/>
          <w:szCs w:val="18"/>
          <w:lang w:val="nl-NL"/>
        </w:rPr>
        <w:t>)</w:t>
      </w:r>
      <w:r w:rsidRPr="00BB7074">
        <w:rPr>
          <w:rFonts w:ascii="Verdana" w:hAnsi="Verdana"/>
          <w:sz w:val="18"/>
          <w:szCs w:val="18"/>
          <w:lang w:val="nl-NL"/>
        </w:rPr>
        <w:t>.</w:t>
      </w:r>
    </w:p>
    <w:p w:rsidRPr="00BB7074" w:rsidR="00875BA2" w:rsidP="00875BA2" w:rsidRDefault="00875BA2" w14:paraId="0FBE8731" w14:textId="4D9E5BC9">
      <w:pPr>
        <w:numPr>
          <w:ilvl w:val="0"/>
          <w:numId w:val="17"/>
        </w:numPr>
        <w:rPr>
          <w:rFonts w:ascii="Verdana" w:hAnsi="Verdana"/>
          <w:sz w:val="18"/>
          <w:szCs w:val="18"/>
          <w:lang w:val="nl-NL"/>
        </w:rPr>
      </w:pPr>
      <w:r w:rsidRPr="00BB7074">
        <w:rPr>
          <w:rFonts w:ascii="Verdana" w:hAnsi="Verdana"/>
          <w:sz w:val="18"/>
          <w:szCs w:val="18"/>
          <w:lang w:val="nl-NL"/>
        </w:rPr>
        <w:t xml:space="preserve">Op basis van artikel 7, vijfde lid, van het Verdrag in </w:t>
      </w:r>
      <w:r w:rsidRPr="00BB7074" w:rsidR="0031052B">
        <w:rPr>
          <w:rFonts w:ascii="Verdana" w:hAnsi="Verdana"/>
          <w:sz w:val="18"/>
          <w:szCs w:val="18"/>
          <w:lang w:val="nl-NL"/>
        </w:rPr>
        <w:t xml:space="preserve">samenhang </w:t>
      </w:r>
      <w:r w:rsidRPr="00BB7074">
        <w:rPr>
          <w:rFonts w:ascii="Verdana" w:hAnsi="Verdana"/>
          <w:sz w:val="18"/>
          <w:szCs w:val="18"/>
          <w:lang w:val="nl-NL"/>
        </w:rPr>
        <w:t>met artikel VI van het Protocol mag Colombia een bronbelasting van 1% heffen over herverzekeringspremies.</w:t>
      </w:r>
    </w:p>
    <w:p w:rsidRPr="00BB7074" w:rsidR="00875BA2" w:rsidP="00875BA2" w:rsidRDefault="00875BA2" w14:paraId="1B551621" w14:textId="02911CBB">
      <w:pPr>
        <w:numPr>
          <w:ilvl w:val="0"/>
          <w:numId w:val="17"/>
        </w:numPr>
        <w:rPr>
          <w:rFonts w:ascii="Verdana" w:hAnsi="Verdana"/>
          <w:sz w:val="18"/>
          <w:szCs w:val="18"/>
          <w:lang w:val="nl-NL"/>
        </w:rPr>
      </w:pPr>
      <w:r w:rsidRPr="00BB7074">
        <w:rPr>
          <w:rFonts w:ascii="Verdana" w:hAnsi="Verdana"/>
          <w:sz w:val="18"/>
          <w:szCs w:val="18"/>
          <w:lang w:val="nl-NL"/>
        </w:rPr>
        <w:t>Een a</w:t>
      </w:r>
      <w:r w:rsidRPr="00BB7074" w:rsidR="0031052B">
        <w:rPr>
          <w:rFonts w:ascii="Verdana" w:hAnsi="Verdana"/>
          <w:sz w:val="18"/>
          <w:szCs w:val="18"/>
          <w:lang w:val="nl-NL"/>
        </w:rPr>
        <w:t>fzonderlijk</w:t>
      </w:r>
      <w:r w:rsidRPr="00BB7074">
        <w:rPr>
          <w:rFonts w:ascii="Verdana" w:hAnsi="Verdana"/>
          <w:sz w:val="18"/>
          <w:szCs w:val="18"/>
          <w:lang w:val="nl-NL"/>
        </w:rPr>
        <w:t>e toewijzingsbepaling voor inkomen van sporters en artiesten (artikel 16 van het Verdrag).</w:t>
      </w:r>
    </w:p>
    <w:p w:rsidRPr="00BB7074" w:rsidR="00875BA2" w:rsidP="00875BA2" w:rsidRDefault="0031052B" w14:paraId="4281A1D7" w14:textId="6AA0E10E">
      <w:pPr>
        <w:numPr>
          <w:ilvl w:val="0"/>
          <w:numId w:val="17"/>
        </w:numPr>
        <w:rPr>
          <w:rFonts w:ascii="Verdana" w:hAnsi="Verdana"/>
          <w:sz w:val="18"/>
          <w:szCs w:val="18"/>
          <w:lang w:val="nl-NL"/>
        </w:rPr>
      </w:pPr>
      <w:r w:rsidRPr="00BB7074">
        <w:rPr>
          <w:rFonts w:ascii="Verdana" w:hAnsi="Verdana"/>
          <w:sz w:val="18"/>
          <w:szCs w:val="18"/>
          <w:lang w:val="nl-NL"/>
        </w:rPr>
        <w:t>Een h</w:t>
      </w:r>
      <w:r w:rsidRPr="00BB7074" w:rsidR="00875BA2">
        <w:rPr>
          <w:rFonts w:ascii="Verdana" w:hAnsi="Verdana"/>
          <w:sz w:val="18"/>
          <w:szCs w:val="18"/>
          <w:lang w:val="nl-NL"/>
        </w:rPr>
        <w:t>effingsrecht voor de bron</w:t>
      </w:r>
      <w:r w:rsidRPr="00BB7074" w:rsidR="008B5BF7">
        <w:rPr>
          <w:rFonts w:ascii="Verdana" w:hAnsi="Verdana"/>
          <w:sz w:val="18"/>
          <w:szCs w:val="18"/>
          <w:lang w:val="nl-NL"/>
        </w:rPr>
        <w:t>staat</w:t>
      </w:r>
      <w:r w:rsidRPr="00BB7074" w:rsidR="00875BA2">
        <w:rPr>
          <w:rFonts w:ascii="Verdana" w:hAnsi="Verdana"/>
          <w:sz w:val="18"/>
          <w:szCs w:val="18"/>
          <w:lang w:val="nl-NL"/>
        </w:rPr>
        <w:t xml:space="preserve"> voor overige inkomsten die opkomen in de bron</w:t>
      </w:r>
      <w:r w:rsidRPr="00BB7074" w:rsidR="008B5BF7">
        <w:rPr>
          <w:rFonts w:ascii="Verdana" w:hAnsi="Verdana"/>
          <w:sz w:val="18"/>
          <w:szCs w:val="18"/>
          <w:lang w:val="nl-NL"/>
        </w:rPr>
        <w:t>staat</w:t>
      </w:r>
      <w:r w:rsidRPr="00BB7074" w:rsidR="00875BA2">
        <w:rPr>
          <w:rFonts w:ascii="Verdana" w:hAnsi="Verdana"/>
          <w:sz w:val="18"/>
          <w:szCs w:val="18"/>
          <w:lang w:val="nl-NL"/>
        </w:rPr>
        <w:t xml:space="preserve"> (artikel 20 van het Verdrag).</w:t>
      </w:r>
    </w:p>
    <w:p w:rsidRPr="00BB7074" w:rsidR="00875BA2" w:rsidP="00875BA2" w:rsidRDefault="00875BA2" w14:paraId="022A8296" w14:textId="069C6950">
      <w:pPr>
        <w:numPr>
          <w:ilvl w:val="0"/>
          <w:numId w:val="17"/>
        </w:numPr>
        <w:rPr>
          <w:rFonts w:ascii="Verdana" w:hAnsi="Verdana"/>
          <w:sz w:val="18"/>
          <w:szCs w:val="18"/>
          <w:lang w:val="nl-NL"/>
        </w:rPr>
      </w:pPr>
      <w:r w:rsidRPr="00BB7074">
        <w:rPr>
          <w:rFonts w:ascii="Verdana" w:hAnsi="Verdana"/>
          <w:sz w:val="18"/>
          <w:szCs w:val="18"/>
          <w:lang w:val="nl-NL"/>
        </w:rPr>
        <w:t>Een regeling voor inlichtingenuitwisseling en wederzijdse bijstand bij in</w:t>
      </w:r>
      <w:r w:rsidRPr="00BB7074" w:rsidR="00B32291">
        <w:rPr>
          <w:rFonts w:ascii="Verdana" w:hAnsi="Verdana"/>
          <w:sz w:val="18"/>
          <w:szCs w:val="18"/>
          <w:lang w:val="nl-NL"/>
        </w:rPr>
        <w:t>vordering van belastingschulden</w:t>
      </w:r>
      <w:r w:rsidR="00325282">
        <w:rPr>
          <w:rFonts w:ascii="Verdana" w:hAnsi="Verdana"/>
          <w:sz w:val="18"/>
          <w:szCs w:val="18"/>
          <w:lang w:val="nl-NL"/>
        </w:rPr>
        <w:t xml:space="preserve"> (artikelen 24 en 26 van het Verdrag)</w:t>
      </w:r>
      <w:r w:rsidRPr="00BB7074" w:rsidR="00B32291">
        <w:rPr>
          <w:rFonts w:ascii="Verdana" w:hAnsi="Verdana"/>
          <w:sz w:val="18"/>
          <w:szCs w:val="18"/>
          <w:lang w:val="nl-NL"/>
        </w:rPr>
        <w:t>.</w:t>
      </w:r>
    </w:p>
    <w:p w:rsidRPr="00BB7074" w:rsidR="002F0BBD" w:rsidP="0091375C" w:rsidRDefault="00875BA2" w14:paraId="31EDC135" w14:textId="6262EBC5">
      <w:pPr>
        <w:rPr>
          <w:rFonts w:ascii="Verdana" w:hAnsi="Verdana"/>
          <w:sz w:val="18"/>
          <w:szCs w:val="18"/>
          <w:lang w:val="nl-NL"/>
        </w:rPr>
      </w:pPr>
      <w:r w:rsidRPr="00BB7074">
        <w:rPr>
          <w:rFonts w:ascii="Verdana" w:hAnsi="Verdana"/>
          <w:sz w:val="18"/>
          <w:szCs w:val="18"/>
          <w:lang w:val="nl-NL"/>
        </w:rPr>
        <w:t>De in het Verdrag neergelegde regelingen weerspiegelen een resultaat dat in het licht van de over en weer naar voren gebrachte wensen en met het oog op de gerechtvaardigde (</w:t>
      </w:r>
      <w:proofErr w:type="spellStart"/>
      <w:r w:rsidRPr="00BB7074">
        <w:rPr>
          <w:rFonts w:ascii="Verdana" w:hAnsi="Verdana"/>
          <w:sz w:val="18"/>
          <w:szCs w:val="18"/>
          <w:lang w:val="nl-NL"/>
        </w:rPr>
        <w:t>heffings</w:t>
      </w:r>
      <w:proofErr w:type="spellEnd"/>
      <w:r w:rsidRPr="00BB7074">
        <w:rPr>
          <w:rFonts w:ascii="Verdana" w:hAnsi="Verdana"/>
          <w:sz w:val="18"/>
          <w:szCs w:val="18"/>
          <w:lang w:val="nl-NL"/>
        </w:rPr>
        <w:t>)belangen van Colombia en Nederland als evenwichtig kan worden beschouwd.</w:t>
      </w:r>
    </w:p>
    <w:p w:rsidRPr="00BB7074" w:rsidR="00B97F18" w:rsidP="00A12C45" w:rsidRDefault="00B97F18" w14:paraId="53FB73BD" w14:textId="707D91AF">
      <w:pPr>
        <w:pStyle w:val="Heading2"/>
        <w:rPr>
          <w:rFonts w:ascii="Verdana" w:hAnsi="Verdana"/>
          <w:sz w:val="18"/>
          <w:szCs w:val="18"/>
          <w:lang w:val="nl-NL"/>
        </w:rPr>
      </w:pPr>
      <w:r w:rsidRPr="00BB7074">
        <w:rPr>
          <w:rFonts w:ascii="Verdana" w:hAnsi="Verdana"/>
          <w:sz w:val="18"/>
          <w:szCs w:val="18"/>
          <w:lang w:val="nl-NL"/>
        </w:rPr>
        <w:t>I.</w:t>
      </w:r>
      <w:r>
        <w:rPr>
          <w:rFonts w:ascii="Verdana" w:hAnsi="Verdana"/>
          <w:sz w:val="18"/>
          <w:szCs w:val="18"/>
          <w:lang w:val="nl-NL"/>
        </w:rPr>
        <w:t>6.</w:t>
      </w:r>
      <w:r w:rsidRPr="00BB7074">
        <w:rPr>
          <w:rFonts w:ascii="Verdana" w:hAnsi="Verdana"/>
          <w:sz w:val="18"/>
          <w:szCs w:val="18"/>
          <w:lang w:val="nl-NL"/>
        </w:rPr>
        <w:t xml:space="preserve"> </w:t>
      </w:r>
      <w:r>
        <w:rPr>
          <w:rFonts w:ascii="Verdana" w:hAnsi="Verdana"/>
          <w:sz w:val="18"/>
          <w:szCs w:val="18"/>
          <w:lang w:val="nl-NL"/>
        </w:rPr>
        <w:t>Eenieder verbindende bepalingen</w:t>
      </w:r>
    </w:p>
    <w:p w:rsidR="00B97F18" w:rsidP="00A12C45" w:rsidRDefault="00B97F18" w14:paraId="7D4D6800" w14:textId="4815FC81">
      <w:pPr>
        <w:pStyle w:val="Heading2"/>
        <w:spacing w:before="0" w:after="0"/>
        <w:ind w:firstLine="708"/>
        <w:rPr>
          <w:rFonts w:ascii="Verdana" w:hAnsi="Verdana"/>
          <w:i w:val="0"/>
          <w:sz w:val="18"/>
          <w:szCs w:val="18"/>
          <w:lang w:val="nl-NL"/>
        </w:rPr>
      </w:pPr>
      <w:r w:rsidRPr="00B97F18">
        <w:rPr>
          <w:rFonts w:ascii="Verdana" w:hAnsi="Verdana"/>
          <w:i w:val="0"/>
          <w:sz w:val="18"/>
          <w:szCs w:val="18"/>
          <w:lang w:val="nl-NL"/>
        </w:rPr>
        <w:t>Naar het oordeel van de regering bevatten alle artikelen van het Verdrag en het Protocol, afgezien van de artikelen 26, 28, 29 en 30 van het Verdrag, eenieder verbindende bepalingen in de zin van de artikelen 93 en 94 Grondwet, die aan de burger rechtstreeks rechten toekennen of plichten opleggen.</w:t>
      </w:r>
    </w:p>
    <w:p w:rsidRPr="00BB7074" w:rsidR="00861834" w:rsidP="00A12C45" w:rsidRDefault="003E03A0" w14:paraId="749CC88E" w14:textId="423EC662">
      <w:pPr>
        <w:pStyle w:val="Heading2"/>
        <w:rPr>
          <w:rFonts w:ascii="Verdana" w:hAnsi="Verdana"/>
          <w:sz w:val="18"/>
          <w:szCs w:val="18"/>
          <w:lang w:val="nl-NL"/>
        </w:rPr>
      </w:pPr>
      <w:r w:rsidRPr="00BB7074">
        <w:rPr>
          <w:rFonts w:ascii="Verdana" w:hAnsi="Verdana"/>
          <w:sz w:val="18"/>
          <w:szCs w:val="18"/>
          <w:lang w:val="nl-NL"/>
        </w:rPr>
        <w:t>I.</w:t>
      </w:r>
      <w:r w:rsidRPr="00BB7074" w:rsidR="006E02E4">
        <w:rPr>
          <w:rFonts w:ascii="Verdana" w:hAnsi="Verdana"/>
          <w:sz w:val="18"/>
          <w:szCs w:val="18"/>
          <w:lang w:val="nl-NL"/>
        </w:rPr>
        <w:t>7</w:t>
      </w:r>
      <w:r w:rsidR="00142864">
        <w:rPr>
          <w:rFonts w:ascii="Verdana" w:hAnsi="Verdana"/>
          <w:sz w:val="18"/>
          <w:szCs w:val="18"/>
          <w:lang w:val="nl-NL"/>
        </w:rPr>
        <w:t>.</w:t>
      </w:r>
      <w:r w:rsidRPr="00BB7074">
        <w:rPr>
          <w:rFonts w:ascii="Verdana" w:hAnsi="Verdana"/>
          <w:sz w:val="18"/>
          <w:szCs w:val="18"/>
          <w:lang w:val="nl-NL"/>
        </w:rPr>
        <w:t xml:space="preserve"> </w:t>
      </w:r>
      <w:r w:rsidRPr="00BB7074" w:rsidR="00861834">
        <w:rPr>
          <w:rFonts w:ascii="Verdana" w:hAnsi="Verdana"/>
          <w:sz w:val="18"/>
          <w:szCs w:val="18"/>
          <w:lang w:val="nl-NL"/>
        </w:rPr>
        <w:t>Koninkrijkspositie</w:t>
      </w:r>
    </w:p>
    <w:p w:rsidRPr="00BB7074" w:rsidR="00875BA2" w:rsidP="00875BA2" w:rsidRDefault="00875BA2" w14:paraId="12B09F77" w14:textId="685713E6">
      <w:pPr>
        <w:rPr>
          <w:rFonts w:ascii="Verdana" w:hAnsi="Verdana"/>
          <w:sz w:val="18"/>
          <w:szCs w:val="18"/>
          <w:lang w:val="nl-NL"/>
        </w:rPr>
      </w:pPr>
      <w:r w:rsidRPr="00BB7074">
        <w:rPr>
          <w:rFonts w:ascii="Verdana" w:hAnsi="Verdana"/>
          <w:sz w:val="18"/>
          <w:szCs w:val="18"/>
          <w:lang w:val="nl-NL"/>
        </w:rPr>
        <w:t xml:space="preserve">Het Verdrag zal, wat het Koninkrijk der Nederlanden betreft, gelden voor het Europese deel van Nederland. Colombia was niet bereid het Verdrag mede van toepassing te laten zijn op het Caribische deel (Bonaire, Sint Eustatius en Saba) van het land Nederland. Dit houdt verband met het feit dat het fiscale stelsel voor lichamen gevestigd in dat deel van Nederland geen traditionele winstbelasting kent en Colombia ten tijde van de onderhandelingen geen praktische ervaring had met het fiscale stelsel van Bonaire, Sint Eustatius en Saba. De andere landen van het Koninkrijk </w:t>
      </w:r>
      <w:r w:rsidRPr="00BB7074">
        <w:rPr>
          <w:rFonts w:ascii="Verdana" w:hAnsi="Verdana"/>
          <w:sz w:val="18"/>
          <w:szCs w:val="18"/>
          <w:lang w:val="nl-NL"/>
        </w:rPr>
        <w:lastRenderedPageBreak/>
        <w:t xml:space="preserve">(Aruba, Curaçao en Sint Maarten) zijn fiscaal autonoom en kunnen zelfstandig besluiten al dan niet in onderhandeling te treden met Colombia teneinde te komen tot een belastingverdrag. </w:t>
      </w:r>
    </w:p>
    <w:p w:rsidRPr="00BB7074" w:rsidR="00875BA2" w:rsidP="00875BA2" w:rsidRDefault="00875BA2" w14:paraId="1CE26569" w14:textId="77777777">
      <w:pPr>
        <w:rPr>
          <w:rFonts w:ascii="Verdana" w:hAnsi="Verdana"/>
          <w:sz w:val="18"/>
          <w:szCs w:val="18"/>
          <w:lang w:val="nl-NL"/>
        </w:rPr>
      </w:pPr>
      <w:r w:rsidRPr="00BB7074">
        <w:rPr>
          <w:rFonts w:ascii="Verdana" w:hAnsi="Verdana"/>
          <w:sz w:val="18"/>
          <w:szCs w:val="18"/>
          <w:lang w:val="nl-NL"/>
        </w:rPr>
        <w:t>Het Verdrag bevat wel een bepaling op basis waarvan het Verdrag als uitgangspunt kan dienen voor een afzonderlijk verdrag dat door beide staten kan worden aangegaan ten behoeve van delen van het Koninkrijk der Nederlanden die niet in Europa zijn gelegen (artikel 28 van het Verdrag).</w:t>
      </w:r>
    </w:p>
    <w:p w:rsidRPr="00BB7074" w:rsidR="00861834" w:rsidP="002F0BBD" w:rsidRDefault="003E03A0" w14:paraId="08DA1885" w14:textId="07712EAB">
      <w:pPr>
        <w:pStyle w:val="Heading2"/>
        <w:rPr>
          <w:rFonts w:ascii="Verdana" w:hAnsi="Verdana"/>
          <w:sz w:val="18"/>
          <w:szCs w:val="18"/>
          <w:lang w:val="nl-NL"/>
        </w:rPr>
      </w:pPr>
      <w:r w:rsidRPr="00BB7074">
        <w:rPr>
          <w:rFonts w:ascii="Verdana" w:hAnsi="Verdana"/>
          <w:sz w:val="18"/>
          <w:szCs w:val="18"/>
          <w:lang w:val="nl-NL"/>
        </w:rPr>
        <w:t>I.</w:t>
      </w:r>
      <w:r w:rsidRPr="00BB7074" w:rsidR="006E02E4">
        <w:rPr>
          <w:rFonts w:ascii="Verdana" w:hAnsi="Verdana"/>
          <w:sz w:val="18"/>
          <w:szCs w:val="18"/>
          <w:lang w:val="nl-NL"/>
        </w:rPr>
        <w:t>8</w:t>
      </w:r>
      <w:r w:rsidR="00142864">
        <w:rPr>
          <w:rFonts w:ascii="Verdana" w:hAnsi="Verdana"/>
          <w:sz w:val="18"/>
          <w:szCs w:val="18"/>
          <w:lang w:val="nl-NL"/>
        </w:rPr>
        <w:t>.</w:t>
      </w:r>
      <w:r w:rsidRPr="00BB7074">
        <w:rPr>
          <w:rFonts w:ascii="Verdana" w:hAnsi="Verdana"/>
          <w:sz w:val="18"/>
          <w:szCs w:val="18"/>
          <w:lang w:val="nl-NL"/>
        </w:rPr>
        <w:t xml:space="preserve"> </w:t>
      </w:r>
      <w:r w:rsidRPr="00BB7074" w:rsidR="00861834">
        <w:rPr>
          <w:rFonts w:ascii="Verdana" w:hAnsi="Verdana"/>
          <w:sz w:val="18"/>
          <w:szCs w:val="18"/>
          <w:lang w:val="nl-NL"/>
        </w:rPr>
        <w:t>Budgettaire aspecten</w:t>
      </w:r>
    </w:p>
    <w:p w:rsidRPr="00BB7074" w:rsidR="00C70480" w:rsidP="00875BA2" w:rsidRDefault="00C43523" w14:paraId="4A20D256" w14:textId="0E84BB9B">
      <w:pPr>
        <w:rPr>
          <w:rFonts w:ascii="Verdana" w:hAnsi="Verdana"/>
          <w:sz w:val="18"/>
          <w:szCs w:val="18"/>
          <w:lang w:val="nl-NL"/>
        </w:rPr>
      </w:pPr>
      <w:r>
        <w:rPr>
          <w:rFonts w:ascii="Verdana" w:hAnsi="Verdana"/>
          <w:sz w:val="18"/>
          <w:szCs w:val="18"/>
          <w:lang w:val="nl-NL"/>
        </w:rPr>
        <w:t>Het</w:t>
      </w:r>
      <w:r w:rsidRPr="00BB7074" w:rsidR="00875BA2">
        <w:rPr>
          <w:rFonts w:ascii="Verdana" w:hAnsi="Verdana"/>
          <w:sz w:val="18"/>
          <w:szCs w:val="18"/>
          <w:lang w:val="nl-NL"/>
        </w:rPr>
        <w:t xml:space="preserve"> Verdrag </w:t>
      </w:r>
      <w:r>
        <w:rPr>
          <w:rFonts w:ascii="Verdana" w:hAnsi="Verdana"/>
          <w:sz w:val="18"/>
          <w:szCs w:val="18"/>
          <w:lang w:val="nl-NL"/>
        </w:rPr>
        <w:t>leidt</w:t>
      </w:r>
      <w:r w:rsidRPr="00BB7074">
        <w:rPr>
          <w:rFonts w:ascii="Verdana" w:hAnsi="Verdana"/>
          <w:sz w:val="18"/>
          <w:szCs w:val="18"/>
          <w:lang w:val="nl-NL"/>
        </w:rPr>
        <w:t xml:space="preserve"> </w:t>
      </w:r>
      <w:r w:rsidRPr="00BB7074" w:rsidR="00875BA2">
        <w:rPr>
          <w:rFonts w:ascii="Verdana" w:hAnsi="Verdana"/>
          <w:sz w:val="18"/>
          <w:szCs w:val="18"/>
          <w:lang w:val="nl-NL"/>
        </w:rPr>
        <w:t xml:space="preserve">naar verwachting </w:t>
      </w:r>
      <w:r>
        <w:rPr>
          <w:rFonts w:ascii="Verdana" w:hAnsi="Verdana"/>
          <w:sz w:val="18"/>
          <w:szCs w:val="18"/>
          <w:lang w:val="nl-NL"/>
        </w:rPr>
        <w:t xml:space="preserve">tot een beperkte derving in de belastingopbrengsten van </w:t>
      </w:r>
      <w:r w:rsidR="000D29AA">
        <w:rPr>
          <w:rFonts w:ascii="Verdana" w:hAnsi="Verdana"/>
          <w:sz w:val="18"/>
          <w:szCs w:val="18"/>
          <w:lang w:val="nl-NL"/>
        </w:rPr>
        <w:t>ongeveer twee miljoen euro per jaar</w:t>
      </w:r>
      <w:r>
        <w:rPr>
          <w:rFonts w:ascii="Verdana" w:hAnsi="Verdana"/>
          <w:sz w:val="18"/>
          <w:szCs w:val="18"/>
          <w:lang w:val="nl-NL"/>
        </w:rPr>
        <w:t>, doordat verrekening zal worden gegeven van Colombiaanse bronbelasting</w:t>
      </w:r>
      <w:r w:rsidRPr="00BB7074" w:rsidR="00875BA2">
        <w:rPr>
          <w:rFonts w:ascii="Verdana" w:hAnsi="Verdana"/>
          <w:sz w:val="18"/>
          <w:szCs w:val="18"/>
          <w:lang w:val="nl-NL"/>
        </w:rPr>
        <w:t>.</w:t>
      </w:r>
    </w:p>
    <w:p w:rsidRPr="00BB7074" w:rsidR="002F0BBD" w:rsidP="00C43523" w:rsidRDefault="002F0BBD" w14:paraId="377FEC81" w14:textId="01F67378">
      <w:pPr>
        <w:spacing w:line="240" w:lineRule="auto"/>
        <w:ind w:firstLine="0"/>
        <w:rPr>
          <w:rFonts w:ascii="Verdana" w:hAnsi="Verdana"/>
          <w:sz w:val="18"/>
          <w:szCs w:val="18"/>
          <w:lang w:val="nl-NL"/>
        </w:rPr>
      </w:pPr>
    </w:p>
    <w:p w:rsidR="00803D9F" w:rsidP="002F0BBD" w:rsidRDefault="003E03A0" w14:paraId="1FAA9B00" w14:textId="6479D28D">
      <w:pPr>
        <w:pStyle w:val="Heading2"/>
        <w:rPr>
          <w:rFonts w:ascii="Verdana" w:hAnsi="Verdana"/>
          <w:sz w:val="18"/>
          <w:szCs w:val="18"/>
          <w:lang w:val="nl-NL"/>
        </w:rPr>
      </w:pPr>
      <w:r w:rsidRPr="00BB7074">
        <w:rPr>
          <w:rFonts w:ascii="Verdana" w:hAnsi="Verdana"/>
          <w:sz w:val="18"/>
          <w:szCs w:val="18"/>
          <w:lang w:val="nl-NL"/>
        </w:rPr>
        <w:t>I.</w:t>
      </w:r>
      <w:r w:rsidR="00142864">
        <w:rPr>
          <w:rFonts w:ascii="Verdana" w:hAnsi="Verdana"/>
          <w:sz w:val="18"/>
          <w:szCs w:val="18"/>
          <w:lang w:val="nl-NL"/>
        </w:rPr>
        <w:t>9.</w:t>
      </w:r>
      <w:r w:rsidRPr="00BB7074">
        <w:rPr>
          <w:rFonts w:ascii="Verdana" w:hAnsi="Verdana"/>
          <w:sz w:val="18"/>
          <w:szCs w:val="18"/>
          <w:lang w:val="nl-NL"/>
        </w:rPr>
        <w:t xml:space="preserve"> </w:t>
      </w:r>
      <w:r w:rsidRPr="00BB7074" w:rsidR="00803D9F">
        <w:rPr>
          <w:rFonts w:ascii="Verdana" w:hAnsi="Verdana"/>
          <w:sz w:val="18"/>
          <w:szCs w:val="18"/>
          <w:lang w:val="nl-NL"/>
        </w:rPr>
        <w:t>Toetsschema</w:t>
      </w:r>
      <w:r w:rsidRPr="00BB7074" w:rsidR="00B33960">
        <w:rPr>
          <w:rFonts w:ascii="Verdana" w:hAnsi="Verdana"/>
          <w:sz w:val="18"/>
          <w:szCs w:val="18"/>
          <w:lang w:val="nl-NL"/>
        </w:rPr>
        <w:t xml:space="preserve"> Standaardcriteria Fiscaal Verdragsbeleid 2020 </w:t>
      </w:r>
    </w:p>
    <w:p w:rsidRPr="00B70133" w:rsidR="00EC52CA" w:rsidP="00EC52CA" w:rsidRDefault="00C27205" w14:paraId="52C78824" w14:textId="606A41C2">
      <w:pPr>
        <w:ind w:firstLine="708"/>
        <w:rPr>
          <w:rFonts w:ascii="Verdana" w:hAnsi="Verdana"/>
          <w:sz w:val="18"/>
          <w:szCs w:val="18"/>
          <w:lang w:val="nl-NL"/>
        </w:rPr>
      </w:pPr>
      <w:r w:rsidRPr="00B70133">
        <w:rPr>
          <w:rFonts w:ascii="Verdana" w:hAnsi="Verdana"/>
          <w:sz w:val="18"/>
          <w:szCs w:val="18"/>
          <w:lang w:val="nl-NL"/>
        </w:rPr>
        <w:t>In onderstaand schema met toetsingscriteria voor Nederlandse bilaterale belastingverdragen zijn de voor dit Wijzigingsprotocol relevante toetsingscriteria opgenomen zoals geformuleerd en toegelicht in de NFV 2020. Dit schema biedt uitvoering aan de motie-Van Vliet</w:t>
      </w:r>
      <w:r w:rsidR="00B70133">
        <w:rPr>
          <w:rStyle w:val="FootnoteReference"/>
          <w:rFonts w:ascii="Verdana" w:hAnsi="Verdana"/>
          <w:sz w:val="18"/>
          <w:szCs w:val="18"/>
          <w:lang w:val="nl-NL"/>
        </w:rPr>
        <w:footnoteReference w:id="5"/>
      </w:r>
      <w:r w:rsidRPr="00B70133">
        <w:rPr>
          <w:rFonts w:ascii="Verdana" w:hAnsi="Verdana"/>
          <w:sz w:val="18"/>
          <w:szCs w:val="18"/>
          <w:lang w:val="nl-NL"/>
        </w:rPr>
        <w:t xml:space="preserve"> en wordt gevoegd bij elke toelichting bij nieuwe belastingverdragen.</w:t>
      </w:r>
    </w:p>
    <w:p w:rsidRPr="00561970" w:rsidR="00C27205" w:rsidP="00561970" w:rsidRDefault="00C27205" w14:paraId="6F1F5831" w14:textId="77777777">
      <w:pPr>
        <w:ind w:firstLine="0"/>
        <w:rPr>
          <w:lang w:val="nl-NL"/>
        </w:rPr>
      </w:pPr>
    </w:p>
    <w:tbl>
      <w:tblPr>
        <w:tblW w:w="0" w:type="auto"/>
        <w:tblCellMar>
          <w:left w:w="70" w:type="dxa"/>
          <w:right w:w="70" w:type="dxa"/>
        </w:tblCellMar>
        <w:tblLook w:val="04A0" w:firstRow="1" w:lastRow="0" w:firstColumn="1" w:lastColumn="0" w:noHBand="0" w:noVBand="1"/>
      </w:tblPr>
      <w:tblGrid>
        <w:gridCol w:w="750"/>
        <w:gridCol w:w="308"/>
        <w:gridCol w:w="4273"/>
        <w:gridCol w:w="476"/>
        <w:gridCol w:w="532"/>
        <w:gridCol w:w="749"/>
        <w:gridCol w:w="687"/>
        <w:gridCol w:w="1270"/>
        <w:gridCol w:w="12"/>
      </w:tblGrid>
      <w:tr w:rsidRPr="00BB7074" w:rsidR="008857E1" w:rsidTr="00EC4295" w14:paraId="5AA38A41" w14:textId="77777777">
        <w:trPr>
          <w:gridAfter w:val="1"/>
          <w:wAfter w:w="12" w:type="dxa"/>
          <w:trHeight w:val="315"/>
        </w:trPr>
        <w:tc>
          <w:tcPr>
            <w:tcW w:w="0" w:type="auto"/>
            <w:tcBorders>
              <w:top w:val="single" w:color="FFFFFF" w:sz="8" w:space="0"/>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4BB1B987" w14:textId="77777777">
            <w:pPr>
              <w:spacing w:line="240" w:lineRule="auto"/>
              <w:ind w:firstLine="0"/>
              <w:rPr>
                <w:rFonts w:ascii="Verdana" w:hAnsi="Verdana" w:cs="Calibri"/>
                <w:b/>
                <w:bCs/>
                <w:color w:val="000000"/>
                <w:sz w:val="18"/>
                <w:szCs w:val="18"/>
                <w:lang w:val="nl-NL"/>
              </w:rPr>
            </w:pPr>
            <w:r w:rsidRPr="00BB7074">
              <w:rPr>
                <w:rFonts w:ascii="Verdana" w:hAnsi="Verdana" w:cs="Calibri"/>
                <w:b/>
                <w:bCs/>
                <w:color w:val="000000"/>
                <w:sz w:val="18"/>
                <w:szCs w:val="18"/>
                <w:lang w:val="nl-NL"/>
              </w:rPr>
              <w:t>NFV 2020</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7C275EB5" w14:textId="77777777">
            <w:pPr>
              <w:spacing w:line="240" w:lineRule="auto"/>
              <w:ind w:firstLine="0"/>
              <w:rPr>
                <w:rFonts w:ascii="Verdana" w:hAnsi="Verdana" w:cs="Calibri"/>
                <w:b/>
                <w:bCs/>
                <w:color w:val="000000"/>
                <w:sz w:val="18"/>
                <w:szCs w:val="18"/>
                <w:lang w:val="nl-NL"/>
              </w:rPr>
            </w:pPr>
            <w:r w:rsidRPr="00BB7074">
              <w:rPr>
                <w:rFonts w:ascii="Verdana" w:hAnsi="Verdana" w:cs="Calibri"/>
                <w:b/>
                <w:bCs/>
                <w:color w:val="000000"/>
                <w:sz w:val="18"/>
                <w:szCs w:val="18"/>
                <w:lang w:val="nl-NL"/>
              </w:rPr>
              <w:t> </w:t>
            </w:r>
          </w:p>
        </w:tc>
        <w:tc>
          <w:tcPr>
            <w:tcW w:w="476" w:type="dxa"/>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0D6950D3" w14:textId="77777777">
            <w:pPr>
              <w:spacing w:line="240" w:lineRule="auto"/>
              <w:ind w:firstLine="0"/>
              <w:jc w:val="center"/>
              <w:rPr>
                <w:rFonts w:ascii="Verdana" w:hAnsi="Verdana" w:cs="Calibri"/>
                <w:b/>
                <w:bCs/>
                <w:color w:val="000000"/>
                <w:sz w:val="18"/>
                <w:szCs w:val="18"/>
                <w:lang w:val="nl-NL"/>
              </w:rPr>
            </w:pPr>
            <w:r w:rsidRPr="00BB7074">
              <w:rPr>
                <w:rFonts w:ascii="Verdana" w:hAnsi="Verdana" w:cs="Calibri"/>
                <w:b/>
                <w:bCs/>
                <w:color w:val="000000"/>
                <w:sz w:val="18"/>
                <w:szCs w:val="18"/>
                <w:lang w:val="nl-NL"/>
              </w:rPr>
              <w:t xml:space="preserve">Ja </w:t>
            </w:r>
          </w:p>
        </w:tc>
        <w:tc>
          <w:tcPr>
            <w:tcW w:w="532" w:type="dxa"/>
            <w:tcBorders>
              <w:top w:val="single" w:color="FFFFFF" w:sz="8" w:space="0"/>
              <w:left w:val="nil"/>
              <w:bottom w:val="single" w:color="FFFFFF" w:sz="8" w:space="0"/>
              <w:right w:val="single" w:color="FFFFFF" w:sz="4" w:space="0"/>
            </w:tcBorders>
            <w:shd w:val="clear" w:color="000000" w:fill="F2F2F2"/>
            <w:hideMark/>
          </w:tcPr>
          <w:p w:rsidRPr="00BB7074" w:rsidR="008857E1" w:rsidP="008857E1" w:rsidRDefault="008857E1" w14:paraId="1C4E66ED" w14:textId="77777777">
            <w:pPr>
              <w:spacing w:line="240" w:lineRule="auto"/>
              <w:ind w:firstLine="0"/>
              <w:jc w:val="center"/>
              <w:rPr>
                <w:rFonts w:ascii="Verdana" w:hAnsi="Verdana" w:cs="Calibri"/>
                <w:b/>
                <w:bCs/>
                <w:color w:val="000000"/>
                <w:sz w:val="18"/>
                <w:szCs w:val="18"/>
                <w:lang w:val="nl-NL"/>
              </w:rPr>
            </w:pPr>
            <w:r w:rsidRPr="00BB7074">
              <w:rPr>
                <w:rFonts w:ascii="Verdana" w:hAnsi="Verdana" w:cs="Calibri"/>
                <w:b/>
                <w:bCs/>
                <w:color w:val="000000"/>
                <w:sz w:val="18"/>
                <w:szCs w:val="18"/>
                <w:lang w:val="nl-NL"/>
              </w:rPr>
              <w:t>Nee</w:t>
            </w:r>
          </w:p>
        </w:tc>
        <w:tc>
          <w:tcPr>
            <w:tcW w:w="749" w:type="dxa"/>
            <w:tcBorders>
              <w:top w:val="single" w:color="FFFFFF" w:sz="8" w:space="0"/>
              <w:left w:val="single" w:color="FFFFFF" w:sz="8" w:space="0"/>
              <w:bottom w:val="single" w:color="FFFFFF" w:sz="8" w:space="0"/>
              <w:right w:val="single" w:color="FFFFFF" w:sz="8" w:space="0"/>
            </w:tcBorders>
            <w:shd w:val="clear" w:color="000000" w:fill="F2F2F2"/>
            <w:hideMark/>
          </w:tcPr>
          <w:p w:rsidRPr="00BB7074" w:rsidR="008857E1" w:rsidP="00A64705" w:rsidRDefault="008857E1" w14:paraId="06CF5563" w14:textId="77777777">
            <w:pPr>
              <w:spacing w:line="240" w:lineRule="auto"/>
              <w:ind w:left="52" w:firstLine="0"/>
              <w:jc w:val="center"/>
              <w:rPr>
                <w:rFonts w:ascii="Verdana" w:hAnsi="Verdana" w:cs="Calibri"/>
                <w:b/>
                <w:bCs/>
                <w:color w:val="000000"/>
                <w:sz w:val="18"/>
                <w:szCs w:val="18"/>
                <w:lang w:val="nl-NL"/>
              </w:rPr>
            </w:pPr>
            <w:r w:rsidRPr="00BB7074">
              <w:rPr>
                <w:rFonts w:ascii="Verdana" w:hAnsi="Verdana" w:cs="Calibri"/>
                <w:b/>
                <w:bCs/>
                <w:color w:val="000000"/>
                <w:sz w:val="18"/>
                <w:szCs w:val="18"/>
                <w:lang w:val="nl-NL"/>
              </w:rPr>
              <w:t>Deels</w:t>
            </w:r>
          </w:p>
        </w:tc>
        <w:tc>
          <w:tcPr>
            <w:tcW w:w="687" w:type="dxa"/>
            <w:tcBorders>
              <w:top w:val="single" w:color="FFFFFF" w:sz="8" w:space="0"/>
              <w:left w:val="nil"/>
              <w:bottom w:val="single" w:color="FFFFFF" w:sz="8" w:space="0"/>
              <w:right w:val="single" w:color="FFFFFF" w:sz="4" w:space="0"/>
            </w:tcBorders>
            <w:shd w:val="clear" w:color="000000" w:fill="F2F2F2"/>
            <w:hideMark/>
          </w:tcPr>
          <w:p w:rsidRPr="00BB7074" w:rsidR="008857E1" w:rsidP="008857E1" w:rsidRDefault="008857E1" w14:paraId="5B0B6EC9" w14:textId="77777777">
            <w:pPr>
              <w:spacing w:line="240" w:lineRule="auto"/>
              <w:ind w:firstLine="0"/>
              <w:jc w:val="center"/>
              <w:rPr>
                <w:rFonts w:ascii="Verdana" w:hAnsi="Verdana" w:cs="Calibri"/>
                <w:b/>
                <w:bCs/>
                <w:color w:val="000000"/>
                <w:sz w:val="18"/>
                <w:szCs w:val="18"/>
                <w:lang w:val="nl-NL"/>
              </w:rPr>
            </w:pPr>
            <w:r w:rsidRPr="00BB7074">
              <w:rPr>
                <w:rFonts w:ascii="Verdana" w:hAnsi="Verdana" w:cs="Calibri"/>
                <w:b/>
                <w:bCs/>
                <w:color w:val="000000"/>
                <w:sz w:val="18"/>
                <w:szCs w:val="18"/>
                <w:lang w:val="nl-NL"/>
              </w:rPr>
              <w:t>N.v.t.</w:t>
            </w:r>
          </w:p>
        </w:tc>
        <w:tc>
          <w:tcPr>
            <w:tcW w:w="1270" w:type="dxa"/>
            <w:tcBorders>
              <w:top w:val="single" w:color="FFFFFF" w:sz="8" w:space="0"/>
              <w:left w:val="single" w:color="FFFFFF" w:sz="8" w:space="0"/>
              <w:bottom w:val="single" w:color="FFFFFF" w:sz="8" w:space="0"/>
              <w:right w:val="single" w:color="FFFFFF" w:sz="4" w:space="0"/>
            </w:tcBorders>
            <w:shd w:val="clear" w:color="000000" w:fill="F2F2F2"/>
            <w:hideMark/>
          </w:tcPr>
          <w:p w:rsidRPr="00BB7074" w:rsidR="008857E1" w:rsidP="008857E1" w:rsidRDefault="008857E1" w14:paraId="60A5FB38" w14:textId="77777777">
            <w:pPr>
              <w:spacing w:line="240" w:lineRule="auto"/>
              <w:ind w:firstLine="0"/>
              <w:jc w:val="center"/>
              <w:rPr>
                <w:rFonts w:ascii="Verdana" w:hAnsi="Verdana" w:cs="Calibri"/>
                <w:b/>
                <w:bCs/>
                <w:color w:val="000000"/>
                <w:sz w:val="18"/>
                <w:szCs w:val="18"/>
                <w:lang w:val="nl-NL"/>
              </w:rPr>
            </w:pPr>
            <w:r w:rsidRPr="00BB7074">
              <w:rPr>
                <w:rFonts w:ascii="Verdana" w:hAnsi="Verdana" w:cs="Calibri"/>
                <w:b/>
                <w:bCs/>
                <w:color w:val="000000"/>
                <w:sz w:val="18"/>
                <w:szCs w:val="18"/>
                <w:lang w:val="nl-NL"/>
              </w:rPr>
              <w:t>Toelichting bij</w:t>
            </w:r>
          </w:p>
        </w:tc>
      </w:tr>
      <w:tr w:rsidRPr="00ED2AE6" w:rsidR="008857E1" w:rsidTr="00A64705" w14:paraId="6961B0BE" w14:textId="77777777">
        <w:trPr>
          <w:gridAfter w:val="1"/>
          <w:wAfter w:w="12" w:type="dxa"/>
          <w:trHeight w:val="555"/>
        </w:trPr>
        <w:tc>
          <w:tcPr>
            <w:tcW w:w="0" w:type="auto"/>
            <w:tcBorders>
              <w:top w:val="nil"/>
              <w:left w:val="single" w:color="FFFFFF" w:sz="4" w:space="0"/>
              <w:bottom w:val="single" w:color="FFFFFF" w:sz="8" w:space="0"/>
              <w:right w:val="single" w:color="FFFFFF" w:sz="8" w:space="0"/>
            </w:tcBorders>
            <w:shd w:val="clear" w:color="000000" w:fill="8EA9DB"/>
            <w:hideMark/>
          </w:tcPr>
          <w:p w:rsidRPr="00BB7074" w:rsidR="008857E1" w:rsidP="008857E1" w:rsidRDefault="008857E1" w14:paraId="4EFBC391" w14:textId="77777777">
            <w:pPr>
              <w:spacing w:line="240" w:lineRule="auto"/>
              <w:ind w:firstLine="0"/>
              <w:rPr>
                <w:rFonts w:ascii="Verdana" w:hAnsi="Verdana" w:cs="Calibri"/>
                <w:b/>
                <w:bCs/>
                <w:sz w:val="18"/>
                <w:szCs w:val="18"/>
                <w:lang w:val="nl-NL"/>
              </w:rPr>
            </w:pPr>
            <w:r w:rsidRPr="00BB7074">
              <w:rPr>
                <w:rFonts w:ascii="Verdana" w:hAnsi="Verdana" w:cs="Calibri"/>
                <w:b/>
                <w:bCs/>
                <w:sz w:val="18"/>
                <w:szCs w:val="18"/>
                <w:lang w:val="nl-NL"/>
              </w:rPr>
              <w:t>I</w:t>
            </w:r>
          </w:p>
        </w:tc>
        <w:tc>
          <w:tcPr>
            <w:tcW w:w="0" w:type="auto"/>
            <w:gridSpan w:val="2"/>
            <w:tcBorders>
              <w:top w:val="single" w:color="FFFFFF" w:sz="8" w:space="0"/>
              <w:left w:val="nil"/>
              <w:bottom w:val="single" w:color="FFFFFF" w:sz="8" w:space="0"/>
              <w:right w:val="single" w:color="FFFFFF" w:sz="8" w:space="0"/>
            </w:tcBorders>
            <w:shd w:val="clear" w:color="000000" w:fill="8EA9DB"/>
            <w:vAlign w:val="bottom"/>
            <w:hideMark/>
          </w:tcPr>
          <w:p w:rsidRPr="00BB7074" w:rsidR="008857E1" w:rsidP="00C70480" w:rsidRDefault="008857E1" w14:paraId="2B8A775B" w14:textId="5C7176F6">
            <w:pPr>
              <w:spacing w:line="240" w:lineRule="auto"/>
              <w:ind w:firstLine="0"/>
              <w:rPr>
                <w:rFonts w:ascii="Verdana" w:hAnsi="Verdana" w:cs="Calibri"/>
                <w:b/>
                <w:bCs/>
                <w:sz w:val="18"/>
                <w:szCs w:val="18"/>
                <w:lang w:val="nl-NL"/>
              </w:rPr>
            </w:pPr>
            <w:r w:rsidRPr="00BB7074">
              <w:rPr>
                <w:rFonts w:ascii="Verdana" w:hAnsi="Verdana" w:cs="Calibri"/>
                <w:b/>
                <w:bCs/>
                <w:sz w:val="18"/>
                <w:szCs w:val="18"/>
                <w:lang w:val="nl-NL"/>
              </w:rPr>
              <w:t>Voorkoming dubbele heffing - bepalingen in afwijking of ter aanvulling op het OESO</w:t>
            </w:r>
            <w:r w:rsidRPr="00BB7074" w:rsidR="00C70480">
              <w:rPr>
                <w:rFonts w:ascii="Verdana" w:hAnsi="Verdana" w:cs="Calibri"/>
                <w:b/>
                <w:bCs/>
                <w:sz w:val="18"/>
                <w:szCs w:val="18"/>
                <w:lang w:val="nl-NL"/>
              </w:rPr>
              <w:t>-modelverdrag</w:t>
            </w:r>
            <w:r w:rsidRPr="00BB7074">
              <w:rPr>
                <w:rFonts w:ascii="Verdana" w:hAnsi="Verdana" w:cs="Calibri"/>
                <w:b/>
                <w:bCs/>
                <w:sz w:val="18"/>
                <w:szCs w:val="18"/>
                <w:lang w:val="nl-NL"/>
              </w:rPr>
              <w:t xml:space="preserve"> volgens het Nederlands verdragsbeleid</w:t>
            </w:r>
          </w:p>
        </w:tc>
        <w:tc>
          <w:tcPr>
            <w:tcW w:w="476" w:type="dxa"/>
            <w:tcBorders>
              <w:top w:val="nil"/>
              <w:left w:val="nil"/>
              <w:bottom w:val="single" w:color="FFFFFF" w:sz="8" w:space="0"/>
              <w:right w:val="single" w:color="FFFFFF" w:sz="8" w:space="0"/>
            </w:tcBorders>
            <w:shd w:val="clear" w:color="000000" w:fill="8EA9DB"/>
            <w:hideMark/>
          </w:tcPr>
          <w:p w:rsidRPr="00BB7074" w:rsidR="008857E1" w:rsidP="008857E1" w:rsidRDefault="008857E1" w14:paraId="7A11A430"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476" w:type="dxa"/>
            <w:tcBorders>
              <w:top w:val="nil"/>
              <w:left w:val="nil"/>
              <w:bottom w:val="single" w:color="FFFFFF" w:sz="8" w:space="0"/>
              <w:right w:val="single" w:color="FFFFFF" w:sz="8" w:space="0"/>
            </w:tcBorders>
            <w:shd w:val="clear" w:color="000000" w:fill="8EA9DB"/>
            <w:hideMark/>
          </w:tcPr>
          <w:p w:rsidRPr="00BB7074" w:rsidR="008857E1" w:rsidP="008857E1" w:rsidRDefault="008857E1" w14:paraId="11D4C63E"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476" w:type="dxa"/>
            <w:tcBorders>
              <w:top w:val="nil"/>
              <w:left w:val="nil"/>
              <w:bottom w:val="single" w:color="FFFFFF" w:sz="8" w:space="0"/>
              <w:right w:val="single" w:color="FFFFFF" w:sz="8" w:space="0"/>
            </w:tcBorders>
            <w:shd w:val="clear" w:color="000000" w:fill="8EA9DB"/>
            <w:hideMark/>
          </w:tcPr>
          <w:p w:rsidRPr="00BB7074" w:rsidR="008857E1" w:rsidP="008857E1" w:rsidRDefault="008857E1" w14:paraId="2AC5F54B"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476" w:type="dxa"/>
            <w:tcBorders>
              <w:top w:val="nil"/>
              <w:left w:val="nil"/>
              <w:bottom w:val="single" w:color="FFFFFF" w:sz="8" w:space="0"/>
              <w:right w:val="single" w:color="FFFFFF" w:sz="8" w:space="0"/>
            </w:tcBorders>
            <w:shd w:val="clear" w:color="000000" w:fill="8EA9DB"/>
            <w:hideMark/>
          </w:tcPr>
          <w:p w:rsidRPr="00BB7074" w:rsidR="008857E1" w:rsidP="008857E1" w:rsidRDefault="008857E1" w14:paraId="075FFDA4"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1270" w:type="dxa"/>
            <w:tcBorders>
              <w:top w:val="nil"/>
              <w:left w:val="nil"/>
              <w:bottom w:val="single" w:color="FFFFFF" w:sz="8" w:space="0"/>
              <w:right w:val="single" w:color="FFFFFF" w:sz="4" w:space="0"/>
            </w:tcBorders>
            <w:shd w:val="clear" w:color="000000" w:fill="8EA9DB"/>
            <w:hideMark/>
          </w:tcPr>
          <w:p w:rsidRPr="00BB7074" w:rsidR="008857E1" w:rsidP="008857E1" w:rsidRDefault="008857E1" w14:paraId="08922352"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r>
      <w:tr w:rsidRPr="00BB7074" w:rsidR="008857E1" w:rsidTr="00A64705" w14:paraId="132C52B2" w14:textId="77777777">
        <w:trPr>
          <w:gridAfter w:val="1"/>
          <w:wAfter w:w="12" w:type="dxa"/>
          <w:trHeight w:val="585"/>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BB7074" w:rsidR="008857E1" w:rsidP="008857E1" w:rsidRDefault="008857E1" w14:paraId="63C64C74" w14:textId="77777777">
            <w:pPr>
              <w:spacing w:line="240" w:lineRule="auto"/>
              <w:ind w:firstLine="0"/>
              <w:rPr>
                <w:rFonts w:ascii="Verdana" w:hAnsi="Verdana" w:cs="Calibri"/>
                <w:i/>
                <w:iCs/>
                <w:sz w:val="18"/>
                <w:szCs w:val="18"/>
                <w:lang w:val="nl-NL"/>
              </w:rPr>
            </w:pPr>
            <w:r w:rsidRPr="00BB7074">
              <w:rPr>
                <w:rFonts w:ascii="Verdana" w:hAnsi="Verdana" w:cs="Calibri"/>
                <w:i/>
                <w:iCs/>
                <w:sz w:val="18"/>
                <w:szCs w:val="18"/>
                <w:lang w:val="nl-NL"/>
              </w:rPr>
              <w:t> </w:t>
            </w:r>
          </w:p>
        </w:tc>
        <w:tc>
          <w:tcPr>
            <w:tcW w:w="0" w:type="auto"/>
            <w:gridSpan w:val="2"/>
            <w:tcBorders>
              <w:top w:val="nil"/>
              <w:left w:val="nil"/>
              <w:bottom w:val="nil"/>
              <w:right w:val="nil"/>
            </w:tcBorders>
            <w:shd w:val="clear" w:color="000000" w:fill="DDEBF7"/>
            <w:vAlign w:val="bottom"/>
            <w:hideMark/>
          </w:tcPr>
          <w:p w:rsidRPr="00BB7074" w:rsidR="008857E1" w:rsidP="008857E1" w:rsidRDefault="008857E1" w14:paraId="496FD967" w14:textId="77777777">
            <w:pPr>
              <w:spacing w:line="240" w:lineRule="auto"/>
              <w:ind w:firstLine="0"/>
              <w:rPr>
                <w:rFonts w:ascii="Verdana" w:hAnsi="Verdana" w:cs="Calibri"/>
                <w:b/>
                <w:bCs/>
                <w:i/>
                <w:iCs/>
                <w:sz w:val="18"/>
                <w:szCs w:val="18"/>
                <w:lang w:val="nl-NL"/>
              </w:rPr>
            </w:pPr>
            <w:r w:rsidRPr="00BB7074">
              <w:rPr>
                <w:rFonts w:ascii="Verdana" w:hAnsi="Verdana" w:cs="Calibri"/>
                <w:b/>
                <w:bCs/>
                <w:i/>
                <w:iCs/>
                <w:sz w:val="18"/>
                <w:szCs w:val="18"/>
                <w:lang w:val="nl-NL"/>
              </w:rPr>
              <w:t>Algemeen</w:t>
            </w:r>
          </w:p>
        </w:tc>
        <w:tc>
          <w:tcPr>
            <w:tcW w:w="476" w:type="dxa"/>
            <w:tcBorders>
              <w:top w:val="nil"/>
              <w:left w:val="single" w:color="FFFFFF" w:sz="8" w:space="0"/>
              <w:bottom w:val="single" w:color="FFFFFF" w:sz="8" w:space="0"/>
              <w:right w:val="single" w:color="FFFFFF" w:sz="8" w:space="0"/>
            </w:tcBorders>
            <w:shd w:val="clear" w:color="000000" w:fill="DDEBF7"/>
            <w:hideMark/>
          </w:tcPr>
          <w:p w:rsidRPr="00BB7074" w:rsidR="008857E1" w:rsidP="008857E1" w:rsidRDefault="008857E1" w14:paraId="62F42765" w14:textId="77777777">
            <w:pPr>
              <w:spacing w:line="240" w:lineRule="auto"/>
              <w:ind w:firstLine="0"/>
              <w:rPr>
                <w:rFonts w:ascii="Verdana" w:hAnsi="Verdana" w:cs="Calibri"/>
                <w:sz w:val="18"/>
                <w:szCs w:val="18"/>
                <w:lang w:val="nl-NL"/>
              </w:rPr>
            </w:pPr>
            <w:r w:rsidRPr="00BB7074">
              <w:rPr>
                <w:rFonts w:ascii="Verdana" w:hAnsi="Verdana" w:cs="Calibri"/>
                <w:sz w:val="18"/>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4B984BDF" w14:textId="77777777">
            <w:pPr>
              <w:spacing w:line="240" w:lineRule="auto"/>
              <w:ind w:firstLine="0"/>
              <w:rPr>
                <w:rFonts w:ascii="Verdana" w:hAnsi="Verdana" w:cs="Calibri"/>
                <w:sz w:val="18"/>
                <w:szCs w:val="18"/>
                <w:lang w:val="nl-NL"/>
              </w:rPr>
            </w:pPr>
            <w:r w:rsidRPr="00BB7074">
              <w:rPr>
                <w:rFonts w:ascii="Verdana" w:hAnsi="Verdana" w:cs="Calibri"/>
                <w:sz w:val="18"/>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2CA37F5B" w14:textId="77777777">
            <w:pPr>
              <w:spacing w:line="240" w:lineRule="auto"/>
              <w:ind w:firstLine="0"/>
              <w:rPr>
                <w:rFonts w:ascii="Verdana" w:hAnsi="Verdana" w:cs="Calibri"/>
                <w:sz w:val="18"/>
                <w:szCs w:val="18"/>
                <w:lang w:val="nl-NL"/>
              </w:rPr>
            </w:pPr>
            <w:r w:rsidRPr="00BB7074">
              <w:rPr>
                <w:rFonts w:ascii="Verdana" w:hAnsi="Verdana" w:cs="Calibri"/>
                <w:sz w:val="18"/>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17599BA1" w14:textId="77777777">
            <w:pPr>
              <w:spacing w:line="240" w:lineRule="auto"/>
              <w:ind w:firstLine="0"/>
              <w:rPr>
                <w:rFonts w:ascii="Verdana" w:hAnsi="Verdana" w:cs="Calibri"/>
                <w:sz w:val="18"/>
                <w:szCs w:val="18"/>
                <w:lang w:val="nl-NL"/>
              </w:rPr>
            </w:pPr>
            <w:r w:rsidRPr="00BB7074">
              <w:rPr>
                <w:rFonts w:ascii="Verdana" w:hAnsi="Verdana" w:cs="Calibri"/>
                <w:sz w:val="18"/>
                <w:szCs w:val="18"/>
                <w:lang w:val="nl-NL"/>
              </w:rPr>
              <w:t> </w:t>
            </w:r>
          </w:p>
        </w:tc>
        <w:tc>
          <w:tcPr>
            <w:tcW w:w="1270" w:type="dxa"/>
            <w:tcBorders>
              <w:top w:val="nil"/>
              <w:left w:val="nil"/>
              <w:bottom w:val="single" w:color="FFFFFF" w:sz="8" w:space="0"/>
              <w:right w:val="single" w:color="FFFFFF" w:sz="4" w:space="0"/>
            </w:tcBorders>
            <w:shd w:val="clear" w:color="000000" w:fill="DDEBF7"/>
            <w:hideMark/>
          </w:tcPr>
          <w:p w:rsidRPr="00BB7074" w:rsidR="008857E1" w:rsidP="008857E1" w:rsidRDefault="008857E1" w14:paraId="63B43399" w14:textId="77777777">
            <w:pPr>
              <w:spacing w:line="240" w:lineRule="auto"/>
              <w:ind w:firstLine="0"/>
              <w:rPr>
                <w:rFonts w:ascii="Verdana" w:hAnsi="Verdana" w:cs="Calibri"/>
                <w:sz w:val="18"/>
                <w:szCs w:val="18"/>
                <w:lang w:val="nl-NL"/>
              </w:rPr>
            </w:pPr>
            <w:r w:rsidRPr="00BB7074">
              <w:rPr>
                <w:rFonts w:ascii="Verdana" w:hAnsi="Verdana" w:cs="Calibri"/>
                <w:sz w:val="18"/>
                <w:szCs w:val="18"/>
                <w:lang w:val="nl-NL"/>
              </w:rPr>
              <w:t> </w:t>
            </w:r>
          </w:p>
        </w:tc>
      </w:tr>
      <w:tr w:rsidRPr="00BB7074" w:rsidR="008857E1" w:rsidTr="00A64705" w14:paraId="23542091" w14:textId="77777777">
        <w:trPr>
          <w:gridAfter w:val="1"/>
          <w:wAfter w:w="12" w:type="dxa"/>
          <w:trHeight w:val="55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266D2F89"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4.2</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45C56F70"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xml:space="preserve">Opname van een bepaling waarmee het </w:t>
            </w:r>
            <w:proofErr w:type="spellStart"/>
            <w:r w:rsidRPr="00BB7074">
              <w:rPr>
                <w:rFonts w:ascii="Verdana" w:hAnsi="Verdana" w:cs="Calibri"/>
                <w:b/>
                <w:bCs/>
                <w:color w:val="000000"/>
                <w:sz w:val="18"/>
                <w:szCs w:val="18"/>
                <w:lang w:val="nl-NL"/>
              </w:rPr>
              <w:t>inwonerschapscriterium</w:t>
            </w:r>
            <w:proofErr w:type="spellEnd"/>
            <w:r w:rsidRPr="00BB7074">
              <w:rPr>
                <w:rFonts w:ascii="Verdana" w:hAnsi="Verdana" w:cs="Calibri"/>
                <w:color w:val="000000"/>
                <w:sz w:val="18"/>
                <w:szCs w:val="18"/>
                <w:lang w:val="nl-NL"/>
              </w:rPr>
              <w:t xml:space="preserve"> nader wordt ingevuld</w:t>
            </w:r>
          </w:p>
        </w:tc>
        <w:tc>
          <w:tcPr>
            <w:tcW w:w="476" w:type="dxa"/>
            <w:tcBorders>
              <w:top w:val="nil"/>
              <w:left w:val="nil"/>
              <w:bottom w:val="single" w:color="FFFFFF" w:sz="8" w:space="0"/>
              <w:right w:val="nil"/>
            </w:tcBorders>
            <w:shd w:val="clear" w:color="000000" w:fill="F2F2F2"/>
            <w:hideMark/>
          </w:tcPr>
          <w:p w:rsidRPr="00BB7074" w:rsidR="008857E1" w:rsidP="008857E1" w:rsidRDefault="008857E1" w14:paraId="4250FF44"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X</w:t>
            </w:r>
          </w:p>
        </w:tc>
        <w:tc>
          <w:tcPr>
            <w:tcW w:w="476" w:type="dxa"/>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385DBCE7"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7F24C4A7"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single" w:color="FFFFFF" w:sz="8" w:space="0"/>
              <w:bottom w:val="single" w:color="FFFFFF" w:sz="8" w:space="0"/>
              <w:right w:val="single" w:color="FFFFFF" w:sz="4" w:space="0"/>
            </w:tcBorders>
            <w:shd w:val="clear" w:color="000000" w:fill="F2F2F2"/>
            <w:hideMark/>
          </w:tcPr>
          <w:p w:rsidRPr="00BB7074" w:rsidR="008857E1" w:rsidP="008857E1" w:rsidRDefault="008857E1" w14:paraId="40993999"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8857E1" w:rsidP="008857E1" w:rsidRDefault="008857E1" w14:paraId="51437108" w14:textId="7BC3B558">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Artikel 4</w:t>
            </w:r>
            <w:r w:rsidRPr="00BB7074" w:rsidR="00495BBA">
              <w:rPr>
                <w:rFonts w:ascii="Verdana" w:hAnsi="Verdana" w:cs="Calibri"/>
                <w:color w:val="000000"/>
                <w:sz w:val="18"/>
                <w:szCs w:val="18"/>
                <w:lang w:val="nl-NL"/>
              </w:rPr>
              <w:t xml:space="preserve"> (2)</w:t>
            </w:r>
          </w:p>
        </w:tc>
      </w:tr>
      <w:tr w:rsidRPr="00BB7074" w:rsidR="008857E1" w:rsidTr="00A64705" w14:paraId="5914CD26" w14:textId="77777777">
        <w:trPr>
          <w:gridAfter w:val="1"/>
          <w:wAfter w:w="12" w:type="dxa"/>
          <w:trHeight w:val="58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6D721A4A"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4.3</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4D676AE3"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xml:space="preserve">Opname van een bepaling waarmee </w:t>
            </w:r>
            <w:proofErr w:type="spellStart"/>
            <w:r w:rsidRPr="00BB7074">
              <w:rPr>
                <w:rFonts w:ascii="Verdana" w:hAnsi="Verdana" w:cs="Calibri"/>
                <w:b/>
                <w:bCs/>
                <w:color w:val="000000"/>
                <w:sz w:val="18"/>
                <w:szCs w:val="18"/>
                <w:lang w:val="nl-NL"/>
              </w:rPr>
              <w:t>VBI’s</w:t>
            </w:r>
            <w:proofErr w:type="spellEnd"/>
            <w:r w:rsidRPr="00BB7074">
              <w:rPr>
                <w:rFonts w:ascii="Verdana" w:hAnsi="Verdana" w:cs="Calibri"/>
                <w:color w:val="000000"/>
                <w:sz w:val="18"/>
                <w:szCs w:val="18"/>
                <w:lang w:val="nl-NL"/>
              </w:rPr>
              <w:t xml:space="preserve"> en entiteiten die vallen onder vergelijkbare speciale regimes voor (sommige) verdragsvoordelen worden uitgesloten</w:t>
            </w:r>
          </w:p>
        </w:tc>
        <w:tc>
          <w:tcPr>
            <w:tcW w:w="476"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137C76C9"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X</w:t>
            </w:r>
          </w:p>
        </w:tc>
        <w:tc>
          <w:tcPr>
            <w:tcW w:w="476" w:type="dxa"/>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28E5BB36"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104BD751"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single" w:color="FFFFFF" w:sz="8" w:space="0"/>
              <w:bottom w:val="single" w:color="FFFFFF" w:sz="8" w:space="0"/>
              <w:right w:val="single" w:color="FFFFFF" w:sz="4" w:space="0"/>
            </w:tcBorders>
            <w:shd w:val="clear" w:color="000000" w:fill="F2F2F2"/>
            <w:hideMark/>
          </w:tcPr>
          <w:p w:rsidRPr="00BB7074" w:rsidR="008857E1" w:rsidP="008857E1" w:rsidRDefault="008857E1" w14:paraId="489009F4"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8857E1" w:rsidP="008857E1" w:rsidRDefault="008857E1" w14:paraId="58DAB313"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Protocol II</w:t>
            </w:r>
          </w:p>
        </w:tc>
      </w:tr>
      <w:tr w:rsidRPr="00BB7074" w:rsidR="008857E1" w:rsidTr="00A64705" w14:paraId="327739ED" w14:textId="77777777">
        <w:trPr>
          <w:gridAfter w:val="1"/>
          <w:wAfter w:w="12" w:type="dxa"/>
          <w:trHeight w:val="615"/>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BB7074" w:rsidR="008857E1" w:rsidP="008857E1" w:rsidRDefault="008857E1" w14:paraId="0E0EFE34" w14:textId="77777777">
            <w:pPr>
              <w:spacing w:line="240" w:lineRule="auto"/>
              <w:ind w:firstLine="0"/>
              <w:rPr>
                <w:rFonts w:ascii="Verdana" w:hAnsi="Verdana" w:cs="Calibri"/>
                <w:i/>
                <w:iCs/>
                <w:sz w:val="18"/>
                <w:szCs w:val="18"/>
                <w:lang w:val="nl-NL"/>
              </w:rPr>
            </w:pPr>
            <w:r w:rsidRPr="00BB7074">
              <w:rPr>
                <w:rFonts w:ascii="Verdana" w:hAnsi="Verdana" w:cs="Calibri"/>
                <w:i/>
                <w:iCs/>
                <w:sz w:val="18"/>
                <w:szCs w:val="18"/>
                <w:lang w:val="nl-NL"/>
              </w:rPr>
              <w:t> </w:t>
            </w:r>
          </w:p>
        </w:tc>
        <w:tc>
          <w:tcPr>
            <w:tcW w:w="0" w:type="auto"/>
            <w:gridSpan w:val="2"/>
            <w:tcBorders>
              <w:top w:val="nil"/>
              <w:left w:val="nil"/>
              <w:bottom w:val="nil"/>
              <w:right w:val="nil"/>
            </w:tcBorders>
            <w:shd w:val="clear" w:color="000000" w:fill="DDEBF7"/>
            <w:vAlign w:val="bottom"/>
            <w:hideMark/>
          </w:tcPr>
          <w:p w:rsidRPr="00BB7074" w:rsidR="008857E1" w:rsidP="008857E1" w:rsidRDefault="008857E1" w14:paraId="703ACABC" w14:textId="77777777">
            <w:pPr>
              <w:spacing w:line="240" w:lineRule="auto"/>
              <w:ind w:firstLine="0"/>
              <w:rPr>
                <w:rFonts w:ascii="Verdana" w:hAnsi="Verdana" w:cs="Calibri"/>
                <w:b/>
                <w:bCs/>
                <w:i/>
                <w:iCs/>
                <w:sz w:val="18"/>
                <w:szCs w:val="18"/>
                <w:lang w:val="nl-NL"/>
              </w:rPr>
            </w:pPr>
            <w:r w:rsidRPr="00BB7074">
              <w:rPr>
                <w:rFonts w:ascii="Verdana" w:hAnsi="Verdana" w:cs="Calibri"/>
                <w:b/>
                <w:bCs/>
                <w:i/>
                <w:iCs/>
                <w:sz w:val="18"/>
                <w:szCs w:val="18"/>
                <w:lang w:val="nl-NL"/>
              </w:rPr>
              <w:t>Vermogensinkomsten en -winsten</w:t>
            </w:r>
          </w:p>
        </w:tc>
        <w:tc>
          <w:tcPr>
            <w:tcW w:w="476" w:type="dxa"/>
            <w:tcBorders>
              <w:top w:val="nil"/>
              <w:left w:val="single" w:color="FFFFFF" w:sz="8" w:space="0"/>
              <w:bottom w:val="single" w:color="FFFFFF" w:sz="8" w:space="0"/>
              <w:right w:val="single" w:color="FFFFFF" w:sz="8" w:space="0"/>
            </w:tcBorders>
            <w:shd w:val="clear" w:color="000000" w:fill="DDEBF7"/>
            <w:hideMark/>
          </w:tcPr>
          <w:p w:rsidRPr="00BB7074" w:rsidR="008857E1" w:rsidP="008857E1" w:rsidRDefault="008857E1" w14:paraId="1A8070D5" w14:textId="77777777">
            <w:pPr>
              <w:spacing w:line="240" w:lineRule="auto"/>
              <w:ind w:firstLine="0"/>
              <w:rPr>
                <w:rFonts w:ascii="Verdana" w:hAnsi="Verdana" w:cs="Calibri"/>
                <w:sz w:val="18"/>
                <w:szCs w:val="18"/>
                <w:lang w:val="nl-NL"/>
              </w:rPr>
            </w:pPr>
            <w:r w:rsidRPr="00BB7074">
              <w:rPr>
                <w:rFonts w:ascii="Verdana" w:hAnsi="Verdana" w:cs="Calibri"/>
                <w:sz w:val="18"/>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4C754976" w14:textId="77777777">
            <w:pPr>
              <w:spacing w:line="240" w:lineRule="auto"/>
              <w:ind w:firstLine="0"/>
              <w:rPr>
                <w:rFonts w:ascii="Verdana" w:hAnsi="Verdana" w:cs="Calibri"/>
                <w:sz w:val="18"/>
                <w:szCs w:val="18"/>
                <w:lang w:val="nl-NL"/>
              </w:rPr>
            </w:pPr>
            <w:r w:rsidRPr="00BB7074">
              <w:rPr>
                <w:rFonts w:ascii="Verdana" w:hAnsi="Verdana" w:cs="Calibri"/>
                <w:sz w:val="18"/>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4A90028B" w14:textId="77777777">
            <w:pPr>
              <w:spacing w:line="240" w:lineRule="auto"/>
              <w:ind w:firstLine="0"/>
              <w:rPr>
                <w:rFonts w:ascii="Verdana" w:hAnsi="Verdana" w:cs="Calibri"/>
                <w:sz w:val="18"/>
                <w:szCs w:val="18"/>
                <w:lang w:val="nl-NL"/>
              </w:rPr>
            </w:pPr>
            <w:r w:rsidRPr="00BB7074">
              <w:rPr>
                <w:rFonts w:ascii="Verdana" w:hAnsi="Verdana" w:cs="Calibri"/>
                <w:sz w:val="18"/>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11BE5DB3" w14:textId="77777777">
            <w:pPr>
              <w:spacing w:line="240" w:lineRule="auto"/>
              <w:ind w:firstLine="0"/>
              <w:rPr>
                <w:rFonts w:ascii="Verdana" w:hAnsi="Verdana" w:cs="Calibri"/>
                <w:sz w:val="18"/>
                <w:szCs w:val="18"/>
                <w:lang w:val="nl-NL"/>
              </w:rPr>
            </w:pPr>
            <w:r w:rsidRPr="00BB7074">
              <w:rPr>
                <w:rFonts w:ascii="Verdana" w:hAnsi="Verdana" w:cs="Calibri"/>
                <w:sz w:val="18"/>
                <w:szCs w:val="18"/>
                <w:lang w:val="nl-NL"/>
              </w:rPr>
              <w:t> </w:t>
            </w:r>
          </w:p>
        </w:tc>
        <w:tc>
          <w:tcPr>
            <w:tcW w:w="1270" w:type="dxa"/>
            <w:tcBorders>
              <w:top w:val="nil"/>
              <w:left w:val="nil"/>
              <w:bottom w:val="single" w:color="FFFFFF" w:sz="8" w:space="0"/>
              <w:right w:val="single" w:color="FFFFFF" w:sz="4" w:space="0"/>
            </w:tcBorders>
            <w:shd w:val="clear" w:color="000000" w:fill="DDEBF7"/>
            <w:hideMark/>
          </w:tcPr>
          <w:p w:rsidRPr="00BB7074" w:rsidR="008857E1" w:rsidP="008857E1" w:rsidRDefault="008857E1" w14:paraId="4F1D4F47" w14:textId="77777777">
            <w:pPr>
              <w:spacing w:line="240" w:lineRule="auto"/>
              <w:ind w:firstLine="0"/>
              <w:rPr>
                <w:rFonts w:ascii="Verdana" w:hAnsi="Verdana" w:cs="Calibri"/>
                <w:sz w:val="18"/>
                <w:szCs w:val="18"/>
                <w:lang w:val="nl-NL"/>
              </w:rPr>
            </w:pPr>
            <w:r w:rsidRPr="00BB7074">
              <w:rPr>
                <w:rFonts w:ascii="Verdana" w:hAnsi="Verdana" w:cs="Calibri"/>
                <w:sz w:val="18"/>
                <w:szCs w:val="18"/>
                <w:lang w:val="nl-NL"/>
              </w:rPr>
              <w:t> </w:t>
            </w:r>
          </w:p>
        </w:tc>
      </w:tr>
      <w:tr w:rsidRPr="00BB7074" w:rsidR="008857E1" w:rsidTr="00A64705" w14:paraId="0F5A593E" w14:textId="77777777">
        <w:trPr>
          <w:gridAfter w:val="1"/>
          <w:wAfter w:w="12" w:type="dxa"/>
          <w:trHeight w:val="570"/>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22F5F87D"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4.4</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514AA083"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Opname van een bepaling op grond waarvan Nederland eerder een heffingsrecht heeft over de winst behaald met werkzaamheden buitengaats (</w:t>
            </w:r>
            <w:r w:rsidRPr="00BB7074">
              <w:rPr>
                <w:rFonts w:ascii="Verdana" w:hAnsi="Verdana" w:cs="Calibri"/>
                <w:b/>
                <w:bCs/>
                <w:color w:val="000000"/>
                <w:sz w:val="18"/>
                <w:szCs w:val="18"/>
                <w:lang w:val="nl-NL"/>
              </w:rPr>
              <w:t>offshore-vaste inrichting</w:t>
            </w:r>
            <w:r w:rsidRPr="00BB7074">
              <w:rPr>
                <w:rFonts w:ascii="Verdana" w:hAnsi="Verdana" w:cs="Calibri"/>
                <w:color w:val="000000"/>
                <w:sz w:val="18"/>
                <w:szCs w:val="18"/>
                <w:lang w:val="nl-NL"/>
              </w:rPr>
              <w:t>)</w:t>
            </w:r>
          </w:p>
        </w:tc>
        <w:tc>
          <w:tcPr>
            <w:tcW w:w="476" w:type="dxa"/>
            <w:tcBorders>
              <w:top w:val="nil"/>
              <w:left w:val="nil"/>
              <w:bottom w:val="single" w:color="FFFFFF" w:sz="8" w:space="0"/>
              <w:right w:val="single" w:color="FFFFFF" w:sz="8" w:space="0"/>
            </w:tcBorders>
            <w:shd w:val="clear" w:color="000000" w:fill="F2F2F2"/>
            <w:hideMark/>
          </w:tcPr>
          <w:p w:rsidRPr="00BB7074" w:rsidR="008857E1" w:rsidP="008857E1" w:rsidRDefault="008857E1" w14:paraId="36FC97E8"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X</w:t>
            </w:r>
          </w:p>
        </w:tc>
        <w:tc>
          <w:tcPr>
            <w:tcW w:w="476"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135C82B7"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single" w:color="FFFFFF" w:sz="8" w:space="0"/>
              <w:bottom w:val="single" w:color="FFFFFF" w:sz="8" w:space="0"/>
              <w:right w:val="single" w:color="FFFFFF" w:sz="4" w:space="0"/>
            </w:tcBorders>
            <w:shd w:val="clear" w:color="000000" w:fill="F2F2F2"/>
            <w:hideMark/>
          </w:tcPr>
          <w:p w:rsidRPr="00BB7074" w:rsidR="008857E1" w:rsidP="008857E1" w:rsidRDefault="008857E1" w14:paraId="5F0F5B61"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single" w:color="FFFFFF" w:sz="8" w:space="0"/>
              <w:bottom w:val="single" w:color="FFFFFF" w:sz="8" w:space="0"/>
              <w:right w:val="single" w:color="FFFFFF" w:sz="4" w:space="0"/>
            </w:tcBorders>
            <w:shd w:val="clear" w:color="000000" w:fill="F2F2F2"/>
            <w:hideMark/>
          </w:tcPr>
          <w:p w:rsidRPr="00BB7074" w:rsidR="008857E1" w:rsidP="008857E1" w:rsidRDefault="008857E1" w14:paraId="6B317B37"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8857E1" w:rsidP="008857E1" w:rsidRDefault="008857E1" w14:paraId="6450EB28" w14:textId="05E76E44">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Artikel 5</w:t>
            </w:r>
            <w:r w:rsidRPr="00BB7074" w:rsidR="00A77A4E">
              <w:rPr>
                <w:rFonts w:ascii="Verdana" w:hAnsi="Verdana" w:cs="Calibri"/>
                <w:color w:val="000000"/>
                <w:sz w:val="18"/>
                <w:szCs w:val="18"/>
                <w:lang w:val="nl-NL"/>
              </w:rPr>
              <w:t xml:space="preserve"> (4)</w:t>
            </w:r>
          </w:p>
        </w:tc>
      </w:tr>
      <w:tr w:rsidRPr="00BB7074" w:rsidR="008857E1" w:rsidTr="00A64705" w14:paraId="798C7BC9" w14:textId="77777777">
        <w:trPr>
          <w:gridAfter w:val="1"/>
          <w:wAfter w:w="12" w:type="dxa"/>
          <w:trHeight w:val="61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181E4EBB"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4.5</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5DBF200B" w14:textId="66A2B671">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Opname uitsluitende woon</w:t>
            </w:r>
            <w:r w:rsidRPr="00BB7074" w:rsidR="008B5BF7">
              <w:rPr>
                <w:rFonts w:ascii="Verdana" w:hAnsi="Verdana" w:cs="Calibri"/>
                <w:color w:val="000000"/>
                <w:sz w:val="18"/>
                <w:szCs w:val="18"/>
                <w:lang w:val="nl-NL"/>
              </w:rPr>
              <w:t>staat</w:t>
            </w:r>
            <w:r w:rsidRPr="00BB7074">
              <w:rPr>
                <w:rFonts w:ascii="Verdana" w:hAnsi="Verdana" w:cs="Calibri"/>
                <w:color w:val="000000"/>
                <w:sz w:val="18"/>
                <w:szCs w:val="18"/>
                <w:lang w:val="nl-NL"/>
              </w:rPr>
              <w:t xml:space="preserve">heffing voor </w:t>
            </w:r>
            <w:r w:rsidRPr="00BB7074">
              <w:rPr>
                <w:rFonts w:ascii="Verdana" w:hAnsi="Verdana" w:cs="Calibri"/>
                <w:b/>
                <w:bCs/>
                <w:color w:val="000000"/>
                <w:sz w:val="18"/>
                <w:szCs w:val="18"/>
                <w:lang w:val="nl-NL"/>
              </w:rPr>
              <w:t xml:space="preserve">deelnemingsdividenden, interest en royalty's </w:t>
            </w:r>
          </w:p>
        </w:tc>
        <w:tc>
          <w:tcPr>
            <w:tcW w:w="476" w:type="dxa"/>
            <w:tcBorders>
              <w:top w:val="nil"/>
              <w:left w:val="nil"/>
              <w:bottom w:val="single" w:color="FFFFFF" w:sz="8" w:space="0"/>
              <w:right w:val="single" w:color="FFFFFF" w:sz="8" w:space="0"/>
            </w:tcBorders>
            <w:shd w:val="clear" w:color="000000" w:fill="F2F2F2"/>
            <w:hideMark/>
          </w:tcPr>
          <w:p w:rsidRPr="00BB7074" w:rsidR="008857E1" w:rsidP="008857E1" w:rsidRDefault="008857E1" w14:paraId="083D241C"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2C9EFF0B"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X</w:t>
            </w:r>
          </w:p>
        </w:tc>
        <w:tc>
          <w:tcPr>
            <w:tcW w:w="476" w:type="dxa"/>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6AAB1DAA"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419DE656"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8857E1" w:rsidP="008857E1" w:rsidRDefault="008857E1" w14:paraId="619A5A71"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r>
      <w:tr w:rsidRPr="00BB7074" w:rsidR="008857E1" w:rsidTr="00A64705" w14:paraId="6504ED5D" w14:textId="77777777">
        <w:trPr>
          <w:trHeight w:val="61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1D75CCF3"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0" w:type="auto"/>
            <w:tcBorders>
              <w:top w:val="nil"/>
              <w:left w:val="nil"/>
              <w:bottom w:val="single" w:color="FFFFFF" w:sz="8" w:space="0"/>
              <w:right w:val="nil"/>
            </w:tcBorders>
            <w:shd w:val="clear" w:color="000000" w:fill="F2F2F2"/>
            <w:hideMark/>
          </w:tcPr>
          <w:p w:rsidRPr="00BB7074" w:rsidR="008857E1" w:rsidP="008857E1" w:rsidRDefault="008857E1" w14:paraId="4B4454BA"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1773443B"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Zo nee, het betreft de volgende percentages:</w:t>
            </w:r>
          </w:p>
        </w:tc>
        <w:tc>
          <w:tcPr>
            <w:tcW w:w="476" w:type="dxa"/>
            <w:gridSpan w:val="6"/>
            <w:tcBorders>
              <w:top w:val="single" w:color="FFFFFF" w:sz="8" w:space="0"/>
              <w:left w:val="nil"/>
              <w:bottom w:val="nil"/>
              <w:right w:val="nil"/>
            </w:tcBorders>
            <w:shd w:val="clear" w:color="auto" w:fill="F2F2F2"/>
            <w:noWrap/>
            <w:hideMark/>
          </w:tcPr>
          <w:p w:rsidRPr="00BB7074" w:rsidR="008857E1" w:rsidP="00A64705" w:rsidRDefault="008857E1" w14:paraId="3C0D4B0C"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5% / 10% / 10%</w:t>
            </w:r>
          </w:p>
        </w:tc>
      </w:tr>
      <w:tr w:rsidRPr="00BB7074" w:rsidR="008857E1" w:rsidTr="00A64705" w14:paraId="4BEBE69A" w14:textId="77777777">
        <w:trPr>
          <w:gridAfter w:val="1"/>
          <w:wAfter w:w="12" w:type="dxa"/>
          <w:trHeight w:val="61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0912F91B"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0" w:type="auto"/>
            <w:tcBorders>
              <w:top w:val="nil"/>
              <w:left w:val="nil"/>
              <w:bottom w:val="single" w:color="FFFFFF" w:sz="8" w:space="0"/>
              <w:right w:val="nil"/>
            </w:tcBorders>
            <w:shd w:val="clear" w:color="000000" w:fill="F2F2F2"/>
            <w:hideMark/>
          </w:tcPr>
          <w:p w:rsidRPr="00BB7074" w:rsidR="008857E1" w:rsidP="008857E1" w:rsidRDefault="008857E1" w14:paraId="37EB3F00"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56DCB3B2"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xml:space="preserve">Zo nee, opname uitzondering </w:t>
            </w:r>
            <w:r w:rsidRPr="00BB7074">
              <w:rPr>
                <w:rFonts w:ascii="Verdana" w:hAnsi="Verdana" w:cs="Calibri"/>
                <w:b/>
                <w:bCs/>
                <w:color w:val="000000"/>
                <w:sz w:val="18"/>
                <w:szCs w:val="18"/>
                <w:lang w:val="nl-NL"/>
              </w:rPr>
              <w:t>pensioenfondsen</w:t>
            </w:r>
          </w:p>
        </w:tc>
        <w:tc>
          <w:tcPr>
            <w:tcW w:w="476" w:type="dxa"/>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6BE6A58D"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X</w:t>
            </w:r>
          </w:p>
        </w:tc>
        <w:tc>
          <w:tcPr>
            <w:tcW w:w="476" w:type="dxa"/>
            <w:tcBorders>
              <w:top w:val="single" w:color="FFFFFF" w:sz="8" w:space="0"/>
              <w:left w:val="nil"/>
              <w:bottom w:val="single" w:color="FFFFFF" w:sz="8" w:space="0"/>
              <w:right w:val="single" w:color="FFFFFF" w:sz="4" w:space="0"/>
            </w:tcBorders>
            <w:shd w:val="clear" w:color="000000" w:fill="F2F2F2"/>
            <w:hideMark/>
          </w:tcPr>
          <w:p w:rsidRPr="00BB7074" w:rsidR="008857E1" w:rsidP="008857E1" w:rsidRDefault="008857E1" w14:paraId="0A6A1606"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single" w:color="FFFFFF" w:sz="8" w:space="0"/>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22DBAB24"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single" w:color="FFFFFF" w:sz="8" w:space="0"/>
              <w:left w:val="nil"/>
              <w:bottom w:val="single" w:color="FFFFFF" w:sz="8" w:space="0"/>
              <w:right w:val="single" w:color="FFFFFF" w:sz="4" w:space="0"/>
            </w:tcBorders>
            <w:shd w:val="clear" w:color="000000" w:fill="F2F2F2"/>
            <w:hideMark/>
          </w:tcPr>
          <w:p w:rsidRPr="00BB7074" w:rsidR="008857E1" w:rsidP="008857E1" w:rsidRDefault="008857E1" w14:paraId="60413814"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1270" w:type="dxa"/>
            <w:tcBorders>
              <w:top w:val="single" w:color="FFFFFF" w:sz="8" w:space="0"/>
              <w:left w:val="single" w:color="FFFFFF" w:sz="8" w:space="0"/>
              <w:bottom w:val="single" w:color="FFFFFF" w:sz="8" w:space="0"/>
              <w:right w:val="single" w:color="FFFFFF" w:sz="4" w:space="0"/>
            </w:tcBorders>
            <w:shd w:val="clear" w:color="000000" w:fill="F2F2F2"/>
            <w:hideMark/>
          </w:tcPr>
          <w:p w:rsidRPr="00BB7074" w:rsidR="008857E1" w:rsidP="008857E1" w:rsidRDefault="008857E1" w14:paraId="4111335A"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Artikel 10 (2), Artikel 11 (3)</w:t>
            </w:r>
          </w:p>
        </w:tc>
      </w:tr>
      <w:tr w:rsidRPr="00BB7074" w:rsidR="008857E1" w:rsidTr="00A64705" w14:paraId="3E1F96E2" w14:textId="77777777">
        <w:trPr>
          <w:gridAfter w:val="1"/>
          <w:wAfter w:w="12" w:type="dxa"/>
          <w:trHeight w:val="55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33FA72CB"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4.3</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2A12AF36" w14:textId="46B373E8">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xml:space="preserve">Opname van het </w:t>
            </w:r>
            <w:r w:rsidRPr="00BB7074">
              <w:rPr>
                <w:rFonts w:ascii="Verdana" w:hAnsi="Verdana" w:cs="Calibri"/>
                <w:b/>
                <w:bCs/>
                <w:color w:val="000000"/>
                <w:sz w:val="18"/>
                <w:szCs w:val="18"/>
                <w:lang w:val="nl-NL"/>
              </w:rPr>
              <w:t xml:space="preserve">portfoliotarief van 15% </w:t>
            </w:r>
            <w:r w:rsidRPr="00BB7074">
              <w:rPr>
                <w:rFonts w:ascii="Verdana" w:hAnsi="Verdana" w:cs="Calibri"/>
                <w:color w:val="000000"/>
                <w:sz w:val="18"/>
                <w:szCs w:val="18"/>
                <w:lang w:val="nl-NL"/>
              </w:rPr>
              <w:t xml:space="preserve">voor dividenden uitgekeerd door of uitgekeerd aan </w:t>
            </w:r>
            <w:r w:rsidRPr="00BB7074">
              <w:rPr>
                <w:rFonts w:ascii="Verdana" w:hAnsi="Verdana" w:cs="Calibri"/>
                <w:color w:val="000000"/>
                <w:sz w:val="18"/>
                <w:szCs w:val="18"/>
                <w:lang w:val="nl-NL"/>
              </w:rPr>
              <w:lastRenderedPageBreak/>
              <w:t xml:space="preserve">een </w:t>
            </w:r>
            <w:r w:rsidRPr="00BB7074">
              <w:rPr>
                <w:rFonts w:ascii="Verdana" w:hAnsi="Verdana" w:cs="Calibri"/>
                <w:b/>
                <w:bCs/>
                <w:color w:val="000000"/>
                <w:sz w:val="18"/>
                <w:szCs w:val="18"/>
                <w:lang w:val="nl-NL"/>
              </w:rPr>
              <w:t>FBI</w:t>
            </w:r>
            <w:r w:rsidRPr="00BB7074">
              <w:rPr>
                <w:rFonts w:ascii="Verdana" w:hAnsi="Verdana" w:cs="Calibri"/>
                <w:color w:val="000000"/>
                <w:sz w:val="18"/>
                <w:szCs w:val="18"/>
                <w:lang w:val="nl-NL"/>
              </w:rPr>
              <w:t xml:space="preserve"> of soortgelijke instellingen in het andere verdragsland</w:t>
            </w:r>
          </w:p>
        </w:tc>
        <w:tc>
          <w:tcPr>
            <w:tcW w:w="476" w:type="dxa"/>
            <w:tcBorders>
              <w:top w:val="nil"/>
              <w:left w:val="nil"/>
              <w:bottom w:val="single" w:color="FFFFFF" w:sz="8" w:space="0"/>
              <w:right w:val="single" w:color="FFFFFF" w:sz="8" w:space="0"/>
            </w:tcBorders>
            <w:shd w:val="clear" w:color="000000" w:fill="F2F2F2"/>
            <w:hideMark/>
          </w:tcPr>
          <w:p w:rsidRPr="00BB7074" w:rsidR="008857E1" w:rsidP="008857E1" w:rsidRDefault="008857E1" w14:paraId="29D87FD0"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lastRenderedPageBreak/>
              <w:t>X</w:t>
            </w:r>
          </w:p>
        </w:tc>
        <w:tc>
          <w:tcPr>
            <w:tcW w:w="476"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71AC1631"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71DC4883"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2AD6CD64"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8857E1" w:rsidP="008857E1" w:rsidRDefault="008857E1" w14:paraId="0D923C4A"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Artikel VIII Protocol</w:t>
            </w:r>
          </w:p>
        </w:tc>
      </w:tr>
      <w:tr w:rsidRPr="00BB7074" w:rsidR="008857E1" w:rsidTr="00A64705" w14:paraId="41ED143D" w14:textId="77777777">
        <w:trPr>
          <w:gridAfter w:val="1"/>
          <w:wAfter w:w="12" w:type="dxa"/>
          <w:trHeight w:val="52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5CEC3830"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4.6</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6D346C57"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xml:space="preserve">Opname van een </w:t>
            </w:r>
            <w:r w:rsidRPr="00BB7074">
              <w:rPr>
                <w:rFonts w:ascii="Verdana" w:hAnsi="Verdana" w:cs="Calibri"/>
                <w:b/>
                <w:bCs/>
                <w:color w:val="000000"/>
                <w:sz w:val="18"/>
                <w:szCs w:val="18"/>
                <w:lang w:val="nl-NL"/>
              </w:rPr>
              <w:t>aanmerkelijkbelangvoorbehoud</w:t>
            </w:r>
            <w:r w:rsidRPr="00BB7074">
              <w:rPr>
                <w:rFonts w:ascii="Verdana" w:hAnsi="Verdana" w:cs="Calibri"/>
                <w:color w:val="000000"/>
                <w:sz w:val="18"/>
                <w:szCs w:val="18"/>
                <w:lang w:val="nl-NL"/>
              </w:rPr>
              <w:t xml:space="preserve"> in het vermogenswinstartikel en het dividendartikel</w:t>
            </w:r>
          </w:p>
        </w:tc>
        <w:tc>
          <w:tcPr>
            <w:tcW w:w="476" w:type="dxa"/>
            <w:tcBorders>
              <w:top w:val="nil"/>
              <w:left w:val="nil"/>
              <w:bottom w:val="single" w:color="FFFFFF" w:sz="8" w:space="0"/>
              <w:right w:val="single" w:color="FFFFFF" w:sz="8" w:space="0"/>
            </w:tcBorders>
            <w:shd w:val="clear" w:color="000000" w:fill="F2F2F2"/>
            <w:hideMark/>
          </w:tcPr>
          <w:p w:rsidRPr="00BB7074" w:rsidR="008857E1" w:rsidP="008857E1" w:rsidRDefault="008857E1" w14:paraId="0F2D3CD2"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X</w:t>
            </w:r>
          </w:p>
        </w:tc>
        <w:tc>
          <w:tcPr>
            <w:tcW w:w="476"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5582F777"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1C5C6C65"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20B72234"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8857E1" w:rsidP="008857E1" w:rsidRDefault="008857E1" w14:paraId="2CA7F19E"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Artikel 10 (7), Artikel 13 (7)</w:t>
            </w:r>
          </w:p>
        </w:tc>
      </w:tr>
      <w:tr w:rsidRPr="00BB7074" w:rsidR="008857E1" w:rsidTr="00A64705" w14:paraId="596CF6C9" w14:textId="77777777">
        <w:trPr>
          <w:gridAfter w:val="1"/>
          <w:wAfter w:w="12" w:type="dxa"/>
          <w:trHeight w:val="570"/>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3F2E39D5"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4.7</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6B6D79C4"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xml:space="preserve">Opname van een bepaling waarin is vastgelegd dat inkomsten genoten bij de </w:t>
            </w:r>
            <w:r w:rsidRPr="00BB7074">
              <w:rPr>
                <w:rFonts w:ascii="Verdana" w:hAnsi="Verdana" w:cs="Calibri"/>
                <w:b/>
                <w:bCs/>
                <w:color w:val="000000"/>
                <w:sz w:val="18"/>
                <w:szCs w:val="18"/>
                <w:lang w:val="nl-NL"/>
              </w:rPr>
              <w:t>inkoop van aandelen of bij liquidatie</w:t>
            </w:r>
            <w:r w:rsidRPr="00BB7074">
              <w:rPr>
                <w:rFonts w:ascii="Verdana" w:hAnsi="Verdana" w:cs="Calibri"/>
                <w:color w:val="000000"/>
                <w:sz w:val="18"/>
                <w:szCs w:val="18"/>
                <w:lang w:val="nl-NL"/>
              </w:rPr>
              <w:t xml:space="preserve"> worden beheerst door het dividendartikel</w:t>
            </w:r>
          </w:p>
        </w:tc>
        <w:tc>
          <w:tcPr>
            <w:tcW w:w="476" w:type="dxa"/>
            <w:tcBorders>
              <w:top w:val="nil"/>
              <w:left w:val="nil"/>
              <w:bottom w:val="single" w:color="FFFFFF" w:sz="8" w:space="0"/>
              <w:right w:val="single" w:color="FFFFFF" w:sz="8" w:space="0"/>
            </w:tcBorders>
            <w:shd w:val="clear" w:color="000000" w:fill="F2F2F2"/>
            <w:hideMark/>
          </w:tcPr>
          <w:p w:rsidRPr="00BB7074" w:rsidR="008857E1" w:rsidP="008857E1" w:rsidRDefault="008857E1" w14:paraId="61E548CA"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X</w:t>
            </w:r>
          </w:p>
        </w:tc>
        <w:tc>
          <w:tcPr>
            <w:tcW w:w="476"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34265F80"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3F2A7D7A"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5C1C9234"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8857E1" w:rsidP="008857E1" w:rsidRDefault="008857E1" w14:paraId="4F21A969"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Artikel X Protocol</w:t>
            </w:r>
          </w:p>
        </w:tc>
      </w:tr>
      <w:tr w:rsidRPr="00BB7074" w:rsidR="008857E1" w:rsidTr="00A64705" w14:paraId="10A5D81B" w14:textId="77777777">
        <w:trPr>
          <w:gridAfter w:val="1"/>
          <w:wAfter w:w="12" w:type="dxa"/>
          <w:trHeight w:val="540"/>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44446E76"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4.8</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104E7EDC" w14:textId="66A64740">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Opname van een woon</w:t>
            </w:r>
            <w:r w:rsidRPr="00BB7074" w:rsidR="008B5BF7">
              <w:rPr>
                <w:rFonts w:ascii="Verdana" w:hAnsi="Verdana" w:cs="Calibri"/>
                <w:color w:val="000000"/>
                <w:sz w:val="18"/>
                <w:szCs w:val="18"/>
                <w:lang w:val="nl-NL"/>
              </w:rPr>
              <w:t>staat</w:t>
            </w:r>
            <w:r w:rsidRPr="00BB7074">
              <w:rPr>
                <w:rFonts w:ascii="Verdana" w:hAnsi="Verdana" w:cs="Calibri"/>
                <w:color w:val="000000"/>
                <w:sz w:val="18"/>
                <w:szCs w:val="18"/>
                <w:lang w:val="nl-NL"/>
              </w:rPr>
              <w:t xml:space="preserve">heffing voor vermogenswinsten behaald met de verkoop van </w:t>
            </w:r>
            <w:r w:rsidRPr="00BB7074">
              <w:rPr>
                <w:rFonts w:ascii="Verdana" w:hAnsi="Verdana" w:cs="Calibri"/>
                <w:b/>
                <w:bCs/>
                <w:color w:val="000000"/>
                <w:sz w:val="18"/>
                <w:szCs w:val="18"/>
                <w:lang w:val="nl-NL"/>
              </w:rPr>
              <w:t xml:space="preserve">aandelen in onroerendezaakvennootschappen, </w:t>
            </w:r>
            <w:r w:rsidRPr="00BB7074">
              <w:rPr>
                <w:rFonts w:ascii="Verdana" w:hAnsi="Verdana" w:cs="Calibri"/>
                <w:color w:val="000000"/>
                <w:sz w:val="18"/>
                <w:szCs w:val="18"/>
                <w:lang w:val="nl-NL"/>
              </w:rPr>
              <w:t>tenzij er sprake is van verdragsmisbruik</w:t>
            </w:r>
          </w:p>
        </w:tc>
        <w:tc>
          <w:tcPr>
            <w:tcW w:w="476" w:type="dxa"/>
            <w:tcBorders>
              <w:top w:val="nil"/>
              <w:left w:val="nil"/>
              <w:bottom w:val="single" w:color="FFFFFF" w:sz="8" w:space="0"/>
              <w:right w:val="single" w:color="FFFFFF" w:sz="8" w:space="0"/>
            </w:tcBorders>
            <w:shd w:val="clear" w:color="000000" w:fill="F2F2F2"/>
            <w:hideMark/>
          </w:tcPr>
          <w:p w:rsidRPr="00BB7074" w:rsidR="008857E1" w:rsidP="008857E1" w:rsidRDefault="008857E1" w14:paraId="2E65772B"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nil"/>
              <w:bottom w:val="single" w:color="FFFFFF" w:sz="8" w:space="0"/>
              <w:right w:val="single" w:color="FFFFFF" w:sz="4" w:space="0"/>
            </w:tcBorders>
            <w:shd w:val="clear" w:color="auto" w:fill="F2F2F2"/>
            <w:hideMark/>
          </w:tcPr>
          <w:p w:rsidRPr="00BB7074" w:rsidR="008857E1" w:rsidP="008857E1" w:rsidRDefault="008857E1" w14:paraId="05997DC6"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X</w:t>
            </w:r>
          </w:p>
        </w:tc>
        <w:tc>
          <w:tcPr>
            <w:tcW w:w="476" w:type="dxa"/>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6C7ABD8A"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3BC64235"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8857E1" w:rsidP="008857E1" w:rsidRDefault="008857E1" w14:paraId="3FE6B476"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Artikel 13 (4)</w:t>
            </w:r>
          </w:p>
        </w:tc>
      </w:tr>
      <w:tr w:rsidRPr="00BB7074" w:rsidR="008857E1" w:rsidTr="00A64705" w14:paraId="703F7FDA" w14:textId="77777777">
        <w:trPr>
          <w:gridAfter w:val="1"/>
          <w:wAfter w:w="12" w:type="dxa"/>
          <w:trHeight w:val="600"/>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BB7074" w:rsidR="008857E1" w:rsidP="008857E1" w:rsidRDefault="008857E1" w14:paraId="456030FE" w14:textId="77777777">
            <w:pPr>
              <w:spacing w:line="240" w:lineRule="auto"/>
              <w:ind w:firstLine="0"/>
              <w:rPr>
                <w:rFonts w:ascii="Verdana" w:hAnsi="Verdana" w:cs="Calibri"/>
                <w:i/>
                <w:iCs/>
                <w:sz w:val="18"/>
                <w:szCs w:val="18"/>
                <w:lang w:val="nl-NL"/>
              </w:rPr>
            </w:pPr>
            <w:r w:rsidRPr="00BB7074">
              <w:rPr>
                <w:rFonts w:ascii="Verdana" w:hAnsi="Verdana" w:cs="Calibri"/>
                <w:i/>
                <w:iCs/>
                <w:sz w:val="18"/>
                <w:szCs w:val="18"/>
                <w:lang w:val="nl-NL"/>
              </w:rPr>
              <w:t> </w:t>
            </w:r>
          </w:p>
        </w:tc>
        <w:tc>
          <w:tcPr>
            <w:tcW w:w="0" w:type="auto"/>
            <w:gridSpan w:val="2"/>
            <w:tcBorders>
              <w:top w:val="nil"/>
              <w:left w:val="nil"/>
              <w:bottom w:val="nil"/>
              <w:right w:val="nil"/>
            </w:tcBorders>
            <w:shd w:val="clear" w:color="000000" w:fill="DDEBF7"/>
            <w:vAlign w:val="bottom"/>
            <w:hideMark/>
          </w:tcPr>
          <w:p w:rsidRPr="00BB7074" w:rsidR="008857E1" w:rsidP="008857E1" w:rsidRDefault="008857E1" w14:paraId="1644480F" w14:textId="77777777">
            <w:pPr>
              <w:spacing w:line="240" w:lineRule="auto"/>
              <w:ind w:firstLine="0"/>
              <w:rPr>
                <w:rFonts w:ascii="Verdana" w:hAnsi="Verdana" w:cs="Calibri"/>
                <w:b/>
                <w:bCs/>
                <w:i/>
                <w:iCs/>
                <w:sz w:val="18"/>
                <w:szCs w:val="18"/>
                <w:lang w:val="nl-NL"/>
              </w:rPr>
            </w:pPr>
            <w:r w:rsidRPr="00BB7074">
              <w:rPr>
                <w:rFonts w:ascii="Verdana" w:hAnsi="Verdana" w:cs="Calibri"/>
                <w:b/>
                <w:bCs/>
                <w:i/>
                <w:iCs/>
                <w:sz w:val="18"/>
                <w:szCs w:val="18"/>
                <w:lang w:val="nl-NL"/>
              </w:rPr>
              <w:t>Arbeid</w:t>
            </w:r>
          </w:p>
        </w:tc>
        <w:tc>
          <w:tcPr>
            <w:tcW w:w="476" w:type="dxa"/>
            <w:tcBorders>
              <w:top w:val="nil"/>
              <w:left w:val="single" w:color="FFFFFF" w:sz="8" w:space="0"/>
              <w:bottom w:val="single" w:color="FFFFFF" w:sz="8" w:space="0"/>
              <w:right w:val="single" w:color="FFFFFF" w:sz="8" w:space="0"/>
            </w:tcBorders>
            <w:shd w:val="clear" w:color="000000" w:fill="DDEBF7"/>
            <w:hideMark/>
          </w:tcPr>
          <w:p w:rsidRPr="00BB7074" w:rsidR="008857E1" w:rsidP="008857E1" w:rsidRDefault="008857E1" w14:paraId="548D1B60"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446006FE"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32F9254D"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1B18CB73"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1270" w:type="dxa"/>
            <w:tcBorders>
              <w:top w:val="nil"/>
              <w:left w:val="nil"/>
              <w:bottom w:val="single" w:color="FFFFFF" w:sz="8" w:space="0"/>
              <w:right w:val="single" w:color="FFFFFF" w:sz="4" w:space="0"/>
            </w:tcBorders>
            <w:shd w:val="clear" w:color="000000" w:fill="DDEBF7"/>
            <w:hideMark/>
          </w:tcPr>
          <w:p w:rsidRPr="00BB7074" w:rsidR="008857E1" w:rsidP="008857E1" w:rsidRDefault="008857E1" w14:paraId="2141B167"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r>
      <w:tr w:rsidRPr="00BB7074" w:rsidR="008857E1" w:rsidTr="00A64705" w14:paraId="62DA7CC9" w14:textId="77777777">
        <w:trPr>
          <w:gridAfter w:val="1"/>
          <w:wAfter w:w="12" w:type="dxa"/>
          <w:trHeight w:val="540"/>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4F18BA51"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4.10</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02B09377" w14:textId="1BB3C77F">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Opname van een bron</w:t>
            </w:r>
            <w:r w:rsidRPr="00BB7074" w:rsidR="008B5BF7">
              <w:rPr>
                <w:rFonts w:ascii="Verdana" w:hAnsi="Verdana" w:cs="Calibri"/>
                <w:color w:val="000000"/>
                <w:sz w:val="18"/>
                <w:szCs w:val="18"/>
                <w:lang w:val="nl-NL"/>
              </w:rPr>
              <w:t>staat</w:t>
            </w:r>
            <w:r w:rsidRPr="00BB7074">
              <w:rPr>
                <w:rFonts w:ascii="Verdana" w:hAnsi="Verdana" w:cs="Calibri"/>
                <w:color w:val="000000"/>
                <w:sz w:val="18"/>
                <w:szCs w:val="18"/>
                <w:lang w:val="nl-NL"/>
              </w:rPr>
              <w:t xml:space="preserve">heffing voor gefacilieerd opgebouwde </w:t>
            </w:r>
            <w:r w:rsidRPr="00BB7074">
              <w:rPr>
                <w:rFonts w:ascii="Verdana" w:hAnsi="Verdana" w:cs="Calibri"/>
                <w:b/>
                <w:bCs/>
                <w:color w:val="000000"/>
                <w:sz w:val="18"/>
                <w:szCs w:val="18"/>
                <w:lang w:val="nl-NL"/>
              </w:rPr>
              <w:t xml:space="preserve">pensioenen </w:t>
            </w:r>
            <w:r w:rsidRPr="00BB7074">
              <w:rPr>
                <w:rFonts w:ascii="Verdana" w:hAnsi="Verdana" w:cs="Calibri"/>
                <w:color w:val="000000"/>
                <w:sz w:val="18"/>
                <w:szCs w:val="18"/>
                <w:lang w:val="nl-NL"/>
              </w:rPr>
              <w:t>en</w:t>
            </w:r>
            <w:r w:rsidRPr="00BB7074">
              <w:rPr>
                <w:rFonts w:ascii="Verdana" w:hAnsi="Verdana" w:cs="Calibri"/>
                <w:b/>
                <w:bCs/>
                <w:color w:val="000000"/>
                <w:sz w:val="18"/>
                <w:szCs w:val="18"/>
                <w:lang w:val="nl-NL"/>
              </w:rPr>
              <w:t xml:space="preserve"> </w:t>
            </w:r>
            <w:r w:rsidRPr="00BB7074">
              <w:rPr>
                <w:rFonts w:ascii="Verdana" w:hAnsi="Verdana" w:cs="Calibri"/>
                <w:color w:val="000000"/>
                <w:sz w:val="18"/>
                <w:szCs w:val="18"/>
                <w:lang w:val="nl-NL"/>
              </w:rPr>
              <w:t>voor</w:t>
            </w:r>
            <w:r w:rsidRPr="00BB7074">
              <w:rPr>
                <w:rFonts w:ascii="Verdana" w:hAnsi="Verdana" w:cs="Calibri"/>
                <w:b/>
                <w:bCs/>
                <w:color w:val="000000"/>
                <w:sz w:val="18"/>
                <w:szCs w:val="18"/>
                <w:lang w:val="nl-NL"/>
              </w:rPr>
              <w:t xml:space="preserve"> socialezekerheidsuitkeringen</w:t>
            </w:r>
          </w:p>
        </w:tc>
        <w:tc>
          <w:tcPr>
            <w:tcW w:w="476" w:type="dxa"/>
            <w:tcBorders>
              <w:top w:val="nil"/>
              <w:left w:val="nil"/>
              <w:bottom w:val="single" w:color="FFFFFF" w:sz="8" w:space="0"/>
              <w:right w:val="single" w:color="FFFFFF" w:sz="8" w:space="0"/>
            </w:tcBorders>
            <w:shd w:val="clear" w:color="000000" w:fill="F2F2F2"/>
            <w:hideMark/>
          </w:tcPr>
          <w:p w:rsidRPr="00BB7074" w:rsidR="008857E1" w:rsidP="008857E1" w:rsidRDefault="008857E1" w14:paraId="4B15EE22"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X</w:t>
            </w:r>
          </w:p>
        </w:tc>
        <w:tc>
          <w:tcPr>
            <w:tcW w:w="476"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235D6725"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514ACA49"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3D3F362D"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8857E1" w:rsidP="008857E1" w:rsidRDefault="008857E1" w14:paraId="3D0E2627"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Artikel 17 (1 en 2)</w:t>
            </w:r>
          </w:p>
        </w:tc>
      </w:tr>
      <w:tr w:rsidRPr="00BB7074" w:rsidR="008857E1" w:rsidTr="00A64705" w14:paraId="2D5AE231" w14:textId="77777777">
        <w:trPr>
          <w:gridAfter w:val="1"/>
          <w:wAfter w:w="12" w:type="dxa"/>
          <w:trHeight w:val="52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72F203F5"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4.9</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498EBF25" w14:textId="1DEA0D6F">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Opname van een (beperkte) bron</w:t>
            </w:r>
            <w:r w:rsidRPr="00BB7074" w:rsidR="008B5BF7">
              <w:rPr>
                <w:rFonts w:ascii="Verdana" w:hAnsi="Verdana" w:cs="Calibri"/>
                <w:color w:val="000000"/>
                <w:sz w:val="18"/>
                <w:szCs w:val="18"/>
                <w:lang w:val="nl-NL"/>
              </w:rPr>
              <w:t>staat</w:t>
            </w:r>
            <w:r w:rsidRPr="00BB7074">
              <w:rPr>
                <w:rFonts w:ascii="Verdana" w:hAnsi="Verdana" w:cs="Calibri"/>
                <w:color w:val="000000"/>
                <w:sz w:val="18"/>
                <w:szCs w:val="18"/>
                <w:lang w:val="nl-NL"/>
              </w:rPr>
              <w:t>heffing voor</w:t>
            </w:r>
            <w:r w:rsidRPr="00BB7074">
              <w:rPr>
                <w:rFonts w:ascii="Verdana" w:hAnsi="Verdana" w:cs="Calibri"/>
                <w:b/>
                <w:bCs/>
                <w:color w:val="000000"/>
                <w:sz w:val="18"/>
                <w:szCs w:val="18"/>
                <w:lang w:val="nl-NL"/>
              </w:rPr>
              <w:t xml:space="preserve"> inkomsten van sporters- en artiesten</w:t>
            </w:r>
          </w:p>
        </w:tc>
        <w:tc>
          <w:tcPr>
            <w:tcW w:w="476" w:type="dxa"/>
            <w:tcBorders>
              <w:top w:val="nil"/>
              <w:left w:val="nil"/>
              <w:bottom w:val="single" w:color="FFFFFF" w:sz="8" w:space="0"/>
              <w:right w:val="single" w:color="FFFFFF" w:sz="8" w:space="0"/>
            </w:tcBorders>
            <w:shd w:val="clear" w:color="000000" w:fill="F2F2F2"/>
            <w:hideMark/>
          </w:tcPr>
          <w:p w:rsidRPr="00BB7074" w:rsidR="008857E1" w:rsidP="008857E1" w:rsidRDefault="008857E1" w14:paraId="0447D313"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X</w:t>
            </w:r>
          </w:p>
        </w:tc>
        <w:tc>
          <w:tcPr>
            <w:tcW w:w="476"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52793134"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0E6185AA"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4E518234"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8857E1" w:rsidP="008857E1" w:rsidRDefault="008857E1" w14:paraId="27FCEE9E"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Artikel 16 (1)</w:t>
            </w:r>
          </w:p>
        </w:tc>
      </w:tr>
      <w:tr w:rsidRPr="00BB7074" w:rsidR="008857E1" w:rsidTr="00A64705" w14:paraId="4C2472C5" w14:textId="77777777">
        <w:trPr>
          <w:gridAfter w:val="1"/>
          <w:wAfter w:w="12" w:type="dxa"/>
          <w:trHeight w:val="600"/>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BB7074" w:rsidR="008857E1" w:rsidP="008857E1" w:rsidRDefault="008857E1" w14:paraId="12A42D86" w14:textId="77777777">
            <w:pPr>
              <w:spacing w:line="240" w:lineRule="auto"/>
              <w:ind w:firstLine="0"/>
              <w:rPr>
                <w:rFonts w:ascii="Verdana" w:hAnsi="Verdana" w:cs="Calibri"/>
                <w:i/>
                <w:iCs/>
                <w:sz w:val="18"/>
                <w:szCs w:val="18"/>
                <w:lang w:val="nl-NL"/>
              </w:rPr>
            </w:pPr>
            <w:r w:rsidRPr="00BB7074">
              <w:rPr>
                <w:rFonts w:ascii="Verdana" w:hAnsi="Verdana" w:cs="Calibri"/>
                <w:i/>
                <w:iCs/>
                <w:sz w:val="18"/>
                <w:szCs w:val="18"/>
                <w:lang w:val="nl-NL"/>
              </w:rPr>
              <w:t> </w:t>
            </w:r>
          </w:p>
        </w:tc>
        <w:tc>
          <w:tcPr>
            <w:tcW w:w="0" w:type="auto"/>
            <w:gridSpan w:val="2"/>
            <w:tcBorders>
              <w:top w:val="nil"/>
              <w:left w:val="nil"/>
              <w:bottom w:val="nil"/>
              <w:right w:val="nil"/>
            </w:tcBorders>
            <w:shd w:val="clear" w:color="000000" w:fill="DDEBF7"/>
            <w:vAlign w:val="bottom"/>
            <w:hideMark/>
          </w:tcPr>
          <w:p w:rsidRPr="00BB7074" w:rsidR="008857E1" w:rsidP="008857E1" w:rsidRDefault="008857E1" w14:paraId="3F73183D" w14:textId="77777777">
            <w:pPr>
              <w:spacing w:line="240" w:lineRule="auto"/>
              <w:ind w:firstLine="0"/>
              <w:rPr>
                <w:rFonts w:ascii="Verdana" w:hAnsi="Verdana" w:cs="Calibri"/>
                <w:b/>
                <w:bCs/>
                <w:i/>
                <w:iCs/>
                <w:sz w:val="18"/>
                <w:szCs w:val="18"/>
                <w:lang w:val="nl-NL"/>
              </w:rPr>
            </w:pPr>
            <w:r w:rsidRPr="00BB7074">
              <w:rPr>
                <w:rFonts w:ascii="Verdana" w:hAnsi="Verdana" w:cs="Calibri"/>
                <w:b/>
                <w:bCs/>
                <w:i/>
                <w:iCs/>
                <w:sz w:val="18"/>
                <w:szCs w:val="18"/>
                <w:lang w:val="nl-NL"/>
              </w:rPr>
              <w:t>Overig</w:t>
            </w:r>
          </w:p>
        </w:tc>
        <w:tc>
          <w:tcPr>
            <w:tcW w:w="476" w:type="dxa"/>
            <w:tcBorders>
              <w:top w:val="nil"/>
              <w:left w:val="single" w:color="FFFFFF" w:sz="8" w:space="0"/>
              <w:bottom w:val="single" w:color="FFFFFF" w:sz="8" w:space="0"/>
              <w:right w:val="single" w:color="FFFFFF" w:sz="8" w:space="0"/>
            </w:tcBorders>
            <w:shd w:val="clear" w:color="000000" w:fill="DDEBF7"/>
            <w:hideMark/>
          </w:tcPr>
          <w:p w:rsidRPr="00BB7074" w:rsidR="008857E1" w:rsidP="008857E1" w:rsidRDefault="008857E1" w14:paraId="3D75BC98"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68D0E44A"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30D2D941"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23E55B72"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1270" w:type="dxa"/>
            <w:tcBorders>
              <w:top w:val="nil"/>
              <w:left w:val="nil"/>
              <w:bottom w:val="single" w:color="FFFFFF" w:sz="8" w:space="0"/>
              <w:right w:val="single" w:color="FFFFFF" w:sz="4" w:space="0"/>
            </w:tcBorders>
            <w:shd w:val="clear" w:color="000000" w:fill="DDEBF7"/>
            <w:hideMark/>
          </w:tcPr>
          <w:p w:rsidRPr="00BB7074" w:rsidR="008857E1" w:rsidP="008857E1" w:rsidRDefault="008857E1" w14:paraId="30F1ED2C"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r>
      <w:tr w:rsidRPr="00BB7074" w:rsidR="008857E1" w:rsidTr="00A64705" w14:paraId="6A06F605" w14:textId="77777777">
        <w:trPr>
          <w:gridAfter w:val="1"/>
          <w:wAfter w:w="12" w:type="dxa"/>
          <w:trHeight w:val="379"/>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2D53DBD7"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2.8</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05258CA5"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xml:space="preserve">Toepassing van het verdrag ook richting de </w:t>
            </w:r>
            <w:r w:rsidRPr="00BB7074">
              <w:rPr>
                <w:rFonts w:ascii="Verdana" w:hAnsi="Verdana" w:cs="Calibri"/>
                <w:b/>
                <w:bCs/>
                <w:color w:val="000000"/>
                <w:sz w:val="18"/>
                <w:szCs w:val="18"/>
                <w:lang w:val="nl-NL"/>
              </w:rPr>
              <w:t>BES-eilanden</w:t>
            </w:r>
          </w:p>
        </w:tc>
        <w:tc>
          <w:tcPr>
            <w:tcW w:w="476" w:type="dxa"/>
            <w:tcBorders>
              <w:top w:val="nil"/>
              <w:left w:val="nil"/>
              <w:bottom w:val="single" w:color="FFFFFF" w:sz="8" w:space="0"/>
              <w:right w:val="single" w:color="FFFFFF" w:sz="8" w:space="0"/>
            </w:tcBorders>
            <w:shd w:val="clear" w:color="000000" w:fill="F2F2F2"/>
            <w:hideMark/>
          </w:tcPr>
          <w:p w:rsidRPr="00BB7074" w:rsidR="008857E1" w:rsidP="008857E1" w:rsidRDefault="008857E1" w14:paraId="0C9138A3"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nil"/>
              <w:bottom w:val="single" w:color="FFFFFF" w:sz="8" w:space="0"/>
              <w:right w:val="nil"/>
            </w:tcBorders>
            <w:shd w:val="clear" w:color="000000" w:fill="F2F2F2"/>
            <w:hideMark/>
          </w:tcPr>
          <w:p w:rsidRPr="00BB7074" w:rsidR="008857E1" w:rsidP="008857E1" w:rsidRDefault="008857E1" w14:paraId="3A367C83"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X</w:t>
            </w:r>
          </w:p>
        </w:tc>
        <w:tc>
          <w:tcPr>
            <w:tcW w:w="476" w:type="dxa"/>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57538960"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nil"/>
              <w:bottom w:val="single" w:color="FFFFFF" w:sz="8" w:space="0"/>
              <w:right w:val="nil"/>
            </w:tcBorders>
            <w:shd w:val="clear" w:color="000000" w:fill="F2F2F2"/>
            <w:hideMark/>
          </w:tcPr>
          <w:p w:rsidRPr="00BB7074" w:rsidR="008857E1" w:rsidP="008857E1" w:rsidRDefault="008857E1" w14:paraId="3ACA1545"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8857E1" w:rsidP="008857E1" w:rsidRDefault="008857E1" w14:paraId="759ED965"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xml:space="preserve">Artikel 3 (1) (a) </w:t>
            </w:r>
          </w:p>
        </w:tc>
      </w:tr>
      <w:tr w:rsidRPr="00BB7074" w:rsidR="008857E1" w:rsidTr="00A64705" w14:paraId="1C3FCC59" w14:textId="77777777">
        <w:trPr>
          <w:gridAfter w:val="1"/>
          <w:wAfter w:w="12" w:type="dxa"/>
          <w:trHeight w:val="540"/>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2819013F"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2.6</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6251A926" w14:textId="4FD3FE7B">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xml:space="preserve">Opname van een bepaling waarin is vastgelegd dat voor de uitleg van het verdrag aansluiting wordt gezocht bij het </w:t>
            </w:r>
            <w:r w:rsidRPr="00BB7074">
              <w:rPr>
                <w:rFonts w:ascii="Verdana" w:hAnsi="Verdana" w:cs="Calibri"/>
                <w:b/>
                <w:bCs/>
                <w:color w:val="000000"/>
                <w:sz w:val="18"/>
                <w:szCs w:val="18"/>
                <w:lang w:val="nl-NL"/>
              </w:rPr>
              <w:t>Commentaar van het OESO-</w:t>
            </w:r>
            <w:r w:rsidRPr="00BB7074" w:rsidR="00C70480">
              <w:rPr>
                <w:rFonts w:ascii="Verdana" w:hAnsi="Verdana" w:cs="Calibri"/>
                <w:b/>
                <w:bCs/>
                <w:color w:val="000000"/>
                <w:sz w:val="18"/>
                <w:szCs w:val="18"/>
                <w:lang w:val="nl-NL"/>
              </w:rPr>
              <w:t>modelverdrag</w:t>
            </w:r>
          </w:p>
        </w:tc>
        <w:tc>
          <w:tcPr>
            <w:tcW w:w="476" w:type="dxa"/>
            <w:tcBorders>
              <w:top w:val="nil"/>
              <w:left w:val="nil"/>
              <w:bottom w:val="single" w:color="FFFFFF" w:sz="8" w:space="0"/>
              <w:right w:val="single" w:color="FFFFFF" w:sz="8" w:space="0"/>
            </w:tcBorders>
            <w:shd w:val="clear" w:color="000000" w:fill="F2F2F2"/>
            <w:hideMark/>
          </w:tcPr>
          <w:p w:rsidRPr="00BB7074" w:rsidR="008857E1" w:rsidP="008857E1" w:rsidRDefault="008857E1" w14:paraId="71D2F9C8"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X</w:t>
            </w:r>
          </w:p>
        </w:tc>
        <w:tc>
          <w:tcPr>
            <w:tcW w:w="476" w:type="dxa"/>
            <w:tcBorders>
              <w:top w:val="nil"/>
              <w:left w:val="nil"/>
              <w:bottom w:val="single" w:color="FFFFFF" w:sz="8" w:space="0"/>
              <w:right w:val="single" w:color="FFFFFF" w:sz="8" w:space="0"/>
            </w:tcBorders>
            <w:shd w:val="clear" w:color="000000" w:fill="F2F2F2"/>
            <w:hideMark/>
          </w:tcPr>
          <w:p w:rsidRPr="00BB7074" w:rsidR="008857E1" w:rsidP="008857E1" w:rsidRDefault="008857E1" w14:paraId="45C56BD6"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nil"/>
              <w:bottom w:val="single" w:color="FFFFFF" w:sz="8" w:space="0"/>
              <w:right w:val="single" w:color="FFFFFF" w:sz="8" w:space="0"/>
            </w:tcBorders>
            <w:shd w:val="clear" w:color="000000" w:fill="F2F2F2"/>
            <w:hideMark/>
          </w:tcPr>
          <w:p w:rsidRPr="00BB7074" w:rsidR="008857E1" w:rsidP="008857E1" w:rsidRDefault="008857E1" w14:paraId="41C6C616"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nil"/>
              <w:bottom w:val="single" w:color="FFFFFF" w:sz="8" w:space="0"/>
              <w:right w:val="single" w:color="FFFFFF" w:sz="8" w:space="0"/>
            </w:tcBorders>
            <w:shd w:val="clear" w:color="000000" w:fill="F2F2F2"/>
            <w:hideMark/>
          </w:tcPr>
          <w:p w:rsidRPr="00BB7074" w:rsidR="008857E1" w:rsidP="008857E1" w:rsidRDefault="008857E1" w14:paraId="01AA0F90"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1270" w:type="dxa"/>
            <w:tcBorders>
              <w:top w:val="nil"/>
              <w:left w:val="nil"/>
              <w:bottom w:val="single" w:color="FFFFFF" w:sz="8" w:space="0"/>
              <w:right w:val="single" w:color="FFFFFF" w:sz="8" w:space="0"/>
            </w:tcBorders>
            <w:shd w:val="clear" w:color="000000" w:fill="F2F2F2"/>
            <w:hideMark/>
          </w:tcPr>
          <w:p w:rsidRPr="00BB7074" w:rsidR="008857E1" w:rsidP="008857E1" w:rsidRDefault="008857E1" w14:paraId="7423CB6B"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Artikel I Protocol</w:t>
            </w:r>
          </w:p>
        </w:tc>
      </w:tr>
      <w:tr w:rsidRPr="00BB7074" w:rsidR="008857E1" w:rsidTr="00A64705" w14:paraId="72AFD101" w14:textId="77777777">
        <w:trPr>
          <w:gridAfter w:val="1"/>
          <w:wAfter w:w="12" w:type="dxa"/>
          <w:trHeight w:val="780"/>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568F36BE"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3.3.10</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4F33EAA5"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xml:space="preserve">Opname van een bepaling op basis waarvan bevoegde autoriteiten afspraken kunnen maken om belastingplichtigen bij </w:t>
            </w:r>
            <w:r w:rsidRPr="00BB7074">
              <w:rPr>
                <w:rFonts w:ascii="Verdana" w:hAnsi="Verdana" w:cs="Calibri"/>
                <w:b/>
                <w:bCs/>
                <w:color w:val="000000"/>
                <w:sz w:val="18"/>
                <w:szCs w:val="18"/>
                <w:lang w:val="nl-NL"/>
              </w:rPr>
              <w:t>onderlinge overlegprocedures</w:t>
            </w:r>
            <w:r w:rsidRPr="00BB7074">
              <w:rPr>
                <w:rFonts w:ascii="Verdana" w:hAnsi="Verdana" w:cs="Calibri"/>
                <w:color w:val="000000"/>
                <w:sz w:val="18"/>
                <w:szCs w:val="18"/>
                <w:lang w:val="nl-NL"/>
              </w:rPr>
              <w:t xml:space="preserve"> geen interest, boetes en kosten in rekening te brengen</w:t>
            </w:r>
          </w:p>
        </w:tc>
        <w:tc>
          <w:tcPr>
            <w:tcW w:w="476" w:type="dxa"/>
            <w:tcBorders>
              <w:top w:val="nil"/>
              <w:left w:val="nil"/>
              <w:bottom w:val="single" w:color="FFFFFF" w:themeColor="background1" w:sz="4" w:space="0"/>
              <w:right w:val="single" w:color="FFFFFF" w:sz="8" w:space="0"/>
            </w:tcBorders>
            <w:shd w:val="clear" w:color="000000" w:fill="F2F2F2"/>
            <w:hideMark/>
          </w:tcPr>
          <w:p w:rsidRPr="00BB7074" w:rsidR="008857E1" w:rsidP="008857E1" w:rsidRDefault="008857E1" w14:paraId="15BD8AB2"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X</w:t>
            </w:r>
          </w:p>
        </w:tc>
        <w:tc>
          <w:tcPr>
            <w:tcW w:w="476" w:type="dxa"/>
            <w:tcBorders>
              <w:top w:val="nil"/>
              <w:left w:val="nil"/>
              <w:bottom w:val="single" w:color="FFFFFF" w:themeColor="background1" w:sz="4" w:space="0"/>
              <w:right w:val="single" w:color="FFFFFF" w:sz="8" w:space="0"/>
            </w:tcBorders>
            <w:shd w:val="clear" w:color="000000" w:fill="F2F2F2"/>
            <w:hideMark/>
          </w:tcPr>
          <w:p w:rsidRPr="00BB7074" w:rsidR="008857E1" w:rsidP="008857E1" w:rsidRDefault="008857E1" w14:paraId="237E7E78"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nil"/>
              <w:bottom w:val="single" w:color="FFFFFF" w:themeColor="background1" w:sz="4" w:space="0"/>
              <w:right w:val="single" w:color="FFFFFF" w:sz="8" w:space="0"/>
            </w:tcBorders>
            <w:shd w:val="clear" w:color="000000" w:fill="F2F2F2"/>
            <w:hideMark/>
          </w:tcPr>
          <w:p w:rsidRPr="00BB7074" w:rsidR="008857E1" w:rsidP="008857E1" w:rsidRDefault="008857E1" w14:paraId="46C69716"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nil"/>
              <w:bottom w:val="single" w:color="FFFFFF" w:themeColor="background1" w:sz="4" w:space="0"/>
              <w:right w:val="single" w:color="FFFFFF" w:sz="8" w:space="0"/>
            </w:tcBorders>
            <w:shd w:val="clear" w:color="000000" w:fill="F2F2F2"/>
            <w:hideMark/>
          </w:tcPr>
          <w:p w:rsidRPr="00BB7074" w:rsidR="008857E1" w:rsidP="008857E1" w:rsidRDefault="008857E1" w14:paraId="4B9F0A7F"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1270" w:type="dxa"/>
            <w:tcBorders>
              <w:top w:val="nil"/>
              <w:left w:val="nil"/>
              <w:bottom w:val="single" w:color="FFFFFF" w:themeColor="background1" w:sz="4" w:space="0"/>
              <w:right w:val="single" w:color="FFFFFF" w:sz="8" w:space="0"/>
            </w:tcBorders>
            <w:shd w:val="clear" w:color="000000" w:fill="F2F2F2"/>
            <w:hideMark/>
          </w:tcPr>
          <w:p w:rsidRPr="00BB7074" w:rsidR="008857E1" w:rsidP="008857E1" w:rsidRDefault="008857E1" w14:paraId="2F628C5E"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Artikel XIII Protocol</w:t>
            </w:r>
          </w:p>
        </w:tc>
      </w:tr>
      <w:tr w:rsidRPr="00BB7074" w:rsidR="008857E1" w:rsidTr="00A64705" w14:paraId="4C144B04" w14:textId="77777777">
        <w:trPr>
          <w:gridAfter w:val="1"/>
          <w:wAfter w:w="12" w:type="dxa"/>
          <w:trHeight w:val="825"/>
        </w:trPr>
        <w:tc>
          <w:tcPr>
            <w:tcW w:w="0" w:type="auto"/>
            <w:tcBorders>
              <w:top w:val="nil"/>
              <w:left w:val="nil"/>
              <w:bottom w:val="single" w:color="FFFFFF" w:sz="8" w:space="0"/>
              <w:right w:val="single" w:color="FFFFFF" w:sz="8" w:space="0"/>
            </w:tcBorders>
            <w:shd w:val="clear" w:color="000000" w:fill="F2F2F2"/>
            <w:hideMark/>
          </w:tcPr>
          <w:p w:rsidRPr="00BB7074" w:rsidR="008857E1" w:rsidP="008857E1" w:rsidRDefault="008857E1" w14:paraId="5DF211EA"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4.12</w:t>
            </w:r>
          </w:p>
        </w:tc>
        <w:tc>
          <w:tcPr>
            <w:tcW w:w="0" w:type="auto"/>
            <w:gridSpan w:val="2"/>
            <w:tcBorders>
              <w:top w:val="single" w:color="FFFFFF" w:sz="8" w:space="0"/>
              <w:left w:val="nil"/>
              <w:bottom w:val="single" w:color="FFFFFF" w:sz="8" w:space="0"/>
              <w:right w:val="single" w:color="FFFFFF" w:themeColor="background1" w:sz="4" w:space="0"/>
            </w:tcBorders>
            <w:shd w:val="clear" w:color="000000" w:fill="F2F2F2"/>
            <w:hideMark/>
          </w:tcPr>
          <w:p w:rsidRPr="00BB7074" w:rsidR="008857E1" w:rsidP="008857E1" w:rsidRDefault="008857E1" w14:paraId="2AA63645"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xml:space="preserve">Opname van een bepaling op basis waarvan de bepalingen over de uitwisseling van informatie en bijstand bij de invordering van belastingen eveneens van toepassing zijn op de Nederlandse inkomensafhankelijke regelingen </w:t>
            </w:r>
            <w:r w:rsidRPr="00BB7074">
              <w:rPr>
                <w:rFonts w:ascii="Verdana" w:hAnsi="Verdana" w:cs="Calibri"/>
                <w:b/>
                <w:bCs/>
                <w:color w:val="000000"/>
                <w:sz w:val="18"/>
                <w:szCs w:val="18"/>
                <w:lang w:val="nl-NL"/>
              </w:rPr>
              <w:t>(toeslagen)</w:t>
            </w:r>
          </w:p>
        </w:tc>
        <w:tc>
          <w:tcPr>
            <w:tcW w:w="4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8857E1" w:rsidP="008857E1" w:rsidRDefault="008857E1" w14:paraId="457CBCFF"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8857E1" w:rsidP="008857E1" w:rsidRDefault="008857E1" w14:paraId="5D6B6ADC"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8857E1" w:rsidP="008857E1" w:rsidRDefault="008857E1" w14:paraId="7CEF6D28"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X</w:t>
            </w:r>
          </w:p>
        </w:tc>
        <w:tc>
          <w:tcPr>
            <w:tcW w:w="4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8857E1" w:rsidP="008857E1" w:rsidRDefault="008857E1" w14:paraId="083BA5AD"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127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8857E1" w:rsidP="008857E1" w:rsidRDefault="008857E1" w14:paraId="734F80FC"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Artikel XIV Protocol</w:t>
            </w:r>
          </w:p>
        </w:tc>
      </w:tr>
      <w:tr w:rsidRPr="00BB7074" w:rsidR="008857E1" w:rsidTr="00A64705" w14:paraId="68E67290" w14:textId="77777777">
        <w:trPr>
          <w:gridAfter w:val="1"/>
          <w:wAfter w:w="12" w:type="dxa"/>
          <w:trHeight w:val="585"/>
        </w:trPr>
        <w:tc>
          <w:tcPr>
            <w:tcW w:w="0" w:type="auto"/>
            <w:tcBorders>
              <w:top w:val="nil"/>
              <w:left w:val="nil"/>
              <w:bottom w:val="single" w:color="FFFFFF" w:sz="8" w:space="0"/>
              <w:right w:val="single" w:color="FFFFFF" w:sz="8" w:space="0"/>
            </w:tcBorders>
            <w:shd w:val="clear" w:color="000000" w:fill="F2F2F2"/>
            <w:hideMark/>
          </w:tcPr>
          <w:p w:rsidRPr="00BB7074" w:rsidR="008857E1" w:rsidP="008857E1" w:rsidRDefault="008857E1" w14:paraId="418EC1E1"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4.13</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1CB09E05"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xml:space="preserve">Opname van een bepaling waar in relevante verdragssituaties is vastgelegd dat </w:t>
            </w:r>
            <w:r w:rsidRPr="00BB7074">
              <w:rPr>
                <w:rFonts w:ascii="Verdana" w:hAnsi="Verdana" w:cs="Calibri"/>
                <w:b/>
                <w:bCs/>
                <w:color w:val="000000"/>
                <w:sz w:val="18"/>
                <w:szCs w:val="18"/>
                <w:lang w:val="nl-NL"/>
              </w:rPr>
              <w:t>ficties of fictieachtige regelingen</w:t>
            </w:r>
            <w:r w:rsidRPr="00BB7074">
              <w:rPr>
                <w:rFonts w:ascii="Verdana" w:hAnsi="Verdana" w:cs="Calibri"/>
                <w:color w:val="000000"/>
                <w:sz w:val="18"/>
                <w:szCs w:val="18"/>
                <w:lang w:val="nl-NL"/>
              </w:rPr>
              <w:t xml:space="preserve"> in de nationale wet doorwerken naar het belastingverdrag</w:t>
            </w:r>
          </w:p>
        </w:tc>
        <w:tc>
          <w:tcPr>
            <w:tcW w:w="476" w:type="dxa"/>
            <w:tcBorders>
              <w:top w:val="single" w:color="FFFFFF" w:themeColor="background1" w:sz="4" w:space="0"/>
              <w:left w:val="nil"/>
              <w:bottom w:val="single" w:color="FFFFFF" w:sz="8" w:space="0"/>
              <w:right w:val="single" w:color="FFFFFF" w:sz="8" w:space="0"/>
            </w:tcBorders>
            <w:shd w:val="clear" w:color="000000" w:fill="F2F2F2"/>
            <w:hideMark/>
          </w:tcPr>
          <w:p w:rsidRPr="00BB7074" w:rsidR="008857E1" w:rsidP="008857E1" w:rsidRDefault="008857E1" w14:paraId="3EAAF205"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single" w:color="FFFFFF" w:themeColor="background1" w:sz="4" w:space="0"/>
              <w:left w:val="nil"/>
              <w:bottom w:val="single" w:color="FFFFFF" w:sz="8" w:space="0"/>
              <w:right w:val="single" w:color="FFFFFF" w:sz="4" w:space="0"/>
            </w:tcBorders>
            <w:shd w:val="clear" w:color="000000" w:fill="F2F2F2"/>
            <w:hideMark/>
          </w:tcPr>
          <w:p w:rsidRPr="00BB7074" w:rsidR="008857E1" w:rsidP="008857E1" w:rsidRDefault="008857E1" w14:paraId="3F13793E"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X</w:t>
            </w:r>
          </w:p>
        </w:tc>
        <w:tc>
          <w:tcPr>
            <w:tcW w:w="476" w:type="dxa"/>
            <w:tcBorders>
              <w:top w:val="single" w:color="FFFFFF" w:themeColor="background1" w:sz="4" w:space="0"/>
              <w:left w:val="nil"/>
              <w:bottom w:val="single" w:color="FFFFFF" w:sz="8" w:space="0"/>
              <w:right w:val="single" w:color="FFFFFF" w:sz="8" w:space="0"/>
            </w:tcBorders>
            <w:shd w:val="clear" w:color="000000" w:fill="F2F2F2"/>
            <w:hideMark/>
          </w:tcPr>
          <w:p w:rsidRPr="00BB7074" w:rsidR="008857E1" w:rsidP="008857E1" w:rsidRDefault="008857E1" w14:paraId="691F07AD"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single" w:color="FFFFFF" w:themeColor="background1" w:sz="4" w:space="0"/>
              <w:left w:val="nil"/>
              <w:bottom w:val="single" w:color="FFFFFF" w:sz="8" w:space="0"/>
              <w:right w:val="single" w:color="FFFFFF" w:sz="8" w:space="0"/>
            </w:tcBorders>
            <w:shd w:val="clear" w:color="000000" w:fill="F2F2F2"/>
            <w:hideMark/>
          </w:tcPr>
          <w:p w:rsidRPr="00BB7074" w:rsidR="008857E1" w:rsidP="008857E1" w:rsidRDefault="008857E1" w14:paraId="667674FA"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1270" w:type="dxa"/>
            <w:tcBorders>
              <w:top w:val="single" w:color="FFFFFF" w:themeColor="background1" w:sz="4" w:space="0"/>
              <w:left w:val="nil"/>
              <w:bottom w:val="single" w:color="FFFFFF" w:sz="8" w:space="0"/>
              <w:right w:val="single" w:color="FFFFFF" w:sz="8" w:space="0"/>
            </w:tcBorders>
            <w:shd w:val="clear" w:color="000000" w:fill="F2F2F2"/>
            <w:hideMark/>
          </w:tcPr>
          <w:p w:rsidRPr="00BB7074" w:rsidR="008857E1" w:rsidP="008857E1" w:rsidRDefault="008857E1" w14:paraId="697281B2"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r>
      <w:tr w:rsidRPr="00ED2AE6" w:rsidR="008857E1" w:rsidTr="00A64705" w14:paraId="21C08D9F" w14:textId="77777777">
        <w:trPr>
          <w:gridAfter w:val="1"/>
          <w:wAfter w:w="12" w:type="dxa"/>
          <w:trHeight w:val="555"/>
        </w:trPr>
        <w:tc>
          <w:tcPr>
            <w:tcW w:w="0" w:type="auto"/>
            <w:tcBorders>
              <w:top w:val="nil"/>
              <w:left w:val="single" w:color="FFFFFF" w:sz="4" w:space="0"/>
              <w:bottom w:val="single" w:color="FFFFFF" w:sz="8" w:space="0"/>
              <w:right w:val="single" w:color="FFFFFF" w:sz="8" w:space="0"/>
            </w:tcBorders>
            <w:shd w:val="clear" w:color="000000" w:fill="8EA9DB"/>
            <w:hideMark/>
          </w:tcPr>
          <w:p w:rsidRPr="00BB7074" w:rsidR="008857E1" w:rsidP="008857E1" w:rsidRDefault="008857E1" w14:paraId="6BC5E38A" w14:textId="77777777">
            <w:pPr>
              <w:spacing w:line="240" w:lineRule="auto"/>
              <w:ind w:firstLine="0"/>
              <w:rPr>
                <w:rFonts w:ascii="Verdana" w:hAnsi="Verdana" w:cs="Calibri"/>
                <w:b/>
                <w:bCs/>
                <w:sz w:val="18"/>
                <w:szCs w:val="18"/>
                <w:lang w:val="nl-NL"/>
              </w:rPr>
            </w:pPr>
            <w:r w:rsidRPr="00BB7074">
              <w:rPr>
                <w:rFonts w:ascii="Verdana" w:hAnsi="Verdana" w:cs="Calibri"/>
                <w:b/>
                <w:bCs/>
                <w:sz w:val="18"/>
                <w:szCs w:val="18"/>
                <w:lang w:val="nl-NL"/>
              </w:rPr>
              <w:t>II</w:t>
            </w:r>
          </w:p>
        </w:tc>
        <w:tc>
          <w:tcPr>
            <w:tcW w:w="0" w:type="auto"/>
            <w:gridSpan w:val="2"/>
            <w:tcBorders>
              <w:top w:val="single" w:color="FFFFFF" w:sz="8" w:space="0"/>
              <w:left w:val="nil"/>
              <w:bottom w:val="single" w:color="FFFFFF" w:sz="8" w:space="0"/>
              <w:right w:val="single" w:color="FFFFFF" w:sz="8" w:space="0"/>
            </w:tcBorders>
            <w:shd w:val="clear" w:color="000000" w:fill="8EA9DB"/>
            <w:vAlign w:val="bottom"/>
            <w:hideMark/>
          </w:tcPr>
          <w:p w:rsidRPr="00BB7074" w:rsidR="008857E1" w:rsidP="008857E1" w:rsidRDefault="008857E1" w14:paraId="21B70E2F" w14:textId="77777777">
            <w:pPr>
              <w:spacing w:line="240" w:lineRule="auto"/>
              <w:ind w:firstLine="0"/>
              <w:rPr>
                <w:rFonts w:ascii="Verdana" w:hAnsi="Verdana" w:cs="Calibri"/>
                <w:b/>
                <w:bCs/>
                <w:sz w:val="18"/>
                <w:szCs w:val="18"/>
                <w:lang w:val="nl-NL"/>
              </w:rPr>
            </w:pPr>
            <w:r w:rsidRPr="00BB7074">
              <w:rPr>
                <w:rFonts w:ascii="Verdana" w:hAnsi="Verdana" w:cs="Calibri"/>
                <w:b/>
                <w:bCs/>
                <w:sz w:val="18"/>
                <w:szCs w:val="18"/>
                <w:lang w:val="nl-NL"/>
              </w:rPr>
              <w:t>Voorkoming dubbele heffing - bepalingen in overeenstemming met het OESO MV volgens het Nederlands verdragsbeleid</w:t>
            </w:r>
          </w:p>
        </w:tc>
        <w:tc>
          <w:tcPr>
            <w:tcW w:w="476" w:type="dxa"/>
            <w:tcBorders>
              <w:top w:val="nil"/>
              <w:left w:val="nil"/>
              <w:bottom w:val="single" w:color="FFFFFF" w:sz="8" w:space="0"/>
              <w:right w:val="single" w:color="FFFFFF" w:sz="8" w:space="0"/>
            </w:tcBorders>
            <w:shd w:val="clear" w:color="000000" w:fill="8EA9DB"/>
            <w:hideMark/>
          </w:tcPr>
          <w:p w:rsidRPr="00BB7074" w:rsidR="008857E1" w:rsidP="008857E1" w:rsidRDefault="008857E1" w14:paraId="06A7EE08"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476" w:type="dxa"/>
            <w:tcBorders>
              <w:top w:val="nil"/>
              <w:left w:val="nil"/>
              <w:bottom w:val="single" w:color="FFFFFF" w:sz="8" w:space="0"/>
              <w:right w:val="single" w:color="FFFFFF" w:sz="8" w:space="0"/>
            </w:tcBorders>
            <w:shd w:val="clear" w:color="000000" w:fill="8EA9DB"/>
            <w:hideMark/>
          </w:tcPr>
          <w:p w:rsidRPr="00BB7074" w:rsidR="008857E1" w:rsidP="008857E1" w:rsidRDefault="008857E1" w14:paraId="73634AEC"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476" w:type="dxa"/>
            <w:tcBorders>
              <w:top w:val="nil"/>
              <w:left w:val="nil"/>
              <w:bottom w:val="single" w:color="FFFFFF" w:sz="8" w:space="0"/>
              <w:right w:val="single" w:color="FFFFFF" w:sz="8" w:space="0"/>
            </w:tcBorders>
            <w:shd w:val="clear" w:color="000000" w:fill="8EA9DB"/>
            <w:hideMark/>
          </w:tcPr>
          <w:p w:rsidRPr="00BB7074" w:rsidR="008857E1" w:rsidP="008857E1" w:rsidRDefault="008857E1" w14:paraId="433E2B68"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476" w:type="dxa"/>
            <w:tcBorders>
              <w:top w:val="nil"/>
              <w:left w:val="nil"/>
              <w:bottom w:val="single" w:color="FFFFFF" w:sz="8" w:space="0"/>
              <w:right w:val="single" w:color="FFFFFF" w:sz="8" w:space="0"/>
            </w:tcBorders>
            <w:shd w:val="clear" w:color="000000" w:fill="8EA9DB"/>
            <w:hideMark/>
          </w:tcPr>
          <w:p w:rsidRPr="00BB7074" w:rsidR="008857E1" w:rsidP="008857E1" w:rsidRDefault="008857E1" w14:paraId="43140F5F"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1270" w:type="dxa"/>
            <w:tcBorders>
              <w:top w:val="nil"/>
              <w:left w:val="nil"/>
              <w:bottom w:val="single" w:color="FFFFFF" w:sz="8" w:space="0"/>
              <w:right w:val="single" w:color="FFFFFF" w:sz="4" w:space="0"/>
            </w:tcBorders>
            <w:shd w:val="clear" w:color="000000" w:fill="8EA9DB"/>
            <w:hideMark/>
          </w:tcPr>
          <w:p w:rsidRPr="00BB7074" w:rsidR="008857E1" w:rsidP="008857E1" w:rsidRDefault="008857E1" w14:paraId="739E7A23"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r>
      <w:tr w:rsidRPr="00BB7074" w:rsidR="008857E1" w:rsidTr="00A64705" w14:paraId="2503E3DA" w14:textId="77777777">
        <w:trPr>
          <w:gridAfter w:val="1"/>
          <w:wAfter w:w="12" w:type="dxa"/>
          <w:trHeight w:val="600"/>
        </w:trPr>
        <w:tc>
          <w:tcPr>
            <w:tcW w:w="0" w:type="auto"/>
            <w:tcBorders>
              <w:top w:val="nil"/>
              <w:left w:val="nil"/>
              <w:bottom w:val="single" w:color="FFFFFF" w:sz="8" w:space="0"/>
              <w:right w:val="single" w:color="FFFFFF" w:sz="8" w:space="0"/>
            </w:tcBorders>
            <w:shd w:val="clear" w:color="000000" w:fill="F2F2F2"/>
            <w:hideMark/>
          </w:tcPr>
          <w:p w:rsidRPr="00BB7074" w:rsidR="008857E1" w:rsidP="008857E1" w:rsidRDefault="008857E1" w14:paraId="7305DECE"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4.1</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43418111" w14:textId="4F53F7C0">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xml:space="preserve">Bepalingen die niet hierboven (in onderdeel I) zijn vermeld zijn </w:t>
            </w:r>
            <w:r w:rsidRPr="00BB7074">
              <w:rPr>
                <w:rFonts w:ascii="Verdana" w:hAnsi="Verdana" w:cs="Calibri"/>
                <w:b/>
                <w:bCs/>
                <w:color w:val="000000"/>
                <w:sz w:val="18"/>
                <w:szCs w:val="18"/>
                <w:lang w:val="nl-NL"/>
              </w:rPr>
              <w:t>in overeenstemming met het OESO-</w:t>
            </w:r>
            <w:r w:rsidRPr="00BB7074" w:rsidR="00C70480">
              <w:rPr>
                <w:rFonts w:ascii="Verdana" w:hAnsi="Verdana" w:cs="Calibri"/>
                <w:b/>
                <w:bCs/>
                <w:color w:val="000000"/>
                <w:sz w:val="18"/>
                <w:szCs w:val="18"/>
                <w:lang w:val="nl-NL"/>
              </w:rPr>
              <w:t>modelverdrag</w:t>
            </w:r>
          </w:p>
        </w:tc>
        <w:tc>
          <w:tcPr>
            <w:tcW w:w="476" w:type="dxa"/>
            <w:tcBorders>
              <w:top w:val="nil"/>
              <w:left w:val="nil"/>
              <w:bottom w:val="single" w:color="FFFFFF" w:themeColor="background1" w:sz="4" w:space="0"/>
              <w:right w:val="single" w:color="FFFFFF" w:sz="8" w:space="0"/>
            </w:tcBorders>
            <w:shd w:val="clear" w:color="000000" w:fill="F2F2F2"/>
            <w:hideMark/>
          </w:tcPr>
          <w:p w:rsidRPr="00BB7074" w:rsidR="008857E1" w:rsidP="008857E1" w:rsidRDefault="008857E1" w14:paraId="4301494F"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nil"/>
              <w:bottom w:val="single" w:color="FFFFFF" w:themeColor="background1" w:sz="4" w:space="0"/>
              <w:right w:val="single" w:color="FFFFFF" w:sz="4" w:space="0"/>
            </w:tcBorders>
            <w:shd w:val="clear" w:color="000000" w:fill="F2F2F2"/>
            <w:hideMark/>
          </w:tcPr>
          <w:p w:rsidRPr="00BB7074" w:rsidR="008857E1" w:rsidP="008857E1" w:rsidRDefault="008857E1" w14:paraId="23663743"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476" w:type="dxa"/>
            <w:tcBorders>
              <w:top w:val="nil"/>
              <w:left w:val="single" w:color="FFFFFF" w:sz="8" w:space="0"/>
              <w:bottom w:val="single" w:color="FFFFFF" w:themeColor="background1" w:sz="4" w:space="0"/>
              <w:right w:val="single" w:color="FFFFFF" w:sz="8" w:space="0"/>
            </w:tcBorders>
            <w:shd w:val="clear" w:color="000000" w:fill="F2F2F2"/>
            <w:hideMark/>
          </w:tcPr>
          <w:p w:rsidRPr="00BB7074" w:rsidR="008857E1" w:rsidP="008857E1" w:rsidRDefault="008857E1" w14:paraId="2362DDD5"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X</w:t>
            </w:r>
          </w:p>
        </w:tc>
        <w:tc>
          <w:tcPr>
            <w:tcW w:w="476" w:type="dxa"/>
            <w:tcBorders>
              <w:top w:val="nil"/>
              <w:left w:val="nil"/>
              <w:bottom w:val="single" w:color="FFFFFF" w:themeColor="background1" w:sz="4" w:space="0"/>
              <w:right w:val="single" w:color="FFFFFF" w:sz="4" w:space="0"/>
            </w:tcBorders>
            <w:shd w:val="clear" w:color="000000" w:fill="F2F2F2"/>
            <w:hideMark/>
          </w:tcPr>
          <w:p w:rsidRPr="00BB7074" w:rsidR="008857E1" w:rsidP="008857E1" w:rsidRDefault="008857E1" w14:paraId="22E4FBB6"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1270" w:type="dxa"/>
            <w:tcBorders>
              <w:top w:val="nil"/>
              <w:left w:val="single" w:color="FFFFFF" w:sz="8" w:space="0"/>
              <w:bottom w:val="single" w:color="FFFFFF" w:themeColor="background1" w:sz="4" w:space="0"/>
              <w:right w:val="single" w:color="FFFFFF" w:sz="4" w:space="0"/>
            </w:tcBorders>
            <w:shd w:val="clear" w:color="000000" w:fill="F2F2F2"/>
            <w:hideMark/>
          </w:tcPr>
          <w:p w:rsidRPr="00BB7074" w:rsidR="008857E1" w:rsidP="008857E1" w:rsidRDefault="008857E1" w14:paraId="45994BF6"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r>
      <w:tr w:rsidRPr="00BB7074" w:rsidR="008857E1" w:rsidTr="00A64705" w14:paraId="0DFDC7FF" w14:textId="77777777">
        <w:trPr>
          <w:trHeight w:val="315"/>
        </w:trPr>
        <w:tc>
          <w:tcPr>
            <w:tcW w:w="0" w:type="auto"/>
            <w:tcBorders>
              <w:top w:val="nil"/>
              <w:left w:val="nil"/>
              <w:bottom w:val="single" w:color="FFFFFF" w:sz="8" w:space="0"/>
              <w:right w:val="single" w:color="FFFFFF" w:sz="8" w:space="0"/>
            </w:tcBorders>
            <w:shd w:val="clear" w:color="000000" w:fill="F2F2F2"/>
            <w:hideMark/>
          </w:tcPr>
          <w:p w:rsidRPr="00BB7074" w:rsidR="008857E1" w:rsidP="008857E1" w:rsidRDefault="008857E1" w14:paraId="2148E09D"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0" w:type="auto"/>
            <w:tcBorders>
              <w:top w:val="nil"/>
              <w:left w:val="nil"/>
              <w:bottom w:val="single" w:color="FFFFFF" w:sz="8" w:space="0"/>
              <w:right w:val="nil"/>
            </w:tcBorders>
            <w:shd w:val="clear" w:color="000000" w:fill="F2F2F2"/>
            <w:hideMark/>
          </w:tcPr>
          <w:p w:rsidRPr="00BB7074" w:rsidR="008857E1" w:rsidP="008857E1" w:rsidRDefault="008857E1" w14:paraId="03DDA647"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0" w:type="auto"/>
            <w:tcBorders>
              <w:top w:val="nil"/>
              <w:left w:val="single" w:color="FFFFFF" w:sz="8" w:space="0"/>
              <w:bottom w:val="single" w:color="FFFFFF" w:sz="8" w:space="0"/>
              <w:right w:val="single" w:color="FFFFFF" w:themeColor="background1" w:sz="4" w:space="0"/>
            </w:tcBorders>
            <w:shd w:val="clear" w:color="000000" w:fill="F2F2F2"/>
            <w:hideMark/>
          </w:tcPr>
          <w:p w:rsidRPr="00BB7074" w:rsidR="008857E1" w:rsidP="008857E1" w:rsidRDefault="008857E1" w14:paraId="6940B0F5"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xml:space="preserve">Zo nee, het betreft de volgende bepalingen </w:t>
            </w:r>
          </w:p>
        </w:tc>
        <w:tc>
          <w:tcPr>
            <w:tcW w:w="476"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2F2F2"/>
            <w:noWrap/>
            <w:hideMark/>
          </w:tcPr>
          <w:p w:rsidRPr="00BB7074" w:rsidR="008857E1" w:rsidP="008857E1" w:rsidRDefault="00F15421" w14:paraId="71D18590" w14:textId="1927F408">
            <w:pPr>
              <w:spacing w:line="240" w:lineRule="auto"/>
              <w:ind w:firstLine="0"/>
              <w:jc w:val="center"/>
              <w:rPr>
                <w:rFonts w:ascii="Verdana" w:hAnsi="Verdana" w:cs="Calibri"/>
                <w:color w:val="000000"/>
                <w:sz w:val="18"/>
                <w:szCs w:val="18"/>
                <w:lang w:val="nl-NL"/>
              </w:rPr>
            </w:pPr>
            <w:r>
              <w:rPr>
                <w:rFonts w:ascii="Verdana" w:hAnsi="Verdana" w:cs="Calibri"/>
                <w:color w:val="000000"/>
                <w:sz w:val="18"/>
                <w:szCs w:val="18"/>
                <w:lang w:val="nl-NL"/>
              </w:rPr>
              <w:t>Artikel 5 (3 en 4), Artikel 7 (5), Artikel 10(4).</w:t>
            </w:r>
          </w:p>
        </w:tc>
      </w:tr>
      <w:tr w:rsidRPr="00ED2AE6" w:rsidR="008857E1" w:rsidTr="00A64705" w14:paraId="7BB55668" w14:textId="77777777">
        <w:trPr>
          <w:gridAfter w:val="1"/>
          <w:wAfter w:w="12" w:type="dxa"/>
          <w:trHeight w:val="555"/>
        </w:trPr>
        <w:tc>
          <w:tcPr>
            <w:tcW w:w="0" w:type="auto"/>
            <w:tcBorders>
              <w:top w:val="nil"/>
              <w:left w:val="single" w:color="FFFFFF" w:sz="4" w:space="0"/>
              <w:bottom w:val="single" w:color="FFFFFF" w:sz="8" w:space="0"/>
              <w:right w:val="single" w:color="FFFFFF" w:sz="8" w:space="0"/>
            </w:tcBorders>
            <w:shd w:val="clear" w:color="000000" w:fill="8EA9DB"/>
            <w:hideMark/>
          </w:tcPr>
          <w:p w:rsidRPr="00BB7074" w:rsidR="008857E1" w:rsidP="008857E1" w:rsidRDefault="008857E1" w14:paraId="1C243830" w14:textId="77777777">
            <w:pPr>
              <w:spacing w:line="240" w:lineRule="auto"/>
              <w:ind w:firstLine="0"/>
              <w:rPr>
                <w:rFonts w:ascii="Verdana" w:hAnsi="Verdana" w:cs="Calibri"/>
                <w:b/>
                <w:bCs/>
                <w:sz w:val="18"/>
                <w:szCs w:val="18"/>
                <w:lang w:val="nl-NL"/>
              </w:rPr>
            </w:pPr>
            <w:r w:rsidRPr="00BB7074">
              <w:rPr>
                <w:rFonts w:ascii="Verdana" w:hAnsi="Verdana" w:cs="Calibri"/>
                <w:b/>
                <w:bCs/>
                <w:sz w:val="18"/>
                <w:szCs w:val="18"/>
                <w:lang w:val="nl-NL"/>
              </w:rPr>
              <w:t>III</w:t>
            </w:r>
          </w:p>
        </w:tc>
        <w:tc>
          <w:tcPr>
            <w:tcW w:w="0" w:type="auto"/>
            <w:gridSpan w:val="2"/>
            <w:tcBorders>
              <w:top w:val="single" w:color="FFFFFF" w:sz="8" w:space="0"/>
              <w:left w:val="nil"/>
              <w:bottom w:val="single" w:color="FFFFFF" w:sz="8" w:space="0"/>
              <w:right w:val="single" w:color="FFFFFF" w:sz="8" w:space="0"/>
            </w:tcBorders>
            <w:shd w:val="clear" w:color="000000" w:fill="8EA9DB"/>
            <w:vAlign w:val="bottom"/>
            <w:hideMark/>
          </w:tcPr>
          <w:p w:rsidRPr="00BB7074" w:rsidR="008857E1" w:rsidP="008857E1" w:rsidRDefault="008857E1" w14:paraId="348C59B0" w14:textId="77777777">
            <w:pPr>
              <w:spacing w:line="240" w:lineRule="auto"/>
              <w:ind w:firstLine="0"/>
              <w:rPr>
                <w:rFonts w:ascii="Verdana" w:hAnsi="Verdana" w:cs="Calibri"/>
                <w:b/>
                <w:bCs/>
                <w:sz w:val="18"/>
                <w:szCs w:val="18"/>
                <w:lang w:val="nl-NL"/>
              </w:rPr>
            </w:pPr>
            <w:r w:rsidRPr="00BB7074">
              <w:rPr>
                <w:rFonts w:ascii="Verdana" w:hAnsi="Verdana" w:cs="Calibri"/>
                <w:b/>
                <w:bCs/>
                <w:sz w:val="18"/>
                <w:szCs w:val="18"/>
                <w:lang w:val="nl-NL"/>
              </w:rPr>
              <w:t>Tegengaan verdragsmisbruik - bepalingen in overeenstemming met het BEPS-project</w:t>
            </w:r>
          </w:p>
        </w:tc>
        <w:tc>
          <w:tcPr>
            <w:tcW w:w="476" w:type="dxa"/>
            <w:tcBorders>
              <w:top w:val="single" w:color="FFFFFF" w:themeColor="background1" w:sz="4" w:space="0"/>
              <w:left w:val="nil"/>
              <w:bottom w:val="single" w:color="FFFFFF" w:sz="8" w:space="0"/>
              <w:right w:val="single" w:color="FFFFFF" w:sz="8" w:space="0"/>
            </w:tcBorders>
            <w:shd w:val="clear" w:color="000000" w:fill="8EA9DB"/>
            <w:hideMark/>
          </w:tcPr>
          <w:p w:rsidRPr="00BB7074" w:rsidR="008857E1" w:rsidP="008857E1" w:rsidRDefault="008857E1" w14:paraId="07597D06"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476" w:type="dxa"/>
            <w:tcBorders>
              <w:top w:val="single" w:color="FFFFFF" w:themeColor="background1" w:sz="4" w:space="0"/>
              <w:left w:val="nil"/>
              <w:bottom w:val="single" w:color="FFFFFF" w:sz="8" w:space="0"/>
              <w:right w:val="single" w:color="FFFFFF" w:sz="8" w:space="0"/>
            </w:tcBorders>
            <w:shd w:val="clear" w:color="000000" w:fill="8EA9DB"/>
            <w:hideMark/>
          </w:tcPr>
          <w:p w:rsidRPr="00BB7074" w:rsidR="008857E1" w:rsidP="008857E1" w:rsidRDefault="008857E1" w14:paraId="0F1DF89E"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476" w:type="dxa"/>
            <w:tcBorders>
              <w:top w:val="single" w:color="FFFFFF" w:themeColor="background1" w:sz="4" w:space="0"/>
              <w:left w:val="nil"/>
              <w:bottom w:val="single" w:color="FFFFFF" w:sz="8" w:space="0"/>
              <w:right w:val="single" w:color="FFFFFF" w:sz="8" w:space="0"/>
            </w:tcBorders>
            <w:shd w:val="clear" w:color="000000" w:fill="8EA9DB"/>
            <w:hideMark/>
          </w:tcPr>
          <w:p w:rsidRPr="00BB7074" w:rsidR="008857E1" w:rsidP="008857E1" w:rsidRDefault="008857E1" w14:paraId="0BD78A09"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476" w:type="dxa"/>
            <w:tcBorders>
              <w:top w:val="single" w:color="FFFFFF" w:themeColor="background1" w:sz="4" w:space="0"/>
              <w:left w:val="nil"/>
              <w:bottom w:val="single" w:color="FFFFFF" w:sz="8" w:space="0"/>
              <w:right w:val="single" w:color="FFFFFF" w:sz="8" w:space="0"/>
            </w:tcBorders>
            <w:shd w:val="clear" w:color="000000" w:fill="8EA9DB"/>
            <w:hideMark/>
          </w:tcPr>
          <w:p w:rsidRPr="00BB7074" w:rsidR="008857E1" w:rsidP="008857E1" w:rsidRDefault="008857E1" w14:paraId="66D73D6E"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1270" w:type="dxa"/>
            <w:tcBorders>
              <w:top w:val="single" w:color="FFFFFF" w:themeColor="background1" w:sz="4" w:space="0"/>
              <w:left w:val="nil"/>
              <w:bottom w:val="single" w:color="FFFFFF" w:sz="8" w:space="0"/>
              <w:right w:val="single" w:color="FFFFFF" w:sz="4" w:space="0"/>
            </w:tcBorders>
            <w:shd w:val="clear" w:color="000000" w:fill="8EA9DB"/>
            <w:hideMark/>
          </w:tcPr>
          <w:p w:rsidRPr="00BB7074" w:rsidR="008857E1" w:rsidP="008857E1" w:rsidRDefault="008857E1" w14:paraId="6A5C8DB5"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r>
      <w:tr w:rsidRPr="00BB7074" w:rsidR="008857E1" w:rsidTr="00EC4295" w14:paraId="62632C49" w14:textId="77777777">
        <w:trPr>
          <w:gridAfter w:val="1"/>
          <w:wAfter w:w="12" w:type="dxa"/>
          <w:trHeight w:val="600"/>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BB7074" w:rsidR="008857E1" w:rsidP="008857E1" w:rsidRDefault="008857E1" w14:paraId="76C0C512" w14:textId="77777777">
            <w:pPr>
              <w:spacing w:line="240" w:lineRule="auto"/>
              <w:ind w:firstLine="0"/>
              <w:rPr>
                <w:rFonts w:ascii="Verdana" w:hAnsi="Verdana" w:cs="Calibri"/>
                <w:i/>
                <w:iCs/>
                <w:sz w:val="18"/>
                <w:szCs w:val="18"/>
                <w:lang w:val="nl-NL"/>
              </w:rPr>
            </w:pPr>
            <w:r w:rsidRPr="00BB7074">
              <w:rPr>
                <w:rFonts w:ascii="Verdana" w:hAnsi="Verdana" w:cs="Calibri"/>
                <w:i/>
                <w:iCs/>
                <w:sz w:val="18"/>
                <w:szCs w:val="18"/>
                <w:lang w:val="nl-NL"/>
              </w:rPr>
              <w:t> </w:t>
            </w:r>
          </w:p>
        </w:tc>
        <w:tc>
          <w:tcPr>
            <w:tcW w:w="0" w:type="auto"/>
            <w:gridSpan w:val="2"/>
            <w:tcBorders>
              <w:top w:val="nil"/>
              <w:left w:val="nil"/>
              <w:bottom w:val="nil"/>
              <w:right w:val="nil"/>
            </w:tcBorders>
            <w:shd w:val="clear" w:color="000000" w:fill="DDEBF7"/>
            <w:vAlign w:val="bottom"/>
            <w:hideMark/>
          </w:tcPr>
          <w:p w:rsidRPr="00BB7074" w:rsidR="008857E1" w:rsidP="008857E1" w:rsidRDefault="008857E1" w14:paraId="5C5535F4" w14:textId="77777777">
            <w:pPr>
              <w:spacing w:line="240" w:lineRule="auto"/>
              <w:ind w:firstLine="0"/>
              <w:rPr>
                <w:rFonts w:ascii="Verdana" w:hAnsi="Verdana" w:cs="Calibri"/>
                <w:b/>
                <w:bCs/>
                <w:i/>
                <w:iCs/>
                <w:sz w:val="18"/>
                <w:szCs w:val="18"/>
                <w:lang w:val="nl-NL"/>
              </w:rPr>
            </w:pPr>
            <w:r w:rsidRPr="00BB7074">
              <w:rPr>
                <w:rFonts w:ascii="Verdana" w:hAnsi="Verdana" w:cs="Calibri"/>
                <w:b/>
                <w:bCs/>
                <w:i/>
                <w:iCs/>
                <w:sz w:val="18"/>
                <w:szCs w:val="18"/>
                <w:lang w:val="nl-NL"/>
              </w:rPr>
              <w:t>Minimumstandaarden</w:t>
            </w:r>
          </w:p>
        </w:tc>
        <w:tc>
          <w:tcPr>
            <w:tcW w:w="476" w:type="dxa"/>
            <w:tcBorders>
              <w:top w:val="nil"/>
              <w:left w:val="single" w:color="FFFFFF" w:sz="8" w:space="0"/>
              <w:bottom w:val="single" w:color="FFFFFF" w:sz="8" w:space="0"/>
              <w:right w:val="single" w:color="FFFFFF" w:sz="8" w:space="0"/>
            </w:tcBorders>
            <w:shd w:val="clear" w:color="000000" w:fill="DDEBF7"/>
            <w:hideMark/>
          </w:tcPr>
          <w:p w:rsidRPr="00BB7074" w:rsidR="008857E1" w:rsidP="008857E1" w:rsidRDefault="008857E1" w14:paraId="4C03B991"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532"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45F2C70B"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749"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0DCAC2E5"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687"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36A39320"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1270" w:type="dxa"/>
            <w:tcBorders>
              <w:top w:val="nil"/>
              <w:left w:val="nil"/>
              <w:bottom w:val="single" w:color="FFFFFF" w:sz="8" w:space="0"/>
              <w:right w:val="single" w:color="FFFFFF" w:sz="4" w:space="0"/>
            </w:tcBorders>
            <w:shd w:val="clear" w:color="000000" w:fill="DDEBF7"/>
            <w:hideMark/>
          </w:tcPr>
          <w:p w:rsidRPr="00BB7074" w:rsidR="008857E1" w:rsidP="008857E1" w:rsidRDefault="008857E1" w14:paraId="3C4FF47D"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r>
      <w:tr w:rsidRPr="00BB7074" w:rsidR="008857E1" w:rsidTr="00EC4295" w14:paraId="37387ABA" w14:textId="77777777">
        <w:trPr>
          <w:gridAfter w:val="1"/>
          <w:wAfter w:w="12" w:type="dxa"/>
          <w:trHeight w:val="395"/>
        </w:trPr>
        <w:tc>
          <w:tcPr>
            <w:tcW w:w="0" w:type="auto"/>
            <w:tcBorders>
              <w:top w:val="nil"/>
              <w:left w:val="nil"/>
              <w:bottom w:val="single" w:color="FFFFFF" w:sz="8" w:space="0"/>
              <w:right w:val="single" w:color="FFFFFF" w:sz="8" w:space="0"/>
            </w:tcBorders>
            <w:shd w:val="clear" w:color="000000" w:fill="F2F2F2"/>
            <w:hideMark/>
          </w:tcPr>
          <w:p w:rsidRPr="00BB7074" w:rsidR="008857E1" w:rsidP="008857E1" w:rsidRDefault="008857E1" w14:paraId="11A6D44C"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3.2</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482B310A"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xml:space="preserve">Opname van de </w:t>
            </w:r>
            <w:r w:rsidRPr="00BB7074">
              <w:rPr>
                <w:rFonts w:ascii="Verdana" w:hAnsi="Verdana" w:cs="Calibri"/>
                <w:b/>
                <w:bCs/>
                <w:color w:val="000000"/>
                <w:sz w:val="18"/>
                <w:szCs w:val="18"/>
                <w:lang w:val="nl-NL"/>
              </w:rPr>
              <w:t>minimumstandaarden</w:t>
            </w:r>
            <w:r w:rsidRPr="00BB7074">
              <w:rPr>
                <w:rFonts w:ascii="Verdana" w:hAnsi="Verdana" w:cs="Calibri"/>
                <w:color w:val="000000"/>
                <w:sz w:val="18"/>
                <w:szCs w:val="18"/>
                <w:lang w:val="nl-NL"/>
              </w:rPr>
              <w:t xml:space="preserve"> van het BEPS-project</w:t>
            </w:r>
          </w:p>
        </w:tc>
        <w:tc>
          <w:tcPr>
            <w:tcW w:w="476" w:type="dxa"/>
            <w:tcBorders>
              <w:top w:val="nil"/>
              <w:left w:val="nil"/>
              <w:bottom w:val="single" w:color="FFFFFF" w:sz="8" w:space="0"/>
              <w:right w:val="single" w:color="FFFFFF" w:sz="8" w:space="0"/>
            </w:tcBorders>
            <w:shd w:val="clear" w:color="000000" w:fill="F2F2F2"/>
            <w:hideMark/>
          </w:tcPr>
          <w:p w:rsidRPr="00BB7074" w:rsidR="008857E1" w:rsidP="008857E1" w:rsidRDefault="008857E1" w14:paraId="3C0526C6"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X</w:t>
            </w:r>
          </w:p>
        </w:tc>
        <w:tc>
          <w:tcPr>
            <w:tcW w:w="532"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2CAD411D"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749" w:type="dxa"/>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0DA7BE72"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687"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7741C4C5"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8857E1" w:rsidP="008857E1" w:rsidRDefault="008857E1" w14:paraId="3126C3F6"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r>
      <w:tr w:rsidRPr="00BB7074" w:rsidR="008857E1" w:rsidTr="00EC4295" w14:paraId="00F8D887" w14:textId="77777777">
        <w:trPr>
          <w:gridAfter w:val="1"/>
          <w:wAfter w:w="12" w:type="dxa"/>
          <w:trHeight w:val="555"/>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BB7074" w:rsidR="008857E1" w:rsidP="008857E1" w:rsidRDefault="008857E1" w14:paraId="0CC8FA8E" w14:textId="77777777">
            <w:pPr>
              <w:spacing w:line="240" w:lineRule="auto"/>
              <w:ind w:firstLine="0"/>
              <w:rPr>
                <w:rFonts w:ascii="Verdana" w:hAnsi="Verdana" w:cs="Calibri"/>
                <w:i/>
                <w:iCs/>
                <w:sz w:val="18"/>
                <w:szCs w:val="18"/>
                <w:lang w:val="nl-NL"/>
              </w:rPr>
            </w:pPr>
            <w:r w:rsidRPr="00BB7074">
              <w:rPr>
                <w:rFonts w:ascii="Verdana" w:hAnsi="Verdana" w:cs="Calibri"/>
                <w:i/>
                <w:iCs/>
                <w:sz w:val="18"/>
                <w:szCs w:val="18"/>
                <w:lang w:val="nl-NL"/>
              </w:rPr>
              <w:lastRenderedPageBreak/>
              <w:t> </w:t>
            </w:r>
          </w:p>
        </w:tc>
        <w:tc>
          <w:tcPr>
            <w:tcW w:w="0" w:type="auto"/>
            <w:gridSpan w:val="2"/>
            <w:tcBorders>
              <w:top w:val="nil"/>
              <w:left w:val="nil"/>
              <w:bottom w:val="nil"/>
              <w:right w:val="nil"/>
            </w:tcBorders>
            <w:shd w:val="clear" w:color="000000" w:fill="DDEBF7"/>
            <w:vAlign w:val="bottom"/>
            <w:hideMark/>
          </w:tcPr>
          <w:p w:rsidRPr="00BB7074" w:rsidR="008857E1" w:rsidP="008857E1" w:rsidRDefault="008857E1" w14:paraId="1540C9EB" w14:textId="77777777">
            <w:pPr>
              <w:spacing w:line="240" w:lineRule="auto"/>
              <w:ind w:firstLine="0"/>
              <w:rPr>
                <w:rFonts w:ascii="Verdana" w:hAnsi="Verdana" w:cs="Calibri"/>
                <w:b/>
                <w:bCs/>
                <w:i/>
                <w:iCs/>
                <w:sz w:val="18"/>
                <w:szCs w:val="18"/>
                <w:lang w:val="nl-NL"/>
              </w:rPr>
            </w:pPr>
            <w:r w:rsidRPr="00BB7074">
              <w:rPr>
                <w:rFonts w:ascii="Verdana" w:hAnsi="Verdana" w:cs="Calibri"/>
                <w:b/>
                <w:bCs/>
                <w:i/>
                <w:iCs/>
                <w:sz w:val="18"/>
                <w:szCs w:val="18"/>
                <w:lang w:val="nl-NL"/>
              </w:rPr>
              <w:t>Overige maatregelen BEPS-project</w:t>
            </w:r>
          </w:p>
        </w:tc>
        <w:tc>
          <w:tcPr>
            <w:tcW w:w="476" w:type="dxa"/>
            <w:tcBorders>
              <w:top w:val="nil"/>
              <w:left w:val="single" w:color="FFFFFF" w:sz="8" w:space="0"/>
              <w:bottom w:val="single" w:color="FFFFFF" w:sz="8" w:space="0"/>
              <w:right w:val="single" w:color="FFFFFF" w:sz="8" w:space="0"/>
            </w:tcBorders>
            <w:shd w:val="clear" w:color="000000" w:fill="DDEBF7"/>
            <w:hideMark/>
          </w:tcPr>
          <w:p w:rsidRPr="00BB7074" w:rsidR="008857E1" w:rsidP="008857E1" w:rsidRDefault="008857E1" w14:paraId="718EF5EA"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532"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147CFF08"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749"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1A509479"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687"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205CB323"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1270" w:type="dxa"/>
            <w:tcBorders>
              <w:top w:val="nil"/>
              <w:left w:val="nil"/>
              <w:bottom w:val="single" w:color="FFFFFF" w:sz="8" w:space="0"/>
              <w:right w:val="single" w:color="FFFFFF" w:sz="4" w:space="0"/>
            </w:tcBorders>
            <w:shd w:val="clear" w:color="000000" w:fill="DDEBF7"/>
            <w:hideMark/>
          </w:tcPr>
          <w:p w:rsidRPr="00BB7074" w:rsidR="008857E1" w:rsidP="008857E1" w:rsidRDefault="008857E1" w14:paraId="1F50FCA4"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r>
      <w:tr w:rsidRPr="00BB7074" w:rsidR="008857E1" w:rsidTr="00EC4295" w14:paraId="535682E5" w14:textId="77777777">
        <w:trPr>
          <w:gridAfter w:val="1"/>
          <w:wAfter w:w="12" w:type="dxa"/>
          <w:trHeight w:val="31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65976851"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3.3</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7C89CAE2"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Opname van de</w:t>
            </w:r>
            <w:r w:rsidRPr="00BB7074">
              <w:rPr>
                <w:rFonts w:ascii="Verdana" w:hAnsi="Verdana" w:cs="Calibri"/>
                <w:b/>
                <w:bCs/>
                <w:color w:val="000000"/>
                <w:sz w:val="18"/>
                <w:szCs w:val="18"/>
                <w:lang w:val="nl-NL"/>
              </w:rPr>
              <w:t xml:space="preserve"> overige aanvullende maatregelen</w:t>
            </w:r>
            <w:r w:rsidRPr="00BB7074">
              <w:rPr>
                <w:rFonts w:ascii="Verdana" w:hAnsi="Verdana" w:cs="Calibri"/>
                <w:color w:val="000000"/>
                <w:sz w:val="18"/>
                <w:szCs w:val="18"/>
                <w:lang w:val="nl-NL"/>
              </w:rPr>
              <w:t xml:space="preserve"> van het BEPS-project</w:t>
            </w:r>
          </w:p>
        </w:tc>
        <w:tc>
          <w:tcPr>
            <w:tcW w:w="476" w:type="dxa"/>
            <w:tcBorders>
              <w:top w:val="nil"/>
              <w:left w:val="nil"/>
              <w:bottom w:val="single" w:color="FFFFFF" w:themeColor="background1" w:sz="4" w:space="0"/>
              <w:right w:val="single" w:color="FFFFFF" w:sz="8" w:space="0"/>
            </w:tcBorders>
            <w:shd w:val="clear" w:color="000000" w:fill="F2F2F2"/>
            <w:hideMark/>
          </w:tcPr>
          <w:p w:rsidRPr="00BB7074" w:rsidR="008857E1" w:rsidP="008857E1" w:rsidRDefault="008857E1" w14:paraId="4D393524"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X</w:t>
            </w:r>
          </w:p>
        </w:tc>
        <w:tc>
          <w:tcPr>
            <w:tcW w:w="532" w:type="dxa"/>
            <w:tcBorders>
              <w:top w:val="nil"/>
              <w:left w:val="nil"/>
              <w:bottom w:val="single" w:color="FFFFFF" w:themeColor="background1" w:sz="4" w:space="0"/>
              <w:right w:val="single" w:color="FFFFFF" w:sz="4" w:space="0"/>
            </w:tcBorders>
            <w:shd w:val="clear" w:color="000000" w:fill="F2F2F2"/>
            <w:hideMark/>
          </w:tcPr>
          <w:p w:rsidRPr="00BB7074" w:rsidR="008857E1" w:rsidP="008857E1" w:rsidRDefault="008857E1" w14:paraId="26B8756E"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749" w:type="dxa"/>
            <w:tcBorders>
              <w:top w:val="nil"/>
              <w:left w:val="single" w:color="FFFFFF" w:sz="8" w:space="0"/>
              <w:bottom w:val="single" w:color="FFFFFF" w:themeColor="background1" w:sz="4" w:space="0"/>
              <w:right w:val="single" w:color="FFFFFF" w:sz="8" w:space="0"/>
            </w:tcBorders>
            <w:shd w:val="clear" w:color="000000" w:fill="F2F2F2"/>
            <w:hideMark/>
          </w:tcPr>
          <w:p w:rsidRPr="00BB7074" w:rsidR="008857E1" w:rsidP="008857E1" w:rsidRDefault="008857E1" w14:paraId="0D7DBE27"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687" w:type="dxa"/>
            <w:tcBorders>
              <w:top w:val="nil"/>
              <w:left w:val="nil"/>
              <w:bottom w:val="single" w:color="FFFFFF" w:themeColor="background1" w:sz="4" w:space="0"/>
              <w:right w:val="single" w:color="FFFFFF" w:sz="4" w:space="0"/>
            </w:tcBorders>
            <w:shd w:val="clear" w:color="000000" w:fill="F2F2F2"/>
            <w:hideMark/>
          </w:tcPr>
          <w:p w:rsidRPr="00BB7074" w:rsidR="008857E1" w:rsidP="008857E1" w:rsidRDefault="008857E1" w14:paraId="2BF492B2"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1270" w:type="dxa"/>
            <w:tcBorders>
              <w:top w:val="nil"/>
              <w:left w:val="single" w:color="FFFFFF" w:sz="8" w:space="0"/>
              <w:bottom w:val="single" w:color="FFFFFF" w:themeColor="background1" w:sz="4" w:space="0"/>
              <w:right w:val="single" w:color="FFFFFF" w:sz="4" w:space="0"/>
            </w:tcBorders>
            <w:shd w:val="clear" w:color="000000" w:fill="F2F2F2"/>
            <w:hideMark/>
          </w:tcPr>
          <w:p w:rsidRPr="00BB7074" w:rsidR="008857E1" w:rsidP="008857E1" w:rsidRDefault="008857E1" w14:paraId="60AC76CD"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r>
      <w:tr w:rsidRPr="00ED2AE6" w:rsidR="008857E1" w:rsidTr="00EC4295" w14:paraId="484D7FDE" w14:textId="77777777">
        <w:trPr>
          <w:trHeight w:val="61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38E85EAA"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0" w:type="auto"/>
            <w:tcBorders>
              <w:top w:val="nil"/>
              <w:left w:val="nil"/>
              <w:bottom w:val="single" w:color="FFFFFF" w:sz="8" w:space="0"/>
              <w:right w:val="nil"/>
            </w:tcBorders>
            <w:shd w:val="clear" w:color="000000" w:fill="F2F2F2"/>
            <w:hideMark/>
          </w:tcPr>
          <w:p w:rsidRPr="00BB7074" w:rsidR="008857E1" w:rsidP="008857E1" w:rsidRDefault="008857E1" w14:paraId="45846092"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0" w:type="auto"/>
            <w:tcBorders>
              <w:top w:val="nil"/>
              <w:left w:val="single" w:color="FFFFFF" w:sz="8" w:space="0"/>
              <w:bottom w:val="single" w:color="FFFFFF" w:sz="8" w:space="0"/>
              <w:right w:val="single" w:color="FFFFFF" w:themeColor="background1" w:sz="4" w:space="0"/>
            </w:tcBorders>
            <w:shd w:val="clear" w:color="000000" w:fill="F2F2F2"/>
            <w:hideMark/>
          </w:tcPr>
          <w:p w:rsidRPr="00BB7074" w:rsidR="008857E1" w:rsidP="008857E1" w:rsidRDefault="008857E1" w14:paraId="02799F74"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Zo ja, het betreft de volgende overige maatregelen van het BEPS-project:</w:t>
            </w:r>
          </w:p>
        </w:tc>
        <w:tc>
          <w:tcPr>
            <w:tcW w:w="3726"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2F2F2"/>
            <w:noWrap/>
            <w:hideMark/>
          </w:tcPr>
          <w:p w:rsidRPr="00BB7074" w:rsidR="008857E1" w:rsidP="008857E1" w:rsidRDefault="008857E1" w14:paraId="0EE6D386"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Zie paragraaf 'Opzet en korte samenvatting'</w:t>
            </w:r>
          </w:p>
        </w:tc>
      </w:tr>
      <w:tr w:rsidRPr="00ED2AE6" w:rsidR="008857E1" w:rsidTr="00EC4295" w14:paraId="7627F8E3" w14:textId="77777777">
        <w:trPr>
          <w:gridAfter w:val="1"/>
          <w:wAfter w:w="12" w:type="dxa"/>
          <w:trHeight w:val="330"/>
        </w:trPr>
        <w:tc>
          <w:tcPr>
            <w:tcW w:w="0" w:type="auto"/>
            <w:tcBorders>
              <w:top w:val="nil"/>
              <w:left w:val="single" w:color="FFFFFF" w:sz="4" w:space="0"/>
              <w:bottom w:val="single" w:color="FFFFFF" w:sz="8" w:space="0"/>
              <w:right w:val="single" w:color="FFFFFF" w:sz="8" w:space="0"/>
            </w:tcBorders>
            <w:shd w:val="clear" w:color="000000" w:fill="8EA9DB"/>
            <w:vAlign w:val="bottom"/>
            <w:hideMark/>
          </w:tcPr>
          <w:p w:rsidRPr="00BB7074" w:rsidR="008857E1" w:rsidP="008857E1" w:rsidRDefault="008857E1" w14:paraId="602F3D5D" w14:textId="77777777">
            <w:pPr>
              <w:spacing w:line="240" w:lineRule="auto"/>
              <w:ind w:firstLine="0"/>
              <w:rPr>
                <w:rFonts w:ascii="Verdana" w:hAnsi="Verdana" w:cs="Calibri"/>
                <w:b/>
                <w:bCs/>
                <w:sz w:val="18"/>
                <w:szCs w:val="18"/>
                <w:lang w:val="nl-NL"/>
              </w:rPr>
            </w:pPr>
            <w:r w:rsidRPr="00BB7074">
              <w:rPr>
                <w:rFonts w:ascii="Verdana" w:hAnsi="Verdana" w:cs="Calibri"/>
                <w:b/>
                <w:bCs/>
                <w:sz w:val="18"/>
                <w:szCs w:val="18"/>
                <w:lang w:val="nl-NL"/>
              </w:rPr>
              <w:t>IV</w:t>
            </w:r>
          </w:p>
        </w:tc>
        <w:tc>
          <w:tcPr>
            <w:tcW w:w="0" w:type="auto"/>
            <w:gridSpan w:val="2"/>
            <w:tcBorders>
              <w:top w:val="single" w:color="FFFFFF" w:sz="8" w:space="0"/>
              <w:left w:val="nil"/>
              <w:bottom w:val="single" w:color="FFFFFF" w:sz="8" w:space="0"/>
              <w:right w:val="single" w:color="FFFFFF" w:sz="8" w:space="0"/>
            </w:tcBorders>
            <w:shd w:val="clear" w:color="000000" w:fill="8EA9DB"/>
            <w:vAlign w:val="bottom"/>
            <w:hideMark/>
          </w:tcPr>
          <w:p w:rsidRPr="00BB7074" w:rsidR="008857E1" w:rsidP="008857E1" w:rsidRDefault="008857E1" w14:paraId="0F521133" w14:textId="6D72560F">
            <w:pPr>
              <w:spacing w:line="240" w:lineRule="auto"/>
              <w:ind w:firstLine="0"/>
              <w:rPr>
                <w:rFonts w:ascii="Verdana" w:hAnsi="Verdana" w:cs="Calibri"/>
                <w:b/>
                <w:bCs/>
                <w:sz w:val="18"/>
                <w:szCs w:val="18"/>
                <w:lang w:val="nl-NL"/>
              </w:rPr>
            </w:pPr>
            <w:r w:rsidRPr="00BB7074">
              <w:rPr>
                <w:rFonts w:ascii="Verdana" w:hAnsi="Verdana" w:cs="Calibri"/>
                <w:b/>
                <w:bCs/>
                <w:sz w:val="18"/>
                <w:szCs w:val="18"/>
                <w:lang w:val="nl-NL"/>
              </w:rPr>
              <w:t>Verdragen met specifieke categorieën landen</w:t>
            </w:r>
          </w:p>
        </w:tc>
        <w:tc>
          <w:tcPr>
            <w:tcW w:w="476" w:type="dxa"/>
            <w:tcBorders>
              <w:top w:val="single" w:color="FFFFFF" w:sz="8" w:space="0"/>
              <w:left w:val="nil"/>
              <w:bottom w:val="single" w:color="FFFFFF" w:sz="8" w:space="0"/>
              <w:right w:val="single" w:color="FFFFFF" w:sz="8" w:space="0"/>
            </w:tcBorders>
            <w:shd w:val="clear" w:color="000000" w:fill="8EA9DB"/>
            <w:hideMark/>
          </w:tcPr>
          <w:p w:rsidRPr="00BB7074" w:rsidR="008857E1" w:rsidP="008857E1" w:rsidRDefault="008857E1" w14:paraId="5A6A8108"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532" w:type="dxa"/>
            <w:tcBorders>
              <w:top w:val="single" w:color="FFFFFF" w:sz="8" w:space="0"/>
              <w:left w:val="nil"/>
              <w:bottom w:val="single" w:color="FFFFFF" w:sz="8" w:space="0"/>
              <w:right w:val="single" w:color="FFFFFF" w:sz="8" w:space="0"/>
            </w:tcBorders>
            <w:shd w:val="clear" w:color="000000" w:fill="8EA9DB"/>
            <w:hideMark/>
          </w:tcPr>
          <w:p w:rsidRPr="00BB7074" w:rsidR="008857E1" w:rsidP="008857E1" w:rsidRDefault="008857E1" w14:paraId="42E4EFE4"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749" w:type="dxa"/>
            <w:tcBorders>
              <w:top w:val="single" w:color="FFFFFF" w:sz="8" w:space="0"/>
              <w:left w:val="nil"/>
              <w:bottom w:val="single" w:color="FFFFFF" w:sz="8" w:space="0"/>
              <w:right w:val="single" w:color="FFFFFF" w:sz="8" w:space="0"/>
            </w:tcBorders>
            <w:shd w:val="clear" w:color="000000" w:fill="8EA9DB"/>
            <w:hideMark/>
          </w:tcPr>
          <w:p w:rsidRPr="00BB7074" w:rsidR="008857E1" w:rsidP="008857E1" w:rsidRDefault="008857E1" w14:paraId="63D3CB74"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687" w:type="dxa"/>
            <w:tcBorders>
              <w:top w:val="single" w:color="FFFFFF" w:sz="8" w:space="0"/>
              <w:left w:val="nil"/>
              <w:bottom w:val="single" w:color="FFFFFF" w:sz="8" w:space="0"/>
              <w:right w:val="single" w:color="FFFFFF" w:sz="8" w:space="0"/>
            </w:tcBorders>
            <w:shd w:val="clear" w:color="000000" w:fill="8EA9DB"/>
            <w:hideMark/>
          </w:tcPr>
          <w:p w:rsidRPr="00BB7074" w:rsidR="008857E1" w:rsidP="008857E1" w:rsidRDefault="008857E1" w14:paraId="4F3101DF"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1270" w:type="dxa"/>
            <w:tcBorders>
              <w:top w:val="single" w:color="FFFFFF" w:sz="8" w:space="0"/>
              <w:left w:val="nil"/>
              <w:bottom w:val="single" w:color="FFFFFF" w:sz="8" w:space="0"/>
              <w:right w:val="single" w:color="FFFFFF" w:sz="4" w:space="0"/>
            </w:tcBorders>
            <w:shd w:val="clear" w:color="000000" w:fill="8EA9DB"/>
            <w:hideMark/>
          </w:tcPr>
          <w:p w:rsidRPr="00BB7074" w:rsidR="008857E1" w:rsidP="008857E1" w:rsidRDefault="008857E1" w14:paraId="2621B4F6"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r>
      <w:tr w:rsidRPr="00ED2AE6" w:rsidR="008857E1" w:rsidTr="00EC4295" w14:paraId="2D715CBD" w14:textId="77777777">
        <w:trPr>
          <w:gridAfter w:val="1"/>
          <w:wAfter w:w="12" w:type="dxa"/>
          <w:trHeight w:val="675"/>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BB7074" w:rsidR="008857E1" w:rsidP="008857E1" w:rsidRDefault="008857E1" w14:paraId="76840D27" w14:textId="77777777">
            <w:pPr>
              <w:spacing w:line="240" w:lineRule="auto"/>
              <w:ind w:firstLine="0"/>
              <w:rPr>
                <w:rFonts w:ascii="Verdana" w:hAnsi="Verdana" w:cs="Calibri"/>
                <w:i/>
                <w:iCs/>
                <w:sz w:val="18"/>
                <w:szCs w:val="18"/>
                <w:lang w:val="nl-NL"/>
              </w:rPr>
            </w:pPr>
            <w:r w:rsidRPr="00BB7074">
              <w:rPr>
                <w:rFonts w:ascii="Verdana" w:hAnsi="Verdana" w:cs="Calibri"/>
                <w:i/>
                <w:iCs/>
                <w:sz w:val="18"/>
                <w:szCs w:val="18"/>
                <w:lang w:val="nl-NL"/>
              </w:rPr>
              <w:t> </w:t>
            </w:r>
          </w:p>
        </w:tc>
        <w:tc>
          <w:tcPr>
            <w:tcW w:w="0" w:type="auto"/>
            <w:gridSpan w:val="2"/>
            <w:tcBorders>
              <w:top w:val="nil"/>
              <w:left w:val="nil"/>
              <w:bottom w:val="nil"/>
              <w:right w:val="nil"/>
            </w:tcBorders>
            <w:shd w:val="clear" w:color="000000" w:fill="DDEBF7"/>
            <w:vAlign w:val="bottom"/>
            <w:hideMark/>
          </w:tcPr>
          <w:p w:rsidRPr="00BB7074" w:rsidR="008857E1" w:rsidP="008857E1" w:rsidRDefault="008857E1" w14:paraId="42F99890" w14:textId="77777777">
            <w:pPr>
              <w:spacing w:line="240" w:lineRule="auto"/>
              <w:ind w:firstLine="0"/>
              <w:rPr>
                <w:rFonts w:ascii="Verdana" w:hAnsi="Verdana" w:cs="Calibri"/>
                <w:b/>
                <w:bCs/>
                <w:i/>
                <w:iCs/>
                <w:sz w:val="18"/>
                <w:szCs w:val="18"/>
                <w:lang w:val="nl-NL"/>
              </w:rPr>
            </w:pPr>
            <w:r w:rsidRPr="00BB7074">
              <w:rPr>
                <w:rFonts w:ascii="Verdana" w:hAnsi="Verdana" w:cs="Calibri"/>
                <w:b/>
                <w:bCs/>
                <w:i/>
                <w:iCs/>
                <w:sz w:val="18"/>
                <w:szCs w:val="18"/>
                <w:lang w:val="nl-NL"/>
              </w:rPr>
              <w:t>Verdragen met buurlanden voor grensarbeiders</w:t>
            </w:r>
          </w:p>
        </w:tc>
        <w:tc>
          <w:tcPr>
            <w:tcW w:w="476" w:type="dxa"/>
            <w:tcBorders>
              <w:top w:val="nil"/>
              <w:left w:val="single" w:color="FFFFFF" w:sz="8" w:space="0"/>
              <w:bottom w:val="single" w:color="FFFFFF" w:sz="8" w:space="0"/>
              <w:right w:val="single" w:color="FFFFFF" w:sz="8" w:space="0"/>
            </w:tcBorders>
            <w:shd w:val="clear" w:color="000000" w:fill="DDEBF7"/>
            <w:hideMark/>
          </w:tcPr>
          <w:p w:rsidRPr="00BB7074" w:rsidR="008857E1" w:rsidP="008857E1" w:rsidRDefault="008857E1" w14:paraId="7C5EAED7"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532"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576668D6"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749"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0ED0C7F7"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687"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7A94099F"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1270"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1C421020"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r>
      <w:tr w:rsidRPr="00BB7074" w:rsidR="008857E1" w:rsidTr="00EC4295" w14:paraId="1BF81253" w14:textId="77777777">
        <w:trPr>
          <w:gridAfter w:val="1"/>
          <w:wAfter w:w="12" w:type="dxa"/>
          <w:trHeight w:val="383"/>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70FF9294"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5.1</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17A72264"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Opname bepalingen voor</w:t>
            </w:r>
            <w:r w:rsidRPr="00BB7074">
              <w:rPr>
                <w:rFonts w:ascii="Verdana" w:hAnsi="Verdana" w:cs="Calibri"/>
                <w:b/>
                <w:bCs/>
                <w:color w:val="000000"/>
                <w:sz w:val="18"/>
                <w:szCs w:val="18"/>
                <w:lang w:val="nl-NL"/>
              </w:rPr>
              <w:t xml:space="preserve"> 'gelijkheid op de werkvloer'</w:t>
            </w:r>
          </w:p>
        </w:tc>
        <w:tc>
          <w:tcPr>
            <w:tcW w:w="476" w:type="dxa"/>
            <w:tcBorders>
              <w:top w:val="nil"/>
              <w:left w:val="nil"/>
              <w:bottom w:val="single" w:color="FFFFFF" w:sz="8" w:space="0"/>
              <w:right w:val="single" w:color="FFFFFF" w:sz="8" w:space="0"/>
            </w:tcBorders>
            <w:shd w:val="clear" w:color="000000" w:fill="F2F2F2"/>
            <w:hideMark/>
          </w:tcPr>
          <w:p w:rsidRPr="00BB7074" w:rsidR="008857E1" w:rsidP="008857E1" w:rsidRDefault="008857E1" w14:paraId="01DF1C17"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532"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674555F3"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749" w:type="dxa"/>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69FF42F0"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687"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00B7E51B"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X</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8857E1" w:rsidP="008857E1" w:rsidRDefault="008857E1" w14:paraId="29DCF036"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r>
      <w:tr w:rsidRPr="00BB7074" w:rsidR="008857E1" w:rsidTr="00EC4295" w14:paraId="3347F7DC" w14:textId="77777777">
        <w:trPr>
          <w:gridAfter w:val="1"/>
          <w:wAfter w:w="12" w:type="dxa"/>
          <w:trHeight w:val="477"/>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16E3BCCE"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5.1</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39CEE0F9"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xml:space="preserve">Opname bepalingen voor </w:t>
            </w:r>
            <w:r w:rsidRPr="00BB7074">
              <w:rPr>
                <w:rFonts w:ascii="Verdana" w:hAnsi="Verdana" w:cs="Calibri"/>
                <w:b/>
                <w:bCs/>
                <w:color w:val="000000"/>
                <w:sz w:val="18"/>
                <w:szCs w:val="18"/>
                <w:lang w:val="nl-NL"/>
              </w:rPr>
              <w:t xml:space="preserve">'gelijkheid in de straat' </w:t>
            </w:r>
          </w:p>
        </w:tc>
        <w:tc>
          <w:tcPr>
            <w:tcW w:w="476" w:type="dxa"/>
            <w:tcBorders>
              <w:top w:val="nil"/>
              <w:left w:val="nil"/>
              <w:bottom w:val="single" w:color="FFFFFF" w:sz="8" w:space="0"/>
              <w:right w:val="single" w:color="FFFFFF" w:sz="8" w:space="0"/>
            </w:tcBorders>
            <w:shd w:val="clear" w:color="000000" w:fill="F2F2F2"/>
            <w:hideMark/>
          </w:tcPr>
          <w:p w:rsidRPr="00BB7074" w:rsidR="008857E1" w:rsidP="008857E1" w:rsidRDefault="008857E1" w14:paraId="50998025"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532"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2BD5D8C5"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749" w:type="dxa"/>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45E9C26D"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687" w:type="dxa"/>
            <w:tcBorders>
              <w:top w:val="nil"/>
              <w:left w:val="nil"/>
              <w:bottom w:val="single" w:color="FFFFFF" w:sz="8" w:space="0"/>
              <w:right w:val="single" w:color="FFFFFF" w:sz="4" w:space="0"/>
            </w:tcBorders>
            <w:shd w:val="clear" w:color="000000" w:fill="F2F2F2"/>
            <w:hideMark/>
          </w:tcPr>
          <w:p w:rsidRPr="00BB7074" w:rsidR="008857E1" w:rsidP="008857E1" w:rsidRDefault="008857E1" w14:paraId="33D4A6AA"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X</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8857E1" w:rsidP="008857E1" w:rsidRDefault="008857E1" w14:paraId="000AA426"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r>
      <w:tr w:rsidRPr="00BB7074" w:rsidR="008857E1" w:rsidTr="00EC4295" w14:paraId="0327B008" w14:textId="77777777">
        <w:trPr>
          <w:gridAfter w:val="1"/>
          <w:wAfter w:w="12" w:type="dxa"/>
          <w:trHeight w:val="570"/>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BB7074" w:rsidR="008857E1" w:rsidP="008857E1" w:rsidRDefault="008857E1" w14:paraId="6AFC7349" w14:textId="77777777">
            <w:pPr>
              <w:spacing w:line="240" w:lineRule="auto"/>
              <w:ind w:firstLine="0"/>
              <w:rPr>
                <w:rFonts w:ascii="Verdana" w:hAnsi="Verdana" w:cs="Calibri"/>
                <w:i/>
                <w:iCs/>
                <w:sz w:val="18"/>
                <w:szCs w:val="18"/>
                <w:lang w:val="nl-NL"/>
              </w:rPr>
            </w:pPr>
            <w:r w:rsidRPr="00BB7074">
              <w:rPr>
                <w:rFonts w:ascii="Verdana" w:hAnsi="Verdana" w:cs="Calibri"/>
                <w:i/>
                <w:iCs/>
                <w:sz w:val="18"/>
                <w:szCs w:val="18"/>
                <w:lang w:val="nl-NL"/>
              </w:rPr>
              <w:t> </w:t>
            </w:r>
          </w:p>
        </w:tc>
        <w:tc>
          <w:tcPr>
            <w:tcW w:w="0" w:type="auto"/>
            <w:gridSpan w:val="2"/>
            <w:tcBorders>
              <w:top w:val="nil"/>
              <w:left w:val="nil"/>
              <w:bottom w:val="nil"/>
              <w:right w:val="nil"/>
            </w:tcBorders>
            <w:shd w:val="clear" w:color="000000" w:fill="DDEBF7"/>
            <w:vAlign w:val="bottom"/>
            <w:hideMark/>
          </w:tcPr>
          <w:p w:rsidRPr="00BB7074" w:rsidR="008857E1" w:rsidP="008857E1" w:rsidRDefault="008857E1" w14:paraId="71DFA01E" w14:textId="77777777">
            <w:pPr>
              <w:spacing w:line="240" w:lineRule="auto"/>
              <w:ind w:firstLine="0"/>
              <w:rPr>
                <w:rFonts w:ascii="Verdana" w:hAnsi="Verdana" w:cs="Calibri"/>
                <w:b/>
                <w:bCs/>
                <w:i/>
                <w:iCs/>
                <w:sz w:val="18"/>
                <w:szCs w:val="18"/>
                <w:lang w:val="nl-NL"/>
              </w:rPr>
            </w:pPr>
            <w:r w:rsidRPr="00BB7074">
              <w:rPr>
                <w:rFonts w:ascii="Verdana" w:hAnsi="Verdana" w:cs="Calibri"/>
                <w:b/>
                <w:bCs/>
                <w:i/>
                <w:iCs/>
                <w:sz w:val="18"/>
                <w:szCs w:val="18"/>
                <w:lang w:val="nl-NL"/>
              </w:rPr>
              <w:t>Verdragen met ontwikkelingslanden</w:t>
            </w:r>
          </w:p>
        </w:tc>
        <w:tc>
          <w:tcPr>
            <w:tcW w:w="476" w:type="dxa"/>
            <w:tcBorders>
              <w:top w:val="nil"/>
              <w:left w:val="single" w:color="FFFFFF" w:sz="8" w:space="0"/>
              <w:bottom w:val="single" w:color="FFFFFF" w:sz="8" w:space="0"/>
              <w:right w:val="single" w:color="FFFFFF" w:sz="8" w:space="0"/>
            </w:tcBorders>
            <w:shd w:val="clear" w:color="000000" w:fill="DDEBF7"/>
            <w:hideMark/>
          </w:tcPr>
          <w:p w:rsidRPr="00BB7074" w:rsidR="008857E1" w:rsidP="008857E1" w:rsidRDefault="008857E1" w14:paraId="2B0E8E9E"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532"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688216A4"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749"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61AB8A36"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687" w:type="dxa"/>
            <w:tcBorders>
              <w:top w:val="nil"/>
              <w:left w:val="nil"/>
              <w:bottom w:val="single" w:color="FFFFFF" w:sz="8" w:space="0"/>
              <w:right w:val="single" w:color="FFFFFF" w:sz="8" w:space="0"/>
            </w:tcBorders>
            <w:shd w:val="clear" w:color="000000" w:fill="DDEBF7"/>
            <w:hideMark/>
          </w:tcPr>
          <w:p w:rsidRPr="00BB7074" w:rsidR="008857E1" w:rsidP="008857E1" w:rsidRDefault="008857E1" w14:paraId="0CE22465"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1270" w:type="dxa"/>
            <w:tcBorders>
              <w:top w:val="nil"/>
              <w:left w:val="nil"/>
              <w:bottom w:val="single" w:color="FFFFFF" w:sz="8" w:space="0"/>
              <w:right w:val="single" w:color="FFFFFF" w:sz="4" w:space="0"/>
            </w:tcBorders>
            <w:shd w:val="clear" w:color="000000" w:fill="DDEBF7"/>
            <w:hideMark/>
          </w:tcPr>
          <w:p w:rsidRPr="00BB7074" w:rsidR="008857E1" w:rsidP="008857E1" w:rsidRDefault="008857E1" w14:paraId="5A9AE3F2"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r>
      <w:tr w:rsidRPr="00BB7074" w:rsidR="008857E1" w:rsidTr="00EC4295" w14:paraId="5C44247D" w14:textId="77777777">
        <w:trPr>
          <w:gridAfter w:val="1"/>
          <w:wAfter w:w="12" w:type="dxa"/>
          <w:trHeight w:val="52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2498D2B6"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5.2</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8857E1" w:rsidP="008857E1" w:rsidRDefault="008857E1" w14:paraId="15D8659E" w14:textId="4E1BBA1F">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Opname van een bron</w:t>
            </w:r>
            <w:r w:rsidRPr="00BB7074" w:rsidR="008B5BF7">
              <w:rPr>
                <w:rFonts w:ascii="Verdana" w:hAnsi="Verdana" w:cs="Calibri"/>
                <w:color w:val="000000"/>
                <w:sz w:val="18"/>
                <w:szCs w:val="18"/>
                <w:lang w:val="nl-NL"/>
              </w:rPr>
              <w:t>staat</w:t>
            </w:r>
            <w:r w:rsidRPr="00BB7074">
              <w:rPr>
                <w:rFonts w:ascii="Verdana" w:hAnsi="Verdana" w:cs="Calibri"/>
                <w:color w:val="000000"/>
                <w:sz w:val="18"/>
                <w:szCs w:val="18"/>
                <w:lang w:val="nl-NL"/>
              </w:rPr>
              <w:t xml:space="preserve">heffing op </w:t>
            </w:r>
            <w:r w:rsidRPr="00BB7074">
              <w:rPr>
                <w:rFonts w:ascii="Verdana" w:hAnsi="Verdana" w:cs="Calibri"/>
                <w:b/>
                <w:bCs/>
                <w:color w:val="000000"/>
                <w:sz w:val="18"/>
                <w:szCs w:val="18"/>
                <w:lang w:val="nl-NL"/>
              </w:rPr>
              <w:t xml:space="preserve">deelnemingsdividenden, interest en royalty's </w:t>
            </w:r>
          </w:p>
        </w:tc>
        <w:tc>
          <w:tcPr>
            <w:tcW w:w="476" w:type="dxa"/>
            <w:tcBorders>
              <w:top w:val="nil"/>
              <w:left w:val="nil"/>
              <w:bottom w:val="single" w:color="FFFFFF" w:themeColor="background1" w:sz="4" w:space="0"/>
              <w:right w:val="single" w:color="FFFFFF" w:sz="8" w:space="0"/>
            </w:tcBorders>
            <w:shd w:val="clear" w:color="000000" w:fill="F2F2F2"/>
            <w:hideMark/>
          </w:tcPr>
          <w:p w:rsidRPr="00BB7074" w:rsidR="008857E1" w:rsidP="008857E1" w:rsidRDefault="008857E1" w14:paraId="29BF0C2E"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532" w:type="dxa"/>
            <w:tcBorders>
              <w:top w:val="nil"/>
              <w:left w:val="nil"/>
              <w:bottom w:val="single" w:color="FFFFFF" w:themeColor="background1" w:sz="4" w:space="0"/>
              <w:right w:val="single" w:color="FFFFFF" w:sz="4" w:space="0"/>
            </w:tcBorders>
            <w:shd w:val="clear" w:color="000000" w:fill="F2F2F2"/>
            <w:hideMark/>
          </w:tcPr>
          <w:p w:rsidRPr="00BB7074" w:rsidR="008857E1" w:rsidP="008857E1" w:rsidRDefault="008857E1" w14:paraId="214319E1"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749" w:type="dxa"/>
            <w:tcBorders>
              <w:top w:val="nil"/>
              <w:left w:val="single" w:color="FFFFFF" w:sz="8" w:space="0"/>
              <w:bottom w:val="single" w:color="FFFFFF" w:themeColor="background1" w:sz="4" w:space="0"/>
              <w:right w:val="single" w:color="FFFFFF" w:sz="8" w:space="0"/>
            </w:tcBorders>
            <w:shd w:val="clear" w:color="000000" w:fill="F2F2F2"/>
            <w:hideMark/>
          </w:tcPr>
          <w:p w:rsidRPr="00BB7074" w:rsidR="008857E1" w:rsidP="008857E1" w:rsidRDefault="008857E1" w14:paraId="2644860F"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687" w:type="dxa"/>
            <w:tcBorders>
              <w:top w:val="nil"/>
              <w:left w:val="nil"/>
              <w:bottom w:val="single" w:color="FFFFFF" w:themeColor="background1" w:sz="4" w:space="0"/>
              <w:right w:val="single" w:color="FFFFFF" w:sz="4" w:space="0"/>
            </w:tcBorders>
            <w:shd w:val="clear" w:color="000000" w:fill="F2F2F2"/>
            <w:hideMark/>
          </w:tcPr>
          <w:p w:rsidRPr="00BB7074" w:rsidR="008857E1" w:rsidP="008857E1" w:rsidRDefault="008857E1" w14:paraId="2DD7C591" w14:textId="1E48DE31">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X</w:t>
            </w:r>
            <w:r w:rsidR="00A5744B">
              <w:rPr>
                <w:rStyle w:val="FootnoteReference"/>
                <w:rFonts w:ascii="Verdana" w:hAnsi="Verdana" w:cs="Calibri"/>
                <w:color w:val="000000"/>
                <w:sz w:val="18"/>
                <w:szCs w:val="18"/>
                <w:lang w:val="nl-NL"/>
              </w:rPr>
              <w:footnoteReference w:id="6"/>
            </w:r>
          </w:p>
        </w:tc>
        <w:tc>
          <w:tcPr>
            <w:tcW w:w="1270" w:type="dxa"/>
            <w:tcBorders>
              <w:top w:val="nil"/>
              <w:left w:val="single" w:color="FFFFFF" w:sz="8" w:space="0"/>
              <w:bottom w:val="single" w:color="FFFFFF" w:themeColor="background1" w:sz="4" w:space="0"/>
              <w:right w:val="single" w:color="FFFFFF" w:sz="4" w:space="0"/>
            </w:tcBorders>
            <w:shd w:val="clear" w:color="000000" w:fill="F2F2F2"/>
            <w:hideMark/>
          </w:tcPr>
          <w:p w:rsidRPr="00BB7074" w:rsidR="008857E1" w:rsidP="008857E1" w:rsidRDefault="008857E1" w14:paraId="49C31687"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r>
      <w:tr w:rsidRPr="00ED2AE6" w:rsidR="008857E1" w:rsidTr="00EC4295" w14:paraId="73BAD33E" w14:textId="77777777">
        <w:trPr>
          <w:trHeight w:val="480"/>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3D38BB62"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0" w:type="auto"/>
            <w:tcBorders>
              <w:top w:val="nil"/>
              <w:left w:val="nil"/>
              <w:bottom w:val="single" w:color="FFFFFF" w:sz="8" w:space="0"/>
              <w:right w:val="nil"/>
            </w:tcBorders>
            <w:shd w:val="clear" w:color="000000" w:fill="F2F2F2"/>
            <w:hideMark/>
          </w:tcPr>
          <w:p w:rsidRPr="00BB7074" w:rsidR="008857E1" w:rsidP="008857E1" w:rsidRDefault="008857E1" w14:paraId="44796EA0"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0" w:type="auto"/>
            <w:tcBorders>
              <w:top w:val="nil"/>
              <w:left w:val="single" w:color="FFFFFF" w:sz="8" w:space="0"/>
              <w:bottom w:val="single" w:color="FFFFFF" w:sz="8" w:space="0"/>
              <w:right w:val="single" w:color="FFFFFF" w:themeColor="background1" w:sz="4" w:space="0"/>
            </w:tcBorders>
            <w:shd w:val="clear" w:color="000000" w:fill="F2F2F2"/>
            <w:hideMark/>
          </w:tcPr>
          <w:p w:rsidRPr="00BB7074" w:rsidR="008857E1" w:rsidP="008857E1" w:rsidRDefault="008857E1" w14:paraId="0195C9AB"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Zo ja, het betreft de volgende percentages:</w:t>
            </w:r>
          </w:p>
        </w:tc>
        <w:tc>
          <w:tcPr>
            <w:tcW w:w="3726"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2F2F2"/>
            <w:noWrap/>
            <w:hideMark/>
          </w:tcPr>
          <w:p w:rsidRPr="00BB7074" w:rsidR="008857E1" w:rsidP="008857E1" w:rsidRDefault="008857E1" w14:paraId="6A665AEB"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w:t>
            </w:r>
          </w:p>
        </w:tc>
      </w:tr>
      <w:tr w:rsidRPr="00BB7074" w:rsidR="008857E1" w:rsidTr="00EC4295" w14:paraId="68164B82" w14:textId="77777777">
        <w:trPr>
          <w:gridAfter w:val="1"/>
          <w:wAfter w:w="12" w:type="dxa"/>
          <w:trHeight w:val="31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6146F013"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5.2</w:t>
            </w:r>
          </w:p>
        </w:tc>
        <w:tc>
          <w:tcPr>
            <w:tcW w:w="0" w:type="auto"/>
            <w:gridSpan w:val="2"/>
            <w:tcBorders>
              <w:top w:val="single" w:color="FFFFFF" w:sz="8" w:space="0"/>
              <w:left w:val="nil"/>
              <w:bottom w:val="single" w:color="FFFFFF" w:sz="8" w:space="0"/>
              <w:right w:val="single" w:color="FFFFFF" w:themeColor="background1" w:sz="4" w:space="0"/>
            </w:tcBorders>
            <w:shd w:val="clear" w:color="000000" w:fill="F2F2F2"/>
            <w:hideMark/>
          </w:tcPr>
          <w:p w:rsidRPr="00BB7074" w:rsidR="008857E1" w:rsidP="008857E1" w:rsidRDefault="008857E1" w14:paraId="79750129" w14:textId="39855D9A">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xml:space="preserve">Opname van </w:t>
            </w:r>
            <w:r w:rsidRPr="00BB7074">
              <w:rPr>
                <w:rFonts w:ascii="Verdana" w:hAnsi="Verdana" w:cs="Calibri"/>
                <w:b/>
                <w:bCs/>
                <w:color w:val="000000"/>
                <w:sz w:val="18"/>
                <w:szCs w:val="18"/>
                <w:lang w:val="nl-NL"/>
              </w:rPr>
              <w:t>andere bepalingen van het VN-</w:t>
            </w:r>
            <w:r w:rsidRPr="00BB7074" w:rsidR="00C70480">
              <w:rPr>
                <w:rFonts w:ascii="Verdana" w:hAnsi="Verdana" w:cs="Calibri"/>
                <w:b/>
                <w:bCs/>
                <w:color w:val="000000"/>
                <w:sz w:val="18"/>
                <w:szCs w:val="18"/>
                <w:lang w:val="nl-NL"/>
              </w:rPr>
              <w:t>modelverdrag</w:t>
            </w:r>
            <w:r w:rsidRPr="00BB7074">
              <w:rPr>
                <w:rFonts w:ascii="Verdana" w:hAnsi="Verdana" w:cs="Calibri"/>
                <w:color w:val="000000"/>
                <w:sz w:val="18"/>
                <w:szCs w:val="18"/>
                <w:lang w:val="nl-NL"/>
              </w:rPr>
              <w:t xml:space="preserve"> ter ondersteuning van het beleid van ontwikkelingslanden</w:t>
            </w:r>
          </w:p>
        </w:tc>
        <w:tc>
          <w:tcPr>
            <w:tcW w:w="4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8857E1" w:rsidP="008857E1" w:rsidRDefault="008857E1" w14:paraId="18BA7031"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53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8857E1" w:rsidP="008857E1" w:rsidRDefault="008857E1" w14:paraId="436EC9AA"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7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8857E1" w:rsidP="008857E1" w:rsidRDefault="008857E1" w14:paraId="0C3B4BA3"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68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8857E1" w:rsidP="008857E1" w:rsidRDefault="008857E1" w14:paraId="59D16DA0"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X</w:t>
            </w:r>
          </w:p>
        </w:tc>
        <w:tc>
          <w:tcPr>
            <w:tcW w:w="127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8857E1" w:rsidP="008857E1" w:rsidRDefault="008857E1" w14:paraId="526782EB"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r>
      <w:tr w:rsidRPr="00ED2AE6" w:rsidR="008857E1" w:rsidTr="00EC4295" w14:paraId="0F8849A0" w14:textId="77777777">
        <w:trPr>
          <w:trHeight w:val="31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3A5BA7C6"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0" w:type="auto"/>
            <w:tcBorders>
              <w:top w:val="nil"/>
              <w:left w:val="nil"/>
              <w:bottom w:val="single" w:color="FFFFFF" w:sz="8" w:space="0"/>
              <w:right w:val="nil"/>
            </w:tcBorders>
            <w:shd w:val="clear" w:color="000000" w:fill="F2F2F2"/>
            <w:hideMark/>
          </w:tcPr>
          <w:p w:rsidRPr="00BB7074" w:rsidR="008857E1" w:rsidP="008857E1" w:rsidRDefault="008857E1" w14:paraId="69401FD5"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0" w:type="auto"/>
            <w:tcBorders>
              <w:top w:val="nil"/>
              <w:left w:val="single" w:color="FFFFFF" w:sz="8" w:space="0"/>
              <w:bottom w:val="single" w:color="FFFFFF" w:sz="8" w:space="0"/>
              <w:right w:val="single" w:color="FFFFFF" w:themeColor="background1" w:sz="4" w:space="0"/>
            </w:tcBorders>
            <w:shd w:val="clear" w:color="000000" w:fill="F2F2F2"/>
            <w:hideMark/>
          </w:tcPr>
          <w:p w:rsidRPr="00BB7074" w:rsidR="008857E1" w:rsidP="008857E1" w:rsidRDefault="008857E1" w14:paraId="5C122477" w14:textId="4CC84595">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Zo ja, het betreft de volgende bepalingen uit het VN-</w:t>
            </w:r>
            <w:r w:rsidRPr="00BB7074" w:rsidR="00C70480">
              <w:rPr>
                <w:rFonts w:ascii="Verdana" w:hAnsi="Verdana" w:cs="Calibri"/>
                <w:color w:val="000000"/>
                <w:sz w:val="18"/>
                <w:szCs w:val="18"/>
                <w:lang w:val="nl-NL"/>
              </w:rPr>
              <w:t>modelverdrag</w:t>
            </w:r>
            <w:r w:rsidRPr="00BB7074">
              <w:rPr>
                <w:rFonts w:ascii="Verdana" w:hAnsi="Verdana" w:cs="Calibri"/>
                <w:color w:val="000000"/>
                <w:sz w:val="18"/>
                <w:szCs w:val="18"/>
                <w:lang w:val="nl-NL"/>
              </w:rPr>
              <w:t>:</w:t>
            </w:r>
          </w:p>
        </w:tc>
        <w:tc>
          <w:tcPr>
            <w:tcW w:w="3726"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2F2F2"/>
            <w:noWrap/>
            <w:hideMark/>
          </w:tcPr>
          <w:p w:rsidRPr="00BB7074" w:rsidR="008857E1" w:rsidP="008857E1" w:rsidRDefault="008857E1" w14:paraId="3F0DCD43"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w:t>
            </w:r>
          </w:p>
        </w:tc>
      </w:tr>
      <w:tr w:rsidRPr="00ED2AE6" w:rsidR="008857E1" w:rsidTr="00EC4295" w14:paraId="4FFA4F03" w14:textId="77777777">
        <w:trPr>
          <w:gridAfter w:val="1"/>
          <w:wAfter w:w="12" w:type="dxa"/>
          <w:trHeight w:val="630"/>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BB7074" w:rsidR="008857E1" w:rsidP="008857E1" w:rsidRDefault="008857E1" w14:paraId="7A7D4122" w14:textId="77777777">
            <w:pPr>
              <w:spacing w:line="240" w:lineRule="auto"/>
              <w:ind w:firstLine="0"/>
              <w:rPr>
                <w:rFonts w:ascii="Verdana" w:hAnsi="Verdana" w:cs="Calibri"/>
                <w:i/>
                <w:iCs/>
                <w:sz w:val="18"/>
                <w:szCs w:val="18"/>
                <w:lang w:val="nl-NL"/>
              </w:rPr>
            </w:pPr>
            <w:r w:rsidRPr="00BB7074">
              <w:rPr>
                <w:rFonts w:ascii="Verdana" w:hAnsi="Verdana" w:cs="Calibri"/>
                <w:i/>
                <w:iCs/>
                <w:sz w:val="18"/>
                <w:szCs w:val="18"/>
                <w:lang w:val="nl-NL"/>
              </w:rPr>
              <w:t> </w:t>
            </w:r>
          </w:p>
        </w:tc>
        <w:tc>
          <w:tcPr>
            <w:tcW w:w="0" w:type="auto"/>
            <w:gridSpan w:val="2"/>
            <w:tcBorders>
              <w:top w:val="nil"/>
              <w:left w:val="nil"/>
              <w:bottom w:val="nil"/>
              <w:right w:val="single" w:color="FFFFFF" w:themeColor="background1" w:sz="4" w:space="0"/>
            </w:tcBorders>
            <w:shd w:val="clear" w:color="000000" w:fill="DDEBF7"/>
            <w:vAlign w:val="bottom"/>
            <w:hideMark/>
          </w:tcPr>
          <w:p w:rsidRPr="00BB7074" w:rsidR="008857E1" w:rsidP="008857E1" w:rsidRDefault="008857E1" w14:paraId="3238B687" w14:textId="77777777">
            <w:pPr>
              <w:spacing w:line="240" w:lineRule="auto"/>
              <w:ind w:firstLine="0"/>
              <w:rPr>
                <w:rFonts w:ascii="Verdana" w:hAnsi="Verdana" w:cs="Calibri"/>
                <w:b/>
                <w:bCs/>
                <w:i/>
                <w:iCs/>
                <w:sz w:val="18"/>
                <w:szCs w:val="18"/>
                <w:lang w:val="nl-NL"/>
              </w:rPr>
            </w:pPr>
            <w:r w:rsidRPr="00BB7074">
              <w:rPr>
                <w:rFonts w:ascii="Verdana" w:hAnsi="Verdana" w:cs="Calibri"/>
                <w:b/>
                <w:bCs/>
                <w:i/>
                <w:iCs/>
                <w:sz w:val="18"/>
                <w:szCs w:val="18"/>
                <w:lang w:val="nl-NL"/>
              </w:rPr>
              <w:t xml:space="preserve">Verdragen met laagbelaste jurisdicties niet-coöperatieve en </w:t>
            </w:r>
            <w:proofErr w:type="spellStart"/>
            <w:r w:rsidRPr="00BB7074">
              <w:rPr>
                <w:rFonts w:ascii="Verdana" w:hAnsi="Verdana" w:cs="Calibri"/>
                <w:b/>
                <w:bCs/>
                <w:i/>
                <w:iCs/>
                <w:sz w:val="18"/>
                <w:szCs w:val="18"/>
                <w:lang w:val="nl-NL"/>
              </w:rPr>
              <w:t>laagbelastende</w:t>
            </w:r>
            <w:proofErr w:type="spellEnd"/>
            <w:r w:rsidRPr="00BB7074">
              <w:rPr>
                <w:rFonts w:ascii="Verdana" w:hAnsi="Verdana" w:cs="Calibri"/>
                <w:b/>
                <w:bCs/>
                <w:i/>
                <w:iCs/>
                <w:sz w:val="18"/>
                <w:szCs w:val="18"/>
                <w:lang w:val="nl-NL"/>
              </w:rPr>
              <w:t xml:space="preserve"> staten</w:t>
            </w:r>
          </w:p>
        </w:tc>
        <w:tc>
          <w:tcPr>
            <w:tcW w:w="4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DDEBF7"/>
            <w:hideMark/>
          </w:tcPr>
          <w:p w:rsidRPr="00BB7074" w:rsidR="008857E1" w:rsidP="008857E1" w:rsidRDefault="008857E1" w14:paraId="44BF3894"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53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DDEBF7"/>
            <w:hideMark/>
          </w:tcPr>
          <w:p w:rsidRPr="00BB7074" w:rsidR="008857E1" w:rsidP="008857E1" w:rsidRDefault="008857E1" w14:paraId="76EA4FF1"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7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DDEBF7"/>
            <w:hideMark/>
          </w:tcPr>
          <w:p w:rsidRPr="00BB7074" w:rsidR="008857E1" w:rsidP="008857E1" w:rsidRDefault="008857E1" w14:paraId="1609CA03"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68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DDEBF7"/>
            <w:hideMark/>
          </w:tcPr>
          <w:p w:rsidRPr="00BB7074" w:rsidR="008857E1" w:rsidP="008857E1" w:rsidRDefault="008857E1" w14:paraId="10979981"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c>
          <w:tcPr>
            <w:tcW w:w="127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DDEBF7"/>
            <w:hideMark/>
          </w:tcPr>
          <w:p w:rsidRPr="00BB7074" w:rsidR="008857E1" w:rsidP="008857E1" w:rsidRDefault="008857E1" w14:paraId="22E8971F" w14:textId="77777777">
            <w:pPr>
              <w:spacing w:line="240" w:lineRule="auto"/>
              <w:ind w:firstLine="0"/>
              <w:jc w:val="center"/>
              <w:rPr>
                <w:rFonts w:ascii="Verdana" w:hAnsi="Verdana" w:cs="Calibri"/>
                <w:sz w:val="18"/>
                <w:szCs w:val="18"/>
                <w:lang w:val="nl-NL"/>
              </w:rPr>
            </w:pPr>
            <w:r w:rsidRPr="00BB7074">
              <w:rPr>
                <w:rFonts w:ascii="Verdana" w:hAnsi="Verdana" w:cs="Calibri"/>
                <w:sz w:val="18"/>
                <w:szCs w:val="18"/>
                <w:lang w:val="nl-NL"/>
              </w:rPr>
              <w:t> </w:t>
            </w:r>
          </w:p>
        </w:tc>
      </w:tr>
      <w:tr w:rsidRPr="00BB7074" w:rsidR="008857E1" w:rsidTr="00EC4295" w14:paraId="59D884B2" w14:textId="77777777">
        <w:trPr>
          <w:gridAfter w:val="1"/>
          <w:wAfter w:w="12" w:type="dxa"/>
          <w:trHeight w:val="55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50B5FC42"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5.3</w:t>
            </w:r>
          </w:p>
        </w:tc>
        <w:tc>
          <w:tcPr>
            <w:tcW w:w="0" w:type="auto"/>
            <w:gridSpan w:val="2"/>
            <w:tcBorders>
              <w:top w:val="single" w:color="FFFFFF" w:sz="8" w:space="0"/>
              <w:left w:val="nil"/>
              <w:bottom w:val="single" w:color="FFFFFF" w:sz="8" w:space="0"/>
              <w:right w:val="single" w:color="FFFFFF" w:themeColor="background1" w:sz="4" w:space="0"/>
            </w:tcBorders>
            <w:shd w:val="clear" w:color="000000" w:fill="F2F2F2"/>
            <w:hideMark/>
          </w:tcPr>
          <w:p w:rsidRPr="00BB7074" w:rsidR="008857E1" w:rsidP="008857E1" w:rsidRDefault="008857E1" w14:paraId="709B4578" w14:textId="1DB2C938">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Opname van een bron</w:t>
            </w:r>
            <w:r w:rsidRPr="00BB7074" w:rsidR="008B5BF7">
              <w:rPr>
                <w:rFonts w:ascii="Verdana" w:hAnsi="Verdana" w:cs="Calibri"/>
                <w:color w:val="000000"/>
                <w:sz w:val="18"/>
                <w:szCs w:val="18"/>
                <w:lang w:val="nl-NL"/>
              </w:rPr>
              <w:t>staat</w:t>
            </w:r>
            <w:r w:rsidRPr="00BB7074">
              <w:rPr>
                <w:rFonts w:ascii="Verdana" w:hAnsi="Verdana" w:cs="Calibri"/>
                <w:color w:val="000000"/>
                <w:sz w:val="18"/>
                <w:szCs w:val="18"/>
                <w:lang w:val="nl-NL"/>
              </w:rPr>
              <w:t xml:space="preserve">heffing op </w:t>
            </w:r>
            <w:r w:rsidRPr="00BB7074">
              <w:rPr>
                <w:rFonts w:ascii="Verdana" w:hAnsi="Verdana" w:cs="Calibri"/>
                <w:b/>
                <w:bCs/>
                <w:color w:val="000000"/>
                <w:sz w:val="18"/>
                <w:szCs w:val="18"/>
                <w:lang w:val="nl-NL"/>
              </w:rPr>
              <w:t xml:space="preserve">deelnemingsdividenden, interest en royalty's </w:t>
            </w:r>
          </w:p>
        </w:tc>
        <w:tc>
          <w:tcPr>
            <w:tcW w:w="4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8857E1" w:rsidP="008857E1" w:rsidRDefault="008857E1" w14:paraId="0FC4F01A"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53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8857E1" w:rsidP="008857E1" w:rsidRDefault="008857E1" w14:paraId="113BD151"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7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8857E1" w:rsidP="008857E1" w:rsidRDefault="008857E1" w14:paraId="3ED9C8EC"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68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8857E1" w:rsidP="008857E1" w:rsidRDefault="008857E1" w14:paraId="43FDDDED" w14:textId="7737F102">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X</w:t>
            </w:r>
            <w:r w:rsidR="008C05B3">
              <w:rPr>
                <w:rStyle w:val="FootnoteReference"/>
                <w:rFonts w:ascii="Verdana" w:hAnsi="Verdana" w:cs="Calibri"/>
                <w:color w:val="000000"/>
                <w:sz w:val="18"/>
                <w:szCs w:val="18"/>
                <w:lang w:val="nl-NL"/>
              </w:rPr>
              <w:footnoteReference w:id="7"/>
            </w:r>
          </w:p>
        </w:tc>
        <w:tc>
          <w:tcPr>
            <w:tcW w:w="127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8857E1" w:rsidP="008857E1" w:rsidRDefault="008857E1" w14:paraId="7D379EEA" w14:textId="77777777">
            <w:pPr>
              <w:spacing w:line="240" w:lineRule="auto"/>
              <w:ind w:firstLine="0"/>
              <w:jc w:val="center"/>
              <w:rPr>
                <w:rFonts w:ascii="Verdana" w:hAnsi="Verdana" w:cs="Calibri"/>
                <w:color w:val="000000"/>
                <w:sz w:val="18"/>
                <w:szCs w:val="18"/>
                <w:lang w:val="nl-NL"/>
              </w:rPr>
            </w:pPr>
            <w:r w:rsidRPr="00BB7074">
              <w:rPr>
                <w:rFonts w:ascii="Verdana" w:hAnsi="Verdana" w:cs="Calibri"/>
                <w:color w:val="000000"/>
                <w:sz w:val="18"/>
                <w:szCs w:val="18"/>
                <w:lang w:val="nl-NL"/>
              </w:rPr>
              <w:t> </w:t>
            </w:r>
          </w:p>
        </w:tc>
      </w:tr>
      <w:tr w:rsidRPr="00ED2AE6" w:rsidR="008857E1" w:rsidTr="00EC4295" w14:paraId="2D89DC87" w14:textId="77777777">
        <w:trPr>
          <w:trHeight w:val="402"/>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8857E1" w:rsidP="008857E1" w:rsidRDefault="008857E1" w14:paraId="62678D15"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0" w:type="auto"/>
            <w:tcBorders>
              <w:top w:val="nil"/>
              <w:left w:val="nil"/>
              <w:bottom w:val="single" w:color="FFFFFF" w:sz="8" w:space="0"/>
              <w:right w:val="nil"/>
            </w:tcBorders>
            <w:shd w:val="clear" w:color="000000" w:fill="F2F2F2"/>
            <w:hideMark/>
          </w:tcPr>
          <w:p w:rsidRPr="00BB7074" w:rsidR="008857E1" w:rsidP="008857E1" w:rsidRDefault="008857E1" w14:paraId="399C5877"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w:t>
            </w:r>
          </w:p>
        </w:tc>
        <w:tc>
          <w:tcPr>
            <w:tcW w:w="0" w:type="auto"/>
            <w:tcBorders>
              <w:top w:val="nil"/>
              <w:left w:val="single" w:color="FFFFFF" w:sz="8" w:space="0"/>
              <w:bottom w:val="single" w:color="FFFFFF" w:sz="8" w:space="0"/>
              <w:right w:val="single" w:color="FFFFFF" w:themeColor="background1" w:sz="4" w:space="0"/>
            </w:tcBorders>
            <w:shd w:val="clear" w:color="000000" w:fill="F2F2F2"/>
            <w:hideMark/>
          </w:tcPr>
          <w:p w:rsidRPr="00BB7074" w:rsidR="008857E1" w:rsidP="008857E1" w:rsidRDefault="008857E1" w14:paraId="3DFA8E0B"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Zo ja, het betreft de volgende percentages:</w:t>
            </w:r>
          </w:p>
        </w:tc>
        <w:tc>
          <w:tcPr>
            <w:tcW w:w="3726"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2F2F2"/>
            <w:noWrap/>
            <w:hideMark/>
          </w:tcPr>
          <w:p w:rsidRPr="00BB7074" w:rsidR="008857E1" w:rsidP="008857E1" w:rsidRDefault="008857E1" w14:paraId="50281A68" w14:textId="77777777">
            <w:pPr>
              <w:spacing w:line="240" w:lineRule="auto"/>
              <w:ind w:firstLine="0"/>
              <w:rPr>
                <w:rFonts w:ascii="Verdana" w:hAnsi="Verdana" w:cs="Calibri"/>
                <w:color w:val="000000"/>
                <w:sz w:val="18"/>
                <w:szCs w:val="18"/>
                <w:lang w:val="nl-NL"/>
              </w:rPr>
            </w:pPr>
            <w:r w:rsidRPr="00BB7074">
              <w:rPr>
                <w:rFonts w:ascii="Verdana" w:hAnsi="Verdana" w:cs="Calibri"/>
                <w:color w:val="000000"/>
                <w:sz w:val="18"/>
                <w:szCs w:val="18"/>
                <w:lang w:val="nl-NL"/>
              </w:rPr>
              <w:t> </w:t>
            </w:r>
          </w:p>
        </w:tc>
      </w:tr>
    </w:tbl>
    <w:p w:rsidR="0091375C" w:rsidP="00A64705" w:rsidRDefault="0091375C" w14:paraId="0E06B73C" w14:textId="77777777">
      <w:pPr>
        <w:spacing w:line="240" w:lineRule="auto"/>
        <w:ind w:firstLine="0"/>
        <w:rPr>
          <w:rFonts w:ascii="Verdana" w:hAnsi="Verdana"/>
          <w:sz w:val="18"/>
          <w:szCs w:val="18"/>
          <w:lang w:val="nl-NL"/>
        </w:rPr>
      </w:pPr>
    </w:p>
    <w:p w:rsidRPr="00BB7074" w:rsidR="002F0BBD" w:rsidP="00A64705" w:rsidRDefault="002F0BBD" w14:paraId="7264E4E1" w14:textId="398DD172">
      <w:pPr>
        <w:spacing w:line="240" w:lineRule="auto"/>
        <w:ind w:firstLine="0"/>
        <w:rPr>
          <w:rFonts w:ascii="Verdana" w:hAnsi="Verdana"/>
          <w:sz w:val="18"/>
          <w:szCs w:val="18"/>
          <w:lang w:val="nl-NL"/>
        </w:rPr>
      </w:pPr>
    </w:p>
    <w:p w:rsidRPr="00BB7074" w:rsidR="007863F7" w:rsidP="002F0BBD" w:rsidRDefault="003E03A0" w14:paraId="6D2BFDED" w14:textId="3B9FBDEF">
      <w:pPr>
        <w:pStyle w:val="Heading1"/>
        <w:rPr>
          <w:rFonts w:ascii="Verdana" w:hAnsi="Verdana"/>
          <w:sz w:val="18"/>
          <w:szCs w:val="18"/>
          <w:lang w:val="nl-NL"/>
        </w:rPr>
      </w:pPr>
      <w:r w:rsidRPr="00BB7074">
        <w:rPr>
          <w:rFonts w:ascii="Verdana" w:hAnsi="Verdana"/>
          <w:sz w:val="18"/>
          <w:szCs w:val="18"/>
          <w:lang w:val="nl-NL"/>
        </w:rPr>
        <w:t xml:space="preserve">II. </w:t>
      </w:r>
      <w:r w:rsidRPr="00BB7074" w:rsidR="00803D9F">
        <w:rPr>
          <w:rFonts w:ascii="Verdana" w:hAnsi="Verdana"/>
          <w:sz w:val="18"/>
          <w:szCs w:val="18"/>
          <w:lang w:val="nl-NL"/>
        </w:rPr>
        <w:t>Artikelsgewijze toelichtin</w:t>
      </w:r>
      <w:r w:rsidRPr="00BB7074" w:rsidR="007863F7">
        <w:rPr>
          <w:rFonts w:ascii="Verdana" w:hAnsi="Verdana"/>
          <w:sz w:val="18"/>
          <w:szCs w:val="18"/>
          <w:lang w:val="nl-NL"/>
        </w:rPr>
        <w:t xml:space="preserve">g </w:t>
      </w:r>
    </w:p>
    <w:p w:rsidRPr="007C0157" w:rsidR="007863F7" w:rsidP="007C0157" w:rsidRDefault="003E03A0" w14:paraId="1565BCC1" w14:textId="76826B11">
      <w:pPr>
        <w:pStyle w:val="Heading2"/>
        <w:rPr>
          <w:lang w:val="nl-NL"/>
        </w:rPr>
      </w:pPr>
      <w:r w:rsidRPr="007C0157">
        <w:rPr>
          <w:lang w:val="nl-NL"/>
        </w:rPr>
        <w:t>II.0</w:t>
      </w:r>
      <w:r w:rsidRPr="007C0157" w:rsidR="00142864">
        <w:rPr>
          <w:lang w:val="nl-NL"/>
        </w:rPr>
        <w:t>.</w:t>
      </w:r>
      <w:r w:rsidRPr="00BB7074">
        <w:rPr>
          <w:lang w:val="nl-NL"/>
        </w:rPr>
        <w:t xml:space="preserve"> </w:t>
      </w:r>
      <w:r w:rsidRPr="003A025B" w:rsidR="007863F7">
        <w:rPr>
          <w:lang w:val="nl-NL"/>
        </w:rPr>
        <w:t>Titel</w:t>
      </w:r>
      <w:r w:rsidRPr="007C0157" w:rsidR="007863F7">
        <w:rPr>
          <w:lang w:val="nl-NL"/>
        </w:rPr>
        <w:t xml:space="preserve"> en </w:t>
      </w:r>
      <w:r w:rsidRPr="003A025B" w:rsidR="00142864">
        <w:rPr>
          <w:lang w:val="nl-NL"/>
        </w:rPr>
        <w:t>p</w:t>
      </w:r>
      <w:r w:rsidRPr="003A025B" w:rsidR="007863F7">
        <w:rPr>
          <w:lang w:val="nl-NL"/>
        </w:rPr>
        <w:t>reambule</w:t>
      </w:r>
    </w:p>
    <w:p w:rsidR="002F0BBD" w:rsidP="00A47B61" w:rsidRDefault="00054962" w14:paraId="60228A01" w14:textId="37B321AD">
      <w:pPr>
        <w:rPr>
          <w:rFonts w:ascii="Verdana" w:hAnsi="Verdana"/>
          <w:sz w:val="18"/>
          <w:szCs w:val="18"/>
          <w:lang w:val="nl-NL"/>
        </w:rPr>
      </w:pPr>
      <w:r w:rsidRPr="00BB7074">
        <w:rPr>
          <w:rFonts w:ascii="Verdana" w:hAnsi="Verdana"/>
          <w:sz w:val="18"/>
          <w:szCs w:val="18"/>
          <w:lang w:val="nl-NL"/>
        </w:rPr>
        <w:t>De titel en preambule van het Verdrag zijn geformuleerd in overeenstemming met de minimumstandaard uit het rapport ‘</w:t>
      </w:r>
      <w:proofErr w:type="spellStart"/>
      <w:r w:rsidRPr="00BB7074">
        <w:rPr>
          <w:rFonts w:ascii="Verdana" w:hAnsi="Verdana"/>
          <w:i/>
          <w:sz w:val="18"/>
          <w:szCs w:val="18"/>
          <w:lang w:val="nl-NL"/>
        </w:rPr>
        <w:t>Preventing</w:t>
      </w:r>
      <w:proofErr w:type="spellEnd"/>
      <w:r w:rsidRPr="00BB7074">
        <w:rPr>
          <w:rFonts w:ascii="Verdana" w:hAnsi="Verdana"/>
          <w:i/>
          <w:sz w:val="18"/>
          <w:szCs w:val="18"/>
          <w:lang w:val="nl-NL"/>
        </w:rPr>
        <w:t xml:space="preserve"> </w:t>
      </w:r>
      <w:proofErr w:type="spellStart"/>
      <w:r w:rsidRPr="00BB7074">
        <w:rPr>
          <w:rFonts w:ascii="Verdana" w:hAnsi="Verdana"/>
          <w:i/>
          <w:sz w:val="18"/>
          <w:szCs w:val="18"/>
          <w:lang w:val="nl-NL"/>
        </w:rPr>
        <w:t>the</w:t>
      </w:r>
      <w:proofErr w:type="spellEnd"/>
      <w:r w:rsidRPr="00BB7074">
        <w:rPr>
          <w:rFonts w:ascii="Verdana" w:hAnsi="Verdana"/>
          <w:i/>
          <w:sz w:val="18"/>
          <w:szCs w:val="18"/>
          <w:lang w:val="nl-NL"/>
        </w:rPr>
        <w:t xml:space="preserve"> </w:t>
      </w:r>
      <w:proofErr w:type="spellStart"/>
      <w:r w:rsidRPr="00BB7074">
        <w:rPr>
          <w:rFonts w:ascii="Verdana" w:hAnsi="Verdana"/>
          <w:i/>
          <w:sz w:val="18"/>
          <w:szCs w:val="18"/>
          <w:lang w:val="nl-NL"/>
        </w:rPr>
        <w:t>Granting</w:t>
      </w:r>
      <w:proofErr w:type="spellEnd"/>
      <w:r w:rsidRPr="00BB7074">
        <w:rPr>
          <w:rFonts w:ascii="Verdana" w:hAnsi="Verdana"/>
          <w:i/>
          <w:sz w:val="18"/>
          <w:szCs w:val="18"/>
          <w:lang w:val="nl-NL"/>
        </w:rPr>
        <w:t xml:space="preserve"> of </w:t>
      </w:r>
      <w:proofErr w:type="spellStart"/>
      <w:r w:rsidRPr="00BB7074">
        <w:rPr>
          <w:rFonts w:ascii="Verdana" w:hAnsi="Verdana"/>
          <w:i/>
          <w:sz w:val="18"/>
          <w:szCs w:val="18"/>
          <w:lang w:val="nl-NL"/>
        </w:rPr>
        <w:t>Treaty</w:t>
      </w:r>
      <w:proofErr w:type="spellEnd"/>
      <w:r w:rsidRPr="00BB7074">
        <w:rPr>
          <w:rFonts w:ascii="Verdana" w:hAnsi="Verdana"/>
          <w:i/>
          <w:sz w:val="18"/>
          <w:szCs w:val="18"/>
          <w:lang w:val="nl-NL"/>
        </w:rPr>
        <w:t xml:space="preserve"> Benefits in </w:t>
      </w:r>
      <w:proofErr w:type="spellStart"/>
      <w:r w:rsidRPr="00BB7074">
        <w:rPr>
          <w:rFonts w:ascii="Verdana" w:hAnsi="Verdana"/>
          <w:i/>
          <w:sz w:val="18"/>
          <w:szCs w:val="18"/>
          <w:lang w:val="nl-NL"/>
        </w:rPr>
        <w:t>Inappropriate</w:t>
      </w:r>
      <w:proofErr w:type="spellEnd"/>
      <w:r w:rsidRPr="00BB7074">
        <w:rPr>
          <w:rFonts w:ascii="Verdana" w:hAnsi="Verdana"/>
          <w:i/>
          <w:sz w:val="18"/>
          <w:szCs w:val="18"/>
          <w:lang w:val="nl-NL"/>
        </w:rPr>
        <w:t xml:space="preserve"> </w:t>
      </w:r>
      <w:proofErr w:type="spellStart"/>
      <w:r w:rsidRPr="00BB7074">
        <w:rPr>
          <w:rFonts w:ascii="Verdana" w:hAnsi="Verdana"/>
          <w:i/>
          <w:sz w:val="18"/>
          <w:szCs w:val="18"/>
          <w:lang w:val="nl-NL"/>
        </w:rPr>
        <w:t>Circumstances</w:t>
      </w:r>
      <w:proofErr w:type="spellEnd"/>
      <w:r w:rsidRPr="00BB7074">
        <w:rPr>
          <w:rFonts w:ascii="Verdana" w:hAnsi="Verdana"/>
          <w:sz w:val="18"/>
          <w:szCs w:val="18"/>
          <w:lang w:val="nl-NL"/>
        </w:rPr>
        <w:t>’</w:t>
      </w:r>
      <w:r w:rsidRPr="00BB7074">
        <w:rPr>
          <w:rFonts w:ascii="Verdana" w:hAnsi="Verdana"/>
          <w:sz w:val="18"/>
          <w:szCs w:val="18"/>
          <w:vertAlign w:val="superscript"/>
          <w:lang w:val="nl-NL"/>
        </w:rPr>
        <w:footnoteReference w:id="8"/>
      </w:r>
      <w:r w:rsidRPr="00BB7074">
        <w:rPr>
          <w:rFonts w:ascii="Verdana" w:hAnsi="Verdana"/>
          <w:sz w:val="18"/>
          <w:szCs w:val="18"/>
          <w:lang w:val="nl-NL"/>
        </w:rPr>
        <w:t xml:space="preserve"> van het BEPS-project. Dit houdt in dat de titel en de preambule van het Verdrag duidelijk maken dat het Verdrag bedoeld is om dubbele belasting te vermijden, zonder daarmee mogelijkheden te creëren voor dubbele niet-heffing of verlaagde heffing door belastingontduiking of belastingontwijking. Daarbij wordt expliciet verwezen naar zogenoemde </w:t>
      </w:r>
      <w:proofErr w:type="spellStart"/>
      <w:r w:rsidRPr="00BB7074">
        <w:rPr>
          <w:rFonts w:ascii="Verdana" w:hAnsi="Verdana"/>
          <w:sz w:val="18"/>
          <w:szCs w:val="18"/>
          <w:lang w:val="nl-NL"/>
        </w:rPr>
        <w:t>treaty</w:t>
      </w:r>
      <w:proofErr w:type="spellEnd"/>
      <w:r w:rsidRPr="00BB7074">
        <w:rPr>
          <w:rFonts w:ascii="Verdana" w:hAnsi="Verdana"/>
          <w:sz w:val="18"/>
          <w:szCs w:val="18"/>
          <w:lang w:val="nl-NL"/>
        </w:rPr>
        <w:t xml:space="preserve">-shopping-constructies. Dit zijn situaties waarbij inkomen kunstmatig verlegd wordt naar een gerechtigde die een beroep kan doen op verdragsvoordelen terwijl de oorspronkelijke gerechtigde tot dit inkomen </w:t>
      </w:r>
      <w:r w:rsidRPr="00BB7074">
        <w:rPr>
          <w:rFonts w:ascii="Verdana" w:hAnsi="Verdana"/>
          <w:sz w:val="18"/>
          <w:szCs w:val="18"/>
          <w:lang w:val="nl-NL"/>
        </w:rPr>
        <w:lastRenderedPageBreak/>
        <w:t>geen verdragsvoordelen zou hebben. De formulering van de titel en preambule is van belang met het oog op de uitleg en toepassing van het Verdrag.</w:t>
      </w:r>
    </w:p>
    <w:p w:rsidRPr="00BB7074" w:rsidR="005B10AE" w:rsidP="00A47B61" w:rsidRDefault="005B10AE" w14:paraId="6E1FC003" w14:textId="77777777">
      <w:pPr>
        <w:rPr>
          <w:rFonts w:ascii="Verdana" w:hAnsi="Verdana"/>
          <w:sz w:val="18"/>
          <w:szCs w:val="18"/>
          <w:lang w:val="nl-NL"/>
        </w:rPr>
      </w:pPr>
    </w:p>
    <w:p w:rsidRPr="00BB7074" w:rsidR="007863F7" w:rsidP="00B603B8" w:rsidRDefault="003E03A0" w14:paraId="5090F1D8" w14:textId="6E83EE74">
      <w:pPr>
        <w:pStyle w:val="Heading2"/>
        <w:rPr>
          <w:lang w:val="nl-NL"/>
        </w:rPr>
      </w:pPr>
      <w:r w:rsidRPr="00BB7074">
        <w:rPr>
          <w:lang w:val="nl-NL"/>
        </w:rPr>
        <w:t>II.1</w:t>
      </w:r>
      <w:r w:rsidR="00142864">
        <w:rPr>
          <w:lang w:val="nl-NL"/>
        </w:rPr>
        <w:t>.</w:t>
      </w:r>
      <w:r w:rsidRPr="00BB7074">
        <w:rPr>
          <w:lang w:val="nl-NL"/>
        </w:rPr>
        <w:t xml:space="preserve"> </w:t>
      </w:r>
      <w:r w:rsidRPr="00BB7074" w:rsidR="007863F7">
        <w:rPr>
          <w:lang w:val="nl-NL"/>
        </w:rPr>
        <w:t xml:space="preserve">Personen die onder het </w:t>
      </w:r>
      <w:r w:rsidRPr="00BB7074" w:rsidR="00F46AD2">
        <w:rPr>
          <w:lang w:val="nl-NL"/>
        </w:rPr>
        <w:t>V</w:t>
      </w:r>
      <w:r w:rsidRPr="00BB7074" w:rsidR="007863F7">
        <w:rPr>
          <w:lang w:val="nl-NL"/>
        </w:rPr>
        <w:t>erdrag vallen</w:t>
      </w:r>
      <w:r w:rsidRPr="00BB7074" w:rsidR="00A77A4E">
        <w:rPr>
          <w:lang w:val="nl-NL"/>
        </w:rPr>
        <w:t xml:space="preserve"> (</w:t>
      </w:r>
      <w:r w:rsidR="00A9054D">
        <w:rPr>
          <w:lang w:val="nl-NL"/>
        </w:rPr>
        <w:t>a</w:t>
      </w:r>
      <w:r w:rsidR="00DC484E">
        <w:rPr>
          <w:lang w:val="nl-NL"/>
        </w:rPr>
        <w:t xml:space="preserve">rtikel 1 van het Verdrag </w:t>
      </w:r>
      <w:r w:rsidRPr="00BB7074" w:rsidR="00495BBA">
        <w:rPr>
          <w:lang w:val="nl-NL"/>
        </w:rPr>
        <w:t xml:space="preserve">en </w:t>
      </w:r>
      <w:r w:rsidRPr="00BB7074" w:rsidR="00A77A4E">
        <w:rPr>
          <w:lang w:val="nl-NL"/>
        </w:rPr>
        <w:t>artikel II van het Protocol)</w:t>
      </w:r>
    </w:p>
    <w:p w:rsidRPr="00BB7074" w:rsidR="00F92BFD" w:rsidP="00F92BFD" w:rsidRDefault="00F92BFD" w14:paraId="72978D40" w14:textId="4E1F0449">
      <w:pPr>
        <w:rPr>
          <w:rFonts w:ascii="Verdana" w:hAnsi="Verdana"/>
          <w:sz w:val="18"/>
          <w:szCs w:val="18"/>
          <w:lang w:val="nl-NL"/>
        </w:rPr>
      </w:pPr>
      <w:r w:rsidRPr="00BB7074">
        <w:rPr>
          <w:rFonts w:ascii="Verdana" w:hAnsi="Verdana"/>
          <w:sz w:val="18"/>
          <w:szCs w:val="18"/>
          <w:lang w:val="nl-NL"/>
        </w:rPr>
        <w:t xml:space="preserve">Artikel 1, eerste lid, </w:t>
      </w:r>
      <w:r w:rsidRPr="00BB7074" w:rsidR="000069F7">
        <w:rPr>
          <w:rFonts w:ascii="Verdana" w:hAnsi="Verdana"/>
          <w:sz w:val="18"/>
          <w:szCs w:val="18"/>
          <w:lang w:val="nl-NL"/>
        </w:rPr>
        <w:t xml:space="preserve">van het Verdrag </w:t>
      </w:r>
      <w:r w:rsidRPr="00BB7074">
        <w:rPr>
          <w:rFonts w:ascii="Verdana" w:hAnsi="Verdana"/>
          <w:sz w:val="18"/>
          <w:szCs w:val="18"/>
          <w:lang w:val="nl-NL"/>
        </w:rPr>
        <w:t xml:space="preserve">beschrijft de personele werkingssfeer van het Verdrag. Het Verdrag geldt ten aanzien van personen die inwoner zijn van een </w:t>
      </w:r>
      <w:r w:rsidRPr="00BB7074" w:rsidR="00342E6A">
        <w:rPr>
          <w:rFonts w:ascii="Verdana" w:hAnsi="Verdana"/>
          <w:sz w:val="18"/>
          <w:szCs w:val="18"/>
          <w:lang w:val="nl-NL"/>
        </w:rPr>
        <w:t xml:space="preserve">van de </w:t>
      </w:r>
      <w:r w:rsidRPr="00BB7074">
        <w:rPr>
          <w:rFonts w:ascii="Verdana" w:hAnsi="Verdana"/>
          <w:sz w:val="18"/>
          <w:szCs w:val="18"/>
          <w:lang w:val="nl-NL"/>
        </w:rPr>
        <w:t xml:space="preserve">verdragsluitende </w:t>
      </w:r>
      <w:r w:rsidRPr="00BB7074" w:rsidR="008B5BF7">
        <w:rPr>
          <w:rFonts w:ascii="Verdana" w:hAnsi="Verdana"/>
          <w:sz w:val="18"/>
          <w:szCs w:val="18"/>
          <w:lang w:val="nl-NL"/>
        </w:rPr>
        <w:t>stat</w:t>
      </w:r>
      <w:r w:rsidRPr="00BB7074" w:rsidR="00C5646E">
        <w:rPr>
          <w:rFonts w:ascii="Verdana" w:hAnsi="Verdana"/>
          <w:sz w:val="18"/>
          <w:szCs w:val="18"/>
          <w:lang w:val="nl-NL"/>
        </w:rPr>
        <w:t>en</w:t>
      </w:r>
      <w:r w:rsidRPr="00BB7074">
        <w:rPr>
          <w:rFonts w:ascii="Verdana" w:hAnsi="Verdana"/>
          <w:sz w:val="18"/>
          <w:szCs w:val="18"/>
          <w:lang w:val="nl-NL"/>
        </w:rPr>
        <w:t xml:space="preserve"> of van beide verdragsluitende staten. De uitdrukkingen ‘verdragsluitende </w:t>
      </w:r>
      <w:r w:rsidRPr="00BB7074" w:rsidR="008B5BF7">
        <w:rPr>
          <w:rFonts w:ascii="Verdana" w:hAnsi="Verdana"/>
          <w:sz w:val="18"/>
          <w:szCs w:val="18"/>
          <w:lang w:val="nl-NL"/>
        </w:rPr>
        <w:t>staat</w:t>
      </w:r>
      <w:r w:rsidRPr="00BB7074">
        <w:rPr>
          <w:rFonts w:ascii="Verdana" w:hAnsi="Verdana"/>
          <w:sz w:val="18"/>
          <w:szCs w:val="18"/>
          <w:lang w:val="nl-NL"/>
        </w:rPr>
        <w:t>’ en ‘persoon’ worden omschreven in artikel 3, eerste lid, onderdelen c en d, en het begrip ‘inwoner’ in artikel 4 van het Verdrag.</w:t>
      </w:r>
    </w:p>
    <w:p w:rsidRPr="00BB7074" w:rsidR="00F92BFD" w:rsidP="00F92BFD" w:rsidRDefault="00F92BFD" w14:paraId="3B12B315" w14:textId="0B63BCEE">
      <w:pPr>
        <w:rPr>
          <w:rFonts w:ascii="Verdana" w:hAnsi="Verdana"/>
          <w:sz w:val="18"/>
          <w:szCs w:val="18"/>
          <w:lang w:val="nl-NL"/>
        </w:rPr>
      </w:pPr>
      <w:r w:rsidRPr="00BB7074">
        <w:rPr>
          <w:rFonts w:ascii="Verdana" w:hAnsi="Verdana"/>
          <w:sz w:val="18"/>
          <w:szCs w:val="18"/>
          <w:lang w:val="nl-NL"/>
        </w:rPr>
        <w:t>Voorts is in artikel I</w:t>
      </w:r>
      <w:r w:rsidRPr="00BB7074" w:rsidR="00342E6A">
        <w:rPr>
          <w:rFonts w:ascii="Verdana" w:hAnsi="Verdana"/>
          <w:sz w:val="18"/>
          <w:szCs w:val="18"/>
          <w:lang w:val="nl-NL"/>
        </w:rPr>
        <w:t>I</w:t>
      </w:r>
      <w:r w:rsidRPr="00BB7074" w:rsidR="00241BE8">
        <w:rPr>
          <w:rFonts w:ascii="Verdana" w:hAnsi="Verdana"/>
          <w:sz w:val="18"/>
          <w:szCs w:val="18"/>
          <w:lang w:val="nl-NL"/>
        </w:rPr>
        <w:t xml:space="preserve">, tweede lid, </w:t>
      </w:r>
      <w:r w:rsidRPr="00BB7074">
        <w:rPr>
          <w:rFonts w:ascii="Verdana" w:hAnsi="Verdana"/>
          <w:sz w:val="18"/>
          <w:szCs w:val="18"/>
          <w:lang w:val="nl-NL"/>
        </w:rPr>
        <w:t xml:space="preserve">van het Protocol </w:t>
      </w:r>
      <w:r w:rsidRPr="00BB7074" w:rsidR="00241BE8">
        <w:rPr>
          <w:rFonts w:ascii="Verdana" w:hAnsi="Verdana"/>
          <w:sz w:val="18"/>
          <w:szCs w:val="18"/>
          <w:lang w:val="nl-NL"/>
        </w:rPr>
        <w:t xml:space="preserve">geregeld </w:t>
      </w:r>
      <w:r w:rsidRPr="00BB7074">
        <w:rPr>
          <w:rFonts w:ascii="Verdana" w:hAnsi="Verdana"/>
          <w:sz w:val="18"/>
          <w:szCs w:val="18"/>
          <w:lang w:val="nl-NL"/>
        </w:rPr>
        <w:t xml:space="preserve">dat de bevoegde autoriteiten in onderling overleg kunnen bepalen </w:t>
      </w:r>
      <w:r w:rsidRPr="00BB7074" w:rsidR="00241BE8">
        <w:rPr>
          <w:rFonts w:ascii="Verdana" w:hAnsi="Verdana"/>
          <w:sz w:val="18"/>
          <w:szCs w:val="18"/>
          <w:lang w:val="nl-NL"/>
        </w:rPr>
        <w:t xml:space="preserve">in welke mate </w:t>
      </w:r>
      <w:r w:rsidRPr="00BB7074">
        <w:rPr>
          <w:rFonts w:ascii="Verdana" w:hAnsi="Verdana"/>
          <w:sz w:val="18"/>
          <w:szCs w:val="18"/>
          <w:lang w:val="nl-NL"/>
        </w:rPr>
        <w:t xml:space="preserve">inwoners die onder een bijzonder fiscaal regime vallen de voordelen van het Verdrag niet zullen kunnen genieten. Daarbij is </w:t>
      </w:r>
      <w:r w:rsidRPr="00BB7074" w:rsidR="00241BE8">
        <w:rPr>
          <w:rFonts w:ascii="Verdana" w:hAnsi="Verdana"/>
          <w:sz w:val="18"/>
          <w:szCs w:val="18"/>
          <w:lang w:val="nl-NL"/>
        </w:rPr>
        <w:t xml:space="preserve">in het eerste lid van genoemd artikel II geregeld </w:t>
      </w:r>
      <w:r w:rsidRPr="00BB7074">
        <w:rPr>
          <w:rFonts w:ascii="Verdana" w:hAnsi="Verdana"/>
          <w:sz w:val="18"/>
          <w:szCs w:val="18"/>
          <w:lang w:val="nl-NL"/>
        </w:rPr>
        <w:t xml:space="preserve">dat de vrijgestelde beleggingsinstelling in de zin van artikel 6a van de Wet op de </w:t>
      </w:r>
      <w:r w:rsidRPr="00BB7074" w:rsidR="005B7ADE">
        <w:rPr>
          <w:rFonts w:ascii="Verdana" w:hAnsi="Verdana"/>
          <w:sz w:val="18"/>
          <w:szCs w:val="18"/>
          <w:lang w:val="nl-NL"/>
        </w:rPr>
        <w:t>v</w:t>
      </w:r>
      <w:r w:rsidRPr="00BB7074">
        <w:rPr>
          <w:rFonts w:ascii="Verdana" w:hAnsi="Verdana"/>
          <w:sz w:val="18"/>
          <w:szCs w:val="18"/>
          <w:lang w:val="nl-NL"/>
        </w:rPr>
        <w:t xml:space="preserve">ennootschapsbelasting 1969 </w:t>
      </w:r>
      <w:r w:rsidRPr="00BB7074" w:rsidR="005B7ADE">
        <w:rPr>
          <w:rFonts w:ascii="Verdana" w:hAnsi="Verdana"/>
          <w:sz w:val="18"/>
          <w:szCs w:val="18"/>
          <w:lang w:val="nl-NL"/>
        </w:rPr>
        <w:t xml:space="preserve">(Wet </w:t>
      </w:r>
      <w:proofErr w:type="spellStart"/>
      <w:r w:rsidRPr="00BB7074" w:rsidR="005B7ADE">
        <w:rPr>
          <w:rFonts w:ascii="Verdana" w:hAnsi="Verdana"/>
          <w:sz w:val="18"/>
          <w:szCs w:val="18"/>
          <w:lang w:val="nl-NL"/>
        </w:rPr>
        <w:t>Vpb</w:t>
      </w:r>
      <w:proofErr w:type="spellEnd"/>
      <w:r w:rsidRPr="00BB7074" w:rsidR="005B7ADE">
        <w:rPr>
          <w:rFonts w:ascii="Verdana" w:hAnsi="Verdana"/>
          <w:sz w:val="18"/>
          <w:szCs w:val="18"/>
          <w:lang w:val="nl-NL"/>
        </w:rPr>
        <w:t xml:space="preserve"> 1969) </w:t>
      </w:r>
      <w:r w:rsidRPr="00BB7074">
        <w:rPr>
          <w:rFonts w:ascii="Verdana" w:hAnsi="Verdana"/>
          <w:sz w:val="18"/>
          <w:szCs w:val="18"/>
          <w:lang w:val="nl-NL"/>
        </w:rPr>
        <w:t>niet in aanmerking komt voor de voordelen van de artikelen 10, 11, 12, 13, 20 en 21 van het Verdrag. Dit betekent onder meer dat een in Nederland gevestigde vrijgestelde beleggingsinstelling voor dividendinkomsten afkomstig uit Colombia geen aanspraak kan maken op vermindering van belasting in Colombia op grond van het Verdrag. Tevens is hiermee uitvoering gegeven aan de motie-Omtzigt/Van Vliet.</w:t>
      </w:r>
      <w:r w:rsidRPr="00BB7074">
        <w:rPr>
          <w:rFonts w:ascii="Verdana" w:hAnsi="Verdana"/>
          <w:sz w:val="18"/>
          <w:szCs w:val="18"/>
          <w:vertAlign w:val="superscript"/>
          <w:lang w:val="nl-NL"/>
        </w:rPr>
        <w:footnoteReference w:id="9"/>
      </w:r>
      <w:r w:rsidRPr="00BB7074">
        <w:rPr>
          <w:rFonts w:ascii="Verdana" w:hAnsi="Verdana"/>
          <w:sz w:val="18"/>
          <w:szCs w:val="18"/>
          <w:lang w:val="nl-NL"/>
        </w:rPr>
        <w:t xml:space="preserve"> Voor de goede orde wordt hierbij opgemerkt dat vrijgestelde beleggingsinstellingen, evenals andere </w:t>
      </w:r>
      <w:r w:rsidRPr="00BB7074" w:rsidR="00241BE8">
        <w:rPr>
          <w:rFonts w:ascii="Verdana" w:hAnsi="Verdana"/>
          <w:sz w:val="18"/>
          <w:szCs w:val="18"/>
          <w:lang w:val="nl-NL"/>
        </w:rPr>
        <w:t xml:space="preserve">subjectief </w:t>
      </w:r>
      <w:r w:rsidRPr="00BB7074">
        <w:rPr>
          <w:rFonts w:ascii="Verdana" w:hAnsi="Verdana"/>
          <w:sz w:val="18"/>
          <w:szCs w:val="18"/>
          <w:lang w:val="nl-NL"/>
        </w:rPr>
        <w:t>vrijgestelde entiteiten</w:t>
      </w:r>
      <w:r w:rsidRPr="00BB7074" w:rsidR="00241BE8">
        <w:rPr>
          <w:rFonts w:ascii="Verdana" w:hAnsi="Verdana"/>
          <w:sz w:val="18"/>
          <w:szCs w:val="18"/>
          <w:lang w:val="nl-NL"/>
        </w:rPr>
        <w:t xml:space="preserve"> die inwoner zijn van Nederland</w:t>
      </w:r>
      <w:r w:rsidRPr="00BB7074">
        <w:rPr>
          <w:rFonts w:ascii="Verdana" w:hAnsi="Verdana"/>
          <w:sz w:val="18"/>
          <w:szCs w:val="18"/>
          <w:lang w:val="nl-NL"/>
        </w:rPr>
        <w:t>, in beginsel op basis van het eerste en tweede lid</w:t>
      </w:r>
      <w:r w:rsidRPr="00BB7074" w:rsidR="00A243A9">
        <w:rPr>
          <w:rFonts w:ascii="Verdana" w:hAnsi="Verdana"/>
          <w:sz w:val="18"/>
          <w:szCs w:val="18"/>
          <w:lang w:val="nl-NL"/>
        </w:rPr>
        <w:t xml:space="preserve"> (onderdeel a)</w:t>
      </w:r>
      <w:r w:rsidRPr="00BB7074">
        <w:rPr>
          <w:rFonts w:ascii="Verdana" w:hAnsi="Verdana"/>
          <w:sz w:val="18"/>
          <w:szCs w:val="18"/>
          <w:lang w:val="nl-NL"/>
        </w:rPr>
        <w:t xml:space="preserve"> van artikel 4 van het Verdrag als inwoner </w:t>
      </w:r>
      <w:r w:rsidRPr="00BB7074" w:rsidR="00A243A9">
        <w:rPr>
          <w:rFonts w:ascii="Verdana" w:hAnsi="Verdana"/>
          <w:sz w:val="18"/>
          <w:szCs w:val="18"/>
          <w:lang w:val="nl-NL"/>
        </w:rPr>
        <w:t xml:space="preserve">worden aangemerkt en </w:t>
      </w:r>
      <w:r w:rsidRPr="00BB7074" w:rsidR="007072E9">
        <w:rPr>
          <w:rFonts w:ascii="Verdana" w:hAnsi="Verdana"/>
          <w:sz w:val="18"/>
          <w:szCs w:val="18"/>
          <w:lang w:val="nl-NL"/>
        </w:rPr>
        <w:t xml:space="preserve">daarmee, als uitgangspunt, </w:t>
      </w:r>
      <w:r w:rsidRPr="00BB7074">
        <w:rPr>
          <w:rFonts w:ascii="Verdana" w:hAnsi="Verdana"/>
          <w:sz w:val="18"/>
          <w:szCs w:val="18"/>
          <w:lang w:val="nl-NL"/>
        </w:rPr>
        <w:t xml:space="preserve">voor de voordelen </w:t>
      </w:r>
      <w:r w:rsidRPr="00BB7074" w:rsidR="007072E9">
        <w:rPr>
          <w:rFonts w:ascii="Verdana" w:hAnsi="Verdana"/>
          <w:sz w:val="18"/>
          <w:szCs w:val="18"/>
          <w:lang w:val="nl-NL"/>
        </w:rPr>
        <w:t xml:space="preserve">van het Verdrag </w:t>
      </w:r>
      <w:r w:rsidRPr="00BB7074">
        <w:rPr>
          <w:rFonts w:ascii="Verdana" w:hAnsi="Verdana"/>
          <w:sz w:val="18"/>
          <w:szCs w:val="18"/>
          <w:lang w:val="nl-NL"/>
        </w:rPr>
        <w:t>in aanmerking komen.</w:t>
      </w:r>
      <w:r w:rsidRPr="00BB7074" w:rsidR="00241BE8">
        <w:rPr>
          <w:rFonts w:ascii="Verdana" w:hAnsi="Verdana"/>
          <w:sz w:val="18"/>
          <w:szCs w:val="18"/>
          <w:lang w:val="nl-NL"/>
        </w:rPr>
        <w:t xml:space="preserve"> Op basis van het eerste lid en tweede lid (onderdeel b) van artikel 4 geldt hetzelfde voor entiteiten die inwoner zijn van Colombia. Voor een nadere toelichting wordt verwezen naar de toelichting op artikel 4 van het Verdrag.</w:t>
      </w:r>
    </w:p>
    <w:p w:rsidRPr="00BB7074" w:rsidR="00F92BFD" w:rsidP="00F92BFD" w:rsidRDefault="00F92BFD" w14:paraId="576CF695" w14:textId="188DDAFF">
      <w:pPr>
        <w:rPr>
          <w:rFonts w:ascii="Verdana" w:hAnsi="Verdana"/>
          <w:sz w:val="18"/>
          <w:szCs w:val="18"/>
          <w:lang w:val="nl-NL"/>
        </w:rPr>
      </w:pPr>
      <w:r w:rsidRPr="00BB7074">
        <w:rPr>
          <w:rFonts w:ascii="Verdana" w:hAnsi="Verdana"/>
          <w:sz w:val="18"/>
          <w:szCs w:val="18"/>
          <w:lang w:val="nl-NL"/>
        </w:rPr>
        <w:t xml:space="preserve">In </w:t>
      </w:r>
      <w:r w:rsidRPr="00BB7074" w:rsidR="000069F7">
        <w:rPr>
          <w:rFonts w:ascii="Verdana" w:hAnsi="Verdana"/>
          <w:sz w:val="18"/>
          <w:szCs w:val="18"/>
          <w:lang w:val="nl-NL"/>
        </w:rPr>
        <w:t>a</w:t>
      </w:r>
      <w:r w:rsidRPr="00BB7074">
        <w:rPr>
          <w:rFonts w:ascii="Verdana" w:hAnsi="Verdana"/>
          <w:sz w:val="18"/>
          <w:szCs w:val="18"/>
          <w:lang w:val="nl-NL"/>
        </w:rPr>
        <w:t>rtikel 1</w:t>
      </w:r>
      <w:r w:rsidRPr="00BB7074" w:rsidR="000069F7">
        <w:rPr>
          <w:rFonts w:ascii="Verdana" w:hAnsi="Verdana"/>
          <w:sz w:val="18"/>
          <w:szCs w:val="18"/>
          <w:lang w:val="nl-NL"/>
        </w:rPr>
        <w:t>,</w:t>
      </w:r>
      <w:r w:rsidRPr="00BB7074">
        <w:rPr>
          <w:rFonts w:ascii="Verdana" w:hAnsi="Verdana"/>
          <w:sz w:val="18"/>
          <w:szCs w:val="18"/>
          <w:lang w:val="nl-NL"/>
        </w:rPr>
        <w:t xml:space="preserve"> </w:t>
      </w:r>
      <w:r w:rsidRPr="00BB7074" w:rsidR="000069F7">
        <w:rPr>
          <w:rFonts w:ascii="Verdana" w:hAnsi="Verdana"/>
          <w:sz w:val="18"/>
          <w:szCs w:val="18"/>
          <w:lang w:val="nl-NL"/>
        </w:rPr>
        <w:t xml:space="preserve">tweede lid, </w:t>
      </w:r>
      <w:r w:rsidRPr="00BB7074">
        <w:rPr>
          <w:rFonts w:ascii="Verdana" w:hAnsi="Verdana"/>
          <w:sz w:val="18"/>
          <w:szCs w:val="18"/>
          <w:lang w:val="nl-NL"/>
        </w:rPr>
        <w:t xml:space="preserve">van het Verdrag is een bepaling opgenomen die de verdragstoepassing regelt in gevallen dat inkomen wordt </w:t>
      </w:r>
      <w:r w:rsidRPr="00BB7074" w:rsidR="000069F7">
        <w:rPr>
          <w:rFonts w:ascii="Verdana" w:hAnsi="Verdana"/>
          <w:sz w:val="18"/>
          <w:szCs w:val="18"/>
          <w:lang w:val="nl-NL"/>
        </w:rPr>
        <w:t xml:space="preserve">verkregen </w:t>
      </w:r>
      <w:r w:rsidRPr="00BB7074">
        <w:rPr>
          <w:rFonts w:ascii="Verdana" w:hAnsi="Verdana"/>
          <w:sz w:val="18"/>
          <w:szCs w:val="18"/>
          <w:lang w:val="nl-NL"/>
        </w:rPr>
        <w:t xml:space="preserve">door </w:t>
      </w:r>
      <w:r w:rsidRPr="00BB7074" w:rsidR="000069F7">
        <w:rPr>
          <w:rFonts w:ascii="Verdana" w:hAnsi="Verdana"/>
          <w:sz w:val="18"/>
          <w:szCs w:val="18"/>
          <w:lang w:val="nl-NL"/>
        </w:rPr>
        <w:t xml:space="preserve">of via </w:t>
      </w:r>
      <w:r w:rsidRPr="00BB7074">
        <w:rPr>
          <w:rFonts w:ascii="Verdana" w:hAnsi="Verdana"/>
          <w:sz w:val="18"/>
          <w:szCs w:val="18"/>
          <w:lang w:val="nl-NL"/>
        </w:rPr>
        <w:t xml:space="preserve">zogenoemde hybride entiteiten. Dat zijn entiteiten die in de ene </w:t>
      </w:r>
      <w:r w:rsidRPr="00BB7074" w:rsidR="007072E9">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volgens nationaal recht worden aangemerkt als een fiscaal zelfstandig lichaam, maar </w:t>
      </w:r>
      <w:r w:rsidRPr="00BB7074" w:rsidR="007072E9">
        <w:rPr>
          <w:rFonts w:ascii="Verdana" w:hAnsi="Verdana"/>
          <w:sz w:val="18"/>
          <w:szCs w:val="18"/>
          <w:lang w:val="nl-NL"/>
        </w:rPr>
        <w:t xml:space="preserve">die </w:t>
      </w:r>
      <w:r w:rsidRPr="00BB7074">
        <w:rPr>
          <w:rFonts w:ascii="Verdana" w:hAnsi="Verdana"/>
          <w:sz w:val="18"/>
          <w:szCs w:val="18"/>
          <w:lang w:val="nl-NL"/>
        </w:rPr>
        <w:t xml:space="preserve">volgens het nationale recht van de andere </w:t>
      </w:r>
      <w:r w:rsidRPr="00BB7074" w:rsidR="007072E9">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als fiscaal transparant worden beschouwd. Omdat d</w:t>
      </w:r>
      <w:r w:rsidRPr="00BB7074" w:rsidR="007072E9">
        <w:rPr>
          <w:rFonts w:ascii="Verdana" w:hAnsi="Verdana"/>
          <w:sz w:val="18"/>
          <w:szCs w:val="18"/>
          <w:lang w:val="nl-NL"/>
        </w:rPr>
        <w:t>i</w:t>
      </w:r>
      <w:r w:rsidRPr="00BB7074">
        <w:rPr>
          <w:rFonts w:ascii="Verdana" w:hAnsi="Verdana"/>
          <w:sz w:val="18"/>
          <w:szCs w:val="18"/>
          <w:lang w:val="nl-NL"/>
        </w:rPr>
        <w:t xml:space="preserve">e andere </w:t>
      </w:r>
      <w:r w:rsidRPr="00BB7074" w:rsidR="008B5BF7">
        <w:rPr>
          <w:rFonts w:ascii="Verdana" w:hAnsi="Verdana"/>
          <w:sz w:val="18"/>
          <w:szCs w:val="18"/>
          <w:lang w:val="nl-NL"/>
        </w:rPr>
        <w:t>staat</w:t>
      </w:r>
      <w:r w:rsidRPr="00BB7074">
        <w:rPr>
          <w:rFonts w:ascii="Verdana" w:hAnsi="Verdana"/>
          <w:sz w:val="18"/>
          <w:szCs w:val="18"/>
          <w:lang w:val="nl-NL"/>
        </w:rPr>
        <w:t xml:space="preserve"> de entiteit als fiscaal transparant beschouwt, zal </w:t>
      </w:r>
      <w:r w:rsidRPr="00BB7074" w:rsidR="007072E9">
        <w:rPr>
          <w:rFonts w:ascii="Verdana" w:hAnsi="Verdana"/>
          <w:sz w:val="18"/>
          <w:szCs w:val="18"/>
          <w:lang w:val="nl-NL"/>
        </w:rPr>
        <w:t xml:space="preserve">die staat het </w:t>
      </w:r>
      <w:r w:rsidRPr="00BB7074">
        <w:rPr>
          <w:rFonts w:ascii="Verdana" w:hAnsi="Verdana"/>
          <w:sz w:val="18"/>
          <w:szCs w:val="18"/>
          <w:lang w:val="nl-NL"/>
        </w:rPr>
        <w:t>inkomen fiscaal niet aan de entiteit toerekenen, maar aan de daarin deelnemende, achterliggende personen. Een dergelijk verschil in kwalificatie van entiteiten roept vragen op over de verdragsgerechtigdheid van de entiteit of van de achterliggende personen en kan leiden tot dubbele vrijstelling of dubbele belasting van inkomen.</w:t>
      </w:r>
    </w:p>
    <w:p w:rsidRPr="00BB7074" w:rsidR="00F92BFD" w:rsidP="00F92BFD" w:rsidRDefault="00F92BFD" w14:paraId="516D8845" w14:textId="6E7BFAF1">
      <w:pPr>
        <w:rPr>
          <w:rFonts w:ascii="Verdana" w:hAnsi="Verdana" w:cs="Arial"/>
          <w:sz w:val="18"/>
          <w:szCs w:val="18"/>
          <w:lang w:val="nl-NL"/>
        </w:rPr>
      </w:pPr>
      <w:r w:rsidRPr="00BB7074">
        <w:rPr>
          <w:rFonts w:ascii="Verdana" w:hAnsi="Verdana"/>
          <w:sz w:val="18"/>
          <w:szCs w:val="18"/>
          <w:lang w:val="nl-NL"/>
        </w:rPr>
        <w:t xml:space="preserve">Het tweede lid van artikel 1 van het Verdrag bepaalt dat als een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het door of via een hybride entiteit verkregen inkomen in aanmerking neemt als inkomen van een inwoner van die </w:t>
      </w:r>
      <w:r w:rsidRPr="00BB7074" w:rsidR="008B5BF7">
        <w:rPr>
          <w:rFonts w:ascii="Verdana" w:hAnsi="Verdana"/>
          <w:sz w:val="18"/>
          <w:szCs w:val="18"/>
          <w:lang w:val="nl-NL"/>
        </w:rPr>
        <w:t>staat</w:t>
      </w:r>
      <w:r w:rsidRPr="00BB7074">
        <w:rPr>
          <w:rFonts w:ascii="Verdana" w:hAnsi="Verdana"/>
          <w:sz w:val="18"/>
          <w:szCs w:val="18"/>
          <w:lang w:val="nl-NL"/>
        </w:rPr>
        <w:t xml:space="preserve">, dit inkomen ook voor de toepassing van het Verdrag als zodanig moet worden behandeld. De bepaling voorkomt daarmee dat de inwoner van de ene </w:t>
      </w:r>
      <w:r w:rsidRPr="00BB7074" w:rsidR="008D0588">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de verdragsvoordelen met b</w:t>
      </w:r>
      <w:r w:rsidRPr="00BB7074" w:rsidR="006D19C8">
        <w:rPr>
          <w:rFonts w:ascii="Verdana" w:hAnsi="Verdana"/>
          <w:sz w:val="18"/>
          <w:szCs w:val="18"/>
          <w:lang w:val="nl-NL"/>
        </w:rPr>
        <w:t>etrekking tot dat inkomen niet krijgt</w:t>
      </w:r>
      <w:r w:rsidRPr="00BB7074">
        <w:rPr>
          <w:rFonts w:ascii="Verdana" w:hAnsi="Verdana"/>
          <w:sz w:val="18"/>
          <w:szCs w:val="18"/>
          <w:lang w:val="nl-NL"/>
        </w:rPr>
        <w:t xml:space="preserve"> omdat de andere </w:t>
      </w:r>
      <w:r w:rsidRPr="00BB7074" w:rsidR="008D0588">
        <w:rPr>
          <w:rFonts w:ascii="Verdana" w:hAnsi="Verdana"/>
          <w:sz w:val="18"/>
          <w:szCs w:val="18"/>
          <w:lang w:val="nl-NL"/>
        </w:rPr>
        <w:lastRenderedPageBreak/>
        <w:t xml:space="preserve">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(de bron</w:t>
      </w:r>
      <w:r w:rsidRPr="00BB7074" w:rsidR="008B5BF7">
        <w:rPr>
          <w:rFonts w:ascii="Verdana" w:hAnsi="Verdana"/>
          <w:sz w:val="18"/>
          <w:szCs w:val="18"/>
          <w:lang w:val="nl-NL"/>
        </w:rPr>
        <w:t>staat</w:t>
      </w:r>
      <w:r w:rsidRPr="00BB7074">
        <w:rPr>
          <w:rFonts w:ascii="Verdana" w:hAnsi="Verdana"/>
          <w:sz w:val="18"/>
          <w:szCs w:val="18"/>
          <w:lang w:val="nl-NL"/>
        </w:rPr>
        <w:t xml:space="preserve">) dat inkomen, volgens de eigen kwalificatie van de hybride entiteit, aan een andere persoon zou toerekenen. Aan de andere kant stelt de bepaling ook buiten twijfel dat geen verdragsvoordelen worden verleend voor inkomen dat door geen van de verdragsluitende staten in aanmerking wordt genomen als inkomen van een inwoner. Deze bepaling komt overeen met de in het kader van het BEPS-project ontwikkelde bepaling, zoals deze inmiddels is opgenomen in artikel 3, eerste lid, van het </w:t>
      </w:r>
      <w:r w:rsidR="00D57B5C">
        <w:rPr>
          <w:rFonts w:ascii="Verdana" w:hAnsi="Verdana"/>
          <w:sz w:val="18"/>
          <w:szCs w:val="18"/>
          <w:lang w:val="nl-NL"/>
        </w:rPr>
        <w:t>MLI</w:t>
      </w:r>
      <w:r w:rsidRPr="00BB7074">
        <w:rPr>
          <w:rFonts w:ascii="Verdana" w:hAnsi="Verdana"/>
          <w:sz w:val="18"/>
          <w:szCs w:val="18"/>
          <w:lang w:val="nl-NL"/>
        </w:rPr>
        <w:t xml:space="preserve"> en in artikel 1, tweede lid, van het OESO-modelverdrag. </w:t>
      </w:r>
      <w:r w:rsidR="007C0157">
        <w:rPr>
          <w:rFonts w:ascii="Verdana" w:hAnsi="Verdana" w:cs="Arial"/>
          <w:sz w:val="18"/>
          <w:szCs w:val="18"/>
          <w:lang w:val="nl-NL"/>
        </w:rPr>
        <w:t>H</w:t>
      </w:r>
      <w:r w:rsidRPr="00BB7074">
        <w:rPr>
          <w:rFonts w:ascii="Verdana" w:hAnsi="Verdana" w:cs="Arial"/>
          <w:sz w:val="18"/>
          <w:szCs w:val="18"/>
          <w:lang w:val="nl-NL"/>
        </w:rPr>
        <w:t xml:space="preserve">et bepaalde in het tweede lid </w:t>
      </w:r>
      <w:r w:rsidR="007C0157">
        <w:rPr>
          <w:rFonts w:ascii="Verdana" w:hAnsi="Verdana" w:cs="Arial"/>
          <w:sz w:val="18"/>
          <w:szCs w:val="18"/>
          <w:lang w:val="nl-NL"/>
        </w:rPr>
        <w:t xml:space="preserve">heeft </w:t>
      </w:r>
      <w:r w:rsidRPr="00BB7074">
        <w:rPr>
          <w:rFonts w:ascii="Verdana" w:hAnsi="Verdana" w:cs="Arial"/>
          <w:sz w:val="18"/>
          <w:szCs w:val="18"/>
          <w:lang w:val="nl-NL"/>
        </w:rPr>
        <w:t xml:space="preserve">niet tot gevolg dat een verdragsluitende </w:t>
      </w:r>
      <w:r w:rsidRPr="00BB7074" w:rsidR="008B5BF7">
        <w:rPr>
          <w:rFonts w:ascii="Verdana" w:hAnsi="Verdana" w:cs="Arial"/>
          <w:sz w:val="18"/>
          <w:szCs w:val="18"/>
          <w:lang w:val="nl-NL"/>
        </w:rPr>
        <w:t>staat</w:t>
      </w:r>
      <w:r w:rsidRPr="00BB7074">
        <w:rPr>
          <w:rFonts w:ascii="Verdana" w:hAnsi="Verdana" w:cs="Arial"/>
          <w:sz w:val="18"/>
          <w:szCs w:val="18"/>
          <w:lang w:val="nl-NL"/>
        </w:rPr>
        <w:t xml:space="preserve"> wordt beperkt in het belasten van eigen inwoners. Dit ziet bijvoorbeeld op de situatie dat de hybride entiteit als inwoner belastingplichtig is in de verdragsluitende </w:t>
      </w:r>
      <w:r w:rsidRPr="00BB7074" w:rsidR="008B5BF7">
        <w:rPr>
          <w:rFonts w:ascii="Verdana" w:hAnsi="Verdana" w:cs="Arial"/>
          <w:sz w:val="18"/>
          <w:szCs w:val="18"/>
          <w:lang w:val="nl-NL"/>
        </w:rPr>
        <w:t>staat</w:t>
      </w:r>
      <w:r w:rsidRPr="00BB7074">
        <w:rPr>
          <w:rFonts w:ascii="Verdana" w:hAnsi="Verdana" w:cs="Arial"/>
          <w:sz w:val="18"/>
          <w:szCs w:val="18"/>
          <w:lang w:val="nl-NL"/>
        </w:rPr>
        <w:t xml:space="preserve"> waar het inkomen van die entiteit opkomt. Vanuit deze </w:t>
      </w:r>
      <w:r w:rsidRPr="00BB7074" w:rsidR="008B5BF7">
        <w:rPr>
          <w:rFonts w:ascii="Verdana" w:hAnsi="Verdana" w:cs="Arial"/>
          <w:sz w:val="18"/>
          <w:szCs w:val="18"/>
          <w:lang w:val="nl-NL"/>
        </w:rPr>
        <w:t>staat</w:t>
      </w:r>
      <w:r w:rsidRPr="00BB7074">
        <w:rPr>
          <w:rFonts w:ascii="Verdana" w:hAnsi="Verdana" w:cs="Arial"/>
          <w:sz w:val="18"/>
          <w:szCs w:val="18"/>
          <w:lang w:val="nl-NL"/>
        </w:rPr>
        <w:t xml:space="preserve"> bezien is dan sprake van een zuiver binnenlandse situatie. In dat geval hoeft de verdragsluitende </w:t>
      </w:r>
      <w:r w:rsidRPr="00BB7074" w:rsidR="008B5BF7">
        <w:rPr>
          <w:rFonts w:ascii="Verdana" w:hAnsi="Verdana" w:cs="Arial"/>
          <w:sz w:val="18"/>
          <w:szCs w:val="18"/>
          <w:lang w:val="nl-NL"/>
        </w:rPr>
        <w:t>staat</w:t>
      </w:r>
      <w:r w:rsidRPr="00BB7074">
        <w:rPr>
          <w:rFonts w:ascii="Verdana" w:hAnsi="Verdana" w:cs="Arial"/>
          <w:sz w:val="18"/>
          <w:szCs w:val="18"/>
          <w:lang w:val="nl-NL"/>
        </w:rPr>
        <w:t xml:space="preserve"> waar het inkomen opkomt het Verdrag niet toe te passen. Op deze manier wordt voorkomen dat de heffingsrechten van een verdragsluitende </w:t>
      </w:r>
      <w:r w:rsidRPr="00BB7074" w:rsidR="008B5BF7">
        <w:rPr>
          <w:rFonts w:ascii="Verdana" w:hAnsi="Verdana" w:cs="Arial"/>
          <w:sz w:val="18"/>
          <w:szCs w:val="18"/>
          <w:lang w:val="nl-NL"/>
        </w:rPr>
        <w:t>staat</w:t>
      </w:r>
      <w:r w:rsidRPr="00BB7074">
        <w:rPr>
          <w:rFonts w:ascii="Verdana" w:hAnsi="Verdana" w:cs="Arial"/>
          <w:sz w:val="18"/>
          <w:szCs w:val="18"/>
          <w:lang w:val="nl-NL"/>
        </w:rPr>
        <w:t xml:space="preserve"> beperkt zouden worden voor inkomen van een eigen inwoner (niet-transparante entiteit) omdat de andere verdragsluitende </w:t>
      </w:r>
      <w:r w:rsidRPr="00BB7074" w:rsidR="008B5BF7">
        <w:rPr>
          <w:rFonts w:ascii="Verdana" w:hAnsi="Verdana" w:cs="Arial"/>
          <w:sz w:val="18"/>
          <w:szCs w:val="18"/>
          <w:lang w:val="nl-NL"/>
        </w:rPr>
        <w:t>staat</w:t>
      </w:r>
      <w:r w:rsidRPr="00BB7074">
        <w:rPr>
          <w:rFonts w:ascii="Verdana" w:hAnsi="Verdana" w:cs="Arial"/>
          <w:sz w:val="18"/>
          <w:szCs w:val="18"/>
          <w:lang w:val="nl-NL"/>
        </w:rPr>
        <w:t xml:space="preserve"> deze entiteit als transparant aanmerkt en inkomen bij de </w:t>
      </w:r>
      <w:r w:rsidRPr="00BB7074" w:rsidR="000069F7">
        <w:rPr>
          <w:rFonts w:ascii="Verdana" w:hAnsi="Verdana"/>
          <w:sz w:val="18"/>
          <w:szCs w:val="18"/>
          <w:lang w:val="nl-NL"/>
        </w:rPr>
        <w:t>in deze entiteit deelnemende, achterliggende personen</w:t>
      </w:r>
      <w:r w:rsidRPr="00BB7074" w:rsidDel="000069F7" w:rsidR="000069F7">
        <w:rPr>
          <w:rFonts w:ascii="Verdana" w:hAnsi="Verdana" w:cs="Arial"/>
          <w:sz w:val="18"/>
          <w:szCs w:val="18"/>
          <w:lang w:val="nl-NL"/>
        </w:rPr>
        <w:t xml:space="preserve"> </w:t>
      </w:r>
      <w:r w:rsidRPr="00BB7074">
        <w:rPr>
          <w:rFonts w:ascii="Verdana" w:hAnsi="Verdana" w:cs="Arial"/>
          <w:sz w:val="18"/>
          <w:szCs w:val="18"/>
          <w:lang w:val="nl-NL"/>
        </w:rPr>
        <w:t xml:space="preserve">in aanmerking neemt. </w:t>
      </w:r>
    </w:p>
    <w:p w:rsidRPr="00BB7074" w:rsidR="002F0BBD" w:rsidP="00A47B61" w:rsidRDefault="002F0BBD" w14:paraId="0A6EBA19" w14:textId="1895CF75">
      <w:pPr>
        <w:rPr>
          <w:rFonts w:ascii="Verdana" w:hAnsi="Verdana"/>
          <w:sz w:val="18"/>
          <w:szCs w:val="18"/>
          <w:lang w:val="nl-NL"/>
        </w:rPr>
      </w:pPr>
    </w:p>
    <w:p w:rsidRPr="00BB7074" w:rsidR="007863F7" w:rsidP="00B603B8" w:rsidRDefault="003E03A0" w14:paraId="562AE2D4" w14:textId="3125B144">
      <w:pPr>
        <w:pStyle w:val="Heading2"/>
        <w:rPr>
          <w:lang w:val="nl-NL"/>
        </w:rPr>
      </w:pPr>
      <w:r w:rsidRPr="00BB7074">
        <w:rPr>
          <w:lang w:val="nl-NL"/>
        </w:rPr>
        <w:t xml:space="preserve">II.2. </w:t>
      </w:r>
      <w:r w:rsidRPr="00BB7074" w:rsidR="00F46AD2">
        <w:rPr>
          <w:lang w:val="nl-NL"/>
        </w:rPr>
        <w:t>Belastingen die onder het V</w:t>
      </w:r>
      <w:r w:rsidRPr="00BB7074" w:rsidR="007863F7">
        <w:rPr>
          <w:lang w:val="nl-NL"/>
        </w:rPr>
        <w:t xml:space="preserve">erdrag vallen </w:t>
      </w:r>
      <w:r w:rsidRPr="00BC6175" w:rsidR="00DC484E">
        <w:rPr>
          <w:lang w:val="nl-NL"/>
        </w:rPr>
        <w:t xml:space="preserve">(artikel 2 </w:t>
      </w:r>
      <w:r w:rsidR="00DC484E">
        <w:rPr>
          <w:lang w:val="nl-NL"/>
        </w:rPr>
        <w:t>van het Verdrag)</w:t>
      </w:r>
    </w:p>
    <w:p w:rsidRPr="00BB7074" w:rsidR="00F92BFD" w:rsidP="00F92BFD" w:rsidRDefault="00F92BFD" w14:paraId="706F2EC9" w14:textId="7FD2C227">
      <w:pPr>
        <w:rPr>
          <w:rFonts w:ascii="Verdana" w:hAnsi="Verdana"/>
          <w:sz w:val="18"/>
          <w:szCs w:val="18"/>
          <w:lang w:val="nl-NL"/>
        </w:rPr>
      </w:pPr>
      <w:r w:rsidRPr="00BB7074">
        <w:rPr>
          <w:rFonts w:ascii="Verdana" w:hAnsi="Verdana"/>
          <w:sz w:val="18"/>
          <w:szCs w:val="18"/>
          <w:lang w:val="nl-NL"/>
        </w:rPr>
        <w:tab/>
        <w:t>In artikel 2 van het Verdrag is neergelegd op welke belastingen het Verdrag ziet. Het eerste, tweede en vierde lid van dit artikel zijn in overeenstemming met artikel 2 van het OESO-modelverdrag, behalve dat de verwijzingen naar belastingen naar het vermogen ontbreken</w:t>
      </w:r>
      <w:r w:rsidRPr="00BB7074" w:rsidR="00A77A4E">
        <w:rPr>
          <w:rFonts w:ascii="Verdana" w:hAnsi="Verdana"/>
          <w:sz w:val="18"/>
          <w:szCs w:val="18"/>
          <w:lang w:val="nl-NL"/>
        </w:rPr>
        <w:t>,</w:t>
      </w:r>
      <w:r w:rsidRPr="00BB7074" w:rsidR="00342E6A">
        <w:rPr>
          <w:rFonts w:ascii="Verdana" w:hAnsi="Verdana"/>
          <w:sz w:val="18"/>
          <w:szCs w:val="18"/>
          <w:lang w:val="nl-NL"/>
        </w:rPr>
        <w:t xml:space="preserve"> omdat</w:t>
      </w:r>
      <w:r w:rsidRPr="00BB7074" w:rsidR="00A77A4E">
        <w:rPr>
          <w:rFonts w:ascii="Verdana" w:hAnsi="Verdana"/>
          <w:sz w:val="18"/>
          <w:szCs w:val="18"/>
          <w:lang w:val="nl-NL"/>
        </w:rPr>
        <w:t xml:space="preserve"> </w:t>
      </w:r>
      <w:r w:rsidRPr="00BB7074">
        <w:rPr>
          <w:rFonts w:ascii="Verdana" w:hAnsi="Verdana"/>
          <w:sz w:val="18"/>
          <w:szCs w:val="18"/>
          <w:lang w:val="nl-NL"/>
        </w:rPr>
        <w:t>Colombia en Nederland geen belastingen naar het vermogen heffen.</w:t>
      </w:r>
    </w:p>
    <w:p w:rsidRPr="00BB7074" w:rsidR="00F92BFD" w:rsidP="00F92BFD" w:rsidRDefault="00F92BFD" w14:paraId="7462C110" w14:textId="680CE5B8">
      <w:pPr>
        <w:rPr>
          <w:rFonts w:ascii="Verdana" w:hAnsi="Verdana"/>
          <w:sz w:val="18"/>
          <w:szCs w:val="18"/>
          <w:lang w:val="nl-NL"/>
        </w:rPr>
      </w:pPr>
      <w:r w:rsidRPr="00BB7074">
        <w:rPr>
          <w:rFonts w:ascii="Verdana" w:hAnsi="Verdana"/>
          <w:sz w:val="18"/>
          <w:szCs w:val="18"/>
          <w:lang w:val="nl-NL"/>
        </w:rPr>
        <w:t>Het derde lid bevat een opsomming van de huidige Colombiaanse en Nederlandse belastingen waarop de bepalingen van het Verdrag van toepassing zijn. Voor Nederland zijn uitsluitend de belastingen naar het inkomen opgenomen die van toepassing zijn in het Europese deel van Nederland</w:t>
      </w:r>
      <w:r w:rsidR="00C563F3">
        <w:rPr>
          <w:rFonts w:ascii="Verdana" w:hAnsi="Verdana"/>
          <w:sz w:val="18"/>
          <w:szCs w:val="18"/>
          <w:lang w:val="nl-NL"/>
        </w:rPr>
        <w:t>: de inkomstenbelasting, de loonbelasting, de vennootschapsbelasting inclusief</w:t>
      </w:r>
      <w:r w:rsidRPr="00BB7074" w:rsidR="00C563F3">
        <w:rPr>
          <w:rFonts w:ascii="Verdana" w:hAnsi="Verdana"/>
          <w:sz w:val="18"/>
          <w:szCs w:val="18"/>
          <w:lang w:val="nl-NL"/>
        </w:rPr>
        <w:t xml:space="preserve"> het winstaandeel zoals bedoeld in de Mijnbouwwet</w:t>
      </w:r>
      <w:r w:rsidR="00C563F3">
        <w:rPr>
          <w:rFonts w:ascii="Verdana" w:hAnsi="Verdana"/>
          <w:sz w:val="18"/>
          <w:szCs w:val="18"/>
          <w:lang w:val="nl-NL"/>
        </w:rPr>
        <w:t xml:space="preserve"> </w:t>
      </w:r>
      <w:r w:rsidR="006A628D">
        <w:rPr>
          <w:rFonts w:ascii="Verdana" w:hAnsi="Verdana"/>
          <w:sz w:val="18"/>
          <w:szCs w:val="18"/>
          <w:lang w:val="nl-NL"/>
        </w:rPr>
        <w:t>alsmede</w:t>
      </w:r>
      <w:r w:rsidR="00C563F3">
        <w:rPr>
          <w:rFonts w:ascii="Verdana" w:hAnsi="Verdana"/>
          <w:sz w:val="18"/>
          <w:szCs w:val="18"/>
          <w:lang w:val="nl-NL"/>
        </w:rPr>
        <w:t xml:space="preserve"> de </w:t>
      </w:r>
      <w:proofErr w:type="spellStart"/>
      <w:r w:rsidR="00C563F3">
        <w:rPr>
          <w:rFonts w:ascii="Verdana" w:hAnsi="Verdana"/>
          <w:sz w:val="18"/>
          <w:szCs w:val="18"/>
          <w:lang w:val="nl-NL"/>
        </w:rPr>
        <w:t>dividendbelasting</w:t>
      </w:r>
      <w:r w:rsidR="006A628D">
        <w:rPr>
          <w:rFonts w:ascii="Verdana" w:hAnsi="Verdana"/>
          <w:sz w:val="18"/>
          <w:szCs w:val="18"/>
          <w:lang w:val="nl-NL"/>
        </w:rPr>
        <w:t>.</w:t>
      </w:r>
      <w:r w:rsidR="00264A54">
        <w:rPr>
          <w:rFonts w:ascii="Verdana" w:hAnsi="Verdana"/>
          <w:sz w:val="18"/>
          <w:szCs w:val="18"/>
          <w:lang w:val="nl-NL"/>
        </w:rPr>
        <w:t>tTijdens</w:t>
      </w:r>
      <w:proofErr w:type="spellEnd"/>
      <w:r w:rsidR="00264A54">
        <w:rPr>
          <w:rFonts w:ascii="Verdana" w:hAnsi="Verdana"/>
          <w:sz w:val="18"/>
          <w:szCs w:val="18"/>
          <w:lang w:val="nl-NL"/>
        </w:rPr>
        <w:t xml:space="preserve"> de onderhandelingen heeft de Nederlandse delegatie ook gewezen op de (toen) nog in te voeren Nederlandse bronbelastingen op rente en royalty’s. Beide delegaties waren het erover eens dat ook deze belastingen onder het Verdrag (zullen) vallen.</w:t>
      </w:r>
    </w:p>
    <w:p w:rsidRPr="00BB7074" w:rsidR="00F92BFD" w:rsidP="00F92BFD" w:rsidRDefault="00F92BFD" w14:paraId="0B958052" w14:textId="77777777">
      <w:pPr>
        <w:rPr>
          <w:rFonts w:ascii="Verdana" w:hAnsi="Verdana"/>
          <w:sz w:val="18"/>
          <w:szCs w:val="18"/>
          <w:lang w:val="nl-NL"/>
        </w:rPr>
      </w:pPr>
      <w:r w:rsidRPr="00BB7074">
        <w:rPr>
          <w:rFonts w:ascii="Verdana" w:hAnsi="Verdana"/>
          <w:sz w:val="18"/>
          <w:szCs w:val="18"/>
          <w:lang w:val="nl-NL"/>
        </w:rPr>
        <w:t>In overeenstemming met artikel 2 van het OESO-modelverdrag bepaalt het vierde lid van artikel 2 van het Verdrag dat het Verdrag ook van toepassing is op alle gelijke of in wezen gelijksoortige belastingen die na de datum van onder</w:t>
      </w:r>
      <w:r w:rsidRPr="00BB7074">
        <w:rPr>
          <w:rFonts w:ascii="Verdana" w:hAnsi="Verdana"/>
          <w:sz w:val="18"/>
          <w:szCs w:val="18"/>
          <w:lang w:val="nl-NL"/>
        </w:rPr>
        <w:softHyphen/>
        <w:t>tekening van het Verdrag naast of in de plaats van de in het tweede lid bedoelde en in het derde lid opgesomde belastingen worden geheven. De bevoegde autoriteiten van de verdragsluitende staten zijn gehouden om elkaar te informeren over alle wezenlijke wijzigingen in hun nationale belastingwetgeving.</w:t>
      </w:r>
    </w:p>
    <w:p w:rsidRPr="00BB7074" w:rsidR="002F0BBD" w:rsidP="00151594" w:rsidRDefault="002F0BBD" w14:paraId="6C7C1241" w14:textId="0DF276A4">
      <w:pPr>
        <w:rPr>
          <w:rFonts w:ascii="Verdana" w:hAnsi="Verdana"/>
          <w:sz w:val="18"/>
          <w:szCs w:val="18"/>
          <w:lang w:val="nl-NL"/>
        </w:rPr>
      </w:pPr>
    </w:p>
    <w:p w:rsidRPr="00BB7074" w:rsidR="007863F7" w:rsidP="00B603B8" w:rsidRDefault="00936DF5" w14:paraId="3376EFD6" w14:textId="2C4B36BF">
      <w:pPr>
        <w:pStyle w:val="Heading2"/>
        <w:rPr>
          <w:lang w:val="nl-NL"/>
        </w:rPr>
      </w:pPr>
      <w:r w:rsidRPr="00BB7074">
        <w:rPr>
          <w:lang w:val="nl-NL"/>
        </w:rPr>
        <w:t xml:space="preserve">II.3. </w:t>
      </w:r>
      <w:r w:rsidRPr="00556990" w:rsidR="00B91CA5">
        <w:rPr>
          <w:lang w:val="nl-NL"/>
        </w:rPr>
        <w:t>Algemene begripsbepalingen</w:t>
      </w:r>
      <w:r w:rsidR="00662EA5">
        <w:rPr>
          <w:lang w:val="nl-NL"/>
        </w:rPr>
        <w:t xml:space="preserve"> </w:t>
      </w:r>
      <w:r w:rsidRPr="00556990" w:rsidR="00A9054D">
        <w:rPr>
          <w:lang w:val="nl-NL"/>
        </w:rPr>
        <w:t>(artikel 3</w:t>
      </w:r>
      <w:r w:rsidR="00A9054D">
        <w:rPr>
          <w:lang w:val="nl-NL"/>
        </w:rPr>
        <w:t xml:space="preserve"> van het Verdrag</w:t>
      </w:r>
      <w:r w:rsidR="000B5D65">
        <w:rPr>
          <w:lang w:val="nl-NL"/>
        </w:rPr>
        <w:t xml:space="preserve"> en artikel III van het Protocol</w:t>
      </w:r>
      <w:r w:rsidR="00A9054D">
        <w:rPr>
          <w:lang w:val="nl-NL"/>
        </w:rPr>
        <w:t>)</w:t>
      </w:r>
    </w:p>
    <w:p w:rsidRPr="00BB7074" w:rsidR="007B1F1D" w:rsidP="007B1F1D" w:rsidRDefault="007B1F1D" w14:paraId="6B1A7BB6" w14:textId="51D5B177">
      <w:pPr>
        <w:rPr>
          <w:rFonts w:ascii="Verdana" w:hAnsi="Verdana"/>
          <w:sz w:val="18"/>
          <w:szCs w:val="18"/>
          <w:lang w:val="nl-NL"/>
        </w:rPr>
      </w:pPr>
      <w:r w:rsidRPr="00BB7074">
        <w:rPr>
          <w:rFonts w:ascii="Verdana" w:hAnsi="Verdana"/>
          <w:sz w:val="18"/>
          <w:szCs w:val="18"/>
          <w:lang w:val="nl-NL"/>
        </w:rPr>
        <w:t>Artikel 3 van het Verdrag bevat definities voor uitdrukkingen die in het Verdrag voorkomen. Deze definities zijn overgenomen uit het gelijkluide</w:t>
      </w:r>
      <w:r w:rsidRPr="00BB7074" w:rsidR="00C70480">
        <w:rPr>
          <w:rFonts w:ascii="Verdana" w:hAnsi="Verdana"/>
          <w:sz w:val="18"/>
          <w:szCs w:val="18"/>
          <w:lang w:val="nl-NL"/>
        </w:rPr>
        <w:t>nde artikel 3 in zowel het OESO-modelverdrag</w:t>
      </w:r>
      <w:r w:rsidRPr="00BB7074">
        <w:rPr>
          <w:rFonts w:ascii="Verdana" w:hAnsi="Verdana"/>
          <w:sz w:val="18"/>
          <w:szCs w:val="18"/>
          <w:lang w:val="nl-NL"/>
        </w:rPr>
        <w:t xml:space="preserve"> als het VN</w:t>
      </w:r>
      <w:r w:rsidRPr="00BB7074" w:rsidR="00C70480">
        <w:rPr>
          <w:rFonts w:ascii="Verdana" w:hAnsi="Verdana"/>
          <w:sz w:val="18"/>
          <w:szCs w:val="18"/>
          <w:lang w:val="nl-NL"/>
        </w:rPr>
        <w:t>-modelverdrag</w:t>
      </w:r>
      <w:r w:rsidRPr="00BB7074">
        <w:rPr>
          <w:rFonts w:ascii="Verdana" w:hAnsi="Verdana"/>
          <w:sz w:val="18"/>
          <w:szCs w:val="18"/>
          <w:lang w:val="nl-NL"/>
        </w:rPr>
        <w:t xml:space="preserve">. Voor zover </w:t>
      </w:r>
      <w:r w:rsidRPr="00BB7074" w:rsidR="00CA02CC">
        <w:rPr>
          <w:rFonts w:ascii="Verdana" w:hAnsi="Verdana"/>
          <w:sz w:val="18"/>
          <w:szCs w:val="18"/>
          <w:lang w:val="nl-NL"/>
        </w:rPr>
        <w:t xml:space="preserve">relevant </w:t>
      </w:r>
      <w:r w:rsidRPr="00BB7074">
        <w:rPr>
          <w:rFonts w:ascii="Verdana" w:hAnsi="Verdana"/>
          <w:sz w:val="18"/>
          <w:szCs w:val="18"/>
          <w:lang w:val="nl-NL"/>
        </w:rPr>
        <w:t xml:space="preserve">worden deze </w:t>
      </w:r>
      <w:r w:rsidRPr="00BB7074" w:rsidR="00CA02CC">
        <w:rPr>
          <w:rFonts w:ascii="Verdana" w:hAnsi="Verdana"/>
          <w:sz w:val="18"/>
          <w:szCs w:val="18"/>
          <w:lang w:val="nl-NL"/>
        </w:rPr>
        <w:t xml:space="preserve">definities </w:t>
      </w:r>
      <w:r w:rsidRPr="00BB7074">
        <w:rPr>
          <w:rFonts w:ascii="Verdana" w:hAnsi="Verdana"/>
          <w:sz w:val="18"/>
          <w:szCs w:val="18"/>
          <w:lang w:val="nl-NL"/>
        </w:rPr>
        <w:t>toegelicht in</w:t>
      </w:r>
      <w:r w:rsidRPr="00BB7074" w:rsidR="00CA02CC">
        <w:rPr>
          <w:rFonts w:ascii="Verdana" w:hAnsi="Verdana"/>
          <w:sz w:val="18"/>
          <w:szCs w:val="18"/>
          <w:lang w:val="nl-NL"/>
        </w:rPr>
        <w:t xml:space="preserve"> de toelichting op</w:t>
      </w:r>
      <w:r w:rsidRPr="00BB7074">
        <w:rPr>
          <w:rFonts w:ascii="Verdana" w:hAnsi="Verdana"/>
          <w:sz w:val="18"/>
          <w:szCs w:val="18"/>
          <w:lang w:val="nl-NL"/>
        </w:rPr>
        <w:t xml:space="preserve"> latere artikelen. Voor Nederland zijn in het bijzonder </w:t>
      </w:r>
      <w:r w:rsidR="00DB0E15">
        <w:rPr>
          <w:rFonts w:ascii="Verdana" w:hAnsi="Verdana"/>
          <w:sz w:val="18"/>
          <w:szCs w:val="18"/>
          <w:lang w:val="nl-NL"/>
        </w:rPr>
        <w:t>drie</w:t>
      </w:r>
      <w:r w:rsidRPr="00BB7074">
        <w:rPr>
          <w:rFonts w:ascii="Verdana" w:hAnsi="Verdana"/>
          <w:sz w:val="18"/>
          <w:szCs w:val="18"/>
          <w:lang w:val="nl-NL"/>
        </w:rPr>
        <w:t xml:space="preserve"> definities van belang. </w:t>
      </w:r>
    </w:p>
    <w:p w:rsidRPr="00BB7074" w:rsidR="007B1F1D" w:rsidP="007B1F1D" w:rsidRDefault="007B1F1D" w14:paraId="7208EBCD" w14:textId="0B3CB7A9">
      <w:pPr>
        <w:rPr>
          <w:rFonts w:ascii="Verdana" w:hAnsi="Verdana"/>
          <w:sz w:val="18"/>
          <w:szCs w:val="18"/>
          <w:lang w:val="nl-NL"/>
        </w:rPr>
      </w:pPr>
      <w:r w:rsidRPr="00BB7074">
        <w:rPr>
          <w:rFonts w:ascii="Verdana" w:hAnsi="Verdana"/>
          <w:sz w:val="18"/>
          <w:szCs w:val="18"/>
          <w:lang w:val="nl-NL"/>
        </w:rPr>
        <w:lastRenderedPageBreak/>
        <w:t xml:space="preserve">In onderdeel a van het eerste lid wordt de uitdrukking ‘Nederland’ gedefinieerd. Voor de uitdrukking ‘Nederland’ is van belang dat daaronder uitsluitend het Europese deel van Nederland wordt verstaan. </w:t>
      </w:r>
    </w:p>
    <w:p w:rsidR="007B1F1D" w:rsidP="007B1F1D" w:rsidRDefault="007B1F1D" w14:paraId="6B216F71" w14:textId="0E05F21B">
      <w:pPr>
        <w:rPr>
          <w:rFonts w:ascii="Verdana" w:hAnsi="Verdana"/>
          <w:sz w:val="18"/>
          <w:szCs w:val="18"/>
          <w:lang w:val="nl-NL"/>
        </w:rPr>
      </w:pPr>
      <w:r w:rsidRPr="00BB7074">
        <w:rPr>
          <w:rFonts w:ascii="Verdana" w:hAnsi="Verdana"/>
          <w:sz w:val="18"/>
          <w:szCs w:val="18"/>
          <w:lang w:val="nl-NL"/>
        </w:rPr>
        <w:t>In onderdeel l van het eerste lid wordt bepaald wat moet worden verstaan onder een ‘erkend pensioenfonds’. Deze definitie is gebaseerd op de definitie die in 2017 is opgenomen in het OESO</w:t>
      </w:r>
      <w:r w:rsidRPr="00BB7074" w:rsidR="00C70480">
        <w:rPr>
          <w:rFonts w:ascii="Verdana" w:hAnsi="Verdana"/>
          <w:sz w:val="18"/>
          <w:szCs w:val="18"/>
          <w:lang w:val="nl-NL"/>
        </w:rPr>
        <w:t>-modelverdrag</w:t>
      </w:r>
      <w:r w:rsidRPr="00BB7074">
        <w:rPr>
          <w:rFonts w:ascii="Verdana" w:hAnsi="Verdana"/>
          <w:sz w:val="18"/>
          <w:szCs w:val="18"/>
          <w:lang w:val="nl-NL"/>
        </w:rPr>
        <w:t xml:space="preserve">. Belangrijkste criteria daarin zijn de eis dat het om een lichaam gaat dat zich (vrijwel) uitsluitend </w:t>
      </w:r>
      <w:r w:rsidRPr="00BB7074" w:rsidR="00DB3B3F">
        <w:rPr>
          <w:rFonts w:ascii="Verdana" w:hAnsi="Verdana"/>
          <w:sz w:val="18"/>
          <w:szCs w:val="18"/>
          <w:lang w:val="nl-NL"/>
        </w:rPr>
        <w:t>bezighoudt</w:t>
      </w:r>
      <w:r w:rsidRPr="00BB7074">
        <w:rPr>
          <w:rFonts w:ascii="Verdana" w:hAnsi="Verdana"/>
          <w:sz w:val="18"/>
          <w:szCs w:val="18"/>
          <w:lang w:val="nl-NL"/>
        </w:rPr>
        <w:t xml:space="preserve"> met de uitvoering van pensioenregelingen en </w:t>
      </w:r>
      <w:r w:rsidRPr="00BB7074" w:rsidR="00E43A7C">
        <w:rPr>
          <w:rFonts w:ascii="Verdana" w:hAnsi="Verdana"/>
          <w:sz w:val="18"/>
          <w:szCs w:val="18"/>
          <w:lang w:val="nl-NL"/>
        </w:rPr>
        <w:t xml:space="preserve">dat </w:t>
      </w:r>
      <w:r w:rsidRPr="00BB7074">
        <w:rPr>
          <w:rFonts w:ascii="Verdana" w:hAnsi="Verdana"/>
          <w:sz w:val="18"/>
          <w:szCs w:val="18"/>
          <w:lang w:val="nl-NL"/>
        </w:rPr>
        <w:t xml:space="preserve">als zodanig wordt gereguleerd door de overheid. Bovendien vallen hieronder lichamen die uitsluitend ten behoeve van de hiervoor genoemde lichamen beleggen. In de definitie van het OESO-modelverdrag is niet vereist dat een dergelijk pensioenfonds vrijgesteld moet zijn voor de vennootschapsbelasting. Op verzoek van Nederland is dit vereiste </w:t>
      </w:r>
      <w:r w:rsidRPr="00BB7074" w:rsidR="0059429F">
        <w:rPr>
          <w:rFonts w:ascii="Verdana" w:hAnsi="Verdana"/>
          <w:sz w:val="18"/>
          <w:szCs w:val="18"/>
          <w:lang w:val="nl-NL"/>
        </w:rPr>
        <w:t xml:space="preserve">hier </w:t>
      </w:r>
      <w:r w:rsidRPr="00BB7074">
        <w:rPr>
          <w:rFonts w:ascii="Verdana" w:hAnsi="Verdana"/>
          <w:sz w:val="18"/>
          <w:szCs w:val="18"/>
          <w:lang w:val="nl-NL"/>
        </w:rPr>
        <w:t>wel opgenomen.</w:t>
      </w:r>
      <w:r w:rsidRPr="00BB7074" w:rsidR="00DD0A45">
        <w:rPr>
          <w:rFonts w:ascii="Verdana" w:hAnsi="Verdana"/>
          <w:sz w:val="18"/>
          <w:szCs w:val="18"/>
          <w:lang w:val="nl-NL"/>
        </w:rPr>
        <w:t xml:space="preserve"> </w:t>
      </w:r>
      <w:r w:rsidRPr="008F7360" w:rsidR="008F7360">
        <w:rPr>
          <w:rFonts w:ascii="Verdana" w:hAnsi="Verdana"/>
          <w:sz w:val="18"/>
          <w:szCs w:val="18"/>
          <w:lang w:val="nl-NL"/>
        </w:rPr>
        <w:t>De reden om die eis te stellen is de volgende. Nederland stimuleert de opbouw van pensioenrechten door onder andere de rendementen in pensioenfondsen niet te belasten. Dat beleid zou gefrustreerd worden als het andere land op die rendementen wel een (bron)belasting heft. Als landen de rendementen in hun pensioenfondsen wel belasten is er geen reden om af te zien van die (bron)belasting in het andere land</w:t>
      </w:r>
      <w:r w:rsidR="008F7360">
        <w:rPr>
          <w:rFonts w:ascii="Verdana" w:hAnsi="Verdana"/>
          <w:sz w:val="18"/>
          <w:szCs w:val="18"/>
          <w:lang w:val="nl-NL"/>
        </w:rPr>
        <w:t>,</w:t>
      </w:r>
      <w:r w:rsidRPr="008F7360" w:rsidR="008F7360">
        <w:rPr>
          <w:rFonts w:ascii="Verdana" w:hAnsi="Verdana"/>
          <w:sz w:val="18"/>
          <w:szCs w:val="18"/>
          <w:lang w:val="nl-NL"/>
        </w:rPr>
        <w:t xml:space="preserve"> omdat voor die belasting een verrekening gegeven kan worden.</w:t>
      </w:r>
    </w:p>
    <w:p w:rsidR="008C05B3" w:rsidP="007B1F1D" w:rsidRDefault="008C05B3" w14:paraId="1A2F06BB" w14:textId="4512921C">
      <w:pPr>
        <w:rPr>
          <w:rFonts w:ascii="Verdana" w:hAnsi="Verdana"/>
          <w:sz w:val="18"/>
          <w:szCs w:val="18"/>
          <w:lang w:val="nl-NL"/>
        </w:rPr>
      </w:pPr>
      <w:r>
        <w:rPr>
          <w:rFonts w:ascii="Verdana" w:hAnsi="Verdana"/>
          <w:sz w:val="18"/>
          <w:szCs w:val="18"/>
          <w:lang w:val="nl-NL"/>
        </w:rPr>
        <w:t xml:space="preserve">In onderdeel m </w:t>
      </w:r>
      <w:r w:rsidR="000B5D65">
        <w:rPr>
          <w:rFonts w:ascii="Verdana" w:hAnsi="Verdana"/>
          <w:sz w:val="18"/>
          <w:szCs w:val="18"/>
          <w:lang w:val="nl-NL"/>
        </w:rPr>
        <w:t xml:space="preserve">van het eerste lid </w:t>
      </w:r>
      <w:r>
        <w:rPr>
          <w:rFonts w:ascii="Verdana" w:hAnsi="Verdana"/>
          <w:sz w:val="18"/>
          <w:szCs w:val="18"/>
          <w:lang w:val="nl-NL"/>
        </w:rPr>
        <w:t xml:space="preserve">worden erkende effectenbeurzen gedefinieerd. Dat zijn beurzen die door de wet in een van beide landen als zodanig worden </w:t>
      </w:r>
      <w:r w:rsidR="006A628D">
        <w:rPr>
          <w:rFonts w:ascii="Verdana" w:hAnsi="Verdana"/>
          <w:sz w:val="18"/>
          <w:szCs w:val="18"/>
          <w:lang w:val="nl-NL"/>
        </w:rPr>
        <w:t>gereguleerd</w:t>
      </w:r>
      <w:r>
        <w:rPr>
          <w:rFonts w:ascii="Verdana" w:hAnsi="Verdana"/>
          <w:sz w:val="18"/>
          <w:szCs w:val="18"/>
          <w:lang w:val="nl-NL"/>
        </w:rPr>
        <w:t xml:space="preserve"> en </w:t>
      </w:r>
      <w:r w:rsidR="006A628D">
        <w:rPr>
          <w:rFonts w:ascii="Verdana" w:hAnsi="Verdana"/>
          <w:sz w:val="18"/>
          <w:szCs w:val="18"/>
          <w:lang w:val="nl-NL"/>
        </w:rPr>
        <w:t>enkele</w:t>
      </w:r>
      <w:r>
        <w:rPr>
          <w:rFonts w:ascii="Verdana" w:hAnsi="Verdana"/>
          <w:sz w:val="18"/>
          <w:szCs w:val="18"/>
          <w:lang w:val="nl-NL"/>
        </w:rPr>
        <w:t xml:space="preserve"> beurzen die door hun locatie in Europa</w:t>
      </w:r>
      <w:r w:rsidR="009D1014">
        <w:rPr>
          <w:rFonts w:ascii="Verdana" w:hAnsi="Verdana"/>
          <w:sz w:val="18"/>
          <w:szCs w:val="18"/>
          <w:lang w:val="nl-NL"/>
        </w:rPr>
        <w:t>,</w:t>
      </w:r>
      <w:r>
        <w:rPr>
          <w:rFonts w:ascii="Verdana" w:hAnsi="Verdana"/>
          <w:sz w:val="18"/>
          <w:szCs w:val="18"/>
          <w:lang w:val="nl-NL"/>
        </w:rPr>
        <w:t xml:space="preserve"> in Latijns</w:t>
      </w:r>
      <w:r w:rsidR="006A628D">
        <w:rPr>
          <w:rFonts w:ascii="Verdana" w:hAnsi="Verdana"/>
          <w:sz w:val="18"/>
          <w:szCs w:val="18"/>
          <w:lang w:val="nl-NL"/>
        </w:rPr>
        <w:t>-</w:t>
      </w:r>
      <w:r>
        <w:rPr>
          <w:rFonts w:ascii="Verdana" w:hAnsi="Verdana"/>
          <w:sz w:val="18"/>
          <w:szCs w:val="18"/>
          <w:lang w:val="nl-NL"/>
        </w:rPr>
        <w:t xml:space="preserve">Amerika of in de Verenigde Staten relevant zijn. Bovendien kunnen de bevoegde autoriteiten overeenkomen om effectenbeurzen als zodanig te erkennen. </w:t>
      </w:r>
      <w:r w:rsidR="00DB0E15">
        <w:rPr>
          <w:rFonts w:ascii="Verdana" w:hAnsi="Verdana"/>
          <w:sz w:val="18"/>
          <w:szCs w:val="18"/>
          <w:lang w:val="nl-NL"/>
        </w:rPr>
        <w:t>Deze definitie is relevant voor de toepassing van artikel 13, vierde lid</w:t>
      </w:r>
      <w:r w:rsidR="006A628D">
        <w:rPr>
          <w:rFonts w:ascii="Verdana" w:hAnsi="Verdana"/>
          <w:sz w:val="18"/>
          <w:szCs w:val="18"/>
          <w:lang w:val="nl-NL"/>
        </w:rPr>
        <w:t>,</w:t>
      </w:r>
      <w:r w:rsidR="00DB0E15">
        <w:rPr>
          <w:rFonts w:ascii="Verdana" w:hAnsi="Verdana"/>
          <w:sz w:val="18"/>
          <w:szCs w:val="18"/>
          <w:lang w:val="nl-NL"/>
        </w:rPr>
        <w:t xml:space="preserve"> (vervreemding van aandelen</w:t>
      </w:r>
      <w:r w:rsidR="006A628D">
        <w:rPr>
          <w:rFonts w:ascii="Verdana" w:hAnsi="Verdana"/>
          <w:sz w:val="18"/>
          <w:szCs w:val="18"/>
          <w:lang w:val="nl-NL"/>
        </w:rPr>
        <w:t xml:space="preserve"> in “</w:t>
      </w:r>
      <w:proofErr w:type="spellStart"/>
      <w:r w:rsidR="006A628D">
        <w:rPr>
          <w:rFonts w:ascii="Verdana" w:hAnsi="Verdana"/>
          <w:sz w:val="18"/>
          <w:szCs w:val="18"/>
          <w:lang w:val="nl-NL"/>
        </w:rPr>
        <w:t>onroerendezaaklichamen</w:t>
      </w:r>
      <w:proofErr w:type="spellEnd"/>
      <w:r w:rsidR="00DB0E15">
        <w:rPr>
          <w:rFonts w:ascii="Verdana" w:hAnsi="Verdana"/>
          <w:sz w:val="18"/>
          <w:szCs w:val="18"/>
          <w:lang w:val="nl-NL"/>
        </w:rPr>
        <w:t>”) en artikel 25 (</w:t>
      </w:r>
      <w:r w:rsidR="005672D9">
        <w:rPr>
          <w:rFonts w:ascii="Verdana" w:hAnsi="Verdana"/>
          <w:sz w:val="18"/>
          <w:szCs w:val="18"/>
          <w:lang w:val="nl-NL"/>
        </w:rPr>
        <w:t>G</w:t>
      </w:r>
      <w:r w:rsidR="00DB0E15">
        <w:rPr>
          <w:rFonts w:ascii="Verdana" w:hAnsi="Verdana"/>
          <w:sz w:val="18"/>
          <w:szCs w:val="18"/>
          <w:lang w:val="nl-NL"/>
        </w:rPr>
        <w:t>erechtigdheid</w:t>
      </w:r>
      <w:r w:rsidR="005672D9">
        <w:rPr>
          <w:rFonts w:ascii="Verdana" w:hAnsi="Verdana"/>
          <w:sz w:val="18"/>
          <w:szCs w:val="18"/>
          <w:lang w:val="nl-NL"/>
        </w:rPr>
        <w:t xml:space="preserve"> tot</w:t>
      </w:r>
      <w:r w:rsidR="006A628D">
        <w:rPr>
          <w:rFonts w:ascii="Verdana" w:hAnsi="Verdana"/>
          <w:sz w:val="18"/>
          <w:szCs w:val="18"/>
          <w:lang w:val="nl-NL"/>
        </w:rPr>
        <w:t xml:space="preserve"> </w:t>
      </w:r>
      <w:r w:rsidR="005672D9">
        <w:rPr>
          <w:rFonts w:ascii="Verdana" w:hAnsi="Verdana"/>
          <w:sz w:val="18"/>
          <w:szCs w:val="18"/>
          <w:lang w:val="nl-NL"/>
        </w:rPr>
        <w:t>verdrags</w:t>
      </w:r>
      <w:r w:rsidR="006A628D">
        <w:rPr>
          <w:rFonts w:ascii="Verdana" w:hAnsi="Verdana"/>
          <w:sz w:val="18"/>
          <w:szCs w:val="18"/>
          <w:lang w:val="nl-NL"/>
        </w:rPr>
        <w:t>voordelen</w:t>
      </w:r>
      <w:r w:rsidR="00DB0E15">
        <w:rPr>
          <w:rFonts w:ascii="Verdana" w:hAnsi="Verdana"/>
          <w:sz w:val="18"/>
          <w:szCs w:val="18"/>
          <w:lang w:val="nl-NL"/>
        </w:rPr>
        <w:t>).</w:t>
      </w:r>
    </w:p>
    <w:p w:rsidR="009D1014" w:rsidP="007B1F1D" w:rsidRDefault="00DB0E15" w14:paraId="060215CB" w14:textId="77777777">
      <w:pPr>
        <w:rPr>
          <w:rFonts w:ascii="Verdana" w:hAnsi="Verdana"/>
          <w:sz w:val="18"/>
          <w:szCs w:val="18"/>
          <w:lang w:val="nl-NL"/>
        </w:rPr>
      </w:pPr>
      <w:r>
        <w:rPr>
          <w:rFonts w:ascii="Verdana" w:hAnsi="Verdana"/>
          <w:sz w:val="18"/>
          <w:szCs w:val="18"/>
          <w:lang w:val="nl-NL"/>
        </w:rPr>
        <w:t xml:space="preserve">In het tweede lid is overeengekomen welke betekenis toegekend moet worden aan begrippen die in het Verdrag niet worden gedefinieerd. Daarbij </w:t>
      </w:r>
      <w:r w:rsidR="009D1014">
        <w:rPr>
          <w:rFonts w:ascii="Verdana" w:hAnsi="Verdana"/>
          <w:sz w:val="18"/>
          <w:szCs w:val="18"/>
          <w:lang w:val="nl-NL"/>
        </w:rPr>
        <w:t xml:space="preserve">dient als uitgangspunt de nationale wetgeving van de staat die de betreffende bepaling toepast, waarbij in eerste instantie de belastingwetgeving relevant is. De bevoegde autoriteiten kunnen echter ook in onderlinge overeenstemming tot een andere betekenis komen. </w:t>
      </w:r>
    </w:p>
    <w:p w:rsidRPr="008F7360" w:rsidR="00DB0E15" w:rsidP="007B1F1D" w:rsidRDefault="009D1014" w14:paraId="232D90DB" w14:textId="2A2FC5B5">
      <w:pPr>
        <w:rPr>
          <w:rFonts w:ascii="Verdana" w:hAnsi="Verdana"/>
          <w:sz w:val="18"/>
          <w:szCs w:val="18"/>
          <w:lang w:val="nl-NL"/>
        </w:rPr>
      </w:pPr>
      <w:r>
        <w:rPr>
          <w:rFonts w:ascii="Verdana" w:hAnsi="Verdana"/>
          <w:sz w:val="18"/>
          <w:szCs w:val="18"/>
          <w:lang w:val="nl-NL"/>
        </w:rPr>
        <w:t>In dit kader is in artikel III van het Protocol opgenomen dat indien toepassing van artikel 3</w:t>
      </w:r>
      <w:r w:rsidR="006A628D">
        <w:rPr>
          <w:rFonts w:ascii="Verdana" w:hAnsi="Verdana"/>
          <w:sz w:val="18"/>
          <w:szCs w:val="18"/>
          <w:lang w:val="nl-NL"/>
        </w:rPr>
        <w:t>,</w:t>
      </w:r>
      <w:r>
        <w:rPr>
          <w:rFonts w:ascii="Verdana" w:hAnsi="Verdana"/>
          <w:sz w:val="18"/>
          <w:szCs w:val="18"/>
          <w:lang w:val="nl-NL"/>
        </w:rPr>
        <w:t xml:space="preserve"> tweede lid</w:t>
      </w:r>
      <w:r w:rsidR="006A628D">
        <w:rPr>
          <w:rFonts w:ascii="Verdana" w:hAnsi="Verdana"/>
          <w:sz w:val="18"/>
          <w:szCs w:val="18"/>
          <w:lang w:val="nl-NL"/>
        </w:rPr>
        <w:t>,</w:t>
      </w:r>
      <w:r>
        <w:rPr>
          <w:rFonts w:ascii="Verdana" w:hAnsi="Verdana"/>
          <w:sz w:val="18"/>
          <w:szCs w:val="18"/>
          <w:lang w:val="nl-NL"/>
        </w:rPr>
        <w:t xml:space="preserve"> leidt tot dubbele belasting of tot dubbele vrijstelling, de bevoegde autoriteiten daarvoor een oplossing kunnen </w:t>
      </w:r>
      <w:r w:rsidRPr="009D1014">
        <w:rPr>
          <w:rFonts w:ascii="Verdana" w:hAnsi="Verdana"/>
          <w:sz w:val="18"/>
          <w:szCs w:val="18"/>
          <w:lang w:val="nl-NL"/>
        </w:rPr>
        <w:t>overeenkomen</w:t>
      </w:r>
      <w:r>
        <w:rPr>
          <w:rFonts w:ascii="Verdana" w:hAnsi="Verdana"/>
          <w:sz w:val="18"/>
          <w:szCs w:val="18"/>
          <w:lang w:val="nl-NL"/>
        </w:rPr>
        <w:t xml:space="preserve"> die, na publicatie, bindend zal zijn voor vergelijkbare gevallen.</w:t>
      </w:r>
      <w:r w:rsidR="00DB0E15">
        <w:rPr>
          <w:rFonts w:ascii="Verdana" w:hAnsi="Verdana"/>
          <w:sz w:val="18"/>
          <w:szCs w:val="18"/>
          <w:lang w:val="nl-NL"/>
        </w:rPr>
        <w:t xml:space="preserve"> </w:t>
      </w:r>
      <w:r>
        <w:rPr>
          <w:rFonts w:ascii="Verdana" w:hAnsi="Verdana"/>
          <w:sz w:val="18"/>
          <w:szCs w:val="18"/>
          <w:lang w:val="nl-NL"/>
        </w:rPr>
        <w:t>Dit laatste is ook van toepassing indien de dubbele belasting of dubbele vrijstelling het gevolg is van verschillen in (nationale) kwalificatie van personen of inkomen.</w:t>
      </w:r>
    </w:p>
    <w:p w:rsidRPr="00BB7074" w:rsidR="007863F7" w:rsidP="00B603B8" w:rsidRDefault="00936DF5" w14:paraId="6526D36A" w14:textId="174BE542">
      <w:pPr>
        <w:pStyle w:val="Heading2"/>
        <w:rPr>
          <w:lang w:val="nl-NL"/>
        </w:rPr>
      </w:pPr>
      <w:r w:rsidRPr="00BB7074">
        <w:rPr>
          <w:lang w:val="nl-NL"/>
        </w:rPr>
        <w:t xml:space="preserve">II.4. </w:t>
      </w:r>
      <w:r w:rsidRPr="00BB7074" w:rsidR="007863F7">
        <w:rPr>
          <w:lang w:val="nl-NL"/>
        </w:rPr>
        <w:t>Inwoners</w:t>
      </w:r>
      <w:r w:rsidR="00A9054D">
        <w:rPr>
          <w:lang w:val="nl-NL"/>
        </w:rPr>
        <w:t xml:space="preserve"> (</w:t>
      </w:r>
      <w:r w:rsidRPr="00A9054D" w:rsidR="00A9054D">
        <w:rPr>
          <w:lang w:val="nl-NL"/>
        </w:rPr>
        <w:t>artikel 4 van het Verdrag</w:t>
      </w:r>
      <w:r w:rsidR="00A9054D">
        <w:rPr>
          <w:lang w:val="nl-NL"/>
        </w:rPr>
        <w:t>)</w:t>
      </w:r>
    </w:p>
    <w:p w:rsidRPr="00BB7074" w:rsidR="00D24FF4" w:rsidP="00D24FF4" w:rsidRDefault="00D24FF4" w14:paraId="0257A5B9" w14:textId="1764D618">
      <w:pPr>
        <w:rPr>
          <w:rFonts w:ascii="Verdana" w:hAnsi="Verdana"/>
          <w:sz w:val="18"/>
          <w:szCs w:val="18"/>
          <w:lang w:val="nl-NL"/>
        </w:rPr>
      </w:pPr>
      <w:r w:rsidRPr="00BB7074">
        <w:rPr>
          <w:rFonts w:ascii="Verdana" w:hAnsi="Verdana"/>
          <w:sz w:val="18"/>
          <w:szCs w:val="18"/>
          <w:lang w:val="nl-NL"/>
        </w:rPr>
        <w:t xml:space="preserve">Artikel 4 </w:t>
      </w:r>
      <w:r w:rsidRPr="00BB7074" w:rsidR="000069F7">
        <w:rPr>
          <w:rFonts w:ascii="Verdana" w:hAnsi="Verdana"/>
          <w:sz w:val="18"/>
          <w:szCs w:val="18"/>
          <w:lang w:val="nl-NL"/>
        </w:rPr>
        <w:t xml:space="preserve">van het Verdrag </w:t>
      </w:r>
      <w:r w:rsidR="006A7785">
        <w:rPr>
          <w:rFonts w:ascii="Verdana" w:hAnsi="Verdana"/>
          <w:sz w:val="18"/>
          <w:szCs w:val="18"/>
          <w:lang w:val="nl-NL"/>
        </w:rPr>
        <w:t>geeft betekenis aan het begrip ‘</w:t>
      </w:r>
      <w:r w:rsidRPr="00BB7074">
        <w:rPr>
          <w:rFonts w:ascii="Verdana" w:hAnsi="Verdana"/>
          <w:sz w:val="18"/>
          <w:szCs w:val="18"/>
          <w:lang w:val="nl-NL"/>
        </w:rPr>
        <w:t>inwoner</w:t>
      </w:r>
      <w:r w:rsidR="006A7785">
        <w:rPr>
          <w:rFonts w:ascii="Verdana" w:hAnsi="Verdana"/>
          <w:sz w:val="18"/>
          <w:szCs w:val="18"/>
          <w:lang w:val="nl-NL"/>
        </w:rPr>
        <w:t>’</w:t>
      </w:r>
      <w:r w:rsidRPr="00BB7074">
        <w:rPr>
          <w:rFonts w:ascii="Verdana" w:hAnsi="Verdana"/>
          <w:sz w:val="18"/>
          <w:szCs w:val="18"/>
          <w:lang w:val="nl-NL"/>
        </w:rPr>
        <w:t>.</w:t>
      </w:r>
    </w:p>
    <w:p w:rsidRPr="00BB7074" w:rsidR="00D24FF4" w:rsidP="00D24FF4" w:rsidRDefault="00D24FF4" w14:paraId="777D4F4B" w14:textId="34A85766">
      <w:pPr>
        <w:rPr>
          <w:rFonts w:ascii="Verdana" w:hAnsi="Verdana"/>
          <w:sz w:val="18"/>
          <w:szCs w:val="18"/>
          <w:lang w:val="nl-NL"/>
        </w:rPr>
      </w:pPr>
      <w:r w:rsidRPr="00BB7074">
        <w:rPr>
          <w:rFonts w:ascii="Verdana" w:hAnsi="Verdana"/>
          <w:sz w:val="18"/>
          <w:szCs w:val="18"/>
          <w:lang w:val="nl-NL"/>
        </w:rPr>
        <w:t xml:space="preserve">In het eerste lid is omschreven wie voor de toepassing van het Verdrag geacht wordt inwoner te zijn van een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Volgens dit eerste lid is een persoon inwoner van een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indien hij aldaar op grond van woonplaats, verblijf, plaats van leiding, </w:t>
      </w:r>
      <w:r w:rsidRPr="00BB7074" w:rsidR="00B91CA5">
        <w:rPr>
          <w:rFonts w:ascii="Verdana" w:hAnsi="Verdana"/>
          <w:sz w:val="18"/>
          <w:szCs w:val="18"/>
          <w:lang w:val="nl-NL"/>
        </w:rPr>
        <w:t>oprichting,</w:t>
      </w:r>
      <w:r w:rsidR="00B91CA5">
        <w:rPr>
          <w:rFonts w:ascii="Verdana" w:hAnsi="Verdana"/>
          <w:sz w:val="18"/>
          <w:szCs w:val="18"/>
          <w:lang w:val="nl-NL"/>
        </w:rPr>
        <w:t xml:space="preserve"> of organisatie, </w:t>
      </w:r>
      <w:r w:rsidRPr="00BB7074">
        <w:rPr>
          <w:rFonts w:ascii="Verdana" w:hAnsi="Verdana"/>
          <w:sz w:val="18"/>
          <w:szCs w:val="18"/>
          <w:lang w:val="nl-NL"/>
        </w:rPr>
        <w:t>of enige andere soortgelijke omstandigheid aan belasting is onderworpen (</w:t>
      </w:r>
      <w:r w:rsidR="006A7785">
        <w:rPr>
          <w:rFonts w:ascii="Verdana" w:hAnsi="Verdana"/>
          <w:sz w:val="18"/>
          <w:szCs w:val="18"/>
          <w:lang w:val="nl-NL"/>
        </w:rPr>
        <w:t>‘</w:t>
      </w:r>
      <w:proofErr w:type="spellStart"/>
      <w:r w:rsidRPr="003A025B">
        <w:rPr>
          <w:rFonts w:ascii="Verdana" w:hAnsi="Verdana"/>
          <w:i/>
          <w:sz w:val="18"/>
          <w:szCs w:val="18"/>
          <w:lang w:val="nl-NL"/>
        </w:rPr>
        <w:t>liable</w:t>
      </w:r>
      <w:proofErr w:type="spellEnd"/>
      <w:r w:rsidRPr="003A025B">
        <w:rPr>
          <w:rFonts w:ascii="Verdana" w:hAnsi="Verdana"/>
          <w:i/>
          <w:sz w:val="18"/>
          <w:szCs w:val="18"/>
          <w:lang w:val="nl-NL"/>
        </w:rPr>
        <w:t xml:space="preserve"> to </w:t>
      </w:r>
      <w:proofErr w:type="spellStart"/>
      <w:r w:rsidR="006A7785">
        <w:rPr>
          <w:rFonts w:ascii="Verdana" w:hAnsi="Verdana"/>
          <w:i/>
          <w:sz w:val="18"/>
          <w:szCs w:val="18"/>
          <w:lang w:val="nl-NL"/>
        </w:rPr>
        <w:t>tax</w:t>
      </w:r>
      <w:proofErr w:type="spellEnd"/>
      <w:r w:rsidR="006A7785">
        <w:rPr>
          <w:rFonts w:ascii="Verdana" w:hAnsi="Verdana"/>
          <w:i/>
          <w:sz w:val="18"/>
          <w:szCs w:val="18"/>
          <w:lang w:val="nl-NL"/>
        </w:rPr>
        <w:t>’</w:t>
      </w:r>
      <w:r w:rsidRPr="00BB7074">
        <w:rPr>
          <w:rFonts w:ascii="Verdana" w:hAnsi="Verdana"/>
          <w:sz w:val="18"/>
          <w:szCs w:val="18"/>
          <w:lang w:val="nl-NL"/>
        </w:rPr>
        <w:t xml:space="preserve">). </w:t>
      </w:r>
      <w:r w:rsidRPr="00BF14C7" w:rsidR="00BF14C7">
        <w:rPr>
          <w:rFonts w:ascii="Verdana" w:hAnsi="Verdana" w:cs="Arial"/>
          <w:sz w:val="18"/>
          <w:szCs w:val="18"/>
          <w:lang w:val="nl-NL"/>
        </w:rPr>
        <w:t>De plaats van oprichting is – in afwijking van artikel 4, eerste lid, van het OESO-modelverdrag – in de tekst opgenomen op verzoek van Colombia. Nederland kon hiermee akkoord gaan, aangezien de plaats van oprichting ook zonder expliciete vermelding in de tekst onder de reikwijdte van de bepaling zou vallen, namelijk als ‘enige andere soortgelijke omstandigheid’.</w:t>
      </w:r>
      <w:r w:rsidR="00BF14C7">
        <w:rPr>
          <w:rFonts w:ascii="Verdana" w:hAnsi="Verdana" w:cs="Arial"/>
          <w:sz w:val="18"/>
          <w:szCs w:val="18"/>
          <w:lang w:val="nl-NL"/>
        </w:rPr>
        <w:t xml:space="preserve"> </w:t>
      </w:r>
      <w:r w:rsidRPr="00BB7074">
        <w:rPr>
          <w:rFonts w:ascii="Verdana" w:hAnsi="Verdana"/>
          <w:sz w:val="18"/>
          <w:szCs w:val="18"/>
          <w:lang w:val="nl-NL"/>
        </w:rPr>
        <w:lastRenderedPageBreak/>
        <w:t xml:space="preserve">Onder inwoners worden mede begrepen de staten zelf en </w:t>
      </w:r>
      <w:r w:rsidRPr="00BB7074" w:rsidR="008B5BF7">
        <w:rPr>
          <w:rFonts w:ascii="Verdana" w:hAnsi="Verdana"/>
          <w:sz w:val="18"/>
          <w:szCs w:val="18"/>
          <w:lang w:val="nl-NL"/>
        </w:rPr>
        <w:t>staat</w:t>
      </w:r>
      <w:r w:rsidRPr="00BB7074">
        <w:rPr>
          <w:rFonts w:ascii="Verdana" w:hAnsi="Verdana"/>
          <w:sz w:val="18"/>
          <w:szCs w:val="18"/>
          <w:lang w:val="nl-NL"/>
        </w:rPr>
        <w:t xml:space="preserve">kundige onderdelen daarvan. Ten slotte maakt de tweede zin van het eerste lid van artikel 4 van het Verdrag duidelijk dat een persoon geen inwoner van een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is, wanneer hij in die </w:t>
      </w:r>
      <w:r w:rsidRPr="00BB7074" w:rsidR="008B5BF7">
        <w:rPr>
          <w:rFonts w:ascii="Verdana" w:hAnsi="Verdana"/>
          <w:sz w:val="18"/>
          <w:szCs w:val="18"/>
          <w:lang w:val="nl-NL"/>
        </w:rPr>
        <w:t>staat</w:t>
      </w:r>
      <w:r w:rsidRPr="00BB7074">
        <w:rPr>
          <w:rFonts w:ascii="Verdana" w:hAnsi="Verdana"/>
          <w:sz w:val="18"/>
          <w:szCs w:val="18"/>
          <w:lang w:val="nl-NL"/>
        </w:rPr>
        <w:t xml:space="preserve"> slechts belastingplichtig is </w:t>
      </w:r>
      <w:r w:rsidRPr="00BB7074" w:rsidR="00441399">
        <w:rPr>
          <w:rFonts w:ascii="Verdana" w:hAnsi="Verdana"/>
          <w:sz w:val="18"/>
          <w:szCs w:val="18"/>
          <w:lang w:val="nl-NL"/>
        </w:rPr>
        <w:t xml:space="preserve">ter zake van </w:t>
      </w:r>
      <w:r w:rsidRPr="00BB7074">
        <w:rPr>
          <w:rFonts w:ascii="Verdana" w:hAnsi="Verdana"/>
          <w:sz w:val="18"/>
          <w:szCs w:val="18"/>
          <w:lang w:val="nl-NL"/>
        </w:rPr>
        <w:t xml:space="preserve">inkomen verkregen uit bronnen uit die </w:t>
      </w:r>
      <w:r w:rsidRPr="00BB7074" w:rsidR="008B5BF7">
        <w:rPr>
          <w:rFonts w:ascii="Verdana" w:hAnsi="Verdana"/>
          <w:sz w:val="18"/>
          <w:szCs w:val="18"/>
          <w:lang w:val="nl-NL"/>
        </w:rPr>
        <w:t>staat</w:t>
      </w:r>
      <w:r w:rsidRPr="00BB7074">
        <w:rPr>
          <w:rFonts w:ascii="Verdana" w:hAnsi="Verdana"/>
          <w:sz w:val="18"/>
          <w:szCs w:val="18"/>
          <w:lang w:val="nl-NL"/>
        </w:rPr>
        <w:t>.</w:t>
      </w:r>
    </w:p>
    <w:p w:rsidRPr="00BB7074" w:rsidR="00D24FF4" w:rsidP="00D24FF4" w:rsidRDefault="00D24FF4" w14:paraId="1D57ED15" w14:textId="345BB98C">
      <w:pPr>
        <w:rPr>
          <w:rFonts w:ascii="Verdana" w:hAnsi="Verdana"/>
          <w:sz w:val="18"/>
          <w:szCs w:val="18"/>
          <w:lang w:val="nl-NL"/>
        </w:rPr>
      </w:pPr>
      <w:r w:rsidRPr="00BB7074">
        <w:rPr>
          <w:rFonts w:ascii="Verdana" w:hAnsi="Verdana"/>
          <w:sz w:val="18"/>
          <w:szCs w:val="18"/>
          <w:lang w:val="nl-NL"/>
        </w:rPr>
        <w:t xml:space="preserve">In </w:t>
      </w:r>
      <w:r w:rsidRPr="00BB7074" w:rsidR="006D19C8">
        <w:rPr>
          <w:rFonts w:ascii="Verdana" w:hAnsi="Verdana"/>
          <w:sz w:val="18"/>
          <w:szCs w:val="18"/>
          <w:lang w:val="nl-NL"/>
        </w:rPr>
        <w:t>het tweede lid</w:t>
      </w:r>
      <w:r w:rsidRPr="00BB7074">
        <w:rPr>
          <w:rFonts w:ascii="Verdana" w:hAnsi="Verdana"/>
          <w:sz w:val="18"/>
          <w:szCs w:val="18"/>
          <w:lang w:val="nl-NL"/>
        </w:rPr>
        <w:t xml:space="preserve"> is op verzoek van Nederland nader bepaald wat moet worden verstaan onder onderworpenheid aan belasting. Met deze bepaling wordt bereikt dat lichamen als </w:t>
      </w:r>
      <w:r w:rsidR="006A7785">
        <w:rPr>
          <w:rFonts w:ascii="Verdana" w:hAnsi="Verdana"/>
          <w:sz w:val="18"/>
          <w:szCs w:val="18"/>
          <w:lang w:val="nl-NL"/>
        </w:rPr>
        <w:t>‘</w:t>
      </w:r>
      <w:proofErr w:type="spellStart"/>
      <w:r w:rsidRPr="003A025B">
        <w:rPr>
          <w:rFonts w:ascii="Verdana" w:hAnsi="Verdana"/>
          <w:i/>
          <w:sz w:val="18"/>
          <w:szCs w:val="18"/>
          <w:lang w:val="nl-NL"/>
        </w:rPr>
        <w:t>liable</w:t>
      </w:r>
      <w:proofErr w:type="spellEnd"/>
      <w:r w:rsidRPr="003A025B">
        <w:rPr>
          <w:rFonts w:ascii="Verdana" w:hAnsi="Verdana"/>
          <w:i/>
          <w:sz w:val="18"/>
          <w:szCs w:val="18"/>
          <w:lang w:val="nl-NL"/>
        </w:rPr>
        <w:t xml:space="preserve"> </w:t>
      </w:r>
      <w:proofErr w:type="spellStart"/>
      <w:r w:rsidRPr="003A025B">
        <w:rPr>
          <w:rFonts w:ascii="Verdana" w:hAnsi="Verdana"/>
          <w:i/>
          <w:sz w:val="18"/>
          <w:szCs w:val="18"/>
          <w:lang w:val="nl-NL"/>
        </w:rPr>
        <w:t>to</w:t>
      </w:r>
      <w:proofErr w:type="spellEnd"/>
      <w:r w:rsidRPr="003A025B">
        <w:rPr>
          <w:rFonts w:ascii="Verdana" w:hAnsi="Verdana"/>
          <w:i/>
          <w:sz w:val="18"/>
          <w:szCs w:val="18"/>
          <w:lang w:val="nl-NL"/>
        </w:rPr>
        <w:t xml:space="preserve"> </w:t>
      </w:r>
      <w:proofErr w:type="spellStart"/>
      <w:r w:rsidR="006A7785">
        <w:rPr>
          <w:rFonts w:ascii="Verdana" w:hAnsi="Verdana"/>
          <w:i/>
          <w:sz w:val="18"/>
          <w:szCs w:val="18"/>
          <w:lang w:val="nl-NL"/>
        </w:rPr>
        <w:t>tax</w:t>
      </w:r>
      <w:proofErr w:type="spellEnd"/>
      <w:r w:rsidR="006A7785">
        <w:rPr>
          <w:rFonts w:ascii="Verdana" w:hAnsi="Verdana"/>
          <w:sz w:val="18"/>
          <w:szCs w:val="18"/>
          <w:lang w:val="nl-NL"/>
        </w:rPr>
        <w:t>’</w:t>
      </w:r>
      <w:r w:rsidRPr="00BB7074">
        <w:rPr>
          <w:rFonts w:ascii="Verdana" w:hAnsi="Verdana"/>
          <w:sz w:val="18"/>
          <w:szCs w:val="18"/>
          <w:lang w:val="nl-NL"/>
        </w:rPr>
        <w:t xml:space="preserve"> worden beschouwd indien zij vallen onder de reikwijdte van de vennootschapsbelasting van </w:t>
      </w:r>
      <w:r w:rsidRPr="00BB7074" w:rsidR="00441399">
        <w:rPr>
          <w:rFonts w:ascii="Verdana" w:hAnsi="Verdana"/>
          <w:sz w:val="18"/>
          <w:szCs w:val="18"/>
          <w:lang w:val="nl-NL"/>
        </w:rPr>
        <w:t>de verdragsluitende staat</w:t>
      </w:r>
      <w:r w:rsidRPr="00BB7074">
        <w:rPr>
          <w:rFonts w:ascii="Verdana" w:hAnsi="Verdana"/>
          <w:sz w:val="18"/>
          <w:szCs w:val="18"/>
          <w:lang w:val="nl-NL"/>
        </w:rPr>
        <w:t xml:space="preserve"> </w:t>
      </w:r>
      <w:r w:rsidRPr="00BB7074" w:rsidR="00441399">
        <w:rPr>
          <w:rFonts w:ascii="Verdana" w:hAnsi="Verdana"/>
          <w:sz w:val="18"/>
          <w:szCs w:val="18"/>
          <w:lang w:val="nl-NL"/>
        </w:rPr>
        <w:t>waar</w:t>
      </w:r>
      <w:r w:rsidRPr="00BB7074">
        <w:rPr>
          <w:rFonts w:ascii="Verdana" w:hAnsi="Verdana"/>
          <w:sz w:val="18"/>
          <w:szCs w:val="18"/>
          <w:lang w:val="nl-NL"/>
        </w:rPr>
        <w:t>van het lichaam</w:t>
      </w:r>
      <w:r w:rsidRPr="00BB7074" w:rsidR="00441399">
        <w:rPr>
          <w:rFonts w:ascii="Verdana" w:hAnsi="Verdana"/>
          <w:sz w:val="18"/>
          <w:szCs w:val="18"/>
          <w:lang w:val="nl-NL"/>
        </w:rPr>
        <w:t xml:space="preserve"> inwoner is</w:t>
      </w:r>
      <w:r w:rsidRPr="00BB7074">
        <w:rPr>
          <w:rFonts w:ascii="Verdana" w:hAnsi="Verdana"/>
          <w:sz w:val="18"/>
          <w:szCs w:val="18"/>
          <w:lang w:val="nl-NL"/>
        </w:rPr>
        <w:t xml:space="preserve">, ook als sprake is van een subjectieve vrijstelling onder die belasting. </w:t>
      </w:r>
    </w:p>
    <w:p w:rsidRPr="00BB7074" w:rsidR="00D24FF4" w:rsidP="00D24FF4" w:rsidRDefault="00F4404B" w14:paraId="47D5130C" w14:textId="630E504E">
      <w:pPr>
        <w:rPr>
          <w:rFonts w:ascii="Verdana" w:hAnsi="Verdana"/>
          <w:sz w:val="18"/>
          <w:szCs w:val="18"/>
          <w:lang w:val="nl-NL"/>
        </w:rPr>
      </w:pPr>
      <w:r w:rsidRPr="00BB7074">
        <w:rPr>
          <w:rFonts w:ascii="Verdana" w:hAnsi="Verdana"/>
          <w:sz w:val="18"/>
          <w:szCs w:val="18"/>
          <w:lang w:val="nl-NL"/>
        </w:rPr>
        <w:t>Het</w:t>
      </w:r>
      <w:r w:rsidRPr="00BB7074" w:rsidR="00D24FF4">
        <w:rPr>
          <w:rFonts w:ascii="Verdana" w:hAnsi="Verdana"/>
          <w:sz w:val="18"/>
          <w:szCs w:val="18"/>
          <w:lang w:val="nl-NL"/>
        </w:rPr>
        <w:t xml:space="preserve"> </w:t>
      </w:r>
      <w:r w:rsidRPr="00BB7074" w:rsidR="006D19C8">
        <w:rPr>
          <w:rFonts w:ascii="Verdana" w:hAnsi="Verdana"/>
          <w:sz w:val="18"/>
          <w:szCs w:val="18"/>
          <w:lang w:val="nl-NL"/>
        </w:rPr>
        <w:t>derde</w:t>
      </w:r>
      <w:r w:rsidRPr="00BB7074" w:rsidR="00D24FF4">
        <w:rPr>
          <w:rFonts w:ascii="Verdana" w:hAnsi="Verdana"/>
          <w:sz w:val="18"/>
          <w:szCs w:val="18"/>
          <w:lang w:val="nl-NL"/>
        </w:rPr>
        <w:t xml:space="preserve"> lid bevat regels om te bepalen van welke verdragsluitende </w:t>
      </w:r>
      <w:r w:rsidRPr="00BB7074" w:rsidR="008B5BF7">
        <w:rPr>
          <w:rFonts w:ascii="Verdana" w:hAnsi="Verdana"/>
          <w:sz w:val="18"/>
          <w:szCs w:val="18"/>
          <w:lang w:val="nl-NL"/>
        </w:rPr>
        <w:t>staat</w:t>
      </w:r>
      <w:r w:rsidRPr="00BB7074" w:rsidR="00D24FF4">
        <w:rPr>
          <w:rFonts w:ascii="Verdana" w:hAnsi="Verdana"/>
          <w:sz w:val="18"/>
          <w:szCs w:val="18"/>
          <w:lang w:val="nl-NL"/>
        </w:rPr>
        <w:t xml:space="preserve"> een natuurlijke persoon geacht wordt inwoner te zijn voor de toepassing van het </w:t>
      </w:r>
      <w:r w:rsidRPr="00BB7074" w:rsidR="00244120">
        <w:rPr>
          <w:rFonts w:ascii="Verdana" w:hAnsi="Verdana"/>
          <w:sz w:val="18"/>
          <w:szCs w:val="18"/>
          <w:lang w:val="nl-NL"/>
        </w:rPr>
        <w:t>Verdrag</w:t>
      </w:r>
      <w:r w:rsidRPr="00BB7074" w:rsidR="00D24FF4">
        <w:rPr>
          <w:rFonts w:ascii="Verdana" w:hAnsi="Verdana"/>
          <w:sz w:val="18"/>
          <w:szCs w:val="18"/>
          <w:lang w:val="nl-NL"/>
        </w:rPr>
        <w:t xml:space="preserve"> wanneer hij volgens de criteria uit het eerste lid van beide </w:t>
      </w:r>
      <w:r w:rsidRPr="00BB7074">
        <w:rPr>
          <w:rFonts w:ascii="Verdana" w:hAnsi="Verdana"/>
          <w:sz w:val="18"/>
          <w:szCs w:val="18"/>
          <w:lang w:val="nl-NL"/>
        </w:rPr>
        <w:t xml:space="preserve">verdragsluitende </w:t>
      </w:r>
      <w:r w:rsidRPr="00BB7074" w:rsidR="009F30D9">
        <w:rPr>
          <w:rFonts w:ascii="Verdana" w:hAnsi="Verdana"/>
          <w:sz w:val="18"/>
          <w:szCs w:val="18"/>
          <w:lang w:val="nl-NL"/>
        </w:rPr>
        <w:t>s</w:t>
      </w:r>
      <w:r w:rsidRPr="00BB7074" w:rsidR="00D24FF4">
        <w:rPr>
          <w:rFonts w:ascii="Verdana" w:hAnsi="Verdana"/>
          <w:sz w:val="18"/>
          <w:szCs w:val="18"/>
          <w:lang w:val="nl-NL"/>
        </w:rPr>
        <w:t>taten inwoner is. We spreken dan van een dubbele woonplaats (</w:t>
      </w:r>
      <w:r w:rsidR="006A7785">
        <w:rPr>
          <w:rFonts w:ascii="Verdana" w:hAnsi="Verdana"/>
          <w:sz w:val="18"/>
          <w:szCs w:val="18"/>
          <w:lang w:val="nl-NL"/>
        </w:rPr>
        <w:t>‘</w:t>
      </w:r>
      <w:proofErr w:type="spellStart"/>
      <w:r w:rsidRPr="003A025B" w:rsidR="00D24FF4">
        <w:rPr>
          <w:rFonts w:ascii="Verdana" w:hAnsi="Verdana"/>
          <w:i/>
          <w:sz w:val="18"/>
          <w:szCs w:val="18"/>
          <w:lang w:val="nl-NL"/>
        </w:rPr>
        <w:t>dual</w:t>
      </w:r>
      <w:proofErr w:type="spellEnd"/>
      <w:r w:rsidRPr="003A025B" w:rsidR="00D24FF4">
        <w:rPr>
          <w:rFonts w:ascii="Verdana" w:hAnsi="Verdana"/>
          <w:i/>
          <w:sz w:val="18"/>
          <w:szCs w:val="18"/>
          <w:lang w:val="nl-NL"/>
        </w:rPr>
        <w:t xml:space="preserve"> </w:t>
      </w:r>
      <w:proofErr w:type="spellStart"/>
      <w:r w:rsidRPr="003A025B" w:rsidR="00D24FF4">
        <w:rPr>
          <w:rFonts w:ascii="Verdana" w:hAnsi="Verdana"/>
          <w:i/>
          <w:sz w:val="18"/>
          <w:szCs w:val="18"/>
          <w:lang w:val="nl-NL"/>
        </w:rPr>
        <w:t>residents</w:t>
      </w:r>
      <w:proofErr w:type="spellEnd"/>
      <w:r w:rsidR="006A7785">
        <w:rPr>
          <w:rFonts w:ascii="Verdana" w:hAnsi="Verdana"/>
          <w:i/>
          <w:sz w:val="18"/>
          <w:szCs w:val="18"/>
          <w:lang w:val="nl-NL"/>
        </w:rPr>
        <w:t>’</w:t>
      </w:r>
      <w:r w:rsidRPr="00BB7074" w:rsidR="00D24FF4">
        <w:rPr>
          <w:rFonts w:ascii="Verdana" w:hAnsi="Verdana"/>
          <w:sz w:val="18"/>
          <w:szCs w:val="18"/>
          <w:lang w:val="nl-NL"/>
        </w:rPr>
        <w:t xml:space="preserve">). Voor die beslissing wordt aangesloten bij zijn duurzaam tehuis, het middelpunt van zijn levensbelangen of zijn gewoonlijk verblijf, respectievelijk zijn nationaliteit. Indien op basis van deze factoren geen uitsluitsel wordt verkregen, zullen de bevoegde autoriteiten in onderling overleg bepalen van welke verdragsluitende </w:t>
      </w:r>
      <w:r w:rsidRPr="00BB7074" w:rsidR="008B5BF7">
        <w:rPr>
          <w:rFonts w:ascii="Verdana" w:hAnsi="Verdana"/>
          <w:sz w:val="18"/>
          <w:szCs w:val="18"/>
          <w:lang w:val="nl-NL"/>
        </w:rPr>
        <w:t>staat</w:t>
      </w:r>
      <w:r w:rsidRPr="00BB7074" w:rsidR="00D24FF4">
        <w:rPr>
          <w:rFonts w:ascii="Verdana" w:hAnsi="Verdana"/>
          <w:sz w:val="18"/>
          <w:szCs w:val="18"/>
          <w:lang w:val="nl-NL"/>
        </w:rPr>
        <w:t xml:space="preserve"> deze persoon uiteindelijk inwoner is.</w:t>
      </w:r>
    </w:p>
    <w:p w:rsidR="00D24FF4" w:rsidP="00D24FF4" w:rsidRDefault="00244120" w14:paraId="5448846E" w14:textId="42AC789C">
      <w:pPr>
        <w:rPr>
          <w:rFonts w:ascii="Verdana" w:hAnsi="Verdana"/>
          <w:sz w:val="18"/>
          <w:szCs w:val="18"/>
          <w:lang w:val="nl-NL"/>
        </w:rPr>
      </w:pPr>
      <w:r w:rsidRPr="00BB7074">
        <w:rPr>
          <w:rFonts w:ascii="Verdana" w:hAnsi="Verdana"/>
          <w:sz w:val="18"/>
          <w:szCs w:val="18"/>
          <w:lang w:val="nl-NL"/>
        </w:rPr>
        <w:t>Het vierd</w:t>
      </w:r>
      <w:r w:rsidRPr="00BB7074" w:rsidR="00025BDA">
        <w:rPr>
          <w:rFonts w:ascii="Verdana" w:hAnsi="Verdana"/>
          <w:sz w:val="18"/>
          <w:szCs w:val="18"/>
          <w:lang w:val="nl-NL"/>
        </w:rPr>
        <w:t>e</w:t>
      </w:r>
      <w:r w:rsidRPr="00BB7074" w:rsidR="00D24FF4">
        <w:rPr>
          <w:rFonts w:ascii="Verdana" w:hAnsi="Verdana"/>
          <w:sz w:val="18"/>
          <w:szCs w:val="18"/>
          <w:lang w:val="nl-NL"/>
        </w:rPr>
        <w:t xml:space="preserve"> lid bevat een met het </w:t>
      </w:r>
      <w:r w:rsidRPr="00BB7074">
        <w:rPr>
          <w:rFonts w:ascii="Verdana" w:hAnsi="Verdana"/>
          <w:sz w:val="18"/>
          <w:szCs w:val="18"/>
          <w:lang w:val="nl-NL"/>
        </w:rPr>
        <w:t>derde</w:t>
      </w:r>
      <w:r w:rsidRPr="00BB7074" w:rsidR="00D24FF4">
        <w:rPr>
          <w:rFonts w:ascii="Verdana" w:hAnsi="Verdana"/>
          <w:sz w:val="18"/>
          <w:szCs w:val="18"/>
          <w:lang w:val="nl-NL"/>
        </w:rPr>
        <w:t xml:space="preserve"> lid vergelijkbare bepaling voor niet-natuurlijke personen (de zogenoemde </w:t>
      </w:r>
      <w:r w:rsidR="006A7785">
        <w:rPr>
          <w:rFonts w:ascii="Verdana" w:hAnsi="Verdana"/>
          <w:sz w:val="18"/>
          <w:szCs w:val="18"/>
          <w:lang w:val="nl-NL"/>
        </w:rPr>
        <w:t>‘</w:t>
      </w:r>
      <w:r w:rsidRPr="003A025B" w:rsidR="00D24FF4">
        <w:rPr>
          <w:rFonts w:ascii="Verdana" w:hAnsi="Verdana"/>
          <w:i/>
          <w:sz w:val="18"/>
          <w:szCs w:val="18"/>
          <w:lang w:val="nl-NL"/>
        </w:rPr>
        <w:t xml:space="preserve">corporate </w:t>
      </w:r>
      <w:proofErr w:type="spellStart"/>
      <w:r w:rsidRPr="003A025B" w:rsidR="00D24FF4">
        <w:rPr>
          <w:rFonts w:ascii="Verdana" w:hAnsi="Verdana"/>
          <w:i/>
          <w:sz w:val="18"/>
          <w:szCs w:val="18"/>
          <w:lang w:val="nl-NL"/>
        </w:rPr>
        <w:t>tiebreaker</w:t>
      </w:r>
      <w:proofErr w:type="spellEnd"/>
      <w:r w:rsidR="006A7785">
        <w:rPr>
          <w:rFonts w:ascii="Verdana" w:hAnsi="Verdana"/>
          <w:i/>
          <w:sz w:val="18"/>
          <w:szCs w:val="18"/>
          <w:lang w:val="nl-NL"/>
        </w:rPr>
        <w:t>’</w:t>
      </w:r>
      <w:r w:rsidRPr="00BB7074" w:rsidR="00D24FF4">
        <w:rPr>
          <w:rFonts w:ascii="Verdana" w:hAnsi="Verdana"/>
          <w:sz w:val="18"/>
          <w:szCs w:val="18"/>
          <w:lang w:val="nl-NL"/>
        </w:rPr>
        <w:t xml:space="preserve">). Op basis van deze bepaling zullen de bevoegde autoriteiten van de </w:t>
      </w:r>
      <w:r w:rsidRPr="00BB7074" w:rsidR="00F46AD2">
        <w:rPr>
          <w:rFonts w:ascii="Verdana" w:hAnsi="Verdana"/>
          <w:sz w:val="18"/>
          <w:szCs w:val="18"/>
          <w:lang w:val="nl-NL"/>
        </w:rPr>
        <w:t>v</w:t>
      </w:r>
      <w:r w:rsidRPr="00BB7074" w:rsidR="00D24FF4">
        <w:rPr>
          <w:rFonts w:ascii="Verdana" w:hAnsi="Verdana"/>
          <w:sz w:val="18"/>
          <w:szCs w:val="18"/>
          <w:lang w:val="nl-NL"/>
        </w:rPr>
        <w:t xml:space="preserve">erdragsluitende </w:t>
      </w:r>
      <w:r w:rsidRPr="00BB7074" w:rsidR="00F46AD2">
        <w:rPr>
          <w:rFonts w:ascii="Verdana" w:hAnsi="Verdana"/>
          <w:sz w:val="18"/>
          <w:szCs w:val="18"/>
          <w:lang w:val="nl-NL"/>
        </w:rPr>
        <w:t>s</w:t>
      </w:r>
      <w:r w:rsidRPr="00BB7074" w:rsidR="00D24FF4">
        <w:rPr>
          <w:rFonts w:ascii="Verdana" w:hAnsi="Verdana"/>
          <w:sz w:val="18"/>
          <w:szCs w:val="18"/>
          <w:lang w:val="nl-NL"/>
        </w:rPr>
        <w:t>taten</w:t>
      </w:r>
      <w:r w:rsidRPr="00BB7074" w:rsidR="00C2067D">
        <w:rPr>
          <w:rFonts w:ascii="Verdana" w:hAnsi="Verdana"/>
          <w:sz w:val="18"/>
          <w:szCs w:val="18"/>
          <w:lang w:val="nl-NL"/>
        </w:rPr>
        <w:t xml:space="preserve"> zich inspannen om</w:t>
      </w:r>
      <w:r w:rsidRPr="00BB7074" w:rsidR="00D24FF4">
        <w:rPr>
          <w:rFonts w:ascii="Verdana" w:hAnsi="Verdana"/>
          <w:sz w:val="18"/>
          <w:szCs w:val="18"/>
          <w:lang w:val="nl-NL"/>
        </w:rPr>
        <w:t xml:space="preserve"> in onderling overleg een beslissing </w:t>
      </w:r>
      <w:r w:rsidRPr="00BB7074" w:rsidR="00C2067D">
        <w:rPr>
          <w:rFonts w:ascii="Verdana" w:hAnsi="Verdana"/>
          <w:sz w:val="18"/>
          <w:szCs w:val="18"/>
          <w:lang w:val="nl-NL"/>
        </w:rPr>
        <w:t xml:space="preserve">te </w:t>
      </w:r>
      <w:r w:rsidRPr="00BB7074" w:rsidR="00D24FF4">
        <w:rPr>
          <w:rFonts w:ascii="Verdana" w:hAnsi="Verdana"/>
          <w:sz w:val="18"/>
          <w:szCs w:val="18"/>
          <w:lang w:val="nl-NL"/>
        </w:rPr>
        <w:t>nemen. Bij het maken van die beslissing worden de plaats van de feitelijke leiding, de oprichtingsplaats en andere relevante factoren meegewogen. Zolang geen beslissing is genomen</w:t>
      </w:r>
      <w:r w:rsidRPr="00BB7074" w:rsidR="00F4404B">
        <w:rPr>
          <w:rFonts w:ascii="Verdana" w:hAnsi="Verdana"/>
          <w:sz w:val="18"/>
          <w:szCs w:val="18"/>
          <w:lang w:val="nl-NL"/>
        </w:rPr>
        <w:t>,</w:t>
      </w:r>
      <w:r w:rsidRPr="00BB7074" w:rsidR="00D24FF4">
        <w:rPr>
          <w:rFonts w:ascii="Verdana" w:hAnsi="Verdana"/>
          <w:sz w:val="18"/>
          <w:szCs w:val="18"/>
          <w:lang w:val="nl-NL"/>
        </w:rPr>
        <w:t xml:space="preserve"> heeft het lichaam geen recht op verdragsvoordelen tenzij de bevoegde autoriteiten anders afspreken.</w:t>
      </w:r>
    </w:p>
    <w:p w:rsidRPr="00BB7074" w:rsidR="005B10AE" w:rsidP="00D24FF4" w:rsidRDefault="005B10AE" w14:paraId="6D9BD402" w14:textId="77777777">
      <w:pPr>
        <w:rPr>
          <w:rFonts w:ascii="Verdana" w:hAnsi="Verdana"/>
          <w:sz w:val="18"/>
          <w:szCs w:val="18"/>
          <w:lang w:val="nl-NL"/>
        </w:rPr>
      </w:pPr>
    </w:p>
    <w:p w:rsidRPr="00BB7074" w:rsidR="007863F7" w:rsidP="00B603B8" w:rsidRDefault="00936DF5" w14:paraId="41DDD1E8" w14:textId="62750E12">
      <w:pPr>
        <w:pStyle w:val="Heading2"/>
        <w:rPr>
          <w:lang w:val="nl-NL"/>
        </w:rPr>
      </w:pPr>
      <w:r w:rsidRPr="00BB7074">
        <w:rPr>
          <w:lang w:val="nl-NL"/>
        </w:rPr>
        <w:t xml:space="preserve">II.5. </w:t>
      </w:r>
      <w:r w:rsidRPr="00BB7074" w:rsidR="007863F7">
        <w:rPr>
          <w:lang w:val="nl-NL"/>
        </w:rPr>
        <w:t>Vaste inrichting</w:t>
      </w:r>
      <w:r w:rsidRPr="00BB7074" w:rsidR="00894D0F">
        <w:rPr>
          <w:lang w:val="nl-NL"/>
        </w:rPr>
        <w:t xml:space="preserve"> (</w:t>
      </w:r>
      <w:r w:rsidR="00A9054D">
        <w:rPr>
          <w:lang w:val="nl-NL"/>
        </w:rPr>
        <w:t>a</w:t>
      </w:r>
      <w:r w:rsidRPr="00BB7074" w:rsidR="00A9054D">
        <w:rPr>
          <w:lang w:val="nl-NL"/>
        </w:rPr>
        <w:t>rtikel 5</w:t>
      </w:r>
      <w:r w:rsidR="00A9054D">
        <w:rPr>
          <w:lang w:val="nl-NL"/>
        </w:rPr>
        <w:t xml:space="preserve"> van het Verdrag </w:t>
      </w:r>
      <w:r w:rsidRPr="00BB7074" w:rsidR="00894D0F">
        <w:rPr>
          <w:lang w:val="nl-NL"/>
        </w:rPr>
        <w:t>en artikel IV</w:t>
      </w:r>
      <w:r w:rsidRPr="00BB7074" w:rsidR="00F4404B">
        <w:rPr>
          <w:lang w:val="nl-NL"/>
        </w:rPr>
        <w:t xml:space="preserve"> van het Protocol</w:t>
      </w:r>
      <w:r w:rsidRPr="00BB7074" w:rsidR="00894D0F">
        <w:rPr>
          <w:lang w:val="nl-NL"/>
        </w:rPr>
        <w:t>)</w:t>
      </w:r>
    </w:p>
    <w:p w:rsidRPr="00BB7074" w:rsidR="00DD0A45" w:rsidP="00151594" w:rsidRDefault="0035247F" w14:paraId="0528DAF3" w14:textId="76135FD0">
      <w:pPr>
        <w:rPr>
          <w:rFonts w:ascii="Verdana" w:hAnsi="Verdana"/>
          <w:sz w:val="18"/>
          <w:szCs w:val="18"/>
          <w:lang w:val="nl-NL"/>
        </w:rPr>
      </w:pPr>
      <w:r w:rsidRPr="00BB7074">
        <w:rPr>
          <w:rFonts w:ascii="Verdana" w:hAnsi="Verdana"/>
          <w:sz w:val="18"/>
          <w:szCs w:val="18"/>
          <w:lang w:val="nl-NL"/>
        </w:rPr>
        <w:t xml:space="preserve">Artikel 5 </w:t>
      </w:r>
      <w:r w:rsidRPr="00BB7074" w:rsidR="00CB1D2F">
        <w:rPr>
          <w:rFonts w:ascii="Verdana" w:hAnsi="Verdana"/>
          <w:sz w:val="18"/>
          <w:szCs w:val="18"/>
          <w:lang w:val="nl-NL"/>
        </w:rPr>
        <w:t xml:space="preserve">van het Verdrag </w:t>
      </w:r>
      <w:r w:rsidRPr="00BB7074">
        <w:rPr>
          <w:rFonts w:ascii="Verdana" w:hAnsi="Verdana"/>
          <w:sz w:val="18"/>
          <w:szCs w:val="18"/>
          <w:lang w:val="nl-NL"/>
        </w:rPr>
        <w:t xml:space="preserve">geeft betekenis aan het begrip </w:t>
      </w:r>
      <w:r w:rsidR="006A7785">
        <w:rPr>
          <w:rFonts w:ascii="Verdana" w:hAnsi="Verdana"/>
          <w:sz w:val="18"/>
          <w:szCs w:val="18"/>
          <w:lang w:val="nl-NL"/>
        </w:rPr>
        <w:t>‘vaste inrichting’</w:t>
      </w:r>
      <w:r w:rsidRPr="00BB7074">
        <w:rPr>
          <w:rFonts w:ascii="Verdana" w:hAnsi="Verdana"/>
          <w:sz w:val="18"/>
          <w:szCs w:val="18"/>
          <w:lang w:val="nl-NL"/>
        </w:rPr>
        <w:t xml:space="preserve">. De vraag of </w:t>
      </w:r>
      <w:r w:rsidRPr="00BB7074" w:rsidR="00C52CDA">
        <w:rPr>
          <w:rFonts w:ascii="Verdana" w:hAnsi="Verdana"/>
          <w:sz w:val="18"/>
          <w:szCs w:val="18"/>
          <w:lang w:val="nl-NL"/>
        </w:rPr>
        <w:t xml:space="preserve">er </w:t>
      </w:r>
      <w:r w:rsidRPr="00BB7074">
        <w:rPr>
          <w:rFonts w:ascii="Verdana" w:hAnsi="Verdana"/>
          <w:sz w:val="18"/>
          <w:szCs w:val="18"/>
          <w:lang w:val="nl-NL"/>
        </w:rPr>
        <w:t>sprake is van een vaste inrichting is van belang voor de verdeling van heffingsrechten</w:t>
      </w:r>
      <w:r w:rsidRPr="00BB7074" w:rsidR="00441399">
        <w:rPr>
          <w:rFonts w:ascii="Verdana" w:hAnsi="Verdana"/>
          <w:sz w:val="18"/>
          <w:szCs w:val="18"/>
          <w:lang w:val="nl-NL"/>
        </w:rPr>
        <w:t xml:space="preserve"> over ondernemingswinsten volgens artikel 7 van het Verdrag</w:t>
      </w:r>
      <w:r w:rsidRPr="00BB7074">
        <w:rPr>
          <w:rFonts w:ascii="Verdana" w:hAnsi="Verdana"/>
          <w:sz w:val="18"/>
          <w:szCs w:val="18"/>
          <w:lang w:val="nl-NL"/>
        </w:rPr>
        <w:t>.</w:t>
      </w:r>
      <w:r w:rsidRPr="00BB7074" w:rsidR="00DD0A45">
        <w:rPr>
          <w:rFonts w:ascii="Verdana" w:hAnsi="Verdana"/>
          <w:sz w:val="18"/>
          <w:szCs w:val="18"/>
          <w:lang w:val="nl-NL"/>
        </w:rPr>
        <w:t xml:space="preserve"> De winst van een onderneming van een verdragsluitende staat is slechts in die staat belastbaar, tenzij de onderneming in de andere verdragsluitende staat haar bedrijf uitoefent door middel van een aldaar gelegen vaste inrichting. In dat geval mag de winst die aan de vaste inrichting kan worden toegerekend in die andere staat worden belast.</w:t>
      </w:r>
    </w:p>
    <w:p w:rsidRPr="00BB7074" w:rsidR="00427E84" w:rsidP="00151594" w:rsidRDefault="00441399" w14:paraId="6C1DE658" w14:textId="3081BA4C">
      <w:pPr>
        <w:rPr>
          <w:rFonts w:ascii="Verdana" w:hAnsi="Verdana"/>
          <w:sz w:val="18"/>
          <w:szCs w:val="18"/>
          <w:lang w:val="nl-NL"/>
        </w:rPr>
      </w:pPr>
      <w:r w:rsidRPr="00BB7074">
        <w:rPr>
          <w:rFonts w:ascii="Verdana" w:hAnsi="Verdana"/>
          <w:sz w:val="18"/>
          <w:szCs w:val="18"/>
          <w:lang w:val="nl-NL"/>
        </w:rPr>
        <w:t>Daarnaast is</w:t>
      </w:r>
      <w:r w:rsidRPr="00BB7074" w:rsidR="0035247F">
        <w:rPr>
          <w:rFonts w:ascii="Verdana" w:hAnsi="Verdana"/>
          <w:sz w:val="18"/>
          <w:szCs w:val="18"/>
          <w:lang w:val="nl-NL"/>
        </w:rPr>
        <w:t xml:space="preserve"> de aanwezigheid van een vaste inrichting </w:t>
      </w:r>
      <w:r w:rsidRPr="00BB7074">
        <w:rPr>
          <w:rFonts w:ascii="Verdana" w:hAnsi="Verdana"/>
          <w:sz w:val="18"/>
          <w:szCs w:val="18"/>
          <w:lang w:val="nl-NL"/>
        </w:rPr>
        <w:t xml:space="preserve">ook </w:t>
      </w:r>
      <w:r w:rsidRPr="00BB7074" w:rsidR="0035247F">
        <w:rPr>
          <w:rFonts w:ascii="Verdana" w:hAnsi="Verdana"/>
          <w:sz w:val="18"/>
          <w:szCs w:val="18"/>
          <w:lang w:val="nl-NL"/>
        </w:rPr>
        <w:t xml:space="preserve">in </w:t>
      </w:r>
      <w:r w:rsidRPr="00BB7074">
        <w:rPr>
          <w:rFonts w:ascii="Verdana" w:hAnsi="Verdana"/>
          <w:sz w:val="18"/>
          <w:szCs w:val="18"/>
          <w:lang w:val="nl-NL"/>
        </w:rPr>
        <w:t>andere</w:t>
      </w:r>
      <w:r w:rsidRPr="00BB7074" w:rsidR="0035247F">
        <w:rPr>
          <w:rFonts w:ascii="Verdana" w:hAnsi="Verdana"/>
          <w:sz w:val="18"/>
          <w:szCs w:val="18"/>
          <w:lang w:val="nl-NL"/>
        </w:rPr>
        <w:t xml:space="preserve"> artikelen </w:t>
      </w:r>
      <w:r w:rsidRPr="00BB7074">
        <w:rPr>
          <w:rFonts w:ascii="Verdana" w:hAnsi="Verdana"/>
          <w:sz w:val="18"/>
          <w:szCs w:val="18"/>
          <w:lang w:val="nl-NL"/>
        </w:rPr>
        <w:t xml:space="preserve">van het Verdrag </w:t>
      </w:r>
      <w:r w:rsidRPr="00BB7074" w:rsidR="0035247F">
        <w:rPr>
          <w:rFonts w:ascii="Verdana" w:hAnsi="Verdana"/>
          <w:sz w:val="18"/>
          <w:szCs w:val="18"/>
          <w:lang w:val="nl-NL"/>
        </w:rPr>
        <w:t xml:space="preserve">een </w:t>
      </w:r>
      <w:r w:rsidRPr="00BB7074">
        <w:rPr>
          <w:rFonts w:ascii="Verdana" w:hAnsi="Verdana"/>
          <w:sz w:val="18"/>
          <w:szCs w:val="18"/>
          <w:lang w:val="nl-NL"/>
        </w:rPr>
        <w:t xml:space="preserve">aanknopingspunt </w:t>
      </w:r>
      <w:r w:rsidRPr="00BB7074" w:rsidR="0035247F">
        <w:rPr>
          <w:rFonts w:ascii="Verdana" w:hAnsi="Verdana"/>
          <w:sz w:val="18"/>
          <w:szCs w:val="18"/>
          <w:lang w:val="nl-NL"/>
        </w:rPr>
        <w:t xml:space="preserve">voor </w:t>
      </w:r>
      <w:r w:rsidRPr="00BB7074" w:rsidR="00427E84">
        <w:rPr>
          <w:rFonts w:ascii="Verdana" w:hAnsi="Verdana"/>
          <w:sz w:val="18"/>
          <w:szCs w:val="18"/>
          <w:lang w:val="nl-NL"/>
        </w:rPr>
        <w:t xml:space="preserve">het </w:t>
      </w:r>
      <w:r w:rsidRPr="00BB7074" w:rsidR="0035247F">
        <w:rPr>
          <w:rFonts w:ascii="Verdana" w:hAnsi="Verdana"/>
          <w:sz w:val="18"/>
          <w:szCs w:val="18"/>
          <w:lang w:val="nl-NL"/>
        </w:rPr>
        <w:t>toe</w:t>
      </w:r>
      <w:r w:rsidRPr="00BB7074" w:rsidR="00C2067D">
        <w:rPr>
          <w:rFonts w:ascii="Verdana" w:hAnsi="Verdana"/>
          <w:sz w:val="18"/>
          <w:szCs w:val="18"/>
          <w:lang w:val="nl-NL"/>
        </w:rPr>
        <w:t>kennen</w:t>
      </w:r>
      <w:r w:rsidRPr="00BB7074" w:rsidR="0035247F">
        <w:rPr>
          <w:rFonts w:ascii="Verdana" w:hAnsi="Verdana"/>
          <w:sz w:val="18"/>
          <w:szCs w:val="18"/>
          <w:lang w:val="nl-NL"/>
        </w:rPr>
        <w:t xml:space="preserve"> van heffingsrechten</w:t>
      </w:r>
      <w:r w:rsidRPr="00BB7074">
        <w:rPr>
          <w:rFonts w:ascii="Verdana" w:hAnsi="Verdana"/>
          <w:sz w:val="18"/>
          <w:szCs w:val="18"/>
          <w:lang w:val="nl-NL"/>
        </w:rPr>
        <w:t xml:space="preserve"> (</w:t>
      </w:r>
      <w:r w:rsidRPr="00BB7074" w:rsidR="00DD0A45">
        <w:rPr>
          <w:rFonts w:ascii="Verdana" w:hAnsi="Verdana"/>
          <w:sz w:val="18"/>
          <w:szCs w:val="18"/>
          <w:lang w:val="nl-NL"/>
        </w:rPr>
        <w:t xml:space="preserve">in </w:t>
      </w:r>
      <w:r w:rsidR="006A628D">
        <w:rPr>
          <w:rFonts w:ascii="Verdana" w:hAnsi="Verdana"/>
          <w:sz w:val="18"/>
          <w:szCs w:val="18"/>
          <w:lang w:val="nl-NL"/>
        </w:rPr>
        <w:t xml:space="preserve">de </w:t>
      </w:r>
      <w:r w:rsidRPr="00BB7074" w:rsidR="00DD0A45">
        <w:rPr>
          <w:rFonts w:ascii="Verdana" w:hAnsi="Verdana"/>
          <w:sz w:val="18"/>
          <w:szCs w:val="18"/>
          <w:lang w:val="nl-NL"/>
        </w:rPr>
        <w:t>artikelen 10, 11, 12, 13, 14 en 20</w:t>
      </w:r>
      <w:r w:rsidRPr="00BB7074">
        <w:rPr>
          <w:rFonts w:ascii="Verdana" w:hAnsi="Verdana"/>
          <w:sz w:val="18"/>
          <w:szCs w:val="18"/>
          <w:lang w:val="nl-NL"/>
        </w:rPr>
        <w:t>)</w:t>
      </w:r>
      <w:r w:rsidRPr="00BB7074" w:rsidR="0035247F">
        <w:rPr>
          <w:rFonts w:ascii="Verdana" w:hAnsi="Verdana"/>
          <w:sz w:val="18"/>
          <w:szCs w:val="18"/>
          <w:lang w:val="nl-NL"/>
        </w:rPr>
        <w:t xml:space="preserve">. </w:t>
      </w:r>
    </w:p>
    <w:p w:rsidRPr="00BB7074" w:rsidR="002F0BBD" w:rsidP="00151594" w:rsidRDefault="008A73AD" w14:paraId="5E11BF07" w14:textId="0D1F44CD">
      <w:pPr>
        <w:rPr>
          <w:rFonts w:ascii="Verdana" w:hAnsi="Verdana"/>
          <w:sz w:val="18"/>
          <w:szCs w:val="18"/>
          <w:lang w:val="nl-NL"/>
        </w:rPr>
      </w:pPr>
      <w:r w:rsidRPr="00BB7074">
        <w:rPr>
          <w:rFonts w:ascii="Verdana" w:hAnsi="Verdana"/>
          <w:sz w:val="18"/>
          <w:szCs w:val="18"/>
          <w:lang w:val="nl-NL"/>
        </w:rPr>
        <w:t xml:space="preserve">Artikel 5 </w:t>
      </w:r>
      <w:r w:rsidRPr="00BB7074" w:rsidR="00CB1D2F">
        <w:rPr>
          <w:rFonts w:ascii="Verdana" w:hAnsi="Verdana"/>
          <w:sz w:val="18"/>
          <w:szCs w:val="18"/>
          <w:lang w:val="nl-NL"/>
        </w:rPr>
        <w:t xml:space="preserve">van het Verdrag </w:t>
      </w:r>
      <w:r w:rsidRPr="00BB7074">
        <w:rPr>
          <w:rFonts w:ascii="Verdana" w:hAnsi="Verdana"/>
          <w:sz w:val="18"/>
          <w:szCs w:val="18"/>
          <w:lang w:val="nl-NL"/>
        </w:rPr>
        <w:t>is gebaseerd op het OESO-modelverdrag, maar wijkt daar op verschillende onderdelen van af</w:t>
      </w:r>
      <w:r w:rsidRPr="00BB7074" w:rsidR="00427E84">
        <w:rPr>
          <w:rFonts w:ascii="Verdana" w:hAnsi="Verdana"/>
          <w:sz w:val="18"/>
          <w:szCs w:val="18"/>
          <w:lang w:val="nl-NL"/>
        </w:rPr>
        <w:t xml:space="preserve">. </w:t>
      </w:r>
      <w:r w:rsidRPr="00BB7074" w:rsidR="00441399">
        <w:rPr>
          <w:rFonts w:ascii="Verdana" w:hAnsi="Verdana"/>
          <w:sz w:val="18"/>
          <w:szCs w:val="18"/>
          <w:lang w:val="nl-NL"/>
        </w:rPr>
        <w:t>Het eerste, tweede, zesde, zevende, achtste, negende, tiende en elfde lid</w:t>
      </w:r>
      <w:r w:rsidRPr="00BB7074" w:rsidR="00E30BB5">
        <w:rPr>
          <w:rFonts w:ascii="Verdana" w:hAnsi="Verdana"/>
          <w:sz w:val="18"/>
          <w:szCs w:val="18"/>
          <w:lang w:val="nl-NL"/>
        </w:rPr>
        <w:t xml:space="preserve"> zijn in lijn met het OESO-modelverdrag. </w:t>
      </w:r>
      <w:r w:rsidRPr="00BB7074" w:rsidR="00441399">
        <w:rPr>
          <w:rFonts w:ascii="Verdana" w:hAnsi="Verdana"/>
          <w:sz w:val="18"/>
          <w:szCs w:val="18"/>
          <w:lang w:val="nl-NL"/>
        </w:rPr>
        <w:t>Het derde, vierde en vijfde lid</w:t>
      </w:r>
      <w:r w:rsidRPr="00BB7074" w:rsidR="00E04F16">
        <w:rPr>
          <w:rFonts w:ascii="Verdana" w:hAnsi="Verdana"/>
          <w:sz w:val="18"/>
          <w:szCs w:val="18"/>
          <w:lang w:val="nl-NL"/>
        </w:rPr>
        <w:t xml:space="preserve"> wijken </w:t>
      </w:r>
      <w:r w:rsidRPr="00BB7074" w:rsidR="00E30BB5">
        <w:rPr>
          <w:rFonts w:ascii="Verdana" w:hAnsi="Verdana"/>
          <w:sz w:val="18"/>
          <w:szCs w:val="18"/>
          <w:lang w:val="nl-NL"/>
        </w:rPr>
        <w:t>af</w:t>
      </w:r>
      <w:r w:rsidRPr="00BB7074" w:rsidR="00E04F16">
        <w:rPr>
          <w:rFonts w:ascii="Verdana" w:hAnsi="Verdana"/>
          <w:sz w:val="18"/>
          <w:szCs w:val="18"/>
          <w:lang w:val="nl-NL"/>
        </w:rPr>
        <w:t xml:space="preserve"> van het OESO-</w:t>
      </w:r>
      <w:r w:rsidRPr="00BB7074" w:rsidR="00C70480">
        <w:rPr>
          <w:rFonts w:ascii="Verdana" w:hAnsi="Verdana"/>
          <w:sz w:val="18"/>
          <w:szCs w:val="18"/>
          <w:lang w:val="nl-NL"/>
        </w:rPr>
        <w:t>modelverdrag</w:t>
      </w:r>
      <w:r w:rsidRPr="00BB7074" w:rsidR="00E04F16">
        <w:rPr>
          <w:rFonts w:ascii="Verdana" w:hAnsi="Verdana"/>
          <w:sz w:val="18"/>
          <w:szCs w:val="18"/>
          <w:lang w:val="nl-NL"/>
        </w:rPr>
        <w:t>.</w:t>
      </w:r>
      <w:r w:rsidRPr="00BB7074" w:rsidR="00E30BB5">
        <w:rPr>
          <w:rFonts w:ascii="Verdana" w:hAnsi="Verdana"/>
          <w:sz w:val="18"/>
          <w:szCs w:val="18"/>
          <w:lang w:val="nl-NL"/>
        </w:rPr>
        <w:t xml:space="preserve"> </w:t>
      </w:r>
    </w:p>
    <w:p w:rsidRPr="00BB7074" w:rsidR="0035247F" w:rsidP="0035247F" w:rsidRDefault="0035247F" w14:paraId="7DC7E240" w14:textId="6A3C9871">
      <w:pPr>
        <w:ind w:firstLine="708"/>
        <w:rPr>
          <w:rFonts w:ascii="Verdana" w:hAnsi="Verdana"/>
          <w:sz w:val="18"/>
          <w:szCs w:val="18"/>
          <w:lang w:val="nl-NL"/>
        </w:rPr>
      </w:pPr>
      <w:r w:rsidRPr="00BB7074">
        <w:rPr>
          <w:rFonts w:ascii="Verdana" w:hAnsi="Verdana"/>
          <w:sz w:val="18"/>
          <w:szCs w:val="18"/>
          <w:lang w:val="nl-NL"/>
        </w:rPr>
        <w:lastRenderedPageBreak/>
        <w:t xml:space="preserve">In </w:t>
      </w:r>
      <w:r w:rsidRPr="00BB7074" w:rsidR="008A73AD">
        <w:rPr>
          <w:rFonts w:ascii="Verdana" w:hAnsi="Verdana"/>
          <w:sz w:val="18"/>
          <w:szCs w:val="18"/>
          <w:lang w:val="nl-NL"/>
        </w:rPr>
        <w:t>het</w:t>
      </w:r>
      <w:r w:rsidRPr="00BB7074">
        <w:rPr>
          <w:rFonts w:ascii="Verdana" w:hAnsi="Verdana"/>
          <w:sz w:val="18"/>
          <w:szCs w:val="18"/>
          <w:lang w:val="nl-NL"/>
        </w:rPr>
        <w:t xml:space="preserve"> eerste lid is vastgelegd dat de uitdrukking ‘vaste inrichting’ voor de toepassing van het Verdrag betekent een vaste bedrijfsinrichting met behulp waarvan de werkzaamheden van een onderneming geheel of gedeeltelijk worden uitgeoefend.</w:t>
      </w:r>
    </w:p>
    <w:p w:rsidRPr="00BB7074" w:rsidR="0035247F" w:rsidP="0035247F" w:rsidRDefault="0035247F" w14:paraId="783FB532" w14:textId="77777777">
      <w:pPr>
        <w:rPr>
          <w:rFonts w:ascii="Verdana" w:hAnsi="Verdana"/>
          <w:sz w:val="18"/>
          <w:szCs w:val="18"/>
          <w:lang w:val="nl-NL"/>
        </w:rPr>
      </w:pPr>
      <w:r w:rsidRPr="00BB7074">
        <w:rPr>
          <w:rFonts w:ascii="Verdana" w:hAnsi="Verdana"/>
          <w:sz w:val="18"/>
          <w:szCs w:val="18"/>
          <w:lang w:val="nl-NL"/>
        </w:rPr>
        <w:t xml:space="preserve">In het tweede lid is vervolgens bepaald dat de uitdrukking ‘vaste inrichting’ in het bijzonder omvat een plaats waar leiding wordt gegeven, een filiaal, een kantoor, een fabriek, een werkplaats, een mijn, olie- of gasbron, een groeve of enige andere plaats waar natuurlijke rijkdommen worden gewonnen. </w:t>
      </w:r>
    </w:p>
    <w:p w:rsidRPr="00BB7074" w:rsidR="00E36D15" w:rsidP="0035247F" w:rsidRDefault="0035247F" w14:paraId="70908172" w14:textId="6DBC9EE5">
      <w:pPr>
        <w:rPr>
          <w:rFonts w:ascii="Verdana" w:hAnsi="Verdana"/>
          <w:sz w:val="18"/>
          <w:szCs w:val="18"/>
          <w:lang w:val="nl-NL"/>
        </w:rPr>
      </w:pPr>
      <w:r w:rsidRPr="00BB7074">
        <w:rPr>
          <w:rFonts w:ascii="Verdana" w:hAnsi="Verdana"/>
          <w:sz w:val="18"/>
          <w:szCs w:val="18"/>
          <w:lang w:val="nl-NL"/>
        </w:rPr>
        <w:t xml:space="preserve">Ingevolge het derde lid </w:t>
      </w:r>
      <w:r w:rsidRPr="00BB7074" w:rsidR="00E04F16">
        <w:rPr>
          <w:rFonts w:ascii="Verdana" w:hAnsi="Verdana"/>
          <w:sz w:val="18"/>
          <w:szCs w:val="18"/>
          <w:lang w:val="nl-NL"/>
        </w:rPr>
        <w:t>omvat de uitdrukking vaste in</w:t>
      </w:r>
      <w:r w:rsidRPr="00BB7074" w:rsidR="00CB6ED9">
        <w:rPr>
          <w:rFonts w:ascii="Verdana" w:hAnsi="Verdana"/>
          <w:sz w:val="18"/>
          <w:szCs w:val="18"/>
          <w:lang w:val="nl-NL"/>
        </w:rPr>
        <w:t xml:space="preserve">richting </w:t>
      </w:r>
      <w:r w:rsidRPr="00BB7074" w:rsidR="00760632">
        <w:rPr>
          <w:rFonts w:ascii="Verdana" w:hAnsi="Verdana"/>
          <w:sz w:val="18"/>
          <w:szCs w:val="18"/>
          <w:lang w:val="nl-NL"/>
        </w:rPr>
        <w:t>ook</w:t>
      </w:r>
      <w:r w:rsidRPr="00BB7074" w:rsidR="00CB6ED9">
        <w:rPr>
          <w:rFonts w:ascii="Verdana" w:hAnsi="Verdana"/>
          <w:sz w:val="18"/>
          <w:szCs w:val="18"/>
          <w:lang w:val="nl-NL"/>
        </w:rPr>
        <w:t xml:space="preserve"> </w:t>
      </w:r>
      <w:r w:rsidRPr="00BB7074">
        <w:rPr>
          <w:rFonts w:ascii="Verdana" w:hAnsi="Verdana"/>
          <w:sz w:val="18"/>
          <w:szCs w:val="18"/>
          <w:lang w:val="nl-NL"/>
        </w:rPr>
        <w:t>een plaats waar bouwwerken, constructie-, of installatiewerkzaamheden worden uitgevoerd</w:t>
      </w:r>
      <w:r w:rsidRPr="00BB7074" w:rsidR="00C52CDA">
        <w:rPr>
          <w:rFonts w:ascii="Verdana" w:hAnsi="Verdana"/>
          <w:sz w:val="18"/>
          <w:szCs w:val="18"/>
          <w:lang w:val="nl-NL"/>
        </w:rPr>
        <w:t>,</w:t>
      </w:r>
      <w:r w:rsidRPr="00BB7074">
        <w:rPr>
          <w:rFonts w:ascii="Verdana" w:hAnsi="Verdana"/>
          <w:sz w:val="18"/>
          <w:szCs w:val="18"/>
          <w:lang w:val="nl-NL"/>
        </w:rPr>
        <w:t xml:space="preserve"> </w:t>
      </w:r>
      <w:r w:rsidRPr="00BB7074" w:rsidR="00760632">
        <w:rPr>
          <w:rFonts w:ascii="Verdana" w:hAnsi="Verdana"/>
          <w:sz w:val="18"/>
          <w:szCs w:val="18"/>
          <w:lang w:val="nl-NL"/>
        </w:rPr>
        <w:t xml:space="preserve">maar uitsluitend </w:t>
      </w:r>
      <w:r w:rsidRPr="00BB7074">
        <w:rPr>
          <w:rFonts w:ascii="Verdana" w:hAnsi="Verdana"/>
          <w:sz w:val="18"/>
          <w:szCs w:val="18"/>
          <w:lang w:val="nl-NL"/>
        </w:rPr>
        <w:t xml:space="preserve">indien de uitvoering daarvan in </w:t>
      </w:r>
      <w:r w:rsidRPr="00BB7074" w:rsidR="004645DB">
        <w:rPr>
          <w:rFonts w:ascii="Verdana" w:hAnsi="Verdana"/>
          <w:sz w:val="18"/>
          <w:szCs w:val="18"/>
          <w:lang w:val="nl-NL"/>
        </w:rPr>
        <w:t xml:space="preserve">de </w:t>
      </w:r>
      <w:r w:rsidRPr="00BB7074">
        <w:rPr>
          <w:rFonts w:ascii="Verdana" w:hAnsi="Verdana"/>
          <w:sz w:val="18"/>
          <w:szCs w:val="18"/>
          <w:lang w:val="nl-NL"/>
        </w:rPr>
        <w:t xml:space="preserve">andere </w:t>
      </w:r>
      <w:r w:rsidRPr="00BB7074" w:rsidR="004645DB">
        <w:rPr>
          <w:rFonts w:ascii="Verdana" w:hAnsi="Verdana"/>
          <w:sz w:val="18"/>
          <w:szCs w:val="18"/>
          <w:lang w:val="nl-NL"/>
        </w:rPr>
        <w:t xml:space="preserve">verdragsluitende staat </w:t>
      </w:r>
      <w:r w:rsidRPr="00BB7074">
        <w:rPr>
          <w:rFonts w:ascii="Verdana" w:hAnsi="Verdana"/>
          <w:sz w:val="18"/>
          <w:szCs w:val="18"/>
          <w:lang w:val="nl-NL"/>
        </w:rPr>
        <w:t xml:space="preserve">langer duurt dan </w:t>
      </w:r>
      <w:r w:rsidRPr="00BB7074" w:rsidR="00CB6ED9">
        <w:rPr>
          <w:rFonts w:ascii="Verdana" w:hAnsi="Verdana"/>
          <w:sz w:val="18"/>
          <w:szCs w:val="18"/>
          <w:lang w:val="nl-NL"/>
        </w:rPr>
        <w:t>183 dagen</w:t>
      </w:r>
      <w:r w:rsidRPr="00BB7074" w:rsidR="00E04F16">
        <w:rPr>
          <w:rFonts w:ascii="Verdana" w:hAnsi="Verdana"/>
          <w:sz w:val="18"/>
          <w:szCs w:val="18"/>
          <w:lang w:val="nl-NL"/>
        </w:rPr>
        <w:t xml:space="preserve">. </w:t>
      </w:r>
      <w:r w:rsidRPr="00BB7074" w:rsidR="00DE5043">
        <w:rPr>
          <w:rFonts w:ascii="Verdana" w:hAnsi="Verdana"/>
          <w:sz w:val="18"/>
          <w:szCs w:val="18"/>
          <w:lang w:val="nl-NL"/>
        </w:rPr>
        <w:t>Ook</w:t>
      </w:r>
      <w:r w:rsidRPr="00BB7074" w:rsidR="00E04F16">
        <w:rPr>
          <w:rFonts w:ascii="Verdana" w:hAnsi="Verdana"/>
          <w:sz w:val="18"/>
          <w:szCs w:val="18"/>
          <w:lang w:val="nl-NL"/>
        </w:rPr>
        <w:t xml:space="preserve"> omvat de uitdrukking</w:t>
      </w:r>
      <w:r w:rsidRPr="00BB7074" w:rsidR="00CB6ED9">
        <w:rPr>
          <w:rFonts w:ascii="Verdana" w:hAnsi="Verdana"/>
          <w:sz w:val="18"/>
          <w:szCs w:val="18"/>
          <w:lang w:val="nl-NL"/>
        </w:rPr>
        <w:t xml:space="preserve"> vaste inrichting </w:t>
      </w:r>
      <w:r w:rsidRPr="00BB7074" w:rsidR="00DD7DAE">
        <w:rPr>
          <w:rFonts w:ascii="Verdana" w:hAnsi="Verdana"/>
          <w:sz w:val="18"/>
          <w:szCs w:val="18"/>
          <w:lang w:val="nl-NL"/>
        </w:rPr>
        <w:t xml:space="preserve">het verlenen van diensten, waaronder diensten van adviserende aard. Van een dergelijke </w:t>
      </w:r>
      <w:r w:rsidR="000F4B56">
        <w:rPr>
          <w:rFonts w:ascii="Verdana" w:hAnsi="Verdana"/>
          <w:sz w:val="18"/>
          <w:szCs w:val="18"/>
          <w:lang w:val="nl-NL"/>
        </w:rPr>
        <w:t>‘</w:t>
      </w:r>
      <w:r w:rsidRPr="00BB7074" w:rsidR="00DD7DAE">
        <w:rPr>
          <w:rFonts w:ascii="Verdana" w:hAnsi="Verdana"/>
          <w:sz w:val="18"/>
          <w:szCs w:val="18"/>
          <w:lang w:val="nl-NL"/>
        </w:rPr>
        <w:t>diensten-vaste</w:t>
      </w:r>
      <w:r w:rsidR="007F57E0">
        <w:rPr>
          <w:rFonts w:ascii="Verdana" w:hAnsi="Verdana"/>
          <w:sz w:val="18"/>
          <w:szCs w:val="18"/>
          <w:lang w:val="nl-NL"/>
        </w:rPr>
        <w:t>-</w:t>
      </w:r>
      <w:r w:rsidRPr="00BB7074" w:rsidR="00DD7DAE">
        <w:rPr>
          <w:rFonts w:ascii="Verdana" w:hAnsi="Verdana"/>
          <w:sz w:val="18"/>
          <w:szCs w:val="18"/>
          <w:lang w:val="nl-NL"/>
        </w:rPr>
        <w:t xml:space="preserve">inrichting’ is enkel sprake indien de werkzaamheden in de betreffende verdragsluitende </w:t>
      </w:r>
      <w:r w:rsidRPr="00BB7074" w:rsidR="008B5BF7">
        <w:rPr>
          <w:rFonts w:ascii="Verdana" w:hAnsi="Verdana"/>
          <w:sz w:val="18"/>
          <w:szCs w:val="18"/>
          <w:lang w:val="nl-NL"/>
        </w:rPr>
        <w:t>staat</w:t>
      </w:r>
      <w:r w:rsidRPr="00BB7074" w:rsidR="00DD7DAE">
        <w:rPr>
          <w:rFonts w:ascii="Verdana" w:hAnsi="Verdana"/>
          <w:sz w:val="18"/>
          <w:szCs w:val="18"/>
          <w:lang w:val="nl-NL"/>
        </w:rPr>
        <w:t xml:space="preserve"> worden verricht en in tota</w:t>
      </w:r>
      <w:r w:rsidRPr="00BB7074" w:rsidR="00E04F16">
        <w:rPr>
          <w:rFonts w:ascii="Verdana" w:hAnsi="Verdana"/>
          <w:sz w:val="18"/>
          <w:szCs w:val="18"/>
          <w:lang w:val="nl-NL"/>
        </w:rPr>
        <w:t>al meer dan 183 dagen voortduren in enige periode van twaalf maanden die begint of eindigt in het betreffende</w:t>
      </w:r>
      <w:r w:rsidRPr="00BB7074" w:rsidR="00760632">
        <w:rPr>
          <w:rFonts w:ascii="Verdana" w:hAnsi="Verdana"/>
          <w:sz w:val="18"/>
          <w:szCs w:val="18"/>
          <w:lang w:val="nl-NL"/>
        </w:rPr>
        <w:t xml:space="preserve"> belastingjaar</w:t>
      </w:r>
      <w:r w:rsidRPr="00BB7074" w:rsidR="00E04F16">
        <w:rPr>
          <w:rFonts w:ascii="Verdana" w:hAnsi="Verdana"/>
          <w:sz w:val="18"/>
          <w:szCs w:val="18"/>
          <w:lang w:val="nl-NL"/>
        </w:rPr>
        <w:t>.</w:t>
      </w:r>
      <w:r w:rsidRPr="00BB7074" w:rsidR="0085790E">
        <w:rPr>
          <w:rFonts w:ascii="Verdana" w:hAnsi="Verdana"/>
          <w:sz w:val="18"/>
          <w:szCs w:val="18"/>
          <w:lang w:val="nl-NL"/>
        </w:rPr>
        <w:t xml:space="preserve"> Nederland is geen voorstander van het toe</w:t>
      </w:r>
      <w:r w:rsidRPr="00BB7074" w:rsidR="004645DB">
        <w:rPr>
          <w:rFonts w:ascii="Verdana" w:hAnsi="Verdana"/>
          <w:sz w:val="18"/>
          <w:szCs w:val="18"/>
          <w:lang w:val="nl-NL"/>
        </w:rPr>
        <w:t>kennen</w:t>
      </w:r>
      <w:r w:rsidRPr="00BB7074" w:rsidR="0085790E">
        <w:rPr>
          <w:rFonts w:ascii="Verdana" w:hAnsi="Verdana"/>
          <w:sz w:val="18"/>
          <w:szCs w:val="18"/>
          <w:lang w:val="nl-NL"/>
        </w:rPr>
        <w:t xml:space="preserve"> van heffingsrechten aan </w:t>
      </w:r>
      <w:r w:rsidRPr="00BB7074" w:rsidR="004645DB">
        <w:rPr>
          <w:rFonts w:ascii="Verdana" w:hAnsi="Verdana"/>
          <w:sz w:val="18"/>
          <w:szCs w:val="18"/>
          <w:lang w:val="nl-NL"/>
        </w:rPr>
        <w:t xml:space="preserve">de </w:t>
      </w:r>
      <w:r w:rsidRPr="00BB7074" w:rsidR="0085790E">
        <w:rPr>
          <w:rFonts w:ascii="Verdana" w:hAnsi="Verdana"/>
          <w:sz w:val="18"/>
          <w:szCs w:val="18"/>
          <w:lang w:val="nl-NL"/>
        </w:rPr>
        <w:t>bron</w:t>
      </w:r>
      <w:r w:rsidRPr="00BB7074" w:rsidR="004645DB">
        <w:rPr>
          <w:rFonts w:ascii="Verdana" w:hAnsi="Verdana"/>
          <w:sz w:val="18"/>
          <w:szCs w:val="18"/>
          <w:lang w:val="nl-NL"/>
        </w:rPr>
        <w:t>staat</w:t>
      </w:r>
      <w:r w:rsidRPr="00BB7074" w:rsidR="0085790E">
        <w:rPr>
          <w:rFonts w:ascii="Verdana" w:hAnsi="Verdana"/>
          <w:sz w:val="18"/>
          <w:szCs w:val="18"/>
          <w:lang w:val="nl-NL"/>
        </w:rPr>
        <w:t xml:space="preserve"> als het gaat om betalingen voor diensten</w:t>
      </w:r>
      <w:r w:rsidRPr="00BB7074" w:rsidR="00760632">
        <w:rPr>
          <w:rFonts w:ascii="Verdana" w:hAnsi="Verdana"/>
          <w:sz w:val="18"/>
          <w:szCs w:val="18"/>
          <w:lang w:val="nl-NL"/>
        </w:rPr>
        <w:t xml:space="preserve"> zonder dat er sprake is van een </w:t>
      </w:r>
      <w:r w:rsidRPr="00BB7074" w:rsidR="004645DB">
        <w:rPr>
          <w:rFonts w:ascii="Verdana" w:hAnsi="Verdana"/>
          <w:sz w:val="18"/>
          <w:szCs w:val="18"/>
          <w:lang w:val="nl-NL"/>
        </w:rPr>
        <w:t xml:space="preserve">vaste </w:t>
      </w:r>
      <w:r w:rsidRPr="00BB7074" w:rsidR="00760632">
        <w:rPr>
          <w:rFonts w:ascii="Verdana" w:hAnsi="Verdana"/>
          <w:sz w:val="18"/>
          <w:szCs w:val="18"/>
          <w:lang w:val="nl-NL"/>
        </w:rPr>
        <w:t>bedrijfsinrichting als bedoeld in het eerste lid.</w:t>
      </w:r>
      <w:r w:rsidRPr="00BB7074" w:rsidR="0085790E">
        <w:rPr>
          <w:rFonts w:ascii="Verdana" w:hAnsi="Verdana"/>
          <w:sz w:val="18"/>
          <w:szCs w:val="18"/>
          <w:lang w:val="nl-NL"/>
        </w:rPr>
        <w:t xml:space="preserve"> In het kader van een compromis zijn Colombia en Nederland gekomen tot de overeengekomen diensten-vaste</w:t>
      </w:r>
      <w:r w:rsidR="002D5959">
        <w:rPr>
          <w:rFonts w:ascii="Verdana" w:hAnsi="Verdana"/>
          <w:sz w:val="18"/>
          <w:szCs w:val="18"/>
          <w:lang w:val="nl-NL"/>
        </w:rPr>
        <w:t>-</w:t>
      </w:r>
      <w:r w:rsidRPr="00BB7074" w:rsidR="0085790E">
        <w:rPr>
          <w:rFonts w:ascii="Verdana" w:hAnsi="Verdana"/>
          <w:sz w:val="18"/>
          <w:szCs w:val="18"/>
          <w:lang w:val="nl-NL"/>
        </w:rPr>
        <w:t>inrichting</w:t>
      </w:r>
      <w:r w:rsidRPr="00BB7074" w:rsidR="00FA0F02">
        <w:rPr>
          <w:rFonts w:ascii="Verdana" w:hAnsi="Verdana"/>
          <w:sz w:val="18"/>
          <w:szCs w:val="18"/>
          <w:lang w:val="nl-NL"/>
        </w:rPr>
        <w:t>. Kenmerken van een diensten-vaste</w:t>
      </w:r>
      <w:r w:rsidR="002D5959">
        <w:rPr>
          <w:rFonts w:ascii="Verdana" w:hAnsi="Verdana"/>
          <w:sz w:val="18"/>
          <w:szCs w:val="18"/>
          <w:lang w:val="nl-NL"/>
        </w:rPr>
        <w:t>-</w:t>
      </w:r>
      <w:r w:rsidRPr="00BB7074" w:rsidR="00FA0F02">
        <w:rPr>
          <w:rFonts w:ascii="Verdana" w:hAnsi="Verdana"/>
          <w:sz w:val="18"/>
          <w:szCs w:val="18"/>
          <w:lang w:val="nl-NL"/>
        </w:rPr>
        <w:t>inrichting zijn dat</w:t>
      </w:r>
      <w:r w:rsidRPr="00BB7074" w:rsidR="0085790E">
        <w:rPr>
          <w:rFonts w:ascii="Verdana" w:hAnsi="Verdana"/>
          <w:sz w:val="18"/>
          <w:szCs w:val="18"/>
          <w:lang w:val="nl-NL"/>
        </w:rPr>
        <w:t xml:space="preserve"> de heffingsrechten voor </w:t>
      </w:r>
      <w:r w:rsidRPr="00BB7074" w:rsidR="004645DB">
        <w:rPr>
          <w:rFonts w:ascii="Verdana" w:hAnsi="Verdana"/>
          <w:sz w:val="18"/>
          <w:szCs w:val="18"/>
          <w:lang w:val="nl-NL"/>
        </w:rPr>
        <w:t xml:space="preserve">de </w:t>
      </w:r>
      <w:r w:rsidRPr="00BB7074" w:rsidR="0085790E">
        <w:rPr>
          <w:rFonts w:ascii="Verdana" w:hAnsi="Verdana"/>
          <w:sz w:val="18"/>
          <w:szCs w:val="18"/>
          <w:lang w:val="nl-NL"/>
        </w:rPr>
        <w:t>bron</w:t>
      </w:r>
      <w:r w:rsidRPr="00BB7074" w:rsidR="004645DB">
        <w:rPr>
          <w:rFonts w:ascii="Verdana" w:hAnsi="Verdana"/>
          <w:sz w:val="18"/>
          <w:szCs w:val="18"/>
          <w:lang w:val="nl-NL"/>
        </w:rPr>
        <w:t>staat</w:t>
      </w:r>
      <w:r w:rsidRPr="00BB7074" w:rsidR="0085790E">
        <w:rPr>
          <w:rFonts w:ascii="Verdana" w:hAnsi="Verdana"/>
          <w:sz w:val="18"/>
          <w:szCs w:val="18"/>
          <w:lang w:val="nl-NL"/>
        </w:rPr>
        <w:t xml:space="preserve"> beperkt zijn tot de winst die met de diensten wordt gemaakt (</w:t>
      </w:r>
      <w:r w:rsidRPr="00BB7074" w:rsidR="00FA0F02">
        <w:rPr>
          <w:rFonts w:ascii="Verdana" w:hAnsi="Verdana"/>
          <w:sz w:val="18"/>
          <w:szCs w:val="18"/>
          <w:lang w:val="nl-NL"/>
        </w:rPr>
        <w:t>zodat de bronstaat niet heft over</w:t>
      </w:r>
      <w:r w:rsidRPr="00BB7074" w:rsidR="0085790E">
        <w:rPr>
          <w:rFonts w:ascii="Verdana" w:hAnsi="Verdana"/>
          <w:sz w:val="18"/>
          <w:szCs w:val="18"/>
          <w:lang w:val="nl-NL"/>
        </w:rPr>
        <w:t xml:space="preserve"> het brutobedrag van de betalingen) en tot situaties waarin de diensten fysiek in </w:t>
      </w:r>
      <w:r w:rsidRPr="00BB7074" w:rsidR="004645DB">
        <w:rPr>
          <w:rFonts w:ascii="Verdana" w:hAnsi="Verdana"/>
          <w:sz w:val="18"/>
          <w:szCs w:val="18"/>
          <w:lang w:val="nl-NL"/>
        </w:rPr>
        <w:t xml:space="preserve">de </w:t>
      </w:r>
      <w:r w:rsidRPr="00BB7074" w:rsidR="0085790E">
        <w:rPr>
          <w:rFonts w:ascii="Verdana" w:hAnsi="Verdana"/>
          <w:sz w:val="18"/>
          <w:szCs w:val="18"/>
          <w:lang w:val="nl-NL"/>
        </w:rPr>
        <w:t>bron</w:t>
      </w:r>
      <w:r w:rsidRPr="00BB7074" w:rsidR="004645DB">
        <w:rPr>
          <w:rFonts w:ascii="Verdana" w:hAnsi="Verdana"/>
          <w:sz w:val="18"/>
          <w:szCs w:val="18"/>
          <w:lang w:val="nl-NL"/>
        </w:rPr>
        <w:t>staat</w:t>
      </w:r>
      <w:r w:rsidRPr="00BB7074" w:rsidR="0085790E">
        <w:rPr>
          <w:rFonts w:ascii="Verdana" w:hAnsi="Verdana"/>
          <w:sz w:val="18"/>
          <w:szCs w:val="18"/>
          <w:lang w:val="nl-NL"/>
        </w:rPr>
        <w:t xml:space="preserve"> worden verricht. </w:t>
      </w:r>
      <w:r w:rsidRPr="00BB7074" w:rsidR="00086938">
        <w:rPr>
          <w:rFonts w:ascii="Verdana" w:hAnsi="Verdana"/>
          <w:sz w:val="18"/>
          <w:szCs w:val="18"/>
          <w:lang w:val="nl-NL"/>
        </w:rPr>
        <w:t xml:space="preserve">In </w:t>
      </w:r>
      <w:r w:rsidRPr="00BB7074" w:rsidR="004645DB">
        <w:rPr>
          <w:rFonts w:ascii="Verdana" w:hAnsi="Verdana"/>
          <w:sz w:val="18"/>
          <w:szCs w:val="18"/>
          <w:lang w:val="nl-NL"/>
        </w:rPr>
        <w:t>a</w:t>
      </w:r>
      <w:r w:rsidRPr="00BB7074" w:rsidR="00086938">
        <w:rPr>
          <w:rFonts w:ascii="Verdana" w:hAnsi="Verdana"/>
          <w:sz w:val="18"/>
          <w:szCs w:val="18"/>
          <w:lang w:val="nl-NL"/>
        </w:rPr>
        <w:t>rtikel IV van het P</w:t>
      </w:r>
      <w:r w:rsidRPr="00BB7074" w:rsidR="00F46AD2">
        <w:rPr>
          <w:rFonts w:ascii="Verdana" w:hAnsi="Verdana"/>
          <w:sz w:val="18"/>
          <w:szCs w:val="18"/>
          <w:lang w:val="nl-NL"/>
        </w:rPr>
        <w:t>rotocol bij het V</w:t>
      </w:r>
      <w:r w:rsidRPr="00BB7074" w:rsidR="002E58AB">
        <w:rPr>
          <w:rFonts w:ascii="Verdana" w:hAnsi="Verdana"/>
          <w:sz w:val="18"/>
          <w:szCs w:val="18"/>
          <w:lang w:val="nl-NL"/>
        </w:rPr>
        <w:t xml:space="preserve">erdrag is op verzoek van Colombia een zogenoemde </w:t>
      </w:r>
      <w:r w:rsidR="00427CA0">
        <w:rPr>
          <w:rFonts w:ascii="Verdana" w:hAnsi="Verdana"/>
          <w:sz w:val="18"/>
          <w:szCs w:val="18"/>
          <w:lang w:val="nl-NL"/>
        </w:rPr>
        <w:t>meestbegunstigings</w:t>
      </w:r>
      <w:r w:rsidRPr="00BB7074" w:rsidR="002E58AB">
        <w:rPr>
          <w:rFonts w:ascii="Verdana" w:hAnsi="Verdana"/>
          <w:sz w:val="18"/>
          <w:szCs w:val="18"/>
          <w:lang w:val="nl-NL"/>
        </w:rPr>
        <w:t xml:space="preserve">clausule </w:t>
      </w:r>
      <w:r w:rsidR="00427CA0">
        <w:rPr>
          <w:rFonts w:ascii="Verdana" w:hAnsi="Verdana"/>
          <w:sz w:val="18"/>
          <w:szCs w:val="18"/>
          <w:lang w:val="nl-NL"/>
        </w:rPr>
        <w:t>(</w:t>
      </w:r>
      <w:r w:rsidRPr="003A025B" w:rsidR="00427CA0">
        <w:rPr>
          <w:rFonts w:ascii="Verdana" w:hAnsi="Verdana"/>
          <w:i/>
          <w:sz w:val="18"/>
          <w:szCs w:val="18"/>
          <w:lang w:val="nl-NL"/>
        </w:rPr>
        <w:t xml:space="preserve">most </w:t>
      </w:r>
      <w:proofErr w:type="spellStart"/>
      <w:r w:rsidRPr="003A025B" w:rsidR="00427CA0">
        <w:rPr>
          <w:rFonts w:ascii="Verdana" w:hAnsi="Verdana"/>
          <w:i/>
          <w:sz w:val="18"/>
          <w:szCs w:val="18"/>
          <w:lang w:val="nl-NL"/>
        </w:rPr>
        <w:t>favoured</w:t>
      </w:r>
      <w:proofErr w:type="spellEnd"/>
      <w:r w:rsidRPr="003A025B" w:rsidR="00427CA0">
        <w:rPr>
          <w:rFonts w:ascii="Verdana" w:hAnsi="Verdana"/>
          <w:i/>
          <w:sz w:val="18"/>
          <w:szCs w:val="18"/>
          <w:lang w:val="nl-NL"/>
        </w:rPr>
        <w:t xml:space="preserve"> </w:t>
      </w:r>
      <w:proofErr w:type="spellStart"/>
      <w:r w:rsidRPr="003A025B" w:rsidR="00427CA0">
        <w:rPr>
          <w:rFonts w:ascii="Verdana" w:hAnsi="Verdana"/>
          <w:i/>
          <w:sz w:val="18"/>
          <w:szCs w:val="18"/>
          <w:lang w:val="nl-NL"/>
        </w:rPr>
        <w:t>nation</w:t>
      </w:r>
      <w:proofErr w:type="spellEnd"/>
      <w:r w:rsidRPr="003A025B" w:rsidR="00427CA0">
        <w:rPr>
          <w:rFonts w:ascii="Verdana" w:hAnsi="Verdana"/>
          <w:i/>
          <w:sz w:val="18"/>
          <w:szCs w:val="18"/>
          <w:lang w:val="nl-NL"/>
        </w:rPr>
        <w:t xml:space="preserve"> clause</w:t>
      </w:r>
      <w:r w:rsidR="00427CA0">
        <w:rPr>
          <w:rFonts w:ascii="Verdana" w:hAnsi="Verdana"/>
          <w:sz w:val="18"/>
          <w:szCs w:val="18"/>
          <w:lang w:val="nl-NL"/>
        </w:rPr>
        <w:t xml:space="preserve">) </w:t>
      </w:r>
      <w:r w:rsidRPr="00BB7074" w:rsidR="002E58AB">
        <w:rPr>
          <w:rFonts w:ascii="Verdana" w:hAnsi="Verdana"/>
          <w:sz w:val="18"/>
          <w:szCs w:val="18"/>
          <w:lang w:val="nl-NL"/>
        </w:rPr>
        <w:t>opgenomen die verband houdt met de diensten-vaste</w:t>
      </w:r>
      <w:r w:rsidR="002D5959">
        <w:rPr>
          <w:rFonts w:ascii="Verdana" w:hAnsi="Verdana"/>
          <w:sz w:val="18"/>
          <w:szCs w:val="18"/>
          <w:lang w:val="nl-NL"/>
        </w:rPr>
        <w:t>-</w:t>
      </w:r>
      <w:r w:rsidRPr="00BB7074" w:rsidR="002E58AB">
        <w:rPr>
          <w:rFonts w:ascii="Verdana" w:hAnsi="Verdana"/>
          <w:sz w:val="18"/>
          <w:szCs w:val="18"/>
          <w:lang w:val="nl-NL"/>
        </w:rPr>
        <w:t xml:space="preserve">inrichting uit het derde lid. Deze bepaling regelt dat als Nederland na het sluiten van het </w:t>
      </w:r>
      <w:r w:rsidRPr="00BB7074" w:rsidR="00F46AD2">
        <w:rPr>
          <w:rFonts w:ascii="Verdana" w:hAnsi="Verdana"/>
          <w:sz w:val="18"/>
          <w:szCs w:val="18"/>
          <w:lang w:val="nl-NL"/>
        </w:rPr>
        <w:t>v</w:t>
      </w:r>
      <w:r w:rsidRPr="00BB7074" w:rsidR="002E58AB">
        <w:rPr>
          <w:rFonts w:ascii="Verdana" w:hAnsi="Verdana"/>
          <w:sz w:val="18"/>
          <w:szCs w:val="18"/>
          <w:lang w:val="nl-NL"/>
        </w:rPr>
        <w:t xml:space="preserve">erdrag met Colombia een verdrag sluit met een andere </w:t>
      </w:r>
      <w:r w:rsidRPr="00BB7074" w:rsidR="008B5BF7">
        <w:rPr>
          <w:rFonts w:ascii="Verdana" w:hAnsi="Verdana"/>
          <w:sz w:val="18"/>
          <w:szCs w:val="18"/>
          <w:lang w:val="nl-NL"/>
        </w:rPr>
        <w:t>staat</w:t>
      </w:r>
      <w:r w:rsidRPr="00BB7074" w:rsidR="002E58AB">
        <w:rPr>
          <w:rFonts w:ascii="Verdana" w:hAnsi="Verdana"/>
          <w:sz w:val="18"/>
          <w:szCs w:val="18"/>
          <w:lang w:val="nl-NL"/>
        </w:rPr>
        <w:t xml:space="preserve"> waarbij voor de diensten-vaste</w:t>
      </w:r>
      <w:r w:rsidR="002D5959">
        <w:rPr>
          <w:rFonts w:ascii="Verdana" w:hAnsi="Verdana"/>
          <w:sz w:val="18"/>
          <w:szCs w:val="18"/>
          <w:lang w:val="nl-NL"/>
        </w:rPr>
        <w:t>-</w:t>
      </w:r>
      <w:r w:rsidRPr="00BB7074" w:rsidR="002E58AB">
        <w:rPr>
          <w:rFonts w:ascii="Verdana" w:hAnsi="Verdana"/>
          <w:sz w:val="18"/>
          <w:szCs w:val="18"/>
          <w:lang w:val="nl-NL"/>
        </w:rPr>
        <w:t xml:space="preserve">inrichting een kortere drempeltermijn wordt overeengekomen dan 183 dagen, deze kortere termijn ook </w:t>
      </w:r>
      <w:r w:rsidRPr="00BB7074" w:rsidR="00760632">
        <w:rPr>
          <w:rFonts w:ascii="Verdana" w:hAnsi="Verdana"/>
          <w:sz w:val="18"/>
          <w:szCs w:val="18"/>
          <w:lang w:val="nl-NL"/>
        </w:rPr>
        <w:t>gaat gelden</w:t>
      </w:r>
      <w:r w:rsidRPr="00BB7074" w:rsidR="002E58AB">
        <w:rPr>
          <w:rFonts w:ascii="Verdana" w:hAnsi="Verdana"/>
          <w:sz w:val="18"/>
          <w:szCs w:val="18"/>
          <w:lang w:val="nl-NL"/>
        </w:rPr>
        <w:t xml:space="preserve"> voor het verdrag met Colombia</w:t>
      </w:r>
      <w:r w:rsidRPr="00BB7074" w:rsidR="00E57B69">
        <w:rPr>
          <w:rFonts w:ascii="Verdana" w:hAnsi="Verdana"/>
          <w:sz w:val="18"/>
          <w:szCs w:val="18"/>
          <w:lang w:val="nl-NL"/>
        </w:rPr>
        <w:t xml:space="preserve"> vanaf de datum waarop het desbetreffende verdrag van Nederland met de derde staat in werking treedt</w:t>
      </w:r>
      <w:r w:rsidRPr="00BB7074" w:rsidR="002E58AB">
        <w:rPr>
          <w:rFonts w:ascii="Verdana" w:hAnsi="Verdana"/>
          <w:sz w:val="18"/>
          <w:szCs w:val="18"/>
          <w:lang w:val="nl-NL"/>
        </w:rPr>
        <w:t xml:space="preserve">. De reden daarvoor was er met name in gelegen dat het </w:t>
      </w:r>
      <w:r w:rsidR="00F52327">
        <w:rPr>
          <w:rFonts w:ascii="Verdana" w:hAnsi="Verdana"/>
          <w:sz w:val="18"/>
          <w:szCs w:val="18"/>
          <w:lang w:val="nl-NL"/>
        </w:rPr>
        <w:t>belasting</w:t>
      </w:r>
      <w:r w:rsidRPr="00BB7074" w:rsidR="002E58AB">
        <w:rPr>
          <w:rFonts w:ascii="Verdana" w:hAnsi="Verdana"/>
          <w:sz w:val="18"/>
          <w:szCs w:val="18"/>
          <w:lang w:val="nl-NL"/>
        </w:rPr>
        <w:t>verdrag tussen Nederland en Panama</w:t>
      </w:r>
      <w:r w:rsidR="00F52327">
        <w:rPr>
          <w:rStyle w:val="FootnoteReference"/>
          <w:rFonts w:ascii="Verdana" w:hAnsi="Verdana"/>
          <w:sz w:val="18"/>
          <w:szCs w:val="18"/>
          <w:lang w:val="nl-NL"/>
        </w:rPr>
        <w:footnoteReference w:id="10"/>
      </w:r>
      <w:r w:rsidRPr="00BB7074" w:rsidR="002E58AB">
        <w:rPr>
          <w:rFonts w:ascii="Verdana" w:hAnsi="Verdana"/>
          <w:sz w:val="18"/>
          <w:szCs w:val="18"/>
          <w:lang w:val="nl-NL"/>
        </w:rPr>
        <w:t xml:space="preserve"> een kortere drempeltermijn </w:t>
      </w:r>
      <w:r w:rsidRPr="00BB7074" w:rsidR="00345DD9">
        <w:rPr>
          <w:rFonts w:ascii="Verdana" w:hAnsi="Verdana"/>
          <w:sz w:val="18"/>
          <w:szCs w:val="18"/>
          <w:lang w:val="nl-NL"/>
        </w:rPr>
        <w:t>voor de diensten-vaste</w:t>
      </w:r>
      <w:r w:rsidR="002D5959">
        <w:rPr>
          <w:rFonts w:ascii="Verdana" w:hAnsi="Verdana"/>
          <w:sz w:val="18"/>
          <w:szCs w:val="18"/>
          <w:lang w:val="nl-NL"/>
        </w:rPr>
        <w:t>-</w:t>
      </w:r>
      <w:r w:rsidRPr="00BB7074" w:rsidR="00345DD9">
        <w:rPr>
          <w:rFonts w:ascii="Verdana" w:hAnsi="Verdana"/>
          <w:sz w:val="18"/>
          <w:szCs w:val="18"/>
          <w:lang w:val="nl-NL"/>
        </w:rPr>
        <w:t xml:space="preserve">inrichting </w:t>
      </w:r>
      <w:r w:rsidRPr="00BB7074" w:rsidR="002E58AB">
        <w:rPr>
          <w:rFonts w:ascii="Verdana" w:hAnsi="Verdana"/>
          <w:sz w:val="18"/>
          <w:szCs w:val="18"/>
          <w:lang w:val="nl-NL"/>
        </w:rPr>
        <w:t xml:space="preserve">kent, namelijk 90 in plaats van 183 dagen. </w:t>
      </w:r>
      <w:r w:rsidRPr="00C05CB4" w:rsidR="000B6ECF">
        <w:rPr>
          <w:rFonts w:ascii="Verdana" w:hAnsi="Verdana"/>
          <w:sz w:val="18"/>
          <w:szCs w:val="18"/>
          <w:lang w:val="nl-NL"/>
        </w:rPr>
        <w:t>Daarbij is afgesproken</w:t>
      </w:r>
      <w:r w:rsidRPr="00C05CB4" w:rsidR="002E58AB">
        <w:rPr>
          <w:rFonts w:ascii="Verdana" w:hAnsi="Verdana"/>
          <w:sz w:val="18"/>
          <w:szCs w:val="18"/>
          <w:lang w:val="nl-NL"/>
        </w:rPr>
        <w:t xml:space="preserve"> dat ook indien Nederland het verdrag met Panama in de toekomst wijzigt en in deze wijziging niet tevens de 90</w:t>
      </w:r>
      <w:r w:rsidRPr="00C05CB4" w:rsidR="00345DD9">
        <w:rPr>
          <w:rFonts w:ascii="Verdana" w:hAnsi="Verdana"/>
          <w:sz w:val="18"/>
          <w:szCs w:val="18"/>
          <w:lang w:val="nl-NL"/>
        </w:rPr>
        <w:t>-</w:t>
      </w:r>
      <w:r w:rsidRPr="00C05CB4" w:rsidR="002E58AB">
        <w:rPr>
          <w:rFonts w:ascii="Verdana" w:hAnsi="Verdana"/>
          <w:sz w:val="18"/>
          <w:szCs w:val="18"/>
          <w:lang w:val="nl-NL"/>
        </w:rPr>
        <w:t>dagengrens wordt aangepast, de drempeltermijn van 90 dagen ook zal gelden voor het verdrag met Colombia.</w:t>
      </w:r>
    </w:p>
    <w:p w:rsidRPr="00BB7074" w:rsidR="00B56A75" w:rsidP="00E36D15" w:rsidRDefault="00E36D15" w14:paraId="29FCD251" w14:textId="2C90068D">
      <w:pPr>
        <w:rPr>
          <w:rFonts w:ascii="Verdana" w:hAnsi="Verdana" w:cs="Arial"/>
          <w:bCs/>
          <w:dstrike/>
          <w:sz w:val="18"/>
          <w:szCs w:val="18"/>
          <w:lang w:val="nl-NL"/>
        </w:rPr>
      </w:pPr>
      <w:r w:rsidRPr="00BB7074">
        <w:rPr>
          <w:rFonts w:ascii="Verdana" w:hAnsi="Verdana" w:cs="Arial"/>
          <w:bCs/>
          <w:sz w:val="18"/>
          <w:szCs w:val="18"/>
          <w:lang w:val="nl-NL"/>
        </w:rPr>
        <w:t xml:space="preserve">In het vierde lid is een uitbreiding van </w:t>
      </w:r>
      <w:r w:rsidRPr="00BB7074" w:rsidR="00790C31">
        <w:rPr>
          <w:rFonts w:ascii="Verdana" w:hAnsi="Verdana" w:cs="Arial"/>
          <w:bCs/>
          <w:sz w:val="18"/>
          <w:szCs w:val="18"/>
          <w:lang w:val="nl-NL"/>
        </w:rPr>
        <w:t xml:space="preserve">de definitie van </w:t>
      </w:r>
      <w:r w:rsidRPr="00BB7074">
        <w:rPr>
          <w:rFonts w:ascii="Verdana" w:hAnsi="Verdana" w:cs="Arial"/>
          <w:bCs/>
          <w:sz w:val="18"/>
          <w:szCs w:val="18"/>
          <w:lang w:val="nl-NL"/>
        </w:rPr>
        <w:t xml:space="preserve">het begrip </w:t>
      </w:r>
      <w:r w:rsidR="006A7785">
        <w:rPr>
          <w:rFonts w:ascii="Verdana" w:hAnsi="Verdana" w:cs="Arial"/>
          <w:bCs/>
          <w:sz w:val="18"/>
          <w:szCs w:val="18"/>
          <w:lang w:val="nl-NL"/>
        </w:rPr>
        <w:t>‘vaste inrichting’ opgenomen voor ‘</w:t>
      </w:r>
      <w:r w:rsidRPr="00BB7074">
        <w:rPr>
          <w:rFonts w:ascii="Verdana" w:hAnsi="Verdana" w:cs="Arial"/>
          <w:bCs/>
          <w:sz w:val="18"/>
          <w:szCs w:val="18"/>
          <w:lang w:val="nl-NL"/>
        </w:rPr>
        <w:t>werkzaamheden buitengaats</w:t>
      </w:r>
      <w:r w:rsidR="006A7785">
        <w:rPr>
          <w:rFonts w:ascii="Verdana" w:hAnsi="Verdana" w:cs="Arial"/>
          <w:bCs/>
          <w:sz w:val="18"/>
          <w:szCs w:val="18"/>
          <w:lang w:val="nl-NL"/>
        </w:rPr>
        <w:t>’</w:t>
      </w:r>
      <w:r w:rsidRPr="00BB7074">
        <w:rPr>
          <w:rFonts w:ascii="Verdana" w:hAnsi="Verdana" w:cs="Arial"/>
          <w:bCs/>
          <w:sz w:val="18"/>
          <w:szCs w:val="18"/>
          <w:lang w:val="nl-NL"/>
        </w:rPr>
        <w:t xml:space="preserve">. De Nederlandse wet- en regelgeving biedt de mogelijkheid de winst behaald met werkzaamheden op het continentale plat te belasten indien deze werkzaamheden 30 dagen of langer in beslag nemen. Om dit nationale heffingsrecht over werkzaamheden buitengaats ook onder belastingverdragen te kunnen effectueren, wordt gestreefd naar opname van een bepaling in verdragen op grond waarvan Nederland via een uitbreiding van het begrip </w:t>
      </w:r>
      <w:r w:rsidR="006A7785">
        <w:rPr>
          <w:rFonts w:ascii="Verdana" w:hAnsi="Verdana" w:cs="Arial"/>
          <w:bCs/>
          <w:sz w:val="18"/>
          <w:szCs w:val="18"/>
          <w:lang w:val="nl-NL"/>
        </w:rPr>
        <w:t>‘vaste inrichting’</w:t>
      </w:r>
      <w:r w:rsidRPr="00BB7074">
        <w:rPr>
          <w:rFonts w:ascii="Verdana" w:hAnsi="Verdana" w:cs="Arial"/>
          <w:bCs/>
          <w:sz w:val="18"/>
          <w:szCs w:val="18"/>
          <w:lang w:val="nl-NL"/>
        </w:rPr>
        <w:t xml:space="preserve"> het heffingsrecht mag uitoefenen over de winst behaald </w:t>
      </w:r>
      <w:r w:rsidRPr="00BB7074" w:rsidR="0085790E">
        <w:rPr>
          <w:rFonts w:ascii="Verdana" w:hAnsi="Verdana" w:cs="Arial"/>
          <w:bCs/>
          <w:sz w:val="18"/>
          <w:szCs w:val="18"/>
          <w:lang w:val="nl-NL"/>
        </w:rPr>
        <w:t xml:space="preserve">met werkzaamheden buitengaats. </w:t>
      </w:r>
      <w:r w:rsidRPr="00BB7074" w:rsidR="003344DB">
        <w:rPr>
          <w:rFonts w:ascii="Verdana" w:hAnsi="Verdana" w:cs="Arial"/>
          <w:bCs/>
          <w:sz w:val="18"/>
          <w:szCs w:val="18"/>
          <w:lang w:val="nl-NL"/>
        </w:rPr>
        <w:t>Tegen deze achtergrond wordt een</w:t>
      </w:r>
      <w:r w:rsidRPr="00BB7074">
        <w:rPr>
          <w:rFonts w:ascii="Verdana" w:hAnsi="Verdana" w:cs="Arial"/>
          <w:bCs/>
          <w:sz w:val="18"/>
          <w:szCs w:val="18"/>
          <w:lang w:val="nl-NL"/>
        </w:rPr>
        <w:t xml:space="preserve"> vaste inrichting</w:t>
      </w:r>
      <w:r w:rsidRPr="00BB7074" w:rsidR="003344DB">
        <w:rPr>
          <w:rFonts w:ascii="Verdana" w:hAnsi="Verdana" w:cs="Arial"/>
          <w:bCs/>
          <w:sz w:val="18"/>
          <w:szCs w:val="18"/>
          <w:lang w:val="nl-NL"/>
        </w:rPr>
        <w:t xml:space="preserve"> aanwezig geacht</w:t>
      </w:r>
      <w:r w:rsidRPr="00BB7074">
        <w:rPr>
          <w:rFonts w:ascii="Verdana" w:hAnsi="Verdana" w:cs="Arial"/>
          <w:bCs/>
          <w:sz w:val="18"/>
          <w:szCs w:val="18"/>
          <w:lang w:val="nl-NL"/>
        </w:rPr>
        <w:t xml:space="preserve"> </w:t>
      </w:r>
      <w:r w:rsidRPr="00BB7074" w:rsidR="003344DB">
        <w:rPr>
          <w:rFonts w:ascii="Verdana" w:hAnsi="Verdana" w:cs="Arial"/>
          <w:bCs/>
          <w:sz w:val="18"/>
          <w:szCs w:val="18"/>
          <w:lang w:val="nl-NL"/>
        </w:rPr>
        <w:lastRenderedPageBreak/>
        <w:t>indien</w:t>
      </w:r>
      <w:r w:rsidRPr="00BB7074" w:rsidR="003344DB">
        <w:rPr>
          <w:rFonts w:ascii="Verdana" w:hAnsi="Verdana"/>
          <w:sz w:val="18"/>
          <w:szCs w:val="18"/>
          <w:lang w:val="nl-NL"/>
        </w:rPr>
        <w:t xml:space="preserve">, kort gezegd, </w:t>
      </w:r>
      <w:r w:rsidRPr="00BB7074" w:rsidR="003344DB">
        <w:rPr>
          <w:rFonts w:ascii="Verdana" w:hAnsi="Verdana" w:cs="Arial"/>
          <w:bCs/>
          <w:sz w:val="18"/>
          <w:szCs w:val="18"/>
          <w:lang w:val="nl-NL"/>
        </w:rPr>
        <w:t xml:space="preserve">gedurende een periode van ten minste 30 dagen (in een periode van twaalf maanden) </w:t>
      </w:r>
      <w:r w:rsidRPr="00BB7074">
        <w:rPr>
          <w:rFonts w:ascii="Verdana" w:hAnsi="Verdana" w:cs="Arial"/>
          <w:bCs/>
          <w:sz w:val="18"/>
          <w:szCs w:val="18"/>
          <w:lang w:val="nl-NL"/>
        </w:rPr>
        <w:t xml:space="preserve">werkzaamheden </w:t>
      </w:r>
      <w:r w:rsidRPr="00BB7074" w:rsidR="003344DB">
        <w:rPr>
          <w:rFonts w:ascii="Verdana" w:hAnsi="Verdana" w:cs="Arial"/>
          <w:bCs/>
          <w:sz w:val="18"/>
          <w:szCs w:val="18"/>
          <w:lang w:val="nl-NL"/>
        </w:rPr>
        <w:t xml:space="preserve">worden </w:t>
      </w:r>
      <w:r w:rsidRPr="00BB7074">
        <w:rPr>
          <w:rFonts w:ascii="Verdana" w:hAnsi="Verdana" w:cs="Arial"/>
          <w:bCs/>
          <w:sz w:val="18"/>
          <w:szCs w:val="18"/>
          <w:lang w:val="nl-NL"/>
        </w:rPr>
        <w:t xml:space="preserve">verricht in </w:t>
      </w:r>
      <w:r w:rsidRPr="00BB7074" w:rsidR="003344DB">
        <w:rPr>
          <w:rFonts w:ascii="Verdana" w:hAnsi="Verdana" w:cs="Arial"/>
          <w:bCs/>
          <w:sz w:val="18"/>
          <w:szCs w:val="18"/>
          <w:lang w:val="nl-NL"/>
        </w:rPr>
        <w:t>de territoriale zee van een verdragsluitende staat en elk gebied buiten en aansluitend aan de territoriale zee van die verdragsluitende staat waarbinnen die verdragsluitende staat krachtens internationaal recht rechtsmacht heeft of soevereine rechten mag uitoefenen</w:t>
      </w:r>
      <w:r w:rsidRPr="00BB7074">
        <w:rPr>
          <w:rFonts w:ascii="Verdana" w:hAnsi="Verdana" w:cs="Arial"/>
          <w:bCs/>
          <w:sz w:val="18"/>
          <w:szCs w:val="18"/>
          <w:lang w:val="nl-NL"/>
        </w:rPr>
        <w:t>.</w:t>
      </w:r>
      <w:r w:rsidRPr="00BB7074" w:rsidR="003344DB">
        <w:rPr>
          <w:rFonts w:ascii="Verdana" w:hAnsi="Verdana" w:cs="Arial"/>
          <w:bCs/>
          <w:sz w:val="18"/>
          <w:szCs w:val="18"/>
          <w:lang w:val="nl-NL"/>
        </w:rPr>
        <w:t xml:space="preserve"> Deze uitbreiding van het vaste-inrichtingsbegrip geldt ook voor de toepassing van artikel 14 van het Verdrag (inkomen uit dienstbetrekking).</w:t>
      </w:r>
      <w:r w:rsidRPr="00BB7074" w:rsidR="003344DB">
        <w:rPr>
          <w:rFonts w:ascii="Verdana" w:hAnsi="Verdana"/>
          <w:sz w:val="18"/>
          <w:szCs w:val="18"/>
          <w:lang w:val="nl-NL"/>
        </w:rPr>
        <w:t xml:space="preserve"> </w:t>
      </w:r>
    </w:p>
    <w:p w:rsidRPr="00BB7074" w:rsidR="0033211E" w:rsidP="00633642" w:rsidRDefault="00B56A75" w14:paraId="56EC390A" w14:textId="6A6C8976">
      <w:pPr>
        <w:rPr>
          <w:rFonts w:ascii="Verdana" w:hAnsi="Verdana" w:cs="Arial"/>
          <w:sz w:val="18"/>
          <w:szCs w:val="18"/>
          <w:lang w:val="nl-NL"/>
        </w:rPr>
      </w:pPr>
      <w:r w:rsidRPr="00BB7074">
        <w:rPr>
          <w:rFonts w:ascii="Verdana" w:hAnsi="Verdana" w:cs="Arial"/>
          <w:bCs/>
          <w:sz w:val="18"/>
          <w:szCs w:val="18"/>
          <w:lang w:val="nl-NL"/>
        </w:rPr>
        <w:t xml:space="preserve">Het vijfde lid is gebaseerd op </w:t>
      </w:r>
      <w:r w:rsidRPr="00BB7074" w:rsidR="00633642">
        <w:rPr>
          <w:rFonts w:ascii="Verdana" w:hAnsi="Verdana" w:cs="Arial"/>
          <w:bCs/>
          <w:sz w:val="18"/>
          <w:szCs w:val="18"/>
          <w:lang w:val="nl-NL"/>
        </w:rPr>
        <w:t xml:space="preserve">de uitkomsten van </w:t>
      </w:r>
      <w:r w:rsidRPr="00BB7074">
        <w:rPr>
          <w:rFonts w:ascii="Verdana" w:hAnsi="Verdana" w:cs="Arial"/>
          <w:bCs/>
          <w:sz w:val="18"/>
          <w:szCs w:val="18"/>
          <w:lang w:val="nl-NL"/>
        </w:rPr>
        <w:t>het</w:t>
      </w:r>
      <w:r w:rsidRPr="00BB7074" w:rsidR="00633642">
        <w:rPr>
          <w:rFonts w:ascii="Verdana" w:hAnsi="Verdana" w:cs="Arial"/>
          <w:bCs/>
          <w:sz w:val="18"/>
          <w:szCs w:val="18"/>
          <w:lang w:val="nl-NL"/>
        </w:rPr>
        <w:t xml:space="preserve"> BEPS-project</w:t>
      </w:r>
      <w:r w:rsidRPr="00BB7074">
        <w:rPr>
          <w:rFonts w:ascii="Verdana" w:hAnsi="Verdana" w:cs="Arial"/>
          <w:bCs/>
          <w:sz w:val="18"/>
          <w:szCs w:val="18"/>
          <w:lang w:val="nl-NL"/>
        </w:rPr>
        <w:t xml:space="preserve"> en ziet op de bepalingen </w:t>
      </w:r>
      <w:r w:rsidRPr="00BB7074" w:rsidR="0033211E">
        <w:rPr>
          <w:rFonts w:ascii="Verdana" w:hAnsi="Verdana" w:cs="Arial"/>
          <w:bCs/>
          <w:sz w:val="18"/>
          <w:szCs w:val="18"/>
          <w:lang w:val="nl-NL"/>
        </w:rPr>
        <w:t xml:space="preserve">van </w:t>
      </w:r>
      <w:r w:rsidRPr="00BB7074">
        <w:rPr>
          <w:rFonts w:ascii="Verdana" w:hAnsi="Verdana" w:cs="Arial"/>
          <w:bCs/>
          <w:sz w:val="18"/>
          <w:szCs w:val="18"/>
          <w:lang w:val="nl-NL"/>
        </w:rPr>
        <w:t>het derde en vierde lid</w:t>
      </w:r>
      <w:r w:rsidRPr="00BB7074" w:rsidR="0033211E">
        <w:rPr>
          <w:rFonts w:ascii="Verdana" w:hAnsi="Verdana" w:cs="Arial"/>
          <w:bCs/>
          <w:sz w:val="18"/>
          <w:szCs w:val="18"/>
          <w:lang w:val="nl-NL"/>
        </w:rPr>
        <w:t xml:space="preserve"> op grond waarvan</w:t>
      </w:r>
      <w:r w:rsidRPr="00BB7074">
        <w:rPr>
          <w:rFonts w:ascii="Verdana" w:hAnsi="Verdana" w:cs="Arial"/>
          <w:bCs/>
          <w:sz w:val="18"/>
          <w:szCs w:val="18"/>
          <w:lang w:val="nl-NL"/>
        </w:rPr>
        <w:t xml:space="preserve"> pas een vaste inrichting aanwezig is als de</w:t>
      </w:r>
      <w:r w:rsidRPr="00BB7074" w:rsidR="0033211E">
        <w:rPr>
          <w:rFonts w:ascii="Verdana" w:hAnsi="Verdana" w:cs="Arial"/>
          <w:bCs/>
          <w:sz w:val="18"/>
          <w:szCs w:val="18"/>
          <w:lang w:val="nl-NL"/>
        </w:rPr>
        <w:t xml:space="preserve"> duur van de</w:t>
      </w:r>
      <w:r w:rsidRPr="00BB7074">
        <w:rPr>
          <w:rFonts w:ascii="Verdana" w:hAnsi="Verdana" w:cs="Arial"/>
          <w:bCs/>
          <w:sz w:val="18"/>
          <w:szCs w:val="18"/>
          <w:lang w:val="nl-NL"/>
        </w:rPr>
        <w:t xml:space="preserve"> in deze leden genoemde werkzaamheden een bepaalde drempelperiode overschrijd</w:t>
      </w:r>
      <w:r w:rsidRPr="00BB7074" w:rsidR="0033211E">
        <w:rPr>
          <w:rFonts w:ascii="Verdana" w:hAnsi="Verdana" w:cs="Arial"/>
          <w:bCs/>
          <w:sz w:val="18"/>
          <w:szCs w:val="18"/>
          <w:lang w:val="nl-NL"/>
        </w:rPr>
        <w:t>t</w:t>
      </w:r>
      <w:r w:rsidRPr="00BB7074">
        <w:rPr>
          <w:rFonts w:ascii="Verdana" w:hAnsi="Verdana" w:cs="Arial"/>
          <w:bCs/>
          <w:sz w:val="18"/>
          <w:szCs w:val="18"/>
          <w:lang w:val="nl-NL"/>
        </w:rPr>
        <w:t xml:space="preserve">. Met het vijfde lid wordt beoogd te voorkomen dat werkzaamheden worden opgesplitst tussen nauw verbonden </w:t>
      </w:r>
      <w:r w:rsidRPr="00BB7074" w:rsidR="0033211E">
        <w:rPr>
          <w:rFonts w:ascii="Verdana" w:hAnsi="Verdana" w:cs="Arial"/>
          <w:bCs/>
          <w:sz w:val="18"/>
          <w:szCs w:val="18"/>
          <w:lang w:val="nl-NL"/>
        </w:rPr>
        <w:t xml:space="preserve">ondernemingen </w:t>
      </w:r>
      <w:r w:rsidRPr="00BB7074">
        <w:rPr>
          <w:rFonts w:ascii="Verdana" w:hAnsi="Verdana" w:cs="Arial"/>
          <w:bCs/>
          <w:sz w:val="18"/>
          <w:szCs w:val="18"/>
          <w:lang w:val="nl-NL"/>
        </w:rPr>
        <w:t>om zo per werkzaamheid onder de drempelperiode te blijven (</w:t>
      </w:r>
      <w:proofErr w:type="spellStart"/>
      <w:r w:rsidRPr="00BB7074">
        <w:rPr>
          <w:rFonts w:ascii="Verdana" w:hAnsi="Verdana" w:cs="Arial"/>
          <w:bCs/>
          <w:sz w:val="18"/>
          <w:szCs w:val="18"/>
          <w:lang w:val="nl-NL"/>
        </w:rPr>
        <w:t>antisplitsingbepaling</w:t>
      </w:r>
      <w:proofErr w:type="spellEnd"/>
      <w:r w:rsidRPr="00BB7074">
        <w:rPr>
          <w:rFonts w:ascii="Verdana" w:hAnsi="Verdana" w:cs="Arial"/>
          <w:bCs/>
          <w:sz w:val="18"/>
          <w:szCs w:val="18"/>
          <w:lang w:val="nl-NL"/>
        </w:rPr>
        <w:t>).</w:t>
      </w:r>
      <w:r w:rsidRPr="00BB7074" w:rsidR="00DA1AEF">
        <w:rPr>
          <w:rFonts w:ascii="Verdana" w:hAnsi="Verdana" w:cs="Arial"/>
          <w:bCs/>
          <w:sz w:val="18"/>
          <w:szCs w:val="18"/>
          <w:lang w:val="nl-NL"/>
        </w:rPr>
        <w:t xml:space="preserve"> </w:t>
      </w:r>
      <w:r w:rsidRPr="00BB7074" w:rsidR="0033211E">
        <w:rPr>
          <w:rFonts w:ascii="Verdana" w:hAnsi="Verdana" w:cs="Arial"/>
          <w:bCs/>
          <w:sz w:val="18"/>
          <w:szCs w:val="18"/>
          <w:lang w:val="nl-NL"/>
        </w:rPr>
        <w:t>In</w:t>
      </w:r>
      <w:r w:rsidRPr="00BB7074" w:rsidR="00DA1AEF">
        <w:rPr>
          <w:rFonts w:ascii="Verdana" w:hAnsi="Verdana" w:cs="Arial"/>
          <w:bCs/>
          <w:sz w:val="18"/>
          <w:szCs w:val="18"/>
          <w:lang w:val="nl-NL"/>
        </w:rPr>
        <w:t xml:space="preserve"> afwijking van het</w:t>
      </w:r>
      <w:r w:rsidRPr="00BB7074" w:rsidR="00C2067D">
        <w:rPr>
          <w:rFonts w:ascii="Verdana" w:hAnsi="Verdana"/>
          <w:sz w:val="18"/>
          <w:szCs w:val="18"/>
          <w:lang w:val="nl-NL"/>
        </w:rPr>
        <w:t xml:space="preserve"> </w:t>
      </w:r>
      <w:r w:rsidR="00D57B5C">
        <w:rPr>
          <w:rFonts w:ascii="Verdana" w:hAnsi="Verdana"/>
          <w:sz w:val="18"/>
          <w:szCs w:val="18"/>
          <w:lang w:val="nl-NL"/>
        </w:rPr>
        <w:t>MLI</w:t>
      </w:r>
      <w:r w:rsidRPr="00BB7074" w:rsidR="0033211E">
        <w:rPr>
          <w:rFonts w:ascii="Verdana" w:hAnsi="Verdana" w:cs="Arial"/>
          <w:bCs/>
          <w:sz w:val="18"/>
          <w:szCs w:val="18"/>
          <w:lang w:val="nl-NL"/>
        </w:rPr>
        <w:t xml:space="preserve"> </w:t>
      </w:r>
      <w:r w:rsidRPr="00BB7074" w:rsidR="00DA1AEF">
        <w:rPr>
          <w:rFonts w:ascii="Verdana" w:hAnsi="Verdana" w:cs="Arial"/>
          <w:bCs/>
          <w:sz w:val="18"/>
          <w:szCs w:val="18"/>
          <w:lang w:val="nl-NL"/>
        </w:rPr>
        <w:t xml:space="preserve">worden </w:t>
      </w:r>
      <w:r w:rsidRPr="00BB7074" w:rsidR="0033211E">
        <w:rPr>
          <w:rFonts w:ascii="Verdana" w:hAnsi="Verdana" w:cs="Arial"/>
          <w:bCs/>
          <w:sz w:val="18"/>
          <w:szCs w:val="18"/>
          <w:lang w:val="nl-NL"/>
        </w:rPr>
        <w:t xml:space="preserve">hierbij ook </w:t>
      </w:r>
      <w:r w:rsidRPr="00BB7074" w:rsidR="00DA1AEF">
        <w:rPr>
          <w:rFonts w:ascii="Verdana" w:hAnsi="Verdana" w:cs="Arial"/>
          <w:bCs/>
          <w:sz w:val="18"/>
          <w:szCs w:val="18"/>
          <w:lang w:val="nl-NL"/>
        </w:rPr>
        <w:t xml:space="preserve">periodes bij elkaar opgeteld die </w:t>
      </w:r>
      <w:r w:rsidRPr="00BB7074" w:rsidR="0033211E">
        <w:rPr>
          <w:rFonts w:ascii="Verdana" w:hAnsi="Verdana" w:cs="Arial"/>
          <w:bCs/>
          <w:sz w:val="18"/>
          <w:szCs w:val="18"/>
          <w:lang w:val="nl-NL"/>
        </w:rPr>
        <w:t xml:space="preserve">minder dan </w:t>
      </w:r>
      <w:r w:rsidRPr="00BB7074" w:rsidR="00DA1AEF">
        <w:rPr>
          <w:rFonts w:ascii="Verdana" w:hAnsi="Verdana" w:cs="Arial"/>
          <w:bCs/>
          <w:sz w:val="18"/>
          <w:szCs w:val="18"/>
          <w:lang w:val="nl-NL"/>
        </w:rPr>
        <w:t xml:space="preserve">30 dagen duren. </w:t>
      </w:r>
    </w:p>
    <w:p w:rsidRPr="00BB7074" w:rsidR="0055755F" w:rsidP="00633642" w:rsidRDefault="0055755F" w14:paraId="135116B3" w14:textId="41A25E22">
      <w:pPr>
        <w:rPr>
          <w:rFonts w:ascii="Verdana" w:hAnsi="Verdana" w:cs="Arial"/>
          <w:sz w:val="18"/>
          <w:szCs w:val="18"/>
          <w:lang w:val="nl-NL"/>
        </w:rPr>
      </w:pPr>
      <w:r w:rsidRPr="00BB7074">
        <w:rPr>
          <w:rFonts w:ascii="Verdana" w:hAnsi="Verdana" w:cs="Arial"/>
          <w:sz w:val="18"/>
          <w:szCs w:val="18"/>
          <w:lang w:val="nl-NL"/>
        </w:rPr>
        <w:t xml:space="preserve">Het zesde lid bevat een aantal situaties waarin geen vaste inrichting aanwezig wordt geacht. Het gemeenschappelijke kenmerk van deze situaties is dat het daarbij gaat om het aanhouden of gebruiken van een vaste bedrijfsinrichting waarin uitsluitend activiteiten van voorbereidende aard of met het karakter van hulpwerkzaamheid worden verricht. In de bepaling zoals deze luidde in het OESO-modelverdrag in de teksteditie van 2014 werd impliciet aangenomen dat </w:t>
      </w:r>
      <w:r w:rsidRPr="00BB7074" w:rsidR="00C2067D">
        <w:rPr>
          <w:rFonts w:ascii="Verdana" w:hAnsi="Verdana" w:cs="Arial"/>
          <w:sz w:val="18"/>
          <w:szCs w:val="18"/>
          <w:lang w:val="nl-NL"/>
        </w:rPr>
        <w:t xml:space="preserve">de </w:t>
      </w:r>
      <w:r w:rsidRPr="00BB7074">
        <w:rPr>
          <w:rFonts w:ascii="Verdana" w:hAnsi="Verdana" w:cs="Arial"/>
          <w:sz w:val="18"/>
          <w:szCs w:val="18"/>
          <w:lang w:val="nl-NL"/>
        </w:rPr>
        <w:t>beschreven activiteiten dat karakter hadden en werden deze activiteiten als zodanig</w:t>
      </w:r>
      <w:r w:rsidRPr="00BB7074" w:rsidR="00BB60FB">
        <w:rPr>
          <w:rFonts w:ascii="Verdana" w:hAnsi="Verdana" w:cs="Arial"/>
          <w:sz w:val="18"/>
          <w:szCs w:val="18"/>
          <w:lang w:val="nl-NL"/>
        </w:rPr>
        <w:t xml:space="preserve"> aangemerkt</w:t>
      </w:r>
      <w:r w:rsidRPr="00BB7074">
        <w:rPr>
          <w:rFonts w:ascii="Verdana" w:hAnsi="Verdana" w:cs="Arial"/>
          <w:sz w:val="18"/>
          <w:szCs w:val="18"/>
          <w:lang w:val="nl-NL"/>
        </w:rPr>
        <w:t xml:space="preserve">. In de nu overeengekomen bepaling, die is gebaseerd op de </w:t>
      </w:r>
      <w:r w:rsidRPr="00BB7074" w:rsidR="00742902">
        <w:rPr>
          <w:rFonts w:ascii="Verdana" w:hAnsi="Verdana" w:cs="Arial"/>
          <w:sz w:val="18"/>
          <w:szCs w:val="18"/>
          <w:lang w:val="nl-NL"/>
        </w:rPr>
        <w:t>BEPS-uitkomsten</w:t>
      </w:r>
      <w:r w:rsidRPr="00BB7074">
        <w:rPr>
          <w:rFonts w:ascii="Verdana" w:hAnsi="Verdana" w:cs="Arial"/>
          <w:sz w:val="18"/>
          <w:szCs w:val="18"/>
          <w:lang w:val="nl-NL"/>
        </w:rPr>
        <w:t>, geldt als uitdrukkelijke voorwaarde dat deze activiteiten slechts ondersteunend of voorbereidend van aard zijn.</w:t>
      </w:r>
    </w:p>
    <w:p w:rsidRPr="00BB7074" w:rsidR="0055755F" w:rsidP="0055755F" w:rsidRDefault="00633642" w14:paraId="28E094EA" w14:textId="2F7034F3">
      <w:pPr>
        <w:rPr>
          <w:rFonts w:ascii="Verdana" w:hAnsi="Verdana"/>
          <w:sz w:val="18"/>
          <w:szCs w:val="18"/>
          <w:lang w:val="nl-NL"/>
        </w:rPr>
      </w:pPr>
      <w:r w:rsidRPr="00BB7074">
        <w:rPr>
          <w:rFonts w:ascii="Verdana" w:hAnsi="Verdana"/>
          <w:sz w:val="18"/>
          <w:szCs w:val="18"/>
          <w:lang w:val="nl-NL"/>
        </w:rPr>
        <w:t xml:space="preserve">In het zevende lid zijn </w:t>
      </w:r>
      <w:r w:rsidRPr="00BB7074" w:rsidR="0055755F">
        <w:rPr>
          <w:rFonts w:ascii="Verdana" w:hAnsi="Verdana"/>
          <w:sz w:val="18"/>
          <w:szCs w:val="18"/>
          <w:lang w:val="nl-NL"/>
        </w:rPr>
        <w:t xml:space="preserve">bepalingen opgenomen om te voorkomen dat in concernverband door fragmentatie van werkzaamheden bereikt kan worden dat de activiteiten van een afzonderlijke onderneming slechts als ondersteunend of voorbereidend worden aangemerkt en dus niet als vaste inrichting kwalificeren. Daartoe worden samenhangende activiteiten van nauw verbonden ondernemingen meegeteld wanneer hetzij die ondernemingen zelf al een vaste inrichting hebben, hetzij de gezamenlijke werkzaamheden meer dan ondersteunend of voorbereidend zijn. </w:t>
      </w:r>
      <w:r w:rsidRPr="00BB7074" w:rsidR="00345DD9">
        <w:rPr>
          <w:rFonts w:ascii="Verdana" w:hAnsi="Verdana"/>
          <w:sz w:val="18"/>
          <w:szCs w:val="18"/>
          <w:lang w:val="nl-NL"/>
        </w:rPr>
        <w:t>Dit is eveneens een uitkomst van het BEPS-project.</w:t>
      </w:r>
    </w:p>
    <w:p w:rsidRPr="00BB7074" w:rsidR="00DB4B74" w:rsidP="00247437" w:rsidRDefault="00247437" w14:paraId="1219FACE" w14:textId="2EC00B45">
      <w:pPr>
        <w:rPr>
          <w:rFonts w:ascii="Verdana" w:hAnsi="Verdana" w:cs="Arial"/>
          <w:sz w:val="18"/>
          <w:szCs w:val="18"/>
          <w:lang w:val="nl-NL"/>
        </w:rPr>
      </w:pPr>
      <w:r w:rsidRPr="00BB7074">
        <w:rPr>
          <w:rFonts w:ascii="Verdana" w:hAnsi="Verdana"/>
          <w:sz w:val="18"/>
          <w:szCs w:val="18"/>
          <w:lang w:val="nl-NL"/>
        </w:rPr>
        <w:t xml:space="preserve">Het </w:t>
      </w:r>
      <w:r w:rsidRPr="00BB7074" w:rsidR="00BC2B77">
        <w:rPr>
          <w:rFonts w:ascii="Verdana" w:hAnsi="Verdana"/>
          <w:sz w:val="18"/>
          <w:szCs w:val="18"/>
          <w:lang w:val="nl-NL"/>
        </w:rPr>
        <w:t xml:space="preserve">achtste </w:t>
      </w:r>
      <w:r w:rsidRPr="00BB7074">
        <w:rPr>
          <w:rFonts w:ascii="Verdana" w:hAnsi="Verdana"/>
          <w:sz w:val="18"/>
          <w:szCs w:val="18"/>
          <w:lang w:val="nl-NL"/>
        </w:rPr>
        <w:t xml:space="preserve">en </w:t>
      </w:r>
      <w:r w:rsidRPr="00BB7074" w:rsidR="00BC2B77">
        <w:rPr>
          <w:rFonts w:ascii="Verdana" w:hAnsi="Verdana"/>
          <w:sz w:val="18"/>
          <w:szCs w:val="18"/>
          <w:lang w:val="nl-NL"/>
        </w:rPr>
        <w:t>negende</w:t>
      </w:r>
      <w:r w:rsidRPr="00BB7074">
        <w:rPr>
          <w:rFonts w:ascii="Verdana" w:hAnsi="Verdana"/>
          <w:sz w:val="18"/>
          <w:szCs w:val="18"/>
          <w:lang w:val="nl-NL"/>
        </w:rPr>
        <w:t xml:space="preserve"> lid zien op zogenoemde </w:t>
      </w:r>
      <w:proofErr w:type="spellStart"/>
      <w:r w:rsidRPr="00BB7074">
        <w:rPr>
          <w:rFonts w:ascii="Verdana" w:hAnsi="Verdana"/>
          <w:sz w:val="18"/>
          <w:szCs w:val="18"/>
          <w:lang w:val="nl-NL"/>
        </w:rPr>
        <w:t>commissionairstructuren</w:t>
      </w:r>
      <w:proofErr w:type="spellEnd"/>
      <w:r w:rsidRPr="00BB7074">
        <w:rPr>
          <w:rFonts w:ascii="Verdana" w:hAnsi="Verdana"/>
          <w:sz w:val="18"/>
          <w:szCs w:val="18"/>
          <w:lang w:val="nl-NL"/>
        </w:rPr>
        <w:t xml:space="preserve">. </w:t>
      </w:r>
      <w:r w:rsidRPr="00BB7074" w:rsidR="00F9298A">
        <w:rPr>
          <w:rFonts w:ascii="Verdana" w:hAnsi="Verdana"/>
          <w:sz w:val="18"/>
          <w:szCs w:val="18"/>
          <w:lang w:val="nl-NL"/>
        </w:rPr>
        <w:t xml:space="preserve">Het achtste lid is gebaseerd op de uitkomsten van het BEPS-project en gaat om situaties waarin een persoon – die geen onafhankelijke vertegenwoordiger is als bedoeld in het negende lid – uit de aard van zijn werkzaamheden de onderneming (principaal) in een bepaalde mate betrekt bij economische activiteiten in </w:t>
      </w:r>
      <w:r w:rsidRPr="00BB7074" w:rsidR="00345DD9">
        <w:rPr>
          <w:rFonts w:ascii="Verdana" w:hAnsi="Verdana"/>
          <w:sz w:val="18"/>
          <w:szCs w:val="18"/>
          <w:lang w:val="nl-NL"/>
        </w:rPr>
        <w:t xml:space="preserve">de </w:t>
      </w:r>
      <w:r w:rsidRPr="00BB7074" w:rsidR="00F9298A">
        <w:rPr>
          <w:rFonts w:ascii="Verdana" w:hAnsi="Verdana"/>
          <w:sz w:val="18"/>
          <w:szCs w:val="18"/>
          <w:lang w:val="nl-NL"/>
        </w:rPr>
        <w:t xml:space="preserve">betreffende </w:t>
      </w:r>
      <w:r w:rsidRPr="00BB7074" w:rsidR="00345DD9">
        <w:rPr>
          <w:rFonts w:ascii="Verdana" w:hAnsi="Verdana"/>
          <w:sz w:val="18"/>
          <w:szCs w:val="18"/>
          <w:lang w:val="nl-NL"/>
        </w:rPr>
        <w:t>verdragsluitende staat</w:t>
      </w:r>
      <w:r w:rsidRPr="00BB7074" w:rsidR="00F9298A">
        <w:rPr>
          <w:rFonts w:ascii="Verdana" w:hAnsi="Verdana"/>
          <w:sz w:val="18"/>
          <w:szCs w:val="18"/>
          <w:lang w:val="nl-NL"/>
        </w:rPr>
        <w:t xml:space="preserve">. Als een persoon gewoonlijk contracten afsluit of gewoonlijk de belangrijkste rol vervult bij het afsluiten van contracten die stelselmatig worden </w:t>
      </w:r>
      <w:r w:rsidRPr="00BB7074" w:rsidR="00F9298A">
        <w:rPr>
          <w:rFonts w:ascii="Verdana" w:hAnsi="Verdana" w:cs="Arial"/>
          <w:sz w:val="18"/>
          <w:szCs w:val="18"/>
          <w:lang w:val="nl-NL"/>
        </w:rPr>
        <w:t>afgesloten zonder materiële aanpassing door de principaal, wordt een vaste inrichting aanwezig geacht</w:t>
      </w:r>
      <w:r w:rsidRPr="00BB7074" w:rsidR="00DB4B74">
        <w:rPr>
          <w:rFonts w:ascii="Verdana" w:hAnsi="Verdana" w:cs="Arial"/>
          <w:sz w:val="18"/>
          <w:szCs w:val="18"/>
          <w:lang w:val="nl-NL"/>
        </w:rPr>
        <w:t>:</w:t>
      </w:r>
      <w:r w:rsidRPr="00BB7074" w:rsidR="00F9298A">
        <w:rPr>
          <w:rFonts w:ascii="Verdana" w:hAnsi="Verdana" w:cs="Arial"/>
          <w:sz w:val="18"/>
          <w:szCs w:val="18"/>
          <w:lang w:val="nl-NL"/>
        </w:rPr>
        <w:t xml:space="preserve"> </w:t>
      </w:r>
    </w:p>
    <w:p w:rsidRPr="00BB7074" w:rsidR="00261C58" w:rsidP="00DB2203" w:rsidRDefault="00345DD9" w14:paraId="0FE42EC3" w14:textId="0E5B35D4">
      <w:pPr>
        <w:pStyle w:val="ListParagraph"/>
        <w:numPr>
          <w:ilvl w:val="0"/>
          <w:numId w:val="22"/>
        </w:numPr>
        <w:spacing w:line="360" w:lineRule="auto"/>
        <w:ind w:left="1485" w:hanging="357"/>
        <w:rPr>
          <w:rFonts w:ascii="Verdana" w:hAnsi="Verdana" w:cs="Arial"/>
          <w:sz w:val="18"/>
          <w:szCs w:val="18"/>
        </w:rPr>
      </w:pPr>
      <w:r w:rsidRPr="00BB7074">
        <w:rPr>
          <w:rFonts w:ascii="Verdana" w:hAnsi="Verdana" w:cs="Arial"/>
          <w:sz w:val="18"/>
          <w:szCs w:val="18"/>
        </w:rPr>
        <w:t>a</w:t>
      </w:r>
      <w:r w:rsidRPr="00BB7074" w:rsidR="007346B6">
        <w:rPr>
          <w:rFonts w:ascii="Verdana" w:hAnsi="Verdana" w:cs="Arial"/>
          <w:sz w:val="18"/>
          <w:szCs w:val="18"/>
        </w:rPr>
        <w:t xml:space="preserve">ls </w:t>
      </w:r>
      <w:r w:rsidRPr="00BB7074" w:rsidR="00F9298A">
        <w:rPr>
          <w:rFonts w:ascii="Verdana" w:hAnsi="Verdana" w:cs="Arial"/>
          <w:sz w:val="18"/>
          <w:szCs w:val="18"/>
        </w:rPr>
        <w:t>de contracten op naam van de principaal worden afgesloten (onderdeel a)</w:t>
      </w:r>
      <w:r w:rsidRPr="00BB7074" w:rsidR="00DB4B74">
        <w:rPr>
          <w:rFonts w:ascii="Verdana" w:hAnsi="Verdana" w:cs="Arial"/>
          <w:sz w:val="18"/>
          <w:szCs w:val="18"/>
        </w:rPr>
        <w:t>; of</w:t>
      </w:r>
    </w:p>
    <w:p w:rsidRPr="00BB7074" w:rsidR="00DB4B74" w:rsidP="00DB2203" w:rsidRDefault="00345DD9" w14:paraId="32038984" w14:textId="5327EA23">
      <w:pPr>
        <w:pStyle w:val="ListParagraph"/>
        <w:numPr>
          <w:ilvl w:val="0"/>
          <w:numId w:val="22"/>
        </w:numPr>
        <w:spacing w:line="360" w:lineRule="auto"/>
        <w:ind w:left="1485" w:hanging="357"/>
        <w:rPr>
          <w:rFonts w:ascii="Verdana" w:hAnsi="Verdana" w:cs="Arial"/>
          <w:sz w:val="18"/>
          <w:szCs w:val="18"/>
        </w:rPr>
      </w:pPr>
      <w:r w:rsidRPr="00BB7074">
        <w:rPr>
          <w:rFonts w:ascii="Verdana" w:hAnsi="Verdana" w:cs="Arial"/>
          <w:sz w:val="18"/>
          <w:szCs w:val="18"/>
        </w:rPr>
        <w:t>b</w:t>
      </w:r>
      <w:r w:rsidRPr="00BB7074" w:rsidR="007346B6">
        <w:rPr>
          <w:rFonts w:ascii="Verdana" w:hAnsi="Verdana" w:cs="Arial"/>
          <w:sz w:val="18"/>
          <w:szCs w:val="18"/>
        </w:rPr>
        <w:t>ij</w:t>
      </w:r>
      <w:r w:rsidRPr="00BB7074" w:rsidR="008205CD">
        <w:rPr>
          <w:rFonts w:ascii="Verdana" w:hAnsi="Verdana" w:cs="Arial"/>
          <w:sz w:val="18"/>
          <w:szCs w:val="18"/>
        </w:rPr>
        <w:t xml:space="preserve"> </w:t>
      </w:r>
      <w:r w:rsidRPr="00BB7074" w:rsidR="00F9298A">
        <w:rPr>
          <w:rFonts w:ascii="Verdana" w:hAnsi="Verdana" w:cs="Arial"/>
          <w:sz w:val="18"/>
          <w:szCs w:val="18"/>
        </w:rPr>
        <w:t xml:space="preserve">eigendomsoverdracht of het verlenen van een gebruiksrecht aan een klant van goederen die aan de principaal toebehoren of waarvan de </w:t>
      </w:r>
      <w:r w:rsidRPr="00BB7074" w:rsidR="00655014">
        <w:rPr>
          <w:rFonts w:ascii="Verdana" w:hAnsi="Verdana" w:cs="Arial"/>
          <w:sz w:val="18"/>
          <w:szCs w:val="18"/>
        </w:rPr>
        <w:t xml:space="preserve">principaal </w:t>
      </w:r>
      <w:r w:rsidRPr="00BB7074" w:rsidR="00F9298A">
        <w:rPr>
          <w:rFonts w:ascii="Verdana" w:hAnsi="Verdana" w:cs="Arial"/>
          <w:sz w:val="18"/>
          <w:szCs w:val="18"/>
        </w:rPr>
        <w:t>het gebruiksrecht heeft (onderdeel b)</w:t>
      </w:r>
      <w:r w:rsidRPr="00BB7074" w:rsidR="00DB4B74">
        <w:rPr>
          <w:rFonts w:ascii="Verdana" w:hAnsi="Verdana" w:cs="Arial"/>
          <w:sz w:val="18"/>
          <w:szCs w:val="18"/>
        </w:rPr>
        <w:t>;</w:t>
      </w:r>
      <w:r w:rsidRPr="00BB7074" w:rsidR="00F9298A">
        <w:rPr>
          <w:rFonts w:ascii="Verdana" w:hAnsi="Verdana" w:cs="Arial"/>
          <w:sz w:val="18"/>
          <w:szCs w:val="18"/>
        </w:rPr>
        <w:t xml:space="preserve"> of</w:t>
      </w:r>
    </w:p>
    <w:p w:rsidRPr="00BB7074" w:rsidR="00DB4B74" w:rsidP="00DB2203" w:rsidRDefault="00345DD9" w14:paraId="60C7A017" w14:textId="51F419E2">
      <w:pPr>
        <w:pStyle w:val="ListParagraph"/>
        <w:numPr>
          <w:ilvl w:val="0"/>
          <w:numId w:val="22"/>
        </w:numPr>
        <w:spacing w:line="360" w:lineRule="auto"/>
        <w:ind w:left="1485" w:hanging="357"/>
        <w:rPr>
          <w:rFonts w:ascii="Verdana" w:hAnsi="Verdana" w:cs="Arial"/>
          <w:sz w:val="18"/>
          <w:szCs w:val="18"/>
        </w:rPr>
      </w:pPr>
      <w:r w:rsidRPr="00BB7074">
        <w:rPr>
          <w:rFonts w:ascii="Verdana" w:hAnsi="Verdana" w:cs="Arial"/>
          <w:sz w:val="18"/>
          <w:szCs w:val="18"/>
        </w:rPr>
        <w:t>b</w:t>
      </w:r>
      <w:r w:rsidRPr="00BB7074" w:rsidR="008205CD">
        <w:rPr>
          <w:rFonts w:ascii="Verdana" w:hAnsi="Verdana" w:cs="Arial"/>
          <w:sz w:val="18"/>
          <w:szCs w:val="18"/>
        </w:rPr>
        <w:t xml:space="preserve">ij </w:t>
      </w:r>
      <w:r w:rsidRPr="00BB7074" w:rsidR="00F9298A">
        <w:rPr>
          <w:rFonts w:ascii="Verdana" w:hAnsi="Verdana" w:cs="Arial"/>
          <w:sz w:val="18"/>
          <w:szCs w:val="18"/>
        </w:rPr>
        <w:t>het verstrekken van diensten aan een klant door de principaal (onderdeel c).</w:t>
      </w:r>
    </w:p>
    <w:p w:rsidRPr="00BB7074" w:rsidR="00247437" w:rsidP="00350309" w:rsidRDefault="00F9298A" w14:paraId="6BB56017" w14:textId="69F84817">
      <w:pPr>
        <w:ind w:firstLine="0"/>
        <w:rPr>
          <w:rFonts w:ascii="Verdana" w:hAnsi="Verdana" w:cs="Arial"/>
          <w:sz w:val="18"/>
          <w:szCs w:val="18"/>
          <w:lang w:val="nl-NL"/>
        </w:rPr>
      </w:pPr>
      <w:r w:rsidRPr="00BB7074">
        <w:rPr>
          <w:rFonts w:ascii="Verdana" w:hAnsi="Verdana" w:cs="Arial"/>
          <w:sz w:val="18"/>
          <w:szCs w:val="18"/>
          <w:lang w:val="nl-NL"/>
        </w:rPr>
        <w:lastRenderedPageBreak/>
        <w:t xml:space="preserve">Een vaste inrichting wordt echter niet aanwezig geacht als de activiteiten niet zouden leiden tot een vaste inrichting </w:t>
      </w:r>
      <w:r w:rsidRPr="00BB7074" w:rsidR="00765F62">
        <w:rPr>
          <w:rFonts w:ascii="Verdana" w:hAnsi="Verdana" w:cs="Arial"/>
          <w:sz w:val="18"/>
          <w:szCs w:val="18"/>
          <w:lang w:val="nl-NL"/>
        </w:rPr>
        <w:t>op grond van het zesde lid</w:t>
      </w:r>
      <w:r w:rsidRPr="00BB7074" w:rsidR="00337633">
        <w:rPr>
          <w:rFonts w:ascii="Verdana" w:hAnsi="Verdana" w:cs="Arial"/>
          <w:sz w:val="18"/>
          <w:szCs w:val="18"/>
          <w:lang w:val="nl-NL"/>
        </w:rPr>
        <w:t xml:space="preserve"> (hulp- en voorbereidingsactiviteiten)</w:t>
      </w:r>
      <w:r w:rsidRPr="00BB7074" w:rsidR="00765F62">
        <w:rPr>
          <w:rFonts w:ascii="Verdana" w:hAnsi="Verdana" w:cs="Arial"/>
          <w:sz w:val="18"/>
          <w:szCs w:val="18"/>
          <w:lang w:val="nl-NL"/>
        </w:rPr>
        <w:t xml:space="preserve">. </w:t>
      </w:r>
    </w:p>
    <w:p w:rsidRPr="00BB7074" w:rsidR="00247437" w:rsidP="00247437" w:rsidRDefault="00BC2B77" w14:paraId="28343D34" w14:textId="5F0FE79F">
      <w:pPr>
        <w:rPr>
          <w:rFonts w:ascii="Verdana" w:hAnsi="Verdana" w:cs="Arial"/>
          <w:sz w:val="18"/>
          <w:szCs w:val="18"/>
          <w:lang w:val="nl-NL"/>
        </w:rPr>
      </w:pPr>
      <w:r w:rsidRPr="00BB7074">
        <w:rPr>
          <w:rFonts w:ascii="Verdana" w:hAnsi="Verdana" w:cs="Arial"/>
          <w:sz w:val="18"/>
          <w:szCs w:val="18"/>
          <w:lang w:val="nl-NL"/>
        </w:rPr>
        <w:t>Het negende lid bevat</w:t>
      </w:r>
      <w:r w:rsidRPr="00BB7074" w:rsidR="00247437">
        <w:rPr>
          <w:rFonts w:ascii="Verdana" w:hAnsi="Verdana" w:cs="Arial"/>
          <w:sz w:val="18"/>
          <w:szCs w:val="18"/>
          <w:lang w:val="nl-NL"/>
        </w:rPr>
        <w:t xml:space="preserve"> een uitzondering op de bepaling in het </w:t>
      </w:r>
      <w:r w:rsidRPr="00BB7074">
        <w:rPr>
          <w:rFonts w:ascii="Verdana" w:hAnsi="Verdana" w:cs="Arial"/>
          <w:sz w:val="18"/>
          <w:szCs w:val="18"/>
          <w:lang w:val="nl-NL"/>
        </w:rPr>
        <w:t>achtste</w:t>
      </w:r>
      <w:r w:rsidRPr="00BB7074" w:rsidR="00247437">
        <w:rPr>
          <w:rFonts w:ascii="Verdana" w:hAnsi="Verdana" w:cs="Arial"/>
          <w:sz w:val="18"/>
          <w:szCs w:val="18"/>
          <w:lang w:val="nl-NL"/>
        </w:rPr>
        <w:t xml:space="preserve"> </w:t>
      </w:r>
      <w:r w:rsidRPr="00BB7074" w:rsidR="00345DD9">
        <w:rPr>
          <w:rFonts w:ascii="Verdana" w:hAnsi="Verdana" w:cs="Arial"/>
          <w:sz w:val="18"/>
          <w:szCs w:val="18"/>
          <w:lang w:val="nl-NL"/>
        </w:rPr>
        <w:t xml:space="preserve">lid </w:t>
      </w:r>
      <w:r w:rsidRPr="00BB7074" w:rsidR="00247437">
        <w:rPr>
          <w:rFonts w:ascii="Verdana" w:hAnsi="Verdana" w:cs="Arial"/>
          <w:sz w:val="18"/>
          <w:szCs w:val="18"/>
          <w:lang w:val="nl-NL"/>
        </w:rPr>
        <w:t xml:space="preserve">voor gevallen waarin de persoon in de andere </w:t>
      </w:r>
      <w:r w:rsidRPr="00BB7074" w:rsidR="00345DD9">
        <w:rPr>
          <w:rFonts w:ascii="Verdana" w:hAnsi="Verdana"/>
          <w:sz w:val="18"/>
          <w:szCs w:val="18"/>
          <w:lang w:val="nl-NL"/>
        </w:rPr>
        <w:t xml:space="preserve">verdragsluitende </w:t>
      </w:r>
      <w:r w:rsidRPr="00BB7074" w:rsidR="008B5BF7">
        <w:rPr>
          <w:rFonts w:ascii="Verdana" w:hAnsi="Verdana" w:cs="Arial"/>
          <w:sz w:val="18"/>
          <w:szCs w:val="18"/>
          <w:lang w:val="nl-NL"/>
        </w:rPr>
        <w:t>staat</w:t>
      </w:r>
      <w:r w:rsidRPr="00BB7074" w:rsidR="00247437">
        <w:rPr>
          <w:rFonts w:ascii="Verdana" w:hAnsi="Verdana" w:cs="Arial"/>
          <w:sz w:val="18"/>
          <w:szCs w:val="18"/>
          <w:lang w:val="nl-NL"/>
        </w:rPr>
        <w:t xml:space="preserve"> een bedrijf voert als onafhankelijke agent en handelt in de context van dat bedrijf. Van een onafhankelijke agent is </w:t>
      </w:r>
      <w:r w:rsidRPr="00BB7074" w:rsidR="00345DD9">
        <w:rPr>
          <w:rFonts w:ascii="Verdana" w:hAnsi="Verdana" w:cs="Arial"/>
          <w:sz w:val="18"/>
          <w:szCs w:val="18"/>
          <w:lang w:val="nl-NL"/>
        </w:rPr>
        <w:t xml:space="preserve">echter </w:t>
      </w:r>
      <w:r w:rsidRPr="00BB7074" w:rsidR="00247437">
        <w:rPr>
          <w:rFonts w:ascii="Verdana" w:hAnsi="Verdana" w:cs="Arial"/>
          <w:sz w:val="18"/>
          <w:szCs w:val="18"/>
          <w:lang w:val="nl-NL"/>
        </w:rPr>
        <w:t xml:space="preserve">geen sprake wanneer deze uitsluitend of vrijwel uitsluitend optreedt voor een nauw verbonden vennootschap. </w:t>
      </w:r>
    </w:p>
    <w:p w:rsidRPr="00BB7074" w:rsidR="00247437" w:rsidP="00247437" w:rsidRDefault="00BC2B77" w14:paraId="779A7687" w14:textId="28504D40">
      <w:pPr>
        <w:rPr>
          <w:rFonts w:ascii="Verdana" w:hAnsi="Verdana"/>
          <w:sz w:val="18"/>
          <w:szCs w:val="18"/>
          <w:lang w:val="nl-NL"/>
        </w:rPr>
      </w:pPr>
      <w:r w:rsidRPr="00BB7074">
        <w:rPr>
          <w:rFonts w:ascii="Verdana" w:hAnsi="Verdana"/>
          <w:sz w:val="18"/>
          <w:szCs w:val="18"/>
          <w:lang w:val="nl-NL"/>
        </w:rPr>
        <w:t>Het tiende</w:t>
      </w:r>
      <w:r w:rsidRPr="00BB7074" w:rsidR="00247437">
        <w:rPr>
          <w:rFonts w:ascii="Verdana" w:hAnsi="Verdana"/>
          <w:sz w:val="18"/>
          <w:szCs w:val="18"/>
          <w:lang w:val="nl-NL"/>
        </w:rPr>
        <w:t xml:space="preserve"> </w:t>
      </w:r>
      <w:r w:rsidRPr="00BB7074" w:rsidR="00345DD9">
        <w:rPr>
          <w:rFonts w:ascii="Verdana" w:hAnsi="Verdana"/>
          <w:sz w:val="18"/>
          <w:szCs w:val="18"/>
          <w:lang w:val="nl-NL"/>
        </w:rPr>
        <w:t xml:space="preserve">lid </w:t>
      </w:r>
      <w:r w:rsidRPr="00BB7074" w:rsidR="00247437">
        <w:rPr>
          <w:rFonts w:ascii="Verdana" w:hAnsi="Verdana"/>
          <w:sz w:val="18"/>
          <w:szCs w:val="18"/>
          <w:lang w:val="nl-NL"/>
        </w:rPr>
        <w:t xml:space="preserve">bepaalt dat de enkele omstandigheid dat een vennootschap, die inwoner is van een verdragsluitende </w:t>
      </w:r>
      <w:r w:rsidRPr="00BB7074" w:rsidR="008B5BF7">
        <w:rPr>
          <w:rFonts w:ascii="Verdana" w:hAnsi="Verdana"/>
          <w:sz w:val="18"/>
          <w:szCs w:val="18"/>
          <w:lang w:val="nl-NL"/>
        </w:rPr>
        <w:t>staat</w:t>
      </w:r>
      <w:r w:rsidRPr="00BB7074" w:rsidR="00247437">
        <w:rPr>
          <w:rFonts w:ascii="Verdana" w:hAnsi="Verdana"/>
          <w:sz w:val="18"/>
          <w:szCs w:val="18"/>
          <w:lang w:val="nl-NL"/>
        </w:rPr>
        <w:t xml:space="preserve">, een dochtervennootschap of een moedervennootschap heeft die hetzij in de andere verdragsluitende </w:t>
      </w:r>
      <w:r w:rsidRPr="00BB7074" w:rsidR="008B5BF7">
        <w:rPr>
          <w:rFonts w:ascii="Verdana" w:hAnsi="Verdana"/>
          <w:sz w:val="18"/>
          <w:szCs w:val="18"/>
          <w:lang w:val="nl-NL"/>
        </w:rPr>
        <w:t>staat</w:t>
      </w:r>
      <w:r w:rsidRPr="00BB7074" w:rsidR="00247437">
        <w:rPr>
          <w:rFonts w:ascii="Verdana" w:hAnsi="Verdana"/>
          <w:sz w:val="18"/>
          <w:szCs w:val="18"/>
          <w:lang w:val="nl-NL"/>
        </w:rPr>
        <w:t xml:space="preserve"> is gevestigd, hetzij in die andere </w:t>
      </w:r>
      <w:r w:rsidRPr="00BB7074" w:rsidR="008B5BF7">
        <w:rPr>
          <w:rFonts w:ascii="Verdana" w:hAnsi="Verdana"/>
          <w:sz w:val="18"/>
          <w:szCs w:val="18"/>
          <w:lang w:val="nl-NL"/>
        </w:rPr>
        <w:t>staat</w:t>
      </w:r>
      <w:r w:rsidRPr="00BB7074" w:rsidR="00247437">
        <w:rPr>
          <w:rFonts w:ascii="Verdana" w:hAnsi="Verdana"/>
          <w:sz w:val="18"/>
          <w:szCs w:val="18"/>
          <w:lang w:val="nl-NL"/>
        </w:rPr>
        <w:t xml:space="preserve"> door middel van een vaste inrichting of anderszins </w:t>
      </w:r>
      <w:r w:rsidRPr="00BB7074" w:rsidR="00742902">
        <w:rPr>
          <w:rFonts w:ascii="Verdana" w:hAnsi="Verdana"/>
          <w:sz w:val="18"/>
          <w:szCs w:val="18"/>
          <w:lang w:val="nl-NL"/>
        </w:rPr>
        <w:t>zakendoet</w:t>
      </w:r>
      <w:r w:rsidRPr="00BB7074" w:rsidR="00247437">
        <w:rPr>
          <w:rFonts w:ascii="Verdana" w:hAnsi="Verdana"/>
          <w:sz w:val="18"/>
          <w:szCs w:val="18"/>
          <w:lang w:val="nl-NL"/>
        </w:rPr>
        <w:t xml:space="preserve">, niet meebrengt dat een van deze vennootschappen een vaste inrichting vormt van de andere vennootschap. </w:t>
      </w:r>
    </w:p>
    <w:p w:rsidR="0055755F" w:rsidP="0055755F" w:rsidRDefault="00633642" w14:paraId="4ABD9E36" w14:textId="303F6A37">
      <w:pPr>
        <w:rPr>
          <w:rFonts w:ascii="Verdana" w:hAnsi="Verdana"/>
          <w:sz w:val="18"/>
          <w:szCs w:val="18"/>
          <w:lang w:val="nl-NL"/>
        </w:rPr>
      </w:pPr>
      <w:r w:rsidRPr="00BB7074">
        <w:rPr>
          <w:rFonts w:ascii="Verdana" w:hAnsi="Verdana"/>
          <w:sz w:val="18"/>
          <w:szCs w:val="18"/>
          <w:lang w:val="nl-NL"/>
        </w:rPr>
        <w:t xml:space="preserve">In het elfde lid is het begrip </w:t>
      </w:r>
      <w:r w:rsidR="006A7785">
        <w:rPr>
          <w:rFonts w:ascii="Verdana" w:hAnsi="Verdana"/>
          <w:sz w:val="18"/>
          <w:szCs w:val="18"/>
          <w:lang w:val="nl-NL"/>
        </w:rPr>
        <w:t>‘</w:t>
      </w:r>
      <w:r w:rsidRPr="00BB7074">
        <w:rPr>
          <w:rFonts w:ascii="Verdana" w:hAnsi="Verdana"/>
          <w:sz w:val="18"/>
          <w:szCs w:val="18"/>
          <w:lang w:val="nl-NL"/>
        </w:rPr>
        <w:t>nauw verbonden’, zoals gebruikt in het vijfde en het zevende</w:t>
      </w:r>
      <w:r w:rsidRPr="00BB7074" w:rsidR="0055755F">
        <w:rPr>
          <w:rFonts w:ascii="Verdana" w:hAnsi="Verdana"/>
          <w:sz w:val="18"/>
          <w:szCs w:val="18"/>
          <w:lang w:val="nl-NL"/>
        </w:rPr>
        <w:t xml:space="preserve"> lid</w:t>
      </w:r>
      <w:r w:rsidRPr="00BB7074">
        <w:rPr>
          <w:rFonts w:ascii="Verdana" w:hAnsi="Verdana"/>
          <w:sz w:val="18"/>
          <w:szCs w:val="18"/>
          <w:lang w:val="nl-NL"/>
        </w:rPr>
        <w:t xml:space="preserve">, </w:t>
      </w:r>
      <w:r w:rsidRPr="00BB7074" w:rsidR="0055755F">
        <w:rPr>
          <w:rFonts w:ascii="Verdana" w:hAnsi="Verdana"/>
          <w:sz w:val="18"/>
          <w:szCs w:val="18"/>
          <w:lang w:val="nl-NL"/>
        </w:rPr>
        <w:t>gedefinieerd. Daarvan is sprake indien, gebaseerd op alle feiten en omstandigheden, de ene onderneming controle heeft over de andere, of indien beide ondernemingen onder controle staan van dezelfde persoon of onderneming. Daarvan is in elk geval sprake bij een belang van meer dan 50%</w:t>
      </w:r>
      <w:r w:rsidRPr="00BB7074" w:rsidR="00DB2203">
        <w:rPr>
          <w:rFonts w:ascii="Verdana" w:hAnsi="Verdana"/>
          <w:sz w:val="18"/>
          <w:szCs w:val="18"/>
          <w:lang w:val="nl-NL"/>
        </w:rPr>
        <w:t xml:space="preserve"> van de ene persoon of onderneming in een andere onderneming</w:t>
      </w:r>
      <w:r w:rsidRPr="00BB7074" w:rsidR="0055755F">
        <w:rPr>
          <w:rFonts w:ascii="Verdana" w:hAnsi="Verdana"/>
          <w:sz w:val="18"/>
          <w:szCs w:val="18"/>
          <w:lang w:val="nl-NL"/>
        </w:rPr>
        <w:t>.</w:t>
      </w:r>
    </w:p>
    <w:p w:rsidRPr="00BB7074" w:rsidR="005B10AE" w:rsidP="0055755F" w:rsidRDefault="005B10AE" w14:paraId="0BDA9660" w14:textId="77777777">
      <w:pPr>
        <w:rPr>
          <w:rFonts w:ascii="Verdana" w:hAnsi="Verdana"/>
          <w:sz w:val="18"/>
          <w:szCs w:val="18"/>
          <w:lang w:val="nl-NL"/>
        </w:rPr>
      </w:pPr>
    </w:p>
    <w:p w:rsidRPr="00BB7074" w:rsidR="007E2AE2" w:rsidP="00B603B8" w:rsidRDefault="00936DF5" w14:paraId="2BC1F490" w14:textId="57D87210">
      <w:pPr>
        <w:pStyle w:val="Heading2"/>
        <w:rPr>
          <w:lang w:val="nl-NL"/>
        </w:rPr>
      </w:pPr>
      <w:r w:rsidRPr="00BB7074">
        <w:rPr>
          <w:lang w:val="nl-NL"/>
        </w:rPr>
        <w:t xml:space="preserve">II.6. </w:t>
      </w:r>
      <w:r w:rsidRPr="00BB7074" w:rsidR="007E2AE2">
        <w:rPr>
          <w:lang w:val="nl-NL"/>
        </w:rPr>
        <w:t>Inkomen uit onroerende zaken</w:t>
      </w:r>
      <w:r w:rsidR="00A9054D">
        <w:rPr>
          <w:lang w:val="nl-NL"/>
        </w:rPr>
        <w:t xml:space="preserve"> (artikel 6 van het Verdrag)</w:t>
      </w:r>
    </w:p>
    <w:p w:rsidR="00A47B61" w:rsidP="00A47B61" w:rsidRDefault="00FE1F9B" w14:paraId="4FDCED24" w14:textId="384EB9F4">
      <w:pPr>
        <w:rPr>
          <w:rFonts w:ascii="Verdana" w:hAnsi="Verdana"/>
          <w:sz w:val="18"/>
          <w:szCs w:val="18"/>
          <w:lang w:val="nl-NL"/>
        </w:rPr>
      </w:pPr>
      <w:r w:rsidRPr="00BB7074">
        <w:rPr>
          <w:rFonts w:ascii="Verdana" w:hAnsi="Verdana"/>
          <w:sz w:val="18"/>
          <w:szCs w:val="18"/>
          <w:lang w:val="nl-NL"/>
        </w:rPr>
        <w:t xml:space="preserve">Artikel 6 </w:t>
      </w:r>
      <w:r w:rsidRPr="00BB7074" w:rsidR="00C16EAF">
        <w:rPr>
          <w:rFonts w:ascii="Verdana" w:hAnsi="Verdana"/>
          <w:sz w:val="18"/>
          <w:szCs w:val="18"/>
          <w:lang w:val="nl-NL"/>
        </w:rPr>
        <w:t xml:space="preserve">van het Verdrag </w:t>
      </w:r>
      <w:r w:rsidRPr="00BB7074">
        <w:rPr>
          <w:rFonts w:ascii="Verdana" w:hAnsi="Verdana"/>
          <w:sz w:val="18"/>
          <w:szCs w:val="18"/>
          <w:lang w:val="nl-NL"/>
        </w:rPr>
        <w:t xml:space="preserve">verdeelt de heffingsrechten over inkomsten uit onroerende zaken en volgt geheel de benadering in </w:t>
      </w:r>
      <w:r w:rsidR="00D154D0">
        <w:rPr>
          <w:rFonts w:ascii="Verdana" w:hAnsi="Verdana"/>
          <w:sz w:val="18"/>
          <w:szCs w:val="18"/>
          <w:lang w:val="nl-NL"/>
        </w:rPr>
        <w:t xml:space="preserve">het </w:t>
      </w:r>
      <w:r w:rsidRPr="00BB7074">
        <w:rPr>
          <w:rFonts w:ascii="Verdana" w:hAnsi="Verdana"/>
          <w:sz w:val="18"/>
          <w:szCs w:val="18"/>
          <w:lang w:val="nl-NL"/>
        </w:rPr>
        <w:t>OESO</w:t>
      </w:r>
      <w:r w:rsidRPr="00BB7074" w:rsidR="00C70480">
        <w:rPr>
          <w:rFonts w:ascii="Verdana" w:hAnsi="Verdana"/>
          <w:sz w:val="18"/>
          <w:szCs w:val="18"/>
          <w:lang w:val="nl-NL"/>
        </w:rPr>
        <w:t>-</w:t>
      </w:r>
      <w:r w:rsidRPr="00BB7074">
        <w:rPr>
          <w:rFonts w:ascii="Verdana" w:hAnsi="Verdana"/>
          <w:sz w:val="18"/>
          <w:szCs w:val="18"/>
          <w:lang w:val="nl-NL"/>
        </w:rPr>
        <w:t xml:space="preserve"> en </w:t>
      </w:r>
      <w:r w:rsidR="00D154D0">
        <w:rPr>
          <w:rFonts w:ascii="Verdana" w:hAnsi="Verdana"/>
          <w:sz w:val="18"/>
          <w:szCs w:val="18"/>
          <w:lang w:val="nl-NL"/>
        </w:rPr>
        <w:t xml:space="preserve">het </w:t>
      </w:r>
      <w:r w:rsidRPr="00BB7074">
        <w:rPr>
          <w:rFonts w:ascii="Verdana" w:hAnsi="Verdana"/>
          <w:sz w:val="18"/>
          <w:szCs w:val="18"/>
          <w:lang w:val="nl-NL"/>
        </w:rPr>
        <w:t>VN</w:t>
      </w:r>
      <w:r w:rsidRPr="00BB7074" w:rsidR="00C70480">
        <w:rPr>
          <w:rFonts w:ascii="Verdana" w:hAnsi="Verdana"/>
          <w:sz w:val="18"/>
          <w:szCs w:val="18"/>
          <w:lang w:val="nl-NL"/>
        </w:rPr>
        <w:t>-modelverdrag</w:t>
      </w:r>
      <w:r w:rsidRPr="00BB7074">
        <w:rPr>
          <w:rFonts w:ascii="Verdana" w:hAnsi="Verdana"/>
          <w:sz w:val="18"/>
          <w:szCs w:val="18"/>
          <w:lang w:val="nl-NL"/>
        </w:rPr>
        <w:t>. Het wijst de heffingsrechten toe aan de</w:t>
      </w:r>
      <w:r w:rsidRPr="00BB7074" w:rsidR="008B5BF7">
        <w:rPr>
          <w:rFonts w:ascii="Verdana" w:hAnsi="Verdana"/>
          <w:sz w:val="18"/>
          <w:szCs w:val="18"/>
          <w:lang w:val="nl-NL"/>
        </w:rPr>
        <w:t xml:space="preserve"> </w:t>
      </w:r>
      <w:r w:rsidRPr="00BB7074" w:rsidR="00C16EAF">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waarin de onroerende zaken zijn gelegen en verwijst vo</w:t>
      </w:r>
      <w:r w:rsidR="00235A92">
        <w:rPr>
          <w:rFonts w:ascii="Verdana" w:hAnsi="Verdana"/>
          <w:sz w:val="18"/>
          <w:szCs w:val="18"/>
          <w:lang w:val="nl-NL"/>
        </w:rPr>
        <w:t>or de betekenis van het begrip ‘</w:t>
      </w:r>
      <w:r w:rsidRPr="00BB7074">
        <w:rPr>
          <w:rFonts w:ascii="Verdana" w:hAnsi="Verdana"/>
          <w:sz w:val="18"/>
          <w:szCs w:val="18"/>
          <w:lang w:val="nl-NL"/>
        </w:rPr>
        <w:t xml:space="preserve">onroerende </w:t>
      </w:r>
      <w:r w:rsidR="00235A92">
        <w:rPr>
          <w:rFonts w:ascii="Verdana" w:hAnsi="Verdana"/>
          <w:sz w:val="18"/>
          <w:szCs w:val="18"/>
          <w:lang w:val="nl-NL"/>
        </w:rPr>
        <w:t>zaken’</w:t>
      </w:r>
      <w:r w:rsidRPr="00BB7074" w:rsidR="00824EDC">
        <w:rPr>
          <w:rFonts w:ascii="Verdana" w:hAnsi="Verdana"/>
          <w:sz w:val="18"/>
          <w:szCs w:val="18"/>
          <w:lang w:val="nl-NL"/>
        </w:rPr>
        <w:t xml:space="preserve"> naar</w:t>
      </w:r>
      <w:r w:rsidRPr="00BB7074">
        <w:rPr>
          <w:rFonts w:ascii="Verdana" w:hAnsi="Verdana"/>
          <w:sz w:val="18"/>
          <w:szCs w:val="18"/>
          <w:lang w:val="nl-NL"/>
        </w:rPr>
        <w:t xml:space="preserve"> de nationale wet van </w:t>
      </w:r>
      <w:r w:rsidRPr="00BB7074" w:rsidR="00C16EAF">
        <w:rPr>
          <w:rFonts w:ascii="Verdana" w:hAnsi="Verdana"/>
          <w:sz w:val="18"/>
          <w:szCs w:val="18"/>
          <w:lang w:val="nl-NL"/>
        </w:rPr>
        <w:t>die staat</w:t>
      </w:r>
      <w:r w:rsidRPr="00BB7074">
        <w:rPr>
          <w:rFonts w:ascii="Verdana" w:hAnsi="Verdana"/>
          <w:sz w:val="18"/>
          <w:szCs w:val="18"/>
          <w:lang w:val="nl-NL"/>
        </w:rPr>
        <w:t>.</w:t>
      </w:r>
    </w:p>
    <w:p w:rsidRPr="00BB7074" w:rsidR="005B10AE" w:rsidP="00A47B61" w:rsidRDefault="005B10AE" w14:paraId="3F40A699" w14:textId="77777777">
      <w:pPr>
        <w:rPr>
          <w:rFonts w:ascii="Verdana" w:hAnsi="Verdana"/>
          <w:sz w:val="18"/>
          <w:szCs w:val="18"/>
          <w:lang w:val="nl-NL"/>
        </w:rPr>
      </w:pPr>
    </w:p>
    <w:p w:rsidRPr="00BB7074" w:rsidR="007E2AE2" w:rsidP="00B603B8" w:rsidRDefault="00936DF5" w14:paraId="7FAA5B37" w14:textId="259CB052">
      <w:pPr>
        <w:pStyle w:val="Heading2"/>
        <w:rPr>
          <w:lang w:val="nl-NL"/>
        </w:rPr>
      </w:pPr>
      <w:r w:rsidRPr="00BB7074">
        <w:rPr>
          <w:lang w:val="nl-NL"/>
        </w:rPr>
        <w:t xml:space="preserve">II.7. </w:t>
      </w:r>
      <w:r w:rsidRPr="00BB7074" w:rsidR="007E2AE2">
        <w:rPr>
          <w:lang w:val="nl-NL"/>
        </w:rPr>
        <w:t>Winst uit onderneming</w:t>
      </w:r>
      <w:r w:rsidRPr="00BB7074" w:rsidR="00894D0F">
        <w:rPr>
          <w:lang w:val="nl-NL"/>
        </w:rPr>
        <w:t xml:space="preserve"> (</w:t>
      </w:r>
      <w:r w:rsidR="00A9054D">
        <w:rPr>
          <w:lang w:val="nl-NL"/>
        </w:rPr>
        <w:t xml:space="preserve">artikel 7 van het Verdrag </w:t>
      </w:r>
      <w:r w:rsidRPr="00BB7074" w:rsidR="00894D0F">
        <w:rPr>
          <w:lang w:val="nl-NL"/>
        </w:rPr>
        <w:t>en artikel VI</w:t>
      </w:r>
      <w:r w:rsidRPr="00BB7074" w:rsidR="007150DE">
        <w:rPr>
          <w:lang w:val="nl-NL"/>
        </w:rPr>
        <w:t xml:space="preserve"> van het Protocol</w:t>
      </w:r>
      <w:r w:rsidRPr="00BB7074" w:rsidR="00894D0F">
        <w:rPr>
          <w:lang w:val="nl-NL"/>
        </w:rPr>
        <w:t>)</w:t>
      </w:r>
    </w:p>
    <w:p w:rsidRPr="00BB7074" w:rsidR="00894D0F" w:rsidP="00780073" w:rsidRDefault="00894D0F" w14:paraId="2B7C6394" w14:textId="4D668172">
      <w:pPr>
        <w:ind w:firstLine="708"/>
        <w:rPr>
          <w:rFonts w:ascii="Verdana" w:hAnsi="Verdana"/>
          <w:sz w:val="18"/>
          <w:szCs w:val="18"/>
          <w:lang w:val="nl-NL"/>
        </w:rPr>
      </w:pPr>
      <w:r w:rsidRPr="00BB7074">
        <w:rPr>
          <w:rFonts w:ascii="Verdana" w:hAnsi="Verdana"/>
          <w:sz w:val="18"/>
          <w:szCs w:val="18"/>
          <w:lang w:val="nl-NL"/>
        </w:rPr>
        <w:t xml:space="preserve">Artikel 7 </w:t>
      </w:r>
      <w:r w:rsidRPr="00BB7074" w:rsidR="00C16EAF">
        <w:rPr>
          <w:rFonts w:ascii="Verdana" w:hAnsi="Verdana"/>
          <w:sz w:val="18"/>
          <w:szCs w:val="18"/>
          <w:lang w:val="nl-NL"/>
        </w:rPr>
        <w:t xml:space="preserve">van het Verdrag </w:t>
      </w:r>
      <w:r w:rsidRPr="00BB7074">
        <w:rPr>
          <w:rFonts w:ascii="Verdana" w:hAnsi="Verdana"/>
          <w:sz w:val="18"/>
          <w:szCs w:val="18"/>
          <w:lang w:val="nl-NL"/>
        </w:rPr>
        <w:t xml:space="preserve">betreft de verdeling van heffingsrechten over ondernemingswinsten. Het artikel richt zich met name op het bepalen van de winst die in grensoverschrijdende situaties is toe te rekenen aan de activiteiten die door een onderneming van de ene </w:t>
      </w:r>
      <w:r w:rsidRPr="00BB7074" w:rsidR="00C16EAF">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worden ontplooid door middel van een in de andere </w:t>
      </w:r>
      <w:r w:rsidRPr="00BB7074" w:rsidR="00C16EAF">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t>
      </w:r>
      <w:r w:rsidRPr="00BB7074" w:rsidR="00C16EAF">
        <w:rPr>
          <w:rFonts w:ascii="Verdana" w:hAnsi="Verdana"/>
          <w:sz w:val="18"/>
          <w:szCs w:val="18"/>
          <w:lang w:val="nl-NL"/>
        </w:rPr>
        <w:t xml:space="preserve">gelegen </w:t>
      </w:r>
      <w:r w:rsidRPr="00BB7074">
        <w:rPr>
          <w:rFonts w:ascii="Verdana" w:hAnsi="Verdana"/>
          <w:sz w:val="18"/>
          <w:szCs w:val="18"/>
          <w:lang w:val="nl-NL"/>
        </w:rPr>
        <w:t>vaste inrichting</w:t>
      </w:r>
      <w:r w:rsidRPr="00BB7074" w:rsidR="001C26B4">
        <w:rPr>
          <w:rFonts w:ascii="Verdana" w:hAnsi="Verdana"/>
          <w:sz w:val="18"/>
          <w:szCs w:val="18"/>
          <w:lang w:val="nl-NL"/>
        </w:rPr>
        <w:t xml:space="preserve"> (zoals gedefinieerd in artikel 5)</w:t>
      </w:r>
      <w:r w:rsidRPr="00BB7074">
        <w:rPr>
          <w:rFonts w:ascii="Verdana" w:hAnsi="Verdana"/>
          <w:sz w:val="18"/>
          <w:szCs w:val="18"/>
          <w:lang w:val="nl-NL"/>
        </w:rPr>
        <w:t xml:space="preserve">. De bepalingen zijn in overeenstemming met artikel 7 van het OESO-modelverdrag, behoudens </w:t>
      </w:r>
      <w:r w:rsidR="00A15B99">
        <w:rPr>
          <w:rFonts w:ascii="Verdana" w:hAnsi="Verdana"/>
          <w:sz w:val="18"/>
          <w:szCs w:val="18"/>
          <w:lang w:val="nl-NL"/>
        </w:rPr>
        <w:t xml:space="preserve">een aanvullende voorwaarde in het derde lid </w:t>
      </w:r>
      <w:r w:rsidR="006A628D">
        <w:rPr>
          <w:rFonts w:ascii="Verdana" w:hAnsi="Verdana"/>
          <w:sz w:val="18"/>
          <w:szCs w:val="18"/>
          <w:lang w:val="nl-NL"/>
        </w:rPr>
        <w:t xml:space="preserve">en </w:t>
      </w:r>
      <w:r w:rsidRPr="00BB7074" w:rsidR="00C16EAF">
        <w:rPr>
          <w:rFonts w:ascii="Verdana" w:hAnsi="Verdana"/>
          <w:sz w:val="18"/>
          <w:szCs w:val="18"/>
          <w:lang w:val="nl-NL"/>
        </w:rPr>
        <w:t xml:space="preserve">de </w:t>
      </w:r>
      <w:r w:rsidRPr="00BB7074">
        <w:rPr>
          <w:rFonts w:ascii="Verdana" w:hAnsi="Verdana"/>
          <w:sz w:val="18"/>
          <w:szCs w:val="18"/>
          <w:lang w:val="nl-NL"/>
        </w:rPr>
        <w:t>opname van een</w:t>
      </w:r>
      <w:r w:rsidRPr="00BB7074" w:rsidR="00FE22A7">
        <w:rPr>
          <w:rFonts w:ascii="Verdana" w:hAnsi="Verdana"/>
          <w:sz w:val="18"/>
          <w:szCs w:val="18"/>
          <w:lang w:val="nl-NL"/>
        </w:rPr>
        <w:t xml:space="preserve"> additioneel</w:t>
      </w:r>
      <w:r w:rsidRPr="00BB7074">
        <w:rPr>
          <w:rFonts w:ascii="Verdana" w:hAnsi="Verdana"/>
          <w:sz w:val="18"/>
          <w:szCs w:val="18"/>
          <w:lang w:val="nl-NL"/>
        </w:rPr>
        <w:t xml:space="preserve"> </w:t>
      </w:r>
      <w:r w:rsidRPr="00BB7074" w:rsidR="00FE22A7">
        <w:rPr>
          <w:rFonts w:ascii="Verdana" w:hAnsi="Verdana"/>
          <w:sz w:val="18"/>
          <w:szCs w:val="18"/>
          <w:lang w:val="nl-NL"/>
        </w:rPr>
        <w:t>vijfde lid</w:t>
      </w:r>
      <w:r w:rsidRPr="00BB7074">
        <w:rPr>
          <w:rFonts w:ascii="Verdana" w:hAnsi="Verdana"/>
          <w:sz w:val="18"/>
          <w:szCs w:val="18"/>
          <w:lang w:val="nl-NL"/>
        </w:rPr>
        <w:t>.</w:t>
      </w:r>
    </w:p>
    <w:p w:rsidRPr="00BB7074" w:rsidR="00FE22A7" w:rsidP="00780073" w:rsidRDefault="00FE22A7" w14:paraId="6101D4E4" w14:textId="538B40AE">
      <w:pPr>
        <w:ind w:firstLine="708"/>
        <w:rPr>
          <w:rFonts w:ascii="Verdana" w:hAnsi="Verdana"/>
          <w:sz w:val="18"/>
          <w:szCs w:val="18"/>
          <w:lang w:val="nl-NL"/>
        </w:rPr>
      </w:pPr>
      <w:r w:rsidRPr="00BB7074">
        <w:rPr>
          <w:rFonts w:ascii="Verdana" w:hAnsi="Verdana"/>
          <w:sz w:val="18"/>
          <w:szCs w:val="18"/>
          <w:lang w:val="nl-NL"/>
        </w:rPr>
        <w:t xml:space="preserve">In het eerste lid is bepaald dat de winsten van een onderneming van een </w:t>
      </w:r>
      <w:r w:rsidRPr="00BB7074" w:rsidR="00C16EAF">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slechts in die </w:t>
      </w:r>
      <w:r w:rsidRPr="00BB7074" w:rsidR="008B5BF7">
        <w:rPr>
          <w:rFonts w:ascii="Verdana" w:hAnsi="Verdana"/>
          <w:sz w:val="18"/>
          <w:szCs w:val="18"/>
          <w:lang w:val="nl-NL"/>
        </w:rPr>
        <w:t>staat</w:t>
      </w:r>
      <w:r w:rsidRPr="00BB7074">
        <w:rPr>
          <w:rFonts w:ascii="Verdana" w:hAnsi="Verdana"/>
          <w:sz w:val="18"/>
          <w:szCs w:val="18"/>
          <w:lang w:val="nl-NL"/>
        </w:rPr>
        <w:t xml:space="preserve"> belastbaar zijn, maar dat </w:t>
      </w:r>
      <w:r w:rsidRPr="00BB7074" w:rsidR="005013E4">
        <w:rPr>
          <w:rFonts w:ascii="Verdana" w:hAnsi="Verdana"/>
          <w:sz w:val="18"/>
          <w:szCs w:val="18"/>
          <w:lang w:val="nl-NL"/>
        </w:rPr>
        <w:t xml:space="preserve">ook </w:t>
      </w:r>
      <w:r w:rsidRPr="00BB7074">
        <w:rPr>
          <w:rFonts w:ascii="Verdana" w:hAnsi="Verdana"/>
          <w:sz w:val="18"/>
          <w:szCs w:val="18"/>
          <w:lang w:val="nl-NL"/>
        </w:rPr>
        <w:t xml:space="preserve">de andere </w:t>
      </w:r>
      <w:r w:rsidRPr="00BB7074" w:rsidR="00C16EAF">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de winsten van die onderneming mag belasten voor zover de winsten zijn toe te rekenen aan een vaste inrichting van die onderneming in die andere </w:t>
      </w:r>
      <w:r w:rsidRPr="00BB7074" w:rsidR="008B5BF7">
        <w:rPr>
          <w:rFonts w:ascii="Verdana" w:hAnsi="Verdana"/>
          <w:sz w:val="18"/>
          <w:szCs w:val="18"/>
          <w:lang w:val="nl-NL"/>
        </w:rPr>
        <w:t>staat</w:t>
      </w:r>
      <w:r w:rsidRPr="00BB7074">
        <w:rPr>
          <w:rFonts w:ascii="Verdana" w:hAnsi="Verdana"/>
          <w:sz w:val="18"/>
          <w:szCs w:val="18"/>
          <w:lang w:val="nl-NL"/>
        </w:rPr>
        <w:t xml:space="preserve">. </w:t>
      </w:r>
    </w:p>
    <w:p w:rsidRPr="00BB7074" w:rsidR="008B21CE" w:rsidP="00780073" w:rsidRDefault="00FE22A7" w14:paraId="61A838E1" w14:textId="600C9B6F">
      <w:pPr>
        <w:ind w:firstLine="708"/>
        <w:rPr>
          <w:rFonts w:ascii="Verdana" w:hAnsi="Verdana"/>
          <w:sz w:val="18"/>
          <w:szCs w:val="18"/>
          <w:lang w:val="nl-NL"/>
        </w:rPr>
      </w:pPr>
      <w:r w:rsidRPr="00BB7074">
        <w:rPr>
          <w:rFonts w:ascii="Verdana" w:hAnsi="Verdana"/>
          <w:sz w:val="18"/>
          <w:szCs w:val="18"/>
          <w:lang w:val="nl-NL"/>
        </w:rPr>
        <w:t xml:space="preserve">In het tweede lid is bepaald dat de winst die aan de vaste inrichting wordt toegerekend de winst is die een zelfstandig lichaam </w:t>
      </w:r>
      <w:r w:rsidRPr="00BB7074" w:rsidR="008B21CE">
        <w:rPr>
          <w:rFonts w:ascii="Verdana" w:hAnsi="Verdana"/>
          <w:sz w:val="18"/>
          <w:szCs w:val="18"/>
          <w:lang w:val="nl-NL"/>
        </w:rPr>
        <w:t>naar verwachting zou behalen</w:t>
      </w:r>
      <w:r w:rsidRPr="00BB7074" w:rsidR="00C16EAF">
        <w:rPr>
          <w:rFonts w:ascii="Verdana" w:hAnsi="Verdana"/>
          <w:sz w:val="18"/>
          <w:szCs w:val="18"/>
          <w:lang w:val="nl-NL"/>
        </w:rPr>
        <w:t>,</w:t>
      </w:r>
      <w:r w:rsidRPr="00BB7074" w:rsidR="008B21CE">
        <w:rPr>
          <w:rFonts w:ascii="Verdana" w:hAnsi="Verdana"/>
          <w:sz w:val="18"/>
          <w:szCs w:val="18"/>
          <w:lang w:val="nl-NL"/>
        </w:rPr>
        <w:t xml:space="preserve"> indien zij een afzonderlijke en onafhankelijke onderneming zou zijn die dezelfde of soortgelijke werkzaamheden zou uitoefenen onder dezelfde of soortgelijke omstandigheden, rekening houdend met de door de onderneming via de vaste inrichting en andere onderdelen van de onderneming uitgeoefende functies, gebruikte vermogensbestanddelen en genomen risico's</w:t>
      </w:r>
      <w:r w:rsidRPr="00BB7074">
        <w:rPr>
          <w:rFonts w:ascii="Verdana" w:hAnsi="Verdana"/>
          <w:sz w:val="18"/>
          <w:szCs w:val="18"/>
          <w:lang w:val="nl-NL"/>
        </w:rPr>
        <w:t>.</w:t>
      </w:r>
    </w:p>
    <w:p w:rsidRPr="00BB7074" w:rsidR="00FE22A7" w:rsidP="00780073" w:rsidRDefault="00FE22A7" w14:paraId="18793275" w14:textId="093AA1B6">
      <w:pPr>
        <w:ind w:firstLine="708"/>
        <w:rPr>
          <w:rFonts w:ascii="Verdana" w:hAnsi="Verdana"/>
          <w:sz w:val="18"/>
          <w:szCs w:val="18"/>
          <w:lang w:val="nl-NL"/>
        </w:rPr>
      </w:pPr>
      <w:r w:rsidRPr="00BB7074">
        <w:rPr>
          <w:rFonts w:ascii="Verdana" w:hAnsi="Verdana"/>
          <w:sz w:val="18"/>
          <w:szCs w:val="18"/>
          <w:lang w:val="nl-NL"/>
        </w:rPr>
        <w:lastRenderedPageBreak/>
        <w:t xml:space="preserve">In het derde lid is een symmetriebepaling opgenomen. In deze bepaling is vastgelegd dat ingeval een van de betrokken </w:t>
      </w:r>
      <w:r w:rsidRPr="00BB7074" w:rsidR="00C16EAF">
        <w:rPr>
          <w:rFonts w:ascii="Verdana" w:hAnsi="Verdana"/>
          <w:sz w:val="18"/>
          <w:szCs w:val="18"/>
          <w:lang w:val="nl-NL"/>
        </w:rPr>
        <w:t xml:space="preserve">verdragsluitende </w:t>
      </w:r>
      <w:r w:rsidRPr="00BB7074">
        <w:rPr>
          <w:rFonts w:ascii="Verdana" w:hAnsi="Verdana"/>
          <w:sz w:val="18"/>
          <w:szCs w:val="18"/>
          <w:lang w:val="nl-NL"/>
        </w:rPr>
        <w:t xml:space="preserve">staten – in overeenstemming met het tweede lid – een winstcorrectie aanbrengt ter zake van de aan een vaste inrichting toe te rekenen winst, de andere </w:t>
      </w:r>
      <w:r w:rsidRPr="00BB7074" w:rsidR="00C16EAF">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Pr>
          <w:rFonts w:ascii="Verdana" w:hAnsi="Verdana"/>
          <w:sz w:val="18"/>
          <w:szCs w:val="18"/>
          <w:lang w:val="nl-NL"/>
        </w:rPr>
        <w:t>, ter vermijding van dubbele belasting, een</w:t>
      </w:r>
      <w:r w:rsidRPr="00BB7074" w:rsidR="005013E4">
        <w:rPr>
          <w:rFonts w:ascii="Verdana" w:hAnsi="Verdana"/>
          <w:sz w:val="18"/>
          <w:szCs w:val="18"/>
          <w:lang w:val="nl-NL"/>
        </w:rPr>
        <w:t xml:space="preserve"> overeenkomstige</w:t>
      </w:r>
      <w:r w:rsidRPr="00BB7074">
        <w:rPr>
          <w:rFonts w:ascii="Verdana" w:hAnsi="Verdana"/>
          <w:sz w:val="18"/>
          <w:szCs w:val="18"/>
          <w:lang w:val="nl-NL"/>
        </w:rPr>
        <w:t xml:space="preserve"> correctie aanbrengt indien het met de correctie van het eerstbedoelde </w:t>
      </w:r>
      <w:r w:rsidRPr="00BB7074" w:rsidR="008B5BF7">
        <w:rPr>
          <w:rFonts w:ascii="Verdana" w:hAnsi="Verdana"/>
          <w:sz w:val="18"/>
          <w:szCs w:val="18"/>
          <w:lang w:val="nl-NL"/>
        </w:rPr>
        <w:t>staat</w:t>
      </w:r>
      <w:r w:rsidRPr="00BB7074">
        <w:rPr>
          <w:rFonts w:ascii="Verdana" w:hAnsi="Verdana"/>
          <w:sz w:val="18"/>
          <w:szCs w:val="18"/>
          <w:lang w:val="nl-NL"/>
        </w:rPr>
        <w:t xml:space="preserve"> instemt.</w:t>
      </w:r>
      <w:r w:rsidRPr="00BB7074" w:rsidR="00F9298A">
        <w:rPr>
          <w:rFonts w:ascii="Verdana" w:hAnsi="Verdana"/>
          <w:sz w:val="18"/>
          <w:szCs w:val="18"/>
          <w:lang w:val="nl-NL"/>
        </w:rPr>
        <w:t xml:space="preserve"> Hieraan is de voorwaarde verbonden dat </w:t>
      </w:r>
      <w:r w:rsidRPr="00BB7074" w:rsidR="00C16EAF">
        <w:rPr>
          <w:rFonts w:ascii="Verdana" w:hAnsi="Verdana"/>
          <w:sz w:val="18"/>
          <w:szCs w:val="18"/>
          <w:lang w:val="nl-NL"/>
        </w:rPr>
        <w:t>de verdragsluitende staat die</w:t>
      </w:r>
      <w:r w:rsidRPr="00BB7074" w:rsidR="00F9298A">
        <w:rPr>
          <w:rFonts w:ascii="Verdana" w:hAnsi="Verdana"/>
          <w:sz w:val="18"/>
          <w:szCs w:val="18"/>
          <w:lang w:val="nl-NL"/>
        </w:rPr>
        <w:t xml:space="preserve"> de corresponderende </w:t>
      </w:r>
      <w:r w:rsidRPr="00BB7074" w:rsidR="00DA6F10">
        <w:rPr>
          <w:rFonts w:ascii="Verdana" w:hAnsi="Verdana"/>
          <w:sz w:val="18"/>
          <w:szCs w:val="18"/>
          <w:lang w:val="nl-NL"/>
        </w:rPr>
        <w:t>correctie aanbrengt</w:t>
      </w:r>
      <w:r w:rsidRPr="00BB7074" w:rsidR="00F9298A">
        <w:rPr>
          <w:rFonts w:ascii="Verdana" w:hAnsi="Verdana"/>
          <w:sz w:val="18"/>
          <w:szCs w:val="18"/>
          <w:lang w:val="nl-NL"/>
        </w:rPr>
        <w:t xml:space="preserve"> binnen zeven jaar na afloop van het boekjaar waar de </w:t>
      </w:r>
      <w:r w:rsidRPr="00BB7074" w:rsidR="00DA6F10">
        <w:rPr>
          <w:rFonts w:ascii="Verdana" w:hAnsi="Verdana"/>
          <w:sz w:val="18"/>
          <w:szCs w:val="18"/>
          <w:lang w:val="nl-NL"/>
        </w:rPr>
        <w:t>correctie</w:t>
      </w:r>
      <w:r w:rsidRPr="00BB7074" w:rsidR="00F9298A">
        <w:rPr>
          <w:rFonts w:ascii="Verdana" w:hAnsi="Verdana"/>
          <w:sz w:val="18"/>
          <w:szCs w:val="18"/>
          <w:lang w:val="nl-NL"/>
        </w:rPr>
        <w:t xml:space="preserve"> op ziet </w:t>
      </w:r>
      <w:r w:rsidRPr="00BB7074" w:rsidR="00DA6F10">
        <w:rPr>
          <w:rFonts w:ascii="Verdana" w:hAnsi="Verdana"/>
          <w:sz w:val="18"/>
          <w:szCs w:val="18"/>
          <w:lang w:val="nl-NL"/>
        </w:rPr>
        <w:t>moet zijn geï</w:t>
      </w:r>
      <w:r w:rsidRPr="00BB7074" w:rsidR="00F9298A">
        <w:rPr>
          <w:rFonts w:ascii="Verdana" w:hAnsi="Verdana"/>
          <w:sz w:val="18"/>
          <w:szCs w:val="18"/>
          <w:lang w:val="nl-NL"/>
        </w:rPr>
        <w:t xml:space="preserve">nformeerd over de </w:t>
      </w:r>
      <w:r w:rsidRPr="00BB7074" w:rsidR="00DA6F10">
        <w:rPr>
          <w:rFonts w:ascii="Verdana" w:hAnsi="Verdana"/>
          <w:sz w:val="18"/>
          <w:szCs w:val="18"/>
          <w:lang w:val="nl-NL"/>
        </w:rPr>
        <w:t xml:space="preserve">correctie in </w:t>
      </w:r>
      <w:r w:rsidRPr="00BB7074" w:rsidR="00C16EAF">
        <w:rPr>
          <w:rFonts w:ascii="Verdana" w:hAnsi="Verdana"/>
          <w:sz w:val="18"/>
          <w:szCs w:val="18"/>
          <w:lang w:val="nl-NL"/>
        </w:rPr>
        <w:t xml:space="preserve">de </w:t>
      </w:r>
      <w:r w:rsidRPr="00BB7074" w:rsidR="00DA6F10">
        <w:rPr>
          <w:rFonts w:ascii="Verdana" w:hAnsi="Verdana"/>
          <w:sz w:val="18"/>
          <w:szCs w:val="18"/>
          <w:lang w:val="nl-NL"/>
        </w:rPr>
        <w:t xml:space="preserve">andere </w:t>
      </w:r>
      <w:r w:rsidRPr="00BB7074" w:rsidR="00C16EAF">
        <w:rPr>
          <w:rFonts w:ascii="Verdana" w:hAnsi="Verdana"/>
          <w:sz w:val="18"/>
          <w:szCs w:val="18"/>
          <w:lang w:val="nl-NL"/>
        </w:rPr>
        <w:t>verdragsluitende staat</w:t>
      </w:r>
      <w:r w:rsidRPr="00BB7074" w:rsidR="00F9298A">
        <w:rPr>
          <w:rFonts w:ascii="Verdana" w:hAnsi="Verdana"/>
          <w:sz w:val="18"/>
          <w:szCs w:val="18"/>
          <w:lang w:val="nl-NL"/>
        </w:rPr>
        <w:t>.</w:t>
      </w:r>
      <w:r w:rsidRPr="00BB7074">
        <w:rPr>
          <w:rFonts w:ascii="Verdana" w:hAnsi="Verdana"/>
          <w:sz w:val="18"/>
          <w:szCs w:val="18"/>
          <w:lang w:val="nl-NL"/>
        </w:rPr>
        <w:t xml:space="preserve"> Bij het ontbreken van een overeenstemming over een winstcorrectie, zullen staten in onderling overleg de daaruit voortvloeiende dubbele belasting vermijden. </w:t>
      </w:r>
    </w:p>
    <w:p w:rsidRPr="00BB7074" w:rsidR="00FE22A7" w:rsidP="00780073" w:rsidRDefault="00FE22A7" w14:paraId="698358BC" w14:textId="0DD894E5">
      <w:pPr>
        <w:ind w:firstLine="708"/>
        <w:rPr>
          <w:rFonts w:ascii="Verdana" w:hAnsi="Verdana"/>
          <w:sz w:val="18"/>
          <w:szCs w:val="18"/>
          <w:lang w:val="nl-NL"/>
        </w:rPr>
      </w:pPr>
      <w:r w:rsidRPr="00BB7074">
        <w:rPr>
          <w:rFonts w:ascii="Verdana" w:hAnsi="Verdana"/>
          <w:sz w:val="18"/>
          <w:szCs w:val="18"/>
          <w:lang w:val="nl-NL"/>
        </w:rPr>
        <w:t>In het vierde lid is bepaald dat als winsten van een vaste inrichting ook onder een andere bepaling van d</w:t>
      </w:r>
      <w:r w:rsidRPr="00BB7074" w:rsidR="005013E4">
        <w:rPr>
          <w:rFonts w:ascii="Verdana" w:hAnsi="Verdana"/>
          <w:sz w:val="18"/>
          <w:szCs w:val="18"/>
          <w:lang w:val="nl-NL"/>
        </w:rPr>
        <w:t>it Verdrag</w:t>
      </w:r>
      <w:r w:rsidRPr="00BB7074">
        <w:rPr>
          <w:rFonts w:ascii="Verdana" w:hAnsi="Verdana"/>
          <w:sz w:val="18"/>
          <w:szCs w:val="18"/>
          <w:lang w:val="nl-NL"/>
        </w:rPr>
        <w:t xml:space="preserve"> vallen, de laatstbedoelde bepaling voorgaat.</w:t>
      </w:r>
    </w:p>
    <w:p w:rsidRPr="00BB7074" w:rsidR="00894D0F" w:rsidP="00FE22A7" w:rsidRDefault="00FE22A7" w14:paraId="42EF6FD0" w14:textId="57C9DE3C">
      <w:pPr>
        <w:ind w:firstLine="708"/>
        <w:rPr>
          <w:rFonts w:ascii="Verdana" w:hAnsi="Verdana"/>
          <w:sz w:val="18"/>
          <w:szCs w:val="18"/>
          <w:lang w:val="nl-NL"/>
        </w:rPr>
      </w:pPr>
      <w:r w:rsidRPr="00BB7074">
        <w:rPr>
          <w:rFonts w:ascii="Verdana" w:hAnsi="Verdana"/>
          <w:sz w:val="18"/>
          <w:szCs w:val="18"/>
          <w:lang w:val="nl-NL"/>
        </w:rPr>
        <w:t xml:space="preserve">In het vijfde lid is opgenomen dat </w:t>
      </w:r>
      <w:r w:rsidRPr="00BB7074" w:rsidR="00C16EAF">
        <w:rPr>
          <w:rFonts w:ascii="Verdana" w:hAnsi="Verdana"/>
          <w:sz w:val="18"/>
          <w:szCs w:val="18"/>
          <w:lang w:val="nl-NL"/>
        </w:rPr>
        <w:t>a</w:t>
      </w:r>
      <w:r w:rsidRPr="00BB7074">
        <w:rPr>
          <w:rFonts w:ascii="Verdana" w:hAnsi="Verdana"/>
          <w:sz w:val="18"/>
          <w:szCs w:val="18"/>
          <w:lang w:val="nl-NL"/>
        </w:rPr>
        <w:t xml:space="preserve">rtikel 7 Colombia niet belet een bronbelasting te heffen op premies voor herverzekering. </w:t>
      </w:r>
      <w:r w:rsidRPr="00BB7074" w:rsidR="005C135A">
        <w:rPr>
          <w:rFonts w:ascii="Verdana" w:hAnsi="Verdana"/>
          <w:sz w:val="18"/>
          <w:szCs w:val="18"/>
          <w:lang w:val="nl-NL"/>
        </w:rPr>
        <w:t xml:space="preserve">De achtergrond van deze bepaling is als volgt. </w:t>
      </w:r>
      <w:r w:rsidRPr="00BB7074" w:rsidR="00894D0F">
        <w:rPr>
          <w:rFonts w:ascii="Verdana" w:hAnsi="Verdana"/>
          <w:sz w:val="18"/>
          <w:szCs w:val="18"/>
          <w:lang w:val="nl-NL"/>
        </w:rPr>
        <w:t xml:space="preserve">Colombia heeft herverzekeraars uitgezonderd van het nationale </w:t>
      </w:r>
      <w:r w:rsidRPr="00BB7074" w:rsidR="005C135A">
        <w:rPr>
          <w:rFonts w:ascii="Verdana" w:hAnsi="Verdana"/>
          <w:sz w:val="18"/>
          <w:szCs w:val="18"/>
          <w:lang w:val="nl-NL"/>
        </w:rPr>
        <w:t>vaste inrichtings</w:t>
      </w:r>
      <w:r w:rsidRPr="00BB7074" w:rsidR="00894D0F">
        <w:rPr>
          <w:rFonts w:ascii="Verdana" w:hAnsi="Verdana"/>
          <w:sz w:val="18"/>
          <w:szCs w:val="18"/>
          <w:lang w:val="nl-NL"/>
        </w:rPr>
        <w:t>begrip en heeft dit vervangen door een bronbelasting</w:t>
      </w:r>
      <w:r w:rsidRPr="00BB7074" w:rsidR="005C135A">
        <w:rPr>
          <w:rFonts w:ascii="Verdana" w:hAnsi="Verdana"/>
          <w:sz w:val="18"/>
          <w:szCs w:val="18"/>
          <w:lang w:val="nl-NL"/>
        </w:rPr>
        <w:t xml:space="preserve"> van </w:t>
      </w:r>
      <w:r w:rsidRPr="00BB7074" w:rsidR="00B66550">
        <w:rPr>
          <w:rFonts w:ascii="Verdana" w:hAnsi="Verdana"/>
          <w:sz w:val="18"/>
          <w:szCs w:val="18"/>
          <w:lang w:val="nl-NL"/>
        </w:rPr>
        <w:t>(</w:t>
      </w:r>
      <w:r w:rsidR="00A15B99">
        <w:rPr>
          <w:rFonts w:ascii="Verdana" w:hAnsi="Verdana"/>
          <w:sz w:val="18"/>
          <w:szCs w:val="18"/>
          <w:lang w:val="nl-NL"/>
        </w:rPr>
        <w:t xml:space="preserve">in </w:t>
      </w:r>
      <w:r w:rsidRPr="00BB7074" w:rsidR="00B66550">
        <w:rPr>
          <w:rFonts w:ascii="Verdana" w:hAnsi="Verdana"/>
          <w:sz w:val="18"/>
          <w:szCs w:val="18"/>
          <w:lang w:val="nl-NL"/>
        </w:rPr>
        <w:t xml:space="preserve">2021) </w:t>
      </w:r>
      <w:r w:rsidRPr="00BB7074" w:rsidR="005C135A">
        <w:rPr>
          <w:rFonts w:ascii="Verdana" w:hAnsi="Verdana"/>
          <w:sz w:val="18"/>
          <w:szCs w:val="18"/>
          <w:lang w:val="nl-NL"/>
        </w:rPr>
        <w:t>1%</w:t>
      </w:r>
      <w:r w:rsidRPr="00BB7074" w:rsidR="00510B2C">
        <w:rPr>
          <w:rFonts w:ascii="Verdana" w:hAnsi="Verdana"/>
          <w:sz w:val="18"/>
          <w:szCs w:val="18"/>
          <w:lang w:val="nl-NL"/>
        </w:rPr>
        <w:t xml:space="preserve"> </w:t>
      </w:r>
      <w:r w:rsidRPr="00BB7074" w:rsidR="00894D0F">
        <w:rPr>
          <w:rFonts w:ascii="Verdana" w:hAnsi="Verdana"/>
          <w:sz w:val="18"/>
          <w:szCs w:val="18"/>
          <w:lang w:val="nl-NL"/>
        </w:rPr>
        <w:t xml:space="preserve">op het brutobedrag van de premies. </w:t>
      </w:r>
      <w:r w:rsidRPr="00BB7074" w:rsidR="005C135A">
        <w:rPr>
          <w:rFonts w:ascii="Verdana" w:hAnsi="Verdana"/>
          <w:sz w:val="18"/>
          <w:szCs w:val="18"/>
          <w:lang w:val="nl-NL"/>
        </w:rPr>
        <w:t xml:space="preserve">De delegatie van Colombia heeft voorgesteld dat Colombia een bronbelasting van ten hoogste 1% mag heffen over premies voor herverzekering. </w:t>
      </w:r>
      <w:r w:rsidRPr="00BB7074" w:rsidR="00894D0F">
        <w:rPr>
          <w:rFonts w:ascii="Verdana" w:hAnsi="Verdana"/>
          <w:sz w:val="18"/>
          <w:szCs w:val="18"/>
          <w:lang w:val="nl-NL"/>
        </w:rPr>
        <w:t xml:space="preserve">Dit is in het kader van het totaalcompromis door de Nederlandse delegatie geaccepteerd. </w:t>
      </w:r>
      <w:r w:rsidRPr="00BB7074" w:rsidR="005C135A">
        <w:rPr>
          <w:rFonts w:ascii="Verdana" w:hAnsi="Verdana"/>
          <w:sz w:val="18"/>
          <w:szCs w:val="18"/>
          <w:lang w:val="nl-NL"/>
        </w:rPr>
        <w:t xml:space="preserve">Nederland </w:t>
      </w:r>
      <w:r w:rsidRPr="00BB7074" w:rsidR="00B66550">
        <w:rPr>
          <w:rFonts w:ascii="Verdana" w:hAnsi="Verdana"/>
          <w:sz w:val="18"/>
          <w:szCs w:val="18"/>
          <w:lang w:val="nl-NL"/>
        </w:rPr>
        <w:t>is niet verplicht</w:t>
      </w:r>
      <w:r w:rsidRPr="00BB7074" w:rsidR="00894D0F">
        <w:rPr>
          <w:rFonts w:ascii="Verdana" w:hAnsi="Verdana"/>
          <w:sz w:val="18"/>
          <w:szCs w:val="18"/>
          <w:lang w:val="nl-NL"/>
        </w:rPr>
        <w:t xml:space="preserve"> </w:t>
      </w:r>
      <w:r w:rsidRPr="00BB7074" w:rsidR="00C041FF">
        <w:rPr>
          <w:rFonts w:ascii="Verdana" w:hAnsi="Verdana"/>
          <w:sz w:val="18"/>
          <w:szCs w:val="18"/>
          <w:lang w:val="nl-NL"/>
        </w:rPr>
        <w:t xml:space="preserve">verrekening </w:t>
      </w:r>
      <w:r w:rsidRPr="00BB7074" w:rsidR="00B66550">
        <w:rPr>
          <w:rFonts w:ascii="Verdana" w:hAnsi="Verdana"/>
          <w:sz w:val="18"/>
          <w:szCs w:val="18"/>
          <w:lang w:val="nl-NL"/>
        </w:rPr>
        <w:t xml:space="preserve">te </w:t>
      </w:r>
      <w:r w:rsidRPr="00BB7074" w:rsidR="005C135A">
        <w:rPr>
          <w:rFonts w:ascii="Verdana" w:hAnsi="Verdana"/>
          <w:sz w:val="18"/>
          <w:szCs w:val="18"/>
          <w:lang w:val="nl-NL"/>
        </w:rPr>
        <w:t>geven voor de Colombiaanse bron</w:t>
      </w:r>
      <w:r w:rsidRPr="00BB7074" w:rsidR="00894D0F">
        <w:rPr>
          <w:rFonts w:ascii="Verdana" w:hAnsi="Verdana"/>
          <w:sz w:val="18"/>
          <w:szCs w:val="18"/>
          <w:lang w:val="nl-NL"/>
        </w:rPr>
        <w:t>belasting</w:t>
      </w:r>
      <w:r w:rsidRPr="00BB7074" w:rsidR="005C135A">
        <w:rPr>
          <w:rFonts w:ascii="Verdana" w:hAnsi="Verdana"/>
          <w:sz w:val="18"/>
          <w:szCs w:val="18"/>
          <w:lang w:val="nl-NL"/>
        </w:rPr>
        <w:t xml:space="preserve"> op herverzekeringspremies</w:t>
      </w:r>
      <w:r w:rsidRPr="00BB7074" w:rsidR="00894D0F">
        <w:rPr>
          <w:rFonts w:ascii="Verdana" w:hAnsi="Verdana"/>
          <w:sz w:val="18"/>
          <w:szCs w:val="18"/>
          <w:lang w:val="nl-NL"/>
        </w:rPr>
        <w:t>.</w:t>
      </w:r>
      <w:r w:rsidRPr="00BB7074" w:rsidR="00893E7B">
        <w:rPr>
          <w:rFonts w:ascii="Verdana" w:hAnsi="Verdana"/>
          <w:sz w:val="18"/>
          <w:szCs w:val="18"/>
          <w:lang w:val="nl-NL"/>
        </w:rPr>
        <w:t xml:space="preserve"> Het vijfde lid moet in samenhang worden gelezen met artikel VI van het Protocol. Artikel VI van het Protocol maakt duidelijk op welke bepaling van de Colombiaanse belastingwet de (bron)belasting op verzekeringspremies in Colombia ziet.</w:t>
      </w:r>
    </w:p>
    <w:p w:rsidRPr="00BB7074" w:rsidR="00204F20" w:rsidP="00FE22A7" w:rsidRDefault="00204F20" w14:paraId="3799368C" w14:textId="6190A36C">
      <w:pPr>
        <w:ind w:firstLine="708"/>
        <w:rPr>
          <w:rFonts w:ascii="Verdana" w:hAnsi="Verdana"/>
          <w:sz w:val="18"/>
          <w:szCs w:val="18"/>
          <w:lang w:val="nl-NL"/>
        </w:rPr>
      </w:pPr>
    </w:p>
    <w:p w:rsidRPr="00BB7074" w:rsidR="007E2AE2" w:rsidP="00B603B8" w:rsidRDefault="00936DF5" w14:paraId="5589E9F0" w14:textId="072511D5">
      <w:pPr>
        <w:pStyle w:val="Heading2"/>
        <w:rPr>
          <w:lang w:val="nl-NL"/>
        </w:rPr>
      </w:pPr>
      <w:r w:rsidRPr="00BB7074">
        <w:rPr>
          <w:lang w:val="nl-NL"/>
        </w:rPr>
        <w:t xml:space="preserve">II.8. </w:t>
      </w:r>
      <w:r w:rsidRPr="00BB7074" w:rsidR="007E2AE2">
        <w:rPr>
          <w:lang w:val="nl-NL"/>
        </w:rPr>
        <w:t>International</w:t>
      </w:r>
      <w:r w:rsidRPr="00BB7074" w:rsidR="004A31DF">
        <w:rPr>
          <w:lang w:val="nl-NL"/>
        </w:rPr>
        <w:t>e</w:t>
      </w:r>
      <w:r w:rsidRPr="00BB7074" w:rsidR="007E2AE2">
        <w:rPr>
          <w:lang w:val="nl-NL"/>
        </w:rPr>
        <w:t xml:space="preserve"> </w:t>
      </w:r>
      <w:r w:rsidRPr="00BB7074" w:rsidR="007150DE">
        <w:rPr>
          <w:lang w:val="nl-NL"/>
        </w:rPr>
        <w:t>scheep</w:t>
      </w:r>
      <w:r w:rsidRPr="00BB7074" w:rsidR="007E2AE2">
        <w:rPr>
          <w:lang w:val="nl-NL"/>
        </w:rPr>
        <w:t xml:space="preserve">- en </w:t>
      </w:r>
      <w:r w:rsidRPr="00BB7074" w:rsidR="007150DE">
        <w:rPr>
          <w:lang w:val="nl-NL"/>
        </w:rPr>
        <w:t>lucht</w:t>
      </w:r>
      <w:r w:rsidRPr="00BB7074" w:rsidR="007E2AE2">
        <w:rPr>
          <w:lang w:val="nl-NL"/>
        </w:rPr>
        <w:t xml:space="preserve">vaart </w:t>
      </w:r>
      <w:r w:rsidRPr="00BB7074" w:rsidR="001E0959">
        <w:rPr>
          <w:lang w:val="nl-NL"/>
        </w:rPr>
        <w:t>(</w:t>
      </w:r>
      <w:r w:rsidR="00A9054D">
        <w:rPr>
          <w:lang w:val="nl-NL"/>
        </w:rPr>
        <w:t xml:space="preserve">artikel 8 van het Verdrag </w:t>
      </w:r>
      <w:r w:rsidRPr="00BB7074" w:rsidR="001E0959">
        <w:rPr>
          <w:lang w:val="nl-NL"/>
        </w:rPr>
        <w:t>en artikel VII van het Protocol)</w:t>
      </w:r>
    </w:p>
    <w:p w:rsidRPr="00BB7074" w:rsidR="002F0BBD" w:rsidP="00A47B61" w:rsidRDefault="005D0317" w14:paraId="156CDF65" w14:textId="4DD0AF97">
      <w:pPr>
        <w:rPr>
          <w:rFonts w:ascii="Verdana" w:hAnsi="Verdana"/>
          <w:sz w:val="18"/>
          <w:szCs w:val="18"/>
          <w:lang w:val="nl-NL"/>
        </w:rPr>
      </w:pPr>
      <w:r w:rsidRPr="00BB7074">
        <w:rPr>
          <w:rFonts w:ascii="Verdana" w:hAnsi="Verdana"/>
          <w:sz w:val="18"/>
          <w:szCs w:val="18"/>
          <w:lang w:val="nl-NL"/>
        </w:rPr>
        <w:t xml:space="preserve">Het eerste lid van </w:t>
      </w:r>
      <w:r w:rsidRPr="00BB7074" w:rsidR="00DE5083">
        <w:rPr>
          <w:rFonts w:ascii="Verdana" w:hAnsi="Verdana"/>
          <w:sz w:val="18"/>
          <w:szCs w:val="18"/>
          <w:lang w:val="nl-NL"/>
        </w:rPr>
        <w:t>a</w:t>
      </w:r>
      <w:r w:rsidRPr="00BB7074">
        <w:rPr>
          <w:rFonts w:ascii="Verdana" w:hAnsi="Verdana"/>
          <w:sz w:val="18"/>
          <w:szCs w:val="18"/>
          <w:lang w:val="nl-NL"/>
        </w:rPr>
        <w:t xml:space="preserve">rtikel 8 </w:t>
      </w:r>
      <w:r w:rsidRPr="00BB7074" w:rsidR="00DE5083">
        <w:rPr>
          <w:rFonts w:ascii="Verdana" w:hAnsi="Verdana"/>
          <w:sz w:val="18"/>
          <w:szCs w:val="18"/>
          <w:lang w:val="nl-NL"/>
        </w:rPr>
        <w:t xml:space="preserve">van het Verdrag </w:t>
      </w:r>
      <w:r w:rsidRPr="00BB7074">
        <w:rPr>
          <w:rFonts w:ascii="Verdana" w:hAnsi="Verdana"/>
          <w:sz w:val="18"/>
          <w:szCs w:val="18"/>
          <w:lang w:val="nl-NL"/>
        </w:rPr>
        <w:t xml:space="preserve">wijst het heffingsrecht over winst van </w:t>
      </w:r>
      <w:r w:rsidRPr="00BB7074" w:rsidR="00F64EC6">
        <w:rPr>
          <w:rFonts w:ascii="Verdana" w:hAnsi="Verdana"/>
          <w:sz w:val="18"/>
          <w:szCs w:val="18"/>
          <w:lang w:val="nl-NL"/>
        </w:rPr>
        <w:t>scheep</w:t>
      </w:r>
      <w:r w:rsidRPr="00BB7074">
        <w:rPr>
          <w:rFonts w:ascii="Verdana" w:hAnsi="Verdana"/>
          <w:sz w:val="18"/>
          <w:szCs w:val="18"/>
          <w:lang w:val="nl-NL"/>
        </w:rPr>
        <w:t xml:space="preserve">- en </w:t>
      </w:r>
      <w:r w:rsidRPr="00BB7074" w:rsidR="00F64EC6">
        <w:rPr>
          <w:rFonts w:ascii="Verdana" w:hAnsi="Verdana"/>
          <w:sz w:val="18"/>
          <w:szCs w:val="18"/>
          <w:lang w:val="nl-NL"/>
        </w:rPr>
        <w:t>lucht</w:t>
      </w:r>
      <w:r w:rsidRPr="00BB7074">
        <w:rPr>
          <w:rFonts w:ascii="Verdana" w:hAnsi="Verdana"/>
          <w:sz w:val="18"/>
          <w:szCs w:val="18"/>
          <w:lang w:val="nl-NL"/>
        </w:rPr>
        <w:t xml:space="preserve">vaartondernemingen in het internationale verkeer toe aan de </w:t>
      </w:r>
      <w:r w:rsidRPr="00BB7074" w:rsidR="00DE5083">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waar</w:t>
      </w:r>
      <w:r w:rsidRPr="00BB7074" w:rsidR="00DE5083">
        <w:rPr>
          <w:rFonts w:ascii="Verdana" w:hAnsi="Verdana"/>
          <w:sz w:val="18"/>
          <w:szCs w:val="18"/>
          <w:lang w:val="nl-NL"/>
        </w:rPr>
        <w:t>van</w:t>
      </w:r>
      <w:r w:rsidRPr="00BB7074">
        <w:rPr>
          <w:rFonts w:ascii="Verdana" w:hAnsi="Verdana"/>
          <w:sz w:val="18"/>
          <w:szCs w:val="18"/>
          <w:lang w:val="nl-NL"/>
        </w:rPr>
        <w:t xml:space="preserve"> de onderneming inwoner is.</w:t>
      </w:r>
      <w:r w:rsidRPr="00BB7074" w:rsidR="007E7E5A">
        <w:rPr>
          <w:rFonts w:ascii="Verdana" w:hAnsi="Verdana"/>
          <w:sz w:val="18"/>
          <w:szCs w:val="18"/>
          <w:lang w:val="nl-NL"/>
        </w:rPr>
        <w:t xml:space="preserve"> </w:t>
      </w:r>
    </w:p>
    <w:p w:rsidRPr="00BB7074" w:rsidR="007E7E5A" w:rsidP="00A47B61" w:rsidRDefault="007E7E5A" w14:paraId="5DA2B0D7" w14:textId="64213572">
      <w:pPr>
        <w:rPr>
          <w:rFonts w:ascii="Verdana" w:hAnsi="Verdana"/>
          <w:sz w:val="18"/>
          <w:szCs w:val="18"/>
          <w:lang w:val="nl-NL"/>
        </w:rPr>
      </w:pPr>
      <w:r w:rsidRPr="00BB7074">
        <w:rPr>
          <w:rFonts w:ascii="Verdana" w:hAnsi="Verdana"/>
          <w:sz w:val="18"/>
          <w:szCs w:val="18"/>
          <w:lang w:val="nl-NL"/>
        </w:rPr>
        <w:t>Het tweede lid is op verzoek van de Colombiaanse delegatie opgenomen</w:t>
      </w:r>
      <w:r w:rsidR="0021264F">
        <w:rPr>
          <w:rFonts w:ascii="Verdana" w:hAnsi="Verdana"/>
          <w:sz w:val="18"/>
          <w:szCs w:val="18"/>
          <w:lang w:val="nl-NL"/>
        </w:rPr>
        <w:t xml:space="preserve"> en is in lijn met het OESO-commentaar bij artikel 8</w:t>
      </w:r>
      <w:r w:rsidRPr="00BB7074">
        <w:rPr>
          <w:rFonts w:ascii="Verdana" w:hAnsi="Verdana"/>
          <w:sz w:val="18"/>
          <w:szCs w:val="18"/>
          <w:lang w:val="nl-NL"/>
        </w:rPr>
        <w:t>. Onderdeel a is min of meer een toelichting op het eerste lid en in onderdeel b wordt bepaald dat de voordelen uit verhuur van schepen, vliegtuigen of containers eveneens onder de werking van artikel 8 vallen (en niet onder artikel 7), voor zover deze verhuur ondergeschikt is (‘</w:t>
      </w:r>
      <w:proofErr w:type="spellStart"/>
      <w:r w:rsidRPr="003A025B">
        <w:rPr>
          <w:rFonts w:ascii="Verdana" w:hAnsi="Verdana"/>
          <w:i/>
          <w:sz w:val="18"/>
          <w:szCs w:val="18"/>
          <w:lang w:val="nl-NL"/>
        </w:rPr>
        <w:t>ancillary</w:t>
      </w:r>
      <w:proofErr w:type="spellEnd"/>
      <w:r w:rsidRPr="003A025B">
        <w:rPr>
          <w:rFonts w:ascii="Verdana" w:hAnsi="Verdana"/>
          <w:i/>
          <w:sz w:val="18"/>
          <w:szCs w:val="18"/>
          <w:lang w:val="nl-NL"/>
        </w:rPr>
        <w:t>’</w:t>
      </w:r>
      <w:r w:rsidRPr="00BB7074">
        <w:rPr>
          <w:rFonts w:ascii="Verdana" w:hAnsi="Verdana"/>
          <w:sz w:val="18"/>
          <w:szCs w:val="18"/>
          <w:lang w:val="nl-NL"/>
        </w:rPr>
        <w:t>) aan de overige activiteiten van de betreffende onderneming.</w:t>
      </w:r>
    </w:p>
    <w:p w:rsidRPr="00BB7074" w:rsidR="007E7E5A" w:rsidP="00A47B61" w:rsidRDefault="007E7E5A" w14:paraId="7EB20291" w14:textId="5BC7E0E0">
      <w:pPr>
        <w:rPr>
          <w:rFonts w:ascii="Verdana" w:hAnsi="Verdana"/>
          <w:sz w:val="18"/>
          <w:szCs w:val="18"/>
          <w:lang w:val="nl-NL"/>
        </w:rPr>
      </w:pPr>
      <w:r w:rsidRPr="00BB7074">
        <w:rPr>
          <w:rFonts w:ascii="Verdana" w:hAnsi="Verdana"/>
          <w:sz w:val="18"/>
          <w:szCs w:val="18"/>
          <w:lang w:val="nl-NL"/>
        </w:rPr>
        <w:t>Het derde lid is, net als het eerste lid, overgenomen uit het OESO</w:t>
      </w:r>
      <w:r w:rsidRPr="00BB7074" w:rsidR="00C70480">
        <w:rPr>
          <w:rFonts w:ascii="Verdana" w:hAnsi="Verdana"/>
          <w:sz w:val="18"/>
          <w:szCs w:val="18"/>
          <w:lang w:val="nl-NL"/>
        </w:rPr>
        <w:t>-</w:t>
      </w:r>
      <w:r w:rsidRPr="00BB7074">
        <w:rPr>
          <w:rFonts w:ascii="Verdana" w:hAnsi="Verdana"/>
          <w:sz w:val="18"/>
          <w:szCs w:val="18"/>
          <w:lang w:val="nl-NL"/>
        </w:rPr>
        <w:t xml:space="preserve"> en VN</w:t>
      </w:r>
      <w:r w:rsidRPr="00BB7074" w:rsidR="00C70480">
        <w:rPr>
          <w:rFonts w:ascii="Verdana" w:hAnsi="Verdana"/>
          <w:sz w:val="18"/>
          <w:szCs w:val="18"/>
          <w:lang w:val="nl-NL"/>
        </w:rPr>
        <w:t>-modelverdrag</w:t>
      </w:r>
      <w:r w:rsidRPr="00BB7074">
        <w:rPr>
          <w:rFonts w:ascii="Verdana" w:hAnsi="Verdana"/>
          <w:sz w:val="18"/>
          <w:szCs w:val="18"/>
          <w:lang w:val="nl-NL"/>
        </w:rPr>
        <w:t xml:space="preserve">. </w:t>
      </w:r>
    </w:p>
    <w:p w:rsidRPr="00BB7074" w:rsidR="00E12863" w:rsidP="00A47B61" w:rsidRDefault="00E12863" w14:paraId="505DFECE" w14:textId="62EC24E2">
      <w:pPr>
        <w:rPr>
          <w:rFonts w:ascii="Verdana" w:hAnsi="Verdana"/>
          <w:sz w:val="18"/>
          <w:szCs w:val="18"/>
          <w:lang w:val="nl-NL"/>
        </w:rPr>
      </w:pPr>
      <w:r w:rsidRPr="00BB7074">
        <w:rPr>
          <w:rFonts w:ascii="Verdana" w:hAnsi="Verdana"/>
          <w:sz w:val="18"/>
          <w:szCs w:val="18"/>
          <w:lang w:val="nl-NL"/>
        </w:rPr>
        <w:t xml:space="preserve">In </w:t>
      </w:r>
      <w:r w:rsidRPr="00BB7074" w:rsidR="00DE5083">
        <w:rPr>
          <w:rFonts w:ascii="Verdana" w:hAnsi="Verdana"/>
          <w:sz w:val="18"/>
          <w:szCs w:val="18"/>
          <w:lang w:val="nl-NL"/>
        </w:rPr>
        <w:t>a</w:t>
      </w:r>
      <w:r w:rsidRPr="00BB7074">
        <w:rPr>
          <w:rFonts w:ascii="Verdana" w:hAnsi="Verdana"/>
          <w:sz w:val="18"/>
          <w:szCs w:val="18"/>
          <w:lang w:val="nl-NL"/>
        </w:rPr>
        <w:t xml:space="preserve">rtikel VII van het Protocol is vastgelegd dat </w:t>
      </w:r>
      <w:r w:rsidRPr="00BB7074" w:rsidR="002A534B">
        <w:rPr>
          <w:rFonts w:ascii="Verdana" w:hAnsi="Verdana"/>
          <w:sz w:val="18"/>
          <w:szCs w:val="18"/>
          <w:lang w:val="nl-NL"/>
        </w:rPr>
        <w:t>a</w:t>
      </w:r>
      <w:r w:rsidRPr="00BB7074">
        <w:rPr>
          <w:rFonts w:ascii="Verdana" w:hAnsi="Verdana"/>
          <w:sz w:val="18"/>
          <w:szCs w:val="18"/>
          <w:lang w:val="nl-NL"/>
        </w:rPr>
        <w:t xml:space="preserve">rtikel 8 van het Verdrag ook van toepassing is op </w:t>
      </w:r>
      <w:r w:rsidRPr="00BB7074" w:rsidR="00B66550">
        <w:rPr>
          <w:rFonts w:ascii="Verdana" w:hAnsi="Verdana"/>
          <w:sz w:val="18"/>
          <w:szCs w:val="18"/>
          <w:lang w:val="nl-NL"/>
        </w:rPr>
        <w:t xml:space="preserve">belastingen naar het inkomen </w:t>
      </w:r>
      <w:r w:rsidRPr="00BB7074">
        <w:rPr>
          <w:rFonts w:ascii="Verdana" w:hAnsi="Verdana"/>
          <w:sz w:val="18"/>
          <w:szCs w:val="18"/>
          <w:lang w:val="nl-NL"/>
        </w:rPr>
        <w:t>die gebaseerd worden op bruto</w:t>
      </w:r>
      <w:r w:rsidRPr="00BB7074" w:rsidR="00DE5083">
        <w:rPr>
          <w:rFonts w:ascii="Verdana" w:hAnsi="Verdana"/>
          <w:sz w:val="18"/>
          <w:szCs w:val="18"/>
          <w:lang w:val="nl-NL"/>
        </w:rPr>
        <w:t>-</w:t>
      </w:r>
      <w:r w:rsidRPr="00BB7074">
        <w:rPr>
          <w:rFonts w:ascii="Verdana" w:hAnsi="Verdana"/>
          <w:sz w:val="18"/>
          <w:szCs w:val="18"/>
          <w:lang w:val="nl-NL"/>
        </w:rPr>
        <w:t>omzet uit internationaal transport van goederen en passagiers</w:t>
      </w:r>
      <w:r w:rsidRPr="00BB7074" w:rsidR="00093539">
        <w:rPr>
          <w:rFonts w:ascii="Verdana" w:hAnsi="Verdana"/>
          <w:sz w:val="18"/>
          <w:szCs w:val="18"/>
          <w:lang w:val="nl-NL"/>
        </w:rPr>
        <w:t xml:space="preserve"> (conform paragraaf 2.6.5 van de NFV 2011)</w:t>
      </w:r>
      <w:r w:rsidRPr="00BB7074">
        <w:rPr>
          <w:rFonts w:ascii="Verdana" w:hAnsi="Verdana"/>
          <w:sz w:val="18"/>
          <w:szCs w:val="18"/>
          <w:lang w:val="nl-NL"/>
        </w:rPr>
        <w:t>.</w:t>
      </w:r>
      <w:r w:rsidRPr="00BB7074" w:rsidR="008205CD">
        <w:rPr>
          <w:rFonts w:ascii="Verdana" w:hAnsi="Verdana"/>
          <w:sz w:val="18"/>
          <w:szCs w:val="18"/>
          <w:lang w:val="nl-NL"/>
        </w:rPr>
        <w:t xml:space="preserve"> Dit om te voorkomen dat anders dubbele belasting zou ontstaan.</w:t>
      </w:r>
    </w:p>
    <w:p w:rsidRPr="00BB7074" w:rsidR="00B66550" w:rsidP="00A47B61" w:rsidRDefault="00B66550" w14:paraId="2AEA5DD1" w14:textId="77777777">
      <w:pPr>
        <w:rPr>
          <w:rFonts w:ascii="Verdana" w:hAnsi="Verdana"/>
          <w:sz w:val="18"/>
          <w:szCs w:val="18"/>
          <w:lang w:val="nl-NL"/>
        </w:rPr>
      </w:pPr>
    </w:p>
    <w:p w:rsidRPr="00BB7074" w:rsidR="007E2AE2" w:rsidP="00B603B8" w:rsidRDefault="00936DF5" w14:paraId="1B77443E" w14:textId="1E0AEB49">
      <w:pPr>
        <w:pStyle w:val="Heading2"/>
        <w:rPr>
          <w:lang w:val="nl-NL"/>
        </w:rPr>
      </w:pPr>
      <w:r w:rsidRPr="00BB7074">
        <w:rPr>
          <w:lang w:val="nl-NL"/>
        </w:rPr>
        <w:t xml:space="preserve">II.9. </w:t>
      </w:r>
      <w:r w:rsidRPr="00BB7074" w:rsidR="00753049">
        <w:rPr>
          <w:lang w:val="nl-NL"/>
        </w:rPr>
        <w:t>Gelieerde ondernemingen</w:t>
      </w:r>
      <w:r w:rsidR="00A9054D">
        <w:rPr>
          <w:lang w:val="nl-NL"/>
        </w:rPr>
        <w:t xml:space="preserve"> (artikel 9 van het Verdrag)</w:t>
      </w:r>
    </w:p>
    <w:p w:rsidRPr="00BB7074" w:rsidR="005C135A" w:rsidP="00655014" w:rsidRDefault="005C135A" w14:paraId="56E588B1" w14:textId="765F8679">
      <w:pPr>
        <w:rPr>
          <w:rFonts w:ascii="Verdana" w:hAnsi="Verdana"/>
          <w:bCs/>
          <w:i/>
          <w:sz w:val="18"/>
          <w:szCs w:val="18"/>
          <w:lang w:val="nl-NL"/>
        </w:rPr>
      </w:pPr>
      <w:r w:rsidRPr="00BB7074">
        <w:rPr>
          <w:rFonts w:ascii="Verdana" w:hAnsi="Verdana"/>
          <w:sz w:val="18"/>
          <w:szCs w:val="18"/>
          <w:lang w:val="nl-NL"/>
        </w:rPr>
        <w:t xml:space="preserve">Artikel 9 </w:t>
      </w:r>
      <w:r w:rsidRPr="00BB7074" w:rsidR="00C50D8E">
        <w:rPr>
          <w:rFonts w:ascii="Verdana" w:hAnsi="Verdana"/>
          <w:sz w:val="18"/>
          <w:szCs w:val="18"/>
          <w:lang w:val="nl-NL"/>
        </w:rPr>
        <w:t xml:space="preserve">van het Verdrag </w:t>
      </w:r>
      <w:r w:rsidRPr="00BB7074">
        <w:rPr>
          <w:rFonts w:ascii="Verdana" w:hAnsi="Verdana"/>
          <w:sz w:val="18"/>
          <w:szCs w:val="18"/>
          <w:lang w:val="nl-NL"/>
        </w:rPr>
        <w:t>stemt</w:t>
      </w:r>
      <w:r w:rsidRPr="00BB7074" w:rsidR="002D03F5">
        <w:rPr>
          <w:rFonts w:ascii="Verdana" w:hAnsi="Verdana"/>
          <w:sz w:val="18"/>
          <w:szCs w:val="18"/>
          <w:lang w:val="nl-NL"/>
        </w:rPr>
        <w:t xml:space="preserve"> o</w:t>
      </w:r>
      <w:r w:rsidRPr="00BB7074">
        <w:rPr>
          <w:rFonts w:ascii="Verdana" w:hAnsi="Verdana"/>
          <w:sz w:val="18"/>
          <w:szCs w:val="18"/>
          <w:lang w:val="nl-NL"/>
        </w:rPr>
        <w:t>vereen met artikel 9 van het OESO-</w:t>
      </w:r>
      <w:r w:rsidRPr="00BB7074" w:rsidR="002D03F5">
        <w:rPr>
          <w:rFonts w:ascii="Verdana" w:hAnsi="Verdana"/>
          <w:sz w:val="18"/>
          <w:szCs w:val="18"/>
          <w:lang w:val="nl-NL"/>
        </w:rPr>
        <w:t>modelverdrag, behoudens</w:t>
      </w:r>
      <w:r w:rsidR="00A15B99">
        <w:rPr>
          <w:rFonts w:ascii="Verdana" w:hAnsi="Verdana"/>
          <w:sz w:val="18"/>
          <w:szCs w:val="18"/>
          <w:lang w:val="nl-NL"/>
        </w:rPr>
        <w:t xml:space="preserve"> een</w:t>
      </w:r>
      <w:r w:rsidR="006A628D">
        <w:rPr>
          <w:rFonts w:ascii="Verdana" w:hAnsi="Verdana"/>
          <w:sz w:val="18"/>
          <w:szCs w:val="18"/>
          <w:lang w:val="nl-NL"/>
        </w:rPr>
        <w:t>zelfde</w:t>
      </w:r>
      <w:r w:rsidR="00A15B99">
        <w:rPr>
          <w:rFonts w:ascii="Verdana" w:hAnsi="Verdana"/>
          <w:sz w:val="18"/>
          <w:szCs w:val="18"/>
          <w:lang w:val="nl-NL"/>
        </w:rPr>
        <w:t xml:space="preserve"> aanvullende voorwaarde </w:t>
      </w:r>
      <w:r w:rsidR="006A628D">
        <w:rPr>
          <w:rFonts w:ascii="Verdana" w:hAnsi="Verdana"/>
          <w:sz w:val="18"/>
          <w:szCs w:val="18"/>
          <w:lang w:val="nl-NL"/>
        </w:rPr>
        <w:t>zo</w:t>
      </w:r>
      <w:r w:rsidR="00A15B99">
        <w:rPr>
          <w:rFonts w:ascii="Verdana" w:hAnsi="Verdana"/>
          <w:sz w:val="18"/>
          <w:szCs w:val="18"/>
          <w:lang w:val="nl-NL"/>
        </w:rPr>
        <w:t xml:space="preserve">als </w:t>
      </w:r>
      <w:r w:rsidR="006A628D">
        <w:rPr>
          <w:rFonts w:ascii="Verdana" w:hAnsi="Verdana"/>
          <w:sz w:val="18"/>
          <w:szCs w:val="18"/>
          <w:lang w:val="nl-NL"/>
        </w:rPr>
        <w:t>die ook is opgenomen in</w:t>
      </w:r>
      <w:r w:rsidR="00A15B99">
        <w:rPr>
          <w:rFonts w:ascii="Verdana" w:hAnsi="Verdana"/>
          <w:sz w:val="18"/>
          <w:szCs w:val="18"/>
          <w:lang w:val="nl-NL"/>
        </w:rPr>
        <w:t xml:space="preserve"> artikel 7</w:t>
      </w:r>
      <w:r w:rsidRPr="00BB7074" w:rsidR="002D03F5">
        <w:rPr>
          <w:rFonts w:ascii="Verdana" w:hAnsi="Verdana"/>
          <w:sz w:val="18"/>
          <w:szCs w:val="18"/>
          <w:lang w:val="nl-NL"/>
        </w:rPr>
        <w:t xml:space="preserve"> </w:t>
      </w:r>
      <w:r w:rsidR="00A96BBE">
        <w:rPr>
          <w:rFonts w:ascii="Verdana" w:hAnsi="Verdana"/>
          <w:sz w:val="18"/>
          <w:szCs w:val="18"/>
          <w:lang w:val="nl-NL"/>
        </w:rPr>
        <w:t xml:space="preserve">van het </w:t>
      </w:r>
      <w:r w:rsidR="00A96BBE">
        <w:rPr>
          <w:rFonts w:ascii="Verdana" w:hAnsi="Verdana"/>
          <w:sz w:val="18"/>
          <w:szCs w:val="18"/>
          <w:lang w:val="nl-NL"/>
        </w:rPr>
        <w:lastRenderedPageBreak/>
        <w:t xml:space="preserve">Verdrag </w:t>
      </w:r>
      <w:r w:rsidR="00A15B99">
        <w:rPr>
          <w:rFonts w:ascii="Verdana" w:hAnsi="Verdana"/>
          <w:sz w:val="18"/>
          <w:szCs w:val="18"/>
          <w:lang w:val="nl-NL"/>
        </w:rPr>
        <w:t xml:space="preserve">en </w:t>
      </w:r>
      <w:r w:rsidRPr="00BB7074" w:rsidR="002D03F5">
        <w:rPr>
          <w:rFonts w:ascii="Verdana" w:hAnsi="Verdana"/>
          <w:sz w:val="18"/>
          <w:szCs w:val="18"/>
          <w:lang w:val="nl-NL"/>
        </w:rPr>
        <w:t>de opname van een additioneel derde lid</w:t>
      </w:r>
      <w:r w:rsidRPr="00BB7074">
        <w:rPr>
          <w:rFonts w:ascii="Verdana" w:hAnsi="Verdana"/>
          <w:sz w:val="18"/>
          <w:szCs w:val="18"/>
          <w:lang w:val="nl-NL"/>
        </w:rPr>
        <w:t xml:space="preserve">. </w:t>
      </w:r>
      <w:r w:rsidRPr="00BB7074" w:rsidR="002D03F5">
        <w:rPr>
          <w:rFonts w:ascii="Verdana" w:hAnsi="Verdana"/>
          <w:sz w:val="18"/>
          <w:szCs w:val="18"/>
          <w:lang w:val="nl-NL"/>
        </w:rPr>
        <w:t>Artikel 9</w:t>
      </w:r>
      <w:r w:rsidRPr="00BB7074">
        <w:rPr>
          <w:rFonts w:ascii="Verdana" w:hAnsi="Verdana"/>
          <w:sz w:val="18"/>
          <w:szCs w:val="18"/>
          <w:lang w:val="nl-NL"/>
        </w:rPr>
        <w:t xml:space="preserve"> bevat het zogenoemde </w:t>
      </w:r>
      <w:proofErr w:type="spellStart"/>
      <w:r w:rsidRPr="0018301C" w:rsidR="00392D2D">
        <w:rPr>
          <w:rFonts w:ascii="Verdana" w:hAnsi="Verdana" w:cs="Arial"/>
          <w:sz w:val="18"/>
          <w:szCs w:val="18"/>
          <w:lang w:val="nl-NL"/>
        </w:rPr>
        <w:t>arm</w:t>
      </w:r>
      <w:r w:rsidR="00392D2D">
        <w:rPr>
          <w:rFonts w:ascii="Verdana" w:hAnsi="Verdana" w:cs="Arial"/>
          <w:sz w:val="18"/>
          <w:szCs w:val="18"/>
          <w:lang w:val="nl-NL"/>
        </w:rPr>
        <w:t>’</w:t>
      </w:r>
      <w:r w:rsidRPr="0018301C" w:rsidR="00392D2D">
        <w:rPr>
          <w:rFonts w:ascii="Verdana" w:hAnsi="Verdana" w:cs="Arial"/>
          <w:sz w:val="18"/>
          <w:szCs w:val="18"/>
          <w:lang w:val="nl-NL"/>
        </w:rPr>
        <w:t>s</w:t>
      </w:r>
      <w:proofErr w:type="spellEnd"/>
      <w:r w:rsidR="00392D2D">
        <w:rPr>
          <w:rFonts w:ascii="Verdana" w:hAnsi="Verdana" w:cs="Arial"/>
          <w:sz w:val="18"/>
          <w:szCs w:val="18"/>
          <w:lang w:val="nl-NL"/>
        </w:rPr>
        <w:t>-</w:t>
      </w:r>
      <w:proofErr w:type="spellStart"/>
      <w:r w:rsidRPr="0018301C" w:rsidR="00392D2D">
        <w:rPr>
          <w:rFonts w:ascii="Verdana" w:hAnsi="Verdana" w:cs="Arial"/>
          <w:sz w:val="18"/>
          <w:szCs w:val="18"/>
          <w:lang w:val="nl-NL"/>
        </w:rPr>
        <w:t>length</w:t>
      </w:r>
      <w:proofErr w:type="spellEnd"/>
      <w:r w:rsidR="00392D2D">
        <w:rPr>
          <w:rFonts w:ascii="Verdana" w:hAnsi="Verdana" w:cs="Arial"/>
          <w:sz w:val="18"/>
          <w:szCs w:val="18"/>
          <w:lang w:val="nl-NL"/>
        </w:rPr>
        <w:t>-</w:t>
      </w:r>
      <w:r w:rsidRPr="0018301C" w:rsidR="00392D2D">
        <w:rPr>
          <w:rFonts w:ascii="Verdana" w:hAnsi="Verdana" w:cs="Arial"/>
          <w:sz w:val="18"/>
          <w:szCs w:val="18"/>
          <w:lang w:val="nl-NL"/>
        </w:rPr>
        <w:t>beginsel</w:t>
      </w:r>
      <w:r w:rsidRPr="00556990" w:rsidR="00392D2D">
        <w:rPr>
          <w:rFonts w:ascii="Verdana" w:hAnsi="Verdana" w:cs="Arial"/>
          <w:sz w:val="18"/>
          <w:szCs w:val="18"/>
          <w:lang w:val="nl-NL"/>
        </w:rPr>
        <w:t xml:space="preserve"> </w:t>
      </w:r>
      <w:r w:rsidRPr="00BB7074">
        <w:rPr>
          <w:rFonts w:ascii="Verdana" w:hAnsi="Verdana"/>
          <w:sz w:val="18"/>
          <w:szCs w:val="18"/>
          <w:lang w:val="nl-NL"/>
        </w:rPr>
        <w:t xml:space="preserve">voor grensoverschrijdende transacties tussen gelieerde ondernemingen. Dit </w:t>
      </w:r>
      <w:proofErr w:type="spellStart"/>
      <w:r w:rsidRPr="0018301C" w:rsidR="00392D2D">
        <w:rPr>
          <w:rFonts w:ascii="Verdana" w:hAnsi="Verdana" w:cs="Arial"/>
          <w:sz w:val="18"/>
          <w:szCs w:val="18"/>
          <w:lang w:val="nl-NL"/>
        </w:rPr>
        <w:t>arm</w:t>
      </w:r>
      <w:r w:rsidR="00392D2D">
        <w:rPr>
          <w:rFonts w:ascii="Verdana" w:hAnsi="Verdana" w:cs="Arial"/>
          <w:sz w:val="18"/>
          <w:szCs w:val="18"/>
          <w:lang w:val="nl-NL"/>
        </w:rPr>
        <w:t>’</w:t>
      </w:r>
      <w:r w:rsidRPr="0018301C" w:rsidR="00392D2D">
        <w:rPr>
          <w:rFonts w:ascii="Verdana" w:hAnsi="Verdana" w:cs="Arial"/>
          <w:sz w:val="18"/>
          <w:szCs w:val="18"/>
          <w:lang w:val="nl-NL"/>
        </w:rPr>
        <w:t>s</w:t>
      </w:r>
      <w:proofErr w:type="spellEnd"/>
      <w:r w:rsidR="00392D2D">
        <w:rPr>
          <w:rFonts w:ascii="Verdana" w:hAnsi="Verdana" w:cs="Arial"/>
          <w:sz w:val="18"/>
          <w:szCs w:val="18"/>
          <w:lang w:val="nl-NL"/>
        </w:rPr>
        <w:t>-</w:t>
      </w:r>
      <w:proofErr w:type="spellStart"/>
      <w:r w:rsidRPr="0018301C" w:rsidR="00392D2D">
        <w:rPr>
          <w:rFonts w:ascii="Verdana" w:hAnsi="Verdana" w:cs="Arial"/>
          <w:sz w:val="18"/>
          <w:szCs w:val="18"/>
          <w:lang w:val="nl-NL"/>
        </w:rPr>
        <w:t>length</w:t>
      </w:r>
      <w:proofErr w:type="spellEnd"/>
      <w:r w:rsidR="00392D2D">
        <w:rPr>
          <w:rFonts w:ascii="Verdana" w:hAnsi="Verdana" w:cs="Arial"/>
          <w:sz w:val="18"/>
          <w:szCs w:val="18"/>
          <w:lang w:val="nl-NL"/>
        </w:rPr>
        <w:t>-</w:t>
      </w:r>
      <w:r w:rsidRPr="0018301C" w:rsidR="00392D2D">
        <w:rPr>
          <w:rFonts w:ascii="Verdana" w:hAnsi="Verdana" w:cs="Arial"/>
          <w:sz w:val="18"/>
          <w:szCs w:val="18"/>
          <w:lang w:val="nl-NL"/>
        </w:rPr>
        <w:t>beginsel</w:t>
      </w:r>
      <w:r w:rsidRPr="00556990" w:rsidR="00392D2D">
        <w:rPr>
          <w:rFonts w:ascii="Verdana" w:hAnsi="Verdana" w:cs="Arial"/>
          <w:sz w:val="18"/>
          <w:szCs w:val="18"/>
          <w:lang w:val="nl-NL"/>
        </w:rPr>
        <w:t xml:space="preserve"> </w:t>
      </w:r>
      <w:r w:rsidRPr="00BB7074">
        <w:rPr>
          <w:rFonts w:ascii="Verdana" w:hAnsi="Verdana"/>
          <w:sz w:val="18"/>
          <w:szCs w:val="18"/>
          <w:lang w:val="nl-NL"/>
        </w:rPr>
        <w:t xml:space="preserve">heeft als uitgangspunt dat gelieerde ondernemingen transacties </w:t>
      </w:r>
      <w:r w:rsidRPr="00BB7074" w:rsidR="006F1FD3">
        <w:rPr>
          <w:rFonts w:ascii="Verdana" w:hAnsi="Verdana"/>
          <w:sz w:val="18"/>
          <w:szCs w:val="18"/>
          <w:lang w:val="nl-NL"/>
        </w:rPr>
        <w:t xml:space="preserve">geacht worden </w:t>
      </w:r>
      <w:r w:rsidRPr="00BB7074">
        <w:rPr>
          <w:rFonts w:ascii="Verdana" w:hAnsi="Verdana"/>
          <w:sz w:val="18"/>
          <w:szCs w:val="18"/>
          <w:lang w:val="nl-NL"/>
        </w:rPr>
        <w:t xml:space="preserve">aan te gaan tegen voorwaarden die niet afwijken van transacties die </w:t>
      </w:r>
      <w:proofErr w:type="spellStart"/>
      <w:r w:rsidRPr="00BB7074">
        <w:rPr>
          <w:rFonts w:ascii="Verdana" w:hAnsi="Verdana"/>
          <w:sz w:val="18"/>
          <w:szCs w:val="18"/>
          <w:lang w:val="nl-NL"/>
        </w:rPr>
        <w:t>ongelieerde</w:t>
      </w:r>
      <w:proofErr w:type="spellEnd"/>
      <w:r w:rsidRPr="00BB7074">
        <w:rPr>
          <w:rFonts w:ascii="Verdana" w:hAnsi="Verdana"/>
          <w:sz w:val="18"/>
          <w:szCs w:val="18"/>
          <w:lang w:val="nl-NL"/>
        </w:rPr>
        <w:t xml:space="preserve"> ondernemingen onder dezelfde omstandigheden zouden zijn aangegaan. Bij de bepaling of hiervan sprake is, gelden als leidraad de door de OESO opgestelde ‘</w:t>
      </w:r>
      <w:r w:rsidRPr="003A025B">
        <w:rPr>
          <w:rFonts w:ascii="Verdana" w:hAnsi="Verdana"/>
          <w:i/>
          <w:sz w:val="18"/>
          <w:szCs w:val="18"/>
          <w:lang w:val="nl-NL"/>
        </w:rPr>
        <w:t xml:space="preserve">Transfer pricing </w:t>
      </w:r>
      <w:proofErr w:type="spellStart"/>
      <w:r w:rsidRPr="003A025B">
        <w:rPr>
          <w:rFonts w:ascii="Verdana" w:hAnsi="Verdana"/>
          <w:i/>
          <w:sz w:val="18"/>
          <w:szCs w:val="18"/>
          <w:lang w:val="nl-NL"/>
        </w:rPr>
        <w:t>guidelines</w:t>
      </w:r>
      <w:proofErr w:type="spellEnd"/>
      <w:r w:rsidRPr="003A025B">
        <w:rPr>
          <w:rFonts w:ascii="Verdana" w:hAnsi="Verdana"/>
          <w:i/>
          <w:sz w:val="18"/>
          <w:szCs w:val="18"/>
          <w:lang w:val="nl-NL"/>
        </w:rPr>
        <w:t xml:space="preserve"> </w:t>
      </w:r>
      <w:proofErr w:type="spellStart"/>
      <w:r w:rsidRPr="003A025B">
        <w:rPr>
          <w:rFonts w:ascii="Verdana" w:hAnsi="Verdana"/>
          <w:i/>
          <w:sz w:val="18"/>
          <w:szCs w:val="18"/>
          <w:lang w:val="nl-NL"/>
        </w:rPr>
        <w:t>for</w:t>
      </w:r>
      <w:proofErr w:type="spellEnd"/>
      <w:r w:rsidRPr="003A025B">
        <w:rPr>
          <w:rFonts w:ascii="Verdana" w:hAnsi="Verdana"/>
          <w:i/>
          <w:sz w:val="18"/>
          <w:szCs w:val="18"/>
          <w:lang w:val="nl-NL"/>
        </w:rPr>
        <w:t xml:space="preserve"> multinational </w:t>
      </w:r>
      <w:proofErr w:type="spellStart"/>
      <w:r w:rsidRPr="003A025B">
        <w:rPr>
          <w:rFonts w:ascii="Verdana" w:hAnsi="Verdana"/>
          <w:i/>
          <w:sz w:val="18"/>
          <w:szCs w:val="18"/>
          <w:lang w:val="nl-NL"/>
        </w:rPr>
        <w:t>enterprises</w:t>
      </w:r>
      <w:proofErr w:type="spellEnd"/>
      <w:r w:rsidRPr="003A025B">
        <w:rPr>
          <w:rFonts w:ascii="Verdana" w:hAnsi="Verdana"/>
          <w:i/>
          <w:sz w:val="18"/>
          <w:szCs w:val="18"/>
          <w:lang w:val="nl-NL"/>
        </w:rPr>
        <w:t xml:space="preserve"> </w:t>
      </w:r>
      <w:proofErr w:type="spellStart"/>
      <w:r w:rsidRPr="003A025B">
        <w:rPr>
          <w:rFonts w:ascii="Verdana" w:hAnsi="Verdana"/>
          <w:i/>
          <w:sz w:val="18"/>
          <w:szCs w:val="18"/>
          <w:lang w:val="nl-NL"/>
        </w:rPr>
        <w:t>and</w:t>
      </w:r>
      <w:proofErr w:type="spellEnd"/>
      <w:r w:rsidRPr="003A025B">
        <w:rPr>
          <w:rFonts w:ascii="Verdana" w:hAnsi="Verdana"/>
          <w:i/>
          <w:sz w:val="18"/>
          <w:szCs w:val="18"/>
          <w:lang w:val="nl-NL"/>
        </w:rPr>
        <w:t xml:space="preserve"> </w:t>
      </w:r>
      <w:proofErr w:type="spellStart"/>
      <w:r w:rsidRPr="003A025B">
        <w:rPr>
          <w:rFonts w:ascii="Verdana" w:hAnsi="Verdana"/>
          <w:i/>
          <w:sz w:val="18"/>
          <w:szCs w:val="18"/>
          <w:lang w:val="nl-NL"/>
        </w:rPr>
        <w:t>tax</w:t>
      </w:r>
      <w:proofErr w:type="spellEnd"/>
      <w:r w:rsidRPr="003A025B">
        <w:rPr>
          <w:rFonts w:ascii="Verdana" w:hAnsi="Verdana"/>
          <w:i/>
          <w:sz w:val="18"/>
          <w:szCs w:val="18"/>
          <w:lang w:val="nl-NL"/>
        </w:rPr>
        <w:t xml:space="preserve"> </w:t>
      </w:r>
      <w:proofErr w:type="spellStart"/>
      <w:r w:rsidRPr="003A025B">
        <w:rPr>
          <w:rFonts w:ascii="Verdana" w:hAnsi="Verdana"/>
          <w:i/>
          <w:sz w:val="18"/>
          <w:szCs w:val="18"/>
          <w:lang w:val="nl-NL"/>
        </w:rPr>
        <w:t>administrations</w:t>
      </w:r>
      <w:proofErr w:type="spellEnd"/>
      <w:r w:rsidRPr="00BB7074">
        <w:rPr>
          <w:rFonts w:ascii="Verdana" w:hAnsi="Verdana"/>
          <w:sz w:val="18"/>
          <w:szCs w:val="18"/>
          <w:lang w:val="nl-NL"/>
        </w:rPr>
        <w:t xml:space="preserve">’ en de administratieve praktijken </w:t>
      </w:r>
      <w:r w:rsidRPr="00BB7074" w:rsidR="00C13B39">
        <w:rPr>
          <w:rFonts w:ascii="Verdana" w:hAnsi="Verdana"/>
          <w:sz w:val="18"/>
          <w:szCs w:val="18"/>
          <w:lang w:val="nl-NL"/>
        </w:rPr>
        <w:t>van de verdragsluitende staten.</w:t>
      </w:r>
    </w:p>
    <w:p w:rsidRPr="00BB7074" w:rsidR="005C135A" w:rsidP="00655014" w:rsidRDefault="005C135A" w14:paraId="3EB9D40E" w14:textId="6FD47B09">
      <w:pPr>
        <w:rPr>
          <w:rFonts w:ascii="Verdana" w:hAnsi="Verdana"/>
          <w:bCs/>
          <w:i/>
          <w:sz w:val="18"/>
          <w:szCs w:val="18"/>
          <w:lang w:val="nl-NL"/>
        </w:rPr>
      </w:pPr>
      <w:r w:rsidRPr="00BB7074">
        <w:rPr>
          <w:rFonts w:ascii="Verdana" w:hAnsi="Verdana"/>
          <w:sz w:val="18"/>
          <w:szCs w:val="18"/>
          <w:lang w:val="nl-NL"/>
        </w:rPr>
        <w:t>Het eerste lid bevat de bepaling dat ingeval tussen gelieerde ondernemingen in hun handels</w:t>
      </w:r>
      <w:r w:rsidRPr="00BB7074" w:rsidR="00C13B39">
        <w:rPr>
          <w:rFonts w:ascii="Verdana" w:hAnsi="Verdana"/>
          <w:sz w:val="18"/>
          <w:szCs w:val="18"/>
          <w:lang w:val="nl-NL"/>
        </w:rPr>
        <w:t>-</w:t>
      </w:r>
      <w:r w:rsidRPr="00BB7074">
        <w:rPr>
          <w:rFonts w:ascii="Verdana" w:hAnsi="Verdana"/>
          <w:sz w:val="18"/>
          <w:szCs w:val="18"/>
          <w:lang w:val="nl-NL"/>
        </w:rPr>
        <w:t xml:space="preserve"> of financiële betrekkingen voorwaarden worden ove</w:t>
      </w:r>
      <w:r w:rsidRPr="00BB7074" w:rsidR="00C13B39">
        <w:rPr>
          <w:rFonts w:ascii="Verdana" w:hAnsi="Verdana"/>
          <w:sz w:val="18"/>
          <w:szCs w:val="18"/>
          <w:lang w:val="nl-NL"/>
        </w:rPr>
        <w:t>reengekomen die afwijken van de voorwaarden die</w:t>
      </w:r>
      <w:r w:rsidRPr="00BB7074">
        <w:rPr>
          <w:rFonts w:ascii="Verdana" w:hAnsi="Verdana"/>
          <w:sz w:val="18"/>
          <w:szCs w:val="18"/>
          <w:lang w:val="nl-NL"/>
        </w:rPr>
        <w:t xml:space="preserve"> tussen niet gelieerde ondernemingen zouden worden overeengekomen, de winst die één van de gelieerde ondernemingen ten gevolge van die afwijkende voorwaarden niet heeft behaald, in de winst van die onderneming mag worden begrepen en dienovereenkomstig mag worden belast. </w:t>
      </w:r>
    </w:p>
    <w:p w:rsidRPr="00BB7074" w:rsidR="005C135A" w:rsidP="00655014" w:rsidRDefault="005C135A" w14:paraId="65FC58DB" w14:textId="6CE482B8">
      <w:pPr>
        <w:rPr>
          <w:rFonts w:ascii="Verdana" w:hAnsi="Verdana"/>
          <w:bCs/>
          <w:i/>
          <w:sz w:val="18"/>
          <w:szCs w:val="18"/>
          <w:lang w:val="nl-NL"/>
        </w:rPr>
      </w:pPr>
      <w:r w:rsidRPr="00BB7074">
        <w:rPr>
          <w:rFonts w:ascii="Verdana" w:hAnsi="Verdana"/>
          <w:sz w:val="18"/>
          <w:szCs w:val="18"/>
          <w:lang w:val="nl-NL"/>
        </w:rPr>
        <w:t xml:space="preserve">Voor het geval een winstcorrectie door de ene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in de zin van het eerste lid leidt tot belastingheffing in die </w:t>
      </w:r>
      <w:r w:rsidRPr="00BB7074" w:rsidR="008B5BF7">
        <w:rPr>
          <w:rFonts w:ascii="Verdana" w:hAnsi="Verdana"/>
          <w:sz w:val="18"/>
          <w:szCs w:val="18"/>
          <w:lang w:val="nl-NL"/>
        </w:rPr>
        <w:t>staat</w:t>
      </w:r>
      <w:r w:rsidRPr="00BB7074">
        <w:rPr>
          <w:rFonts w:ascii="Verdana" w:hAnsi="Verdana"/>
          <w:sz w:val="18"/>
          <w:szCs w:val="18"/>
          <w:lang w:val="nl-NL"/>
        </w:rPr>
        <w:t xml:space="preserve"> over die winstcorrectie, regelt het tweede lid dat de andere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in beginsel op passende wijze het bedrag aan belasting dat aldaar over het bedrag van de in die winstcorrectie begrepen voordelen is geheven, zal herzien.</w:t>
      </w:r>
      <w:r w:rsidRPr="00BB7074" w:rsidR="00DA6F10">
        <w:rPr>
          <w:rFonts w:ascii="Verdana" w:hAnsi="Verdana"/>
          <w:sz w:val="18"/>
          <w:szCs w:val="18"/>
          <w:lang w:val="nl-NL"/>
        </w:rPr>
        <w:t xml:space="preserve"> Hieraan is de voorwaarde verbonden dat het land dat de corresponderende correctie aanbrengt binnen zeven jaar na afloop van het boekjaar waar de correctie op ziet moet zijn geïnformeerd over de correctie in het andere land.</w:t>
      </w:r>
    </w:p>
    <w:p w:rsidRPr="00BB7074" w:rsidR="002D03F5" w:rsidP="002D03F5" w:rsidRDefault="002D03F5" w14:paraId="32B71B39" w14:textId="52D31009">
      <w:pPr>
        <w:rPr>
          <w:rFonts w:ascii="Verdana" w:hAnsi="Verdana"/>
          <w:sz w:val="18"/>
          <w:szCs w:val="18"/>
          <w:lang w:val="nl-NL"/>
        </w:rPr>
      </w:pPr>
      <w:r w:rsidRPr="00BB7074">
        <w:rPr>
          <w:rFonts w:ascii="Verdana" w:hAnsi="Verdana"/>
          <w:sz w:val="18"/>
          <w:szCs w:val="18"/>
          <w:lang w:val="nl-NL"/>
        </w:rPr>
        <w:t xml:space="preserve">Het derde lid bepaalt dat de herziening die door het tweede lid wordt voorgeschreven niet van toepassing is, indien een van de bij de transacties betrokken onderneming veroordeeld is voor fraude, grove nalatigheid of </w:t>
      </w:r>
      <w:r w:rsidRPr="00BB7074" w:rsidR="008F11B6">
        <w:rPr>
          <w:rFonts w:ascii="Verdana" w:hAnsi="Verdana"/>
          <w:sz w:val="18"/>
          <w:szCs w:val="18"/>
          <w:lang w:val="nl-NL"/>
        </w:rPr>
        <w:t>opzettelijk</w:t>
      </w:r>
      <w:r w:rsidRPr="00BB7074" w:rsidR="007A0BE2">
        <w:rPr>
          <w:rFonts w:ascii="Verdana" w:hAnsi="Verdana"/>
          <w:sz w:val="18"/>
          <w:szCs w:val="18"/>
          <w:lang w:val="nl-NL"/>
        </w:rPr>
        <w:t xml:space="preserve"> verzuim. Dit derde lid is op verzoek van Colombia opgenomen. Nederland zal deze bepaling niet op </w:t>
      </w:r>
      <w:r w:rsidRPr="00BB7074" w:rsidR="006A6AD1">
        <w:rPr>
          <w:rFonts w:ascii="Verdana" w:hAnsi="Verdana"/>
          <w:sz w:val="18"/>
          <w:szCs w:val="18"/>
          <w:lang w:val="nl-NL"/>
        </w:rPr>
        <w:t xml:space="preserve">zijn </w:t>
      </w:r>
      <w:r w:rsidRPr="00BB7074" w:rsidR="007A0BE2">
        <w:rPr>
          <w:rFonts w:ascii="Verdana" w:hAnsi="Verdana"/>
          <w:sz w:val="18"/>
          <w:szCs w:val="18"/>
          <w:lang w:val="nl-NL"/>
        </w:rPr>
        <w:t xml:space="preserve">inwoners toepassen. </w:t>
      </w:r>
    </w:p>
    <w:p w:rsidRPr="00BB7074" w:rsidR="00204F20" w:rsidP="002D03F5" w:rsidRDefault="00204F20" w14:paraId="4B6B58B8" w14:textId="77777777">
      <w:pPr>
        <w:rPr>
          <w:rFonts w:ascii="Verdana" w:hAnsi="Verdana"/>
          <w:sz w:val="18"/>
          <w:szCs w:val="18"/>
          <w:lang w:val="nl-NL"/>
        </w:rPr>
      </w:pPr>
    </w:p>
    <w:p w:rsidRPr="00BB7074" w:rsidR="007E2AE2" w:rsidP="00B603B8" w:rsidRDefault="00936DF5" w14:paraId="3F36D788" w14:textId="3E2F6988">
      <w:pPr>
        <w:pStyle w:val="Heading2"/>
        <w:rPr>
          <w:lang w:val="nl-NL"/>
        </w:rPr>
      </w:pPr>
      <w:r w:rsidRPr="00BB7074">
        <w:rPr>
          <w:lang w:val="nl-NL"/>
        </w:rPr>
        <w:t xml:space="preserve">II.10. </w:t>
      </w:r>
      <w:r w:rsidRPr="00BB7074" w:rsidR="007E2AE2">
        <w:rPr>
          <w:lang w:val="nl-NL"/>
        </w:rPr>
        <w:t>Dividenden</w:t>
      </w:r>
      <w:r w:rsidRPr="00BB7074" w:rsidR="003453FA">
        <w:rPr>
          <w:lang w:val="nl-NL"/>
        </w:rPr>
        <w:t xml:space="preserve"> (</w:t>
      </w:r>
      <w:r w:rsidR="00A9054D">
        <w:rPr>
          <w:lang w:val="nl-NL"/>
        </w:rPr>
        <w:t xml:space="preserve">artikel 10 van het Verdrag </w:t>
      </w:r>
      <w:r w:rsidRPr="00BB7074" w:rsidR="003453FA">
        <w:rPr>
          <w:lang w:val="nl-NL"/>
        </w:rPr>
        <w:t>en artikel VIII van het Protocol)</w:t>
      </w:r>
    </w:p>
    <w:p w:rsidRPr="00BB7074" w:rsidR="002F0BBD" w:rsidP="00FC2294" w:rsidRDefault="00FC2294" w14:paraId="4FB4BA80" w14:textId="43A4023F">
      <w:pPr>
        <w:rPr>
          <w:rFonts w:ascii="Verdana" w:hAnsi="Verdana"/>
          <w:sz w:val="18"/>
          <w:szCs w:val="18"/>
          <w:lang w:val="nl-NL"/>
        </w:rPr>
      </w:pPr>
      <w:r w:rsidRPr="00BB7074">
        <w:rPr>
          <w:rFonts w:ascii="Verdana" w:hAnsi="Verdana"/>
          <w:sz w:val="18"/>
          <w:szCs w:val="18"/>
          <w:lang w:val="nl-NL"/>
        </w:rPr>
        <w:t xml:space="preserve">Het eerste lid van </w:t>
      </w:r>
      <w:r w:rsidRPr="00BB7074" w:rsidR="006A6AD1">
        <w:rPr>
          <w:rFonts w:ascii="Verdana" w:hAnsi="Verdana"/>
          <w:sz w:val="18"/>
          <w:szCs w:val="18"/>
          <w:lang w:val="nl-NL"/>
        </w:rPr>
        <w:t>a</w:t>
      </w:r>
      <w:r w:rsidRPr="00BB7074">
        <w:rPr>
          <w:rFonts w:ascii="Verdana" w:hAnsi="Verdana"/>
          <w:sz w:val="18"/>
          <w:szCs w:val="18"/>
          <w:lang w:val="nl-NL"/>
        </w:rPr>
        <w:t xml:space="preserve">rtikel 10 </w:t>
      </w:r>
      <w:r w:rsidRPr="00BB7074" w:rsidR="006A6AD1">
        <w:rPr>
          <w:rFonts w:ascii="Verdana" w:hAnsi="Verdana"/>
          <w:sz w:val="18"/>
          <w:szCs w:val="18"/>
          <w:lang w:val="nl-NL"/>
        </w:rPr>
        <w:t xml:space="preserve">van het Verdrag </w:t>
      </w:r>
      <w:r w:rsidRPr="00BB7074">
        <w:rPr>
          <w:rFonts w:ascii="Verdana" w:hAnsi="Verdana"/>
          <w:sz w:val="18"/>
          <w:szCs w:val="18"/>
          <w:lang w:val="nl-NL"/>
        </w:rPr>
        <w:t xml:space="preserve">bepaalt dat dividenden belast mogen worden in de </w:t>
      </w:r>
      <w:r w:rsidRPr="00BB7074" w:rsidR="006A6AD1">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waar</w:t>
      </w:r>
      <w:r w:rsidRPr="00BB7074" w:rsidR="006A6AD1">
        <w:rPr>
          <w:rFonts w:ascii="Verdana" w:hAnsi="Verdana"/>
          <w:sz w:val="18"/>
          <w:szCs w:val="18"/>
          <w:lang w:val="nl-NL"/>
        </w:rPr>
        <w:t>va</w:t>
      </w:r>
      <w:r w:rsidRPr="00BB7074">
        <w:rPr>
          <w:rFonts w:ascii="Verdana" w:hAnsi="Verdana"/>
          <w:sz w:val="18"/>
          <w:szCs w:val="18"/>
          <w:lang w:val="nl-NL"/>
        </w:rPr>
        <w:t xml:space="preserve">n de ontvanger </w:t>
      </w:r>
      <w:r w:rsidRPr="00BB7074" w:rsidR="006A6AD1">
        <w:rPr>
          <w:rFonts w:ascii="Verdana" w:hAnsi="Verdana"/>
          <w:sz w:val="18"/>
          <w:szCs w:val="18"/>
          <w:lang w:val="nl-NL"/>
        </w:rPr>
        <w:t xml:space="preserve">van de dividenden </w:t>
      </w:r>
      <w:r w:rsidRPr="00BB7074">
        <w:rPr>
          <w:rFonts w:ascii="Verdana" w:hAnsi="Verdana"/>
          <w:sz w:val="18"/>
          <w:szCs w:val="18"/>
          <w:lang w:val="nl-NL"/>
        </w:rPr>
        <w:t xml:space="preserve">inwoner is. </w:t>
      </w:r>
    </w:p>
    <w:p w:rsidRPr="00BB7074" w:rsidR="00FC2294" w:rsidP="00FC2294" w:rsidRDefault="00FC2294" w14:paraId="17582040" w14:textId="0E44B299">
      <w:pPr>
        <w:rPr>
          <w:rFonts w:ascii="Verdana" w:hAnsi="Verdana"/>
          <w:sz w:val="18"/>
          <w:szCs w:val="18"/>
          <w:lang w:val="nl-NL"/>
        </w:rPr>
      </w:pPr>
      <w:r w:rsidRPr="00BB7074">
        <w:rPr>
          <w:rFonts w:ascii="Verdana" w:hAnsi="Verdana"/>
          <w:sz w:val="18"/>
          <w:szCs w:val="18"/>
          <w:lang w:val="nl-NL"/>
        </w:rPr>
        <w:t xml:space="preserve">Het tweede lid bepaalt dat dividenden </w:t>
      </w:r>
      <w:r w:rsidRPr="00BB7074">
        <w:rPr>
          <w:rFonts w:ascii="Verdana" w:hAnsi="Verdana"/>
          <w:i/>
          <w:sz w:val="18"/>
          <w:szCs w:val="18"/>
          <w:lang w:val="nl-NL"/>
        </w:rPr>
        <w:t>ook</w:t>
      </w:r>
      <w:r w:rsidRPr="00BB7074">
        <w:rPr>
          <w:rFonts w:ascii="Verdana" w:hAnsi="Verdana"/>
          <w:sz w:val="18"/>
          <w:szCs w:val="18"/>
          <w:lang w:val="nl-NL"/>
        </w:rPr>
        <w:t xml:space="preserve"> belast mogen worden in de </w:t>
      </w:r>
      <w:r w:rsidRPr="00BB7074" w:rsidR="006A6AD1">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waar</w:t>
      </w:r>
      <w:r w:rsidRPr="00BB7074" w:rsidR="006A6AD1">
        <w:rPr>
          <w:rFonts w:ascii="Verdana" w:hAnsi="Verdana"/>
          <w:sz w:val="18"/>
          <w:szCs w:val="18"/>
          <w:lang w:val="nl-NL"/>
        </w:rPr>
        <w:t>va</w:t>
      </w:r>
      <w:r w:rsidRPr="00BB7074">
        <w:rPr>
          <w:rFonts w:ascii="Verdana" w:hAnsi="Verdana"/>
          <w:sz w:val="18"/>
          <w:szCs w:val="18"/>
          <w:lang w:val="nl-NL"/>
        </w:rPr>
        <w:t xml:space="preserve">n </w:t>
      </w:r>
      <w:r w:rsidRPr="00BB7074" w:rsidR="00753049">
        <w:rPr>
          <w:rFonts w:ascii="Verdana" w:hAnsi="Verdana"/>
          <w:sz w:val="18"/>
          <w:szCs w:val="18"/>
          <w:lang w:val="nl-NL"/>
        </w:rPr>
        <w:t>het lichaam dat</w:t>
      </w:r>
      <w:r w:rsidRPr="00BB7074">
        <w:rPr>
          <w:rFonts w:ascii="Verdana" w:hAnsi="Verdana"/>
          <w:sz w:val="18"/>
          <w:szCs w:val="18"/>
          <w:lang w:val="nl-NL"/>
        </w:rPr>
        <w:t xml:space="preserve"> het dividend uitbetaalt inwoner is, maar stelt wel </w:t>
      </w:r>
      <w:r w:rsidRPr="00BB7074" w:rsidR="008205CD">
        <w:rPr>
          <w:rFonts w:ascii="Verdana" w:hAnsi="Verdana"/>
          <w:sz w:val="18"/>
          <w:szCs w:val="18"/>
          <w:lang w:val="nl-NL"/>
        </w:rPr>
        <w:t xml:space="preserve">een </w:t>
      </w:r>
      <w:r w:rsidRPr="00BB7074">
        <w:rPr>
          <w:rFonts w:ascii="Verdana" w:hAnsi="Verdana"/>
          <w:sz w:val="18"/>
          <w:szCs w:val="18"/>
          <w:lang w:val="nl-NL"/>
        </w:rPr>
        <w:t xml:space="preserve">maximum </w:t>
      </w:r>
      <w:r w:rsidRPr="00BB7074" w:rsidR="008205CD">
        <w:rPr>
          <w:rFonts w:ascii="Verdana" w:hAnsi="Verdana"/>
          <w:sz w:val="18"/>
          <w:szCs w:val="18"/>
          <w:lang w:val="nl-NL"/>
        </w:rPr>
        <w:t xml:space="preserve">aan de </w:t>
      </w:r>
      <w:r w:rsidRPr="00BB7074" w:rsidR="006A6AD1">
        <w:rPr>
          <w:rFonts w:ascii="Verdana" w:hAnsi="Verdana"/>
          <w:sz w:val="18"/>
          <w:szCs w:val="18"/>
          <w:lang w:val="nl-NL"/>
        </w:rPr>
        <w:t>(bron)belasting</w:t>
      </w:r>
      <w:r w:rsidRPr="00BB7074">
        <w:rPr>
          <w:rFonts w:ascii="Verdana" w:hAnsi="Verdana"/>
          <w:sz w:val="18"/>
          <w:szCs w:val="18"/>
          <w:lang w:val="nl-NL"/>
        </w:rPr>
        <w:t xml:space="preserve">tarieven. Op verzoek van Nederland is in onderdeel a opgenomen dat op dividenden uitbetaald aan erkende pensioenfondsen (waarvoor een definitie is opgenomen in onderdeel l van het eerste lid van artikel 3) zijn vrijgesteld van een dergelijke (bron)belasting. In onderdeel b is de inmiddels internationaal geaccepteerde praktijk opgenomen dat </w:t>
      </w:r>
      <w:r w:rsidRPr="00BB7074" w:rsidR="006A6AD1">
        <w:rPr>
          <w:rFonts w:ascii="Verdana" w:hAnsi="Verdana"/>
          <w:sz w:val="18"/>
          <w:szCs w:val="18"/>
          <w:lang w:val="nl-NL"/>
        </w:rPr>
        <w:t>in deelnemingsverhoudingen</w:t>
      </w:r>
      <w:r w:rsidRPr="00BB7074">
        <w:rPr>
          <w:rFonts w:ascii="Verdana" w:hAnsi="Verdana"/>
          <w:sz w:val="18"/>
          <w:szCs w:val="18"/>
          <w:lang w:val="nl-NL"/>
        </w:rPr>
        <w:t xml:space="preserve"> geen dividendbelasting wordt ingehouden of, zoals in dit geval</w:t>
      </w:r>
      <w:r w:rsidR="006C40CD">
        <w:rPr>
          <w:rFonts w:ascii="Verdana" w:hAnsi="Verdana"/>
          <w:sz w:val="18"/>
          <w:szCs w:val="18"/>
          <w:lang w:val="nl-NL"/>
        </w:rPr>
        <w:t>,</w:t>
      </w:r>
      <w:r w:rsidRPr="00BB7074">
        <w:rPr>
          <w:rFonts w:ascii="Verdana" w:hAnsi="Verdana"/>
          <w:sz w:val="18"/>
          <w:szCs w:val="18"/>
          <w:lang w:val="nl-NL"/>
        </w:rPr>
        <w:t xml:space="preserve"> slechts tegen een lager tarief, hier 5%. De grens </w:t>
      </w:r>
      <w:r w:rsidRPr="00BB7074" w:rsidR="006A6AD1">
        <w:rPr>
          <w:rFonts w:ascii="Verdana" w:hAnsi="Verdana"/>
          <w:sz w:val="18"/>
          <w:szCs w:val="18"/>
          <w:lang w:val="nl-NL"/>
        </w:rPr>
        <w:t xml:space="preserve">voor een deelnemingsverhouding </w:t>
      </w:r>
      <w:r w:rsidRPr="00BB7074">
        <w:rPr>
          <w:rFonts w:ascii="Verdana" w:hAnsi="Verdana"/>
          <w:sz w:val="18"/>
          <w:szCs w:val="18"/>
          <w:lang w:val="nl-NL"/>
        </w:rPr>
        <w:t xml:space="preserve">is gesteld op een bezit van 20% van </w:t>
      </w:r>
      <w:r w:rsidRPr="00BB7074" w:rsidR="00753049">
        <w:rPr>
          <w:rFonts w:ascii="Verdana" w:hAnsi="Verdana"/>
          <w:sz w:val="18"/>
          <w:szCs w:val="18"/>
          <w:lang w:val="nl-NL"/>
        </w:rPr>
        <w:t>het kapitaal van</w:t>
      </w:r>
      <w:r w:rsidRPr="00BB7074">
        <w:rPr>
          <w:rFonts w:ascii="Verdana" w:hAnsi="Verdana"/>
          <w:sz w:val="18"/>
          <w:szCs w:val="18"/>
          <w:lang w:val="nl-NL"/>
        </w:rPr>
        <w:t xml:space="preserve"> </w:t>
      </w:r>
      <w:r w:rsidRPr="00BB7074" w:rsidR="00753049">
        <w:rPr>
          <w:rFonts w:ascii="Verdana" w:hAnsi="Verdana"/>
          <w:sz w:val="18"/>
          <w:szCs w:val="18"/>
          <w:lang w:val="nl-NL"/>
        </w:rPr>
        <w:t xml:space="preserve">het </w:t>
      </w:r>
      <w:proofErr w:type="spellStart"/>
      <w:r w:rsidRPr="00BB7074" w:rsidR="006A6AD1">
        <w:rPr>
          <w:rFonts w:ascii="Verdana" w:hAnsi="Verdana"/>
          <w:sz w:val="18"/>
          <w:szCs w:val="18"/>
          <w:lang w:val="nl-NL"/>
        </w:rPr>
        <w:t>dividend</w:t>
      </w:r>
      <w:r w:rsidRPr="00BB7074">
        <w:rPr>
          <w:rFonts w:ascii="Verdana" w:hAnsi="Verdana"/>
          <w:sz w:val="18"/>
          <w:szCs w:val="18"/>
          <w:lang w:val="nl-NL"/>
        </w:rPr>
        <w:t>uitbetalende</w:t>
      </w:r>
      <w:proofErr w:type="spellEnd"/>
      <w:r w:rsidRPr="00BB7074">
        <w:rPr>
          <w:rFonts w:ascii="Verdana" w:hAnsi="Verdana"/>
          <w:sz w:val="18"/>
          <w:szCs w:val="18"/>
          <w:lang w:val="nl-NL"/>
        </w:rPr>
        <w:t xml:space="preserve"> </w:t>
      </w:r>
      <w:r w:rsidRPr="00BB7074" w:rsidR="00753049">
        <w:rPr>
          <w:rFonts w:ascii="Verdana" w:hAnsi="Verdana"/>
          <w:sz w:val="18"/>
          <w:szCs w:val="18"/>
          <w:lang w:val="nl-NL"/>
        </w:rPr>
        <w:t>lichaam</w:t>
      </w:r>
      <w:r w:rsidRPr="00BB7074">
        <w:rPr>
          <w:rFonts w:ascii="Verdana" w:hAnsi="Verdana"/>
          <w:sz w:val="18"/>
          <w:szCs w:val="18"/>
          <w:lang w:val="nl-NL"/>
        </w:rPr>
        <w:t>. Om zogen</w:t>
      </w:r>
      <w:r w:rsidRPr="00BB7074" w:rsidR="006A6AD1">
        <w:rPr>
          <w:rFonts w:ascii="Verdana" w:hAnsi="Verdana"/>
          <w:sz w:val="18"/>
          <w:szCs w:val="18"/>
          <w:lang w:val="nl-NL"/>
        </w:rPr>
        <w:t>oe</w:t>
      </w:r>
      <w:r w:rsidRPr="00BB7074">
        <w:rPr>
          <w:rFonts w:ascii="Verdana" w:hAnsi="Verdana"/>
          <w:sz w:val="18"/>
          <w:szCs w:val="18"/>
          <w:lang w:val="nl-NL"/>
        </w:rPr>
        <w:t>md</w:t>
      </w:r>
      <w:r w:rsidRPr="00BB7074" w:rsidR="006A6AD1">
        <w:rPr>
          <w:rFonts w:ascii="Verdana" w:hAnsi="Verdana"/>
          <w:sz w:val="18"/>
          <w:szCs w:val="18"/>
          <w:lang w:val="nl-NL"/>
        </w:rPr>
        <w:t>e</w:t>
      </w:r>
      <w:r w:rsidRPr="00BB7074">
        <w:rPr>
          <w:rFonts w:ascii="Verdana" w:hAnsi="Verdana"/>
          <w:sz w:val="18"/>
          <w:szCs w:val="18"/>
          <w:lang w:val="nl-NL"/>
        </w:rPr>
        <w:t xml:space="preserve"> </w:t>
      </w:r>
      <w:r w:rsidRPr="00BB7074" w:rsidR="00753049">
        <w:rPr>
          <w:rFonts w:ascii="Verdana" w:hAnsi="Verdana"/>
          <w:sz w:val="18"/>
          <w:szCs w:val="18"/>
          <w:lang w:val="nl-NL"/>
        </w:rPr>
        <w:t>‘</w:t>
      </w:r>
      <w:r w:rsidRPr="003A025B">
        <w:rPr>
          <w:rFonts w:ascii="Verdana" w:hAnsi="Verdana"/>
          <w:i/>
          <w:sz w:val="18"/>
          <w:szCs w:val="18"/>
          <w:lang w:val="nl-NL"/>
        </w:rPr>
        <w:t xml:space="preserve">dividend </w:t>
      </w:r>
      <w:r w:rsidRPr="003A025B" w:rsidR="00753049">
        <w:rPr>
          <w:rFonts w:ascii="Verdana" w:hAnsi="Verdana"/>
          <w:i/>
          <w:sz w:val="18"/>
          <w:szCs w:val="18"/>
          <w:lang w:val="nl-NL"/>
        </w:rPr>
        <w:t>transfer transactions</w:t>
      </w:r>
      <w:r w:rsidRPr="00BB7074" w:rsidR="00753049">
        <w:rPr>
          <w:rFonts w:ascii="Verdana" w:hAnsi="Verdana"/>
          <w:sz w:val="18"/>
          <w:szCs w:val="18"/>
          <w:lang w:val="nl-NL"/>
        </w:rPr>
        <w:t xml:space="preserve">’ </w:t>
      </w:r>
      <w:r w:rsidRPr="00BB7074">
        <w:rPr>
          <w:rFonts w:ascii="Verdana" w:hAnsi="Verdana"/>
          <w:sz w:val="18"/>
          <w:szCs w:val="18"/>
          <w:lang w:val="nl-NL"/>
        </w:rPr>
        <w:t>te</w:t>
      </w:r>
      <w:r w:rsidRPr="00BB7074" w:rsidR="00753049">
        <w:rPr>
          <w:rFonts w:ascii="Verdana" w:hAnsi="Verdana"/>
          <w:sz w:val="18"/>
          <w:szCs w:val="18"/>
          <w:lang w:val="nl-NL"/>
        </w:rPr>
        <w:t>gen te</w:t>
      </w:r>
      <w:r w:rsidRPr="00BB7074">
        <w:rPr>
          <w:rFonts w:ascii="Verdana" w:hAnsi="Verdana"/>
          <w:sz w:val="18"/>
          <w:szCs w:val="18"/>
          <w:lang w:val="nl-NL"/>
        </w:rPr>
        <w:t xml:space="preserve"> </w:t>
      </w:r>
      <w:r w:rsidRPr="00BB7074" w:rsidR="00753049">
        <w:rPr>
          <w:rFonts w:ascii="Verdana" w:hAnsi="Verdana"/>
          <w:sz w:val="18"/>
          <w:szCs w:val="18"/>
          <w:lang w:val="nl-NL"/>
        </w:rPr>
        <w:t xml:space="preserve">gaan </w:t>
      </w:r>
      <w:r w:rsidRPr="00BB7074">
        <w:rPr>
          <w:rFonts w:ascii="Verdana" w:hAnsi="Verdana"/>
          <w:sz w:val="18"/>
          <w:szCs w:val="18"/>
          <w:lang w:val="nl-NL"/>
        </w:rPr>
        <w:t xml:space="preserve">is hierbij ook de voorwaarde opgenomen dat de aandelen 365 dagen in bezit moeten zijn van de </w:t>
      </w:r>
      <w:proofErr w:type="spellStart"/>
      <w:r w:rsidRPr="00BB7074" w:rsidR="00753049">
        <w:rPr>
          <w:rFonts w:ascii="Verdana" w:hAnsi="Verdana"/>
          <w:sz w:val="18"/>
          <w:szCs w:val="18"/>
          <w:lang w:val="nl-NL"/>
        </w:rPr>
        <w:t>dividend</w:t>
      </w:r>
      <w:r w:rsidRPr="00BB7074">
        <w:rPr>
          <w:rFonts w:ascii="Verdana" w:hAnsi="Verdana"/>
          <w:sz w:val="18"/>
          <w:szCs w:val="18"/>
          <w:lang w:val="nl-NL"/>
        </w:rPr>
        <w:t>ontvangende</w:t>
      </w:r>
      <w:proofErr w:type="spellEnd"/>
      <w:r w:rsidRPr="00BB7074">
        <w:rPr>
          <w:rFonts w:ascii="Verdana" w:hAnsi="Verdana"/>
          <w:sz w:val="18"/>
          <w:szCs w:val="18"/>
          <w:lang w:val="nl-NL"/>
        </w:rPr>
        <w:t xml:space="preserve"> moedermaatschappij. Voor alle andere gevallen is een maximumtarief van 15% overeengekomen.</w:t>
      </w:r>
    </w:p>
    <w:p w:rsidRPr="00BB7074" w:rsidR="003E2D64" w:rsidP="00FC2294" w:rsidRDefault="003E2D64" w14:paraId="32DD4F9D" w14:textId="71344592">
      <w:pPr>
        <w:rPr>
          <w:rFonts w:ascii="Verdana" w:hAnsi="Verdana"/>
          <w:sz w:val="18"/>
          <w:szCs w:val="18"/>
          <w:lang w:val="nl-NL"/>
        </w:rPr>
      </w:pPr>
      <w:r w:rsidRPr="00BB7074">
        <w:rPr>
          <w:rFonts w:ascii="Verdana" w:hAnsi="Verdana"/>
          <w:sz w:val="18"/>
          <w:szCs w:val="18"/>
          <w:lang w:val="nl-NL"/>
        </w:rPr>
        <w:lastRenderedPageBreak/>
        <w:t xml:space="preserve">In </w:t>
      </w:r>
      <w:r w:rsidRPr="00BB7074" w:rsidR="00060D72">
        <w:rPr>
          <w:rFonts w:ascii="Verdana" w:hAnsi="Verdana"/>
          <w:sz w:val="18"/>
          <w:szCs w:val="18"/>
          <w:lang w:val="nl-NL"/>
        </w:rPr>
        <w:t>a</w:t>
      </w:r>
      <w:r w:rsidRPr="00BB7074">
        <w:rPr>
          <w:rFonts w:ascii="Verdana" w:hAnsi="Verdana"/>
          <w:sz w:val="18"/>
          <w:szCs w:val="18"/>
          <w:lang w:val="nl-NL"/>
        </w:rPr>
        <w:t>rtikel VIII</w:t>
      </w:r>
      <w:r w:rsidR="00A15B99">
        <w:rPr>
          <w:rFonts w:ascii="Verdana" w:hAnsi="Verdana"/>
          <w:sz w:val="18"/>
          <w:szCs w:val="18"/>
          <w:lang w:val="nl-NL"/>
        </w:rPr>
        <w:t>, eerste lid,</w:t>
      </w:r>
      <w:r w:rsidRPr="00BB7074">
        <w:rPr>
          <w:rFonts w:ascii="Verdana" w:hAnsi="Verdana"/>
          <w:sz w:val="18"/>
          <w:szCs w:val="18"/>
          <w:lang w:val="nl-NL"/>
        </w:rPr>
        <w:t xml:space="preserve"> </w:t>
      </w:r>
      <w:r w:rsidRPr="00BB7074" w:rsidR="00E12863">
        <w:rPr>
          <w:rFonts w:ascii="Verdana" w:hAnsi="Verdana"/>
          <w:sz w:val="18"/>
          <w:szCs w:val="18"/>
          <w:lang w:val="nl-NL"/>
        </w:rPr>
        <w:t xml:space="preserve">van het Protocol </w:t>
      </w:r>
      <w:r w:rsidRPr="00BB7074">
        <w:rPr>
          <w:rFonts w:ascii="Verdana" w:hAnsi="Verdana"/>
          <w:sz w:val="18"/>
          <w:szCs w:val="18"/>
          <w:lang w:val="nl-NL"/>
        </w:rPr>
        <w:t xml:space="preserve">is op verzoek van </w:t>
      </w:r>
      <w:r w:rsidRPr="00BB7074" w:rsidR="005A7EF0">
        <w:rPr>
          <w:rFonts w:ascii="Verdana" w:hAnsi="Verdana"/>
          <w:sz w:val="18"/>
          <w:szCs w:val="18"/>
          <w:lang w:val="nl-NL"/>
        </w:rPr>
        <w:t>N</w:t>
      </w:r>
      <w:r w:rsidRPr="00BB7074">
        <w:rPr>
          <w:rFonts w:ascii="Verdana" w:hAnsi="Verdana"/>
          <w:sz w:val="18"/>
          <w:szCs w:val="18"/>
          <w:lang w:val="nl-NL"/>
        </w:rPr>
        <w:t xml:space="preserve">ederland opgenomen dat het verlaagde tarief van 5% niet geldt voor dividenden uitgekeerd door of aan een </w:t>
      </w:r>
      <w:r w:rsidRPr="00BB7074" w:rsidR="00060D72">
        <w:rPr>
          <w:rFonts w:ascii="Verdana" w:hAnsi="Verdana"/>
          <w:sz w:val="18"/>
          <w:szCs w:val="18"/>
          <w:lang w:val="nl-NL"/>
        </w:rPr>
        <w:t>f</w:t>
      </w:r>
      <w:r w:rsidRPr="00BB7074" w:rsidR="00E12863">
        <w:rPr>
          <w:rFonts w:ascii="Verdana" w:hAnsi="Verdana"/>
          <w:sz w:val="18"/>
          <w:szCs w:val="18"/>
          <w:lang w:val="nl-NL"/>
        </w:rPr>
        <w:t xml:space="preserve">iscale </w:t>
      </w:r>
      <w:r w:rsidRPr="00BB7074" w:rsidR="00060D72">
        <w:rPr>
          <w:rFonts w:ascii="Verdana" w:hAnsi="Verdana"/>
          <w:sz w:val="18"/>
          <w:szCs w:val="18"/>
          <w:lang w:val="nl-NL"/>
        </w:rPr>
        <w:t>b</w:t>
      </w:r>
      <w:r w:rsidRPr="00BB7074">
        <w:rPr>
          <w:rFonts w:ascii="Verdana" w:hAnsi="Verdana"/>
          <w:sz w:val="18"/>
          <w:szCs w:val="18"/>
          <w:lang w:val="nl-NL"/>
        </w:rPr>
        <w:t>eleggingsinstelling</w:t>
      </w:r>
      <w:r w:rsidRPr="00BB7074" w:rsidR="00060D72">
        <w:rPr>
          <w:rFonts w:ascii="Verdana" w:hAnsi="Verdana"/>
          <w:sz w:val="18"/>
          <w:szCs w:val="18"/>
          <w:lang w:val="nl-NL"/>
        </w:rPr>
        <w:t xml:space="preserve"> als bedoeld in artikel 28 Wet </w:t>
      </w:r>
      <w:proofErr w:type="spellStart"/>
      <w:r w:rsidRPr="00BB7074" w:rsidR="00060D72">
        <w:rPr>
          <w:rFonts w:ascii="Verdana" w:hAnsi="Verdana"/>
          <w:sz w:val="18"/>
          <w:szCs w:val="18"/>
          <w:lang w:val="nl-NL"/>
        </w:rPr>
        <w:t>Vpb</w:t>
      </w:r>
      <w:proofErr w:type="spellEnd"/>
      <w:r w:rsidRPr="00BB7074" w:rsidR="00060D72">
        <w:rPr>
          <w:rFonts w:ascii="Verdana" w:hAnsi="Verdana"/>
          <w:sz w:val="18"/>
          <w:szCs w:val="18"/>
          <w:lang w:val="nl-NL"/>
        </w:rPr>
        <w:t xml:space="preserve"> 1969</w:t>
      </w:r>
      <w:r w:rsidRPr="00BB7074">
        <w:rPr>
          <w:rFonts w:ascii="Verdana" w:hAnsi="Verdana"/>
          <w:sz w:val="18"/>
          <w:szCs w:val="18"/>
          <w:lang w:val="nl-NL"/>
        </w:rPr>
        <w:t>.</w:t>
      </w:r>
    </w:p>
    <w:p w:rsidRPr="00BB7074" w:rsidR="00CC4D7C" w:rsidP="00FC2294" w:rsidRDefault="00CC4D7C" w14:paraId="1CC71B0B" w14:textId="3574FA0B">
      <w:pPr>
        <w:rPr>
          <w:rFonts w:ascii="Verdana" w:hAnsi="Verdana"/>
          <w:sz w:val="18"/>
          <w:szCs w:val="18"/>
          <w:lang w:val="nl-NL"/>
        </w:rPr>
      </w:pPr>
      <w:r w:rsidRPr="00BB7074">
        <w:rPr>
          <w:rFonts w:ascii="Verdana" w:hAnsi="Verdana"/>
          <w:sz w:val="18"/>
          <w:szCs w:val="18"/>
          <w:lang w:val="nl-NL"/>
        </w:rPr>
        <w:t xml:space="preserve">Het derde lid </w:t>
      </w:r>
      <w:r w:rsidR="006C40CD">
        <w:rPr>
          <w:rFonts w:ascii="Verdana" w:hAnsi="Verdana"/>
          <w:sz w:val="18"/>
          <w:szCs w:val="18"/>
          <w:lang w:val="nl-NL"/>
        </w:rPr>
        <w:t xml:space="preserve">van artikel 10 </w:t>
      </w:r>
      <w:r w:rsidRPr="00BB7074">
        <w:rPr>
          <w:rFonts w:ascii="Verdana" w:hAnsi="Verdana"/>
          <w:sz w:val="18"/>
          <w:szCs w:val="18"/>
          <w:lang w:val="nl-NL"/>
        </w:rPr>
        <w:t xml:space="preserve">definieert het </w:t>
      </w:r>
      <w:r w:rsidRPr="00BB7074" w:rsidR="008B5BF7">
        <w:rPr>
          <w:rFonts w:ascii="Verdana" w:hAnsi="Verdana"/>
          <w:sz w:val="18"/>
          <w:szCs w:val="18"/>
          <w:lang w:val="nl-NL"/>
        </w:rPr>
        <w:t>begrip</w:t>
      </w:r>
      <w:r w:rsidRPr="00BB7074">
        <w:rPr>
          <w:rFonts w:ascii="Verdana" w:hAnsi="Verdana"/>
          <w:sz w:val="18"/>
          <w:szCs w:val="18"/>
          <w:lang w:val="nl-NL"/>
        </w:rPr>
        <w:t xml:space="preserve"> dividenden voor </w:t>
      </w:r>
      <w:r w:rsidRPr="00BB7074" w:rsidR="00060D72">
        <w:rPr>
          <w:rFonts w:ascii="Verdana" w:hAnsi="Verdana"/>
          <w:sz w:val="18"/>
          <w:szCs w:val="18"/>
          <w:lang w:val="nl-NL"/>
        </w:rPr>
        <w:t xml:space="preserve">de toepassing van </w:t>
      </w:r>
      <w:r w:rsidRPr="00BB7074">
        <w:rPr>
          <w:rFonts w:ascii="Verdana" w:hAnsi="Verdana"/>
          <w:sz w:val="18"/>
          <w:szCs w:val="18"/>
          <w:lang w:val="nl-NL"/>
        </w:rPr>
        <w:t>dit artikel. De eerste zin bevat de gebruikelijke omschrijving die ook te vinden is in het OESO</w:t>
      </w:r>
      <w:r w:rsidRPr="00BB7074" w:rsidR="00C70480">
        <w:rPr>
          <w:rFonts w:ascii="Verdana" w:hAnsi="Verdana"/>
          <w:sz w:val="18"/>
          <w:szCs w:val="18"/>
          <w:lang w:val="nl-NL"/>
        </w:rPr>
        <w:t>-</w:t>
      </w:r>
      <w:r w:rsidRPr="00BB7074">
        <w:rPr>
          <w:rFonts w:ascii="Verdana" w:hAnsi="Verdana"/>
          <w:sz w:val="18"/>
          <w:szCs w:val="18"/>
          <w:lang w:val="nl-NL"/>
        </w:rPr>
        <w:t xml:space="preserve"> en VN</w:t>
      </w:r>
      <w:r w:rsidRPr="00BB7074" w:rsidR="00C70480">
        <w:rPr>
          <w:rFonts w:ascii="Verdana" w:hAnsi="Verdana"/>
          <w:sz w:val="18"/>
          <w:szCs w:val="18"/>
          <w:lang w:val="nl-NL"/>
        </w:rPr>
        <w:t>-modelverdrag</w:t>
      </w:r>
      <w:r w:rsidRPr="00BB7074">
        <w:rPr>
          <w:rFonts w:ascii="Verdana" w:hAnsi="Verdana"/>
          <w:sz w:val="18"/>
          <w:szCs w:val="18"/>
          <w:lang w:val="nl-NL"/>
        </w:rPr>
        <w:t xml:space="preserve">. De tweede zin is op verzoek van Colombia opgenomen en bepaalt dat ook de </w:t>
      </w:r>
      <w:r w:rsidRPr="00BB7074" w:rsidR="008B5BF7">
        <w:rPr>
          <w:rFonts w:ascii="Verdana" w:hAnsi="Verdana"/>
          <w:sz w:val="18"/>
          <w:szCs w:val="18"/>
          <w:lang w:val="nl-NL"/>
        </w:rPr>
        <w:t>repatriëring</w:t>
      </w:r>
      <w:r w:rsidRPr="00BB7074">
        <w:rPr>
          <w:rFonts w:ascii="Verdana" w:hAnsi="Verdana"/>
          <w:sz w:val="18"/>
          <w:szCs w:val="18"/>
          <w:lang w:val="nl-NL"/>
        </w:rPr>
        <w:t xml:space="preserve"> naar het hoofdhuis van winsten van een vaste inrichting als dividend word</w:t>
      </w:r>
      <w:r w:rsidRPr="00BB7074" w:rsidR="00093539">
        <w:rPr>
          <w:rFonts w:ascii="Verdana" w:hAnsi="Verdana"/>
          <w:sz w:val="18"/>
          <w:szCs w:val="18"/>
          <w:lang w:val="nl-NL"/>
        </w:rPr>
        <w:t>t</w:t>
      </w:r>
      <w:r w:rsidRPr="00BB7074">
        <w:rPr>
          <w:rFonts w:ascii="Verdana" w:hAnsi="Verdana"/>
          <w:sz w:val="18"/>
          <w:szCs w:val="18"/>
          <w:lang w:val="nl-NL"/>
        </w:rPr>
        <w:t xml:space="preserve"> beschouwd. Doel van deze bepaling </w:t>
      </w:r>
      <w:r w:rsidRPr="00BB7074" w:rsidR="001C26B4">
        <w:rPr>
          <w:rFonts w:ascii="Verdana" w:hAnsi="Verdana"/>
          <w:sz w:val="18"/>
          <w:szCs w:val="18"/>
          <w:lang w:val="nl-NL"/>
        </w:rPr>
        <w:t xml:space="preserve">is </w:t>
      </w:r>
      <w:r w:rsidRPr="00BB7074">
        <w:rPr>
          <w:rFonts w:ascii="Verdana" w:hAnsi="Verdana"/>
          <w:sz w:val="18"/>
          <w:szCs w:val="18"/>
          <w:lang w:val="nl-NL"/>
        </w:rPr>
        <w:t xml:space="preserve">dat winsten van Nederlandse ondernemingen in Colombia even zwaar belast worden, ongeacht de vraag of deze in een dochteronderneming of in een vaste inrichting worden behaald. </w:t>
      </w:r>
      <w:r w:rsidRPr="00BB7074" w:rsidR="00DE27B6">
        <w:rPr>
          <w:rFonts w:ascii="Verdana" w:hAnsi="Verdana"/>
          <w:sz w:val="18"/>
          <w:szCs w:val="18"/>
          <w:lang w:val="nl-NL"/>
        </w:rPr>
        <w:t>Hoewel Nederland een dergelijke benadering niet kent</w:t>
      </w:r>
      <w:r w:rsidRPr="00BB7074" w:rsidR="00DF66CD">
        <w:rPr>
          <w:rFonts w:ascii="Verdana" w:hAnsi="Verdana"/>
          <w:sz w:val="18"/>
          <w:szCs w:val="18"/>
          <w:lang w:val="nl-NL"/>
        </w:rPr>
        <w:t>,</w:t>
      </w:r>
      <w:r w:rsidRPr="00BB7074" w:rsidR="00DE27B6">
        <w:rPr>
          <w:rFonts w:ascii="Verdana" w:hAnsi="Verdana"/>
          <w:sz w:val="18"/>
          <w:szCs w:val="18"/>
          <w:lang w:val="nl-NL"/>
        </w:rPr>
        <w:t xml:space="preserve"> bestond er bij de Nederlandse de</w:t>
      </w:r>
      <w:r w:rsidRPr="00BB7074" w:rsidR="006B3728">
        <w:rPr>
          <w:rFonts w:ascii="Verdana" w:hAnsi="Verdana"/>
          <w:sz w:val="18"/>
          <w:szCs w:val="18"/>
          <w:lang w:val="nl-NL"/>
        </w:rPr>
        <w:t>legatie begrip voor de Colombiaanse wens</w:t>
      </w:r>
      <w:r w:rsidRPr="00BB7074" w:rsidR="00552604">
        <w:rPr>
          <w:rFonts w:ascii="Verdana" w:hAnsi="Verdana"/>
          <w:sz w:val="18"/>
          <w:szCs w:val="18"/>
          <w:lang w:val="nl-NL"/>
        </w:rPr>
        <w:t>.</w:t>
      </w:r>
      <w:r w:rsidRPr="00BB7074" w:rsidR="006B3728">
        <w:rPr>
          <w:rFonts w:ascii="Verdana" w:hAnsi="Verdana"/>
          <w:sz w:val="18"/>
          <w:szCs w:val="18"/>
          <w:lang w:val="nl-NL"/>
        </w:rPr>
        <w:t xml:space="preserve"> </w:t>
      </w:r>
      <w:r w:rsidRPr="00BB7074" w:rsidR="005B2A26">
        <w:rPr>
          <w:rFonts w:ascii="Verdana" w:hAnsi="Verdana"/>
          <w:sz w:val="18"/>
          <w:szCs w:val="18"/>
          <w:lang w:val="nl-NL"/>
        </w:rPr>
        <w:t xml:space="preserve">Op verzoek van de Nederlandse delegatie en in lijn met de hierboven beschreven gelijke behandeling is in het tweede lid van </w:t>
      </w:r>
      <w:r w:rsidRPr="00BB7074" w:rsidR="00DF66CD">
        <w:rPr>
          <w:rFonts w:ascii="Verdana" w:hAnsi="Verdana"/>
          <w:sz w:val="18"/>
          <w:szCs w:val="18"/>
          <w:lang w:val="nl-NL"/>
        </w:rPr>
        <w:t>a</w:t>
      </w:r>
      <w:r w:rsidRPr="00BB7074" w:rsidR="005B2A26">
        <w:rPr>
          <w:rFonts w:ascii="Verdana" w:hAnsi="Verdana"/>
          <w:sz w:val="18"/>
          <w:szCs w:val="18"/>
          <w:lang w:val="nl-NL"/>
        </w:rPr>
        <w:t xml:space="preserve">rtikel VIII van het Protocol opgenomen dat het verlaagde tarief voor deelnemingsdividenden ook voor deze </w:t>
      </w:r>
      <w:r w:rsidRPr="00BB7074" w:rsidR="008B5BF7">
        <w:rPr>
          <w:rFonts w:ascii="Verdana" w:hAnsi="Verdana"/>
          <w:sz w:val="18"/>
          <w:szCs w:val="18"/>
          <w:lang w:val="nl-NL"/>
        </w:rPr>
        <w:t>repatriëring</w:t>
      </w:r>
      <w:r w:rsidRPr="00BB7074" w:rsidR="005B2A26">
        <w:rPr>
          <w:rFonts w:ascii="Verdana" w:hAnsi="Verdana"/>
          <w:sz w:val="18"/>
          <w:szCs w:val="18"/>
          <w:lang w:val="nl-NL"/>
        </w:rPr>
        <w:t xml:space="preserve"> van vaste inrichtingswinsten geldt.</w:t>
      </w:r>
    </w:p>
    <w:p w:rsidRPr="00BB7074" w:rsidR="006B3728" w:rsidP="00FC2294" w:rsidRDefault="006B3728" w14:paraId="4B83A2DF" w14:textId="21C1A6FE">
      <w:pPr>
        <w:rPr>
          <w:rFonts w:ascii="Verdana" w:hAnsi="Verdana"/>
          <w:sz w:val="18"/>
          <w:szCs w:val="18"/>
          <w:lang w:val="nl-NL"/>
        </w:rPr>
      </w:pPr>
      <w:r w:rsidRPr="00BB7074">
        <w:rPr>
          <w:rFonts w:ascii="Verdana" w:hAnsi="Verdana"/>
          <w:sz w:val="18"/>
          <w:szCs w:val="18"/>
          <w:lang w:val="nl-NL"/>
        </w:rPr>
        <w:t xml:space="preserve">Ook het vierde lid is opgenomen op verzoek van Colombia. </w:t>
      </w:r>
      <w:r w:rsidRPr="00BB7074" w:rsidR="00DF66CD">
        <w:rPr>
          <w:rFonts w:ascii="Verdana" w:hAnsi="Verdana"/>
          <w:sz w:val="18"/>
          <w:szCs w:val="18"/>
          <w:lang w:val="nl-NL"/>
        </w:rPr>
        <w:t xml:space="preserve">Dat lid </w:t>
      </w:r>
      <w:r w:rsidRPr="00BB7074">
        <w:rPr>
          <w:rFonts w:ascii="Verdana" w:hAnsi="Verdana"/>
          <w:sz w:val="18"/>
          <w:szCs w:val="18"/>
          <w:lang w:val="nl-NL"/>
        </w:rPr>
        <w:t xml:space="preserve">regelt dat Colombia niet beperkt wordt in de heffing van belasting op dividenden uit onbelaste winst. </w:t>
      </w:r>
      <w:r w:rsidRPr="00BB7074" w:rsidR="005B2A26">
        <w:rPr>
          <w:rFonts w:ascii="Verdana" w:hAnsi="Verdana"/>
          <w:sz w:val="18"/>
          <w:szCs w:val="18"/>
          <w:lang w:val="nl-NL"/>
        </w:rPr>
        <w:t xml:space="preserve">Om herinvesteringen in eigen land aan te moedigen verleent Colombia in een aantal gevallen vrijstelling van vennootschapsbelasting totdat dividend wordt uitgekeerd. Op het moment van dividenduitkering wordt dan, behalve een belasting op de uitgekeerde dividenden, ook alsnog </w:t>
      </w:r>
      <w:r w:rsidRPr="00BB7074" w:rsidR="00AF0689">
        <w:rPr>
          <w:rFonts w:ascii="Verdana" w:hAnsi="Verdana"/>
          <w:sz w:val="18"/>
          <w:szCs w:val="18"/>
          <w:lang w:val="nl-NL"/>
        </w:rPr>
        <w:t>vennootschapsbelasting geheven</w:t>
      </w:r>
      <w:r w:rsidRPr="00BB7074" w:rsidR="00742902">
        <w:rPr>
          <w:rFonts w:ascii="Verdana" w:hAnsi="Verdana"/>
          <w:sz w:val="18"/>
          <w:szCs w:val="18"/>
          <w:lang w:val="nl-NL"/>
        </w:rPr>
        <w:t xml:space="preserve">. </w:t>
      </w:r>
      <w:r w:rsidRPr="00BB7074" w:rsidR="007E6CF9">
        <w:rPr>
          <w:rFonts w:ascii="Verdana" w:hAnsi="Verdana"/>
          <w:sz w:val="18"/>
          <w:szCs w:val="18"/>
          <w:lang w:val="nl-NL"/>
        </w:rPr>
        <w:t xml:space="preserve">Voor </w:t>
      </w:r>
      <w:r w:rsidRPr="00BB7074" w:rsidR="00DF66CD">
        <w:rPr>
          <w:rFonts w:ascii="Verdana" w:hAnsi="Verdana"/>
          <w:sz w:val="18"/>
          <w:szCs w:val="18"/>
          <w:lang w:val="nl-NL"/>
        </w:rPr>
        <w:t xml:space="preserve">het bepalen van </w:t>
      </w:r>
      <w:r w:rsidRPr="00BB7074" w:rsidR="007E6CF9">
        <w:rPr>
          <w:rFonts w:ascii="Verdana" w:hAnsi="Verdana"/>
          <w:sz w:val="18"/>
          <w:szCs w:val="18"/>
          <w:lang w:val="nl-NL"/>
        </w:rPr>
        <w:t xml:space="preserve">de </w:t>
      </w:r>
      <w:proofErr w:type="spellStart"/>
      <w:r w:rsidRPr="00BB7074" w:rsidR="00DF66CD">
        <w:rPr>
          <w:rFonts w:ascii="Verdana" w:hAnsi="Verdana"/>
          <w:sz w:val="18"/>
          <w:szCs w:val="18"/>
          <w:lang w:val="nl-NL"/>
        </w:rPr>
        <w:t>verschuldide</w:t>
      </w:r>
      <w:proofErr w:type="spellEnd"/>
      <w:r w:rsidRPr="00BB7074" w:rsidR="00DF66CD">
        <w:rPr>
          <w:rFonts w:ascii="Verdana" w:hAnsi="Verdana"/>
          <w:sz w:val="18"/>
          <w:szCs w:val="18"/>
          <w:lang w:val="nl-NL"/>
        </w:rPr>
        <w:t xml:space="preserve"> </w:t>
      </w:r>
      <w:r w:rsidRPr="00BB7074" w:rsidR="007E6CF9">
        <w:rPr>
          <w:rFonts w:ascii="Verdana" w:hAnsi="Verdana"/>
          <w:sz w:val="18"/>
          <w:szCs w:val="18"/>
          <w:lang w:val="nl-NL"/>
        </w:rPr>
        <w:t xml:space="preserve">dividendbelasting wordt dan rekening gehouden met de alsnog geheven vennootschapsbelasting. </w:t>
      </w:r>
      <w:r w:rsidRPr="00BB7074" w:rsidR="00AF0689">
        <w:rPr>
          <w:rFonts w:ascii="Verdana" w:hAnsi="Verdana"/>
          <w:sz w:val="18"/>
          <w:szCs w:val="18"/>
          <w:lang w:val="nl-NL"/>
        </w:rPr>
        <w:t>Ook hier had de Nederlandse delegatie begrip voor.</w:t>
      </w:r>
    </w:p>
    <w:p w:rsidRPr="00BB7074" w:rsidR="003E2D64" w:rsidP="00FC2294" w:rsidRDefault="003E2D64" w14:paraId="2D041B32" w14:textId="75EE19E4">
      <w:pPr>
        <w:rPr>
          <w:rFonts w:ascii="Verdana" w:hAnsi="Verdana"/>
          <w:sz w:val="18"/>
          <w:szCs w:val="18"/>
          <w:lang w:val="nl-NL"/>
        </w:rPr>
      </w:pPr>
      <w:r w:rsidRPr="00BB7074">
        <w:rPr>
          <w:rFonts w:ascii="Verdana" w:hAnsi="Verdana"/>
          <w:sz w:val="18"/>
          <w:szCs w:val="18"/>
          <w:lang w:val="nl-NL"/>
        </w:rPr>
        <w:t>Het vijfde en zesde lid zijn bepalingen die ook in het OESO</w:t>
      </w:r>
      <w:r w:rsidRPr="00BB7074" w:rsidR="000860E2">
        <w:rPr>
          <w:rFonts w:ascii="Verdana" w:hAnsi="Verdana"/>
          <w:sz w:val="18"/>
          <w:szCs w:val="18"/>
          <w:lang w:val="nl-NL"/>
        </w:rPr>
        <w:t xml:space="preserve">- </w:t>
      </w:r>
      <w:r w:rsidRPr="00BB7074">
        <w:rPr>
          <w:rFonts w:ascii="Verdana" w:hAnsi="Verdana"/>
          <w:sz w:val="18"/>
          <w:szCs w:val="18"/>
          <w:lang w:val="nl-NL"/>
        </w:rPr>
        <w:t>en het VN</w:t>
      </w:r>
      <w:r w:rsidRPr="00BB7074" w:rsidR="0080504F">
        <w:rPr>
          <w:rFonts w:ascii="Verdana" w:hAnsi="Verdana"/>
          <w:sz w:val="18"/>
          <w:szCs w:val="18"/>
          <w:lang w:val="nl-NL"/>
        </w:rPr>
        <w:t>-m</w:t>
      </w:r>
      <w:r w:rsidRPr="00BB7074">
        <w:rPr>
          <w:rFonts w:ascii="Verdana" w:hAnsi="Verdana"/>
          <w:sz w:val="18"/>
          <w:szCs w:val="18"/>
          <w:lang w:val="nl-NL"/>
        </w:rPr>
        <w:t>odel</w:t>
      </w:r>
      <w:r w:rsidRPr="00BB7074" w:rsidR="0080504F">
        <w:rPr>
          <w:rFonts w:ascii="Verdana" w:hAnsi="Verdana"/>
          <w:sz w:val="18"/>
          <w:szCs w:val="18"/>
          <w:lang w:val="nl-NL"/>
        </w:rPr>
        <w:t>verdrag</w:t>
      </w:r>
      <w:r w:rsidRPr="00BB7074">
        <w:rPr>
          <w:rFonts w:ascii="Verdana" w:hAnsi="Verdana"/>
          <w:sz w:val="18"/>
          <w:szCs w:val="18"/>
          <w:lang w:val="nl-NL"/>
        </w:rPr>
        <w:t xml:space="preserve"> zijn</w:t>
      </w:r>
      <w:r w:rsidRPr="00BB7074" w:rsidR="00DF66CD">
        <w:rPr>
          <w:rFonts w:ascii="Verdana" w:hAnsi="Verdana"/>
          <w:sz w:val="18"/>
          <w:szCs w:val="18"/>
          <w:lang w:val="nl-NL"/>
        </w:rPr>
        <w:t xml:space="preserve"> opgenomen</w:t>
      </w:r>
      <w:r w:rsidRPr="00BB7074">
        <w:rPr>
          <w:rFonts w:ascii="Verdana" w:hAnsi="Verdana"/>
          <w:sz w:val="18"/>
          <w:szCs w:val="18"/>
          <w:lang w:val="nl-NL"/>
        </w:rPr>
        <w:t xml:space="preserve">. Het vijfde lid regelt dat </w:t>
      </w:r>
      <w:r w:rsidRPr="00BB7074" w:rsidR="00DF66CD">
        <w:rPr>
          <w:rFonts w:ascii="Verdana" w:hAnsi="Verdana"/>
          <w:sz w:val="18"/>
          <w:szCs w:val="18"/>
          <w:lang w:val="nl-NL"/>
        </w:rPr>
        <w:t xml:space="preserve">de </w:t>
      </w:r>
      <w:r w:rsidRPr="00BB7074">
        <w:rPr>
          <w:rFonts w:ascii="Verdana" w:hAnsi="Verdana"/>
          <w:sz w:val="18"/>
          <w:szCs w:val="18"/>
          <w:lang w:val="nl-NL"/>
        </w:rPr>
        <w:t>bron</w:t>
      </w:r>
      <w:r w:rsidRPr="00BB7074" w:rsidR="00DF66CD">
        <w:rPr>
          <w:rFonts w:ascii="Verdana" w:hAnsi="Verdana"/>
          <w:sz w:val="18"/>
          <w:szCs w:val="18"/>
          <w:lang w:val="nl-NL"/>
        </w:rPr>
        <w:t>staat</w:t>
      </w:r>
      <w:r w:rsidRPr="00BB7074">
        <w:rPr>
          <w:rFonts w:ascii="Verdana" w:hAnsi="Verdana"/>
          <w:sz w:val="18"/>
          <w:szCs w:val="18"/>
          <w:lang w:val="nl-NL"/>
        </w:rPr>
        <w:t xml:space="preserve"> niet wordt beperkt in zijn heffingsrechten </w:t>
      </w:r>
      <w:r w:rsidRPr="00BB7074" w:rsidR="00934611">
        <w:rPr>
          <w:rFonts w:ascii="Verdana" w:hAnsi="Verdana"/>
          <w:sz w:val="18"/>
          <w:szCs w:val="18"/>
          <w:lang w:val="nl-NL"/>
        </w:rPr>
        <w:t xml:space="preserve">door de bepalingen van het eerste, tweede en zevende lid </w:t>
      </w:r>
      <w:r w:rsidRPr="00BB7074">
        <w:rPr>
          <w:rFonts w:ascii="Verdana" w:hAnsi="Verdana"/>
          <w:sz w:val="18"/>
          <w:szCs w:val="18"/>
          <w:lang w:val="nl-NL"/>
        </w:rPr>
        <w:t xml:space="preserve">als de dividenden weliswaar worden uitbetaald aan een inwoner van </w:t>
      </w:r>
      <w:r w:rsidRPr="00BB7074" w:rsidR="00DF66CD">
        <w:rPr>
          <w:rFonts w:ascii="Verdana" w:hAnsi="Verdana"/>
          <w:sz w:val="18"/>
          <w:szCs w:val="18"/>
          <w:lang w:val="nl-NL"/>
        </w:rPr>
        <w:t xml:space="preserve">de </w:t>
      </w:r>
      <w:r w:rsidRPr="00BB7074">
        <w:rPr>
          <w:rFonts w:ascii="Verdana" w:hAnsi="Verdana"/>
          <w:sz w:val="18"/>
          <w:szCs w:val="18"/>
          <w:lang w:val="nl-NL"/>
        </w:rPr>
        <w:t xml:space="preserve">andere </w:t>
      </w:r>
      <w:r w:rsidRPr="00BB7074" w:rsidR="00DF66CD">
        <w:rPr>
          <w:rFonts w:ascii="Verdana" w:hAnsi="Verdana"/>
          <w:sz w:val="18"/>
          <w:szCs w:val="18"/>
          <w:lang w:val="nl-NL"/>
        </w:rPr>
        <w:t>verdragsluitende staat</w:t>
      </w:r>
      <w:r w:rsidRPr="00BB7074" w:rsidR="00753049">
        <w:rPr>
          <w:rFonts w:ascii="Verdana" w:hAnsi="Verdana"/>
          <w:sz w:val="18"/>
          <w:szCs w:val="18"/>
          <w:lang w:val="nl-NL"/>
        </w:rPr>
        <w:t xml:space="preserve"> die de uiteindelijk gerechtigde tot de dividenden is</w:t>
      </w:r>
      <w:r w:rsidRPr="00BB7074">
        <w:rPr>
          <w:rFonts w:ascii="Verdana" w:hAnsi="Verdana"/>
          <w:sz w:val="18"/>
          <w:szCs w:val="18"/>
          <w:lang w:val="nl-NL"/>
        </w:rPr>
        <w:t xml:space="preserve">, maar deze dividenden zijn toe te rekenen aan een vaste inrichting die hij </w:t>
      </w:r>
      <w:r w:rsidRPr="00BB7074" w:rsidR="00DF66CD">
        <w:rPr>
          <w:rFonts w:ascii="Verdana" w:hAnsi="Verdana"/>
          <w:sz w:val="18"/>
          <w:szCs w:val="18"/>
          <w:lang w:val="nl-NL"/>
        </w:rPr>
        <w:t xml:space="preserve">heeft </w:t>
      </w:r>
      <w:r w:rsidRPr="00BB7074">
        <w:rPr>
          <w:rFonts w:ascii="Verdana" w:hAnsi="Verdana"/>
          <w:sz w:val="18"/>
          <w:szCs w:val="18"/>
          <w:lang w:val="nl-NL"/>
        </w:rPr>
        <w:t xml:space="preserve">in </w:t>
      </w:r>
      <w:r w:rsidRPr="00BB7074" w:rsidR="00DF66CD">
        <w:rPr>
          <w:rFonts w:ascii="Verdana" w:hAnsi="Verdana"/>
          <w:sz w:val="18"/>
          <w:szCs w:val="18"/>
          <w:lang w:val="nl-NL"/>
        </w:rPr>
        <w:t xml:space="preserve">de </w:t>
      </w:r>
      <w:r w:rsidRPr="00BB7074">
        <w:rPr>
          <w:rFonts w:ascii="Verdana" w:hAnsi="Verdana"/>
          <w:sz w:val="18"/>
          <w:szCs w:val="18"/>
          <w:lang w:val="nl-NL"/>
        </w:rPr>
        <w:t xml:space="preserve">eerstgenoemde </w:t>
      </w:r>
      <w:r w:rsidRPr="00BB7074" w:rsidR="00DF66CD">
        <w:rPr>
          <w:rFonts w:ascii="Verdana" w:hAnsi="Verdana"/>
          <w:sz w:val="18"/>
          <w:szCs w:val="18"/>
          <w:lang w:val="nl-NL"/>
        </w:rPr>
        <w:t>staat</w:t>
      </w:r>
      <w:r w:rsidRPr="00BB7074">
        <w:rPr>
          <w:rFonts w:ascii="Verdana" w:hAnsi="Verdana"/>
          <w:sz w:val="18"/>
          <w:szCs w:val="18"/>
          <w:lang w:val="nl-NL"/>
        </w:rPr>
        <w:t xml:space="preserve">. </w:t>
      </w:r>
      <w:r w:rsidRPr="00BB7074" w:rsidR="00934611">
        <w:rPr>
          <w:rFonts w:ascii="Verdana" w:hAnsi="Verdana"/>
          <w:sz w:val="18"/>
          <w:szCs w:val="18"/>
          <w:lang w:val="nl-NL"/>
        </w:rPr>
        <w:t xml:space="preserve">In dat geval zijn de bepalingen van artikel 7 (Winst uit onderneming) van toepassing. </w:t>
      </w:r>
      <w:r w:rsidRPr="00BB7074" w:rsidR="000775ED">
        <w:rPr>
          <w:rFonts w:ascii="Verdana" w:hAnsi="Verdana"/>
          <w:sz w:val="18"/>
          <w:szCs w:val="18"/>
          <w:lang w:val="nl-NL"/>
        </w:rPr>
        <w:t xml:space="preserve">Het zesde lid </w:t>
      </w:r>
      <w:r w:rsidRPr="00BB7074" w:rsidR="00934611">
        <w:rPr>
          <w:rFonts w:ascii="Verdana" w:hAnsi="Verdana"/>
          <w:sz w:val="18"/>
          <w:szCs w:val="18"/>
          <w:lang w:val="nl-NL"/>
        </w:rPr>
        <w:t>regelt expliciet</w:t>
      </w:r>
      <w:r w:rsidRPr="00BB7074" w:rsidR="000775ED">
        <w:rPr>
          <w:rFonts w:ascii="Verdana" w:hAnsi="Verdana"/>
          <w:sz w:val="18"/>
          <w:szCs w:val="18"/>
          <w:lang w:val="nl-NL"/>
        </w:rPr>
        <w:t xml:space="preserve"> dat een </w:t>
      </w:r>
      <w:r w:rsidRPr="00BB7074" w:rsidR="00DF66CD">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sidR="000775ED">
        <w:rPr>
          <w:rFonts w:ascii="Verdana" w:hAnsi="Verdana"/>
          <w:sz w:val="18"/>
          <w:szCs w:val="18"/>
          <w:lang w:val="nl-NL"/>
        </w:rPr>
        <w:t xml:space="preserve"> geen belasting mag heffen op dividenden uitgekeerd door een </w:t>
      </w:r>
      <w:r w:rsidRPr="00BB7074" w:rsidR="00753049">
        <w:rPr>
          <w:rFonts w:ascii="Verdana" w:hAnsi="Verdana"/>
          <w:sz w:val="18"/>
          <w:szCs w:val="18"/>
          <w:lang w:val="nl-NL"/>
        </w:rPr>
        <w:t xml:space="preserve">lichaam dat </w:t>
      </w:r>
      <w:r w:rsidRPr="00BB7074" w:rsidR="000775ED">
        <w:rPr>
          <w:rFonts w:ascii="Verdana" w:hAnsi="Verdana"/>
          <w:sz w:val="18"/>
          <w:szCs w:val="18"/>
          <w:lang w:val="nl-NL"/>
        </w:rPr>
        <w:t xml:space="preserve">inwoner is van de andere </w:t>
      </w:r>
      <w:r w:rsidRPr="00BB7074" w:rsidR="008B5BF7">
        <w:rPr>
          <w:rFonts w:ascii="Verdana" w:hAnsi="Verdana"/>
          <w:sz w:val="18"/>
          <w:szCs w:val="18"/>
          <w:lang w:val="nl-NL"/>
        </w:rPr>
        <w:t>staat</w:t>
      </w:r>
      <w:r w:rsidRPr="00BB7074" w:rsidR="000775ED">
        <w:rPr>
          <w:rFonts w:ascii="Verdana" w:hAnsi="Verdana"/>
          <w:sz w:val="18"/>
          <w:szCs w:val="18"/>
          <w:lang w:val="nl-NL"/>
        </w:rPr>
        <w:t xml:space="preserve">, ook niet als die dividenden worden betaald uit winsten behaald in die eerstgenoemde </w:t>
      </w:r>
      <w:r w:rsidRPr="00BB7074" w:rsidR="008B5BF7">
        <w:rPr>
          <w:rFonts w:ascii="Verdana" w:hAnsi="Verdana"/>
          <w:sz w:val="18"/>
          <w:szCs w:val="18"/>
          <w:lang w:val="nl-NL"/>
        </w:rPr>
        <w:t>staat</w:t>
      </w:r>
      <w:r w:rsidRPr="00BB7074" w:rsidR="000775ED">
        <w:rPr>
          <w:rFonts w:ascii="Verdana" w:hAnsi="Verdana"/>
          <w:sz w:val="18"/>
          <w:szCs w:val="18"/>
          <w:lang w:val="nl-NL"/>
        </w:rPr>
        <w:t xml:space="preserve">. Evenmin mag die eerstgenoemde </w:t>
      </w:r>
      <w:r w:rsidRPr="00BB7074" w:rsidR="008B5BF7">
        <w:rPr>
          <w:rFonts w:ascii="Verdana" w:hAnsi="Verdana"/>
          <w:sz w:val="18"/>
          <w:szCs w:val="18"/>
          <w:lang w:val="nl-NL"/>
        </w:rPr>
        <w:t>staat</w:t>
      </w:r>
      <w:r w:rsidRPr="00BB7074" w:rsidR="000775ED">
        <w:rPr>
          <w:rFonts w:ascii="Verdana" w:hAnsi="Verdana"/>
          <w:sz w:val="18"/>
          <w:szCs w:val="18"/>
          <w:lang w:val="nl-NL"/>
        </w:rPr>
        <w:t xml:space="preserve"> belasting heffen op ingehouden winsten van </w:t>
      </w:r>
      <w:r w:rsidRPr="00BB7074" w:rsidR="00753049">
        <w:rPr>
          <w:rFonts w:ascii="Verdana" w:hAnsi="Verdana"/>
          <w:sz w:val="18"/>
          <w:szCs w:val="18"/>
          <w:lang w:val="nl-NL"/>
        </w:rPr>
        <w:t>dat lichaam</w:t>
      </w:r>
      <w:r w:rsidRPr="00BB7074" w:rsidR="000775ED">
        <w:rPr>
          <w:rFonts w:ascii="Verdana" w:hAnsi="Verdana"/>
          <w:sz w:val="18"/>
          <w:szCs w:val="18"/>
          <w:lang w:val="nl-NL"/>
        </w:rPr>
        <w:t>. Die beperking</w:t>
      </w:r>
      <w:r w:rsidRPr="00BB7074" w:rsidR="00934611">
        <w:rPr>
          <w:rFonts w:ascii="Verdana" w:hAnsi="Verdana"/>
          <w:sz w:val="18"/>
          <w:szCs w:val="18"/>
          <w:lang w:val="nl-NL"/>
        </w:rPr>
        <w:t>en</w:t>
      </w:r>
      <w:r w:rsidRPr="00BB7074" w:rsidR="000775ED">
        <w:rPr>
          <w:rFonts w:ascii="Verdana" w:hAnsi="Verdana"/>
          <w:sz w:val="18"/>
          <w:szCs w:val="18"/>
          <w:lang w:val="nl-NL"/>
        </w:rPr>
        <w:t xml:space="preserve"> geld</w:t>
      </w:r>
      <w:r w:rsidRPr="00BB7074" w:rsidR="00934611">
        <w:rPr>
          <w:rFonts w:ascii="Verdana" w:hAnsi="Verdana"/>
          <w:sz w:val="18"/>
          <w:szCs w:val="18"/>
          <w:lang w:val="nl-NL"/>
        </w:rPr>
        <w:t>en</w:t>
      </w:r>
      <w:r w:rsidRPr="00BB7074" w:rsidR="000775ED">
        <w:rPr>
          <w:rFonts w:ascii="Verdana" w:hAnsi="Verdana"/>
          <w:sz w:val="18"/>
          <w:szCs w:val="18"/>
          <w:lang w:val="nl-NL"/>
        </w:rPr>
        <w:t xml:space="preserve"> </w:t>
      </w:r>
      <w:r w:rsidRPr="00BB7074" w:rsidR="00934611">
        <w:rPr>
          <w:rFonts w:ascii="Verdana" w:hAnsi="Verdana"/>
          <w:sz w:val="18"/>
          <w:szCs w:val="18"/>
          <w:lang w:val="nl-NL"/>
        </w:rPr>
        <w:t xml:space="preserve">echter </w:t>
      </w:r>
      <w:r w:rsidRPr="00BB7074" w:rsidR="000775ED">
        <w:rPr>
          <w:rFonts w:ascii="Verdana" w:hAnsi="Verdana"/>
          <w:sz w:val="18"/>
          <w:szCs w:val="18"/>
          <w:lang w:val="nl-NL"/>
        </w:rPr>
        <w:t xml:space="preserve">niet als die dividenden worden </w:t>
      </w:r>
      <w:r w:rsidRPr="00BB7074" w:rsidR="00DF66CD">
        <w:rPr>
          <w:rFonts w:ascii="Verdana" w:hAnsi="Verdana"/>
          <w:sz w:val="18"/>
          <w:szCs w:val="18"/>
          <w:lang w:val="nl-NL"/>
        </w:rPr>
        <w:t xml:space="preserve">betaald </w:t>
      </w:r>
      <w:r w:rsidRPr="00BB7074" w:rsidR="000775ED">
        <w:rPr>
          <w:rFonts w:ascii="Verdana" w:hAnsi="Verdana"/>
          <w:sz w:val="18"/>
          <w:szCs w:val="18"/>
          <w:lang w:val="nl-NL"/>
        </w:rPr>
        <w:t xml:space="preserve">aan een inwoner van de eerstgenoemde </w:t>
      </w:r>
      <w:r w:rsidRPr="00BB7074" w:rsidR="008B5BF7">
        <w:rPr>
          <w:rFonts w:ascii="Verdana" w:hAnsi="Verdana"/>
          <w:sz w:val="18"/>
          <w:szCs w:val="18"/>
          <w:lang w:val="nl-NL"/>
        </w:rPr>
        <w:t>staat</w:t>
      </w:r>
      <w:r w:rsidRPr="00BB7074" w:rsidR="00934611">
        <w:rPr>
          <w:rFonts w:ascii="Verdana" w:hAnsi="Verdana"/>
          <w:sz w:val="18"/>
          <w:szCs w:val="18"/>
          <w:lang w:val="nl-NL"/>
        </w:rPr>
        <w:t xml:space="preserve"> of de dividenden zijn toe te rekenen aan een vaste inrichting in die staat</w:t>
      </w:r>
      <w:r w:rsidRPr="00BB7074" w:rsidR="000775ED">
        <w:rPr>
          <w:rFonts w:ascii="Verdana" w:hAnsi="Verdana"/>
          <w:sz w:val="18"/>
          <w:szCs w:val="18"/>
          <w:lang w:val="nl-NL"/>
        </w:rPr>
        <w:t>.</w:t>
      </w:r>
    </w:p>
    <w:p w:rsidRPr="00BB7074" w:rsidR="000775ED" w:rsidP="00FC2294" w:rsidRDefault="000775ED" w14:paraId="7E829A8A" w14:textId="547941AE">
      <w:pPr>
        <w:rPr>
          <w:rFonts w:ascii="Verdana" w:hAnsi="Verdana"/>
          <w:sz w:val="18"/>
          <w:szCs w:val="18"/>
          <w:lang w:val="nl-NL"/>
        </w:rPr>
      </w:pPr>
      <w:r w:rsidRPr="00BB7074">
        <w:rPr>
          <w:rFonts w:ascii="Verdana" w:hAnsi="Verdana"/>
          <w:sz w:val="18"/>
          <w:szCs w:val="18"/>
          <w:lang w:val="nl-NL"/>
        </w:rPr>
        <w:t xml:space="preserve">Het zevende lid is opgenomen op verzoek van Nederland en maakt duidelijk dat Nederland ook onder </w:t>
      </w:r>
      <w:r w:rsidRPr="00BB7074" w:rsidR="00DF66CD">
        <w:rPr>
          <w:rFonts w:ascii="Verdana" w:hAnsi="Verdana"/>
          <w:sz w:val="18"/>
          <w:szCs w:val="18"/>
          <w:lang w:val="nl-NL"/>
        </w:rPr>
        <w:t>het V</w:t>
      </w:r>
      <w:r w:rsidRPr="00BB7074">
        <w:rPr>
          <w:rFonts w:ascii="Verdana" w:hAnsi="Verdana"/>
          <w:sz w:val="18"/>
          <w:szCs w:val="18"/>
          <w:lang w:val="nl-NL"/>
        </w:rPr>
        <w:t>erdrag zijn nationale regels voor de heffing van belasting over het aanmerkelijk belang van een geëmigreerde aandeelhouder mag toepassen.</w:t>
      </w:r>
    </w:p>
    <w:p w:rsidRPr="00BB7074" w:rsidR="007E2AE2" w:rsidP="00B603B8" w:rsidRDefault="00936DF5" w14:paraId="7ACA2F85" w14:textId="3A77DC40">
      <w:pPr>
        <w:pStyle w:val="Heading2"/>
        <w:rPr>
          <w:lang w:val="nl-NL"/>
        </w:rPr>
      </w:pPr>
      <w:r w:rsidRPr="00BB7074">
        <w:rPr>
          <w:lang w:val="nl-NL"/>
        </w:rPr>
        <w:t xml:space="preserve">II.11. </w:t>
      </w:r>
      <w:r w:rsidRPr="00BB7074" w:rsidR="00020C05">
        <w:rPr>
          <w:lang w:val="nl-NL"/>
        </w:rPr>
        <w:t>Interest</w:t>
      </w:r>
      <w:r w:rsidRPr="00BB7074" w:rsidR="003453FA">
        <w:rPr>
          <w:lang w:val="nl-NL"/>
        </w:rPr>
        <w:t xml:space="preserve"> (</w:t>
      </w:r>
      <w:r w:rsidR="00A9054D">
        <w:rPr>
          <w:lang w:val="nl-NL"/>
        </w:rPr>
        <w:t xml:space="preserve">artikel 11 van het Verdrag </w:t>
      </w:r>
      <w:r w:rsidRPr="00BB7074" w:rsidR="003453FA">
        <w:rPr>
          <w:lang w:val="nl-NL"/>
        </w:rPr>
        <w:t>en artikel</w:t>
      </w:r>
      <w:r w:rsidRPr="00BB7074" w:rsidR="005C64C8">
        <w:rPr>
          <w:lang w:val="nl-NL"/>
        </w:rPr>
        <w:t xml:space="preserve"> XI</w:t>
      </w:r>
      <w:r w:rsidRPr="00BB7074" w:rsidR="003453FA">
        <w:rPr>
          <w:lang w:val="nl-NL"/>
        </w:rPr>
        <w:t xml:space="preserve"> van het Protocol)</w:t>
      </w:r>
    </w:p>
    <w:p w:rsidRPr="00BB7074" w:rsidR="008F11B6" w:rsidP="008F11B6" w:rsidRDefault="008F11B6" w14:paraId="6F6847BE" w14:textId="32BFC876">
      <w:pPr>
        <w:rPr>
          <w:rFonts w:ascii="Verdana" w:hAnsi="Verdana"/>
          <w:sz w:val="18"/>
          <w:szCs w:val="18"/>
          <w:lang w:val="nl-NL"/>
        </w:rPr>
      </w:pPr>
      <w:r w:rsidRPr="00BB7074">
        <w:rPr>
          <w:rFonts w:ascii="Verdana" w:hAnsi="Verdana"/>
          <w:sz w:val="18"/>
          <w:szCs w:val="18"/>
          <w:lang w:val="nl-NL"/>
        </w:rPr>
        <w:t>Artikel 11</w:t>
      </w:r>
      <w:r w:rsidRPr="00BB7074" w:rsidR="00B432C1">
        <w:rPr>
          <w:rFonts w:ascii="Verdana" w:hAnsi="Verdana"/>
          <w:sz w:val="18"/>
          <w:szCs w:val="18"/>
          <w:lang w:val="nl-NL"/>
        </w:rPr>
        <w:t xml:space="preserve"> van het Verdrag</w:t>
      </w:r>
      <w:r w:rsidRPr="00BB7074">
        <w:rPr>
          <w:rFonts w:ascii="Verdana" w:hAnsi="Verdana"/>
          <w:sz w:val="18"/>
          <w:szCs w:val="18"/>
          <w:lang w:val="nl-NL"/>
        </w:rPr>
        <w:t xml:space="preserve"> betreft de verdeling van heffingsrechten over </w:t>
      </w:r>
      <w:r w:rsidRPr="00BB7074" w:rsidR="00020C05">
        <w:rPr>
          <w:rFonts w:ascii="Verdana" w:hAnsi="Verdana"/>
          <w:sz w:val="18"/>
          <w:szCs w:val="18"/>
          <w:lang w:val="nl-NL"/>
        </w:rPr>
        <w:t>interest</w:t>
      </w:r>
      <w:r w:rsidRPr="00BB7074">
        <w:rPr>
          <w:rFonts w:ascii="Verdana" w:hAnsi="Verdana"/>
          <w:sz w:val="18"/>
          <w:szCs w:val="18"/>
          <w:lang w:val="nl-NL"/>
        </w:rPr>
        <w:t>. Het artikel sluit op hoofdlijnen aan bij artikel 11 van het OESO-modelverdrag, maar wijkt daar op onderdelen van af in het tweede, derde en vierde lid.</w:t>
      </w:r>
    </w:p>
    <w:p w:rsidRPr="00BB7074" w:rsidR="008F11B6" w:rsidP="008F11B6" w:rsidRDefault="008F11B6" w14:paraId="0E95340B" w14:textId="157BC207">
      <w:pPr>
        <w:rPr>
          <w:rFonts w:ascii="Verdana" w:hAnsi="Verdana"/>
          <w:sz w:val="18"/>
          <w:szCs w:val="18"/>
          <w:lang w:val="nl-NL"/>
        </w:rPr>
      </w:pPr>
      <w:r w:rsidRPr="00BB7074">
        <w:rPr>
          <w:rFonts w:ascii="Verdana" w:hAnsi="Verdana"/>
          <w:sz w:val="18"/>
          <w:szCs w:val="18"/>
          <w:lang w:val="nl-NL"/>
        </w:rPr>
        <w:lastRenderedPageBreak/>
        <w:t xml:space="preserve">Het eerste lid bepaalt dat </w:t>
      </w:r>
      <w:r w:rsidRPr="00BB7074" w:rsidR="00B432C1">
        <w:rPr>
          <w:rFonts w:ascii="Verdana" w:hAnsi="Verdana"/>
          <w:sz w:val="18"/>
          <w:szCs w:val="18"/>
          <w:lang w:val="nl-NL"/>
        </w:rPr>
        <w:t xml:space="preserve">interest </w:t>
      </w:r>
      <w:r w:rsidRPr="00BB7074" w:rsidR="007E6CF9">
        <w:rPr>
          <w:rFonts w:ascii="Verdana" w:hAnsi="Verdana"/>
          <w:sz w:val="18"/>
          <w:szCs w:val="18"/>
          <w:lang w:val="nl-NL"/>
        </w:rPr>
        <w:t xml:space="preserve">die </w:t>
      </w:r>
      <w:r w:rsidRPr="00BB7074">
        <w:rPr>
          <w:rFonts w:ascii="Verdana" w:hAnsi="Verdana"/>
          <w:sz w:val="18"/>
          <w:szCs w:val="18"/>
          <w:lang w:val="nl-NL"/>
        </w:rPr>
        <w:t xml:space="preserve">afkomstig is uit één van beide verdragsluitende staten en wordt betaald aan een inwoner van de andere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in die andere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mag worden belast.</w:t>
      </w:r>
    </w:p>
    <w:p w:rsidRPr="00BB7074" w:rsidR="00B65593" w:rsidP="004E50D5" w:rsidRDefault="00B65593" w14:paraId="662F1BB4" w14:textId="7D5DDBA6">
      <w:pPr>
        <w:rPr>
          <w:rFonts w:ascii="Verdana" w:hAnsi="Verdana"/>
          <w:sz w:val="18"/>
          <w:szCs w:val="18"/>
          <w:lang w:val="nl-NL"/>
        </w:rPr>
      </w:pPr>
      <w:r w:rsidRPr="00BB7074">
        <w:rPr>
          <w:rFonts w:ascii="Verdana" w:hAnsi="Verdana"/>
          <w:sz w:val="18"/>
          <w:szCs w:val="18"/>
          <w:lang w:val="nl-NL"/>
        </w:rPr>
        <w:t xml:space="preserve">Het tweede lid wijst echter ook een heffingsrecht toe aan de </w:t>
      </w:r>
      <w:r w:rsidRPr="00BB7074" w:rsidR="008B5BF7">
        <w:rPr>
          <w:rFonts w:ascii="Verdana" w:hAnsi="Verdana"/>
          <w:sz w:val="18"/>
          <w:szCs w:val="18"/>
          <w:lang w:val="nl-NL"/>
        </w:rPr>
        <w:t>staat</w:t>
      </w:r>
      <w:r w:rsidRPr="00BB7074">
        <w:rPr>
          <w:rFonts w:ascii="Verdana" w:hAnsi="Verdana"/>
          <w:sz w:val="18"/>
          <w:szCs w:val="18"/>
          <w:lang w:val="nl-NL"/>
        </w:rPr>
        <w:t xml:space="preserve"> waaruit de interest afkomstig</w:t>
      </w:r>
      <w:r w:rsidRPr="00BB7074" w:rsidR="007E6CF9">
        <w:rPr>
          <w:rFonts w:ascii="Verdana" w:hAnsi="Verdana"/>
          <w:sz w:val="18"/>
          <w:szCs w:val="18"/>
          <w:lang w:val="nl-NL"/>
        </w:rPr>
        <w:t xml:space="preserve"> </w:t>
      </w:r>
      <w:r w:rsidRPr="00BB7074">
        <w:rPr>
          <w:rFonts w:ascii="Verdana" w:hAnsi="Verdana"/>
          <w:sz w:val="18"/>
          <w:szCs w:val="18"/>
          <w:lang w:val="nl-NL"/>
        </w:rPr>
        <w:t>is (de bron</w:t>
      </w:r>
      <w:r w:rsidRPr="00BB7074" w:rsidR="008B5BF7">
        <w:rPr>
          <w:rFonts w:ascii="Verdana" w:hAnsi="Verdana"/>
          <w:sz w:val="18"/>
          <w:szCs w:val="18"/>
          <w:lang w:val="nl-NL"/>
        </w:rPr>
        <w:t>staat</w:t>
      </w:r>
      <w:r w:rsidRPr="00BB7074">
        <w:rPr>
          <w:rFonts w:ascii="Verdana" w:hAnsi="Verdana"/>
          <w:sz w:val="18"/>
          <w:szCs w:val="18"/>
          <w:lang w:val="nl-NL"/>
        </w:rPr>
        <w:t xml:space="preserve">), maar dit heffingsrecht is beperkt indien de uiteindelijk gerechtigde tot de interest een inwoner is van de andere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Nederland heft zelf geen bronbelasting over interest </w:t>
      </w:r>
      <w:r w:rsidRPr="00BB7074" w:rsidR="004E50D5">
        <w:rPr>
          <w:rFonts w:ascii="Verdana" w:hAnsi="Verdana"/>
          <w:sz w:val="18"/>
          <w:szCs w:val="18"/>
          <w:lang w:val="nl-NL"/>
        </w:rPr>
        <w:t xml:space="preserve">betaald aan een inwoner van Colombia </w:t>
      </w:r>
      <w:r w:rsidRPr="00BB7074">
        <w:rPr>
          <w:rFonts w:ascii="Verdana" w:hAnsi="Verdana"/>
          <w:sz w:val="18"/>
          <w:szCs w:val="18"/>
          <w:lang w:val="nl-NL"/>
        </w:rPr>
        <w:t>en streeft als hoofdregel naar een uitsluitende woon</w:t>
      </w:r>
      <w:r w:rsidRPr="00BB7074" w:rsidR="008B5BF7">
        <w:rPr>
          <w:rFonts w:ascii="Verdana" w:hAnsi="Verdana"/>
          <w:sz w:val="18"/>
          <w:szCs w:val="18"/>
          <w:lang w:val="nl-NL"/>
        </w:rPr>
        <w:t>staat</w:t>
      </w:r>
      <w:r w:rsidRPr="00BB7074">
        <w:rPr>
          <w:rFonts w:ascii="Verdana" w:hAnsi="Verdana"/>
          <w:sz w:val="18"/>
          <w:szCs w:val="18"/>
          <w:lang w:val="nl-NL"/>
        </w:rPr>
        <w:t xml:space="preserve">heffing voor interest. De </w:t>
      </w:r>
      <w:r w:rsidRPr="00BB7074" w:rsidR="004E50D5">
        <w:rPr>
          <w:rFonts w:ascii="Verdana" w:hAnsi="Verdana"/>
          <w:sz w:val="18"/>
          <w:szCs w:val="18"/>
          <w:lang w:val="nl-NL"/>
        </w:rPr>
        <w:t>Colombiaanse</w:t>
      </w:r>
      <w:r w:rsidRPr="00BB7074">
        <w:rPr>
          <w:rFonts w:ascii="Verdana" w:hAnsi="Verdana"/>
          <w:sz w:val="18"/>
          <w:szCs w:val="18"/>
          <w:lang w:val="nl-NL"/>
        </w:rPr>
        <w:t xml:space="preserve"> wetgeving daarentegen voorziet in een bronbelasting op (bruto-)interest betaald aan niet-inwoners, </w:t>
      </w:r>
      <w:r w:rsidRPr="00BB7074" w:rsidR="008B5BF7">
        <w:rPr>
          <w:rFonts w:ascii="Verdana" w:hAnsi="Verdana"/>
          <w:sz w:val="18"/>
          <w:szCs w:val="18"/>
          <w:lang w:val="nl-NL"/>
        </w:rPr>
        <w:t>variërend</w:t>
      </w:r>
      <w:r w:rsidRPr="00BB7074" w:rsidR="004E50D5">
        <w:rPr>
          <w:rFonts w:ascii="Verdana" w:hAnsi="Verdana"/>
          <w:sz w:val="18"/>
          <w:szCs w:val="18"/>
          <w:lang w:val="nl-NL"/>
        </w:rPr>
        <w:t xml:space="preserve"> van 1% tot 20%. Uiteindelijk </w:t>
      </w:r>
      <w:r w:rsidRPr="00BB7074">
        <w:rPr>
          <w:rFonts w:ascii="Verdana" w:hAnsi="Verdana"/>
          <w:sz w:val="18"/>
          <w:szCs w:val="18"/>
          <w:lang w:val="nl-NL"/>
        </w:rPr>
        <w:t xml:space="preserve">is overeenstemming bereikt over een bronheffing van </w:t>
      </w:r>
      <w:r w:rsidRPr="00BB7074" w:rsidR="004E50D5">
        <w:rPr>
          <w:rFonts w:ascii="Verdana" w:hAnsi="Verdana"/>
          <w:sz w:val="18"/>
          <w:szCs w:val="18"/>
          <w:lang w:val="nl-NL"/>
        </w:rPr>
        <w:t>5</w:t>
      </w:r>
      <w:r w:rsidRPr="00BB7074">
        <w:rPr>
          <w:rFonts w:ascii="Verdana" w:hAnsi="Verdana"/>
          <w:sz w:val="18"/>
          <w:szCs w:val="18"/>
          <w:lang w:val="nl-NL"/>
        </w:rPr>
        <w:t>% voor interest</w:t>
      </w:r>
      <w:r w:rsidRPr="00BB7074" w:rsidR="004E50D5">
        <w:rPr>
          <w:rFonts w:ascii="Verdana" w:hAnsi="Verdana"/>
          <w:sz w:val="18"/>
          <w:szCs w:val="18"/>
          <w:lang w:val="nl-NL"/>
        </w:rPr>
        <w:t xml:space="preserve"> betaald op leningen die door een financiële instelling zijn ver</w:t>
      </w:r>
      <w:r w:rsidR="00A15B99">
        <w:rPr>
          <w:rFonts w:ascii="Verdana" w:hAnsi="Verdana"/>
          <w:sz w:val="18"/>
          <w:szCs w:val="18"/>
          <w:lang w:val="nl-NL"/>
        </w:rPr>
        <w:t>s</w:t>
      </w:r>
      <w:r w:rsidRPr="00BB7074" w:rsidR="004E50D5">
        <w:rPr>
          <w:rFonts w:ascii="Verdana" w:hAnsi="Verdana"/>
          <w:sz w:val="18"/>
          <w:szCs w:val="18"/>
          <w:lang w:val="nl-NL"/>
        </w:rPr>
        <w:t>trekt voor infrastructuurprojecten</w:t>
      </w:r>
      <w:r w:rsidRPr="00BB7074" w:rsidR="000313E7">
        <w:rPr>
          <w:rFonts w:ascii="Verdana" w:hAnsi="Verdana"/>
          <w:sz w:val="18"/>
          <w:szCs w:val="18"/>
          <w:lang w:val="nl-NL"/>
        </w:rPr>
        <w:t xml:space="preserve"> met een looptijd van ten minste drie jaar</w:t>
      </w:r>
      <w:r w:rsidRPr="00BB7074" w:rsidR="004E50D5">
        <w:rPr>
          <w:rFonts w:ascii="Verdana" w:hAnsi="Verdana"/>
          <w:sz w:val="18"/>
          <w:szCs w:val="18"/>
          <w:lang w:val="nl-NL"/>
        </w:rPr>
        <w:t xml:space="preserve"> en 10% in overige gevallen. </w:t>
      </w:r>
      <w:r w:rsidRPr="00BB7074" w:rsidR="002F158E">
        <w:rPr>
          <w:rFonts w:ascii="Verdana" w:hAnsi="Verdana"/>
          <w:sz w:val="18"/>
          <w:szCs w:val="18"/>
          <w:lang w:val="nl-NL"/>
        </w:rPr>
        <w:t>Deze afspraken zijn op hoofdlijnen vergelijkbaar met de afspraken die Colombia heeft gemaakt in andere recente verdragen. Het verlaagde tarief van 5% voor leningen voor infrastructu</w:t>
      </w:r>
      <w:r w:rsidRPr="00BB7074" w:rsidR="00173028">
        <w:rPr>
          <w:rFonts w:ascii="Verdana" w:hAnsi="Verdana"/>
          <w:sz w:val="18"/>
          <w:szCs w:val="18"/>
          <w:lang w:val="nl-NL"/>
        </w:rPr>
        <w:t>ur</w:t>
      </w:r>
      <w:r w:rsidRPr="00BB7074" w:rsidR="002F158E">
        <w:rPr>
          <w:rFonts w:ascii="Verdana" w:hAnsi="Verdana"/>
          <w:sz w:val="18"/>
          <w:szCs w:val="18"/>
          <w:lang w:val="nl-NL"/>
        </w:rPr>
        <w:t>projecten is echter uniek in vergelijking met andere verdragen. Deze bepaling komt voort uit de wens van Colombia om buitenlandse financiering aan te trekken voor infrastructuurprojecten. Colombia heeft aangegeven dat het begrip infrastructuurprojecten in Colombia breed wordt uitgelegd.</w:t>
      </w:r>
    </w:p>
    <w:p w:rsidRPr="00BB7074" w:rsidR="005C64C8" w:rsidP="005C64C8" w:rsidRDefault="004E50D5" w14:paraId="6F670D3F" w14:textId="753B0C82">
      <w:pPr>
        <w:ind w:firstLine="851"/>
        <w:rPr>
          <w:rFonts w:ascii="Verdana" w:hAnsi="Verdana"/>
          <w:sz w:val="18"/>
          <w:szCs w:val="18"/>
          <w:lang w:val="nl-NL"/>
        </w:rPr>
      </w:pPr>
      <w:r w:rsidRPr="00BB7074">
        <w:rPr>
          <w:rFonts w:ascii="Verdana" w:hAnsi="Verdana"/>
          <w:sz w:val="18"/>
          <w:szCs w:val="18"/>
          <w:lang w:val="nl-NL"/>
        </w:rPr>
        <w:t xml:space="preserve">Het derde lid, onderdelen a tot en met </w:t>
      </w:r>
      <w:r w:rsidRPr="00BB7074" w:rsidR="002F158E">
        <w:rPr>
          <w:rFonts w:ascii="Verdana" w:hAnsi="Verdana"/>
          <w:sz w:val="18"/>
          <w:szCs w:val="18"/>
          <w:lang w:val="nl-NL"/>
        </w:rPr>
        <w:t xml:space="preserve">f, bevat </w:t>
      </w:r>
      <w:r w:rsidRPr="00BB7074" w:rsidR="00B432C1">
        <w:rPr>
          <w:rFonts w:ascii="Verdana" w:hAnsi="Verdana"/>
          <w:sz w:val="18"/>
          <w:szCs w:val="18"/>
          <w:lang w:val="nl-NL"/>
        </w:rPr>
        <w:t xml:space="preserve">enkele </w:t>
      </w:r>
      <w:r w:rsidRPr="00BB7074">
        <w:rPr>
          <w:rFonts w:ascii="Verdana" w:hAnsi="Verdana"/>
          <w:sz w:val="18"/>
          <w:szCs w:val="18"/>
          <w:lang w:val="nl-NL"/>
        </w:rPr>
        <w:t>vrijstelling</w:t>
      </w:r>
      <w:r w:rsidRPr="00BB7074" w:rsidR="002F158E">
        <w:rPr>
          <w:rFonts w:ascii="Verdana" w:hAnsi="Verdana"/>
          <w:sz w:val="18"/>
          <w:szCs w:val="18"/>
          <w:lang w:val="nl-NL"/>
        </w:rPr>
        <w:t>en</w:t>
      </w:r>
      <w:r w:rsidRPr="00BB7074">
        <w:rPr>
          <w:rFonts w:ascii="Verdana" w:hAnsi="Verdana"/>
          <w:sz w:val="18"/>
          <w:szCs w:val="18"/>
          <w:lang w:val="nl-NL"/>
        </w:rPr>
        <w:t xml:space="preserve"> van bron</w:t>
      </w:r>
      <w:r w:rsidRPr="00BB7074" w:rsidR="008B5BF7">
        <w:rPr>
          <w:rFonts w:ascii="Verdana" w:hAnsi="Verdana"/>
          <w:sz w:val="18"/>
          <w:szCs w:val="18"/>
          <w:lang w:val="nl-NL"/>
        </w:rPr>
        <w:t>staat</w:t>
      </w:r>
      <w:r w:rsidRPr="00BB7074" w:rsidR="005C64C8">
        <w:rPr>
          <w:rFonts w:ascii="Verdana" w:hAnsi="Verdana"/>
          <w:sz w:val="18"/>
          <w:szCs w:val="18"/>
          <w:lang w:val="nl-NL"/>
        </w:rPr>
        <w:t xml:space="preserve">heffing over </w:t>
      </w:r>
      <w:r w:rsidRPr="00BB7074">
        <w:rPr>
          <w:rFonts w:ascii="Verdana" w:hAnsi="Verdana"/>
          <w:sz w:val="18"/>
          <w:szCs w:val="18"/>
          <w:lang w:val="nl-NL"/>
        </w:rPr>
        <w:t>interest. Daarbij is</w:t>
      </w:r>
      <w:r w:rsidRPr="00BB7074" w:rsidR="002F158E">
        <w:rPr>
          <w:rFonts w:ascii="Verdana" w:hAnsi="Verdana"/>
          <w:sz w:val="18"/>
          <w:szCs w:val="18"/>
          <w:lang w:val="nl-NL"/>
        </w:rPr>
        <w:t xml:space="preserve"> op hoofdlijnen</w:t>
      </w:r>
      <w:r w:rsidRPr="00BB7074">
        <w:rPr>
          <w:rFonts w:ascii="Verdana" w:hAnsi="Verdana"/>
          <w:sz w:val="18"/>
          <w:szCs w:val="18"/>
          <w:lang w:val="nl-NL"/>
        </w:rPr>
        <w:t xml:space="preserve"> aangesloten bij de in het commentaar op artikel 11 van het OESO-modelverdrag </w:t>
      </w:r>
      <w:r w:rsidRPr="00BB7074" w:rsidR="00B432C1">
        <w:rPr>
          <w:rFonts w:ascii="Verdana" w:hAnsi="Verdana"/>
          <w:sz w:val="18"/>
          <w:szCs w:val="18"/>
          <w:lang w:val="nl-NL"/>
        </w:rPr>
        <w:t xml:space="preserve">opgenomen </w:t>
      </w:r>
      <w:r w:rsidRPr="00BB7074">
        <w:rPr>
          <w:rFonts w:ascii="Verdana" w:hAnsi="Verdana"/>
          <w:sz w:val="18"/>
          <w:szCs w:val="18"/>
          <w:lang w:val="nl-NL"/>
        </w:rPr>
        <w:t>vrijstellingen.</w:t>
      </w:r>
      <w:r w:rsidRPr="00BB7074" w:rsidR="006B6CB6">
        <w:rPr>
          <w:rFonts w:ascii="Verdana" w:hAnsi="Verdana"/>
          <w:sz w:val="18"/>
          <w:szCs w:val="18"/>
          <w:vertAlign w:val="superscript"/>
        </w:rPr>
        <w:footnoteReference w:id="11"/>
      </w:r>
      <w:r w:rsidRPr="00BB7074">
        <w:rPr>
          <w:rFonts w:ascii="Verdana" w:hAnsi="Verdana"/>
          <w:sz w:val="18"/>
          <w:szCs w:val="18"/>
          <w:lang w:val="nl-NL"/>
        </w:rPr>
        <w:t xml:space="preserve"> Onderdeel a ziet op interest betaald </w:t>
      </w:r>
      <w:r w:rsidRPr="00BB7074" w:rsidR="000827D2">
        <w:rPr>
          <w:rFonts w:ascii="Verdana" w:hAnsi="Verdana"/>
          <w:sz w:val="18"/>
          <w:szCs w:val="18"/>
          <w:lang w:val="nl-NL"/>
        </w:rPr>
        <w:t xml:space="preserve">of ontvangen </w:t>
      </w:r>
      <w:r w:rsidRPr="00BB7074">
        <w:rPr>
          <w:rFonts w:ascii="Verdana" w:hAnsi="Verdana"/>
          <w:sz w:val="18"/>
          <w:szCs w:val="18"/>
          <w:lang w:val="nl-NL"/>
        </w:rPr>
        <w:t>door de</w:t>
      </w:r>
      <w:r w:rsidRPr="00BB7074" w:rsidR="000827D2">
        <w:rPr>
          <w:rFonts w:ascii="Verdana" w:hAnsi="Verdana"/>
          <w:sz w:val="18"/>
          <w:szCs w:val="18"/>
          <w:lang w:val="nl-NL"/>
        </w:rPr>
        <w:t xml:space="preserve"> regering van een verdragsluitende staat (of een staatkundig onderdeel of plaatselijk publiekrechtelijk lichaam van die andere staat) of de centrale bank van een verdragsluitende staat</w:t>
      </w:r>
      <w:r w:rsidRPr="00BB7074">
        <w:rPr>
          <w:rFonts w:ascii="Verdana" w:hAnsi="Verdana"/>
          <w:sz w:val="18"/>
          <w:szCs w:val="18"/>
          <w:lang w:val="nl-NL"/>
        </w:rPr>
        <w:t xml:space="preserve">. Onderdeel b bevat een vrijstelling voor interest betaald </w:t>
      </w:r>
      <w:r w:rsidRPr="00BB7074" w:rsidR="00B042D8">
        <w:rPr>
          <w:rFonts w:ascii="Verdana" w:hAnsi="Verdana"/>
          <w:sz w:val="18"/>
          <w:szCs w:val="18"/>
          <w:lang w:val="nl-NL"/>
        </w:rPr>
        <w:t>ter zake van een lening verstrekt, goedgekeurd, gegarandeerd of (her)verzekerd door de regering van een verdragsluitende staat, de centrale bank van een verdragsluitende staat of een staatkundig onderdeel of plaatselijk publiekrechtelijk lichaam daarvan.</w:t>
      </w:r>
      <w:r w:rsidRPr="00BB7074" w:rsidR="005C64C8">
        <w:rPr>
          <w:rFonts w:ascii="Verdana" w:hAnsi="Verdana"/>
          <w:sz w:val="18"/>
          <w:szCs w:val="18"/>
          <w:lang w:val="nl-NL"/>
        </w:rPr>
        <w:t xml:space="preserve"> Artikel XI van het Protocol </w:t>
      </w:r>
      <w:r w:rsidRPr="00BB7074" w:rsidR="00A15B99">
        <w:rPr>
          <w:rFonts w:ascii="Verdana" w:hAnsi="Verdana"/>
          <w:sz w:val="18"/>
          <w:szCs w:val="18"/>
          <w:lang w:val="nl-NL"/>
        </w:rPr>
        <w:t>bepaal</w:t>
      </w:r>
      <w:r w:rsidR="00A15B99">
        <w:rPr>
          <w:rFonts w:ascii="Verdana" w:hAnsi="Verdana"/>
          <w:sz w:val="18"/>
          <w:szCs w:val="18"/>
          <w:lang w:val="nl-NL"/>
        </w:rPr>
        <w:t>t</w:t>
      </w:r>
      <w:r w:rsidRPr="00BB7074" w:rsidR="00A15B99">
        <w:rPr>
          <w:rFonts w:ascii="Verdana" w:hAnsi="Verdana"/>
          <w:sz w:val="18"/>
          <w:szCs w:val="18"/>
          <w:lang w:val="nl-NL"/>
        </w:rPr>
        <w:t xml:space="preserve"> dat de Nederlandse Financieringsmaatschappij voor Ontwikkelingslanden N.V. (FMO) en </w:t>
      </w:r>
      <w:proofErr w:type="spellStart"/>
      <w:r w:rsidRPr="00BB7074" w:rsidR="00A15B99">
        <w:rPr>
          <w:rFonts w:ascii="Verdana" w:hAnsi="Verdana"/>
          <w:sz w:val="18"/>
          <w:szCs w:val="18"/>
          <w:lang w:val="nl-NL"/>
        </w:rPr>
        <w:t>Atradius</w:t>
      </w:r>
      <w:proofErr w:type="spellEnd"/>
      <w:r w:rsidRPr="00BB7074" w:rsidR="00A15B99">
        <w:rPr>
          <w:rFonts w:ascii="Verdana" w:hAnsi="Verdana"/>
          <w:sz w:val="18"/>
          <w:szCs w:val="18"/>
          <w:lang w:val="nl-NL"/>
        </w:rPr>
        <w:t xml:space="preserve"> Dutch State Business NV onder de reikwijdte van onderdeel </w:t>
      </w:r>
      <w:r w:rsidR="00A15B99">
        <w:rPr>
          <w:rFonts w:ascii="Verdana" w:hAnsi="Verdana"/>
          <w:sz w:val="18"/>
          <w:szCs w:val="18"/>
          <w:lang w:val="nl-NL"/>
        </w:rPr>
        <w:t xml:space="preserve">b </w:t>
      </w:r>
      <w:r w:rsidRPr="00BB7074" w:rsidR="00A15B99">
        <w:rPr>
          <w:rFonts w:ascii="Verdana" w:hAnsi="Verdana"/>
          <w:sz w:val="18"/>
          <w:szCs w:val="18"/>
          <w:lang w:val="nl-NL"/>
        </w:rPr>
        <w:t xml:space="preserve">vallen. Ook voor Colombia is een aantal instituten opgenomen dat onder de reikwijdte van </w:t>
      </w:r>
      <w:r w:rsidR="00A15B99">
        <w:rPr>
          <w:rFonts w:ascii="Verdana" w:hAnsi="Verdana"/>
          <w:sz w:val="18"/>
          <w:szCs w:val="18"/>
          <w:lang w:val="nl-NL"/>
        </w:rPr>
        <w:t xml:space="preserve">dat </w:t>
      </w:r>
      <w:r w:rsidRPr="00BB7074" w:rsidR="00A15B99">
        <w:rPr>
          <w:rFonts w:ascii="Verdana" w:hAnsi="Verdana"/>
          <w:sz w:val="18"/>
          <w:szCs w:val="18"/>
          <w:lang w:val="nl-NL"/>
        </w:rPr>
        <w:t>onderdeel val</w:t>
      </w:r>
      <w:r w:rsidR="006A628D">
        <w:rPr>
          <w:rFonts w:ascii="Verdana" w:hAnsi="Verdana"/>
          <w:sz w:val="18"/>
          <w:szCs w:val="18"/>
          <w:lang w:val="nl-NL"/>
        </w:rPr>
        <w:t>t</w:t>
      </w:r>
      <w:r w:rsidRPr="00BB7074" w:rsidR="00A15B99">
        <w:rPr>
          <w:rFonts w:ascii="Verdana" w:hAnsi="Verdana"/>
          <w:sz w:val="18"/>
          <w:szCs w:val="18"/>
          <w:lang w:val="nl-NL"/>
        </w:rPr>
        <w:t xml:space="preserve">. </w:t>
      </w:r>
    </w:p>
    <w:p w:rsidRPr="00BB7074" w:rsidR="004E50D5" w:rsidP="004E50D5" w:rsidRDefault="004E50D5" w14:paraId="1DFA9127" w14:textId="39DCEB01">
      <w:pPr>
        <w:rPr>
          <w:rFonts w:ascii="Verdana" w:hAnsi="Verdana"/>
          <w:sz w:val="18"/>
          <w:szCs w:val="18"/>
          <w:lang w:val="nl-NL"/>
        </w:rPr>
      </w:pPr>
      <w:r w:rsidRPr="00BB7074">
        <w:rPr>
          <w:rFonts w:ascii="Verdana" w:hAnsi="Verdana"/>
          <w:sz w:val="18"/>
          <w:szCs w:val="18"/>
          <w:lang w:val="nl-NL"/>
        </w:rPr>
        <w:t xml:space="preserve"> </w:t>
      </w:r>
      <w:r w:rsidRPr="00BB7074" w:rsidR="002F158E">
        <w:rPr>
          <w:rFonts w:ascii="Verdana" w:hAnsi="Verdana"/>
          <w:sz w:val="18"/>
          <w:szCs w:val="18"/>
          <w:lang w:val="nl-NL"/>
        </w:rPr>
        <w:t>I</w:t>
      </w:r>
      <w:r w:rsidRPr="00BB7074">
        <w:rPr>
          <w:rFonts w:ascii="Verdana" w:hAnsi="Verdana"/>
          <w:sz w:val="18"/>
          <w:szCs w:val="18"/>
          <w:lang w:val="nl-NL"/>
        </w:rPr>
        <w:t xml:space="preserve">n onderdeel </w:t>
      </w:r>
      <w:r w:rsidRPr="00BB7074" w:rsidR="002F158E">
        <w:rPr>
          <w:rFonts w:ascii="Verdana" w:hAnsi="Verdana"/>
          <w:sz w:val="18"/>
          <w:szCs w:val="18"/>
          <w:lang w:val="nl-NL"/>
        </w:rPr>
        <w:t>c is</w:t>
      </w:r>
      <w:r w:rsidRPr="00BB7074">
        <w:rPr>
          <w:rFonts w:ascii="Verdana" w:hAnsi="Verdana"/>
          <w:sz w:val="18"/>
          <w:szCs w:val="18"/>
          <w:lang w:val="nl-NL"/>
        </w:rPr>
        <w:t xml:space="preserve"> een vrijstelling opgenomen voor interest betaald</w:t>
      </w:r>
      <w:r w:rsidRPr="00BB7074" w:rsidR="002F158E">
        <w:rPr>
          <w:rFonts w:ascii="Verdana" w:hAnsi="Verdana"/>
          <w:sz w:val="18"/>
          <w:szCs w:val="18"/>
          <w:lang w:val="nl-NL"/>
        </w:rPr>
        <w:t xml:space="preserve"> aan</w:t>
      </w:r>
      <w:r w:rsidRPr="00BB7074">
        <w:rPr>
          <w:rFonts w:ascii="Verdana" w:hAnsi="Verdana"/>
          <w:sz w:val="18"/>
          <w:szCs w:val="18"/>
          <w:lang w:val="nl-NL"/>
        </w:rPr>
        <w:t xml:space="preserve"> </w:t>
      </w:r>
      <w:r w:rsidRPr="00BB7074" w:rsidR="002F158E">
        <w:rPr>
          <w:rFonts w:ascii="Verdana" w:hAnsi="Verdana"/>
          <w:sz w:val="18"/>
          <w:szCs w:val="18"/>
          <w:lang w:val="nl-NL"/>
        </w:rPr>
        <w:t xml:space="preserve">een financiële instelling door een </w:t>
      </w:r>
      <w:r w:rsidRPr="00BB7074" w:rsidR="00B432C1">
        <w:rPr>
          <w:rFonts w:ascii="Verdana" w:hAnsi="Verdana"/>
          <w:sz w:val="18"/>
          <w:szCs w:val="18"/>
          <w:lang w:val="nl-NL"/>
        </w:rPr>
        <w:t xml:space="preserve">andere </w:t>
      </w:r>
      <w:r w:rsidRPr="00BB7074" w:rsidR="002F158E">
        <w:rPr>
          <w:rFonts w:ascii="Verdana" w:hAnsi="Verdana"/>
          <w:sz w:val="18"/>
          <w:szCs w:val="18"/>
          <w:lang w:val="nl-NL"/>
        </w:rPr>
        <w:t>financiële instelling</w:t>
      </w:r>
      <w:r w:rsidRPr="00BB7074">
        <w:rPr>
          <w:rFonts w:ascii="Verdana" w:hAnsi="Verdana"/>
          <w:sz w:val="18"/>
          <w:szCs w:val="18"/>
          <w:lang w:val="nl-NL"/>
        </w:rPr>
        <w:t>.</w:t>
      </w:r>
      <w:r w:rsidRPr="00BB7074" w:rsidR="002F158E">
        <w:rPr>
          <w:rFonts w:ascii="Verdana" w:hAnsi="Verdana"/>
          <w:sz w:val="18"/>
          <w:szCs w:val="18"/>
          <w:lang w:val="nl-NL"/>
        </w:rPr>
        <w:t xml:space="preserve"> Deze vrijstelling </w:t>
      </w:r>
      <w:r w:rsidRPr="00BB7074" w:rsidR="003457DB">
        <w:rPr>
          <w:rFonts w:ascii="Verdana" w:hAnsi="Verdana"/>
          <w:sz w:val="18"/>
          <w:szCs w:val="18"/>
          <w:lang w:val="nl-NL"/>
        </w:rPr>
        <w:t xml:space="preserve">kent </w:t>
      </w:r>
      <w:r w:rsidRPr="00BB7074" w:rsidR="002F158E">
        <w:rPr>
          <w:rFonts w:ascii="Verdana" w:hAnsi="Verdana"/>
          <w:sz w:val="18"/>
          <w:szCs w:val="18"/>
          <w:lang w:val="nl-NL"/>
        </w:rPr>
        <w:t xml:space="preserve">de eis dat de interest zowel door als aan een financiële instelling wordt betaald (en niet enkel aan). </w:t>
      </w:r>
      <w:r w:rsidRPr="00BB7074" w:rsidR="00743959">
        <w:rPr>
          <w:rFonts w:ascii="Verdana" w:hAnsi="Verdana"/>
          <w:sz w:val="18"/>
          <w:szCs w:val="18"/>
          <w:lang w:val="nl-NL"/>
        </w:rPr>
        <w:t>Deze beperking is opgenomen op verzoek v</w:t>
      </w:r>
      <w:r w:rsidRPr="00BB7074" w:rsidR="0010685F">
        <w:rPr>
          <w:rFonts w:ascii="Verdana" w:hAnsi="Verdana"/>
          <w:sz w:val="18"/>
          <w:szCs w:val="18"/>
          <w:lang w:val="nl-NL"/>
        </w:rPr>
        <w:t xml:space="preserve">an Colombia. Onderdeel </w:t>
      </w:r>
      <w:r w:rsidRPr="00BB7074" w:rsidR="00001532">
        <w:rPr>
          <w:rFonts w:ascii="Verdana" w:hAnsi="Verdana"/>
          <w:sz w:val="18"/>
          <w:szCs w:val="18"/>
          <w:lang w:val="nl-NL"/>
        </w:rPr>
        <w:t xml:space="preserve">d </w:t>
      </w:r>
      <w:r w:rsidRPr="00BB7074" w:rsidR="0010685F">
        <w:rPr>
          <w:rFonts w:ascii="Verdana" w:hAnsi="Verdana"/>
          <w:sz w:val="18"/>
          <w:szCs w:val="18"/>
          <w:lang w:val="nl-NL"/>
        </w:rPr>
        <w:t>regelt dat interest betaald ter zake van een lening voor de (voor)financiering van exporten</w:t>
      </w:r>
      <w:r w:rsidRPr="00BB7074" w:rsidR="007E6CF9">
        <w:rPr>
          <w:rFonts w:ascii="Verdana" w:hAnsi="Verdana"/>
          <w:sz w:val="18"/>
          <w:szCs w:val="18"/>
          <w:lang w:val="nl-NL"/>
        </w:rPr>
        <w:t xml:space="preserve"> ook is vrijgesteld van </w:t>
      </w:r>
      <w:r w:rsidRPr="00BB7074" w:rsidR="00493698">
        <w:rPr>
          <w:rFonts w:ascii="Verdana" w:hAnsi="Verdana"/>
          <w:sz w:val="18"/>
          <w:szCs w:val="18"/>
          <w:lang w:val="nl-NL"/>
        </w:rPr>
        <w:t xml:space="preserve">de </w:t>
      </w:r>
      <w:r w:rsidRPr="00BB7074" w:rsidR="007E6CF9">
        <w:rPr>
          <w:rFonts w:ascii="Verdana" w:hAnsi="Verdana"/>
          <w:sz w:val="18"/>
          <w:szCs w:val="18"/>
          <w:lang w:val="nl-NL"/>
        </w:rPr>
        <w:t xml:space="preserve">heffing </w:t>
      </w:r>
      <w:r w:rsidRPr="00BB7074" w:rsidR="00493698">
        <w:rPr>
          <w:rFonts w:ascii="Verdana" w:hAnsi="Verdana"/>
          <w:sz w:val="18"/>
          <w:szCs w:val="18"/>
          <w:lang w:val="nl-NL"/>
        </w:rPr>
        <w:t xml:space="preserve">van (bron)belasting door de bronstaat </w:t>
      </w:r>
      <w:r w:rsidRPr="00BB7074" w:rsidR="007E6CF9">
        <w:rPr>
          <w:rFonts w:ascii="Verdana" w:hAnsi="Verdana"/>
          <w:sz w:val="18"/>
          <w:szCs w:val="18"/>
          <w:lang w:val="nl-NL"/>
        </w:rPr>
        <w:t>en</w:t>
      </w:r>
      <w:r w:rsidRPr="00BB7074" w:rsidR="0010685F">
        <w:rPr>
          <w:rFonts w:ascii="Verdana" w:hAnsi="Verdana"/>
          <w:sz w:val="18"/>
          <w:szCs w:val="18"/>
          <w:lang w:val="nl-NL"/>
        </w:rPr>
        <w:t xml:space="preserve"> </w:t>
      </w:r>
      <w:r w:rsidRPr="00BB7074" w:rsidR="00493698">
        <w:rPr>
          <w:rFonts w:ascii="Verdana" w:hAnsi="Verdana"/>
          <w:sz w:val="18"/>
          <w:szCs w:val="18"/>
          <w:lang w:val="nl-NL"/>
        </w:rPr>
        <w:t xml:space="preserve">dus </w:t>
      </w:r>
      <w:r w:rsidRPr="00BB7074" w:rsidR="0010685F">
        <w:rPr>
          <w:rFonts w:ascii="Verdana" w:hAnsi="Verdana"/>
          <w:sz w:val="18"/>
          <w:szCs w:val="18"/>
          <w:lang w:val="nl-NL"/>
        </w:rPr>
        <w:t xml:space="preserve">enkel in </w:t>
      </w:r>
      <w:r w:rsidRPr="00BB7074" w:rsidR="0076672D">
        <w:rPr>
          <w:rFonts w:ascii="Verdana" w:hAnsi="Verdana"/>
          <w:sz w:val="18"/>
          <w:szCs w:val="18"/>
          <w:lang w:val="nl-NL"/>
        </w:rPr>
        <w:t>de verdragsluitende staat</w:t>
      </w:r>
      <w:r w:rsidRPr="00BB7074" w:rsidR="0010685F">
        <w:rPr>
          <w:rFonts w:ascii="Verdana" w:hAnsi="Verdana"/>
          <w:sz w:val="18"/>
          <w:szCs w:val="18"/>
          <w:lang w:val="nl-NL"/>
        </w:rPr>
        <w:t xml:space="preserve"> waar</w:t>
      </w:r>
      <w:r w:rsidRPr="00BB7074" w:rsidR="00493698">
        <w:rPr>
          <w:rFonts w:ascii="Verdana" w:hAnsi="Verdana"/>
          <w:sz w:val="18"/>
          <w:szCs w:val="18"/>
          <w:lang w:val="nl-NL"/>
        </w:rPr>
        <w:t>van</w:t>
      </w:r>
      <w:r w:rsidRPr="00BB7074" w:rsidR="0010685F">
        <w:rPr>
          <w:rFonts w:ascii="Verdana" w:hAnsi="Verdana"/>
          <w:sz w:val="18"/>
          <w:szCs w:val="18"/>
          <w:lang w:val="nl-NL"/>
        </w:rPr>
        <w:t xml:space="preserve"> de ontvanger van de interest inwoner is mag worden belast. Op grond van</w:t>
      </w:r>
      <w:r w:rsidRPr="00BB7074">
        <w:rPr>
          <w:rFonts w:ascii="Verdana" w:hAnsi="Verdana"/>
          <w:sz w:val="18"/>
          <w:szCs w:val="18"/>
          <w:lang w:val="nl-NL"/>
        </w:rPr>
        <w:t xml:space="preserve"> onderdeel </w:t>
      </w:r>
      <w:r w:rsidRPr="00BB7074" w:rsidR="0010685F">
        <w:rPr>
          <w:rFonts w:ascii="Verdana" w:hAnsi="Verdana"/>
          <w:sz w:val="18"/>
          <w:szCs w:val="18"/>
          <w:lang w:val="nl-NL"/>
        </w:rPr>
        <w:t>e</w:t>
      </w:r>
      <w:r w:rsidRPr="00BB7074">
        <w:rPr>
          <w:rFonts w:ascii="Verdana" w:hAnsi="Verdana"/>
          <w:sz w:val="18"/>
          <w:szCs w:val="18"/>
          <w:lang w:val="nl-NL"/>
        </w:rPr>
        <w:t xml:space="preserve"> </w:t>
      </w:r>
      <w:r w:rsidRPr="00BB7074" w:rsidR="0010685F">
        <w:rPr>
          <w:rFonts w:ascii="Verdana" w:hAnsi="Verdana"/>
          <w:sz w:val="18"/>
          <w:szCs w:val="18"/>
          <w:lang w:val="nl-NL"/>
        </w:rPr>
        <w:t xml:space="preserve">geldt </w:t>
      </w:r>
      <w:r w:rsidRPr="00BB7074">
        <w:rPr>
          <w:rFonts w:ascii="Verdana" w:hAnsi="Verdana"/>
          <w:sz w:val="18"/>
          <w:szCs w:val="18"/>
          <w:lang w:val="nl-NL"/>
        </w:rPr>
        <w:t>een vrijstelling voor</w:t>
      </w:r>
      <w:r w:rsidRPr="00BB7074" w:rsidR="0010685F">
        <w:rPr>
          <w:rFonts w:ascii="Verdana" w:hAnsi="Verdana"/>
          <w:sz w:val="18"/>
          <w:szCs w:val="18"/>
          <w:lang w:val="nl-NL"/>
        </w:rPr>
        <w:t xml:space="preserve"> interest betaald</w:t>
      </w:r>
      <w:r w:rsidRPr="00BB7074">
        <w:rPr>
          <w:rFonts w:ascii="Verdana" w:hAnsi="Verdana"/>
          <w:sz w:val="18"/>
          <w:szCs w:val="18"/>
          <w:lang w:val="nl-NL"/>
        </w:rPr>
        <w:t xml:space="preserve"> </w:t>
      </w:r>
      <w:r w:rsidRPr="00BB7074" w:rsidR="0010685F">
        <w:rPr>
          <w:rFonts w:ascii="Verdana" w:hAnsi="Verdana"/>
          <w:sz w:val="18"/>
          <w:szCs w:val="18"/>
          <w:lang w:val="nl-NL"/>
        </w:rPr>
        <w:t xml:space="preserve">ter zake van de verkoop op afbetaling van koopwaar door een onderneming aan een andere onderneming, met inbegrip van industriële, commerciële of wetenschappelijke uitrusting. Aan die vrijstelling </w:t>
      </w:r>
      <w:r w:rsidRPr="00BB7074" w:rsidR="0076672D">
        <w:rPr>
          <w:rFonts w:ascii="Verdana" w:hAnsi="Verdana"/>
          <w:sz w:val="18"/>
          <w:szCs w:val="18"/>
          <w:lang w:val="nl-NL"/>
        </w:rPr>
        <w:t xml:space="preserve">wordt </w:t>
      </w:r>
      <w:r w:rsidRPr="00BB7074" w:rsidR="0010685F">
        <w:rPr>
          <w:rFonts w:ascii="Verdana" w:hAnsi="Verdana"/>
          <w:sz w:val="18"/>
          <w:szCs w:val="18"/>
          <w:lang w:val="nl-NL"/>
        </w:rPr>
        <w:t xml:space="preserve">de </w:t>
      </w:r>
      <w:r w:rsidRPr="00BB7074" w:rsidR="0076672D">
        <w:rPr>
          <w:rFonts w:ascii="Verdana" w:hAnsi="Verdana"/>
          <w:sz w:val="18"/>
          <w:szCs w:val="18"/>
          <w:lang w:val="nl-NL"/>
        </w:rPr>
        <w:t xml:space="preserve">voorwaarde </w:t>
      </w:r>
      <w:r w:rsidRPr="00BB7074" w:rsidR="007E6CF9">
        <w:rPr>
          <w:rFonts w:ascii="Verdana" w:hAnsi="Verdana"/>
          <w:sz w:val="18"/>
          <w:szCs w:val="18"/>
          <w:lang w:val="nl-NL"/>
        </w:rPr>
        <w:t>gesteld</w:t>
      </w:r>
      <w:r w:rsidRPr="00BB7074" w:rsidR="0010685F">
        <w:rPr>
          <w:rFonts w:ascii="Verdana" w:hAnsi="Verdana"/>
          <w:sz w:val="18"/>
          <w:szCs w:val="18"/>
          <w:lang w:val="nl-NL"/>
        </w:rPr>
        <w:t xml:space="preserve"> dat het krediet niet langer uit</w:t>
      </w:r>
      <w:r w:rsidRPr="00BB7074" w:rsidR="008B5BF7">
        <w:rPr>
          <w:rFonts w:ascii="Verdana" w:hAnsi="Verdana"/>
          <w:sz w:val="18"/>
          <w:szCs w:val="18"/>
          <w:lang w:val="nl-NL"/>
        </w:rPr>
        <w:t>staat</w:t>
      </w:r>
      <w:r w:rsidRPr="00BB7074" w:rsidR="0010685F">
        <w:rPr>
          <w:rFonts w:ascii="Verdana" w:hAnsi="Verdana"/>
          <w:sz w:val="18"/>
          <w:szCs w:val="18"/>
          <w:lang w:val="nl-NL"/>
        </w:rPr>
        <w:t xml:space="preserve"> dan 183 dagen</w:t>
      </w:r>
      <w:r w:rsidRPr="00BB7074">
        <w:rPr>
          <w:rFonts w:ascii="Verdana" w:hAnsi="Verdana"/>
          <w:sz w:val="18"/>
          <w:szCs w:val="18"/>
          <w:lang w:val="nl-NL"/>
        </w:rPr>
        <w:t>.</w:t>
      </w:r>
      <w:r w:rsidRPr="00BB7074" w:rsidR="0010685F">
        <w:rPr>
          <w:rFonts w:ascii="Verdana" w:hAnsi="Verdana"/>
          <w:sz w:val="18"/>
          <w:szCs w:val="18"/>
          <w:lang w:val="nl-NL"/>
        </w:rPr>
        <w:t xml:space="preserve"> Op verzoek van Colombia is deze </w:t>
      </w:r>
      <w:r w:rsidRPr="00BB7074" w:rsidR="0076672D">
        <w:rPr>
          <w:rFonts w:ascii="Verdana" w:hAnsi="Verdana"/>
          <w:sz w:val="18"/>
          <w:szCs w:val="18"/>
          <w:lang w:val="nl-NL"/>
        </w:rPr>
        <w:t xml:space="preserve">voorwaarde </w:t>
      </w:r>
      <w:r w:rsidRPr="00BB7074" w:rsidR="0010685F">
        <w:rPr>
          <w:rFonts w:ascii="Verdana" w:hAnsi="Verdana"/>
          <w:sz w:val="18"/>
          <w:szCs w:val="18"/>
          <w:lang w:val="nl-NL"/>
        </w:rPr>
        <w:t xml:space="preserve">opgenomen. Deze beperking heeft onder andere </w:t>
      </w:r>
      <w:r w:rsidRPr="00BB7074" w:rsidR="001C26B4">
        <w:rPr>
          <w:rFonts w:ascii="Verdana" w:hAnsi="Verdana"/>
          <w:sz w:val="18"/>
          <w:szCs w:val="18"/>
          <w:lang w:val="nl-NL"/>
        </w:rPr>
        <w:t>tot</w:t>
      </w:r>
      <w:r w:rsidRPr="00BB7074" w:rsidR="0010685F">
        <w:rPr>
          <w:rFonts w:ascii="Verdana" w:hAnsi="Verdana"/>
          <w:sz w:val="18"/>
          <w:szCs w:val="18"/>
          <w:lang w:val="nl-NL"/>
        </w:rPr>
        <w:t xml:space="preserve"> doel </w:t>
      </w:r>
      <w:r w:rsidRPr="00BB7074" w:rsidR="003457DB">
        <w:rPr>
          <w:rFonts w:ascii="Verdana" w:hAnsi="Verdana"/>
          <w:sz w:val="18"/>
          <w:szCs w:val="18"/>
          <w:lang w:val="nl-NL"/>
        </w:rPr>
        <w:lastRenderedPageBreak/>
        <w:t>t</w:t>
      </w:r>
      <w:r w:rsidRPr="00BB7074" w:rsidR="0010685F">
        <w:rPr>
          <w:rFonts w:ascii="Verdana" w:hAnsi="Verdana"/>
          <w:sz w:val="18"/>
          <w:szCs w:val="18"/>
          <w:lang w:val="nl-NL"/>
        </w:rPr>
        <w:t>e voorkomen dat</w:t>
      </w:r>
      <w:r w:rsidRPr="00BB7074" w:rsidR="00B042D8">
        <w:rPr>
          <w:rFonts w:ascii="Verdana" w:hAnsi="Verdana"/>
          <w:sz w:val="18"/>
          <w:szCs w:val="18"/>
          <w:lang w:val="nl-NL"/>
        </w:rPr>
        <w:t xml:space="preserve"> langlopende</w:t>
      </w:r>
      <w:r w:rsidRPr="00BB7074" w:rsidR="0010685F">
        <w:rPr>
          <w:rFonts w:ascii="Verdana" w:hAnsi="Verdana"/>
          <w:sz w:val="18"/>
          <w:szCs w:val="18"/>
          <w:lang w:val="nl-NL"/>
        </w:rPr>
        <w:t xml:space="preserve"> </w:t>
      </w:r>
      <w:r w:rsidRPr="003A025B" w:rsidR="0010685F">
        <w:rPr>
          <w:rFonts w:ascii="Verdana" w:hAnsi="Verdana"/>
          <w:sz w:val="18"/>
          <w:szCs w:val="18"/>
          <w:lang w:val="nl-NL"/>
        </w:rPr>
        <w:t>financial</w:t>
      </w:r>
      <w:r w:rsidRPr="003A025B" w:rsidR="006C40CD">
        <w:rPr>
          <w:rFonts w:ascii="Verdana" w:hAnsi="Verdana"/>
          <w:sz w:val="18"/>
          <w:szCs w:val="18"/>
          <w:lang w:val="nl-NL"/>
        </w:rPr>
        <w:t>-</w:t>
      </w:r>
      <w:r w:rsidRPr="003A025B" w:rsidR="0010685F">
        <w:rPr>
          <w:rFonts w:ascii="Verdana" w:hAnsi="Verdana"/>
          <w:sz w:val="18"/>
          <w:szCs w:val="18"/>
          <w:lang w:val="nl-NL"/>
        </w:rPr>
        <w:t>lease</w:t>
      </w:r>
      <w:r w:rsidRPr="00BB7074" w:rsidR="00742902">
        <w:rPr>
          <w:rFonts w:ascii="Verdana" w:hAnsi="Verdana"/>
          <w:sz w:val="18"/>
          <w:szCs w:val="18"/>
          <w:lang w:val="nl-NL"/>
        </w:rPr>
        <w:t>-</w:t>
      </w:r>
      <w:r w:rsidRPr="00BB7074" w:rsidR="0010685F">
        <w:rPr>
          <w:rFonts w:ascii="Verdana" w:hAnsi="Verdana"/>
          <w:sz w:val="18"/>
          <w:szCs w:val="18"/>
          <w:lang w:val="nl-NL"/>
        </w:rPr>
        <w:t>transacties onder deze vrijstelling vallen. Op grond van onderdeel f</w:t>
      </w:r>
      <w:r w:rsidRPr="00BB7074" w:rsidR="00934611">
        <w:rPr>
          <w:rFonts w:ascii="Verdana" w:hAnsi="Verdana"/>
          <w:sz w:val="18"/>
          <w:szCs w:val="18"/>
          <w:lang w:val="nl-NL"/>
        </w:rPr>
        <w:t xml:space="preserve">, </w:t>
      </w:r>
      <w:r w:rsidRPr="00BB7074" w:rsidR="0010685F">
        <w:rPr>
          <w:rFonts w:ascii="Verdana" w:hAnsi="Verdana"/>
          <w:sz w:val="18"/>
          <w:szCs w:val="18"/>
          <w:lang w:val="nl-NL"/>
        </w:rPr>
        <w:t>ten</w:t>
      </w:r>
      <w:r w:rsidRPr="00BB7074" w:rsidR="00934611">
        <w:rPr>
          <w:rFonts w:ascii="Verdana" w:hAnsi="Verdana"/>
          <w:sz w:val="18"/>
          <w:szCs w:val="18"/>
          <w:lang w:val="nl-NL"/>
        </w:rPr>
        <w:t xml:space="preserve"> </w:t>
      </w:r>
      <w:r w:rsidRPr="00BB7074" w:rsidR="0010685F">
        <w:rPr>
          <w:rFonts w:ascii="Verdana" w:hAnsi="Verdana"/>
          <w:sz w:val="18"/>
          <w:szCs w:val="18"/>
          <w:lang w:val="nl-NL"/>
        </w:rPr>
        <w:t>slotte</w:t>
      </w:r>
      <w:r w:rsidRPr="00BB7074" w:rsidR="00934611">
        <w:rPr>
          <w:rFonts w:ascii="Verdana" w:hAnsi="Verdana"/>
          <w:sz w:val="18"/>
          <w:szCs w:val="18"/>
          <w:lang w:val="nl-NL"/>
        </w:rPr>
        <w:t>,</w:t>
      </w:r>
      <w:r w:rsidRPr="00BB7074" w:rsidR="0010685F">
        <w:rPr>
          <w:rFonts w:ascii="Verdana" w:hAnsi="Verdana"/>
          <w:sz w:val="18"/>
          <w:szCs w:val="18"/>
          <w:lang w:val="nl-NL"/>
        </w:rPr>
        <w:t xml:space="preserve"> </w:t>
      </w:r>
      <w:r w:rsidRPr="00BB7074" w:rsidR="00934611">
        <w:rPr>
          <w:rFonts w:ascii="Verdana" w:hAnsi="Verdana"/>
          <w:sz w:val="18"/>
          <w:szCs w:val="18"/>
          <w:lang w:val="nl-NL"/>
        </w:rPr>
        <w:t xml:space="preserve">is </w:t>
      </w:r>
      <w:r w:rsidRPr="00BB7074" w:rsidR="0010685F">
        <w:rPr>
          <w:rFonts w:ascii="Verdana" w:hAnsi="Verdana"/>
          <w:sz w:val="18"/>
          <w:szCs w:val="18"/>
          <w:lang w:val="nl-NL"/>
        </w:rPr>
        <w:t>interest betaald aan een erkend pensioenfonds vrijgesteld.</w:t>
      </w:r>
    </w:p>
    <w:p w:rsidRPr="00BB7074" w:rsidR="00B65593" w:rsidP="00B65593" w:rsidRDefault="00B65593" w14:paraId="1BCA6C29" w14:textId="7A26962D">
      <w:pPr>
        <w:ind w:firstLine="708"/>
        <w:rPr>
          <w:rFonts w:ascii="Verdana" w:hAnsi="Verdana"/>
          <w:sz w:val="18"/>
          <w:szCs w:val="18"/>
          <w:lang w:val="nl-NL"/>
        </w:rPr>
      </w:pPr>
      <w:r w:rsidRPr="00BB7074">
        <w:rPr>
          <w:rFonts w:ascii="Verdana" w:hAnsi="Verdana"/>
          <w:sz w:val="18"/>
          <w:szCs w:val="18"/>
          <w:lang w:val="nl-NL"/>
        </w:rPr>
        <w:t xml:space="preserve">In het vierde lid is een definitie opgenomen van het begrip ‘interest’. Deze definitie is gebaseerd op de definitie in artikel 11 van het OESO-modelverdrag, maar bevat een afwijking daarop. </w:t>
      </w:r>
      <w:r w:rsidRPr="00BB7074" w:rsidR="00822A57">
        <w:rPr>
          <w:rFonts w:ascii="Verdana" w:hAnsi="Verdana"/>
          <w:sz w:val="18"/>
          <w:szCs w:val="18"/>
          <w:lang w:val="nl-NL"/>
        </w:rPr>
        <w:t xml:space="preserve">Het begrip interest omvat </w:t>
      </w:r>
      <w:r w:rsidRPr="00BB7074" w:rsidR="00493698">
        <w:rPr>
          <w:rFonts w:ascii="Verdana" w:hAnsi="Verdana"/>
          <w:sz w:val="18"/>
          <w:szCs w:val="18"/>
          <w:lang w:val="nl-NL"/>
        </w:rPr>
        <w:t xml:space="preserve">namelijk in afwijking van de in het OESO-modelverdrag opgenomen definitie </w:t>
      </w:r>
      <w:r w:rsidRPr="00BB7074" w:rsidR="00822A57">
        <w:rPr>
          <w:rFonts w:ascii="Verdana" w:hAnsi="Verdana"/>
          <w:sz w:val="18"/>
          <w:szCs w:val="18"/>
          <w:lang w:val="nl-NL"/>
        </w:rPr>
        <w:t xml:space="preserve">mede elk ander inkomen dat door de belastingwetgeving van de </w:t>
      </w:r>
      <w:r w:rsidRPr="00BB7074" w:rsidR="008B5BF7">
        <w:rPr>
          <w:rFonts w:ascii="Verdana" w:hAnsi="Verdana"/>
          <w:sz w:val="18"/>
          <w:szCs w:val="18"/>
          <w:lang w:val="nl-NL"/>
        </w:rPr>
        <w:t>staat</w:t>
      </w:r>
      <w:r w:rsidRPr="00BB7074" w:rsidR="00822A57">
        <w:rPr>
          <w:rFonts w:ascii="Verdana" w:hAnsi="Verdana"/>
          <w:sz w:val="18"/>
          <w:szCs w:val="18"/>
          <w:lang w:val="nl-NL"/>
        </w:rPr>
        <w:t xml:space="preserve"> waarvan het lichaam dat de betaling doet inwoner is, behandeld wordt als inkomen uit schuldvorderingen. </w:t>
      </w:r>
    </w:p>
    <w:p w:rsidRPr="00BB7074" w:rsidR="00E12DFF" w:rsidP="00E12DFF" w:rsidRDefault="00E12DFF" w14:paraId="0B1B8917" w14:textId="2FFC786A">
      <w:pPr>
        <w:ind w:firstLine="708"/>
        <w:rPr>
          <w:rFonts w:ascii="Verdana" w:hAnsi="Verdana"/>
          <w:sz w:val="18"/>
          <w:szCs w:val="18"/>
          <w:lang w:val="nl-NL"/>
        </w:rPr>
      </w:pPr>
      <w:r w:rsidRPr="00BB7074">
        <w:rPr>
          <w:rFonts w:ascii="Verdana" w:hAnsi="Verdana"/>
          <w:sz w:val="18"/>
          <w:szCs w:val="18"/>
          <w:lang w:val="nl-NL"/>
        </w:rPr>
        <w:t xml:space="preserve">Op grond van het vijfde lid zijn het eerste, tweede en derde lid niet van toepassing op interest die wordt betaald op schuldvorderingen die zijn toe te rekenen aan een vaste inrichting of vast middelpunt van de uiteindelijk gerechtigde tot de interest die is gelegen in de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waaruit de interest afkomstig is. In dat geval is artikel 7 (winst uit onderneming) van toepassing.</w:t>
      </w:r>
    </w:p>
    <w:p w:rsidRPr="00BB7074" w:rsidR="00E12DFF" w:rsidP="00E12DFF" w:rsidRDefault="00E12DFF" w14:paraId="4111E604" w14:textId="2EFB5698">
      <w:pPr>
        <w:ind w:firstLine="708"/>
        <w:rPr>
          <w:rFonts w:ascii="Verdana" w:hAnsi="Verdana"/>
          <w:sz w:val="18"/>
          <w:szCs w:val="18"/>
          <w:lang w:val="nl-NL"/>
        </w:rPr>
      </w:pPr>
      <w:r w:rsidRPr="00BB7074">
        <w:rPr>
          <w:rFonts w:ascii="Verdana" w:hAnsi="Verdana"/>
          <w:sz w:val="18"/>
          <w:szCs w:val="18"/>
          <w:lang w:val="nl-NL"/>
        </w:rPr>
        <w:t xml:space="preserve">In het zesde lid is vastgelegd uit welke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interest geacht wordt afkomstig te zijn. In beginsel is dat de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waarvan de betaler van de interest een inwoner is. Als echter de betaler van de interest, ongeacht of hij inwoner is van een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een vaste inrichting heeft in een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waaraan de interestbetaling moet worden toegerekend, wordt de interest geacht afkomstig te zijn uit de </w:t>
      </w:r>
      <w:r w:rsidRPr="00BB7074" w:rsidR="008B5BF7">
        <w:rPr>
          <w:rFonts w:ascii="Verdana" w:hAnsi="Verdana"/>
          <w:sz w:val="18"/>
          <w:szCs w:val="18"/>
          <w:lang w:val="nl-NL"/>
        </w:rPr>
        <w:t>staat</w:t>
      </w:r>
      <w:r w:rsidRPr="00BB7074">
        <w:rPr>
          <w:rFonts w:ascii="Verdana" w:hAnsi="Verdana"/>
          <w:sz w:val="18"/>
          <w:szCs w:val="18"/>
          <w:lang w:val="nl-NL"/>
        </w:rPr>
        <w:t xml:space="preserve"> waarin die vaste inrichting is gelegen.</w:t>
      </w:r>
    </w:p>
    <w:p w:rsidRPr="00BB7074" w:rsidR="00E12DFF" w:rsidP="00E12DFF" w:rsidRDefault="00E12DFF" w14:paraId="41A27871" w14:textId="0686993C">
      <w:pPr>
        <w:ind w:firstLine="708"/>
        <w:rPr>
          <w:rFonts w:ascii="Verdana" w:hAnsi="Verdana"/>
          <w:sz w:val="18"/>
          <w:szCs w:val="18"/>
          <w:lang w:val="nl-NL"/>
        </w:rPr>
      </w:pPr>
      <w:r w:rsidRPr="00BB7074">
        <w:rPr>
          <w:rFonts w:ascii="Verdana" w:hAnsi="Verdana"/>
          <w:sz w:val="18"/>
          <w:szCs w:val="18"/>
          <w:lang w:val="nl-NL"/>
        </w:rPr>
        <w:t xml:space="preserve">Ingevolge het zevende lid zijn de bepalingen van artikel 11 slechts van toepassing voor zover de op een schuldvordering betaalde interest overeenkomt met de </w:t>
      </w:r>
      <w:r w:rsidRPr="00BB7074" w:rsidR="00BE0009">
        <w:rPr>
          <w:rFonts w:ascii="Verdana" w:hAnsi="Verdana"/>
          <w:sz w:val="18"/>
          <w:szCs w:val="18"/>
          <w:lang w:val="nl-NL"/>
        </w:rPr>
        <w:t>i</w:t>
      </w:r>
      <w:r w:rsidRPr="00BB7074">
        <w:rPr>
          <w:rFonts w:ascii="Verdana" w:hAnsi="Verdana"/>
          <w:sz w:val="18"/>
          <w:szCs w:val="18"/>
          <w:lang w:val="nl-NL"/>
        </w:rPr>
        <w:t>nterest die tussen onafhankelijke partijen overeengekomen zou zijn. Het eventueel bovenmatige gedeelte van de interest is belastbaar overeenkomstig de nationale wetgeving van elk van de verdragsluitende staten, rekening houdend met de overige bepalingen van het Verdrag.</w:t>
      </w:r>
    </w:p>
    <w:p w:rsidRPr="00BB7074" w:rsidR="00B65593" w:rsidP="00E12DFF" w:rsidRDefault="00B65593" w14:paraId="305EFB7B" w14:textId="02B6B8CA">
      <w:pPr>
        <w:ind w:firstLine="708"/>
        <w:rPr>
          <w:rFonts w:ascii="Verdana" w:hAnsi="Verdana"/>
          <w:sz w:val="18"/>
          <w:szCs w:val="18"/>
          <w:lang w:val="nl-NL"/>
        </w:rPr>
      </w:pPr>
    </w:p>
    <w:p w:rsidRPr="00BB7074" w:rsidR="007E2AE2" w:rsidP="00B603B8" w:rsidRDefault="00936DF5" w14:paraId="394386D3" w14:textId="6B306B1D">
      <w:pPr>
        <w:pStyle w:val="Heading2"/>
        <w:rPr>
          <w:lang w:val="nl-NL"/>
        </w:rPr>
      </w:pPr>
      <w:r w:rsidRPr="00BB7074">
        <w:rPr>
          <w:lang w:val="nl-NL"/>
        </w:rPr>
        <w:t xml:space="preserve">II.12. </w:t>
      </w:r>
      <w:r w:rsidRPr="00BB7074" w:rsidR="007E2AE2">
        <w:rPr>
          <w:lang w:val="nl-NL"/>
        </w:rPr>
        <w:t>Royalty’s</w:t>
      </w:r>
      <w:r w:rsidR="00A9054D">
        <w:rPr>
          <w:lang w:val="nl-NL"/>
        </w:rPr>
        <w:t xml:space="preserve"> (artikel 12 van het Verdrag)</w:t>
      </w:r>
    </w:p>
    <w:p w:rsidRPr="00BB7074" w:rsidR="00263645" w:rsidP="00A47B61" w:rsidRDefault="003A01C2" w14:paraId="4A5BA705" w14:textId="056C8088">
      <w:pPr>
        <w:rPr>
          <w:rFonts w:ascii="Verdana" w:hAnsi="Verdana"/>
          <w:sz w:val="18"/>
          <w:szCs w:val="18"/>
          <w:lang w:val="nl-NL"/>
        </w:rPr>
      </w:pPr>
      <w:r w:rsidRPr="00BB7074">
        <w:rPr>
          <w:rFonts w:ascii="Verdana" w:hAnsi="Verdana"/>
          <w:sz w:val="18"/>
          <w:szCs w:val="18"/>
          <w:lang w:val="nl-NL"/>
        </w:rPr>
        <w:t xml:space="preserve">Artikel 12 </w:t>
      </w:r>
      <w:r w:rsidRPr="00BB7074" w:rsidR="00D420C7">
        <w:rPr>
          <w:rFonts w:ascii="Verdana" w:hAnsi="Verdana"/>
          <w:sz w:val="18"/>
          <w:szCs w:val="18"/>
          <w:lang w:val="nl-NL"/>
        </w:rPr>
        <w:t xml:space="preserve">van het Verdrag </w:t>
      </w:r>
      <w:r w:rsidRPr="00BB7074">
        <w:rPr>
          <w:rFonts w:ascii="Verdana" w:hAnsi="Verdana"/>
          <w:sz w:val="18"/>
          <w:szCs w:val="18"/>
          <w:lang w:val="nl-NL"/>
        </w:rPr>
        <w:t xml:space="preserve">regelt de </w:t>
      </w:r>
      <w:r w:rsidRPr="00BB7074" w:rsidR="00D420C7">
        <w:rPr>
          <w:rFonts w:ascii="Verdana" w:hAnsi="Verdana"/>
          <w:sz w:val="18"/>
          <w:szCs w:val="18"/>
          <w:lang w:val="nl-NL"/>
        </w:rPr>
        <w:t xml:space="preserve">verdeling van de </w:t>
      </w:r>
      <w:r w:rsidRPr="00BB7074">
        <w:rPr>
          <w:rFonts w:ascii="Verdana" w:hAnsi="Verdana"/>
          <w:sz w:val="18"/>
          <w:szCs w:val="18"/>
          <w:lang w:val="nl-NL"/>
        </w:rPr>
        <w:t>heffing</w:t>
      </w:r>
      <w:r w:rsidRPr="00BB7074" w:rsidR="00D420C7">
        <w:rPr>
          <w:rFonts w:ascii="Verdana" w:hAnsi="Verdana"/>
          <w:sz w:val="18"/>
          <w:szCs w:val="18"/>
          <w:lang w:val="nl-NL"/>
        </w:rPr>
        <w:t>sbevoegdheid</w:t>
      </w:r>
      <w:r w:rsidR="00063499">
        <w:rPr>
          <w:rFonts w:ascii="Verdana" w:hAnsi="Verdana"/>
          <w:sz w:val="18"/>
          <w:szCs w:val="18"/>
          <w:lang w:val="nl-NL"/>
        </w:rPr>
        <w:t xml:space="preserve"> </w:t>
      </w:r>
      <w:r w:rsidRPr="00BB7074" w:rsidR="00D420C7">
        <w:rPr>
          <w:rFonts w:ascii="Verdana" w:hAnsi="Verdana"/>
          <w:sz w:val="18"/>
          <w:szCs w:val="18"/>
          <w:lang w:val="nl-NL"/>
        </w:rPr>
        <w:t>met betrekking tot</w:t>
      </w:r>
      <w:r w:rsidRPr="00BB7074">
        <w:rPr>
          <w:rFonts w:ascii="Verdana" w:hAnsi="Verdana"/>
          <w:sz w:val="18"/>
          <w:szCs w:val="18"/>
          <w:lang w:val="nl-NL"/>
        </w:rPr>
        <w:t xml:space="preserve"> royalty’s en volgt </w:t>
      </w:r>
      <w:r w:rsidRPr="00BB7074" w:rsidR="00D420C7">
        <w:rPr>
          <w:rFonts w:ascii="Verdana" w:hAnsi="Verdana"/>
          <w:sz w:val="18"/>
          <w:szCs w:val="18"/>
          <w:lang w:val="nl-NL"/>
        </w:rPr>
        <w:t xml:space="preserve">daarvoor </w:t>
      </w:r>
      <w:r w:rsidRPr="00BB7074" w:rsidR="00263645">
        <w:rPr>
          <w:rFonts w:ascii="Verdana" w:hAnsi="Verdana"/>
          <w:sz w:val="18"/>
          <w:szCs w:val="18"/>
          <w:lang w:val="nl-NL"/>
        </w:rPr>
        <w:t>het desbetreffende artikel in het VN</w:t>
      </w:r>
      <w:r w:rsidRPr="00BB7074" w:rsidR="0080504F">
        <w:rPr>
          <w:rFonts w:ascii="Verdana" w:hAnsi="Verdana"/>
          <w:sz w:val="18"/>
          <w:szCs w:val="18"/>
          <w:lang w:val="nl-NL"/>
        </w:rPr>
        <w:t>-</w:t>
      </w:r>
      <w:r w:rsidRPr="00BB7074" w:rsidR="00C70480">
        <w:rPr>
          <w:rFonts w:ascii="Verdana" w:hAnsi="Verdana"/>
          <w:sz w:val="18"/>
          <w:szCs w:val="18"/>
          <w:lang w:val="nl-NL"/>
        </w:rPr>
        <w:t>modelverdrag</w:t>
      </w:r>
      <w:r w:rsidRPr="00BB7074" w:rsidR="00263645">
        <w:rPr>
          <w:rFonts w:ascii="Verdana" w:hAnsi="Verdana"/>
          <w:sz w:val="18"/>
          <w:szCs w:val="18"/>
          <w:lang w:val="nl-NL"/>
        </w:rPr>
        <w:t>.</w:t>
      </w:r>
    </w:p>
    <w:p w:rsidRPr="00BB7074" w:rsidR="002F0BBD" w:rsidP="00A47B61" w:rsidRDefault="00263645" w14:paraId="15E4A7B8" w14:textId="13B113DB">
      <w:pPr>
        <w:rPr>
          <w:rFonts w:ascii="Verdana" w:hAnsi="Verdana"/>
          <w:sz w:val="18"/>
          <w:szCs w:val="18"/>
          <w:lang w:val="nl-NL"/>
        </w:rPr>
      </w:pPr>
      <w:r w:rsidRPr="00BB7074">
        <w:rPr>
          <w:rFonts w:ascii="Verdana" w:hAnsi="Verdana"/>
          <w:sz w:val="18"/>
          <w:szCs w:val="18"/>
          <w:lang w:val="nl-NL"/>
        </w:rPr>
        <w:t>Het eerste lid legt als hoofdregel neer dat roy</w:t>
      </w:r>
      <w:r w:rsidRPr="00BB7074" w:rsidR="00F57A9B">
        <w:rPr>
          <w:rFonts w:ascii="Verdana" w:hAnsi="Verdana"/>
          <w:sz w:val="18"/>
          <w:szCs w:val="18"/>
          <w:lang w:val="nl-NL"/>
        </w:rPr>
        <w:t>a</w:t>
      </w:r>
      <w:r w:rsidRPr="00BB7074">
        <w:rPr>
          <w:rFonts w:ascii="Verdana" w:hAnsi="Verdana"/>
          <w:sz w:val="18"/>
          <w:szCs w:val="18"/>
          <w:lang w:val="nl-NL"/>
        </w:rPr>
        <w:t xml:space="preserve">lty’s belast mogen worden in </w:t>
      </w:r>
      <w:r w:rsidRPr="00BB7074" w:rsidR="00173450">
        <w:rPr>
          <w:rFonts w:ascii="Verdana" w:hAnsi="Verdana"/>
          <w:sz w:val="18"/>
          <w:szCs w:val="18"/>
          <w:lang w:val="nl-NL"/>
        </w:rPr>
        <w:t xml:space="preserve">de verdragsluitende staat </w:t>
      </w:r>
      <w:r w:rsidRPr="00BB7074">
        <w:rPr>
          <w:rFonts w:ascii="Verdana" w:hAnsi="Verdana"/>
          <w:sz w:val="18"/>
          <w:szCs w:val="18"/>
          <w:lang w:val="nl-NL"/>
        </w:rPr>
        <w:t>van de ontvanger van de betaling.</w:t>
      </w:r>
    </w:p>
    <w:p w:rsidRPr="00BB7074" w:rsidR="00263645" w:rsidP="00A47B61" w:rsidRDefault="00263645" w14:paraId="750400D9" w14:textId="16DE9684">
      <w:pPr>
        <w:rPr>
          <w:rFonts w:ascii="Verdana" w:hAnsi="Verdana"/>
          <w:sz w:val="18"/>
          <w:szCs w:val="18"/>
          <w:lang w:val="nl-NL"/>
        </w:rPr>
      </w:pPr>
      <w:r w:rsidRPr="00BB7074">
        <w:rPr>
          <w:rFonts w:ascii="Verdana" w:hAnsi="Verdana"/>
          <w:sz w:val="18"/>
          <w:szCs w:val="18"/>
          <w:lang w:val="nl-NL"/>
        </w:rPr>
        <w:t xml:space="preserve">Het tweede lid geeft </w:t>
      </w:r>
      <w:r w:rsidRPr="00BB7074" w:rsidR="00672EE9">
        <w:rPr>
          <w:rFonts w:ascii="Verdana" w:hAnsi="Verdana"/>
          <w:sz w:val="18"/>
          <w:szCs w:val="18"/>
          <w:lang w:val="nl-NL"/>
        </w:rPr>
        <w:t xml:space="preserve">ook </w:t>
      </w:r>
      <w:r w:rsidRPr="00BB7074">
        <w:rPr>
          <w:rFonts w:ascii="Verdana" w:hAnsi="Verdana"/>
          <w:sz w:val="18"/>
          <w:szCs w:val="18"/>
          <w:lang w:val="nl-NL"/>
        </w:rPr>
        <w:t xml:space="preserve">een </w:t>
      </w:r>
      <w:r w:rsidRPr="00BB7074" w:rsidR="00173450">
        <w:rPr>
          <w:rFonts w:ascii="Verdana" w:hAnsi="Verdana"/>
          <w:sz w:val="18"/>
          <w:szCs w:val="18"/>
          <w:lang w:val="nl-NL"/>
        </w:rPr>
        <w:t xml:space="preserve">beperkt </w:t>
      </w:r>
      <w:r w:rsidRPr="00BB7074">
        <w:rPr>
          <w:rFonts w:ascii="Verdana" w:hAnsi="Verdana"/>
          <w:sz w:val="18"/>
          <w:szCs w:val="18"/>
          <w:lang w:val="nl-NL"/>
        </w:rPr>
        <w:t xml:space="preserve">heffingsrecht aan </w:t>
      </w:r>
      <w:r w:rsidRPr="00BB7074" w:rsidR="00672EE9">
        <w:rPr>
          <w:rFonts w:ascii="Verdana" w:hAnsi="Verdana"/>
          <w:sz w:val="18"/>
          <w:szCs w:val="18"/>
          <w:lang w:val="nl-NL"/>
        </w:rPr>
        <w:t xml:space="preserve">de </w:t>
      </w:r>
      <w:r w:rsidRPr="00BB7074" w:rsidR="00173450">
        <w:rPr>
          <w:rFonts w:ascii="Verdana" w:hAnsi="Verdana"/>
          <w:sz w:val="18"/>
          <w:szCs w:val="18"/>
          <w:lang w:val="nl-NL"/>
        </w:rPr>
        <w:t xml:space="preserve">verdragsluitende staat </w:t>
      </w:r>
      <w:r w:rsidRPr="00BB7074" w:rsidR="00672EE9">
        <w:rPr>
          <w:rFonts w:ascii="Verdana" w:hAnsi="Verdana"/>
          <w:sz w:val="18"/>
          <w:szCs w:val="18"/>
          <w:lang w:val="nl-NL"/>
        </w:rPr>
        <w:t xml:space="preserve">waarin </w:t>
      </w:r>
      <w:r w:rsidRPr="00BB7074">
        <w:rPr>
          <w:rFonts w:ascii="Verdana" w:hAnsi="Verdana"/>
          <w:sz w:val="18"/>
          <w:szCs w:val="18"/>
          <w:lang w:val="nl-NL"/>
        </w:rPr>
        <w:t xml:space="preserve">de </w:t>
      </w:r>
      <w:r w:rsidRPr="00BB7074" w:rsidR="008B5BF7">
        <w:rPr>
          <w:rFonts w:ascii="Verdana" w:hAnsi="Verdana"/>
          <w:sz w:val="18"/>
          <w:szCs w:val="18"/>
          <w:lang w:val="nl-NL"/>
        </w:rPr>
        <w:t>royalty’s</w:t>
      </w:r>
      <w:r w:rsidRPr="00BB7074">
        <w:rPr>
          <w:rFonts w:ascii="Verdana" w:hAnsi="Verdana"/>
          <w:sz w:val="18"/>
          <w:szCs w:val="18"/>
          <w:lang w:val="nl-NL"/>
        </w:rPr>
        <w:t xml:space="preserve"> </w:t>
      </w:r>
      <w:r w:rsidRPr="00BB7074" w:rsidR="00672EE9">
        <w:rPr>
          <w:rFonts w:ascii="Verdana" w:hAnsi="Verdana"/>
          <w:sz w:val="18"/>
          <w:szCs w:val="18"/>
          <w:lang w:val="nl-NL"/>
        </w:rPr>
        <w:t>opkomen</w:t>
      </w:r>
      <w:r w:rsidRPr="00BB7074">
        <w:rPr>
          <w:rFonts w:ascii="Verdana" w:hAnsi="Verdana"/>
          <w:sz w:val="18"/>
          <w:szCs w:val="18"/>
          <w:lang w:val="nl-NL"/>
        </w:rPr>
        <w:t>. Voor royalty’s ter</w:t>
      </w:r>
      <w:r w:rsidRPr="00BB7074" w:rsidR="00173450">
        <w:rPr>
          <w:rFonts w:ascii="Verdana" w:hAnsi="Verdana"/>
          <w:sz w:val="18"/>
          <w:szCs w:val="18"/>
          <w:lang w:val="nl-NL"/>
        </w:rPr>
        <w:t xml:space="preserve"> </w:t>
      </w:r>
      <w:r w:rsidRPr="00BB7074">
        <w:rPr>
          <w:rFonts w:ascii="Verdana" w:hAnsi="Verdana"/>
          <w:sz w:val="18"/>
          <w:szCs w:val="18"/>
          <w:lang w:val="nl-NL"/>
        </w:rPr>
        <w:t xml:space="preserve">zake van het gebruik van, of het recht op gebruik van, </w:t>
      </w:r>
      <w:r w:rsidRPr="00BB7074" w:rsidR="008B5BF7">
        <w:rPr>
          <w:rFonts w:ascii="Verdana" w:hAnsi="Verdana"/>
          <w:sz w:val="18"/>
          <w:szCs w:val="18"/>
          <w:lang w:val="nl-NL"/>
        </w:rPr>
        <w:t>industriële</w:t>
      </w:r>
      <w:r w:rsidRPr="00BB7074">
        <w:rPr>
          <w:rFonts w:ascii="Verdana" w:hAnsi="Verdana"/>
          <w:sz w:val="18"/>
          <w:szCs w:val="18"/>
          <w:lang w:val="nl-NL"/>
        </w:rPr>
        <w:t xml:space="preserve"> of wetenschappelijke uitrusting geldt een tarief van </w:t>
      </w:r>
      <w:r w:rsidRPr="00BB7074" w:rsidR="00173450">
        <w:rPr>
          <w:rFonts w:ascii="Verdana" w:hAnsi="Verdana"/>
          <w:sz w:val="18"/>
          <w:szCs w:val="18"/>
          <w:lang w:val="nl-NL"/>
        </w:rPr>
        <w:t xml:space="preserve">maximaal </w:t>
      </w:r>
      <w:r w:rsidRPr="00BB7074">
        <w:rPr>
          <w:rFonts w:ascii="Verdana" w:hAnsi="Verdana"/>
          <w:sz w:val="18"/>
          <w:szCs w:val="18"/>
          <w:lang w:val="nl-NL"/>
        </w:rPr>
        <w:t>5%</w:t>
      </w:r>
      <w:r w:rsidRPr="00BB7074" w:rsidR="00173450">
        <w:rPr>
          <w:rFonts w:ascii="Verdana" w:hAnsi="Verdana"/>
          <w:sz w:val="18"/>
          <w:szCs w:val="18"/>
          <w:lang w:val="nl-NL"/>
        </w:rPr>
        <w:t xml:space="preserve"> van </w:t>
      </w:r>
      <w:r w:rsidRPr="00BB7074" w:rsidR="0076672D">
        <w:rPr>
          <w:rFonts w:ascii="Verdana" w:hAnsi="Verdana"/>
          <w:sz w:val="18"/>
          <w:szCs w:val="18"/>
          <w:lang w:val="nl-NL"/>
        </w:rPr>
        <w:t>het</w:t>
      </w:r>
      <w:r w:rsidRPr="00BB7074" w:rsidR="00173450">
        <w:rPr>
          <w:rFonts w:ascii="Verdana" w:hAnsi="Verdana"/>
          <w:sz w:val="18"/>
          <w:szCs w:val="18"/>
          <w:lang w:val="nl-NL"/>
        </w:rPr>
        <w:t xml:space="preserve"> brutobe</w:t>
      </w:r>
      <w:r w:rsidRPr="00BB7074" w:rsidR="0076672D">
        <w:rPr>
          <w:rFonts w:ascii="Verdana" w:hAnsi="Verdana"/>
          <w:sz w:val="18"/>
          <w:szCs w:val="18"/>
          <w:lang w:val="nl-NL"/>
        </w:rPr>
        <w:t>drag van de royalty’s</w:t>
      </w:r>
      <w:r w:rsidRPr="00BB7074">
        <w:rPr>
          <w:rFonts w:ascii="Verdana" w:hAnsi="Verdana"/>
          <w:sz w:val="18"/>
          <w:szCs w:val="18"/>
          <w:lang w:val="nl-NL"/>
        </w:rPr>
        <w:t xml:space="preserve">. </w:t>
      </w:r>
      <w:r w:rsidRPr="00BB7074" w:rsidR="00E106B2">
        <w:rPr>
          <w:rFonts w:ascii="Verdana" w:hAnsi="Verdana"/>
          <w:sz w:val="18"/>
          <w:szCs w:val="18"/>
          <w:lang w:val="nl-NL"/>
        </w:rPr>
        <w:t>Het aanmerken van betalingen voor het gebruik van industriële of wetenschappelijke uitrusting</w:t>
      </w:r>
      <w:r w:rsidRPr="00BB7074" w:rsidR="00A64705">
        <w:rPr>
          <w:rFonts w:ascii="Verdana" w:hAnsi="Verdana"/>
          <w:sz w:val="18"/>
          <w:szCs w:val="18"/>
          <w:lang w:val="nl-NL"/>
        </w:rPr>
        <w:t xml:space="preserve"> wijkt af van het OESO-modelverdrag en van</w:t>
      </w:r>
      <w:r w:rsidRPr="00BB7074" w:rsidR="00E106B2">
        <w:rPr>
          <w:rFonts w:ascii="Verdana" w:hAnsi="Verdana"/>
          <w:sz w:val="18"/>
          <w:szCs w:val="18"/>
          <w:lang w:val="nl-NL"/>
        </w:rPr>
        <w:t xml:space="preserve"> de NFV 2020, maar is in het kader van een algeheel compromis geaccepteerd.</w:t>
      </w:r>
      <w:r w:rsidRPr="00BB7074" w:rsidR="00A64705">
        <w:rPr>
          <w:rFonts w:ascii="Verdana" w:hAnsi="Verdana"/>
          <w:sz w:val="18"/>
          <w:szCs w:val="18"/>
          <w:lang w:val="nl-NL"/>
        </w:rPr>
        <w:t xml:space="preserve"> </w:t>
      </w:r>
      <w:r w:rsidRPr="00BB7074">
        <w:rPr>
          <w:rFonts w:ascii="Verdana" w:hAnsi="Verdana"/>
          <w:sz w:val="18"/>
          <w:szCs w:val="18"/>
          <w:lang w:val="nl-NL"/>
        </w:rPr>
        <w:t xml:space="preserve">Voor alle andere royalty’s geldt een maximum van 10%. </w:t>
      </w:r>
    </w:p>
    <w:p w:rsidRPr="00BB7074" w:rsidR="00F57A9B" w:rsidP="00A47B61" w:rsidRDefault="00F57A9B" w14:paraId="2798E3CE" w14:textId="76BCD17A">
      <w:pPr>
        <w:rPr>
          <w:rFonts w:ascii="Verdana" w:hAnsi="Verdana"/>
          <w:sz w:val="18"/>
          <w:szCs w:val="18"/>
          <w:lang w:val="nl-NL"/>
        </w:rPr>
      </w:pPr>
      <w:r w:rsidRPr="00BB7074">
        <w:rPr>
          <w:rFonts w:ascii="Verdana" w:hAnsi="Verdana"/>
          <w:sz w:val="18"/>
          <w:szCs w:val="18"/>
          <w:lang w:val="nl-NL"/>
        </w:rPr>
        <w:t xml:space="preserve">Het derde lid omschrijft het begrip royalty en komt, behoudens een enkele tekstuele aanpassing, </w:t>
      </w:r>
      <w:r w:rsidRPr="00BB7074" w:rsidR="00173450">
        <w:rPr>
          <w:rFonts w:ascii="Verdana" w:hAnsi="Verdana"/>
          <w:sz w:val="18"/>
          <w:szCs w:val="18"/>
          <w:lang w:val="nl-NL"/>
        </w:rPr>
        <w:t xml:space="preserve">inhoudelijk nagenoeg </w:t>
      </w:r>
      <w:r w:rsidRPr="00BB7074" w:rsidR="00232443">
        <w:rPr>
          <w:rFonts w:ascii="Verdana" w:hAnsi="Verdana"/>
          <w:sz w:val="18"/>
          <w:szCs w:val="18"/>
          <w:lang w:val="nl-NL"/>
        </w:rPr>
        <w:t xml:space="preserve">overeen met </w:t>
      </w:r>
      <w:r w:rsidRPr="00BB7074">
        <w:rPr>
          <w:rFonts w:ascii="Verdana" w:hAnsi="Verdana"/>
          <w:sz w:val="18"/>
          <w:szCs w:val="18"/>
          <w:lang w:val="nl-NL"/>
        </w:rPr>
        <w:t>de omschrijving die te vinden is in het VN</w:t>
      </w:r>
      <w:r w:rsidRPr="00BB7074" w:rsidR="0080504F">
        <w:rPr>
          <w:rFonts w:ascii="Verdana" w:hAnsi="Verdana"/>
          <w:sz w:val="18"/>
          <w:szCs w:val="18"/>
          <w:lang w:val="nl-NL"/>
        </w:rPr>
        <w:t>-</w:t>
      </w:r>
      <w:r w:rsidRPr="00BB7074" w:rsidR="00C70480">
        <w:rPr>
          <w:rFonts w:ascii="Verdana" w:hAnsi="Verdana"/>
          <w:sz w:val="18"/>
          <w:szCs w:val="18"/>
          <w:lang w:val="nl-NL"/>
        </w:rPr>
        <w:t>modelverdrag</w:t>
      </w:r>
      <w:r w:rsidRPr="00BB7074">
        <w:rPr>
          <w:rFonts w:ascii="Verdana" w:hAnsi="Verdana"/>
          <w:sz w:val="18"/>
          <w:szCs w:val="18"/>
          <w:lang w:val="nl-NL"/>
        </w:rPr>
        <w:t xml:space="preserve">. </w:t>
      </w:r>
      <w:r w:rsidRPr="00BB7074" w:rsidR="00E106B2">
        <w:rPr>
          <w:rFonts w:ascii="Verdana" w:hAnsi="Verdana"/>
          <w:sz w:val="18"/>
          <w:szCs w:val="18"/>
          <w:lang w:val="nl-NL"/>
        </w:rPr>
        <w:t xml:space="preserve">Het aanmerken van betalingen voor het gebruik van industriële of wetenschappelijke uitrusting wijkt af van het OESO-modelverdrag. </w:t>
      </w:r>
      <w:r w:rsidRPr="00BB7074" w:rsidR="00232443">
        <w:rPr>
          <w:rFonts w:ascii="Verdana" w:hAnsi="Verdana"/>
          <w:sz w:val="18"/>
          <w:szCs w:val="18"/>
          <w:lang w:val="nl-NL"/>
        </w:rPr>
        <w:t xml:space="preserve">Inhoudelijk is het enige verschil </w:t>
      </w:r>
      <w:r w:rsidRPr="00BB7074" w:rsidR="00E106B2">
        <w:rPr>
          <w:rFonts w:ascii="Verdana" w:hAnsi="Verdana"/>
          <w:sz w:val="18"/>
          <w:szCs w:val="18"/>
          <w:lang w:val="nl-NL"/>
        </w:rPr>
        <w:lastRenderedPageBreak/>
        <w:t xml:space="preserve">met het VN-modelverdrag </w:t>
      </w:r>
      <w:r w:rsidRPr="00BB7074" w:rsidR="00232443">
        <w:rPr>
          <w:rFonts w:ascii="Verdana" w:hAnsi="Verdana"/>
          <w:sz w:val="18"/>
          <w:szCs w:val="18"/>
          <w:lang w:val="nl-NL"/>
        </w:rPr>
        <w:t xml:space="preserve">dat films en geluidsbanden voor radio- en </w:t>
      </w:r>
      <w:r w:rsidRPr="00BB7074" w:rsidR="008B5BF7">
        <w:rPr>
          <w:rFonts w:ascii="Verdana" w:hAnsi="Verdana"/>
          <w:sz w:val="18"/>
          <w:szCs w:val="18"/>
          <w:lang w:val="nl-NL"/>
        </w:rPr>
        <w:t>televisie-uitzendingen</w:t>
      </w:r>
      <w:r w:rsidRPr="00BB7074" w:rsidR="00232443">
        <w:rPr>
          <w:rFonts w:ascii="Verdana" w:hAnsi="Verdana"/>
          <w:sz w:val="18"/>
          <w:szCs w:val="18"/>
          <w:lang w:val="nl-NL"/>
        </w:rPr>
        <w:t xml:space="preserve"> niet </w:t>
      </w:r>
      <w:r w:rsidRPr="00BB7074" w:rsidR="00173450">
        <w:rPr>
          <w:rFonts w:ascii="Verdana" w:hAnsi="Verdana"/>
          <w:sz w:val="18"/>
          <w:szCs w:val="18"/>
          <w:lang w:val="nl-NL"/>
        </w:rPr>
        <w:t xml:space="preserve">in de definitie </w:t>
      </w:r>
      <w:r w:rsidRPr="00BB7074" w:rsidR="00232443">
        <w:rPr>
          <w:rFonts w:ascii="Verdana" w:hAnsi="Verdana"/>
          <w:sz w:val="18"/>
          <w:szCs w:val="18"/>
          <w:lang w:val="nl-NL"/>
        </w:rPr>
        <w:t>zijn opgenomen.</w:t>
      </w:r>
      <w:r w:rsidRPr="00BB7074" w:rsidR="00E106B2">
        <w:rPr>
          <w:rFonts w:ascii="Verdana" w:hAnsi="Verdana"/>
          <w:sz w:val="18"/>
          <w:szCs w:val="18"/>
          <w:lang w:val="nl-NL"/>
        </w:rPr>
        <w:t xml:space="preserve"> </w:t>
      </w:r>
    </w:p>
    <w:p w:rsidRPr="00BB7074" w:rsidR="00232443" w:rsidP="00A47B61" w:rsidRDefault="00232443" w14:paraId="439A4560" w14:textId="0A8B04F3">
      <w:pPr>
        <w:rPr>
          <w:rFonts w:ascii="Verdana" w:hAnsi="Verdana"/>
          <w:sz w:val="18"/>
          <w:szCs w:val="18"/>
          <w:lang w:val="nl-NL"/>
        </w:rPr>
      </w:pPr>
      <w:r w:rsidRPr="00BB7074">
        <w:rPr>
          <w:rFonts w:ascii="Verdana" w:hAnsi="Verdana"/>
          <w:sz w:val="18"/>
          <w:szCs w:val="18"/>
          <w:lang w:val="nl-NL"/>
        </w:rPr>
        <w:t xml:space="preserve">Het vierde lid regelt dat </w:t>
      </w:r>
      <w:r w:rsidRPr="00BB7074" w:rsidR="00C25597">
        <w:rPr>
          <w:rFonts w:ascii="Verdana" w:hAnsi="Verdana"/>
          <w:sz w:val="18"/>
          <w:szCs w:val="18"/>
          <w:lang w:val="nl-NL"/>
        </w:rPr>
        <w:t xml:space="preserve">de </w:t>
      </w:r>
      <w:r w:rsidRPr="00BB7074">
        <w:rPr>
          <w:rFonts w:ascii="Verdana" w:hAnsi="Verdana"/>
          <w:sz w:val="18"/>
          <w:szCs w:val="18"/>
          <w:lang w:val="nl-NL"/>
        </w:rPr>
        <w:t>bron</w:t>
      </w:r>
      <w:r w:rsidRPr="00BB7074" w:rsidR="00C25597">
        <w:rPr>
          <w:rFonts w:ascii="Verdana" w:hAnsi="Verdana"/>
          <w:sz w:val="18"/>
          <w:szCs w:val="18"/>
          <w:lang w:val="nl-NL"/>
        </w:rPr>
        <w:t>staat</w:t>
      </w:r>
      <w:r w:rsidRPr="00BB7074">
        <w:rPr>
          <w:rFonts w:ascii="Verdana" w:hAnsi="Verdana"/>
          <w:sz w:val="18"/>
          <w:szCs w:val="18"/>
          <w:lang w:val="nl-NL"/>
        </w:rPr>
        <w:t xml:space="preserve"> niet wordt beperkt in zijn heffingsrechten als de royalty’s weliswaar worden uitbetaald aan een inwoner van </w:t>
      </w:r>
      <w:r w:rsidRPr="00BB7074" w:rsidR="00C25597">
        <w:rPr>
          <w:rFonts w:ascii="Verdana" w:hAnsi="Verdana"/>
          <w:sz w:val="18"/>
          <w:szCs w:val="18"/>
          <w:lang w:val="nl-NL"/>
        </w:rPr>
        <w:t xml:space="preserve">de </w:t>
      </w:r>
      <w:r w:rsidRPr="00BB7074">
        <w:rPr>
          <w:rFonts w:ascii="Verdana" w:hAnsi="Verdana"/>
          <w:sz w:val="18"/>
          <w:szCs w:val="18"/>
          <w:lang w:val="nl-NL"/>
        </w:rPr>
        <w:t xml:space="preserve">andere </w:t>
      </w:r>
      <w:r w:rsidRPr="00BB7074" w:rsidR="00C25597">
        <w:rPr>
          <w:rFonts w:ascii="Verdana" w:hAnsi="Verdana"/>
          <w:sz w:val="18"/>
          <w:szCs w:val="18"/>
          <w:lang w:val="nl-NL"/>
        </w:rPr>
        <w:t>verdragsluitende staat</w:t>
      </w:r>
      <w:r w:rsidRPr="00BB7074" w:rsidR="0076672D">
        <w:rPr>
          <w:rFonts w:ascii="Verdana" w:hAnsi="Verdana"/>
          <w:sz w:val="18"/>
          <w:szCs w:val="18"/>
          <w:lang w:val="nl-NL"/>
        </w:rPr>
        <w:t xml:space="preserve"> die de uiteindelijke gerechtigde tot de royalty’s is</w:t>
      </w:r>
      <w:r w:rsidRPr="00BB7074">
        <w:rPr>
          <w:rFonts w:ascii="Verdana" w:hAnsi="Verdana"/>
          <w:sz w:val="18"/>
          <w:szCs w:val="18"/>
          <w:lang w:val="nl-NL"/>
        </w:rPr>
        <w:t xml:space="preserve">, maar deze royalty’s zijn toe te rekenen aan een vaste inrichting die hij </w:t>
      </w:r>
      <w:r w:rsidRPr="00BB7074" w:rsidR="00C25597">
        <w:rPr>
          <w:rFonts w:ascii="Verdana" w:hAnsi="Verdana"/>
          <w:sz w:val="18"/>
          <w:szCs w:val="18"/>
          <w:lang w:val="nl-NL"/>
        </w:rPr>
        <w:t xml:space="preserve">heeft </w:t>
      </w:r>
      <w:r w:rsidRPr="00BB7074">
        <w:rPr>
          <w:rFonts w:ascii="Verdana" w:hAnsi="Verdana"/>
          <w:sz w:val="18"/>
          <w:szCs w:val="18"/>
          <w:lang w:val="nl-NL"/>
        </w:rPr>
        <w:t xml:space="preserve">in </w:t>
      </w:r>
      <w:r w:rsidRPr="00BB7074" w:rsidR="00C25597">
        <w:rPr>
          <w:rFonts w:ascii="Verdana" w:hAnsi="Verdana"/>
          <w:sz w:val="18"/>
          <w:szCs w:val="18"/>
          <w:lang w:val="nl-NL"/>
        </w:rPr>
        <w:t xml:space="preserve">de </w:t>
      </w:r>
      <w:r w:rsidRPr="00BB7074">
        <w:rPr>
          <w:rFonts w:ascii="Verdana" w:hAnsi="Verdana"/>
          <w:sz w:val="18"/>
          <w:szCs w:val="18"/>
          <w:lang w:val="nl-NL"/>
        </w:rPr>
        <w:t xml:space="preserve">eerstgenoemde </w:t>
      </w:r>
      <w:r w:rsidRPr="00BB7074" w:rsidR="00C25597">
        <w:rPr>
          <w:rFonts w:ascii="Verdana" w:hAnsi="Verdana"/>
          <w:sz w:val="18"/>
          <w:szCs w:val="18"/>
          <w:lang w:val="nl-NL"/>
        </w:rPr>
        <w:t>staat</w:t>
      </w:r>
      <w:r w:rsidRPr="00BB7074">
        <w:rPr>
          <w:rFonts w:ascii="Verdana" w:hAnsi="Verdana"/>
          <w:sz w:val="18"/>
          <w:szCs w:val="18"/>
          <w:lang w:val="nl-NL"/>
        </w:rPr>
        <w:t>.</w:t>
      </w:r>
    </w:p>
    <w:p w:rsidRPr="00BB7074" w:rsidR="00232443" w:rsidP="00A47B61" w:rsidRDefault="00232443" w14:paraId="5D7AF33A" w14:textId="1FD672D2">
      <w:pPr>
        <w:rPr>
          <w:rFonts w:ascii="Verdana" w:hAnsi="Verdana"/>
          <w:sz w:val="18"/>
          <w:szCs w:val="18"/>
          <w:lang w:val="nl-NL"/>
        </w:rPr>
      </w:pPr>
      <w:r w:rsidRPr="00BB7074">
        <w:rPr>
          <w:rFonts w:ascii="Verdana" w:hAnsi="Verdana"/>
          <w:sz w:val="18"/>
          <w:szCs w:val="18"/>
          <w:lang w:val="nl-NL"/>
        </w:rPr>
        <w:t>Het vijfde lid bepaalt wanneer royalty’s wor</w:t>
      </w:r>
      <w:r w:rsidRPr="00BB7074" w:rsidR="00F46AD2">
        <w:rPr>
          <w:rFonts w:ascii="Verdana" w:hAnsi="Verdana"/>
          <w:sz w:val="18"/>
          <w:szCs w:val="18"/>
          <w:lang w:val="nl-NL"/>
        </w:rPr>
        <w:t xml:space="preserve">den geacht op te komen </w:t>
      </w:r>
      <w:r w:rsidRPr="00BB7074" w:rsidR="0076672D">
        <w:rPr>
          <w:rFonts w:ascii="Verdana" w:hAnsi="Verdana"/>
          <w:sz w:val="18"/>
          <w:szCs w:val="18"/>
          <w:lang w:val="nl-NL"/>
        </w:rPr>
        <w:t xml:space="preserve">in </w:t>
      </w:r>
      <w:r w:rsidRPr="00BB7074" w:rsidR="00F46AD2">
        <w:rPr>
          <w:rFonts w:ascii="Verdana" w:hAnsi="Verdana"/>
          <w:sz w:val="18"/>
          <w:szCs w:val="18"/>
          <w:lang w:val="nl-NL"/>
        </w:rPr>
        <w:t xml:space="preserve">een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Dat is het geval wanneer de </w:t>
      </w:r>
      <w:r w:rsidRPr="00BB7074" w:rsidR="00C5045C">
        <w:rPr>
          <w:rFonts w:ascii="Verdana" w:hAnsi="Verdana"/>
          <w:sz w:val="18"/>
          <w:szCs w:val="18"/>
          <w:lang w:val="nl-NL"/>
        </w:rPr>
        <w:t>royalty</w:t>
      </w:r>
      <w:r w:rsidRPr="00BB7074">
        <w:rPr>
          <w:rFonts w:ascii="Verdana" w:hAnsi="Verdana"/>
          <w:sz w:val="18"/>
          <w:szCs w:val="18"/>
          <w:lang w:val="nl-NL"/>
        </w:rPr>
        <w:t xml:space="preserve">betaling wordt gedaan door een inwoner van die </w:t>
      </w:r>
      <w:r w:rsidRPr="00BB7074" w:rsidR="008B5BF7">
        <w:rPr>
          <w:rFonts w:ascii="Verdana" w:hAnsi="Verdana"/>
          <w:sz w:val="18"/>
          <w:szCs w:val="18"/>
          <w:lang w:val="nl-NL"/>
        </w:rPr>
        <w:t>staat</w:t>
      </w:r>
      <w:r w:rsidRPr="00BB7074">
        <w:rPr>
          <w:rFonts w:ascii="Verdana" w:hAnsi="Verdana"/>
          <w:sz w:val="18"/>
          <w:szCs w:val="18"/>
          <w:lang w:val="nl-NL"/>
        </w:rPr>
        <w:t xml:space="preserve"> of wanneer de </w:t>
      </w:r>
      <w:r w:rsidRPr="00BB7074" w:rsidR="00C5045C">
        <w:rPr>
          <w:rFonts w:ascii="Verdana" w:hAnsi="Verdana"/>
          <w:sz w:val="18"/>
          <w:szCs w:val="18"/>
          <w:lang w:val="nl-NL"/>
        </w:rPr>
        <w:t>royalty</w:t>
      </w:r>
      <w:r w:rsidRPr="00BB7074">
        <w:rPr>
          <w:rFonts w:ascii="Verdana" w:hAnsi="Verdana"/>
          <w:sz w:val="18"/>
          <w:szCs w:val="18"/>
          <w:lang w:val="nl-NL"/>
        </w:rPr>
        <w:t xml:space="preserve">betaling wordt gedaan door een niet-inwoner van die </w:t>
      </w:r>
      <w:r w:rsidRPr="00BB7074" w:rsidR="008B5BF7">
        <w:rPr>
          <w:rFonts w:ascii="Verdana" w:hAnsi="Verdana"/>
          <w:sz w:val="18"/>
          <w:szCs w:val="18"/>
          <w:lang w:val="nl-NL"/>
        </w:rPr>
        <w:t>staat</w:t>
      </w:r>
      <w:r w:rsidRPr="00BB7074">
        <w:rPr>
          <w:rFonts w:ascii="Verdana" w:hAnsi="Verdana"/>
          <w:sz w:val="18"/>
          <w:szCs w:val="18"/>
          <w:lang w:val="nl-NL"/>
        </w:rPr>
        <w:t xml:space="preserve">, wanneer deze betaling is toe te rekenen aan een vaste inrichting die hij in die </w:t>
      </w:r>
      <w:r w:rsidRPr="00BB7074" w:rsidR="008B5BF7">
        <w:rPr>
          <w:rFonts w:ascii="Verdana" w:hAnsi="Verdana"/>
          <w:sz w:val="18"/>
          <w:szCs w:val="18"/>
          <w:lang w:val="nl-NL"/>
        </w:rPr>
        <w:t>staat</w:t>
      </w:r>
      <w:r w:rsidRPr="00BB7074">
        <w:rPr>
          <w:rFonts w:ascii="Verdana" w:hAnsi="Verdana"/>
          <w:sz w:val="18"/>
          <w:szCs w:val="18"/>
          <w:lang w:val="nl-NL"/>
        </w:rPr>
        <w:t xml:space="preserve"> </w:t>
      </w:r>
      <w:r w:rsidRPr="00BB7074" w:rsidR="00F45D9E">
        <w:rPr>
          <w:rFonts w:ascii="Verdana" w:hAnsi="Verdana"/>
          <w:sz w:val="18"/>
          <w:szCs w:val="18"/>
          <w:lang w:val="nl-NL"/>
        </w:rPr>
        <w:t>heeft</w:t>
      </w:r>
      <w:r w:rsidRPr="00BB7074">
        <w:rPr>
          <w:rFonts w:ascii="Verdana" w:hAnsi="Verdana"/>
          <w:sz w:val="18"/>
          <w:szCs w:val="18"/>
          <w:lang w:val="nl-NL"/>
        </w:rPr>
        <w:t>.</w:t>
      </w:r>
    </w:p>
    <w:p w:rsidRPr="00BB7074" w:rsidR="00232443" w:rsidP="00A47B61" w:rsidRDefault="00232443" w14:paraId="73799544" w14:textId="762A6B1B">
      <w:pPr>
        <w:rPr>
          <w:rFonts w:ascii="Verdana" w:hAnsi="Verdana"/>
          <w:sz w:val="18"/>
          <w:szCs w:val="18"/>
          <w:lang w:val="nl-NL"/>
        </w:rPr>
      </w:pPr>
      <w:r w:rsidRPr="00BB7074">
        <w:rPr>
          <w:rFonts w:ascii="Verdana" w:hAnsi="Verdana"/>
          <w:sz w:val="18"/>
          <w:szCs w:val="18"/>
          <w:lang w:val="nl-NL"/>
        </w:rPr>
        <w:t xml:space="preserve">Het zesde lid houdt in dat de bepalingen van dit artikel uitsluitend gelden voor zover de betaalde royalty overeenkomt met een bedrag dat onafhankelijke partijen onder vergelijkbare omstandigheden zouden overeenkomen. </w:t>
      </w:r>
    </w:p>
    <w:p w:rsidRPr="00BB7074" w:rsidR="00742902" w:rsidP="00A47B61" w:rsidRDefault="00742902" w14:paraId="545BEFBB" w14:textId="77777777">
      <w:pPr>
        <w:rPr>
          <w:rFonts w:ascii="Verdana" w:hAnsi="Verdana"/>
          <w:sz w:val="18"/>
          <w:szCs w:val="18"/>
          <w:lang w:val="nl-NL"/>
        </w:rPr>
      </w:pPr>
    </w:p>
    <w:p w:rsidRPr="00BB7074" w:rsidR="007E2AE2" w:rsidP="00B603B8" w:rsidRDefault="00936DF5" w14:paraId="52A403DE" w14:textId="3B8A2B00">
      <w:pPr>
        <w:pStyle w:val="Heading2"/>
        <w:rPr>
          <w:lang w:val="nl-NL"/>
        </w:rPr>
      </w:pPr>
      <w:r w:rsidRPr="00BB7074">
        <w:rPr>
          <w:lang w:val="nl-NL"/>
        </w:rPr>
        <w:t xml:space="preserve">II.13. </w:t>
      </w:r>
      <w:r w:rsidRPr="00BB7074" w:rsidR="007E2AE2">
        <w:rPr>
          <w:lang w:val="nl-NL"/>
        </w:rPr>
        <w:t>Vermogenswinsten</w:t>
      </w:r>
      <w:r w:rsidRPr="00BB7074" w:rsidR="003453FA">
        <w:rPr>
          <w:lang w:val="nl-NL"/>
        </w:rPr>
        <w:t xml:space="preserve"> (</w:t>
      </w:r>
      <w:r w:rsidR="00A9054D">
        <w:rPr>
          <w:lang w:val="nl-NL"/>
        </w:rPr>
        <w:t xml:space="preserve">artikel 13 van het Verdrag </w:t>
      </w:r>
      <w:r w:rsidRPr="00BB7074" w:rsidR="003453FA">
        <w:rPr>
          <w:lang w:val="nl-NL"/>
        </w:rPr>
        <w:t>en artikel V van het Protocol)</w:t>
      </w:r>
    </w:p>
    <w:p w:rsidRPr="00BB7074" w:rsidR="003B66F2" w:rsidP="003B66F2" w:rsidRDefault="003B66F2" w14:paraId="49F2F539" w14:textId="76DFB549">
      <w:pPr>
        <w:rPr>
          <w:rFonts w:ascii="Verdana" w:hAnsi="Verdana"/>
          <w:sz w:val="18"/>
          <w:szCs w:val="18"/>
          <w:lang w:val="nl-NL"/>
        </w:rPr>
      </w:pPr>
      <w:r w:rsidRPr="00BB7074">
        <w:rPr>
          <w:rFonts w:ascii="Verdana" w:hAnsi="Verdana"/>
          <w:sz w:val="18"/>
          <w:szCs w:val="18"/>
          <w:lang w:val="nl-NL"/>
        </w:rPr>
        <w:t xml:space="preserve">Artikel 13 </w:t>
      </w:r>
      <w:r w:rsidRPr="00BB7074" w:rsidR="00617F4D">
        <w:rPr>
          <w:rFonts w:ascii="Verdana" w:hAnsi="Verdana"/>
          <w:sz w:val="18"/>
          <w:szCs w:val="18"/>
          <w:lang w:val="nl-NL"/>
        </w:rPr>
        <w:t xml:space="preserve">van het Verdrag </w:t>
      </w:r>
      <w:r w:rsidRPr="00BB7074">
        <w:rPr>
          <w:rFonts w:ascii="Verdana" w:hAnsi="Verdana"/>
          <w:sz w:val="18"/>
          <w:szCs w:val="18"/>
          <w:lang w:val="nl-NL"/>
        </w:rPr>
        <w:t xml:space="preserve">ziet op de verdeling van heffingsrechten over vermogenswinsten. Dit artikel is gebaseerd op artikel 13 van het OESO-modelverdrag, maar wijkt op een aantal punten daarvan af. </w:t>
      </w:r>
      <w:r w:rsidRPr="00BB7074" w:rsidR="00617F4D">
        <w:rPr>
          <w:rFonts w:ascii="Verdana" w:hAnsi="Verdana"/>
          <w:sz w:val="18"/>
          <w:szCs w:val="18"/>
          <w:lang w:val="nl-NL"/>
        </w:rPr>
        <w:t>De hoofdregel</w:t>
      </w:r>
      <w:r w:rsidRPr="00BB7074">
        <w:rPr>
          <w:rFonts w:ascii="Verdana" w:hAnsi="Verdana"/>
          <w:sz w:val="18"/>
          <w:szCs w:val="18"/>
          <w:lang w:val="nl-NL"/>
        </w:rPr>
        <w:t xml:space="preserve"> voor de verdeling van heffingsrechten over vermogenswinsten is neergelegd in het zesde lid: vervreemdingsvoordelen zijn belastbaar in het land waar</w:t>
      </w:r>
      <w:r w:rsidRPr="00BB7074" w:rsidR="00617F4D">
        <w:rPr>
          <w:rFonts w:ascii="Verdana" w:hAnsi="Verdana"/>
          <w:sz w:val="18"/>
          <w:szCs w:val="18"/>
          <w:lang w:val="nl-NL"/>
        </w:rPr>
        <w:t>van</w:t>
      </w:r>
      <w:r w:rsidRPr="00BB7074">
        <w:rPr>
          <w:rFonts w:ascii="Verdana" w:hAnsi="Verdana"/>
          <w:sz w:val="18"/>
          <w:szCs w:val="18"/>
          <w:lang w:val="nl-NL"/>
        </w:rPr>
        <w:t xml:space="preserve"> de vervreemder inwoner is. De eerste vijf leden </w:t>
      </w:r>
      <w:r w:rsidRPr="00BB7074" w:rsidR="005748F8">
        <w:rPr>
          <w:rFonts w:ascii="Verdana" w:hAnsi="Verdana"/>
          <w:sz w:val="18"/>
          <w:szCs w:val="18"/>
          <w:lang w:val="nl-NL"/>
        </w:rPr>
        <w:t>bevatten uitzonderingen op die hoofdregel.</w:t>
      </w:r>
    </w:p>
    <w:p w:rsidRPr="00BB7074" w:rsidR="003B66F2" w:rsidP="003B66F2" w:rsidRDefault="003B66F2" w14:paraId="08B661BA" w14:textId="0670DE09">
      <w:pPr>
        <w:rPr>
          <w:rFonts w:ascii="Verdana" w:hAnsi="Verdana"/>
          <w:sz w:val="18"/>
          <w:szCs w:val="18"/>
          <w:lang w:val="nl-NL"/>
        </w:rPr>
      </w:pPr>
      <w:r w:rsidRPr="00BB7074">
        <w:rPr>
          <w:rFonts w:ascii="Verdana" w:hAnsi="Verdana"/>
          <w:sz w:val="18"/>
          <w:szCs w:val="18"/>
          <w:lang w:val="nl-NL"/>
        </w:rPr>
        <w:t xml:space="preserve">In het eerste lid is neergelegd dat indien een inwoner van de ene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t>
      </w:r>
      <w:r w:rsidRPr="00BB7074" w:rsidR="000612E3">
        <w:rPr>
          <w:rFonts w:ascii="Verdana" w:hAnsi="Verdana"/>
          <w:sz w:val="18"/>
          <w:szCs w:val="18"/>
          <w:lang w:val="nl-NL"/>
        </w:rPr>
        <w:t xml:space="preserve">voordelen </w:t>
      </w:r>
      <w:r w:rsidRPr="00BB7074">
        <w:rPr>
          <w:rFonts w:ascii="Verdana" w:hAnsi="Verdana"/>
          <w:sz w:val="18"/>
          <w:szCs w:val="18"/>
          <w:lang w:val="nl-NL"/>
        </w:rPr>
        <w:t xml:space="preserve">behaalt </w:t>
      </w:r>
      <w:r w:rsidRPr="00BB7074" w:rsidR="000612E3">
        <w:rPr>
          <w:rFonts w:ascii="Verdana" w:hAnsi="Verdana"/>
          <w:sz w:val="18"/>
          <w:szCs w:val="18"/>
          <w:lang w:val="nl-NL"/>
        </w:rPr>
        <w:t xml:space="preserve">uit </w:t>
      </w:r>
      <w:r w:rsidRPr="00BB7074" w:rsidR="00617F4D">
        <w:rPr>
          <w:rFonts w:ascii="Verdana" w:hAnsi="Verdana"/>
          <w:sz w:val="18"/>
          <w:szCs w:val="18"/>
          <w:lang w:val="nl-NL"/>
        </w:rPr>
        <w:t xml:space="preserve">de vervreemding van </w:t>
      </w:r>
      <w:r w:rsidRPr="00BB7074">
        <w:rPr>
          <w:rFonts w:ascii="Verdana" w:hAnsi="Verdana"/>
          <w:sz w:val="18"/>
          <w:szCs w:val="18"/>
          <w:lang w:val="nl-NL"/>
        </w:rPr>
        <w:t xml:space="preserve">een onroerende zaak gelegen in de andere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het heffingsrecht is toegewezen aan de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waar</w:t>
      </w:r>
      <w:r w:rsidRPr="00BB7074" w:rsidR="00617F4D">
        <w:rPr>
          <w:rFonts w:ascii="Verdana" w:hAnsi="Verdana"/>
          <w:sz w:val="18"/>
          <w:szCs w:val="18"/>
          <w:lang w:val="nl-NL"/>
        </w:rPr>
        <w:t>in</w:t>
      </w:r>
      <w:r w:rsidRPr="00BB7074">
        <w:rPr>
          <w:rFonts w:ascii="Verdana" w:hAnsi="Verdana"/>
          <w:sz w:val="18"/>
          <w:szCs w:val="18"/>
          <w:lang w:val="nl-NL"/>
        </w:rPr>
        <w:t xml:space="preserve"> de onroerende zaak is gelegen. Net als voor de toepassing van artikel 6</w:t>
      </w:r>
      <w:r w:rsidRPr="00BB7074" w:rsidR="007521F3">
        <w:rPr>
          <w:rFonts w:ascii="Verdana" w:hAnsi="Verdana"/>
          <w:sz w:val="18"/>
          <w:szCs w:val="18"/>
          <w:lang w:val="nl-NL"/>
        </w:rPr>
        <w:t xml:space="preserve"> van het Verdrag</w:t>
      </w:r>
      <w:r w:rsidRPr="00BB7074">
        <w:rPr>
          <w:rFonts w:ascii="Verdana" w:hAnsi="Verdana"/>
          <w:sz w:val="18"/>
          <w:szCs w:val="18"/>
          <w:lang w:val="nl-NL"/>
        </w:rPr>
        <w:t xml:space="preserve">, dat betrekking heeft op inkomsten uit onroerende zaken, is voor Nederland voor de toepassing van deze bepaling artikel V van het </w:t>
      </w:r>
      <w:r w:rsidRPr="00BB7074" w:rsidR="00086938">
        <w:rPr>
          <w:rFonts w:ascii="Verdana" w:hAnsi="Verdana"/>
          <w:sz w:val="18"/>
          <w:szCs w:val="18"/>
          <w:lang w:val="nl-NL"/>
        </w:rPr>
        <w:t>P</w:t>
      </w:r>
      <w:r w:rsidRPr="00BB7074">
        <w:rPr>
          <w:rFonts w:ascii="Verdana" w:hAnsi="Verdana"/>
          <w:sz w:val="18"/>
          <w:szCs w:val="18"/>
          <w:lang w:val="nl-NL"/>
        </w:rPr>
        <w:t xml:space="preserve">rotocol relevant. Daarin is geregeld dat rechten om natuurlijke rijkdommen te mogen exploreren of exploiteren beschouwd zullen worden als onroerende zaken die zijn gelegen in de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wiens natuurlijke rijkdommen het betreft.</w:t>
      </w:r>
    </w:p>
    <w:p w:rsidRPr="00BB7074" w:rsidR="003B66F2" w:rsidP="003B66F2" w:rsidRDefault="003B66F2" w14:paraId="57CFE420" w14:textId="0E661B97">
      <w:pPr>
        <w:rPr>
          <w:rFonts w:ascii="Verdana" w:hAnsi="Verdana"/>
          <w:sz w:val="18"/>
          <w:szCs w:val="18"/>
          <w:lang w:val="nl-NL"/>
        </w:rPr>
      </w:pPr>
      <w:r w:rsidRPr="00BB7074">
        <w:rPr>
          <w:rFonts w:ascii="Verdana" w:hAnsi="Verdana"/>
          <w:sz w:val="18"/>
          <w:szCs w:val="18"/>
          <w:lang w:val="nl-NL"/>
        </w:rPr>
        <w:t xml:space="preserve">In het tweede lid is bepaald dat voordelen die worden verkregen door een onderneming van de ene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uit de vervreemding van roerende zaken die behoren tot het bedrijfsvermogen van een vaste inrichting van die onderneming (of uit de vervreemding van de gehele vaste inrichting) in de andere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mogen worden belast in de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waar</w:t>
      </w:r>
      <w:r w:rsidRPr="00BB7074" w:rsidR="000612E3">
        <w:rPr>
          <w:rFonts w:ascii="Verdana" w:hAnsi="Verdana"/>
          <w:sz w:val="18"/>
          <w:szCs w:val="18"/>
          <w:lang w:val="nl-NL"/>
        </w:rPr>
        <w:t>in</w:t>
      </w:r>
      <w:r w:rsidRPr="00BB7074">
        <w:rPr>
          <w:rFonts w:ascii="Verdana" w:hAnsi="Verdana"/>
          <w:sz w:val="18"/>
          <w:szCs w:val="18"/>
          <w:lang w:val="nl-NL"/>
        </w:rPr>
        <w:t xml:space="preserve"> de vaste inrichting zich bevindt. </w:t>
      </w:r>
    </w:p>
    <w:p w:rsidRPr="00BB7074" w:rsidR="003B66F2" w:rsidP="003B66F2" w:rsidRDefault="003B66F2" w14:paraId="5D6F8B5F" w14:textId="69E20B3E">
      <w:pPr>
        <w:rPr>
          <w:rFonts w:ascii="Verdana" w:hAnsi="Verdana"/>
          <w:sz w:val="18"/>
          <w:szCs w:val="18"/>
          <w:lang w:val="nl-NL"/>
        </w:rPr>
      </w:pPr>
      <w:r w:rsidRPr="00BB7074">
        <w:rPr>
          <w:rFonts w:ascii="Verdana" w:hAnsi="Verdana"/>
          <w:sz w:val="18"/>
          <w:szCs w:val="18"/>
          <w:lang w:val="nl-NL"/>
        </w:rPr>
        <w:t xml:space="preserve">Overeenkomstig het uitgangspunt dat wordt gehanteerd in artikel 8 van dit Verdrag is in het derde lid overeengekomen dat de voordelen uit de vervreemding van luchtvaartuigen en schepen die in het internationale verkeer worden gebruikt, belastbaar zijn in de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waar</w:t>
      </w:r>
      <w:r w:rsidRPr="00BB7074" w:rsidR="007521F3">
        <w:rPr>
          <w:rFonts w:ascii="Verdana" w:hAnsi="Verdana"/>
          <w:sz w:val="18"/>
          <w:szCs w:val="18"/>
          <w:lang w:val="nl-NL"/>
        </w:rPr>
        <w:t>va</w:t>
      </w:r>
      <w:r w:rsidRPr="00BB7074" w:rsidR="000612E3">
        <w:rPr>
          <w:rFonts w:ascii="Verdana" w:hAnsi="Verdana"/>
          <w:sz w:val="18"/>
          <w:szCs w:val="18"/>
          <w:lang w:val="nl-NL"/>
        </w:rPr>
        <w:t>n</w:t>
      </w:r>
      <w:r w:rsidRPr="00BB7074">
        <w:rPr>
          <w:rFonts w:ascii="Verdana" w:hAnsi="Verdana"/>
          <w:sz w:val="18"/>
          <w:szCs w:val="18"/>
          <w:lang w:val="nl-NL"/>
        </w:rPr>
        <w:t xml:space="preserve"> de desbetreffende lucht- of scheepvaartonderneming</w:t>
      </w:r>
      <w:r w:rsidRPr="00BB7074" w:rsidR="001C26B4">
        <w:rPr>
          <w:rFonts w:ascii="Verdana" w:hAnsi="Verdana"/>
          <w:sz w:val="18"/>
          <w:szCs w:val="18"/>
          <w:lang w:val="nl-NL"/>
        </w:rPr>
        <w:t xml:space="preserve"> </w:t>
      </w:r>
      <w:r w:rsidRPr="00BB7074" w:rsidR="007521F3">
        <w:rPr>
          <w:rFonts w:ascii="Verdana" w:hAnsi="Verdana"/>
          <w:sz w:val="18"/>
          <w:szCs w:val="18"/>
          <w:lang w:val="nl-NL"/>
        </w:rPr>
        <w:t xml:space="preserve">inwoner </w:t>
      </w:r>
      <w:r w:rsidRPr="00BB7074" w:rsidR="001C26B4">
        <w:rPr>
          <w:rFonts w:ascii="Verdana" w:hAnsi="Verdana"/>
          <w:sz w:val="18"/>
          <w:szCs w:val="18"/>
          <w:lang w:val="nl-NL"/>
        </w:rPr>
        <w:t>is</w:t>
      </w:r>
      <w:r w:rsidRPr="00BB7074">
        <w:rPr>
          <w:rFonts w:ascii="Verdana" w:hAnsi="Verdana"/>
          <w:sz w:val="18"/>
          <w:szCs w:val="18"/>
          <w:lang w:val="nl-NL"/>
        </w:rPr>
        <w:t>.</w:t>
      </w:r>
      <w:r w:rsidRPr="00BB7074" w:rsidR="00E1709B">
        <w:rPr>
          <w:rFonts w:ascii="Verdana" w:hAnsi="Verdana"/>
          <w:sz w:val="18"/>
          <w:szCs w:val="18"/>
          <w:lang w:val="nl-NL"/>
        </w:rPr>
        <w:t xml:space="preserve"> </w:t>
      </w:r>
    </w:p>
    <w:p w:rsidRPr="00BB7074" w:rsidR="003B66F2" w:rsidP="006C2AEB" w:rsidRDefault="003B66F2" w14:paraId="05937364" w14:textId="07563156">
      <w:pPr>
        <w:rPr>
          <w:rFonts w:ascii="Verdana" w:hAnsi="Verdana"/>
          <w:sz w:val="18"/>
          <w:szCs w:val="18"/>
          <w:lang w:val="nl-NL"/>
        </w:rPr>
      </w:pPr>
      <w:r w:rsidRPr="00BB7074">
        <w:rPr>
          <w:rFonts w:ascii="Verdana" w:hAnsi="Verdana"/>
          <w:sz w:val="18"/>
          <w:szCs w:val="18"/>
          <w:lang w:val="nl-NL"/>
        </w:rPr>
        <w:t xml:space="preserve">Het vierde lid ziet op de vervreemding door een inwoner van één van de </w:t>
      </w:r>
      <w:r w:rsidRPr="00BB7074" w:rsidR="00D47ECB">
        <w:rPr>
          <w:rFonts w:ascii="Verdana" w:hAnsi="Verdana"/>
          <w:sz w:val="18"/>
          <w:szCs w:val="18"/>
          <w:lang w:val="nl-NL"/>
        </w:rPr>
        <w:t xml:space="preserve">verdragsluitende </w:t>
      </w:r>
      <w:r w:rsidRPr="00BB7074" w:rsidR="009F30D9">
        <w:rPr>
          <w:rFonts w:ascii="Verdana" w:hAnsi="Verdana"/>
          <w:sz w:val="18"/>
          <w:szCs w:val="18"/>
          <w:lang w:val="nl-NL"/>
        </w:rPr>
        <w:t>s</w:t>
      </w:r>
      <w:r w:rsidRPr="00BB7074">
        <w:rPr>
          <w:rFonts w:ascii="Verdana" w:hAnsi="Verdana"/>
          <w:sz w:val="18"/>
          <w:szCs w:val="18"/>
          <w:lang w:val="nl-NL"/>
        </w:rPr>
        <w:t>taten (de woon</w:t>
      </w:r>
      <w:r w:rsidRPr="00BB7074" w:rsidR="008B5BF7">
        <w:rPr>
          <w:rFonts w:ascii="Verdana" w:hAnsi="Verdana"/>
          <w:sz w:val="18"/>
          <w:szCs w:val="18"/>
          <w:lang w:val="nl-NL"/>
        </w:rPr>
        <w:t>staat</w:t>
      </w:r>
      <w:r w:rsidRPr="00BB7074">
        <w:rPr>
          <w:rFonts w:ascii="Verdana" w:hAnsi="Verdana"/>
          <w:sz w:val="18"/>
          <w:szCs w:val="18"/>
          <w:lang w:val="nl-NL"/>
        </w:rPr>
        <w:t xml:space="preserve">) van aandelen (of </w:t>
      </w:r>
      <w:r w:rsidRPr="00BB7074" w:rsidR="00D47ECB">
        <w:rPr>
          <w:rFonts w:ascii="Verdana" w:hAnsi="Verdana"/>
          <w:sz w:val="18"/>
          <w:szCs w:val="18"/>
          <w:lang w:val="nl-NL"/>
        </w:rPr>
        <w:t xml:space="preserve">daarmee </w:t>
      </w:r>
      <w:r w:rsidRPr="00BB7074">
        <w:rPr>
          <w:rFonts w:ascii="Verdana" w:hAnsi="Verdana"/>
          <w:sz w:val="18"/>
          <w:szCs w:val="18"/>
          <w:lang w:val="nl-NL"/>
        </w:rPr>
        <w:t xml:space="preserve">vergelijkbare belangen) in </w:t>
      </w:r>
      <w:r w:rsidRPr="00BB7074" w:rsidR="007521F3">
        <w:rPr>
          <w:rFonts w:ascii="Verdana" w:hAnsi="Verdana"/>
          <w:sz w:val="18"/>
          <w:szCs w:val="18"/>
          <w:lang w:val="nl-NL"/>
        </w:rPr>
        <w:t xml:space="preserve">zogenoemde </w:t>
      </w:r>
      <w:proofErr w:type="spellStart"/>
      <w:r w:rsidRPr="00BB7074">
        <w:rPr>
          <w:rFonts w:ascii="Verdana" w:hAnsi="Verdana"/>
          <w:sz w:val="18"/>
          <w:szCs w:val="18"/>
          <w:lang w:val="nl-NL"/>
        </w:rPr>
        <w:t>onroerendezaak</w:t>
      </w:r>
      <w:r w:rsidRPr="00BB7074" w:rsidR="007521F3">
        <w:rPr>
          <w:rFonts w:ascii="Verdana" w:hAnsi="Verdana"/>
          <w:sz w:val="18"/>
          <w:szCs w:val="18"/>
          <w:lang w:val="nl-NL"/>
        </w:rPr>
        <w:t>lichamen</w:t>
      </w:r>
      <w:proofErr w:type="spellEnd"/>
      <w:r w:rsidRPr="00BB7074">
        <w:rPr>
          <w:rFonts w:ascii="Verdana" w:hAnsi="Verdana"/>
          <w:sz w:val="18"/>
          <w:szCs w:val="18"/>
          <w:lang w:val="nl-NL"/>
        </w:rPr>
        <w:t xml:space="preserve">. </w:t>
      </w:r>
      <w:r w:rsidRPr="00BB7074" w:rsidR="00E1709B">
        <w:rPr>
          <w:rFonts w:ascii="Verdana" w:hAnsi="Verdana"/>
          <w:sz w:val="18"/>
          <w:szCs w:val="18"/>
          <w:lang w:val="nl-NL"/>
        </w:rPr>
        <w:t>Daarvan is sprake indien</w:t>
      </w:r>
      <w:r w:rsidRPr="00BB7074">
        <w:rPr>
          <w:rFonts w:ascii="Verdana" w:hAnsi="Verdana"/>
          <w:sz w:val="18"/>
          <w:szCs w:val="18"/>
          <w:lang w:val="nl-NL"/>
        </w:rPr>
        <w:t xml:space="preserve"> de waarde van de aandelen </w:t>
      </w:r>
      <w:r w:rsidRPr="00BB7074" w:rsidR="00D47ECB">
        <w:rPr>
          <w:rFonts w:ascii="Verdana" w:hAnsi="Verdana"/>
          <w:sz w:val="18"/>
          <w:szCs w:val="18"/>
          <w:lang w:val="nl-NL"/>
        </w:rPr>
        <w:t xml:space="preserve">(of daarmee vergelijkbare belangen) </w:t>
      </w:r>
      <w:r w:rsidRPr="00BB7074">
        <w:rPr>
          <w:rFonts w:ascii="Verdana" w:hAnsi="Verdana"/>
          <w:sz w:val="18"/>
          <w:szCs w:val="18"/>
          <w:lang w:val="nl-NL"/>
        </w:rPr>
        <w:t xml:space="preserve">voor meer dan 50%, direct of indirect, voortvloeit uit onroerende zaken die </w:t>
      </w:r>
      <w:r w:rsidRPr="00BB7074">
        <w:rPr>
          <w:rFonts w:ascii="Verdana" w:hAnsi="Verdana"/>
          <w:sz w:val="18"/>
          <w:szCs w:val="18"/>
          <w:lang w:val="nl-NL"/>
        </w:rPr>
        <w:lastRenderedPageBreak/>
        <w:t xml:space="preserve">zijn gelegen in de andere </w:t>
      </w:r>
      <w:r w:rsidRPr="00BB7074" w:rsidR="00D47ECB">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sidR="00E1709B">
        <w:rPr>
          <w:rFonts w:ascii="Verdana" w:hAnsi="Verdana"/>
          <w:sz w:val="18"/>
          <w:szCs w:val="18"/>
          <w:lang w:val="nl-NL"/>
        </w:rPr>
        <w:t>. Wanneer dat het geval is</w:t>
      </w:r>
      <w:r w:rsidRPr="00BB7074">
        <w:rPr>
          <w:rFonts w:ascii="Verdana" w:hAnsi="Verdana"/>
          <w:sz w:val="18"/>
          <w:szCs w:val="18"/>
          <w:lang w:val="nl-NL"/>
        </w:rPr>
        <w:t xml:space="preserve">, mogen de voordelen </w:t>
      </w:r>
      <w:r w:rsidRPr="00BB7074" w:rsidR="00D47ECB">
        <w:rPr>
          <w:rFonts w:ascii="Verdana" w:hAnsi="Verdana"/>
          <w:sz w:val="18"/>
          <w:szCs w:val="18"/>
          <w:lang w:val="nl-NL"/>
        </w:rPr>
        <w:t>uit</w:t>
      </w:r>
      <w:r w:rsidRPr="00BB7074">
        <w:rPr>
          <w:rFonts w:ascii="Verdana" w:hAnsi="Verdana"/>
          <w:sz w:val="18"/>
          <w:szCs w:val="18"/>
          <w:lang w:val="nl-NL"/>
        </w:rPr>
        <w:t xml:space="preserve"> </w:t>
      </w:r>
      <w:r w:rsidRPr="00BB7074" w:rsidR="00D47ECB">
        <w:rPr>
          <w:rFonts w:ascii="Verdana" w:hAnsi="Verdana"/>
          <w:sz w:val="18"/>
          <w:szCs w:val="18"/>
          <w:lang w:val="nl-NL"/>
        </w:rPr>
        <w:t xml:space="preserve">de vervreemding van </w:t>
      </w:r>
      <w:r w:rsidRPr="00BB7074">
        <w:rPr>
          <w:rFonts w:ascii="Verdana" w:hAnsi="Verdana"/>
          <w:sz w:val="18"/>
          <w:szCs w:val="18"/>
          <w:lang w:val="nl-NL"/>
        </w:rPr>
        <w:t xml:space="preserve">die aandelen door die </w:t>
      </w:r>
      <w:r w:rsidRPr="00BB7074" w:rsidR="008B5BF7">
        <w:rPr>
          <w:rFonts w:ascii="Verdana" w:hAnsi="Verdana"/>
          <w:sz w:val="18"/>
          <w:szCs w:val="18"/>
          <w:lang w:val="nl-NL"/>
        </w:rPr>
        <w:t>staat</w:t>
      </w:r>
      <w:r w:rsidRPr="00BB7074">
        <w:rPr>
          <w:rFonts w:ascii="Verdana" w:hAnsi="Verdana"/>
          <w:sz w:val="18"/>
          <w:szCs w:val="18"/>
          <w:lang w:val="nl-NL"/>
        </w:rPr>
        <w:t xml:space="preserve"> (situs</w:t>
      </w:r>
      <w:r w:rsidRPr="00BB7074" w:rsidR="008B5BF7">
        <w:rPr>
          <w:rFonts w:ascii="Verdana" w:hAnsi="Verdana"/>
          <w:sz w:val="18"/>
          <w:szCs w:val="18"/>
          <w:lang w:val="nl-NL"/>
        </w:rPr>
        <w:t>staat</w:t>
      </w:r>
      <w:r w:rsidRPr="00BB7074">
        <w:rPr>
          <w:rFonts w:ascii="Verdana" w:hAnsi="Verdana"/>
          <w:sz w:val="18"/>
          <w:szCs w:val="18"/>
          <w:lang w:val="nl-NL"/>
        </w:rPr>
        <w:t xml:space="preserve">) worden belast. Deze bepaling stemt overeen met artikel 13, vierde lid, van het OESO-modelverdrag, </w:t>
      </w:r>
      <w:r w:rsidRPr="00BB7074" w:rsidR="00D47ECB">
        <w:rPr>
          <w:rFonts w:ascii="Verdana" w:hAnsi="Verdana"/>
          <w:sz w:val="18"/>
          <w:szCs w:val="18"/>
          <w:lang w:val="nl-NL"/>
        </w:rPr>
        <w:t>met dien verstande dat</w:t>
      </w:r>
      <w:r w:rsidRPr="00BB7074">
        <w:rPr>
          <w:rFonts w:ascii="Verdana" w:hAnsi="Verdana"/>
          <w:sz w:val="18"/>
          <w:szCs w:val="18"/>
          <w:lang w:val="nl-NL"/>
        </w:rPr>
        <w:t xml:space="preserve"> op verzoek van Nederland een </w:t>
      </w:r>
      <w:r w:rsidRPr="00BB7074" w:rsidR="006C2AEB">
        <w:rPr>
          <w:rFonts w:ascii="Verdana" w:hAnsi="Verdana"/>
          <w:sz w:val="18"/>
          <w:szCs w:val="18"/>
          <w:lang w:val="nl-NL"/>
        </w:rPr>
        <w:t>beperking</w:t>
      </w:r>
      <w:r w:rsidRPr="00BB7074">
        <w:rPr>
          <w:rFonts w:ascii="Verdana" w:hAnsi="Verdana"/>
          <w:sz w:val="18"/>
          <w:szCs w:val="18"/>
          <w:lang w:val="nl-NL"/>
        </w:rPr>
        <w:t xml:space="preserve"> </w:t>
      </w:r>
      <w:r w:rsidRPr="00BB7074" w:rsidR="007B7B4E">
        <w:rPr>
          <w:rFonts w:ascii="Verdana" w:hAnsi="Verdana"/>
          <w:sz w:val="18"/>
          <w:szCs w:val="18"/>
          <w:lang w:val="nl-NL"/>
        </w:rPr>
        <w:t xml:space="preserve">is </w:t>
      </w:r>
      <w:r w:rsidRPr="00BB7074">
        <w:rPr>
          <w:rFonts w:ascii="Verdana" w:hAnsi="Verdana"/>
          <w:sz w:val="18"/>
          <w:szCs w:val="18"/>
          <w:lang w:val="nl-NL"/>
        </w:rPr>
        <w:t xml:space="preserve">opgenomen op het heffingsrecht voor </w:t>
      </w:r>
      <w:r w:rsidRPr="00BB7074" w:rsidR="006C2AEB">
        <w:rPr>
          <w:rFonts w:ascii="Verdana" w:hAnsi="Verdana"/>
          <w:sz w:val="18"/>
          <w:szCs w:val="18"/>
          <w:lang w:val="nl-NL"/>
        </w:rPr>
        <w:t>de situs</w:t>
      </w:r>
      <w:r w:rsidRPr="00BB7074" w:rsidR="008B5BF7">
        <w:rPr>
          <w:rFonts w:ascii="Verdana" w:hAnsi="Verdana"/>
          <w:sz w:val="18"/>
          <w:szCs w:val="18"/>
          <w:lang w:val="nl-NL"/>
        </w:rPr>
        <w:t>staat</w:t>
      </w:r>
      <w:r w:rsidRPr="00BB7074" w:rsidR="00134F31">
        <w:rPr>
          <w:rFonts w:ascii="Verdana" w:hAnsi="Verdana"/>
          <w:sz w:val="18"/>
          <w:szCs w:val="18"/>
          <w:lang w:val="nl-NL"/>
        </w:rPr>
        <w:t xml:space="preserve"> </w:t>
      </w:r>
      <w:r w:rsidRPr="00BB7074">
        <w:rPr>
          <w:rFonts w:ascii="Verdana" w:hAnsi="Verdana"/>
          <w:sz w:val="18"/>
          <w:szCs w:val="18"/>
          <w:lang w:val="nl-NL"/>
        </w:rPr>
        <w:t xml:space="preserve">voor aandelen die worden verhandeld aan een erkende beurs. In aansluiting bij </w:t>
      </w:r>
      <w:r w:rsidRPr="00BB7074" w:rsidR="00134F31">
        <w:rPr>
          <w:rFonts w:ascii="Verdana" w:hAnsi="Verdana"/>
          <w:sz w:val="18"/>
          <w:szCs w:val="18"/>
          <w:lang w:val="nl-NL"/>
        </w:rPr>
        <w:t>de uitkomsten van</w:t>
      </w:r>
      <w:r w:rsidRPr="00BB7074">
        <w:rPr>
          <w:rFonts w:ascii="Verdana" w:hAnsi="Verdana"/>
          <w:sz w:val="18"/>
          <w:szCs w:val="18"/>
          <w:lang w:val="nl-NL"/>
        </w:rPr>
        <w:t xml:space="preserve"> het BEPS-project is </w:t>
      </w:r>
      <w:r w:rsidRPr="00BB7074" w:rsidR="006C2AEB">
        <w:rPr>
          <w:rFonts w:ascii="Verdana" w:hAnsi="Verdana"/>
          <w:sz w:val="18"/>
          <w:szCs w:val="18"/>
          <w:lang w:val="nl-NL"/>
        </w:rPr>
        <w:t xml:space="preserve">tevens </w:t>
      </w:r>
      <w:r w:rsidRPr="00BB7074">
        <w:rPr>
          <w:rFonts w:ascii="Verdana" w:hAnsi="Verdana"/>
          <w:sz w:val="18"/>
          <w:szCs w:val="18"/>
          <w:lang w:val="nl-NL"/>
        </w:rPr>
        <w:t xml:space="preserve">een maatregel opgenomen die erop is gericht het kunstmatig ontgaan van het heffingsrecht voor </w:t>
      </w:r>
      <w:r w:rsidR="007D61BF">
        <w:rPr>
          <w:rFonts w:ascii="Verdana" w:hAnsi="Verdana"/>
          <w:sz w:val="18"/>
          <w:szCs w:val="18"/>
          <w:lang w:val="nl-NL"/>
        </w:rPr>
        <w:t>de situsstaat</w:t>
      </w:r>
      <w:r w:rsidRPr="00BB7074">
        <w:rPr>
          <w:rFonts w:ascii="Verdana" w:hAnsi="Verdana"/>
          <w:sz w:val="18"/>
          <w:szCs w:val="18"/>
          <w:lang w:val="nl-NL"/>
        </w:rPr>
        <w:t xml:space="preserve"> tegen te gaan. Bepaald is dat van een </w:t>
      </w:r>
      <w:proofErr w:type="spellStart"/>
      <w:r w:rsidRPr="00BB7074" w:rsidR="007521F3">
        <w:rPr>
          <w:rFonts w:ascii="Verdana" w:hAnsi="Verdana"/>
          <w:sz w:val="18"/>
          <w:szCs w:val="18"/>
          <w:lang w:val="nl-NL"/>
        </w:rPr>
        <w:t>onroerendezaaklichaam</w:t>
      </w:r>
      <w:proofErr w:type="spellEnd"/>
      <w:r w:rsidRPr="00BB7074" w:rsidR="007521F3">
        <w:rPr>
          <w:rFonts w:ascii="Verdana" w:hAnsi="Verdana"/>
          <w:sz w:val="18"/>
          <w:szCs w:val="18"/>
          <w:lang w:val="nl-NL"/>
        </w:rPr>
        <w:t xml:space="preserve"> </w:t>
      </w:r>
      <w:r w:rsidRPr="00BB7074">
        <w:rPr>
          <w:rFonts w:ascii="Verdana" w:hAnsi="Verdana"/>
          <w:sz w:val="18"/>
          <w:szCs w:val="18"/>
          <w:lang w:val="nl-NL"/>
        </w:rPr>
        <w:t xml:space="preserve">in de zin van </w:t>
      </w:r>
      <w:r w:rsidRPr="00BB7074" w:rsidR="007B7B4E">
        <w:rPr>
          <w:rFonts w:ascii="Verdana" w:hAnsi="Verdana"/>
          <w:sz w:val="18"/>
          <w:szCs w:val="18"/>
          <w:lang w:val="nl-NL"/>
        </w:rPr>
        <w:t xml:space="preserve">het vierde </w:t>
      </w:r>
      <w:r w:rsidRPr="00BB7074">
        <w:rPr>
          <w:rFonts w:ascii="Verdana" w:hAnsi="Verdana"/>
          <w:sz w:val="18"/>
          <w:szCs w:val="18"/>
          <w:lang w:val="nl-NL"/>
        </w:rPr>
        <w:t xml:space="preserve">lid sprake is indien op enig moment tijdens de 365 dagen voorafgaand aan een vervreemding van aandelen, de waarde van de aandelen </w:t>
      </w:r>
      <w:r w:rsidRPr="00BB7074" w:rsidR="007B7B4E">
        <w:rPr>
          <w:rFonts w:ascii="Verdana" w:hAnsi="Verdana"/>
          <w:sz w:val="18"/>
          <w:szCs w:val="18"/>
          <w:lang w:val="nl-NL"/>
        </w:rPr>
        <w:t xml:space="preserve">in </w:t>
      </w:r>
      <w:r w:rsidRPr="00BB7074" w:rsidR="007521F3">
        <w:rPr>
          <w:rFonts w:ascii="Verdana" w:hAnsi="Verdana"/>
          <w:sz w:val="18"/>
          <w:szCs w:val="18"/>
          <w:lang w:val="nl-NL"/>
        </w:rPr>
        <w:t>het lichaam</w:t>
      </w:r>
      <w:r w:rsidRPr="00BB7074" w:rsidR="007B7B4E">
        <w:rPr>
          <w:rFonts w:ascii="Verdana" w:hAnsi="Verdana"/>
          <w:sz w:val="18"/>
          <w:szCs w:val="18"/>
          <w:lang w:val="nl-NL"/>
        </w:rPr>
        <w:t xml:space="preserve"> </w:t>
      </w:r>
      <w:r w:rsidRPr="00BB7074">
        <w:rPr>
          <w:rFonts w:ascii="Verdana" w:hAnsi="Verdana"/>
          <w:sz w:val="18"/>
          <w:szCs w:val="18"/>
          <w:lang w:val="nl-NL"/>
        </w:rPr>
        <w:t xml:space="preserve">voor meer dan 50% </w:t>
      </w:r>
      <w:r w:rsidRPr="00BB7074" w:rsidR="00824EDC">
        <w:rPr>
          <w:rFonts w:ascii="Verdana" w:hAnsi="Verdana"/>
          <w:sz w:val="18"/>
          <w:szCs w:val="18"/>
          <w:lang w:val="nl-NL"/>
        </w:rPr>
        <w:t>voortvloeide</w:t>
      </w:r>
      <w:r w:rsidRPr="00BB7074">
        <w:rPr>
          <w:rFonts w:ascii="Verdana" w:hAnsi="Verdana"/>
          <w:sz w:val="18"/>
          <w:szCs w:val="18"/>
          <w:lang w:val="nl-NL"/>
        </w:rPr>
        <w:t xml:space="preserve"> uit onroerende zaken gelegen in de situs</w:t>
      </w:r>
      <w:r w:rsidRPr="00BB7074" w:rsidR="008B5BF7">
        <w:rPr>
          <w:rFonts w:ascii="Verdana" w:hAnsi="Verdana"/>
          <w:sz w:val="18"/>
          <w:szCs w:val="18"/>
          <w:lang w:val="nl-NL"/>
        </w:rPr>
        <w:t>staat</w:t>
      </w:r>
      <w:r w:rsidRPr="00BB7074">
        <w:rPr>
          <w:rFonts w:ascii="Verdana" w:hAnsi="Verdana"/>
          <w:sz w:val="18"/>
          <w:szCs w:val="18"/>
          <w:lang w:val="nl-NL"/>
        </w:rPr>
        <w:t xml:space="preserve">. Hiermee wordt een dam opgeworpen tegen zogenoemde ‘oppompconstructies’ waarbij </w:t>
      </w:r>
      <w:r w:rsidRPr="00BB7074" w:rsidR="007B7B4E">
        <w:rPr>
          <w:rFonts w:ascii="Verdana" w:hAnsi="Verdana"/>
          <w:sz w:val="18"/>
          <w:szCs w:val="18"/>
          <w:lang w:val="nl-NL"/>
        </w:rPr>
        <w:t xml:space="preserve">kort </w:t>
      </w:r>
      <w:r w:rsidRPr="00BB7074">
        <w:rPr>
          <w:rFonts w:ascii="Verdana" w:hAnsi="Verdana"/>
          <w:sz w:val="18"/>
          <w:szCs w:val="18"/>
          <w:lang w:val="nl-NL"/>
        </w:rPr>
        <w:t>voor het vervreemden van aandelen een grote hoeveelheid kasgeld als eigen vermogen in de vennootschap wordt ingebracht, waardoor het relatieve belang van het vastgoed daal</w:t>
      </w:r>
      <w:r w:rsidRPr="00BB7074" w:rsidR="00CE6936">
        <w:rPr>
          <w:rFonts w:ascii="Verdana" w:hAnsi="Verdana"/>
          <w:sz w:val="18"/>
          <w:szCs w:val="18"/>
          <w:lang w:val="nl-NL"/>
        </w:rPr>
        <w:t>t</w:t>
      </w:r>
      <w:r w:rsidRPr="00BB7074">
        <w:rPr>
          <w:rFonts w:ascii="Verdana" w:hAnsi="Verdana"/>
          <w:sz w:val="18"/>
          <w:szCs w:val="18"/>
          <w:lang w:val="nl-NL"/>
        </w:rPr>
        <w:t xml:space="preserve">. </w:t>
      </w:r>
      <w:r w:rsidRPr="00BB7074" w:rsidR="00272982">
        <w:rPr>
          <w:rFonts w:ascii="Verdana" w:hAnsi="Verdana"/>
          <w:sz w:val="18"/>
          <w:szCs w:val="18"/>
          <w:lang w:val="nl-NL"/>
        </w:rPr>
        <w:t>Ten</w:t>
      </w:r>
      <w:r w:rsidRPr="00BB7074" w:rsidR="007B7B4E">
        <w:rPr>
          <w:rFonts w:ascii="Verdana" w:hAnsi="Verdana"/>
          <w:sz w:val="18"/>
          <w:szCs w:val="18"/>
          <w:lang w:val="nl-NL"/>
        </w:rPr>
        <w:t xml:space="preserve"> </w:t>
      </w:r>
      <w:r w:rsidRPr="00BB7074" w:rsidR="00272982">
        <w:rPr>
          <w:rFonts w:ascii="Verdana" w:hAnsi="Verdana"/>
          <w:sz w:val="18"/>
          <w:szCs w:val="18"/>
          <w:lang w:val="nl-NL"/>
        </w:rPr>
        <w:t xml:space="preserve">slotte is op verzoek van Colombia in het vierde lid </w:t>
      </w:r>
      <w:r w:rsidRPr="00BB7074" w:rsidR="00BB44E2">
        <w:rPr>
          <w:rFonts w:ascii="Verdana" w:hAnsi="Verdana"/>
          <w:sz w:val="18"/>
          <w:szCs w:val="18"/>
          <w:lang w:val="nl-NL"/>
        </w:rPr>
        <w:t xml:space="preserve">expliciet geregeld </w:t>
      </w:r>
      <w:r w:rsidRPr="00BB7074" w:rsidR="00272982">
        <w:rPr>
          <w:rFonts w:ascii="Verdana" w:hAnsi="Verdana"/>
          <w:sz w:val="18"/>
          <w:szCs w:val="18"/>
          <w:lang w:val="nl-NL"/>
        </w:rPr>
        <w:t xml:space="preserve">dat de bepaling ziet op de </w:t>
      </w:r>
      <w:r w:rsidRPr="00BB7074" w:rsidR="00824EDC">
        <w:rPr>
          <w:rFonts w:ascii="Verdana" w:hAnsi="Verdana"/>
          <w:sz w:val="18"/>
          <w:szCs w:val="18"/>
          <w:lang w:val="nl-NL"/>
        </w:rPr>
        <w:t>commerciële</w:t>
      </w:r>
      <w:r w:rsidRPr="00BB7074" w:rsidR="00272982">
        <w:rPr>
          <w:rFonts w:ascii="Verdana" w:hAnsi="Verdana"/>
          <w:sz w:val="18"/>
          <w:szCs w:val="18"/>
          <w:lang w:val="nl-NL"/>
        </w:rPr>
        <w:t xml:space="preserve"> waarde</w:t>
      </w:r>
      <w:r w:rsidR="00C05CB4">
        <w:rPr>
          <w:rFonts w:ascii="Verdana" w:hAnsi="Verdana"/>
          <w:sz w:val="18"/>
          <w:szCs w:val="18"/>
          <w:lang w:val="nl-NL"/>
        </w:rPr>
        <w:t xml:space="preserve"> (waarde in het economisch verkeer)</w:t>
      </w:r>
      <w:r w:rsidRPr="00BB7074" w:rsidR="00272982">
        <w:rPr>
          <w:rFonts w:ascii="Verdana" w:hAnsi="Verdana"/>
          <w:sz w:val="18"/>
          <w:szCs w:val="18"/>
          <w:lang w:val="nl-NL"/>
        </w:rPr>
        <w:t xml:space="preserve"> van de onroerende zaken en niet o</w:t>
      </w:r>
      <w:r w:rsidRPr="00BB7074" w:rsidR="00E1709B">
        <w:rPr>
          <w:rFonts w:ascii="Verdana" w:hAnsi="Verdana"/>
          <w:sz w:val="18"/>
          <w:szCs w:val="18"/>
          <w:lang w:val="nl-NL"/>
        </w:rPr>
        <w:t>p</w:t>
      </w:r>
      <w:r w:rsidRPr="00BB7074" w:rsidR="00272982">
        <w:rPr>
          <w:rFonts w:ascii="Verdana" w:hAnsi="Verdana"/>
          <w:sz w:val="18"/>
          <w:szCs w:val="18"/>
          <w:lang w:val="nl-NL"/>
        </w:rPr>
        <w:t xml:space="preserve"> de boekwaarde.</w:t>
      </w:r>
    </w:p>
    <w:p w:rsidRPr="00BB7074" w:rsidR="003B66F2" w:rsidP="003B66F2" w:rsidRDefault="003B66F2" w14:paraId="181D42D1" w14:textId="659E1C51">
      <w:pPr>
        <w:rPr>
          <w:rFonts w:ascii="Verdana" w:hAnsi="Verdana"/>
          <w:sz w:val="18"/>
          <w:szCs w:val="18"/>
          <w:lang w:val="nl-NL"/>
        </w:rPr>
      </w:pPr>
      <w:r w:rsidRPr="00BB7074">
        <w:rPr>
          <w:rFonts w:ascii="Verdana" w:hAnsi="Verdana"/>
          <w:sz w:val="18"/>
          <w:szCs w:val="18"/>
          <w:lang w:val="nl-NL"/>
        </w:rPr>
        <w:t>Het vijfde lid regelt</w:t>
      </w:r>
      <w:r w:rsidRPr="00BB7074" w:rsidR="006C2AEB">
        <w:rPr>
          <w:rFonts w:ascii="Verdana" w:hAnsi="Verdana"/>
          <w:sz w:val="18"/>
          <w:szCs w:val="18"/>
          <w:lang w:val="nl-NL"/>
        </w:rPr>
        <w:t xml:space="preserve"> </w:t>
      </w:r>
      <w:r w:rsidRPr="00BB7074" w:rsidR="00BB44E2">
        <w:rPr>
          <w:rFonts w:ascii="Verdana" w:hAnsi="Verdana"/>
          <w:sz w:val="18"/>
          <w:szCs w:val="18"/>
          <w:lang w:val="nl-NL"/>
        </w:rPr>
        <w:t xml:space="preserve">de verdeling van de </w:t>
      </w:r>
      <w:r w:rsidRPr="00BB7074" w:rsidR="006C2AEB">
        <w:rPr>
          <w:rFonts w:ascii="Verdana" w:hAnsi="Verdana"/>
          <w:sz w:val="18"/>
          <w:szCs w:val="18"/>
          <w:lang w:val="nl-NL"/>
        </w:rPr>
        <w:t>heffings</w:t>
      </w:r>
      <w:r w:rsidRPr="00BB7074" w:rsidR="00BB44E2">
        <w:rPr>
          <w:rFonts w:ascii="Verdana" w:hAnsi="Verdana"/>
          <w:sz w:val="18"/>
          <w:szCs w:val="18"/>
          <w:lang w:val="nl-NL"/>
        </w:rPr>
        <w:t>bevoegdheid</w:t>
      </w:r>
      <w:r w:rsidRPr="00BB7074" w:rsidR="006C2AEB">
        <w:rPr>
          <w:rFonts w:ascii="Verdana" w:hAnsi="Verdana"/>
          <w:sz w:val="18"/>
          <w:szCs w:val="18"/>
          <w:lang w:val="nl-NL"/>
        </w:rPr>
        <w:t xml:space="preserve"> </w:t>
      </w:r>
      <w:r w:rsidRPr="00BB7074" w:rsidR="00BB44E2">
        <w:rPr>
          <w:rFonts w:ascii="Verdana" w:hAnsi="Verdana"/>
          <w:sz w:val="18"/>
          <w:szCs w:val="18"/>
          <w:lang w:val="nl-NL"/>
        </w:rPr>
        <w:t xml:space="preserve">bij </w:t>
      </w:r>
      <w:r w:rsidRPr="00BB7074" w:rsidR="006C2AEB">
        <w:rPr>
          <w:rFonts w:ascii="Verdana" w:hAnsi="Verdana"/>
          <w:sz w:val="18"/>
          <w:szCs w:val="18"/>
          <w:lang w:val="nl-NL"/>
        </w:rPr>
        <w:t xml:space="preserve">de vervreemding van aandelen in </w:t>
      </w:r>
      <w:r w:rsidRPr="00BB7074" w:rsidR="007441C3">
        <w:rPr>
          <w:rFonts w:ascii="Verdana" w:hAnsi="Verdana"/>
          <w:sz w:val="18"/>
          <w:szCs w:val="18"/>
          <w:lang w:val="nl-NL"/>
        </w:rPr>
        <w:t xml:space="preserve">lichamen </w:t>
      </w:r>
      <w:r w:rsidRPr="00BB7074" w:rsidR="006C2AEB">
        <w:rPr>
          <w:rFonts w:ascii="Verdana" w:hAnsi="Verdana"/>
          <w:sz w:val="18"/>
          <w:szCs w:val="18"/>
          <w:lang w:val="nl-NL"/>
        </w:rPr>
        <w:t>die geen onroerendezaakvennootschappen zijn (daarover gaat het vierde lid)</w:t>
      </w:r>
      <w:r w:rsidRPr="00BB7074">
        <w:rPr>
          <w:rFonts w:ascii="Verdana" w:hAnsi="Verdana"/>
          <w:sz w:val="18"/>
          <w:szCs w:val="18"/>
          <w:lang w:val="nl-NL"/>
        </w:rPr>
        <w:t>.</w:t>
      </w:r>
      <w:r w:rsidRPr="00BB7074" w:rsidR="006C2AEB">
        <w:rPr>
          <w:rFonts w:ascii="Verdana" w:hAnsi="Verdana"/>
          <w:sz w:val="18"/>
          <w:szCs w:val="18"/>
          <w:lang w:val="nl-NL"/>
        </w:rPr>
        <w:t xml:space="preserve"> Op grond van het vijfde lid zijn de voordelen uit de vervreemding van aandelen onder voorwaarden belastbaar in het land waar</w:t>
      </w:r>
      <w:r w:rsidRPr="00BB7074" w:rsidR="00BB44E2">
        <w:rPr>
          <w:rFonts w:ascii="Verdana" w:hAnsi="Verdana"/>
          <w:sz w:val="18"/>
          <w:szCs w:val="18"/>
          <w:lang w:val="nl-NL"/>
        </w:rPr>
        <w:t>van</w:t>
      </w:r>
      <w:r w:rsidRPr="00BB7074" w:rsidR="006C2AEB">
        <w:rPr>
          <w:rFonts w:ascii="Verdana" w:hAnsi="Verdana"/>
          <w:sz w:val="18"/>
          <w:szCs w:val="18"/>
          <w:lang w:val="nl-NL"/>
        </w:rPr>
        <w:t xml:space="preserve"> de </w:t>
      </w:r>
      <w:r w:rsidRPr="00BB7074" w:rsidR="00001532">
        <w:rPr>
          <w:rFonts w:ascii="Verdana" w:hAnsi="Verdana"/>
          <w:sz w:val="18"/>
          <w:szCs w:val="18"/>
          <w:lang w:val="nl-NL"/>
        </w:rPr>
        <w:t>vennootschap wiens aandelen worden vervreemd inwoner is. De voorwaarden zijn dat de inwoner die de voordelen geniet ten</w:t>
      </w:r>
      <w:r w:rsidRPr="00BB7074" w:rsidR="00BB44E2">
        <w:rPr>
          <w:rFonts w:ascii="Verdana" w:hAnsi="Verdana"/>
          <w:sz w:val="18"/>
          <w:szCs w:val="18"/>
          <w:lang w:val="nl-NL"/>
        </w:rPr>
        <w:t xml:space="preserve"> </w:t>
      </w:r>
      <w:r w:rsidRPr="00BB7074" w:rsidR="00001532">
        <w:rPr>
          <w:rFonts w:ascii="Verdana" w:hAnsi="Verdana"/>
          <w:sz w:val="18"/>
          <w:szCs w:val="18"/>
          <w:lang w:val="nl-NL"/>
        </w:rPr>
        <w:t xml:space="preserve">minste 20% van </w:t>
      </w:r>
      <w:r w:rsidRPr="00BB7074" w:rsidR="007441C3">
        <w:rPr>
          <w:rFonts w:ascii="Verdana" w:hAnsi="Verdana"/>
          <w:sz w:val="18"/>
          <w:szCs w:val="18"/>
          <w:lang w:val="nl-NL"/>
        </w:rPr>
        <w:t>het kapitaal</w:t>
      </w:r>
      <w:r w:rsidRPr="00BB7074" w:rsidR="00001532">
        <w:rPr>
          <w:rFonts w:ascii="Verdana" w:hAnsi="Verdana"/>
          <w:sz w:val="18"/>
          <w:szCs w:val="18"/>
          <w:lang w:val="nl-NL"/>
        </w:rPr>
        <w:t xml:space="preserve"> in </w:t>
      </w:r>
      <w:r w:rsidRPr="00BB7074" w:rsidR="007441C3">
        <w:rPr>
          <w:rFonts w:ascii="Verdana" w:hAnsi="Verdana"/>
          <w:sz w:val="18"/>
          <w:szCs w:val="18"/>
          <w:lang w:val="nl-NL"/>
        </w:rPr>
        <w:t xml:space="preserve">het </w:t>
      </w:r>
      <w:r w:rsidRPr="00BB7074" w:rsidR="00001532">
        <w:rPr>
          <w:rFonts w:ascii="Verdana" w:hAnsi="Verdana"/>
          <w:sz w:val="18"/>
          <w:szCs w:val="18"/>
          <w:lang w:val="nl-NL"/>
        </w:rPr>
        <w:t xml:space="preserve">andere </w:t>
      </w:r>
      <w:r w:rsidRPr="00BB7074" w:rsidR="007441C3">
        <w:rPr>
          <w:rFonts w:ascii="Verdana" w:hAnsi="Verdana"/>
          <w:sz w:val="18"/>
          <w:szCs w:val="18"/>
          <w:lang w:val="nl-NL"/>
        </w:rPr>
        <w:t xml:space="preserve">lichaam </w:t>
      </w:r>
      <w:r w:rsidRPr="00BB7074" w:rsidR="00CE6936">
        <w:rPr>
          <w:rFonts w:ascii="Verdana" w:hAnsi="Verdana"/>
          <w:sz w:val="18"/>
          <w:szCs w:val="18"/>
          <w:lang w:val="nl-NL"/>
        </w:rPr>
        <w:t>bezit</w:t>
      </w:r>
      <w:r w:rsidRPr="00BB7074" w:rsidR="007441C3">
        <w:rPr>
          <w:rFonts w:ascii="Verdana" w:hAnsi="Verdana"/>
          <w:sz w:val="18"/>
          <w:szCs w:val="18"/>
          <w:lang w:val="nl-NL"/>
        </w:rPr>
        <w:t>, gedurende 365 dagen voorafgaande aan de vervreemding</w:t>
      </w:r>
      <w:r w:rsidRPr="00BB7074" w:rsidR="00CE6936">
        <w:rPr>
          <w:rFonts w:ascii="Verdana" w:hAnsi="Verdana"/>
          <w:sz w:val="18"/>
          <w:szCs w:val="18"/>
          <w:lang w:val="nl-NL"/>
        </w:rPr>
        <w:t>. De</w:t>
      </w:r>
      <w:r w:rsidRPr="00BB7074" w:rsidR="00001532">
        <w:rPr>
          <w:rFonts w:ascii="Verdana" w:hAnsi="Verdana"/>
          <w:sz w:val="18"/>
          <w:szCs w:val="18"/>
          <w:lang w:val="nl-NL"/>
        </w:rPr>
        <w:t xml:space="preserve"> belasting </w:t>
      </w:r>
      <w:r w:rsidRPr="00BB7074" w:rsidR="00CE6936">
        <w:rPr>
          <w:rFonts w:ascii="Verdana" w:hAnsi="Verdana"/>
          <w:sz w:val="18"/>
          <w:szCs w:val="18"/>
          <w:lang w:val="nl-NL"/>
        </w:rPr>
        <w:t xml:space="preserve">is </w:t>
      </w:r>
      <w:r w:rsidRPr="00BB7074" w:rsidR="00001532">
        <w:rPr>
          <w:rFonts w:ascii="Verdana" w:hAnsi="Verdana"/>
          <w:sz w:val="18"/>
          <w:szCs w:val="18"/>
          <w:lang w:val="nl-NL"/>
        </w:rPr>
        <w:t xml:space="preserve">beperkt tot 10% van het nettobedrag van de voordelen. Het vijfde lid is niet van toepassing op voordelen uit de vervreemding van aandelen in het kader van een </w:t>
      </w:r>
      <w:r w:rsidR="00F2674F">
        <w:rPr>
          <w:rFonts w:ascii="Verdana" w:hAnsi="Verdana"/>
          <w:sz w:val="18"/>
          <w:szCs w:val="18"/>
          <w:lang w:val="nl-NL"/>
        </w:rPr>
        <w:t>fiscaal gefacilieerde</w:t>
      </w:r>
      <w:r w:rsidRPr="00BB7074" w:rsidR="00001532">
        <w:rPr>
          <w:rFonts w:ascii="Verdana" w:hAnsi="Verdana"/>
          <w:sz w:val="18"/>
          <w:szCs w:val="18"/>
          <w:lang w:val="nl-NL"/>
        </w:rPr>
        <w:t xml:space="preserve"> reorganisatie van een bedrijf, een fusie, een splitsing of een soortgelijke operatie.</w:t>
      </w:r>
    </w:p>
    <w:p w:rsidRPr="00BB7074" w:rsidR="003B66F2" w:rsidP="003B66F2" w:rsidRDefault="003B66F2" w14:paraId="3598F9C8" w14:textId="51522E6E">
      <w:pPr>
        <w:ind w:firstLine="708"/>
        <w:rPr>
          <w:rFonts w:ascii="Verdana" w:hAnsi="Verdana"/>
          <w:sz w:val="18"/>
          <w:szCs w:val="18"/>
          <w:lang w:val="nl-NL"/>
        </w:rPr>
      </w:pPr>
      <w:r w:rsidRPr="00BB7074">
        <w:rPr>
          <w:rFonts w:ascii="Verdana" w:hAnsi="Verdana"/>
          <w:sz w:val="18"/>
          <w:szCs w:val="18"/>
          <w:lang w:val="nl-NL"/>
        </w:rPr>
        <w:t>Volgens het zesde lid zijn alle overige vermogenswinsten, behoudens – kort</w:t>
      </w:r>
      <w:r w:rsidRPr="00BB7074" w:rsidR="00BB44E2">
        <w:rPr>
          <w:rFonts w:ascii="Verdana" w:hAnsi="Verdana"/>
          <w:sz w:val="18"/>
          <w:szCs w:val="18"/>
          <w:lang w:val="nl-NL"/>
        </w:rPr>
        <w:t xml:space="preserve"> </w:t>
      </w:r>
      <w:r w:rsidRPr="00BB7074">
        <w:rPr>
          <w:rFonts w:ascii="Verdana" w:hAnsi="Verdana"/>
          <w:sz w:val="18"/>
          <w:szCs w:val="18"/>
          <w:lang w:val="nl-NL"/>
        </w:rPr>
        <w:t xml:space="preserve">gezegd </w:t>
      </w:r>
      <w:r w:rsidRPr="00A02953" w:rsidR="00A02953">
        <w:rPr>
          <w:rFonts w:ascii="Verdana" w:hAnsi="Verdana"/>
          <w:sz w:val="18"/>
          <w:szCs w:val="18"/>
          <w:lang w:val="nl-NL"/>
        </w:rPr>
        <w:t xml:space="preserve">– </w:t>
      </w:r>
      <w:r w:rsidR="00235A92">
        <w:rPr>
          <w:rFonts w:ascii="Verdana" w:hAnsi="Verdana"/>
          <w:sz w:val="18"/>
          <w:szCs w:val="18"/>
          <w:lang w:val="nl-NL"/>
        </w:rPr>
        <w:t>het hierna toe te lichten ‘</w:t>
      </w:r>
      <w:r w:rsidRPr="00BB7074">
        <w:rPr>
          <w:rFonts w:ascii="Verdana" w:hAnsi="Verdana"/>
          <w:sz w:val="18"/>
          <w:szCs w:val="18"/>
          <w:lang w:val="nl-NL"/>
        </w:rPr>
        <w:t>aanmerkelijkbelangvoorbehoud</w:t>
      </w:r>
      <w:r w:rsidR="00235A92">
        <w:rPr>
          <w:rFonts w:ascii="Verdana" w:hAnsi="Verdana"/>
          <w:sz w:val="18"/>
          <w:szCs w:val="18"/>
          <w:lang w:val="nl-NL"/>
        </w:rPr>
        <w:t>’</w:t>
      </w:r>
      <w:r w:rsidRPr="00BB7074">
        <w:rPr>
          <w:rFonts w:ascii="Verdana" w:hAnsi="Verdana"/>
          <w:sz w:val="18"/>
          <w:szCs w:val="18"/>
          <w:lang w:val="nl-NL"/>
        </w:rPr>
        <w:t xml:space="preserve"> dat is opgenomen in </w:t>
      </w:r>
      <w:r w:rsidRPr="00BB7074" w:rsidR="00134F31">
        <w:rPr>
          <w:rFonts w:ascii="Verdana" w:hAnsi="Verdana"/>
          <w:sz w:val="18"/>
          <w:szCs w:val="18"/>
          <w:lang w:val="nl-NL"/>
        </w:rPr>
        <w:t>het zevende lid</w:t>
      </w:r>
      <w:r w:rsidRPr="00BB7074">
        <w:rPr>
          <w:rFonts w:ascii="Verdana" w:hAnsi="Verdana"/>
          <w:sz w:val="18"/>
          <w:szCs w:val="18"/>
          <w:lang w:val="nl-NL"/>
        </w:rPr>
        <w:t xml:space="preserve">, ter </w:t>
      </w:r>
      <w:r w:rsidRPr="00BB7074" w:rsidR="007441C3">
        <w:rPr>
          <w:rFonts w:ascii="Verdana" w:hAnsi="Verdana"/>
          <w:sz w:val="18"/>
          <w:szCs w:val="18"/>
          <w:lang w:val="nl-NL"/>
        </w:rPr>
        <w:t>belasting</w:t>
      </w:r>
      <w:r w:rsidRPr="00BB7074">
        <w:rPr>
          <w:rFonts w:ascii="Verdana" w:hAnsi="Verdana"/>
          <w:sz w:val="18"/>
          <w:szCs w:val="18"/>
          <w:lang w:val="nl-NL"/>
        </w:rPr>
        <w:t xml:space="preserve">heffing toegewezen aan de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waarvan de vervreemder inwoner is. </w:t>
      </w:r>
    </w:p>
    <w:p w:rsidRPr="00BB7074" w:rsidR="006C2AEB" w:rsidP="006C2AEB" w:rsidRDefault="006C2AEB" w14:paraId="132AB522" w14:textId="0DE59671">
      <w:pPr>
        <w:ind w:firstLine="708"/>
        <w:rPr>
          <w:rFonts w:ascii="Verdana" w:hAnsi="Verdana"/>
          <w:sz w:val="18"/>
          <w:szCs w:val="18"/>
          <w:lang w:val="nl-NL"/>
        </w:rPr>
      </w:pPr>
      <w:r w:rsidRPr="00BB7074">
        <w:rPr>
          <w:rFonts w:ascii="Verdana" w:hAnsi="Verdana"/>
          <w:sz w:val="18"/>
          <w:szCs w:val="18"/>
          <w:lang w:val="nl-NL"/>
        </w:rPr>
        <w:t>Het zevende lid bevat het zogenoemde aanmerkelijkbelangvoorbehoud met betrekking tot de vervreemding van, kort gezegd, aandelen na emigratie van de aandeelhouder</w:t>
      </w:r>
      <w:r w:rsidRPr="00BB7074" w:rsidR="00C70C54">
        <w:rPr>
          <w:rFonts w:ascii="Verdana" w:hAnsi="Verdana"/>
          <w:sz w:val="18"/>
          <w:szCs w:val="18"/>
          <w:lang w:val="nl-NL"/>
        </w:rPr>
        <w:t xml:space="preserve">. </w:t>
      </w:r>
      <w:r w:rsidRPr="00BB7074">
        <w:rPr>
          <w:rFonts w:ascii="Verdana" w:hAnsi="Verdana"/>
          <w:sz w:val="18"/>
          <w:szCs w:val="18"/>
          <w:lang w:val="nl-NL"/>
        </w:rPr>
        <w:t>Toegespitst op Nederland behoudt Nederland na emigratie van een aanmerkelijkbelanghouder uit Nederland een heffingsrecht over vermogenswinsten uit aanmerkelijk belang. Dit heffingsrecht is evenwel beperkt tot de waardeaangroei van het aanmerkelijk belang die is toe te rekenen aan de tijd dat de vervreemder inwoner van Nederland was. Tevens is geregeld dat de nieuwe woon</w:t>
      </w:r>
      <w:r w:rsidRPr="00BB7074" w:rsidR="008B5BF7">
        <w:rPr>
          <w:rFonts w:ascii="Verdana" w:hAnsi="Verdana"/>
          <w:sz w:val="18"/>
          <w:szCs w:val="18"/>
          <w:lang w:val="nl-NL"/>
        </w:rPr>
        <w:t>staat</w:t>
      </w:r>
      <w:r w:rsidRPr="00BB7074">
        <w:rPr>
          <w:rFonts w:ascii="Verdana" w:hAnsi="Verdana"/>
          <w:sz w:val="18"/>
          <w:szCs w:val="18"/>
          <w:lang w:val="nl-NL"/>
        </w:rPr>
        <w:t xml:space="preserve"> deze waardeaangroei niet </w:t>
      </w:r>
      <w:r w:rsidRPr="00BB7074" w:rsidR="007441C3">
        <w:rPr>
          <w:rFonts w:ascii="Verdana" w:hAnsi="Verdana"/>
          <w:sz w:val="18"/>
          <w:szCs w:val="18"/>
          <w:lang w:val="nl-NL"/>
        </w:rPr>
        <w:t xml:space="preserve">eveneens </w:t>
      </w:r>
      <w:r w:rsidRPr="00BB7074">
        <w:rPr>
          <w:rFonts w:ascii="Verdana" w:hAnsi="Verdana"/>
          <w:sz w:val="18"/>
          <w:szCs w:val="18"/>
          <w:lang w:val="nl-NL"/>
        </w:rPr>
        <w:t xml:space="preserve">kan belasten (de zogenoemde ‘opstap’ bij immigratie in de andere </w:t>
      </w:r>
      <w:r w:rsidRPr="00BB7074" w:rsidR="008B5BF7">
        <w:rPr>
          <w:rFonts w:ascii="Verdana" w:hAnsi="Verdana"/>
          <w:sz w:val="18"/>
          <w:szCs w:val="18"/>
          <w:lang w:val="nl-NL"/>
        </w:rPr>
        <w:t>staat</w:t>
      </w:r>
      <w:r w:rsidRPr="00BB7074">
        <w:rPr>
          <w:rFonts w:ascii="Verdana" w:hAnsi="Verdana"/>
          <w:sz w:val="18"/>
          <w:szCs w:val="18"/>
          <w:lang w:val="nl-NL"/>
        </w:rPr>
        <w:t xml:space="preserve">). De bepalingen van het </w:t>
      </w:r>
      <w:r w:rsidRPr="00BB7074" w:rsidR="00001532">
        <w:rPr>
          <w:rFonts w:ascii="Verdana" w:hAnsi="Verdana"/>
          <w:sz w:val="18"/>
          <w:szCs w:val="18"/>
          <w:lang w:val="nl-NL"/>
        </w:rPr>
        <w:t>zevende</w:t>
      </w:r>
      <w:r w:rsidRPr="00BB7074">
        <w:rPr>
          <w:rFonts w:ascii="Verdana" w:hAnsi="Verdana"/>
          <w:sz w:val="18"/>
          <w:szCs w:val="18"/>
          <w:lang w:val="nl-NL"/>
        </w:rPr>
        <w:t xml:space="preserve"> lid moeten in samenhang worden bezien met artikel 10 (dividenden), </w:t>
      </w:r>
      <w:r w:rsidRPr="00BB7074" w:rsidR="00001532">
        <w:rPr>
          <w:rFonts w:ascii="Verdana" w:hAnsi="Verdana"/>
          <w:sz w:val="18"/>
          <w:szCs w:val="18"/>
          <w:lang w:val="nl-NL"/>
        </w:rPr>
        <w:t>zevende</w:t>
      </w:r>
      <w:r w:rsidRPr="00BB7074">
        <w:rPr>
          <w:rFonts w:ascii="Verdana" w:hAnsi="Verdana"/>
          <w:sz w:val="18"/>
          <w:szCs w:val="18"/>
          <w:lang w:val="nl-NL"/>
        </w:rPr>
        <w:t xml:space="preserve"> lid.</w:t>
      </w:r>
    </w:p>
    <w:p w:rsidRPr="00BB7074" w:rsidR="00742902" w:rsidP="006C2AEB" w:rsidRDefault="00742902" w14:paraId="07AD1329" w14:textId="77777777">
      <w:pPr>
        <w:ind w:firstLine="708"/>
        <w:rPr>
          <w:rFonts w:ascii="Verdana" w:hAnsi="Verdana"/>
          <w:sz w:val="18"/>
          <w:szCs w:val="18"/>
          <w:lang w:val="nl-NL"/>
        </w:rPr>
      </w:pPr>
    </w:p>
    <w:p w:rsidRPr="00BB7074" w:rsidR="007E2AE2" w:rsidP="00B603B8" w:rsidRDefault="00936DF5" w14:paraId="2B95153D" w14:textId="676BB25A">
      <w:pPr>
        <w:pStyle w:val="Heading2"/>
        <w:rPr>
          <w:lang w:val="nl-NL"/>
        </w:rPr>
      </w:pPr>
      <w:r w:rsidRPr="00BB7074">
        <w:rPr>
          <w:lang w:val="nl-NL"/>
        </w:rPr>
        <w:t xml:space="preserve">II.14. </w:t>
      </w:r>
      <w:r w:rsidRPr="00BB7074" w:rsidR="002F0BBD">
        <w:rPr>
          <w:lang w:val="nl-NL"/>
        </w:rPr>
        <w:t>Inkomen uit dienstbetrekking</w:t>
      </w:r>
      <w:r w:rsidR="00A9054D">
        <w:rPr>
          <w:lang w:val="nl-NL"/>
        </w:rPr>
        <w:t xml:space="preserve"> (artikel 14 van het Verdrag)</w:t>
      </w:r>
    </w:p>
    <w:p w:rsidRPr="00BB7074" w:rsidR="002F0BBD" w:rsidP="00327403" w:rsidRDefault="00046720" w14:paraId="14F301DF" w14:textId="59ED66CE">
      <w:pPr>
        <w:rPr>
          <w:rFonts w:ascii="Verdana" w:hAnsi="Verdana"/>
          <w:sz w:val="18"/>
          <w:szCs w:val="18"/>
          <w:lang w:val="nl-NL"/>
        </w:rPr>
      </w:pPr>
      <w:r w:rsidRPr="00BB7074">
        <w:rPr>
          <w:rFonts w:ascii="Verdana" w:hAnsi="Verdana"/>
          <w:sz w:val="18"/>
          <w:szCs w:val="18"/>
          <w:lang w:val="nl-NL"/>
        </w:rPr>
        <w:t>Artikel 14</w:t>
      </w:r>
      <w:r w:rsidRPr="00BB7074" w:rsidR="00821078">
        <w:rPr>
          <w:rFonts w:ascii="Verdana" w:hAnsi="Verdana"/>
          <w:sz w:val="18"/>
          <w:szCs w:val="18"/>
          <w:lang w:val="nl-NL"/>
        </w:rPr>
        <w:t xml:space="preserve"> </w:t>
      </w:r>
      <w:r w:rsidRPr="00BB7074" w:rsidR="00E57BED">
        <w:rPr>
          <w:rFonts w:ascii="Verdana" w:hAnsi="Verdana"/>
          <w:sz w:val="18"/>
          <w:szCs w:val="18"/>
          <w:lang w:val="nl-NL"/>
        </w:rPr>
        <w:t xml:space="preserve">van het Verdrag </w:t>
      </w:r>
      <w:r w:rsidRPr="00BB7074" w:rsidR="00821078">
        <w:rPr>
          <w:rFonts w:ascii="Verdana" w:hAnsi="Verdana"/>
          <w:sz w:val="18"/>
          <w:szCs w:val="18"/>
          <w:lang w:val="nl-NL"/>
        </w:rPr>
        <w:t>verdeelt de heffingsrechten over inkomen uit dienstbetrekking en volgt de benadering die ook in het OESO- en VN</w:t>
      </w:r>
      <w:r w:rsidRPr="00BB7074" w:rsidR="0080504F">
        <w:rPr>
          <w:rFonts w:ascii="Verdana" w:hAnsi="Verdana"/>
          <w:sz w:val="18"/>
          <w:szCs w:val="18"/>
          <w:lang w:val="nl-NL"/>
        </w:rPr>
        <w:t>-m</w:t>
      </w:r>
      <w:r w:rsidRPr="00BB7074" w:rsidR="00821078">
        <w:rPr>
          <w:rFonts w:ascii="Verdana" w:hAnsi="Verdana"/>
          <w:sz w:val="18"/>
          <w:szCs w:val="18"/>
          <w:lang w:val="nl-NL"/>
        </w:rPr>
        <w:t>odel</w:t>
      </w:r>
      <w:r w:rsidRPr="00BB7074" w:rsidR="0080504F">
        <w:rPr>
          <w:rFonts w:ascii="Verdana" w:hAnsi="Verdana"/>
          <w:sz w:val="18"/>
          <w:szCs w:val="18"/>
          <w:lang w:val="nl-NL"/>
        </w:rPr>
        <w:t>verdrag</w:t>
      </w:r>
      <w:r w:rsidRPr="00BB7074" w:rsidR="00821078">
        <w:rPr>
          <w:rFonts w:ascii="Verdana" w:hAnsi="Verdana"/>
          <w:sz w:val="18"/>
          <w:szCs w:val="18"/>
          <w:lang w:val="nl-NL"/>
        </w:rPr>
        <w:t xml:space="preserve"> </w:t>
      </w:r>
      <w:r w:rsidRPr="00BB7074">
        <w:rPr>
          <w:rFonts w:ascii="Verdana" w:hAnsi="Verdana"/>
          <w:sz w:val="18"/>
          <w:szCs w:val="18"/>
          <w:lang w:val="nl-NL"/>
        </w:rPr>
        <w:t xml:space="preserve">wordt </w:t>
      </w:r>
      <w:r w:rsidRPr="00BB7074" w:rsidR="00821078">
        <w:rPr>
          <w:rFonts w:ascii="Verdana" w:hAnsi="Verdana"/>
          <w:sz w:val="18"/>
          <w:szCs w:val="18"/>
          <w:lang w:val="nl-NL"/>
        </w:rPr>
        <w:t>gebruikt.</w:t>
      </w:r>
    </w:p>
    <w:p w:rsidRPr="00BB7074" w:rsidR="00122A99" w:rsidP="00122A99" w:rsidRDefault="00122A99" w14:paraId="3D50FA0F" w14:textId="2A56C283">
      <w:pPr>
        <w:rPr>
          <w:rFonts w:ascii="Verdana" w:hAnsi="Verdana"/>
          <w:sz w:val="18"/>
          <w:szCs w:val="18"/>
          <w:lang w:val="nl-NL"/>
        </w:rPr>
      </w:pPr>
      <w:r w:rsidRPr="00BB7074">
        <w:rPr>
          <w:rFonts w:ascii="Verdana" w:hAnsi="Verdana"/>
          <w:sz w:val="18"/>
          <w:szCs w:val="18"/>
          <w:lang w:val="nl-NL"/>
        </w:rPr>
        <w:t xml:space="preserve">Het eerste lid maakt in de eerste plaats duidelijk dat de bepalingen in de artikelen 15 (inkomen van bestuurders), 17 (pensioenen) en 18 (overheidsdiensten) voorrang hebben boven de </w:t>
      </w:r>
      <w:r w:rsidRPr="00BB7074">
        <w:rPr>
          <w:rFonts w:ascii="Verdana" w:hAnsi="Verdana"/>
          <w:sz w:val="18"/>
          <w:szCs w:val="18"/>
          <w:lang w:val="nl-NL"/>
        </w:rPr>
        <w:lastRenderedPageBreak/>
        <w:t xml:space="preserve">bepalingen in dit artikel. Dat geldt overigens ook voor artikel 16 (sporters en artiesten) maar voor die categorie is dit geregeld in artikel 16. Vervolgens bepaalt het eerste lid dat inkomen uit dienstbetrekking belast mag worden in het land waar de werknemer woont. De kern van de bepaling zit echter in het laatste deel van de eerste zin en in de tweede zin. Die bepalen dat de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waarin de niet-zelfstandige werkzaamheden worden verricht (de werk</w:t>
      </w:r>
      <w:r w:rsidRPr="00BB7074" w:rsidR="008B5BF7">
        <w:rPr>
          <w:rFonts w:ascii="Verdana" w:hAnsi="Verdana"/>
          <w:sz w:val="18"/>
          <w:szCs w:val="18"/>
          <w:lang w:val="nl-NL"/>
        </w:rPr>
        <w:t>staat</w:t>
      </w:r>
      <w:r w:rsidRPr="00BB7074">
        <w:rPr>
          <w:rFonts w:ascii="Verdana" w:hAnsi="Verdana"/>
          <w:sz w:val="18"/>
          <w:szCs w:val="18"/>
          <w:lang w:val="nl-NL"/>
        </w:rPr>
        <w:t xml:space="preserve">) </w:t>
      </w:r>
      <w:r w:rsidRPr="00BB7074" w:rsidR="00E57BED">
        <w:rPr>
          <w:rFonts w:ascii="Verdana" w:hAnsi="Verdana"/>
          <w:sz w:val="18"/>
          <w:szCs w:val="18"/>
          <w:lang w:val="nl-NL"/>
        </w:rPr>
        <w:t xml:space="preserve">het </w:t>
      </w:r>
      <w:r w:rsidRPr="00BB7074">
        <w:rPr>
          <w:rFonts w:ascii="Verdana" w:hAnsi="Verdana"/>
          <w:sz w:val="18"/>
          <w:szCs w:val="18"/>
          <w:lang w:val="nl-NL"/>
        </w:rPr>
        <w:t xml:space="preserve">daaruit genoten inkomen ook mag belasten. </w:t>
      </w:r>
    </w:p>
    <w:p w:rsidRPr="00BB7074" w:rsidR="00122A99" w:rsidP="00122A99" w:rsidRDefault="00122A99" w14:paraId="5310DC9B" w14:textId="3639528C">
      <w:pPr>
        <w:rPr>
          <w:rFonts w:ascii="Verdana" w:hAnsi="Verdana"/>
          <w:sz w:val="18"/>
          <w:szCs w:val="18"/>
          <w:lang w:val="nl-NL"/>
        </w:rPr>
      </w:pPr>
      <w:r w:rsidRPr="00BB7074">
        <w:rPr>
          <w:rFonts w:ascii="Verdana" w:hAnsi="Verdana"/>
          <w:sz w:val="18"/>
          <w:szCs w:val="18"/>
          <w:lang w:val="nl-NL"/>
        </w:rPr>
        <w:t>Het tweede lid wijst dat recht weer exclusief toe aan de woon</w:t>
      </w:r>
      <w:r w:rsidRPr="00BB7074" w:rsidR="008B5BF7">
        <w:rPr>
          <w:rFonts w:ascii="Verdana" w:hAnsi="Verdana"/>
          <w:sz w:val="18"/>
          <w:szCs w:val="18"/>
          <w:lang w:val="nl-NL"/>
        </w:rPr>
        <w:t>staat</w:t>
      </w:r>
      <w:r w:rsidRPr="00BB7074">
        <w:rPr>
          <w:rFonts w:ascii="Verdana" w:hAnsi="Verdana"/>
          <w:sz w:val="18"/>
          <w:szCs w:val="18"/>
          <w:lang w:val="nl-NL"/>
        </w:rPr>
        <w:t xml:space="preserve"> als wordt voldaan aan drie (cumulatieve) voorwaarden:</w:t>
      </w:r>
    </w:p>
    <w:p w:rsidRPr="00BB7074" w:rsidR="00122A99" w:rsidP="00742902" w:rsidRDefault="00122A99" w14:paraId="48EC089D" w14:textId="29A61524">
      <w:pPr>
        <w:pStyle w:val="ListParagraph"/>
        <w:numPr>
          <w:ilvl w:val="0"/>
          <w:numId w:val="25"/>
        </w:numPr>
        <w:spacing w:line="360" w:lineRule="auto"/>
        <w:ind w:left="1423" w:hanging="357"/>
        <w:rPr>
          <w:rFonts w:ascii="Verdana" w:hAnsi="Verdana" w:cs="Arial"/>
          <w:sz w:val="18"/>
          <w:szCs w:val="18"/>
        </w:rPr>
      </w:pPr>
      <w:r w:rsidRPr="00BB7074">
        <w:rPr>
          <w:rFonts w:ascii="Verdana" w:hAnsi="Verdana" w:cs="Arial"/>
          <w:sz w:val="18"/>
          <w:szCs w:val="18"/>
        </w:rPr>
        <w:t>het verblijf van de werknemer in de werk</w:t>
      </w:r>
      <w:r w:rsidRPr="00BB7074" w:rsidR="008B5BF7">
        <w:rPr>
          <w:rFonts w:ascii="Verdana" w:hAnsi="Verdana" w:cs="Arial"/>
          <w:sz w:val="18"/>
          <w:szCs w:val="18"/>
        </w:rPr>
        <w:t>staat</w:t>
      </w:r>
      <w:r w:rsidRPr="00BB7074">
        <w:rPr>
          <w:rFonts w:ascii="Verdana" w:hAnsi="Verdana" w:cs="Arial"/>
          <w:sz w:val="18"/>
          <w:szCs w:val="18"/>
        </w:rPr>
        <w:t xml:space="preserve"> is in totaal niet langer dan 183 dagen in een </w:t>
      </w:r>
      <w:r w:rsidR="00A02953">
        <w:rPr>
          <w:rFonts w:ascii="Verdana" w:hAnsi="Verdana" w:cs="Arial"/>
          <w:sz w:val="18"/>
          <w:szCs w:val="18"/>
        </w:rPr>
        <w:t>twaalf</w:t>
      </w:r>
      <w:r w:rsidRPr="00BB7074">
        <w:rPr>
          <w:rFonts w:ascii="Verdana" w:hAnsi="Verdana" w:cs="Arial"/>
          <w:sz w:val="18"/>
          <w:szCs w:val="18"/>
        </w:rPr>
        <w:t>maandsperiode die begint of eindigt in het betrokken belastingjaar; en</w:t>
      </w:r>
    </w:p>
    <w:p w:rsidRPr="00BB7074" w:rsidR="00122A99" w:rsidP="00742902" w:rsidRDefault="00122A99" w14:paraId="221354DD" w14:textId="7E7F6B7D">
      <w:pPr>
        <w:pStyle w:val="ListParagraph"/>
        <w:numPr>
          <w:ilvl w:val="0"/>
          <w:numId w:val="25"/>
        </w:numPr>
        <w:spacing w:line="360" w:lineRule="auto"/>
        <w:ind w:left="1423" w:hanging="357"/>
        <w:rPr>
          <w:rFonts w:ascii="Verdana" w:hAnsi="Verdana" w:cs="Arial"/>
          <w:sz w:val="18"/>
          <w:szCs w:val="18"/>
        </w:rPr>
      </w:pPr>
      <w:r w:rsidRPr="00BB7074">
        <w:rPr>
          <w:rFonts w:ascii="Verdana" w:hAnsi="Verdana" w:cs="Arial"/>
          <w:sz w:val="18"/>
          <w:szCs w:val="18"/>
        </w:rPr>
        <w:t>de beloning wordt niet betaald door of namens een werkgever die inwoner is van de werk</w:t>
      </w:r>
      <w:r w:rsidRPr="00BB7074" w:rsidR="008B5BF7">
        <w:rPr>
          <w:rFonts w:ascii="Verdana" w:hAnsi="Verdana" w:cs="Arial"/>
          <w:sz w:val="18"/>
          <w:szCs w:val="18"/>
        </w:rPr>
        <w:t>staat</w:t>
      </w:r>
      <w:r w:rsidRPr="00BB7074">
        <w:rPr>
          <w:rFonts w:ascii="Verdana" w:hAnsi="Verdana" w:cs="Arial"/>
          <w:sz w:val="18"/>
          <w:szCs w:val="18"/>
        </w:rPr>
        <w:t>; en</w:t>
      </w:r>
    </w:p>
    <w:p w:rsidRPr="00BB7074" w:rsidR="00122A99" w:rsidP="00742902" w:rsidRDefault="00122A99" w14:paraId="5AAB765A" w14:textId="6520E33A">
      <w:pPr>
        <w:pStyle w:val="ListParagraph"/>
        <w:numPr>
          <w:ilvl w:val="0"/>
          <w:numId w:val="25"/>
        </w:numPr>
        <w:spacing w:line="360" w:lineRule="auto"/>
        <w:ind w:left="1423" w:hanging="357"/>
        <w:rPr>
          <w:rFonts w:ascii="Verdana" w:hAnsi="Verdana" w:cs="Arial"/>
          <w:sz w:val="18"/>
          <w:szCs w:val="18"/>
        </w:rPr>
      </w:pPr>
      <w:r w:rsidRPr="00BB7074">
        <w:rPr>
          <w:rFonts w:ascii="Verdana" w:hAnsi="Verdana" w:cs="Arial"/>
          <w:sz w:val="18"/>
          <w:szCs w:val="18"/>
        </w:rPr>
        <w:t>de beloning komt niet ten laste van een vaste inrichting of vast middelpunt van de werkgever in de werk</w:t>
      </w:r>
      <w:r w:rsidRPr="00BB7074" w:rsidR="008B5BF7">
        <w:rPr>
          <w:rFonts w:ascii="Verdana" w:hAnsi="Verdana" w:cs="Arial"/>
          <w:sz w:val="18"/>
          <w:szCs w:val="18"/>
        </w:rPr>
        <w:t>staat</w:t>
      </w:r>
      <w:r w:rsidRPr="00BB7074">
        <w:rPr>
          <w:rFonts w:ascii="Verdana" w:hAnsi="Verdana" w:cs="Arial"/>
          <w:sz w:val="18"/>
          <w:szCs w:val="18"/>
        </w:rPr>
        <w:t>.</w:t>
      </w:r>
    </w:p>
    <w:p w:rsidRPr="00BB7074" w:rsidR="00122A99" w:rsidP="00122A99" w:rsidRDefault="00122A99" w14:paraId="7EE85340" w14:textId="2536AD29">
      <w:pPr>
        <w:ind w:firstLine="0"/>
        <w:rPr>
          <w:rFonts w:ascii="Verdana" w:hAnsi="Verdana"/>
          <w:sz w:val="18"/>
          <w:szCs w:val="18"/>
          <w:lang w:val="nl-NL"/>
        </w:rPr>
      </w:pPr>
      <w:r w:rsidRPr="00BB7074">
        <w:rPr>
          <w:rFonts w:ascii="Verdana" w:hAnsi="Verdana"/>
          <w:sz w:val="18"/>
          <w:szCs w:val="18"/>
          <w:lang w:val="nl-NL"/>
        </w:rPr>
        <w:t>Als aan één van de drie voorwaarden niet wordt voldaan, mag de werk</w:t>
      </w:r>
      <w:r w:rsidRPr="00BB7074" w:rsidR="008B5BF7">
        <w:rPr>
          <w:rFonts w:ascii="Verdana" w:hAnsi="Verdana"/>
          <w:sz w:val="18"/>
          <w:szCs w:val="18"/>
          <w:lang w:val="nl-NL"/>
        </w:rPr>
        <w:t>staat</w:t>
      </w:r>
      <w:r w:rsidRPr="00BB7074">
        <w:rPr>
          <w:rFonts w:ascii="Verdana" w:hAnsi="Verdana"/>
          <w:sz w:val="18"/>
          <w:szCs w:val="18"/>
          <w:lang w:val="nl-NL"/>
        </w:rPr>
        <w:t xml:space="preserve"> (ook) over </w:t>
      </w:r>
      <w:r w:rsidRPr="00BB7074" w:rsidR="00E57BED">
        <w:rPr>
          <w:rFonts w:ascii="Verdana" w:hAnsi="Verdana"/>
          <w:sz w:val="18"/>
          <w:szCs w:val="18"/>
          <w:lang w:val="nl-NL"/>
        </w:rPr>
        <w:t xml:space="preserve">het </w:t>
      </w:r>
      <w:r w:rsidRPr="00BB7074">
        <w:rPr>
          <w:rFonts w:ascii="Verdana" w:hAnsi="Verdana"/>
          <w:sz w:val="18"/>
          <w:szCs w:val="18"/>
          <w:lang w:val="nl-NL"/>
        </w:rPr>
        <w:t>inkomen heffen en dient de woon</w:t>
      </w:r>
      <w:r w:rsidRPr="00BB7074" w:rsidR="008B5BF7">
        <w:rPr>
          <w:rFonts w:ascii="Verdana" w:hAnsi="Verdana"/>
          <w:sz w:val="18"/>
          <w:szCs w:val="18"/>
          <w:lang w:val="nl-NL"/>
        </w:rPr>
        <w:t>staat</w:t>
      </w:r>
      <w:r w:rsidRPr="00BB7074">
        <w:rPr>
          <w:rFonts w:ascii="Verdana" w:hAnsi="Verdana"/>
          <w:sz w:val="18"/>
          <w:szCs w:val="18"/>
          <w:lang w:val="nl-NL"/>
        </w:rPr>
        <w:t xml:space="preserve"> vermijding van dubbele belasting te verlenen volgens de regels van artikel 21 van het Verdrag. Het doel van deze bepaling is om de fiscale positie van werknemers die voor een beperkte periode werkzaam zijn in verschillende verdragsluitende staten of werknemers die voor een beperkte periode worden uitgezonden, niet te veranderen en de werknemer en werkgever extra administratieve lasten te besparen. </w:t>
      </w:r>
    </w:p>
    <w:p w:rsidRPr="00BB7074" w:rsidR="00122A99" w:rsidP="00122A99" w:rsidRDefault="00122A99" w14:paraId="31CEC86B" w14:textId="26A464ED">
      <w:pPr>
        <w:rPr>
          <w:rFonts w:ascii="Verdana" w:hAnsi="Verdana"/>
          <w:sz w:val="18"/>
          <w:szCs w:val="18"/>
          <w:lang w:val="nl-NL"/>
        </w:rPr>
      </w:pPr>
      <w:r w:rsidRPr="00BB7074">
        <w:rPr>
          <w:rFonts w:ascii="Verdana" w:hAnsi="Verdana"/>
          <w:sz w:val="18"/>
          <w:szCs w:val="18"/>
          <w:lang w:val="nl-NL"/>
        </w:rPr>
        <w:t xml:space="preserve">In het derde lid is overeengekomen dat het inkomen van werknemers verkregen ter zake van een dienstbetrekking als lid van de reguliere bemanning uitgeoefend aan boord van een schip of van een luchtvaartuig dat gebruikt wordt in het internationale verkeer, uitsluitend belast mag worden in de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waarvan de werknemer inwoner is. Wat onder internationaal verkeer verstaan moet worden is gedefinieerd in </w:t>
      </w:r>
      <w:r w:rsidRPr="00BB7074" w:rsidR="00530FB0">
        <w:rPr>
          <w:rFonts w:ascii="Verdana" w:hAnsi="Verdana"/>
          <w:sz w:val="18"/>
          <w:szCs w:val="18"/>
          <w:lang w:val="nl-NL"/>
        </w:rPr>
        <w:t>a</w:t>
      </w:r>
      <w:r w:rsidRPr="00BB7074">
        <w:rPr>
          <w:rFonts w:ascii="Verdana" w:hAnsi="Verdana"/>
          <w:sz w:val="18"/>
          <w:szCs w:val="18"/>
          <w:lang w:val="nl-NL"/>
        </w:rPr>
        <w:t>rtikel 3</w:t>
      </w:r>
      <w:r w:rsidR="003D34B7">
        <w:rPr>
          <w:rFonts w:ascii="Verdana" w:hAnsi="Verdana"/>
          <w:sz w:val="18"/>
          <w:szCs w:val="18"/>
          <w:lang w:val="nl-NL"/>
        </w:rPr>
        <w:t xml:space="preserve"> van het Verdrag</w:t>
      </w:r>
      <w:r w:rsidRPr="00BB7074">
        <w:rPr>
          <w:rFonts w:ascii="Verdana" w:hAnsi="Verdana"/>
          <w:sz w:val="18"/>
          <w:szCs w:val="18"/>
          <w:lang w:val="nl-NL"/>
        </w:rPr>
        <w:t>.</w:t>
      </w:r>
    </w:p>
    <w:p w:rsidRPr="00BB7074" w:rsidR="007E2AE2" w:rsidP="00B603B8" w:rsidRDefault="00936DF5" w14:paraId="32AFE91D" w14:textId="3EBB6E09">
      <w:pPr>
        <w:pStyle w:val="Heading2"/>
        <w:rPr>
          <w:lang w:val="nl-NL"/>
        </w:rPr>
      </w:pPr>
      <w:r w:rsidRPr="00BB7074">
        <w:rPr>
          <w:lang w:val="nl-NL"/>
        </w:rPr>
        <w:t xml:space="preserve">II.15. </w:t>
      </w:r>
      <w:r w:rsidRPr="00BB7074" w:rsidR="006D15BB">
        <w:rPr>
          <w:lang w:val="nl-NL"/>
        </w:rPr>
        <w:t>Directeursbeloningen</w:t>
      </w:r>
      <w:r w:rsidR="00A9054D">
        <w:rPr>
          <w:lang w:val="nl-NL"/>
        </w:rPr>
        <w:t xml:space="preserve"> (artikel 15 van het Verdrag)</w:t>
      </w:r>
    </w:p>
    <w:p w:rsidRPr="00BB7074" w:rsidR="00273F41" w:rsidP="00655014" w:rsidRDefault="006D15BB" w14:paraId="2E488858" w14:textId="77777777">
      <w:pPr>
        <w:rPr>
          <w:rFonts w:ascii="Verdana" w:hAnsi="Verdana"/>
          <w:sz w:val="18"/>
          <w:szCs w:val="18"/>
          <w:lang w:val="nl-NL"/>
        </w:rPr>
      </w:pPr>
      <w:r w:rsidRPr="00BB7074">
        <w:rPr>
          <w:rFonts w:ascii="Verdana" w:hAnsi="Verdana"/>
          <w:sz w:val="18"/>
          <w:szCs w:val="18"/>
          <w:lang w:val="nl-NL"/>
        </w:rPr>
        <w:t xml:space="preserve">Artikel </w:t>
      </w:r>
      <w:r w:rsidRPr="00BB7074" w:rsidR="00DD2B2C">
        <w:rPr>
          <w:rFonts w:ascii="Verdana" w:hAnsi="Verdana"/>
          <w:sz w:val="18"/>
          <w:szCs w:val="18"/>
          <w:lang w:val="nl-NL"/>
        </w:rPr>
        <w:t xml:space="preserve">15 </w:t>
      </w:r>
      <w:r w:rsidRPr="00BB7074" w:rsidR="00497D74">
        <w:rPr>
          <w:rFonts w:ascii="Verdana" w:hAnsi="Verdana"/>
          <w:sz w:val="18"/>
          <w:szCs w:val="18"/>
          <w:lang w:val="nl-NL"/>
        </w:rPr>
        <w:t xml:space="preserve">van het Verdrag verdeelt de heffingsrechten over </w:t>
      </w:r>
      <w:r w:rsidRPr="00BB7074">
        <w:rPr>
          <w:rFonts w:ascii="Verdana" w:hAnsi="Verdana"/>
          <w:sz w:val="18"/>
          <w:szCs w:val="18"/>
          <w:lang w:val="nl-NL"/>
        </w:rPr>
        <w:t>directeursbeloningen</w:t>
      </w:r>
      <w:r w:rsidRPr="00BB7074" w:rsidR="00497D74">
        <w:rPr>
          <w:rFonts w:ascii="Verdana" w:hAnsi="Verdana"/>
          <w:sz w:val="18"/>
          <w:szCs w:val="18"/>
          <w:lang w:val="nl-NL"/>
        </w:rPr>
        <w:t>. Het artikel</w:t>
      </w:r>
      <w:r w:rsidRPr="00BB7074">
        <w:rPr>
          <w:rFonts w:ascii="Verdana" w:hAnsi="Verdana"/>
          <w:sz w:val="18"/>
          <w:szCs w:val="18"/>
          <w:lang w:val="nl-NL"/>
        </w:rPr>
        <w:t xml:space="preserve"> is gebaseerd op artikel 16 van het OESO-modelverdrag.</w:t>
      </w:r>
      <w:r w:rsidRPr="00BB7074" w:rsidR="00273F41">
        <w:rPr>
          <w:rFonts w:ascii="Verdana" w:hAnsi="Verdana"/>
          <w:sz w:val="18"/>
          <w:szCs w:val="18"/>
          <w:lang w:val="nl-NL"/>
        </w:rPr>
        <w:t xml:space="preserve"> In afwijking van het OESO-modelverdrag is opgenomen dat het gaat om leden van de raad van beheer </w:t>
      </w:r>
      <w:r w:rsidRPr="00BB7074" w:rsidR="00273F41">
        <w:rPr>
          <w:rFonts w:ascii="Verdana" w:hAnsi="Verdana"/>
          <w:i/>
          <w:sz w:val="18"/>
          <w:szCs w:val="18"/>
          <w:lang w:val="nl-NL"/>
        </w:rPr>
        <w:t>of van een soortgelijk orgaan</w:t>
      </w:r>
      <w:r w:rsidRPr="00BB7074" w:rsidR="00273F41">
        <w:rPr>
          <w:rFonts w:ascii="Verdana" w:hAnsi="Verdana"/>
          <w:sz w:val="18"/>
          <w:szCs w:val="18"/>
          <w:lang w:val="nl-NL"/>
        </w:rPr>
        <w:t>. Hiermee vallen ook leden van de Raad van Commissarissen onder het artikel.</w:t>
      </w:r>
    </w:p>
    <w:p w:rsidRPr="00BB7074" w:rsidR="006D15BB" w:rsidP="00655014" w:rsidRDefault="00272982" w14:paraId="5421F0E6" w14:textId="73D0DBBA">
      <w:pPr>
        <w:rPr>
          <w:rFonts w:ascii="Verdana" w:hAnsi="Verdana"/>
          <w:sz w:val="18"/>
          <w:szCs w:val="18"/>
          <w:lang w:val="nl-NL"/>
        </w:rPr>
      </w:pPr>
      <w:r w:rsidRPr="00BB7074">
        <w:rPr>
          <w:rFonts w:ascii="Verdana" w:hAnsi="Verdana"/>
          <w:sz w:val="18"/>
          <w:szCs w:val="18"/>
          <w:lang w:val="nl-NL"/>
        </w:rPr>
        <w:t>Volgens dit artikel mogen de beloningen ontvangen door personen in hun hoedanigheid van bestuurder van een lichaam worden belast in het land waarvan het lichaam inwoner is.</w:t>
      </w:r>
      <w:r w:rsidRPr="00BB7074" w:rsidR="00001532">
        <w:rPr>
          <w:rFonts w:ascii="Verdana" w:hAnsi="Verdana"/>
          <w:sz w:val="18"/>
          <w:szCs w:val="18"/>
          <w:lang w:val="nl-NL"/>
        </w:rPr>
        <w:t xml:space="preserve"> In afwijking van de in artikel 16 van het OESO-modelverdrag opgenomen bepaling is de term </w:t>
      </w:r>
      <w:r w:rsidR="00235A92">
        <w:rPr>
          <w:rFonts w:ascii="Verdana" w:hAnsi="Verdana"/>
          <w:sz w:val="18"/>
          <w:szCs w:val="18"/>
          <w:lang w:val="nl-NL"/>
        </w:rPr>
        <w:t>‘</w:t>
      </w:r>
      <w:r w:rsidRPr="00BB7074" w:rsidR="006D15BB">
        <w:rPr>
          <w:rFonts w:ascii="Verdana" w:hAnsi="Verdana"/>
          <w:sz w:val="18"/>
          <w:szCs w:val="18"/>
          <w:lang w:val="nl-NL"/>
        </w:rPr>
        <w:t xml:space="preserve">andere </w:t>
      </w:r>
      <w:r w:rsidRPr="00BB7074" w:rsidR="00001532">
        <w:rPr>
          <w:rFonts w:ascii="Verdana" w:hAnsi="Verdana"/>
          <w:sz w:val="18"/>
          <w:szCs w:val="18"/>
          <w:lang w:val="nl-NL"/>
        </w:rPr>
        <w:t>beloningen</w:t>
      </w:r>
      <w:r w:rsidR="00235A92">
        <w:rPr>
          <w:rFonts w:ascii="Verdana" w:hAnsi="Verdana"/>
          <w:sz w:val="18"/>
          <w:szCs w:val="18"/>
          <w:lang w:val="nl-NL"/>
        </w:rPr>
        <w:t>’</w:t>
      </w:r>
      <w:r w:rsidRPr="00BB7074" w:rsidR="00001532">
        <w:rPr>
          <w:rFonts w:ascii="Verdana" w:hAnsi="Verdana"/>
          <w:sz w:val="18"/>
          <w:szCs w:val="18"/>
          <w:lang w:val="nl-NL"/>
        </w:rPr>
        <w:t xml:space="preserve"> gehanteerd in plaats van </w:t>
      </w:r>
      <w:r w:rsidR="00235A92">
        <w:rPr>
          <w:rFonts w:ascii="Verdana" w:hAnsi="Verdana"/>
          <w:sz w:val="18"/>
          <w:szCs w:val="18"/>
          <w:lang w:val="nl-NL"/>
        </w:rPr>
        <w:t>‘</w:t>
      </w:r>
      <w:r w:rsidRPr="00BB7074" w:rsidR="00001532">
        <w:rPr>
          <w:rFonts w:ascii="Verdana" w:hAnsi="Verdana"/>
          <w:sz w:val="18"/>
          <w:szCs w:val="18"/>
          <w:lang w:val="nl-NL"/>
        </w:rPr>
        <w:t>vergelijkbare betalingen</w:t>
      </w:r>
      <w:r w:rsidR="00235A92">
        <w:rPr>
          <w:rFonts w:ascii="Verdana" w:hAnsi="Verdana"/>
          <w:sz w:val="18"/>
          <w:szCs w:val="18"/>
          <w:lang w:val="nl-NL"/>
        </w:rPr>
        <w:t>’</w:t>
      </w:r>
      <w:r w:rsidRPr="00BB7074" w:rsidR="00001532">
        <w:rPr>
          <w:rFonts w:ascii="Verdana" w:hAnsi="Verdana"/>
          <w:sz w:val="18"/>
          <w:szCs w:val="18"/>
          <w:lang w:val="nl-NL"/>
        </w:rPr>
        <w:t xml:space="preserve">. </w:t>
      </w:r>
      <w:r w:rsidRPr="00BB7074">
        <w:rPr>
          <w:rFonts w:ascii="Verdana" w:hAnsi="Verdana"/>
          <w:sz w:val="18"/>
          <w:szCs w:val="18"/>
          <w:lang w:val="nl-NL"/>
        </w:rPr>
        <w:t>Hiermee wordt buiten twijfel gesteld dat ook vergoedingen in natura en aandelenopties onder deze bepaling vallen.</w:t>
      </w:r>
    </w:p>
    <w:p w:rsidRPr="00BB7074" w:rsidR="00414891" w:rsidP="00B603B8" w:rsidRDefault="00936DF5" w14:paraId="190CDD3D" w14:textId="4066EF1C">
      <w:pPr>
        <w:pStyle w:val="Heading2"/>
        <w:rPr>
          <w:lang w:val="nl-NL"/>
        </w:rPr>
      </w:pPr>
      <w:r w:rsidRPr="00BB7074">
        <w:rPr>
          <w:lang w:val="nl-NL"/>
        </w:rPr>
        <w:t xml:space="preserve">II.16. </w:t>
      </w:r>
      <w:r w:rsidRPr="00BB7074" w:rsidR="00414891">
        <w:rPr>
          <w:lang w:val="nl-NL"/>
        </w:rPr>
        <w:t>Artiesten en sporters</w:t>
      </w:r>
      <w:r w:rsidR="00A9054D">
        <w:rPr>
          <w:lang w:val="nl-NL"/>
        </w:rPr>
        <w:t xml:space="preserve"> (artikel 16 van het Verdrag)</w:t>
      </w:r>
    </w:p>
    <w:p w:rsidRPr="00BB7074" w:rsidR="002F0BBD" w:rsidP="00327403" w:rsidRDefault="005A7EF0" w14:paraId="12C8D1BD" w14:textId="22508CFD">
      <w:pPr>
        <w:rPr>
          <w:rFonts w:ascii="Verdana" w:hAnsi="Verdana"/>
          <w:sz w:val="18"/>
          <w:szCs w:val="18"/>
          <w:lang w:val="nl-NL"/>
        </w:rPr>
      </w:pPr>
      <w:r w:rsidRPr="00BB7074">
        <w:rPr>
          <w:rFonts w:ascii="Verdana" w:hAnsi="Verdana"/>
          <w:sz w:val="18"/>
          <w:szCs w:val="18"/>
          <w:lang w:val="nl-NL"/>
        </w:rPr>
        <w:t xml:space="preserve">Voor sporters en artiesten is ook in dit Verdrag een afzonderlijke bepaling opgenomen. Zoals in de </w:t>
      </w:r>
      <w:r w:rsidR="003D34B7">
        <w:rPr>
          <w:rFonts w:ascii="Verdana" w:hAnsi="Verdana"/>
          <w:sz w:val="18"/>
          <w:szCs w:val="18"/>
          <w:lang w:val="nl-NL"/>
        </w:rPr>
        <w:t>NFV</w:t>
      </w:r>
      <w:r w:rsidRPr="00BB7074">
        <w:rPr>
          <w:rFonts w:ascii="Verdana" w:hAnsi="Verdana"/>
          <w:sz w:val="18"/>
          <w:szCs w:val="18"/>
          <w:lang w:val="nl-NL"/>
        </w:rPr>
        <w:t xml:space="preserve"> 2020 is beschreven is Nederland nog steeds geen voorstander van een dergelijke </w:t>
      </w:r>
      <w:r w:rsidRPr="00BB7074" w:rsidR="009C4B3F">
        <w:rPr>
          <w:rFonts w:ascii="Verdana" w:hAnsi="Verdana"/>
          <w:sz w:val="18"/>
          <w:szCs w:val="18"/>
          <w:lang w:val="nl-NL"/>
        </w:rPr>
        <w:t xml:space="preserve">specifieke </w:t>
      </w:r>
      <w:r w:rsidRPr="00BB7074">
        <w:rPr>
          <w:rFonts w:ascii="Verdana" w:hAnsi="Verdana"/>
          <w:sz w:val="18"/>
          <w:szCs w:val="18"/>
          <w:lang w:val="nl-NL"/>
        </w:rPr>
        <w:t>benadering</w:t>
      </w:r>
      <w:r w:rsidRPr="00BB7074" w:rsidR="009C4B3F">
        <w:rPr>
          <w:rFonts w:ascii="Verdana" w:hAnsi="Verdana"/>
          <w:sz w:val="18"/>
          <w:szCs w:val="18"/>
          <w:lang w:val="nl-NL"/>
        </w:rPr>
        <w:t xml:space="preserve"> voor sporters en artiesten</w:t>
      </w:r>
      <w:r w:rsidRPr="00BB7074">
        <w:rPr>
          <w:rFonts w:ascii="Verdana" w:hAnsi="Verdana"/>
          <w:sz w:val="18"/>
          <w:szCs w:val="18"/>
          <w:lang w:val="nl-NL"/>
        </w:rPr>
        <w:t xml:space="preserve">, maar blijkt die inzet in de praktijk zeer moeilijk te </w:t>
      </w:r>
      <w:r w:rsidRPr="00BB7074">
        <w:rPr>
          <w:rFonts w:ascii="Verdana" w:hAnsi="Verdana"/>
          <w:sz w:val="18"/>
          <w:szCs w:val="18"/>
          <w:lang w:val="nl-NL"/>
        </w:rPr>
        <w:lastRenderedPageBreak/>
        <w:t xml:space="preserve">realiseren. Ook Colombia </w:t>
      </w:r>
      <w:r w:rsidRPr="00BB7074" w:rsidR="0080504F">
        <w:rPr>
          <w:rFonts w:ascii="Verdana" w:hAnsi="Verdana"/>
          <w:sz w:val="18"/>
          <w:szCs w:val="18"/>
          <w:lang w:val="nl-NL"/>
        </w:rPr>
        <w:t>hield vast aan deze in het OESO- en VN-m</w:t>
      </w:r>
      <w:r w:rsidRPr="00BB7074">
        <w:rPr>
          <w:rFonts w:ascii="Verdana" w:hAnsi="Verdana"/>
          <w:sz w:val="18"/>
          <w:szCs w:val="18"/>
          <w:lang w:val="nl-NL"/>
        </w:rPr>
        <w:t>odel</w:t>
      </w:r>
      <w:r w:rsidRPr="00BB7074" w:rsidR="0080504F">
        <w:rPr>
          <w:rFonts w:ascii="Verdana" w:hAnsi="Verdana"/>
          <w:sz w:val="18"/>
          <w:szCs w:val="18"/>
          <w:lang w:val="nl-NL"/>
        </w:rPr>
        <w:t>verdrag</w:t>
      </w:r>
      <w:r w:rsidRPr="00BB7074">
        <w:rPr>
          <w:rFonts w:ascii="Verdana" w:hAnsi="Verdana"/>
          <w:sz w:val="18"/>
          <w:szCs w:val="18"/>
          <w:lang w:val="nl-NL"/>
        </w:rPr>
        <w:t xml:space="preserve"> opgenomen bepaling. De tweede zin van het eerste lid </w:t>
      </w:r>
      <w:r w:rsidRPr="00BB7074" w:rsidR="009C4B3F">
        <w:rPr>
          <w:rFonts w:ascii="Verdana" w:hAnsi="Verdana"/>
          <w:sz w:val="18"/>
          <w:szCs w:val="18"/>
          <w:lang w:val="nl-NL"/>
        </w:rPr>
        <w:t xml:space="preserve">van artikel 16 </w:t>
      </w:r>
      <w:r w:rsidRPr="00BB7074">
        <w:rPr>
          <w:rFonts w:ascii="Verdana" w:hAnsi="Verdana"/>
          <w:sz w:val="18"/>
          <w:szCs w:val="18"/>
          <w:lang w:val="nl-NL"/>
        </w:rPr>
        <w:t xml:space="preserve">is op verzoek van Colombia opgenomen. </w:t>
      </w:r>
      <w:r w:rsidRPr="00BB7074" w:rsidR="00BA41CD">
        <w:rPr>
          <w:rFonts w:ascii="Verdana" w:hAnsi="Verdana"/>
          <w:sz w:val="18"/>
          <w:szCs w:val="18"/>
          <w:lang w:val="nl-NL"/>
        </w:rPr>
        <w:t xml:space="preserve">Door deze bepaling vallen ook de werkzaamheden van een artiest of sporter die </w:t>
      </w:r>
      <w:r w:rsidRPr="00BB7074" w:rsidR="00BA41CD">
        <w:rPr>
          <w:rFonts w:ascii="Verdana" w:hAnsi="Verdana"/>
          <w:i/>
          <w:sz w:val="18"/>
          <w:szCs w:val="18"/>
          <w:lang w:val="nl-NL"/>
        </w:rPr>
        <w:t>niet als zodanig</w:t>
      </w:r>
      <w:r w:rsidRPr="00BB7074" w:rsidR="00DD2B2C">
        <w:rPr>
          <w:rFonts w:ascii="Verdana" w:hAnsi="Verdana"/>
          <w:i/>
          <w:sz w:val="18"/>
          <w:szCs w:val="18"/>
          <w:lang w:val="nl-NL"/>
        </w:rPr>
        <w:t>,</w:t>
      </w:r>
      <w:r w:rsidRPr="00BB7074" w:rsidR="00BA41CD">
        <w:rPr>
          <w:rFonts w:ascii="Verdana" w:hAnsi="Verdana"/>
          <w:sz w:val="18"/>
          <w:szCs w:val="18"/>
          <w:lang w:val="nl-NL"/>
        </w:rPr>
        <w:t xml:space="preserve"> maar wel in het kader van zijn reputatie als artiest of sporter worden verricht</w:t>
      </w:r>
      <w:r w:rsidRPr="00BB7074" w:rsidR="00273F41">
        <w:rPr>
          <w:rFonts w:ascii="Verdana" w:hAnsi="Verdana"/>
          <w:sz w:val="18"/>
          <w:szCs w:val="18"/>
          <w:lang w:val="nl-NL"/>
        </w:rPr>
        <w:t xml:space="preserve"> ook onder de reikwijdte van artikel 16</w:t>
      </w:r>
      <w:r w:rsidRPr="00BB7074" w:rsidR="00BA41CD">
        <w:rPr>
          <w:rFonts w:ascii="Verdana" w:hAnsi="Verdana"/>
          <w:sz w:val="18"/>
          <w:szCs w:val="18"/>
          <w:lang w:val="nl-NL"/>
        </w:rPr>
        <w:t xml:space="preserve">. Het </w:t>
      </w:r>
      <w:r w:rsidRPr="00BB7074" w:rsidR="009C4B3F">
        <w:rPr>
          <w:rFonts w:ascii="Verdana" w:hAnsi="Verdana"/>
          <w:sz w:val="18"/>
          <w:szCs w:val="18"/>
          <w:lang w:val="nl-NL"/>
        </w:rPr>
        <w:t>c</w:t>
      </w:r>
      <w:r w:rsidRPr="00BB7074" w:rsidR="00BA41CD">
        <w:rPr>
          <w:rFonts w:ascii="Verdana" w:hAnsi="Verdana"/>
          <w:sz w:val="18"/>
          <w:szCs w:val="18"/>
          <w:lang w:val="nl-NL"/>
        </w:rPr>
        <w:t>ommentaar bij het OESO-</w:t>
      </w:r>
      <w:r w:rsidRPr="00BB7074" w:rsidR="00C70480">
        <w:rPr>
          <w:rFonts w:ascii="Verdana" w:hAnsi="Verdana"/>
          <w:sz w:val="18"/>
          <w:szCs w:val="18"/>
          <w:lang w:val="nl-NL"/>
        </w:rPr>
        <w:t>modelverdrag</w:t>
      </w:r>
      <w:r w:rsidRPr="00BB7074" w:rsidR="00BA41CD">
        <w:rPr>
          <w:rFonts w:ascii="Verdana" w:hAnsi="Verdana"/>
          <w:sz w:val="18"/>
          <w:szCs w:val="18"/>
          <w:lang w:val="nl-NL"/>
        </w:rPr>
        <w:t xml:space="preserve"> lijkt een andere richting te kiezen waar het </w:t>
      </w:r>
      <w:r w:rsidR="003D34B7">
        <w:rPr>
          <w:rFonts w:ascii="Verdana" w:hAnsi="Verdana"/>
          <w:sz w:val="18"/>
          <w:szCs w:val="18"/>
          <w:lang w:val="nl-NL"/>
        </w:rPr>
        <w:t>stelt</w:t>
      </w:r>
      <w:r w:rsidRPr="00BB7074" w:rsidR="003D34B7">
        <w:rPr>
          <w:rFonts w:ascii="Verdana" w:hAnsi="Verdana"/>
          <w:sz w:val="18"/>
          <w:szCs w:val="18"/>
          <w:lang w:val="nl-NL"/>
        </w:rPr>
        <w:t xml:space="preserve"> </w:t>
      </w:r>
      <w:r w:rsidRPr="00BB7074" w:rsidR="00BA41CD">
        <w:rPr>
          <w:rFonts w:ascii="Verdana" w:hAnsi="Verdana"/>
          <w:sz w:val="18"/>
          <w:szCs w:val="18"/>
          <w:lang w:val="nl-NL"/>
        </w:rPr>
        <w:t xml:space="preserve">(in </w:t>
      </w:r>
      <w:r w:rsidRPr="00BB7074" w:rsidR="00DE7CC9">
        <w:rPr>
          <w:rFonts w:ascii="Verdana" w:hAnsi="Verdana"/>
          <w:sz w:val="18"/>
          <w:szCs w:val="18"/>
          <w:lang w:val="nl-NL"/>
        </w:rPr>
        <w:t>paragraaf</w:t>
      </w:r>
      <w:r w:rsidRPr="00BB7074" w:rsidR="00BA41CD">
        <w:rPr>
          <w:rFonts w:ascii="Verdana" w:hAnsi="Verdana"/>
          <w:sz w:val="18"/>
          <w:szCs w:val="18"/>
          <w:lang w:val="nl-NL"/>
        </w:rPr>
        <w:t xml:space="preserve"> 9.1 bij artikel 17) dat een geblesseerde </w:t>
      </w:r>
      <w:r w:rsidR="003D34B7">
        <w:rPr>
          <w:rFonts w:ascii="Verdana" w:hAnsi="Verdana"/>
          <w:sz w:val="18"/>
          <w:szCs w:val="18"/>
          <w:lang w:val="nl-NL"/>
        </w:rPr>
        <w:t xml:space="preserve">of voormalige </w:t>
      </w:r>
      <w:r w:rsidRPr="00BB7074" w:rsidR="00BA41CD">
        <w:rPr>
          <w:rFonts w:ascii="Verdana" w:hAnsi="Verdana"/>
          <w:sz w:val="18"/>
          <w:szCs w:val="18"/>
          <w:lang w:val="nl-NL"/>
        </w:rPr>
        <w:t xml:space="preserve">sporter die </w:t>
      </w:r>
      <w:r w:rsidR="003D34B7">
        <w:rPr>
          <w:rFonts w:ascii="Verdana" w:hAnsi="Verdana"/>
          <w:sz w:val="18"/>
          <w:szCs w:val="18"/>
          <w:lang w:val="nl-NL"/>
        </w:rPr>
        <w:t xml:space="preserve">optreedt als sportcommentator </w:t>
      </w:r>
      <w:r w:rsidRPr="00BB7074" w:rsidR="00BA41CD">
        <w:rPr>
          <w:rFonts w:ascii="Verdana" w:hAnsi="Verdana"/>
          <w:sz w:val="18"/>
          <w:szCs w:val="18"/>
          <w:lang w:val="nl-NL"/>
        </w:rPr>
        <w:t>niet onder dit artikel valt. In het kader van een totaalcompromis heeft de Nederlandse delegatie hiermee ingestemd. Ook is ingestemd met de Colombiaanse voorkeur om geen drempelbedrag op te nemen</w:t>
      </w:r>
      <w:r w:rsidRPr="00BB7074" w:rsidR="004A7178">
        <w:rPr>
          <w:rFonts w:ascii="Verdana" w:hAnsi="Verdana"/>
          <w:sz w:val="18"/>
          <w:szCs w:val="18"/>
          <w:lang w:val="nl-NL"/>
        </w:rPr>
        <w:t>,</w:t>
      </w:r>
      <w:r w:rsidRPr="00BB7074" w:rsidR="00BA41CD">
        <w:rPr>
          <w:rFonts w:ascii="Verdana" w:hAnsi="Verdana"/>
          <w:sz w:val="18"/>
          <w:szCs w:val="18"/>
          <w:lang w:val="nl-NL"/>
        </w:rPr>
        <w:t xml:space="preserve"> </w:t>
      </w:r>
      <w:r w:rsidRPr="00BB7074" w:rsidR="005925C3">
        <w:rPr>
          <w:rFonts w:ascii="Verdana" w:hAnsi="Verdana"/>
          <w:sz w:val="18"/>
          <w:szCs w:val="18"/>
          <w:lang w:val="nl-NL"/>
        </w:rPr>
        <w:t>m</w:t>
      </w:r>
      <w:r w:rsidRPr="00BB7074" w:rsidR="004A7178">
        <w:rPr>
          <w:rFonts w:ascii="Verdana" w:hAnsi="Verdana"/>
          <w:sz w:val="18"/>
          <w:szCs w:val="18"/>
          <w:lang w:val="nl-NL"/>
        </w:rPr>
        <w:t>ede o</w:t>
      </w:r>
      <w:r w:rsidRPr="00BB7074" w:rsidR="00BA41CD">
        <w:rPr>
          <w:rFonts w:ascii="Verdana" w:hAnsi="Verdana"/>
          <w:sz w:val="18"/>
          <w:szCs w:val="18"/>
          <w:lang w:val="nl-NL"/>
        </w:rPr>
        <w:t xml:space="preserve">mdat deze bepaling </w:t>
      </w:r>
      <w:r w:rsidRPr="00BB7074" w:rsidR="004A7178">
        <w:rPr>
          <w:rFonts w:ascii="Verdana" w:hAnsi="Verdana"/>
          <w:sz w:val="18"/>
          <w:szCs w:val="18"/>
          <w:lang w:val="nl-NL"/>
        </w:rPr>
        <w:t xml:space="preserve">veelal </w:t>
      </w:r>
      <w:r w:rsidRPr="00BB7074" w:rsidR="00BA41CD">
        <w:rPr>
          <w:rFonts w:ascii="Verdana" w:hAnsi="Verdana"/>
          <w:sz w:val="18"/>
          <w:szCs w:val="18"/>
          <w:lang w:val="nl-NL"/>
        </w:rPr>
        <w:t>relevant</w:t>
      </w:r>
      <w:r w:rsidRPr="00BB7074" w:rsidR="004A7178">
        <w:rPr>
          <w:rFonts w:ascii="Verdana" w:hAnsi="Verdana"/>
          <w:sz w:val="18"/>
          <w:szCs w:val="18"/>
          <w:lang w:val="nl-NL"/>
        </w:rPr>
        <w:t>er</w:t>
      </w:r>
      <w:r w:rsidRPr="00BB7074" w:rsidR="00BA41CD">
        <w:rPr>
          <w:rFonts w:ascii="Verdana" w:hAnsi="Verdana"/>
          <w:sz w:val="18"/>
          <w:szCs w:val="18"/>
          <w:lang w:val="nl-NL"/>
        </w:rPr>
        <w:t xml:space="preserve"> </w:t>
      </w:r>
      <w:r w:rsidRPr="00BB7074" w:rsidR="004A7178">
        <w:rPr>
          <w:rFonts w:ascii="Verdana" w:hAnsi="Verdana"/>
          <w:sz w:val="18"/>
          <w:szCs w:val="18"/>
          <w:lang w:val="nl-NL"/>
        </w:rPr>
        <w:t xml:space="preserve">is </w:t>
      </w:r>
      <w:r w:rsidRPr="00BB7074" w:rsidR="00BA41CD">
        <w:rPr>
          <w:rFonts w:ascii="Verdana" w:hAnsi="Verdana"/>
          <w:sz w:val="18"/>
          <w:szCs w:val="18"/>
          <w:lang w:val="nl-NL"/>
        </w:rPr>
        <w:t xml:space="preserve">in relatie met landen dichterbij Nederland. </w:t>
      </w:r>
    </w:p>
    <w:p w:rsidRPr="00BB7074" w:rsidR="00BA41CD" w:rsidP="00327403" w:rsidRDefault="00BA41CD" w14:paraId="1635CD3F" w14:textId="498F51D8">
      <w:pPr>
        <w:rPr>
          <w:rFonts w:ascii="Verdana" w:hAnsi="Verdana"/>
          <w:sz w:val="18"/>
          <w:szCs w:val="18"/>
          <w:lang w:val="nl-NL"/>
        </w:rPr>
      </w:pPr>
      <w:r w:rsidRPr="00BB7074">
        <w:rPr>
          <w:rFonts w:ascii="Verdana" w:hAnsi="Verdana"/>
          <w:sz w:val="18"/>
          <w:szCs w:val="18"/>
          <w:lang w:val="nl-NL"/>
        </w:rPr>
        <w:t>In het tweede lid is zoals gebruikelijk opgenomen dat de bepaling ook geldt wanneer de vergoeding niet aan de individuele sporter of artiest wordt uitbetaald maar aan een ander. Dit is vooral relevant voor gevallen waarin een persoonlijke vennootschap wordt gebruikt of wanneer een gezelschap optreedt.</w:t>
      </w:r>
    </w:p>
    <w:p w:rsidRPr="00BB7074" w:rsidR="00414891" w:rsidP="00B603B8" w:rsidRDefault="00936DF5" w14:paraId="09072333" w14:textId="60BC2AB7">
      <w:pPr>
        <w:pStyle w:val="Heading2"/>
        <w:rPr>
          <w:lang w:val="nl-NL"/>
        </w:rPr>
      </w:pPr>
      <w:r w:rsidRPr="00BB7074">
        <w:rPr>
          <w:lang w:val="nl-NL"/>
        </w:rPr>
        <w:t xml:space="preserve">II.17. </w:t>
      </w:r>
      <w:r w:rsidRPr="00BB7074" w:rsidR="00414891">
        <w:rPr>
          <w:lang w:val="nl-NL"/>
        </w:rPr>
        <w:t>Pensioenen</w:t>
      </w:r>
      <w:r w:rsidR="009E38C9">
        <w:rPr>
          <w:lang w:val="nl-NL"/>
        </w:rPr>
        <w:t>,</w:t>
      </w:r>
      <w:r w:rsidRPr="003A025B" w:rsidR="009E38C9">
        <w:rPr>
          <w:lang w:val="nl-NL"/>
        </w:rPr>
        <w:t xml:space="preserve"> </w:t>
      </w:r>
      <w:r w:rsidRPr="009E38C9" w:rsidR="009E38C9">
        <w:rPr>
          <w:lang w:val="nl-NL"/>
        </w:rPr>
        <w:t>lijfrenten en socialezekerheidsuitkeringen</w:t>
      </w:r>
      <w:r w:rsidR="00A9054D">
        <w:rPr>
          <w:lang w:val="nl-NL"/>
        </w:rPr>
        <w:t xml:space="preserve"> (artikel 17 van het Verdrag)</w:t>
      </w:r>
    </w:p>
    <w:p w:rsidRPr="00BB7074" w:rsidR="004E764F" w:rsidP="004E764F" w:rsidRDefault="004E764F" w14:paraId="0F01528E" w14:textId="74CB88F7">
      <w:pPr>
        <w:rPr>
          <w:rFonts w:ascii="Verdana" w:hAnsi="Verdana"/>
          <w:sz w:val="18"/>
          <w:szCs w:val="18"/>
          <w:lang w:val="nl-NL"/>
        </w:rPr>
      </w:pPr>
      <w:r w:rsidRPr="00BB7074">
        <w:rPr>
          <w:rFonts w:ascii="Verdana" w:hAnsi="Verdana"/>
          <w:sz w:val="18"/>
          <w:szCs w:val="18"/>
          <w:lang w:val="nl-NL"/>
        </w:rPr>
        <w:t xml:space="preserve">Artikel 17 </w:t>
      </w:r>
      <w:r w:rsidRPr="00BB7074" w:rsidR="00EA7877">
        <w:rPr>
          <w:rFonts w:ascii="Verdana" w:hAnsi="Verdana"/>
          <w:sz w:val="18"/>
          <w:szCs w:val="18"/>
          <w:lang w:val="nl-NL"/>
        </w:rPr>
        <w:t xml:space="preserve">van het Verdrag </w:t>
      </w:r>
      <w:r w:rsidRPr="00BB7074">
        <w:rPr>
          <w:rFonts w:ascii="Verdana" w:hAnsi="Verdana"/>
          <w:sz w:val="18"/>
          <w:szCs w:val="18"/>
          <w:lang w:val="nl-NL"/>
        </w:rPr>
        <w:t xml:space="preserve">ziet op het heffingsrecht over pensioenen, lijfrenten en socialezekerheidsuitkeringen. De bepaling sluit aan bij het Nederlandse verdragsbeleid en bevat, in afwijking van het </w:t>
      </w:r>
      <w:r w:rsidRPr="00BB7074" w:rsidR="00DE7CC9">
        <w:rPr>
          <w:rFonts w:ascii="Verdana" w:hAnsi="Verdana"/>
          <w:sz w:val="18"/>
          <w:szCs w:val="18"/>
          <w:lang w:val="nl-NL"/>
        </w:rPr>
        <w:t>OESO-modelverdrag</w:t>
      </w:r>
      <w:r w:rsidRPr="00BB7074">
        <w:rPr>
          <w:rFonts w:ascii="Verdana" w:hAnsi="Verdana"/>
          <w:sz w:val="18"/>
          <w:szCs w:val="18"/>
          <w:lang w:val="nl-NL"/>
        </w:rPr>
        <w:t>, een bron</w:t>
      </w:r>
      <w:r w:rsidRPr="00BB7074" w:rsidR="008B5BF7">
        <w:rPr>
          <w:rFonts w:ascii="Verdana" w:hAnsi="Verdana"/>
          <w:sz w:val="18"/>
          <w:szCs w:val="18"/>
          <w:lang w:val="nl-NL"/>
        </w:rPr>
        <w:t>staat</w:t>
      </w:r>
      <w:r w:rsidRPr="00BB7074">
        <w:rPr>
          <w:rFonts w:ascii="Verdana" w:hAnsi="Verdana"/>
          <w:sz w:val="18"/>
          <w:szCs w:val="18"/>
          <w:lang w:val="nl-NL"/>
        </w:rPr>
        <w:t>heffing voor fiscaal gefacilieerd opgebouwde pensioenen, andere soortgelijke beloningen en lijfrenten, inclusief afkoopsommen daarvan. Ook voor socialezekerheidsuitkeringen is een bron</w:t>
      </w:r>
      <w:r w:rsidRPr="00BB7074" w:rsidR="008B5BF7">
        <w:rPr>
          <w:rFonts w:ascii="Verdana" w:hAnsi="Verdana"/>
          <w:sz w:val="18"/>
          <w:szCs w:val="18"/>
          <w:lang w:val="nl-NL"/>
        </w:rPr>
        <w:t>staat</w:t>
      </w:r>
      <w:r w:rsidRPr="00BB7074">
        <w:rPr>
          <w:rFonts w:ascii="Verdana" w:hAnsi="Verdana"/>
          <w:sz w:val="18"/>
          <w:szCs w:val="18"/>
          <w:lang w:val="nl-NL"/>
        </w:rPr>
        <w:t xml:space="preserve">heffing opgenomen. Voorts </w:t>
      </w:r>
      <w:r w:rsidRPr="00BB7074" w:rsidR="00EA7877">
        <w:rPr>
          <w:rFonts w:ascii="Verdana" w:hAnsi="Verdana"/>
          <w:sz w:val="18"/>
          <w:szCs w:val="18"/>
          <w:lang w:val="nl-NL"/>
        </w:rPr>
        <w:t xml:space="preserve">wordt </w:t>
      </w:r>
      <w:r w:rsidRPr="00BB7074">
        <w:rPr>
          <w:rFonts w:ascii="Verdana" w:hAnsi="Verdana"/>
          <w:sz w:val="18"/>
          <w:szCs w:val="18"/>
          <w:lang w:val="nl-NL"/>
        </w:rPr>
        <w:t xml:space="preserve">opgemerkt dat, in afwijking van het OESO-modelverdrag, de onderhavige bepaling zowel betrekking heeft op pensioenen die zijn opgebouwd in de particuliere sector als op pensioenen die zijn opgebouwd in overheidsfuncties. Met de in artikel </w:t>
      </w:r>
      <w:r w:rsidRPr="00BB7074" w:rsidR="004A7178">
        <w:rPr>
          <w:rFonts w:ascii="Verdana" w:hAnsi="Verdana"/>
          <w:sz w:val="18"/>
          <w:szCs w:val="18"/>
          <w:lang w:val="nl-NL"/>
        </w:rPr>
        <w:t xml:space="preserve">17 </w:t>
      </w:r>
      <w:r w:rsidRPr="00BB7074">
        <w:rPr>
          <w:rFonts w:ascii="Verdana" w:hAnsi="Verdana"/>
          <w:sz w:val="18"/>
          <w:szCs w:val="18"/>
          <w:lang w:val="nl-NL"/>
        </w:rPr>
        <w:t>overeengekomen bron</w:t>
      </w:r>
      <w:r w:rsidRPr="00BB7074" w:rsidR="008B5BF7">
        <w:rPr>
          <w:rFonts w:ascii="Verdana" w:hAnsi="Verdana"/>
          <w:sz w:val="18"/>
          <w:szCs w:val="18"/>
          <w:lang w:val="nl-NL"/>
        </w:rPr>
        <w:t>staat</w:t>
      </w:r>
      <w:r w:rsidRPr="00BB7074">
        <w:rPr>
          <w:rFonts w:ascii="Verdana" w:hAnsi="Verdana"/>
          <w:sz w:val="18"/>
          <w:szCs w:val="18"/>
          <w:lang w:val="nl-NL"/>
        </w:rPr>
        <w:t xml:space="preserve">heffing wordt gewaarborgd dat uitkeringen uit een in Nederland fiscaal gefacilieerd opgebouwd pensioen (of </w:t>
      </w:r>
      <w:r w:rsidRPr="00BB7074" w:rsidR="00EA7877">
        <w:rPr>
          <w:rFonts w:ascii="Verdana" w:hAnsi="Verdana"/>
          <w:sz w:val="18"/>
          <w:szCs w:val="18"/>
          <w:lang w:val="nl-NL"/>
        </w:rPr>
        <w:t xml:space="preserve">in Nederland fiscaal gefacilieerd opgebouwde </w:t>
      </w:r>
      <w:r w:rsidRPr="00BB7074">
        <w:rPr>
          <w:rFonts w:ascii="Verdana" w:hAnsi="Verdana"/>
          <w:sz w:val="18"/>
          <w:szCs w:val="18"/>
          <w:lang w:val="nl-NL"/>
        </w:rPr>
        <w:t xml:space="preserve">lijfrente) aan een inwoner van </w:t>
      </w:r>
      <w:r w:rsidRPr="00BB7074" w:rsidR="00C24752">
        <w:rPr>
          <w:rFonts w:ascii="Verdana" w:hAnsi="Verdana"/>
          <w:sz w:val="18"/>
          <w:szCs w:val="18"/>
          <w:lang w:val="nl-NL"/>
        </w:rPr>
        <w:t>Colombia</w:t>
      </w:r>
      <w:r w:rsidRPr="00BB7074">
        <w:rPr>
          <w:rFonts w:ascii="Verdana" w:hAnsi="Verdana"/>
          <w:sz w:val="18"/>
          <w:szCs w:val="18"/>
          <w:lang w:val="nl-NL"/>
        </w:rPr>
        <w:t xml:space="preserve"> in Nederland kunnen worden belast en </w:t>
      </w:r>
      <w:proofErr w:type="spellStart"/>
      <w:r w:rsidRPr="00BB7074">
        <w:rPr>
          <w:rFonts w:ascii="Verdana" w:hAnsi="Verdana"/>
          <w:sz w:val="18"/>
          <w:szCs w:val="18"/>
          <w:lang w:val="nl-NL"/>
        </w:rPr>
        <w:t>vice</w:t>
      </w:r>
      <w:proofErr w:type="spellEnd"/>
      <w:r w:rsidRPr="00BB7074">
        <w:rPr>
          <w:rFonts w:ascii="Verdana" w:hAnsi="Verdana"/>
          <w:sz w:val="18"/>
          <w:szCs w:val="18"/>
          <w:lang w:val="nl-NL"/>
        </w:rPr>
        <w:t xml:space="preserve"> versa.</w:t>
      </w:r>
    </w:p>
    <w:p w:rsidRPr="00BB7074" w:rsidR="004E764F" w:rsidP="004E764F" w:rsidRDefault="004E764F" w14:paraId="700C1631" w14:textId="57DA17F1">
      <w:pPr>
        <w:rPr>
          <w:rFonts w:ascii="Verdana" w:hAnsi="Verdana"/>
          <w:sz w:val="18"/>
          <w:szCs w:val="18"/>
          <w:lang w:val="nl-NL"/>
        </w:rPr>
      </w:pPr>
      <w:r w:rsidRPr="00BB7074">
        <w:rPr>
          <w:rFonts w:ascii="Verdana" w:hAnsi="Verdana"/>
          <w:sz w:val="18"/>
          <w:szCs w:val="18"/>
          <w:lang w:val="nl-NL"/>
        </w:rPr>
        <w:t>In het eerste lid is het heffingsrecht opgenomen voor de bron</w:t>
      </w:r>
      <w:r w:rsidRPr="00BB7074" w:rsidR="008B5BF7">
        <w:rPr>
          <w:rFonts w:ascii="Verdana" w:hAnsi="Verdana"/>
          <w:sz w:val="18"/>
          <w:szCs w:val="18"/>
          <w:lang w:val="nl-NL"/>
        </w:rPr>
        <w:t>staat</w:t>
      </w:r>
      <w:r w:rsidRPr="00BB7074">
        <w:rPr>
          <w:rFonts w:ascii="Verdana" w:hAnsi="Verdana"/>
          <w:sz w:val="18"/>
          <w:szCs w:val="18"/>
          <w:lang w:val="nl-NL"/>
        </w:rPr>
        <w:t xml:space="preserve"> over pensioenen, andere</w:t>
      </w:r>
      <w:r w:rsidRPr="00BB7074" w:rsidR="00C24752">
        <w:rPr>
          <w:rFonts w:ascii="Verdana" w:hAnsi="Verdana"/>
          <w:sz w:val="18"/>
          <w:szCs w:val="18"/>
          <w:lang w:val="nl-NL"/>
        </w:rPr>
        <w:t xml:space="preserve"> </w:t>
      </w:r>
      <w:r w:rsidRPr="00BB7074">
        <w:rPr>
          <w:rFonts w:ascii="Verdana" w:hAnsi="Verdana"/>
          <w:sz w:val="18"/>
          <w:szCs w:val="18"/>
          <w:lang w:val="nl-NL"/>
        </w:rPr>
        <w:t xml:space="preserve">soortgelijke beloningen en lijfrenten, die worden betaald aan een inwoner van de andere </w:t>
      </w:r>
      <w:r w:rsidRPr="00BB7074" w:rsidR="002C482E">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Pr>
          <w:rFonts w:ascii="Verdana" w:hAnsi="Verdana"/>
          <w:sz w:val="18"/>
          <w:szCs w:val="18"/>
          <w:lang w:val="nl-NL"/>
        </w:rPr>
        <w:t>.</w:t>
      </w:r>
    </w:p>
    <w:p w:rsidRPr="00BB7074" w:rsidR="004E764F" w:rsidP="004E764F" w:rsidRDefault="004E764F" w14:paraId="36F05385" w14:textId="560F2B56">
      <w:pPr>
        <w:rPr>
          <w:rFonts w:ascii="Verdana" w:hAnsi="Verdana"/>
          <w:sz w:val="18"/>
          <w:szCs w:val="18"/>
          <w:lang w:val="nl-NL"/>
        </w:rPr>
      </w:pPr>
      <w:r w:rsidRPr="00BB7074">
        <w:rPr>
          <w:rFonts w:ascii="Verdana" w:hAnsi="Verdana"/>
          <w:sz w:val="18"/>
          <w:szCs w:val="18"/>
          <w:lang w:val="nl-NL"/>
        </w:rPr>
        <w:t xml:space="preserve">Ingevolge het tweede lid heeft een </w:t>
      </w:r>
      <w:r w:rsidRPr="00BB7074" w:rsidR="00CE22CA">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een uitsluitend heffingsrecht ter zake van uitkeringen</w:t>
      </w:r>
      <w:r w:rsidRPr="00BB7074" w:rsidR="00C24752">
        <w:rPr>
          <w:rFonts w:ascii="Verdana" w:hAnsi="Verdana"/>
          <w:sz w:val="18"/>
          <w:szCs w:val="18"/>
          <w:lang w:val="nl-NL"/>
        </w:rPr>
        <w:t xml:space="preserve"> </w:t>
      </w:r>
      <w:r w:rsidRPr="00BB7074">
        <w:rPr>
          <w:rFonts w:ascii="Verdana" w:hAnsi="Verdana"/>
          <w:sz w:val="18"/>
          <w:szCs w:val="18"/>
          <w:lang w:val="nl-NL"/>
        </w:rPr>
        <w:t xml:space="preserve">die onder de socialezekerheidswetgeving van die </w:t>
      </w:r>
      <w:r w:rsidRPr="00BB7074" w:rsidR="008B5BF7">
        <w:rPr>
          <w:rFonts w:ascii="Verdana" w:hAnsi="Verdana"/>
          <w:sz w:val="18"/>
          <w:szCs w:val="18"/>
          <w:lang w:val="nl-NL"/>
        </w:rPr>
        <w:t>staat</w:t>
      </w:r>
      <w:r w:rsidRPr="00BB7074">
        <w:rPr>
          <w:rFonts w:ascii="Verdana" w:hAnsi="Verdana"/>
          <w:sz w:val="18"/>
          <w:szCs w:val="18"/>
          <w:lang w:val="nl-NL"/>
        </w:rPr>
        <w:t xml:space="preserve"> worden betaald aan een inwoner van</w:t>
      </w:r>
      <w:r w:rsidRPr="00BB7074" w:rsidR="00C24752">
        <w:rPr>
          <w:rFonts w:ascii="Verdana" w:hAnsi="Verdana"/>
          <w:sz w:val="18"/>
          <w:szCs w:val="18"/>
          <w:lang w:val="nl-NL"/>
        </w:rPr>
        <w:t xml:space="preserve"> </w:t>
      </w:r>
      <w:r w:rsidRPr="00BB7074">
        <w:rPr>
          <w:rFonts w:ascii="Verdana" w:hAnsi="Verdana"/>
          <w:sz w:val="18"/>
          <w:szCs w:val="18"/>
          <w:lang w:val="nl-NL"/>
        </w:rPr>
        <w:t>de</w:t>
      </w:r>
      <w:r w:rsidRPr="00BB7074" w:rsidR="00C24752">
        <w:rPr>
          <w:rFonts w:ascii="Verdana" w:hAnsi="Verdana"/>
          <w:sz w:val="18"/>
          <w:szCs w:val="18"/>
          <w:lang w:val="nl-NL"/>
        </w:rPr>
        <w:t xml:space="preserve"> </w:t>
      </w:r>
      <w:r w:rsidRPr="00BB7074">
        <w:rPr>
          <w:rFonts w:ascii="Verdana" w:hAnsi="Verdana"/>
          <w:sz w:val="18"/>
          <w:szCs w:val="18"/>
          <w:lang w:val="nl-NL"/>
        </w:rPr>
        <w:t xml:space="preserve">andere </w:t>
      </w:r>
      <w:r w:rsidRPr="00BB7074" w:rsidR="00CE22CA">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Pr>
          <w:rFonts w:ascii="Verdana" w:hAnsi="Verdana"/>
          <w:sz w:val="18"/>
          <w:szCs w:val="18"/>
          <w:lang w:val="nl-NL"/>
        </w:rPr>
        <w:t>.</w:t>
      </w:r>
    </w:p>
    <w:p w:rsidRPr="00BB7074" w:rsidR="00C24752" w:rsidP="004E764F" w:rsidRDefault="004E764F" w14:paraId="14CE6CE4" w14:textId="361FF91B">
      <w:pPr>
        <w:rPr>
          <w:rFonts w:ascii="Verdana" w:hAnsi="Verdana"/>
          <w:sz w:val="18"/>
          <w:szCs w:val="18"/>
          <w:lang w:val="nl-NL"/>
        </w:rPr>
      </w:pPr>
      <w:r w:rsidRPr="00BB7074">
        <w:rPr>
          <w:rFonts w:ascii="Verdana" w:hAnsi="Verdana"/>
          <w:sz w:val="18"/>
          <w:szCs w:val="18"/>
          <w:lang w:val="nl-NL"/>
        </w:rPr>
        <w:t xml:space="preserve">Het derde lid regelt wanneer een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kan worden aangemerkt als de</w:t>
      </w:r>
      <w:r w:rsidRPr="00BB7074" w:rsidR="00C24752">
        <w:rPr>
          <w:rFonts w:ascii="Verdana" w:hAnsi="Verdana"/>
          <w:sz w:val="18"/>
          <w:szCs w:val="18"/>
          <w:lang w:val="nl-NL"/>
        </w:rPr>
        <w:t xml:space="preserve"> </w:t>
      </w:r>
      <w:r w:rsidRPr="00BB7074">
        <w:rPr>
          <w:rFonts w:ascii="Verdana" w:hAnsi="Verdana"/>
          <w:sz w:val="18"/>
          <w:szCs w:val="18"/>
          <w:lang w:val="nl-NL"/>
        </w:rPr>
        <w:t>bron</w:t>
      </w:r>
      <w:r w:rsidRPr="00BB7074" w:rsidR="008B5BF7">
        <w:rPr>
          <w:rFonts w:ascii="Verdana" w:hAnsi="Verdana"/>
          <w:sz w:val="18"/>
          <w:szCs w:val="18"/>
          <w:lang w:val="nl-NL"/>
        </w:rPr>
        <w:t>staat</w:t>
      </w:r>
      <w:r w:rsidRPr="00BB7074">
        <w:rPr>
          <w:rFonts w:ascii="Verdana" w:hAnsi="Verdana"/>
          <w:sz w:val="18"/>
          <w:szCs w:val="18"/>
          <w:lang w:val="nl-NL"/>
        </w:rPr>
        <w:t xml:space="preserve"> van een pensioen, andere soortgelijke uitkering of lijfrente</w:t>
      </w:r>
      <w:r w:rsidRPr="00BB7074" w:rsidR="005925C3">
        <w:rPr>
          <w:rFonts w:ascii="Verdana" w:hAnsi="Verdana"/>
          <w:sz w:val="18"/>
          <w:szCs w:val="18"/>
          <w:lang w:val="nl-NL"/>
        </w:rPr>
        <w:t xml:space="preserve"> (de zogenoemde </w:t>
      </w:r>
      <w:proofErr w:type="spellStart"/>
      <w:r w:rsidRPr="00BB7074" w:rsidR="005925C3">
        <w:rPr>
          <w:rFonts w:ascii="Verdana" w:hAnsi="Verdana"/>
          <w:sz w:val="18"/>
          <w:szCs w:val="18"/>
          <w:lang w:val="nl-NL"/>
        </w:rPr>
        <w:t>sourcing-rule</w:t>
      </w:r>
      <w:proofErr w:type="spellEnd"/>
      <w:r w:rsidRPr="00BB7074" w:rsidR="005925C3">
        <w:rPr>
          <w:rFonts w:ascii="Verdana" w:hAnsi="Verdana"/>
          <w:sz w:val="18"/>
          <w:szCs w:val="18"/>
          <w:lang w:val="nl-NL"/>
        </w:rPr>
        <w:t>)</w:t>
      </w:r>
      <w:r w:rsidRPr="00BB7074">
        <w:rPr>
          <w:rFonts w:ascii="Verdana" w:hAnsi="Verdana"/>
          <w:sz w:val="18"/>
          <w:szCs w:val="18"/>
          <w:lang w:val="nl-NL"/>
        </w:rPr>
        <w:t>. Dit is het geval voor zover de</w:t>
      </w:r>
      <w:r w:rsidRPr="00BB7074" w:rsidR="00C24752">
        <w:rPr>
          <w:rFonts w:ascii="Verdana" w:hAnsi="Verdana"/>
          <w:sz w:val="18"/>
          <w:szCs w:val="18"/>
          <w:lang w:val="nl-NL"/>
        </w:rPr>
        <w:t xml:space="preserve"> </w:t>
      </w:r>
      <w:r w:rsidRPr="00BB7074">
        <w:rPr>
          <w:rFonts w:ascii="Verdana" w:hAnsi="Verdana"/>
          <w:sz w:val="18"/>
          <w:szCs w:val="18"/>
          <w:lang w:val="nl-NL"/>
        </w:rPr>
        <w:t>daarvoor betaalde premies, dan wel de aanspraken op pensioenen, andere soortgelijke beloningen en</w:t>
      </w:r>
      <w:r w:rsidRPr="00BB7074" w:rsidR="00C24752">
        <w:rPr>
          <w:rFonts w:ascii="Verdana" w:hAnsi="Verdana"/>
          <w:sz w:val="18"/>
          <w:szCs w:val="18"/>
          <w:lang w:val="nl-NL"/>
        </w:rPr>
        <w:t xml:space="preserve"> </w:t>
      </w:r>
      <w:r w:rsidRPr="00BB7074">
        <w:rPr>
          <w:rFonts w:ascii="Verdana" w:hAnsi="Verdana"/>
          <w:sz w:val="18"/>
          <w:szCs w:val="18"/>
          <w:lang w:val="nl-NL"/>
        </w:rPr>
        <w:t xml:space="preserve">lijfrenten, in die </w:t>
      </w:r>
      <w:r w:rsidRPr="00BB7074" w:rsidR="008B5BF7">
        <w:rPr>
          <w:rFonts w:ascii="Verdana" w:hAnsi="Verdana"/>
          <w:sz w:val="18"/>
          <w:szCs w:val="18"/>
          <w:lang w:val="nl-NL"/>
        </w:rPr>
        <w:t>staat</w:t>
      </w:r>
      <w:r w:rsidRPr="00BB7074">
        <w:rPr>
          <w:rFonts w:ascii="Verdana" w:hAnsi="Verdana"/>
          <w:sz w:val="18"/>
          <w:szCs w:val="18"/>
          <w:lang w:val="nl-NL"/>
        </w:rPr>
        <w:t xml:space="preserve"> in aanmerking zijn gekomen voor fiscale tegemoetkoming. </w:t>
      </w:r>
      <w:r w:rsidRPr="00BB7074" w:rsidR="00C24752">
        <w:rPr>
          <w:rFonts w:ascii="Verdana" w:hAnsi="Verdana"/>
          <w:sz w:val="18"/>
          <w:szCs w:val="18"/>
          <w:lang w:val="nl-NL"/>
        </w:rPr>
        <w:t xml:space="preserve">Op verzoek van Colombia worden </w:t>
      </w:r>
      <w:r w:rsidRPr="00BB7074" w:rsidR="00552604">
        <w:rPr>
          <w:rFonts w:ascii="Verdana" w:hAnsi="Verdana"/>
          <w:sz w:val="18"/>
          <w:szCs w:val="18"/>
          <w:lang w:val="nl-NL"/>
        </w:rPr>
        <w:t>zelfstandigen ook genoemd</w:t>
      </w:r>
      <w:r w:rsidRPr="00BB7074" w:rsidR="006558A1">
        <w:rPr>
          <w:rFonts w:ascii="Verdana" w:hAnsi="Verdana"/>
          <w:sz w:val="18"/>
          <w:szCs w:val="18"/>
          <w:lang w:val="nl-NL"/>
        </w:rPr>
        <w:t>, zodat de bepaling ook ziet op (aftrekbare) pensioenpremiebetalingen gedaan door zelfstandigen.</w:t>
      </w:r>
    </w:p>
    <w:p w:rsidRPr="00BB7074" w:rsidR="004E764F" w:rsidP="004E764F" w:rsidRDefault="00C24752" w14:paraId="04CA0EC3" w14:textId="2DC510D6">
      <w:pPr>
        <w:rPr>
          <w:rFonts w:ascii="Verdana" w:hAnsi="Verdana"/>
          <w:sz w:val="18"/>
          <w:szCs w:val="18"/>
          <w:lang w:val="nl-NL"/>
        </w:rPr>
      </w:pPr>
      <w:r w:rsidRPr="00BB7074">
        <w:rPr>
          <w:rFonts w:ascii="Verdana" w:hAnsi="Verdana"/>
          <w:sz w:val="18"/>
          <w:szCs w:val="18"/>
          <w:lang w:val="nl-NL"/>
        </w:rPr>
        <w:t>Het vierde lid bepaalt t</w:t>
      </w:r>
      <w:r w:rsidRPr="00BB7074" w:rsidR="004E764F">
        <w:rPr>
          <w:rFonts w:ascii="Verdana" w:hAnsi="Verdana"/>
          <w:sz w:val="18"/>
          <w:szCs w:val="18"/>
          <w:lang w:val="nl-NL"/>
        </w:rPr>
        <w:t>er</w:t>
      </w:r>
      <w:r w:rsidRPr="00BB7074">
        <w:rPr>
          <w:rFonts w:ascii="Verdana" w:hAnsi="Verdana"/>
          <w:sz w:val="18"/>
          <w:szCs w:val="18"/>
          <w:lang w:val="nl-NL"/>
        </w:rPr>
        <w:t xml:space="preserve"> </w:t>
      </w:r>
      <w:r w:rsidRPr="00BB7074" w:rsidR="004E764F">
        <w:rPr>
          <w:rFonts w:ascii="Verdana" w:hAnsi="Verdana"/>
          <w:sz w:val="18"/>
          <w:szCs w:val="18"/>
          <w:lang w:val="nl-NL"/>
        </w:rPr>
        <w:t>verduidelijking dat de overdracht van een pensioen, andere soortgelijke uitkering of</w:t>
      </w:r>
      <w:r w:rsidRPr="00BB7074">
        <w:rPr>
          <w:rFonts w:ascii="Verdana" w:hAnsi="Verdana"/>
          <w:sz w:val="18"/>
          <w:szCs w:val="18"/>
          <w:lang w:val="nl-NL"/>
        </w:rPr>
        <w:t xml:space="preserve"> </w:t>
      </w:r>
      <w:r w:rsidRPr="00BB7074" w:rsidR="004E764F">
        <w:rPr>
          <w:rFonts w:ascii="Verdana" w:hAnsi="Verdana"/>
          <w:sz w:val="18"/>
          <w:szCs w:val="18"/>
          <w:lang w:val="nl-NL"/>
        </w:rPr>
        <w:t xml:space="preserve">lijfrente van een pensioenfonds of een verzekeringsmaatschappij van een verdragsluitende </w:t>
      </w:r>
      <w:r w:rsidRPr="00BB7074" w:rsidR="008B5BF7">
        <w:rPr>
          <w:rFonts w:ascii="Verdana" w:hAnsi="Verdana"/>
          <w:sz w:val="18"/>
          <w:szCs w:val="18"/>
          <w:lang w:val="nl-NL"/>
        </w:rPr>
        <w:t>staat</w:t>
      </w:r>
      <w:r w:rsidRPr="00BB7074" w:rsidR="004E764F">
        <w:rPr>
          <w:rFonts w:ascii="Verdana" w:hAnsi="Verdana"/>
          <w:sz w:val="18"/>
          <w:szCs w:val="18"/>
          <w:lang w:val="nl-NL"/>
        </w:rPr>
        <w:t xml:space="preserve"> naar</w:t>
      </w:r>
      <w:r w:rsidRPr="00BB7074">
        <w:rPr>
          <w:rFonts w:ascii="Verdana" w:hAnsi="Verdana"/>
          <w:sz w:val="18"/>
          <w:szCs w:val="18"/>
          <w:lang w:val="nl-NL"/>
        </w:rPr>
        <w:t xml:space="preserve"> </w:t>
      </w:r>
      <w:r w:rsidRPr="00BB7074" w:rsidR="004E764F">
        <w:rPr>
          <w:rFonts w:ascii="Verdana" w:hAnsi="Verdana"/>
          <w:sz w:val="18"/>
          <w:szCs w:val="18"/>
          <w:lang w:val="nl-NL"/>
        </w:rPr>
        <w:t xml:space="preserve">een pensioenfonds of een verzekeringsmaatschappij in enige andere </w:t>
      </w:r>
      <w:r w:rsidRPr="00BB7074" w:rsidR="008B5BF7">
        <w:rPr>
          <w:rFonts w:ascii="Verdana" w:hAnsi="Verdana"/>
          <w:sz w:val="18"/>
          <w:szCs w:val="18"/>
          <w:lang w:val="nl-NL"/>
        </w:rPr>
        <w:t>staat</w:t>
      </w:r>
      <w:r w:rsidRPr="00BB7074" w:rsidR="004E764F">
        <w:rPr>
          <w:rFonts w:ascii="Verdana" w:hAnsi="Verdana"/>
          <w:sz w:val="18"/>
          <w:szCs w:val="18"/>
          <w:lang w:val="nl-NL"/>
        </w:rPr>
        <w:t>, het heffingsrecht van de</w:t>
      </w:r>
      <w:r w:rsidRPr="00BB7074">
        <w:rPr>
          <w:rFonts w:ascii="Verdana" w:hAnsi="Verdana"/>
          <w:sz w:val="18"/>
          <w:szCs w:val="18"/>
          <w:lang w:val="nl-NL"/>
        </w:rPr>
        <w:t xml:space="preserve"> </w:t>
      </w:r>
      <w:r w:rsidRPr="00BB7074" w:rsidR="004E764F">
        <w:rPr>
          <w:rFonts w:ascii="Verdana" w:hAnsi="Verdana"/>
          <w:sz w:val="18"/>
          <w:szCs w:val="18"/>
          <w:lang w:val="nl-NL"/>
        </w:rPr>
        <w:t>bron</w:t>
      </w:r>
      <w:r w:rsidRPr="00BB7074" w:rsidR="008B5BF7">
        <w:rPr>
          <w:rFonts w:ascii="Verdana" w:hAnsi="Verdana"/>
          <w:sz w:val="18"/>
          <w:szCs w:val="18"/>
          <w:lang w:val="nl-NL"/>
        </w:rPr>
        <w:t>staat</w:t>
      </w:r>
      <w:r w:rsidRPr="00BB7074" w:rsidR="004E764F">
        <w:rPr>
          <w:rFonts w:ascii="Verdana" w:hAnsi="Verdana"/>
          <w:sz w:val="18"/>
          <w:szCs w:val="18"/>
          <w:lang w:val="nl-NL"/>
        </w:rPr>
        <w:t xml:space="preserve"> niet aantast.</w:t>
      </w:r>
    </w:p>
    <w:p w:rsidRPr="00BB7074" w:rsidR="004E764F" w:rsidP="004E764F" w:rsidRDefault="004E764F" w14:paraId="56A4F7F9" w14:textId="14E164BD">
      <w:pPr>
        <w:rPr>
          <w:rFonts w:ascii="Verdana" w:hAnsi="Verdana"/>
          <w:sz w:val="18"/>
          <w:szCs w:val="18"/>
          <w:lang w:val="nl-NL"/>
        </w:rPr>
      </w:pPr>
      <w:r w:rsidRPr="00BB7074">
        <w:rPr>
          <w:rFonts w:ascii="Verdana" w:hAnsi="Verdana"/>
          <w:sz w:val="18"/>
          <w:szCs w:val="18"/>
          <w:lang w:val="nl-NL"/>
        </w:rPr>
        <w:lastRenderedPageBreak/>
        <w:t xml:space="preserve">Het </w:t>
      </w:r>
      <w:r w:rsidRPr="00BB7074" w:rsidR="00C24752">
        <w:rPr>
          <w:rFonts w:ascii="Verdana" w:hAnsi="Verdana"/>
          <w:sz w:val="18"/>
          <w:szCs w:val="18"/>
          <w:lang w:val="nl-NL"/>
        </w:rPr>
        <w:t>vijfde</w:t>
      </w:r>
      <w:r w:rsidRPr="00BB7074">
        <w:rPr>
          <w:rFonts w:ascii="Verdana" w:hAnsi="Verdana"/>
          <w:sz w:val="18"/>
          <w:szCs w:val="18"/>
          <w:lang w:val="nl-NL"/>
        </w:rPr>
        <w:t xml:space="preserve"> lid bevat de definitie van de uitdrukking ‘lijfrente’.</w:t>
      </w:r>
      <w:r w:rsidRPr="00BB7074" w:rsidR="005925C3">
        <w:rPr>
          <w:rFonts w:ascii="Verdana" w:hAnsi="Verdana"/>
          <w:sz w:val="18"/>
          <w:szCs w:val="18"/>
          <w:lang w:val="nl-NL"/>
        </w:rPr>
        <w:t xml:space="preserve"> Voor Nederland wordt daarbij verwezen naar de nationale bepalingen over belastbaar inkomen uit werk en woning.</w:t>
      </w:r>
    </w:p>
    <w:p w:rsidRPr="00BB7074" w:rsidR="002F0BBD" w:rsidP="004E764F" w:rsidRDefault="004E764F" w14:paraId="7B7F94C0" w14:textId="1D45AE88">
      <w:pPr>
        <w:rPr>
          <w:rFonts w:ascii="Verdana" w:hAnsi="Verdana"/>
          <w:sz w:val="18"/>
          <w:szCs w:val="18"/>
          <w:lang w:val="nl-NL"/>
        </w:rPr>
      </w:pPr>
      <w:r w:rsidRPr="00BB7074">
        <w:rPr>
          <w:rFonts w:ascii="Verdana" w:hAnsi="Verdana"/>
          <w:sz w:val="18"/>
          <w:szCs w:val="18"/>
          <w:lang w:val="nl-NL"/>
        </w:rPr>
        <w:t xml:space="preserve">Het </w:t>
      </w:r>
      <w:r w:rsidRPr="00BB7074" w:rsidR="00C24752">
        <w:rPr>
          <w:rFonts w:ascii="Verdana" w:hAnsi="Verdana"/>
          <w:sz w:val="18"/>
          <w:szCs w:val="18"/>
          <w:lang w:val="nl-NL"/>
        </w:rPr>
        <w:t>zesde</w:t>
      </w:r>
      <w:r w:rsidRPr="00BB7074">
        <w:rPr>
          <w:rFonts w:ascii="Verdana" w:hAnsi="Verdana"/>
          <w:sz w:val="18"/>
          <w:szCs w:val="18"/>
          <w:lang w:val="nl-NL"/>
        </w:rPr>
        <w:t xml:space="preserve"> lid stelt zeker dat het onderhavige artikel ook van toepassing is op afkoopsommen</w:t>
      </w:r>
      <w:r w:rsidRPr="00BB7074" w:rsidR="00552604">
        <w:rPr>
          <w:rFonts w:ascii="Verdana" w:hAnsi="Verdana"/>
          <w:sz w:val="18"/>
          <w:szCs w:val="18"/>
          <w:lang w:val="nl-NL"/>
        </w:rPr>
        <w:t xml:space="preserve"> </w:t>
      </w:r>
      <w:r w:rsidRPr="00BB7074">
        <w:rPr>
          <w:rFonts w:ascii="Verdana" w:hAnsi="Verdana"/>
          <w:sz w:val="18"/>
          <w:szCs w:val="18"/>
          <w:lang w:val="nl-NL"/>
        </w:rPr>
        <w:t xml:space="preserve">van pensioenen, andere soortgelijke beloningen en lijfrenten, </w:t>
      </w:r>
      <w:r w:rsidRPr="00BB7074" w:rsidR="00552604">
        <w:rPr>
          <w:rFonts w:ascii="Verdana" w:hAnsi="Verdana"/>
          <w:sz w:val="18"/>
          <w:szCs w:val="18"/>
          <w:lang w:val="nl-NL"/>
        </w:rPr>
        <w:t>indien de afkoopsom wordt betaald voor de datum waarop het pensioen, de andere soortgelijke beloning of lijfrente ingaat.</w:t>
      </w:r>
    </w:p>
    <w:p w:rsidRPr="00BB7074" w:rsidR="00414891" w:rsidP="00B603B8" w:rsidRDefault="00936DF5" w14:paraId="28B91D93" w14:textId="2ADFE0CE">
      <w:pPr>
        <w:pStyle w:val="Heading2"/>
        <w:rPr>
          <w:lang w:val="nl-NL"/>
        </w:rPr>
      </w:pPr>
      <w:r w:rsidRPr="00BB7074">
        <w:rPr>
          <w:lang w:val="nl-NL"/>
        </w:rPr>
        <w:t xml:space="preserve">II.18. </w:t>
      </w:r>
      <w:r w:rsidRPr="00BB7074" w:rsidR="00414891">
        <w:rPr>
          <w:lang w:val="nl-NL"/>
        </w:rPr>
        <w:t>Inkomen uit overheidsdienst</w:t>
      </w:r>
      <w:r w:rsidR="00A9054D">
        <w:rPr>
          <w:lang w:val="nl-NL"/>
        </w:rPr>
        <w:t xml:space="preserve"> (artikel 18 van het Verdrag)</w:t>
      </w:r>
    </w:p>
    <w:p w:rsidRPr="00BB7074" w:rsidR="002F0BBD" w:rsidP="00327403" w:rsidRDefault="003179CA" w14:paraId="06717087" w14:textId="499EF5F0">
      <w:pPr>
        <w:rPr>
          <w:rFonts w:ascii="Verdana" w:hAnsi="Verdana"/>
          <w:sz w:val="18"/>
          <w:szCs w:val="18"/>
          <w:lang w:val="nl-NL"/>
        </w:rPr>
      </w:pPr>
      <w:r w:rsidRPr="00BB7074">
        <w:rPr>
          <w:rFonts w:ascii="Verdana" w:hAnsi="Verdana"/>
          <w:sz w:val="18"/>
          <w:szCs w:val="18"/>
          <w:lang w:val="nl-NL"/>
        </w:rPr>
        <w:t xml:space="preserve">Inkomen van individuen in overheidsdienst van de ene </w:t>
      </w:r>
      <w:r w:rsidRPr="00BB7074" w:rsidR="00E53900">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t>
      </w:r>
      <w:r w:rsidR="009E38C9">
        <w:rPr>
          <w:rFonts w:ascii="Verdana" w:hAnsi="Verdana"/>
          <w:sz w:val="18"/>
          <w:szCs w:val="18"/>
          <w:lang w:val="nl-NL"/>
        </w:rPr>
        <w:t>wordt</w:t>
      </w:r>
      <w:r w:rsidRPr="00BB7074">
        <w:rPr>
          <w:rFonts w:ascii="Verdana" w:hAnsi="Verdana"/>
          <w:sz w:val="18"/>
          <w:szCs w:val="18"/>
          <w:lang w:val="nl-NL"/>
        </w:rPr>
        <w:t xml:space="preserve">, ook als zij in de andere </w:t>
      </w:r>
      <w:r w:rsidRPr="00BB7074" w:rsidR="00E53900">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werken, op grond van artikel 18 aan de betalende </w:t>
      </w:r>
      <w:r w:rsidRPr="00BB7074" w:rsidR="008B5BF7">
        <w:rPr>
          <w:rFonts w:ascii="Verdana" w:hAnsi="Verdana"/>
          <w:sz w:val="18"/>
          <w:szCs w:val="18"/>
          <w:lang w:val="nl-NL"/>
        </w:rPr>
        <w:t>staat</w:t>
      </w:r>
      <w:r w:rsidRPr="00BB7074">
        <w:rPr>
          <w:rFonts w:ascii="Verdana" w:hAnsi="Verdana"/>
          <w:sz w:val="18"/>
          <w:szCs w:val="18"/>
          <w:lang w:val="nl-NL"/>
        </w:rPr>
        <w:t xml:space="preserve"> toegewezen. Dat is opgenomen in onderdeel a van het eerste lid en is de gebruikelijke aanpak. In onderdeel </w:t>
      </w:r>
      <w:r w:rsidRPr="00BB7074" w:rsidR="005925C3">
        <w:rPr>
          <w:rFonts w:ascii="Verdana" w:hAnsi="Verdana"/>
          <w:sz w:val="18"/>
          <w:szCs w:val="18"/>
          <w:lang w:val="nl-NL"/>
        </w:rPr>
        <w:t xml:space="preserve">b </w:t>
      </w:r>
      <w:r w:rsidRPr="00BB7074" w:rsidR="00E53900">
        <w:rPr>
          <w:rFonts w:ascii="Verdana" w:hAnsi="Verdana"/>
          <w:sz w:val="18"/>
          <w:szCs w:val="18"/>
          <w:lang w:val="nl-NL"/>
        </w:rPr>
        <w:t xml:space="preserve">is </w:t>
      </w:r>
      <w:r w:rsidRPr="00BB7074">
        <w:rPr>
          <w:rFonts w:ascii="Verdana" w:hAnsi="Verdana"/>
          <w:sz w:val="18"/>
          <w:szCs w:val="18"/>
          <w:lang w:val="nl-NL"/>
        </w:rPr>
        <w:t xml:space="preserve">een uitzondering </w:t>
      </w:r>
      <w:r w:rsidRPr="00BB7074" w:rsidR="00E53900">
        <w:rPr>
          <w:rFonts w:ascii="Verdana" w:hAnsi="Verdana"/>
          <w:sz w:val="18"/>
          <w:szCs w:val="18"/>
          <w:lang w:val="nl-NL"/>
        </w:rPr>
        <w:t xml:space="preserve">opgenomen </w:t>
      </w:r>
      <w:r w:rsidRPr="00BB7074">
        <w:rPr>
          <w:rFonts w:ascii="Verdana" w:hAnsi="Verdana"/>
          <w:sz w:val="18"/>
          <w:szCs w:val="18"/>
          <w:lang w:val="nl-NL"/>
        </w:rPr>
        <w:t xml:space="preserve">voor </w:t>
      </w:r>
      <w:r w:rsidRPr="00BB7074" w:rsidR="00E53900">
        <w:rPr>
          <w:rFonts w:ascii="Verdana" w:hAnsi="Verdana"/>
          <w:sz w:val="18"/>
          <w:szCs w:val="18"/>
          <w:lang w:val="nl-NL"/>
        </w:rPr>
        <w:t xml:space="preserve">het individu in overheidsdienst </w:t>
      </w:r>
      <w:r w:rsidRPr="00BB7074">
        <w:rPr>
          <w:rFonts w:ascii="Verdana" w:hAnsi="Verdana"/>
          <w:sz w:val="18"/>
          <w:szCs w:val="18"/>
          <w:lang w:val="nl-NL"/>
        </w:rPr>
        <w:t xml:space="preserve">dat </w:t>
      </w:r>
      <w:r w:rsidRPr="00BB7074" w:rsidR="008B5BF7">
        <w:rPr>
          <w:rFonts w:ascii="Verdana" w:hAnsi="Verdana"/>
          <w:sz w:val="18"/>
          <w:szCs w:val="18"/>
          <w:lang w:val="nl-NL"/>
        </w:rPr>
        <w:t>staat</w:t>
      </w:r>
      <w:r w:rsidRPr="00BB7074">
        <w:rPr>
          <w:rFonts w:ascii="Verdana" w:hAnsi="Verdana"/>
          <w:sz w:val="18"/>
          <w:szCs w:val="18"/>
          <w:lang w:val="nl-NL"/>
        </w:rPr>
        <w:t xml:space="preserve">sburger is van de </w:t>
      </w:r>
      <w:r w:rsidRPr="00BB7074" w:rsidR="008B5BF7">
        <w:rPr>
          <w:rFonts w:ascii="Verdana" w:hAnsi="Verdana"/>
          <w:sz w:val="18"/>
          <w:szCs w:val="18"/>
          <w:lang w:val="nl-NL"/>
        </w:rPr>
        <w:t>staat</w:t>
      </w:r>
      <w:r w:rsidRPr="00BB7074">
        <w:rPr>
          <w:rFonts w:ascii="Verdana" w:hAnsi="Verdana"/>
          <w:sz w:val="18"/>
          <w:szCs w:val="18"/>
          <w:lang w:val="nl-NL"/>
        </w:rPr>
        <w:t xml:space="preserve"> waarin hij werkt of </w:t>
      </w:r>
      <w:r w:rsidR="00821B7A">
        <w:rPr>
          <w:rFonts w:ascii="Verdana" w:hAnsi="Verdana"/>
          <w:sz w:val="18"/>
          <w:szCs w:val="18"/>
          <w:lang w:val="nl-NL"/>
        </w:rPr>
        <w:t>w</w:t>
      </w:r>
      <w:r w:rsidRPr="00BB7074">
        <w:rPr>
          <w:rFonts w:ascii="Verdana" w:hAnsi="Verdana"/>
          <w:sz w:val="18"/>
          <w:szCs w:val="18"/>
          <w:lang w:val="nl-NL"/>
        </w:rPr>
        <w:t>aar</w:t>
      </w:r>
      <w:r w:rsidRPr="00BB7074" w:rsidR="00E53900">
        <w:rPr>
          <w:rFonts w:ascii="Verdana" w:hAnsi="Verdana"/>
          <w:sz w:val="18"/>
          <w:szCs w:val="18"/>
          <w:lang w:val="nl-NL"/>
        </w:rPr>
        <w:t>van</w:t>
      </w:r>
      <w:r w:rsidRPr="00BB7074">
        <w:rPr>
          <w:rFonts w:ascii="Verdana" w:hAnsi="Verdana"/>
          <w:sz w:val="18"/>
          <w:szCs w:val="18"/>
          <w:lang w:val="nl-NL"/>
        </w:rPr>
        <w:t xml:space="preserve"> </w:t>
      </w:r>
      <w:r w:rsidR="00821B7A">
        <w:rPr>
          <w:rFonts w:ascii="Verdana" w:hAnsi="Verdana"/>
          <w:sz w:val="18"/>
          <w:szCs w:val="18"/>
          <w:lang w:val="nl-NL"/>
        </w:rPr>
        <w:t xml:space="preserve">hij </w:t>
      </w:r>
      <w:r w:rsidRPr="00BB7074">
        <w:rPr>
          <w:rFonts w:ascii="Verdana" w:hAnsi="Verdana"/>
          <w:sz w:val="18"/>
          <w:szCs w:val="18"/>
          <w:lang w:val="nl-NL"/>
        </w:rPr>
        <w:t>inwoner is maar dat niet is geworden met het oog op de te verlenen diensten.</w:t>
      </w:r>
    </w:p>
    <w:p w:rsidRPr="00BB7074" w:rsidR="003179CA" w:rsidP="00327403" w:rsidRDefault="003179CA" w14:paraId="1CD795B4" w14:textId="5985C628">
      <w:pPr>
        <w:rPr>
          <w:rFonts w:ascii="Verdana" w:hAnsi="Verdana"/>
          <w:sz w:val="18"/>
          <w:szCs w:val="18"/>
          <w:lang w:val="nl-NL"/>
        </w:rPr>
      </w:pPr>
      <w:r w:rsidRPr="00BB7074">
        <w:rPr>
          <w:rFonts w:ascii="Verdana" w:hAnsi="Verdana"/>
          <w:sz w:val="18"/>
          <w:szCs w:val="18"/>
          <w:lang w:val="nl-NL"/>
        </w:rPr>
        <w:t>Het tweede lid bepaalt dat het eerste lid niet geldt wanneer de diensten worden verleend in het kader van een door de overheid gedreven onderneming.</w:t>
      </w:r>
    </w:p>
    <w:p w:rsidRPr="00BB7074" w:rsidR="003179CA" w:rsidP="00327403" w:rsidRDefault="003179CA" w14:paraId="7C0FD760" w14:textId="7C40C5CB">
      <w:pPr>
        <w:rPr>
          <w:rFonts w:ascii="Verdana" w:hAnsi="Verdana"/>
          <w:sz w:val="18"/>
          <w:szCs w:val="18"/>
          <w:lang w:val="nl-NL"/>
        </w:rPr>
      </w:pPr>
      <w:r w:rsidRPr="00BB7074">
        <w:rPr>
          <w:rFonts w:ascii="Verdana" w:hAnsi="Verdana"/>
          <w:sz w:val="18"/>
          <w:szCs w:val="18"/>
          <w:lang w:val="nl-NL"/>
        </w:rPr>
        <w:t>Pensioenen van overheidspersoneel val</w:t>
      </w:r>
      <w:r w:rsidRPr="00BB7074" w:rsidR="005925C3">
        <w:rPr>
          <w:rFonts w:ascii="Verdana" w:hAnsi="Verdana"/>
          <w:sz w:val="18"/>
          <w:szCs w:val="18"/>
          <w:lang w:val="nl-NL"/>
        </w:rPr>
        <w:t>len</w:t>
      </w:r>
      <w:r w:rsidRPr="00BB7074">
        <w:rPr>
          <w:rFonts w:ascii="Verdana" w:hAnsi="Verdana"/>
          <w:sz w:val="18"/>
          <w:szCs w:val="18"/>
          <w:lang w:val="nl-NL"/>
        </w:rPr>
        <w:t xml:space="preserve"> onder artikel 17.</w:t>
      </w:r>
    </w:p>
    <w:p w:rsidRPr="00BB7074" w:rsidR="00414891" w:rsidP="00B603B8" w:rsidRDefault="00936DF5" w14:paraId="5AA38321" w14:textId="1520B187">
      <w:pPr>
        <w:pStyle w:val="Heading2"/>
        <w:rPr>
          <w:lang w:val="nl-NL"/>
        </w:rPr>
      </w:pPr>
      <w:r w:rsidRPr="00BB7074">
        <w:rPr>
          <w:lang w:val="nl-NL"/>
        </w:rPr>
        <w:t xml:space="preserve">II.19. </w:t>
      </w:r>
      <w:r w:rsidRPr="00BB7074" w:rsidR="00414891">
        <w:rPr>
          <w:lang w:val="nl-NL"/>
        </w:rPr>
        <w:t>Studenten</w:t>
      </w:r>
      <w:r w:rsidR="00A9054D">
        <w:rPr>
          <w:lang w:val="nl-NL"/>
        </w:rPr>
        <w:t xml:space="preserve"> (artikel 19 van het Verdrag)</w:t>
      </w:r>
    </w:p>
    <w:p w:rsidRPr="00BB7074" w:rsidR="002F0BBD" w:rsidP="00552604" w:rsidRDefault="00552604" w14:paraId="5275FBAF" w14:textId="145FBC64">
      <w:pPr>
        <w:rPr>
          <w:rFonts w:ascii="Verdana" w:hAnsi="Verdana"/>
          <w:sz w:val="18"/>
          <w:szCs w:val="18"/>
          <w:lang w:val="nl-NL"/>
        </w:rPr>
      </w:pPr>
      <w:r w:rsidRPr="00BB7074">
        <w:rPr>
          <w:rFonts w:ascii="Verdana" w:hAnsi="Verdana"/>
          <w:sz w:val="18"/>
          <w:szCs w:val="18"/>
          <w:lang w:val="nl-NL"/>
        </w:rPr>
        <w:t xml:space="preserve">Artikel </w:t>
      </w:r>
      <w:r w:rsidRPr="00BB7074" w:rsidR="004A7178">
        <w:rPr>
          <w:rFonts w:ascii="Verdana" w:hAnsi="Verdana"/>
          <w:sz w:val="18"/>
          <w:szCs w:val="18"/>
          <w:lang w:val="nl-NL"/>
        </w:rPr>
        <w:t xml:space="preserve">19 </w:t>
      </w:r>
      <w:r w:rsidRPr="00BB7074" w:rsidR="00E53900">
        <w:rPr>
          <w:rFonts w:ascii="Verdana" w:hAnsi="Verdana"/>
          <w:sz w:val="18"/>
          <w:szCs w:val="18"/>
          <w:lang w:val="nl-NL"/>
        </w:rPr>
        <w:t xml:space="preserve">van het Verdrag </w:t>
      </w:r>
      <w:r w:rsidRPr="00BB7074">
        <w:rPr>
          <w:rFonts w:ascii="Verdana" w:hAnsi="Verdana"/>
          <w:sz w:val="18"/>
          <w:szCs w:val="18"/>
          <w:lang w:val="nl-NL"/>
        </w:rPr>
        <w:t xml:space="preserve">ziet op vergoedingen aan studenten en stagiairs (hierna: studenten) voor </w:t>
      </w:r>
      <w:r w:rsidRPr="00BB7074" w:rsidR="005925C3">
        <w:rPr>
          <w:rFonts w:ascii="Verdana" w:hAnsi="Verdana"/>
          <w:sz w:val="18"/>
          <w:szCs w:val="18"/>
          <w:lang w:val="nl-NL"/>
        </w:rPr>
        <w:t xml:space="preserve">hun </w:t>
      </w:r>
      <w:r w:rsidRPr="00BB7074">
        <w:rPr>
          <w:rFonts w:ascii="Verdana" w:hAnsi="Verdana"/>
          <w:sz w:val="18"/>
          <w:szCs w:val="18"/>
          <w:lang w:val="nl-NL"/>
        </w:rPr>
        <w:t xml:space="preserve">onderhoud, studie of opleiding. Indien een student een opleiding volgt in de ene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en inwoner is (of direct voor zijn vertrek naar de eerstgenoemde </w:t>
      </w:r>
      <w:r w:rsidRPr="00BB7074" w:rsidR="008B5BF7">
        <w:rPr>
          <w:rFonts w:ascii="Verdana" w:hAnsi="Verdana"/>
          <w:sz w:val="18"/>
          <w:szCs w:val="18"/>
          <w:lang w:val="nl-NL"/>
        </w:rPr>
        <w:t>staat</w:t>
      </w:r>
      <w:r w:rsidRPr="00BB7074">
        <w:rPr>
          <w:rFonts w:ascii="Verdana" w:hAnsi="Verdana"/>
          <w:sz w:val="18"/>
          <w:szCs w:val="18"/>
          <w:lang w:val="nl-NL"/>
        </w:rPr>
        <w:t xml:space="preserve"> inwoner was) van de andere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dan mag de eerstgenoemde </w:t>
      </w:r>
      <w:r w:rsidRPr="00BB7074" w:rsidR="008B5BF7">
        <w:rPr>
          <w:rFonts w:ascii="Verdana" w:hAnsi="Verdana"/>
          <w:sz w:val="18"/>
          <w:szCs w:val="18"/>
          <w:lang w:val="nl-NL"/>
        </w:rPr>
        <w:t>staat</w:t>
      </w:r>
      <w:r w:rsidRPr="00BB7074">
        <w:rPr>
          <w:rFonts w:ascii="Verdana" w:hAnsi="Verdana"/>
          <w:sz w:val="18"/>
          <w:szCs w:val="18"/>
          <w:lang w:val="nl-NL"/>
        </w:rPr>
        <w:t xml:space="preserve"> de vergoedingen die de student ontvangt voor zijn onderhoud, studie of opleiding niet belasten als deze vergoedingen afkomstig zijn uit bronnen buiten die </w:t>
      </w:r>
      <w:r w:rsidRPr="00BB7074" w:rsidR="008B5BF7">
        <w:rPr>
          <w:rFonts w:ascii="Verdana" w:hAnsi="Verdana"/>
          <w:sz w:val="18"/>
          <w:szCs w:val="18"/>
          <w:lang w:val="nl-NL"/>
        </w:rPr>
        <w:t>staat</w:t>
      </w:r>
      <w:r w:rsidRPr="00BB7074">
        <w:rPr>
          <w:rFonts w:ascii="Verdana" w:hAnsi="Verdana"/>
          <w:sz w:val="18"/>
          <w:szCs w:val="18"/>
          <w:lang w:val="nl-NL"/>
        </w:rPr>
        <w:t>. De bepaling is overeenkomstig artikel 20 van het OESO-modelverdrag.</w:t>
      </w:r>
    </w:p>
    <w:p w:rsidRPr="00BB7074" w:rsidR="00414891" w:rsidP="00B603B8" w:rsidRDefault="00936DF5" w14:paraId="65C13557" w14:textId="22B4A421">
      <w:pPr>
        <w:pStyle w:val="Heading2"/>
        <w:rPr>
          <w:lang w:val="nl-NL"/>
        </w:rPr>
      </w:pPr>
      <w:r w:rsidRPr="00BB7074">
        <w:rPr>
          <w:lang w:val="nl-NL"/>
        </w:rPr>
        <w:t xml:space="preserve">II.20. </w:t>
      </w:r>
      <w:r w:rsidRPr="00BB7074" w:rsidR="00414891">
        <w:rPr>
          <w:lang w:val="nl-NL"/>
        </w:rPr>
        <w:t>Overig inkom</w:t>
      </w:r>
      <w:r w:rsidRPr="00BB7074" w:rsidR="002F0BBD">
        <w:rPr>
          <w:lang w:val="nl-NL"/>
        </w:rPr>
        <w:t>en</w:t>
      </w:r>
      <w:r w:rsidR="00A9054D">
        <w:rPr>
          <w:lang w:val="nl-NL"/>
        </w:rPr>
        <w:t xml:space="preserve"> (artikel 20 van het Verdrag)</w:t>
      </w:r>
    </w:p>
    <w:p w:rsidRPr="00BB7074" w:rsidR="00DA2C81" w:rsidP="00327403" w:rsidRDefault="00DA2C81" w14:paraId="6C1AFADA" w14:textId="6BB4F9DB">
      <w:pPr>
        <w:rPr>
          <w:rFonts w:ascii="Verdana" w:hAnsi="Verdana"/>
          <w:sz w:val="18"/>
          <w:szCs w:val="18"/>
          <w:lang w:val="nl-NL"/>
        </w:rPr>
      </w:pPr>
      <w:r w:rsidRPr="00BB7074">
        <w:rPr>
          <w:rFonts w:ascii="Verdana" w:hAnsi="Verdana"/>
          <w:sz w:val="18"/>
          <w:szCs w:val="18"/>
          <w:lang w:val="nl-NL"/>
        </w:rPr>
        <w:t>Artikel 20</w:t>
      </w:r>
      <w:r w:rsidRPr="00BB7074" w:rsidR="009C2CDC">
        <w:rPr>
          <w:rFonts w:ascii="Verdana" w:hAnsi="Verdana"/>
          <w:sz w:val="18"/>
          <w:szCs w:val="18"/>
          <w:lang w:val="nl-NL"/>
        </w:rPr>
        <w:t xml:space="preserve"> van het Verdrag</w:t>
      </w:r>
      <w:r w:rsidRPr="00BB7074">
        <w:rPr>
          <w:rFonts w:ascii="Verdana" w:hAnsi="Verdana"/>
          <w:sz w:val="18"/>
          <w:szCs w:val="18"/>
          <w:lang w:val="nl-NL"/>
        </w:rPr>
        <w:t xml:space="preserve">, het zogenoemde restartikel, regelt </w:t>
      </w:r>
      <w:r w:rsidR="00821B7A">
        <w:rPr>
          <w:rFonts w:ascii="Verdana" w:hAnsi="Verdana"/>
          <w:sz w:val="18"/>
          <w:szCs w:val="18"/>
          <w:lang w:val="nl-NL"/>
        </w:rPr>
        <w:t xml:space="preserve">in het eerste lid </w:t>
      </w:r>
      <w:r w:rsidRPr="00BB7074">
        <w:rPr>
          <w:rFonts w:ascii="Verdana" w:hAnsi="Verdana"/>
          <w:sz w:val="18"/>
          <w:szCs w:val="18"/>
          <w:lang w:val="nl-NL"/>
        </w:rPr>
        <w:t xml:space="preserve">dat </w:t>
      </w:r>
      <w:r w:rsidRPr="00BB7074" w:rsidR="00E53900">
        <w:rPr>
          <w:rFonts w:ascii="Verdana" w:hAnsi="Verdana"/>
          <w:sz w:val="18"/>
          <w:szCs w:val="18"/>
          <w:lang w:val="nl-NL"/>
        </w:rPr>
        <w:t xml:space="preserve">het heffingsrecht over </w:t>
      </w:r>
      <w:r w:rsidRPr="00BB7074">
        <w:rPr>
          <w:rFonts w:ascii="Verdana" w:hAnsi="Verdana"/>
          <w:sz w:val="18"/>
          <w:szCs w:val="18"/>
          <w:lang w:val="nl-NL"/>
        </w:rPr>
        <w:t>inkomen waarover het heffingsrecht nog niet op grond van een van de eerdere artikelen is verdeeld, aan de woon</w:t>
      </w:r>
      <w:r w:rsidRPr="00BB7074" w:rsidR="008B5BF7">
        <w:rPr>
          <w:rFonts w:ascii="Verdana" w:hAnsi="Verdana"/>
          <w:sz w:val="18"/>
          <w:szCs w:val="18"/>
          <w:lang w:val="nl-NL"/>
        </w:rPr>
        <w:t>staat</w:t>
      </w:r>
      <w:r w:rsidRPr="00BB7074">
        <w:rPr>
          <w:rFonts w:ascii="Verdana" w:hAnsi="Verdana"/>
          <w:sz w:val="18"/>
          <w:szCs w:val="18"/>
          <w:lang w:val="nl-NL"/>
        </w:rPr>
        <w:t xml:space="preserve"> van de ontvanger word</w:t>
      </w:r>
      <w:r w:rsidRPr="00BB7074" w:rsidR="00E53900">
        <w:rPr>
          <w:rFonts w:ascii="Verdana" w:hAnsi="Verdana"/>
          <w:sz w:val="18"/>
          <w:szCs w:val="18"/>
          <w:lang w:val="nl-NL"/>
        </w:rPr>
        <w:t>t</w:t>
      </w:r>
      <w:r w:rsidRPr="00BB7074">
        <w:rPr>
          <w:rFonts w:ascii="Verdana" w:hAnsi="Verdana"/>
          <w:sz w:val="18"/>
          <w:szCs w:val="18"/>
          <w:lang w:val="nl-NL"/>
        </w:rPr>
        <w:t xml:space="preserve"> toeg</w:t>
      </w:r>
      <w:r w:rsidRPr="00BB7074" w:rsidR="00CC7349">
        <w:rPr>
          <w:rFonts w:ascii="Verdana" w:hAnsi="Verdana"/>
          <w:sz w:val="18"/>
          <w:szCs w:val="18"/>
          <w:lang w:val="nl-NL"/>
        </w:rPr>
        <w:t>e</w:t>
      </w:r>
      <w:r w:rsidRPr="00BB7074">
        <w:rPr>
          <w:rFonts w:ascii="Verdana" w:hAnsi="Verdana"/>
          <w:sz w:val="18"/>
          <w:szCs w:val="18"/>
          <w:lang w:val="nl-NL"/>
        </w:rPr>
        <w:t>wezen tenzij</w:t>
      </w:r>
      <w:r w:rsidR="00821B7A">
        <w:rPr>
          <w:rFonts w:ascii="Verdana" w:hAnsi="Verdana"/>
          <w:sz w:val="18"/>
          <w:szCs w:val="18"/>
          <w:lang w:val="nl-NL"/>
        </w:rPr>
        <w:t>, zo bepaalt het tweede lid,</w:t>
      </w:r>
      <w:r w:rsidRPr="00BB7074">
        <w:rPr>
          <w:rFonts w:ascii="Verdana" w:hAnsi="Verdana"/>
          <w:sz w:val="18"/>
          <w:szCs w:val="18"/>
          <w:lang w:val="nl-NL"/>
        </w:rPr>
        <w:t xml:space="preserve"> de ontvanger in de andere </w:t>
      </w:r>
      <w:r w:rsidRPr="00BB7074" w:rsidR="008B5BF7">
        <w:rPr>
          <w:rFonts w:ascii="Verdana" w:hAnsi="Verdana"/>
          <w:sz w:val="18"/>
          <w:szCs w:val="18"/>
          <w:lang w:val="nl-NL"/>
        </w:rPr>
        <w:t>staat</w:t>
      </w:r>
      <w:r w:rsidRPr="00BB7074">
        <w:rPr>
          <w:rFonts w:ascii="Verdana" w:hAnsi="Verdana"/>
          <w:sz w:val="18"/>
          <w:szCs w:val="18"/>
          <w:lang w:val="nl-NL"/>
        </w:rPr>
        <w:t xml:space="preserve"> een vaste inrichting </w:t>
      </w:r>
      <w:r w:rsidRPr="00BB7074" w:rsidR="00E53900">
        <w:rPr>
          <w:rFonts w:ascii="Verdana" w:hAnsi="Verdana"/>
          <w:sz w:val="18"/>
          <w:szCs w:val="18"/>
          <w:lang w:val="nl-NL"/>
        </w:rPr>
        <w:t xml:space="preserve">heeft </w:t>
      </w:r>
      <w:r w:rsidRPr="00BB7074">
        <w:rPr>
          <w:rFonts w:ascii="Verdana" w:hAnsi="Verdana"/>
          <w:sz w:val="18"/>
          <w:szCs w:val="18"/>
          <w:lang w:val="nl-NL"/>
        </w:rPr>
        <w:t xml:space="preserve">waaraan het inkomen </w:t>
      </w:r>
      <w:r w:rsidRPr="00BB7074" w:rsidR="00E53900">
        <w:rPr>
          <w:rFonts w:ascii="Verdana" w:hAnsi="Verdana"/>
          <w:sz w:val="18"/>
          <w:szCs w:val="18"/>
          <w:lang w:val="nl-NL"/>
        </w:rPr>
        <w:t>kan worden toegerekend</w:t>
      </w:r>
      <w:r w:rsidRPr="00BB7074" w:rsidR="006558A1">
        <w:rPr>
          <w:rFonts w:ascii="Verdana" w:hAnsi="Verdana"/>
          <w:sz w:val="18"/>
          <w:szCs w:val="18"/>
          <w:lang w:val="nl-NL"/>
        </w:rPr>
        <w:t xml:space="preserve">, in welk geval de bepalingen van </w:t>
      </w:r>
      <w:proofErr w:type="spellStart"/>
      <w:r w:rsidRPr="00BB7074" w:rsidR="006558A1">
        <w:rPr>
          <w:rFonts w:ascii="Verdana" w:hAnsi="Verdana"/>
          <w:sz w:val="18"/>
          <w:szCs w:val="18"/>
          <w:lang w:val="nl-NL"/>
        </w:rPr>
        <w:t>aritikel</w:t>
      </w:r>
      <w:proofErr w:type="spellEnd"/>
      <w:r w:rsidRPr="00BB7074" w:rsidR="006558A1">
        <w:rPr>
          <w:rFonts w:ascii="Verdana" w:hAnsi="Verdana"/>
          <w:sz w:val="18"/>
          <w:szCs w:val="18"/>
          <w:lang w:val="nl-NL"/>
        </w:rPr>
        <w:t xml:space="preserve"> 7 (Winst uit onderneming) toepassing vinden</w:t>
      </w:r>
      <w:r w:rsidRPr="00BB7074">
        <w:rPr>
          <w:rFonts w:ascii="Verdana" w:hAnsi="Verdana"/>
          <w:sz w:val="18"/>
          <w:szCs w:val="18"/>
          <w:lang w:val="nl-NL"/>
        </w:rPr>
        <w:t>.</w:t>
      </w:r>
    </w:p>
    <w:p w:rsidRPr="00BB7074" w:rsidR="002F0BBD" w:rsidP="00327403" w:rsidRDefault="00DA2C81" w14:paraId="5EA0DE33" w14:textId="3505540B">
      <w:pPr>
        <w:rPr>
          <w:rFonts w:ascii="Verdana" w:hAnsi="Verdana"/>
          <w:sz w:val="18"/>
          <w:szCs w:val="18"/>
          <w:lang w:val="nl-NL"/>
        </w:rPr>
      </w:pPr>
      <w:r w:rsidRPr="00BB7074">
        <w:rPr>
          <w:rFonts w:ascii="Verdana" w:hAnsi="Verdana"/>
          <w:sz w:val="18"/>
          <w:szCs w:val="18"/>
          <w:lang w:val="nl-NL"/>
        </w:rPr>
        <w:t>Het derde lid is afkomstig uit het VN-</w:t>
      </w:r>
      <w:r w:rsidRPr="00BB7074" w:rsidR="00C70480">
        <w:rPr>
          <w:rFonts w:ascii="Verdana" w:hAnsi="Verdana"/>
          <w:sz w:val="18"/>
          <w:szCs w:val="18"/>
          <w:lang w:val="nl-NL"/>
        </w:rPr>
        <w:t>modelverdrag</w:t>
      </w:r>
      <w:r w:rsidRPr="00BB7074">
        <w:rPr>
          <w:rFonts w:ascii="Verdana" w:hAnsi="Verdana"/>
          <w:sz w:val="18"/>
          <w:szCs w:val="18"/>
          <w:lang w:val="nl-NL"/>
        </w:rPr>
        <w:t xml:space="preserve"> en</w:t>
      </w:r>
      <w:r w:rsidRPr="00BB7074" w:rsidR="00CC7349">
        <w:rPr>
          <w:rFonts w:ascii="Verdana" w:hAnsi="Verdana"/>
          <w:sz w:val="18"/>
          <w:szCs w:val="18"/>
          <w:lang w:val="nl-NL"/>
        </w:rPr>
        <w:t xml:space="preserve"> bepaalt</w:t>
      </w:r>
      <w:r w:rsidRPr="00BB7074">
        <w:rPr>
          <w:rFonts w:ascii="Verdana" w:hAnsi="Verdana"/>
          <w:sz w:val="18"/>
          <w:szCs w:val="18"/>
          <w:lang w:val="nl-NL"/>
        </w:rPr>
        <w:t xml:space="preserve"> dat wanneer dat inkomen opkomt in één van de verdragsluitende </w:t>
      </w:r>
      <w:r w:rsidRPr="00BB7074" w:rsidR="009F30D9">
        <w:rPr>
          <w:rFonts w:ascii="Verdana" w:hAnsi="Verdana"/>
          <w:sz w:val="18"/>
          <w:szCs w:val="18"/>
          <w:lang w:val="nl-NL"/>
        </w:rPr>
        <w:t>s</w:t>
      </w:r>
      <w:r w:rsidRPr="00BB7074">
        <w:rPr>
          <w:rFonts w:ascii="Verdana" w:hAnsi="Verdana"/>
          <w:sz w:val="18"/>
          <w:szCs w:val="18"/>
          <w:lang w:val="nl-NL"/>
        </w:rPr>
        <w:t xml:space="preserve">taten, deze </w:t>
      </w:r>
      <w:r w:rsidRPr="00BB7074" w:rsidR="008B5BF7">
        <w:rPr>
          <w:rFonts w:ascii="Verdana" w:hAnsi="Verdana"/>
          <w:sz w:val="18"/>
          <w:szCs w:val="18"/>
          <w:lang w:val="nl-NL"/>
        </w:rPr>
        <w:t>staat</w:t>
      </w:r>
      <w:r w:rsidRPr="00BB7074">
        <w:rPr>
          <w:rFonts w:ascii="Verdana" w:hAnsi="Verdana"/>
          <w:sz w:val="18"/>
          <w:szCs w:val="18"/>
          <w:lang w:val="nl-NL"/>
        </w:rPr>
        <w:t xml:space="preserve"> het inkomen ook mag belasten, waarvoor de woon</w:t>
      </w:r>
      <w:r w:rsidRPr="00BB7074" w:rsidR="008B5BF7">
        <w:rPr>
          <w:rFonts w:ascii="Verdana" w:hAnsi="Verdana"/>
          <w:sz w:val="18"/>
          <w:szCs w:val="18"/>
          <w:lang w:val="nl-NL"/>
        </w:rPr>
        <w:t>staat</w:t>
      </w:r>
      <w:r w:rsidRPr="00BB7074">
        <w:rPr>
          <w:rFonts w:ascii="Verdana" w:hAnsi="Verdana"/>
          <w:sz w:val="18"/>
          <w:szCs w:val="18"/>
          <w:lang w:val="nl-NL"/>
        </w:rPr>
        <w:t xml:space="preserve"> een vermindering geeft om dubbele belasting te voorkomen.</w:t>
      </w:r>
    </w:p>
    <w:p w:rsidRPr="00BB7074" w:rsidR="00307E15" w:rsidP="00B603B8" w:rsidRDefault="00936DF5" w14:paraId="7BF2EFD6" w14:textId="63F7AF46">
      <w:pPr>
        <w:pStyle w:val="Heading2"/>
        <w:rPr>
          <w:lang w:val="nl-NL"/>
        </w:rPr>
      </w:pPr>
      <w:r w:rsidRPr="00BB7074">
        <w:rPr>
          <w:lang w:val="nl-NL"/>
        </w:rPr>
        <w:t xml:space="preserve">II.21. </w:t>
      </w:r>
      <w:r w:rsidRPr="00BB7074" w:rsidR="00307E15">
        <w:rPr>
          <w:lang w:val="nl-NL"/>
        </w:rPr>
        <w:t>Voorkoming van dubbele belasting</w:t>
      </w:r>
      <w:r w:rsidR="00A9054D">
        <w:rPr>
          <w:lang w:val="nl-NL"/>
        </w:rPr>
        <w:t xml:space="preserve"> (artikel 21 van het Verdrag)</w:t>
      </w:r>
    </w:p>
    <w:p w:rsidRPr="00BB7074" w:rsidR="008B21CE" w:rsidP="008B21CE" w:rsidRDefault="008B21CE" w14:paraId="18834689" w14:textId="3F0E451A">
      <w:pPr>
        <w:rPr>
          <w:rFonts w:ascii="Verdana" w:hAnsi="Verdana"/>
          <w:sz w:val="18"/>
          <w:szCs w:val="18"/>
          <w:lang w:val="nl-NL"/>
        </w:rPr>
      </w:pPr>
      <w:r w:rsidRPr="00BB7074">
        <w:rPr>
          <w:rFonts w:ascii="Verdana" w:hAnsi="Verdana"/>
          <w:sz w:val="18"/>
          <w:szCs w:val="18"/>
          <w:lang w:val="nl-NL"/>
        </w:rPr>
        <w:t xml:space="preserve">In artikel 21 </w:t>
      </w:r>
      <w:r w:rsidRPr="00BB7074" w:rsidR="00403AC2">
        <w:rPr>
          <w:rFonts w:ascii="Verdana" w:hAnsi="Verdana"/>
          <w:sz w:val="18"/>
          <w:szCs w:val="18"/>
          <w:lang w:val="nl-NL"/>
        </w:rPr>
        <w:t xml:space="preserve">van het Verdrag </w:t>
      </w:r>
      <w:r w:rsidRPr="00BB7074">
        <w:rPr>
          <w:rFonts w:ascii="Verdana" w:hAnsi="Verdana"/>
          <w:sz w:val="18"/>
          <w:szCs w:val="18"/>
          <w:lang w:val="nl-NL"/>
        </w:rPr>
        <w:t xml:space="preserve">is neergelegd op welke manier beide landen dubbele belasting vermijden. </w:t>
      </w:r>
    </w:p>
    <w:p w:rsidRPr="00BB7074" w:rsidR="008B21CE" w:rsidP="008B21CE" w:rsidRDefault="008B21CE" w14:paraId="21464971" w14:textId="5AFE0B2F">
      <w:pPr>
        <w:rPr>
          <w:rFonts w:ascii="Verdana" w:hAnsi="Verdana"/>
          <w:sz w:val="18"/>
          <w:szCs w:val="18"/>
          <w:lang w:val="nl-NL"/>
        </w:rPr>
      </w:pPr>
      <w:r w:rsidRPr="00BB7074">
        <w:rPr>
          <w:rFonts w:ascii="Verdana" w:hAnsi="Verdana"/>
          <w:sz w:val="18"/>
          <w:szCs w:val="18"/>
          <w:lang w:val="nl-NL"/>
        </w:rPr>
        <w:lastRenderedPageBreak/>
        <w:t>In het eerste tot en met het vierde lid is bepaald hoe Nederland voorziet in het vermijden van dubbele belasting voor inkomsten genoten door een inwoner van Nederland die volgens het Verdrag (ook) in Colombia mogen worden belast.</w:t>
      </w:r>
    </w:p>
    <w:p w:rsidRPr="00BB7074" w:rsidR="008B21CE" w:rsidP="008B21CE" w:rsidRDefault="008B21CE" w14:paraId="1B1E1CE4" w14:textId="6D8F495B">
      <w:pPr>
        <w:rPr>
          <w:rFonts w:ascii="Verdana" w:hAnsi="Verdana"/>
          <w:sz w:val="18"/>
          <w:szCs w:val="18"/>
          <w:lang w:val="nl-NL"/>
        </w:rPr>
      </w:pPr>
      <w:r w:rsidRPr="00BB7074">
        <w:rPr>
          <w:rFonts w:ascii="Verdana" w:hAnsi="Verdana"/>
          <w:sz w:val="18"/>
          <w:szCs w:val="18"/>
          <w:lang w:val="nl-NL"/>
        </w:rPr>
        <w:t xml:space="preserve">Uit het eerste lid volgt expliciet dat Nederland de inkomsten die (ook) in Colombia mogen worden belast in de grondslag mag betrekken waarnaar de Nederlandse belasting wordt geheven. </w:t>
      </w:r>
      <w:r w:rsidRPr="00BB7074" w:rsidR="009C1E51">
        <w:rPr>
          <w:rFonts w:ascii="Verdana" w:hAnsi="Verdana"/>
          <w:sz w:val="18"/>
          <w:szCs w:val="18"/>
          <w:lang w:val="nl-NL"/>
        </w:rPr>
        <w:t xml:space="preserve">Dit betekent met name </w:t>
      </w:r>
      <w:r w:rsidRPr="00BB7074">
        <w:rPr>
          <w:rFonts w:ascii="Verdana" w:hAnsi="Verdana"/>
          <w:sz w:val="18"/>
          <w:szCs w:val="18"/>
          <w:lang w:val="nl-NL"/>
        </w:rPr>
        <w:t xml:space="preserve">dat Nederland </w:t>
      </w:r>
      <w:r w:rsidRPr="00BB7074" w:rsidR="009C1E51">
        <w:rPr>
          <w:rFonts w:ascii="Verdana" w:hAnsi="Verdana"/>
          <w:sz w:val="18"/>
          <w:szCs w:val="18"/>
          <w:lang w:val="nl-NL"/>
        </w:rPr>
        <w:t xml:space="preserve">het inkomen dat Colombia mag belasten mee mag nemen bij de bepaling van het tarief en daarmee </w:t>
      </w:r>
      <w:r w:rsidRPr="00BB7074">
        <w:rPr>
          <w:rFonts w:ascii="Verdana" w:hAnsi="Verdana"/>
          <w:sz w:val="18"/>
          <w:szCs w:val="18"/>
          <w:lang w:val="nl-NL"/>
        </w:rPr>
        <w:t xml:space="preserve">de tariefprogressie die met name in de inkomstenbelasting </w:t>
      </w:r>
      <w:r w:rsidRPr="00BB7074" w:rsidR="009C1E51">
        <w:rPr>
          <w:rFonts w:ascii="Verdana" w:hAnsi="Verdana"/>
          <w:sz w:val="18"/>
          <w:szCs w:val="18"/>
          <w:lang w:val="nl-NL"/>
        </w:rPr>
        <w:t xml:space="preserve">geldt </w:t>
      </w:r>
      <w:r w:rsidRPr="00BB7074">
        <w:rPr>
          <w:rFonts w:ascii="Verdana" w:hAnsi="Verdana"/>
          <w:sz w:val="18"/>
          <w:szCs w:val="18"/>
          <w:lang w:val="nl-NL"/>
        </w:rPr>
        <w:t>mag effectueren.</w:t>
      </w:r>
    </w:p>
    <w:p w:rsidRPr="00BB7074" w:rsidR="008B21CE" w:rsidP="008B21CE" w:rsidRDefault="008B21CE" w14:paraId="18B9E7CB" w14:textId="38A2BBFE">
      <w:pPr>
        <w:rPr>
          <w:rFonts w:ascii="Verdana" w:hAnsi="Verdana"/>
          <w:sz w:val="18"/>
          <w:szCs w:val="18"/>
          <w:lang w:val="nl-NL"/>
        </w:rPr>
      </w:pPr>
      <w:r w:rsidRPr="00BB7074">
        <w:rPr>
          <w:rFonts w:ascii="Verdana" w:hAnsi="Verdana"/>
          <w:sz w:val="18"/>
          <w:szCs w:val="18"/>
          <w:lang w:val="nl-NL"/>
        </w:rPr>
        <w:t xml:space="preserve">Het tweede lid bepaalt vervolgens dat voor de daar genoemde inkomsten belastingvermindering wordt verleend volgens de vrijstellingsmethode. </w:t>
      </w:r>
    </w:p>
    <w:p w:rsidRPr="00BB7074" w:rsidR="008B21CE" w:rsidP="008B21CE" w:rsidRDefault="008B21CE" w14:paraId="47CEBF43" w14:textId="00C3C1CE">
      <w:pPr>
        <w:rPr>
          <w:rFonts w:ascii="Verdana" w:hAnsi="Verdana"/>
          <w:sz w:val="18"/>
          <w:szCs w:val="18"/>
          <w:lang w:val="nl-NL"/>
        </w:rPr>
      </w:pPr>
      <w:r w:rsidRPr="00BB7074">
        <w:rPr>
          <w:rFonts w:ascii="Verdana" w:hAnsi="Verdana"/>
          <w:sz w:val="18"/>
          <w:szCs w:val="18"/>
          <w:lang w:val="nl-NL"/>
        </w:rPr>
        <w:t xml:space="preserve">In het derde lid wordt voor andere inkomsten waarover Colombia </w:t>
      </w:r>
      <w:r w:rsidRPr="00BB7074" w:rsidR="00362A76">
        <w:rPr>
          <w:rFonts w:ascii="Verdana" w:hAnsi="Verdana"/>
          <w:sz w:val="18"/>
          <w:szCs w:val="18"/>
          <w:lang w:val="nl-NL"/>
        </w:rPr>
        <w:t xml:space="preserve">(ook) </w:t>
      </w:r>
      <w:r w:rsidRPr="00BB7074">
        <w:rPr>
          <w:rFonts w:ascii="Verdana" w:hAnsi="Verdana"/>
          <w:sz w:val="18"/>
          <w:szCs w:val="18"/>
          <w:lang w:val="nl-NL"/>
        </w:rPr>
        <w:t xml:space="preserve">mag heffen uitgewerkt dat Nederland in die gevallen een </w:t>
      </w:r>
      <w:r w:rsidR="003E642E">
        <w:rPr>
          <w:rFonts w:ascii="Verdana" w:hAnsi="Verdana"/>
          <w:sz w:val="18"/>
          <w:szCs w:val="18"/>
          <w:lang w:val="nl-NL"/>
        </w:rPr>
        <w:t>aftrek</w:t>
      </w:r>
      <w:r w:rsidRPr="00BB7074">
        <w:rPr>
          <w:rFonts w:ascii="Verdana" w:hAnsi="Verdana"/>
          <w:sz w:val="18"/>
          <w:szCs w:val="18"/>
          <w:lang w:val="nl-NL"/>
        </w:rPr>
        <w:t xml:space="preserve"> ter vermijding van dubbele belasting verleent volgens de verrekeningsmethode met evenredigheidslimiet. Het betreft, kort gezegd, passieve inkomsten, zoals dividenden, interest en royalty’s, maar ook bestuurdersinkomsten, inkomsten van sporters en artiesten en afkoopsommen van pensioenen en dergelijke waarvoor een bron</w:t>
      </w:r>
      <w:r w:rsidRPr="00BB7074" w:rsidR="008B5BF7">
        <w:rPr>
          <w:rFonts w:ascii="Verdana" w:hAnsi="Verdana"/>
          <w:sz w:val="18"/>
          <w:szCs w:val="18"/>
          <w:lang w:val="nl-NL"/>
        </w:rPr>
        <w:t>staat</w:t>
      </w:r>
      <w:r w:rsidRPr="00BB7074">
        <w:rPr>
          <w:rFonts w:ascii="Verdana" w:hAnsi="Verdana"/>
          <w:sz w:val="18"/>
          <w:szCs w:val="18"/>
          <w:lang w:val="nl-NL"/>
        </w:rPr>
        <w:t>heffing geldt.</w:t>
      </w:r>
      <w:r w:rsidRPr="00BB7074" w:rsidR="00DE7CC9">
        <w:rPr>
          <w:rFonts w:ascii="Verdana" w:hAnsi="Verdana"/>
          <w:sz w:val="18"/>
          <w:szCs w:val="18"/>
          <w:lang w:val="nl-NL"/>
        </w:rPr>
        <w:t xml:space="preserve"> </w:t>
      </w:r>
    </w:p>
    <w:p w:rsidRPr="00BB7074" w:rsidR="008B21CE" w:rsidP="008B21CE" w:rsidRDefault="008B21CE" w14:paraId="2601A26B" w14:textId="55CAD7DB">
      <w:pPr>
        <w:rPr>
          <w:rFonts w:ascii="Verdana" w:hAnsi="Verdana"/>
          <w:sz w:val="18"/>
          <w:szCs w:val="18"/>
          <w:lang w:val="nl-NL"/>
        </w:rPr>
      </w:pPr>
      <w:r w:rsidRPr="00BB7074">
        <w:rPr>
          <w:rFonts w:ascii="Verdana" w:hAnsi="Verdana"/>
          <w:sz w:val="18"/>
          <w:szCs w:val="18"/>
          <w:lang w:val="nl-NL"/>
        </w:rPr>
        <w:t>In het vierde lid is neergelegd dat Nederland bij het vermijden van dubbele belasting over winst behaald met een in Colombia gelegen vaste inrichting, de verrekeningsmethode hanteert in plaats van de vrijstellingsmethode, indien op grond van de Nederlandse regelgeving die methode toepassing vindt bij het vermijden van dubbele belasting over die inkomsten. Dit is de zogenoemde ‘</w:t>
      </w:r>
      <w:r w:rsidRPr="00BB7074" w:rsidR="00DE7CC9">
        <w:rPr>
          <w:rFonts w:ascii="Verdana" w:hAnsi="Verdana"/>
          <w:i/>
          <w:sz w:val="18"/>
          <w:szCs w:val="18"/>
          <w:lang w:val="nl-NL"/>
        </w:rPr>
        <w:t>switch-over</w:t>
      </w:r>
      <w:r w:rsidR="00892AAA">
        <w:rPr>
          <w:rFonts w:ascii="Verdana" w:hAnsi="Verdana"/>
          <w:i/>
          <w:sz w:val="18"/>
          <w:szCs w:val="18"/>
          <w:lang w:val="nl-NL"/>
        </w:rPr>
        <w:t xml:space="preserve"> </w:t>
      </w:r>
      <w:r w:rsidRPr="00BB7074" w:rsidR="00DE7CC9">
        <w:rPr>
          <w:rFonts w:ascii="Verdana" w:hAnsi="Verdana"/>
          <w:i/>
          <w:sz w:val="18"/>
          <w:szCs w:val="18"/>
          <w:lang w:val="nl-NL"/>
        </w:rPr>
        <w:t>clause</w:t>
      </w:r>
      <w:r w:rsidRPr="00BB7074">
        <w:rPr>
          <w:rFonts w:ascii="Verdana" w:hAnsi="Verdana"/>
          <w:sz w:val="18"/>
          <w:szCs w:val="18"/>
          <w:lang w:val="nl-NL"/>
        </w:rPr>
        <w:t xml:space="preserve">’. </w:t>
      </w:r>
    </w:p>
    <w:p w:rsidRPr="00BB7074" w:rsidR="008B21CE" w:rsidP="008B21CE" w:rsidRDefault="008B21CE" w14:paraId="6E94C57A" w14:textId="61C7D216">
      <w:pPr>
        <w:rPr>
          <w:rFonts w:ascii="Verdana" w:hAnsi="Verdana"/>
          <w:sz w:val="18"/>
          <w:szCs w:val="18"/>
          <w:lang w:val="nl-NL"/>
        </w:rPr>
      </w:pPr>
      <w:r w:rsidRPr="00BB7074">
        <w:rPr>
          <w:rFonts w:ascii="Verdana" w:hAnsi="Verdana"/>
          <w:sz w:val="18"/>
          <w:szCs w:val="18"/>
          <w:lang w:val="nl-NL"/>
        </w:rPr>
        <w:t xml:space="preserve">In het vijfde lid is ten slotte bepaald dat als een inwoner van Colombia inkomsten ontvangt die volgens dit Verdrag mogen worden belast in Nederland, Colombia een </w:t>
      </w:r>
      <w:r w:rsidR="00892AAA">
        <w:rPr>
          <w:rFonts w:ascii="Verdana" w:hAnsi="Verdana"/>
          <w:sz w:val="18"/>
          <w:szCs w:val="18"/>
          <w:lang w:val="nl-NL"/>
        </w:rPr>
        <w:t>aftrek</w:t>
      </w:r>
      <w:r w:rsidRPr="00BB7074" w:rsidR="00892AAA">
        <w:rPr>
          <w:rFonts w:ascii="Verdana" w:hAnsi="Verdana"/>
          <w:sz w:val="18"/>
          <w:szCs w:val="18"/>
          <w:lang w:val="nl-NL"/>
        </w:rPr>
        <w:t xml:space="preserve"> </w:t>
      </w:r>
      <w:r w:rsidRPr="00BB7074">
        <w:rPr>
          <w:rFonts w:ascii="Verdana" w:hAnsi="Verdana"/>
          <w:sz w:val="18"/>
          <w:szCs w:val="18"/>
          <w:lang w:val="nl-NL"/>
        </w:rPr>
        <w:t xml:space="preserve">ter vermijding van dubbele belasting verleent volgens de verrekeningsmethode met evenredigheidslimiet. Daarbij </w:t>
      </w:r>
      <w:r w:rsidRPr="00BB7074" w:rsidR="008B5BF7">
        <w:rPr>
          <w:rFonts w:ascii="Verdana" w:hAnsi="Verdana"/>
          <w:sz w:val="18"/>
          <w:szCs w:val="18"/>
          <w:lang w:val="nl-NL"/>
        </w:rPr>
        <w:t>staat</w:t>
      </w:r>
      <w:r w:rsidRPr="00BB7074">
        <w:rPr>
          <w:rFonts w:ascii="Verdana" w:hAnsi="Verdana"/>
          <w:sz w:val="18"/>
          <w:szCs w:val="18"/>
          <w:lang w:val="nl-NL"/>
        </w:rPr>
        <w:t xml:space="preserve"> Colombia een aftrek toe van de in Nederland betaalde belasting, maar tot ten hoogste het bedrag van de Colombiaanse belasting die toerekenbaar is aan het inkomen dat belast mag worden door Nederland.</w:t>
      </w:r>
    </w:p>
    <w:p w:rsidRPr="00BB7074" w:rsidR="00307E15" w:rsidP="00B603B8" w:rsidRDefault="00936DF5" w14:paraId="303B71F3" w14:textId="22A6AB3A">
      <w:pPr>
        <w:pStyle w:val="Heading2"/>
        <w:rPr>
          <w:lang w:val="nl-NL"/>
        </w:rPr>
      </w:pPr>
      <w:r w:rsidRPr="00BB7074">
        <w:rPr>
          <w:lang w:val="nl-NL"/>
        </w:rPr>
        <w:t xml:space="preserve">II.22. </w:t>
      </w:r>
      <w:r w:rsidRPr="00BB7074" w:rsidR="0092156D">
        <w:rPr>
          <w:lang w:val="nl-NL"/>
        </w:rPr>
        <w:t>Non-discriminatie</w:t>
      </w:r>
      <w:r w:rsidR="00A9054D">
        <w:rPr>
          <w:lang w:val="nl-NL"/>
        </w:rPr>
        <w:t xml:space="preserve"> (artikel 22 van het Verdrag)</w:t>
      </w:r>
    </w:p>
    <w:p w:rsidRPr="00BB7074" w:rsidR="007A1B24" w:rsidP="00327403" w:rsidRDefault="00C52033" w14:paraId="1BF140E6" w14:textId="6164624B">
      <w:pPr>
        <w:rPr>
          <w:rFonts w:ascii="Verdana" w:hAnsi="Verdana"/>
          <w:sz w:val="18"/>
          <w:szCs w:val="18"/>
          <w:lang w:val="nl-NL"/>
        </w:rPr>
      </w:pPr>
      <w:r w:rsidRPr="00BB7074">
        <w:rPr>
          <w:rFonts w:ascii="Verdana" w:hAnsi="Verdana"/>
          <w:sz w:val="18"/>
          <w:szCs w:val="18"/>
          <w:lang w:val="nl-NL"/>
        </w:rPr>
        <w:t xml:space="preserve">In </w:t>
      </w:r>
      <w:r w:rsidRPr="00BB7074" w:rsidR="00692220">
        <w:rPr>
          <w:rFonts w:ascii="Verdana" w:hAnsi="Verdana"/>
          <w:sz w:val="18"/>
          <w:szCs w:val="18"/>
          <w:lang w:val="nl-NL"/>
        </w:rPr>
        <w:t>a</w:t>
      </w:r>
      <w:r w:rsidRPr="00BB7074" w:rsidR="007A1B24">
        <w:rPr>
          <w:rFonts w:ascii="Verdana" w:hAnsi="Verdana"/>
          <w:sz w:val="18"/>
          <w:szCs w:val="18"/>
          <w:lang w:val="nl-NL"/>
        </w:rPr>
        <w:t xml:space="preserve">rtikel 22 </w:t>
      </w:r>
      <w:r w:rsidRPr="00BB7074" w:rsidR="00692220">
        <w:rPr>
          <w:rFonts w:ascii="Verdana" w:hAnsi="Verdana"/>
          <w:sz w:val="18"/>
          <w:szCs w:val="18"/>
          <w:lang w:val="nl-NL"/>
        </w:rPr>
        <w:t xml:space="preserve">van het Verdrag </w:t>
      </w:r>
      <w:r w:rsidRPr="00BB7074">
        <w:rPr>
          <w:rFonts w:ascii="Verdana" w:hAnsi="Verdana"/>
          <w:sz w:val="18"/>
          <w:szCs w:val="18"/>
          <w:lang w:val="nl-NL"/>
        </w:rPr>
        <w:t>staan</w:t>
      </w:r>
      <w:r w:rsidRPr="00BB7074" w:rsidR="00DE7CC9">
        <w:rPr>
          <w:rFonts w:ascii="Verdana" w:hAnsi="Verdana"/>
          <w:sz w:val="18"/>
          <w:szCs w:val="18"/>
          <w:lang w:val="nl-NL"/>
        </w:rPr>
        <w:t xml:space="preserve"> de uit het OESO- en VN-</w:t>
      </w:r>
      <w:r w:rsidRPr="00BB7074" w:rsidR="00C70480">
        <w:rPr>
          <w:rFonts w:ascii="Verdana" w:hAnsi="Verdana"/>
          <w:sz w:val="18"/>
          <w:szCs w:val="18"/>
          <w:lang w:val="nl-NL"/>
        </w:rPr>
        <w:t>modelverdrag</w:t>
      </w:r>
      <w:r w:rsidRPr="00BB7074" w:rsidR="007A1B24">
        <w:rPr>
          <w:rFonts w:ascii="Verdana" w:hAnsi="Verdana"/>
          <w:sz w:val="18"/>
          <w:szCs w:val="18"/>
          <w:lang w:val="nl-NL"/>
        </w:rPr>
        <w:t xml:space="preserve"> bekende bepalingen tegen discriminatie. </w:t>
      </w:r>
    </w:p>
    <w:p w:rsidRPr="00BB7074" w:rsidR="006175AF" w:rsidP="00327403" w:rsidRDefault="007A1B24" w14:paraId="3F5241C7" w14:textId="7AEEB71E">
      <w:pPr>
        <w:rPr>
          <w:rFonts w:ascii="Verdana" w:hAnsi="Verdana"/>
          <w:sz w:val="18"/>
          <w:szCs w:val="18"/>
          <w:lang w:val="nl-NL"/>
        </w:rPr>
      </w:pPr>
      <w:r w:rsidRPr="00BB7074">
        <w:rPr>
          <w:rFonts w:ascii="Verdana" w:hAnsi="Verdana"/>
          <w:sz w:val="18"/>
          <w:szCs w:val="18"/>
          <w:lang w:val="nl-NL"/>
        </w:rPr>
        <w:t xml:space="preserve">Het eerste lid verbiedt dat burgers van de andere </w:t>
      </w:r>
      <w:r w:rsidRPr="00BB7074" w:rsidR="004915E4">
        <w:rPr>
          <w:rFonts w:ascii="Verdana" w:hAnsi="Verdana"/>
          <w:sz w:val="18"/>
          <w:szCs w:val="18"/>
          <w:lang w:val="nl-NL"/>
        </w:rPr>
        <w:t>v</w:t>
      </w:r>
      <w:r w:rsidRPr="00BB7074">
        <w:rPr>
          <w:rFonts w:ascii="Verdana" w:hAnsi="Verdana"/>
          <w:sz w:val="18"/>
          <w:szCs w:val="18"/>
          <w:lang w:val="nl-NL"/>
        </w:rPr>
        <w:t xml:space="preserve">erdragsluitende </w:t>
      </w:r>
      <w:r w:rsidRPr="00BB7074" w:rsidR="008B5BF7">
        <w:rPr>
          <w:rFonts w:ascii="Verdana" w:hAnsi="Verdana"/>
          <w:sz w:val="18"/>
          <w:szCs w:val="18"/>
          <w:lang w:val="nl-NL"/>
        </w:rPr>
        <w:t>staat</w:t>
      </w:r>
      <w:r w:rsidRPr="00BB7074" w:rsidR="006175AF">
        <w:rPr>
          <w:rFonts w:ascii="Verdana" w:hAnsi="Verdana"/>
          <w:sz w:val="18"/>
          <w:szCs w:val="18"/>
          <w:lang w:val="nl-NL"/>
        </w:rPr>
        <w:t xml:space="preserve"> onder gelijke omstandigheden </w:t>
      </w:r>
      <w:r w:rsidRPr="00BB7074">
        <w:rPr>
          <w:rFonts w:ascii="Verdana" w:hAnsi="Verdana"/>
          <w:sz w:val="18"/>
          <w:szCs w:val="18"/>
          <w:lang w:val="nl-NL"/>
        </w:rPr>
        <w:t xml:space="preserve">onderworpen worden aan hogere belasting of aan zwaardere eisen moeten voldoen dan de eigen burgers van die andere </w:t>
      </w:r>
      <w:r w:rsidRPr="00BB7074" w:rsidR="008B5BF7">
        <w:rPr>
          <w:rFonts w:ascii="Verdana" w:hAnsi="Verdana"/>
          <w:sz w:val="18"/>
          <w:szCs w:val="18"/>
          <w:lang w:val="nl-NL"/>
        </w:rPr>
        <w:t>staat</w:t>
      </w:r>
      <w:r w:rsidRPr="00BB7074">
        <w:rPr>
          <w:rFonts w:ascii="Verdana" w:hAnsi="Verdana"/>
          <w:sz w:val="18"/>
          <w:szCs w:val="18"/>
          <w:lang w:val="nl-NL"/>
        </w:rPr>
        <w:t>.</w:t>
      </w:r>
      <w:r w:rsidRPr="00BB7074" w:rsidR="006175AF">
        <w:rPr>
          <w:rFonts w:ascii="Verdana" w:hAnsi="Verdana"/>
          <w:sz w:val="18"/>
          <w:szCs w:val="18"/>
          <w:lang w:val="nl-NL"/>
        </w:rPr>
        <w:t xml:space="preserve"> </w:t>
      </w:r>
    </w:p>
    <w:p w:rsidRPr="00BB7074" w:rsidR="002F0BBD" w:rsidP="00327403" w:rsidRDefault="006175AF" w14:paraId="3E180576" w14:textId="6F038F88">
      <w:pPr>
        <w:rPr>
          <w:rFonts w:ascii="Verdana" w:hAnsi="Verdana"/>
          <w:sz w:val="18"/>
          <w:szCs w:val="18"/>
          <w:lang w:val="nl-NL"/>
        </w:rPr>
      </w:pPr>
      <w:r w:rsidRPr="00BB7074">
        <w:rPr>
          <w:rFonts w:ascii="Verdana" w:hAnsi="Verdana"/>
          <w:sz w:val="18"/>
          <w:szCs w:val="18"/>
          <w:lang w:val="nl-NL"/>
        </w:rPr>
        <w:t>Het tweede lid regelt hetzelfde in de vergelijking tussen sta</w:t>
      </w:r>
      <w:r w:rsidR="00D17231">
        <w:rPr>
          <w:rFonts w:ascii="Verdana" w:hAnsi="Verdana"/>
          <w:sz w:val="18"/>
          <w:szCs w:val="18"/>
          <w:lang w:val="nl-NL"/>
        </w:rPr>
        <w:t>a</w:t>
      </w:r>
      <w:r w:rsidRPr="00BB7074">
        <w:rPr>
          <w:rFonts w:ascii="Verdana" w:hAnsi="Verdana"/>
          <w:sz w:val="18"/>
          <w:szCs w:val="18"/>
          <w:lang w:val="nl-NL"/>
        </w:rPr>
        <w:t>tloze personen d</w:t>
      </w:r>
      <w:r w:rsidRPr="00BB7074" w:rsidR="004915E4">
        <w:rPr>
          <w:rFonts w:ascii="Verdana" w:hAnsi="Verdana"/>
          <w:sz w:val="18"/>
          <w:szCs w:val="18"/>
          <w:lang w:val="nl-NL"/>
        </w:rPr>
        <w:t>ie inwoner zijn van een van de verdragsluitende s</w:t>
      </w:r>
      <w:r w:rsidRPr="00BB7074">
        <w:rPr>
          <w:rFonts w:ascii="Verdana" w:hAnsi="Verdana"/>
          <w:sz w:val="18"/>
          <w:szCs w:val="18"/>
          <w:lang w:val="nl-NL"/>
        </w:rPr>
        <w:t xml:space="preserve">taten en eigen burgers die inwoner zijn van die </w:t>
      </w:r>
      <w:r w:rsidRPr="00BB7074" w:rsidR="008B5BF7">
        <w:rPr>
          <w:rFonts w:ascii="Verdana" w:hAnsi="Verdana"/>
          <w:sz w:val="18"/>
          <w:szCs w:val="18"/>
          <w:lang w:val="nl-NL"/>
        </w:rPr>
        <w:t>staat</w:t>
      </w:r>
      <w:r w:rsidRPr="00BB7074">
        <w:rPr>
          <w:rFonts w:ascii="Verdana" w:hAnsi="Verdana"/>
          <w:sz w:val="18"/>
          <w:szCs w:val="18"/>
          <w:lang w:val="nl-NL"/>
        </w:rPr>
        <w:t>.</w:t>
      </w:r>
    </w:p>
    <w:p w:rsidRPr="00BB7074" w:rsidR="006175AF" w:rsidP="00327403" w:rsidRDefault="006175AF" w14:paraId="3D438BDC" w14:textId="34AD3CB1">
      <w:pPr>
        <w:rPr>
          <w:rFonts w:ascii="Verdana" w:hAnsi="Verdana"/>
          <w:sz w:val="18"/>
          <w:szCs w:val="18"/>
          <w:lang w:val="nl-NL"/>
        </w:rPr>
      </w:pPr>
      <w:r w:rsidRPr="00BB7074">
        <w:rPr>
          <w:rFonts w:ascii="Verdana" w:hAnsi="Verdana"/>
          <w:sz w:val="18"/>
          <w:szCs w:val="18"/>
          <w:lang w:val="nl-NL"/>
        </w:rPr>
        <w:t xml:space="preserve">Het derde lid schrijft voor dat </w:t>
      </w:r>
      <w:r w:rsidRPr="00BB7074" w:rsidR="004915E4">
        <w:rPr>
          <w:rFonts w:ascii="Verdana" w:hAnsi="Verdana"/>
          <w:sz w:val="18"/>
          <w:szCs w:val="18"/>
          <w:lang w:val="nl-NL"/>
        </w:rPr>
        <w:t xml:space="preserve">een vaste inrichting in de ene verdragsluitende </w:t>
      </w:r>
      <w:r w:rsidRPr="00BB7074" w:rsidR="008B5BF7">
        <w:rPr>
          <w:rFonts w:ascii="Verdana" w:hAnsi="Verdana"/>
          <w:sz w:val="18"/>
          <w:szCs w:val="18"/>
          <w:lang w:val="nl-NL"/>
        </w:rPr>
        <w:t>staat</w:t>
      </w:r>
      <w:r w:rsidRPr="00BB7074" w:rsidR="004915E4">
        <w:rPr>
          <w:rFonts w:ascii="Verdana" w:hAnsi="Verdana"/>
          <w:sz w:val="18"/>
          <w:szCs w:val="18"/>
          <w:lang w:val="nl-NL"/>
        </w:rPr>
        <w:t xml:space="preserve"> van een inwoner van de andere v</w:t>
      </w:r>
      <w:r w:rsidRPr="00BB7074">
        <w:rPr>
          <w:rFonts w:ascii="Verdana" w:hAnsi="Verdana"/>
          <w:sz w:val="18"/>
          <w:szCs w:val="18"/>
          <w:lang w:val="nl-NL"/>
        </w:rPr>
        <w:t xml:space="preserve">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niet ongunstiger behandeld mag worden dan een onderneming van een inwoner van die andere </w:t>
      </w:r>
      <w:r w:rsidRPr="00BB7074" w:rsidR="008B5BF7">
        <w:rPr>
          <w:rFonts w:ascii="Verdana" w:hAnsi="Verdana"/>
          <w:sz w:val="18"/>
          <w:szCs w:val="18"/>
          <w:lang w:val="nl-NL"/>
        </w:rPr>
        <w:t>staat</w:t>
      </w:r>
      <w:r w:rsidRPr="00BB7074">
        <w:rPr>
          <w:rFonts w:ascii="Verdana" w:hAnsi="Verdana"/>
          <w:sz w:val="18"/>
          <w:szCs w:val="18"/>
          <w:lang w:val="nl-NL"/>
        </w:rPr>
        <w:t>. Dat geldt niet voor persoonlijke tegemoetkomingen.</w:t>
      </w:r>
    </w:p>
    <w:p w:rsidRPr="00BB7074" w:rsidR="006175AF" w:rsidP="00327403" w:rsidRDefault="00CD75E0" w14:paraId="2340D639" w14:textId="724DDFD0">
      <w:pPr>
        <w:rPr>
          <w:rFonts w:ascii="Verdana" w:hAnsi="Verdana"/>
          <w:sz w:val="18"/>
          <w:szCs w:val="18"/>
          <w:lang w:val="nl-NL"/>
        </w:rPr>
      </w:pPr>
      <w:r w:rsidRPr="00BB7074">
        <w:rPr>
          <w:rFonts w:ascii="Verdana" w:hAnsi="Verdana"/>
          <w:sz w:val="18"/>
          <w:szCs w:val="18"/>
          <w:lang w:val="nl-NL"/>
        </w:rPr>
        <w:t xml:space="preserve">Het vierde lid bepaalt dat betalingen van een inwoner van de ene </w:t>
      </w:r>
      <w:r w:rsidRPr="00BB7074" w:rsidR="009F30D9">
        <w:rPr>
          <w:rFonts w:ascii="Verdana" w:hAnsi="Verdana"/>
          <w:sz w:val="18"/>
          <w:szCs w:val="18"/>
          <w:lang w:val="nl-NL"/>
        </w:rPr>
        <w:t>v</w:t>
      </w:r>
      <w:r w:rsidRPr="00BB7074">
        <w:rPr>
          <w:rFonts w:ascii="Verdana" w:hAnsi="Verdana"/>
          <w:sz w:val="18"/>
          <w:szCs w:val="18"/>
          <w:lang w:val="nl-NL"/>
        </w:rPr>
        <w:t xml:space="preserve">erdragsluitende </w:t>
      </w:r>
      <w:r w:rsidRPr="00BB7074" w:rsidR="008B5BF7">
        <w:rPr>
          <w:rFonts w:ascii="Verdana" w:hAnsi="Verdana"/>
          <w:sz w:val="18"/>
          <w:szCs w:val="18"/>
          <w:lang w:val="nl-NL"/>
        </w:rPr>
        <w:t>staat</w:t>
      </w:r>
      <w:r w:rsidRPr="00BB7074" w:rsidR="004915E4">
        <w:rPr>
          <w:rFonts w:ascii="Verdana" w:hAnsi="Verdana"/>
          <w:sz w:val="18"/>
          <w:szCs w:val="18"/>
          <w:lang w:val="nl-NL"/>
        </w:rPr>
        <w:t xml:space="preserve"> aan een inwoner van de andere v</w:t>
      </w:r>
      <w:r w:rsidRPr="00BB7074">
        <w:rPr>
          <w:rFonts w:ascii="Verdana" w:hAnsi="Verdana"/>
          <w:sz w:val="18"/>
          <w:szCs w:val="18"/>
          <w:lang w:val="nl-NL"/>
        </w:rPr>
        <w:t xml:space="preserve">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onder dezelfde omstandigheden aftrekbaar zijn als betalin</w:t>
      </w:r>
      <w:r w:rsidRPr="00BB7074" w:rsidR="004915E4">
        <w:rPr>
          <w:rFonts w:ascii="Verdana" w:hAnsi="Verdana"/>
          <w:sz w:val="18"/>
          <w:szCs w:val="18"/>
          <w:lang w:val="nl-NL"/>
        </w:rPr>
        <w:t>g aan een inwoner van dezelfde v</w:t>
      </w:r>
      <w:r w:rsidRPr="00BB7074">
        <w:rPr>
          <w:rFonts w:ascii="Verdana" w:hAnsi="Verdana"/>
          <w:sz w:val="18"/>
          <w:szCs w:val="18"/>
          <w:lang w:val="nl-NL"/>
        </w:rPr>
        <w:t xml:space="preserve">erdragsluitende </w:t>
      </w:r>
      <w:r w:rsidRPr="00BB7074" w:rsidR="008B5BF7">
        <w:rPr>
          <w:rFonts w:ascii="Verdana" w:hAnsi="Verdana"/>
          <w:sz w:val="18"/>
          <w:szCs w:val="18"/>
          <w:lang w:val="nl-NL"/>
        </w:rPr>
        <w:t>staat</w:t>
      </w:r>
      <w:r w:rsidRPr="00BB7074">
        <w:rPr>
          <w:rFonts w:ascii="Verdana" w:hAnsi="Verdana"/>
          <w:sz w:val="18"/>
          <w:szCs w:val="18"/>
          <w:lang w:val="nl-NL"/>
        </w:rPr>
        <w:t>.</w:t>
      </w:r>
      <w:r w:rsidRPr="00BB7074" w:rsidR="00813AB1">
        <w:rPr>
          <w:rFonts w:ascii="Verdana" w:hAnsi="Verdana"/>
          <w:sz w:val="18"/>
          <w:szCs w:val="18"/>
          <w:lang w:val="nl-NL"/>
        </w:rPr>
        <w:t xml:space="preserve"> Deze bepaling verhindert </w:t>
      </w:r>
      <w:r w:rsidRPr="00BB7074" w:rsidR="00813AB1">
        <w:rPr>
          <w:rFonts w:ascii="Verdana" w:hAnsi="Verdana"/>
          <w:sz w:val="18"/>
          <w:szCs w:val="18"/>
          <w:lang w:val="nl-NL"/>
        </w:rPr>
        <w:lastRenderedPageBreak/>
        <w:t xml:space="preserve">niet dat de regels voor zakelijke verrekenprijzen, zoals met name te vinden in het eerste lid van </w:t>
      </w:r>
      <w:r w:rsidR="00821B7A">
        <w:rPr>
          <w:rFonts w:ascii="Verdana" w:hAnsi="Verdana"/>
          <w:sz w:val="18"/>
          <w:szCs w:val="18"/>
          <w:lang w:val="nl-NL"/>
        </w:rPr>
        <w:t>a</w:t>
      </w:r>
      <w:r w:rsidRPr="00BB7074" w:rsidR="00813AB1">
        <w:rPr>
          <w:rFonts w:ascii="Verdana" w:hAnsi="Verdana"/>
          <w:sz w:val="18"/>
          <w:szCs w:val="18"/>
          <w:lang w:val="nl-NL"/>
        </w:rPr>
        <w:t>rtikel 9, worden toegepast.</w:t>
      </w:r>
    </w:p>
    <w:p w:rsidRPr="00BB7074" w:rsidR="00813AB1" w:rsidP="00327403" w:rsidRDefault="00813AB1" w14:paraId="5179971C" w14:textId="4956FAA1">
      <w:pPr>
        <w:rPr>
          <w:rFonts w:ascii="Verdana" w:hAnsi="Verdana"/>
          <w:sz w:val="18"/>
          <w:szCs w:val="18"/>
          <w:lang w:val="nl-NL"/>
        </w:rPr>
      </w:pPr>
      <w:r w:rsidRPr="00BB7074">
        <w:rPr>
          <w:rFonts w:ascii="Verdana" w:hAnsi="Verdana"/>
          <w:sz w:val="18"/>
          <w:szCs w:val="18"/>
          <w:lang w:val="nl-NL"/>
        </w:rPr>
        <w:t xml:space="preserve">Het vijfde lid verbiedt een afwijkende behandeling van ondernemingen in een van de </w:t>
      </w:r>
      <w:r w:rsidRPr="00BB7074" w:rsidR="004915E4">
        <w:rPr>
          <w:rFonts w:ascii="Verdana" w:hAnsi="Verdana"/>
          <w:sz w:val="18"/>
          <w:szCs w:val="18"/>
          <w:lang w:val="nl-NL"/>
        </w:rPr>
        <w:t>v</w:t>
      </w:r>
      <w:r w:rsidRPr="00BB7074">
        <w:rPr>
          <w:rFonts w:ascii="Verdana" w:hAnsi="Verdana"/>
          <w:sz w:val="18"/>
          <w:szCs w:val="18"/>
          <w:lang w:val="nl-NL"/>
        </w:rPr>
        <w:t xml:space="preserve">erdragsluitende </w:t>
      </w:r>
      <w:r w:rsidRPr="00BB7074" w:rsidR="004915E4">
        <w:rPr>
          <w:rFonts w:ascii="Verdana" w:hAnsi="Verdana"/>
          <w:sz w:val="18"/>
          <w:szCs w:val="18"/>
          <w:lang w:val="nl-NL"/>
        </w:rPr>
        <w:t>s</w:t>
      </w:r>
      <w:r w:rsidRPr="00BB7074">
        <w:rPr>
          <w:rFonts w:ascii="Verdana" w:hAnsi="Verdana"/>
          <w:sz w:val="18"/>
          <w:szCs w:val="18"/>
          <w:lang w:val="nl-NL"/>
        </w:rPr>
        <w:t xml:space="preserve">taten waarvan de aandelen (gedeeltelijk) in handen zijn van aandeelhouders in de andere </w:t>
      </w:r>
      <w:r w:rsidRPr="00BB7074" w:rsidR="004915E4">
        <w:rPr>
          <w:rFonts w:ascii="Verdana" w:hAnsi="Verdana"/>
          <w:sz w:val="18"/>
          <w:szCs w:val="18"/>
          <w:lang w:val="nl-NL"/>
        </w:rPr>
        <w:t>v</w:t>
      </w:r>
      <w:r w:rsidRPr="00BB7074">
        <w:rPr>
          <w:rFonts w:ascii="Verdana" w:hAnsi="Verdana"/>
          <w:sz w:val="18"/>
          <w:szCs w:val="18"/>
          <w:lang w:val="nl-NL"/>
        </w:rPr>
        <w:t xml:space="preserve">erdragsluitende </w:t>
      </w:r>
      <w:r w:rsidRPr="00BB7074" w:rsidR="008B5BF7">
        <w:rPr>
          <w:rFonts w:ascii="Verdana" w:hAnsi="Verdana"/>
          <w:sz w:val="18"/>
          <w:szCs w:val="18"/>
          <w:lang w:val="nl-NL"/>
        </w:rPr>
        <w:t>staat</w:t>
      </w:r>
      <w:r w:rsidRPr="00BB7074">
        <w:rPr>
          <w:rFonts w:ascii="Verdana" w:hAnsi="Verdana"/>
          <w:sz w:val="18"/>
          <w:szCs w:val="18"/>
          <w:lang w:val="nl-NL"/>
        </w:rPr>
        <w:t>.</w:t>
      </w:r>
    </w:p>
    <w:p w:rsidRPr="00BB7074" w:rsidR="00813AB1" w:rsidP="00327403" w:rsidRDefault="00813AB1" w14:paraId="0F4F6C6F" w14:textId="64B360B8">
      <w:pPr>
        <w:rPr>
          <w:rFonts w:ascii="Verdana" w:hAnsi="Verdana"/>
          <w:sz w:val="18"/>
          <w:szCs w:val="18"/>
          <w:lang w:val="nl-NL"/>
        </w:rPr>
      </w:pPr>
      <w:r w:rsidRPr="00BB7074">
        <w:rPr>
          <w:rFonts w:ascii="Verdana" w:hAnsi="Verdana"/>
          <w:sz w:val="18"/>
          <w:szCs w:val="18"/>
          <w:lang w:val="nl-NL"/>
        </w:rPr>
        <w:t>Het zesde lid bevat op verzoek van de Nederlandse delegatie</w:t>
      </w:r>
      <w:r w:rsidR="006A628D">
        <w:rPr>
          <w:rFonts w:ascii="Verdana" w:hAnsi="Verdana"/>
          <w:sz w:val="18"/>
          <w:szCs w:val="18"/>
          <w:lang w:val="nl-NL"/>
        </w:rPr>
        <w:t xml:space="preserve"> </w:t>
      </w:r>
      <w:r w:rsidR="00821B7A">
        <w:rPr>
          <w:rFonts w:ascii="Verdana" w:hAnsi="Verdana"/>
          <w:sz w:val="18"/>
          <w:szCs w:val="18"/>
          <w:lang w:val="nl-NL"/>
        </w:rPr>
        <w:t>en in aanvulli</w:t>
      </w:r>
      <w:r w:rsidR="00077EA8">
        <w:rPr>
          <w:rFonts w:ascii="Verdana" w:hAnsi="Verdana"/>
          <w:sz w:val="18"/>
          <w:szCs w:val="18"/>
          <w:lang w:val="nl-NL"/>
        </w:rPr>
        <w:t>n</w:t>
      </w:r>
      <w:r w:rsidR="00821B7A">
        <w:rPr>
          <w:rFonts w:ascii="Verdana" w:hAnsi="Verdana"/>
          <w:sz w:val="18"/>
          <w:szCs w:val="18"/>
          <w:lang w:val="nl-NL"/>
        </w:rPr>
        <w:t>g op het OESO</w:t>
      </w:r>
      <w:r w:rsidR="006A628D">
        <w:rPr>
          <w:rFonts w:ascii="Verdana" w:hAnsi="Verdana"/>
          <w:sz w:val="18"/>
          <w:szCs w:val="18"/>
          <w:lang w:val="nl-NL"/>
        </w:rPr>
        <w:t>-m</w:t>
      </w:r>
      <w:r w:rsidR="00821B7A">
        <w:rPr>
          <w:rFonts w:ascii="Verdana" w:hAnsi="Verdana"/>
          <w:sz w:val="18"/>
          <w:szCs w:val="18"/>
          <w:lang w:val="nl-NL"/>
        </w:rPr>
        <w:t xml:space="preserve">odelverdrag </w:t>
      </w:r>
      <w:r w:rsidRPr="00BB7074">
        <w:rPr>
          <w:rFonts w:ascii="Verdana" w:hAnsi="Verdana"/>
          <w:sz w:val="18"/>
          <w:szCs w:val="18"/>
          <w:lang w:val="nl-NL"/>
        </w:rPr>
        <w:t xml:space="preserve">een bepaling die, </w:t>
      </w:r>
      <w:r w:rsidR="006A628D">
        <w:rPr>
          <w:rFonts w:ascii="Verdana" w:hAnsi="Verdana"/>
          <w:sz w:val="18"/>
          <w:szCs w:val="18"/>
          <w:lang w:val="nl-NL"/>
        </w:rPr>
        <w:t>kort</w:t>
      </w:r>
      <w:r w:rsidRPr="00BB7074" w:rsidR="006A628D">
        <w:rPr>
          <w:rFonts w:ascii="Verdana" w:hAnsi="Verdana"/>
          <w:sz w:val="18"/>
          <w:szCs w:val="18"/>
          <w:lang w:val="nl-NL"/>
        </w:rPr>
        <w:t xml:space="preserve"> </w:t>
      </w:r>
      <w:r w:rsidRPr="00BB7074">
        <w:rPr>
          <w:rFonts w:ascii="Verdana" w:hAnsi="Verdana"/>
          <w:sz w:val="18"/>
          <w:szCs w:val="18"/>
          <w:lang w:val="nl-NL"/>
        </w:rPr>
        <w:t xml:space="preserve">weergegeven, regelt dat voor </w:t>
      </w:r>
      <w:r w:rsidRPr="00BB7074" w:rsidR="00C52033">
        <w:rPr>
          <w:rFonts w:ascii="Verdana" w:hAnsi="Verdana"/>
          <w:sz w:val="18"/>
          <w:szCs w:val="18"/>
          <w:lang w:val="nl-NL"/>
        </w:rPr>
        <w:t xml:space="preserve">een </w:t>
      </w:r>
      <w:r w:rsidRPr="00BB7074">
        <w:rPr>
          <w:rFonts w:ascii="Verdana" w:hAnsi="Verdana"/>
          <w:sz w:val="18"/>
          <w:szCs w:val="18"/>
          <w:lang w:val="nl-NL"/>
        </w:rPr>
        <w:t>deelnemer</w:t>
      </w:r>
      <w:r w:rsidRPr="00BB7074" w:rsidR="00C52033">
        <w:rPr>
          <w:rFonts w:ascii="Verdana" w:hAnsi="Verdana"/>
          <w:sz w:val="18"/>
          <w:szCs w:val="18"/>
          <w:lang w:val="nl-NL"/>
        </w:rPr>
        <w:t xml:space="preserve"> </w:t>
      </w:r>
      <w:r w:rsidRPr="00BB7074">
        <w:rPr>
          <w:rFonts w:ascii="Verdana" w:hAnsi="Verdana"/>
          <w:sz w:val="18"/>
          <w:szCs w:val="18"/>
          <w:lang w:val="nl-NL"/>
        </w:rPr>
        <w:t xml:space="preserve">aan een pensioenplan in een van de </w:t>
      </w:r>
      <w:r w:rsidRPr="00BB7074" w:rsidR="009F30D9">
        <w:rPr>
          <w:rFonts w:ascii="Verdana" w:hAnsi="Verdana"/>
          <w:sz w:val="18"/>
          <w:szCs w:val="18"/>
          <w:lang w:val="nl-NL"/>
        </w:rPr>
        <w:t>v</w:t>
      </w:r>
      <w:r w:rsidRPr="00BB7074">
        <w:rPr>
          <w:rFonts w:ascii="Verdana" w:hAnsi="Verdana"/>
          <w:sz w:val="18"/>
          <w:szCs w:val="18"/>
          <w:lang w:val="nl-NL"/>
        </w:rPr>
        <w:t xml:space="preserve">erdragsluitende </w:t>
      </w:r>
      <w:r w:rsidRPr="00BB7074" w:rsidR="009F30D9">
        <w:rPr>
          <w:rFonts w:ascii="Verdana" w:hAnsi="Verdana"/>
          <w:sz w:val="18"/>
          <w:szCs w:val="18"/>
          <w:lang w:val="nl-NL"/>
        </w:rPr>
        <w:t>s</w:t>
      </w:r>
      <w:r w:rsidRPr="00BB7074">
        <w:rPr>
          <w:rFonts w:ascii="Verdana" w:hAnsi="Verdana"/>
          <w:sz w:val="18"/>
          <w:szCs w:val="18"/>
          <w:lang w:val="nl-NL"/>
        </w:rPr>
        <w:t>ta</w:t>
      </w:r>
      <w:r w:rsidRPr="00BB7074" w:rsidR="004915E4">
        <w:rPr>
          <w:rFonts w:ascii="Verdana" w:hAnsi="Verdana"/>
          <w:sz w:val="18"/>
          <w:szCs w:val="18"/>
          <w:lang w:val="nl-NL"/>
        </w:rPr>
        <w:t>ten die tijdelijk in de andere v</w:t>
      </w:r>
      <w:r w:rsidRPr="00BB7074">
        <w:rPr>
          <w:rFonts w:ascii="Verdana" w:hAnsi="Verdana"/>
          <w:sz w:val="18"/>
          <w:szCs w:val="18"/>
          <w:lang w:val="nl-NL"/>
        </w:rPr>
        <w:t xml:space="preserve">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woont</w:t>
      </w:r>
      <w:r w:rsidR="00BB4D8D">
        <w:rPr>
          <w:rFonts w:ascii="Verdana" w:hAnsi="Verdana"/>
          <w:sz w:val="18"/>
          <w:szCs w:val="18"/>
          <w:lang w:val="nl-NL"/>
        </w:rPr>
        <w:t>,</w:t>
      </w:r>
      <w:r w:rsidRPr="00BB7074">
        <w:rPr>
          <w:rFonts w:ascii="Verdana" w:hAnsi="Verdana"/>
          <w:sz w:val="18"/>
          <w:szCs w:val="18"/>
          <w:lang w:val="nl-NL"/>
        </w:rPr>
        <w:t xml:space="preserve"> de betaalde premies aftrekbaar blijven alsof hij </w:t>
      </w:r>
      <w:r w:rsidRPr="00BB7074" w:rsidR="00682881">
        <w:rPr>
          <w:rFonts w:ascii="Verdana" w:hAnsi="Verdana"/>
          <w:sz w:val="18"/>
          <w:szCs w:val="18"/>
          <w:lang w:val="nl-NL"/>
        </w:rPr>
        <w:t xml:space="preserve">bijdroeg aan een pensioenplan in de </w:t>
      </w:r>
      <w:r w:rsidRPr="00BB7074" w:rsidR="008B5BF7">
        <w:rPr>
          <w:rFonts w:ascii="Verdana" w:hAnsi="Verdana"/>
          <w:sz w:val="18"/>
          <w:szCs w:val="18"/>
          <w:lang w:val="nl-NL"/>
        </w:rPr>
        <w:t>staat</w:t>
      </w:r>
      <w:r w:rsidRPr="00BB7074" w:rsidR="00682881">
        <w:rPr>
          <w:rFonts w:ascii="Verdana" w:hAnsi="Verdana"/>
          <w:sz w:val="18"/>
          <w:szCs w:val="18"/>
          <w:lang w:val="nl-NL"/>
        </w:rPr>
        <w:t xml:space="preserve"> waar hij tijdelijk woont.</w:t>
      </w:r>
    </w:p>
    <w:p w:rsidRPr="00BB7074" w:rsidR="00682881" w:rsidP="00327403" w:rsidRDefault="00682881" w14:paraId="0B069F53" w14:textId="4D2088EB">
      <w:pPr>
        <w:rPr>
          <w:rFonts w:ascii="Verdana" w:hAnsi="Verdana"/>
          <w:sz w:val="18"/>
          <w:szCs w:val="18"/>
          <w:lang w:val="nl-NL"/>
        </w:rPr>
      </w:pPr>
      <w:r w:rsidRPr="00BB7074">
        <w:rPr>
          <w:rFonts w:ascii="Verdana" w:hAnsi="Verdana"/>
          <w:sz w:val="18"/>
          <w:szCs w:val="18"/>
          <w:lang w:val="nl-NL"/>
        </w:rPr>
        <w:t xml:space="preserve">In het zevende lid is opgenomen dat de bepalingen van dit </w:t>
      </w:r>
      <w:r w:rsidRPr="00BB7074" w:rsidR="00F80C60">
        <w:rPr>
          <w:rFonts w:ascii="Verdana" w:hAnsi="Verdana"/>
          <w:sz w:val="18"/>
          <w:szCs w:val="18"/>
          <w:lang w:val="nl-NL"/>
        </w:rPr>
        <w:t>a</w:t>
      </w:r>
      <w:r w:rsidRPr="00BB7074">
        <w:rPr>
          <w:rFonts w:ascii="Verdana" w:hAnsi="Verdana"/>
          <w:sz w:val="18"/>
          <w:szCs w:val="18"/>
          <w:lang w:val="nl-NL"/>
        </w:rPr>
        <w:t xml:space="preserve">rtikel gelden voor alle soorten belasting, ook als deze niet zijn opgenomen in </w:t>
      </w:r>
      <w:r w:rsidRPr="00BB7074" w:rsidR="00F80C60">
        <w:rPr>
          <w:rFonts w:ascii="Verdana" w:hAnsi="Verdana"/>
          <w:sz w:val="18"/>
          <w:szCs w:val="18"/>
          <w:lang w:val="nl-NL"/>
        </w:rPr>
        <w:t>a</w:t>
      </w:r>
      <w:r w:rsidRPr="00BB7074">
        <w:rPr>
          <w:rFonts w:ascii="Verdana" w:hAnsi="Verdana"/>
          <w:sz w:val="18"/>
          <w:szCs w:val="18"/>
          <w:lang w:val="nl-NL"/>
        </w:rPr>
        <w:t>rtikel 2.</w:t>
      </w:r>
    </w:p>
    <w:p w:rsidRPr="00BB7074" w:rsidR="00307E15" w:rsidP="00B603B8" w:rsidRDefault="00936DF5" w14:paraId="1D2B8C63" w14:textId="4044E141">
      <w:pPr>
        <w:pStyle w:val="Heading2"/>
        <w:rPr>
          <w:lang w:val="nl-NL"/>
        </w:rPr>
      </w:pPr>
      <w:r w:rsidRPr="00BB7074">
        <w:rPr>
          <w:lang w:val="nl-NL"/>
        </w:rPr>
        <w:t xml:space="preserve">II.23. </w:t>
      </w:r>
      <w:r w:rsidRPr="00BB7074" w:rsidR="00AF1152">
        <w:rPr>
          <w:lang w:val="nl-NL"/>
        </w:rPr>
        <w:t>Procedure voor onderling overleg</w:t>
      </w:r>
      <w:r w:rsidRPr="00BB7074" w:rsidR="003453FA">
        <w:rPr>
          <w:lang w:val="nl-NL"/>
        </w:rPr>
        <w:t xml:space="preserve"> (</w:t>
      </w:r>
      <w:r w:rsidR="00A9054D">
        <w:rPr>
          <w:lang w:val="nl-NL"/>
        </w:rPr>
        <w:t xml:space="preserve">artikel 23 van het Verdrag </w:t>
      </w:r>
      <w:r w:rsidRPr="00BB7074" w:rsidR="003453FA">
        <w:rPr>
          <w:lang w:val="nl-NL"/>
        </w:rPr>
        <w:t xml:space="preserve">en </w:t>
      </w:r>
      <w:r w:rsidR="005672D9">
        <w:rPr>
          <w:lang w:val="nl-NL"/>
        </w:rPr>
        <w:t xml:space="preserve">de </w:t>
      </w:r>
      <w:r w:rsidRPr="00BB7074" w:rsidR="003453FA">
        <w:rPr>
          <w:lang w:val="nl-NL"/>
        </w:rPr>
        <w:t xml:space="preserve">artikelen III en </w:t>
      </w:r>
      <w:r w:rsidR="006F342C">
        <w:rPr>
          <w:lang w:val="nl-NL"/>
        </w:rPr>
        <w:t>X</w:t>
      </w:r>
      <w:r w:rsidRPr="00BB7074" w:rsidR="003453FA">
        <w:rPr>
          <w:lang w:val="nl-NL"/>
        </w:rPr>
        <w:t>III van het Protocol)</w:t>
      </w:r>
    </w:p>
    <w:p w:rsidRPr="00BB7074" w:rsidR="00596837" w:rsidP="00C459AA" w:rsidRDefault="00596837" w14:paraId="4F5C2365" w14:textId="7D293E15">
      <w:pPr>
        <w:rPr>
          <w:rFonts w:ascii="Verdana" w:hAnsi="Verdana"/>
          <w:sz w:val="18"/>
          <w:szCs w:val="18"/>
          <w:lang w:val="nl-NL"/>
        </w:rPr>
      </w:pPr>
      <w:r w:rsidRPr="00BB7074">
        <w:rPr>
          <w:rFonts w:ascii="Verdana" w:hAnsi="Verdana"/>
          <w:sz w:val="18"/>
          <w:szCs w:val="18"/>
          <w:lang w:val="nl-NL"/>
        </w:rPr>
        <w:t xml:space="preserve">Artikel </w:t>
      </w:r>
      <w:r w:rsidRPr="00BB7074" w:rsidR="00C459AA">
        <w:rPr>
          <w:rFonts w:ascii="Verdana" w:hAnsi="Verdana"/>
          <w:sz w:val="18"/>
          <w:szCs w:val="18"/>
          <w:lang w:val="nl-NL"/>
        </w:rPr>
        <w:t>23</w:t>
      </w:r>
      <w:r w:rsidRPr="00BB7074">
        <w:rPr>
          <w:rFonts w:ascii="Verdana" w:hAnsi="Verdana"/>
          <w:sz w:val="18"/>
          <w:szCs w:val="18"/>
          <w:lang w:val="nl-NL"/>
        </w:rPr>
        <w:t xml:space="preserve"> </w:t>
      </w:r>
      <w:r w:rsidRPr="00BB7074" w:rsidR="00F80C60">
        <w:rPr>
          <w:rFonts w:ascii="Verdana" w:hAnsi="Verdana"/>
          <w:sz w:val="18"/>
          <w:szCs w:val="18"/>
          <w:lang w:val="nl-NL"/>
        </w:rPr>
        <w:t xml:space="preserve">van het Verdrag </w:t>
      </w:r>
      <w:r w:rsidRPr="00BB7074">
        <w:rPr>
          <w:rFonts w:ascii="Verdana" w:hAnsi="Verdana"/>
          <w:sz w:val="18"/>
          <w:szCs w:val="18"/>
          <w:lang w:val="nl-NL"/>
        </w:rPr>
        <w:t>bevat een regeling voor onderling overleg tussen de verdragsluitende staten (onderlinge</w:t>
      </w:r>
      <w:r w:rsidRPr="00BB7074" w:rsidR="00C459AA">
        <w:rPr>
          <w:rFonts w:ascii="Verdana" w:hAnsi="Verdana"/>
          <w:sz w:val="18"/>
          <w:szCs w:val="18"/>
          <w:lang w:val="nl-NL"/>
        </w:rPr>
        <w:t xml:space="preserve"> </w:t>
      </w:r>
      <w:r w:rsidRPr="00BB7074">
        <w:rPr>
          <w:rFonts w:ascii="Verdana" w:hAnsi="Verdana"/>
          <w:sz w:val="18"/>
          <w:szCs w:val="18"/>
          <w:lang w:val="nl-NL"/>
        </w:rPr>
        <w:t xml:space="preserve">overlegprocedure). Een inwoner van een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kan bij de bevoegde autoriteiten van</w:t>
      </w:r>
      <w:r w:rsidRPr="00BB7074" w:rsidR="00C459AA">
        <w:rPr>
          <w:rFonts w:ascii="Verdana" w:hAnsi="Verdana"/>
          <w:sz w:val="18"/>
          <w:szCs w:val="18"/>
          <w:lang w:val="nl-NL"/>
        </w:rPr>
        <w:t xml:space="preserve"> </w:t>
      </w:r>
      <w:r w:rsidRPr="00BB7074">
        <w:rPr>
          <w:rFonts w:ascii="Verdana" w:hAnsi="Verdana"/>
          <w:sz w:val="18"/>
          <w:szCs w:val="18"/>
          <w:lang w:val="nl-NL"/>
        </w:rPr>
        <w:t>beide verdragsluitende staten om een onderlinge overlegprocedure verzoeken wanneer deze inwoner</w:t>
      </w:r>
      <w:r w:rsidRPr="00BB7074" w:rsidR="00C459AA">
        <w:rPr>
          <w:rFonts w:ascii="Verdana" w:hAnsi="Verdana"/>
          <w:sz w:val="18"/>
          <w:szCs w:val="18"/>
          <w:lang w:val="nl-NL"/>
        </w:rPr>
        <w:t xml:space="preserve"> </w:t>
      </w:r>
      <w:r w:rsidRPr="00BB7074">
        <w:rPr>
          <w:rFonts w:ascii="Verdana" w:hAnsi="Verdana"/>
          <w:sz w:val="18"/>
          <w:szCs w:val="18"/>
          <w:lang w:val="nl-NL"/>
        </w:rPr>
        <w:t>van mening is dat de maatregelen van één of van beide staten voor hem leiden of zullen leiden tot</w:t>
      </w:r>
      <w:r w:rsidRPr="00BB7074" w:rsidR="00C459AA">
        <w:rPr>
          <w:rFonts w:ascii="Verdana" w:hAnsi="Verdana"/>
          <w:sz w:val="18"/>
          <w:szCs w:val="18"/>
          <w:lang w:val="nl-NL"/>
        </w:rPr>
        <w:t xml:space="preserve"> </w:t>
      </w:r>
      <w:r w:rsidRPr="00BB7074">
        <w:rPr>
          <w:rFonts w:ascii="Verdana" w:hAnsi="Verdana"/>
          <w:sz w:val="18"/>
          <w:szCs w:val="18"/>
          <w:lang w:val="nl-NL"/>
        </w:rPr>
        <w:t>belastingheffing die niet in overeenstemming is met het Verdrag. Dit kan zich, bijvoorbeeld, voordoen</w:t>
      </w:r>
      <w:r w:rsidRPr="00BB7074" w:rsidR="00C459AA">
        <w:rPr>
          <w:rFonts w:ascii="Verdana" w:hAnsi="Verdana"/>
          <w:sz w:val="18"/>
          <w:szCs w:val="18"/>
          <w:lang w:val="nl-NL"/>
        </w:rPr>
        <w:t xml:space="preserve"> </w:t>
      </w:r>
      <w:r w:rsidRPr="00BB7074">
        <w:rPr>
          <w:rFonts w:ascii="Verdana" w:hAnsi="Verdana"/>
          <w:sz w:val="18"/>
          <w:szCs w:val="18"/>
          <w:lang w:val="nl-NL"/>
        </w:rPr>
        <w:t>als bepalingen van het Verdrag in beide verdragsluitende staten verschillend worden uitgelegd en</w:t>
      </w:r>
      <w:r w:rsidRPr="00BB7074" w:rsidR="00C459AA">
        <w:rPr>
          <w:rFonts w:ascii="Verdana" w:hAnsi="Verdana"/>
          <w:sz w:val="18"/>
          <w:szCs w:val="18"/>
          <w:lang w:val="nl-NL"/>
        </w:rPr>
        <w:t xml:space="preserve"> </w:t>
      </w:r>
      <w:r w:rsidRPr="00BB7074">
        <w:rPr>
          <w:rFonts w:ascii="Verdana" w:hAnsi="Verdana"/>
          <w:sz w:val="18"/>
          <w:szCs w:val="18"/>
          <w:lang w:val="nl-NL"/>
        </w:rPr>
        <w:t>toegepast, of wanneer beide staten een verschillende winsttoedeling hanteren, waardoor ondanks het</w:t>
      </w:r>
      <w:r w:rsidRPr="00BB7074" w:rsidR="00C459AA">
        <w:rPr>
          <w:rFonts w:ascii="Verdana" w:hAnsi="Verdana"/>
          <w:sz w:val="18"/>
          <w:szCs w:val="18"/>
          <w:lang w:val="nl-NL"/>
        </w:rPr>
        <w:t xml:space="preserve"> </w:t>
      </w:r>
      <w:r w:rsidRPr="00BB7074">
        <w:rPr>
          <w:rFonts w:ascii="Verdana" w:hAnsi="Verdana"/>
          <w:sz w:val="18"/>
          <w:szCs w:val="18"/>
          <w:lang w:val="nl-NL"/>
        </w:rPr>
        <w:t>Verdrag toch dubbele belasting ont</w:t>
      </w:r>
      <w:r w:rsidRPr="00BB7074" w:rsidR="008B5BF7">
        <w:rPr>
          <w:rFonts w:ascii="Verdana" w:hAnsi="Verdana"/>
          <w:sz w:val="18"/>
          <w:szCs w:val="18"/>
          <w:lang w:val="nl-NL"/>
        </w:rPr>
        <w:t>staat</w:t>
      </w:r>
      <w:r w:rsidRPr="00BB7074">
        <w:rPr>
          <w:rFonts w:ascii="Verdana" w:hAnsi="Verdana"/>
          <w:sz w:val="18"/>
          <w:szCs w:val="18"/>
          <w:lang w:val="nl-NL"/>
        </w:rPr>
        <w:t>.</w:t>
      </w:r>
    </w:p>
    <w:p w:rsidRPr="00BB7074" w:rsidR="00381CEA" w:rsidP="00381CEA" w:rsidRDefault="00381CEA" w14:paraId="318A1CCC" w14:textId="4C271D0D">
      <w:pPr>
        <w:rPr>
          <w:rFonts w:ascii="Verdana" w:hAnsi="Verdana"/>
          <w:sz w:val="18"/>
          <w:szCs w:val="18"/>
          <w:lang w:val="nl-NL"/>
        </w:rPr>
      </w:pPr>
      <w:r w:rsidRPr="00BB7074">
        <w:rPr>
          <w:rFonts w:ascii="Verdana" w:hAnsi="Verdana"/>
          <w:sz w:val="18"/>
          <w:szCs w:val="18"/>
          <w:lang w:val="nl-NL"/>
        </w:rPr>
        <w:t>In het eerste lid is neergelegd dat een persoon een verzoek kan indienen voor onderling overleg tussen de bevoegde autoriteiten indien in zijn ogen sprake is van heffing die in strijd is met het Verdrag. De tweede zin bepaalt dat het verzoek moet worden ingediend binnen drie jaar nadat de maatregel die mogelijk belastingheffing in strijd met het belastingverdrag tot gevolg heeft voor het eerst bekend gemaakt is aan de belastingplichtige. Nederland heeft de procedure daarvoor uitgewerkt in het Besluit Onderlinge Overlegprocedures.</w:t>
      </w:r>
      <w:r w:rsidRPr="00BB7074">
        <w:rPr>
          <w:rStyle w:val="FootnoteReference"/>
          <w:rFonts w:ascii="Verdana" w:hAnsi="Verdana"/>
          <w:sz w:val="18"/>
          <w:szCs w:val="18"/>
          <w:lang w:val="nl-NL"/>
        </w:rPr>
        <w:footnoteReference w:id="12"/>
      </w:r>
    </w:p>
    <w:p w:rsidRPr="00BB7074" w:rsidR="00381CEA" w:rsidP="00C459AA" w:rsidRDefault="00381CEA" w14:paraId="701E88DF" w14:textId="622868F0">
      <w:pPr>
        <w:rPr>
          <w:rFonts w:ascii="Verdana" w:hAnsi="Verdana"/>
          <w:sz w:val="18"/>
          <w:szCs w:val="18"/>
          <w:lang w:val="nl-NL"/>
        </w:rPr>
      </w:pPr>
      <w:r w:rsidRPr="00BB7074">
        <w:rPr>
          <w:rFonts w:ascii="Verdana" w:hAnsi="Verdana"/>
          <w:sz w:val="18"/>
          <w:szCs w:val="18"/>
          <w:lang w:val="nl-NL"/>
        </w:rPr>
        <w:t xml:space="preserve">Het verbeteren van de beslechting van geschillen over dubbele belastingen was </w:t>
      </w:r>
      <w:r w:rsidR="009E6297">
        <w:rPr>
          <w:rFonts w:ascii="Verdana" w:hAnsi="Verdana"/>
          <w:sz w:val="18"/>
          <w:szCs w:val="18"/>
          <w:lang w:val="nl-NL"/>
        </w:rPr>
        <w:t>een</w:t>
      </w:r>
      <w:r w:rsidRPr="00BB7074" w:rsidR="009E6297">
        <w:rPr>
          <w:rFonts w:ascii="Verdana" w:hAnsi="Verdana"/>
          <w:sz w:val="18"/>
          <w:szCs w:val="18"/>
          <w:lang w:val="nl-NL"/>
        </w:rPr>
        <w:t xml:space="preserve"> </w:t>
      </w:r>
      <w:r w:rsidRPr="00BB7074">
        <w:rPr>
          <w:rFonts w:ascii="Verdana" w:hAnsi="Verdana"/>
          <w:sz w:val="18"/>
          <w:szCs w:val="18"/>
          <w:lang w:val="nl-NL"/>
        </w:rPr>
        <w:t xml:space="preserve">van de onderdelen van het </w:t>
      </w:r>
      <w:r w:rsidRPr="00BB7074" w:rsidR="00DE7CC9">
        <w:rPr>
          <w:rFonts w:ascii="Verdana" w:hAnsi="Verdana"/>
          <w:sz w:val="18"/>
          <w:szCs w:val="18"/>
          <w:lang w:val="nl-NL"/>
        </w:rPr>
        <w:t>BEPS-</w:t>
      </w:r>
      <w:r w:rsidRPr="00BB7074">
        <w:rPr>
          <w:rFonts w:ascii="Verdana" w:hAnsi="Verdana"/>
          <w:sz w:val="18"/>
          <w:szCs w:val="18"/>
          <w:lang w:val="nl-NL"/>
        </w:rPr>
        <w:t>project (actie 14). E</w:t>
      </w:r>
      <w:r w:rsidR="009E6297">
        <w:rPr>
          <w:rFonts w:ascii="Verdana" w:hAnsi="Verdana"/>
          <w:sz w:val="18"/>
          <w:szCs w:val="18"/>
          <w:lang w:val="nl-NL"/>
        </w:rPr>
        <w:t>e</w:t>
      </w:r>
      <w:r w:rsidRPr="00BB7074">
        <w:rPr>
          <w:rFonts w:ascii="Verdana" w:hAnsi="Verdana"/>
          <w:sz w:val="18"/>
          <w:szCs w:val="18"/>
          <w:lang w:val="nl-NL"/>
        </w:rPr>
        <w:t xml:space="preserve">n van de aanbevelingen die daaruit volgde is die om in het eerste lid van dit artikel op te nemen dat belastingplichtige zijn verzoek </w:t>
      </w:r>
      <w:r w:rsidRPr="00BB7074" w:rsidR="005719C6">
        <w:rPr>
          <w:rFonts w:ascii="Verdana" w:hAnsi="Verdana"/>
          <w:sz w:val="18"/>
          <w:szCs w:val="18"/>
          <w:lang w:val="nl-NL"/>
        </w:rPr>
        <w:t xml:space="preserve">naar keuze </w:t>
      </w:r>
      <w:r w:rsidRPr="00BB7074">
        <w:rPr>
          <w:rFonts w:ascii="Verdana" w:hAnsi="Verdana"/>
          <w:sz w:val="18"/>
          <w:szCs w:val="18"/>
          <w:lang w:val="nl-NL"/>
        </w:rPr>
        <w:t xml:space="preserve">in een van beide landen kan indienen. </w:t>
      </w:r>
    </w:p>
    <w:p w:rsidRPr="00BB7074" w:rsidR="00381CEA" w:rsidP="00C459AA" w:rsidRDefault="00381CEA" w14:paraId="4401502E" w14:textId="5D07A516">
      <w:pPr>
        <w:rPr>
          <w:rFonts w:ascii="Verdana" w:hAnsi="Verdana"/>
          <w:sz w:val="18"/>
          <w:szCs w:val="18"/>
          <w:lang w:val="nl-NL"/>
        </w:rPr>
      </w:pPr>
      <w:r w:rsidRPr="00BB7074">
        <w:rPr>
          <w:rFonts w:ascii="Verdana" w:hAnsi="Verdana"/>
          <w:sz w:val="18"/>
          <w:szCs w:val="18"/>
          <w:lang w:val="nl-NL"/>
        </w:rPr>
        <w:t xml:space="preserve">Het tweede lid bevat een inspanningsverplichting voor de bevoegde autoriteiten om – indien een verzoek gegrond voorkomt en de bevoegde autoriteit van de </w:t>
      </w:r>
      <w:r w:rsidRPr="00BB7074" w:rsidR="00F80C60">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waaraan het verzoek om onderling overleg is gedaan niet zelfstandig in </w:t>
      </w:r>
      <w:r w:rsidRPr="00BB7074" w:rsidR="008B5BF7">
        <w:rPr>
          <w:rFonts w:ascii="Verdana" w:hAnsi="Verdana"/>
          <w:sz w:val="18"/>
          <w:szCs w:val="18"/>
          <w:lang w:val="nl-NL"/>
        </w:rPr>
        <w:t>staat</w:t>
      </w:r>
      <w:r w:rsidRPr="00BB7074">
        <w:rPr>
          <w:rFonts w:ascii="Verdana" w:hAnsi="Verdana"/>
          <w:sz w:val="18"/>
          <w:szCs w:val="18"/>
          <w:lang w:val="nl-NL"/>
        </w:rPr>
        <w:t xml:space="preserve"> is een </w:t>
      </w:r>
      <w:r w:rsidR="00FB00BD">
        <w:rPr>
          <w:rFonts w:ascii="Verdana" w:hAnsi="Verdana"/>
          <w:sz w:val="18"/>
          <w:szCs w:val="18"/>
          <w:lang w:val="nl-NL"/>
        </w:rPr>
        <w:t>tevredenstellende</w:t>
      </w:r>
      <w:r w:rsidRPr="00BB7074" w:rsidR="00FB00BD">
        <w:rPr>
          <w:rFonts w:ascii="Verdana" w:hAnsi="Verdana"/>
          <w:sz w:val="18"/>
          <w:szCs w:val="18"/>
          <w:lang w:val="nl-NL"/>
        </w:rPr>
        <w:t xml:space="preserve"> </w:t>
      </w:r>
      <w:r w:rsidRPr="00BB7074">
        <w:rPr>
          <w:rFonts w:ascii="Verdana" w:hAnsi="Verdana"/>
          <w:sz w:val="18"/>
          <w:szCs w:val="18"/>
          <w:lang w:val="nl-NL"/>
        </w:rPr>
        <w:t xml:space="preserve">oplossing te bereiken – in onderling overleg belastingheffing die in strijd is met het belastingverdrag weg te nemen. In de tweede zin is de verplichting opgenomen voor de staten om niettegenstaande de termijnen in hun nationale wetgeving de uitkomst van dat onderling </w:t>
      </w:r>
      <w:r w:rsidRPr="007F46E5">
        <w:rPr>
          <w:rFonts w:ascii="Verdana" w:hAnsi="Verdana"/>
          <w:sz w:val="18"/>
          <w:szCs w:val="18"/>
          <w:lang w:val="nl-NL"/>
        </w:rPr>
        <w:t>overleg te implementeren.</w:t>
      </w:r>
      <w:r w:rsidRPr="007F46E5" w:rsidR="00014799">
        <w:rPr>
          <w:rFonts w:ascii="Verdana" w:hAnsi="Verdana"/>
          <w:sz w:val="18"/>
          <w:szCs w:val="18"/>
          <w:lang w:val="nl-NL"/>
        </w:rPr>
        <w:t xml:space="preserve"> Daarbij blijven overigens de termijnen die zijn opgen</w:t>
      </w:r>
      <w:r w:rsidRPr="007F46E5" w:rsidR="007F46E5">
        <w:rPr>
          <w:rFonts w:ascii="Verdana" w:hAnsi="Verdana"/>
          <w:sz w:val="18"/>
          <w:szCs w:val="18"/>
          <w:lang w:val="nl-NL"/>
        </w:rPr>
        <w:t>o</w:t>
      </w:r>
      <w:r w:rsidRPr="007F46E5" w:rsidR="00014799">
        <w:rPr>
          <w:rFonts w:ascii="Verdana" w:hAnsi="Verdana"/>
          <w:sz w:val="18"/>
          <w:szCs w:val="18"/>
          <w:lang w:val="nl-NL"/>
        </w:rPr>
        <w:t xml:space="preserve">men in het derde </w:t>
      </w:r>
      <w:r w:rsidRPr="007F46E5" w:rsidR="00014799">
        <w:rPr>
          <w:rFonts w:ascii="Verdana" w:hAnsi="Verdana"/>
          <w:sz w:val="18"/>
          <w:szCs w:val="18"/>
          <w:lang w:val="nl-NL"/>
        </w:rPr>
        <w:lastRenderedPageBreak/>
        <w:t>lid van artikel 7 en het tweede lid artikel 9 wel een rol spelen. Alleen indien een van de verdragsluitende staten binnen die termijnen een winstcorrectie aanbrengt is de andere staat verplicht, onder de genoemde voorwaarden, een corresponderende correctie toe te passen.</w:t>
      </w:r>
      <w:r w:rsidRPr="00BB7074" w:rsidR="00DA6F10">
        <w:rPr>
          <w:rFonts w:ascii="Verdana" w:hAnsi="Verdana"/>
          <w:sz w:val="18"/>
          <w:szCs w:val="18"/>
          <w:lang w:val="nl-NL"/>
        </w:rPr>
        <w:t xml:space="preserve"> </w:t>
      </w:r>
    </w:p>
    <w:p w:rsidRPr="00BB7074" w:rsidR="00596837" w:rsidP="00C459AA" w:rsidRDefault="00381CEA" w14:paraId="6585FAB0" w14:textId="74C1BE27">
      <w:pPr>
        <w:rPr>
          <w:rFonts w:ascii="Verdana" w:hAnsi="Verdana"/>
          <w:sz w:val="18"/>
          <w:szCs w:val="18"/>
          <w:lang w:val="nl-NL"/>
        </w:rPr>
      </w:pPr>
      <w:r w:rsidRPr="00BB7074">
        <w:rPr>
          <w:rFonts w:ascii="Verdana" w:hAnsi="Verdana"/>
          <w:sz w:val="18"/>
          <w:szCs w:val="18"/>
          <w:lang w:val="nl-NL"/>
        </w:rPr>
        <w:t>Het derde lid geeft de verdragsluitende staten de mogelijkheid onduidelijkheden of problemen bij de toepassing van het Verdrag in onderling overleg op te lossen. In dit lid is expliciet opgenomen dat deze mogelijkheid zowel be</w:t>
      </w:r>
      <w:r w:rsidRPr="00BB7074" w:rsidR="008B5BF7">
        <w:rPr>
          <w:rFonts w:ascii="Verdana" w:hAnsi="Verdana"/>
          <w:sz w:val="18"/>
          <w:szCs w:val="18"/>
          <w:lang w:val="nl-NL"/>
        </w:rPr>
        <w:t>staat</w:t>
      </w:r>
      <w:r w:rsidRPr="00BB7074">
        <w:rPr>
          <w:rFonts w:ascii="Verdana" w:hAnsi="Verdana"/>
          <w:sz w:val="18"/>
          <w:szCs w:val="18"/>
          <w:lang w:val="nl-NL"/>
        </w:rPr>
        <w:t xml:space="preserve"> voor gevallen waarin sprake is van dubbele belasting als voor gevallen waarin sprake is van dubbele niet-belasting.</w:t>
      </w:r>
    </w:p>
    <w:p w:rsidRPr="00BB7074" w:rsidR="00596837" w:rsidP="00C459AA" w:rsidRDefault="00596837" w14:paraId="66E546B9" w14:textId="27A3E2C3">
      <w:pPr>
        <w:rPr>
          <w:rFonts w:ascii="Verdana" w:hAnsi="Verdana"/>
          <w:sz w:val="18"/>
          <w:szCs w:val="18"/>
          <w:lang w:val="nl-NL"/>
        </w:rPr>
      </w:pPr>
      <w:r w:rsidRPr="00BB7074">
        <w:rPr>
          <w:rFonts w:ascii="Verdana" w:hAnsi="Verdana"/>
          <w:sz w:val="18"/>
          <w:szCs w:val="18"/>
          <w:lang w:val="nl-NL"/>
        </w:rPr>
        <w:t>In het vierde lid is opgenomen dat rechtstreeks overleg kan plaatsvinden tussen de bevoegde</w:t>
      </w:r>
      <w:r w:rsidRPr="00BB7074" w:rsidR="00C459AA">
        <w:rPr>
          <w:rFonts w:ascii="Verdana" w:hAnsi="Verdana"/>
          <w:sz w:val="18"/>
          <w:szCs w:val="18"/>
          <w:lang w:val="nl-NL"/>
        </w:rPr>
        <w:t xml:space="preserve"> </w:t>
      </w:r>
      <w:r w:rsidRPr="00BB7074">
        <w:rPr>
          <w:rFonts w:ascii="Verdana" w:hAnsi="Verdana"/>
          <w:sz w:val="18"/>
          <w:szCs w:val="18"/>
          <w:lang w:val="nl-NL"/>
        </w:rPr>
        <w:t>autoriteiten van de verdragsluitende staten om overeenstemming te bereiken in het kader van een</w:t>
      </w:r>
      <w:r w:rsidRPr="00BB7074" w:rsidR="00C459AA">
        <w:rPr>
          <w:rFonts w:ascii="Verdana" w:hAnsi="Verdana"/>
          <w:sz w:val="18"/>
          <w:szCs w:val="18"/>
          <w:lang w:val="nl-NL"/>
        </w:rPr>
        <w:t xml:space="preserve"> </w:t>
      </w:r>
      <w:r w:rsidRPr="00BB7074">
        <w:rPr>
          <w:rFonts w:ascii="Verdana" w:hAnsi="Verdana"/>
          <w:sz w:val="18"/>
          <w:szCs w:val="18"/>
          <w:lang w:val="nl-NL"/>
        </w:rPr>
        <w:t xml:space="preserve">onderlinge overlegprocedure. Dit overleg is vormvrij. Hoewel het, in tegenstelling tot het </w:t>
      </w:r>
      <w:r w:rsidRPr="00BB7074" w:rsidR="00DE7CC9">
        <w:rPr>
          <w:rFonts w:ascii="Verdana" w:hAnsi="Verdana"/>
          <w:sz w:val="18"/>
          <w:szCs w:val="18"/>
          <w:lang w:val="nl-NL"/>
        </w:rPr>
        <w:t>OESO-modelverdrag</w:t>
      </w:r>
      <w:r w:rsidRPr="00BB7074">
        <w:rPr>
          <w:rFonts w:ascii="Verdana" w:hAnsi="Verdana"/>
          <w:sz w:val="18"/>
          <w:szCs w:val="18"/>
          <w:lang w:val="nl-NL"/>
        </w:rPr>
        <w:t>, niet expliciet is vermeld in het Verdrag kan dat overleg tussen de bevoegde autoriteiten</w:t>
      </w:r>
      <w:r w:rsidRPr="00BB7074" w:rsidR="00C459AA">
        <w:rPr>
          <w:rFonts w:ascii="Verdana" w:hAnsi="Verdana"/>
          <w:sz w:val="18"/>
          <w:szCs w:val="18"/>
          <w:lang w:val="nl-NL"/>
        </w:rPr>
        <w:t xml:space="preserve"> </w:t>
      </w:r>
      <w:r w:rsidRPr="00BB7074">
        <w:rPr>
          <w:rFonts w:ascii="Verdana" w:hAnsi="Verdana"/>
          <w:sz w:val="18"/>
          <w:szCs w:val="18"/>
          <w:lang w:val="nl-NL"/>
        </w:rPr>
        <w:t>van de verdragsluitende staten ook mondeling geschieden in een gezamenlijke commissie.</w:t>
      </w:r>
    </w:p>
    <w:p w:rsidRPr="00BB7074" w:rsidR="00596837" w:rsidP="00C459AA" w:rsidRDefault="00824EDC" w14:paraId="4DE6149D" w14:textId="386B801F">
      <w:pPr>
        <w:rPr>
          <w:rFonts w:ascii="Verdana" w:hAnsi="Verdana"/>
          <w:sz w:val="18"/>
          <w:szCs w:val="18"/>
          <w:lang w:val="nl-NL"/>
        </w:rPr>
      </w:pPr>
      <w:r w:rsidRPr="00BB7074">
        <w:rPr>
          <w:rFonts w:ascii="Verdana" w:hAnsi="Verdana"/>
          <w:sz w:val="18"/>
          <w:szCs w:val="18"/>
          <w:lang w:val="nl-NL"/>
        </w:rPr>
        <w:t>In het</w:t>
      </w:r>
      <w:r w:rsidRPr="00BB7074" w:rsidR="00596837">
        <w:rPr>
          <w:rFonts w:ascii="Verdana" w:hAnsi="Verdana"/>
          <w:sz w:val="18"/>
          <w:szCs w:val="18"/>
          <w:lang w:val="nl-NL"/>
        </w:rPr>
        <w:t xml:space="preserve"> vijfde lid </w:t>
      </w:r>
      <w:r w:rsidRPr="00BB7074" w:rsidR="005719C6">
        <w:rPr>
          <w:rFonts w:ascii="Verdana" w:hAnsi="Verdana"/>
          <w:sz w:val="18"/>
          <w:szCs w:val="18"/>
          <w:lang w:val="nl-NL"/>
        </w:rPr>
        <w:t xml:space="preserve">is </w:t>
      </w:r>
      <w:r w:rsidRPr="00BB7074" w:rsidR="00596837">
        <w:rPr>
          <w:rFonts w:ascii="Verdana" w:hAnsi="Verdana"/>
          <w:sz w:val="18"/>
          <w:szCs w:val="18"/>
          <w:lang w:val="nl-NL"/>
        </w:rPr>
        <w:t>de mogelijkheid geschapen om geschillen over de toepassing of</w:t>
      </w:r>
      <w:r w:rsidRPr="00BB7074" w:rsidR="00C459AA">
        <w:rPr>
          <w:rFonts w:ascii="Verdana" w:hAnsi="Verdana"/>
          <w:sz w:val="18"/>
          <w:szCs w:val="18"/>
          <w:lang w:val="nl-NL"/>
        </w:rPr>
        <w:t xml:space="preserve"> </w:t>
      </w:r>
      <w:r w:rsidRPr="00BB7074" w:rsidR="00596837">
        <w:rPr>
          <w:rFonts w:ascii="Verdana" w:hAnsi="Verdana"/>
          <w:sz w:val="18"/>
          <w:szCs w:val="18"/>
          <w:lang w:val="nl-NL"/>
        </w:rPr>
        <w:t>interpretatie van</w:t>
      </w:r>
      <w:r w:rsidRPr="00BB7074" w:rsidR="006E3171">
        <w:rPr>
          <w:rFonts w:ascii="Verdana" w:hAnsi="Verdana"/>
          <w:sz w:val="18"/>
          <w:szCs w:val="18"/>
          <w:lang w:val="nl-NL"/>
        </w:rPr>
        <w:t xml:space="preserve"> artikel 7 of artikel 9 van</w:t>
      </w:r>
      <w:r w:rsidRPr="00BB7074" w:rsidR="00596837">
        <w:rPr>
          <w:rFonts w:ascii="Verdana" w:hAnsi="Verdana"/>
          <w:sz w:val="18"/>
          <w:szCs w:val="18"/>
          <w:lang w:val="nl-NL"/>
        </w:rPr>
        <w:t xml:space="preserve"> het Verdrag, die niet binnen een tijdvak van twee jaar in onderling overleg door de</w:t>
      </w:r>
      <w:r w:rsidRPr="00BB7074" w:rsidR="00C459AA">
        <w:rPr>
          <w:rFonts w:ascii="Verdana" w:hAnsi="Verdana"/>
          <w:sz w:val="18"/>
          <w:szCs w:val="18"/>
          <w:lang w:val="nl-NL"/>
        </w:rPr>
        <w:t xml:space="preserve"> </w:t>
      </w:r>
      <w:r w:rsidRPr="00BB7074" w:rsidR="00596837">
        <w:rPr>
          <w:rFonts w:ascii="Verdana" w:hAnsi="Verdana"/>
          <w:sz w:val="18"/>
          <w:szCs w:val="18"/>
          <w:lang w:val="nl-NL"/>
        </w:rPr>
        <w:t>bevoegde autoriteiten van de verdragsluitende staten werden opgelost, te beslechten via een</w:t>
      </w:r>
      <w:r w:rsidRPr="00BB7074" w:rsidR="00C459AA">
        <w:rPr>
          <w:rFonts w:ascii="Verdana" w:hAnsi="Verdana"/>
          <w:sz w:val="18"/>
          <w:szCs w:val="18"/>
          <w:lang w:val="nl-NL"/>
        </w:rPr>
        <w:t xml:space="preserve"> </w:t>
      </w:r>
      <w:r w:rsidRPr="00BB7074" w:rsidR="00596837">
        <w:rPr>
          <w:rFonts w:ascii="Verdana" w:hAnsi="Verdana"/>
          <w:sz w:val="18"/>
          <w:szCs w:val="18"/>
          <w:lang w:val="nl-NL"/>
        </w:rPr>
        <w:t>arbitrageprocedure. Door het initiatief tot arbitrage bij de belastingplichtige te leggen, is een stimulans</w:t>
      </w:r>
      <w:r w:rsidRPr="00BB7074" w:rsidR="00C459AA">
        <w:rPr>
          <w:rFonts w:ascii="Verdana" w:hAnsi="Verdana"/>
          <w:sz w:val="18"/>
          <w:szCs w:val="18"/>
          <w:lang w:val="nl-NL"/>
        </w:rPr>
        <w:t xml:space="preserve"> </w:t>
      </w:r>
      <w:r w:rsidRPr="00BB7074" w:rsidR="00596837">
        <w:rPr>
          <w:rFonts w:ascii="Verdana" w:hAnsi="Verdana"/>
          <w:sz w:val="18"/>
          <w:szCs w:val="18"/>
          <w:lang w:val="nl-NL"/>
        </w:rPr>
        <w:t>gecreëerd voor de verdragsluitende staten om de overlegprocedure tijdig tot een goed einde te</w:t>
      </w:r>
      <w:r w:rsidRPr="00BB7074" w:rsidR="00C459AA">
        <w:rPr>
          <w:rFonts w:ascii="Verdana" w:hAnsi="Verdana"/>
          <w:sz w:val="18"/>
          <w:szCs w:val="18"/>
          <w:lang w:val="nl-NL"/>
        </w:rPr>
        <w:t xml:space="preserve"> </w:t>
      </w:r>
      <w:r w:rsidRPr="00BB7074" w:rsidR="00596837">
        <w:rPr>
          <w:rFonts w:ascii="Verdana" w:hAnsi="Verdana"/>
          <w:sz w:val="18"/>
          <w:szCs w:val="18"/>
          <w:lang w:val="nl-NL"/>
        </w:rPr>
        <w:t>brengen. De uitkomst van de arbitrageprocedure is bindend voor de verdragsluitende staten, tenzij de</w:t>
      </w:r>
      <w:r w:rsidRPr="00BB7074" w:rsidR="00C459AA">
        <w:rPr>
          <w:rFonts w:ascii="Verdana" w:hAnsi="Verdana"/>
          <w:sz w:val="18"/>
          <w:szCs w:val="18"/>
          <w:lang w:val="nl-NL"/>
        </w:rPr>
        <w:t xml:space="preserve"> </w:t>
      </w:r>
      <w:r w:rsidRPr="00BB7074" w:rsidR="00596837">
        <w:rPr>
          <w:rFonts w:ascii="Verdana" w:hAnsi="Verdana"/>
          <w:sz w:val="18"/>
          <w:szCs w:val="18"/>
          <w:lang w:val="nl-NL"/>
        </w:rPr>
        <w:t>beslissing door de betrokken persoon wordt verworpen.</w:t>
      </w:r>
    </w:p>
    <w:p w:rsidRPr="00BB7074" w:rsidR="003C62D3" w:rsidP="003C62D3" w:rsidRDefault="00893E7B" w14:paraId="01C9A2EB" w14:textId="20ABB4F9">
      <w:pPr>
        <w:rPr>
          <w:rFonts w:ascii="Verdana" w:hAnsi="Verdana"/>
          <w:sz w:val="18"/>
          <w:szCs w:val="18"/>
          <w:lang w:val="nl-NL"/>
        </w:rPr>
      </w:pPr>
      <w:r w:rsidRPr="00BB7074">
        <w:rPr>
          <w:rFonts w:ascii="Verdana" w:hAnsi="Verdana"/>
          <w:sz w:val="18"/>
          <w:szCs w:val="18"/>
          <w:lang w:val="nl-NL"/>
        </w:rPr>
        <w:t>Artikel III van het Protocol regelt dat wanneer de bevoegde autoriteiten langs de lijnen van artikel 3, tweede lid, van het Verdrag een oplossing hebben gevonden voor gevallen van dubbele belasting of niet-belasting en beide verdragsluitende staten deze oplossing hebben gepubliceerd, deze uitleg ook bindend zal zijn voor vergelijkbare zaken. De bevoegde autoriteiten kunnen deze oplossing ook weer herzien.</w:t>
      </w:r>
      <w:r w:rsidRPr="00BB7074" w:rsidR="003C62D3">
        <w:rPr>
          <w:rFonts w:ascii="Verdana" w:hAnsi="Verdana"/>
          <w:sz w:val="18"/>
          <w:szCs w:val="18"/>
          <w:lang w:val="nl-NL"/>
        </w:rPr>
        <w:t xml:space="preserve"> </w:t>
      </w:r>
    </w:p>
    <w:p w:rsidRPr="00BB7074" w:rsidR="00596837" w:rsidP="003C62D3" w:rsidRDefault="00596837" w14:paraId="2CF58978" w14:textId="65F33CC2">
      <w:pPr>
        <w:rPr>
          <w:rFonts w:ascii="Verdana" w:hAnsi="Verdana"/>
          <w:sz w:val="18"/>
          <w:szCs w:val="18"/>
          <w:lang w:val="nl-NL"/>
        </w:rPr>
      </w:pPr>
      <w:r w:rsidRPr="00BB7074">
        <w:rPr>
          <w:rFonts w:ascii="Verdana" w:hAnsi="Verdana"/>
          <w:sz w:val="18"/>
          <w:szCs w:val="18"/>
          <w:lang w:val="nl-NL"/>
        </w:rPr>
        <w:t xml:space="preserve">Voor situaties waarin overlegprocedures in de ene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hebben geleid tot</w:t>
      </w:r>
      <w:r w:rsidRPr="00BB7074" w:rsidR="003C62D3">
        <w:rPr>
          <w:rFonts w:ascii="Verdana" w:hAnsi="Verdana"/>
          <w:sz w:val="18"/>
          <w:szCs w:val="18"/>
          <w:lang w:val="nl-NL"/>
        </w:rPr>
        <w:t xml:space="preserve"> </w:t>
      </w:r>
      <w:r w:rsidRPr="00BB7074">
        <w:rPr>
          <w:rFonts w:ascii="Verdana" w:hAnsi="Verdana"/>
          <w:sz w:val="18"/>
          <w:szCs w:val="18"/>
          <w:lang w:val="nl-NL"/>
        </w:rPr>
        <w:t xml:space="preserve">aanvullende belasting en in de andere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tot een overeenkomstige vermindering</w:t>
      </w:r>
      <w:r w:rsidRPr="00BB7074" w:rsidR="003C62D3">
        <w:rPr>
          <w:rFonts w:ascii="Verdana" w:hAnsi="Verdana"/>
          <w:sz w:val="18"/>
          <w:szCs w:val="18"/>
          <w:lang w:val="nl-NL"/>
        </w:rPr>
        <w:t xml:space="preserve"> </w:t>
      </w:r>
      <w:r w:rsidRPr="00BB7074">
        <w:rPr>
          <w:rFonts w:ascii="Verdana" w:hAnsi="Verdana"/>
          <w:sz w:val="18"/>
          <w:szCs w:val="18"/>
          <w:lang w:val="nl-NL"/>
        </w:rPr>
        <w:t xml:space="preserve">van de belasting bevat artikel </w:t>
      </w:r>
      <w:r w:rsidR="009672B8">
        <w:rPr>
          <w:rFonts w:ascii="Verdana" w:hAnsi="Verdana"/>
          <w:sz w:val="18"/>
          <w:szCs w:val="18"/>
          <w:lang w:val="nl-NL"/>
        </w:rPr>
        <w:t>XIII</w:t>
      </w:r>
      <w:r w:rsidRPr="00BB7074">
        <w:rPr>
          <w:rFonts w:ascii="Verdana" w:hAnsi="Verdana"/>
          <w:sz w:val="18"/>
          <w:szCs w:val="18"/>
          <w:lang w:val="nl-NL"/>
        </w:rPr>
        <w:t xml:space="preserve"> van het Protocol een bepaling op grond waarvan de bevoegde</w:t>
      </w:r>
      <w:r w:rsidRPr="00BB7074" w:rsidR="003C62D3">
        <w:rPr>
          <w:rFonts w:ascii="Verdana" w:hAnsi="Verdana"/>
          <w:sz w:val="18"/>
          <w:szCs w:val="18"/>
          <w:lang w:val="nl-NL"/>
        </w:rPr>
        <w:t xml:space="preserve"> </w:t>
      </w:r>
      <w:r w:rsidRPr="00BB7074">
        <w:rPr>
          <w:rFonts w:ascii="Verdana" w:hAnsi="Verdana"/>
          <w:sz w:val="18"/>
          <w:szCs w:val="18"/>
          <w:lang w:val="nl-NL"/>
        </w:rPr>
        <w:t xml:space="preserve">autoriteiten afspraken kunnen maken om belastingplichtigen </w:t>
      </w:r>
      <w:r w:rsidRPr="00BB7074" w:rsidR="005719C6">
        <w:rPr>
          <w:rFonts w:ascii="Verdana" w:hAnsi="Verdana"/>
          <w:sz w:val="18"/>
          <w:szCs w:val="18"/>
          <w:lang w:val="nl-NL"/>
        </w:rPr>
        <w:t xml:space="preserve">bij een correctie </w:t>
      </w:r>
      <w:r w:rsidRPr="00BB7074">
        <w:rPr>
          <w:rFonts w:ascii="Verdana" w:hAnsi="Verdana"/>
          <w:sz w:val="18"/>
          <w:szCs w:val="18"/>
          <w:lang w:val="nl-NL"/>
        </w:rPr>
        <w:t>geen belastingrente, heffingsrente of</w:t>
      </w:r>
      <w:r w:rsidRPr="00BB7074" w:rsidR="003C62D3">
        <w:rPr>
          <w:rFonts w:ascii="Verdana" w:hAnsi="Verdana"/>
          <w:sz w:val="18"/>
          <w:szCs w:val="18"/>
          <w:lang w:val="nl-NL"/>
        </w:rPr>
        <w:t xml:space="preserve"> </w:t>
      </w:r>
      <w:r w:rsidRPr="00BB7074">
        <w:rPr>
          <w:rFonts w:ascii="Verdana" w:hAnsi="Verdana"/>
          <w:sz w:val="18"/>
          <w:szCs w:val="18"/>
          <w:lang w:val="nl-NL"/>
        </w:rPr>
        <w:t xml:space="preserve">invorderingsrente </w:t>
      </w:r>
      <w:r w:rsidRPr="00BB7074" w:rsidR="005719C6">
        <w:rPr>
          <w:rFonts w:ascii="Verdana" w:hAnsi="Verdana"/>
          <w:sz w:val="18"/>
          <w:szCs w:val="18"/>
          <w:lang w:val="nl-NL"/>
        </w:rPr>
        <w:t xml:space="preserve">in rekening te brengen indien de andere </w:t>
      </w:r>
      <w:r w:rsidRPr="00BB7074" w:rsidR="008B5BF7">
        <w:rPr>
          <w:rFonts w:ascii="Verdana" w:hAnsi="Verdana"/>
          <w:sz w:val="18"/>
          <w:szCs w:val="18"/>
          <w:lang w:val="nl-NL"/>
        </w:rPr>
        <w:t>staat</w:t>
      </w:r>
      <w:r w:rsidRPr="00BB7074" w:rsidR="005719C6">
        <w:rPr>
          <w:rFonts w:ascii="Verdana" w:hAnsi="Verdana"/>
          <w:sz w:val="18"/>
          <w:szCs w:val="18"/>
          <w:lang w:val="nl-NL"/>
        </w:rPr>
        <w:t xml:space="preserve"> geen</w:t>
      </w:r>
      <w:r w:rsidRPr="00BB7074">
        <w:rPr>
          <w:rFonts w:ascii="Verdana" w:hAnsi="Verdana"/>
          <w:sz w:val="18"/>
          <w:szCs w:val="18"/>
          <w:lang w:val="nl-NL"/>
        </w:rPr>
        <w:t xml:space="preserve"> belastingrente, heffingsrente of invorderingsrente</w:t>
      </w:r>
      <w:r w:rsidRPr="00BB7074" w:rsidR="003C62D3">
        <w:rPr>
          <w:rFonts w:ascii="Verdana" w:hAnsi="Verdana"/>
          <w:sz w:val="18"/>
          <w:szCs w:val="18"/>
          <w:lang w:val="nl-NL"/>
        </w:rPr>
        <w:t xml:space="preserve"> </w:t>
      </w:r>
      <w:r w:rsidRPr="00BB7074" w:rsidR="005719C6">
        <w:rPr>
          <w:rFonts w:ascii="Verdana" w:hAnsi="Verdana"/>
          <w:sz w:val="18"/>
          <w:szCs w:val="18"/>
          <w:lang w:val="nl-NL"/>
        </w:rPr>
        <w:t xml:space="preserve">vergoedt op de </w:t>
      </w:r>
      <w:r w:rsidRPr="00BB7074" w:rsidR="007172F9">
        <w:rPr>
          <w:rFonts w:ascii="Verdana" w:hAnsi="Verdana"/>
          <w:sz w:val="18"/>
          <w:szCs w:val="18"/>
          <w:lang w:val="nl-NL"/>
        </w:rPr>
        <w:t>overeenkomstige</w:t>
      </w:r>
      <w:r w:rsidRPr="00BB7074" w:rsidR="005719C6">
        <w:rPr>
          <w:rFonts w:ascii="Verdana" w:hAnsi="Verdana"/>
          <w:sz w:val="18"/>
          <w:szCs w:val="18"/>
          <w:lang w:val="nl-NL"/>
        </w:rPr>
        <w:t xml:space="preserve"> </w:t>
      </w:r>
      <w:r w:rsidR="00387171">
        <w:rPr>
          <w:rFonts w:ascii="Verdana" w:hAnsi="Verdana"/>
          <w:sz w:val="18"/>
          <w:szCs w:val="18"/>
          <w:lang w:val="nl-NL"/>
        </w:rPr>
        <w:t>vermindering</w:t>
      </w:r>
      <w:r w:rsidRPr="00BB7074">
        <w:rPr>
          <w:rFonts w:ascii="Verdana" w:hAnsi="Verdana"/>
          <w:sz w:val="18"/>
          <w:szCs w:val="18"/>
          <w:lang w:val="nl-NL"/>
        </w:rPr>
        <w:t>.</w:t>
      </w:r>
    </w:p>
    <w:p w:rsidRPr="00BB7074" w:rsidR="00307E15" w:rsidP="00B603B8" w:rsidRDefault="00936DF5" w14:paraId="3EB0CEE5" w14:textId="17BFC54F">
      <w:pPr>
        <w:pStyle w:val="Heading2"/>
        <w:rPr>
          <w:lang w:val="nl-NL"/>
        </w:rPr>
      </w:pPr>
      <w:r w:rsidRPr="00BB7074">
        <w:rPr>
          <w:lang w:val="nl-NL"/>
        </w:rPr>
        <w:t xml:space="preserve">II.24. </w:t>
      </w:r>
      <w:r w:rsidRPr="00BB7074" w:rsidR="00307E15">
        <w:rPr>
          <w:lang w:val="nl-NL"/>
        </w:rPr>
        <w:t xml:space="preserve">Uitwisseling van </w:t>
      </w:r>
      <w:r w:rsidR="005672D9">
        <w:rPr>
          <w:lang w:val="nl-NL"/>
        </w:rPr>
        <w:t>informatie</w:t>
      </w:r>
      <w:r w:rsidRPr="00BB7074" w:rsidR="005672D9">
        <w:rPr>
          <w:lang w:val="nl-NL"/>
        </w:rPr>
        <w:t xml:space="preserve"> </w:t>
      </w:r>
      <w:r w:rsidRPr="00BB7074" w:rsidR="003453FA">
        <w:rPr>
          <w:lang w:val="nl-NL"/>
        </w:rPr>
        <w:t>(</w:t>
      </w:r>
      <w:r w:rsidR="00A9054D">
        <w:rPr>
          <w:lang w:val="nl-NL"/>
        </w:rPr>
        <w:t xml:space="preserve">artikel 24 van het Verdrag </w:t>
      </w:r>
      <w:r w:rsidRPr="00BB7074" w:rsidR="003453FA">
        <w:rPr>
          <w:lang w:val="nl-NL"/>
        </w:rPr>
        <w:t>en artikel XIV van het Protocol)</w:t>
      </w:r>
    </w:p>
    <w:p w:rsidRPr="00BB7074" w:rsidR="00D26274" w:rsidP="00054D0E" w:rsidRDefault="00D26274" w14:paraId="7BD1475C" w14:textId="611DC766">
      <w:pPr>
        <w:rPr>
          <w:rFonts w:ascii="Verdana" w:hAnsi="Verdana"/>
          <w:sz w:val="18"/>
          <w:szCs w:val="18"/>
          <w:lang w:val="nl-NL"/>
        </w:rPr>
      </w:pPr>
      <w:r w:rsidRPr="00BB7074">
        <w:rPr>
          <w:rFonts w:ascii="Verdana" w:hAnsi="Verdana"/>
          <w:sz w:val="18"/>
          <w:szCs w:val="18"/>
          <w:lang w:val="nl-NL"/>
        </w:rPr>
        <w:t xml:space="preserve">Artikel 24 van het Verdrag </w:t>
      </w:r>
      <w:r w:rsidR="001B2EF1">
        <w:rPr>
          <w:rFonts w:ascii="Verdana" w:hAnsi="Verdana"/>
          <w:sz w:val="18"/>
          <w:szCs w:val="18"/>
          <w:lang w:val="nl-NL"/>
        </w:rPr>
        <w:t>verplicht</w:t>
      </w:r>
      <w:r w:rsidRPr="00BB7074">
        <w:rPr>
          <w:rFonts w:ascii="Verdana" w:hAnsi="Verdana"/>
          <w:sz w:val="18"/>
          <w:szCs w:val="18"/>
          <w:lang w:val="nl-NL"/>
        </w:rPr>
        <w:t xml:space="preserve"> verdragsluitende staten </w:t>
      </w:r>
      <w:r w:rsidR="001B2EF1">
        <w:rPr>
          <w:rFonts w:ascii="Verdana" w:hAnsi="Verdana"/>
          <w:sz w:val="18"/>
          <w:szCs w:val="18"/>
          <w:lang w:val="nl-NL"/>
        </w:rPr>
        <w:t xml:space="preserve">om </w:t>
      </w:r>
      <w:r w:rsidRPr="00BB7074">
        <w:rPr>
          <w:rFonts w:ascii="Verdana" w:hAnsi="Verdana"/>
          <w:sz w:val="18"/>
          <w:szCs w:val="18"/>
          <w:lang w:val="nl-NL"/>
        </w:rPr>
        <w:t>op verzoek, automatisch of spontaan informatie uit te wisselen. Het artikel komt overeen met artikel 24 van het OESO-modelverdrag en is in lijn met het Nederlandse verdragsbeleid.</w:t>
      </w:r>
    </w:p>
    <w:p w:rsidRPr="00BB7074" w:rsidR="00D26274" w:rsidP="00054D0E" w:rsidRDefault="00D26274" w14:paraId="5FF2F203" w14:textId="165F793F">
      <w:pPr>
        <w:rPr>
          <w:rFonts w:ascii="Verdana" w:hAnsi="Verdana"/>
          <w:sz w:val="18"/>
          <w:szCs w:val="18"/>
          <w:lang w:val="nl-NL"/>
        </w:rPr>
      </w:pPr>
      <w:r w:rsidRPr="00BB7074">
        <w:rPr>
          <w:rFonts w:ascii="Verdana" w:hAnsi="Verdana"/>
          <w:sz w:val="18"/>
          <w:szCs w:val="18"/>
          <w:lang w:val="nl-NL"/>
        </w:rPr>
        <w:t xml:space="preserve">Het eerste lid van artikel 24 bepaalt welke informatie de verdragsluitende staten dienen uit te wisselen. Het gaat om informatie die ‘voorzienbaar relevant’ is voor de </w:t>
      </w:r>
      <w:r w:rsidR="007B4F3D">
        <w:rPr>
          <w:rFonts w:ascii="Verdana" w:hAnsi="Verdana"/>
          <w:sz w:val="18"/>
          <w:szCs w:val="18"/>
          <w:lang w:val="nl-NL"/>
        </w:rPr>
        <w:t>uitvoering</w:t>
      </w:r>
      <w:r w:rsidRPr="00BB7074" w:rsidR="007B4F3D">
        <w:rPr>
          <w:rFonts w:ascii="Verdana" w:hAnsi="Verdana"/>
          <w:sz w:val="18"/>
          <w:szCs w:val="18"/>
          <w:lang w:val="nl-NL"/>
        </w:rPr>
        <w:t xml:space="preserve"> </w:t>
      </w:r>
      <w:r w:rsidRPr="00BB7074">
        <w:rPr>
          <w:rFonts w:ascii="Verdana" w:hAnsi="Verdana"/>
          <w:sz w:val="18"/>
          <w:szCs w:val="18"/>
          <w:lang w:val="nl-NL"/>
        </w:rPr>
        <w:t xml:space="preserve">van de bepalingen </w:t>
      </w:r>
      <w:r w:rsidR="007B4F3D">
        <w:rPr>
          <w:rFonts w:ascii="Verdana" w:hAnsi="Verdana"/>
          <w:sz w:val="18"/>
          <w:szCs w:val="18"/>
          <w:lang w:val="nl-NL"/>
        </w:rPr>
        <w:t>van</w:t>
      </w:r>
      <w:r w:rsidRPr="00BB7074" w:rsidR="007B4F3D">
        <w:rPr>
          <w:rFonts w:ascii="Verdana" w:hAnsi="Verdana"/>
          <w:sz w:val="18"/>
          <w:szCs w:val="18"/>
          <w:lang w:val="nl-NL"/>
        </w:rPr>
        <w:t xml:space="preserve"> </w:t>
      </w:r>
      <w:r w:rsidRPr="00BB7074">
        <w:rPr>
          <w:rFonts w:ascii="Verdana" w:hAnsi="Verdana"/>
          <w:sz w:val="18"/>
          <w:szCs w:val="18"/>
          <w:lang w:val="nl-NL"/>
        </w:rPr>
        <w:t xml:space="preserve">het Verdrag of </w:t>
      </w:r>
      <w:r w:rsidR="007B4F3D">
        <w:rPr>
          <w:rFonts w:ascii="Verdana" w:hAnsi="Verdana"/>
          <w:sz w:val="18"/>
          <w:szCs w:val="18"/>
          <w:lang w:val="nl-NL"/>
        </w:rPr>
        <w:t xml:space="preserve">voor </w:t>
      </w:r>
      <w:r w:rsidRPr="00BB7074">
        <w:rPr>
          <w:rFonts w:ascii="Verdana" w:hAnsi="Verdana"/>
          <w:sz w:val="18"/>
          <w:szCs w:val="18"/>
          <w:lang w:val="nl-NL"/>
        </w:rPr>
        <w:t xml:space="preserve">de </w:t>
      </w:r>
      <w:r w:rsidR="007B4F3D">
        <w:rPr>
          <w:rFonts w:ascii="Verdana" w:hAnsi="Verdana"/>
          <w:sz w:val="18"/>
          <w:szCs w:val="18"/>
          <w:lang w:val="nl-NL"/>
        </w:rPr>
        <w:t>toepassing</w:t>
      </w:r>
      <w:r w:rsidRPr="00BB7074" w:rsidR="007B4F3D">
        <w:rPr>
          <w:rFonts w:ascii="Verdana" w:hAnsi="Verdana"/>
          <w:sz w:val="18"/>
          <w:szCs w:val="18"/>
          <w:lang w:val="nl-NL"/>
        </w:rPr>
        <w:t xml:space="preserve"> </w:t>
      </w:r>
      <w:r w:rsidRPr="00BB7074">
        <w:rPr>
          <w:rFonts w:ascii="Verdana" w:hAnsi="Verdana"/>
          <w:sz w:val="18"/>
          <w:szCs w:val="18"/>
          <w:lang w:val="nl-NL"/>
        </w:rPr>
        <w:t xml:space="preserve">of de handhaving van nationale wetgeving. De bepaling wordt niet beperkt door de </w:t>
      </w:r>
      <w:r w:rsidRPr="00BB7074" w:rsidR="009C2CDC">
        <w:rPr>
          <w:rFonts w:ascii="Verdana" w:hAnsi="Verdana"/>
          <w:sz w:val="18"/>
          <w:szCs w:val="18"/>
          <w:lang w:val="nl-NL"/>
        </w:rPr>
        <w:t>a</w:t>
      </w:r>
      <w:r w:rsidRPr="00BB7074">
        <w:rPr>
          <w:rFonts w:ascii="Verdana" w:hAnsi="Verdana"/>
          <w:sz w:val="18"/>
          <w:szCs w:val="18"/>
          <w:lang w:val="nl-NL"/>
        </w:rPr>
        <w:t>rtikelen 1 en 2 en geldt dus ook voor de belasting van anderen dan inwoners en voor alle soorten van belasting</w:t>
      </w:r>
      <w:r w:rsidRPr="00BB7074" w:rsidR="00F21DA3">
        <w:rPr>
          <w:rFonts w:ascii="Verdana" w:hAnsi="Verdana"/>
          <w:sz w:val="18"/>
          <w:szCs w:val="18"/>
          <w:lang w:val="nl-NL"/>
        </w:rPr>
        <w:t>.</w:t>
      </w:r>
    </w:p>
    <w:p w:rsidR="00D26274" w:rsidP="00D26274" w:rsidRDefault="00D26274" w14:paraId="1CBCCF1E" w14:textId="73803526">
      <w:pPr>
        <w:rPr>
          <w:rFonts w:ascii="Verdana" w:hAnsi="Verdana"/>
          <w:sz w:val="18"/>
          <w:szCs w:val="18"/>
          <w:lang w:val="nl-NL"/>
        </w:rPr>
      </w:pPr>
      <w:r w:rsidRPr="00BB7074">
        <w:rPr>
          <w:rFonts w:ascii="Verdana" w:hAnsi="Verdana"/>
          <w:sz w:val="18"/>
          <w:szCs w:val="18"/>
          <w:lang w:val="nl-NL"/>
        </w:rPr>
        <w:lastRenderedPageBreak/>
        <w:t xml:space="preserve">Het tweede lid regelt hoe de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die informatie ontvangt van de andere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met deze informatie dient om te gaan. Deze bepaling is in de eerste plaats bedoeld om waarborgen te bieden voor de vertrouwelijkheid van de uitgewisselde informatie. Voor de ontvangen informatie geldt dezelfde geheimhoudingsplicht als voor informatie die onder de nationale wetgeving van die </w:t>
      </w:r>
      <w:r w:rsidR="006D7F1B">
        <w:rPr>
          <w:rFonts w:ascii="Verdana" w:hAnsi="Verdana"/>
          <w:sz w:val="18"/>
          <w:szCs w:val="18"/>
          <w:lang w:val="nl-NL"/>
        </w:rPr>
        <w:t xml:space="preserve">ontvangende </w:t>
      </w:r>
      <w:r w:rsidRPr="00BB7074" w:rsidR="008B5BF7">
        <w:rPr>
          <w:rFonts w:ascii="Verdana" w:hAnsi="Verdana"/>
          <w:sz w:val="18"/>
          <w:szCs w:val="18"/>
          <w:lang w:val="nl-NL"/>
        </w:rPr>
        <w:t>staat</w:t>
      </w:r>
      <w:r w:rsidRPr="00BB7074">
        <w:rPr>
          <w:rFonts w:ascii="Verdana" w:hAnsi="Verdana"/>
          <w:sz w:val="18"/>
          <w:szCs w:val="18"/>
          <w:lang w:val="nl-NL"/>
        </w:rPr>
        <w:t xml:space="preserve"> wordt verkregen. Ook is bepaald dat de informatie alleen mag worden vrijgegeven aan bepaalde personen of autoriteiten belast met specifieke taken. De informatie mag ook voor andere (niet fiscale) doeleinden worden gebruikt, wanneer dat wettelijk is toegestaan in beide landen en de bevoegde autoriteiten van de leverende </w:t>
      </w:r>
      <w:r w:rsidRPr="00BB7074" w:rsidR="008B5BF7">
        <w:rPr>
          <w:rFonts w:ascii="Verdana" w:hAnsi="Verdana"/>
          <w:sz w:val="18"/>
          <w:szCs w:val="18"/>
          <w:lang w:val="nl-NL"/>
        </w:rPr>
        <w:t>staat</w:t>
      </w:r>
      <w:r w:rsidRPr="00BB7074">
        <w:rPr>
          <w:rFonts w:ascii="Verdana" w:hAnsi="Verdana"/>
          <w:sz w:val="18"/>
          <w:szCs w:val="18"/>
          <w:lang w:val="nl-NL"/>
        </w:rPr>
        <w:t xml:space="preserve"> dit toestaan.</w:t>
      </w:r>
    </w:p>
    <w:p w:rsidR="000D29AA" w:rsidP="0078228C" w:rsidRDefault="0078228C" w14:paraId="2090DA07" w14:textId="4CB42C8D">
      <w:pPr>
        <w:rPr>
          <w:rFonts w:ascii="Verdana" w:hAnsi="Verdana"/>
          <w:sz w:val="18"/>
          <w:szCs w:val="18"/>
          <w:lang w:val="nl-NL"/>
        </w:rPr>
      </w:pPr>
      <w:r w:rsidRPr="0078228C">
        <w:rPr>
          <w:rFonts w:ascii="Verdana" w:hAnsi="Verdana"/>
          <w:sz w:val="18"/>
          <w:szCs w:val="18"/>
          <w:lang w:val="nl-NL"/>
        </w:rPr>
        <w:t xml:space="preserve">Uitgangspunt is dat </w:t>
      </w:r>
      <w:r>
        <w:rPr>
          <w:rFonts w:ascii="Verdana" w:hAnsi="Verdana"/>
          <w:sz w:val="18"/>
          <w:szCs w:val="18"/>
          <w:lang w:val="nl-NL"/>
        </w:rPr>
        <w:t xml:space="preserve">voor </w:t>
      </w:r>
      <w:r w:rsidRPr="0078228C">
        <w:rPr>
          <w:rFonts w:ascii="Verdana" w:hAnsi="Verdana"/>
          <w:sz w:val="18"/>
          <w:szCs w:val="18"/>
          <w:lang w:val="nl-NL"/>
        </w:rPr>
        <w:t>de bescherming van persoonlijke gegevens de wetgeving van het verstrekkende land van toepassing is. Voor Nederland is de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w:t>
      </w:r>
      <w:proofErr w:type="spellStart"/>
      <w:r w:rsidRPr="0078228C">
        <w:rPr>
          <w:rFonts w:ascii="Verdana" w:hAnsi="Verdana"/>
          <w:sz w:val="18"/>
          <w:szCs w:val="18"/>
          <w:lang w:val="nl-NL"/>
        </w:rPr>
        <w:t>PbEU</w:t>
      </w:r>
      <w:proofErr w:type="spellEnd"/>
      <w:r w:rsidRPr="0078228C">
        <w:rPr>
          <w:rFonts w:ascii="Verdana" w:hAnsi="Verdana"/>
          <w:sz w:val="18"/>
          <w:szCs w:val="18"/>
          <w:lang w:val="nl-NL"/>
        </w:rPr>
        <w:t xml:space="preserve"> 2016, L 119), (hierna: </w:t>
      </w:r>
      <w:r w:rsidR="00235A92">
        <w:rPr>
          <w:rFonts w:ascii="Verdana" w:hAnsi="Verdana"/>
          <w:sz w:val="18"/>
          <w:szCs w:val="18"/>
          <w:lang w:val="nl-NL"/>
        </w:rPr>
        <w:t>‘</w:t>
      </w:r>
      <w:r w:rsidRPr="0078228C">
        <w:rPr>
          <w:rFonts w:ascii="Verdana" w:hAnsi="Verdana"/>
          <w:sz w:val="18"/>
          <w:szCs w:val="18"/>
          <w:lang w:val="nl-NL"/>
        </w:rPr>
        <w:t>AVG</w:t>
      </w:r>
      <w:r w:rsidR="00235A92">
        <w:rPr>
          <w:rFonts w:ascii="Verdana" w:hAnsi="Verdana"/>
          <w:sz w:val="18"/>
          <w:szCs w:val="18"/>
          <w:lang w:val="nl-NL"/>
        </w:rPr>
        <w:t>’</w:t>
      </w:r>
      <w:r w:rsidRPr="0078228C">
        <w:rPr>
          <w:rFonts w:ascii="Verdana" w:hAnsi="Verdana"/>
          <w:sz w:val="18"/>
          <w:szCs w:val="18"/>
          <w:lang w:val="nl-NL"/>
        </w:rPr>
        <w:t xml:space="preserve">), </w:t>
      </w:r>
      <w:proofErr w:type="spellStart"/>
      <w:r w:rsidRPr="0078228C">
        <w:rPr>
          <w:rFonts w:ascii="Verdana" w:hAnsi="Verdana"/>
          <w:sz w:val="18"/>
          <w:szCs w:val="18"/>
          <w:lang w:val="nl-NL"/>
        </w:rPr>
        <w:t>terzake</w:t>
      </w:r>
      <w:proofErr w:type="spellEnd"/>
      <w:r w:rsidRPr="0078228C">
        <w:rPr>
          <w:rFonts w:ascii="Verdana" w:hAnsi="Verdana"/>
          <w:sz w:val="18"/>
          <w:szCs w:val="18"/>
          <w:lang w:val="nl-NL"/>
        </w:rPr>
        <w:t xml:space="preserve"> relevant. De AVG kent twee basisprincipes in relatie tot internationale gegevensuitwisseling: er moet een juridische grondslag zijn voor de gegevensuitwisseling en de betrokken partijen zijn allen verplicht om passende waarborgen te bieden ter bescherming van persoonsgegevens. Uitgangspunt is dat persoonsgegevens slechts worden doorgegeven naar een land buiten de Europese Unie indien dat land een passend beschermingsniveau waarborgt. </w:t>
      </w:r>
      <w:r w:rsidRPr="002B071D" w:rsidR="000D29AA">
        <w:rPr>
          <w:rFonts w:ascii="Verdana" w:hAnsi="Verdana"/>
          <w:sz w:val="18"/>
          <w:szCs w:val="18"/>
          <w:lang w:val="nl-NL"/>
        </w:rPr>
        <w:t xml:space="preserve">De uitwisseling van gegevens bij het ontbreken van een passend beschermingsniveau is ook toegestaan indien deze uitwisseling noodzakelijk is vanwege gewichtige redenen van algemeen belang waaronder de gegevensuitwisseling tussen belastingdiensten met het oog op de aanpak van belastingontduiking en –ontwijking. </w:t>
      </w:r>
    </w:p>
    <w:p w:rsidR="0059197C" w:rsidP="00054D0E" w:rsidRDefault="0078228C" w14:paraId="4B3C8A4D" w14:textId="150B8445">
      <w:pPr>
        <w:rPr>
          <w:szCs w:val="18"/>
          <w:lang w:val="nl-NL"/>
        </w:rPr>
      </w:pPr>
      <w:r w:rsidRPr="0078228C">
        <w:rPr>
          <w:rFonts w:ascii="Verdana" w:hAnsi="Verdana"/>
          <w:sz w:val="18"/>
          <w:szCs w:val="18"/>
          <w:lang w:val="nl-NL"/>
        </w:rPr>
        <w:t xml:space="preserve">Regels met betrekking tot de uitwisseling en verwerking van persoonsgegevens zijn in </w:t>
      </w:r>
      <w:r>
        <w:rPr>
          <w:rFonts w:ascii="Verdana" w:hAnsi="Verdana"/>
          <w:sz w:val="18"/>
          <w:szCs w:val="18"/>
          <w:lang w:val="nl-NL"/>
        </w:rPr>
        <w:t>Colombia</w:t>
      </w:r>
      <w:r w:rsidRPr="0078228C">
        <w:rPr>
          <w:rFonts w:ascii="Verdana" w:hAnsi="Verdana"/>
          <w:sz w:val="18"/>
          <w:szCs w:val="18"/>
          <w:lang w:val="nl-NL"/>
        </w:rPr>
        <w:t xml:space="preserve"> verankerd in </w:t>
      </w:r>
      <w:r w:rsidR="009E0A05">
        <w:rPr>
          <w:rFonts w:ascii="Verdana" w:hAnsi="Verdana"/>
          <w:sz w:val="18"/>
          <w:szCs w:val="18"/>
          <w:lang w:val="nl-NL"/>
        </w:rPr>
        <w:t>de grondwet (met name artikelen 15 en 20) en in verschillende andere nationale wetten, waaronder met name Wet 1266 uit 2008 en Wet 1581 uit 2012</w:t>
      </w:r>
      <w:r w:rsidRPr="0078228C">
        <w:rPr>
          <w:rFonts w:ascii="Verdana" w:hAnsi="Verdana"/>
          <w:sz w:val="18"/>
          <w:szCs w:val="18"/>
          <w:lang w:val="nl-NL"/>
        </w:rPr>
        <w:t xml:space="preserve">. </w:t>
      </w:r>
      <w:proofErr w:type="spellStart"/>
      <w:r w:rsidRPr="00572A31" w:rsidR="00572A31">
        <w:rPr>
          <w:rFonts w:ascii="Verdana" w:hAnsi="Verdana"/>
          <w:sz w:val="18"/>
          <w:szCs w:val="18"/>
          <w:lang w:val="nl-NL"/>
        </w:rPr>
        <w:t>Colombia’s</w:t>
      </w:r>
      <w:proofErr w:type="spellEnd"/>
      <w:r w:rsidRPr="00572A31" w:rsidR="00572A31">
        <w:rPr>
          <w:rFonts w:ascii="Verdana" w:hAnsi="Verdana"/>
          <w:sz w:val="18"/>
          <w:szCs w:val="18"/>
          <w:lang w:val="nl-NL"/>
        </w:rPr>
        <w:t xml:space="preserve"> gegevensbeschermingsautoriteit voor de private sector is de </w:t>
      </w:r>
      <w:proofErr w:type="spellStart"/>
      <w:r w:rsidRPr="00572A31" w:rsidR="00572A31">
        <w:rPr>
          <w:rFonts w:ascii="Verdana" w:hAnsi="Verdana"/>
          <w:i/>
          <w:sz w:val="18"/>
          <w:szCs w:val="18"/>
          <w:lang w:val="nl-NL"/>
        </w:rPr>
        <w:t>Superintendencia</w:t>
      </w:r>
      <w:proofErr w:type="spellEnd"/>
      <w:r w:rsidRPr="00572A31" w:rsidR="00572A31">
        <w:rPr>
          <w:rFonts w:ascii="Verdana" w:hAnsi="Verdana"/>
          <w:i/>
          <w:sz w:val="18"/>
          <w:szCs w:val="18"/>
          <w:lang w:val="nl-NL"/>
        </w:rPr>
        <w:t xml:space="preserve"> de </w:t>
      </w:r>
      <w:proofErr w:type="spellStart"/>
      <w:r w:rsidRPr="00572A31" w:rsidR="00572A31">
        <w:rPr>
          <w:rFonts w:ascii="Verdana" w:hAnsi="Verdana"/>
          <w:i/>
          <w:sz w:val="18"/>
          <w:szCs w:val="18"/>
          <w:lang w:val="nl-NL"/>
        </w:rPr>
        <w:t>Industria</w:t>
      </w:r>
      <w:proofErr w:type="spellEnd"/>
      <w:r w:rsidRPr="00572A31" w:rsidR="00572A31">
        <w:rPr>
          <w:rFonts w:ascii="Verdana" w:hAnsi="Verdana"/>
          <w:i/>
          <w:sz w:val="18"/>
          <w:szCs w:val="18"/>
          <w:lang w:val="nl-NL"/>
        </w:rPr>
        <w:t xml:space="preserve"> y </w:t>
      </w:r>
      <w:proofErr w:type="spellStart"/>
      <w:r w:rsidRPr="00572A31" w:rsidR="00572A31">
        <w:rPr>
          <w:rFonts w:ascii="Verdana" w:hAnsi="Verdana"/>
          <w:i/>
          <w:sz w:val="18"/>
          <w:szCs w:val="18"/>
          <w:lang w:val="nl-NL"/>
        </w:rPr>
        <w:t>Comercio</w:t>
      </w:r>
      <w:proofErr w:type="spellEnd"/>
      <w:r w:rsidRPr="00572A31" w:rsidR="00572A31">
        <w:rPr>
          <w:rFonts w:ascii="Verdana" w:hAnsi="Verdana"/>
          <w:sz w:val="18"/>
          <w:szCs w:val="18"/>
          <w:lang w:val="nl-NL"/>
        </w:rPr>
        <w:t xml:space="preserve"> (SIC)</w:t>
      </w:r>
      <w:r w:rsidR="00D9563B">
        <w:rPr>
          <w:rFonts w:ascii="Verdana" w:hAnsi="Verdana"/>
          <w:sz w:val="18"/>
          <w:szCs w:val="18"/>
          <w:lang w:val="nl-NL"/>
        </w:rPr>
        <w:t xml:space="preserve"> en</w:t>
      </w:r>
      <w:r w:rsidRPr="00572A31" w:rsidR="00572A31">
        <w:rPr>
          <w:rFonts w:ascii="Verdana" w:hAnsi="Verdana"/>
          <w:sz w:val="18"/>
          <w:szCs w:val="18"/>
          <w:lang w:val="nl-NL"/>
        </w:rPr>
        <w:t xml:space="preserve"> voor de publieke sector is dat</w:t>
      </w:r>
      <w:r w:rsidR="009E0A05">
        <w:rPr>
          <w:rFonts w:ascii="Verdana" w:hAnsi="Verdana"/>
          <w:sz w:val="18"/>
          <w:szCs w:val="18"/>
          <w:lang w:val="nl-NL"/>
        </w:rPr>
        <w:t xml:space="preserve"> de</w:t>
      </w:r>
      <w:r w:rsidRPr="00572A31" w:rsidR="00572A31">
        <w:rPr>
          <w:rFonts w:ascii="Verdana" w:hAnsi="Verdana"/>
          <w:sz w:val="18"/>
          <w:szCs w:val="18"/>
          <w:lang w:val="nl-NL"/>
        </w:rPr>
        <w:t xml:space="preserve"> </w:t>
      </w:r>
      <w:proofErr w:type="spellStart"/>
      <w:r w:rsidRPr="009E0A05" w:rsidR="009E0A05">
        <w:rPr>
          <w:rFonts w:ascii="Verdana" w:hAnsi="Verdana"/>
          <w:i/>
          <w:sz w:val="18"/>
          <w:szCs w:val="18"/>
          <w:lang w:val="nl-NL"/>
        </w:rPr>
        <w:t>Fiscalía</w:t>
      </w:r>
      <w:proofErr w:type="spellEnd"/>
      <w:r w:rsidRPr="009E0A05" w:rsidR="009E0A05">
        <w:rPr>
          <w:rFonts w:ascii="Verdana" w:hAnsi="Verdana"/>
          <w:i/>
          <w:sz w:val="18"/>
          <w:szCs w:val="18"/>
          <w:lang w:val="nl-NL"/>
        </w:rPr>
        <w:t xml:space="preserve"> General</w:t>
      </w:r>
      <w:r w:rsidRPr="00572A31" w:rsidR="00572A31">
        <w:rPr>
          <w:rFonts w:ascii="Verdana" w:hAnsi="Verdana"/>
          <w:sz w:val="18"/>
          <w:szCs w:val="18"/>
          <w:lang w:val="nl-NL"/>
        </w:rPr>
        <w:t>.</w:t>
      </w:r>
      <w:r w:rsidR="009E0A05">
        <w:rPr>
          <w:rFonts w:ascii="Verdana" w:hAnsi="Verdana"/>
          <w:sz w:val="18"/>
          <w:szCs w:val="18"/>
          <w:lang w:val="nl-NL"/>
        </w:rPr>
        <w:t xml:space="preserve"> </w:t>
      </w:r>
      <w:r w:rsidRPr="002B071D" w:rsidR="002B071D">
        <w:rPr>
          <w:rFonts w:ascii="Verdana" w:hAnsi="Verdana"/>
          <w:sz w:val="18"/>
          <w:szCs w:val="18"/>
          <w:lang w:val="nl-NL"/>
        </w:rPr>
        <w:t xml:space="preserve">Relevant is ook dat Colombia zich heeft zich gecommitteerd aan de OESO-standaarden voor uitwisseling van informatie en gegevensbescherming en </w:t>
      </w:r>
      <w:r w:rsidR="00D9563B">
        <w:rPr>
          <w:rFonts w:ascii="Verdana" w:hAnsi="Verdana"/>
          <w:sz w:val="18"/>
          <w:szCs w:val="18"/>
          <w:lang w:val="nl-NL"/>
        </w:rPr>
        <w:t xml:space="preserve">dat Colombia sinds 2014 partij is bij </w:t>
      </w:r>
      <w:r w:rsidRPr="002B071D" w:rsidR="002B071D">
        <w:rPr>
          <w:rFonts w:ascii="Verdana" w:hAnsi="Verdana"/>
          <w:sz w:val="18"/>
          <w:szCs w:val="18"/>
          <w:lang w:val="nl-NL"/>
        </w:rPr>
        <w:t xml:space="preserve">het </w:t>
      </w:r>
      <w:r w:rsidR="0059197C">
        <w:rPr>
          <w:rFonts w:ascii="Verdana" w:hAnsi="Verdana"/>
          <w:sz w:val="18"/>
          <w:szCs w:val="18"/>
          <w:lang w:val="nl-NL"/>
        </w:rPr>
        <w:t xml:space="preserve">op 25 januari 1988 te Straatsburg tot stand gekomen </w:t>
      </w:r>
      <w:r w:rsidR="00D9563B">
        <w:rPr>
          <w:rFonts w:ascii="Verdana" w:hAnsi="Verdana"/>
          <w:sz w:val="18"/>
          <w:szCs w:val="18"/>
          <w:lang w:val="nl-NL"/>
        </w:rPr>
        <w:t>V</w:t>
      </w:r>
      <w:r w:rsidRPr="002B071D" w:rsidR="002B071D">
        <w:rPr>
          <w:rFonts w:ascii="Verdana" w:hAnsi="Verdana"/>
          <w:sz w:val="18"/>
          <w:szCs w:val="18"/>
          <w:lang w:val="nl-NL"/>
        </w:rPr>
        <w:t xml:space="preserve">erdrag inzake wederzijdse </w:t>
      </w:r>
      <w:r w:rsidR="0059197C">
        <w:rPr>
          <w:rFonts w:ascii="Verdana" w:hAnsi="Verdana"/>
          <w:sz w:val="18"/>
          <w:szCs w:val="18"/>
          <w:lang w:val="nl-NL"/>
        </w:rPr>
        <w:t xml:space="preserve">administratieve </w:t>
      </w:r>
      <w:r w:rsidRPr="002B071D" w:rsidR="002B071D">
        <w:rPr>
          <w:rFonts w:ascii="Verdana" w:hAnsi="Verdana"/>
          <w:sz w:val="18"/>
          <w:szCs w:val="18"/>
          <w:lang w:val="nl-NL"/>
        </w:rPr>
        <w:t>bijstand in belastingzaken</w:t>
      </w:r>
      <w:r w:rsidR="0059197C">
        <w:rPr>
          <w:rFonts w:ascii="Verdana" w:hAnsi="Verdana"/>
          <w:sz w:val="18"/>
          <w:szCs w:val="18"/>
          <w:lang w:val="nl-NL"/>
        </w:rPr>
        <w:t xml:space="preserve"> (</w:t>
      </w:r>
      <w:r w:rsidRPr="00E91422" w:rsidR="0059197C">
        <w:rPr>
          <w:rFonts w:ascii="Verdana" w:hAnsi="Verdana"/>
          <w:i/>
          <w:sz w:val="18"/>
          <w:szCs w:val="18"/>
          <w:lang w:val="nl-NL"/>
        </w:rPr>
        <w:t>Trb</w:t>
      </w:r>
      <w:r w:rsidR="0059197C">
        <w:rPr>
          <w:rFonts w:ascii="Verdana" w:hAnsi="Verdana"/>
          <w:sz w:val="18"/>
          <w:szCs w:val="18"/>
          <w:lang w:val="nl-NL"/>
        </w:rPr>
        <w:t>. 1991, 4)</w:t>
      </w:r>
      <w:r w:rsidRPr="002B071D" w:rsidR="002B071D">
        <w:rPr>
          <w:rFonts w:ascii="Verdana" w:hAnsi="Verdana"/>
          <w:sz w:val="18"/>
          <w:szCs w:val="18"/>
          <w:lang w:val="nl-NL"/>
        </w:rPr>
        <w:t xml:space="preserve">. De OESO heeft </w:t>
      </w:r>
      <w:r w:rsidR="0059197C">
        <w:rPr>
          <w:rFonts w:ascii="Verdana" w:hAnsi="Verdana"/>
          <w:sz w:val="18"/>
          <w:szCs w:val="18"/>
          <w:lang w:val="nl-NL"/>
        </w:rPr>
        <w:t>verder g</w:t>
      </w:r>
      <w:r w:rsidRPr="002B071D" w:rsidR="002B071D">
        <w:rPr>
          <w:rFonts w:ascii="Verdana" w:hAnsi="Verdana"/>
          <w:sz w:val="18"/>
          <w:szCs w:val="18"/>
          <w:lang w:val="nl-NL"/>
        </w:rPr>
        <w:t>eoordeel</w:t>
      </w:r>
      <w:r w:rsidR="00D9563B">
        <w:rPr>
          <w:rFonts w:ascii="Verdana" w:hAnsi="Verdana"/>
          <w:sz w:val="18"/>
          <w:szCs w:val="18"/>
          <w:lang w:val="nl-NL"/>
        </w:rPr>
        <w:t>d</w:t>
      </w:r>
      <w:r w:rsidRPr="002B071D" w:rsidR="002B071D">
        <w:rPr>
          <w:rFonts w:ascii="Verdana" w:hAnsi="Verdana"/>
          <w:sz w:val="18"/>
          <w:szCs w:val="18"/>
          <w:lang w:val="nl-NL"/>
        </w:rPr>
        <w:t xml:space="preserve"> dat Colombia zich aan de OESO-standaarden voor gegevensuitwisseling houdt met betrekking tot uitwisseling op verzoek</w:t>
      </w:r>
      <w:r w:rsidRPr="00A85E3C" w:rsidR="002B071D">
        <w:rPr>
          <w:szCs w:val="18"/>
          <w:lang w:val="nl-NL"/>
        </w:rPr>
        <w:t>.</w:t>
      </w:r>
      <w:r w:rsidRPr="00A85E3C" w:rsidR="002B071D">
        <w:rPr>
          <w:rStyle w:val="FootnoteReference"/>
          <w:lang w:val="nl-NL"/>
        </w:rPr>
        <w:footnoteReference w:id="13"/>
      </w:r>
      <w:r w:rsidR="0059197C">
        <w:rPr>
          <w:szCs w:val="18"/>
          <w:lang w:val="nl-NL"/>
        </w:rPr>
        <w:t xml:space="preserve"> </w:t>
      </w:r>
    </w:p>
    <w:p w:rsidRPr="00BB7074" w:rsidR="00D26274" w:rsidP="00054D0E" w:rsidRDefault="00D26274" w14:paraId="12626E98" w14:textId="0D889158">
      <w:pPr>
        <w:rPr>
          <w:rFonts w:ascii="Verdana" w:hAnsi="Verdana"/>
          <w:sz w:val="18"/>
          <w:szCs w:val="18"/>
          <w:lang w:val="nl-NL"/>
        </w:rPr>
      </w:pPr>
      <w:r w:rsidRPr="00BB7074">
        <w:rPr>
          <w:rFonts w:ascii="Verdana" w:hAnsi="Verdana"/>
          <w:sz w:val="18"/>
          <w:szCs w:val="18"/>
          <w:lang w:val="nl-NL"/>
        </w:rPr>
        <w:t>Op grond van het derde lid kunnen beide verdragsluitende staten de informatie ook verschaffen aan een arbitragepanel, mocht dat zijn opgezet op grond van artikel 23, vijfde lid, van het Verdrag. Voor de leden van dit panel gelden dezelfde beperkingen als omschreven in het tweede lid.</w:t>
      </w:r>
    </w:p>
    <w:p w:rsidRPr="00BB7074" w:rsidR="00D26274" w:rsidP="00054D0E" w:rsidRDefault="00D26274" w14:paraId="653975A3" w14:textId="6EB6ED2E">
      <w:pPr>
        <w:rPr>
          <w:rFonts w:ascii="Verdana" w:hAnsi="Verdana"/>
          <w:sz w:val="18"/>
          <w:szCs w:val="18"/>
          <w:lang w:val="nl-NL"/>
        </w:rPr>
      </w:pPr>
      <w:r w:rsidRPr="00BB7074">
        <w:rPr>
          <w:rFonts w:ascii="Verdana" w:hAnsi="Verdana"/>
          <w:sz w:val="18"/>
          <w:szCs w:val="18"/>
          <w:lang w:val="nl-NL"/>
        </w:rPr>
        <w:t xml:space="preserve">Het vierde lid geeft aan onder welke omstandigheden een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geen informatie hoeft te verstrekken aan de andere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Een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is bij de inspanningen om de informatie te verschaffen allereerst niet gehouden om bestuurlijke maatregelen te nemen die in strijd zijn met de wetgeving of bestuurlijke praktijk van die </w:t>
      </w:r>
      <w:r w:rsidRPr="00BB7074" w:rsidR="008B5BF7">
        <w:rPr>
          <w:rFonts w:ascii="Verdana" w:hAnsi="Verdana"/>
          <w:sz w:val="18"/>
          <w:szCs w:val="18"/>
          <w:lang w:val="nl-NL"/>
        </w:rPr>
        <w:t>staat</w:t>
      </w:r>
      <w:r w:rsidRPr="00BB7074" w:rsidR="001B27C7">
        <w:rPr>
          <w:rFonts w:ascii="Verdana" w:hAnsi="Verdana"/>
          <w:sz w:val="18"/>
          <w:szCs w:val="18"/>
          <w:lang w:val="nl-NL"/>
        </w:rPr>
        <w:t xml:space="preserve"> </w:t>
      </w:r>
      <w:r w:rsidRPr="00BB7074">
        <w:rPr>
          <w:rFonts w:ascii="Verdana" w:hAnsi="Verdana"/>
          <w:sz w:val="18"/>
          <w:szCs w:val="18"/>
          <w:lang w:val="nl-NL"/>
        </w:rPr>
        <w:t xml:space="preserve">of </w:t>
      </w:r>
      <w:r w:rsidRPr="00BB7074">
        <w:rPr>
          <w:rFonts w:ascii="Verdana" w:hAnsi="Verdana"/>
          <w:sz w:val="18"/>
          <w:szCs w:val="18"/>
          <w:lang w:val="nl-NL"/>
        </w:rPr>
        <w:lastRenderedPageBreak/>
        <w:t xml:space="preserve">van de andere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Een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is ook niet gehouden informatie uit te wisselen die niet verkrijgbaar is volgens de wetgeving of in de normale bestuurlijke gang van zaken van die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of van de andere </w:t>
      </w:r>
      <w:r w:rsidRPr="00BB7074" w:rsidR="008B5BF7">
        <w:rPr>
          <w:rFonts w:ascii="Verdana" w:hAnsi="Verdana"/>
          <w:sz w:val="18"/>
          <w:szCs w:val="18"/>
          <w:lang w:val="nl-NL"/>
        </w:rPr>
        <w:t>staat</w:t>
      </w:r>
      <w:r w:rsidRPr="00BB7074">
        <w:rPr>
          <w:rFonts w:ascii="Verdana" w:hAnsi="Verdana"/>
          <w:sz w:val="18"/>
          <w:szCs w:val="18"/>
          <w:lang w:val="nl-NL"/>
        </w:rPr>
        <w:t>. Verder vallen bedrijfsgeheimen buiten de toepassing van de informatie-uitwisselingsbepaling en hoeft ook geen informatie uitgewisseld te worden als dat in strijd zou zijn met de openbare orde.</w:t>
      </w:r>
    </w:p>
    <w:p w:rsidRPr="00BB7074" w:rsidR="00D26274" w:rsidP="00054D0E" w:rsidRDefault="00D26274" w14:paraId="6862E5CC" w14:textId="318D5AC2">
      <w:pPr>
        <w:rPr>
          <w:rFonts w:ascii="Verdana" w:hAnsi="Verdana"/>
          <w:sz w:val="18"/>
          <w:szCs w:val="18"/>
          <w:lang w:val="nl-NL"/>
        </w:rPr>
      </w:pPr>
      <w:r w:rsidRPr="00BB7074">
        <w:rPr>
          <w:rFonts w:ascii="Verdana" w:hAnsi="Verdana"/>
          <w:sz w:val="18"/>
          <w:szCs w:val="18"/>
          <w:lang w:val="nl-NL"/>
        </w:rPr>
        <w:t xml:space="preserve">Het vijfde lid brengt expliciet tot uitdrukking dat de aangezochte </w:t>
      </w:r>
      <w:r w:rsidRPr="00BB7074" w:rsidR="008B5BF7">
        <w:rPr>
          <w:rFonts w:ascii="Verdana" w:hAnsi="Verdana"/>
          <w:sz w:val="18"/>
          <w:szCs w:val="18"/>
          <w:lang w:val="nl-NL"/>
        </w:rPr>
        <w:t>staat</w:t>
      </w:r>
      <w:r w:rsidRPr="00BB7074">
        <w:rPr>
          <w:rFonts w:ascii="Verdana" w:hAnsi="Verdana"/>
          <w:sz w:val="18"/>
          <w:szCs w:val="18"/>
          <w:lang w:val="nl-NL"/>
        </w:rPr>
        <w:t xml:space="preserve"> de gevraagde informatie niet kan weigeren op grond van het feit dat het deze informatie</w:t>
      </w:r>
      <w:r w:rsidRPr="00BB7074" w:rsidR="00551BEA">
        <w:rPr>
          <w:rFonts w:ascii="Verdana" w:hAnsi="Verdana"/>
          <w:sz w:val="18"/>
          <w:szCs w:val="18"/>
          <w:lang w:val="nl-NL"/>
        </w:rPr>
        <w:t xml:space="preserve"> zelf</w:t>
      </w:r>
      <w:r w:rsidRPr="00BB7074">
        <w:rPr>
          <w:rFonts w:ascii="Verdana" w:hAnsi="Verdana"/>
          <w:sz w:val="18"/>
          <w:szCs w:val="18"/>
          <w:lang w:val="nl-NL"/>
        </w:rPr>
        <w:t xml:space="preserve"> niet nodig heeft voor de eigen belastingheffing. </w:t>
      </w:r>
    </w:p>
    <w:p w:rsidRPr="00BB7074" w:rsidR="002F0BBD" w:rsidP="00551BEA" w:rsidRDefault="00D26274" w14:paraId="150AB7F5" w14:textId="58F2B510">
      <w:pPr>
        <w:rPr>
          <w:rFonts w:ascii="Verdana" w:hAnsi="Verdana"/>
          <w:sz w:val="18"/>
          <w:szCs w:val="18"/>
          <w:lang w:val="nl-NL"/>
        </w:rPr>
      </w:pPr>
      <w:r w:rsidRPr="00BB7074">
        <w:rPr>
          <w:rFonts w:ascii="Verdana" w:hAnsi="Verdana"/>
          <w:sz w:val="18"/>
          <w:szCs w:val="18"/>
          <w:lang w:val="nl-NL"/>
        </w:rPr>
        <w:t xml:space="preserve">Tot slot bepaalt het zesde lid dat het enkele feit dat informatie in het bezit is van bijvoorbeeld een bank, een andere financiële instelling of een zaakwaarnemer, of dat de informatie betrekking heeft op eigendomsverhoudingen, geen reden is voor de aangezochte </w:t>
      </w:r>
      <w:r w:rsidRPr="00BB7074" w:rsidR="008B5BF7">
        <w:rPr>
          <w:rFonts w:ascii="Verdana" w:hAnsi="Verdana"/>
          <w:sz w:val="18"/>
          <w:szCs w:val="18"/>
          <w:lang w:val="nl-NL"/>
        </w:rPr>
        <w:t>staat</w:t>
      </w:r>
      <w:r w:rsidRPr="00BB7074">
        <w:rPr>
          <w:rFonts w:ascii="Verdana" w:hAnsi="Verdana"/>
          <w:sz w:val="18"/>
          <w:szCs w:val="18"/>
          <w:lang w:val="nl-NL"/>
        </w:rPr>
        <w:t xml:space="preserve"> om de gevraagde informatie niet te verstrekken aan de verzoekende </w:t>
      </w:r>
      <w:r w:rsidRPr="00BB7074" w:rsidR="008B5BF7">
        <w:rPr>
          <w:rFonts w:ascii="Verdana" w:hAnsi="Verdana"/>
          <w:sz w:val="18"/>
          <w:szCs w:val="18"/>
          <w:lang w:val="nl-NL"/>
        </w:rPr>
        <w:t>staat</w:t>
      </w:r>
      <w:r w:rsidRPr="00BB7074">
        <w:rPr>
          <w:rFonts w:ascii="Verdana" w:hAnsi="Verdana"/>
          <w:sz w:val="18"/>
          <w:szCs w:val="18"/>
          <w:lang w:val="nl-NL"/>
        </w:rPr>
        <w:t>.</w:t>
      </w:r>
    </w:p>
    <w:p w:rsidRPr="00BB7074" w:rsidR="00086938" w:rsidP="00551BEA" w:rsidRDefault="00086938" w14:paraId="4488310D" w14:textId="4E8F88B7">
      <w:pPr>
        <w:rPr>
          <w:rFonts w:ascii="Verdana" w:hAnsi="Verdana"/>
          <w:sz w:val="18"/>
          <w:szCs w:val="18"/>
          <w:lang w:val="nl-NL"/>
        </w:rPr>
      </w:pPr>
      <w:r w:rsidRPr="00BB7074">
        <w:rPr>
          <w:rFonts w:ascii="Verdana" w:hAnsi="Verdana"/>
          <w:sz w:val="18"/>
          <w:szCs w:val="18"/>
          <w:lang w:val="nl-NL"/>
        </w:rPr>
        <w:t>In artikel XIV van het Protocol is op verzoek van Nederland vastgelegd dat de bepalingen over de uitwisseling van inlichtingen eveneens van toepassing zijn op vorderingen op grond van de Nederlandse regelgeving met betrekking tot de toeslagen</w:t>
      </w:r>
      <w:r w:rsidRPr="00BB7074" w:rsidR="00F21DA3">
        <w:rPr>
          <w:rFonts w:ascii="Verdana" w:hAnsi="Verdana"/>
          <w:sz w:val="18"/>
          <w:szCs w:val="18"/>
          <w:lang w:val="nl-NL"/>
        </w:rPr>
        <w:t>.</w:t>
      </w:r>
    </w:p>
    <w:p w:rsidRPr="00BB7074" w:rsidR="00307E15" w:rsidP="00B603B8" w:rsidRDefault="00936DF5" w14:paraId="300B63DE" w14:textId="30DBF238">
      <w:pPr>
        <w:pStyle w:val="Heading2"/>
        <w:rPr>
          <w:lang w:val="nl-NL"/>
        </w:rPr>
      </w:pPr>
      <w:r w:rsidRPr="00BB7074">
        <w:rPr>
          <w:lang w:val="nl-NL"/>
        </w:rPr>
        <w:t xml:space="preserve">II.25. </w:t>
      </w:r>
      <w:r w:rsidRPr="00BB7074" w:rsidR="005F4CB5">
        <w:rPr>
          <w:lang w:val="nl-NL"/>
        </w:rPr>
        <w:t>Gerechtigdheid tot verdragsvoordelen</w:t>
      </w:r>
      <w:r w:rsidRPr="00BB7074" w:rsidR="001F4CBA">
        <w:rPr>
          <w:lang w:val="nl-NL"/>
        </w:rPr>
        <w:t xml:space="preserve"> </w:t>
      </w:r>
      <w:r w:rsidRPr="00BB7074" w:rsidR="009C2CDC">
        <w:rPr>
          <w:lang w:val="nl-NL"/>
        </w:rPr>
        <w:t>(</w:t>
      </w:r>
      <w:r w:rsidR="00A9054D">
        <w:rPr>
          <w:lang w:val="nl-NL"/>
        </w:rPr>
        <w:t xml:space="preserve">artikel 25 van het Verdrag </w:t>
      </w:r>
      <w:r w:rsidRPr="00BB7074" w:rsidR="001F4CBA">
        <w:rPr>
          <w:lang w:val="nl-NL"/>
        </w:rPr>
        <w:t>en artikel XV van het Protocol</w:t>
      </w:r>
      <w:r w:rsidRPr="00BB7074" w:rsidR="009C2CDC">
        <w:rPr>
          <w:lang w:val="nl-NL"/>
        </w:rPr>
        <w:t>)</w:t>
      </w:r>
      <w:r w:rsidRPr="00BB7074" w:rsidR="001F4CBA">
        <w:rPr>
          <w:lang w:val="nl-NL"/>
        </w:rPr>
        <w:t xml:space="preserve"> </w:t>
      </w:r>
    </w:p>
    <w:p w:rsidRPr="00BB7074" w:rsidR="00EE306C" w:rsidP="00327403" w:rsidRDefault="00EE306C" w14:paraId="5C1939F7" w14:textId="14D15E7E">
      <w:pPr>
        <w:rPr>
          <w:rFonts w:ascii="Verdana" w:hAnsi="Verdana"/>
          <w:sz w:val="18"/>
          <w:szCs w:val="18"/>
          <w:lang w:val="nl-NL"/>
        </w:rPr>
      </w:pPr>
      <w:r w:rsidRPr="00BB7074">
        <w:rPr>
          <w:rFonts w:ascii="Verdana" w:hAnsi="Verdana"/>
          <w:sz w:val="18"/>
          <w:szCs w:val="18"/>
          <w:lang w:val="nl-NL"/>
        </w:rPr>
        <w:t xml:space="preserve">In lijn met internationale ontwikkelingen en in lijn met het Nederlandse verdragsbeleid </w:t>
      </w:r>
      <w:r w:rsidRPr="00BB7074" w:rsidR="00987972">
        <w:rPr>
          <w:rFonts w:ascii="Verdana" w:hAnsi="Verdana"/>
          <w:sz w:val="18"/>
          <w:szCs w:val="18"/>
          <w:lang w:val="nl-NL"/>
        </w:rPr>
        <w:t xml:space="preserve">zijn </w:t>
      </w:r>
      <w:r w:rsidRPr="00BB7074">
        <w:rPr>
          <w:rFonts w:ascii="Verdana" w:hAnsi="Verdana"/>
          <w:sz w:val="18"/>
          <w:szCs w:val="18"/>
          <w:lang w:val="nl-NL"/>
        </w:rPr>
        <w:t xml:space="preserve">in artikel 25 </w:t>
      </w:r>
      <w:r w:rsidRPr="00BB7074" w:rsidR="00987972">
        <w:rPr>
          <w:rFonts w:ascii="Verdana" w:hAnsi="Verdana"/>
          <w:sz w:val="18"/>
          <w:szCs w:val="18"/>
          <w:lang w:val="nl-NL"/>
        </w:rPr>
        <w:t xml:space="preserve">van het Verdrag </w:t>
      </w:r>
      <w:r w:rsidRPr="00BB7074">
        <w:rPr>
          <w:rFonts w:ascii="Verdana" w:hAnsi="Verdana"/>
          <w:sz w:val="18"/>
          <w:szCs w:val="18"/>
          <w:lang w:val="nl-NL"/>
        </w:rPr>
        <w:t>bepaling</w:t>
      </w:r>
      <w:r w:rsidRPr="00BB7074" w:rsidR="00987972">
        <w:rPr>
          <w:rFonts w:ascii="Verdana" w:hAnsi="Verdana"/>
          <w:sz w:val="18"/>
          <w:szCs w:val="18"/>
          <w:lang w:val="nl-NL"/>
        </w:rPr>
        <w:t>en</w:t>
      </w:r>
      <w:r w:rsidRPr="00BB7074">
        <w:rPr>
          <w:rFonts w:ascii="Verdana" w:hAnsi="Verdana"/>
          <w:sz w:val="18"/>
          <w:szCs w:val="18"/>
          <w:lang w:val="nl-NL"/>
        </w:rPr>
        <w:t xml:space="preserve"> opgenomen die misbruik van het </w:t>
      </w:r>
      <w:r w:rsidRPr="00BB7074" w:rsidR="00997307">
        <w:rPr>
          <w:rFonts w:ascii="Verdana" w:hAnsi="Verdana"/>
          <w:sz w:val="18"/>
          <w:szCs w:val="18"/>
          <w:lang w:val="nl-NL"/>
        </w:rPr>
        <w:t>V</w:t>
      </w:r>
      <w:r w:rsidRPr="00BB7074">
        <w:rPr>
          <w:rFonts w:ascii="Verdana" w:hAnsi="Verdana"/>
          <w:sz w:val="18"/>
          <w:szCs w:val="18"/>
          <w:lang w:val="nl-NL"/>
        </w:rPr>
        <w:t>erdrag moet</w:t>
      </w:r>
      <w:r w:rsidRPr="00BB7074" w:rsidR="00987972">
        <w:rPr>
          <w:rFonts w:ascii="Verdana" w:hAnsi="Verdana"/>
          <w:sz w:val="18"/>
          <w:szCs w:val="18"/>
          <w:lang w:val="nl-NL"/>
        </w:rPr>
        <w:t>en</w:t>
      </w:r>
      <w:r w:rsidRPr="00BB7074">
        <w:rPr>
          <w:rFonts w:ascii="Verdana" w:hAnsi="Verdana"/>
          <w:sz w:val="18"/>
          <w:szCs w:val="18"/>
          <w:lang w:val="nl-NL"/>
        </w:rPr>
        <w:t xml:space="preserve"> voorkomen. </w:t>
      </w:r>
      <w:r w:rsidRPr="00BB7074" w:rsidR="00474872">
        <w:rPr>
          <w:rFonts w:ascii="Verdana" w:hAnsi="Verdana"/>
          <w:sz w:val="18"/>
          <w:szCs w:val="18"/>
          <w:lang w:val="nl-NL"/>
        </w:rPr>
        <w:t>Het artikel be</w:t>
      </w:r>
      <w:r w:rsidRPr="00BB7074" w:rsidR="008B5BF7">
        <w:rPr>
          <w:rFonts w:ascii="Verdana" w:hAnsi="Verdana"/>
          <w:sz w:val="18"/>
          <w:szCs w:val="18"/>
          <w:lang w:val="nl-NL"/>
        </w:rPr>
        <w:t>staat</w:t>
      </w:r>
      <w:r w:rsidRPr="00BB7074" w:rsidR="00474872">
        <w:rPr>
          <w:rFonts w:ascii="Verdana" w:hAnsi="Verdana"/>
          <w:sz w:val="18"/>
          <w:szCs w:val="18"/>
          <w:lang w:val="nl-NL"/>
        </w:rPr>
        <w:t xml:space="preserve"> in</w:t>
      </w:r>
      <w:r w:rsidRPr="00BB7074" w:rsidR="00997307">
        <w:rPr>
          <w:rFonts w:ascii="Verdana" w:hAnsi="Verdana"/>
          <w:sz w:val="18"/>
          <w:szCs w:val="18"/>
          <w:lang w:val="nl-NL"/>
        </w:rPr>
        <w:t xml:space="preserve"> </w:t>
      </w:r>
      <w:r w:rsidRPr="00BB7074" w:rsidR="00474872">
        <w:rPr>
          <w:rFonts w:ascii="Verdana" w:hAnsi="Verdana"/>
          <w:sz w:val="18"/>
          <w:szCs w:val="18"/>
          <w:lang w:val="nl-NL"/>
        </w:rPr>
        <w:t>feite uit drie delen. Het eerste deel is o</w:t>
      </w:r>
      <w:r w:rsidRPr="00BB7074">
        <w:rPr>
          <w:rFonts w:ascii="Verdana" w:hAnsi="Verdana"/>
          <w:sz w:val="18"/>
          <w:szCs w:val="18"/>
          <w:lang w:val="nl-NL"/>
        </w:rPr>
        <w:t xml:space="preserve">p verzoek van Colombia </w:t>
      </w:r>
      <w:r w:rsidR="00235A92">
        <w:rPr>
          <w:rFonts w:ascii="Verdana" w:hAnsi="Verdana"/>
          <w:sz w:val="18"/>
          <w:szCs w:val="18"/>
          <w:lang w:val="nl-NL"/>
        </w:rPr>
        <w:t>vormgegeven als een zogenoemde ‘</w:t>
      </w:r>
      <w:proofErr w:type="spellStart"/>
      <w:r w:rsidRPr="003A025B">
        <w:rPr>
          <w:rFonts w:ascii="Verdana" w:hAnsi="Verdana"/>
          <w:i/>
          <w:sz w:val="18"/>
          <w:szCs w:val="18"/>
          <w:lang w:val="nl-NL"/>
        </w:rPr>
        <w:t>Limitation</w:t>
      </w:r>
      <w:proofErr w:type="spellEnd"/>
      <w:r w:rsidRPr="003A025B">
        <w:rPr>
          <w:rFonts w:ascii="Verdana" w:hAnsi="Verdana"/>
          <w:i/>
          <w:sz w:val="18"/>
          <w:szCs w:val="18"/>
          <w:lang w:val="nl-NL"/>
        </w:rPr>
        <w:t xml:space="preserve"> on Benefits</w:t>
      </w:r>
      <w:r w:rsidR="00235A92">
        <w:rPr>
          <w:rFonts w:ascii="Verdana" w:hAnsi="Verdana"/>
          <w:sz w:val="18"/>
          <w:szCs w:val="18"/>
          <w:lang w:val="nl-NL"/>
        </w:rPr>
        <w:t>’</w:t>
      </w:r>
      <w:r w:rsidRPr="00BB7074" w:rsidR="007A1B24">
        <w:rPr>
          <w:rFonts w:ascii="Verdana" w:hAnsi="Verdana"/>
          <w:sz w:val="18"/>
          <w:szCs w:val="18"/>
          <w:lang w:val="nl-NL"/>
        </w:rPr>
        <w:t xml:space="preserve"> (</w:t>
      </w:r>
      <w:proofErr w:type="spellStart"/>
      <w:r w:rsidRPr="00BB7074" w:rsidR="007A1B24">
        <w:rPr>
          <w:rFonts w:ascii="Verdana" w:hAnsi="Verdana"/>
          <w:sz w:val="18"/>
          <w:szCs w:val="18"/>
          <w:lang w:val="nl-NL"/>
        </w:rPr>
        <w:t>LoB</w:t>
      </w:r>
      <w:proofErr w:type="spellEnd"/>
      <w:r w:rsidRPr="00BB7074" w:rsidR="007A1B24">
        <w:rPr>
          <w:rFonts w:ascii="Verdana" w:hAnsi="Verdana"/>
          <w:sz w:val="18"/>
          <w:szCs w:val="18"/>
          <w:lang w:val="nl-NL"/>
        </w:rPr>
        <w:t>)</w:t>
      </w:r>
      <w:r w:rsidRPr="00BB7074">
        <w:rPr>
          <w:rFonts w:ascii="Verdana" w:hAnsi="Verdana"/>
          <w:sz w:val="18"/>
          <w:szCs w:val="18"/>
          <w:lang w:val="nl-NL"/>
        </w:rPr>
        <w:t xml:space="preserve">. </w:t>
      </w:r>
      <w:r w:rsidRPr="00BB7074" w:rsidR="004C7B37">
        <w:rPr>
          <w:rFonts w:ascii="Verdana" w:hAnsi="Verdana"/>
          <w:sz w:val="18"/>
          <w:szCs w:val="18"/>
          <w:lang w:val="nl-NL"/>
        </w:rPr>
        <w:t>Op basis daarvan worden d</w:t>
      </w:r>
      <w:r w:rsidRPr="00BB7074">
        <w:rPr>
          <w:rFonts w:ascii="Verdana" w:hAnsi="Verdana"/>
          <w:sz w:val="18"/>
          <w:szCs w:val="18"/>
          <w:lang w:val="nl-NL"/>
        </w:rPr>
        <w:t>e verdragsvoordelen uitsluitend toegekend wanneer de</w:t>
      </w:r>
      <w:r w:rsidRPr="00BB7074" w:rsidR="009C2CDC">
        <w:rPr>
          <w:rFonts w:ascii="Verdana" w:hAnsi="Verdana"/>
          <w:sz w:val="18"/>
          <w:szCs w:val="18"/>
          <w:lang w:val="nl-NL"/>
        </w:rPr>
        <w:t xml:space="preserve"> persoon</w:t>
      </w:r>
      <w:r w:rsidRPr="00BB7074">
        <w:rPr>
          <w:rFonts w:ascii="Verdana" w:hAnsi="Verdana"/>
          <w:sz w:val="18"/>
          <w:szCs w:val="18"/>
          <w:lang w:val="nl-NL"/>
        </w:rPr>
        <w:t xml:space="preserve"> die een beroep op </w:t>
      </w:r>
      <w:r w:rsidRPr="00BB7074" w:rsidR="004C7B37">
        <w:rPr>
          <w:rFonts w:ascii="Verdana" w:hAnsi="Verdana"/>
          <w:sz w:val="18"/>
          <w:szCs w:val="18"/>
          <w:lang w:val="nl-NL"/>
        </w:rPr>
        <w:t xml:space="preserve">de verdragsvoordelen </w:t>
      </w:r>
      <w:r w:rsidRPr="00BB7074">
        <w:rPr>
          <w:rFonts w:ascii="Verdana" w:hAnsi="Verdana"/>
          <w:sz w:val="18"/>
          <w:szCs w:val="18"/>
          <w:lang w:val="nl-NL"/>
        </w:rPr>
        <w:t>doet</w:t>
      </w:r>
      <w:r w:rsidR="00641D47">
        <w:rPr>
          <w:rFonts w:ascii="Verdana" w:hAnsi="Verdana"/>
          <w:sz w:val="18"/>
          <w:szCs w:val="18"/>
          <w:lang w:val="nl-NL"/>
        </w:rPr>
        <w:t>,</w:t>
      </w:r>
      <w:r w:rsidRPr="00BB7074">
        <w:rPr>
          <w:rFonts w:ascii="Verdana" w:hAnsi="Verdana"/>
          <w:sz w:val="18"/>
          <w:szCs w:val="18"/>
          <w:lang w:val="nl-NL"/>
        </w:rPr>
        <w:t xml:space="preserve"> voldoet aan de voorwaarden die in</w:t>
      </w:r>
      <w:r w:rsidRPr="00BB7074" w:rsidR="00474872">
        <w:rPr>
          <w:rFonts w:ascii="Verdana" w:hAnsi="Verdana"/>
          <w:sz w:val="18"/>
          <w:szCs w:val="18"/>
          <w:lang w:val="nl-NL"/>
        </w:rPr>
        <w:t xml:space="preserve"> de eerste </w:t>
      </w:r>
      <w:r w:rsidRPr="00BB7074" w:rsidR="007A1B24">
        <w:rPr>
          <w:rFonts w:ascii="Verdana" w:hAnsi="Verdana"/>
          <w:sz w:val="18"/>
          <w:szCs w:val="18"/>
          <w:lang w:val="nl-NL"/>
        </w:rPr>
        <w:t>zes</w:t>
      </w:r>
      <w:r w:rsidRPr="00BB7074" w:rsidR="00474872">
        <w:rPr>
          <w:rFonts w:ascii="Verdana" w:hAnsi="Verdana"/>
          <w:sz w:val="18"/>
          <w:szCs w:val="18"/>
          <w:lang w:val="nl-NL"/>
        </w:rPr>
        <w:t xml:space="preserve"> leden van</w:t>
      </w:r>
      <w:r w:rsidRPr="00BB7074">
        <w:rPr>
          <w:rFonts w:ascii="Verdana" w:hAnsi="Verdana"/>
          <w:sz w:val="18"/>
          <w:szCs w:val="18"/>
          <w:lang w:val="nl-NL"/>
        </w:rPr>
        <w:t xml:space="preserve"> het artikel staan beschreven.</w:t>
      </w:r>
      <w:r w:rsidRPr="00BB7074" w:rsidR="00474872">
        <w:rPr>
          <w:rFonts w:ascii="Verdana" w:hAnsi="Verdana"/>
          <w:sz w:val="18"/>
          <w:szCs w:val="18"/>
          <w:lang w:val="nl-NL"/>
        </w:rPr>
        <w:t xml:space="preserve"> </w:t>
      </w:r>
      <w:r w:rsidRPr="00BB7074" w:rsidR="007A1B24">
        <w:rPr>
          <w:rFonts w:ascii="Verdana" w:hAnsi="Verdana"/>
          <w:sz w:val="18"/>
          <w:szCs w:val="18"/>
          <w:lang w:val="nl-NL"/>
        </w:rPr>
        <w:t>Het tweede deel bevat in het zevende en achtste lid een aanvulling hierop</w:t>
      </w:r>
      <w:r w:rsidR="00235A92">
        <w:rPr>
          <w:rFonts w:ascii="Verdana" w:hAnsi="Verdana"/>
          <w:sz w:val="18"/>
          <w:szCs w:val="18"/>
          <w:lang w:val="nl-NL"/>
        </w:rPr>
        <w:t xml:space="preserve"> in de vorm van een zogenoemde ‘</w:t>
      </w:r>
      <w:proofErr w:type="spellStart"/>
      <w:r w:rsidRPr="003A025B" w:rsidR="007A1B24">
        <w:rPr>
          <w:rFonts w:ascii="Verdana" w:hAnsi="Verdana"/>
          <w:i/>
          <w:sz w:val="18"/>
          <w:szCs w:val="18"/>
          <w:lang w:val="nl-NL"/>
        </w:rPr>
        <w:t>Principal</w:t>
      </w:r>
      <w:proofErr w:type="spellEnd"/>
      <w:r w:rsidRPr="003A025B" w:rsidR="007A1B24">
        <w:rPr>
          <w:rFonts w:ascii="Verdana" w:hAnsi="Verdana"/>
          <w:i/>
          <w:sz w:val="18"/>
          <w:szCs w:val="18"/>
          <w:lang w:val="nl-NL"/>
        </w:rPr>
        <w:t xml:space="preserve"> </w:t>
      </w:r>
      <w:proofErr w:type="spellStart"/>
      <w:r w:rsidRPr="003A025B" w:rsidR="007A1B24">
        <w:rPr>
          <w:rFonts w:ascii="Verdana" w:hAnsi="Verdana"/>
          <w:i/>
          <w:sz w:val="18"/>
          <w:szCs w:val="18"/>
          <w:lang w:val="nl-NL"/>
        </w:rPr>
        <w:t>Purposes</w:t>
      </w:r>
      <w:proofErr w:type="spellEnd"/>
      <w:r w:rsidRPr="003A025B" w:rsidR="007A1B24">
        <w:rPr>
          <w:rFonts w:ascii="Verdana" w:hAnsi="Verdana"/>
          <w:i/>
          <w:sz w:val="18"/>
          <w:szCs w:val="18"/>
          <w:lang w:val="nl-NL"/>
        </w:rPr>
        <w:t xml:space="preserve"> Test</w:t>
      </w:r>
      <w:r w:rsidR="00235A92">
        <w:rPr>
          <w:rFonts w:ascii="Verdana" w:hAnsi="Verdana"/>
          <w:i/>
          <w:sz w:val="18"/>
          <w:szCs w:val="18"/>
          <w:lang w:val="nl-NL"/>
        </w:rPr>
        <w:t>’</w:t>
      </w:r>
      <w:r w:rsidRPr="00BB7074" w:rsidR="007A1B24">
        <w:rPr>
          <w:rFonts w:ascii="Verdana" w:hAnsi="Verdana"/>
          <w:sz w:val="18"/>
          <w:szCs w:val="18"/>
          <w:lang w:val="nl-NL"/>
        </w:rPr>
        <w:t xml:space="preserve"> (PPT). </w:t>
      </w:r>
      <w:r w:rsidRPr="00BB7074" w:rsidR="00474872">
        <w:rPr>
          <w:rFonts w:ascii="Verdana" w:hAnsi="Verdana"/>
          <w:sz w:val="18"/>
          <w:szCs w:val="18"/>
          <w:lang w:val="nl-NL"/>
        </w:rPr>
        <w:t>Het</w:t>
      </w:r>
      <w:r w:rsidRPr="00BB7074" w:rsidR="007A1B24">
        <w:rPr>
          <w:rFonts w:ascii="Verdana" w:hAnsi="Verdana"/>
          <w:sz w:val="18"/>
          <w:szCs w:val="18"/>
          <w:lang w:val="nl-NL"/>
        </w:rPr>
        <w:t xml:space="preserve"> derde</w:t>
      </w:r>
      <w:r w:rsidRPr="00BB7074" w:rsidR="00474872">
        <w:rPr>
          <w:rFonts w:ascii="Verdana" w:hAnsi="Verdana"/>
          <w:sz w:val="18"/>
          <w:szCs w:val="18"/>
          <w:lang w:val="nl-NL"/>
        </w:rPr>
        <w:t xml:space="preserve"> deel reg</w:t>
      </w:r>
      <w:r w:rsidRPr="00BB7074" w:rsidR="007A1B24">
        <w:rPr>
          <w:rFonts w:ascii="Verdana" w:hAnsi="Verdana"/>
          <w:sz w:val="18"/>
          <w:szCs w:val="18"/>
          <w:lang w:val="nl-NL"/>
        </w:rPr>
        <w:t>e</w:t>
      </w:r>
      <w:r w:rsidRPr="00BB7074" w:rsidR="00474872">
        <w:rPr>
          <w:rFonts w:ascii="Verdana" w:hAnsi="Verdana"/>
          <w:sz w:val="18"/>
          <w:szCs w:val="18"/>
          <w:lang w:val="nl-NL"/>
        </w:rPr>
        <w:t xml:space="preserve">lt </w:t>
      </w:r>
      <w:r w:rsidRPr="00BB7074" w:rsidR="007A1B24">
        <w:rPr>
          <w:rFonts w:ascii="Verdana" w:hAnsi="Verdana"/>
          <w:sz w:val="18"/>
          <w:szCs w:val="18"/>
          <w:lang w:val="nl-NL"/>
        </w:rPr>
        <w:t xml:space="preserve">in het negende, tiende en elfde lid </w:t>
      </w:r>
      <w:r w:rsidRPr="00BB7074" w:rsidR="00474872">
        <w:rPr>
          <w:rFonts w:ascii="Verdana" w:hAnsi="Verdana"/>
          <w:sz w:val="18"/>
          <w:szCs w:val="18"/>
          <w:lang w:val="nl-NL"/>
        </w:rPr>
        <w:t xml:space="preserve">de situatie dat </w:t>
      </w:r>
      <w:r w:rsidRPr="00BB7074" w:rsidR="007A1B24">
        <w:rPr>
          <w:rFonts w:ascii="Verdana" w:hAnsi="Verdana"/>
          <w:sz w:val="18"/>
          <w:szCs w:val="18"/>
          <w:lang w:val="nl-NL"/>
        </w:rPr>
        <w:t>inkomen wordt genoten door een inwoner van een van de</w:t>
      </w:r>
      <w:r w:rsidRPr="00BB7074" w:rsidR="004B5F47">
        <w:rPr>
          <w:rFonts w:ascii="Verdana" w:hAnsi="Verdana"/>
          <w:sz w:val="18"/>
          <w:szCs w:val="18"/>
          <w:lang w:val="nl-NL"/>
        </w:rPr>
        <w:t xml:space="preserve"> v</w:t>
      </w:r>
      <w:r w:rsidRPr="00BB7074" w:rsidR="007A1B24">
        <w:rPr>
          <w:rFonts w:ascii="Verdana" w:hAnsi="Verdana"/>
          <w:sz w:val="18"/>
          <w:szCs w:val="18"/>
          <w:lang w:val="nl-NL"/>
        </w:rPr>
        <w:t xml:space="preserve">erdragsluitende </w:t>
      </w:r>
      <w:r w:rsidRPr="00BB7074" w:rsidR="004B5F47">
        <w:rPr>
          <w:rFonts w:ascii="Verdana" w:hAnsi="Verdana"/>
          <w:sz w:val="18"/>
          <w:szCs w:val="18"/>
          <w:lang w:val="nl-NL"/>
        </w:rPr>
        <w:t>s</w:t>
      </w:r>
      <w:r w:rsidRPr="00BB7074" w:rsidR="007A1B24">
        <w:rPr>
          <w:rFonts w:ascii="Verdana" w:hAnsi="Verdana"/>
          <w:sz w:val="18"/>
          <w:szCs w:val="18"/>
          <w:lang w:val="nl-NL"/>
        </w:rPr>
        <w:t xml:space="preserve">taten, maar dit inkomen is toe te rekenen aan een vaste inrichting in een derde </w:t>
      </w:r>
      <w:r w:rsidRPr="00BB7074" w:rsidR="008B5BF7">
        <w:rPr>
          <w:rFonts w:ascii="Verdana" w:hAnsi="Verdana"/>
          <w:sz w:val="18"/>
          <w:szCs w:val="18"/>
          <w:lang w:val="nl-NL"/>
        </w:rPr>
        <w:t>staat</w:t>
      </w:r>
      <w:r w:rsidRPr="00BB7074" w:rsidR="007A1B24">
        <w:rPr>
          <w:rFonts w:ascii="Verdana" w:hAnsi="Verdana"/>
          <w:sz w:val="18"/>
          <w:szCs w:val="18"/>
          <w:lang w:val="nl-NL"/>
        </w:rPr>
        <w:t xml:space="preserve">. </w:t>
      </w:r>
    </w:p>
    <w:p w:rsidRPr="00BB7074" w:rsidR="00997307" w:rsidP="00327403" w:rsidRDefault="00D6484F" w14:paraId="7CC244EB" w14:textId="5BD5A586">
      <w:pPr>
        <w:rPr>
          <w:rFonts w:ascii="Verdana" w:hAnsi="Verdana"/>
          <w:sz w:val="18"/>
          <w:szCs w:val="18"/>
          <w:lang w:val="nl-NL"/>
        </w:rPr>
      </w:pPr>
      <w:r w:rsidRPr="00BB7074">
        <w:rPr>
          <w:rFonts w:ascii="Verdana" w:hAnsi="Verdana"/>
          <w:sz w:val="18"/>
          <w:szCs w:val="18"/>
          <w:lang w:val="nl-NL"/>
        </w:rPr>
        <w:t>Het artikel</w:t>
      </w:r>
      <w:r w:rsidRPr="00BB7074" w:rsidR="000B6BF3">
        <w:rPr>
          <w:rFonts w:ascii="Verdana" w:hAnsi="Verdana"/>
          <w:sz w:val="18"/>
          <w:szCs w:val="18"/>
          <w:lang w:val="nl-NL"/>
        </w:rPr>
        <w:t xml:space="preserve"> is</w:t>
      </w:r>
      <w:r w:rsidRPr="00BB7074">
        <w:rPr>
          <w:rFonts w:ascii="Verdana" w:hAnsi="Verdana"/>
          <w:sz w:val="18"/>
          <w:szCs w:val="18"/>
          <w:lang w:val="nl-NL"/>
        </w:rPr>
        <w:t xml:space="preserve"> </w:t>
      </w:r>
      <w:r w:rsidRPr="00BB7074" w:rsidR="00997307">
        <w:rPr>
          <w:rFonts w:ascii="Verdana" w:hAnsi="Verdana"/>
          <w:sz w:val="18"/>
          <w:szCs w:val="18"/>
          <w:lang w:val="nl-NL"/>
        </w:rPr>
        <w:t>langs deze</w:t>
      </w:r>
      <w:r w:rsidRPr="00BB7074">
        <w:rPr>
          <w:rFonts w:ascii="Verdana" w:hAnsi="Verdana"/>
          <w:sz w:val="18"/>
          <w:szCs w:val="18"/>
          <w:lang w:val="nl-NL"/>
        </w:rPr>
        <w:t xml:space="preserve"> lijnen als volgt opgebouwd. Het eerste lid bepaalt dat de verdragsvoordelen alleen toekomen aan kwalificerende personen die in het tweede lid, limitatief, worden beschreven. Het derde en het vierde lid breiden de gerechtigdheid uit tot, </w:t>
      </w:r>
      <w:r w:rsidRPr="00BB7074" w:rsidR="009C2CDC">
        <w:rPr>
          <w:rFonts w:ascii="Verdana" w:hAnsi="Verdana"/>
          <w:sz w:val="18"/>
          <w:szCs w:val="18"/>
          <w:lang w:val="nl-NL"/>
        </w:rPr>
        <w:t>kort gezegd</w:t>
      </w:r>
      <w:r w:rsidRPr="00BB7074">
        <w:rPr>
          <w:rFonts w:ascii="Verdana" w:hAnsi="Verdana"/>
          <w:sz w:val="18"/>
          <w:szCs w:val="18"/>
          <w:lang w:val="nl-NL"/>
        </w:rPr>
        <w:t>, actieve ondernemingen en voor gevallen waarin misbruik niet voor de hand ligt omdat</w:t>
      </w:r>
      <w:r w:rsidRPr="00BB7074" w:rsidR="002C1E5E">
        <w:rPr>
          <w:rFonts w:ascii="Verdana" w:hAnsi="Verdana"/>
          <w:sz w:val="18"/>
          <w:szCs w:val="18"/>
          <w:lang w:val="nl-NL"/>
        </w:rPr>
        <w:t xml:space="preserve"> </w:t>
      </w:r>
      <w:r w:rsidRPr="00BB7074">
        <w:rPr>
          <w:rFonts w:ascii="Verdana" w:hAnsi="Verdana"/>
          <w:sz w:val="18"/>
          <w:szCs w:val="18"/>
          <w:lang w:val="nl-NL"/>
        </w:rPr>
        <w:t xml:space="preserve">zonder deze structuur de verdragsvoordelen ook gegeven zouden worden. Het vijfde lid bevat een zogenoemde vangnetbepaling. Het zesde lid bevat definities van de verschillende </w:t>
      </w:r>
      <w:r w:rsidRPr="00BB7074" w:rsidR="004C7B37">
        <w:rPr>
          <w:rFonts w:ascii="Verdana" w:hAnsi="Verdana"/>
          <w:sz w:val="18"/>
          <w:szCs w:val="18"/>
          <w:lang w:val="nl-NL"/>
        </w:rPr>
        <w:t xml:space="preserve">in het artikel </w:t>
      </w:r>
      <w:r w:rsidRPr="00BB7074">
        <w:rPr>
          <w:rFonts w:ascii="Verdana" w:hAnsi="Verdana"/>
          <w:sz w:val="18"/>
          <w:szCs w:val="18"/>
          <w:lang w:val="nl-NL"/>
        </w:rPr>
        <w:t xml:space="preserve">gebruikte termen. </w:t>
      </w:r>
    </w:p>
    <w:p w:rsidRPr="00BB7074" w:rsidR="00997307" w:rsidP="00327403" w:rsidRDefault="00D6484F" w14:paraId="5637DCD8" w14:textId="596F0D0D">
      <w:pPr>
        <w:rPr>
          <w:rFonts w:ascii="Verdana" w:hAnsi="Verdana"/>
          <w:sz w:val="18"/>
          <w:szCs w:val="18"/>
          <w:lang w:val="nl-NL"/>
        </w:rPr>
      </w:pPr>
      <w:r w:rsidRPr="00BB7074">
        <w:rPr>
          <w:rFonts w:ascii="Verdana" w:hAnsi="Verdana"/>
          <w:sz w:val="18"/>
          <w:szCs w:val="18"/>
          <w:lang w:val="nl-NL"/>
        </w:rPr>
        <w:t xml:space="preserve">Het zevende lid </w:t>
      </w:r>
      <w:r w:rsidRPr="00BB7074" w:rsidR="002C1E5E">
        <w:rPr>
          <w:rFonts w:ascii="Verdana" w:hAnsi="Verdana"/>
          <w:sz w:val="18"/>
          <w:szCs w:val="18"/>
          <w:lang w:val="nl-NL"/>
        </w:rPr>
        <w:t>bevat</w:t>
      </w:r>
      <w:r w:rsidRPr="00BB7074">
        <w:rPr>
          <w:rFonts w:ascii="Verdana" w:hAnsi="Verdana"/>
          <w:sz w:val="18"/>
          <w:szCs w:val="18"/>
          <w:lang w:val="nl-NL"/>
        </w:rPr>
        <w:t xml:space="preserve"> een </w:t>
      </w:r>
      <w:r w:rsidRPr="00BB7074" w:rsidR="00560971">
        <w:rPr>
          <w:rFonts w:ascii="Verdana" w:hAnsi="Verdana"/>
          <w:sz w:val="18"/>
          <w:szCs w:val="18"/>
          <w:lang w:val="nl-NL"/>
        </w:rPr>
        <w:t>PPT</w:t>
      </w:r>
      <w:r w:rsidRPr="00BB7074">
        <w:rPr>
          <w:rFonts w:ascii="Verdana" w:hAnsi="Verdana"/>
          <w:sz w:val="18"/>
          <w:szCs w:val="18"/>
          <w:lang w:val="nl-NL"/>
        </w:rPr>
        <w:t xml:space="preserve">. Ook wanneer een belastingplichtige wel aan de </w:t>
      </w:r>
      <w:r w:rsidRPr="00BB7074" w:rsidR="00054D0E">
        <w:rPr>
          <w:rFonts w:ascii="Verdana" w:hAnsi="Verdana"/>
          <w:sz w:val="18"/>
          <w:szCs w:val="18"/>
          <w:lang w:val="nl-NL"/>
        </w:rPr>
        <w:t>eerdergenoemde</w:t>
      </w:r>
      <w:r w:rsidRPr="00BB7074" w:rsidR="00997307">
        <w:rPr>
          <w:rFonts w:ascii="Verdana" w:hAnsi="Verdana"/>
          <w:sz w:val="18"/>
          <w:szCs w:val="18"/>
          <w:lang w:val="nl-NL"/>
        </w:rPr>
        <w:t xml:space="preserve"> </w:t>
      </w:r>
      <w:r w:rsidRPr="00BB7074">
        <w:rPr>
          <w:rFonts w:ascii="Verdana" w:hAnsi="Verdana"/>
          <w:sz w:val="18"/>
          <w:szCs w:val="18"/>
          <w:lang w:val="nl-NL"/>
        </w:rPr>
        <w:t xml:space="preserve">voorwaarden van </w:t>
      </w:r>
      <w:r w:rsidRPr="00BB7074" w:rsidR="004C7B37">
        <w:rPr>
          <w:rFonts w:ascii="Verdana" w:hAnsi="Verdana"/>
          <w:sz w:val="18"/>
          <w:szCs w:val="18"/>
          <w:lang w:val="nl-NL"/>
        </w:rPr>
        <w:t xml:space="preserve">het </w:t>
      </w:r>
      <w:r w:rsidRPr="00BB7074">
        <w:rPr>
          <w:rFonts w:ascii="Verdana" w:hAnsi="Verdana"/>
          <w:sz w:val="18"/>
          <w:szCs w:val="18"/>
          <w:lang w:val="nl-NL"/>
        </w:rPr>
        <w:t xml:space="preserve">artikel voldoet kunnen hem </w:t>
      </w:r>
      <w:r w:rsidRPr="00BB7074" w:rsidR="00AE68F8">
        <w:rPr>
          <w:rFonts w:ascii="Verdana" w:hAnsi="Verdana"/>
          <w:sz w:val="18"/>
          <w:szCs w:val="18"/>
          <w:lang w:val="nl-NL"/>
        </w:rPr>
        <w:t xml:space="preserve">een </w:t>
      </w:r>
      <w:r w:rsidRPr="00BB7074">
        <w:rPr>
          <w:rFonts w:ascii="Verdana" w:hAnsi="Verdana"/>
          <w:sz w:val="18"/>
          <w:szCs w:val="18"/>
          <w:lang w:val="nl-NL"/>
        </w:rPr>
        <w:t>verdragsvoordee</w:t>
      </w:r>
      <w:r w:rsidRPr="00BB7074" w:rsidR="00AE68F8">
        <w:rPr>
          <w:rFonts w:ascii="Verdana" w:hAnsi="Verdana"/>
          <w:sz w:val="18"/>
          <w:szCs w:val="18"/>
          <w:lang w:val="nl-NL"/>
        </w:rPr>
        <w:t>l</w:t>
      </w:r>
      <w:r w:rsidRPr="00BB7074">
        <w:rPr>
          <w:rFonts w:ascii="Verdana" w:hAnsi="Verdana"/>
          <w:sz w:val="18"/>
          <w:szCs w:val="18"/>
          <w:lang w:val="nl-NL"/>
        </w:rPr>
        <w:t xml:space="preserve"> ontzegd worden wanneer aannemelijk is dat een van belangrijkste doelstellingen van de gebruikte structuur</w:t>
      </w:r>
      <w:r w:rsidRPr="00BB7074" w:rsidR="00997307">
        <w:rPr>
          <w:rFonts w:ascii="Verdana" w:hAnsi="Verdana"/>
          <w:sz w:val="18"/>
          <w:szCs w:val="18"/>
          <w:lang w:val="nl-NL"/>
        </w:rPr>
        <w:t>,</w:t>
      </w:r>
      <w:r w:rsidRPr="00BB7074">
        <w:rPr>
          <w:rFonts w:ascii="Verdana" w:hAnsi="Verdana"/>
          <w:sz w:val="18"/>
          <w:szCs w:val="18"/>
          <w:lang w:val="nl-NL"/>
        </w:rPr>
        <w:t xml:space="preserve"> of van een transactie</w:t>
      </w:r>
      <w:r w:rsidRPr="00BB7074" w:rsidR="00997307">
        <w:rPr>
          <w:rFonts w:ascii="Verdana" w:hAnsi="Verdana"/>
          <w:sz w:val="18"/>
          <w:szCs w:val="18"/>
          <w:lang w:val="nl-NL"/>
        </w:rPr>
        <w:t>,</w:t>
      </w:r>
      <w:r w:rsidRPr="00BB7074">
        <w:rPr>
          <w:rFonts w:ascii="Verdana" w:hAnsi="Verdana"/>
          <w:sz w:val="18"/>
          <w:szCs w:val="18"/>
          <w:lang w:val="nl-NL"/>
        </w:rPr>
        <w:t xml:space="preserve"> is gelegen in het verkrijgen van </w:t>
      </w:r>
      <w:r w:rsidRPr="00BB7074" w:rsidR="00AE68F8">
        <w:rPr>
          <w:rFonts w:ascii="Verdana" w:hAnsi="Verdana"/>
          <w:sz w:val="18"/>
          <w:szCs w:val="18"/>
          <w:lang w:val="nl-NL"/>
        </w:rPr>
        <w:t xml:space="preserve">dat </w:t>
      </w:r>
      <w:r w:rsidRPr="00BB7074">
        <w:rPr>
          <w:rFonts w:ascii="Verdana" w:hAnsi="Verdana"/>
          <w:sz w:val="18"/>
          <w:szCs w:val="18"/>
          <w:lang w:val="nl-NL"/>
        </w:rPr>
        <w:t>verdragsvoorde</w:t>
      </w:r>
      <w:r w:rsidRPr="00BB7074" w:rsidR="00AE68F8">
        <w:rPr>
          <w:rFonts w:ascii="Verdana" w:hAnsi="Verdana"/>
          <w:sz w:val="18"/>
          <w:szCs w:val="18"/>
          <w:lang w:val="nl-NL"/>
        </w:rPr>
        <w:t>e</w:t>
      </w:r>
      <w:r w:rsidRPr="00BB7074">
        <w:rPr>
          <w:rFonts w:ascii="Verdana" w:hAnsi="Verdana"/>
          <w:sz w:val="18"/>
          <w:szCs w:val="18"/>
          <w:lang w:val="nl-NL"/>
        </w:rPr>
        <w:t xml:space="preserve">l terwijl het </w:t>
      </w:r>
      <w:r w:rsidRPr="00BB7074" w:rsidR="004C7B37">
        <w:rPr>
          <w:rFonts w:ascii="Verdana" w:hAnsi="Verdana"/>
          <w:sz w:val="18"/>
          <w:szCs w:val="18"/>
          <w:lang w:val="nl-NL"/>
        </w:rPr>
        <w:t xml:space="preserve">toekennen </w:t>
      </w:r>
      <w:r w:rsidRPr="00BB7074">
        <w:rPr>
          <w:rFonts w:ascii="Verdana" w:hAnsi="Verdana"/>
          <w:sz w:val="18"/>
          <w:szCs w:val="18"/>
          <w:lang w:val="nl-NL"/>
        </w:rPr>
        <w:t xml:space="preserve">van dat voordeel in strijd zou komen met doel en strekking van het </w:t>
      </w:r>
      <w:r w:rsidRPr="00BB7074" w:rsidR="009F30D9">
        <w:rPr>
          <w:rFonts w:ascii="Verdana" w:hAnsi="Verdana"/>
          <w:sz w:val="18"/>
          <w:szCs w:val="18"/>
          <w:lang w:val="nl-NL"/>
        </w:rPr>
        <w:t>V</w:t>
      </w:r>
      <w:r w:rsidRPr="00BB7074">
        <w:rPr>
          <w:rFonts w:ascii="Verdana" w:hAnsi="Verdana"/>
          <w:sz w:val="18"/>
          <w:szCs w:val="18"/>
          <w:lang w:val="nl-NL"/>
        </w:rPr>
        <w:t>erdrag.</w:t>
      </w:r>
      <w:r w:rsidRPr="00BB7074" w:rsidR="001F2FC8">
        <w:rPr>
          <w:rFonts w:ascii="Verdana" w:hAnsi="Verdana"/>
          <w:sz w:val="18"/>
          <w:szCs w:val="18"/>
          <w:lang w:val="nl-NL"/>
        </w:rPr>
        <w:t xml:space="preserve"> Het achtste lid verzacht deze bepaling en machtigt de bevoegde autoriteiten om bij toepassing van het zevende lid toch verdragsvoordelen toe te kennen die zonder de structuur of transactie zouden zijn toegekend. </w:t>
      </w:r>
    </w:p>
    <w:p w:rsidRPr="00BB7074" w:rsidR="002F0BBD" w:rsidP="00327403" w:rsidRDefault="001F2FC8" w14:paraId="5B363354" w14:textId="69FF16E0">
      <w:pPr>
        <w:rPr>
          <w:rFonts w:ascii="Verdana" w:hAnsi="Verdana"/>
          <w:sz w:val="18"/>
          <w:szCs w:val="18"/>
          <w:lang w:val="nl-NL"/>
        </w:rPr>
      </w:pPr>
      <w:r w:rsidRPr="00BB7074">
        <w:rPr>
          <w:rFonts w:ascii="Verdana" w:hAnsi="Verdana"/>
          <w:sz w:val="18"/>
          <w:szCs w:val="18"/>
          <w:lang w:val="nl-NL"/>
        </w:rPr>
        <w:lastRenderedPageBreak/>
        <w:t xml:space="preserve">Het negende lid gaat in op de situatie dat een inwoner van de ene </w:t>
      </w:r>
      <w:r w:rsidRPr="00BB7074" w:rsidR="008B5BF7">
        <w:rPr>
          <w:rFonts w:ascii="Verdana" w:hAnsi="Verdana"/>
          <w:sz w:val="18"/>
          <w:szCs w:val="18"/>
          <w:lang w:val="nl-NL"/>
        </w:rPr>
        <w:t>staat</w:t>
      </w:r>
      <w:r w:rsidRPr="00BB7074">
        <w:rPr>
          <w:rFonts w:ascii="Verdana" w:hAnsi="Verdana"/>
          <w:sz w:val="18"/>
          <w:szCs w:val="18"/>
          <w:lang w:val="nl-NL"/>
        </w:rPr>
        <w:t xml:space="preserve"> (de woon</w:t>
      </w:r>
      <w:r w:rsidRPr="00BB7074" w:rsidR="008B5BF7">
        <w:rPr>
          <w:rFonts w:ascii="Verdana" w:hAnsi="Verdana"/>
          <w:sz w:val="18"/>
          <w:szCs w:val="18"/>
          <w:lang w:val="nl-NL"/>
        </w:rPr>
        <w:t>staat</w:t>
      </w:r>
      <w:r w:rsidRPr="00BB7074">
        <w:rPr>
          <w:rFonts w:ascii="Verdana" w:hAnsi="Verdana"/>
          <w:sz w:val="18"/>
          <w:szCs w:val="18"/>
          <w:lang w:val="nl-NL"/>
        </w:rPr>
        <w:t xml:space="preserve">) inkomen ontvangt uit de andere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(de bron</w:t>
      </w:r>
      <w:r w:rsidRPr="00BB7074" w:rsidR="008B5BF7">
        <w:rPr>
          <w:rFonts w:ascii="Verdana" w:hAnsi="Verdana"/>
          <w:sz w:val="18"/>
          <w:szCs w:val="18"/>
          <w:lang w:val="nl-NL"/>
        </w:rPr>
        <w:t>staat</w:t>
      </w:r>
      <w:r w:rsidRPr="00BB7074">
        <w:rPr>
          <w:rFonts w:ascii="Verdana" w:hAnsi="Verdana"/>
          <w:sz w:val="18"/>
          <w:szCs w:val="18"/>
          <w:lang w:val="nl-NL"/>
        </w:rPr>
        <w:t xml:space="preserve">) maar dit inkomen is toe te rekenen aan een vaste inrichting in een derde </w:t>
      </w:r>
      <w:r w:rsidRPr="00BB7074" w:rsidR="00AE68F8">
        <w:rPr>
          <w:rFonts w:ascii="Verdana" w:hAnsi="Verdana"/>
          <w:sz w:val="18"/>
          <w:szCs w:val="18"/>
          <w:lang w:val="nl-NL"/>
        </w:rPr>
        <w:t>rechtsgebied</w:t>
      </w:r>
      <w:r w:rsidRPr="00BB7074">
        <w:rPr>
          <w:rFonts w:ascii="Verdana" w:hAnsi="Verdana"/>
          <w:sz w:val="18"/>
          <w:szCs w:val="18"/>
          <w:lang w:val="nl-NL"/>
        </w:rPr>
        <w:t>. Wanneer de woon</w:t>
      </w:r>
      <w:r w:rsidRPr="00BB7074" w:rsidR="008B5BF7">
        <w:rPr>
          <w:rFonts w:ascii="Verdana" w:hAnsi="Verdana"/>
          <w:sz w:val="18"/>
          <w:szCs w:val="18"/>
          <w:lang w:val="nl-NL"/>
        </w:rPr>
        <w:t>staat</w:t>
      </w:r>
      <w:r w:rsidRPr="00BB7074">
        <w:rPr>
          <w:rFonts w:ascii="Verdana" w:hAnsi="Verdana"/>
          <w:sz w:val="18"/>
          <w:szCs w:val="18"/>
          <w:lang w:val="nl-NL"/>
        </w:rPr>
        <w:t xml:space="preserve"> dat inkomen vrijstelt (omdat het aan de vaste inrichting is toe te rekenen) en de belasting op dat inkomen minder bedraagt dan 60% van wat over dat inkomen in de woon</w:t>
      </w:r>
      <w:r w:rsidRPr="00BB7074" w:rsidR="008B5BF7">
        <w:rPr>
          <w:rFonts w:ascii="Verdana" w:hAnsi="Verdana"/>
          <w:sz w:val="18"/>
          <w:szCs w:val="18"/>
          <w:lang w:val="nl-NL"/>
        </w:rPr>
        <w:t>staat</w:t>
      </w:r>
      <w:r w:rsidRPr="00BB7074">
        <w:rPr>
          <w:rFonts w:ascii="Verdana" w:hAnsi="Verdana"/>
          <w:sz w:val="18"/>
          <w:szCs w:val="18"/>
          <w:lang w:val="nl-NL"/>
        </w:rPr>
        <w:t xml:space="preserve"> verschuldigd zou zijn, worden de verdragsvoordelen (door de bron</w:t>
      </w:r>
      <w:r w:rsidRPr="00BB7074" w:rsidR="008B5BF7">
        <w:rPr>
          <w:rFonts w:ascii="Verdana" w:hAnsi="Verdana"/>
          <w:sz w:val="18"/>
          <w:szCs w:val="18"/>
          <w:lang w:val="nl-NL"/>
        </w:rPr>
        <w:t>staat</w:t>
      </w:r>
      <w:r w:rsidRPr="00BB7074">
        <w:rPr>
          <w:rFonts w:ascii="Verdana" w:hAnsi="Verdana"/>
          <w:sz w:val="18"/>
          <w:szCs w:val="18"/>
          <w:lang w:val="nl-NL"/>
        </w:rPr>
        <w:t xml:space="preserve">) niet toegekend. Dit geldt op grond van het tiende lid niet voor actieve ondernemingen. </w:t>
      </w:r>
      <w:r w:rsidRPr="00BB7074" w:rsidR="00AC76CE">
        <w:rPr>
          <w:rFonts w:ascii="Verdana" w:hAnsi="Verdana"/>
          <w:sz w:val="18"/>
          <w:szCs w:val="18"/>
          <w:lang w:val="nl-NL"/>
        </w:rPr>
        <w:t>Het elfde lid biedt de mogelijkheid om de verdragsvoordelen toch toe te kennen wanneer dit redelijk is in het licht van de oorzaken waardoor niet aan de vereiste belastingdruk wordt voldaan.</w:t>
      </w:r>
    </w:p>
    <w:p w:rsidRPr="00BB7074" w:rsidR="003074D0" w:rsidP="00327403" w:rsidRDefault="003074D0" w14:paraId="37825E9D" w14:textId="5ED9E5C0">
      <w:pPr>
        <w:rPr>
          <w:rFonts w:ascii="Verdana" w:hAnsi="Verdana"/>
          <w:sz w:val="18"/>
          <w:szCs w:val="18"/>
          <w:lang w:val="nl-NL"/>
        </w:rPr>
      </w:pPr>
      <w:r w:rsidRPr="00BB7074">
        <w:rPr>
          <w:rFonts w:ascii="Verdana" w:hAnsi="Verdana"/>
          <w:sz w:val="18"/>
          <w:szCs w:val="18"/>
          <w:lang w:val="nl-NL"/>
        </w:rPr>
        <w:t xml:space="preserve">Op </w:t>
      </w:r>
      <w:r w:rsidRPr="00BB7074" w:rsidR="00765C7E">
        <w:rPr>
          <w:rFonts w:ascii="Verdana" w:hAnsi="Verdana"/>
          <w:sz w:val="18"/>
          <w:szCs w:val="18"/>
          <w:lang w:val="nl-NL"/>
        </w:rPr>
        <w:t xml:space="preserve">het tweede tot en met het vijfde lid en op het zevende en achtste lid </w:t>
      </w:r>
      <w:r w:rsidRPr="00BB7074">
        <w:rPr>
          <w:rFonts w:ascii="Verdana" w:hAnsi="Verdana"/>
          <w:sz w:val="18"/>
          <w:szCs w:val="18"/>
          <w:lang w:val="nl-NL"/>
        </w:rPr>
        <w:t>zal hieronder in meer detail worden ingegaan.</w:t>
      </w:r>
    </w:p>
    <w:p w:rsidRPr="00BB7074" w:rsidR="003074D0" w:rsidP="00327403" w:rsidRDefault="004C22F1" w14:paraId="117E6DD0" w14:textId="42909EC0">
      <w:pPr>
        <w:rPr>
          <w:rFonts w:ascii="Verdana" w:hAnsi="Verdana"/>
          <w:sz w:val="18"/>
          <w:szCs w:val="18"/>
          <w:lang w:val="nl-NL"/>
        </w:rPr>
      </w:pPr>
      <w:r w:rsidRPr="00BB7074">
        <w:rPr>
          <w:rFonts w:ascii="Verdana" w:hAnsi="Verdana"/>
          <w:sz w:val="18"/>
          <w:szCs w:val="18"/>
          <w:lang w:val="nl-NL"/>
        </w:rPr>
        <w:t xml:space="preserve">Het tweede lid onderscheidt </w:t>
      </w:r>
      <w:r w:rsidR="00C112E2">
        <w:rPr>
          <w:rFonts w:ascii="Verdana" w:hAnsi="Verdana"/>
          <w:sz w:val="18"/>
          <w:szCs w:val="18"/>
          <w:lang w:val="nl-NL"/>
        </w:rPr>
        <w:t xml:space="preserve">in onderdelen a tot en met d </w:t>
      </w:r>
      <w:r w:rsidRPr="00BB7074">
        <w:rPr>
          <w:rFonts w:ascii="Verdana" w:hAnsi="Verdana"/>
          <w:sz w:val="18"/>
          <w:szCs w:val="18"/>
          <w:lang w:val="nl-NL"/>
        </w:rPr>
        <w:t xml:space="preserve">vier </w:t>
      </w:r>
      <w:r w:rsidRPr="008A0AA3" w:rsidR="008A0AA3">
        <w:rPr>
          <w:rFonts w:ascii="Verdana" w:hAnsi="Verdana"/>
          <w:sz w:val="18"/>
          <w:szCs w:val="18"/>
          <w:lang w:val="nl-NL"/>
        </w:rPr>
        <w:t xml:space="preserve">categorieën </w:t>
      </w:r>
      <w:r w:rsidRPr="00BB7074">
        <w:rPr>
          <w:rFonts w:ascii="Verdana" w:hAnsi="Verdana"/>
          <w:sz w:val="18"/>
          <w:szCs w:val="18"/>
          <w:lang w:val="nl-NL"/>
        </w:rPr>
        <w:t>van kwalificerende personen</w:t>
      </w:r>
      <w:r w:rsidR="00C112E2">
        <w:rPr>
          <w:rFonts w:ascii="Verdana" w:hAnsi="Verdana"/>
          <w:sz w:val="18"/>
          <w:szCs w:val="18"/>
          <w:lang w:val="nl-NL"/>
        </w:rPr>
        <w:t>:</w:t>
      </w:r>
    </w:p>
    <w:p w:rsidRPr="00BB7074" w:rsidR="004C22F1" w:rsidP="00086938" w:rsidRDefault="004D6465" w14:paraId="4E0F4505" w14:textId="2B04DDCE">
      <w:pPr>
        <w:pStyle w:val="ListParagraph"/>
        <w:numPr>
          <w:ilvl w:val="0"/>
          <w:numId w:val="19"/>
        </w:numPr>
        <w:spacing w:line="360" w:lineRule="auto"/>
        <w:ind w:left="1491" w:hanging="357"/>
        <w:rPr>
          <w:rFonts w:ascii="Verdana" w:hAnsi="Verdana"/>
          <w:sz w:val="18"/>
          <w:szCs w:val="18"/>
        </w:rPr>
      </w:pPr>
      <w:r w:rsidRPr="00BB7074">
        <w:rPr>
          <w:rFonts w:ascii="Verdana" w:hAnsi="Verdana"/>
          <w:sz w:val="18"/>
          <w:szCs w:val="18"/>
        </w:rPr>
        <w:t>n</w:t>
      </w:r>
      <w:r w:rsidRPr="00BB7074" w:rsidR="004C22F1">
        <w:rPr>
          <w:rFonts w:ascii="Verdana" w:hAnsi="Verdana"/>
          <w:sz w:val="18"/>
          <w:szCs w:val="18"/>
        </w:rPr>
        <w:t>atuurlijke personen</w:t>
      </w:r>
      <w:r w:rsidRPr="00BB7074" w:rsidR="00997307">
        <w:rPr>
          <w:rFonts w:ascii="Verdana" w:hAnsi="Verdana"/>
          <w:sz w:val="18"/>
          <w:szCs w:val="18"/>
        </w:rPr>
        <w:t>;</w:t>
      </w:r>
    </w:p>
    <w:p w:rsidRPr="00BB7074" w:rsidR="004C22F1" w:rsidP="00086938" w:rsidRDefault="00CF60E4" w14:paraId="5CFE21FC" w14:textId="7BD4D10E">
      <w:pPr>
        <w:pStyle w:val="ListParagraph"/>
        <w:numPr>
          <w:ilvl w:val="0"/>
          <w:numId w:val="19"/>
        </w:numPr>
        <w:spacing w:line="360" w:lineRule="auto"/>
        <w:ind w:left="1491" w:hanging="357"/>
        <w:rPr>
          <w:rFonts w:ascii="Verdana" w:hAnsi="Verdana"/>
          <w:sz w:val="18"/>
          <w:szCs w:val="18"/>
        </w:rPr>
      </w:pPr>
      <w:r w:rsidRPr="00BB7074">
        <w:rPr>
          <w:rFonts w:ascii="Verdana" w:hAnsi="Verdana"/>
          <w:sz w:val="18"/>
          <w:szCs w:val="18"/>
        </w:rPr>
        <w:t>een</w:t>
      </w:r>
      <w:r w:rsidRPr="00BB7074" w:rsidR="004C22F1">
        <w:rPr>
          <w:rFonts w:ascii="Verdana" w:hAnsi="Verdana"/>
          <w:sz w:val="18"/>
          <w:szCs w:val="18"/>
        </w:rPr>
        <w:t xml:space="preserve"> verdragsluitende </w:t>
      </w:r>
      <w:r w:rsidRPr="00BB7074" w:rsidR="008B5BF7">
        <w:rPr>
          <w:rFonts w:ascii="Verdana" w:hAnsi="Verdana"/>
          <w:sz w:val="18"/>
          <w:szCs w:val="18"/>
        </w:rPr>
        <w:t>staat</w:t>
      </w:r>
      <w:r w:rsidRPr="00BB7074" w:rsidR="004C22F1">
        <w:rPr>
          <w:rFonts w:ascii="Verdana" w:hAnsi="Verdana"/>
          <w:sz w:val="18"/>
          <w:szCs w:val="18"/>
        </w:rPr>
        <w:t xml:space="preserve">, politieke onderdelen en lokale autoriteiten daarvan, agentschappen daarvan en de </w:t>
      </w:r>
      <w:r w:rsidRPr="00BB7074">
        <w:rPr>
          <w:rFonts w:ascii="Verdana" w:hAnsi="Verdana"/>
          <w:sz w:val="18"/>
          <w:szCs w:val="18"/>
        </w:rPr>
        <w:t>c</w:t>
      </w:r>
      <w:r w:rsidRPr="00BB7074" w:rsidR="004C22F1">
        <w:rPr>
          <w:rFonts w:ascii="Verdana" w:hAnsi="Verdana"/>
          <w:sz w:val="18"/>
          <w:szCs w:val="18"/>
        </w:rPr>
        <w:t xml:space="preserve">entrale </w:t>
      </w:r>
      <w:r w:rsidRPr="00BB7074">
        <w:rPr>
          <w:rFonts w:ascii="Verdana" w:hAnsi="Verdana"/>
          <w:sz w:val="18"/>
          <w:szCs w:val="18"/>
        </w:rPr>
        <w:t>b</w:t>
      </w:r>
      <w:r w:rsidRPr="00BB7074" w:rsidR="004C22F1">
        <w:rPr>
          <w:rFonts w:ascii="Verdana" w:hAnsi="Verdana"/>
          <w:sz w:val="18"/>
          <w:szCs w:val="18"/>
        </w:rPr>
        <w:t>ank</w:t>
      </w:r>
      <w:r w:rsidRPr="00BB7074" w:rsidR="005136E5">
        <w:rPr>
          <w:rFonts w:ascii="Verdana" w:hAnsi="Verdana"/>
          <w:sz w:val="18"/>
          <w:szCs w:val="18"/>
        </w:rPr>
        <w:t xml:space="preserve"> van die staat</w:t>
      </w:r>
      <w:r w:rsidRPr="00BB7074" w:rsidR="00997307">
        <w:rPr>
          <w:rFonts w:ascii="Verdana" w:hAnsi="Verdana"/>
          <w:sz w:val="18"/>
          <w:szCs w:val="18"/>
        </w:rPr>
        <w:t>;</w:t>
      </w:r>
    </w:p>
    <w:p w:rsidRPr="00BB7074" w:rsidR="004C22F1" w:rsidP="00086938" w:rsidRDefault="005136E5" w14:paraId="2FDE7DE8" w14:textId="3CB936AA">
      <w:pPr>
        <w:pStyle w:val="ListParagraph"/>
        <w:numPr>
          <w:ilvl w:val="0"/>
          <w:numId w:val="19"/>
        </w:numPr>
        <w:spacing w:line="360" w:lineRule="auto"/>
        <w:ind w:left="1491" w:hanging="357"/>
        <w:rPr>
          <w:rFonts w:ascii="Verdana" w:hAnsi="Verdana"/>
          <w:sz w:val="18"/>
          <w:szCs w:val="18"/>
        </w:rPr>
      </w:pPr>
      <w:r w:rsidRPr="00BB7074">
        <w:rPr>
          <w:rFonts w:ascii="Verdana" w:hAnsi="Verdana"/>
          <w:sz w:val="18"/>
          <w:szCs w:val="18"/>
        </w:rPr>
        <w:t>lichamen of andere entiteiten</w:t>
      </w:r>
      <w:r w:rsidRPr="00BB7074" w:rsidR="004C22F1">
        <w:rPr>
          <w:rFonts w:ascii="Verdana" w:hAnsi="Verdana"/>
          <w:sz w:val="18"/>
          <w:szCs w:val="18"/>
        </w:rPr>
        <w:t xml:space="preserve"> waarvan de belangrijkste soort aandelen regelmatig aan een </w:t>
      </w:r>
      <w:r w:rsidRPr="00BB7074">
        <w:rPr>
          <w:rFonts w:ascii="Verdana" w:hAnsi="Verdana"/>
          <w:sz w:val="18"/>
          <w:szCs w:val="18"/>
        </w:rPr>
        <w:t xml:space="preserve">of meer </w:t>
      </w:r>
      <w:r w:rsidRPr="00BB7074" w:rsidR="004C22F1">
        <w:rPr>
          <w:rFonts w:ascii="Verdana" w:hAnsi="Verdana"/>
          <w:sz w:val="18"/>
          <w:szCs w:val="18"/>
        </w:rPr>
        <w:t>erkende beur</w:t>
      </w:r>
      <w:r w:rsidRPr="00BB7074">
        <w:rPr>
          <w:rFonts w:ascii="Verdana" w:hAnsi="Verdana"/>
          <w:sz w:val="18"/>
          <w:szCs w:val="18"/>
        </w:rPr>
        <w:t>zen</w:t>
      </w:r>
      <w:r w:rsidRPr="00BB7074" w:rsidR="004C22F1">
        <w:rPr>
          <w:rFonts w:ascii="Verdana" w:hAnsi="Verdana"/>
          <w:sz w:val="18"/>
          <w:szCs w:val="18"/>
        </w:rPr>
        <w:t xml:space="preserve"> worden verhandeld</w:t>
      </w:r>
      <w:r w:rsidRPr="00BB7074" w:rsidR="00997307">
        <w:rPr>
          <w:rFonts w:ascii="Verdana" w:hAnsi="Verdana"/>
          <w:sz w:val="18"/>
          <w:szCs w:val="18"/>
        </w:rPr>
        <w:t>;</w:t>
      </w:r>
    </w:p>
    <w:p w:rsidRPr="00BB7074" w:rsidR="004C22F1" w:rsidP="007172F9" w:rsidRDefault="004D6465" w14:paraId="314E48B6" w14:textId="64C99E4D">
      <w:pPr>
        <w:pStyle w:val="ListParagraph"/>
        <w:numPr>
          <w:ilvl w:val="0"/>
          <w:numId w:val="19"/>
        </w:numPr>
        <w:spacing w:line="360" w:lineRule="auto"/>
        <w:rPr>
          <w:rFonts w:ascii="Verdana" w:hAnsi="Verdana"/>
          <w:sz w:val="18"/>
          <w:szCs w:val="18"/>
        </w:rPr>
      </w:pPr>
      <w:r w:rsidRPr="00BB7074">
        <w:rPr>
          <w:rFonts w:ascii="Verdana" w:hAnsi="Verdana"/>
          <w:sz w:val="18"/>
          <w:szCs w:val="18"/>
        </w:rPr>
        <w:t>p</w:t>
      </w:r>
      <w:r w:rsidRPr="00BB7074" w:rsidR="004C22F1">
        <w:rPr>
          <w:rFonts w:ascii="Verdana" w:hAnsi="Verdana"/>
          <w:sz w:val="18"/>
          <w:szCs w:val="18"/>
        </w:rPr>
        <w:t>ensioenfondsen waarvan ten</w:t>
      </w:r>
      <w:r w:rsidRPr="00BB7074" w:rsidR="005136E5">
        <w:rPr>
          <w:rFonts w:ascii="Verdana" w:hAnsi="Verdana"/>
          <w:sz w:val="18"/>
          <w:szCs w:val="18"/>
        </w:rPr>
        <w:t xml:space="preserve"> </w:t>
      </w:r>
      <w:r w:rsidRPr="00BB7074" w:rsidR="004C22F1">
        <w:rPr>
          <w:rFonts w:ascii="Verdana" w:hAnsi="Verdana"/>
          <w:sz w:val="18"/>
          <w:szCs w:val="18"/>
        </w:rPr>
        <w:t>minste 50% van de</w:t>
      </w:r>
      <w:r w:rsidRPr="00BB7074" w:rsidR="004B5F47">
        <w:rPr>
          <w:rFonts w:ascii="Verdana" w:hAnsi="Verdana"/>
          <w:sz w:val="18"/>
          <w:szCs w:val="18"/>
        </w:rPr>
        <w:t xml:space="preserve"> </w:t>
      </w:r>
      <w:r w:rsidRPr="00BB7074" w:rsidR="007172F9">
        <w:rPr>
          <w:rFonts w:ascii="Verdana" w:hAnsi="Verdana"/>
          <w:sz w:val="18"/>
          <w:szCs w:val="18"/>
        </w:rPr>
        <w:t>begunstigden, leden of deelnemers</w:t>
      </w:r>
      <w:r w:rsidRPr="00BB7074" w:rsidR="004B5F47">
        <w:rPr>
          <w:rFonts w:ascii="Verdana" w:hAnsi="Verdana"/>
          <w:sz w:val="18"/>
          <w:szCs w:val="18"/>
        </w:rPr>
        <w:t xml:space="preserve"> inwoner is van een v</w:t>
      </w:r>
      <w:r w:rsidRPr="00BB7074" w:rsidR="004C22F1">
        <w:rPr>
          <w:rFonts w:ascii="Verdana" w:hAnsi="Verdana"/>
          <w:sz w:val="18"/>
          <w:szCs w:val="18"/>
        </w:rPr>
        <w:t xml:space="preserve">erdragsluitende </w:t>
      </w:r>
      <w:r w:rsidRPr="00BB7074" w:rsidR="008B5BF7">
        <w:rPr>
          <w:rFonts w:ascii="Verdana" w:hAnsi="Verdana"/>
          <w:sz w:val="18"/>
          <w:szCs w:val="18"/>
        </w:rPr>
        <w:t>staat</w:t>
      </w:r>
      <w:r w:rsidRPr="00BB7074" w:rsidR="004C22F1">
        <w:rPr>
          <w:rFonts w:ascii="Verdana" w:hAnsi="Verdana"/>
          <w:sz w:val="18"/>
          <w:szCs w:val="18"/>
        </w:rPr>
        <w:t>.</w:t>
      </w:r>
    </w:p>
    <w:p w:rsidRPr="00BB7074" w:rsidR="004C22F1" w:rsidP="00327403" w:rsidRDefault="00074910" w14:paraId="00D9C76F" w14:textId="412701FE">
      <w:pPr>
        <w:rPr>
          <w:rFonts w:ascii="Verdana" w:hAnsi="Verdana"/>
          <w:sz w:val="18"/>
          <w:szCs w:val="18"/>
          <w:lang w:val="nl-NL"/>
        </w:rPr>
      </w:pPr>
      <w:r w:rsidRPr="00BB7074">
        <w:rPr>
          <w:rFonts w:ascii="Verdana" w:hAnsi="Verdana"/>
          <w:sz w:val="18"/>
          <w:szCs w:val="18"/>
          <w:lang w:val="nl-NL"/>
        </w:rPr>
        <w:t>Onderdeel e</w:t>
      </w:r>
      <w:r w:rsidRPr="00BB7074" w:rsidR="005136E5">
        <w:rPr>
          <w:rFonts w:ascii="Verdana" w:hAnsi="Verdana"/>
          <w:sz w:val="18"/>
          <w:szCs w:val="18"/>
          <w:lang w:val="nl-NL"/>
        </w:rPr>
        <w:t>,</w:t>
      </w:r>
      <w:r w:rsidRPr="00BB7074">
        <w:rPr>
          <w:rFonts w:ascii="Verdana" w:hAnsi="Verdana"/>
          <w:sz w:val="18"/>
          <w:szCs w:val="18"/>
          <w:lang w:val="nl-NL"/>
        </w:rPr>
        <w:t xml:space="preserve"> ten</w:t>
      </w:r>
      <w:r w:rsidRPr="00BB7074" w:rsidR="005136E5">
        <w:rPr>
          <w:rFonts w:ascii="Verdana" w:hAnsi="Verdana"/>
          <w:sz w:val="18"/>
          <w:szCs w:val="18"/>
          <w:lang w:val="nl-NL"/>
        </w:rPr>
        <w:t xml:space="preserve"> </w:t>
      </w:r>
      <w:r w:rsidRPr="00BB7074">
        <w:rPr>
          <w:rFonts w:ascii="Verdana" w:hAnsi="Verdana"/>
          <w:sz w:val="18"/>
          <w:szCs w:val="18"/>
          <w:lang w:val="nl-NL"/>
        </w:rPr>
        <w:t>slotte</w:t>
      </w:r>
      <w:r w:rsidRPr="00BB7074" w:rsidR="005136E5">
        <w:rPr>
          <w:rFonts w:ascii="Verdana" w:hAnsi="Verdana"/>
          <w:sz w:val="18"/>
          <w:szCs w:val="18"/>
          <w:lang w:val="nl-NL"/>
        </w:rPr>
        <w:t>,</w:t>
      </w:r>
      <w:r w:rsidRPr="00BB7074">
        <w:rPr>
          <w:rFonts w:ascii="Verdana" w:hAnsi="Verdana"/>
          <w:sz w:val="18"/>
          <w:szCs w:val="18"/>
          <w:lang w:val="nl-NL"/>
        </w:rPr>
        <w:t xml:space="preserve"> erkent als kwalificerend persoon ook elk lichaam waarvan, direct </w:t>
      </w:r>
      <w:r w:rsidRPr="00BB7074" w:rsidR="005136E5">
        <w:rPr>
          <w:rFonts w:ascii="Verdana" w:hAnsi="Verdana"/>
          <w:sz w:val="18"/>
          <w:szCs w:val="18"/>
          <w:lang w:val="nl-NL"/>
        </w:rPr>
        <w:t xml:space="preserve">of </w:t>
      </w:r>
      <w:r w:rsidRPr="00BB7074">
        <w:rPr>
          <w:rFonts w:ascii="Verdana" w:hAnsi="Verdana"/>
          <w:sz w:val="18"/>
          <w:szCs w:val="18"/>
          <w:lang w:val="nl-NL"/>
        </w:rPr>
        <w:t>indirect, ten</w:t>
      </w:r>
      <w:r w:rsidRPr="00BB7074" w:rsidR="005136E5">
        <w:rPr>
          <w:rFonts w:ascii="Verdana" w:hAnsi="Verdana"/>
          <w:sz w:val="18"/>
          <w:szCs w:val="18"/>
          <w:lang w:val="nl-NL"/>
        </w:rPr>
        <w:t xml:space="preserve"> </w:t>
      </w:r>
      <w:r w:rsidRPr="00BB7074">
        <w:rPr>
          <w:rFonts w:ascii="Verdana" w:hAnsi="Verdana"/>
          <w:sz w:val="18"/>
          <w:szCs w:val="18"/>
          <w:lang w:val="nl-NL"/>
        </w:rPr>
        <w:t xml:space="preserve">minste 50% van aandelen in handen zijn van kwalificerende personen </w:t>
      </w:r>
      <w:r w:rsidRPr="00BB7074" w:rsidR="005136E5">
        <w:rPr>
          <w:rFonts w:ascii="Verdana" w:hAnsi="Verdana"/>
          <w:sz w:val="18"/>
          <w:szCs w:val="18"/>
          <w:lang w:val="nl-NL"/>
        </w:rPr>
        <w:t xml:space="preserve">als bedoeld in </w:t>
      </w:r>
      <w:r w:rsidRPr="00BB7074">
        <w:rPr>
          <w:rFonts w:ascii="Verdana" w:hAnsi="Verdana"/>
          <w:sz w:val="18"/>
          <w:szCs w:val="18"/>
          <w:lang w:val="nl-NL"/>
        </w:rPr>
        <w:t>de onderdelen a</w:t>
      </w:r>
      <w:r w:rsidRPr="00BB7074" w:rsidR="005136E5">
        <w:rPr>
          <w:rFonts w:ascii="Verdana" w:hAnsi="Verdana"/>
          <w:sz w:val="18"/>
          <w:szCs w:val="18"/>
          <w:lang w:val="nl-NL"/>
        </w:rPr>
        <w:t>, b,</w:t>
      </w:r>
      <w:r w:rsidRPr="00BB7074">
        <w:rPr>
          <w:rFonts w:ascii="Verdana" w:hAnsi="Verdana"/>
          <w:sz w:val="18"/>
          <w:szCs w:val="18"/>
          <w:lang w:val="nl-NL"/>
        </w:rPr>
        <w:t xml:space="preserve"> </w:t>
      </w:r>
      <w:r w:rsidRPr="00BB7074" w:rsidR="005136E5">
        <w:rPr>
          <w:rFonts w:ascii="Verdana" w:hAnsi="Verdana"/>
          <w:sz w:val="18"/>
          <w:szCs w:val="18"/>
          <w:lang w:val="nl-NL"/>
        </w:rPr>
        <w:t>c of</w:t>
      </w:r>
      <w:r w:rsidRPr="00BB7074">
        <w:rPr>
          <w:rFonts w:ascii="Verdana" w:hAnsi="Verdana"/>
          <w:sz w:val="18"/>
          <w:szCs w:val="18"/>
          <w:lang w:val="nl-NL"/>
        </w:rPr>
        <w:t xml:space="preserve"> d</w:t>
      </w:r>
      <w:r w:rsidRPr="00BB7074" w:rsidR="005136E5">
        <w:rPr>
          <w:rFonts w:ascii="Verdana" w:hAnsi="Verdana"/>
          <w:sz w:val="18"/>
          <w:szCs w:val="18"/>
          <w:lang w:val="nl-NL"/>
        </w:rPr>
        <w:t>.</w:t>
      </w:r>
    </w:p>
    <w:p w:rsidRPr="00BB7074" w:rsidR="00AC3C17" w:rsidP="00260F7C" w:rsidRDefault="00086938" w14:paraId="0A8774D4" w14:textId="049D00FF">
      <w:pPr>
        <w:rPr>
          <w:rFonts w:ascii="Verdana" w:hAnsi="Verdana"/>
          <w:sz w:val="18"/>
          <w:szCs w:val="18"/>
          <w:lang w:val="nl-NL"/>
        </w:rPr>
      </w:pPr>
      <w:r w:rsidRPr="00BB7074">
        <w:rPr>
          <w:rFonts w:ascii="Verdana" w:hAnsi="Verdana"/>
          <w:sz w:val="18"/>
          <w:szCs w:val="18"/>
          <w:lang w:val="nl-NL"/>
        </w:rPr>
        <w:t>H</w:t>
      </w:r>
      <w:r w:rsidRPr="00BB7074" w:rsidR="005511AF">
        <w:rPr>
          <w:rFonts w:ascii="Verdana" w:hAnsi="Verdana"/>
          <w:sz w:val="18"/>
          <w:szCs w:val="18"/>
          <w:lang w:val="nl-NL"/>
        </w:rPr>
        <w:t>et derde lid</w:t>
      </w:r>
      <w:r w:rsidRPr="00BB7074">
        <w:rPr>
          <w:rFonts w:ascii="Verdana" w:hAnsi="Verdana"/>
          <w:sz w:val="18"/>
          <w:szCs w:val="18"/>
          <w:lang w:val="nl-NL"/>
        </w:rPr>
        <w:t xml:space="preserve"> verzekert</w:t>
      </w:r>
      <w:r w:rsidRPr="00BB7074" w:rsidR="005511AF">
        <w:rPr>
          <w:rFonts w:ascii="Verdana" w:hAnsi="Verdana"/>
          <w:sz w:val="18"/>
          <w:szCs w:val="18"/>
          <w:lang w:val="nl-NL"/>
        </w:rPr>
        <w:t xml:space="preserve"> de verdragsgerechtigdheid van </w:t>
      </w:r>
      <w:r w:rsidRPr="00BB7074" w:rsidR="005136E5">
        <w:rPr>
          <w:rFonts w:ascii="Verdana" w:hAnsi="Verdana"/>
          <w:sz w:val="18"/>
          <w:szCs w:val="18"/>
          <w:lang w:val="nl-NL"/>
        </w:rPr>
        <w:t xml:space="preserve">verdragsinwoners die een </w:t>
      </w:r>
      <w:r w:rsidRPr="00BB7074" w:rsidR="005511AF">
        <w:rPr>
          <w:rFonts w:ascii="Verdana" w:hAnsi="Verdana"/>
          <w:sz w:val="18"/>
          <w:szCs w:val="18"/>
          <w:lang w:val="nl-NL"/>
        </w:rPr>
        <w:t xml:space="preserve">actieve </w:t>
      </w:r>
      <w:r w:rsidRPr="00BB7074" w:rsidR="005136E5">
        <w:rPr>
          <w:rFonts w:ascii="Verdana" w:hAnsi="Verdana"/>
          <w:sz w:val="18"/>
          <w:szCs w:val="18"/>
          <w:lang w:val="nl-NL"/>
        </w:rPr>
        <w:t>onderneming drijven</w:t>
      </w:r>
      <w:r w:rsidRPr="00BB7074" w:rsidR="00B8733A">
        <w:rPr>
          <w:rFonts w:ascii="Verdana" w:hAnsi="Verdana"/>
          <w:sz w:val="18"/>
          <w:szCs w:val="18"/>
          <w:lang w:val="nl-NL"/>
        </w:rPr>
        <w:t xml:space="preserve">, ook als zij </w:t>
      </w:r>
      <w:r w:rsidRPr="00BB7074">
        <w:rPr>
          <w:rFonts w:ascii="Verdana" w:hAnsi="Verdana"/>
          <w:sz w:val="18"/>
          <w:szCs w:val="18"/>
          <w:lang w:val="nl-NL"/>
        </w:rPr>
        <w:t>geen kwalificerend persoon</w:t>
      </w:r>
      <w:r w:rsidRPr="00BB7074" w:rsidR="005136E5">
        <w:rPr>
          <w:rFonts w:ascii="Verdana" w:hAnsi="Verdana"/>
          <w:sz w:val="18"/>
          <w:szCs w:val="18"/>
          <w:lang w:val="nl-NL"/>
        </w:rPr>
        <w:t xml:space="preserve"> als bedoeld in het tweede lid</w:t>
      </w:r>
      <w:r w:rsidRPr="00BB7074">
        <w:rPr>
          <w:rFonts w:ascii="Verdana" w:hAnsi="Verdana"/>
          <w:sz w:val="18"/>
          <w:szCs w:val="18"/>
          <w:lang w:val="nl-NL"/>
        </w:rPr>
        <w:t xml:space="preserve"> zijn. Hierover</w:t>
      </w:r>
      <w:r w:rsidRPr="00BB7074" w:rsidR="005511AF">
        <w:rPr>
          <w:rFonts w:ascii="Verdana" w:hAnsi="Verdana"/>
          <w:sz w:val="18"/>
          <w:szCs w:val="18"/>
          <w:lang w:val="nl-NL"/>
        </w:rPr>
        <w:t xml:space="preserve"> is lang onderhandeld. Met name over het, op zich gebruikelijke, onderdeel a, waarin wordt beschreven wat in ieder geval </w:t>
      </w:r>
      <w:r w:rsidRPr="00BB7074" w:rsidR="005511AF">
        <w:rPr>
          <w:rFonts w:ascii="Verdana" w:hAnsi="Verdana"/>
          <w:i/>
          <w:sz w:val="18"/>
          <w:szCs w:val="18"/>
          <w:lang w:val="nl-NL"/>
        </w:rPr>
        <w:t>niet</w:t>
      </w:r>
      <w:r w:rsidRPr="00BB7074" w:rsidR="005511AF">
        <w:rPr>
          <w:rFonts w:ascii="Verdana" w:hAnsi="Verdana"/>
          <w:sz w:val="18"/>
          <w:szCs w:val="18"/>
          <w:lang w:val="nl-NL"/>
        </w:rPr>
        <w:t xml:space="preserve"> als actieve onderneming geldt. </w:t>
      </w:r>
      <w:r w:rsidRPr="00BB7074" w:rsidR="00C97BC9">
        <w:rPr>
          <w:rFonts w:ascii="Verdana" w:hAnsi="Verdana"/>
          <w:sz w:val="18"/>
          <w:szCs w:val="18"/>
          <w:lang w:val="nl-NL"/>
        </w:rPr>
        <w:t>De Nederlandse en Colombiaanse delegaties hadden hier duidelijk verschillende voorkeuren</w:t>
      </w:r>
      <w:r w:rsidRPr="00BB7074" w:rsidR="000B6BF3">
        <w:rPr>
          <w:rFonts w:ascii="Verdana" w:hAnsi="Verdana"/>
          <w:sz w:val="18"/>
          <w:szCs w:val="18"/>
          <w:lang w:val="nl-NL"/>
        </w:rPr>
        <w:t xml:space="preserve">. </w:t>
      </w:r>
      <w:r w:rsidRPr="00BB7074" w:rsidR="00C97BC9">
        <w:rPr>
          <w:rFonts w:ascii="Verdana" w:hAnsi="Verdana"/>
          <w:sz w:val="18"/>
          <w:szCs w:val="18"/>
          <w:lang w:val="nl-NL"/>
        </w:rPr>
        <w:t xml:space="preserve">Nederland vindt dat de </w:t>
      </w:r>
      <w:r w:rsidR="0065654A">
        <w:rPr>
          <w:rFonts w:ascii="Verdana" w:hAnsi="Verdana"/>
          <w:sz w:val="18"/>
          <w:szCs w:val="18"/>
          <w:lang w:val="nl-NL"/>
        </w:rPr>
        <w:t xml:space="preserve">lijst met uitgesloten </w:t>
      </w:r>
      <w:r w:rsidRPr="00BB7074" w:rsidR="00C97BC9">
        <w:rPr>
          <w:rFonts w:ascii="Verdana" w:hAnsi="Verdana"/>
          <w:sz w:val="18"/>
          <w:szCs w:val="18"/>
          <w:lang w:val="nl-NL"/>
        </w:rPr>
        <w:t>actieve ondernemingen zoals deze word</w:t>
      </w:r>
      <w:r w:rsidR="0065654A">
        <w:rPr>
          <w:rFonts w:ascii="Verdana" w:hAnsi="Verdana"/>
          <w:sz w:val="18"/>
          <w:szCs w:val="18"/>
          <w:lang w:val="nl-NL"/>
        </w:rPr>
        <w:t>t</w:t>
      </w:r>
      <w:r w:rsidRPr="00BB7074" w:rsidR="00C97BC9">
        <w:rPr>
          <w:rFonts w:ascii="Verdana" w:hAnsi="Verdana"/>
          <w:sz w:val="18"/>
          <w:szCs w:val="18"/>
          <w:lang w:val="nl-NL"/>
        </w:rPr>
        <w:t xml:space="preserve"> gesuggereerd in het commentaar bij het derde lid van artikel 29 van het OESO</w:t>
      </w:r>
      <w:r w:rsidRPr="00BB7074" w:rsidR="0080504F">
        <w:rPr>
          <w:rFonts w:ascii="Verdana" w:hAnsi="Verdana"/>
          <w:sz w:val="18"/>
          <w:szCs w:val="18"/>
          <w:lang w:val="nl-NL"/>
        </w:rPr>
        <w:t>-</w:t>
      </w:r>
      <w:r w:rsidRPr="00BB7074" w:rsidR="00C70480">
        <w:rPr>
          <w:rFonts w:ascii="Verdana" w:hAnsi="Verdana"/>
          <w:sz w:val="18"/>
          <w:szCs w:val="18"/>
          <w:lang w:val="nl-NL"/>
        </w:rPr>
        <w:t>modelverdrag</w:t>
      </w:r>
      <w:r w:rsidRPr="00BB7074" w:rsidR="00AC3C17">
        <w:rPr>
          <w:rFonts w:ascii="Verdana" w:hAnsi="Verdana"/>
          <w:sz w:val="18"/>
          <w:szCs w:val="18"/>
          <w:lang w:val="nl-NL"/>
        </w:rPr>
        <w:t xml:space="preserve"> eigenlijk al te uitgebreid is. De Colombiaanse delegatie wilde de lijst met uitgesloten actieve ondernemingen juist nog verder uitbreiden. In </w:t>
      </w:r>
      <w:r w:rsidRPr="00BB7074" w:rsidR="002C1E5E">
        <w:rPr>
          <w:rFonts w:ascii="Verdana" w:hAnsi="Verdana"/>
          <w:sz w:val="18"/>
          <w:szCs w:val="18"/>
          <w:lang w:val="nl-NL"/>
        </w:rPr>
        <w:t>het kader van een algeheel compromis</w:t>
      </w:r>
      <w:r w:rsidRPr="00BB7074" w:rsidR="00AC3C17">
        <w:rPr>
          <w:rFonts w:ascii="Verdana" w:hAnsi="Verdana"/>
          <w:sz w:val="18"/>
          <w:szCs w:val="18"/>
          <w:lang w:val="nl-NL"/>
        </w:rPr>
        <w:t xml:space="preserve"> is </w:t>
      </w:r>
      <w:r w:rsidRPr="00BB7074" w:rsidR="00824EDC">
        <w:rPr>
          <w:rFonts w:ascii="Verdana" w:hAnsi="Verdana"/>
          <w:sz w:val="18"/>
          <w:szCs w:val="18"/>
          <w:lang w:val="nl-NL"/>
        </w:rPr>
        <w:t>uiteindelijk</w:t>
      </w:r>
      <w:r w:rsidRPr="00BB7074" w:rsidR="00AF32DE">
        <w:rPr>
          <w:rFonts w:ascii="Verdana" w:hAnsi="Verdana"/>
          <w:sz w:val="18"/>
          <w:szCs w:val="18"/>
          <w:lang w:val="nl-NL"/>
        </w:rPr>
        <w:t xml:space="preserve"> </w:t>
      </w:r>
      <w:r w:rsidRPr="00BB7074" w:rsidR="00AC3C17">
        <w:rPr>
          <w:rFonts w:ascii="Verdana" w:hAnsi="Verdana"/>
          <w:sz w:val="18"/>
          <w:szCs w:val="18"/>
          <w:lang w:val="nl-NL"/>
        </w:rPr>
        <w:t xml:space="preserve">in </w:t>
      </w:r>
      <w:r w:rsidRPr="00BB7074" w:rsidR="00AF32DE">
        <w:rPr>
          <w:rFonts w:ascii="Verdana" w:hAnsi="Verdana"/>
          <w:sz w:val="18"/>
          <w:szCs w:val="18"/>
          <w:lang w:val="nl-NL"/>
        </w:rPr>
        <w:t xml:space="preserve">onderdeel a van het derde lid </w:t>
      </w:r>
      <w:r w:rsidR="0065654A">
        <w:rPr>
          <w:rFonts w:ascii="Verdana" w:hAnsi="Verdana"/>
          <w:sz w:val="18"/>
          <w:szCs w:val="18"/>
          <w:lang w:val="nl-NL"/>
        </w:rPr>
        <w:t xml:space="preserve">vastgelegd dat de </w:t>
      </w:r>
      <w:r w:rsidRPr="00BB7074" w:rsidR="00B8733A">
        <w:rPr>
          <w:rFonts w:ascii="Verdana" w:hAnsi="Verdana"/>
          <w:sz w:val="18"/>
          <w:szCs w:val="18"/>
          <w:lang w:val="nl-NL"/>
        </w:rPr>
        <w:t xml:space="preserve">volgende bedrijfsactiviteiten niet </w:t>
      </w:r>
      <w:r w:rsidRPr="00BB7074" w:rsidR="0065654A">
        <w:rPr>
          <w:rFonts w:ascii="Verdana" w:hAnsi="Verdana"/>
          <w:sz w:val="18"/>
          <w:szCs w:val="18"/>
          <w:lang w:val="nl-NL"/>
        </w:rPr>
        <w:t xml:space="preserve">worden </w:t>
      </w:r>
      <w:r w:rsidRPr="00BB7074" w:rsidR="00B8733A">
        <w:rPr>
          <w:rFonts w:ascii="Verdana" w:hAnsi="Verdana"/>
          <w:sz w:val="18"/>
          <w:szCs w:val="18"/>
          <w:lang w:val="nl-NL"/>
        </w:rPr>
        <w:t>aangemerkt als actieve onderneming:</w:t>
      </w:r>
    </w:p>
    <w:p w:rsidRPr="00BB7074" w:rsidR="00B8733A" w:rsidP="00997307" w:rsidRDefault="009522A3" w14:paraId="107DA16F" w14:textId="0FCF8822">
      <w:pPr>
        <w:pStyle w:val="ListParagraph"/>
        <w:numPr>
          <w:ilvl w:val="0"/>
          <w:numId w:val="21"/>
        </w:numPr>
        <w:spacing w:after="0" w:line="360" w:lineRule="auto"/>
        <w:ind w:left="1304" w:hanging="340"/>
        <w:rPr>
          <w:rFonts w:ascii="Verdana" w:hAnsi="Verdana" w:cs="Arial"/>
          <w:sz w:val="18"/>
          <w:szCs w:val="18"/>
        </w:rPr>
      </w:pPr>
      <w:r w:rsidRPr="00BB7074">
        <w:rPr>
          <w:rFonts w:ascii="Verdana" w:hAnsi="Verdana" w:cs="Arial"/>
          <w:sz w:val="18"/>
          <w:szCs w:val="18"/>
        </w:rPr>
        <w:t>h</w:t>
      </w:r>
      <w:r w:rsidRPr="00BB7074" w:rsidR="00B8733A">
        <w:rPr>
          <w:rFonts w:ascii="Verdana" w:hAnsi="Verdana" w:cs="Arial"/>
          <w:sz w:val="18"/>
          <w:szCs w:val="18"/>
        </w:rPr>
        <w:t>et optreden als houdstermaatschappij</w:t>
      </w:r>
      <w:r w:rsidRPr="00BB7074" w:rsidR="00AF32DE">
        <w:rPr>
          <w:rFonts w:ascii="Verdana" w:hAnsi="Verdana" w:cs="Arial"/>
          <w:sz w:val="18"/>
          <w:szCs w:val="18"/>
        </w:rPr>
        <w:t xml:space="preserve">, zonder </w:t>
      </w:r>
      <w:r w:rsidRPr="00BB7074" w:rsidR="00B8733A">
        <w:rPr>
          <w:rFonts w:ascii="Verdana" w:hAnsi="Verdana" w:cs="Arial"/>
          <w:sz w:val="18"/>
          <w:szCs w:val="18"/>
        </w:rPr>
        <w:t xml:space="preserve">over de </w:t>
      </w:r>
      <w:r w:rsidRPr="00BB7074" w:rsidR="005136E5">
        <w:rPr>
          <w:rFonts w:ascii="Verdana" w:hAnsi="Verdana" w:cs="Arial"/>
          <w:sz w:val="18"/>
          <w:szCs w:val="18"/>
        </w:rPr>
        <w:t xml:space="preserve">relevante </w:t>
      </w:r>
      <w:proofErr w:type="spellStart"/>
      <w:r w:rsidRPr="00BB7074" w:rsidR="00B8733A">
        <w:rPr>
          <w:rFonts w:ascii="Verdana" w:hAnsi="Verdana" w:cs="Arial"/>
          <w:sz w:val="18"/>
          <w:szCs w:val="18"/>
        </w:rPr>
        <w:t>substance</w:t>
      </w:r>
      <w:proofErr w:type="spellEnd"/>
      <w:r w:rsidRPr="00BB7074" w:rsidR="00B8733A">
        <w:rPr>
          <w:rFonts w:ascii="Verdana" w:hAnsi="Verdana" w:cs="Arial"/>
          <w:sz w:val="18"/>
          <w:szCs w:val="18"/>
        </w:rPr>
        <w:t xml:space="preserve"> te beschikken</w:t>
      </w:r>
      <w:r w:rsidRPr="00BB7074" w:rsidR="00AF32DE">
        <w:rPr>
          <w:rFonts w:ascii="Verdana" w:hAnsi="Verdana" w:cs="Arial"/>
          <w:sz w:val="18"/>
          <w:szCs w:val="18"/>
        </w:rPr>
        <w:t xml:space="preserve"> -</w:t>
      </w:r>
      <w:r w:rsidRPr="00BB7074" w:rsidR="00B8733A">
        <w:rPr>
          <w:rFonts w:ascii="Verdana" w:hAnsi="Verdana" w:cs="Arial"/>
          <w:sz w:val="18"/>
          <w:szCs w:val="18"/>
        </w:rPr>
        <w:t xml:space="preserve"> daaronder begrepen de personele bezetting en beschikbare materiële activa</w:t>
      </w:r>
      <w:r w:rsidRPr="00BB7074" w:rsidR="005F3054">
        <w:rPr>
          <w:rFonts w:ascii="Verdana" w:hAnsi="Verdana" w:cs="Arial"/>
          <w:sz w:val="18"/>
          <w:szCs w:val="18"/>
        </w:rPr>
        <w:t xml:space="preserve"> </w:t>
      </w:r>
      <w:r w:rsidRPr="00BB7074" w:rsidR="00AF32DE">
        <w:rPr>
          <w:rFonts w:ascii="Verdana" w:hAnsi="Verdana" w:cs="Arial"/>
          <w:sz w:val="18"/>
          <w:szCs w:val="18"/>
        </w:rPr>
        <w:t>-</w:t>
      </w:r>
      <w:r w:rsidRPr="00BB7074" w:rsidR="00B8733A">
        <w:rPr>
          <w:rFonts w:ascii="Verdana" w:hAnsi="Verdana" w:cs="Arial"/>
          <w:sz w:val="18"/>
          <w:szCs w:val="18"/>
        </w:rPr>
        <w:t xml:space="preserve"> om adequaat de algehele supervisie en administratie van een groep </w:t>
      </w:r>
      <w:r w:rsidRPr="00BB7074" w:rsidR="005136E5">
        <w:rPr>
          <w:rFonts w:ascii="Verdana" w:hAnsi="Verdana" w:cs="Arial"/>
          <w:sz w:val="18"/>
          <w:szCs w:val="18"/>
        </w:rPr>
        <w:t xml:space="preserve">van lichamen </w:t>
      </w:r>
      <w:r w:rsidRPr="00BB7074" w:rsidR="00B8733A">
        <w:rPr>
          <w:rFonts w:ascii="Verdana" w:hAnsi="Verdana" w:cs="Arial"/>
          <w:sz w:val="18"/>
          <w:szCs w:val="18"/>
        </w:rPr>
        <w:t>uit te voeren</w:t>
      </w:r>
      <w:r w:rsidRPr="00BB7074">
        <w:rPr>
          <w:rFonts w:ascii="Verdana" w:hAnsi="Verdana" w:cs="Arial"/>
          <w:sz w:val="18"/>
          <w:szCs w:val="18"/>
        </w:rPr>
        <w:t>;</w:t>
      </w:r>
    </w:p>
    <w:p w:rsidRPr="00BB7074" w:rsidR="00B8733A" w:rsidP="00997307" w:rsidRDefault="009522A3" w14:paraId="281484CE" w14:textId="2DDD00AA">
      <w:pPr>
        <w:pStyle w:val="ListParagraph"/>
        <w:numPr>
          <w:ilvl w:val="0"/>
          <w:numId w:val="21"/>
        </w:numPr>
        <w:spacing w:after="0" w:line="360" w:lineRule="auto"/>
        <w:ind w:left="1304" w:hanging="340"/>
        <w:rPr>
          <w:rFonts w:ascii="Verdana" w:hAnsi="Verdana" w:cs="Arial"/>
          <w:sz w:val="18"/>
          <w:szCs w:val="18"/>
        </w:rPr>
      </w:pPr>
      <w:r w:rsidRPr="00BB7074">
        <w:rPr>
          <w:rFonts w:ascii="Verdana" w:hAnsi="Verdana" w:cs="Arial"/>
          <w:sz w:val="18"/>
          <w:szCs w:val="18"/>
        </w:rPr>
        <w:t>h</w:t>
      </w:r>
      <w:r w:rsidRPr="00BB7074" w:rsidR="00B8733A">
        <w:rPr>
          <w:rFonts w:ascii="Verdana" w:hAnsi="Verdana" w:cs="Arial"/>
          <w:sz w:val="18"/>
          <w:szCs w:val="18"/>
        </w:rPr>
        <w:t>et verschaffen van groepsfinanciering, daaronder begrepen passieve cashpooling</w:t>
      </w:r>
      <w:r w:rsidRPr="00BB7074">
        <w:rPr>
          <w:rFonts w:ascii="Verdana" w:hAnsi="Verdana" w:cs="Arial"/>
          <w:sz w:val="18"/>
          <w:szCs w:val="18"/>
        </w:rPr>
        <w:t>;</w:t>
      </w:r>
    </w:p>
    <w:p w:rsidRPr="00BB7074" w:rsidR="00AF32DE" w:rsidP="003A025B" w:rsidRDefault="009522A3" w14:paraId="7D6A72AD" w14:textId="04B787D3">
      <w:pPr>
        <w:pStyle w:val="ListParagraph"/>
        <w:numPr>
          <w:ilvl w:val="0"/>
          <w:numId w:val="21"/>
        </w:numPr>
        <w:spacing w:after="0" w:line="360" w:lineRule="auto"/>
        <w:ind w:left="1324"/>
        <w:rPr>
          <w:rFonts w:ascii="Verdana" w:hAnsi="Verdana" w:cs="Arial"/>
          <w:sz w:val="18"/>
          <w:szCs w:val="18"/>
        </w:rPr>
      </w:pPr>
      <w:r w:rsidRPr="00BB7074">
        <w:rPr>
          <w:rFonts w:ascii="Verdana" w:hAnsi="Verdana" w:cs="Arial"/>
          <w:sz w:val="18"/>
          <w:szCs w:val="18"/>
        </w:rPr>
        <w:t>h</w:t>
      </w:r>
      <w:r w:rsidRPr="00BB7074" w:rsidR="00B8733A">
        <w:rPr>
          <w:rFonts w:ascii="Verdana" w:hAnsi="Verdana" w:cs="Arial"/>
          <w:sz w:val="18"/>
          <w:szCs w:val="18"/>
        </w:rPr>
        <w:t>et doen of beheren van beleggingen, tenzij dit wordt uitgevoerd door een bank, een verzekeraar of een</w:t>
      </w:r>
      <w:r w:rsidRPr="00BB7074" w:rsidR="00997307">
        <w:rPr>
          <w:rFonts w:ascii="Verdana" w:hAnsi="Verdana" w:cs="Arial"/>
          <w:sz w:val="18"/>
          <w:szCs w:val="18"/>
        </w:rPr>
        <w:t xml:space="preserve"> geregistreerd</w:t>
      </w:r>
      <w:r w:rsidRPr="00BB7074" w:rsidR="005F3054">
        <w:rPr>
          <w:rFonts w:ascii="Verdana" w:hAnsi="Verdana" w:cs="Arial"/>
          <w:sz w:val="18"/>
          <w:szCs w:val="18"/>
        </w:rPr>
        <w:t>e</w:t>
      </w:r>
      <w:r w:rsidRPr="00BB7074" w:rsidR="00997307">
        <w:rPr>
          <w:rFonts w:ascii="Verdana" w:hAnsi="Verdana" w:cs="Arial"/>
          <w:sz w:val="18"/>
          <w:szCs w:val="18"/>
        </w:rPr>
        <w:t xml:space="preserve"> effectenhandelaar</w:t>
      </w:r>
      <w:r w:rsidRPr="00BB7074" w:rsidR="00086938">
        <w:rPr>
          <w:rFonts w:ascii="Verdana" w:hAnsi="Verdana" w:cs="Arial"/>
          <w:sz w:val="18"/>
          <w:szCs w:val="18"/>
        </w:rPr>
        <w:t xml:space="preserve"> </w:t>
      </w:r>
      <w:r w:rsidRPr="00BB7074" w:rsidR="004C261D">
        <w:rPr>
          <w:rFonts w:ascii="Verdana" w:hAnsi="Verdana" w:cs="Arial"/>
          <w:sz w:val="18"/>
          <w:szCs w:val="18"/>
        </w:rPr>
        <w:t>in de normale uitoefening van hun bedrijf als zodanig;</w:t>
      </w:r>
    </w:p>
    <w:p w:rsidRPr="00BB7074" w:rsidR="00B8733A" w:rsidP="00997307" w:rsidRDefault="009522A3" w14:paraId="03479CE3" w14:textId="5903D833">
      <w:pPr>
        <w:pStyle w:val="ListParagraph"/>
        <w:numPr>
          <w:ilvl w:val="0"/>
          <w:numId w:val="21"/>
        </w:numPr>
        <w:spacing w:after="0" w:line="360" w:lineRule="auto"/>
        <w:ind w:left="1304" w:hanging="340"/>
        <w:rPr>
          <w:rFonts w:ascii="Verdana" w:hAnsi="Verdana" w:cs="Arial"/>
          <w:sz w:val="18"/>
          <w:szCs w:val="18"/>
        </w:rPr>
      </w:pPr>
      <w:r w:rsidRPr="00BB7074">
        <w:rPr>
          <w:rFonts w:ascii="Verdana" w:hAnsi="Verdana" w:cs="Arial"/>
          <w:sz w:val="18"/>
          <w:szCs w:val="18"/>
        </w:rPr>
        <w:lastRenderedPageBreak/>
        <w:t>h</w:t>
      </w:r>
      <w:r w:rsidRPr="00BB7074" w:rsidR="00AF32DE">
        <w:rPr>
          <w:rFonts w:ascii="Verdana" w:hAnsi="Verdana" w:cs="Arial"/>
          <w:sz w:val="18"/>
          <w:szCs w:val="18"/>
        </w:rPr>
        <w:t xml:space="preserve">et houden of beheren van immateriële activa, zonder over de </w:t>
      </w:r>
      <w:r w:rsidRPr="00BB7074" w:rsidR="005136E5">
        <w:rPr>
          <w:rFonts w:ascii="Verdana" w:hAnsi="Verdana" w:cs="Arial"/>
          <w:sz w:val="18"/>
          <w:szCs w:val="18"/>
        </w:rPr>
        <w:t xml:space="preserve">relevante </w:t>
      </w:r>
      <w:proofErr w:type="spellStart"/>
      <w:r w:rsidRPr="00BB7074" w:rsidR="00AF32DE">
        <w:rPr>
          <w:rFonts w:ascii="Verdana" w:hAnsi="Verdana" w:cs="Arial"/>
          <w:sz w:val="18"/>
          <w:szCs w:val="18"/>
        </w:rPr>
        <w:t>substance</w:t>
      </w:r>
      <w:proofErr w:type="spellEnd"/>
      <w:r w:rsidRPr="00BB7074" w:rsidR="00AF32DE">
        <w:rPr>
          <w:rFonts w:ascii="Verdana" w:hAnsi="Verdana" w:cs="Arial"/>
          <w:sz w:val="18"/>
          <w:szCs w:val="18"/>
        </w:rPr>
        <w:t xml:space="preserve"> te beschikken om deze adequaat te kunnen ontwikkelen en versterken.</w:t>
      </w:r>
    </w:p>
    <w:p w:rsidRPr="00BB7074" w:rsidR="00AF32DE" w:rsidP="00327403" w:rsidRDefault="007C63CC" w14:paraId="57A1AFF3" w14:textId="136EADC3">
      <w:pPr>
        <w:rPr>
          <w:rFonts w:ascii="Verdana" w:hAnsi="Verdana"/>
          <w:sz w:val="18"/>
          <w:szCs w:val="18"/>
          <w:lang w:val="nl-NL"/>
        </w:rPr>
      </w:pPr>
      <w:r w:rsidRPr="00BB7074">
        <w:rPr>
          <w:rFonts w:ascii="Verdana" w:hAnsi="Verdana"/>
          <w:sz w:val="18"/>
          <w:szCs w:val="18"/>
          <w:lang w:val="nl-NL"/>
        </w:rPr>
        <w:t>Onderdeel b van het derde lid</w:t>
      </w:r>
      <w:r w:rsidRPr="00BB7074" w:rsidR="00932A50">
        <w:rPr>
          <w:rFonts w:ascii="Verdana" w:hAnsi="Verdana"/>
          <w:sz w:val="18"/>
          <w:szCs w:val="18"/>
          <w:lang w:val="nl-NL"/>
        </w:rPr>
        <w:t xml:space="preserve"> bevat een eis die bedoeld is om een extra dam op te werpen tegen kunstmatige structuren. </w:t>
      </w:r>
      <w:r w:rsidRPr="00BB7074" w:rsidR="00F16E5D">
        <w:rPr>
          <w:rFonts w:ascii="Verdana" w:hAnsi="Verdana"/>
          <w:sz w:val="18"/>
          <w:szCs w:val="18"/>
          <w:lang w:val="nl-NL"/>
        </w:rPr>
        <w:t>Op grond daarvan kan e</w:t>
      </w:r>
      <w:r w:rsidRPr="00BB7074" w:rsidR="00932A50">
        <w:rPr>
          <w:rFonts w:ascii="Verdana" w:hAnsi="Verdana"/>
          <w:sz w:val="18"/>
          <w:szCs w:val="18"/>
          <w:lang w:val="nl-NL"/>
        </w:rPr>
        <w:t xml:space="preserve">en belastingplichtige uitsluitend aan de voorwaarden van onderdeel a voldoen wanneer de </w:t>
      </w:r>
      <w:r w:rsidRPr="00BB7074" w:rsidR="004C261D">
        <w:rPr>
          <w:rFonts w:ascii="Verdana" w:hAnsi="Verdana"/>
          <w:sz w:val="18"/>
          <w:szCs w:val="18"/>
          <w:lang w:val="nl-NL"/>
        </w:rPr>
        <w:t>bedrijfs</w:t>
      </w:r>
      <w:r w:rsidRPr="00BB7074" w:rsidR="00932A50">
        <w:rPr>
          <w:rFonts w:ascii="Verdana" w:hAnsi="Verdana"/>
          <w:sz w:val="18"/>
          <w:szCs w:val="18"/>
          <w:lang w:val="nl-NL"/>
        </w:rPr>
        <w:t>activiteiten in zijn woon</w:t>
      </w:r>
      <w:r w:rsidRPr="00BB7074" w:rsidR="008B5BF7">
        <w:rPr>
          <w:rFonts w:ascii="Verdana" w:hAnsi="Verdana"/>
          <w:sz w:val="18"/>
          <w:szCs w:val="18"/>
          <w:lang w:val="nl-NL"/>
        </w:rPr>
        <w:t>staat</w:t>
      </w:r>
      <w:r w:rsidRPr="00BB7074" w:rsidR="00932A50">
        <w:rPr>
          <w:rFonts w:ascii="Verdana" w:hAnsi="Verdana"/>
          <w:sz w:val="18"/>
          <w:szCs w:val="18"/>
          <w:lang w:val="nl-NL"/>
        </w:rPr>
        <w:t xml:space="preserve"> substantieel zijn in vergelijking met de relevante bedrijfsactiviteiten in de andere verdragsluitende </w:t>
      </w:r>
      <w:r w:rsidRPr="00BB7074" w:rsidR="008B5BF7">
        <w:rPr>
          <w:rFonts w:ascii="Verdana" w:hAnsi="Verdana"/>
          <w:sz w:val="18"/>
          <w:szCs w:val="18"/>
          <w:lang w:val="nl-NL"/>
        </w:rPr>
        <w:t>staat</w:t>
      </w:r>
      <w:r w:rsidRPr="00BB7074" w:rsidR="00932A50">
        <w:rPr>
          <w:rFonts w:ascii="Verdana" w:hAnsi="Verdana"/>
          <w:sz w:val="18"/>
          <w:szCs w:val="18"/>
          <w:lang w:val="nl-NL"/>
        </w:rPr>
        <w:t>. Daarbij wordt met alle feiten en omstandigheden rekening gehouden.</w:t>
      </w:r>
    </w:p>
    <w:p w:rsidRPr="00BB7074" w:rsidR="00932A50" w:rsidP="00327403" w:rsidRDefault="00932A50" w14:paraId="50F6163E" w14:textId="1D0602F3">
      <w:pPr>
        <w:rPr>
          <w:rFonts w:ascii="Verdana" w:hAnsi="Verdana"/>
          <w:sz w:val="18"/>
          <w:szCs w:val="18"/>
          <w:lang w:val="nl-NL"/>
        </w:rPr>
      </w:pPr>
      <w:r w:rsidRPr="00BB7074">
        <w:rPr>
          <w:rFonts w:ascii="Verdana" w:hAnsi="Verdana"/>
          <w:sz w:val="18"/>
          <w:szCs w:val="18"/>
          <w:lang w:val="nl-NL"/>
        </w:rPr>
        <w:t>In het derde lid ontbreekt het onderdeel c dat wel in het OESO</w:t>
      </w:r>
      <w:r w:rsidRPr="00BB7074" w:rsidR="0080504F">
        <w:rPr>
          <w:rFonts w:ascii="Verdana" w:hAnsi="Verdana"/>
          <w:sz w:val="18"/>
          <w:szCs w:val="18"/>
          <w:lang w:val="nl-NL"/>
        </w:rPr>
        <w:t>-</w:t>
      </w:r>
      <w:r w:rsidRPr="00BB7074" w:rsidR="00C70480">
        <w:rPr>
          <w:rFonts w:ascii="Verdana" w:hAnsi="Verdana"/>
          <w:sz w:val="18"/>
          <w:szCs w:val="18"/>
          <w:lang w:val="nl-NL"/>
        </w:rPr>
        <w:t>modelverdrag</w:t>
      </w:r>
      <w:r w:rsidRPr="00BB7074">
        <w:rPr>
          <w:rFonts w:ascii="Verdana" w:hAnsi="Verdana"/>
          <w:sz w:val="18"/>
          <w:szCs w:val="18"/>
          <w:lang w:val="nl-NL"/>
        </w:rPr>
        <w:t xml:space="preserve"> wordt gesuggereerd. Dat </w:t>
      </w:r>
      <w:r w:rsidRPr="00BB7074" w:rsidR="001F4CBA">
        <w:rPr>
          <w:rFonts w:ascii="Verdana" w:hAnsi="Verdana"/>
          <w:sz w:val="18"/>
          <w:szCs w:val="18"/>
          <w:lang w:val="nl-NL"/>
        </w:rPr>
        <w:t xml:space="preserve">onderdeel </w:t>
      </w:r>
      <w:r w:rsidRPr="00BB7074">
        <w:rPr>
          <w:rFonts w:ascii="Verdana" w:hAnsi="Verdana"/>
          <w:sz w:val="18"/>
          <w:szCs w:val="18"/>
          <w:lang w:val="nl-NL"/>
        </w:rPr>
        <w:t>bepaalt dat de activiteiten van verbonden lichamen in dezelfde woon</w:t>
      </w:r>
      <w:r w:rsidRPr="00BB7074" w:rsidR="008B5BF7">
        <w:rPr>
          <w:rFonts w:ascii="Verdana" w:hAnsi="Verdana"/>
          <w:sz w:val="18"/>
          <w:szCs w:val="18"/>
          <w:lang w:val="nl-NL"/>
        </w:rPr>
        <w:t>staat</w:t>
      </w:r>
      <w:r w:rsidRPr="00BB7074">
        <w:rPr>
          <w:rFonts w:ascii="Verdana" w:hAnsi="Verdana"/>
          <w:sz w:val="18"/>
          <w:szCs w:val="18"/>
          <w:lang w:val="nl-NL"/>
        </w:rPr>
        <w:t xml:space="preserve"> worden meegewogen om te toetsen of een belastingplichtige voldoet aan de voorwaarden in de onderdelen a en b. De Colombiaanse delegatie wenste deze bepaling niet op te nemen </w:t>
      </w:r>
      <w:r w:rsidRPr="00BB7074" w:rsidR="00915977">
        <w:rPr>
          <w:rFonts w:ascii="Verdana" w:hAnsi="Verdana"/>
          <w:sz w:val="18"/>
          <w:szCs w:val="18"/>
          <w:lang w:val="nl-NL"/>
        </w:rPr>
        <w:t xml:space="preserve">uit angst dat daarmee de deur zou worden opengezet voor structuren waarin activiteiten kunstmatig zijn verdeeld over verschillende </w:t>
      </w:r>
      <w:r w:rsidRPr="00BB7074" w:rsidR="005136E5">
        <w:rPr>
          <w:rFonts w:ascii="Verdana" w:hAnsi="Verdana"/>
          <w:sz w:val="18"/>
          <w:szCs w:val="18"/>
          <w:lang w:val="nl-NL"/>
        </w:rPr>
        <w:t>lichamen</w:t>
      </w:r>
      <w:r w:rsidRPr="00BB7074" w:rsidR="00915977">
        <w:rPr>
          <w:rFonts w:ascii="Verdana" w:hAnsi="Verdana"/>
          <w:sz w:val="18"/>
          <w:szCs w:val="18"/>
          <w:lang w:val="nl-NL"/>
        </w:rPr>
        <w:t>. De Nederlandse delegatie heeft verschillende malen benadrukt dat het opsplitsen van activiteiten tussen verschillende vennootschappen zeer gebruikelijk is en geenszins kunstmatig noch gericht op belastingbesparing</w:t>
      </w:r>
      <w:r w:rsidRPr="00BB7074" w:rsidR="00BD3D52">
        <w:rPr>
          <w:rFonts w:ascii="Verdana" w:hAnsi="Verdana"/>
          <w:sz w:val="18"/>
          <w:szCs w:val="18"/>
          <w:lang w:val="nl-NL"/>
        </w:rPr>
        <w:t xml:space="preserve"> hoeft te zijn</w:t>
      </w:r>
      <w:r w:rsidRPr="00BB7074" w:rsidR="00915977">
        <w:rPr>
          <w:rFonts w:ascii="Verdana" w:hAnsi="Verdana"/>
          <w:sz w:val="18"/>
          <w:szCs w:val="18"/>
          <w:lang w:val="nl-NL"/>
        </w:rPr>
        <w:t xml:space="preserve">. Deze argumenten hebben de Colombiaanse delegatie echter niet overtuigd en uiteindelijk heeft Nederland hiermee ingestemd in de verwachting dat Nederlandse actieve bedrijven in de praktijk een passende oplossing zullen kunnen vinden om in gevallen waarin dat terecht is de voordelen van het </w:t>
      </w:r>
      <w:r w:rsidRPr="00BB7074" w:rsidR="004B5F47">
        <w:rPr>
          <w:rFonts w:ascii="Verdana" w:hAnsi="Verdana"/>
          <w:sz w:val="18"/>
          <w:szCs w:val="18"/>
          <w:lang w:val="nl-NL"/>
        </w:rPr>
        <w:t>V</w:t>
      </w:r>
      <w:r w:rsidRPr="00BB7074" w:rsidR="00915977">
        <w:rPr>
          <w:rFonts w:ascii="Verdana" w:hAnsi="Verdana"/>
          <w:sz w:val="18"/>
          <w:szCs w:val="18"/>
          <w:lang w:val="nl-NL"/>
        </w:rPr>
        <w:t>erdrag te kunnen claimen.</w:t>
      </w:r>
      <w:r w:rsidRPr="00BB7074" w:rsidR="005A5E8A">
        <w:rPr>
          <w:rFonts w:ascii="Verdana" w:hAnsi="Verdana"/>
          <w:sz w:val="18"/>
          <w:szCs w:val="18"/>
          <w:lang w:val="nl-NL"/>
        </w:rPr>
        <w:t xml:space="preserve"> Bovendien is in </w:t>
      </w:r>
      <w:r w:rsidRPr="00BB7074" w:rsidR="001F4CBA">
        <w:rPr>
          <w:rFonts w:ascii="Verdana" w:hAnsi="Verdana"/>
          <w:sz w:val="18"/>
          <w:szCs w:val="18"/>
          <w:lang w:val="nl-NL"/>
        </w:rPr>
        <w:t>a</w:t>
      </w:r>
      <w:r w:rsidRPr="00BB7074" w:rsidR="005A5E8A">
        <w:rPr>
          <w:rFonts w:ascii="Verdana" w:hAnsi="Verdana"/>
          <w:sz w:val="18"/>
          <w:szCs w:val="18"/>
          <w:lang w:val="nl-NL"/>
        </w:rPr>
        <w:t xml:space="preserve">rtikel XV van het Protocol opgenomen dat indien Colombia </w:t>
      </w:r>
      <w:r w:rsidRPr="00BB7074" w:rsidR="004C261D">
        <w:rPr>
          <w:rFonts w:ascii="Verdana" w:hAnsi="Verdana"/>
          <w:sz w:val="18"/>
          <w:szCs w:val="18"/>
          <w:lang w:val="nl-NL"/>
        </w:rPr>
        <w:t xml:space="preserve">na ondertekening van dit Verdrag </w:t>
      </w:r>
      <w:r w:rsidRPr="00BB7074" w:rsidR="005A5E8A">
        <w:rPr>
          <w:rFonts w:ascii="Verdana" w:hAnsi="Verdana"/>
          <w:sz w:val="18"/>
          <w:szCs w:val="18"/>
          <w:lang w:val="nl-NL"/>
        </w:rPr>
        <w:t xml:space="preserve">met een andere </w:t>
      </w:r>
      <w:r w:rsidRPr="00BB7074" w:rsidR="008B5BF7">
        <w:rPr>
          <w:rFonts w:ascii="Verdana" w:hAnsi="Verdana"/>
          <w:sz w:val="18"/>
          <w:szCs w:val="18"/>
          <w:lang w:val="nl-NL"/>
        </w:rPr>
        <w:t>staat</w:t>
      </w:r>
      <w:r w:rsidRPr="00BB7074" w:rsidR="005A5E8A">
        <w:rPr>
          <w:rFonts w:ascii="Verdana" w:hAnsi="Verdana"/>
          <w:sz w:val="18"/>
          <w:szCs w:val="18"/>
          <w:lang w:val="nl-NL"/>
        </w:rPr>
        <w:t xml:space="preserve"> een verdrag sluit waarin een dergelijke bepaling wel is opgenomen, deze ook geacht wordt te zijn opgenomen in dit Verdrag</w:t>
      </w:r>
      <w:r w:rsidRPr="00BB7074" w:rsidR="004C261D">
        <w:rPr>
          <w:rFonts w:ascii="Verdana" w:hAnsi="Verdana"/>
          <w:sz w:val="18"/>
          <w:szCs w:val="18"/>
          <w:lang w:val="nl-NL"/>
        </w:rPr>
        <w:t xml:space="preserve"> vanaf het tijdstip dat dat andere verdrag in werking treedt.</w:t>
      </w:r>
    </w:p>
    <w:p w:rsidRPr="00BB7074" w:rsidR="005E7CE6" w:rsidP="00327403" w:rsidRDefault="005E7CE6" w14:paraId="70EC926B" w14:textId="7886358E">
      <w:pPr>
        <w:rPr>
          <w:rFonts w:ascii="Verdana" w:hAnsi="Verdana"/>
          <w:sz w:val="18"/>
          <w:szCs w:val="18"/>
          <w:lang w:val="nl-NL"/>
        </w:rPr>
      </w:pPr>
      <w:r w:rsidRPr="00BB7074">
        <w:rPr>
          <w:rFonts w:ascii="Verdana" w:hAnsi="Verdana"/>
          <w:sz w:val="18"/>
          <w:szCs w:val="18"/>
          <w:lang w:val="nl-NL"/>
        </w:rPr>
        <w:t xml:space="preserve">In het vierde lid is </w:t>
      </w:r>
      <w:r w:rsidRPr="00BB7074" w:rsidR="00BD3D52">
        <w:rPr>
          <w:rFonts w:ascii="Verdana" w:hAnsi="Verdana"/>
          <w:sz w:val="18"/>
          <w:szCs w:val="18"/>
          <w:lang w:val="nl-NL"/>
        </w:rPr>
        <w:t xml:space="preserve">een </w:t>
      </w:r>
      <w:r w:rsidRPr="00BB7074">
        <w:rPr>
          <w:rFonts w:ascii="Verdana" w:hAnsi="Verdana"/>
          <w:sz w:val="18"/>
          <w:szCs w:val="18"/>
          <w:lang w:val="nl-NL"/>
        </w:rPr>
        <w:t xml:space="preserve">bepaling opgenomen </w:t>
      </w:r>
      <w:r w:rsidRPr="00BB7074" w:rsidR="00BD3D52">
        <w:rPr>
          <w:rFonts w:ascii="Verdana" w:hAnsi="Verdana"/>
          <w:sz w:val="18"/>
          <w:szCs w:val="18"/>
          <w:lang w:val="nl-NL"/>
        </w:rPr>
        <w:t xml:space="preserve">op grond waarvan </w:t>
      </w:r>
      <w:r w:rsidRPr="00BB7074">
        <w:rPr>
          <w:rFonts w:ascii="Verdana" w:hAnsi="Verdana"/>
          <w:sz w:val="18"/>
          <w:szCs w:val="18"/>
          <w:lang w:val="nl-NL"/>
        </w:rPr>
        <w:t xml:space="preserve">een vennootschap ook recht heeft op de verdragsvoordelen wanneer hij zelf weliswaar niet voldoet aan de hiervoor beschreven voorwaarden, maar tenminste 85% van de aandelen in deze vennootschap worden gehouden door zogenoemde </w:t>
      </w:r>
      <w:r w:rsidRPr="00BB7074" w:rsidR="00946632">
        <w:rPr>
          <w:rFonts w:ascii="Verdana" w:hAnsi="Verdana"/>
          <w:sz w:val="18"/>
          <w:szCs w:val="18"/>
          <w:lang w:val="nl-NL"/>
        </w:rPr>
        <w:t>‘</w:t>
      </w:r>
      <w:r w:rsidRPr="00BB7074">
        <w:rPr>
          <w:rFonts w:ascii="Verdana" w:hAnsi="Verdana"/>
          <w:sz w:val="18"/>
          <w:szCs w:val="18"/>
          <w:lang w:val="nl-NL"/>
        </w:rPr>
        <w:t>gelijkwaardige gerechtigden</w:t>
      </w:r>
      <w:r w:rsidRPr="00BB7074" w:rsidR="00946632">
        <w:rPr>
          <w:rFonts w:ascii="Verdana" w:hAnsi="Verdana"/>
          <w:sz w:val="18"/>
          <w:szCs w:val="18"/>
          <w:lang w:val="nl-NL"/>
        </w:rPr>
        <w:t>’</w:t>
      </w:r>
      <w:r w:rsidRPr="00BB7074">
        <w:rPr>
          <w:rFonts w:ascii="Verdana" w:hAnsi="Verdana"/>
          <w:sz w:val="18"/>
          <w:szCs w:val="18"/>
          <w:lang w:val="nl-NL"/>
        </w:rPr>
        <w:t xml:space="preserve">. In die gevallen zouden de verdragsvoordelen immers toch worden toegekend en kan in die zin van misbruik geen sprake zijn. </w:t>
      </w:r>
    </w:p>
    <w:p w:rsidRPr="00BB7074" w:rsidR="00FF3E0A" w:rsidP="00327403" w:rsidRDefault="005E7CE6" w14:paraId="0F48E73A" w14:textId="0AABDAFB">
      <w:pPr>
        <w:rPr>
          <w:rFonts w:ascii="Verdana" w:hAnsi="Verdana"/>
          <w:sz w:val="18"/>
          <w:szCs w:val="18"/>
          <w:lang w:val="nl-NL"/>
        </w:rPr>
      </w:pPr>
      <w:r w:rsidRPr="00BB7074">
        <w:rPr>
          <w:rFonts w:ascii="Verdana" w:hAnsi="Verdana"/>
          <w:sz w:val="18"/>
          <w:szCs w:val="18"/>
          <w:lang w:val="nl-NL"/>
        </w:rPr>
        <w:t>Het begrip ‘gelijkwaardige gerechtigde’ wordt gedefinieerd in onderdeel d van het zesde lid</w:t>
      </w:r>
      <w:r w:rsidRPr="00BB7074" w:rsidR="00086938">
        <w:rPr>
          <w:rFonts w:ascii="Verdana" w:hAnsi="Verdana"/>
          <w:sz w:val="18"/>
          <w:szCs w:val="18"/>
          <w:lang w:val="nl-NL"/>
        </w:rPr>
        <w:t xml:space="preserve">. </w:t>
      </w:r>
      <w:r w:rsidRPr="00BB7074" w:rsidR="00BD3D52">
        <w:rPr>
          <w:rFonts w:ascii="Verdana" w:hAnsi="Verdana"/>
          <w:sz w:val="18"/>
          <w:szCs w:val="18"/>
          <w:lang w:val="nl-NL"/>
        </w:rPr>
        <w:t xml:space="preserve">Op basis van die </w:t>
      </w:r>
      <w:r w:rsidRPr="00BB7074" w:rsidR="00086938">
        <w:rPr>
          <w:rFonts w:ascii="Verdana" w:hAnsi="Verdana"/>
          <w:sz w:val="18"/>
          <w:szCs w:val="18"/>
          <w:lang w:val="nl-NL"/>
        </w:rPr>
        <w:t>definitie</w:t>
      </w:r>
      <w:r w:rsidRPr="00BB7074">
        <w:rPr>
          <w:rFonts w:ascii="Verdana" w:hAnsi="Verdana"/>
          <w:sz w:val="18"/>
          <w:szCs w:val="18"/>
          <w:lang w:val="nl-NL"/>
        </w:rPr>
        <w:t xml:space="preserve"> gaat </w:t>
      </w:r>
      <w:r w:rsidRPr="00BB7074" w:rsidR="00BD3D52">
        <w:rPr>
          <w:rFonts w:ascii="Verdana" w:hAnsi="Verdana"/>
          <w:sz w:val="18"/>
          <w:szCs w:val="18"/>
          <w:lang w:val="nl-NL"/>
        </w:rPr>
        <w:t xml:space="preserve">het hierbij </w:t>
      </w:r>
      <w:r w:rsidRPr="00BB7074">
        <w:rPr>
          <w:rFonts w:ascii="Verdana" w:hAnsi="Verdana"/>
          <w:sz w:val="18"/>
          <w:szCs w:val="18"/>
          <w:lang w:val="nl-NL"/>
        </w:rPr>
        <w:t>om personen die op</w:t>
      </w:r>
      <w:r w:rsidRPr="00BB7074" w:rsidR="00997307">
        <w:rPr>
          <w:rFonts w:ascii="Verdana" w:hAnsi="Verdana"/>
          <w:sz w:val="18"/>
          <w:szCs w:val="18"/>
          <w:lang w:val="nl-NL"/>
        </w:rPr>
        <w:t xml:space="preserve"> </w:t>
      </w:r>
      <w:r w:rsidRPr="00BB7074">
        <w:rPr>
          <w:rFonts w:ascii="Verdana" w:hAnsi="Verdana"/>
          <w:sz w:val="18"/>
          <w:szCs w:val="18"/>
          <w:lang w:val="nl-NL"/>
        </w:rPr>
        <w:t>grond van nationaal recht, van dit Verdrag, of van een andere internationale overeenkomst, recht hebben op dez</w:t>
      </w:r>
      <w:r w:rsidRPr="00BB7074" w:rsidR="00086938">
        <w:rPr>
          <w:rFonts w:ascii="Verdana" w:hAnsi="Verdana"/>
          <w:sz w:val="18"/>
          <w:szCs w:val="18"/>
          <w:lang w:val="nl-NL"/>
        </w:rPr>
        <w:t>elfde</w:t>
      </w:r>
      <w:r w:rsidRPr="00BB7074">
        <w:rPr>
          <w:rFonts w:ascii="Verdana" w:hAnsi="Verdana"/>
          <w:sz w:val="18"/>
          <w:szCs w:val="18"/>
          <w:lang w:val="nl-NL"/>
        </w:rPr>
        <w:t xml:space="preserve"> of verdergaande voordelen als </w:t>
      </w:r>
      <w:r w:rsidRPr="00BB7074" w:rsidR="00086938">
        <w:rPr>
          <w:rFonts w:ascii="Verdana" w:hAnsi="Verdana"/>
          <w:sz w:val="18"/>
          <w:szCs w:val="18"/>
          <w:lang w:val="nl-NL"/>
        </w:rPr>
        <w:t>de voordelen</w:t>
      </w:r>
      <w:r w:rsidRPr="00BB7074">
        <w:rPr>
          <w:rFonts w:ascii="Verdana" w:hAnsi="Verdana"/>
          <w:sz w:val="18"/>
          <w:szCs w:val="18"/>
          <w:lang w:val="nl-NL"/>
        </w:rPr>
        <w:t xml:space="preserve"> </w:t>
      </w:r>
      <w:r w:rsidRPr="00BB7074" w:rsidR="00086938">
        <w:rPr>
          <w:rFonts w:ascii="Verdana" w:hAnsi="Verdana"/>
          <w:sz w:val="18"/>
          <w:szCs w:val="18"/>
          <w:lang w:val="nl-NL"/>
        </w:rPr>
        <w:t xml:space="preserve">die </w:t>
      </w:r>
      <w:r w:rsidRPr="00BB7074">
        <w:rPr>
          <w:rFonts w:ascii="Verdana" w:hAnsi="Verdana"/>
          <w:sz w:val="18"/>
          <w:szCs w:val="18"/>
          <w:lang w:val="nl-NL"/>
        </w:rPr>
        <w:t xml:space="preserve">geclaimd worden. </w:t>
      </w:r>
      <w:r w:rsidRPr="00BB7074" w:rsidR="00795957">
        <w:rPr>
          <w:rFonts w:ascii="Verdana" w:hAnsi="Verdana"/>
          <w:sz w:val="18"/>
          <w:szCs w:val="18"/>
          <w:lang w:val="nl-NL"/>
        </w:rPr>
        <w:t>Om te bepalen of een persoon al dan niet een gelijkwaardige gerechtigde is ter zake van dividenden die door een lichaam worden ontvangen, wordt de persoon geacht een lichaam te zijn en hetzelfde aantal stemmen te bezitten van het lichaam dat de dividenden betaalt als het aantal stemmen van het lichaam dat het voordeel ter zake van de dividenden vraagt.</w:t>
      </w:r>
    </w:p>
    <w:p w:rsidRPr="00BB7074" w:rsidR="00C97BC9" w:rsidP="00327403" w:rsidRDefault="00946632" w14:paraId="5736F0D4" w14:textId="2318DAF4">
      <w:pPr>
        <w:rPr>
          <w:rFonts w:ascii="Verdana" w:hAnsi="Verdana"/>
          <w:sz w:val="18"/>
          <w:szCs w:val="18"/>
          <w:lang w:val="nl-NL"/>
        </w:rPr>
      </w:pPr>
      <w:r w:rsidRPr="00BB7074">
        <w:rPr>
          <w:rFonts w:ascii="Verdana" w:hAnsi="Verdana"/>
          <w:sz w:val="18"/>
          <w:szCs w:val="18"/>
          <w:lang w:val="nl-NL"/>
        </w:rPr>
        <w:t xml:space="preserve">Het vijfde lid bevat de zogenoemde vangnetbepaling, die de bevoegde autoriteit machtigt om </w:t>
      </w:r>
      <w:r w:rsidRPr="00BB7074" w:rsidR="00E77125">
        <w:rPr>
          <w:rFonts w:ascii="Verdana" w:hAnsi="Verdana"/>
          <w:sz w:val="18"/>
          <w:szCs w:val="18"/>
          <w:lang w:val="nl-NL"/>
        </w:rPr>
        <w:t xml:space="preserve">een </w:t>
      </w:r>
      <w:r w:rsidRPr="00BB7074">
        <w:rPr>
          <w:rFonts w:ascii="Verdana" w:hAnsi="Verdana"/>
          <w:sz w:val="18"/>
          <w:szCs w:val="18"/>
          <w:lang w:val="nl-NL"/>
        </w:rPr>
        <w:t>verdragsvoordee</w:t>
      </w:r>
      <w:r w:rsidRPr="00BB7074" w:rsidR="00E77125">
        <w:rPr>
          <w:rFonts w:ascii="Verdana" w:hAnsi="Verdana"/>
          <w:sz w:val="18"/>
          <w:szCs w:val="18"/>
          <w:lang w:val="nl-NL"/>
        </w:rPr>
        <w:t>l</w:t>
      </w:r>
      <w:r w:rsidRPr="00BB7074">
        <w:rPr>
          <w:rFonts w:ascii="Verdana" w:hAnsi="Verdana"/>
          <w:sz w:val="18"/>
          <w:szCs w:val="18"/>
          <w:lang w:val="nl-NL"/>
        </w:rPr>
        <w:t xml:space="preserve"> toch toe te kennen in gevallen waarin </w:t>
      </w:r>
      <w:r w:rsidRPr="00BB7074" w:rsidR="00795957">
        <w:rPr>
          <w:rFonts w:ascii="Verdana" w:hAnsi="Verdana"/>
          <w:sz w:val="18"/>
          <w:szCs w:val="18"/>
          <w:lang w:val="nl-NL"/>
        </w:rPr>
        <w:t>een inwoner van een verdragsluitende staat geen gekwalificeerd persoon is en ook niet gerechtigd is tot voordelen ingevolge het derde of vierde lid</w:t>
      </w:r>
      <w:r w:rsidRPr="00BB7074">
        <w:rPr>
          <w:rFonts w:ascii="Verdana" w:hAnsi="Verdana"/>
          <w:sz w:val="18"/>
          <w:szCs w:val="18"/>
          <w:lang w:val="nl-NL"/>
        </w:rPr>
        <w:t xml:space="preserve">, maar waarin </w:t>
      </w:r>
      <w:r w:rsidRPr="00BB7074" w:rsidR="00E77125">
        <w:rPr>
          <w:rFonts w:ascii="Verdana" w:hAnsi="Verdana"/>
          <w:sz w:val="18"/>
          <w:szCs w:val="18"/>
          <w:lang w:val="nl-NL"/>
        </w:rPr>
        <w:t xml:space="preserve">de bevoegde autoriteit </w:t>
      </w:r>
      <w:r w:rsidRPr="00BB7074">
        <w:rPr>
          <w:rFonts w:ascii="Verdana" w:hAnsi="Verdana"/>
          <w:sz w:val="18"/>
          <w:szCs w:val="18"/>
          <w:lang w:val="nl-NL"/>
        </w:rPr>
        <w:t xml:space="preserve">ervan overtuigd </w:t>
      </w:r>
      <w:r w:rsidRPr="00BB7074" w:rsidR="00E77125">
        <w:rPr>
          <w:rFonts w:ascii="Verdana" w:hAnsi="Verdana"/>
          <w:sz w:val="18"/>
          <w:szCs w:val="18"/>
          <w:lang w:val="nl-NL"/>
        </w:rPr>
        <w:t xml:space="preserve">is </w:t>
      </w:r>
      <w:r w:rsidRPr="00BB7074">
        <w:rPr>
          <w:rFonts w:ascii="Verdana" w:hAnsi="Verdana"/>
          <w:sz w:val="18"/>
          <w:szCs w:val="18"/>
          <w:lang w:val="nl-NL"/>
        </w:rPr>
        <w:t xml:space="preserve">dat geen sprake is van misbruik. Op verzoek van de Nederlandse delegatie is daarbij </w:t>
      </w:r>
      <w:r w:rsidRPr="00BB7074" w:rsidR="009E4C96">
        <w:rPr>
          <w:rFonts w:ascii="Verdana" w:hAnsi="Verdana"/>
          <w:sz w:val="18"/>
          <w:szCs w:val="18"/>
          <w:lang w:val="nl-NL"/>
        </w:rPr>
        <w:t xml:space="preserve">een bepaling </w:t>
      </w:r>
      <w:r w:rsidRPr="00BB7074">
        <w:rPr>
          <w:rFonts w:ascii="Verdana" w:hAnsi="Verdana"/>
          <w:sz w:val="18"/>
          <w:szCs w:val="18"/>
          <w:lang w:val="nl-NL"/>
        </w:rPr>
        <w:t xml:space="preserve">opgenomen </w:t>
      </w:r>
      <w:r w:rsidRPr="00BB7074" w:rsidR="009E4C96">
        <w:rPr>
          <w:rFonts w:ascii="Verdana" w:hAnsi="Verdana"/>
          <w:sz w:val="18"/>
          <w:szCs w:val="18"/>
          <w:lang w:val="nl-NL"/>
        </w:rPr>
        <w:t xml:space="preserve">op grond waarvan in de situatie dat </w:t>
      </w:r>
      <w:r w:rsidRPr="00BB7074">
        <w:rPr>
          <w:rFonts w:ascii="Verdana" w:hAnsi="Verdana"/>
          <w:sz w:val="18"/>
          <w:szCs w:val="18"/>
          <w:lang w:val="nl-NL"/>
        </w:rPr>
        <w:t xml:space="preserve">een belastingplichtige een beroep doet op de </w:t>
      </w:r>
      <w:r w:rsidRPr="00BB7074" w:rsidR="009E4C96">
        <w:rPr>
          <w:rFonts w:ascii="Verdana" w:hAnsi="Verdana"/>
          <w:sz w:val="18"/>
          <w:szCs w:val="18"/>
          <w:lang w:val="nl-NL"/>
        </w:rPr>
        <w:t>vangnet</w:t>
      </w:r>
      <w:r w:rsidRPr="00BB7074">
        <w:rPr>
          <w:rFonts w:ascii="Verdana" w:hAnsi="Verdana"/>
          <w:sz w:val="18"/>
          <w:szCs w:val="18"/>
          <w:lang w:val="nl-NL"/>
        </w:rPr>
        <w:t>bepaling</w:t>
      </w:r>
      <w:r w:rsidRPr="00BB7074" w:rsidR="007C0F84">
        <w:rPr>
          <w:rFonts w:ascii="Verdana" w:hAnsi="Verdana"/>
          <w:sz w:val="18"/>
          <w:szCs w:val="18"/>
          <w:lang w:val="nl-NL"/>
        </w:rPr>
        <w:t>,</w:t>
      </w:r>
      <w:r w:rsidRPr="00BB7074">
        <w:rPr>
          <w:rFonts w:ascii="Verdana" w:hAnsi="Verdana"/>
          <w:sz w:val="18"/>
          <w:szCs w:val="18"/>
          <w:lang w:val="nl-NL"/>
        </w:rPr>
        <w:t xml:space="preserve"> de bevoegde </w:t>
      </w:r>
      <w:r w:rsidRPr="00BB7074" w:rsidR="00824EDC">
        <w:rPr>
          <w:rFonts w:ascii="Verdana" w:hAnsi="Verdana"/>
          <w:sz w:val="18"/>
          <w:szCs w:val="18"/>
          <w:lang w:val="nl-NL"/>
        </w:rPr>
        <w:t>autoriteit</w:t>
      </w:r>
      <w:r w:rsidRPr="00BB7074">
        <w:rPr>
          <w:rFonts w:ascii="Verdana" w:hAnsi="Verdana"/>
          <w:sz w:val="18"/>
          <w:szCs w:val="18"/>
          <w:lang w:val="nl-NL"/>
        </w:rPr>
        <w:t xml:space="preserve"> waaraan dit verzoek gericht is eerst in overleg </w:t>
      </w:r>
      <w:r w:rsidRPr="00BB7074" w:rsidR="007C0F84">
        <w:rPr>
          <w:rFonts w:ascii="Verdana" w:hAnsi="Verdana"/>
          <w:sz w:val="18"/>
          <w:szCs w:val="18"/>
          <w:lang w:val="nl-NL"/>
        </w:rPr>
        <w:t>zal treden</w:t>
      </w:r>
      <w:r w:rsidRPr="00BB7074">
        <w:rPr>
          <w:rFonts w:ascii="Verdana" w:hAnsi="Verdana"/>
          <w:sz w:val="18"/>
          <w:szCs w:val="18"/>
          <w:lang w:val="nl-NL"/>
        </w:rPr>
        <w:t xml:space="preserve"> met de bevoegde autoriteit van de andere </w:t>
      </w:r>
      <w:r w:rsidRPr="00BB7074" w:rsidR="009E4C96">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sidR="007C0F84">
        <w:rPr>
          <w:rFonts w:ascii="Verdana" w:hAnsi="Verdana"/>
          <w:sz w:val="18"/>
          <w:szCs w:val="18"/>
          <w:lang w:val="nl-NL"/>
        </w:rPr>
        <w:t xml:space="preserve"> voordat het verzoek wordt </w:t>
      </w:r>
      <w:r w:rsidRPr="00BB7074" w:rsidR="007C0F84">
        <w:rPr>
          <w:rFonts w:ascii="Verdana" w:hAnsi="Verdana"/>
          <w:sz w:val="18"/>
          <w:szCs w:val="18"/>
          <w:lang w:val="nl-NL"/>
        </w:rPr>
        <w:lastRenderedPageBreak/>
        <w:t>ingewilligd of afgewezen</w:t>
      </w:r>
      <w:r w:rsidRPr="00BB7074">
        <w:rPr>
          <w:rFonts w:ascii="Verdana" w:hAnsi="Verdana"/>
          <w:sz w:val="18"/>
          <w:szCs w:val="18"/>
          <w:lang w:val="nl-NL"/>
        </w:rPr>
        <w:t xml:space="preserve">. Er hoeft geen overeenstemming te bestaan alvorens het verzoek wordt afgewezen, maar dit overleg kan dienen om misverstanden over de feiten te voorkomen en om gezamenlijk een beeld te ontwikkelen van waar de grens tussen misbruik en gerechtvaardigd gebruik getrokken moet worden. </w:t>
      </w:r>
      <w:r w:rsidRPr="00BB7074" w:rsidR="007C0F84">
        <w:rPr>
          <w:rFonts w:ascii="Verdana" w:hAnsi="Verdana"/>
          <w:sz w:val="18"/>
          <w:szCs w:val="18"/>
          <w:lang w:val="nl-NL"/>
        </w:rPr>
        <w:t xml:space="preserve">Dit kan bijdragen aan de </w:t>
      </w:r>
      <w:r w:rsidRPr="00BB7074">
        <w:rPr>
          <w:rFonts w:ascii="Verdana" w:hAnsi="Verdana"/>
          <w:sz w:val="18"/>
          <w:szCs w:val="18"/>
          <w:lang w:val="nl-NL"/>
        </w:rPr>
        <w:t>rechtszekerheid.</w:t>
      </w:r>
    </w:p>
    <w:p w:rsidRPr="00BB7074" w:rsidR="000B3A7A" w:rsidP="00327403" w:rsidRDefault="000B3A7A" w14:paraId="176FFACB" w14:textId="40EA1177">
      <w:pPr>
        <w:rPr>
          <w:rFonts w:ascii="Verdana" w:hAnsi="Verdana"/>
          <w:sz w:val="18"/>
          <w:szCs w:val="18"/>
          <w:lang w:val="nl-NL"/>
        </w:rPr>
      </w:pPr>
      <w:r w:rsidRPr="00BB7074">
        <w:rPr>
          <w:rFonts w:ascii="Verdana" w:hAnsi="Verdana"/>
          <w:sz w:val="18"/>
          <w:szCs w:val="18"/>
          <w:lang w:val="nl-NL"/>
        </w:rPr>
        <w:t xml:space="preserve">Het zevende lid </w:t>
      </w:r>
      <w:r w:rsidRPr="00BB7074" w:rsidR="006971C3">
        <w:rPr>
          <w:rFonts w:ascii="Verdana" w:hAnsi="Verdana"/>
          <w:sz w:val="18"/>
          <w:szCs w:val="18"/>
          <w:lang w:val="nl-NL"/>
        </w:rPr>
        <w:t xml:space="preserve">bevat de PPT </w:t>
      </w:r>
      <w:r w:rsidRPr="00BB7074" w:rsidR="00581D6B">
        <w:rPr>
          <w:rFonts w:ascii="Verdana" w:hAnsi="Verdana"/>
          <w:sz w:val="18"/>
          <w:szCs w:val="18"/>
          <w:lang w:val="nl-NL"/>
        </w:rPr>
        <w:t xml:space="preserve">en </w:t>
      </w:r>
      <w:r w:rsidRPr="00BB7074" w:rsidR="00E837BD">
        <w:rPr>
          <w:rFonts w:ascii="Verdana" w:hAnsi="Verdana"/>
          <w:sz w:val="18"/>
          <w:szCs w:val="18"/>
          <w:lang w:val="nl-NL"/>
        </w:rPr>
        <w:t>bepaalt dat e</w:t>
      </w:r>
      <w:r w:rsidRPr="00BB7074" w:rsidR="00581D6B">
        <w:rPr>
          <w:rFonts w:ascii="Verdana" w:hAnsi="Verdana"/>
          <w:sz w:val="18"/>
          <w:szCs w:val="18"/>
          <w:lang w:val="nl-NL"/>
        </w:rPr>
        <w:t>e</w:t>
      </w:r>
      <w:r w:rsidRPr="00BB7074" w:rsidR="00E837BD">
        <w:rPr>
          <w:rFonts w:ascii="Verdana" w:hAnsi="Verdana"/>
          <w:sz w:val="18"/>
          <w:szCs w:val="18"/>
          <w:lang w:val="nl-NL"/>
        </w:rPr>
        <w:t>n verdragsvoorde</w:t>
      </w:r>
      <w:r w:rsidRPr="00BB7074" w:rsidR="00581D6B">
        <w:rPr>
          <w:rFonts w:ascii="Verdana" w:hAnsi="Verdana"/>
          <w:sz w:val="18"/>
          <w:szCs w:val="18"/>
          <w:lang w:val="nl-NL"/>
        </w:rPr>
        <w:t>e</w:t>
      </w:r>
      <w:r w:rsidRPr="00BB7074" w:rsidR="00E837BD">
        <w:rPr>
          <w:rFonts w:ascii="Verdana" w:hAnsi="Verdana"/>
          <w:sz w:val="18"/>
          <w:szCs w:val="18"/>
          <w:lang w:val="nl-NL"/>
        </w:rPr>
        <w:t xml:space="preserve">l </w:t>
      </w:r>
      <w:r w:rsidRPr="00BB7074" w:rsidR="00581D6B">
        <w:rPr>
          <w:rFonts w:ascii="Verdana" w:hAnsi="Verdana"/>
          <w:sz w:val="18"/>
          <w:szCs w:val="18"/>
          <w:lang w:val="nl-NL"/>
        </w:rPr>
        <w:t>kan worden ge</w:t>
      </w:r>
      <w:r w:rsidRPr="00BB7074" w:rsidR="00E837BD">
        <w:rPr>
          <w:rFonts w:ascii="Verdana" w:hAnsi="Verdana"/>
          <w:sz w:val="18"/>
          <w:szCs w:val="18"/>
          <w:lang w:val="nl-NL"/>
        </w:rPr>
        <w:t>weiger</w:t>
      </w:r>
      <w:r w:rsidRPr="00BB7074" w:rsidR="00581D6B">
        <w:rPr>
          <w:rFonts w:ascii="Verdana" w:hAnsi="Verdana"/>
          <w:sz w:val="18"/>
          <w:szCs w:val="18"/>
          <w:lang w:val="nl-NL"/>
        </w:rPr>
        <w:t>d</w:t>
      </w:r>
      <w:r w:rsidRPr="00BB7074" w:rsidR="00E837BD">
        <w:rPr>
          <w:rFonts w:ascii="Verdana" w:hAnsi="Verdana"/>
          <w:sz w:val="18"/>
          <w:szCs w:val="18"/>
          <w:lang w:val="nl-NL"/>
        </w:rPr>
        <w:t xml:space="preserve"> in gevallen waarin </w:t>
      </w:r>
      <w:r w:rsidRPr="00BB7074" w:rsidR="009E4C96">
        <w:rPr>
          <w:rFonts w:ascii="Verdana" w:hAnsi="Verdana"/>
          <w:sz w:val="18"/>
          <w:szCs w:val="18"/>
          <w:lang w:val="nl-NL"/>
        </w:rPr>
        <w:t xml:space="preserve">de </w:t>
      </w:r>
      <w:r w:rsidRPr="00BB7074" w:rsidR="00E837BD">
        <w:rPr>
          <w:rFonts w:ascii="Verdana" w:hAnsi="Verdana"/>
          <w:sz w:val="18"/>
          <w:szCs w:val="18"/>
          <w:lang w:val="nl-NL"/>
        </w:rPr>
        <w:t xml:space="preserve">belastingplichtige weliswaar aan de voorwaarden voldoet, maar het op grond van alle relevante feiten en omstandigheden toch redelijk is om aan te nemen dat een van de voornaamste redenen voor een structuur of transactie is gelegen in het verkrijgen van </w:t>
      </w:r>
      <w:r w:rsidRPr="00BB7074" w:rsidR="00581D6B">
        <w:rPr>
          <w:rFonts w:ascii="Verdana" w:hAnsi="Verdana"/>
          <w:sz w:val="18"/>
          <w:szCs w:val="18"/>
          <w:lang w:val="nl-NL"/>
        </w:rPr>
        <w:t xml:space="preserve">dat </w:t>
      </w:r>
      <w:r w:rsidRPr="00BB7074" w:rsidR="00E837BD">
        <w:rPr>
          <w:rFonts w:ascii="Verdana" w:hAnsi="Verdana"/>
          <w:sz w:val="18"/>
          <w:szCs w:val="18"/>
          <w:lang w:val="nl-NL"/>
        </w:rPr>
        <w:t>verdragsvoorde</w:t>
      </w:r>
      <w:r w:rsidRPr="00BB7074" w:rsidR="00581D6B">
        <w:rPr>
          <w:rFonts w:ascii="Verdana" w:hAnsi="Verdana"/>
          <w:sz w:val="18"/>
          <w:szCs w:val="18"/>
          <w:lang w:val="nl-NL"/>
        </w:rPr>
        <w:t>e</w:t>
      </w:r>
      <w:r w:rsidRPr="00BB7074" w:rsidR="00E837BD">
        <w:rPr>
          <w:rFonts w:ascii="Verdana" w:hAnsi="Verdana"/>
          <w:sz w:val="18"/>
          <w:szCs w:val="18"/>
          <w:lang w:val="nl-NL"/>
        </w:rPr>
        <w:t xml:space="preserve">l, tenzij het geven van </w:t>
      </w:r>
      <w:r w:rsidRPr="00BB7074" w:rsidR="00581D6B">
        <w:rPr>
          <w:rFonts w:ascii="Verdana" w:hAnsi="Verdana"/>
          <w:sz w:val="18"/>
          <w:szCs w:val="18"/>
          <w:lang w:val="nl-NL"/>
        </w:rPr>
        <w:t xml:space="preserve">dat </w:t>
      </w:r>
      <w:r w:rsidRPr="00BB7074" w:rsidR="00E837BD">
        <w:rPr>
          <w:rFonts w:ascii="Verdana" w:hAnsi="Verdana"/>
          <w:sz w:val="18"/>
          <w:szCs w:val="18"/>
          <w:lang w:val="nl-NL"/>
        </w:rPr>
        <w:t>verdragsvoorde</w:t>
      </w:r>
      <w:r w:rsidRPr="00BB7074" w:rsidR="00581D6B">
        <w:rPr>
          <w:rFonts w:ascii="Verdana" w:hAnsi="Verdana"/>
          <w:sz w:val="18"/>
          <w:szCs w:val="18"/>
          <w:lang w:val="nl-NL"/>
        </w:rPr>
        <w:t>e</w:t>
      </w:r>
      <w:r w:rsidRPr="00BB7074" w:rsidR="00E837BD">
        <w:rPr>
          <w:rFonts w:ascii="Verdana" w:hAnsi="Verdana"/>
          <w:sz w:val="18"/>
          <w:szCs w:val="18"/>
          <w:lang w:val="nl-NL"/>
        </w:rPr>
        <w:t>l toch in overeenstemming is</w:t>
      </w:r>
      <w:r w:rsidRPr="00BB7074" w:rsidR="004B5F47">
        <w:rPr>
          <w:rFonts w:ascii="Verdana" w:hAnsi="Verdana"/>
          <w:sz w:val="18"/>
          <w:szCs w:val="18"/>
          <w:lang w:val="nl-NL"/>
        </w:rPr>
        <w:t xml:space="preserve"> met doel en strekking van het V</w:t>
      </w:r>
      <w:r w:rsidRPr="00BB7074" w:rsidR="00E837BD">
        <w:rPr>
          <w:rFonts w:ascii="Verdana" w:hAnsi="Verdana"/>
          <w:sz w:val="18"/>
          <w:szCs w:val="18"/>
          <w:lang w:val="nl-NL"/>
        </w:rPr>
        <w:t>erdrag.</w:t>
      </w:r>
    </w:p>
    <w:p w:rsidRPr="00BB7074" w:rsidR="00E837BD" w:rsidP="00327403" w:rsidRDefault="00E837BD" w14:paraId="56A92C14" w14:textId="0A7D8D04">
      <w:pPr>
        <w:rPr>
          <w:rFonts w:ascii="Verdana" w:hAnsi="Verdana"/>
          <w:sz w:val="18"/>
          <w:szCs w:val="18"/>
          <w:lang w:val="nl-NL"/>
        </w:rPr>
      </w:pPr>
      <w:r w:rsidRPr="00BB7074">
        <w:rPr>
          <w:rFonts w:ascii="Verdana" w:hAnsi="Verdana"/>
          <w:sz w:val="18"/>
          <w:szCs w:val="18"/>
          <w:lang w:val="nl-NL"/>
        </w:rPr>
        <w:t xml:space="preserve">Ook hier is op verzoek van de Nederlandse delegatie </w:t>
      </w:r>
      <w:r w:rsidRPr="00BB7074" w:rsidR="006971C3">
        <w:rPr>
          <w:rFonts w:ascii="Verdana" w:hAnsi="Verdana"/>
          <w:sz w:val="18"/>
          <w:szCs w:val="18"/>
          <w:lang w:val="nl-NL"/>
        </w:rPr>
        <w:t xml:space="preserve">een bepaling </w:t>
      </w:r>
      <w:r w:rsidRPr="00BB7074">
        <w:rPr>
          <w:rFonts w:ascii="Verdana" w:hAnsi="Verdana"/>
          <w:sz w:val="18"/>
          <w:szCs w:val="18"/>
          <w:lang w:val="nl-NL"/>
        </w:rPr>
        <w:t xml:space="preserve">opgenomen </w:t>
      </w:r>
      <w:r w:rsidRPr="00BB7074" w:rsidR="006971C3">
        <w:rPr>
          <w:rFonts w:ascii="Verdana" w:hAnsi="Verdana"/>
          <w:sz w:val="18"/>
          <w:szCs w:val="18"/>
          <w:lang w:val="nl-NL"/>
        </w:rPr>
        <w:t xml:space="preserve">op grond waarvan </w:t>
      </w:r>
      <w:r w:rsidRPr="00BB7074">
        <w:rPr>
          <w:rFonts w:ascii="Verdana" w:hAnsi="Verdana"/>
          <w:sz w:val="18"/>
          <w:szCs w:val="18"/>
          <w:lang w:val="nl-NL"/>
        </w:rPr>
        <w:t xml:space="preserve">de bevoegde </w:t>
      </w:r>
      <w:r w:rsidRPr="00BB7074" w:rsidR="00824EDC">
        <w:rPr>
          <w:rFonts w:ascii="Verdana" w:hAnsi="Verdana"/>
          <w:sz w:val="18"/>
          <w:szCs w:val="18"/>
          <w:lang w:val="nl-NL"/>
        </w:rPr>
        <w:t>autoriteit</w:t>
      </w:r>
      <w:r w:rsidRPr="00BB7074">
        <w:rPr>
          <w:rFonts w:ascii="Verdana" w:hAnsi="Verdana"/>
          <w:sz w:val="18"/>
          <w:szCs w:val="18"/>
          <w:lang w:val="nl-NL"/>
        </w:rPr>
        <w:t xml:space="preserve"> die de </w:t>
      </w:r>
      <w:r w:rsidRPr="00BB7074" w:rsidR="006971C3">
        <w:rPr>
          <w:rFonts w:ascii="Verdana" w:hAnsi="Verdana"/>
          <w:sz w:val="18"/>
          <w:szCs w:val="18"/>
          <w:lang w:val="nl-NL"/>
        </w:rPr>
        <w:t xml:space="preserve">PPT </w:t>
      </w:r>
      <w:r w:rsidRPr="00BB7074">
        <w:rPr>
          <w:rFonts w:ascii="Verdana" w:hAnsi="Verdana"/>
          <w:sz w:val="18"/>
          <w:szCs w:val="18"/>
          <w:lang w:val="nl-NL"/>
        </w:rPr>
        <w:t>wil toepassen eerst in overleg dien</w:t>
      </w:r>
      <w:r w:rsidRPr="00BB7074" w:rsidR="00581D6B">
        <w:rPr>
          <w:rFonts w:ascii="Verdana" w:hAnsi="Verdana"/>
          <w:sz w:val="18"/>
          <w:szCs w:val="18"/>
          <w:lang w:val="nl-NL"/>
        </w:rPr>
        <w:t>t</w:t>
      </w:r>
      <w:r w:rsidRPr="00BB7074">
        <w:rPr>
          <w:rFonts w:ascii="Verdana" w:hAnsi="Verdana"/>
          <w:sz w:val="18"/>
          <w:szCs w:val="18"/>
          <w:lang w:val="nl-NL"/>
        </w:rPr>
        <w:t xml:space="preserve"> te treden met de bevoegde autoriteit van de andere </w:t>
      </w:r>
      <w:r w:rsidRPr="00BB7074" w:rsidR="006971C3">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Pr>
          <w:rFonts w:ascii="Verdana" w:hAnsi="Verdana"/>
          <w:sz w:val="18"/>
          <w:szCs w:val="18"/>
          <w:lang w:val="nl-NL"/>
        </w:rPr>
        <w:t>. Ook hier hoeft er geen overeenstemming te bestaan alvorens de bepaling wordt toegepast</w:t>
      </w:r>
      <w:r w:rsidRPr="00BB7074" w:rsidR="00401DA7">
        <w:rPr>
          <w:rFonts w:ascii="Verdana" w:hAnsi="Verdana"/>
          <w:sz w:val="18"/>
          <w:szCs w:val="18"/>
          <w:lang w:val="nl-NL"/>
        </w:rPr>
        <w:t>,</w:t>
      </w:r>
      <w:r w:rsidRPr="00BB7074">
        <w:rPr>
          <w:rFonts w:ascii="Verdana" w:hAnsi="Verdana"/>
          <w:sz w:val="18"/>
          <w:szCs w:val="18"/>
          <w:lang w:val="nl-NL"/>
        </w:rPr>
        <w:t xml:space="preserve"> maar gelden dezelfde overwegingen als bij het vijfde lid.</w:t>
      </w:r>
    </w:p>
    <w:p w:rsidRPr="00BB7074" w:rsidR="00E837BD" w:rsidP="00327403" w:rsidRDefault="00622CF2" w14:paraId="0891B255" w14:textId="18B4FFEA">
      <w:pPr>
        <w:rPr>
          <w:rFonts w:ascii="Verdana" w:hAnsi="Verdana"/>
          <w:sz w:val="18"/>
          <w:szCs w:val="18"/>
          <w:lang w:val="nl-NL"/>
        </w:rPr>
      </w:pPr>
      <w:r w:rsidRPr="00BB7074">
        <w:rPr>
          <w:rFonts w:ascii="Verdana" w:hAnsi="Verdana"/>
          <w:sz w:val="18"/>
          <w:szCs w:val="18"/>
          <w:lang w:val="nl-NL"/>
        </w:rPr>
        <w:t>Het achtste lid kan in de praktijk dienen als verzachting van het zevende lid. Het bepaalt dat wanneer verdragsvoordelen op grond van het zevende lid worden geweigerd, de bevoegde autoriteiten op</w:t>
      </w:r>
      <w:r w:rsidRPr="00BB7074" w:rsidR="00997307">
        <w:rPr>
          <w:rFonts w:ascii="Verdana" w:hAnsi="Verdana"/>
          <w:sz w:val="18"/>
          <w:szCs w:val="18"/>
          <w:lang w:val="nl-NL"/>
        </w:rPr>
        <w:t xml:space="preserve"> </w:t>
      </w:r>
      <w:r w:rsidRPr="00BB7074">
        <w:rPr>
          <w:rFonts w:ascii="Verdana" w:hAnsi="Verdana"/>
          <w:sz w:val="18"/>
          <w:szCs w:val="18"/>
          <w:lang w:val="nl-NL"/>
        </w:rPr>
        <w:t xml:space="preserve">verzoek van de belastingplichtige toch nog mindere (of andere) verdragsvoordelen </w:t>
      </w:r>
      <w:r w:rsidRPr="00BB7074" w:rsidR="00997307">
        <w:rPr>
          <w:rFonts w:ascii="Verdana" w:hAnsi="Verdana"/>
          <w:sz w:val="18"/>
          <w:szCs w:val="18"/>
          <w:lang w:val="nl-NL"/>
        </w:rPr>
        <w:t xml:space="preserve">kunnen </w:t>
      </w:r>
      <w:r w:rsidRPr="00BB7074">
        <w:rPr>
          <w:rFonts w:ascii="Verdana" w:hAnsi="Verdana"/>
          <w:sz w:val="18"/>
          <w:szCs w:val="18"/>
          <w:lang w:val="nl-NL"/>
        </w:rPr>
        <w:t xml:space="preserve">toekennen wanneer die voordelen zonder de structuur of transactie zouden zijn toegekend. Hierbij is, ook </w:t>
      </w:r>
      <w:r w:rsidRPr="00BB7074" w:rsidR="007771ED">
        <w:rPr>
          <w:rFonts w:ascii="Verdana" w:hAnsi="Verdana"/>
          <w:sz w:val="18"/>
          <w:szCs w:val="18"/>
          <w:lang w:val="nl-NL"/>
        </w:rPr>
        <w:t>gelet op</w:t>
      </w:r>
      <w:r w:rsidRPr="00BB7074">
        <w:rPr>
          <w:rFonts w:ascii="Verdana" w:hAnsi="Verdana"/>
          <w:sz w:val="18"/>
          <w:szCs w:val="18"/>
          <w:lang w:val="nl-NL"/>
        </w:rPr>
        <w:t xml:space="preserve"> het comment</w:t>
      </w:r>
      <w:r w:rsidRPr="00BB7074" w:rsidR="00D90394">
        <w:rPr>
          <w:rFonts w:ascii="Verdana" w:hAnsi="Verdana"/>
          <w:sz w:val="18"/>
          <w:szCs w:val="18"/>
          <w:lang w:val="nl-NL"/>
        </w:rPr>
        <w:t>aar bij het OESO</w:t>
      </w:r>
      <w:r w:rsidRPr="00BB7074" w:rsidR="0080504F">
        <w:rPr>
          <w:rFonts w:ascii="Verdana" w:hAnsi="Verdana"/>
          <w:sz w:val="18"/>
          <w:szCs w:val="18"/>
          <w:lang w:val="nl-NL"/>
        </w:rPr>
        <w:t>-</w:t>
      </w:r>
      <w:r w:rsidRPr="00BB7074" w:rsidR="00C70480">
        <w:rPr>
          <w:rFonts w:ascii="Verdana" w:hAnsi="Verdana"/>
          <w:sz w:val="18"/>
          <w:szCs w:val="18"/>
          <w:lang w:val="nl-NL"/>
        </w:rPr>
        <w:t>modelverdrag</w:t>
      </w:r>
      <w:r w:rsidRPr="00BB7074" w:rsidR="00144D0B">
        <w:rPr>
          <w:rStyle w:val="FootnoteReference"/>
          <w:rFonts w:ascii="Verdana" w:hAnsi="Verdana"/>
          <w:sz w:val="18"/>
          <w:szCs w:val="18"/>
          <w:lang w:val="nl-NL"/>
        </w:rPr>
        <w:footnoteReference w:id="14"/>
      </w:r>
      <w:r w:rsidRPr="00BB7074" w:rsidR="00D90394">
        <w:rPr>
          <w:rFonts w:ascii="Verdana" w:hAnsi="Verdana"/>
          <w:sz w:val="18"/>
          <w:szCs w:val="18"/>
          <w:lang w:val="nl-NL"/>
        </w:rPr>
        <w:t xml:space="preserve">, </w:t>
      </w:r>
      <w:r w:rsidRPr="00BB7074">
        <w:rPr>
          <w:rFonts w:ascii="Verdana" w:hAnsi="Verdana"/>
          <w:sz w:val="18"/>
          <w:szCs w:val="18"/>
          <w:lang w:val="nl-NL"/>
        </w:rPr>
        <w:t xml:space="preserve">met name gedacht aan de situatie dat de aandelen in vennootschap A (inwoner van land A) worden gehouden door vennootschap B in land B. Het gaat </w:t>
      </w:r>
      <w:r w:rsidRPr="00BB7074" w:rsidR="007771ED">
        <w:rPr>
          <w:rFonts w:ascii="Verdana" w:hAnsi="Verdana"/>
          <w:sz w:val="18"/>
          <w:szCs w:val="18"/>
          <w:lang w:val="nl-NL"/>
        </w:rPr>
        <w:t xml:space="preserve">in deze situatie </w:t>
      </w:r>
      <w:r w:rsidRPr="00BB7074">
        <w:rPr>
          <w:rFonts w:ascii="Verdana" w:hAnsi="Verdana"/>
          <w:sz w:val="18"/>
          <w:szCs w:val="18"/>
          <w:lang w:val="nl-NL"/>
        </w:rPr>
        <w:t xml:space="preserve">om de toepassing van </w:t>
      </w:r>
      <w:r w:rsidRPr="00BB7074" w:rsidR="007771ED">
        <w:rPr>
          <w:rFonts w:ascii="Verdana" w:hAnsi="Verdana"/>
          <w:sz w:val="18"/>
          <w:szCs w:val="18"/>
          <w:lang w:val="nl-NL"/>
        </w:rPr>
        <w:t xml:space="preserve">(de voordelen van) </w:t>
      </w:r>
      <w:r w:rsidRPr="00BB7074">
        <w:rPr>
          <w:rFonts w:ascii="Verdana" w:hAnsi="Verdana"/>
          <w:sz w:val="18"/>
          <w:szCs w:val="18"/>
          <w:lang w:val="nl-NL"/>
        </w:rPr>
        <w:t xml:space="preserve">het verdrag tussen de landen A en B. De bevoegde autoriteiten komen tot de conclusie dat op deze structuur het zevende lid van toepassing is. De aandelen van vennootschap B worden echter voor 50% gehouden door een actieve vennootschap C (ook inwoner van land B) en voor 50% door een vennootschap in een land waarmee land A geen verdrag heeft. Het is dan redelijk voor 50% van het inkomen toch de verdragsvoordelen te geven. Ook hier is weer de bepaling opgenomen over voorafgaand overleg </w:t>
      </w:r>
      <w:r w:rsidRPr="00BB7074" w:rsidR="00401DA7">
        <w:rPr>
          <w:rFonts w:ascii="Verdana" w:hAnsi="Verdana"/>
          <w:sz w:val="18"/>
          <w:szCs w:val="18"/>
          <w:lang w:val="nl-NL"/>
        </w:rPr>
        <w:t xml:space="preserve">met </w:t>
      </w:r>
      <w:r w:rsidRPr="00BB7074">
        <w:rPr>
          <w:rFonts w:ascii="Verdana" w:hAnsi="Verdana"/>
          <w:sz w:val="18"/>
          <w:szCs w:val="18"/>
          <w:lang w:val="nl-NL"/>
        </w:rPr>
        <w:t>de bevoegde autoriteit</w:t>
      </w:r>
      <w:r w:rsidRPr="00BB7074" w:rsidR="00401DA7">
        <w:rPr>
          <w:rFonts w:ascii="Verdana" w:hAnsi="Verdana"/>
          <w:sz w:val="18"/>
          <w:szCs w:val="18"/>
          <w:lang w:val="nl-NL"/>
        </w:rPr>
        <w:t xml:space="preserve"> van de andere verdragsluitende staat indien de bevoegde autoriteit tot wie het verzoek is gericht overweegt het verzoek af te wijzen</w:t>
      </w:r>
      <w:r w:rsidRPr="00BB7074">
        <w:rPr>
          <w:rFonts w:ascii="Verdana" w:hAnsi="Verdana"/>
          <w:sz w:val="18"/>
          <w:szCs w:val="18"/>
          <w:lang w:val="nl-NL"/>
        </w:rPr>
        <w:t>.</w:t>
      </w:r>
    </w:p>
    <w:p w:rsidRPr="00BB7074" w:rsidR="00AA36F6" w:rsidP="00327403" w:rsidRDefault="00AA36F6" w14:paraId="1C397BD1" w14:textId="77777777">
      <w:pPr>
        <w:rPr>
          <w:rFonts w:ascii="Verdana" w:hAnsi="Verdana"/>
          <w:sz w:val="18"/>
          <w:szCs w:val="18"/>
          <w:lang w:val="nl-NL"/>
        </w:rPr>
      </w:pPr>
    </w:p>
    <w:p w:rsidRPr="00BB7074" w:rsidR="00307E15" w:rsidP="00B603B8" w:rsidRDefault="00936DF5" w14:paraId="78990698" w14:textId="7DFC7338">
      <w:pPr>
        <w:pStyle w:val="Heading2"/>
        <w:rPr>
          <w:lang w:val="nl-NL"/>
        </w:rPr>
      </w:pPr>
      <w:r w:rsidRPr="00BB7074">
        <w:rPr>
          <w:lang w:val="nl-NL"/>
        </w:rPr>
        <w:t xml:space="preserve">II.26. </w:t>
      </w:r>
      <w:r w:rsidRPr="00BB7074" w:rsidR="00CC56FB">
        <w:rPr>
          <w:lang w:val="nl-NL"/>
        </w:rPr>
        <w:t>Bijstand</w:t>
      </w:r>
      <w:r w:rsidRPr="00BB7074" w:rsidR="005F4CB5">
        <w:rPr>
          <w:lang w:val="nl-NL"/>
        </w:rPr>
        <w:t xml:space="preserve"> bij invordering</w:t>
      </w:r>
      <w:r w:rsidRPr="00BB7074" w:rsidR="00307E15">
        <w:rPr>
          <w:lang w:val="nl-NL"/>
        </w:rPr>
        <w:t xml:space="preserve"> </w:t>
      </w:r>
      <w:r w:rsidR="00A9054D">
        <w:rPr>
          <w:lang w:val="nl-NL"/>
        </w:rPr>
        <w:t>(artikel 26 van het Verdrag)</w:t>
      </w:r>
    </w:p>
    <w:p w:rsidRPr="00BB7074" w:rsidR="00972195" w:rsidP="00972195" w:rsidRDefault="00972195" w14:paraId="4DCC445C" w14:textId="1DF873EF">
      <w:pPr>
        <w:rPr>
          <w:rFonts w:ascii="Verdana" w:hAnsi="Verdana"/>
          <w:sz w:val="18"/>
          <w:szCs w:val="18"/>
          <w:lang w:val="nl-NL"/>
        </w:rPr>
      </w:pPr>
      <w:r w:rsidRPr="00BB7074">
        <w:rPr>
          <w:rFonts w:ascii="Verdana" w:hAnsi="Verdana"/>
          <w:sz w:val="18"/>
          <w:szCs w:val="18"/>
          <w:lang w:val="nl-NL"/>
        </w:rPr>
        <w:t>Artikel 2</w:t>
      </w:r>
      <w:r w:rsidRPr="00BB7074" w:rsidR="00CC56FB">
        <w:rPr>
          <w:rFonts w:ascii="Verdana" w:hAnsi="Verdana"/>
          <w:sz w:val="18"/>
          <w:szCs w:val="18"/>
          <w:lang w:val="nl-NL"/>
        </w:rPr>
        <w:t>6</w:t>
      </w:r>
      <w:r w:rsidRPr="00BB7074">
        <w:rPr>
          <w:rFonts w:ascii="Verdana" w:hAnsi="Verdana"/>
          <w:sz w:val="18"/>
          <w:szCs w:val="18"/>
          <w:lang w:val="nl-NL"/>
        </w:rPr>
        <w:t xml:space="preserve"> geeft regels voor de bijstand bij invordering van belastingvorderingen en komt grotendeels</w:t>
      </w:r>
      <w:r w:rsidRPr="00BB7074" w:rsidR="00CC56FB">
        <w:rPr>
          <w:rFonts w:ascii="Verdana" w:hAnsi="Verdana"/>
          <w:sz w:val="18"/>
          <w:szCs w:val="18"/>
          <w:lang w:val="nl-NL"/>
        </w:rPr>
        <w:t xml:space="preserve"> </w:t>
      </w:r>
      <w:r w:rsidRPr="00BB7074">
        <w:rPr>
          <w:rFonts w:ascii="Verdana" w:hAnsi="Verdana"/>
          <w:sz w:val="18"/>
          <w:szCs w:val="18"/>
          <w:lang w:val="nl-NL"/>
        </w:rPr>
        <w:t>overeen met artikel 27 van het OESO-modelverdrag.</w:t>
      </w:r>
    </w:p>
    <w:p w:rsidRPr="00BB7074" w:rsidR="00972195" w:rsidP="00972195" w:rsidRDefault="00972195" w14:paraId="21C9C89D" w14:textId="4F4CDD1F">
      <w:pPr>
        <w:rPr>
          <w:rFonts w:ascii="Verdana" w:hAnsi="Verdana"/>
          <w:sz w:val="18"/>
          <w:szCs w:val="18"/>
          <w:lang w:val="nl-NL"/>
        </w:rPr>
      </w:pPr>
      <w:r w:rsidRPr="00BB7074">
        <w:rPr>
          <w:rFonts w:ascii="Verdana" w:hAnsi="Verdana"/>
          <w:sz w:val="18"/>
          <w:szCs w:val="18"/>
          <w:lang w:val="nl-NL"/>
        </w:rPr>
        <w:t>Het eerste lid bevat de verplichting tot het verlenen van de bijstand. Net als het geval is bij de</w:t>
      </w:r>
      <w:r w:rsidRPr="00BB7074" w:rsidR="00D90394">
        <w:rPr>
          <w:rFonts w:ascii="Verdana" w:hAnsi="Verdana"/>
          <w:sz w:val="18"/>
          <w:szCs w:val="18"/>
          <w:lang w:val="nl-NL"/>
        </w:rPr>
        <w:t xml:space="preserve"> </w:t>
      </w:r>
      <w:r w:rsidRPr="00BB7074">
        <w:rPr>
          <w:rFonts w:ascii="Verdana" w:hAnsi="Verdana"/>
          <w:sz w:val="18"/>
          <w:szCs w:val="18"/>
          <w:lang w:val="nl-NL"/>
        </w:rPr>
        <w:t>uitwisseling van informatie, is de bijstand bij invordering niet beperkt tot inwoners van de</w:t>
      </w:r>
      <w:r w:rsidRPr="00BB7074" w:rsidR="00D90394">
        <w:rPr>
          <w:rFonts w:ascii="Verdana" w:hAnsi="Verdana"/>
          <w:sz w:val="18"/>
          <w:szCs w:val="18"/>
          <w:lang w:val="nl-NL"/>
        </w:rPr>
        <w:t xml:space="preserve"> </w:t>
      </w:r>
      <w:r w:rsidRPr="00BB7074">
        <w:rPr>
          <w:rFonts w:ascii="Verdana" w:hAnsi="Verdana"/>
          <w:sz w:val="18"/>
          <w:szCs w:val="18"/>
          <w:lang w:val="nl-NL"/>
        </w:rPr>
        <w:t>verdragsluitende staten en evenmin tot de belastingen waarop het Verdrag van toepassing is.</w:t>
      </w:r>
    </w:p>
    <w:p w:rsidRPr="00BB7074" w:rsidR="00972195" w:rsidP="00972195" w:rsidRDefault="00972195" w14:paraId="5649591F" w14:textId="0A91B2A4">
      <w:pPr>
        <w:rPr>
          <w:rFonts w:ascii="Verdana" w:hAnsi="Verdana"/>
          <w:sz w:val="18"/>
          <w:szCs w:val="18"/>
          <w:lang w:val="nl-NL"/>
        </w:rPr>
      </w:pPr>
      <w:r w:rsidRPr="00BB7074">
        <w:rPr>
          <w:rFonts w:ascii="Verdana" w:hAnsi="Verdana"/>
          <w:sz w:val="18"/>
          <w:szCs w:val="18"/>
          <w:lang w:val="nl-NL"/>
        </w:rPr>
        <w:t>Het tweede lid bepaalt wat voor de toepassing van dit artikel wordt verstaan onder een</w:t>
      </w:r>
      <w:r w:rsidRPr="00BB7074" w:rsidR="00D90394">
        <w:rPr>
          <w:rFonts w:ascii="Verdana" w:hAnsi="Verdana"/>
          <w:sz w:val="18"/>
          <w:szCs w:val="18"/>
          <w:lang w:val="nl-NL"/>
        </w:rPr>
        <w:t xml:space="preserve"> </w:t>
      </w:r>
      <w:r w:rsidRPr="00BB7074">
        <w:rPr>
          <w:rFonts w:ascii="Verdana" w:hAnsi="Verdana"/>
          <w:sz w:val="18"/>
          <w:szCs w:val="18"/>
          <w:lang w:val="nl-NL"/>
        </w:rPr>
        <w:t>‘belastingvordering’. Het gaat om belastingvorderingen met betrekking tot alle soorten belastingen,</w:t>
      </w:r>
      <w:r w:rsidRPr="00BB7074" w:rsidR="00D90394">
        <w:rPr>
          <w:rFonts w:ascii="Verdana" w:hAnsi="Verdana"/>
          <w:sz w:val="18"/>
          <w:szCs w:val="18"/>
          <w:lang w:val="nl-NL"/>
        </w:rPr>
        <w:t xml:space="preserve"> </w:t>
      </w:r>
      <w:r w:rsidRPr="00BB7074">
        <w:rPr>
          <w:rFonts w:ascii="Verdana" w:hAnsi="Verdana"/>
          <w:sz w:val="18"/>
          <w:szCs w:val="18"/>
          <w:lang w:val="nl-NL"/>
        </w:rPr>
        <w:t>met inbegrip van bijkomende kosten. Vorderingen die betrekking hebben op belastingen geheven op</w:t>
      </w:r>
      <w:r w:rsidRPr="00BB7074" w:rsidR="00D90394">
        <w:rPr>
          <w:rFonts w:ascii="Verdana" w:hAnsi="Verdana"/>
          <w:sz w:val="18"/>
          <w:szCs w:val="18"/>
          <w:lang w:val="nl-NL"/>
        </w:rPr>
        <w:t xml:space="preserve"> </w:t>
      </w:r>
      <w:r w:rsidRPr="00BB7074">
        <w:rPr>
          <w:rFonts w:ascii="Verdana" w:hAnsi="Verdana"/>
          <w:sz w:val="18"/>
          <w:szCs w:val="18"/>
          <w:lang w:val="nl-NL"/>
        </w:rPr>
        <w:t xml:space="preserve">een wijze die in strijd is met het Verdrag zelf of met andere verdragen waarbij de staten partij </w:t>
      </w:r>
      <w:r w:rsidRPr="00BB7074">
        <w:rPr>
          <w:rFonts w:ascii="Verdana" w:hAnsi="Verdana"/>
          <w:sz w:val="18"/>
          <w:szCs w:val="18"/>
          <w:lang w:val="nl-NL"/>
        </w:rPr>
        <w:lastRenderedPageBreak/>
        <w:t>zijn,</w:t>
      </w:r>
      <w:r w:rsidRPr="00BB7074" w:rsidR="00D90394">
        <w:rPr>
          <w:rFonts w:ascii="Verdana" w:hAnsi="Verdana"/>
          <w:sz w:val="18"/>
          <w:szCs w:val="18"/>
          <w:lang w:val="nl-NL"/>
        </w:rPr>
        <w:t xml:space="preserve"> </w:t>
      </w:r>
      <w:r w:rsidRPr="00BB7074">
        <w:rPr>
          <w:rFonts w:ascii="Verdana" w:hAnsi="Verdana"/>
          <w:sz w:val="18"/>
          <w:szCs w:val="18"/>
          <w:lang w:val="nl-NL"/>
        </w:rPr>
        <w:t>worden van de invorderingsbijstand uitgezonderd. Bijkomende kosten die onder de</w:t>
      </w:r>
      <w:r w:rsidRPr="00BB7074" w:rsidR="00D90394">
        <w:rPr>
          <w:rFonts w:ascii="Verdana" w:hAnsi="Verdana"/>
          <w:sz w:val="18"/>
          <w:szCs w:val="18"/>
          <w:lang w:val="nl-NL"/>
        </w:rPr>
        <w:t xml:space="preserve"> </w:t>
      </w:r>
      <w:r w:rsidRPr="00BB7074" w:rsidR="00165EDA">
        <w:rPr>
          <w:rFonts w:ascii="Verdana" w:hAnsi="Verdana"/>
          <w:sz w:val="18"/>
          <w:szCs w:val="18"/>
          <w:lang w:val="nl-NL"/>
        </w:rPr>
        <w:t>invorderingsbijstand vallen</w:t>
      </w:r>
      <w:r w:rsidRPr="00BB7074">
        <w:rPr>
          <w:rFonts w:ascii="Verdana" w:hAnsi="Verdana"/>
          <w:sz w:val="18"/>
          <w:szCs w:val="18"/>
          <w:lang w:val="nl-NL"/>
        </w:rPr>
        <w:t xml:space="preserve"> zijn interest, bestuursrechtelijke boetes en de kosten van invordering of</w:t>
      </w:r>
      <w:r w:rsidRPr="00BB7074" w:rsidR="00D90394">
        <w:rPr>
          <w:rFonts w:ascii="Verdana" w:hAnsi="Verdana"/>
          <w:sz w:val="18"/>
          <w:szCs w:val="18"/>
          <w:lang w:val="nl-NL"/>
        </w:rPr>
        <w:t xml:space="preserve"> </w:t>
      </w:r>
      <w:r w:rsidRPr="00BB7074">
        <w:rPr>
          <w:rFonts w:ascii="Verdana" w:hAnsi="Verdana"/>
          <w:sz w:val="18"/>
          <w:szCs w:val="18"/>
          <w:lang w:val="nl-NL"/>
        </w:rPr>
        <w:t>van conservatoire maatregelen.</w:t>
      </w:r>
    </w:p>
    <w:p w:rsidRPr="00BB7074" w:rsidR="00972195" w:rsidP="00972195" w:rsidRDefault="001B27C7" w14:paraId="1BDC3839" w14:textId="56A11FB4">
      <w:pPr>
        <w:rPr>
          <w:rFonts w:ascii="Verdana" w:hAnsi="Verdana"/>
          <w:sz w:val="18"/>
          <w:szCs w:val="18"/>
          <w:lang w:val="nl-NL"/>
        </w:rPr>
      </w:pPr>
      <w:r w:rsidRPr="00BB7074">
        <w:rPr>
          <w:rFonts w:ascii="Verdana" w:hAnsi="Verdana"/>
          <w:sz w:val="18"/>
          <w:szCs w:val="18"/>
          <w:lang w:val="nl-NL"/>
        </w:rPr>
        <w:t>H</w:t>
      </w:r>
      <w:r w:rsidRPr="00BB7074" w:rsidR="00972195">
        <w:rPr>
          <w:rFonts w:ascii="Verdana" w:hAnsi="Verdana"/>
          <w:sz w:val="18"/>
          <w:szCs w:val="18"/>
          <w:lang w:val="nl-NL"/>
        </w:rPr>
        <w:t xml:space="preserve">et derde lid </w:t>
      </w:r>
      <w:r w:rsidRPr="00BB7074">
        <w:rPr>
          <w:rFonts w:ascii="Verdana" w:hAnsi="Verdana"/>
          <w:sz w:val="18"/>
          <w:szCs w:val="18"/>
          <w:lang w:val="nl-NL"/>
        </w:rPr>
        <w:t>wijkt enigszins af van het OESO</w:t>
      </w:r>
      <w:r w:rsidRPr="00BB7074" w:rsidR="0080504F">
        <w:rPr>
          <w:rFonts w:ascii="Verdana" w:hAnsi="Verdana"/>
          <w:sz w:val="18"/>
          <w:szCs w:val="18"/>
          <w:lang w:val="nl-NL"/>
        </w:rPr>
        <w:t>-</w:t>
      </w:r>
      <w:r w:rsidRPr="00BB7074" w:rsidR="00C70480">
        <w:rPr>
          <w:rFonts w:ascii="Verdana" w:hAnsi="Verdana"/>
          <w:sz w:val="18"/>
          <w:szCs w:val="18"/>
          <w:lang w:val="nl-NL"/>
        </w:rPr>
        <w:t>modelverdrag</w:t>
      </w:r>
      <w:r w:rsidRPr="00BB7074">
        <w:rPr>
          <w:rFonts w:ascii="Verdana" w:hAnsi="Verdana"/>
          <w:sz w:val="18"/>
          <w:szCs w:val="18"/>
          <w:lang w:val="nl-NL"/>
        </w:rPr>
        <w:t xml:space="preserve">. Op grond van het derde lid geldt de verplichting tot bijstand uitsluitend </w:t>
      </w:r>
      <w:r w:rsidRPr="00BB7074" w:rsidR="00972195">
        <w:rPr>
          <w:rFonts w:ascii="Verdana" w:hAnsi="Verdana"/>
          <w:sz w:val="18"/>
          <w:szCs w:val="18"/>
          <w:lang w:val="nl-NL"/>
        </w:rPr>
        <w:t>wanneer een belastingvordering volgens de wetgeving van de</w:t>
      </w:r>
      <w:r w:rsidRPr="00BB7074">
        <w:rPr>
          <w:rFonts w:ascii="Verdana" w:hAnsi="Verdana"/>
          <w:sz w:val="18"/>
          <w:szCs w:val="18"/>
          <w:lang w:val="nl-NL"/>
        </w:rPr>
        <w:t xml:space="preserve"> verzoekende</w:t>
      </w:r>
      <w:r w:rsidRPr="00BB7074" w:rsidR="00972195">
        <w:rPr>
          <w:rFonts w:ascii="Verdana" w:hAnsi="Verdana"/>
          <w:sz w:val="18"/>
          <w:szCs w:val="18"/>
          <w:lang w:val="nl-NL"/>
        </w:rPr>
        <w:t xml:space="preserve"> </w:t>
      </w:r>
      <w:r w:rsidRPr="00BB7074" w:rsidR="008B5BF7">
        <w:rPr>
          <w:rFonts w:ascii="Verdana" w:hAnsi="Verdana"/>
          <w:sz w:val="18"/>
          <w:szCs w:val="18"/>
          <w:lang w:val="nl-NL"/>
        </w:rPr>
        <w:t>staat</w:t>
      </w:r>
      <w:r w:rsidRPr="00BB7074" w:rsidR="00972195">
        <w:rPr>
          <w:rFonts w:ascii="Verdana" w:hAnsi="Verdana"/>
          <w:sz w:val="18"/>
          <w:szCs w:val="18"/>
          <w:lang w:val="nl-NL"/>
        </w:rPr>
        <w:t xml:space="preserve"> kan worden ingevorderd </w:t>
      </w:r>
      <w:r w:rsidRPr="00BB7074">
        <w:rPr>
          <w:rFonts w:ascii="Verdana" w:hAnsi="Verdana"/>
          <w:sz w:val="18"/>
          <w:szCs w:val="18"/>
          <w:lang w:val="nl-NL"/>
        </w:rPr>
        <w:t xml:space="preserve">en niet wordt bestreden. Voor belastingschulden van niet-inwoners geldt bovendien de voorwaarde dat </w:t>
      </w:r>
      <w:r w:rsidRPr="00BB7074" w:rsidR="00972195">
        <w:rPr>
          <w:rFonts w:ascii="Verdana" w:hAnsi="Verdana"/>
          <w:sz w:val="18"/>
          <w:szCs w:val="18"/>
          <w:lang w:val="nl-NL"/>
        </w:rPr>
        <w:t>aan</w:t>
      </w:r>
      <w:r w:rsidRPr="00BB7074" w:rsidR="00D90394">
        <w:rPr>
          <w:rFonts w:ascii="Verdana" w:hAnsi="Verdana"/>
          <w:sz w:val="18"/>
          <w:szCs w:val="18"/>
          <w:lang w:val="nl-NL"/>
        </w:rPr>
        <w:t xml:space="preserve"> </w:t>
      </w:r>
      <w:r w:rsidRPr="00BB7074" w:rsidR="00972195">
        <w:rPr>
          <w:rFonts w:ascii="Verdana" w:hAnsi="Verdana"/>
          <w:sz w:val="18"/>
          <w:szCs w:val="18"/>
          <w:lang w:val="nl-NL"/>
        </w:rPr>
        <w:t>een belastingschuldige geen (rechts)middelen meer ter beschikking staan om de invordering tegen te</w:t>
      </w:r>
      <w:r w:rsidRPr="00BB7074" w:rsidR="00D90394">
        <w:rPr>
          <w:rFonts w:ascii="Verdana" w:hAnsi="Verdana"/>
          <w:sz w:val="18"/>
          <w:szCs w:val="18"/>
          <w:lang w:val="nl-NL"/>
        </w:rPr>
        <w:t xml:space="preserve"> </w:t>
      </w:r>
      <w:r w:rsidRPr="00BB7074" w:rsidR="00972195">
        <w:rPr>
          <w:rFonts w:ascii="Verdana" w:hAnsi="Verdana"/>
          <w:sz w:val="18"/>
          <w:szCs w:val="18"/>
          <w:lang w:val="nl-NL"/>
        </w:rPr>
        <w:t>houden.</w:t>
      </w:r>
    </w:p>
    <w:p w:rsidRPr="00BB7074" w:rsidR="00972195" w:rsidP="00972195" w:rsidRDefault="00972195" w14:paraId="1D8000B1" w14:textId="15D8C0C5">
      <w:pPr>
        <w:rPr>
          <w:rFonts w:ascii="Verdana" w:hAnsi="Verdana"/>
          <w:sz w:val="18"/>
          <w:szCs w:val="18"/>
          <w:lang w:val="nl-NL"/>
        </w:rPr>
      </w:pPr>
      <w:r w:rsidRPr="00BB7074">
        <w:rPr>
          <w:rFonts w:ascii="Verdana" w:hAnsi="Verdana"/>
          <w:sz w:val="18"/>
          <w:szCs w:val="18"/>
          <w:lang w:val="nl-NL"/>
        </w:rPr>
        <w:t xml:space="preserve">Het vierde lid ziet op het nemen van conservatoire maatregelen. De aangezochte </w:t>
      </w:r>
      <w:r w:rsidRPr="00BB7074" w:rsidR="008B5BF7">
        <w:rPr>
          <w:rFonts w:ascii="Verdana" w:hAnsi="Verdana"/>
          <w:sz w:val="18"/>
          <w:szCs w:val="18"/>
          <w:lang w:val="nl-NL"/>
        </w:rPr>
        <w:t>staat</w:t>
      </w:r>
      <w:r w:rsidRPr="00BB7074">
        <w:rPr>
          <w:rFonts w:ascii="Verdana" w:hAnsi="Verdana"/>
          <w:sz w:val="18"/>
          <w:szCs w:val="18"/>
          <w:lang w:val="nl-NL"/>
        </w:rPr>
        <w:t xml:space="preserve"> dient</w:t>
      </w:r>
      <w:r w:rsidRPr="00BB7074" w:rsidR="00D90394">
        <w:rPr>
          <w:rFonts w:ascii="Verdana" w:hAnsi="Verdana"/>
          <w:sz w:val="18"/>
          <w:szCs w:val="18"/>
          <w:lang w:val="nl-NL"/>
        </w:rPr>
        <w:t xml:space="preserve"> </w:t>
      </w:r>
      <w:r w:rsidRPr="00BB7074">
        <w:rPr>
          <w:rFonts w:ascii="Verdana" w:hAnsi="Verdana"/>
          <w:sz w:val="18"/>
          <w:szCs w:val="18"/>
          <w:lang w:val="nl-NL"/>
        </w:rPr>
        <w:t>voor de invordering van een buitenlandse belastingschuld dezelfde conservatoire maatregelen te</w:t>
      </w:r>
      <w:r w:rsidRPr="00BB7074" w:rsidR="00D90394">
        <w:rPr>
          <w:rFonts w:ascii="Verdana" w:hAnsi="Verdana"/>
          <w:sz w:val="18"/>
          <w:szCs w:val="18"/>
          <w:lang w:val="nl-NL"/>
        </w:rPr>
        <w:t xml:space="preserve"> </w:t>
      </w:r>
      <w:r w:rsidRPr="00BB7074">
        <w:rPr>
          <w:rFonts w:ascii="Verdana" w:hAnsi="Verdana"/>
          <w:sz w:val="18"/>
          <w:szCs w:val="18"/>
          <w:lang w:val="nl-NL"/>
        </w:rPr>
        <w:t xml:space="preserve">nemen die deze </w:t>
      </w:r>
      <w:r w:rsidRPr="00BB7074" w:rsidR="008B5BF7">
        <w:rPr>
          <w:rFonts w:ascii="Verdana" w:hAnsi="Verdana"/>
          <w:sz w:val="18"/>
          <w:szCs w:val="18"/>
          <w:lang w:val="nl-NL"/>
        </w:rPr>
        <w:t>staat</w:t>
      </w:r>
      <w:r w:rsidRPr="00BB7074">
        <w:rPr>
          <w:rFonts w:ascii="Verdana" w:hAnsi="Verdana"/>
          <w:sz w:val="18"/>
          <w:szCs w:val="18"/>
          <w:lang w:val="nl-NL"/>
        </w:rPr>
        <w:t xml:space="preserve"> zou nemen voor de invordering van een binnenlandse schuld. De aangezochte</w:t>
      </w:r>
      <w:r w:rsidRPr="00BB7074" w:rsidR="00D90394">
        <w:rPr>
          <w:rFonts w:ascii="Verdana" w:hAnsi="Verdana"/>
          <w:sz w:val="18"/>
          <w:szCs w:val="18"/>
          <w:lang w:val="nl-NL"/>
        </w:rPr>
        <w:t xml:space="preserve"> </w:t>
      </w:r>
      <w:r w:rsidRPr="00BB7074" w:rsidR="008B5BF7">
        <w:rPr>
          <w:rFonts w:ascii="Verdana" w:hAnsi="Verdana"/>
          <w:sz w:val="18"/>
          <w:szCs w:val="18"/>
          <w:lang w:val="nl-NL"/>
        </w:rPr>
        <w:t>staat</w:t>
      </w:r>
      <w:r w:rsidRPr="00BB7074">
        <w:rPr>
          <w:rFonts w:ascii="Verdana" w:hAnsi="Verdana"/>
          <w:sz w:val="18"/>
          <w:szCs w:val="18"/>
          <w:lang w:val="nl-NL"/>
        </w:rPr>
        <w:t xml:space="preserve"> moet een verzoek om conservatoire maatregelen te nemen inwilligen, ook al is de</w:t>
      </w:r>
      <w:r w:rsidRPr="00BB7074" w:rsidR="00D90394">
        <w:rPr>
          <w:rFonts w:ascii="Verdana" w:hAnsi="Verdana"/>
          <w:sz w:val="18"/>
          <w:szCs w:val="18"/>
          <w:lang w:val="nl-NL"/>
        </w:rPr>
        <w:t xml:space="preserve"> </w:t>
      </w:r>
      <w:r w:rsidRPr="00BB7074">
        <w:rPr>
          <w:rFonts w:ascii="Verdana" w:hAnsi="Verdana"/>
          <w:sz w:val="18"/>
          <w:szCs w:val="18"/>
          <w:lang w:val="nl-NL"/>
        </w:rPr>
        <w:t>belastingschuld nog niet invorderbaar of nog vatbaar voor bezwaar en beroep.</w:t>
      </w:r>
    </w:p>
    <w:p w:rsidRPr="00BB7074" w:rsidR="00972195" w:rsidP="00972195" w:rsidRDefault="00972195" w14:paraId="03EA3D2B" w14:textId="4EBC3683">
      <w:pPr>
        <w:rPr>
          <w:rFonts w:ascii="Verdana" w:hAnsi="Verdana"/>
          <w:sz w:val="18"/>
          <w:szCs w:val="18"/>
          <w:lang w:val="nl-NL"/>
        </w:rPr>
      </w:pPr>
      <w:r w:rsidRPr="00BB7074">
        <w:rPr>
          <w:rFonts w:ascii="Verdana" w:hAnsi="Verdana"/>
          <w:sz w:val="18"/>
          <w:szCs w:val="18"/>
          <w:lang w:val="nl-NL"/>
        </w:rPr>
        <w:t>Het vijfde lid bevat twee voorbehouden op het in het derde en vierde lid neergelegde verzoek</w:t>
      </w:r>
      <w:r w:rsidRPr="00BB7074" w:rsidR="00D90394">
        <w:rPr>
          <w:rFonts w:ascii="Verdana" w:hAnsi="Verdana"/>
          <w:sz w:val="18"/>
          <w:szCs w:val="18"/>
          <w:lang w:val="nl-NL"/>
        </w:rPr>
        <w:t xml:space="preserve"> </w:t>
      </w:r>
      <w:r w:rsidRPr="00BB7074">
        <w:rPr>
          <w:rFonts w:ascii="Verdana" w:hAnsi="Verdana"/>
          <w:sz w:val="18"/>
          <w:szCs w:val="18"/>
          <w:lang w:val="nl-NL"/>
        </w:rPr>
        <w:t xml:space="preserve">voor de aangezochte </w:t>
      </w:r>
      <w:r w:rsidRPr="00BB7074" w:rsidR="008B5BF7">
        <w:rPr>
          <w:rFonts w:ascii="Verdana" w:hAnsi="Verdana"/>
          <w:sz w:val="18"/>
          <w:szCs w:val="18"/>
          <w:lang w:val="nl-NL"/>
        </w:rPr>
        <w:t>staat</w:t>
      </w:r>
      <w:r w:rsidRPr="00BB7074">
        <w:rPr>
          <w:rFonts w:ascii="Verdana" w:hAnsi="Verdana"/>
          <w:sz w:val="18"/>
          <w:szCs w:val="18"/>
          <w:lang w:val="nl-NL"/>
        </w:rPr>
        <w:t xml:space="preserve"> om de buitenlandse belastingschuld in te vorderen als ware het een</w:t>
      </w:r>
      <w:r w:rsidRPr="00BB7074" w:rsidR="00D90394">
        <w:rPr>
          <w:rFonts w:ascii="Verdana" w:hAnsi="Verdana"/>
          <w:sz w:val="18"/>
          <w:szCs w:val="18"/>
          <w:lang w:val="nl-NL"/>
        </w:rPr>
        <w:t xml:space="preserve"> </w:t>
      </w:r>
      <w:r w:rsidRPr="00BB7074">
        <w:rPr>
          <w:rFonts w:ascii="Verdana" w:hAnsi="Verdana"/>
          <w:sz w:val="18"/>
          <w:szCs w:val="18"/>
          <w:lang w:val="nl-NL"/>
        </w:rPr>
        <w:t>binnenlandse belastingschuld. Ten eerste gelden de nationale regels met betrekking tot verjaring van</w:t>
      </w:r>
      <w:r w:rsidRPr="00BB7074" w:rsidR="00D90394">
        <w:rPr>
          <w:rFonts w:ascii="Verdana" w:hAnsi="Verdana"/>
          <w:sz w:val="18"/>
          <w:szCs w:val="18"/>
          <w:lang w:val="nl-NL"/>
        </w:rPr>
        <w:t xml:space="preserve"> </w:t>
      </w:r>
      <w:r w:rsidRPr="00BB7074">
        <w:rPr>
          <w:rFonts w:ascii="Verdana" w:hAnsi="Verdana"/>
          <w:sz w:val="18"/>
          <w:szCs w:val="18"/>
          <w:lang w:val="nl-NL"/>
        </w:rPr>
        <w:t>de invordering van belastingschulden niet voor belastingvorderingen</w:t>
      </w:r>
      <w:r w:rsidRPr="00BB7074" w:rsidR="000A6379">
        <w:rPr>
          <w:rFonts w:ascii="Verdana" w:hAnsi="Verdana"/>
          <w:sz w:val="18"/>
          <w:szCs w:val="18"/>
          <w:lang w:val="nl-NL"/>
        </w:rPr>
        <w:t xml:space="preserve"> van de verzoekende </w:t>
      </w:r>
      <w:r w:rsidRPr="00BB7074" w:rsidR="008B5BF7">
        <w:rPr>
          <w:rFonts w:ascii="Verdana" w:hAnsi="Verdana"/>
          <w:sz w:val="18"/>
          <w:szCs w:val="18"/>
          <w:lang w:val="nl-NL"/>
        </w:rPr>
        <w:t>staat</w:t>
      </w:r>
      <w:r w:rsidRPr="00BB7074">
        <w:rPr>
          <w:rFonts w:ascii="Verdana" w:hAnsi="Verdana"/>
          <w:sz w:val="18"/>
          <w:szCs w:val="18"/>
          <w:lang w:val="nl-NL"/>
        </w:rPr>
        <w:t>. Ten tweede is</w:t>
      </w:r>
      <w:r w:rsidRPr="00BB7074" w:rsidR="00D90394">
        <w:rPr>
          <w:rFonts w:ascii="Verdana" w:hAnsi="Verdana"/>
          <w:sz w:val="18"/>
          <w:szCs w:val="18"/>
          <w:lang w:val="nl-NL"/>
        </w:rPr>
        <w:t xml:space="preserve"> </w:t>
      </w:r>
      <w:r w:rsidRPr="00BB7074">
        <w:rPr>
          <w:rFonts w:ascii="Verdana" w:hAnsi="Verdana"/>
          <w:sz w:val="18"/>
          <w:szCs w:val="18"/>
          <w:lang w:val="nl-NL"/>
        </w:rPr>
        <w:t>bepaald dat aan buitenlandse belastingvorderingen geen voorrang wordt verleend. In het vijfde lid is</w:t>
      </w:r>
      <w:r w:rsidRPr="00BB7074" w:rsidR="00D90394">
        <w:rPr>
          <w:rFonts w:ascii="Verdana" w:hAnsi="Verdana"/>
          <w:sz w:val="18"/>
          <w:szCs w:val="18"/>
          <w:lang w:val="nl-NL"/>
        </w:rPr>
        <w:t xml:space="preserve"> </w:t>
      </w:r>
      <w:r w:rsidRPr="00BB7074">
        <w:rPr>
          <w:rFonts w:ascii="Verdana" w:hAnsi="Verdana"/>
          <w:sz w:val="18"/>
          <w:szCs w:val="18"/>
          <w:lang w:val="nl-NL"/>
        </w:rPr>
        <w:t>verder toegevoegd dat invordering niet kan worden geëffectueerd door middel van inhechtenisneming.</w:t>
      </w:r>
    </w:p>
    <w:p w:rsidRPr="00BB7074" w:rsidR="00972195" w:rsidP="00972195" w:rsidRDefault="00972195" w14:paraId="0C1AAF75" w14:textId="235F4715">
      <w:pPr>
        <w:rPr>
          <w:rFonts w:ascii="Verdana" w:hAnsi="Verdana"/>
          <w:sz w:val="18"/>
          <w:szCs w:val="18"/>
          <w:lang w:val="nl-NL"/>
        </w:rPr>
      </w:pPr>
      <w:r w:rsidRPr="00BB7074">
        <w:rPr>
          <w:rFonts w:ascii="Verdana" w:hAnsi="Verdana"/>
          <w:sz w:val="18"/>
          <w:szCs w:val="18"/>
          <w:lang w:val="nl-NL"/>
        </w:rPr>
        <w:t>Ingevolge het zesde lid kunnen procedures inzake het bestaan, de geldigheid of het bedrag</w:t>
      </w:r>
      <w:r w:rsidRPr="00BB7074" w:rsidR="00D90394">
        <w:rPr>
          <w:rFonts w:ascii="Verdana" w:hAnsi="Verdana"/>
          <w:sz w:val="18"/>
          <w:szCs w:val="18"/>
          <w:lang w:val="nl-NL"/>
        </w:rPr>
        <w:t xml:space="preserve"> </w:t>
      </w:r>
      <w:r w:rsidRPr="00BB7074">
        <w:rPr>
          <w:rFonts w:ascii="Verdana" w:hAnsi="Verdana"/>
          <w:sz w:val="18"/>
          <w:szCs w:val="18"/>
          <w:lang w:val="nl-NL"/>
        </w:rPr>
        <w:t xml:space="preserve">van een belastingvordering van een verzoekende </w:t>
      </w:r>
      <w:r w:rsidRPr="00BB7074" w:rsidR="008B5BF7">
        <w:rPr>
          <w:rFonts w:ascii="Verdana" w:hAnsi="Verdana"/>
          <w:sz w:val="18"/>
          <w:szCs w:val="18"/>
          <w:lang w:val="nl-NL"/>
        </w:rPr>
        <w:t>staat</w:t>
      </w:r>
      <w:r w:rsidRPr="00BB7074">
        <w:rPr>
          <w:rFonts w:ascii="Verdana" w:hAnsi="Verdana"/>
          <w:sz w:val="18"/>
          <w:szCs w:val="18"/>
          <w:lang w:val="nl-NL"/>
        </w:rPr>
        <w:t xml:space="preserve"> niet voor een rechterlijke of </w:t>
      </w:r>
      <w:r w:rsidRPr="00BB7074" w:rsidR="00D90394">
        <w:rPr>
          <w:rFonts w:ascii="Verdana" w:hAnsi="Verdana"/>
          <w:sz w:val="18"/>
          <w:szCs w:val="18"/>
          <w:lang w:val="nl-NL"/>
        </w:rPr>
        <w:t>b</w:t>
      </w:r>
      <w:r w:rsidRPr="00BB7074">
        <w:rPr>
          <w:rFonts w:ascii="Verdana" w:hAnsi="Verdana"/>
          <w:sz w:val="18"/>
          <w:szCs w:val="18"/>
          <w:lang w:val="nl-NL"/>
        </w:rPr>
        <w:t>estuursrechtelijke</w:t>
      </w:r>
      <w:r w:rsidRPr="00BB7074" w:rsidR="00D90394">
        <w:rPr>
          <w:rFonts w:ascii="Verdana" w:hAnsi="Verdana"/>
          <w:sz w:val="18"/>
          <w:szCs w:val="18"/>
          <w:lang w:val="nl-NL"/>
        </w:rPr>
        <w:t xml:space="preserve"> </w:t>
      </w:r>
      <w:r w:rsidRPr="00BB7074">
        <w:rPr>
          <w:rFonts w:ascii="Verdana" w:hAnsi="Verdana"/>
          <w:sz w:val="18"/>
          <w:szCs w:val="18"/>
          <w:lang w:val="nl-NL"/>
        </w:rPr>
        <w:t xml:space="preserve">instantie van de aangezochte </w:t>
      </w:r>
      <w:r w:rsidRPr="00BB7074" w:rsidR="008B5BF7">
        <w:rPr>
          <w:rFonts w:ascii="Verdana" w:hAnsi="Verdana"/>
          <w:sz w:val="18"/>
          <w:szCs w:val="18"/>
          <w:lang w:val="nl-NL"/>
        </w:rPr>
        <w:t>staat</w:t>
      </w:r>
      <w:r w:rsidRPr="00BB7074">
        <w:rPr>
          <w:rFonts w:ascii="Verdana" w:hAnsi="Verdana"/>
          <w:sz w:val="18"/>
          <w:szCs w:val="18"/>
          <w:lang w:val="nl-NL"/>
        </w:rPr>
        <w:t xml:space="preserve"> worden gebracht.</w:t>
      </w:r>
    </w:p>
    <w:p w:rsidRPr="00BB7074" w:rsidR="00972195" w:rsidP="00972195" w:rsidRDefault="00972195" w14:paraId="48893F3A" w14:textId="00A99547">
      <w:pPr>
        <w:rPr>
          <w:rFonts w:ascii="Verdana" w:hAnsi="Verdana"/>
          <w:sz w:val="18"/>
          <w:szCs w:val="18"/>
          <w:lang w:val="nl-NL"/>
        </w:rPr>
      </w:pPr>
      <w:r w:rsidRPr="00BB7074">
        <w:rPr>
          <w:rFonts w:ascii="Verdana" w:hAnsi="Verdana"/>
          <w:sz w:val="18"/>
          <w:szCs w:val="18"/>
          <w:lang w:val="nl-NL"/>
        </w:rPr>
        <w:t>Uit het zevende lid volgt dat wanneer niet langer is voldaan aan de voorwaarden voor het</w:t>
      </w:r>
      <w:r w:rsidRPr="00BB7074" w:rsidR="00D90394">
        <w:rPr>
          <w:rFonts w:ascii="Verdana" w:hAnsi="Verdana"/>
          <w:sz w:val="18"/>
          <w:szCs w:val="18"/>
          <w:lang w:val="nl-NL"/>
        </w:rPr>
        <w:t xml:space="preserve"> </w:t>
      </w:r>
      <w:r w:rsidRPr="00BB7074">
        <w:rPr>
          <w:rFonts w:ascii="Verdana" w:hAnsi="Verdana"/>
          <w:sz w:val="18"/>
          <w:szCs w:val="18"/>
          <w:lang w:val="nl-NL"/>
        </w:rPr>
        <w:t xml:space="preserve">doen van een verzoek tot invordering, bijvoorbeeld omdat een vordering niet langer invorderbaar is in de verzoekende </w:t>
      </w:r>
      <w:r w:rsidRPr="00BB7074" w:rsidR="008B5BF7">
        <w:rPr>
          <w:rFonts w:ascii="Verdana" w:hAnsi="Verdana"/>
          <w:sz w:val="18"/>
          <w:szCs w:val="18"/>
          <w:lang w:val="nl-NL"/>
        </w:rPr>
        <w:t>staat</w:t>
      </w:r>
      <w:r w:rsidRPr="00BB7074">
        <w:rPr>
          <w:rFonts w:ascii="Verdana" w:hAnsi="Verdana"/>
          <w:sz w:val="18"/>
          <w:szCs w:val="18"/>
          <w:lang w:val="nl-NL"/>
        </w:rPr>
        <w:t xml:space="preserve">, de verzoekende </w:t>
      </w:r>
      <w:r w:rsidRPr="00BB7074" w:rsidR="008B5BF7">
        <w:rPr>
          <w:rFonts w:ascii="Verdana" w:hAnsi="Verdana"/>
          <w:sz w:val="18"/>
          <w:szCs w:val="18"/>
          <w:lang w:val="nl-NL"/>
        </w:rPr>
        <w:t>staat</w:t>
      </w:r>
      <w:r w:rsidRPr="00BB7074">
        <w:rPr>
          <w:rFonts w:ascii="Verdana" w:hAnsi="Verdana"/>
          <w:sz w:val="18"/>
          <w:szCs w:val="18"/>
          <w:lang w:val="nl-NL"/>
        </w:rPr>
        <w:t xml:space="preserve"> de aangezochte </w:t>
      </w:r>
      <w:r w:rsidRPr="00BB7074" w:rsidR="008B5BF7">
        <w:rPr>
          <w:rFonts w:ascii="Verdana" w:hAnsi="Verdana"/>
          <w:sz w:val="18"/>
          <w:szCs w:val="18"/>
          <w:lang w:val="nl-NL"/>
        </w:rPr>
        <w:t>staat</w:t>
      </w:r>
      <w:r w:rsidRPr="00BB7074">
        <w:rPr>
          <w:rFonts w:ascii="Verdana" w:hAnsi="Verdana"/>
          <w:sz w:val="18"/>
          <w:szCs w:val="18"/>
          <w:lang w:val="nl-NL"/>
        </w:rPr>
        <w:t xml:space="preserve"> onverwijld op de hoogte dient te</w:t>
      </w:r>
      <w:r w:rsidRPr="00BB7074" w:rsidR="00D90394">
        <w:rPr>
          <w:rFonts w:ascii="Verdana" w:hAnsi="Verdana"/>
          <w:sz w:val="18"/>
          <w:szCs w:val="18"/>
          <w:lang w:val="nl-NL"/>
        </w:rPr>
        <w:t xml:space="preserve"> </w:t>
      </w:r>
      <w:r w:rsidRPr="00BB7074">
        <w:rPr>
          <w:rFonts w:ascii="Verdana" w:hAnsi="Verdana"/>
          <w:sz w:val="18"/>
          <w:szCs w:val="18"/>
          <w:lang w:val="nl-NL"/>
        </w:rPr>
        <w:t>brengen van deze gewijzigde omstandigheden.</w:t>
      </w:r>
    </w:p>
    <w:p w:rsidRPr="00BB7074" w:rsidR="00972195" w:rsidP="00972195" w:rsidRDefault="00972195" w14:paraId="6EE95C9D" w14:textId="5B9949B4">
      <w:pPr>
        <w:rPr>
          <w:rFonts w:ascii="Verdana" w:hAnsi="Verdana"/>
          <w:sz w:val="18"/>
          <w:szCs w:val="18"/>
          <w:lang w:val="nl-NL"/>
        </w:rPr>
      </w:pPr>
      <w:r w:rsidRPr="00BB7074">
        <w:rPr>
          <w:rFonts w:ascii="Verdana" w:hAnsi="Verdana"/>
          <w:sz w:val="18"/>
          <w:szCs w:val="18"/>
          <w:lang w:val="nl-NL"/>
        </w:rPr>
        <w:t>In het achtste lid is een aantal beperkingen opgenomen ten aanzien van de verplichting van</w:t>
      </w:r>
      <w:r w:rsidRPr="00BB7074" w:rsidR="00D90394">
        <w:rPr>
          <w:rFonts w:ascii="Verdana" w:hAnsi="Verdana"/>
          <w:sz w:val="18"/>
          <w:szCs w:val="18"/>
          <w:lang w:val="nl-NL"/>
        </w:rPr>
        <w:t xml:space="preserve"> </w:t>
      </w:r>
      <w:r w:rsidRPr="00BB7074">
        <w:rPr>
          <w:rFonts w:ascii="Verdana" w:hAnsi="Verdana"/>
          <w:sz w:val="18"/>
          <w:szCs w:val="18"/>
          <w:lang w:val="nl-NL"/>
        </w:rPr>
        <w:t xml:space="preserve">de aangezochte </w:t>
      </w:r>
      <w:r w:rsidRPr="00BB7074" w:rsidR="008B5BF7">
        <w:rPr>
          <w:rFonts w:ascii="Verdana" w:hAnsi="Verdana"/>
          <w:sz w:val="18"/>
          <w:szCs w:val="18"/>
          <w:lang w:val="nl-NL"/>
        </w:rPr>
        <w:t>staat</w:t>
      </w:r>
      <w:r w:rsidRPr="00BB7074">
        <w:rPr>
          <w:rFonts w:ascii="Verdana" w:hAnsi="Verdana"/>
          <w:sz w:val="18"/>
          <w:szCs w:val="18"/>
          <w:lang w:val="nl-NL"/>
        </w:rPr>
        <w:t xml:space="preserve"> om aan een bijstandsverzoek van de verzoekende </w:t>
      </w:r>
      <w:r w:rsidRPr="00BB7074" w:rsidR="008B5BF7">
        <w:rPr>
          <w:rFonts w:ascii="Verdana" w:hAnsi="Verdana"/>
          <w:sz w:val="18"/>
          <w:szCs w:val="18"/>
          <w:lang w:val="nl-NL"/>
        </w:rPr>
        <w:t>staat</w:t>
      </w:r>
      <w:r w:rsidRPr="00BB7074">
        <w:rPr>
          <w:rFonts w:ascii="Verdana" w:hAnsi="Verdana"/>
          <w:sz w:val="18"/>
          <w:szCs w:val="18"/>
          <w:lang w:val="nl-NL"/>
        </w:rPr>
        <w:t xml:space="preserve"> te voldoen.</w:t>
      </w:r>
      <w:r w:rsidRPr="00BB7074" w:rsidR="00306B78">
        <w:rPr>
          <w:rFonts w:ascii="Verdana" w:hAnsi="Verdana"/>
          <w:sz w:val="18"/>
          <w:szCs w:val="18"/>
          <w:lang w:val="nl-NL"/>
        </w:rPr>
        <w:t xml:space="preserve"> Deze uitzonderingen zorgen ervoor dat een verdragsluitende </w:t>
      </w:r>
      <w:r w:rsidRPr="00BB7074" w:rsidR="008B5BF7">
        <w:rPr>
          <w:rFonts w:ascii="Verdana" w:hAnsi="Verdana"/>
          <w:sz w:val="18"/>
          <w:szCs w:val="18"/>
          <w:lang w:val="nl-NL"/>
        </w:rPr>
        <w:t>staat</w:t>
      </w:r>
      <w:r w:rsidRPr="00BB7074" w:rsidR="00306B78">
        <w:rPr>
          <w:rFonts w:ascii="Verdana" w:hAnsi="Verdana"/>
          <w:sz w:val="18"/>
          <w:szCs w:val="18"/>
          <w:lang w:val="nl-NL"/>
        </w:rPr>
        <w:t xml:space="preserve"> niet verplicht is om:</w:t>
      </w:r>
    </w:p>
    <w:p w:rsidRPr="00BB7074" w:rsidR="00306B78" w:rsidP="00306B78" w:rsidRDefault="00306B78" w14:paraId="554D1B3E" w14:textId="7154E7A0">
      <w:pPr>
        <w:pStyle w:val="ListParagraph"/>
        <w:numPr>
          <w:ilvl w:val="0"/>
          <w:numId w:val="24"/>
        </w:numPr>
        <w:spacing w:after="0" w:line="360" w:lineRule="auto"/>
        <w:ind w:left="851" w:hanging="425"/>
        <w:contextualSpacing w:val="0"/>
        <w:rPr>
          <w:rFonts w:ascii="Verdana" w:hAnsi="Verdana" w:cs="Arial"/>
          <w:sz w:val="18"/>
          <w:szCs w:val="18"/>
        </w:rPr>
      </w:pPr>
      <w:r w:rsidRPr="00BB7074">
        <w:rPr>
          <w:rFonts w:ascii="Verdana" w:hAnsi="Verdana" w:cs="Arial"/>
          <w:sz w:val="18"/>
          <w:szCs w:val="18"/>
        </w:rPr>
        <w:t xml:space="preserve">bestuurlijke maatregelen te nemen die in strijd zijn met de wetgeving of bestuurlijke praktijk van die of van de andere verdragsluitende </w:t>
      </w:r>
      <w:r w:rsidRPr="00BB7074" w:rsidR="008B5BF7">
        <w:rPr>
          <w:rFonts w:ascii="Verdana" w:hAnsi="Verdana" w:cs="Arial"/>
          <w:sz w:val="18"/>
          <w:szCs w:val="18"/>
        </w:rPr>
        <w:t>staat</w:t>
      </w:r>
      <w:r w:rsidRPr="00BB7074">
        <w:rPr>
          <w:rFonts w:ascii="Verdana" w:hAnsi="Verdana" w:cs="Arial"/>
          <w:sz w:val="18"/>
          <w:szCs w:val="18"/>
        </w:rPr>
        <w:t>;</w:t>
      </w:r>
    </w:p>
    <w:p w:rsidRPr="00BB7074" w:rsidR="00306B78" w:rsidP="00306B78" w:rsidRDefault="00306B78" w14:paraId="479AE116" w14:textId="77777777">
      <w:pPr>
        <w:pStyle w:val="ListParagraph"/>
        <w:numPr>
          <w:ilvl w:val="0"/>
          <w:numId w:val="24"/>
        </w:numPr>
        <w:spacing w:after="0" w:line="360" w:lineRule="auto"/>
        <w:ind w:left="851" w:hanging="425"/>
        <w:contextualSpacing w:val="0"/>
        <w:rPr>
          <w:rFonts w:ascii="Verdana" w:hAnsi="Verdana" w:cs="Arial"/>
          <w:sz w:val="18"/>
          <w:szCs w:val="18"/>
        </w:rPr>
      </w:pPr>
      <w:r w:rsidRPr="00BB7074">
        <w:rPr>
          <w:rFonts w:ascii="Verdana" w:hAnsi="Verdana" w:cs="Arial"/>
          <w:sz w:val="18"/>
          <w:szCs w:val="18"/>
        </w:rPr>
        <w:t>maatregelen te nemen die in strijd zouden zijn met de openbare orde (</w:t>
      </w:r>
      <w:proofErr w:type="spellStart"/>
      <w:r w:rsidRPr="00BB7074">
        <w:rPr>
          <w:rFonts w:ascii="Verdana" w:hAnsi="Verdana" w:cs="Arial"/>
          <w:sz w:val="18"/>
          <w:szCs w:val="18"/>
        </w:rPr>
        <w:t>ordre</w:t>
      </w:r>
      <w:proofErr w:type="spellEnd"/>
      <w:r w:rsidRPr="00BB7074">
        <w:rPr>
          <w:rFonts w:ascii="Verdana" w:hAnsi="Verdana" w:cs="Arial"/>
          <w:sz w:val="18"/>
          <w:szCs w:val="18"/>
        </w:rPr>
        <w:t xml:space="preserve"> public);</w:t>
      </w:r>
    </w:p>
    <w:p w:rsidRPr="00BB7074" w:rsidR="00306B78" w:rsidP="00306B78" w:rsidRDefault="00306B78" w14:paraId="44797FF9" w14:textId="76D8C4D8">
      <w:pPr>
        <w:pStyle w:val="ListParagraph"/>
        <w:numPr>
          <w:ilvl w:val="0"/>
          <w:numId w:val="24"/>
        </w:numPr>
        <w:spacing w:after="0" w:line="360" w:lineRule="auto"/>
        <w:ind w:left="851" w:hanging="425"/>
        <w:contextualSpacing w:val="0"/>
        <w:rPr>
          <w:rFonts w:ascii="Verdana" w:hAnsi="Verdana" w:cs="Arial"/>
          <w:sz w:val="18"/>
          <w:szCs w:val="18"/>
        </w:rPr>
      </w:pPr>
      <w:r w:rsidRPr="00BB7074">
        <w:rPr>
          <w:rFonts w:ascii="Verdana" w:hAnsi="Verdana" w:cs="Arial"/>
          <w:sz w:val="18"/>
          <w:szCs w:val="18"/>
        </w:rPr>
        <w:t xml:space="preserve">bijstand te verlenen indien de andere verdragsluitende </w:t>
      </w:r>
      <w:r w:rsidRPr="00BB7074" w:rsidR="008B5BF7">
        <w:rPr>
          <w:rFonts w:ascii="Verdana" w:hAnsi="Verdana" w:cs="Arial"/>
          <w:sz w:val="18"/>
          <w:szCs w:val="18"/>
        </w:rPr>
        <w:t>staat</w:t>
      </w:r>
      <w:r w:rsidRPr="00BB7074">
        <w:rPr>
          <w:rFonts w:ascii="Verdana" w:hAnsi="Verdana" w:cs="Arial"/>
          <w:sz w:val="18"/>
          <w:szCs w:val="18"/>
        </w:rPr>
        <w:t xml:space="preserve"> niet alle redelijke invorderings- of conservatoire maatregelen heeft aangewend die hem naargelang van het geval uit hoofde van zijn wetgeving of bestuurlijke praktijk, ter beschikking staan;</w:t>
      </w:r>
    </w:p>
    <w:p w:rsidRPr="00BB7074" w:rsidR="00306B78" w:rsidP="00306B78" w:rsidRDefault="00306B78" w14:paraId="280273C5" w14:textId="6DC4137C">
      <w:pPr>
        <w:pStyle w:val="ListParagraph"/>
        <w:numPr>
          <w:ilvl w:val="0"/>
          <w:numId w:val="24"/>
        </w:numPr>
        <w:spacing w:after="0" w:line="360" w:lineRule="auto"/>
        <w:ind w:left="851" w:hanging="425"/>
        <w:contextualSpacing w:val="0"/>
        <w:rPr>
          <w:rFonts w:ascii="Verdana" w:hAnsi="Verdana" w:cs="Arial"/>
          <w:sz w:val="18"/>
          <w:szCs w:val="18"/>
        </w:rPr>
      </w:pPr>
      <w:r w:rsidRPr="00BB7074">
        <w:rPr>
          <w:rFonts w:ascii="Verdana" w:hAnsi="Verdana" w:cs="Arial"/>
          <w:sz w:val="18"/>
          <w:szCs w:val="18"/>
        </w:rPr>
        <w:t xml:space="preserve">bijstand te verlenen in gevallen waarin de administratieve last voor die </w:t>
      </w:r>
      <w:r w:rsidRPr="00BB7074" w:rsidR="008B5BF7">
        <w:rPr>
          <w:rFonts w:ascii="Verdana" w:hAnsi="Verdana" w:cs="Arial"/>
          <w:sz w:val="18"/>
          <w:szCs w:val="18"/>
        </w:rPr>
        <w:t>staat</w:t>
      </w:r>
      <w:r w:rsidRPr="00BB7074">
        <w:rPr>
          <w:rFonts w:ascii="Verdana" w:hAnsi="Verdana" w:cs="Arial"/>
          <w:sz w:val="18"/>
          <w:szCs w:val="18"/>
        </w:rPr>
        <w:t xml:space="preserve"> duidelijk in verhouding onevenredig is met het voordeel te behalen door de andere verdragsluitende </w:t>
      </w:r>
      <w:r w:rsidRPr="00BB7074" w:rsidR="008B5BF7">
        <w:rPr>
          <w:rFonts w:ascii="Verdana" w:hAnsi="Verdana" w:cs="Arial"/>
          <w:sz w:val="18"/>
          <w:szCs w:val="18"/>
        </w:rPr>
        <w:t>staat</w:t>
      </w:r>
      <w:r w:rsidRPr="00BB7074">
        <w:rPr>
          <w:rFonts w:ascii="Verdana" w:hAnsi="Verdana" w:cs="Arial"/>
          <w:sz w:val="18"/>
          <w:szCs w:val="18"/>
        </w:rPr>
        <w:t>.</w:t>
      </w:r>
    </w:p>
    <w:p w:rsidRPr="00BB7074" w:rsidR="002F0BBD" w:rsidP="00B603B8" w:rsidRDefault="00936DF5" w14:paraId="24AC81E0" w14:textId="39FBB317">
      <w:pPr>
        <w:pStyle w:val="Heading2"/>
        <w:rPr>
          <w:lang w:val="nl-NL"/>
        </w:rPr>
      </w:pPr>
      <w:r w:rsidRPr="00BB7074">
        <w:rPr>
          <w:lang w:val="nl-NL"/>
        </w:rPr>
        <w:t xml:space="preserve">II.27. </w:t>
      </w:r>
      <w:r w:rsidRPr="00BB7074" w:rsidR="005F4CB5">
        <w:rPr>
          <w:lang w:val="nl-NL"/>
        </w:rPr>
        <w:t>Leden van diplomatieke missies en consulaten</w:t>
      </w:r>
      <w:r w:rsidRPr="00BB7074" w:rsidR="00307E15">
        <w:rPr>
          <w:lang w:val="nl-NL"/>
        </w:rPr>
        <w:t xml:space="preserve"> </w:t>
      </w:r>
      <w:r w:rsidR="00A9054D">
        <w:rPr>
          <w:lang w:val="nl-NL"/>
        </w:rPr>
        <w:t>(artikel 27 van het Verdrag)</w:t>
      </w:r>
    </w:p>
    <w:p w:rsidRPr="00BB7074" w:rsidR="002F0BBD" w:rsidP="00327403" w:rsidRDefault="006D35BD" w14:paraId="1CF98497" w14:textId="403FABA8">
      <w:pPr>
        <w:rPr>
          <w:rFonts w:ascii="Verdana" w:hAnsi="Verdana"/>
          <w:sz w:val="18"/>
          <w:szCs w:val="18"/>
          <w:lang w:val="nl-NL"/>
        </w:rPr>
      </w:pPr>
      <w:r w:rsidRPr="00BB7074">
        <w:rPr>
          <w:rFonts w:ascii="Verdana" w:hAnsi="Verdana"/>
          <w:sz w:val="18"/>
          <w:szCs w:val="18"/>
          <w:lang w:val="nl-NL"/>
        </w:rPr>
        <w:t xml:space="preserve">Artikel 27 </w:t>
      </w:r>
      <w:r w:rsidRPr="00BB7074" w:rsidR="0099021D">
        <w:rPr>
          <w:rFonts w:ascii="Verdana" w:hAnsi="Verdana"/>
          <w:sz w:val="18"/>
          <w:szCs w:val="18"/>
          <w:lang w:val="nl-NL"/>
        </w:rPr>
        <w:t xml:space="preserve">van het Verdrag </w:t>
      </w:r>
      <w:r w:rsidRPr="00BB7074">
        <w:rPr>
          <w:rFonts w:ascii="Verdana" w:hAnsi="Verdana"/>
          <w:sz w:val="18"/>
          <w:szCs w:val="18"/>
          <w:lang w:val="nl-NL"/>
        </w:rPr>
        <w:t xml:space="preserve">ziet op de toepassing van het Verdrag in relatie tot leden van een diplomatieke </w:t>
      </w:r>
      <w:r w:rsidRPr="00BB7074" w:rsidR="00970B2D">
        <w:rPr>
          <w:rFonts w:ascii="Verdana" w:hAnsi="Verdana"/>
          <w:sz w:val="18"/>
          <w:szCs w:val="18"/>
          <w:lang w:val="nl-NL"/>
        </w:rPr>
        <w:t xml:space="preserve">vertegenwoordiging </w:t>
      </w:r>
      <w:r w:rsidRPr="00BB7074">
        <w:rPr>
          <w:rFonts w:ascii="Verdana" w:hAnsi="Verdana"/>
          <w:sz w:val="18"/>
          <w:szCs w:val="18"/>
          <w:lang w:val="nl-NL"/>
        </w:rPr>
        <w:t>of consulaire</w:t>
      </w:r>
      <w:r w:rsidR="00970B2D">
        <w:rPr>
          <w:rFonts w:ascii="Verdana" w:hAnsi="Verdana"/>
          <w:sz w:val="18"/>
          <w:szCs w:val="18"/>
          <w:lang w:val="nl-NL"/>
        </w:rPr>
        <w:t xml:space="preserve"> post</w:t>
      </w:r>
      <w:r w:rsidRPr="00BB7074">
        <w:rPr>
          <w:rFonts w:ascii="Verdana" w:hAnsi="Verdana"/>
          <w:sz w:val="18"/>
          <w:szCs w:val="18"/>
          <w:lang w:val="nl-NL"/>
        </w:rPr>
        <w:t xml:space="preserve">. Het eerste lid bepaalt, conform artikel 28 </w:t>
      </w:r>
      <w:r w:rsidRPr="00BB7074">
        <w:rPr>
          <w:rFonts w:ascii="Verdana" w:hAnsi="Verdana"/>
          <w:sz w:val="18"/>
          <w:szCs w:val="18"/>
          <w:lang w:val="nl-NL"/>
        </w:rPr>
        <w:lastRenderedPageBreak/>
        <w:t xml:space="preserve">van het OESO-modelverdrag, dat fiscale voorrechten toegekend aan leden van een diplomatieke </w:t>
      </w:r>
      <w:r w:rsidRPr="00BB7074" w:rsidR="00970B2D">
        <w:rPr>
          <w:rFonts w:ascii="Verdana" w:hAnsi="Verdana"/>
          <w:sz w:val="18"/>
          <w:szCs w:val="18"/>
          <w:lang w:val="nl-NL"/>
        </w:rPr>
        <w:t xml:space="preserve">vertegenwoordiging </w:t>
      </w:r>
      <w:r w:rsidRPr="00BB7074">
        <w:rPr>
          <w:rFonts w:ascii="Verdana" w:hAnsi="Verdana"/>
          <w:sz w:val="18"/>
          <w:szCs w:val="18"/>
          <w:lang w:val="nl-NL"/>
        </w:rPr>
        <w:t xml:space="preserve">of consulaire </w:t>
      </w:r>
      <w:r w:rsidR="00970B2D">
        <w:rPr>
          <w:rFonts w:ascii="Verdana" w:hAnsi="Verdana"/>
          <w:sz w:val="18"/>
          <w:szCs w:val="18"/>
          <w:lang w:val="nl-NL"/>
        </w:rPr>
        <w:t xml:space="preserve">post </w:t>
      </w:r>
      <w:r w:rsidRPr="00BB7074">
        <w:rPr>
          <w:rFonts w:ascii="Verdana" w:hAnsi="Verdana"/>
          <w:sz w:val="18"/>
          <w:szCs w:val="18"/>
          <w:lang w:val="nl-NL"/>
        </w:rPr>
        <w:t>op grond van internationaal recht of internationale overeenkomsten niet worden aangetast door het onderhavige Verdrag.</w:t>
      </w:r>
    </w:p>
    <w:p w:rsidRPr="00BB7074" w:rsidR="003D52A0" w:rsidP="00327403" w:rsidRDefault="003D52A0" w14:paraId="7B91C23C" w14:textId="65A930BC">
      <w:pPr>
        <w:rPr>
          <w:rFonts w:ascii="Verdana" w:hAnsi="Verdana"/>
          <w:sz w:val="18"/>
          <w:szCs w:val="18"/>
          <w:lang w:val="nl-NL"/>
        </w:rPr>
      </w:pPr>
      <w:r w:rsidRPr="00BB7074">
        <w:rPr>
          <w:rFonts w:ascii="Verdana" w:hAnsi="Verdana"/>
          <w:sz w:val="18"/>
          <w:szCs w:val="18"/>
          <w:lang w:val="nl-NL"/>
        </w:rPr>
        <w:t xml:space="preserve">Het tweede lid regelt dat leden van een diplomatieke </w:t>
      </w:r>
      <w:r w:rsidRPr="00BB7074" w:rsidR="00970B2D">
        <w:rPr>
          <w:rFonts w:ascii="Verdana" w:hAnsi="Verdana"/>
          <w:sz w:val="18"/>
          <w:szCs w:val="18"/>
          <w:lang w:val="nl-NL"/>
        </w:rPr>
        <w:t xml:space="preserve">vertegenwoordiging </w:t>
      </w:r>
      <w:r w:rsidRPr="00BB7074">
        <w:rPr>
          <w:rFonts w:ascii="Verdana" w:hAnsi="Verdana"/>
          <w:sz w:val="18"/>
          <w:szCs w:val="18"/>
          <w:lang w:val="nl-NL"/>
        </w:rPr>
        <w:t xml:space="preserve">of consulaire </w:t>
      </w:r>
      <w:r w:rsidR="00970B2D">
        <w:rPr>
          <w:rFonts w:ascii="Verdana" w:hAnsi="Verdana"/>
          <w:sz w:val="18"/>
          <w:szCs w:val="18"/>
          <w:lang w:val="nl-NL"/>
        </w:rPr>
        <w:t xml:space="preserve">post </w:t>
      </w:r>
      <w:r w:rsidRPr="00BB7074">
        <w:rPr>
          <w:rFonts w:ascii="Verdana" w:hAnsi="Verdana"/>
          <w:sz w:val="18"/>
          <w:szCs w:val="18"/>
          <w:lang w:val="nl-NL"/>
        </w:rPr>
        <w:t xml:space="preserve">van de ene </w:t>
      </w:r>
      <w:r w:rsidRPr="00BB7074" w:rsidR="009F30D9">
        <w:rPr>
          <w:rFonts w:ascii="Verdana" w:hAnsi="Verdana"/>
          <w:sz w:val="18"/>
          <w:szCs w:val="18"/>
          <w:lang w:val="nl-NL"/>
        </w:rPr>
        <w:t>v</w:t>
      </w:r>
      <w:r w:rsidRPr="00BB7074">
        <w:rPr>
          <w:rFonts w:ascii="Verdana" w:hAnsi="Verdana"/>
          <w:sz w:val="18"/>
          <w:szCs w:val="18"/>
          <w:lang w:val="nl-NL"/>
        </w:rPr>
        <w:t xml:space="preserve">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die in die </w:t>
      </w:r>
      <w:r w:rsidRPr="00BB7074" w:rsidR="008B5BF7">
        <w:rPr>
          <w:rFonts w:ascii="Verdana" w:hAnsi="Verdana"/>
          <w:sz w:val="18"/>
          <w:szCs w:val="18"/>
          <w:lang w:val="nl-NL"/>
        </w:rPr>
        <w:t>staat</w:t>
      </w:r>
      <w:r w:rsidRPr="00BB7074">
        <w:rPr>
          <w:rFonts w:ascii="Verdana" w:hAnsi="Verdana"/>
          <w:sz w:val="18"/>
          <w:szCs w:val="18"/>
          <w:lang w:val="nl-NL"/>
        </w:rPr>
        <w:t xml:space="preserve"> als inwoner belast (blijven) worden en die onderdaan van die </w:t>
      </w:r>
      <w:r w:rsidRPr="00BB7074" w:rsidR="008B5BF7">
        <w:rPr>
          <w:rFonts w:ascii="Verdana" w:hAnsi="Verdana"/>
          <w:sz w:val="18"/>
          <w:szCs w:val="18"/>
          <w:lang w:val="nl-NL"/>
        </w:rPr>
        <w:t>staat</w:t>
      </w:r>
      <w:r w:rsidRPr="00BB7074">
        <w:rPr>
          <w:rFonts w:ascii="Verdana" w:hAnsi="Verdana"/>
          <w:sz w:val="18"/>
          <w:szCs w:val="18"/>
          <w:lang w:val="nl-NL"/>
        </w:rPr>
        <w:t xml:space="preserve"> zijn, ook voor de toepassing van dit Verdrag als inwoner van die </w:t>
      </w:r>
      <w:r w:rsidRPr="00BB7074" w:rsidR="008B5BF7">
        <w:rPr>
          <w:rFonts w:ascii="Verdana" w:hAnsi="Verdana"/>
          <w:sz w:val="18"/>
          <w:szCs w:val="18"/>
          <w:lang w:val="nl-NL"/>
        </w:rPr>
        <w:t>staat</w:t>
      </w:r>
      <w:r w:rsidRPr="00BB7074">
        <w:rPr>
          <w:rFonts w:ascii="Verdana" w:hAnsi="Verdana"/>
          <w:sz w:val="18"/>
          <w:szCs w:val="18"/>
          <w:lang w:val="nl-NL"/>
        </w:rPr>
        <w:t xml:space="preserve"> worden beschouwd.</w:t>
      </w:r>
    </w:p>
    <w:p w:rsidRPr="00BB7074" w:rsidR="003D52A0" w:rsidP="00327403" w:rsidRDefault="003D52A0" w14:paraId="141A6730" w14:textId="26BF7AEF">
      <w:pPr>
        <w:rPr>
          <w:rFonts w:ascii="Verdana" w:hAnsi="Verdana"/>
          <w:sz w:val="18"/>
          <w:szCs w:val="18"/>
          <w:lang w:val="nl-NL"/>
        </w:rPr>
      </w:pPr>
      <w:r w:rsidRPr="00BB7074">
        <w:rPr>
          <w:rFonts w:ascii="Verdana" w:hAnsi="Verdana"/>
          <w:sz w:val="18"/>
          <w:szCs w:val="18"/>
          <w:lang w:val="nl-NL"/>
        </w:rPr>
        <w:t>Het derde lid bepaalt dat het Verdrag niet van toepassing is op internationale organisatie</w:t>
      </w:r>
      <w:r w:rsidRPr="00BB7074" w:rsidR="00140C37">
        <w:rPr>
          <w:rFonts w:ascii="Verdana" w:hAnsi="Verdana"/>
          <w:sz w:val="18"/>
          <w:szCs w:val="18"/>
          <w:lang w:val="nl-NL"/>
        </w:rPr>
        <w:t>s</w:t>
      </w:r>
      <w:r w:rsidRPr="00BB7074">
        <w:rPr>
          <w:rFonts w:ascii="Verdana" w:hAnsi="Verdana"/>
          <w:sz w:val="18"/>
          <w:szCs w:val="18"/>
          <w:lang w:val="nl-NL"/>
        </w:rPr>
        <w:t xml:space="preserve"> noch op leden daarvan of op leden van een diplomatieke </w:t>
      </w:r>
      <w:r w:rsidRPr="00BB7074" w:rsidR="00970B2D">
        <w:rPr>
          <w:rFonts w:ascii="Verdana" w:hAnsi="Verdana"/>
          <w:sz w:val="18"/>
          <w:szCs w:val="18"/>
          <w:lang w:val="nl-NL"/>
        </w:rPr>
        <w:t xml:space="preserve">vertegenwoordiging </w:t>
      </w:r>
      <w:r w:rsidRPr="00BB7074">
        <w:rPr>
          <w:rFonts w:ascii="Verdana" w:hAnsi="Verdana"/>
          <w:sz w:val="18"/>
          <w:szCs w:val="18"/>
          <w:lang w:val="nl-NL"/>
        </w:rPr>
        <w:t xml:space="preserve">of consulaire </w:t>
      </w:r>
      <w:r w:rsidR="00970B2D">
        <w:rPr>
          <w:rFonts w:ascii="Verdana" w:hAnsi="Verdana"/>
          <w:sz w:val="18"/>
          <w:szCs w:val="18"/>
          <w:lang w:val="nl-NL"/>
        </w:rPr>
        <w:t xml:space="preserve">post </w:t>
      </w:r>
      <w:r w:rsidRPr="00BB7074">
        <w:rPr>
          <w:rFonts w:ascii="Verdana" w:hAnsi="Verdana"/>
          <w:sz w:val="18"/>
          <w:szCs w:val="18"/>
          <w:lang w:val="nl-NL"/>
        </w:rPr>
        <w:t xml:space="preserve">van een derde </w:t>
      </w:r>
      <w:r w:rsidRPr="00BB7074" w:rsidR="008B5BF7">
        <w:rPr>
          <w:rFonts w:ascii="Verdana" w:hAnsi="Verdana"/>
          <w:sz w:val="18"/>
          <w:szCs w:val="18"/>
          <w:lang w:val="nl-NL"/>
        </w:rPr>
        <w:t>staat</w:t>
      </w:r>
      <w:r w:rsidRPr="00BB7074">
        <w:rPr>
          <w:rFonts w:ascii="Verdana" w:hAnsi="Verdana"/>
          <w:sz w:val="18"/>
          <w:szCs w:val="18"/>
          <w:lang w:val="nl-NL"/>
        </w:rPr>
        <w:t xml:space="preserve"> die aanwezig zijn in een </w:t>
      </w:r>
      <w:r w:rsidRPr="00BB7074" w:rsidR="004B5F47">
        <w:rPr>
          <w:rFonts w:ascii="Verdana" w:hAnsi="Verdana"/>
          <w:sz w:val="18"/>
          <w:szCs w:val="18"/>
          <w:lang w:val="nl-NL"/>
        </w:rPr>
        <w:t>v</w:t>
      </w:r>
      <w:r w:rsidRPr="00BB7074">
        <w:rPr>
          <w:rFonts w:ascii="Verdana" w:hAnsi="Verdana"/>
          <w:sz w:val="18"/>
          <w:szCs w:val="18"/>
          <w:lang w:val="nl-NL"/>
        </w:rPr>
        <w:t xml:space="preserve">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indien zij niet aan dezelfde belastingen zijn onderworpen als (andere) inwoners van die </w:t>
      </w:r>
      <w:r w:rsidRPr="00BB7074" w:rsidR="004B5F47">
        <w:rPr>
          <w:rFonts w:ascii="Verdana" w:hAnsi="Verdana"/>
          <w:sz w:val="18"/>
          <w:szCs w:val="18"/>
          <w:lang w:val="nl-NL"/>
        </w:rPr>
        <w:t>v</w:t>
      </w:r>
      <w:r w:rsidRPr="00BB7074">
        <w:rPr>
          <w:rFonts w:ascii="Verdana" w:hAnsi="Verdana"/>
          <w:sz w:val="18"/>
          <w:szCs w:val="18"/>
          <w:lang w:val="nl-NL"/>
        </w:rPr>
        <w:t xml:space="preserve">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t>
      </w:r>
    </w:p>
    <w:p w:rsidRPr="00BB7074" w:rsidR="00307E15" w:rsidP="00B603B8" w:rsidRDefault="00936DF5" w14:paraId="6B2AB308" w14:textId="1ADBE61D">
      <w:pPr>
        <w:pStyle w:val="Heading2"/>
        <w:rPr>
          <w:lang w:val="nl-NL"/>
        </w:rPr>
      </w:pPr>
      <w:r w:rsidRPr="00BB7074">
        <w:rPr>
          <w:lang w:val="nl-NL"/>
        </w:rPr>
        <w:t xml:space="preserve">II.28. </w:t>
      </w:r>
      <w:r w:rsidRPr="00BB7074" w:rsidR="00307E15">
        <w:rPr>
          <w:lang w:val="nl-NL"/>
        </w:rPr>
        <w:t xml:space="preserve">Territoriale </w:t>
      </w:r>
      <w:r w:rsidRPr="003A025B" w:rsidR="00307E15">
        <w:rPr>
          <w:lang w:val="nl-NL"/>
        </w:rPr>
        <w:t>uitbreiding</w:t>
      </w:r>
      <w:r w:rsidR="00A9054D">
        <w:rPr>
          <w:lang w:val="nl-NL"/>
        </w:rPr>
        <w:t xml:space="preserve"> (artikel 28 van het Verdrag)</w:t>
      </w:r>
    </w:p>
    <w:p w:rsidRPr="00BB7074" w:rsidR="00972195" w:rsidP="00972195" w:rsidRDefault="00972195" w14:paraId="0871EB63" w14:textId="71BA994E">
      <w:pPr>
        <w:rPr>
          <w:rFonts w:ascii="Verdana" w:hAnsi="Verdana"/>
          <w:sz w:val="18"/>
          <w:szCs w:val="18"/>
          <w:lang w:val="nl-NL"/>
        </w:rPr>
      </w:pPr>
      <w:r w:rsidRPr="00BB7074">
        <w:rPr>
          <w:rFonts w:ascii="Verdana" w:hAnsi="Verdana"/>
          <w:sz w:val="18"/>
          <w:szCs w:val="18"/>
          <w:lang w:val="nl-NL"/>
        </w:rPr>
        <w:t>Het Verdrag is op grond van artikel 3</w:t>
      </w:r>
      <w:r w:rsidRPr="00BB7074" w:rsidR="00BA480B">
        <w:rPr>
          <w:rFonts w:ascii="Verdana" w:hAnsi="Verdana"/>
          <w:sz w:val="18"/>
          <w:szCs w:val="18"/>
          <w:lang w:val="nl-NL"/>
        </w:rPr>
        <w:t>, eerste lid, onderdeel a</w:t>
      </w:r>
      <w:r w:rsidRPr="00BB7074">
        <w:rPr>
          <w:rFonts w:ascii="Verdana" w:hAnsi="Verdana"/>
          <w:sz w:val="18"/>
          <w:szCs w:val="18"/>
          <w:lang w:val="nl-NL"/>
        </w:rPr>
        <w:t xml:space="preserve"> enkel van toepassing op het Europese deel van Nederland. Het eerste lid </w:t>
      </w:r>
      <w:r w:rsidRPr="00BB7074" w:rsidR="00BA480B">
        <w:rPr>
          <w:rFonts w:ascii="Verdana" w:hAnsi="Verdana"/>
          <w:sz w:val="18"/>
          <w:szCs w:val="18"/>
          <w:lang w:val="nl-NL"/>
        </w:rPr>
        <w:t xml:space="preserve">van </w:t>
      </w:r>
      <w:r w:rsidRPr="00BB7074" w:rsidR="0099021D">
        <w:rPr>
          <w:rFonts w:ascii="Verdana" w:hAnsi="Verdana"/>
          <w:sz w:val="18"/>
          <w:szCs w:val="18"/>
          <w:lang w:val="nl-NL"/>
        </w:rPr>
        <w:t>a</w:t>
      </w:r>
      <w:r w:rsidRPr="00BB7074" w:rsidR="00BA480B">
        <w:rPr>
          <w:rFonts w:ascii="Verdana" w:hAnsi="Verdana"/>
          <w:sz w:val="18"/>
          <w:szCs w:val="18"/>
          <w:lang w:val="nl-NL"/>
        </w:rPr>
        <w:t xml:space="preserve">rtikel 28 </w:t>
      </w:r>
      <w:r w:rsidRPr="00BB7074">
        <w:rPr>
          <w:rFonts w:ascii="Verdana" w:hAnsi="Verdana"/>
          <w:sz w:val="18"/>
          <w:szCs w:val="18"/>
          <w:lang w:val="nl-NL"/>
        </w:rPr>
        <w:t xml:space="preserve">bepaalt dat het Verdrag kan worden uitgebreid tot niet in Europa gelegen delen </w:t>
      </w:r>
      <w:r w:rsidR="00A7740E">
        <w:rPr>
          <w:rFonts w:ascii="Verdana" w:hAnsi="Verdana"/>
          <w:sz w:val="18"/>
          <w:szCs w:val="18"/>
          <w:lang w:val="nl-NL"/>
        </w:rPr>
        <w:t xml:space="preserve">of landen </w:t>
      </w:r>
      <w:r w:rsidRPr="00BB7074">
        <w:rPr>
          <w:rFonts w:ascii="Verdana" w:hAnsi="Verdana"/>
          <w:sz w:val="18"/>
          <w:szCs w:val="18"/>
          <w:lang w:val="nl-NL"/>
        </w:rPr>
        <w:t>van het Koninkrijk</w:t>
      </w:r>
      <w:r w:rsidRPr="00BB7074" w:rsidR="00BA480B">
        <w:rPr>
          <w:rFonts w:ascii="Verdana" w:hAnsi="Verdana"/>
          <w:sz w:val="18"/>
          <w:szCs w:val="18"/>
          <w:lang w:val="nl-NL"/>
        </w:rPr>
        <w:t xml:space="preserve"> indien </w:t>
      </w:r>
      <w:r w:rsidR="00194914">
        <w:rPr>
          <w:rFonts w:ascii="Verdana" w:hAnsi="Verdana"/>
          <w:sz w:val="18"/>
          <w:szCs w:val="18"/>
          <w:lang w:val="nl-NL"/>
        </w:rPr>
        <w:t xml:space="preserve">het betreffende </w:t>
      </w:r>
      <w:r w:rsidR="00A7740E">
        <w:rPr>
          <w:rFonts w:ascii="Verdana" w:hAnsi="Verdana"/>
          <w:sz w:val="18"/>
          <w:szCs w:val="18"/>
          <w:lang w:val="nl-NL"/>
        </w:rPr>
        <w:t xml:space="preserve">deel of </w:t>
      </w:r>
      <w:r w:rsidR="00194914">
        <w:rPr>
          <w:rFonts w:ascii="Verdana" w:hAnsi="Verdana"/>
          <w:sz w:val="18"/>
          <w:szCs w:val="18"/>
          <w:lang w:val="nl-NL"/>
        </w:rPr>
        <w:t>land belastingen heft die in wezen en in tarieven gelijksoortig zijn aan de belastingen waarop het Verdrag van toepassing is</w:t>
      </w:r>
      <w:r w:rsidRPr="00BB7074">
        <w:rPr>
          <w:rFonts w:ascii="Verdana" w:hAnsi="Verdana"/>
          <w:sz w:val="18"/>
          <w:szCs w:val="18"/>
          <w:lang w:val="nl-NL"/>
        </w:rPr>
        <w:t>. Ten behoeve van die uitbreiding zou een separaat verdrag gesloten moeten worden dat de goedkeuring van het parlement behoeft.</w:t>
      </w:r>
    </w:p>
    <w:p w:rsidRPr="00BB7074" w:rsidR="002F0BBD" w:rsidP="00972195" w:rsidRDefault="00972195" w14:paraId="3A787B62" w14:textId="7AEEF336">
      <w:pPr>
        <w:rPr>
          <w:rFonts w:ascii="Verdana" w:hAnsi="Verdana"/>
          <w:sz w:val="18"/>
          <w:szCs w:val="18"/>
          <w:lang w:val="nl-NL"/>
        </w:rPr>
      </w:pPr>
      <w:r w:rsidRPr="00BB7074">
        <w:rPr>
          <w:rFonts w:ascii="Verdana" w:hAnsi="Verdana"/>
          <w:sz w:val="18"/>
          <w:szCs w:val="18"/>
          <w:lang w:val="nl-NL"/>
        </w:rPr>
        <w:t>Het tweede lid bepaalt dat als het Verdrag in overeenstemming met het eerste lid is uitgebreid, die uitbreiding niet automatisch wordt</w:t>
      </w:r>
      <w:r w:rsidRPr="00BB7074" w:rsidR="004B5F47">
        <w:rPr>
          <w:rFonts w:ascii="Verdana" w:hAnsi="Verdana"/>
          <w:sz w:val="18"/>
          <w:szCs w:val="18"/>
          <w:lang w:val="nl-NL"/>
        </w:rPr>
        <w:t xml:space="preserve"> beëindigd als het </w:t>
      </w:r>
      <w:r w:rsidRPr="00BB7074" w:rsidR="002C1E5E">
        <w:rPr>
          <w:rFonts w:ascii="Verdana" w:hAnsi="Verdana"/>
          <w:sz w:val="18"/>
          <w:szCs w:val="18"/>
          <w:lang w:val="nl-NL"/>
        </w:rPr>
        <w:t>V</w:t>
      </w:r>
      <w:r w:rsidRPr="00BB7074">
        <w:rPr>
          <w:rFonts w:ascii="Verdana" w:hAnsi="Verdana"/>
          <w:sz w:val="18"/>
          <w:szCs w:val="18"/>
          <w:lang w:val="nl-NL"/>
        </w:rPr>
        <w:t xml:space="preserve">erdrag wordt beëindigd en </w:t>
      </w:r>
      <w:proofErr w:type="spellStart"/>
      <w:r w:rsidRPr="00BB7074">
        <w:rPr>
          <w:rFonts w:ascii="Verdana" w:hAnsi="Verdana"/>
          <w:sz w:val="18"/>
          <w:szCs w:val="18"/>
          <w:lang w:val="nl-NL"/>
        </w:rPr>
        <w:t>vice</w:t>
      </w:r>
      <w:proofErr w:type="spellEnd"/>
      <w:r w:rsidRPr="00BB7074">
        <w:rPr>
          <w:rFonts w:ascii="Verdana" w:hAnsi="Verdana"/>
          <w:sz w:val="18"/>
          <w:szCs w:val="18"/>
          <w:lang w:val="nl-NL"/>
        </w:rPr>
        <w:t xml:space="preserve"> versa, tenzij anders is overeengekomen.</w:t>
      </w:r>
    </w:p>
    <w:p w:rsidRPr="00BB7074" w:rsidR="00307E15" w:rsidP="00B603B8" w:rsidRDefault="00936DF5" w14:paraId="002AF785" w14:textId="0F9A30B3">
      <w:pPr>
        <w:pStyle w:val="Heading2"/>
        <w:rPr>
          <w:lang w:val="nl-NL"/>
        </w:rPr>
      </w:pPr>
      <w:r w:rsidRPr="00BB7074">
        <w:rPr>
          <w:lang w:val="nl-NL"/>
        </w:rPr>
        <w:t xml:space="preserve">II.29. </w:t>
      </w:r>
      <w:r w:rsidRPr="00BB7074" w:rsidR="00307E15">
        <w:rPr>
          <w:lang w:val="nl-NL"/>
        </w:rPr>
        <w:t>Inwerkingtreding</w:t>
      </w:r>
      <w:r w:rsidR="00466DF8">
        <w:rPr>
          <w:lang w:val="nl-NL"/>
        </w:rPr>
        <w:t xml:space="preserve"> (artikel 29 van het Verdrag)</w:t>
      </w:r>
    </w:p>
    <w:p w:rsidRPr="00BB7074" w:rsidR="000D5233" w:rsidP="00E624B4" w:rsidRDefault="000D5233" w14:paraId="4AE6A515" w14:textId="6843CF6D">
      <w:pPr>
        <w:ind w:firstLine="708"/>
        <w:rPr>
          <w:rFonts w:ascii="Verdana" w:hAnsi="Verdana"/>
          <w:sz w:val="18"/>
          <w:szCs w:val="18"/>
          <w:lang w:val="nl-NL"/>
        </w:rPr>
      </w:pPr>
      <w:r w:rsidRPr="00BB7074">
        <w:rPr>
          <w:rFonts w:ascii="Verdana" w:hAnsi="Verdana"/>
          <w:sz w:val="18"/>
          <w:szCs w:val="18"/>
          <w:lang w:val="nl-NL"/>
        </w:rPr>
        <w:t>Artikel 29 regelt de inwerkingtreding van het Verdrag.</w:t>
      </w:r>
      <w:r w:rsidRPr="00BB7074" w:rsidR="00E624B4">
        <w:rPr>
          <w:rFonts w:ascii="Verdana" w:hAnsi="Verdana"/>
          <w:sz w:val="18"/>
          <w:szCs w:val="18"/>
          <w:lang w:val="nl-NL"/>
        </w:rPr>
        <w:t xml:space="preserve"> De verdragsluitende staten stellen elkaar via diplomatieke nota’s ervan in kennis dat de in hun </w:t>
      </w:r>
      <w:r w:rsidRPr="00BB7074" w:rsidR="008B5BF7">
        <w:rPr>
          <w:rFonts w:ascii="Verdana" w:hAnsi="Verdana"/>
          <w:sz w:val="18"/>
          <w:szCs w:val="18"/>
          <w:lang w:val="nl-NL"/>
        </w:rPr>
        <w:t>staat</w:t>
      </w:r>
      <w:r w:rsidRPr="00BB7074" w:rsidR="00E624B4">
        <w:rPr>
          <w:rFonts w:ascii="Verdana" w:hAnsi="Verdana"/>
          <w:sz w:val="18"/>
          <w:szCs w:val="18"/>
          <w:lang w:val="nl-NL"/>
        </w:rPr>
        <w:t xml:space="preserve"> vereiste wettelijke procedures voor de inwerkingtreding van het Verdrag zijn vervuld. Het Verdrag treedt dan in werking op de laatste dag van de maand volgend op de maand waarin de laatste van de beide kennisgevingen is ontvangen. De bepalingen vinden vervolgens toepassing voor belastingjaren en </w:t>
      </w:r>
      <w:r w:rsidRPr="00BB7074" w:rsidR="0099021D">
        <w:rPr>
          <w:rFonts w:ascii="Verdana" w:hAnsi="Verdana"/>
          <w:sz w:val="18"/>
          <w:szCs w:val="18"/>
          <w:lang w:val="nl-NL"/>
        </w:rPr>
        <w:t>-</w:t>
      </w:r>
      <w:r w:rsidRPr="00BB7074" w:rsidR="00E624B4">
        <w:rPr>
          <w:rFonts w:ascii="Verdana" w:hAnsi="Verdana"/>
          <w:sz w:val="18"/>
          <w:szCs w:val="18"/>
          <w:lang w:val="nl-NL"/>
        </w:rPr>
        <w:t>tijdvakken beginnend, en op belastbare gebeurtenissen die zich voordoen, op of na 1 januari van het kalenderjaar dat volgt op het kalenderjaar waarin het Verdrag in werking is getreden.</w:t>
      </w:r>
    </w:p>
    <w:p w:rsidRPr="00BB7074" w:rsidR="002F0BBD" w:rsidP="00F96F0E" w:rsidRDefault="009357D9" w14:paraId="26E3968E" w14:textId="5A233B35">
      <w:pPr>
        <w:ind w:firstLine="708"/>
        <w:rPr>
          <w:rFonts w:ascii="Verdana" w:hAnsi="Verdana"/>
          <w:sz w:val="18"/>
          <w:szCs w:val="18"/>
          <w:lang w:val="nl-NL"/>
        </w:rPr>
      </w:pPr>
      <w:r w:rsidRPr="00BB7074">
        <w:rPr>
          <w:rFonts w:ascii="Verdana" w:hAnsi="Verdana"/>
          <w:sz w:val="18"/>
          <w:szCs w:val="18"/>
          <w:lang w:val="nl-NL"/>
        </w:rPr>
        <w:t>Het</w:t>
      </w:r>
      <w:r w:rsidRPr="00BB7074" w:rsidR="00CC56FB">
        <w:rPr>
          <w:rFonts w:ascii="Verdana" w:hAnsi="Verdana"/>
          <w:sz w:val="18"/>
          <w:szCs w:val="18"/>
          <w:lang w:val="nl-NL"/>
        </w:rPr>
        <w:t xml:space="preserve"> tweede lid verduidelijkt dat de verdragsluitende staten ook informatie zullen uitwisselen op grond van artikel 24 over belastingjaren</w:t>
      </w:r>
      <w:r w:rsidRPr="00BB7074" w:rsidR="00432D1C">
        <w:rPr>
          <w:rFonts w:ascii="Verdana" w:hAnsi="Verdana"/>
          <w:sz w:val="18"/>
          <w:szCs w:val="18"/>
          <w:lang w:val="nl-NL"/>
        </w:rPr>
        <w:t xml:space="preserve"> en</w:t>
      </w:r>
      <w:r w:rsidRPr="00BB7074" w:rsidR="00CC56FB">
        <w:rPr>
          <w:rFonts w:ascii="Verdana" w:hAnsi="Verdana"/>
          <w:sz w:val="18"/>
          <w:szCs w:val="18"/>
          <w:lang w:val="nl-NL"/>
        </w:rPr>
        <w:t xml:space="preserve"> tijdvakken </w:t>
      </w:r>
      <w:r w:rsidRPr="00BB7074" w:rsidR="00BA480B">
        <w:rPr>
          <w:rFonts w:ascii="Verdana" w:hAnsi="Verdana"/>
          <w:sz w:val="18"/>
          <w:szCs w:val="18"/>
          <w:lang w:val="nl-NL"/>
        </w:rPr>
        <w:t xml:space="preserve">voorafgaand aan </w:t>
      </w:r>
      <w:r w:rsidRPr="00BB7074" w:rsidR="00CC56FB">
        <w:rPr>
          <w:rFonts w:ascii="Verdana" w:hAnsi="Verdana"/>
          <w:sz w:val="18"/>
          <w:szCs w:val="18"/>
          <w:lang w:val="nl-NL"/>
        </w:rPr>
        <w:t xml:space="preserve">en </w:t>
      </w:r>
      <w:r w:rsidRPr="00BB7074" w:rsidR="00BA480B">
        <w:rPr>
          <w:rFonts w:ascii="Verdana" w:hAnsi="Verdana"/>
          <w:sz w:val="18"/>
          <w:szCs w:val="18"/>
          <w:lang w:val="nl-NL"/>
        </w:rPr>
        <w:t xml:space="preserve">over </w:t>
      </w:r>
      <w:r w:rsidRPr="00BB7074" w:rsidR="00CC56FB">
        <w:rPr>
          <w:rFonts w:ascii="Verdana" w:hAnsi="Verdana"/>
          <w:sz w:val="18"/>
          <w:szCs w:val="18"/>
          <w:lang w:val="nl-NL"/>
        </w:rPr>
        <w:t xml:space="preserve">belastbare gebeurtenissen </w:t>
      </w:r>
      <w:r w:rsidRPr="00BB7074" w:rsidR="00BA480B">
        <w:rPr>
          <w:rFonts w:ascii="Verdana" w:hAnsi="Verdana"/>
          <w:sz w:val="18"/>
          <w:szCs w:val="18"/>
          <w:lang w:val="nl-NL"/>
        </w:rPr>
        <w:t xml:space="preserve">die hebben plaatsgevonden </w:t>
      </w:r>
      <w:r w:rsidRPr="00BB7074" w:rsidR="00CC56FB">
        <w:rPr>
          <w:rFonts w:ascii="Verdana" w:hAnsi="Verdana"/>
          <w:sz w:val="18"/>
          <w:szCs w:val="18"/>
          <w:lang w:val="nl-NL"/>
        </w:rPr>
        <w:t>voor inwerkingtreding van het Verdrag.</w:t>
      </w:r>
    </w:p>
    <w:p w:rsidRPr="00BB7074" w:rsidR="00307E15" w:rsidP="00B603B8" w:rsidRDefault="00936DF5" w14:paraId="7B882505" w14:textId="3C60DF16">
      <w:pPr>
        <w:pStyle w:val="Heading2"/>
        <w:rPr>
          <w:lang w:val="nl-NL"/>
        </w:rPr>
      </w:pPr>
      <w:r w:rsidRPr="00BB7074">
        <w:rPr>
          <w:lang w:val="nl-NL"/>
        </w:rPr>
        <w:t xml:space="preserve">II.30. </w:t>
      </w:r>
      <w:r w:rsidRPr="00BB7074" w:rsidR="00307E15">
        <w:rPr>
          <w:lang w:val="nl-NL"/>
        </w:rPr>
        <w:t>Beë</w:t>
      </w:r>
      <w:r w:rsidRPr="00BB7074" w:rsidR="00DE7778">
        <w:rPr>
          <w:lang w:val="nl-NL"/>
        </w:rPr>
        <w:t>i</w:t>
      </w:r>
      <w:r w:rsidRPr="00BB7074" w:rsidR="00307E15">
        <w:rPr>
          <w:lang w:val="nl-NL"/>
        </w:rPr>
        <w:t>ndiging</w:t>
      </w:r>
      <w:r w:rsidR="00466DF8">
        <w:rPr>
          <w:lang w:val="nl-NL"/>
        </w:rPr>
        <w:t xml:space="preserve"> (artikel 30 van het Verdrag)</w:t>
      </w:r>
    </w:p>
    <w:p w:rsidR="001F58C9" w:rsidP="00AA6655" w:rsidRDefault="009321D3" w14:paraId="4A3BC211" w14:textId="50993254">
      <w:pPr>
        <w:rPr>
          <w:rFonts w:ascii="Verdana" w:hAnsi="Verdana"/>
          <w:sz w:val="18"/>
          <w:szCs w:val="18"/>
          <w:lang w:val="nl-NL"/>
        </w:rPr>
      </w:pPr>
      <w:r w:rsidRPr="00BB7074">
        <w:rPr>
          <w:rFonts w:ascii="Verdana" w:hAnsi="Verdana"/>
          <w:sz w:val="18"/>
          <w:szCs w:val="18"/>
          <w:lang w:val="nl-NL"/>
        </w:rPr>
        <w:t xml:space="preserve">Artikel 30 regelt de onverhoopte beëindiging van het Verdrag. Beide </w:t>
      </w:r>
      <w:r w:rsidRPr="00BB7074" w:rsidR="004B5F47">
        <w:rPr>
          <w:rFonts w:ascii="Verdana" w:hAnsi="Verdana"/>
          <w:sz w:val="18"/>
          <w:szCs w:val="18"/>
          <w:lang w:val="nl-NL"/>
        </w:rPr>
        <w:t>v</w:t>
      </w:r>
      <w:r w:rsidRPr="00BB7074">
        <w:rPr>
          <w:rFonts w:ascii="Verdana" w:hAnsi="Verdana"/>
          <w:sz w:val="18"/>
          <w:szCs w:val="18"/>
          <w:lang w:val="nl-NL"/>
        </w:rPr>
        <w:t xml:space="preserve">erdragsluitende </w:t>
      </w:r>
      <w:r w:rsidRPr="00BB7074" w:rsidR="004B5F47">
        <w:rPr>
          <w:rFonts w:ascii="Verdana" w:hAnsi="Verdana"/>
          <w:sz w:val="18"/>
          <w:szCs w:val="18"/>
          <w:lang w:val="nl-NL"/>
        </w:rPr>
        <w:t>s</w:t>
      </w:r>
      <w:r w:rsidRPr="00BB7074">
        <w:rPr>
          <w:rFonts w:ascii="Verdana" w:hAnsi="Verdana"/>
          <w:sz w:val="18"/>
          <w:szCs w:val="18"/>
          <w:lang w:val="nl-NL"/>
        </w:rPr>
        <w:t xml:space="preserve">taten kunnen </w:t>
      </w:r>
      <w:r w:rsidR="00970B2D">
        <w:rPr>
          <w:rFonts w:ascii="Verdana" w:hAnsi="Verdana"/>
          <w:sz w:val="18"/>
          <w:szCs w:val="18"/>
          <w:lang w:val="nl-NL"/>
        </w:rPr>
        <w:t xml:space="preserve">op grond van het eerste lid </w:t>
      </w:r>
      <w:r w:rsidRPr="00BB7074">
        <w:rPr>
          <w:rFonts w:ascii="Verdana" w:hAnsi="Verdana"/>
          <w:sz w:val="18"/>
          <w:szCs w:val="18"/>
          <w:lang w:val="nl-NL"/>
        </w:rPr>
        <w:t>het Verdrag via diplomatieke kanalen sc</w:t>
      </w:r>
      <w:r w:rsidRPr="00BB7074" w:rsidR="0057037C">
        <w:rPr>
          <w:rFonts w:ascii="Verdana" w:hAnsi="Verdana"/>
          <w:sz w:val="18"/>
          <w:szCs w:val="18"/>
          <w:lang w:val="nl-NL"/>
        </w:rPr>
        <w:t>h</w:t>
      </w:r>
      <w:r w:rsidRPr="00BB7074">
        <w:rPr>
          <w:rFonts w:ascii="Verdana" w:hAnsi="Verdana"/>
          <w:sz w:val="18"/>
          <w:szCs w:val="18"/>
          <w:lang w:val="nl-NL"/>
        </w:rPr>
        <w:t xml:space="preserve">riftelijk opzeggen. Indien die opzegging zes maanden voor het einde van een kalenderjaar is ontvangen zal het Verdrag </w:t>
      </w:r>
      <w:r w:rsidR="00970B2D">
        <w:rPr>
          <w:rFonts w:ascii="Verdana" w:hAnsi="Verdana"/>
          <w:sz w:val="18"/>
          <w:szCs w:val="18"/>
          <w:lang w:val="nl-NL"/>
        </w:rPr>
        <w:t xml:space="preserve">op grond van het tweede lid </w:t>
      </w:r>
      <w:r w:rsidR="001F58C9">
        <w:rPr>
          <w:rFonts w:ascii="Verdana" w:hAnsi="Verdana"/>
          <w:sz w:val="18"/>
          <w:szCs w:val="18"/>
          <w:lang w:val="nl-NL"/>
        </w:rPr>
        <w:t>op een zeker moment niet meer van toepassing zijn. Welk moment dat is hangt af van het soort belasting dat wordt geheven:</w:t>
      </w:r>
    </w:p>
    <w:p w:rsidR="001F58C9" w:rsidP="00C43523" w:rsidRDefault="001F58C9" w14:paraId="6706B95D" w14:textId="51FE96EC">
      <w:pPr>
        <w:ind w:firstLine="1"/>
        <w:rPr>
          <w:rFonts w:ascii="Verdana" w:hAnsi="Verdana"/>
          <w:sz w:val="18"/>
          <w:szCs w:val="18"/>
          <w:lang w:val="nl-NL"/>
        </w:rPr>
      </w:pPr>
      <w:r>
        <w:rPr>
          <w:rFonts w:ascii="Verdana" w:hAnsi="Verdana"/>
          <w:sz w:val="18"/>
          <w:szCs w:val="18"/>
          <w:lang w:val="nl-NL"/>
        </w:rPr>
        <w:lastRenderedPageBreak/>
        <w:t xml:space="preserve">- </w:t>
      </w:r>
      <w:r w:rsidR="0036668E">
        <w:rPr>
          <w:rFonts w:ascii="Verdana" w:hAnsi="Verdana"/>
          <w:sz w:val="18"/>
          <w:szCs w:val="18"/>
          <w:lang w:val="nl-NL"/>
        </w:rPr>
        <w:t>v</w:t>
      </w:r>
      <w:r>
        <w:rPr>
          <w:rFonts w:ascii="Verdana" w:hAnsi="Verdana"/>
          <w:sz w:val="18"/>
          <w:szCs w:val="18"/>
          <w:lang w:val="nl-NL"/>
        </w:rPr>
        <w:t>oor b</w:t>
      </w:r>
      <w:r w:rsidRPr="00BB7074" w:rsidR="009321D3">
        <w:rPr>
          <w:rFonts w:ascii="Verdana" w:hAnsi="Verdana"/>
          <w:sz w:val="18"/>
          <w:szCs w:val="18"/>
          <w:lang w:val="nl-NL"/>
        </w:rPr>
        <w:t xml:space="preserve">elastingen die aan de bron worden </w:t>
      </w:r>
      <w:r>
        <w:rPr>
          <w:rFonts w:ascii="Verdana" w:hAnsi="Verdana"/>
          <w:sz w:val="18"/>
          <w:szCs w:val="18"/>
          <w:lang w:val="nl-NL"/>
        </w:rPr>
        <w:t>geheven zal het Verdrag niet meer van toepassing zijn voor bedragen die betaald of toegerekend zijn aan niet ingezeten na afloop na het jaar waarin de kennisgeving is gedaan</w:t>
      </w:r>
      <w:r w:rsidR="0036668E">
        <w:rPr>
          <w:rFonts w:ascii="Verdana" w:hAnsi="Verdana"/>
          <w:sz w:val="18"/>
          <w:szCs w:val="18"/>
          <w:lang w:val="nl-NL"/>
        </w:rPr>
        <w:t>;</w:t>
      </w:r>
    </w:p>
    <w:p w:rsidRPr="00BB7074" w:rsidR="002F0BBD" w:rsidP="00C43523" w:rsidRDefault="001F58C9" w14:paraId="57F54D4E" w14:textId="2EF0BCB1">
      <w:pPr>
        <w:ind w:firstLine="1"/>
        <w:rPr>
          <w:rFonts w:ascii="Verdana" w:hAnsi="Verdana"/>
          <w:sz w:val="18"/>
          <w:szCs w:val="18"/>
          <w:lang w:val="nl-NL"/>
        </w:rPr>
      </w:pPr>
      <w:r>
        <w:rPr>
          <w:rFonts w:ascii="Verdana" w:hAnsi="Verdana"/>
          <w:sz w:val="18"/>
          <w:szCs w:val="18"/>
          <w:lang w:val="nl-NL"/>
        </w:rPr>
        <w:t xml:space="preserve">- </w:t>
      </w:r>
      <w:r w:rsidR="0036668E">
        <w:rPr>
          <w:rFonts w:ascii="Verdana" w:hAnsi="Verdana"/>
          <w:sz w:val="18"/>
          <w:szCs w:val="18"/>
          <w:lang w:val="nl-NL"/>
        </w:rPr>
        <w:t>o</w:t>
      </w:r>
      <w:r w:rsidRPr="00BB7074" w:rsidR="009321D3">
        <w:rPr>
          <w:rFonts w:ascii="Verdana" w:hAnsi="Verdana"/>
          <w:sz w:val="18"/>
          <w:szCs w:val="18"/>
          <w:lang w:val="nl-NL"/>
        </w:rPr>
        <w:t xml:space="preserve">p alle andere belastingen </w:t>
      </w:r>
      <w:r w:rsidR="00F96F0E">
        <w:rPr>
          <w:rFonts w:ascii="Verdana" w:hAnsi="Verdana"/>
          <w:sz w:val="18"/>
          <w:szCs w:val="18"/>
          <w:lang w:val="nl-NL"/>
        </w:rPr>
        <w:t xml:space="preserve">zal het Verdrag niet meer van toepassing zijn </w:t>
      </w:r>
      <w:r>
        <w:rPr>
          <w:rFonts w:ascii="Verdana" w:hAnsi="Verdana"/>
          <w:sz w:val="18"/>
          <w:szCs w:val="18"/>
          <w:lang w:val="nl-NL"/>
        </w:rPr>
        <w:t>voor</w:t>
      </w:r>
      <w:r w:rsidR="00F96F0E">
        <w:rPr>
          <w:rFonts w:ascii="Verdana" w:hAnsi="Verdana"/>
          <w:sz w:val="18"/>
          <w:szCs w:val="18"/>
          <w:lang w:val="nl-NL"/>
        </w:rPr>
        <w:t xml:space="preserve"> </w:t>
      </w:r>
      <w:r w:rsidRPr="00BB7074" w:rsidR="009321D3">
        <w:rPr>
          <w:rFonts w:ascii="Verdana" w:hAnsi="Verdana"/>
          <w:sz w:val="18"/>
          <w:szCs w:val="18"/>
          <w:lang w:val="nl-NL"/>
        </w:rPr>
        <w:t xml:space="preserve">belastingjaren die na het einde van </w:t>
      </w:r>
      <w:r w:rsidR="00F96F0E">
        <w:rPr>
          <w:rFonts w:ascii="Verdana" w:hAnsi="Verdana"/>
          <w:sz w:val="18"/>
          <w:szCs w:val="18"/>
          <w:lang w:val="nl-NL"/>
        </w:rPr>
        <w:t xml:space="preserve">het hiervoor bedoelde </w:t>
      </w:r>
      <w:r w:rsidRPr="00BB7074" w:rsidR="009321D3">
        <w:rPr>
          <w:rFonts w:ascii="Verdana" w:hAnsi="Verdana"/>
          <w:sz w:val="18"/>
          <w:szCs w:val="18"/>
          <w:lang w:val="nl-NL"/>
        </w:rPr>
        <w:t>jaar aanvangen.</w:t>
      </w:r>
    </w:p>
    <w:p w:rsidRPr="00BB7074" w:rsidR="009321D3" w:rsidP="00AA6655" w:rsidRDefault="009321D3" w14:paraId="754896CA" w14:textId="0A26B628">
      <w:pPr>
        <w:rPr>
          <w:rFonts w:ascii="Verdana" w:hAnsi="Verdana"/>
          <w:sz w:val="18"/>
          <w:szCs w:val="18"/>
          <w:lang w:val="nl-NL"/>
        </w:rPr>
      </w:pPr>
      <w:r w:rsidRPr="00BB7074">
        <w:rPr>
          <w:rFonts w:ascii="Verdana" w:hAnsi="Verdana"/>
          <w:sz w:val="18"/>
          <w:szCs w:val="18"/>
          <w:lang w:val="nl-NL"/>
        </w:rPr>
        <w:t xml:space="preserve">De bepalingen rond uitwisseling van inlichtingen die zijn opgenomen in Artikel 24 blijven </w:t>
      </w:r>
      <w:r w:rsidR="00970B2D">
        <w:rPr>
          <w:rFonts w:ascii="Verdana" w:hAnsi="Verdana"/>
          <w:sz w:val="18"/>
          <w:szCs w:val="18"/>
          <w:lang w:val="nl-NL"/>
        </w:rPr>
        <w:t xml:space="preserve">op grond van het derde lid </w:t>
      </w:r>
      <w:r w:rsidRPr="00BB7074">
        <w:rPr>
          <w:rFonts w:ascii="Verdana" w:hAnsi="Verdana"/>
          <w:sz w:val="18"/>
          <w:szCs w:val="18"/>
          <w:lang w:val="nl-NL"/>
        </w:rPr>
        <w:t>gelden voor informatie die onder dit Verdrag is ontvangen.</w:t>
      </w:r>
    </w:p>
    <w:p w:rsidRPr="00BB7074" w:rsidR="00307E15" w:rsidP="00B603B8" w:rsidRDefault="00162B8B" w14:paraId="08CBB909" w14:textId="536A333E">
      <w:pPr>
        <w:pStyle w:val="Heading2"/>
        <w:rPr>
          <w:lang w:val="nl-NL"/>
        </w:rPr>
      </w:pPr>
      <w:r w:rsidRPr="00BB7074">
        <w:rPr>
          <w:lang w:val="nl-NL"/>
        </w:rPr>
        <w:t>II.3</w:t>
      </w:r>
      <w:r w:rsidR="00BD74F3">
        <w:rPr>
          <w:lang w:val="nl-NL"/>
        </w:rPr>
        <w:t>1</w:t>
      </w:r>
      <w:r w:rsidRPr="00BB7074">
        <w:rPr>
          <w:lang w:val="nl-NL"/>
        </w:rPr>
        <w:t xml:space="preserve">. </w:t>
      </w:r>
      <w:r w:rsidR="009E3051">
        <w:rPr>
          <w:lang w:val="nl-NL"/>
        </w:rPr>
        <w:t>Interpretatie verdrag (a</w:t>
      </w:r>
      <w:r w:rsidRPr="00BB7074" w:rsidR="00054962">
        <w:rPr>
          <w:lang w:val="nl-NL"/>
        </w:rPr>
        <w:t>rtikel I</w:t>
      </w:r>
      <w:r w:rsidRPr="00BB7074">
        <w:rPr>
          <w:lang w:val="nl-NL"/>
        </w:rPr>
        <w:t xml:space="preserve"> van het Protocol</w:t>
      </w:r>
      <w:r w:rsidR="009E3051">
        <w:rPr>
          <w:lang w:val="nl-NL"/>
        </w:rPr>
        <w:t>)</w:t>
      </w:r>
    </w:p>
    <w:p w:rsidRPr="00BB7074" w:rsidR="002F0BBD" w:rsidP="00AA6655" w:rsidRDefault="00054962" w14:paraId="7BBFBDFF" w14:textId="343F998B">
      <w:pPr>
        <w:rPr>
          <w:rFonts w:ascii="Verdana" w:hAnsi="Verdana"/>
          <w:sz w:val="18"/>
          <w:szCs w:val="18"/>
          <w:lang w:val="nl-NL"/>
        </w:rPr>
      </w:pPr>
      <w:r w:rsidRPr="00BB7074">
        <w:rPr>
          <w:rFonts w:ascii="Verdana" w:hAnsi="Verdana"/>
          <w:sz w:val="18"/>
          <w:szCs w:val="18"/>
          <w:lang w:val="nl-NL"/>
        </w:rPr>
        <w:t xml:space="preserve">Bij de onderhandelingen over het Verdrag is aansluiting gezocht bij het OESO-modelverdrag </w:t>
      </w:r>
      <w:r w:rsidRPr="00BB7074" w:rsidR="009321D3">
        <w:rPr>
          <w:rFonts w:ascii="Verdana" w:hAnsi="Verdana"/>
          <w:sz w:val="18"/>
          <w:szCs w:val="18"/>
          <w:lang w:val="nl-NL"/>
        </w:rPr>
        <w:t xml:space="preserve">en </w:t>
      </w:r>
      <w:r w:rsidRPr="00BB7074">
        <w:rPr>
          <w:rFonts w:ascii="Verdana" w:hAnsi="Verdana"/>
          <w:sz w:val="18"/>
          <w:szCs w:val="18"/>
          <w:lang w:val="nl-NL"/>
        </w:rPr>
        <w:t xml:space="preserve">bij het VN-modelverdrag. In artikel I van het Protocol is </w:t>
      </w:r>
      <w:r w:rsidRPr="00BB7074" w:rsidR="007B004A">
        <w:rPr>
          <w:rFonts w:ascii="Verdana" w:hAnsi="Verdana"/>
          <w:sz w:val="18"/>
          <w:szCs w:val="18"/>
          <w:lang w:val="nl-NL"/>
        </w:rPr>
        <w:t xml:space="preserve">expliciet neergelegd </w:t>
      </w:r>
      <w:r w:rsidRPr="00BB7074">
        <w:rPr>
          <w:rFonts w:ascii="Verdana" w:hAnsi="Verdana"/>
          <w:sz w:val="18"/>
          <w:szCs w:val="18"/>
          <w:lang w:val="nl-NL"/>
        </w:rPr>
        <w:t xml:space="preserve">dat </w:t>
      </w:r>
      <w:r w:rsidRPr="00BB7074" w:rsidR="009321D3">
        <w:rPr>
          <w:rFonts w:ascii="Verdana" w:hAnsi="Verdana"/>
          <w:sz w:val="18"/>
          <w:szCs w:val="18"/>
          <w:lang w:val="nl-NL"/>
        </w:rPr>
        <w:t xml:space="preserve">de bepalingen van het Verdrag zullen worden uitgelegd in het licht van </w:t>
      </w:r>
      <w:r w:rsidRPr="00BB7074">
        <w:rPr>
          <w:rFonts w:ascii="Verdana" w:hAnsi="Verdana"/>
          <w:sz w:val="18"/>
          <w:szCs w:val="18"/>
          <w:lang w:val="nl-NL"/>
        </w:rPr>
        <w:t xml:space="preserve">het commentaar bij het OESO-modelverdrag en het commentaar bij het VN-modelverdrag. Bovendien is in dit artikel </w:t>
      </w:r>
      <w:r w:rsidRPr="00BB7074" w:rsidR="007B004A">
        <w:rPr>
          <w:rFonts w:ascii="Verdana" w:hAnsi="Verdana"/>
          <w:sz w:val="18"/>
          <w:szCs w:val="18"/>
          <w:lang w:val="nl-NL"/>
        </w:rPr>
        <w:t xml:space="preserve">expliciet neergelegd </w:t>
      </w:r>
      <w:r w:rsidRPr="00BB7074">
        <w:rPr>
          <w:rFonts w:ascii="Verdana" w:hAnsi="Verdana"/>
          <w:sz w:val="18"/>
          <w:szCs w:val="18"/>
          <w:lang w:val="nl-NL"/>
        </w:rPr>
        <w:t xml:space="preserve">dat beide staten vinden dat het commentaar moet worden gebruikt zoals dat luidt op het moment van toepassing van het Verdrag en niet (uitsluitend) zoals het luidde ten tijde van het afsluiten van het </w:t>
      </w:r>
      <w:r w:rsidRPr="00BB7074" w:rsidR="004B5F47">
        <w:rPr>
          <w:rFonts w:ascii="Verdana" w:hAnsi="Verdana"/>
          <w:sz w:val="18"/>
          <w:szCs w:val="18"/>
          <w:lang w:val="nl-NL"/>
        </w:rPr>
        <w:t>V</w:t>
      </w:r>
      <w:r w:rsidRPr="00BB7074">
        <w:rPr>
          <w:rFonts w:ascii="Verdana" w:hAnsi="Verdana"/>
          <w:sz w:val="18"/>
          <w:szCs w:val="18"/>
          <w:lang w:val="nl-NL"/>
        </w:rPr>
        <w:t>erdrag.</w:t>
      </w:r>
      <w:r w:rsidR="00BD74F3">
        <w:rPr>
          <w:rFonts w:ascii="Verdana" w:hAnsi="Verdana"/>
          <w:sz w:val="18"/>
          <w:szCs w:val="18"/>
          <w:lang w:val="nl-NL"/>
        </w:rPr>
        <w:t xml:space="preserve"> Hieronder zijn die artikelen van het Protocol nader toegelicht die hierboven nog niet behandeld zijn</w:t>
      </w:r>
      <w:r w:rsidR="003D7840">
        <w:rPr>
          <w:rFonts w:ascii="Verdana" w:hAnsi="Verdana"/>
          <w:sz w:val="18"/>
          <w:szCs w:val="18"/>
          <w:lang w:val="nl-NL"/>
        </w:rPr>
        <w:t xml:space="preserve"> of die desondanks nog enige nadere toelichting behoeven</w:t>
      </w:r>
      <w:r w:rsidR="00BD74F3">
        <w:rPr>
          <w:rFonts w:ascii="Verdana" w:hAnsi="Verdana"/>
          <w:sz w:val="18"/>
          <w:szCs w:val="18"/>
          <w:lang w:val="nl-NL"/>
        </w:rPr>
        <w:t xml:space="preserve">. </w:t>
      </w:r>
    </w:p>
    <w:p w:rsidRPr="00BB7074" w:rsidR="006714AA" w:rsidP="00B603B8" w:rsidRDefault="00162B8B" w14:paraId="2ADB5633" w14:textId="17D67FB0">
      <w:pPr>
        <w:pStyle w:val="Heading2"/>
        <w:rPr>
          <w:lang w:val="nl-NL"/>
        </w:rPr>
      </w:pPr>
      <w:r w:rsidRPr="00BB7074">
        <w:rPr>
          <w:lang w:val="nl-NL"/>
        </w:rPr>
        <w:t>II.3</w:t>
      </w:r>
      <w:r w:rsidR="00BD74F3">
        <w:rPr>
          <w:lang w:val="nl-NL"/>
        </w:rPr>
        <w:t>2</w:t>
      </w:r>
      <w:r w:rsidRPr="00BB7074">
        <w:rPr>
          <w:lang w:val="nl-NL"/>
        </w:rPr>
        <w:t xml:space="preserve">. </w:t>
      </w:r>
      <w:r w:rsidR="009E3051">
        <w:rPr>
          <w:lang w:val="nl-NL"/>
        </w:rPr>
        <w:t>R</w:t>
      </w:r>
      <w:r w:rsidRPr="009E3051" w:rsidR="009E3051">
        <w:rPr>
          <w:lang w:val="nl-NL"/>
        </w:rPr>
        <w:t xml:space="preserve">echten tot de exploratie en exploitatie van natuurlijke rijkdommen </w:t>
      </w:r>
      <w:r w:rsidR="009E3051">
        <w:rPr>
          <w:lang w:val="nl-NL"/>
        </w:rPr>
        <w:t>(a</w:t>
      </w:r>
      <w:r w:rsidRPr="00BB7074" w:rsidR="006714AA">
        <w:rPr>
          <w:lang w:val="nl-NL"/>
        </w:rPr>
        <w:t xml:space="preserve">rtikel V </w:t>
      </w:r>
      <w:r w:rsidRPr="00BB7074">
        <w:rPr>
          <w:lang w:val="nl-NL"/>
        </w:rPr>
        <w:t>van het Protocol</w:t>
      </w:r>
      <w:r w:rsidR="009E3051">
        <w:rPr>
          <w:lang w:val="nl-NL"/>
        </w:rPr>
        <w:t>)</w:t>
      </w:r>
    </w:p>
    <w:p w:rsidRPr="00BB7074" w:rsidR="006714AA" w:rsidP="003A025B" w:rsidRDefault="00F2589E" w14:paraId="1D6891C0" w14:textId="7CDE84BB">
      <w:pPr>
        <w:rPr>
          <w:rFonts w:ascii="Verdana" w:hAnsi="Verdana"/>
          <w:sz w:val="18"/>
          <w:szCs w:val="18"/>
          <w:lang w:val="nl-NL"/>
        </w:rPr>
      </w:pPr>
      <w:r w:rsidRPr="00BB7074">
        <w:rPr>
          <w:rFonts w:ascii="Verdana" w:hAnsi="Verdana"/>
          <w:sz w:val="18"/>
          <w:szCs w:val="18"/>
          <w:lang w:val="nl-NL"/>
        </w:rPr>
        <w:t xml:space="preserve">Voor de toepassing van artikelen waarin de </w:t>
      </w:r>
      <w:r w:rsidRPr="00BB7074" w:rsidR="00CC68E6">
        <w:rPr>
          <w:rFonts w:ascii="Verdana" w:hAnsi="Verdana"/>
          <w:sz w:val="18"/>
          <w:szCs w:val="18"/>
          <w:lang w:val="nl-NL"/>
        </w:rPr>
        <w:t xml:space="preserve">definitie </w:t>
      </w:r>
      <w:r w:rsidRPr="00BB7074">
        <w:rPr>
          <w:rFonts w:ascii="Verdana" w:hAnsi="Verdana"/>
          <w:sz w:val="18"/>
          <w:szCs w:val="18"/>
          <w:lang w:val="nl-NL"/>
        </w:rPr>
        <w:t xml:space="preserve">van </w:t>
      </w:r>
      <w:r w:rsidRPr="00BB7074" w:rsidR="00CC68E6">
        <w:rPr>
          <w:rFonts w:ascii="Verdana" w:hAnsi="Verdana"/>
          <w:sz w:val="18"/>
          <w:szCs w:val="18"/>
          <w:lang w:val="nl-NL"/>
        </w:rPr>
        <w:t xml:space="preserve">het begrip </w:t>
      </w:r>
      <w:r w:rsidRPr="00BB7074">
        <w:rPr>
          <w:rFonts w:ascii="Verdana" w:hAnsi="Verdana"/>
          <w:sz w:val="18"/>
          <w:szCs w:val="18"/>
          <w:lang w:val="nl-NL"/>
        </w:rPr>
        <w:t>onroerende zaken of van het begrip vaste inrichting relevant is</w:t>
      </w:r>
      <w:r w:rsidR="00821B7A">
        <w:rPr>
          <w:rFonts w:ascii="Verdana" w:hAnsi="Verdana"/>
          <w:sz w:val="18"/>
          <w:szCs w:val="18"/>
          <w:lang w:val="nl-NL"/>
        </w:rPr>
        <w:t xml:space="preserve"> (de artikelen 5, 6, 7 en 13)</w:t>
      </w:r>
      <w:r w:rsidRPr="00BB7074">
        <w:rPr>
          <w:rFonts w:ascii="Verdana" w:hAnsi="Verdana"/>
          <w:sz w:val="18"/>
          <w:szCs w:val="18"/>
          <w:lang w:val="nl-NL"/>
        </w:rPr>
        <w:t>, is in a</w:t>
      </w:r>
      <w:r w:rsidRPr="00BB7074" w:rsidR="00C154A6">
        <w:rPr>
          <w:rFonts w:ascii="Verdana" w:hAnsi="Verdana"/>
          <w:sz w:val="18"/>
          <w:szCs w:val="18"/>
          <w:lang w:val="nl-NL"/>
        </w:rPr>
        <w:t>rtikel V</w:t>
      </w:r>
      <w:r w:rsidRPr="00BB7074">
        <w:rPr>
          <w:rFonts w:ascii="Verdana" w:hAnsi="Verdana"/>
          <w:sz w:val="18"/>
          <w:szCs w:val="18"/>
          <w:lang w:val="nl-NL"/>
        </w:rPr>
        <w:t xml:space="preserve"> van het Protocol vastgelegd dat exploratie- en exploitatierechten ter zake van natuurlijke rijkdommen binnen de territoriale wateren en de exclusieve economische zone van een 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t>
      </w:r>
      <w:r w:rsidRPr="00BB7074">
        <w:rPr>
          <w:rFonts w:ascii="Verdana" w:hAnsi="Verdana" w:cs="Arial"/>
          <w:sz w:val="18"/>
          <w:szCs w:val="18"/>
          <w:lang w:val="nl-NL"/>
        </w:rPr>
        <w:t xml:space="preserve">met inbegrip van rechten op belangen in activa, of op inkomsten daaruit, die voortvloeien uit een dergelijke exploratie of exploitatie, eveneens </w:t>
      </w:r>
      <w:r w:rsidRPr="00BB7074">
        <w:rPr>
          <w:rFonts w:ascii="Verdana" w:hAnsi="Verdana"/>
          <w:sz w:val="18"/>
          <w:szCs w:val="18"/>
          <w:lang w:val="nl-NL"/>
        </w:rPr>
        <w:t xml:space="preserve">worden aangemerkt als onroerende zaken in die </w:t>
      </w:r>
      <w:r w:rsidRPr="00BB7074" w:rsidR="008B5BF7">
        <w:rPr>
          <w:rFonts w:ascii="Verdana" w:hAnsi="Verdana"/>
          <w:sz w:val="18"/>
          <w:szCs w:val="18"/>
          <w:lang w:val="nl-NL"/>
        </w:rPr>
        <w:t>staat</w:t>
      </w:r>
      <w:r w:rsidRPr="00BB7074">
        <w:rPr>
          <w:rFonts w:ascii="Verdana" w:hAnsi="Verdana"/>
          <w:sz w:val="18"/>
          <w:szCs w:val="18"/>
          <w:lang w:val="nl-NL"/>
        </w:rPr>
        <w:t xml:space="preserve"> en worden geacht te behoren tot de activa van een vaste inrichting in die </w:t>
      </w:r>
      <w:r w:rsidRPr="00BB7074" w:rsidR="008B5BF7">
        <w:rPr>
          <w:rFonts w:ascii="Verdana" w:hAnsi="Verdana"/>
          <w:sz w:val="18"/>
          <w:szCs w:val="18"/>
          <w:lang w:val="nl-NL"/>
        </w:rPr>
        <w:t>staat</w:t>
      </w:r>
      <w:r w:rsidRPr="00BB7074">
        <w:rPr>
          <w:rFonts w:ascii="Verdana" w:hAnsi="Verdana"/>
          <w:sz w:val="18"/>
          <w:szCs w:val="18"/>
          <w:lang w:val="nl-NL"/>
        </w:rPr>
        <w:t>.</w:t>
      </w:r>
      <w:r w:rsidRPr="00BB7074" w:rsidR="00C154A6">
        <w:rPr>
          <w:rFonts w:ascii="Verdana" w:hAnsi="Verdana"/>
          <w:sz w:val="18"/>
          <w:szCs w:val="18"/>
          <w:lang w:val="nl-NL"/>
        </w:rPr>
        <w:t xml:space="preserve"> Hiermee wordt beoogd zeker te stellen dat vergelijkbare bepalingen in de Nederlandse wetgeving ook onder het Verdrag toepassing k</w:t>
      </w:r>
      <w:r w:rsidRPr="00BB7074" w:rsidR="00CC68E6">
        <w:rPr>
          <w:rFonts w:ascii="Verdana" w:hAnsi="Verdana"/>
          <w:sz w:val="18"/>
          <w:szCs w:val="18"/>
          <w:lang w:val="nl-NL"/>
        </w:rPr>
        <w:t>u</w:t>
      </w:r>
      <w:r w:rsidRPr="00BB7074" w:rsidR="00C154A6">
        <w:rPr>
          <w:rFonts w:ascii="Verdana" w:hAnsi="Verdana"/>
          <w:sz w:val="18"/>
          <w:szCs w:val="18"/>
          <w:lang w:val="nl-NL"/>
        </w:rPr>
        <w:t>n</w:t>
      </w:r>
      <w:r w:rsidRPr="00BB7074" w:rsidR="00CC68E6">
        <w:rPr>
          <w:rFonts w:ascii="Verdana" w:hAnsi="Verdana"/>
          <w:sz w:val="18"/>
          <w:szCs w:val="18"/>
          <w:lang w:val="nl-NL"/>
        </w:rPr>
        <w:t>nen</w:t>
      </w:r>
      <w:r w:rsidRPr="00BB7074" w:rsidR="00C154A6">
        <w:rPr>
          <w:rFonts w:ascii="Verdana" w:hAnsi="Verdana"/>
          <w:sz w:val="18"/>
          <w:szCs w:val="18"/>
          <w:lang w:val="nl-NL"/>
        </w:rPr>
        <w:t xml:space="preserve"> vinden.</w:t>
      </w:r>
    </w:p>
    <w:p w:rsidRPr="00BB7074" w:rsidR="006714AA" w:rsidP="00B603B8" w:rsidRDefault="00162B8B" w14:paraId="491C2393" w14:textId="7EC74D86">
      <w:pPr>
        <w:pStyle w:val="Heading2"/>
        <w:rPr>
          <w:lang w:val="nl-NL"/>
        </w:rPr>
      </w:pPr>
      <w:r w:rsidRPr="00BB7074">
        <w:rPr>
          <w:lang w:val="nl-NL"/>
        </w:rPr>
        <w:t>II.</w:t>
      </w:r>
      <w:r w:rsidR="00BD74F3">
        <w:rPr>
          <w:lang w:val="nl-NL"/>
        </w:rPr>
        <w:t>33</w:t>
      </w:r>
      <w:r w:rsidRPr="00BB7074">
        <w:rPr>
          <w:lang w:val="nl-NL"/>
        </w:rPr>
        <w:t xml:space="preserve">. </w:t>
      </w:r>
      <w:r w:rsidR="00C63294">
        <w:rPr>
          <w:lang w:val="nl-NL"/>
        </w:rPr>
        <w:t xml:space="preserve">Beperking heffingsrecht </w:t>
      </w:r>
      <w:r w:rsidR="009E3051">
        <w:rPr>
          <w:lang w:val="nl-NL"/>
        </w:rPr>
        <w:t>(a</w:t>
      </w:r>
      <w:r w:rsidRPr="00BB7074" w:rsidR="006714AA">
        <w:rPr>
          <w:lang w:val="nl-NL"/>
        </w:rPr>
        <w:t xml:space="preserve">rtikel IX </w:t>
      </w:r>
      <w:r w:rsidR="009E3051">
        <w:rPr>
          <w:lang w:val="nl-NL"/>
        </w:rPr>
        <w:t>van het Protocol)</w:t>
      </w:r>
    </w:p>
    <w:p w:rsidRPr="00BB7074" w:rsidR="006714AA" w:rsidP="003A025B" w:rsidRDefault="00801C19" w14:paraId="46022E7F" w14:textId="199032B7">
      <w:pPr>
        <w:rPr>
          <w:rFonts w:ascii="Verdana" w:hAnsi="Verdana"/>
          <w:sz w:val="18"/>
          <w:szCs w:val="18"/>
          <w:lang w:val="nl-NL"/>
        </w:rPr>
      </w:pPr>
      <w:r w:rsidRPr="00BB7074">
        <w:rPr>
          <w:rFonts w:ascii="Verdana" w:hAnsi="Verdana"/>
          <w:sz w:val="18"/>
          <w:szCs w:val="18"/>
          <w:lang w:val="nl-NL"/>
        </w:rPr>
        <w:t xml:space="preserve">De </w:t>
      </w:r>
      <w:r w:rsidRPr="00BB7074" w:rsidR="00CC68E6">
        <w:rPr>
          <w:rFonts w:ascii="Verdana" w:hAnsi="Verdana"/>
          <w:sz w:val="18"/>
          <w:szCs w:val="18"/>
          <w:lang w:val="nl-NL"/>
        </w:rPr>
        <w:t>a</w:t>
      </w:r>
      <w:r w:rsidRPr="00BB7074">
        <w:rPr>
          <w:rFonts w:ascii="Verdana" w:hAnsi="Verdana"/>
          <w:sz w:val="18"/>
          <w:szCs w:val="18"/>
          <w:lang w:val="nl-NL"/>
        </w:rPr>
        <w:t>rtikelen 10, 11 en 12 van het Verdrag beperken (de hoogte van) het heffingsrecht van de bron</w:t>
      </w:r>
      <w:r w:rsidRPr="00BB7074" w:rsidR="008B5BF7">
        <w:rPr>
          <w:rFonts w:ascii="Verdana" w:hAnsi="Verdana"/>
          <w:sz w:val="18"/>
          <w:szCs w:val="18"/>
          <w:lang w:val="nl-NL"/>
        </w:rPr>
        <w:t>staat</w:t>
      </w:r>
      <w:r w:rsidRPr="00BB7074">
        <w:rPr>
          <w:rFonts w:ascii="Verdana" w:hAnsi="Verdana"/>
          <w:sz w:val="18"/>
          <w:szCs w:val="18"/>
          <w:lang w:val="nl-NL"/>
        </w:rPr>
        <w:t xml:space="preserve"> op betalingen</w:t>
      </w:r>
      <w:r w:rsidRPr="00BB7074" w:rsidR="00432D1C">
        <w:rPr>
          <w:rFonts w:ascii="Verdana" w:hAnsi="Verdana"/>
          <w:sz w:val="18"/>
          <w:szCs w:val="18"/>
          <w:lang w:val="nl-NL"/>
        </w:rPr>
        <w:t xml:space="preserve"> van dividenden, rente en royalty’s</w:t>
      </w:r>
      <w:r w:rsidRPr="00BB7074">
        <w:rPr>
          <w:rFonts w:ascii="Verdana" w:hAnsi="Verdana"/>
          <w:sz w:val="18"/>
          <w:szCs w:val="18"/>
          <w:lang w:val="nl-NL"/>
        </w:rPr>
        <w:t xml:space="preserve">. Indien aan de bron toch het (hogere) nationale tarief is ingehouden kan een teruggave </w:t>
      </w:r>
      <w:r w:rsidRPr="00BB7074" w:rsidR="00CC68E6">
        <w:rPr>
          <w:rFonts w:ascii="Verdana" w:hAnsi="Verdana"/>
          <w:sz w:val="18"/>
          <w:szCs w:val="18"/>
          <w:lang w:val="nl-NL"/>
        </w:rPr>
        <w:t xml:space="preserve">van de te veel ingehouden belasting </w:t>
      </w:r>
      <w:r w:rsidRPr="00BB7074">
        <w:rPr>
          <w:rFonts w:ascii="Verdana" w:hAnsi="Verdana"/>
          <w:sz w:val="18"/>
          <w:szCs w:val="18"/>
          <w:lang w:val="nl-NL"/>
        </w:rPr>
        <w:t xml:space="preserve">gevraagd worden. Verzoeken daartoe moeten </w:t>
      </w:r>
      <w:r w:rsidRPr="00BB7074" w:rsidR="001C7B11">
        <w:rPr>
          <w:rFonts w:ascii="Verdana" w:hAnsi="Verdana"/>
          <w:sz w:val="18"/>
          <w:szCs w:val="18"/>
          <w:lang w:val="nl-NL"/>
        </w:rPr>
        <w:t xml:space="preserve">op grond van het eerste lid </w:t>
      </w:r>
      <w:r w:rsidRPr="00BB7074">
        <w:rPr>
          <w:rFonts w:ascii="Verdana" w:hAnsi="Verdana"/>
          <w:sz w:val="18"/>
          <w:szCs w:val="18"/>
          <w:lang w:val="nl-NL"/>
        </w:rPr>
        <w:t>gedaan worden binnen twee jaar na einde van het jaar waarin de inhouding plaatsvond.</w:t>
      </w:r>
    </w:p>
    <w:p w:rsidRPr="00BB7074" w:rsidR="006714AA" w:rsidP="003A025B" w:rsidRDefault="001C7B11" w14:paraId="3BD44ED2" w14:textId="3FB5D5A9">
      <w:pPr>
        <w:rPr>
          <w:rFonts w:ascii="Verdana" w:hAnsi="Verdana"/>
          <w:sz w:val="18"/>
          <w:szCs w:val="18"/>
          <w:lang w:val="nl-NL"/>
        </w:rPr>
      </w:pPr>
      <w:r w:rsidRPr="00BB7074">
        <w:rPr>
          <w:rFonts w:ascii="Verdana" w:hAnsi="Verdana"/>
          <w:sz w:val="18"/>
          <w:szCs w:val="18"/>
          <w:lang w:val="nl-NL"/>
        </w:rPr>
        <w:t xml:space="preserve">Het tweede lid regelt voor het geval </w:t>
      </w:r>
      <w:r w:rsidRPr="00BB7074" w:rsidR="00CC68E6">
        <w:rPr>
          <w:rFonts w:ascii="Verdana" w:hAnsi="Verdana"/>
          <w:sz w:val="18"/>
          <w:szCs w:val="18"/>
          <w:lang w:val="nl-NL"/>
        </w:rPr>
        <w:t xml:space="preserve">dat </w:t>
      </w:r>
      <w:r w:rsidRPr="00BB7074">
        <w:rPr>
          <w:rFonts w:ascii="Verdana" w:hAnsi="Verdana"/>
          <w:sz w:val="18"/>
          <w:szCs w:val="18"/>
          <w:lang w:val="nl-NL"/>
        </w:rPr>
        <w:t>een inwoner van Nederland een aangifte inkomstenbelasting moet doen in Colombia, dat de tweejaarstermijn start op het moment dat de aangifte over het belastingjaar waarin de bronheffing plaatsvond, uiterlijk moet worden ingediend.</w:t>
      </w:r>
    </w:p>
    <w:p w:rsidRPr="00BB7074" w:rsidR="006714AA" w:rsidP="00B603B8" w:rsidRDefault="00162B8B" w14:paraId="2D5D17C5" w14:textId="7DFBC089">
      <w:pPr>
        <w:pStyle w:val="Heading2"/>
        <w:rPr>
          <w:lang w:val="nl-NL"/>
        </w:rPr>
      </w:pPr>
      <w:r w:rsidRPr="00BB7074">
        <w:rPr>
          <w:lang w:val="nl-NL"/>
        </w:rPr>
        <w:t>II.</w:t>
      </w:r>
      <w:r w:rsidR="00BD74F3">
        <w:rPr>
          <w:lang w:val="nl-NL"/>
        </w:rPr>
        <w:t>3</w:t>
      </w:r>
      <w:r w:rsidRPr="00BB7074">
        <w:rPr>
          <w:lang w:val="nl-NL"/>
        </w:rPr>
        <w:t xml:space="preserve">4. </w:t>
      </w:r>
      <w:r w:rsidR="00C63294">
        <w:rPr>
          <w:lang w:val="nl-NL"/>
        </w:rPr>
        <w:t>Inkomen uit aandelen (</w:t>
      </w:r>
      <w:r w:rsidRPr="00BB7074" w:rsidR="006714AA">
        <w:rPr>
          <w:lang w:val="nl-NL"/>
        </w:rPr>
        <w:t>Artikel</w:t>
      </w:r>
      <w:r w:rsidRPr="00BB7074" w:rsidR="009F707D">
        <w:rPr>
          <w:lang w:val="nl-NL"/>
        </w:rPr>
        <w:t xml:space="preserve"> X</w:t>
      </w:r>
      <w:r w:rsidRPr="00BB7074" w:rsidR="006714AA">
        <w:rPr>
          <w:lang w:val="nl-NL"/>
        </w:rPr>
        <w:t xml:space="preserve"> </w:t>
      </w:r>
      <w:r w:rsidR="00C63294">
        <w:rPr>
          <w:lang w:val="nl-NL"/>
        </w:rPr>
        <w:t>van het Protocol)</w:t>
      </w:r>
    </w:p>
    <w:p w:rsidRPr="00BB7074" w:rsidR="006714AA" w:rsidP="003A025B" w:rsidRDefault="0056412C" w14:paraId="0F1041D6" w14:textId="79C281DA">
      <w:pPr>
        <w:rPr>
          <w:rFonts w:ascii="Verdana" w:hAnsi="Verdana"/>
          <w:sz w:val="18"/>
          <w:szCs w:val="18"/>
          <w:lang w:val="nl-NL"/>
        </w:rPr>
      </w:pPr>
      <w:r w:rsidRPr="00BB7074">
        <w:rPr>
          <w:rFonts w:ascii="Verdana" w:hAnsi="Verdana"/>
          <w:sz w:val="18"/>
          <w:szCs w:val="18"/>
          <w:lang w:val="nl-NL"/>
        </w:rPr>
        <w:t>Op verzoek van Nederland is hier afgesproken dat voor de toepassing van het Verdrag betaling</w:t>
      </w:r>
      <w:r w:rsidRPr="00BB7074" w:rsidR="00432D1C">
        <w:rPr>
          <w:rFonts w:ascii="Verdana" w:hAnsi="Verdana"/>
          <w:sz w:val="18"/>
          <w:szCs w:val="18"/>
          <w:lang w:val="nl-NL"/>
        </w:rPr>
        <w:t>en</w:t>
      </w:r>
      <w:r w:rsidRPr="00BB7074">
        <w:rPr>
          <w:rFonts w:ascii="Verdana" w:hAnsi="Verdana"/>
          <w:sz w:val="18"/>
          <w:szCs w:val="18"/>
          <w:lang w:val="nl-NL"/>
        </w:rPr>
        <w:t xml:space="preserve"> in het kader van een liquidatie van</w:t>
      </w:r>
      <w:r w:rsidRPr="00BB7074" w:rsidR="00432D1C">
        <w:rPr>
          <w:rFonts w:ascii="Verdana" w:hAnsi="Verdana"/>
          <w:sz w:val="18"/>
          <w:szCs w:val="18"/>
          <w:lang w:val="nl-NL"/>
        </w:rPr>
        <w:t>,</w:t>
      </w:r>
      <w:r w:rsidRPr="00BB7074">
        <w:rPr>
          <w:rFonts w:ascii="Verdana" w:hAnsi="Verdana"/>
          <w:sz w:val="18"/>
          <w:szCs w:val="18"/>
          <w:lang w:val="nl-NL"/>
        </w:rPr>
        <w:t xml:space="preserve"> of een inkoop van eigen aandelen in</w:t>
      </w:r>
      <w:r w:rsidRPr="00BB7074" w:rsidR="00432D1C">
        <w:rPr>
          <w:rFonts w:ascii="Verdana" w:hAnsi="Verdana"/>
          <w:sz w:val="18"/>
          <w:szCs w:val="18"/>
          <w:lang w:val="nl-NL"/>
        </w:rPr>
        <w:t>,</w:t>
      </w:r>
      <w:r w:rsidRPr="00BB7074">
        <w:rPr>
          <w:rFonts w:ascii="Verdana" w:hAnsi="Verdana"/>
          <w:sz w:val="18"/>
          <w:szCs w:val="18"/>
          <w:lang w:val="nl-NL"/>
        </w:rPr>
        <w:t xml:space="preserve"> een Nederlandse vennootschap worden aangemerkt als inkomen uit aandelen en niet als </w:t>
      </w:r>
      <w:r w:rsidRPr="00BB7074">
        <w:rPr>
          <w:rFonts w:ascii="Verdana" w:hAnsi="Verdana"/>
          <w:sz w:val="18"/>
          <w:szCs w:val="18"/>
          <w:lang w:val="nl-NL"/>
        </w:rPr>
        <w:lastRenderedPageBreak/>
        <w:t>vermogenswinst.</w:t>
      </w:r>
      <w:r w:rsidR="00821B7A">
        <w:rPr>
          <w:rFonts w:ascii="Verdana" w:hAnsi="Verdana"/>
          <w:sz w:val="18"/>
          <w:szCs w:val="18"/>
          <w:lang w:val="nl-NL"/>
        </w:rPr>
        <w:t xml:space="preserve"> Daarmee wordt beoogd te bereiken dat dergelijke betaling</w:t>
      </w:r>
      <w:r w:rsidR="005672D9">
        <w:rPr>
          <w:rFonts w:ascii="Verdana" w:hAnsi="Verdana"/>
          <w:sz w:val="18"/>
          <w:szCs w:val="18"/>
          <w:lang w:val="nl-NL"/>
        </w:rPr>
        <w:t>en</w:t>
      </w:r>
      <w:r w:rsidR="00821B7A">
        <w:rPr>
          <w:rFonts w:ascii="Verdana" w:hAnsi="Verdana"/>
          <w:sz w:val="18"/>
          <w:szCs w:val="18"/>
          <w:lang w:val="nl-NL"/>
        </w:rPr>
        <w:t xml:space="preserve"> onder artikel 10 (</w:t>
      </w:r>
      <w:r w:rsidR="005672D9">
        <w:rPr>
          <w:rFonts w:ascii="Verdana" w:hAnsi="Verdana"/>
          <w:sz w:val="18"/>
          <w:szCs w:val="18"/>
          <w:lang w:val="nl-NL"/>
        </w:rPr>
        <w:t>D</w:t>
      </w:r>
      <w:r w:rsidR="00821B7A">
        <w:rPr>
          <w:rFonts w:ascii="Verdana" w:hAnsi="Verdana"/>
          <w:sz w:val="18"/>
          <w:szCs w:val="18"/>
          <w:lang w:val="nl-NL"/>
        </w:rPr>
        <w:t>ividenden) van het Verdrag vallen en niet onder artikel 13 (</w:t>
      </w:r>
      <w:r w:rsidR="005672D9">
        <w:rPr>
          <w:rFonts w:ascii="Verdana" w:hAnsi="Verdana"/>
          <w:sz w:val="18"/>
          <w:szCs w:val="18"/>
          <w:lang w:val="nl-NL"/>
        </w:rPr>
        <w:t>V</w:t>
      </w:r>
      <w:r w:rsidR="00821B7A">
        <w:rPr>
          <w:rFonts w:ascii="Verdana" w:hAnsi="Verdana"/>
          <w:sz w:val="18"/>
          <w:szCs w:val="18"/>
          <w:lang w:val="nl-NL"/>
        </w:rPr>
        <w:t>ermogenswinsten).</w:t>
      </w:r>
    </w:p>
    <w:p w:rsidRPr="00BB7074" w:rsidR="006714AA" w:rsidP="00B603B8" w:rsidRDefault="00162B8B" w14:paraId="7C000625" w14:textId="7556E391">
      <w:pPr>
        <w:pStyle w:val="Heading2"/>
        <w:rPr>
          <w:lang w:val="nl-NL"/>
        </w:rPr>
      </w:pPr>
      <w:r w:rsidRPr="00BB7074">
        <w:rPr>
          <w:lang w:val="nl-NL"/>
        </w:rPr>
        <w:t>II.3</w:t>
      </w:r>
      <w:r w:rsidR="00BD74F3">
        <w:rPr>
          <w:lang w:val="nl-NL"/>
        </w:rPr>
        <w:t>5</w:t>
      </w:r>
      <w:r w:rsidRPr="00BB7074">
        <w:rPr>
          <w:lang w:val="nl-NL"/>
        </w:rPr>
        <w:t xml:space="preserve">. </w:t>
      </w:r>
      <w:r w:rsidR="00710AA8">
        <w:rPr>
          <w:lang w:val="nl-NL"/>
        </w:rPr>
        <w:t xml:space="preserve">Overheidsinkomen </w:t>
      </w:r>
      <w:r w:rsidR="00C63294">
        <w:rPr>
          <w:lang w:val="nl-NL"/>
        </w:rPr>
        <w:t>(a</w:t>
      </w:r>
      <w:r w:rsidRPr="00BB7074" w:rsidR="006714AA">
        <w:rPr>
          <w:lang w:val="nl-NL"/>
        </w:rPr>
        <w:t xml:space="preserve">rtikel </w:t>
      </w:r>
      <w:r w:rsidRPr="00BB7074" w:rsidR="009F707D">
        <w:rPr>
          <w:lang w:val="nl-NL"/>
        </w:rPr>
        <w:t>XII</w:t>
      </w:r>
      <w:r w:rsidRPr="00BB7074" w:rsidR="006714AA">
        <w:rPr>
          <w:lang w:val="nl-NL"/>
        </w:rPr>
        <w:t xml:space="preserve"> </w:t>
      </w:r>
      <w:r w:rsidR="00C63294">
        <w:rPr>
          <w:lang w:val="nl-NL"/>
        </w:rPr>
        <w:t>van het Protocol)</w:t>
      </w:r>
    </w:p>
    <w:p w:rsidRPr="00BB7074" w:rsidR="006714AA" w:rsidP="003A025B" w:rsidRDefault="00DB265C" w14:paraId="40D72DD7" w14:textId="34C37B11">
      <w:pPr>
        <w:rPr>
          <w:rFonts w:ascii="Verdana" w:hAnsi="Verdana"/>
          <w:sz w:val="18"/>
          <w:szCs w:val="18"/>
          <w:lang w:val="nl-NL"/>
        </w:rPr>
      </w:pPr>
      <w:r w:rsidRPr="00BB7074">
        <w:rPr>
          <w:rFonts w:ascii="Verdana" w:hAnsi="Verdana"/>
          <w:sz w:val="18"/>
          <w:szCs w:val="18"/>
          <w:lang w:val="nl-NL"/>
        </w:rPr>
        <w:t xml:space="preserve">Dit </w:t>
      </w:r>
      <w:r w:rsidRPr="00BB7074" w:rsidR="00CC68E6">
        <w:rPr>
          <w:rFonts w:ascii="Verdana" w:hAnsi="Verdana"/>
          <w:sz w:val="18"/>
          <w:szCs w:val="18"/>
          <w:lang w:val="nl-NL"/>
        </w:rPr>
        <w:t>a</w:t>
      </w:r>
      <w:r w:rsidRPr="00BB7074">
        <w:rPr>
          <w:rFonts w:ascii="Verdana" w:hAnsi="Verdana"/>
          <w:sz w:val="18"/>
          <w:szCs w:val="18"/>
          <w:lang w:val="nl-NL"/>
        </w:rPr>
        <w:t xml:space="preserve">rtikel </w:t>
      </w:r>
      <w:r w:rsidRPr="00BB7074" w:rsidR="00CC68E6">
        <w:rPr>
          <w:rFonts w:ascii="Verdana" w:hAnsi="Verdana"/>
          <w:sz w:val="18"/>
          <w:szCs w:val="18"/>
          <w:lang w:val="nl-NL"/>
        </w:rPr>
        <w:t>stelt zeker</w:t>
      </w:r>
      <w:r w:rsidRPr="00BB7074">
        <w:rPr>
          <w:rFonts w:ascii="Verdana" w:hAnsi="Verdana"/>
          <w:sz w:val="18"/>
          <w:szCs w:val="18"/>
          <w:lang w:val="nl-NL"/>
        </w:rPr>
        <w:t xml:space="preserve"> dat ook overheidsinkomen dat op grond van </w:t>
      </w:r>
      <w:r w:rsidRPr="00BB7074" w:rsidR="00CC68E6">
        <w:rPr>
          <w:rFonts w:ascii="Verdana" w:hAnsi="Verdana"/>
          <w:sz w:val="18"/>
          <w:szCs w:val="18"/>
          <w:lang w:val="nl-NL"/>
        </w:rPr>
        <w:t>a</w:t>
      </w:r>
      <w:r w:rsidRPr="00BB7074">
        <w:rPr>
          <w:rFonts w:ascii="Verdana" w:hAnsi="Verdana"/>
          <w:sz w:val="18"/>
          <w:szCs w:val="18"/>
          <w:lang w:val="nl-NL"/>
        </w:rPr>
        <w:t xml:space="preserve">rtikel 18 </w:t>
      </w:r>
      <w:r w:rsidRPr="00BB7074" w:rsidR="00CC68E6">
        <w:rPr>
          <w:rFonts w:ascii="Verdana" w:hAnsi="Verdana"/>
          <w:sz w:val="18"/>
          <w:szCs w:val="18"/>
          <w:lang w:val="nl-NL"/>
        </w:rPr>
        <w:t xml:space="preserve">van het Verdrag </w:t>
      </w:r>
      <w:r w:rsidRPr="00BB7074">
        <w:rPr>
          <w:rFonts w:ascii="Verdana" w:hAnsi="Verdana"/>
          <w:sz w:val="18"/>
          <w:szCs w:val="18"/>
          <w:lang w:val="nl-NL"/>
        </w:rPr>
        <w:t xml:space="preserve">uitsluitend in de andere </w:t>
      </w:r>
      <w:r w:rsidRPr="00BB7074" w:rsidR="00CC68E6">
        <w:rPr>
          <w:rFonts w:ascii="Verdana" w:hAnsi="Verdana"/>
          <w:sz w:val="18"/>
          <w:szCs w:val="18"/>
          <w:lang w:val="nl-NL"/>
        </w:rPr>
        <w:t xml:space="preserve">verdragsluitende </w:t>
      </w:r>
      <w:r w:rsidRPr="00BB7074" w:rsidR="008B5BF7">
        <w:rPr>
          <w:rFonts w:ascii="Verdana" w:hAnsi="Verdana"/>
          <w:sz w:val="18"/>
          <w:szCs w:val="18"/>
          <w:lang w:val="nl-NL"/>
        </w:rPr>
        <w:t>staat</w:t>
      </w:r>
      <w:r w:rsidRPr="00BB7074">
        <w:rPr>
          <w:rFonts w:ascii="Verdana" w:hAnsi="Verdana"/>
          <w:sz w:val="18"/>
          <w:szCs w:val="18"/>
          <w:lang w:val="nl-NL"/>
        </w:rPr>
        <w:t xml:space="preserve"> </w:t>
      </w:r>
      <w:r w:rsidRPr="00BB7074" w:rsidR="002C4BDD">
        <w:rPr>
          <w:rFonts w:ascii="Verdana" w:hAnsi="Verdana"/>
          <w:sz w:val="18"/>
          <w:szCs w:val="18"/>
          <w:lang w:val="nl-NL"/>
        </w:rPr>
        <w:t xml:space="preserve">(Colombia) </w:t>
      </w:r>
      <w:r w:rsidRPr="00BB7074">
        <w:rPr>
          <w:rFonts w:ascii="Verdana" w:hAnsi="Verdana"/>
          <w:sz w:val="18"/>
          <w:szCs w:val="18"/>
          <w:lang w:val="nl-NL"/>
        </w:rPr>
        <w:t xml:space="preserve">belast mag worden, op grond van </w:t>
      </w:r>
      <w:r w:rsidRPr="00BB7074" w:rsidR="00CC68E6">
        <w:rPr>
          <w:rFonts w:ascii="Verdana" w:hAnsi="Verdana"/>
          <w:sz w:val="18"/>
          <w:szCs w:val="18"/>
          <w:lang w:val="nl-NL"/>
        </w:rPr>
        <w:t>a</w:t>
      </w:r>
      <w:r w:rsidRPr="00BB7074">
        <w:rPr>
          <w:rFonts w:ascii="Verdana" w:hAnsi="Verdana"/>
          <w:sz w:val="18"/>
          <w:szCs w:val="18"/>
          <w:lang w:val="nl-NL"/>
        </w:rPr>
        <w:t xml:space="preserve">rtikel 21 </w:t>
      </w:r>
      <w:r w:rsidRPr="00BB7074" w:rsidR="00CC68E6">
        <w:rPr>
          <w:rFonts w:ascii="Verdana" w:hAnsi="Verdana"/>
          <w:sz w:val="18"/>
          <w:szCs w:val="18"/>
          <w:lang w:val="nl-NL"/>
        </w:rPr>
        <w:t xml:space="preserve">van het Verdrag </w:t>
      </w:r>
      <w:r w:rsidRPr="00BB7074">
        <w:rPr>
          <w:rFonts w:ascii="Verdana" w:hAnsi="Verdana"/>
          <w:sz w:val="18"/>
          <w:szCs w:val="18"/>
          <w:lang w:val="nl-NL"/>
        </w:rPr>
        <w:t xml:space="preserve">meegeteld mag worden voor de bepaling van het tarief waartegen ander inkomen </w:t>
      </w:r>
      <w:r w:rsidRPr="00BB7074" w:rsidR="002C4BDD">
        <w:rPr>
          <w:rFonts w:ascii="Verdana" w:hAnsi="Verdana"/>
          <w:sz w:val="18"/>
          <w:szCs w:val="18"/>
          <w:lang w:val="nl-NL"/>
        </w:rPr>
        <w:t xml:space="preserve">in Nederland </w:t>
      </w:r>
      <w:r w:rsidRPr="00BB7074">
        <w:rPr>
          <w:rFonts w:ascii="Verdana" w:hAnsi="Verdana"/>
          <w:sz w:val="18"/>
          <w:szCs w:val="18"/>
          <w:lang w:val="nl-NL"/>
        </w:rPr>
        <w:t xml:space="preserve">belast wordt (het zogenoemde progressievoorbehoud). </w:t>
      </w:r>
    </w:p>
    <w:p w:rsidRPr="00BB7074" w:rsidR="009F707D" w:rsidP="00ED2881" w:rsidRDefault="009F707D" w14:paraId="0B9613D7" w14:textId="4420D487">
      <w:pPr>
        <w:ind w:left="709" w:firstLine="0"/>
        <w:rPr>
          <w:rFonts w:ascii="Verdana" w:hAnsi="Verdana"/>
          <w:sz w:val="18"/>
          <w:szCs w:val="18"/>
          <w:lang w:val="nl-NL"/>
        </w:rPr>
      </w:pPr>
    </w:p>
    <w:p w:rsidRPr="00BB7074" w:rsidR="009F707D" w:rsidP="00ED2881" w:rsidRDefault="009F707D" w14:paraId="3A86063A" w14:textId="23484587">
      <w:pPr>
        <w:ind w:left="709" w:firstLine="0"/>
        <w:rPr>
          <w:rFonts w:ascii="Verdana" w:hAnsi="Verdana"/>
          <w:sz w:val="18"/>
          <w:szCs w:val="18"/>
          <w:lang w:val="nl-NL"/>
        </w:rPr>
      </w:pPr>
    </w:p>
    <w:p w:rsidRPr="00BB7074" w:rsidR="003F4AAD" w:rsidP="003F4AAD" w:rsidRDefault="003F4AAD" w14:paraId="42E46BF7" w14:textId="64FAFEEF">
      <w:pPr>
        <w:ind w:left="709" w:firstLine="0"/>
        <w:rPr>
          <w:rFonts w:ascii="Verdana" w:hAnsi="Verdana"/>
          <w:sz w:val="18"/>
          <w:szCs w:val="18"/>
          <w:lang w:val="nl-NL"/>
        </w:rPr>
      </w:pPr>
      <w:r w:rsidRPr="00BB7074">
        <w:rPr>
          <w:rFonts w:ascii="Verdana" w:hAnsi="Verdana"/>
          <w:sz w:val="18"/>
          <w:szCs w:val="18"/>
          <w:lang w:val="nl-NL"/>
        </w:rPr>
        <w:t>De Staatssecretaris van Financiën,</w:t>
      </w:r>
    </w:p>
    <w:p w:rsidRPr="00BB7074" w:rsidR="003F4AAD" w:rsidP="003F4AAD" w:rsidRDefault="003F4AAD" w14:paraId="500EB2AE" w14:textId="77777777">
      <w:pPr>
        <w:ind w:left="709" w:firstLine="0"/>
        <w:rPr>
          <w:rFonts w:ascii="Verdana" w:hAnsi="Verdana"/>
          <w:sz w:val="18"/>
          <w:szCs w:val="18"/>
          <w:lang w:val="nl-NL"/>
        </w:rPr>
      </w:pPr>
    </w:p>
    <w:p w:rsidRPr="00BB7074" w:rsidR="003F4AAD" w:rsidP="003F4AAD" w:rsidRDefault="003F4AAD" w14:paraId="5EE98FC8" w14:textId="77777777">
      <w:pPr>
        <w:ind w:left="709" w:firstLine="0"/>
        <w:rPr>
          <w:rFonts w:ascii="Verdana" w:hAnsi="Verdana"/>
          <w:sz w:val="18"/>
          <w:szCs w:val="18"/>
          <w:lang w:val="nl-NL"/>
        </w:rPr>
      </w:pPr>
    </w:p>
    <w:p w:rsidRPr="00BB7074" w:rsidR="003F4AAD" w:rsidP="003F4AAD" w:rsidRDefault="003F4AAD" w14:paraId="413DCBF0" w14:textId="77777777">
      <w:pPr>
        <w:ind w:left="709" w:firstLine="0"/>
        <w:rPr>
          <w:rFonts w:ascii="Verdana" w:hAnsi="Verdana"/>
          <w:sz w:val="18"/>
          <w:szCs w:val="18"/>
          <w:lang w:val="nl-NL"/>
        </w:rPr>
      </w:pPr>
    </w:p>
    <w:p w:rsidRPr="00BB7074" w:rsidR="003F4AAD" w:rsidP="003F4AAD" w:rsidRDefault="003F4AAD" w14:paraId="7AC59FAF" w14:textId="77777777">
      <w:pPr>
        <w:ind w:left="709" w:firstLine="0"/>
        <w:rPr>
          <w:rFonts w:ascii="Verdana" w:hAnsi="Verdana"/>
          <w:sz w:val="18"/>
          <w:szCs w:val="18"/>
          <w:lang w:val="nl-NL"/>
        </w:rPr>
      </w:pPr>
    </w:p>
    <w:p w:rsidRPr="00BB7074" w:rsidR="009F707D" w:rsidP="003F4AAD" w:rsidRDefault="003F4AAD" w14:paraId="26A01254" w14:textId="0A8BF330">
      <w:pPr>
        <w:ind w:left="709" w:firstLine="0"/>
        <w:rPr>
          <w:rFonts w:ascii="Verdana" w:hAnsi="Verdana"/>
          <w:sz w:val="18"/>
          <w:szCs w:val="18"/>
          <w:lang w:val="nl-NL"/>
        </w:rPr>
      </w:pPr>
      <w:r w:rsidRPr="00BB7074">
        <w:rPr>
          <w:rFonts w:ascii="Verdana" w:hAnsi="Verdana"/>
          <w:sz w:val="18"/>
          <w:szCs w:val="18"/>
          <w:lang w:val="nl-NL"/>
        </w:rPr>
        <w:t>De Minister van Buitenlandse Zaken,</w:t>
      </w:r>
    </w:p>
    <w:p w:rsidRPr="00BB7074" w:rsidR="0092156D" w:rsidP="0092156D" w:rsidRDefault="0092156D" w14:paraId="106E34F1" w14:textId="05EA6270">
      <w:pPr>
        <w:spacing w:line="240" w:lineRule="auto"/>
        <w:ind w:firstLine="0"/>
        <w:rPr>
          <w:rFonts w:ascii="Verdana" w:hAnsi="Verdana"/>
          <w:sz w:val="18"/>
          <w:szCs w:val="18"/>
          <w:lang w:val="nl-NL"/>
        </w:rPr>
      </w:pPr>
    </w:p>
    <w:sectPr w:rsidRPr="00BB7074" w:rsidR="0092156D" w:rsidSect="00E80A06">
      <w:footerReference w:type="default" r:id="rId8"/>
      <w:pgSz w:w="11906" w:h="16838"/>
      <w:pgMar w:top="1276"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BE374" w14:textId="77777777" w:rsidR="00074A85" w:rsidRDefault="00074A85">
      <w:pPr>
        <w:spacing w:line="240" w:lineRule="auto"/>
      </w:pPr>
      <w:r>
        <w:separator/>
      </w:r>
    </w:p>
  </w:endnote>
  <w:endnote w:type="continuationSeparator" w:id="0">
    <w:p w14:paraId="354F55E6" w14:textId="77777777" w:rsidR="00074A85" w:rsidRDefault="00074A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NIEI F+ Univers">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FBC0B" w14:textId="09A78CFB" w:rsidR="00074A85" w:rsidRPr="006B3122" w:rsidRDefault="00074A85" w:rsidP="006B3122">
    <w:pPr>
      <w:pStyle w:val="Footer"/>
      <w:ind w:firstLine="0"/>
      <w:rPr>
        <w:lang w:val="nl-NL"/>
      </w:rPr>
    </w:pPr>
    <w:r>
      <w:rPr>
        <w:lang w:val="nl-N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62DEE" w14:textId="77777777" w:rsidR="00074A85" w:rsidRDefault="00074A85">
      <w:pPr>
        <w:spacing w:line="240" w:lineRule="auto"/>
      </w:pPr>
      <w:r>
        <w:separator/>
      </w:r>
    </w:p>
  </w:footnote>
  <w:footnote w:type="continuationSeparator" w:id="0">
    <w:p w14:paraId="2B7A308B" w14:textId="77777777" w:rsidR="00074A85" w:rsidRDefault="00074A85">
      <w:pPr>
        <w:spacing w:line="240" w:lineRule="auto"/>
      </w:pPr>
      <w:r>
        <w:continuationSeparator/>
      </w:r>
    </w:p>
  </w:footnote>
  <w:footnote w:id="1">
    <w:p w14:paraId="741F0912" w14:textId="2E05A50C" w:rsidR="00074A85" w:rsidRPr="00C43523" w:rsidRDefault="00074A85" w:rsidP="00FC346A">
      <w:pPr>
        <w:pStyle w:val="FootnoteText"/>
        <w:spacing w:line="240" w:lineRule="auto"/>
        <w:ind w:firstLine="0"/>
        <w:rPr>
          <w:rFonts w:ascii="Verdana" w:hAnsi="Verdana" w:cs="Arial"/>
          <w:sz w:val="16"/>
          <w:szCs w:val="16"/>
          <w:lang w:val="nl-NL"/>
        </w:rPr>
      </w:pPr>
      <w:r w:rsidRPr="00C43523">
        <w:rPr>
          <w:rFonts w:ascii="Verdana" w:hAnsi="Verdana" w:cs="Arial"/>
          <w:sz w:val="16"/>
          <w:szCs w:val="16"/>
          <w:vertAlign w:val="superscript"/>
          <w:lang w:val="nl-NL"/>
        </w:rPr>
        <w:footnoteRef/>
      </w:r>
      <w:r w:rsidRPr="00C43523">
        <w:rPr>
          <w:rFonts w:ascii="Verdana" w:hAnsi="Verdana" w:cs="Arial"/>
          <w:sz w:val="16"/>
          <w:szCs w:val="16"/>
          <w:lang w:val="nl-NL"/>
        </w:rPr>
        <w:t xml:space="preserve"> Bijlage bij Kamerstukken II 2019/20, 25087, nr</w:t>
      </w:r>
      <w:r>
        <w:rPr>
          <w:rFonts w:ascii="Verdana" w:hAnsi="Verdana" w:cs="Arial"/>
          <w:sz w:val="16"/>
          <w:szCs w:val="16"/>
          <w:lang w:val="nl-NL"/>
        </w:rPr>
        <w:t>.</w:t>
      </w:r>
      <w:r w:rsidRPr="00C43523">
        <w:rPr>
          <w:rFonts w:ascii="Verdana" w:hAnsi="Verdana" w:cs="Arial"/>
          <w:sz w:val="16"/>
          <w:szCs w:val="16"/>
          <w:lang w:val="nl-NL"/>
        </w:rPr>
        <w:t xml:space="preserve"> 256.</w:t>
      </w:r>
      <w:r w:rsidRPr="00C43523">
        <w:rPr>
          <w:rFonts w:ascii="Verdana" w:hAnsi="Verdana"/>
          <w:color w:val="1F497D"/>
          <w:sz w:val="16"/>
          <w:szCs w:val="16"/>
          <w:lang w:val="nl-NL"/>
        </w:rPr>
        <w:t xml:space="preserve"> </w:t>
      </w:r>
    </w:p>
  </w:footnote>
  <w:footnote w:id="2">
    <w:p w14:paraId="6A3D1D63" w14:textId="5E0E0EE9" w:rsidR="00074A85" w:rsidRPr="00C43523" w:rsidRDefault="00074A85" w:rsidP="00FC346A">
      <w:pPr>
        <w:pStyle w:val="FootnoteText"/>
        <w:spacing w:line="240" w:lineRule="auto"/>
        <w:ind w:firstLine="0"/>
        <w:rPr>
          <w:rFonts w:ascii="Verdana" w:hAnsi="Verdana" w:cs="Arial"/>
          <w:sz w:val="16"/>
          <w:szCs w:val="16"/>
          <w:lang w:val="nl-NL"/>
        </w:rPr>
      </w:pPr>
      <w:r w:rsidRPr="00C43523">
        <w:rPr>
          <w:rFonts w:ascii="Verdana" w:hAnsi="Verdana" w:cs="Arial"/>
          <w:sz w:val="16"/>
          <w:szCs w:val="16"/>
          <w:vertAlign w:val="superscript"/>
          <w:lang w:val="nl-NL"/>
        </w:rPr>
        <w:footnoteRef/>
      </w:r>
      <w:r w:rsidRPr="00C43523">
        <w:rPr>
          <w:rFonts w:ascii="Verdana" w:hAnsi="Verdana" w:cs="Arial"/>
          <w:sz w:val="16"/>
          <w:szCs w:val="16"/>
          <w:lang w:val="nl-NL"/>
        </w:rPr>
        <w:t xml:space="preserve"> Bijlage bij Kamerstukken II 2010/11, 25087, nr. 7.</w:t>
      </w:r>
    </w:p>
  </w:footnote>
  <w:footnote w:id="3">
    <w:p w14:paraId="524EFA41" w14:textId="59636E93" w:rsidR="00074A85" w:rsidRPr="00C43523" w:rsidRDefault="00074A85" w:rsidP="00FC346A">
      <w:pPr>
        <w:pStyle w:val="FootnoteText"/>
        <w:spacing w:line="240" w:lineRule="auto"/>
        <w:ind w:firstLine="0"/>
        <w:rPr>
          <w:rFonts w:ascii="Verdana" w:hAnsi="Verdana" w:cs="Arial"/>
          <w:sz w:val="16"/>
          <w:szCs w:val="16"/>
          <w:lang w:val="nl-NL"/>
        </w:rPr>
      </w:pPr>
      <w:r w:rsidRPr="00C43523">
        <w:rPr>
          <w:rStyle w:val="FootnoteReference"/>
          <w:rFonts w:ascii="Verdana" w:hAnsi="Verdana" w:cs="Arial"/>
          <w:sz w:val="16"/>
          <w:szCs w:val="16"/>
        </w:rPr>
        <w:footnoteRef/>
      </w:r>
      <w:r w:rsidRPr="00C43523">
        <w:rPr>
          <w:rFonts w:ascii="Verdana" w:hAnsi="Verdana" w:cs="Arial"/>
          <w:sz w:val="16"/>
          <w:szCs w:val="16"/>
          <w:lang w:val="nl-NL"/>
        </w:rPr>
        <w:t xml:space="preserve"> Kamerstukken II 2015/16, 25087, nr. 112.</w:t>
      </w:r>
    </w:p>
  </w:footnote>
  <w:footnote w:id="4">
    <w:p w14:paraId="3AE375E4" w14:textId="5695DD89" w:rsidR="00074A85" w:rsidRPr="00C43523" w:rsidRDefault="00074A85" w:rsidP="00FC346A">
      <w:pPr>
        <w:pStyle w:val="FootnoteText"/>
        <w:spacing w:line="240" w:lineRule="auto"/>
        <w:ind w:firstLine="0"/>
        <w:rPr>
          <w:rFonts w:ascii="Verdana" w:hAnsi="Verdana" w:cs="Arial"/>
          <w:sz w:val="16"/>
          <w:szCs w:val="16"/>
          <w:lang w:val="nl-NL"/>
        </w:rPr>
      </w:pPr>
      <w:r w:rsidRPr="00C43523">
        <w:rPr>
          <w:rStyle w:val="FootnoteReference"/>
          <w:rFonts w:ascii="Verdana" w:hAnsi="Verdana" w:cs="Arial"/>
          <w:sz w:val="16"/>
          <w:szCs w:val="16"/>
        </w:rPr>
        <w:footnoteRef/>
      </w:r>
      <w:r w:rsidRPr="00C43523">
        <w:rPr>
          <w:rFonts w:ascii="Verdana" w:hAnsi="Verdana" w:cs="Arial"/>
          <w:sz w:val="16"/>
          <w:szCs w:val="16"/>
          <w:lang w:val="nl-NL"/>
        </w:rPr>
        <w:t xml:space="preserve"> Kamerstukken II 2016/17, 25087, nr. 135. </w:t>
      </w:r>
    </w:p>
  </w:footnote>
  <w:footnote w:id="5">
    <w:p w14:paraId="42565EB8" w14:textId="004701D9" w:rsidR="00074A85" w:rsidRPr="00C26EA3" w:rsidRDefault="00074A85" w:rsidP="00FC346A">
      <w:pPr>
        <w:pStyle w:val="FootnoteText"/>
        <w:spacing w:line="240" w:lineRule="auto"/>
        <w:ind w:firstLine="0"/>
        <w:rPr>
          <w:rFonts w:ascii="Verdana" w:hAnsi="Verdana"/>
          <w:sz w:val="16"/>
          <w:szCs w:val="16"/>
          <w:lang w:val="nl-NL"/>
        </w:rPr>
      </w:pPr>
      <w:r w:rsidRPr="00C43523">
        <w:rPr>
          <w:rStyle w:val="FootnoteReference"/>
          <w:rFonts w:ascii="Verdana" w:hAnsi="Verdana"/>
          <w:sz w:val="16"/>
          <w:szCs w:val="16"/>
        </w:rPr>
        <w:footnoteRef/>
      </w:r>
      <w:r w:rsidRPr="00C26EA3">
        <w:rPr>
          <w:rFonts w:ascii="Verdana" w:hAnsi="Verdana"/>
          <w:sz w:val="16"/>
          <w:szCs w:val="16"/>
          <w:lang w:val="nl-NL"/>
        </w:rPr>
        <w:t xml:space="preserve"> Kamerstukken II 2010/11, 25087, nr. 8 (Van Vliet, PVV).</w:t>
      </w:r>
    </w:p>
  </w:footnote>
  <w:footnote w:id="6">
    <w:p w14:paraId="6C80C1AF" w14:textId="1AB5027A" w:rsidR="00074A85" w:rsidRPr="00BD5F29" w:rsidRDefault="00074A85" w:rsidP="00FC346A">
      <w:pPr>
        <w:pStyle w:val="FootnoteText"/>
        <w:spacing w:line="240" w:lineRule="auto"/>
        <w:ind w:firstLine="0"/>
        <w:rPr>
          <w:rStyle w:val="FootnoteReference"/>
          <w:rFonts w:ascii="Verdana" w:hAnsi="Verdana" w:cs="Arial"/>
          <w:sz w:val="16"/>
          <w:szCs w:val="16"/>
          <w:vertAlign w:val="baseline"/>
          <w:lang w:val="nl-NL"/>
        </w:rPr>
      </w:pPr>
      <w:r w:rsidRPr="00BD5F29">
        <w:rPr>
          <w:rStyle w:val="FootnoteReference"/>
          <w:rFonts w:ascii="Verdana" w:hAnsi="Verdana" w:cs="Arial"/>
          <w:sz w:val="16"/>
          <w:szCs w:val="16"/>
        </w:rPr>
        <w:footnoteRef/>
      </w:r>
      <w:r w:rsidRPr="00BD5F29">
        <w:rPr>
          <w:rStyle w:val="FootnoteReference"/>
          <w:rFonts w:ascii="Verdana" w:hAnsi="Verdana" w:cs="Arial"/>
          <w:sz w:val="16"/>
          <w:szCs w:val="16"/>
          <w:vertAlign w:val="baseline"/>
          <w:lang w:val="nl-NL"/>
        </w:rPr>
        <w:t xml:space="preserve"> Colombi</w:t>
      </w:r>
      <w:r w:rsidRPr="00BD5F29">
        <w:rPr>
          <w:rFonts w:ascii="Verdana" w:hAnsi="Verdana" w:cs="Arial"/>
          <w:sz w:val="16"/>
          <w:szCs w:val="16"/>
          <w:lang w:val="nl-NL"/>
        </w:rPr>
        <w:t>a behoort niet tot de “</w:t>
      </w:r>
      <w:proofErr w:type="spellStart"/>
      <w:r w:rsidRPr="00BD5F29">
        <w:rPr>
          <w:rFonts w:ascii="Verdana" w:hAnsi="Verdana" w:cs="Arial"/>
          <w:sz w:val="16"/>
          <w:szCs w:val="16"/>
          <w:lang w:val="nl-NL"/>
        </w:rPr>
        <w:t>least</w:t>
      </w:r>
      <w:proofErr w:type="spellEnd"/>
      <w:r w:rsidRPr="00BD5F29">
        <w:rPr>
          <w:rFonts w:ascii="Verdana" w:hAnsi="Verdana" w:cs="Arial"/>
          <w:sz w:val="16"/>
          <w:szCs w:val="16"/>
          <w:lang w:val="nl-NL"/>
        </w:rPr>
        <w:t xml:space="preserve"> </w:t>
      </w:r>
      <w:proofErr w:type="spellStart"/>
      <w:r w:rsidRPr="00BD5F29">
        <w:rPr>
          <w:rFonts w:ascii="Verdana" w:hAnsi="Verdana" w:cs="Arial"/>
          <w:sz w:val="16"/>
          <w:szCs w:val="16"/>
          <w:lang w:val="nl-NL"/>
        </w:rPr>
        <w:t>developed</w:t>
      </w:r>
      <w:proofErr w:type="spellEnd"/>
      <w:r w:rsidRPr="00BD5F29">
        <w:rPr>
          <w:rFonts w:ascii="Verdana" w:hAnsi="Verdana" w:cs="Arial"/>
          <w:sz w:val="16"/>
          <w:szCs w:val="16"/>
          <w:lang w:val="nl-NL"/>
        </w:rPr>
        <w:t xml:space="preserve"> </w:t>
      </w:r>
      <w:proofErr w:type="spellStart"/>
      <w:r w:rsidRPr="00BD5F29">
        <w:rPr>
          <w:rFonts w:ascii="Verdana" w:hAnsi="Verdana" w:cs="Arial"/>
          <w:sz w:val="16"/>
          <w:szCs w:val="16"/>
          <w:lang w:val="nl-NL"/>
        </w:rPr>
        <w:t>countries</w:t>
      </w:r>
      <w:proofErr w:type="spellEnd"/>
      <w:r w:rsidRPr="00BD5F29">
        <w:rPr>
          <w:rFonts w:ascii="Verdana" w:hAnsi="Verdana" w:cs="Arial"/>
          <w:sz w:val="16"/>
          <w:szCs w:val="16"/>
          <w:lang w:val="nl-NL"/>
        </w:rPr>
        <w:t>”</w:t>
      </w:r>
      <w:r w:rsidRPr="002D6416">
        <w:rPr>
          <w:rStyle w:val="FootnoteReference"/>
          <w:rFonts w:ascii="Verdana" w:hAnsi="Verdana" w:cs="Arial"/>
          <w:sz w:val="16"/>
          <w:szCs w:val="16"/>
          <w:vertAlign w:val="baseline"/>
          <w:lang w:val="nl-NL"/>
        </w:rPr>
        <w:t xml:space="preserve"> op de door het “Development Assistance </w:t>
      </w:r>
      <w:proofErr w:type="spellStart"/>
      <w:r w:rsidRPr="002D6416">
        <w:rPr>
          <w:rStyle w:val="FootnoteReference"/>
          <w:rFonts w:ascii="Verdana" w:hAnsi="Verdana" w:cs="Arial"/>
          <w:sz w:val="16"/>
          <w:szCs w:val="16"/>
          <w:vertAlign w:val="baseline"/>
          <w:lang w:val="nl-NL"/>
        </w:rPr>
        <w:t>Committee</w:t>
      </w:r>
      <w:proofErr w:type="spellEnd"/>
      <w:r w:rsidRPr="002D6416">
        <w:rPr>
          <w:rStyle w:val="FootnoteReference"/>
          <w:rFonts w:ascii="Verdana" w:hAnsi="Verdana" w:cs="Arial"/>
          <w:sz w:val="16"/>
          <w:szCs w:val="16"/>
          <w:vertAlign w:val="baseline"/>
          <w:lang w:val="nl-NL"/>
        </w:rPr>
        <w:t xml:space="preserve">” van de OESO opgestelde “List of </w:t>
      </w:r>
      <w:proofErr w:type="spellStart"/>
      <w:r w:rsidRPr="002D6416">
        <w:rPr>
          <w:rStyle w:val="FootnoteReference"/>
          <w:rFonts w:ascii="Verdana" w:hAnsi="Verdana" w:cs="Arial"/>
          <w:sz w:val="16"/>
          <w:szCs w:val="16"/>
          <w:vertAlign w:val="baseline"/>
          <w:lang w:val="nl-NL"/>
        </w:rPr>
        <w:t>Recipients</w:t>
      </w:r>
      <w:proofErr w:type="spellEnd"/>
      <w:r w:rsidRPr="002D6416">
        <w:rPr>
          <w:rStyle w:val="FootnoteReference"/>
          <w:rFonts w:ascii="Verdana" w:hAnsi="Verdana" w:cs="Arial"/>
          <w:sz w:val="16"/>
          <w:szCs w:val="16"/>
          <w:vertAlign w:val="baseline"/>
          <w:lang w:val="nl-NL"/>
        </w:rPr>
        <w:t xml:space="preserve"> of Official Development Assistance”.</w:t>
      </w:r>
    </w:p>
  </w:footnote>
  <w:footnote w:id="7">
    <w:p w14:paraId="3825D895" w14:textId="1145E31E" w:rsidR="00074A85" w:rsidRPr="00FC346A" w:rsidRDefault="00074A85" w:rsidP="00FC346A">
      <w:pPr>
        <w:pStyle w:val="FootnoteText"/>
        <w:spacing w:line="240" w:lineRule="auto"/>
        <w:ind w:firstLine="0"/>
        <w:rPr>
          <w:rFonts w:ascii="Verdana" w:hAnsi="Verdana"/>
          <w:lang w:val="nl-NL"/>
        </w:rPr>
      </w:pPr>
      <w:r w:rsidRPr="00FC346A">
        <w:rPr>
          <w:rStyle w:val="FootnoteReference"/>
          <w:rFonts w:ascii="Verdana" w:hAnsi="Verdana"/>
          <w:sz w:val="16"/>
          <w:szCs w:val="16"/>
        </w:rPr>
        <w:footnoteRef/>
      </w:r>
      <w:r w:rsidRPr="00FC346A">
        <w:rPr>
          <w:rFonts w:ascii="Verdana" w:hAnsi="Verdana"/>
          <w:sz w:val="16"/>
          <w:szCs w:val="16"/>
          <w:vertAlign w:val="superscript"/>
          <w:lang w:val="nl-NL"/>
        </w:rPr>
        <w:t xml:space="preserve"> </w:t>
      </w:r>
      <w:r w:rsidRPr="00FC346A">
        <w:rPr>
          <w:rFonts w:ascii="Verdana" w:hAnsi="Verdana"/>
          <w:sz w:val="16"/>
          <w:szCs w:val="16"/>
          <w:lang w:val="nl-NL"/>
        </w:rPr>
        <w:t>Colombia is niet opgenomen op de “EU list of non-</w:t>
      </w:r>
      <w:proofErr w:type="spellStart"/>
      <w:r w:rsidRPr="00FC346A">
        <w:rPr>
          <w:rFonts w:ascii="Verdana" w:hAnsi="Verdana"/>
          <w:sz w:val="16"/>
          <w:szCs w:val="16"/>
          <w:lang w:val="nl-NL"/>
        </w:rPr>
        <w:t>cooperative</w:t>
      </w:r>
      <w:proofErr w:type="spellEnd"/>
      <w:r w:rsidRPr="00FC346A">
        <w:rPr>
          <w:rFonts w:ascii="Verdana" w:hAnsi="Verdana"/>
          <w:sz w:val="16"/>
          <w:szCs w:val="16"/>
          <w:lang w:val="nl-NL"/>
        </w:rPr>
        <w:t xml:space="preserve"> </w:t>
      </w:r>
      <w:proofErr w:type="spellStart"/>
      <w:r w:rsidRPr="00FC346A">
        <w:rPr>
          <w:rFonts w:ascii="Verdana" w:hAnsi="Verdana"/>
          <w:sz w:val="16"/>
          <w:szCs w:val="16"/>
          <w:lang w:val="nl-NL"/>
        </w:rPr>
        <w:t>jurisdictions</w:t>
      </w:r>
      <w:proofErr w:type="spellEnd"/>
      <w:r w:rsidRPr="00FC346A">
        <w:rPr>
          <w:rFonts w:ascii="Verdana" w:hAnsi="Verdana"/>
          <w:sz w:val="16"/>
          <w:szCs w:val="16"/>
          <w:lang w:val="nl-NL"/>
        </w:rPr>
        <w:t xml:space="preserve"> </w:t>
      </w:r>
      <w:proofErr w:type="spellStart"/>
      <w:r w:rsidRPr="00FC346A">
        <w:rPr>
          <w:rFonts w:ascii="Verdana" w:hAnsi="Verdana"/>
          <w:sz w:val="16"/>
          <w:szCs w:val="16"/>
          <w:lang w:val="nl-NL"/>
        </w:rPr>
        <w:t>for</w:t>
      </w:r>
      <w:proofErr w:type="spellEnd"/>
      <w:r w:rsidRPr="00FC346A">
        <w:rPr>
          <w:rFonts w:ascii="Verdana" w:hAnsi="Verdana"/>
          <w:sz w:val="16"/>
          <w:szCs w:val="16"/>
          <w:lang w:val="nl-NL"/>
        </w:rPr>
        <w:t xml:space="preserve"> </w:t>
      </w:r>
      <w:proofErr w:type="spellStart"/>
      <w:r w:rsidRPr="00FC346A">
        <w:rPr>
          <w:rFonts w:ascii="Verdana" w:hAnsi="Verdana"/>
          <w:sz w:val="16"/>
          <w:szCs w:val="16"/>
          <w:lang w:val="nl-NL"/>
        </w:rPr>
        <w:t>tax</w:t>
      </w:r>
      <w:proofErr w:type="spellEnd"/>
      <w:r w:rsidRPr="00FC346A">
        <w:rPr>
          <w:rFonts w:ascii="Verdana" w:hAnsi="Verdana"/>
          <w:sz w:val="16"/>
          <w:szCs w:val="16"/>
          <w:lang w:val="nl-NL"/>
        </w:rPr>
        <w:t xml:space="preserve"> </w:t>
      </w:r>
      <w:proofErr w:type="spellStart"/>
      <w:r w:rsidRPr="00FC346A">
        <w:rPr>
          <w:rFonts w:ascii="Verdana" w:hAnsi="Verdana"/>
          <w:sz w:val="16"/>
          <w:szCs w:val="16"/>
          <w:lang w:val="nl-NL"/>
        </w:rPr>
        <w:t>purposes</w:t>
      </w:r>
      <w:proofErr w:type="spellEnd"/>
      <w:r w:rsidRPr="00FC346A">
        <w:rPr>
          <w:rFonts w:ascii="Verdana" w:hAnsi="Verdana"/>
          <w:sz w:val="16"/>
          <w:szCs w:val="16"/>
          <w:lang w:val="nl-NL"/>
        </w:rPr>
        <w:t xml:space="preserve">” (Conclusie van de Raad </w:t>
      </w:r>
      <w:r>
        <w:rPr>
          <w:rFonts w:ascii="Verdana" w:hAnsi="Verdana"/>
          <w:sz w:val="16"/>
          <w:szCs w:val="16"/>
          <w:lang w:val="nl-NL"/>
        </w:rPr>
        <w:t xml:space="preserve">van de Europese Unie </w:t>
      </w:r>
      <w:r w:rsidRPr="00FC346A">
        <w:rPr>
          <w:rFonts w:ascii="Verdana" w:hAnsi="Verdana"/>
          <w:sz w:val="16"/>
          <w:szCs w:val="16"/>
          <w:lang w:val="nl-NL"/>
        </w:rPr>
        <w:t>van 24 februari 2022, 6437/22).</w:t>
      </w:r>
      <w:r w:rsidRPr="00FC346A">
        <w:rPr>
          <w:rFonts w:ascii="Verdana" w:hAnsi="Verdana"/>
          <w:lang w:val="nl-NL"/>
        </w:rPr>
        <w:t xml:space="preserve"> </w:t>
      </w:r>
    </w:p>
  </w:footnote>
  <w:footnote w:id="8">
    <w:p w14:paraId="3EEAC066" w14:textId="77777777" w:rsidR="00074A85" w:rsidRPr="00C43523" w:rsidRDefault="00074A85" w:rsidP="00FC346A">
      <w:pPr>
        <w:pStyle w:val="FootnoteText"/>
        <w:spacing w:line="240" w:lineRule="auto"/>
        <w:ind w:firstLine="0"/>
        <w:rPr>
          <w:rFonts w:ascii="Verdana" w:hAnsi="Verdana" w:cs="Arial"/>
          <w:sz w:val="16"/>
          <w:szCs w:val="16"/>
        </w:rPr>
      </w:pPr>
      <w:r w:rsidRPr="00C43523">
        <w:rPr>
          <w:rStyle w:val="FootnoteReference"/>
          <w:rFonts w:ascii="Verdana" w:hAnsi="Verdana" w:cs="Arial"/>
          <w:sz w:val="16"/>
          <w:szCs w:val="16"/>
        </w:rPr>
        <w:footnoteRef/>
      </w:r>
      <w:r w:rsidRPr="00C43523">
        <w:rPr>
          <w:rFonts w:ascii="Verdana" w:hAnsi="Verdana" w:cs="Arial"/>
          <w:sz w:val="16"/>
          <w:szCs w:val="16"/>
        </w:rPr>
        <w:t xml:space="preserve"> OECD (2015), Preventing the Granting of Treaty Benefits in Inappropriate Circumstances, Action 6 - 2015 Final Report, OECD/G20 Base Erosion and Profit Shifting Project, OECD Publishing, Paris.</w:t>
      </w:r>
    </w:p>
  </w:footnote>
  <w:footnote w:id="9">
    <w:p w14:paraId="7211B0F4" w14:textId="665DE44E" w:rsidR="00074A85" w:rsidRPr="00C43523" w:rsidRDefault="00074A85" w:rsidP="00FC346A">
      <w:pPr>
        <w:pStyle w:val="FootnoteText"/>
        <w:spacing w:line="240" w:lineRule="auto"/>
        <w:ind w:firstLine="0"/>
        <w:rPr>
          <w:rFonts w:ascii="Verdana" w:hAnsi="Verdana"/>
          <w:color w:val="1F497D" w:themeColor="text2"/>
          <w:sz w:val="16"/>
          <w:szCs w:val="16"/>
          <w:lang w:val="nl-NL"/>
        </w:rPr>
      </w:pPr>
      <w:r w:rsidRPr="00C43523">
        <w:rPr>
          <w:rFonts w:ascii="Verdana" w:hAnsi="Verdana" w:cs="Arial"/>
          <w:sz w:val="16"/>
          <w:szCs w:val="16"/>
          <w:vertAlign w:val="superscript"/>
        </w:rPr>
        <w:footnoteRef/>
      </w:r>
      <w:r w:rsidRPr="00C43523">
        <w:rPr>
          <w:rFonts w:ascii="Verdana" w:hAnsi="Verdana" w:cs="Arial"/>
          <w:sz w:val="16"/>
          <w:szCs w:val="16"/>
          <w:lang w:val="nl-NL"/>
        </w:rPr>
        <w:t xml:space="preserve"> Kamerstukken II 2010/11, 25087, nr. 13.</w:t>
      </w:r>
    </w:p>
  </w:footnote>
  <w:footnote w:id="10">
    <w:p w14:paraId="2C45DF31" w14:textId="7448AA59" w:rsidR="00074A85" w:rsidRPr="0059197C" w:rsidRDefault="00074A85" w:rsidP="00FC346A">
      <w:pPr>
        <w:pStyle w:val="FootnoteText"/>
        <w:spacing w:line="240" w:lineRule="auto"/>
        <w:ind w:firstLine="0"/>
        <w:rPr>
          <w:rFonts w:ascii="Verdana" w:hAnsi="Verdana"/>
          <w:sz w:val="16"/>
          <w:szCs w:val="16"/>
          <w:lang w:val="nl-NL"/>
        </w:rPr>
      </w:pPr>
      <w:r w:rsidRPr="0059197C">
        <w:rPr>
          <w:rStyle w:val="FootnoteReference"/>
          <w:rFonts w:ascii="Verdana" w:hAnsi="Verdana"/>
          <w:sz w:val="16"/>
          <w:szCs w:val="16"/>
        </w:rPr>
        <w:footnoteRef/>
      </w:r>
      <w:r w:rsidRPr="0059197C">
        <w:rPr>
          <w:rFonts w:ascii="Verdana" w:hAnsi="Verdana"/>
          <w:sz w:val="16"/>
          <w:szCs w:val="16"/>
          <w:lang w:val="nl-NL"/>
        </w:rPr>
        <w:t xml:space="preserve"> Verdrag tussen het Koninkrijk der Nederlanden en de Republiek Panama tot het vermijden van dubbele belasting en het voorkomen van het ontgaan van belasting met betrekking tot belastingen naar het inkomen; 's-Gravenhage, 6 oktober 2010 (</w:t>
      </w:r>
      <w:r w:rsidRPr="0059197C">
        <w:rPr>
          <w:rFonts w:ascii="Verdana" w:hAnsi="Verdana"/>
          <w:i/>
          <w:sz w:val="16"/>
          <w:szCs w:val="16"/>
          <w:lang w:val="nl-NL"/>
        </w:rPr>
        <w:t>Trb</w:t>
      </w:r>
      <w:r w:rsidRPr="0059197C">
        <w:rPr>
          <w:rFonts w:ascii="Verdana" w:hAnsi="Verdana"/>
          <w:sz w:val="16"/>
          <w:szCs w:val="16"/>
          <w:lang w:val="nl-NL"/>
        </w:rPr>
        <w:t>. 2011, 11)</w:t>
      </w:r>
    </w:p>
  </w:footnote>
  <w:footnote w:id="11">
    <w:p w14:paraId="2FE8DE13" w14:textId="4126A661" w:rsidR="00074A85" w:rsidRPr="00C43523" w:rsidRDefault="00074A85" w:rsidP="00FC346A">
      <w:pPr>
        <w:pStyle w:val="FootnoteText"/>
        <w:spacing w:line="240" w:lineRule="auto"/>
        <w:ind w:firstLine="0"/>
        <w:rPr>
          <w:rFonts w:ascii="Verdana" w:hAnsi="Verdana"/>
          <w:sz w:val="16"/>
          <w:szCs w:val="16"/>
          <w:lang w:val="nl-NL"/>
        </w:rPr>
      </w:pPr>
      <w:r w:rsidRPr="00C43523">
        <w:rPr>
          <w:rFonts w:ascii="Verdana" w:hAnsi="Verdana" w:cs="Arial"/>
          <w:sz w:val="16"/>
          <w:szCs w:val="16"/>
          <w:vertAlign w:val="superscript"/>
          <w:lang w:val="nl-NL"/>
        </w:rPr>
        <w:footnoteRef/>
      </w:r>
      <w:r w:rsidRPr="00C43523">
        <w:rPr>
          <w:rFonts w:ascii="Verdana" w:hAnsi="Verdana" w:cs="Arial"/>
          <w:sz w:val="16"/>
          <w:szCs w:val="16"/>
          <w:vertAlign w:val="superscript"/>
          <w:lang w:val="nl-NL"/>
        </w:rPr>
        <w:t xml:space="preserve"> </w:t>
      </w:r>
      <w:r w:rsidRPr="00C43523">
        <w:rPr>
          <w:rFonts w:ascii="Verdana" w:hAnsi="Verdana" w:cs="Arial"/>
          <w:sz w:val="16"/>
          <w:szCs w:val="16"/>
          <w:lang w:val="nl-NL"/>
        </w:rPr>
        <w:t>Paragraf</w:t>
      </w:r>
      <w:r>
        <w:rPr>
          <w:rFonts w:ascii="Verdana" w:hAnsi="Verdana" w:cs="Arial"/>
          <w:sz w:val="16"/>
          <w:szCs w:val="16"/>
          <w:lang w:val="nl-NL"/>
        </w:rPr>
        <w:t>en</w:t>
      </w:r>
      <w:r w:rsidRPr="00C43523">
        <w:rPr>
          <w:rFonts w:ascii="Verdana" w:hAnsi="Verdana" w:cs="Arial"/>
          <w:sz w:val="16"/>
          <w:szCs w:val="16"/>
          <w:lang w:val="nl-NL"/>
        </w:rPr>
        <w:t xml:space="preserve"> 7.4 tot en met 7.10 van het OESO-commentaar bij artikel 11.</w:t>
      </w:r>
    </w:p>
  </w:footnote>
  <w:footnote w:id="12">
    <w:p w14:paraId="1A7F88BE" w14:textId="44FAA14B" w:rsidR="00074A85" w:rsidRPr="00C43523" w:rsidRDefault="00074A85" w:rsidP="00FC346A">
      <w:pPr>
        <w:pStyle w:val="FootnoteText"/>
        <w:spacing w:line="240" w:lineRule="auto"/>
        <w:ind w:firstLine="0"/>
        <w:rPr>
          <w:rFonts w:ascii="Verdana" w:hAnsi="Verdana"/>
          <w:color w:val="1F497D" w:themeColor="text2"/>
          <w:sz w:val="16"/>
          <w:szCs w:val="16"/>
        </w:rPr>
      </w:pPr>
      <w:r w:rsidRPr="00C43523">
        <w:rPr>
          <w:rFonts w:ascii="Verdana" w:hAnsi="Verdana"/>
          <w:sz w:val="16"/>
          <w:szCs w:val="16"/>
          <w:vertAlign w:val="superscript"/>
          <w:lang w:val="nl-NL"/>
        </w:rPr>
        <w:footnoteRef/>
      </w:r>
      <w:r w:rsidRPr="00C43523">
        <w:rPr>
          <w:rFonts w:ascii="Verdana" w:hAnsi="Verdana"/>
          <w:sz w:val="16"/>
          <w:szCs w:val="16"/>
          <w:lang w:val="nl-NL"/>
        </w:rPr>
        <w:t xml:space="preserve"> Besluit van de Staatssecretaris van Financiën van 11 juni 2020, nr. 2020-0000101607, </w:t>
      </w:r>
      <w:proofErr w:type="spellStart"/>
      <w:r w:rsidRPr="00C43523">
        <w:rPr>
          <w:rFonts w:ascii="Verdana" w:hAnsi="Verdana"/>
          <w:sz w:val="16"/>
          <w:szCs w:val="16"/>
          <w:lang w:val="nl-NL"/>
        </w:rPr>
        <w:t>Stcrt</w:t>
      </w:r>
      <w:proofErr w:type="spellEnd"/>
      <w:r w:rsidRPr="00C43523">
        <w:rPr>
          <w:rFonts w:ascii="Verdana" w:hAnsi="Verdana"/>
          <w:sz w:val="16"/>
          <w:szCs w:val="16"/>
          <w:lang w:val="nl-NL"/>
        </w:rPr>
        <w:t xml:space="preserve">. </w:t>
      </w:r>
      <w:r w:rsidRPr="00C43523">
        <w:rPr>
          <w:rFonts w:ascii="Verdana" w:hAnsi="Verdana"/>
          <w:sz w:val="16"/>
          <w:szCs w:val="16"/>
        </w:rPr>
        <w:t>2020, 32689.</w:t>
      </w:r>
    </w:p>
  </w:footnote>
  <w:footnote w:id="13">
    <w:p w14:paraId="3F2737EA" w14:textId="187D2587" w:rsidR="00074A85" w:rsidRPr="00C43523" w:rsidRDefault="00074A85" w:rsidP="00FC346A">
      <w:pPr>
        <w:pStyle w:val="FootnoteText"/>
        <w:spacing w:line="240" w:lineRule="auto"/>
        <w:ind w:firstLine="0"/>
        <w:rPr>
          <w:rFonts w:ascii="Verdana" w:hAnsi="Verdana"/>
          <w:sz w:val="16"/>
          <w:szCs w:val="16"/>
        </w:rPr>
      </w:pPr>
      <w:r w:rsidRPr="00C43523">
        <w:rPr>
          <w:rStyle w:val="FootnoteReference"/>
          <w:rFonts w:ascii="Verdana" w:hAnsi="Verdana"/>
          <w:sz w:val="16"/>
          <w:szCs w:val="16"/>
        </w:rPr>
        <w:footnoteRef/>
      </w:r>
      <w:r w:rsidRPr="00C43523">
        <w:rPr>
          <w:rFonts w:ascii="Verdana" w:hAnsi="Verdana"/>
          <w:sz w:val="16"/>
          <w:szCs w:val="16"/>
        </w:rPr>
        <w:t xml:space="preserve"> </w:t>
      </w:r>
      <w:proofErr w:type="spellStart"/>
      <w:r w:rsidRPr="00C43523">
        <w:rPr>
          <w:rFonts w:ascii="Verdana" w:hAnsi="Verdana"/>
          <w:sz w:val="16"/>
          <w:szCs w:val="16"/>
        </w:rPr>
        <w:t>Zie</w:t>
      </w:r>
      <w:proofErr w:type="spellEnd"/>
      <w:r w:rsidRPr="00C43523">
        <w:rPr>
          <w:rFonts w:ascii="Verdana" w:hAnsi="Verdana"/>
          <w:sz w:val="16"/>
          <w:szCs w:val="16"/>
        </w:rPr>
        <w:t xml:space="preserve"> de </w:t>
      </w:r>
      <w:r w:rsidRPr="00C43523">
        <w:rPr>
          <w:rFonts w:ascii="Verdana" w:hAnsi="Verdana"/>
          <w:i/>
          <w:sz w:val="16"/>
          <w:szCs w:val="16"/>
        </w:rPr>
        <w:t>Compliance ratings following peer reviews against the standard of EOIR</w:t>
      </w:r>
      <w:r w:rsidRPr="00C43523">
        <w:rPr>
          <w:rFonts w:ascii="Verdana" w:hAnsi="Verdana"/>
          <w:sz w:val="16"/>
          <w:szCs w:val="16"/>
        </w:rPr>
        <w:t xml:space="preserve">, </w:t>
      </w:r>
      <w:proofErr w:type="spellStart"/>
      <w:r w:rsidRPr="00C43523">
        <w:rPr>
          <w:rFonts w:ascii="Verdana" w:hAnsi="Verdana"/>
          <w:sz w:val="16"/>
          <w:szCs w:val="16"/>
        </w:rPr>
        <w:t>raadpleegbaar</w:t>
      </w:r>
      <w:proofErr w:type="spellEnd"/>
      <w:r w:rsidRPr="00C43523">
        <w:rPr>
          <w:rFonts w:ascii="Verdana" w:hAnsi="Verdana"/>
          <w:sz w:val="16"/>
          <w:szCs w:val="16"/>
        </w:rPr>
        <w:t xml:space="preserve"> via: https://www.oecd.org/tax/transparency/documents/exchange-of-information-on-request-ratings.htm</w:t>
      </w:r>
    </w:p>
  </w:footnote>
  <w:footnote w:id="14">
    <w:p w14:paraId="72CA80CE" w14:textId="4662263D" w:rsidR="00074A85" w:rsidRPr="00C43523" w:rsidRDefault="00074A85" w:rsidP="00FC346A">
      <w:pPr>
        <w:pStyle w:val="FootnoteText"/>
        <w:spacing w:line="240" w:lineRule="auto"/>
        <w:ind w:firstLine="0"/>
        <w:rPr>
          <w:rFonts w:ascii="Verdana" w:hAnsi="Verdana"/>
          <w:sz w:val="16"/>
          <w:szCs w:val="16"/>
          <w:lang w:val="nl-NL"/>
        </w:rPr>
      </w:pPr>
      <w:r w:rsidRPr="00C43523">
        <w:rPr>
          <w:rStyle w:val="FootnoteReference"/>
          <w:rFonts w:ascii="Verdana" w:hAnsi="Verdana"/>
          <w:sz w:val="16"/>
          <w:szCs w:val="16"/>
        </w:rPr>
        <w:footnoteRef/>
      </w:r>
      <w:r w:rsidRPr="00C43523">
        <w:rPr>
          <w:rFonts w:ascii="Verdana" w:hAnsi="Verdana"/>
          <w:sz w:val="16"/>
          <w:szCs w:val="16"/>
          <w:lang w:val="nl-NL"/>
        </w:rPr>
        <w:t xml:space="preserve"> Par. 186 van het commentaar bij artikel 29 van het OESO-modelverdrag.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12B7"/>
    <w:multiLevelType w:val="hybridMultilevel"/>
    <w:tmpl w:val="467E9B24"/>
    <w:lvl w:ilvl="0" w:tplc="BAB43778">
      <w:start w:val="1"/>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 w15:restartNumberingAfterBreak="0">
    <w:nsid w:val="0EEF249B"/>
    <w:multiLevelType w:val="hybridMultilevel"/>
    <w:tmpl w:val="F87C5AF4"/>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07D36FC"/>
    <w:multiLevelType w:val="hybridMultilevel"/>
    <w:tmpl w:val="2C065A06"/>
    <w:lvl w:ilvl="0" w:tplc="04090017">
      <w:start w:val="1"/>
      <w:numFmt w:val="lowerLetter"/>
      <w:lvlText w:val="%1)"/>
      <w:lvlJc w:val="left"/>
      <w:pPr>
        <w:ind w:left="900" w:hanging="360"/>
      </w:pPr>
    </w:lvl>
    <w:lvl w:ilvl="1" w:tplc="04090017">
      <w:start w:val="1"/>
      <w:numFmt w:val="lowerLetter"/>
      <w:lvlText w:val="%2)"/>
      <w:lvlJc w:val="left"/>
      <w:pPr>
        <w:ind w:left="1980" w:hanging="360"/>
      </w:pPr>
    </w:lvl>
    <w:lvl w:ilvl="2" w:tplc="DCD0D24C">
      <w:start w:val="1"/>
      <w:numFmt w:val="decimal"/>
      <w:lvlText w:val="%3."/>
      <w:lvlJc w:val="left"/>
      <w:pPr>
        <w:ind w:left="540" w:hanging="54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E9C08C4"/>
    <w:multiLevelType w:val="hybridMultilevel"/>
    <w:tmpl w:val="1466F45E"/>
    <w:lvl w:ilvl="0" w:tplc="7556CFDA">
      <w:start w:val="1"/>
      <w:numFmt w:val="decimal"/>
      <w:lvlText w:val="%1."/>
      <w:lvlJc w:val="left"/>
      <w:pPr>
        <w:ind w:left="72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83E50"/>
    <w:multiLevelType w:val="hybridMultilevel"/>
    <w:tmpl w:val="883846F0"/>
    <w:lvl w:ilvl="0" w:tplc="04130017">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5" w15:restartNumberingAfterBreak="0">
    <w:nsid w:val="20C85B57"/>
    <w:multiLevelType w:val="hybridMultilevel"/>
    <w:tmpl w:val="BC906C74"/>
    <w:lvl w:ilvl="0" w:tplc="0413001B">
      <w:start w:val="1"/>
      <w:numFmt w:val="lowerRoman"/>
      <w:lvlText w:val="%1."/>
      <w:lvlJc w:val="righ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6" w15:restartNumberingAfterBreak="0">
    <w:nsid w:val="25904B2E"/>
    <w:multiLevelType w:val="hybridMultilevel"/>
    <w:tmpl w:val="F2683EA2"/>
    <w:lvl w:ilvl="0" w:tplc="04130001">
      <w:start w:val="1"/>
      <w:numFmt w:val="bullet"/>
      <w:lvlText w:val=""/>
      <w:lvlJc w:val="left"/>
      <w:pPr>
        <w:ind w:left="1486" w:hanging="360"/>
      </w:pPr>
      <w:rPr>
        <w:rFonts w:ascii="Symbol" w:hAnsi="Symbol" w:hint="default"/>
      </w:rPr>
    </w:lvl>
    <w:lvl w:ilvl="1" w:tplc="04130003" w:tentative="1">
      <w:start w:val="1"/>
      <w:numFmt w:val="bullet"/>
      <w:lvlText w:val="o"/>
      <w:lvlJc w:val="left"/>
      <w:pPr>
        <w:ind w:left="2206" w:hanging="360"/>
      </w:pPr>
      <w:rPr>
        <w:rFonts w:ascii="Courier New" w:hAnsi="Courier New" w:cs="Courier New" w:hint="default"/>
      </w:rPr>
    </w:lvl>
    <w:lvl w:ilvl="2" w:tplc="04130005" w:tentative="1">
      <w:start w:val="1"/>
      <w:numFmt w:val="bullet"/>
      <w:lvlText w:val=""/>
      <w:lvlJc w:val="left"/>
      <w:pPr>
        <w:ind w:left="2926" w:hanging="360"/>
      </w:pPr>
      <w:rPr>
        <w:rFonts w:ascii="Wingdings" w:hAnsi="Wingdings" w:hint="default"/>
      </w:rPr>
    </w:lvl>
    <w:lvl w:ilvl="3" w:tplc="04130001">
      <w:start w:val="1"/>
      <w:numFmt w:val="bullet"/>
      <w:lvlText w:val=""/>
      <w:lvlJc w:val="left"/>
      <w:pPr>
        <w:ind w:left="3646" w:hanging="360"/>
      </w:pPr>
      <w:rPr>
        <w:rFonts w:ascii="Symbol" w:hAnsi="Symbol" w:hint="default"/>
      </w:rPr>
    </w:lvl>
    <w:lvl w:ilvl="4" w:tplc="04130003" w:tentative="1">
      <w:start w:val="1"/>
      <w:numFmt w:val="bullet"/>
      <w:lvlText w:val="o"/>
      <w:lvlJc w:val="left"/>
      <w:pPr>
        <w:ind w:left="4366" w:hanging="360"/>
      </w:pPr>
      <w:rPr>
        <w:rFonts w:ascii="Courier New" w:hAnsi="Courier New" w:cs="Courier New" w:hint="default"/>
      </w:rPr>
    </w:lvl>
    <w:lvl w:ilvl="5" w:tplc="04130005" w:tentative="1">
      <w:start w:val="1"/>
      <w:numFmt w:val="bullet"/>
      <w:lvlText w:val=""/>
      <w:lvlJc w:val="left"/>
      <w:pPr>
        <w:ind w:left="5086" w:hanging="360"/>
      </w:pPr>
      <w:rPr>
        <w:rFonts w:ascii="Wingdings" w:hAnsi="Wingdings" w:hint="default"/>
      </w:rPr>
    </w:lvl>
    <w:lvl w:ilvl="6" w:tplc="04130001" w:tentative="1">
      <w:start w:val="1"/>
      <w:numFmt w:val="bullet"/>
      <w:lvlText w:val=""/>
      <w:lvlJc w:val="left"/>
      <w:pPr>
        <w:ind w:left="5806" w:hanging="360"/>
      </w:pPr>
      <w:rPr>
        <w:rFonts w:ascii="Symbol" w:hAnsi="Symbol" w:hint="default"/>
      </w:rPr>
    </w:lvl>
    <w:lvl w:ilvl="7" w:tplc="04130003" w:tentative="1">
      <w:start w:val="1"/>
      <w:numFmt w:val="bullet"/>
      <w:lvlText w:val="o"/>
      <w:lvlJc w:val="left"/>
      <w:pPr>
        <w:ind w:left="6526" w:hanging="360"/>
      </w:pPr>
      <w:rPr>
        <w:rFonts w:ascii="Courier New" w:hAnsi="Courier New" w:cs="Courier New" w:hint="default"/>
      </w:rPr>
    </w:lvl>
    <w:lvl w:ilvl="8" w:tplc="04130005" w:tentative="1">
      <w:start w:val="1"/>
      <w:numFmt w:val="bullet"/>
      <w:lvlText w:val=""/>
      <w:lvlJc w:val="left"/>
      <w:pPr>
        <w:ind w:left="7246" w:hanging="360"/>
      </w:pPr>
      <w:rPr>
        <w:rFonts w:ascii="Wingdings" w:hAnsi="Wingdings" w:hint="default"/>
      </w:rPr>
    </w:lvl>
  </w:abstractNum>
  <w:abstractNum w:abstractNumId="7" w15:restartNumberingAfterBreak="0">
    <w:nsid w:val="28C5575B"/>
    <w:multiLevelType w:val="hybridMultilevel"/>
    <w:tmpl w:val="1C7E6F14"/>
    <w:lvl w:ilvl="0" w:tplc="DCD0D24C">
      <w:start w:val="1"/>
      <w:numFmt w:val="decimal"/>
      <w:lvlText w:val="%1."/>
      <w:lvlJc w:val="left"/>
      <w:pPr>
        <w:ind w:left="54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B076C"/>
    <w:multiLevelType w:val="hybridMultilevel"/>
    <w:tmpl w:val="8A36D792"/>
    <w:lvl w:ilvl="0" w:tplc="8BA82BFA">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2F5B7B54"/>
    <w:multiLevelType w:val="hybridMultilevel"/>
    <w:tmpl w:val="1BFE3C9E"/>
    <w:lvl w:ilvl="0" w:tplc="04130017">
      <w:start w:val="1"/>
      <w:numFmt w:val="lowerLetter"/>
      <w:lvlText w:val="%1)"/>
      <w:lvlJc w:val="left"/>
      <w:pPr>
        <w:ind w:left="1495" w:hanging="360"/>
      </w:pPr>
    </w:lvl>
    <w:lvl w:ilvl="1" w:tplc="04130019" w:tentative="1">
      <w:start w:val="1"/>
      <w:numFmt w:val="lowerLetter"/>
      <w:lvlText w:val="%2."/>
      <w:lvlJc w:val="left"/>
      <w:pPr>
        <w:ind w:left="2215" w:hanging="360"/>
      </w:pPr>
    </w:lvl>
    <w:lvl w:ilvl="2" w:tplc="0413001B" w:tentative="1">
      <w:start w:val="1"/>
      <w:numFmt w:val="lowerRoman"/>
      <w:lvlText w:val="%3."/>
      <w:lvlJc w:val="right"/>
      <w:pPr>
        <w:ind w:left="2935" w:hanging="180"/>
      </w:pPr>
    </w:lvl>
    <w:lvl w:ilvl="3" w:tplc="0413000F" w:tentative="1">
      <w:start w:val="1"/>
      <w:numFmt w:val="decimal"/>
      <w:lvlText w:val="%4."/>
      <w:lvlJc w:val="left"/>
      <w:pPr>
        <w:ind w:left="3655" w:hanging="360"/>
      </w:pPr>
    </w:lvl>
    <w:lvl w:ilvl="4" w:tplc="04130019" w:tentative="1">
      <w:start w:val="1"/>
      <w:numFmt w:val="lowerLetter"/>
      <w:lvlText w:val="%5."/>
      <w:lvlJc w:val="left"/>
      <w:pPr>
        <w:ind w:left="4375" w:hanging="360"/>
      </w:pPr>
    </w:lvl>
    <w:lvl w:ilvl="5" w:tplc="0413001B" w:tentative="1">
      <w:start w:val="1"/>
      <w:numFmt w:val="lowerRoman"/>
      <w:lvlText w:val="%6."/>
      <w:lvlJc w:val="right"/>
      <w:pPr>
        <w:ind w:left="5095" w:hanging="180"/>
      </w:pPr>
    </w:lvl>
    <w:lvl w:ilvl="6" w:tplc="0413000F" w:tentative="1">
      <w:start w:val="1"/>
      <w:numFmt w:val="decimal"/>
      <w:lvlText w:val="%7."/>
      <w:lvlJc w:val="left"/>
      <w:pPr>
        <w:ind w:left="5815" w:hanging="360"/>
      </w:pPr>
    </w:lvl>
    <w:lvl w:ilvl="7" w:tplc="04130019" w:tentative="1">
      <w:start w:val="1"/>
      <w:numFmt w:val="lowerLetter"/>
      <w:lvlText w:val="%8."/>
      <w:lvlJc w:val="left"/>
      <w:pPr>
        <w:ind w:left="6535" w:hanging="360"/>
      </w:pPr>
    </w:lvl>
    <w:lvl w:ilvl="8" w:tplc="0413001B" w:tentative="1">
      <w:start w:val="1"/>
      <w:numFmt w:val="lowerRoman"/>
      <w:lvlText w:val="%9."/>
      <w:lvlJc w:val="right"/>
      <w:pPr>
        <w:ind w:left="7255" w:hanging="180"/>
      </w:pPr>
    </w:lvl>
  </w:abstractNum>
  <w:abstractNum w:abstractNumId="10" w15:restartNumberingAfterBreak="0">
    <w:nsid w:val="305C7839"/>
    <w:multiLevelType w:val="hybridMultilevel"/>
    <w:tmpl w:val="27C050E4"/>
    <w:lvl w:ilvl="0" w:tplc="89A04CFC">
      <w:start w:val="1"/>
      <w:numFmt w:val="lowerLetter"/>
      <w:lvlText w:val="%1)"/>
      <w:lvlJc w:val="left"/>
      <w:pPr>
        <w:tabs>
          <w:tab w:val="num" w:pos="911"/>
        </w:tabs>
        <w:ind w:left="911" w:hanging="360"/>
      </w:pPr>
      <w:rPr>
        <w:rFonts w:hint="default"/>
      </w:rPr>
    </w:lvl>
    <w:lvl w:ilvl="1" w:tplc="04130019" w:tentative="1">
      <w:start w:val="1"/>
      <w:numFmt w:val="lowerLetter"/>
      <w:lvlText w:val="%2."/>
      <w:lvlJc w:val="left"/>
      <w:pPr>
        <w:tabs>
          <w:tab w:val="num" w:pos="1631"/>
        </w:tabs>
        <w:ind w:left="1631" w:hanging="360"/>
      </w:pPr>
    </w:lvl>
    <w:lvl w:ilvl="2" w:tplc="0413001B" w:tentative="1">
      <w:start w:val="1"/>
      <w:numFmt w:val="lowerRoman"/>
      <w:lvlText w:val="%3."/>
      <w:lvlJc w:val="right"/>
      <w:pPr>
        <w:tabs>
          <w:tab w:val="num" w:pos="2351"/>
        </w:tabs>
        <w:ind w:left="2351" w:hanging="180"/>
      </w:pPr>
    </w:lvl>
    <w:lvl w:ilvl="3" w:tplc="0413000F" w:tentative="1">
      <w:start w:val="1"/>
      <w:numFmt w:val="decimal"/>
      <w:lvlText w:val="%4."/>
      <w:lvlJc w:val="left"/>
      <w:pPr>
        <w:tabs>
          <w:tab w:val="num" w:pos="3071"/>
        </w:tabs>
        <w:ind w:left="3071" w:hanging="360"/>
      </w:pPr>
    </w:lvl>
    <w:lvl w:ilvl="4" w:tplc="04130019" w:tentative="1">
      <w:start w:val="1"/>
      <w:numFmt w:val="lowerLetter"/>
      <w:lvlText w:val="%5."/>
      <w:lvlJc w:val="left"/>
      <w:pPr>
        <w:tabs>
          <w:tab w:val="num" w:pos="3791"/>
        </w:tabs>
        <w:ind w:left="3791" w:hanging="360"/>
      </w:pPr>
    </w:lvl>
    <w:lvl w:ilvl="5" w:tplc="0413001B" w:tentative="1">
      <w:start w:val="1"/>
      <w:numFmt w:val="lowerRoman"/>
      <w:lvlText w:val="%6."/>
      <w:lvlJc w:val="right"/>
      <w:pPr>
        <w:tabs>
          <w:tab w:val="num" w:pos="4511"/>
        </w:tabs>
        <w:ind w:left="4511" w:hanging="180"/>
      </w:pPr>
    </w:lvl>
    <w:lvl w:ilvl="6" w:tplc="0413000F" w:tentative="1">
      <w:start w:val="1"/>
      <w:numFmt w:val="decimal"/>
      <w:lvlText w:val="%7."/>
      <w:lvlJc w:val="left"/>
      <w:pPr>
        <w:tabs>
          <w:tab w:val="num" w:pos="5231"/>
        </w:tabs>
        <w:ind w:left="5231" w:hanging="360"/>
      </w:pPr>
    </w:lvl>
    <w:lvl w:ilvl="7" w:tplc="04130019" w:tentative="1">
      <w:start w:val="1"/>
      <w:numFmt w:val="lowerLetter"/>
      <w:lvlText w:val="%8."/>
      <w:lvlJc w:val="left"/>
      <w:pPr>
        <w:tabs>
          <w:tab w:val="num" w:pos="5951"/>
        </w:tabs>
        <w:ind w:left="5951" w:hanging="360"/>
      </w:pPr>
    </w:lvl>
    <w:lvl w:ilvl="8" w:tplc="0413001B" w:tentative="1">
      <w:start w:val="1"/>
      <w:numFmt w:val="lowerRoman"/>
      <w:lvlText w:val="%9."/>
      <w:lvlJc w:val="right"/>
      <w:pPr>
        <w:tabs>
          <w:tab w:val="num" w:pos="6671"/>
        </w:tabs>
        <w:ind w:left="6671" w:hanging="180"/>
      </w:pPr>
    </w:lvl>
  </w:abstractNum>
  <w:abstractNum w:abstractNumId="11" w15:restartNumberingAfterBreak="0">
    <w:nsid w:val="31B80E8C"/>
    <w:multiLevelType w:val="hybridMultilevel"/>
    <w:tmpl w:val="E2009F6E"/>
    <w:lvl w:ilvl="0" w:tplc="04130019">
      <w:start w:val="1"/>
      <w:numFmt w:val="lowerLetter"/>
      <w:lvlText w:val="%1."/>
      <w:lvlJc w:val="left"/>
      <w:pPr>
        <w:ind w:left="947" w:hanging="360"/>
      </w:pPr>
      <w:rPr>
        <w:rFonts w:hint="default"/>
      </w:rPr>
    </w:lvl>
    <w:lvl w:ilvl="1" w:tplc="04130019" w:tentative="1">
      <w:start w:val="1"/>
      <w:numFmt w:val="lowerLetter"/>
      <w:lvlText w:val="%2."/>
      <w:lvlJc w:val="left"/>
      <w:pPr>
        <w:ind w:left="1667" w:hanging="360"/>
      </w:pPr>
    </w:lvl>
    <w:lvl w:ilvl="2" w:tplc="0413001B" w:tentative="1">
      <w:start w:val="1"/>
      <w:numFmt w:val="lowerRoman"/>
      <w:lvlText w:val="%3."/>
      <w:lvlJc w:val="right"/>
      <w:pPr>
        <w:ind w:left="2387" w:hanging="180"/>
      </w:pPr>
    </w:lvl>
    <w:lvl w:ilvl="3" w:tplc="0413000F" w:tentative="1">
      <w:start w:val="1"/>
      <w:numFmt w:val="decimal"/>
      <w:lvlText w:val="%4."/>
      <w:lvlJc w:val="left"/>
      <w:pPr>
        <w:ind w:left="3107" w:hanging="360"/>
      </w:pPr>
    </w:lvl>
    <w:lvl w:ilvl="4" w:tplc="04130019" w:tentative="1">
      <w:start w:val="1"/>
      <w:numFmt w:val="lowerLetter"/>
      <w:lvlText w:val="%5."/>
      <w:lvlJc w:val="left"/>
      <w:pPr>
        <w:ind w:left="3827" w:hanging="360"/>
      </w:pPr>
    </w:lvl>
    <w:lvl w:ilvl="5" w:tplc="0413001B" w:tentative="1">
      <w:start w:val="1"/>
      <w:numFmt w:val="lowerRoman"/>
      <w:lvlText w:val="%6."/>
      <w:lvlJc w:val="right"/>
      <w:pPr>
        <w:ind w:left="4547" w:hanging="180"/>
      </w:pPr>
    </w:lvl>
    <w:lvl w:ilvl="6" w:tplc="0413000F" w:tentative="1">
      <w:start w:val="1"/>
      <w:numFmt w:val="decimal"/>
      <w:lvlText w:val="%7."/>
      <w:lvlJc w:val="left"/>
      <w:pPr>
        <w:ind w:left="5267" w:hanging="360"/>
      </w:pPr>
    </w:lvl>
    <w:lvl w:ilvl="7" w:tplc="04130019" w:tentative="1">
      <w:start w:val="1"/>
      <w:numFmt w:val="lowerLetter"/>
      <w:lvlText w:val="%8."/>
      <w:lvlJc w:val="left"/>
      <w:pPr>
        <w:ind w:left="5987" w:hanging="360"/>
      </w:pPr>
    </w:lvl>
    <w:lvl w:ilvl="8" w:tplc="0413001B" w:tentative="1">
      <w:start w:val="1"/>
      <w:numFmt w:val="lowerRoman"/>
      <w:lvlText w:val="%9."/>
      <w:lvlJc w:val="right"/>
      <w:pPr>
        <w:ind w:left="6707" w:hanging="180"/>
      </w:pPr>
    </w:lvl>
  </w:abstractNum>
  <w:abstractNum w:abstractNumId="12" w15:restartNumberingAfterBreak="0">
    <w:nsid w:val="33FB65A1"/>
    <w:multiLevelType w:val="multilevel"/>
    <w:tmpl w:val="60BC5F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6981FC2"/>
    <w:multiLevelType w:val="hybridMultilevel"/>
    <w:tmpl w:val="0B96FED2"/>
    <w:lvl w:ilvl="0" w:tplc="4C523550">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4" w15:restartNumberingAfterBreak="0">
    <w:nsid w:val="37754F44"/>
    <w:multiLevelType w:val="multilevel"/>
    <w:tmpl w:val="E07CA4C2"/>
    <w:lvl w:ilvl="0">
      <w:start w:val="1"/>
      <w:numFmt w:val="upperRoman"/>
      <w:lvlText w:val="%1."/>
      <w:lvlJc w:val="left"/>
      <w:pPr>
        <w:ind w:left="0"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numFmt w:val="decimal"/>
      <w:lvlText w:val="%1.%2."/>
      <w:lvlJc w:val="left"/>
      <w:pPr>
        <w:ind w:left="284" w:firstLine="0"/>
      </w:pPr>
      <w:rPr>
        <w:rFonts w:hint="default"/>
      </w:rPr>
    </w:lvl>
    <w:lvl w:ilvl="2">
      <w:start w:val="1"/>
      <w:numFmt w:val="decimal"/>
      <w:lvlText w:val="%1.%2.%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5" w15:restartNumberingAfterBreak="0">
    <w:nsid w:val="50A92685"/>
    <w:multiLevelType w:val="hybridMultilevel"/>
    <w:tmpl w:val="0512E492"/>
    <w:lvl w:ilvl="0" w:tplc="04130019">
      <w:start w:val="1"/>
      <w:numFmt w:val="lowerLetter"/>
      <w:lvlText w:val="%1."/>
      <w:lvlJc w:val="left"/>
      <w:pPr>
        <w:ind w:left="1069" w:hanging="360"/>
      </w:p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6" w15:restartNumberingAfterBreak="0">
    <w:nsid w:val="58894B8B"/>
    <w:multiLevelType w:val="hybridMultilevel"/>
    <w:tmpl w:val="6D04D504"/>
    <w:lvl w:ilvl="0" w:tplc="89A04CFC">
      <w:start w:val="1"/>
      <w:numFmt w:val="lowerLetter"/>
      <w:lvlText w:val="%1)"/>
      <w:lvlJc w:val="left"/>
      <w:pPr>
        <w:ind w:left="990" w:hanging="360"/>
      </w:pPr>
      <w:rPr>
        <w:rFonts w:hint="default"/>
      </w:rPr>
    </w:lvl>
    <w:lvl w:ilvl="1" w:tplc="04090019">
      <w:start w:val="1"/>
      <w:numFmt w:val="lowerLetter"/>
      <w:lvlText w:val="%2."/>
      <w:lvlJc w:val="left"/>
      <w:pPr>
        <w:ind w:left="1080" w:hanging="360"/>
      </w:pPr>
    </w:lvl>
    <w:lvl w:ilvl="2" w:tplc="7556CFDA">
      <w:start w:val="1"/>
      <w:numFmt w:val="decimal"/>
      <w:lvlText w:val="%3."/>
      <w:lvlJc w:val="left"/>
      <w:pPr>
        <w:ind w:left="720" w:hanging="54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5C82252A"/>
    <w:multiLevelType w:val="hybridMultilevel"/>
    <w:tmpl w:val="3FAE7616"/>
    <w:lvl w:ilvl="0" w:tplc="CCF2FCD6">
      <w:start w:val="1"/>
      <w:numFmt w:val="lowerLetter"/>
      <w:lvlText w:val="%1."/>
      <w:lvlJc w:val="left"/>
      <w:pPr>
        <w:ind w:left="1068" w:hanging="360"/>
      </w:pPr>
      <w:rPr>
        <w:rFonts w:ascii="Verdana" w:eastAsia="Times New Roman" w:hAnsi="Verdana" w:cs="Arial"/>
      </w:rPr>
    </w:lvl>
    <w:lvl w:ilvl="1" w:tplc="04130019">
      <w:start w:val="1"/>
      <w:numFmt w:val="decimal"/>
      <w:lvlText w:val="%2."/>
      <w:lvlJc w:val="left"/>
      <w:pPr>
        <w:tabs>
          <w:tab w:val="num" w:pos="1788"/>
        </w:tabs>
        <w:ind w:left="1788" w:hanging="360"/>
      </w:pPr>
    </w:lvl>
    <w:lvl w:ilvl="2" w:tplc="0413001B">
      <w:start w:val="1"/>
      <w:numFmt w:val="decimal"/>
      <w:lvlText w:val="%3."/>
      <w:lvlJc w:val="left"/>
      <w:pPr>
        <w:tabs>
          <w:tab w:val="num" w:pos="2508"/>
        </w:tabs>
        <w:ind w:left="2508" w:hanging="360"/>
      </w:pPr>
    </w:lvl>
    <w:lvl w:ilvl="3" w:tplc="0413000F">
      <w:start w:val="1"/>
      <w:numFmt w:val="decimal"/>
      <w:lvlText w:val="%4."/>
      <w:lvlJc w:val="left"/>
      <w:pPr>
        <w:tabs>
          <w:tab w:val="num" w:pos="3228"/>
        </w:tabs>
        <w:ind w:left="3228" w:hanging="360"/>
      </w:pPr>
    </w:lvl>
    <w:lvl w:ilvl="4" w:tplc="04130019">
      <w:start w:val="1"/>
      <w:numFmt w:val="decimal"/>
      <w:lvlText w:val="%5."/>
      <w:lvlJc w:val="left"/>
      <w:pPr>
        <w:tabs>
          <w:tab w:val="num" w:pos="3948"/>
        </w:tabs>
        <w:ind w:left="3948" w:hanging="360"/>
      </w:pPr>
    </w:lvl>
    <w:lvl w:ilvl="5" w:tplc="0413001B">
      <w:start w:val="1"/>
      <w:numFmt w:val="decimal"/>
      <w:lvlText w:val="%6."/>
      <w:lvlJc w:val="left"/>
      <w:pPr>
        <w:tabs>
          <w:tab w:val="num" w:pos="4668"/>
        </w:tabs>
        <w:ind w:left="4668" w:hanging="360"/>
      </w:pPr>
    </w:lvl>
    <w:lvl w:ilvl="6" w:tplc="0413000F">
      <w:start w:val="1"/>
      <w:numFmt w:val="decimal"/>
      <w:lvlText w:val="%7."/>
      <w:lvlJc w:val="left"/>
      <w:pPr>
        <w:tabs>
          <w:tab w:val="num" w:pos="5388"/>
        </w:tabs>
        <w:ind w:left="5388" w:hanging="360"/>
      </w:pPr>
    </w:lvl>
    <w:lvl w:ilvl="7" w:tplc="04130019">
      <w:start w:val="1"/>
      <w:numFmt w:val="decimal"/>
      <w:lvlText w:val="%8."/>
      <w:lvlJc w:val="left"/>
      <w:pPr>
        <w:tabs>
          <w:tab w:val="num" w:pos="6108"/>
        </w:tabs>
        <w:ind w:left="6108" w:hanging="360"/>
      </w:pPr>
    </w:lvl>
    <w:lvl w:ilvl="8" w:tplc="0413001B">
      <w:start w:val="1"/>
      <w:numFmt w:val="decimal"/>
      <w:lvlText w:val="%9."/>
      <w:lvlJc w:val="left"/>
      <w:pPr>
        <w:tabs>
          <w:tab w:val="num" w:pos="6828"/>
        </w:tabs>
        <w:ind w:left="6828" w:hanging="360"/>
      </w:pPr>
    </w:lvl>
  </w:abstractNum>
  <w:abstractNum w:abstractNumId="18" w15:restartNumberingAfterBreak="0">
    <w:nsid w:val="614D044C"/>
    <w:multiLevelType w:val="hybridMultilevel"/>
    <w:tmpl w:val="0CD0D48A"/>
    <w:lvl w:ilvl="0" w:tplc="32CE8072">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9" w15:restartNumberingAfterBreak="0">
    <w:nsid w:val="61E02A5C"/>
    <w:multiLevelType w:val="hybridMultilevel"/>
    <w:tmpl w:val="67BCF6D2"/>
    <w:lvl w:ilvl="0" w:tplc="0413000F">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20" w15:restartNumberingAfterBreak="0">
    <w:nsid w:val="65B9457D"/>
    <w:multiLevelType w:val="hybridMultilevel"/>
    <w:tmpl w:val="1A22CA6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E723C0"/>
    <w:multiLevelType w:val="hybridMultilevel"/>
    <w:tmpl w:val="4198DCB8"/>
    <w:lvl w:ilvl="0" w:tplc="EF6A7B5E">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2" w15:restartNumberingAfterBreak="0">
    <w:nsid w:val="6A9D61DC"/>
    <w:multiLevelType w:val="multilevel"/>
    <w:tmpl w:val="E7844AD8"/>
    <w:name w:val="Modelverdrag2"/>
    <w:lvl w:ilvl="0">
      <w:start w:val="4"/>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3B64F0A"/>
    <w:multiLevelType w:val="hybridMultilevel"/>
    <w:tmpl w:val="A7BA1A24"/>
    <w:lvl w:ilvl="0" w:tplc="6E74E8E2">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4" w15:restartNumberingAfterBreak="0">
    <w:nsid w:val="74F23A02"/>
    <w:multiLevelType w:val="hybridMultilevel"/>
    <w:tmpl w:val="3DD8D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6"/>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
  </w:num>
  <w:num w:numId="9">
    <w:abstractNumId w:val="22"/>
  </w:num>
  <w:num w:numId="10">
    <w:abstractNumId w:val="7"/>
  </w:num>
  <w:num w:numId="11">
    <w:abstractNumId w:val="1"/>
  </w:num>
  <w:num w:numId="12">
    <w:abstractNumId w:val="10"/>
  </w:num>
  <w:num w:numId="13">
    <w:abstractNumId w:val="20"/>
  </w:num>
  <w:num w:numId="14">
    <w:abstractNumId w:val="3"/>
  </w:num>
  <w:num w:numId="15">
    <w:abstractNumId w:val="0"/>
  </w:num>
  <w:num w:numId="16">
    <w:abstractNumId w:val="8"/>
  </w:num>
  <w:num w:numId="17">
    <w:abstractNumId w:val="13"/>
  </w:num>
  <w:num w:numId="18">
    <w:abstractNumId w:val="18"/>
  </w:num>
  <w:num w:numId="19">
    <w:abstractNumId w:val="9"/>
  </w:num>
  <w:num w:numId="20">
    <w:abstractNumId w:val="19"/>
  </w:num>
  <w:num w:numId="21">
    <w:abstractNumId w:val="5"/>
  </w:num>
  <w:num w:numId="22">
    <w:abstractNumId w:val="6"/>
  </w:num>
  <w:num w:numId="23">
    <w:abstractNumId w:val="23"/>
  </w:num>
  <w:num w:numId="24">
    <w:abstractNumId w:val="11"/>
  </w:num>
  <w:num w:numId="25">
    <w:abstractNumId w:val="4"/>
  </w:num>
  <w:num w:numId="2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activeWritingStyle w:appName="MSWord" w:lang="nl-NL"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60C"/>
    <w:rsid w:val="00000AAE"/>
    <w:rsid w:val="00001118"/>
    <w:rsid w:val="00001229"/>
    <w:rsid w:val="00001532"/>
    <w:rsid w:val="0000191F"/>
    <w:rsid w:val="00001FD6"/>
    <w:rsid w:val="000024CC"/>
    <w:rsid w:val="000048E8"/>
    <w:rsid w:val="00004D0C"/>
    <w:rsid w:val="00004EED"/>
    <w:rsid w:val="00005536"/>
    <w:rsid w:val="00005893"/>
    <w:rsid w:val="00005D1D"/>
    <w:rsid w:val="000069F7"/>
    <w:rsid w:val="00006E5C"/>
    <w:rsid w:val="00007FEE"/>
    <w:rsid w:val="00010C17"/>
    <w:rsid w:val="0001102D"/>
    <w:rsid w:val="000110E8"/>
    <w:rsid w:val="00011DFD"/>
    <w:rsid w:val="000121C9"/>
    <w:rsid w:val="00012235"/>
    <w:rsid w:val="0001251B"/>
    <w:rsid w:val="00012546"/>
    <w:rsid w:val="000130F1"/>
    <w:rsid w:val="00013811"/>
    <w:rsid w:val="0001440B"/>
    <w:rsid w:val="00014799"/>
    <w:rsid w:val="000152D9"/>
    <w:rsid w:val="000162B4"/>
    <w:rsid w:val="00016880"/>
    <w:rsid w:val="00016BB5"/>
    <w:rsid w:val="00020C05"/>
    <w:rsid w:val="000220E2"/>
    <w:rsid w:val="0002397E"/>
    <w:rsid w:val="0002421B"/>
    <w:rsid w:val="00025126"/>
    <w:rsid w:val="00025BDA"/>
    <w:rsid w:val="00026DC9"/>
    <w:rsid w:val="0002734E"/>
    <w:rsid w:val="00030A64"/>
    <w:rsid w:val="000313E7"/>
    <w:rsid w:val="00031A6C"/>
    <w:rsid w:val="000336BD"/>
    <w:rsid w:val="000339A6"/>
    <w:rsid w:val="00034377"/>
    <w:rsid w:val="00034576"/>
    <w:rsid w:val="00034B7A"/>
    <w:rsid w:val="0003634E"/>
    <w:rsid w:val="0003677C"/>
    <w:rsid w:val="00036A25"/>
    <w:rsid w:val="00037937"/>
    <w:rsid w:val="00037C02"/>
    <w:rsid w:val="000417A0"/>
    <w:rsid w:val="00042800"/>
    <w:rsid w:val="000433C1"/>
    <w:rsid w:val="00043654"/>
    <w:rsid w:val="0004387C"/>
    <w:rsid w:val="00043906"/>
    <w:rsid w:val="00043C6D"/>
    <w:rsid w:val="000448AD"/>
    <w:rsid w:val="000449A8"/>
    <w:rsid w:val="0004502B"/>
    <w:rsid w:val="0004567D"/>
    <w:rsid w:val="00046016"/>
    <w:rsid w:val="000463D9"/>
    <w:rsid w:val="00046720"/>
    <w:rsid w:val="0004732F"/>
    <w:rsid w:val="00050D7F"/>
    <w:rsid w:val="00051128"/>
    <w:rsid w:val="000526E7"/>
    <w:rsid w:val="00052B3C"/>
    <w:rsid w:val="000530F2"/>
    <w:rsid w:val="000532C1"/>
    <w:rsid w:val="00053BF2"/>
    <w:rsid w:val="000546B4"/>
    <w:rsid w:val="00054962"/>
    <w:rsid w:val="00054D0E"/>
    <w:rsid w:val="000569FA"/>
    <w:rsid w:val="00057B45"/>
    <w:rsid w:val="000601F4"/>
    <w:rsid w:val="0006094E"/>
    <w:rsid w:val="00060D72"/>
    <w:rsid w:val="000612E3"/>
    <w:rsid w:val="000618F8"/>
    <w:rsid w:val="000627E2"/>
    <w:rsid w:val="00062AF3"/>
    <w:rsid w:val="00062D60"/>
    <w:rsid w:val="00063499"/>
    <w:rsid w:val="00063571"/>
    <w:rsid w:val="000638A1"/>
    <w:rsid w:val="000646CE"/>
    <w:rsid w:val="0006531F"/>
    <w:rsid w:val="0006586D"/>
    <w:rsid w:val="000666F0"/>
    <w:rsid w:val="000678A2"/>
    <w:rsid w:val="00067F07"/>
    <w:rsid w:val="00070FA8"/>
    <w:rsid w:val="00071DD2"/>
    <w:rsid w:val="00072B96"/>
    <w:rsid w:val="00073F1F"/>
    <w:rsid w:val="00074910"/>
    <w:rsid w:val="00074997"/>
    <w:rsid w:val="00074A85"/>
    <w:rsid w:val="00075163"/>
    <w:rsid w:val="000759AE"/>
    <w:rsid w:val="00076C17"/>
    <w:rsid w:val="000775ED"/>
    <w:rsid w:val="00077EA8"/>
    <w:rsid w:val="00080779"/>
    <w:rsid w:val="000819E4"/>
    <w:rsid w:val="00082074"/>
    <w:rsid w:val="000827D2"/>
    <w:rsid w:val="00082A16"/>
    <w:rsid w:val="00082FA2"/>
    <w:rsid w:val="000831B7"/>
    <w:rsid w:val="000851E6"/>
    <w:rsid w:val="000860E2"/>
    <w:rsid w:val="000862DD"/>
    <w:rsid w:val="00086938"/>
    <w:rsid w:val="000900A6"/>
    <w:rsid w:val="000906C3"/>
    <w:rsid w:val="00090948"/>
    <w:rsid w:val="00091B47"/>
    <w:rsid w:val="00091C6D"/>
    <w:rsid w:val="00092171"/>
    <w:rsid w:val="00092220"/>
    <w:rsid w:val="00092449"/>
    <w:rsid w:val="00092AAE"/>
    <w:rsid w:val="00093539"/>
    <w:rsid w:val="0009402B"/>
    <w:rsid w:val="00094748"/>
    <w:rsid w:val="00094877"/>
    <w:rsid w:val="00094BB5"/>
    <w:rsid w:val="000955CF"/>
    <w:rsid w:val="0009602B"/>
    <w:rsid w:val="000962C4"/>
    <w:rsid w:val="00096A4E"/>
    <w:rsid w:val="00097566"/>
    <w:rsid w:val="000A1D5A"/>
    <w:rsid w:val="000A2A50"/>
    <w:rsid w:val="000A3654"/>
    <w:rsid w:val="000A587F"/>
    <w:rsid w:val="000A6379"/>
    <w:rsid w:val="000A6B69"/>
    <w:rsid w:val="000A7BC9"/>
    <w:rsid w:val="000B02F5"/>
    <w:rsid w:val="000B0674"/>
    <w:rsid w:val="000B1658"/>
    <w:rsid w:val="000B176D"/>
    <w:rsid w:val="000B2ADE"/>
    <w:rsid w:val="000B2E33"/>
    <w:rsid w:val="000B2FBB"/>
    <w:rsid w:val="000B3434"/>
    <w:rsid w:val="000B3A7A"/>
    <w:rsid w:val="000B3B63"/>
    <w:rsid w:val="000B51B6"/>
    <w:rsid w:val="000B574F"/>
    <w:rsid w:val="000B5D4A"/>
    <w:rsid w:val="000B5D4D"/>
    <w:rsid w:val="000B5D65"/>
    <w:rsid w:val="000B6BF3"/>
    <w:rsid w:val="000B6ECF"/>
    <w:rsid w:val="000B76E2"/>
    <w:rsid w:val="000B7D7C"/>
    <w:rsid w:val="000C00E7"/>
    <w:rsid w:val="000C0F2B"/>
    <w:rsid w:val="000C132C"/>
    <w:rsid w:val="000C181C"/>
    <w:rsid w:val="000C1990"/>
    <w:rsid w:val="000C3C01"/>
    <w:rsid w:val="000C4D87"/>
    <w:rsid w:val="000C6CE2"/>
    <w:rsid w:val="000C7EC9"/>
    <w:rsid w:val="000D1664"/>
    <w:rsid w:val="000D1FE0"/>
    <w:rsid w:val="000D29AA"/>
    <w:rsid w:val="000D486E"/>
    <w:rsid w:val="000D4DC6"/>
    <w:rsid w:val="000D5233"/>
    <w:rsid w:val="000D553F"/>
    <w:rsid w:val="000D5D9D"/>
    <w:rsid w:val="000D5EE5"/>
    <w:rsid w:val="000D6E8C"/>
    <w:rsid w:val="000E0D64"/>
    <w:rsid w:val="000E3531"/>
    <w:rsid w:val="000E37D5"/>
    <w:rsid w:val="000E3957"/>
    <w:rsid w:val="000E47A3"/>
    <w:rsid w:val="000E4DA9"/>
    <w:rsid w:val="000E5370"/>
    <w:rsid w:val="000E57A1"/>
    <w:rsid w:val="000F0014"/>
    <w:rsid w:val="000F0BB8"/>
    <w:rsid w:val="000F14B5"/>
    <w:rsid w:val="000F1CC7"/>
    <w:rsid w:val="000F210E"/>
    <w:rsid w:val="000F282D"/>
    <w:rsid w:val="000F3071"/>
    <w:rsid w:val="000F3286"/>
    <w:rsid w:val="000F40FC"/>
    <w:rsid w:val="000F42BA"/>
    <w:rsid w:val="000F437D"/>
    <w:rsid w:val="000F4B56"/>
    <w:rsid w:val="000F4B93"/>
    <w:rsid w:val="000F5040"/>
    <w:rsid w:val="000F5B81"/>
    <w:rsid w:val="000F79B3"/>
    <w:rsid w:val="000F7B77"/>
    <w:rsid w:val="000F7E8E"/>
    <w:rsid w:val="000F7F20"/>
    <w:rsid w:val="000F7FAF"/>
    <w:rsid w:val="0010105C"/>
    <w:rsid w:val="001018D2"/>
    <w:rsid w:val="00103183"/>
    <w:rsid w:val="001042F2"/>
    <w:rsid w:val="00104481"/>
    <w:rsid w:val="00104CEA"/>
    <w:rsid w:val="0010685F"/>
    <w:rsid w:val="001074E8"/>
    <w:rsid w:val="00107C12"/>
    <w:rsid w:val="001113DD"/>
    <w:rsid w:val="001116B1"/>
    <w:rsid w:val="00111B13"/>
    <w:rsid w:val="00111FCC"/>
    <w:rsid w:val="0011250E"/>
    <w:rsid w:val="0011413C"/>
    <w:rsid w:val="00114B43"/>
    <w:rsid w:val="00115166"/>
    <w:rsid w:val="001169EA"/>
    <w:rsid w:val="00117E52"/>
    <w:rsid w:val="001200D4"/>
    <w:rsid w:val="0012185C"/>
    <w:rsid w:val="00121C6F"/>
    <w:rsid w:val="00122A99"/>
    <w:rsid w:val="001230CF"/>
    <w:rsid w:val="0012422B"/>
    <w:rsid w:val="00124BB9"/>
    <w:rsid w:val="00124CF3"/>
    <w:rsid w:val="00125176"/>
    <w:rsid w:val="001264BF"/>
    <w:rsid w:val="001269C7"/>
    <w:rsid w:val="0012719A"/>
    <w:rsid w:val="00127576"/>
    <w:rsid w:val="00127741"/>
    <w:rsid w:val="0013099D"/>
    <w:rsid w:val="00131158"/>
    <w:rsid w:val="001318EB"/>
    <w:rsid w:val="00133F16"/>
    <w:rsid w:val="001349E4"/>
    <w:rsid w:val="00134AD8"/>
    <w:rsid w:val="00134F31"/>
    <w:rsid w:val="00135CD3"/>
    <w:rsid w:val="00136BD3"/>
    <w:rsid w:val="0013779A"/>
    <w:rsid w:val="00137890"/>
    <w:rsid w:val="00140C37"/>
    <w:rsid w:val="00141DD2"/>
    <w:rsid w:val="00142864"/>
    <w:rsid w:val="0014369A"/>
    <w:rsid w:val="00143BAD"/>
    <w:rsid w:val="00143EAB"/>
    <w:rsid w:val="0014408E"/>
    <w:rsid w:val="00144B9C"/>
    <w:rsid w:val="00144D0B"/>
    <w:rsid w:val="00144FDE"/>
    <w:rsid w:val="001459E9"/>
    <w:rsid w:val="00145A55"/>
    <w:rsid w:val="00145D9B"/>
    <w:rsid w:val="001460E2"/>
    <w:rsid w:val="00146631"/>
    <w:rsid w:val="001468A2"/>
    <w:rsid w:val="00150A60"/>
    <w:rsid w:val="00150A73"/>
    <w:rsid w:val="00151594"/>
    <w:rsid w:val="001520B2"/>
    <w:rsid w:val="001524EE"/>
    <w:rsid w:val="00152EA3"/>
    <w:rsid w:val="00153120"/>
    <w:rsid w:val="00153A7E"/>
    <w:rsid w:val="00153BCA"/>
    <w:rsid w:val="001542FE"/>
    <w:rsid w:val="00154477"/>
    <w:rsid w:val="0015618A"/>
    <w:rsid w:val="00156947"/>
    <w:rsid w:val="0015702B"/>
    <w:rsid w:val="00157AD6"/>
    <w:rsid w:val="00160208"/>
    <w:rsid w:val="00160E1C"/>
    <w:rsid w:val="00162B8B"/>
    <w:rsid w:val="00164D36"/>
    <w:rsid w:val="00165681"/>
    <w:rsid w:val="00165EDA"/>
    <w:rsid w:val="001665D6"/>
    <w:rsid w:val="00166910"/>
    <w:rsid w:val="00166F0F"/>
    <w:rsid w:val="00167A1C"/>
    <w:rsid w:val="0017131A"/>
    <w:rsid w:val="0017164E"/>
    <w:rsid w:val="00172834"/>
    <w:rsid w:val="00172918"/>
    <w:rsid w:val="00173028"/>
    <w:rsid w:val="00173450"/>
    <w:rsid w:val="001736D3"/>
    <w:rsid w:val="00173B66"/>
    <w:rsid w:val="00173F7D"/>
    <w:rsid w:val="00174743"/>
    <w:rsid w:val="001759C0"/>
    <w:rsid w:val="001767DB"/>
    <w:rsid w:val="00177B28"/>
    <w:rsid w:val="00180457"/>
    <w:rsid w:val="0018266B"/>
    <w:rsid w:val="00182D3C"/>
    <w:rsid w:val="0018301C"/>
    <w:rsid w:val="001859F6"/>
    <w:rsid w:val="00185B87"/>
    <w:rsid w:val="00185BCC"/>
    <w:rsid w:val="00186ABE"/>
    <w:rsid w:val="00186B3A"/>
    <w:rsid w:val="00186DC4"/>
    <w:rsid w:val="00186E44"/>
    <w:rsid w:val="00190051"/>
    <w:rsid w:val="00190C53"/>
    <w:rsid w:val="00191131"/>
    <w:rsid w:val="001931B6"/>
    <w:rsid w:val="001936B1"/>
    <w:rsid w:val="00193F92"/>
    <w:rsid w:val="0019421E"/>
    <w:rsid w:val="00194549"/>
    <w:rsid w:val="001946A8"/>
    <w:rsid w:val="00194914"/>
    <w:rsid w:val="001959BC"/>
    <w:rsid w:val="00196947"/>
    <w:rsid w:val="001A05EC"/>
    <w:rsid w:val="001A0A85"/>
    <w:rsid w:val="001A2ABA"/>
    <w:rsid w:val="001A4CDF"/>
    <w:rsid w:val="001A4F1E"/>
    <w:rsid w:val="001A5002"/>
    <w:rsid w:val="001A5383"/>
    <w:rsid w:val="001A7F48"/>
    <w:rsid w:val="001B0AB6"/>
    <w:rsid w:val="001B10CC"/>
    <w:rsid w:val="001B19DD"/>
    <w:rsid w:val="001B27C7"/>
    <w:rsid w:val="001B2D08"/>
    <w:rsid w:val="001B2EF1"/>
    <w:rsid w:val="001B3013"/>
    <w:rsid w:val="001B3122"/>
    <w:rsid w:val="001B46DE"/>
    <w:rsid w:val="001B4DD4"/>
    <w:rsid w:val="001B5EC0"/>
    <w:rsid w:val="001B60BF"/>
    <w:rsid w:val="001B70AA"/>
    <w:rsid w:val="001B7394"/>
    <w:rsid w:val="001B7AB3"/>
    <w:rsid w:val="001C0809"/>
    <w:rsid w:val="001C26B4"/>
    <w:rsid w:val="001C2F1E"/>
    <w:rsid w:val="001C2FE8"/>
    <w:rsid w:val="001C35CA"/>
    <w:rsid w:val="001C47EC"/>
    <w:rsid w:val="001C5B0C"/>
    <w:rsid w:val="001C60B9"/>
    <w:rsid w:val="001C6327"/>
    <w:rsid w:val="001C7B11"/>
    <w:rsid w:val="001C7DDD"/>
    <w:rsid w:val="001D0A7F"/>
    <w:rsid w:val="001D0C7C"/>
    <w:rsid w:val="001D1A69"/>
    <w:rsid w:val="001D1AAA"/>
    <w:rsid w:val="001D25C0"/>
    <w:rsid w:val="001D25EE"/>
    <w:rsid w:val="001D30FF"/>
    <w:rsid w:val="001D3121"/>
    <w:rsid w:val="001D3410"/>
    <w:rsid w:val="001D4832"/>
    <w:rsid w:val="001D49A4"/>
    <w:rsid w:val="001D4C40"/>
    <w:rsid w:val="001D522F"/>
    <w:rsid w:val="001D5F33"/>
    <w:rsid w:val="001D67D3"/>
    <w:rsid w:val="001D7283"/>
    <w:rsid w:val="001D7663"/>
    <w:rsid w:val="001E0872"/>
    <w:rsid w:val="001E0959"/>
    <w:rsid w:val="001E2FCD"/>
    <w:rsid w:val="001E38B0"/>
    <w:rsid w:val="001E3D67"/>
    <w:rsid w:val="001E41DF"/>
    <w:rsid w:val="001E4CB3"/>
    <w:rsid w:val="001E5482"/>
    <w:rsid w:val="001E54ED"/>
    <w:rsid w:val="001F0E69"/>
    <w:rsid w:val="001F0FA1"/>
    <w:rsid w:val="001F1493"/>
    <w:rsid w:val="001F1D4E"/>
    <w:rsid w:val="001F2FC8"/>
    <w:rsid w:val="001F4CBA"/>
    <w:rsid w:val="001F5199"/>
    <w:rsid w:val="001F528D"/>
    <w:rsid w:val="001F58C9"/>
    <w:rsid w:val="001F593D"/>
    <w:rsid w:val="001F5944"/>
    <w:rsid w:val="001F5FB2"/>
    <w:rsid w:val="001F70F1"/>
    <w:rsid w:val="001F715A"/>
    <w:rsid w:val="001F7225"/>
    <w:rsid w:val="001F737F"/>
    <w:rsid w:val="001F7ABE"/>
    <w:rsid w:val="0020050D"/>
    <w:rsid w:val="002009FD"/>
    <w:rsid w:val="00200A4B"/>
    <w:rsid w:val="002020AE"/>
    <w:rsid w:val="002022A4"/>
    <w:rsid w:val="00203082"/>
    <w:rsid w:val="002037C3"/>
    <w:rsid w:val="002049B3"/>
    <w:rsid w:val="00204F20"/>
    <w:rsid w:val="00204F4A"/>
    <w:rsid w:val="00204FEC"/>
    <w:rsid w:val="00206A3B"/>
    <w:rsid w:val="00206DF2"/>
    <w:rsid w:val="00206F43"/>
    <w:rsid w:val="00207583"/>
    <w:rsid w:val="00207B1E"/>
    <w:rsid w:val="0021070B"/>
    <w:rsid w:val="00210DE2"/>
    <w:rsid w:val="00211925"/>
    <w:rsid w:val="0021264F"/>
    <w:rsid w:val="00213DC4"/>
    <w:rsid w:val="0021427F"/>
    <w:rsid w:val="0021450B"/>
    <w:rsid w:val="00214E90"/>
    <w:rsid w:val="00215B99"/>
    <w:rsid w:val="002166C1"/>
    <w:rsid w:val="00216FBA"/>
    <w:rsid w:val="00216FCD"/>
    <w:rsid w:val="00217840"/>
    <w:rsid w:val="002205F5"/>
    <w:rsid w:val="00220C2C"/>
    <w:rsid w:val="00221EDC"/>
    <w:rsid w:val="002229E7"/>
    <w:rsid w:val="00222BD6"/>
    <w:rsid w:val="0022345A"/>
    <w:rsid w:val="0022459F"/>
    <w:rsid w:val="002258E0"/>
    <w:rsid w:val="002268F9"/>
    <w:rsid w:val="00226C3B"/>
    <w:rsid w:val="002274ED"/>
    <w:rsid w:val="00227EA5"/>
    <w:rsid w:val="00230D93"/>
    <w:rsid w:val="00230ED2"/>
    <w:rsid w:val="00231397"/>
    <w:rsid w:val="00232443"/>
    <w:rsid w:val="00232D25"/>
    <w:rsid w:val="002331D3"/>
    <w:rsid w:val="00233230"/>
    <w:rsid w:val="002336D1"/>
    <w:rsid w:val="00235A92"/>
    <w:rsid w:val="00235F44"/>
    <w:rsid w:val="00237644"/>
    <w:rsid w:val="002400AB"/>
    <w:rsid w:val="00240300"/>
    <w:rsid w:val="00240586"/>
    <w:rsid w:val="00241871"/>
    <w:rsid w:val="00241BE8"/>
    <w:rsid w:val="0024266A"/>
    <w:rsid w:val="002440FD"/>
    <w:rsid w:val="00244120"/>
    <w:rsid w:val="002442F4"/>
    <w:rsid w:val="00244325"/>
    <w:rsid w:val="00245654"/>
    <w:rsid w:val="00245764"/>
    <w:rsid w:val="00245C2C"/>
    <w:rsid w:val="00246290"/>
    <w:rsid w:val="00246626"/>
    <w:rsid w:val="00246BCC"/>
    <w:rsid w:val="00247437"/>
    <w:rsid w:val="00247EE0"/>
    <w:rsid w:val="00251780"/>
    <w:rsid w:val="00251F01"/>
    <w:rsid w:val="00252207"/>
    <w:rsid w:val="002530E7"/>
    <w:rsid w:val="0025376E"/>
    <w:rsid w:val="002547AE"/>
    <w:rsid w:val="00255412"/>
    <w:rsid w:val="00255B2E"/>
    <w:rsid w:val="00255F78"/>
    <w:rsid w:val="0025614F"/>
    <w:rsid w:val="00256CCC"/>
    <w:rsid w:val="00256E77"/>
    <w:rsid w:val="00257EC4"/>
    <w:rsid w:val="002606A1"/>
    <w:rsid w:val="00260F7C"/>
    <w:rsid w:val="0026126E"/>
    <w:rsid w:val="00261C58"/>
    <w:rsid w:val="00261F51"/>
    <w:rsid w:val="00262822"/>
    <w:rsid w:val="0026291B"/>
    <w:rsid w:val="00262AE4"/>
    <w:rsid w:val="00263093"/>
    <w:rsid w:val="00263645"/>
    <w:rsid w:val="0026369C"/>
    <w:rsid w:val="00263B25"/>
    <w:rsid w:val="00264139"/>
    <w:rsid w:val="002642D5"/>
    <w:rsid w:val="00264312"/>
    <w:rsid w:val="002643A5"/>
    <w:rsid w:val="00264A54"/>
    <w:rsid w:val="0026543F"/>
    <w:rsid w:val="0026636C"/>
    <w:rsid w:val="00267235"/>
    <w:rsid w:val="0026798E"/>
    <w:rsid w:val="00267ACA"/>
    <w:rsid w:val="00267D3A"/>
    <w:rsid w:val="002708F8"/>
    <w:rsid w:val="002709A3"/>
    <w:rsid w:val="00270F3C"/>
    <w:rsid w:val="002726AE"/>
    <w:rsid w:val="00272982"/>
    <w:rsid w:val="00273C6D"/>
    <w:rsid w:val="00273D09"/>
    <w:rsid w:val="00273F41"/>
    <w:rsid w:val="00274312"/>
    <w:rsid w:val="00274587"/>
    <w:rsid w:val="00274D45"/>
    <w:rsid w:val="00275320"/>
    <w:rsid w:val="00275DC4"/>
    <w:rsid w:val="00276DEA"/>
    <w:rsid w:val="00277243"/>
    <w:rsid w:val="00281BA6"/>
    <w:rsid w:val="002821D3"/>
    <w:rsid w:val="002823EC"/>
    <w:rsid w:val="002828AC"/>
    <w:rsid w:val="00283E95"/>
    <w:rsid w:val="00284838"/>
    <w:rsid w:val="00284D38"/>
    <w:rsid w:val="00284D91"/>
    <w:rsid w:val="00285BD8"/>
    <w:rsid w:val="00285DD2"/>
    <w:rsid w:val="00286C68"/>
    <w:rsid w:val="0028740C"/>
    <w:rsid w:val="00287EAA"/>
    <w:rsid w:val="00290260"/>
    <w:rsid w:val="00290489"/>
    <w:rsid w:val="00290D79"/>
    <w:rsid w:val="00291088"/>
    <w:rsid w:val="002920F8"/>
    <w:rsid w:val="002937CB"/>
    <w:rsid w:val="00293ACA"/>
    <w:rsid w:val="00294960"/>
    <w:rsid w:val="00294BEF"/>
    <w:rsid w:val="0029507E"/>
    <w:rsid w:val="00295DF8"/>
    <w:rsid w:val="0029726F"/>
    <w:rsid w:val="00297406"/>
    <w:rsid w:val="00297842"/>
    <w:rsid w:val="00297E92"/>
    <w:rsid w:val="002A07C8"/>
    <w:rsid w:val="002A1B40"/>
    <w:rsid w:val="002A1E3B"/>
    <w:rsid w:val="002A22AD"/>
    <w:rsid w:val="002A2682"/>
    <w:rsid w:val="002A2E29"/>
    <w:rsid w:val="002A2E36"/>
    <w:rsid w:val="002A3708"/>
    <w:rsid w:val="002A4776"/>
    <w:rsid w:val="002A4A2E"/>
    <w:rsid w:val="002A517B"/>
    <w:rsid w:val="002A534B"/>
    <w:rsid w:val="002A7BD9"/>
    <w:rsid w:val="002B056E"/>
    <w:rsid w:val="002B071D"/>
    <w:rsid w:val="002B0729"/>
    <w:rsid w:val="002B4234"/>
    <w:rsid w:val="002B44CB"/>
    <w:rsid w:val="002B625B"/>
    <w:rsid w:val="002B64DA"/>
    <w:rsid w:val="002B6648"/>
    <w:rsid w:val="002B7586"/>
    <w:rsid w:val="002B7B33"/>
    <w:rsid w:val="002B7BFB"/>
    <w:rsid w:val="002C0224"/>
    <w:rsid w:val="002C1216"/>
    <w:rsid w:val="002C177F"/>
    <w:rsid w:val="002C178B"/>
    <w:rsid w:val="002C1E5E"/>
    <w:rsid w:val="002C387B"/>
    <w:rsid w:val="002C3AD3"/>
    <w:rsid w:val="002C3B21"/>
    <w:rsid w:val="002C4178"/>
    <w:rsid w:val="002C4311"/>
    <w:rsid w:val="002C482E"/>
    <w:rsid w:val="002C4A17"/>
    <w:rsid w:val="002C4BDD"/>
    <w:rsid w:val="002C4ED0"/>
    <w:rsid w:val="002C5E6C"/>
    <w:rsid w:val="002C79AE"/>
    <w:rsid w:val="002C7D81"/>
    <w:rsid w:val="002D03F5"/>
    <w:rsid w:val="002D159A"/>
    <w:rsid w:val="002D160C"/>
    <w:rsid w:val="002D230B"/>
    <w:rsid w:val="002D2526"/>
    <w:rsid w:val="002D291F"/>
    <w:rsid w:val="002D2A48"/>
    <w:rsid w:val="002D333E"/>
    <w:rsid w:val="002D5588"/>
    <w:rsid w:val="002D5959"/>
    <w:rsid w:val="002D5B03"/>
    <w:rsid w:val="002D6416"/>
    <w:rsid w:val="002D6E4A"/>
    <w:rsid w:val="002D7043"/>
    <w:rsid w:val="002D70AE"/>
    <w:rsid w:val="002D7111"/>
    <w:rsid w:val="002D7178"/>
    <w:rsid w:val="002D7AD8"/>
    <w:rsid w:val="002E0321"/>
    <w:rsid w:val="002E10E1"/>
    <w:rsid w:val="002E1751"/>
    <w:rsid w:val="002E1A6F"/>
    <w:rsid w:val="002E1AE3"/>
    <w:rsid w:val="002E2599"/>
    <w:rsid w:val="002E3E36"/>
    <w:rsid w:val="002E4253"/>
    <w:rsid w:val="002E4CA7"/>
    <w:rsid w:val="002E58AB"/>
    <w:rsid w:val="002E779B"/>
    <w:rsid w:val="002F0BBD"/>
    <w:rsid w:val="002F158E"/>
    <w:rsid w:val="002F1808"/>
    <w:rsid w:val="002F1B13"/>
    <w:rsid w:val="002F1C9B"/>
    <w:rsid w:val="002F2835"/>
    <w:rsid w:val="002F3083"/>
    <w:rsid w:val="002F31FF"/>
    <w:rsid w:val="002F33CE"/>
    <w:rsid w:val="002F353F"/>
    <w:rsid w:val="002F44C6"/>
    <w:rsid w:val="002F468A"/>
    <w:rsid w:val="002F481B"/>
    <w:rsid w:val="002F4A27"/>
    <w:rsid w:val="002F6077"/>
    <w:rsid w:val="002F79D9"/>
    <w:rsid w:val="002F7BA4"/>
    <w:rsid w:val="002F7BE9"/>
    <w:rsid w:val="003000AD"/>
    <w:rsid w:val="00300344"/>
    <w:rsid w:val="003009AB"/>
    <w:rsid w:val="00301204"/>
    <w:rsid w:val="003013AD"/>
    <w:rsid w:val="003016DA"/>
    <w:rsid w:val="00302498"/>
    <w:rsid w:val="00302AA0"/>
    <w:rsid w:val="003034FB"/>
    <w:rsid w:val="0030407D"/>
    <w:rsid w:val="003046AD"/>
    <w:rsid w:val="003068D8"/>
    <w:rsid w:val="00306B78"/>
    <w:rsid w:val="0030748E"/>
    <w:rsid w:val="003074D0"/>
    <w:rsid w:val="003078A3"/>
    <w:rsid w:val="00307E15"/>
    <w:rsid w:val="003103E7"/>
    <w:rsid w:val="00310514"/>
    <w:rsid w:val="0031052B"/>
    <w:rsid w:val="00310FFA"/>
    <w:rsid w:val="003116D5"/>
    <w:rsid w:val="003118D9"/>
    <w:rsid w:val="00311F10"/>
    <w:rsid w:val="0031486C"/>
    <w:rsid w:val="00314BA6"/>
    <w:rsid w:val="00314EC5"/>
    <w:rsid w:val="003179CA"/>
    <w:rsid w:val="00317FC7"/>
    <w:rsid w:val="003201A8"/>
    <w:rsid w:val="003204B1"/>
    <w:rsid w:val="00320AAE"/>
    <w:rsid w:val="00321649"/>
    <w:rsid w:val="00321BBF"/>
    <w:rsid w:val="00321F61"/>
    <w:rsid w:val="00322267"/>
    <w:rsid w:val="00322612"/>
    <w:rsid w:val="00323312"/>
    <w:rsid w:val="00325094"/>
    <w:rsid w:val="00325282"/>
    <w:rsid w:val="00326264"/>
    <w:rsid w:val="00326648"/>
    <w:rsid w:val="00326BAB"/>
    <w:rsid w:val="00326C7C"/>
    <w:rsid w:val="00327403"/>
    <w:rsid w:val="003276E8"/>
    <w:rsid w:val="00327BBE"/>
    <w:rsid w:val="0033049F"/>
    <w:rsid w:val="003314F3"/>
    <w:rsid w:val="003317A7"/>
    <w:rsid w:val="00331936"/>
    <w:rsid w:val="00331E53"/>
    <w:rsid w:val="0033211E"/>
    <w:rsid w:val="00332292"/>
    <w:rsid w:val="00332550"/>
    <w:rsid w:val="0033280C"/>
    <w:rsid w:val="00332997"/>
    <w:rsid w:val="00332A14"/>
    <w:rsid w:val="00332BDE"/>
    <w:rsid w:val="00333607"/>
    <w:rsid w:val="003344DB"/>
    <w:rsid w:val="00334E09"/>
    <w:rsid w:val="00335A82"/>
    <w:rsid w:val="00335F2F"/>
    <w:rsid w:val="0033646B"/>
    <w:rsid w:val="00336A37"/>
    <w:rsid w:val="00336EE8"/>
    <w:rsid w:val="00337338"/>
    <w:rsid w:val="00337633"/>
    <w:rsid w:val="00340765"/>
    <w:rsid w:val="00340BF3"/>
    <w:rsid w:val="003421A1"/>
    <w:rsid w:val="00342E6A"/>
    <w:rsid w:val="00343C5E"/>
    <w:rsid w:val="0034419F"/>
    <w:rsid w:val="00344B6B"/>
    <w:rsid w:val="00344DD9"/>
    <w:rsid w:val="00345275"/>
    <w:rsid w:val="003453FA"/>
    <w:rsid w:val="003457DB"/>
    <w:rsid w:val="00345DD9"/>
    <w:rsid w:val="00347536"/>
    <w:rsid w:val="003478BD"/>
    <w:rsid w:val="00347F99"/>
    <w:rsid w:val="00350309"/>
    <w:rsid w:val="00351CF7"/>
    <w:rsid w:val="0035247F"/>
    <w:rsid w:val="00352609"/>
    <w:rsid w:val="00352A96"/>
    <w:rsid w:val="00355A09"/>
    <w:rsid w:val="003567B4"/>
    <w:rsid w:val="00356C94"/>
    <w:rsid w:val="00357099"/>
    <w:rsid w:val="00360AE4"/>
    <w:rsid w:val="00362223"/>
    <w:rsid w:val="00362741"/>
    <w:rsid w:val="00362A76"/>
    <w:rsid w:val="00363EE6"/>
    <w:rsid w:val="00364BC9"/>
    <w:rsid w:val="00365473"/>
    <w:rsid w:val="003657E3"/>
    <w:rsid w:val="00365D44"/>
    <w:rsid w:val="0036668E"/>
    <w:rsid w:val="003669F4"/>
    <w:rsid w:val="00367018"/>
    <w:rsid w:val="00367D5B"/>
    <w:rsid w:val="00370F8C"/>
    <w:rsid w:val="00372898"/>
    <w:rsid w:val="003736D1"/>
    <w:rsid w:val="003755A2"/>
    <w:rsid w:val="003755D4"/>
    <w:rsid w:val="00375DC4"/>
    <w:rsid w:val="00376B02"/>
    <w:rsid w:val="003771AE"/>
    <w:rsid w:val="0037721B"/>
    <w:rsid w:val="0037736F"/>
    <w:rsid w:val="0037768F"/>
    <w:rsid w:val="0038015E"/>
    <w:rsid w:val="00380642"/>
    <w:rsid w:val="00380CB9"/>
    <w:rsid w:val="00381460"/>
    <w:rsid w:val="00381CEA"/>
    <w:rsid w:val="003823A1"/>
    <w:rsid w:val="003823AC"/>
    <w:rsid w:val="00382456"/>
    <w:rsid w:val="00382CD4"/>
    <w:rsid w:val="00382F88"/>
    <w:rsid w:val="003830FE"/>
    <w:rsid w:val="003841DC"/>
    <w:rsid w:val="00385374"/>
    <w:rsid w:val="00385745"/>
    <w:rsid w:val="0038629B"/>
    <w:rsid w:val="00386753"/>
    <w:rsid w:val="00387171"/>
    <w:rsid w:val="0038764B"/>
    <w:rsid w:val="00387D5E"/>
    <w:rsid w:val="003900E4"/>
    <w:rsid w:val="0039096E"/>
    <w:rsid w:val="00390EE6"/>
    <w:rsid w:val="003925F8"/>
    <w:rsid w:val="003928BF"/>
    <w:rsid w:val="00392D2D"/>
    <w:rsid w:val="00393BD8"/>
    <w:rsid w:val="003954A4"/>
    <w:rsid w:val="0039566E"/>
    <w:rsid w:val="00395A74"/>
    <w:rsid w:val="00397014"/>
    <w:rsid w:val="003970D4"/>
    <w:rsid w:val="00397C25"/>
    <w:rsid w:val="003A01C2"/>
    <w:rsid w:val="003A025B"/>
    <w:rsid w:val="003A1C10"/>
    <w:rsid w:val="003A2782"/>
    <w:rsid w:val="003A3ACC"/>
    <w:rsid w:val="003A3D00"/>
    <w:rsid w:val="003A417D"/>
    <w:rsid w:val="003A4275"/>
    <w:rsid w:val="003A52AF"/>
    <w:rsid w:val="003A547D"/>
    <w:rsid w:val="003A5956"/>
    <w:rsid w:val="003A60FA"/>
    <w:rsid w:val="003A641E"/>
    <w:rsid w:val="003A64F3"/>
    <w:rsid w:val="003A6A61"/>
    <w:rsid w:val="003A729E"/>
    <w:rsid w:val="003A7324"/>
    <w:rsid w:val="003A7F65"/>
    <w:rsid w:val="003B0315"/>
    <w:rsid w:val="003B0CC5"/>
    <w:rsid w:val="003B2980"/>
    <w:rsid w:val="003B555E"/>
    <w:rsid w:val="003B5DB5"/>
    <w:rsid w:val="003B62C2"/>
    <w:rsid w:val="003B66F2"/>
    <w:rsid w:val="003B6983"/>
    <w:rsid w:val="003B6A47"/>
    <w:rsid w:val="003B7876"/>
    <w:rsid w:val="003C1EEB"/>
    <w:rsid w:val="003C24F3"/>
    <w:rsid w:val="003C2FD9"/>
    <w:rsid w:val="003C368D"/>
    <w:rsid w:val="003C5445"/>
    <w:rsid w:val="003C62D3"/>
    <w:rsid w:val="003C72CC"/>
    <w:rsid w:val="003C7E41"/>
    <w:rsid w:val="003D1EBD"/>
    <w:rsid w:val="003D34B7"/>
    <w:rsid w:val="003D3581"/>
    <w:rsid w:val="003D35CA"/>
    <w:rsid w:val="003D4EF2"/>
    <w:rsid w:val="003D4F23"/>
    <w:rsid w:val="003D5134"/>
    <w:rsid w:val="003D52A0"/>
    <w:rsid w:val="003D6279"/>
    <w:rsid w:val="003D723D"/>
    <w:rsid w:val="003D7840"/>
    <w:rsid w:val="003D790F"/>
    <w:rsid w:val="003E02A2"/>
    <w:rsid w:val="003E03A0"/>
    <w:rsid w:val="003E1069"/>
    <w:rsid w:val="003E13F9"/>
    <w:rsid w:val="003E183F"/>
    <w:rsid w:val="003E2D64"/>
    <w:rsid w:val="003E3D97"/>
    <w:rsid w:val="003E4488"/>
    <w:rsid w:val="003E4553"/>
    <w:rsid w:val="003E4B8A"/>
    <w:rsid w:val="003E54F4"/>
    <w:rsid w:val="003E642E"/>
    <w:rsid w:val="003E6EEB"/>
    <w:rsid w:val="003F0724"/>
    <w:rsid w:val="003F183B"/>
    <w:rsid w:val="003F18C7"/>
    <w:rsid w:val="003F1EAD"/>
    <w:rsid w:val="003F26E2"/>
    <w:rsid w:val="003F30B1"/>
    <w:rsid w:val="003F34ED"/>
    <w:rsid w:val="003F3BA6"/>
    <w:rsid w:val="003F4AAD"/>
    <w:rsid w:val="003F4F94"/>
    <w:rsid w:val="003F6390"/>
    <w:rsid w:val="003F6ECD"/>
    <w:rsid w:val="003F7CD6"/>
    <w:rsid w:val="004001F5"/>
    <w:rsid w:val="0040053C"/>
    <w:rsid w:val="00401DA7"/>
    <w:rsid w:val="004025C0"/>
    <w:rsid w:val="00403165"/>
    <w:rsid w:val="00403AC2"/>
    <w:rsid w:val="00403F7B"/>
    <w:rsid w:val="0040400D"/>
    <w:rsid w:val="00404093"/>
    <w:rsid w:val="004053DE"/>
    <w:rsid w:val="00405A7C"/>
    <w:rsid w:val="00405ECD"/>
    <w:rsid w:val="0040625F"/>
    <w:rsid w:val="00406BAE"/>
    <w:rsid w:val="00406D53"/>
    <w:rsid w:val="00407037"/>
    <w:rsid w:val="00407F98"/>
    <w:rsid w:val="00410649"/>
    <w:rsid w:val="00410F17"/>
    <w:rsid w:val="0041113A"/>
    <w:rsid w:val="004120D8"/>
    <w:rsid w:val="00412F4C"/>
    <w:rsid w:val="00413436"/>
    <w:rsid w:val="00414499"/>
    <w:rsid w:val="00414891"/>
    <w:rsid w:val="0041583B"/>
    <w:rsid w:val="00416097"/>
    <w:rsid w:val="00416E80"/>
    <w:rsid w:val="004173F7"/>
    <w:rsid w:val="00417646"/>
    <w:rsid w:val="00417CC0"/>
    <w:rsid w:val="00421B3B"/>
    <w:rsid w:val="004220E2"/>
    <w:rsid w:val="00423DDC"/>
    <w:rsid w:val="00427CA0"/>
    <w:rsid w:val="00427E84"/>
    <w:rsid w:val="00430E88"/>
    <w:rsid w:val="004314BE"/>
    <w:rsid w:val="004322E1"/>
    <w:rsid w:val="00432712"/>
    <w:rsid w:val="0043281B"/>
    <w:rsid w:val="00432D1C"/>
    <w:rsid w:val="00432D5E"/>
    <w:rsid w:val="00432F43"/>
    <w:rsid w:val="00433A53"/>
    <w:rsid w:val="004341CB"/>
    <w:rsid w:val="004344E7"/>
    <w:rsid w:val="00436919"/>
    <w:rsid w:val="00441099"/>
    <w:rsid w:val="00441370"/>
    <w:rsid w:val="00441399"/>
    <w:rsid w:val="00441A3B"/>
    <w:rsid w:val="00442271"/>
    <w:rsid w:val="00442A66"/>
    <w:rsid w:val="00443430"/>
    <w:rsid w:val="004439E7"/>
    <w:rsid w:val="00444EB1"/>
    <w:rsid w:val="0044675E"/>
    <w:rsid w:val="00446BB6"/>
    <w:rsid w:val="0045029B"/>
    <w:rsid w:val="00451D64"/>
    <w:rsid w:val="00451FC3"/>
    <w:rsid w:val="0045243C"/>
    <w:rsid w:val="004528ED"/>
    <w:rsid w:val="00452E09"/>
    <w:rsid w:val="00452F1F"/>
    <w:rsid w:val="00455057"/>
    <w:rsid w:val="00456079"/>
    <w:rsid w:val="004560C1"/>
    <w:rsid w:val="00456F49"/>
    <w:rsid w:val="004577F9"/>
    <w:rsid w:val="00457948"/>
    <w:rsid w:val="004602CF"/>
    <w:rsid w:val="0046056C"/>
    <w:rsid w:val="00461944"/>
    <w:rsid w:val="00461F3E"/>
    <w:rsid w:val="00463215"/>
    <w:rsid w:val="00463AE1"/>
    <w:rsid w:val="00463FE3"/>
    <w:rsid w:val="004645DB"/>
    <w:rsid w:val="00464C48"/>
    <w:rsid w:val="004657D6"/>
    <w:rsid w:val="00465BD0"/>
    <w:rsid w:val="00466DF8"/>
    <w:rsid w:val="00467708"/>
    <w:rsid w:val="004679E5"/>
    <w:rsid w:val="00467B9E"/>
    <w:rsid w:val="00467D05"/>
    <w:rsid w:val="0047144B"/>
    <w:rsid w:val="00471654"/>
    <w:rsid w:val="00471C71"/>
    <w:rsid w:val="00472710"/>
    <w:rsid w:val="00473A49"/>
    <w:rsid w:val="00473FEF"/>
    <w:rsid w:val="00474261"/>
    <w:rsid w:val="00474872"/>
    <w:rsid w:val="0047490E"/>
    <w:rsid w:val="00474F54"/>
    <w:rsid w:val="004751EA"/>
    <w:rsid w:val="0047559F"/>
    <w:rsid w:val="004760E1"/>
    <w:rsid w:val="004761C6"/>
    <w:rsid w:val="00476E75"/>
    <w:rsid w:val="00476F9F"/>
    <w:rsid w:val="00477ACD"/>
    <w:rsid w:val="00482344"/>
    <w:rsid w:val="004827B9"/>
    <w:rsid w:val="00482C66"/>
    <w:rsid w:val="00482D1E"/>
    <w:rsid w:val="004831C4"/>
    <w:rsid w:val="00483F4D"/>
    <w:rsid w:val="00484164"/>
    <w:rsid w:val="0048421A"/>
    <w:rsid w:val="004843E0"/>
    <w:rsid w:val="00484A8F"/>
    <w:rsid w:val="00484C81"/>
    <w:rsid w:val="00485F72"/>
    <w:rsid w:val="00490D17"/>
    <w:rsid w:val="00490FAB"/>
    <w:rsid w:val="00491278"/>
    <w:rsid w:val="004915E4"/>
    <w:rsid w:val="00491CCB"/>
    <w:rsid w:val="00492288"/>
    <w:rsid w:val="00492F1E"/>
    <w:rsid w:val="00493698"/>
    <w:rsid w:val="00494B6B"/>
    <w:rsid w:val="00495BBA"/>
    <w:rsid w:val="00496F79"/>
    <w:rsid w:val="00497D74"/>
    <w:rsid w:val="004A0352"/>
    <w:rsid w:val="004A087D"/>
    <w:rsid w:val="004A139C"/>
    <w:rsid w:val="004A230F"/>
    <w:rsid w:val="004A2FF8"/>
    <w:rsid w:val="004A31DF"/>
    <w:rsid w:val="004A33E8"/>
    <w:rsid w:val="004A6017"/>
    <w:rsid w:val="004A6679"/>
    <w:rsid w:val="004A7178"/>
    <w:rsid w:val="004A7DA2"/>
    <w:rsid w:val="004A7DFC"/>
    <w:rsid w:val="004B00B3"/>
    <w:rsid w:val="004B22D7"/>
    <w:rsid w:val="004B289C"/>
    <w:rsid w:val="004B2CF3"/>
    <w:rsid w:val="004B3727"/>
    <w:rsid w:val="004B379C"/>
    <w:rsid w:val="004B37ED"/>
    <w:rsid w:val="004B3EA8"/>
    <w:rsid w:val="004B40C9"/>
    <w:rsid w:val="004B57D7"/>
    <w:rsid w:val="004B5F47"/>
    <w:rsid w:val="004B6A54"/>
    <w:rsid w:val="004C06B3"/>
    <w:rsid w:val="004C07FA"/>
    <w:rsid w:val="004C22F1"/>
    <w:rsid w:val="004C261D"/>
    <w:rsid w:val="004C453A"/>
    <w:rsid w:val="004C4AD5"/>
    <w:rsid w:val="004C5166"/>
    <w:rsid w:val="004C5BA3"/>
    <w:rsid w:val="004C7486"/>
    <w:rsid w:val="004C76B1"/>
    <w:rsid w:val="004C7B37"/>
    <w:rsid w:val="004D0CF4"/>
    <w:rsid w:val="004D163D"/>
    <w:rsid w:val="004D240F"/>
    <w:rsid w:val="004D2C5F"/>
    <w:rsid w:val="004D33D8"/>
    <w:rsid w:val="004D4F0D"/>
    <w:rsid w:val="004D512B"/>
    <w:rsid w:val="004D5484"/>
    <w:rsid w:val="004D548D"/>
    <w:rsid w:val="004D6165"/>
    <w:rsid w:val="004D6465"/>
    <w:rsid w:val="004D6855"/>
    <w:rsid w:val="004D6CC6"/>
    <w:rsid w:val="004D7790"/>
    <w:rsid w:val="004D7B58"/>
    <w:rsid w:val="004E01C8"/>
    <w:rsid w:val="004E16B5"/>
    <w:rsid w:val="004E18E6"/>
    <w:rsid w:val="004E1D7F"/>
    <w:rsid w:val="004E2B58"/>
    <w:rsid w:val="004E3457"/>
    <w:rsid w:val="004E3903"/>
    <w:rsid w:val="004E50D5"/>
    <w:rsid w:val="004E58EB"/>
    <w:rsid w:val="004E633E"/>
    <w:rsid w:val="004E63E5"/>
    <w:rsid w:val="004E6700"/>
    <w:rsid w:val="004E734F"/>
    <w:rsid w:val="004E764F"/>
    <w:rsid w:val="004E76A0"/>
    <w:rsid w:val="004E77E4"/>
    <w:rsid w:val="004F1AC8"/>
    <w:rsid w:val="004F1B0F"/>
    <w:rsid w:val="004F1C2A"/>
    <w:rsid w:val="004F27FF"/>
    <w:rsid w:val="004F2D46"/>
    <w:rsid w:val="004F312B"/>
    <w:rsid w:val="004F360F"/>
    <w:rsid w:val="004F439C"/>
    <w:rsid w:val="004F5AEB"/>
    <w:rsid w:val="004F5D92"/>
    <w:rsid w:val="004F71CF"/>
    <w:rsid w:val="00500251"/>
    <w:rsid w:val="0050025C"/>
    <w:rsid w:val="00500389"/>
    <w:rsid w:val="00500D76"/>
    <w:rsid w:val="005013E4"/>
    <w:rsid w:val="005019C2"/>
    <w:rsid w:val="005031BE"/>
    <w:rsid w:val="0050375F"/>
    <w:rsid w:val="0050395E"/>
    <w:rsid w:val="0050620D"/>
    <w:rsid w:val="005067B7"/>
    <w:rsid w:val="00510B2C"/>
    <w:rsid w:val="0051104E"/>
    <w:rsid w:val="00511237"/>
    <w:rsid w:val="00511830"/>
    <w:rsid w:val="0051196A"/>
    <w:rsid w:val="00511E29"/>
    <w:rsid w:val="00511EC5"/>
    <w:rsid w:val="00511FAA"/>
    <w:rsid w:val="005131DD"/>
    <w:rsid w:val="00513513"/>
    <w:rsid w:val="005136E5"/>
    <w:rsid w:val="00513A92"/>
    <w:rsid w:val="00513B0F"/>
    <w:rsid w:val="005140F1"/>
    <w:rsid w:val="00514C3A"/>
    <w:rsid w:val="00514F61"/>
    <w:rsid w:val="00516692"/>
    <w:rsid w:val="00516C6A"/>
    <w:rsid w:val="00516F79"/>
    <w:rsid w:val="00517E94"/>
    <w:rsid w:val="00517EB3"/>
    <w:rsid w:val="00523B40"/>
    <w:rsid w:val="00524348"/>
    <w:rsid w:val="0052441D"/>
    <w:rsid w:val="005249C7"/>
    <w:rsid w:val="005249DD"/>
    <w:rsid w:val="005305A5"/>
    <w:rsid w:val="00530FB0"/>
    <w:rsid w:val="00531DCD"/>
    <w:rsid w:val="005323C7"/>
    <w:rsid w:val="0053260E"/>
    <w:rsid w:val="0053298D"/>
    <w:rsid w:val="00532D94"/>
    <w:rsid w:val="00532E51"/>
    <w:rsid w:val="00533323"/>
    <w:rsid w:val="0053369E"/>
    <w:rsid w:val="00533DFA"/>
    <w:rsid w:val="00533ECF"/>
    <w:rsid w:val="00535461"/>
    <w:rsid w:val="005354DA"/>
    <w:rsid w:val="00535746"/>
    <w:rsid w:val="00535C23"/>
    <w:rsid w:val="0053682F"/>
    <w:rsid w:val="00536D72"/>
    <w:rsid w:val="00542C8F"/>
    <w:rsid w:val="00542DFD"/>
    <w:rsid w:val="00542E09"/>
    <w:rsid w:val="0054326D"/>
    <w:rsid w:val="00543E8B"/>
    <w:rsid w:val="0054656F"/>
    <w:rsid w:val="00546B57"/>
    <w:rsid w:val="00546EFE"/>
    <w:rsid w:val="005506F2"/>
    <w:rsid w:val="00550965"/>
    <w:rsid w:val="0055099F"/>
    <w:rsid w:val="00550CD8"/>
    <w:rsid w:val="005511AF"/>
    <w:rsid w:val="005512A8"/>
    <w:rsid w:val="00551BEA"/>
    <w:rsid w:val="00552604"/>
    <w:rsid w:val="00553F58"/>
    <w:rsid w:val="00554414"/>
    <w:rsid w:val="00556707"/>
    <w:rsid w:val="00556990"/>
    <w:rsid w:val="00556DA2"/>
    <w:rsid w:val="00556EAE"/>
    <w:rsid w:val="0055755F"/>
    <w:rsid w:val="005576CA"/>
    <w:rsid w:val="00557BB4"/>
    <w:rsid w:val="0056081D"/>
    <w:rsid w:val="00560971"/>
    <w:rsid w:val="00560FC1"/>
    <w:rsid w:val="00561970"/>
    <w:rsid w:val="00562165"/>
    <w:rsid w:val="00562691"/>
    <w:rsid w:val="0056282C"/>
    <w:rsid w:val="00562B71"/>
    <w:rsid w:val="00562BC2"/>
    <w:rsid w:val="00562E02"/>
    <w:rsid w:val="00563A3E"/>
    <w:rsid w:val="00563CA5"/>
    <w:rsid w:val="00563FCA"/>
    <w:rsid w:val="0056412C"/>
    <w:rsid w:val="00564819"/>
    <w:rsid w:val="005649B7"/>
    <w:rsid w:val="0056572D"/>
    <w:rsid w:val="00566605"/>
    <w:rsid w:val="005672D9"/>
    <w:rsid w:val="00567385"/>
    <w:rsid w:val="0057037C"/>
    <w:rsid w:val="005708B4"/>
    <w:rsid w:val="005719C6"/>
    <w:rsid w:val="005720D8"/>
    <w:rsid w:val="0057247C"/>
    <w:rsid w:val="005726A5"/>
    <w:rsid w:val="005727F6"/>
    <w:rsid w:val="00572A31"/>
    <w:rsid w:val="00574369"/>
    <w:rsid w:val="005747DA"/>
    <w:rsid w:val="005748F8"/>
    <w:rsid w:val="00574A6B"/>
    <w:rsid w:val="00574C48"/>
    <w:rsid w:val="0057565C"/>
    <w:rsid w:val="00575FD9"/>
    <w:rsid w:val="005767C5"/>
    <w:rsid w:val="005774AA"/>
    <w:rsid w:val="0057761B"/>
    <w:rsid w:val="005809C7"/>
    <w:rsid w:val="00581436"/>
    <w:rsid w:val="00581B79"/>
    <w:rsid w:val="00581D6B"/>
    <w:rsid w:val="00581EB4"/>
    <w:rsid w:val="00582784"/>
    <w:rsid w:val="00583AFD"/>
    <w:rsid w:val="00583E00"/>
    <w:rsid w:val="0058424C"/>
    <w:rsid w:val="0058546E"/>
    <w:rsid w:val="005854B8"/>
    <w:rsid w:val="005902EC"/>
    <w:rsid w:val="005909E4"/>
    <w:rsid w:val="00590C48"/>
    <w:rsid w:val="0059197C"/>
    <w:rsid w:val="00592591"/>
    <w:rsid w:val="005925C3"/>
    <w:rsid w:val="00592663"/>
    <w:rsid w:val="00592736"/>
    <w:rsid w:val="00592D39"/>
    <w:rsid w:val="005931C0"/>
    <w:rsid w:val="00593368"/>
    <w:rsid w:val="0059410F"/>
    <w:rsid w:val="0059429F"/>
    <w:rsid w:val="005945BA"/>
    <w:rsid w:val="00596837"/>
    <w:rsid w:val="00596A5D"/>
    <w:rsid w:val="005978F6"/>
    <w:rsid w:val="00597CC4"/>
    <w:rsid w:val="005A0390"/>
    <w:rsid w:val="005A1083"/>
    <w:rsid w:val="005A12C5"/>
    <w:rsid w:val="005A1DEE"/>
    <w:rsid w:val="005A24E1"/>
    <w:rsid w:val="005A4D29"/>
    <w:rsid w:val="005A5E8A"/>
    <w:rsid w:val="005A676F"/>
    <w:rsid w:val="005A6D33"/>
    <w:rsid w:val="005A6E47"/>
    <w:rsid w:val="005A6E6D"/>
    <w:rsid w:val="005A7348"/>
    <w:rsid w:val="005A76D4"/>
    <w:rsid w:val="005A7EF0"/>
    <w:rsid w:val="005B0835"/>
    <w:rsid w:val="005B10AE"/>
    <w:rsid w:val="005B167D"/>
    <w:rsid w:val="005B17D5"/>
    <w:rsid w:val="005B2293"/>
    <w:rsid w:val="005B2A26"/>
    <w:rsid w:val="005B2D3B"/>
    <w:rsid w:val="005B3DF9"/>
    <w:rsid w:val="005B4638"/>
    <w:rsid w:val="005B496E"/>
    <w:rsid w:val="005B6702"/>
    <w:rsid w:val="005B6B3B"/>
    <w:rsid w:val="005B706E"/>
    <w:rsid w:val="005B70A0"/>
    <w:rsid w:val="005B73AA"/>
    <w:rsid w:val="005B75C4"/>
    <w:rsid w:val="005B7992"/>
    <w:rsid w:val="005B7ADE"/>
    <w:rsid w:val="005C0182"/>
    <w:rsid w:val="005C0703"/>
    <w:rsid w:val="005C0EEB"/>
    <w:rsid w:val="005C135A"/>
    <w:rsid w:val="005C16B3"/>
    <w:rsid w:val="005C17AA"/>
    <w:rsid w:val="005C1870"/>
    <w:rsid w:val="005C224C"/>
    <w:rsid w:val="005C294B"/>
    <w:rsid w:val="005C2C44"/>
    <w:rsid w:val="005C3463"/>
    <w:rsid w:val="005C3E12"/>
    <w:rsid w:val="005C5FF6"/>
    <w:rsid w:val="005C64C8"/>
    <w:rsid w:val="005C66E4"/>
    <w:rsid w:val="005C6E08"/>
    <w:rsid w:val="005C6F36"/>
    <w:rsid w:val="005D0317"/>
    <w:rsid w:val="005D1718"/>
    <w:rsid w:val="005D1D58"/>
    <w:rsid w:val="005D3CA5"/>
    <w:rsid w:val="005D3CE0"/>
    <w:rsid w:val="005D59BC"/>
    <w:rsid w:val="005D5E24"/>
    <w:rsid w:val="005D6123"/>
    <w:rsid w:val="005D641B"/>
    <w:rsid w:val="005D74AF"/>
    <w:rsid w:val="005D7624"/>
    <w:rsid w:val="005E144F"/>
    <w:rsid w:val="005E2214"/>
    <w:rsid w:val="005E2511"/>
    <w:rsid w:val="005E2EC3"/>
    <w:rsid w:val="005E30FD"/>
    <w:rsid w:val="005E39C5"/>
    <w:rsid w:val="005E41D0"/>
    <w:rsid w:val="005E425E"/>
    <w:rsid w:val="005E461B"/>
    <w:rsid w:val="005E46DD"/>
    <w:rsid w:val="005E6221"/>
    <w:rsid w:val="005E6FA4"/>
    <w:rsid w:val="005E7008"/>
    <w:rsid w:val="005E7A3C"/>
    <w:rsid w:val="005E7CE6"/>
    <w:rsid w:val="005E7E26"/>
    <w:rsid w:val="005F19CB"/>
    <w:rsid w:val="005F2269"/>
    <w:rsid w:val="005F3054"/>
    <w:rsid w:val="005F3C2A"/>
    <w:rsid w:val="005F4170"/>
    <w:rsid w:val="005F46A2"/>
    <w:rsid w:val="005F4735"/>
    <w:rsid w:val="005F4CB5"/>
    <w:rsid w:val="005F4F9D"/>
    <w:rsid w:val="005F663A"/>
    <w:rsid w:val="005F778E"/>
    <w:rsid w:val="006003B0"/>
    <w:rsid w:val="0060061D"/>
    <w:rsid w:val="00601952"/>
    <w:rsid w:val="006022BE"/>
    <w:rsid w:val="0060267E"/>
    <w:rsid w:val="0060329A"/>
    <w:rsid w:val="006053B1"/>
    <w:rsid w:val="006064D1"/>
    <w:rsid w:val="00606904"/>
    <w:rsid w:val="00606D22"/>
    <w:rsid w:val="006070C7"/>
    <w:rsid w:val="00607B9E"/>
    <w:rsid w:val="00607C30"/>
    <w:rsid w:val="00607FC8"/>
    <w:rsid w:val="00610086"/>
    <w:rsid w:val="0061077B"/>
    <w:rsid w:val="006109DF"/>
    <w:rsid w:val="00610A56"/>
    <w:rsid w:val="006117B8"/>
    <w:rsid w:val="00612341"/>
    <w:rsid w:val="006124E4"/>
    <w:rsid w:val="00613493"/>
    <w:rsid w:val="006161AF"/>
    <w:rsid w:val="006165D9"/>
    <w:rsid w:val="006175AF"/>
    <w:rsid w:val="00617B06"/>
    <w:rsid w:val="00617F43"/>
    <w:rsid w:val="00617F4D"/>
    <w:rsid w:val="006214AD"/>
    <w:rsid w:val="00621F33"/>
    <w:rsid w:val="00622680"/>
    <w:rsid w:val="00622CF2"/>
    <w:rsid w:val="0062317D"/>
    <w:rsid w:val="006231D8"/>
    <w:rsid w:val="0062395E"/>
    <w:rsid w:val="00623B1F"/>
    <w:rsid w:val="00623D69"/>
    <w:rsid w:val="00625B44"/>
    <w:rsid w:val="00625EC4"/>
    <w:rsid w:val="00626F9E"/>
    <w:rsid w:val="00627282"/>
    <w:rsid w:val="00630157"/>
    <w:rsid w:val="00630585"/>
    <w:rsid w:val="00630E9B"/>
    <w:rsid w:val="00631478"/>
    <w:rsid w:val="00632C1F"/>
    <w:rsid w:val="00632F6E"/>
    <w:rsid w:val="00633642"/>
    <w:rsid w:val="006336B1"/>
    <w:rsid w:val="00633C8F"/>
    <w:rsid w:val="006353A6"/>
    <w:rsid w:val="006353E8"/>
    <w:rsid w:val="006357A4"/>
    <w:rsid w:val="006376DF"/>
    <w:rsid w:val="00640985"/>
    <w:rsid w:val="006410A0"/>
    <w:rsid w:val="006415F8"/>
    <w:rsid w:val="0064172D"/>
    <w:rsid w:val="00641D47"/>
    <w:rsid w:val="00641FC3"/>
    <w:rsid w:val="00642012"/>
    <w:rsid w:val="006427D9"/>
    <w:rsid w:val="00643AEB"/>
    <w:rsid w:val="00644AAE"/>
    <w:rsid w:val="006455D9"/>
    <w:rsid w:val="00645931"/>
    <w:rsid w:val="00645B60"/>
    <w:rsid w:val="00646593"/>
    <w:rsid w:val="00646C5B"/>
    <w:rsid w:val="0064755F"/>
    <w:rsid w:val="00647D30"/>
    <w:rsid w:val="0065127A"/>
    <w:rsid w:val="006515E9"/>
    <w:rsid w:val="00651E80"/>
    <w:rsid w:val="0065255B"/>
    <w:rsid w:val="006525B7"/>
    <w:rsid w:val="00652CAB"/>
    <w:rsid w:val="00652F55"/>
    <w:rsid w:val="00653676"/>
    <w:rsid w:val="00654D4C"/>
    <w:rsid w:val="00654E59"/>
    <w:rsid w:val="00655014"/>
    <w:rsid w:val="0065546D"/>
    <w:rsid w:val="006558A1"/>
    <w:rsid w:val="00656345"/>
    <w:rsid w:val="006563D6"/>
    <w:rsid w:val="0065654A"/>
    <w:rsid w:val="00656649"/>
    <w:rsid w:val="006569E3"/>
    <w:rsid w:val="00657A09"/>
    <w:rsid w:val="006607AD"/>
    <w:rsid w:val="006608D7"/>
    <w:rsid w:val="006608F2"/>
    <w:rsid w:val="00660A85"/>
    <w:rsid w:val="00660C3D"/>
    <w:rsid w:val="00660C96"/>
    <w:rsid w:val="006611E2"/>
    <w:rsid w:val="006618A4"/>
    <w:rsid w:val="00661D48"/>
    <w:rsid w:val="00662EA5"/>
    <w:rsid w:val="0066320E"/>
    <w:rsid w:val="0066321F"/>
    <w:rsid w:val="00664303"/>
    <w:rsid w:val="00664B88"/>
    <w:rsid w:val="00665975"/>
    <w:rsid w:val="00665B42"/>
    <w:rsid w:val="00667A64"/>
    <w:rsid w:val="00667EA7"/>
    <w:rsid w:val="00667FA3"/>
    <w:rsid w:val="0067135F"/>
    <w:rsid w:val="006714AA"/>
    <w:rsid w:val="00671803"/>
    <w:rsid w:val="00671FF3"/>
    <w:rsid w:val="0067227D"/>
    <w:rsid w:val="00672B9A"/>
    <w:rsid w:val="00672EE9"/>
    <w:rsid w:val="00673331"/>
    <w:rsid w:val="006733FC"/>
    <w:rsid w:val="00673494"/>
    <w:rsid w:val="006734AB"/>
    <w:rsid w:val="0067372B"/>
    <w:rsid w:val="00673C55"/>
    <w:rsid w:val="00674E27"/>
    <w:rsid w:val="00677428"/>
    <w:rsid w:val="0067751D"/>
    <w:rsid w:val="00677BE4"/>
    <w:rsid w:val="006811CC"/>
    <w:rsid w:val="00681DAC"/>
    <w:rsid w:val="00682881"/>
    <w:rsid w:val="006832A5"/>
    <w:rsid w:val="00683C6C"/>
    <w:rsid w:val="00684EE7"/>
    <w:rsid w:val="00684FCD"/>
    <w:rsid w:val="0068501E"/>
    <w:rsid w:val="0068566E"/>
    <w:rsid w:val="0068576F"/>
    <w:rsid w:val="00690D04"/>
    <w:rsid w:val="00690D49"/>
    <w:rsid w:val="006916ED"/>
    <w:rsid w:val="006917BC"/>
    <w:rsid w:val="00691B76"/>
    <w:rsid w:val="00692220"/>
    <w:rsid w:val="00692537"/>
    <w:rsid w:val="006933E8"/>
    <w:rsid w:val="00693F64"/>
    <w:rsid w:val="0069415D"/>
    <w:rsid w:val="0069508A"/>
    <w:rsid w:val="0069532D"/>
    <w:rsid w:val="00695DEC"/>
    <w:rsid w:val="00696911"/>
    <w:rsid w:val="006971C3"/>
    <w:rsid w:val="0069738E"/>
    <w:rsid w:val="00697E56"/>
    <w:rsid w:val="006A0E37"/>
    <w:rsid w:val="006A0E87"/>
    <w:rsid w:val="006A0FB3"/>
    <w:rsid w:val="006A5038"/>
    <w:rsid w:val="006A628D"/>
    <w:rsid w:val="006A6AD1"/>
    <w:rsid w:val="006A7060"/>
    <w:rsid w:val="006A716D"/>
    <w:rsid w:val="006A7595"/>
    <w:rsid w:val="006A7785"/>
    <w:rsid w:val="006B05EA"/>
    <w:rsid w:val="006B07B1"/>
    <w:rsid w:val="006B0D54"/>
    <w:rsid w:val="006B1680"/>
    <w:rsid w:val="006B1DCE"/>
    <w:rsid w:val="006B259B"/>
    <w:rsid w:val="006B25C8"/>
    <w:rsid w:val="006B2A28"/>
    <w:rsid w:val="006B3122"/>
    <w:rsid w:val="006B3728"/>
    <w:rsid w:val="006B4925"/>
    <w:rsid w:val="006B5BED"/>
    <w:rsid w:val="006B6CB6"/>
    <w:rsid w:val="006C0833"/>
    <w:rsid w:val="006C0C5A"/>
    <w:rsid w:val="006C1373"/>
    <w:rsid w:val="006C178D"/>
    <w:rsid w:val="006C1811"/>
    <w:rsid w:val="006C1E83"/>
    <w:rsid w:val="006C1F57"/>
    <w:rsid w:val="006C286E"/>
    <w:rsid w:val="006C2AEB"/>
    <w:rsid w:val="006C3957"/>
    <w:rsid w:val="006C40CD"/>
    <w:rsid w:val="006C424C"/>
    <w:rsid w:val="006C4ADB"/>
    <w:rsid w:val="006C5C75"/>
    <w:rsid w:val="006C622D"/>
    <w:rsid w:val="006C6D42"/>
    <w:rsid w:val="006C747C"/>
    <w:rsid w:val="006D0862"/>
    <w:rsid w:val="006D0A89"/>
    <w:rsid w:val="006D0F63"/>
    <w:rsid w:val="006D15BB"/>
    <w:rsid w:val="006D1982"/>
    <w:rsid w:val="006D19C8"/>
    <w:rsid w:val="006D2227"/>
    <w:rsid w:val="006D2BB5"/>
    <w:rsid w:val="006D2FC9"/>
    <w:rsid w:val="006D339E"/>
    <w:rsid w:val="006D3568"/>
    <w:rsid w:val="006D35BD"/>
    <w:rsid w:val="006D3AD6"/>
    <w:rsid w:val="006D3EC3"/>
    <w:rsid w:val="006D410D"/>
    <w:rsid w:val="006D5597"/>
    <w:rsid w:val="006D55D9"/>
    <w:rsid w:val="006D579B"/>
    <w:rsid w:val="006D62AA"/>
    <w:rsid w:val="006D740F"/>
    <w:rsid w:val="006D7F1B"/>
    <w:rsid w:val="006E02E4"/>
    <w:rsid w:val="006E055C"/>
    <w:rsid w:val="006E0BC0"/>
    <w:rsid w:val="006E1005"/>
    <w:rsid w:val="006E1CD0"/>
    <w:rsid w:val="006E3171"/>
    <w:rsid w:val="006E3E61"/>
    <w:rsid w:val="006E4A72"/>
    <w:rsid w:val="006E4C66"/>
    <w:rsid w:val="006E50B1"/>
    <w:rsid w:val="006E5A09"/>
    <w:rsid w:val="006E5CFF"/>
    <w:rsid w:val="006E6712"/>
    <w:rsid w:val="006E6715"/>
    <w:rsid w:val="006E70A3"/>
    <w:rsid w:val="006E715D"/>
    <w:rsid w:val="006F0AA0"/>
    <w:rsid w:val="006F113A"/>
    <w:rsid w:val="006F1FD3"/>
    <w:rsid w:val="006F342C"/>
    <w:rsid w:val="006F476F"/>
    <w:rsid w:val="006F50AD"/>
    <w:rsid w:val="006F5884"/>
    <w:rsid w:val="006F5DA2"/>
    <w:rsid w:val="006F5EF2"/>
    <w:rsid w:val="006F6949"/>
    <w:rsid w:val="006F6C39"/>
    <w:rsid w:val="006F70C7"/>
    <w:rsid w:val="006F733F"/>
    <w:rsid w:val="006F7885"/>
    <w:rsid w:val="00700B92"/>
    <w:rsid w:val="007016EE"/>
    <w:rsid w:val="0070173C"/>
    <w:rsid w:val="00702170"/>
    <w:rsid w:val="007024F8"/>
    <w:rsid w:val="00702C58"/>
    <w:rsid w:val="00705B77"/>
    <w:rsid w:val="007065A0"/>
    <w:rsid w:val="007068E0"/>
    <w:rsid w:val="00706DF7"/>
    <w:rsid w:val="007072E9"/>
    <w:rsid w:val="0070754A"/>
    <w:rsid w:val="00707D38"/>
    <w:rsid w:val="007103E6"/>
    <w:rsid w:val="007108E2"/>
    <w:rsid w:val="00710AA8"/>
    <w:rsid w:val="00710CA6"/>
    <w:rsid w:val="00711C93"/>
    <w:rsid w:val="00711FA8"/>
    <w:rsid w:val="007120ED"/>
    <w:rsid w:val="00713640"/>
    <w:rsid w:val="00713AD2"/>
    <w:rsid w:val="0071404A"/>
    <w:rsid w:val="007150DE"/>
    <w:rsid w:val="007153E9"/>
    <w:rsid w:val="007154E0"/>
    <w:rsid w:val="007158FA"/>
    <w:rsid w:val="00716FFC"/>
    <w:rsid w:val="007172F9"/>
    <w:rsid w:val="00721995"/>
    <w:rsid w:val="00724171"/>
    <w:rsid w:val="0072457F"/>
    <w:rsid w:val="0072523C"/>
    <w:rsid w:val="007276E6"/>
    <w:rsid w:val="0072784C"/>
    <w:rsid w:val="00727E01"/>
    <w:rsid w:val="00731073"/>
    <w:rsid w:val="00732628"/>
    <w:rsid w:val="00733C55"/>
    <w:rsid w:val="007346B6"/>
    <w:rsid w:val="007359CC"/>
    <w:rsid w:val="00735ABB"/>
    <w:rsid w:val="007362CB"/>
    <w:rsid w:val="007374DB"/>
    <w:rsid w:val="00737ED6"/>
    <w:rsid w:val="00740085"/>
    <w:rsid w:val="007412C8"/>
    <w:rsid w:val="007413F0"/>
    <w:rsid w:val="00741AFE"/>
    <w:rsid w:val="00742902"/>
    <w:rsid w:val="00742B5A"/>
    <w:rsid w:val="00743959"/>
    <w:rsid w:val="00743AA8"/>
    <w:rsid w:val="00743FA1"/>
    <w:rsid w:val="00744042"/>
    <w:rsid w:val="007441C3"/>
    <w:rsid w:val="007459DC"/>
    <w:rsid w:val="00745FF8"/>
    <w:rsid w:val="00746084"/>
    <w:rsid w:val="007479DD"/>
    <w:rsid w:val="00747ADF"/>
    <w:rsid w:val="00747D2A"/>
    <w:rsid w:val="00752039"/>
    <w:rsid w:val="007521F3"/>
    <w:rsid w:val="00752D54"/>
    <w:rsid w:val="00753049"/>
    <w:rsid w:val="0075367A"/>
    <w:rsid w:val="00753797"/>
    <w:rsid w:val="007539F0"/>
    <w:rsid w:val="007544EC"/>
    <w:rsid w:val="007545F0"/>
    <w:rsid w:val="007554D7"/>
    <w:rsid w:val="00755804"/>
    <w:rsid w:val="00757FDC"/>
    <w:rsid w:val="00760213"/>
    <w:rsid w:val="00760632"/>
    <w:rsid w:val="007606F5"/>
    <w:rsid w:val="0076192E"/>
    <w:rsid w:val="007622C3"/>
    <w:rsid w:val="0076289A"/>
    <w:rsid w:val="00762FD3"/>
    <w:rsid w:val="0076318F"/>
    <w:rsid w:val="007632B2"/>
    <w:rsid w:val="00765A50"/>
    <w:rsid w:val="00765C7E"/>
    <w:rsid w:val="00765F62"/>
    <w:rsid w:val="007664A2"/>
    <w:rsid w:val="0076672D"/>
    <w:rsid w:val="00770A7F"/>
    <w:rsid w:val="00770B7A"/>
    <w:rsid w:val="00771783"/>
    <w:rsid w:val="00772CB6"/>
    <w:rsid w:val="0077318E"/>
    <w:rsid w:val="00773F33"/>
    <w:rsid w:val="00774E94"/>
    <w:rsid w:val="00774F9C"/>
    <w:rsid w:val="00775161"/>
    <w:rsid w:val="007754B7"/>
    <w:rsid w:val="0077685A"/>
    <w:rsid w:val="00776A77"/>
    <w:rsid w:val="00776F44"/>
    <w:rsid w:val="007771ED"/>
    <w:rsid w:val="0078002E"/>
    <w:rsid w:val="00780073"/>
    <w:rsid w:val="0078073A"/>
    <w:rsid w:val="00780A5E"/>
    <w:rsid w:val="0078118A"/>
    <w:rsid w:val="00781196"/>
    <w:rsid w:val="0078228C"/>
    <w:rsid w:val="00782419"/>
    <w:rsid w:val="00782D02"/>
    <w:rsid w:val="007847FB"/>
    <w:rsid w:val="007850E5"/>
    <w:rsid w:val="007855EB"/>
    <w:rsid w:val="007859B6"/>
    <w:rsid w:val="007863F7"/>
    <w:rsid w:val="007868CE"/>
    <w:rsid w:val="00790C28"/>
    <w:rsid w:val="00790C31"/>
    <w:rsid w:val="00791391"/>
    <w:rsid w:val="00792CBD"/>
    <w:rsid w:val="00792D4D"/>
    <w:rsid w:val="00793A26"/>
    <w:rsid w:val="00795957"/>
    <w:rsid w:val="00797134"/>
    <w:rsid w:val="00797256"/>
    <w:rsid w:val="00797B01"/>
    <w:rsid w:val="007A0192"/>
    <w:rsid w:val="007A068D"/>
    <w:rsid w:val="007A0BE2"/>
    <w:rsid w:val="007A18E1"/>
    <w:rsid w:val="007A191F"/>
    <w:rsid w:val="007A1A2B"/>
    <w:rsid w:val="007A1B0C"/>
    <w:rsid w:val="007A1B24"/>
    <w:rsid w:val="007A1B79"/>
    <w:rsid w:val="007A2D3D"/>
    <w:rsid w:val="007A38AB"/>
    <w:rsid w:val="007A40D3"/>
    <w:rsid w:val="007A465A"/>
    <w:rsid w:val="007A491E"/>
    <w:rsid w:val="007A4DEB"/>
    <w:rsid w:val="007A54FA"/>
    <w:rsid w:val="007A5627"/>
    <w:rsid w:val="007A607B"/>
    <w:rsid w:val="007A6BDF"/>
    <w:rsid w:val="007A735D"/>
    <w:rsid w:val="007A7AD6"/>
    <w:rsid w:val="007A7E91"/>
    <w:rsid w:val="007B004A"/>
    <w:rsid w:val="007B014A"/>
    <w:rsid w:val="007B0A78"/>
    <w:rsid w:val="007B1F1D"/>
    <w:rsid w:val="007B3040"/>
    <w:rsid w:val="007B3652"/>
    <w:rsid w:val="007B385E"/>
    <w:rsid w:val="007B43BD"/>
    <w:rsid w:val="007B4F2C"/>
    <w:rsid w:val="007B4F3D"/>
    <w:rsid w:val="007B5BBA"/>
    <w:rsid w:val="007B5C36"/>
    <w:rsid w:val="007B5D6A"/>
    <w:rsid w:val="007B67E9"/>
    <w:rsid w:val="007B7047"/>
    <w:rsid w:val="007B7B0E"/>
    <w:rsid w:val="007B7B4E"/>
    <w:rsid w:val="007C0157"/>
    <w:rsid w:val="007C0C3D"/>
    <w:rsid w:val="007C0F84"/>
    <w:rsid w:val="007C11ED"/>
    <w:rsid w:val="007C3024"/>
    <w:rsid w:val="007C35EE"/>
    <w:rsid w:val="007C43E3"/>
    <w:rsid w:val="007C555E"/>
    <w:rsid w:val="007C5C81"/>
    <w:rsid w:val="007C63CC"/>
    <w:rsid w:val="007C7201"/>
    <w:rsid w:val="007D0716"/>
    <w:rsid w:val="007D0AAC"/>
    <w:rsid w:val="007D1B20"/>
    <w:rsid w:val="007D1E26"/>
    <w:rsid w:val="007D21A0"/>
    <w:rsid w:val="007D2D84"/>
    <w:rsid w:val="007D42D5"/>
    <w:rsid w:val="007D446C"/>
    <w:rsid w:val="007D4BC1"/>
    <w:rsid w:val="007D5C8B"/>
    <w:rsid w:val="007D61BF"/>
    <w:rsid w:val="007D636D"/>
    <w:rsid w:val="007D6A58"/>
    <w:rsid w:val="007E0E70"/>
    <w:rsid w:val="007E1BFF"/>
    <w:rsid w:val="007E1F3D"/>
    <w:rsid w:val="007E2AE2"/>
    <w:rsid w:val="007E3912"/>
    <w:rsid w:val="007E398C"/>
    <w:rsid w:val="007E48BF"/>
    <w:rsid w:val="007E4CD3"/>
    <w:rsid w:val="007E5474"/>
    <w:rsid w:val="007E5AF5"/>
    <w:rsid w:val="007E6CF9"/>
    <w:rsid w:val="007E7CEF"/>
    <w:rsid w:val="007E7E5A"/>
    <w:rsid w:val="007F1872"/>
    <w:rsid w:val="007F46E5"/>
    <w:rsid w:val="007F5693"/>
    <w:rsid w:val="007F57E0"/>
    <w:rsid w:val="007F63DD"/>
    <w:rsid w:val="007F6609"/>
    <w:rsid w:val="007F6681"/>
    <w:rsid w:val="007F756D"/>
    <w:rsid w:val="007F7574"/>
    <w:rsid w:val="00800D52"/>
    <w:rsid w:val="00801076"/>
    <w:rsid w:val="0080125B"/>
    <w:rsid w:val="00801C19"/>
    <w:rsid w:val="00801F5F"/>
    <w:rsid w:val="008029F2"/>
    <w:rsid w:val="00802A6E"/>
    <w:rsid w:val="00802AB5"/>
    <w:rsid w:val="00803458"/>
    <w:rsid w:val="00803D9F"/>
    <w:rsid w:val="00803E80"/>
    <w:rsid w:val="0080469F"/>
    <w:rsid w:val="00804C10"/>
    <w:rsid w:val="0080504F"/>
    <w:rsid w:val="00805997"/>
    <w:rsid w:val="00805B0F"/>
    <w:rsid w:val="00806900"/>
    <w:rsid w:val="00806A8F"/>
    <w:rsid w:val="00807345"/>
    <w:rsid w:val="0080797D"/>
    <w:rsid w:val="00807A1A"/>
    <w:rsid w:val="00807A3C"/>
    <w:rsid w:val="00807BD9"/>
    <w:rsid w:val="00807D21"/>
    <w:rsid w:val="00807F19"/>
    <w:rsid w:val="0081069A"/>
    <w:rsid w:val="00810BFC"/>
    <w:rsid w:val="00811027"/>
    <w:rsid w:val="00811146"/>
    <w:rsid w:val="00811649"/>
    <w:rsid w:val="008124A8"/>
    <w:rsid w:val="00813392"/>
    <w:rsid w:val="00813AB1"/>
    <w:rsid w:val="00814755"/>
    <w:rsid w:val="00814C74"/>
    <w:rsid w:val="00814F3E"/>
    <w:rsid w:val="00814FE9"/>
    <w:rsid w:val="00815C6A"/>
    <w:rsid w:val="008168BA"/>
    <w:rsid w:val="00816EF4"/>
    <w:rsid w:val="008171D1"/>
    <w:rsid w:val="00817522"/>
    <w:rsid w:val="00820246"/>
    <w:rsid w:val="008205CD"/>
    <w:rsid w:val="00821078"/>
    <w:rsid w:val="008210E1"/>
    <w:rsid w:val="0082189C"/>
    <w:rsid w:val="00821B7A"/>
    <w:rsid w:val="0082221B"/>
    <w:rsid w:val="0082268A"/>
    <w:rsid w:val="00822A57"/>
    <w:rsid w:val="0082333C"/>
    <w:rsid w:val="00824441"/>
    <w:rsid w:val="00824711"/>
    <w:rsid w:val="008249E2"/>
    <w:rsid w:val="00824EDC"/>
    <w:rsid w:val="008263F6"/>
    <w:rsid w:val="0082705D"/>
    <w:rsid w:val="00827714"/>
    <w:rsid w:val="0083132F"/>
    <w:rsid w:val="008320A4"/>
    <w:rsid w:val="008321B7"/>
    <w:rsid w:val="008330C5"/>
    <w:rsid w:val="0083349C"/>
    <w:rsid w:val="00833CB4"/>
    <w:rsid w:val="00834DEB"/>
    <w:rsid w:val="00835AD4"/>
    <w:rsid w:val="00835B60"/>
    <w:rsid w:val="00836035"/>
    <w:rsid w:val="00836D6E"/>
    <w:rsid w:val="008375F5"/>
    <w:rsid w:val="008402E2"/>
    <w:rsid w:val="00840A1F"/>
    <w:rsid w:val="008412DB"/>
    <w:rsid w:val="00841842"/>
    <w:rsid w:val="00841A19"/>
    <w:rsid w:val="00842A3D"/>
    <w:rsid w:val="00842C64"/>
    <w:rsid w:val="0084563D"/>
    <w:rsid w:val="00847B53"/>
    <w:rsid w:val="00850762"/>
    <w:rsid w:val="008511E6"/>
    <w:rsid w:val="0085156E"/>
    <w:rsid w:val="008524E1"/>
    <w:rsid w:val="0085386B"/>
    <w:rsid w:val="0085445D"/>
    <w:rsid w:val="008545A1"/>
    <w:rsid w:val="00854919"/>
    <w:rsid w:val="00854EDD"/>
    <w:rsid w:val="008555CD"/>
    <w:rsid w:val="00855875"/>
    <w:rsid w:val="00857516"/>
    <w:rsid w:val="00857616"/>
    <w:rsid w:val="0085790E"/>
    <w:rsid w:val="00860B3F"/>
    <w:rsid w:val="00860FFD"/>
    <w:rsid w:val="008614C5"/>
    <w:rsid w:val="00861834"/>
    <w:rsid w:val="00862BC0"/>
    <w:rsid w:val="00862BFF"/>
    <w:rsid w:val="00862CD1"/>
    <w:rsid w:val="00863055"/>
    <w:rsid w:val="008633FF"/>
    <w:rsid w:val="00863D82"/>
    <w:rsid w:val="008649A8"/>
    <w:rsid w:val="00864AA6"/>
    <w:rsid w:val="00864B80"/>
    <w:rsid w:val="008658A2"/>
    <w:rsid w:val="00866785"/>
    <w:rsid w:val="00866874"/>
    <w:rsid w:val="00866967"/>
    <w:rsid w:val="00866E9F"/>
    <w:rsid w:val="0087017D"/>
    <w:rsid w:val="00870245"/>
    <w:rsid w:val="00870470"/>
    <w:rsid w:val="0087061D"/>
    <w:rsid w:val="008706C1"/>
    <w:rsid w:val="00871848"/>
    <w:rsid w:val="00871BC4"/>
    <w:rsid w:val="00873B6E"/>
    <w:rsid w:val="0087442E"/>
    <w:rsid w:val="0087502B"/>
    <w:rsid w:val="008752EF"/>
    <w:rsid w:val="00875BA2"/>
    <w:rsid w:val="00876499"/>
    <w:rsid w:val="00876C75"/>
    <w:rsid w:val="00876CEF"/>
    <w:rsid w:val="00877334"/>
    <w:rsid w:val="0087772A"/>
    <w:rsid w:val="00882046"/>
    <w:rsid w:val="0088227E"/>
    <w:rsid w:val="008835DB"/>
    <w:rsid w:val="008835FD"/>
    <w:rsid w:val="008837A3"/>
    <w:rsid w:val="00884EC5"/>
    <w:rsid w:val="008850D6"/>
    <w:rsid w:val="008857E1"/>
    <w:rsid w:val="008859AD"/>
    <w:rsid w:val="00885F46"/>
    <w:rsid w:val="00886ED9"/>
    <w:rsid w:val="008875D7"/>
    <w:rsid w:val="00890658"/>
    <w:rsid w:val="0089141F"/>
    <w:rsid w:val="00891CA3"/>
    <w:rsid w:val="0089207D"/>
    <w:rsid w:val="00892AAA"/>
    <w:rsid w:val="00892FDA"/>
    <w:rsid w:val="00893BAB"/>
    <w:rsid w:val="00893E7B"/>
    <w:rsid w:val="0089414E"/>
    <w:rsid w:val="00894D0F"/>
    <w:rsid w:val="008951FD"/>
    <w:rsid w:val="00895217"/>
    <w:rsid w:val="00895D22"/>
    <w:rsid w:val="00895FAF"/>
    <w:rsid w:val="00896AE5"/>
    <w:rsid w:val="00896B0E"/>
    <w:rsid w:val="00897566"/>
    <w:rsid w:val="008978F7"/>
    <w:rsid w:val="008A0AA3"/>
    <w:rsid w:val="008A11D5"/>
    <w:rsid w:val="008A1F0A"/>
    <w:rsid w:val="008A3977"/>
    <w:rsid w:val="008A4AD4"/>
    <w:rsid w:val="008A4BF0"/>
    <w:rsid w:val="008A4F60"/>
    <w:rsid w:val="008A73AD"/>
    <w:rsid w:val="008A7498"/>
    <w:rsid w:val="008B01E3"/>
    <w:rsid w:val="008B1679"/>
    <w:rsid w:val="008B1AFC"/>
    <w:rsid w:val="008B21CE"/>
    <w:rsid w:val="008B2817"/>
    <w:rsid w:val="008B2EEC"/>
    <w:rsid w:val="008B3504"/>
    <w:rsid w:val="008B3C27"/>
    <w:rsid w:val="008B4027"/>
    <w:rsid w:val="008B42F9"/>
    <w:rsid w:val="008B479E"/>
    <w:rsid w:val="008B4C25"/>
    <w:rsid w:val="008B5401"/>
    <w:rsid w:val="008B5BF7"/>
    <w:rsid w:val="008B6E8A"/>
    <w:rsid w:val="008B7ADC"/>
    <w:rsid w:val="008C05B3"/>
    <w:rsid w:val="008C113B"/>
    <w:rsid w:val="008C2009"/>
    <w:rsid w:val="008C2C1A"/>
    <w:rsid w:val="008C3673"/>
    <w:rsid w:val="008C3872"/>
    <w:rsid w:val="008C60B2"/>
    <w:rsid w:val="008C6A4B"/>
    <w:rsid w:val="008C6EAE"/>
    <w:rsid w:val="008C7F1B"/>
    <w:rsid w:val="008D0588"/>
    <w:rsid w:val="008D0B87"/>
    <w:rsid w:val="008D0EF1"/>
    <w:rsid w:val="008D114A"/>
    <w:rsid w:val="008D1E88"/>
    <w:rsid w:val="008D324A"/>
    <w:rsid w:val="008D46B5"/>
    <w:rsid w:val="008D5901"/>
    <w:rsid w:val="008D7176"/>
    <w:rsid w:val="008D79FA"/>
    <w:rsid w:val="008E0145"/>
    <w:rsid w:val="008E02FE"/>
    <w:rsid w:val="008E064B"/>
    <w:rsid w:val="008E11A5"/>
    <w:rsid w:val="008E1695"/>
    <w:rsid w:val="008E1D8C"/>
    <w:rsid w:val="008E1ECC"/>
    <w:rsid w:val="008E2232"/>
    <w:rsid w:val="008E24B1"/>
    <w:rsid w:val="008E2932"/>
    <w:rsid w:val="008E2AE0"/>
    <w:rsid w:val="008E302C"/>
    <w:rsid w:val="008E32D1"/>
    <w:rsid w:val="008E6CBB"/>
    <w:rsid w:val="008E7F5D"/>
    <w:rsid w:val="008E7FDD"/>
    <w:rsid w:val="008F11B6"/>
    <w:rsid w:val="008F16BB"/>
    <w:rsid w:val="008F1F83"/>
    <w:rsid w:val="008F3C22"/>
    <w:rsid w:val="008F4A5A"/>
    <w:rsid w:val="008F4F90"/>
    <w:rsid w:val="008F6D69"/>
    <w:rsid w:val="008F7097"/>
    <w:rsid w:val="008F7360"/>
    <w:rsid w:val="008F7BA7"/>
    <w:rsid w:val="008F7E18"/>
    <w:rsid w:val="00901A16"/>
    <w:rsid w:val="009022B4"/>
    <w:rsid w:val="00902923"/>
    <w:rsid w:val="00902BED"/>
    <w:rsid w:val="00903A97"/>
    <w:rsid w:val="00903DD1"/>
    <w:rsid w:val="00907625"/>
    <w:rsid w:val="009106BB"/>
    <w:rsid w:val="009111BD"/>
    <w:rsid w:val="0091145A"/>
    <w:rsid w:val="00912744"/>
    <w:rsid w:val="00912DC7"/>
    <w:rsid w:val="00912EBF"/>
    <w:rsid w:val="0091375C"/>
    <w:rsid w:val="00913BDB"/>
    <w:rsid w:val="00913E31"/>
    <w:rsid w:val="009152F7"/>
    <w:rsid w:val="00915977"/>
    <w:rsid w:val="00916448"/>
    <w:rsid w:val="00916C1B"/>
    <w:rsid w:val="0091735B"/>
    <w:rsid w:val="00917BFF"/>
    <w:rsid w:val="0092156D"/>
    <w:rsid w:val="0092323F"/>
    <w:rsid w:val="00923C75"/>
    <w:rsid w:val="00924E0C"/>
    <w:rsid w:val="00925307"/>
    <w:rsid w:val="0092592D"/>
    <w:rsid w:val="00926396"/>
    <w:rsid w:val="00926B16"/>
    <w:rsid w:val="009302A5"/>
    <w:rsid w:val="009312D8"/>
    <w:rsid w:val="0093178B"/>
    <w:rsid w:val="00931927"/>
    <w:rsid w:val="00931D2B"/>
    <w:rsid w:val="009321D3"/>
    <w:rsid w:val="00932A50"/>
    <w:rsid w:val="009332DE"/>
    <w:rsid w:val="009332DF"/>
    <w:rsid w:val="00933A74"/>
    <w:rsid w:val="00933B8C"/>
    <w:rsid w:val="00933D2D"/>
    <w:rsid w:val="00933F65"/>
    <w:rsid w:val="00934053"/>
    <w:rsid w:val="00934611"/>
    <w:rsid w:val="00934906"/>
    <w:rsid w:val="009357D9"/>
    <w:rsid w:val="00935B08"/>
    <w:rsid w:val="00936696"/>
    <w:rsid w:val="009368C9"/>
    <w:rsid w:val="00936DF5"/>
    <w:rsid w:val="0093713D"/>
    <w:rsid w:val="00937630"/>
    <w:rsid w:val="0094023D"/>
    <w:rsid w:val="00941131"/>
    <w:rsid w:val="00941C91"/>
    <w:rsid w:val="0094201D"/>
    <w:rsid w:val="00943698"/>
    <w:rsid w:val="00945431"/>
    <w:rsid w:val="00945779"/>
    <w:rsid w:val="00946632"/>
    <w:rsid w:val="009467E7"/>
    <w:rsid w:val="00946BD2"/>
    <w:rsid w:val="00946FB3"/>
    <w:rsid w:val="00947D25"/>
    <w:rsid w:val="00947E8C"/>
    <w:rsid w:val="009503EE"/>
    <w:rsid w:val="00950A5B"/>
    <w:rsid w:val="00950CFC"/>
    <w:rsid w:val="00951748"/>
    <w:rsid w:val="00951CE2"/>
    <w:rsid w:val="00951F94"/>
    <w:rsid w:val="009522A3"/>
    <w:rsid w:val="00952321"/>
    <w:rsid w:val="00953DA8"/>
    <w:rsid w:val="00954B99"/>
    <w:rsid w:val="00954C4B"/>
    <w:rsid w:val="00955F7F"/>
    <w:rsid w:val="009575F8"/>
    <w:rsid w:val="0095797F"/>
    <w:rsid w:val="00957A28"/>
    <w:rsid w:val="00957FF0"/>
    <w:rsid w:val="009600FD"/>
    <w:rsid w:val="009608B4"/>
    <w:rsid w:val="00960F33"/>
    <w:rsid w:val="00962EFA"/>
    <w:rsid w:val="00963427"/>
    <w:rsid w:val="00964525"/>
    <w:rsid w:val="00964DD0"/>
    <w:rsid w:val="00965598"/>
    <w:rsid w:val="00966898"/>
    <w:rsid w:val="009672B8"/>
    <w:rsid w:val="00970498"/>
    <w:rsid w:val="00970B2D"/>
    <w:rsid w:val="00971FED"/>
    <w:rsid w:val="00972195"/>
    <w:rsid w:val="00972369"/>
    <w:rsid w:val="00972F70"/>
    <w:rsid w:val="009739D3"/>
    <w:rsid w:val="0097425D"/>
    <w:rsid w:val="00974B18"/>
    <w:rsid w:val="009752A8"/>
    <w:rsid w:val="00976209"/>
    <w:rsid w:val="00977C6C"/>
    <w:rsid w:val="00977CAC"/>
    <w:rsid w:val="00980206"/>
    <w:rsid w:val="00980F67"/>
    <w:rsid w:val="009820B9"/>
    <w:rsid w:val="0098247B"/>
    <w:rsid w:val="00982B6A"/>
    <w:rsid w:val="0098439C"/>
    <w:rsid w:val="00984484"/>
    <w:rsid w:val="00984B44"/>
    <w:rsid w:val="009854A8"/>
    <w:rsid w:val="009854E5"/>
    <w:rsid w:val="0098550F"/>
    <w:rsid w:val="0098589E"/>
    <w:rsid w:val="009859E4"/>
    <w:rsid w:val="00987972"/>
    <w:rsid w:val="0099021D"/>
    <w:rsid w:val="009906A9"/>
    <w:rsid w:val="00992FCB"/>
    <w:rsid w:val="00993584"/>
    <w:rsid w:val="009938EF"/>
    <w:rsid w:val="0099469D"/>
    <w:rsid w:val="00995632"/>
    <w:rsid w:val="00995FEE"/>
    <w:rsid w:val="00996911"/>
    <w:rsid w:val="00997307"/>
    <w:rsid w:val="009A04B1"/>
    <w:rsid w:val="009A0F0B"/>
    <w:rsid w:val="009A1898"/>
    <w:rsid w:val="009A1A27"/>
    <w:rsid w:val="009A1E0A"/>
    <w:rsid w:val="009A279A"/>
    <w:rsid w:val="009A28D2"/>
    <w:rsid w:val="009A2ACA"/>
    <w:rsid w:val="009A4790"/>
    <w:rsid w:val="009A4988"/>
    <w:rsid w:val="009A4B48"/>
    <w:rsid w:val="009A5CAB"/>
    <w:rsid w:val="009A699C"/>
    <w:rsid w:val="009B275E"/>
    <w:rsid w:val="009B2EE3"/>
    <w:rsid w:val="009B360A"/>
    <w:rsid w:val="009B445E"/>
    <w:rsid w:val="009B5E83"/>
    <w:rsid w:val="009B6D03"/>
    <w:rsid w:val="009B6FC8"/>
    <w:rsid w:val="009B739F"/>
    <w:rsid w:val="009B7753"/>
    <w:rsid w:val="009C0B76"/>
    <w:rsid w:val="009C1DAF"/>
    <w:rsid w:val="009C1E51"/>
    <w:rsid w:val="009C2CDC"/>
    <w:rsid w:val="009C40C2"/>
    <w:rsid w:val="009C426F"/>
    <w:rsid w:val="009C438A"/>
    <w:rsid w:val="009C464C"/>
    <w:rsid w:val="009C4B3F"/>
    <w:rsid w:val="009C4E10"/>
    <w:rsid w:val="009C6ECB"/>
    <w:rsid w:val="009C734A"/>
    <w:rsid w:val="009C76D4"/>
    <w:rsid w:val="009C7BDA"/>
    <w:rsid w:val="009C7D0B"/>
    <w:rsid w:val="009C7D91"/>
    <w:rsid w:val="009D0B17"/>
    <w:rsid w:val="009D0D07"/>
    <w:rsid w:val="009D1014"/>
    <w:rsid w:val="009D19FF"/>
    <w:rsid w:val="009D1EF6"/>
    <w:rsid w:val="009D203C"/>
    <w:rsid w:val="009D20E4"/>
    <w:rsid w:val="009D2E36"/>
    <w:rsid w:val="009D3D17"/>
    <w:rsid w:val="009D3D61"/>
    <w:rsid w:val="009D4378"/>
    <w:rsid w:val="009D44BA"/>
    <w:rsid w:val="009D480F"/>
    <w:rsid w:val="009D5622"/>
    <w:rsid w:val="009D5DCA"/>
    <w:rsid w:val="009D652F"/>
    <w:rsid w:val="009D6723"/>
    <w:rsid w:val="009D700D"/>
    <w:rsid w:val="009E0571"/>
    <w:rsid w:val="009E0A05"/>
    <w:rsid w:val="009E0D09"/>
    <w:rsid w:val="009E3051"/>
    <w:rsid w:val="009E38C9"/>
    <w:rsid w:val="009E43E8"/>
    <w:rsid w:val="009E4C96"/>
    <w:rsid w:val="009E6297"/>
    <w:rsid w:val="009E6B87"/>
    <w:rsid w:val="009E7EFA"/>
    <w:rsid w:val="009F1325"/>
    <w:rsid w:val="009F1685"/>
    <w:rsid w:val="009F30D9"/>
    <w:rsid w:val="009F3342"/>
    <w:rsid w:val="009F3C8E"/>
    <w:rsid w:val="009F3EDA"/>
    <w:rsid w:val="009F3F58"/>
    <w:rsid w:val="009F4D76"/>
    <w:rsid w:val="009F4DA6"/>
    <w:rsid w:val="009F5761"/>
    <w:rsid w:val="009F5DEE"/>
    <w:rsid w:val="009F707D"/>
    <w:rsid w:val="009F7570"/>
    <w:rsid w:val="009F7591"/>
    <w:rsid w:val="00A00D8C"/>
    <w:rsid w:val="00A00DD7"/>
    <w:rsid w:val="00A00F2A"/>
    <w:rsid w:val="00A01D24"/>
    <w:rsid w:val="00A02953"/>
    <w:rsid w:val="00A02BF5"/>
    <w:rsid w:val="00A03D7F"/>
    <w:rsid w:val="00A03E57"/>
    <w:rsid w:val="00A049ED"/>
    <w:rsid w:val="00A0551E"/>
    <w:rsid w:val="00A06688"/>
    <w:rsid w:val="00A06FA7"/>
    <w:rsid w:val="00A104EF"/>
    <w:rsid w:val="00A1125F"/>
    <w:rsid w:val="00A1191A"/>
    <w:rsid w:val="00A12C45"/>
    <w:rsid w:val="00A15B99"/>
    <w:rsid w:val="00A1626D"/>
    <w:rsid w:val="00A16446"/>
    <w:rsid w:val="00A17D92"/>
    <w:rsid w:val="00A203FF"/>
    <w:rsid w:val="00A211DA"/>
    <w:rsid w:val="00A21A57"/>
    <w:rsid w:val="00A22591"/>
    <w:rsid w:val="00A22AA3"/>
    <w:rsid w:val="00A22F21"/>
    <w:rsid w:val="00A23DAC"/>
    <w:rsid w:val="00A2434E"/>
    <w:rsid w:val="00A243A9"/>
    <w:rsid w:val="00A2444B"/>
    <w:rsid w:val="00A255F2"/>
    <w:rsid w:val="00A25764"/>
    <w:rsid w:val="00A2590D"/>
    <w:rsid w:val="00A265BF"/>
    <w:rsid w:val="00A277ED"/>
    <w:rsid w:val="00A308AC"/>
    <w:rsid w:val="00A3099A"/>
    <w:rsid w:val="00A31021"/>
    <w:rsid w:val="00A31AEA"/>
    <w:rsid w:val="00A32880"/>
    <w:rsid w:val="00A342B2"/>
    <w:rsid w:val="00A34973"/>
    <w:rsid w:val="00A349C2"/>
    <w:rsid w:val="00A35816"/>
    <w:rsid w:val="00A36E0B"/>
    <w:rsid w:val="00A3756F"/>
    <w:rsid w:val="00A376A4"/>
    <w:rsid w:val="00A40273"/>
    <w:rsid w:val="00A40447"/>
    <w:rsid w:val="00A40719"/>
    <w:rsid w:val="00A4089F"/>
    <w:rsid w:val="00A40C16"/>
    <w:rsid w:val="00A41A1C"/>
    <w:rsid w:val="00A41C60"/>
    <w:rsid w:val="00A421DD"/>
    <w:rsid w:val="00A422AE"/>
    <w:rsid w:val="00A42D48"/>
    <w:rsid w:val="00A436A1"/>
    <w:rsid w:val="00A43D75"/>
    <w:rsid w:val="00A44A3F"/>
    <w:rsid w:val="00A44A6C"/>
    <w:rsid w:val="00A45685"/>
    <w:rsid w:val="00A45E54"/>
    <w:rsid w:val="00A479C9"/>
    <w:rsid w:val="00A47B61"/>
    <w:rsid w:val="00A47BAE"/>
    <w:rsid w:val="00A512B5"/>
    <w:rsid w:val="00A51DF4"/>
    <w:rsid w:val="00A522AA"/>
    <w:rsid w:val="00A5281F"/>
    <w:rsid w:val="00A52963"/>
    <w:rsid w:val="00A529FD"/>
    <w:rsid w:val="00A52E00"/>
    <w:rsid w:val="00A52F0D"/>
    <w:rsid w:val="00A53BFF"/>
    <w:rsid w:val="00A5593D"/>
    <w:rsid w:val="00A56A30"/>
    <w:rsid w:val="00A56CF3"/>
    <w:rsid w:val="00A5744B"/>
    <w:rsid w:val="00A57969"/>
    <w:rsid w:val="00A57CEC"/>
    <w:rsid w:val="00A6119F"/>
    <w:rsid w:val="00A638D0"/>
    <w:rsid w:val="00A64705"/>
    <w:rsid w:val="00A64EC8"/>
    <w:rsid w:val="00A65903"/>
    <w:rsid w:val="00A65E88"/>
    <w:rsid w:val="00A65EB7"/>
    <w:rsid w:val="00A665D2"/>
    <w:rsid w:val="00A66A33"/>
    <w:rsid w:val="00A66C8C"/>
    <w:rsid w:val="00A7028C"/>
    <w:rsid w:val="00A704E6"/>
    <w:rsid w:val="00A7064F"/>
    <w:rsid w:val="00A70734"/>
    <w:rsid w:val="00A7210A"/>
    <w:rsid w:val="00A72F01"/>
    <w:rsid w:val="00A732B4"/>
    <w:rsid w:val="00A73353"/>
    <w:rsid w:val="00A74409"/>
    <w:rsid w:val="00A7465A"/>
    <w:rsid w:val="00A753D1"/>
    <w:rsid w:val="00A75973"/>
    <w:rsid w:val="00A7720E"/>
    <w:rsid w:val="00A7740E"/>
    <w:rsid w:val="00A7759E"/>
    <w:rsid w:val="00A777D6"/>
    <w:rsid w:val="00A779D1"/>
    <w:rsid w:val="00A77A4E"/>
    <w:rsid w:val="00A804B9"/>
    <w:rsid w:val="00A80B65"/>
    <w:rsid w:val="00A81526"/>
    <w:rsid w:val="00A821CF"/>
    <w:rsid w:val="00A82C75"/>
    <w:rsid w:val="00A84A9E"/>
    <w:rsid w:val="00A86203"/>
    <w:rsid w:val="00A86220"/>
    <w:rsid w:val="00A86368"/>
    <w:rsid w:val="00A8759C"/>
    <w:rsid w:val="00A90031"/>
    <w:rsid w:val="00A9054D"/>
    <w:rsid w:val="00A90810"/>
    <w:rsid w:val="00A918BB"/>
    <w:rsid w:val="00A91D67"/>
    <w:rsid w:val="00A91FB6"/>
    <w:rsid w:val="00A922BC"/>
    <w:rsid w:val="00A927AA"/>
    <w:rsid w:val="00A9298D"/>
    <w:rsid w:val="00A931D5"/>
    <w:rsid w:val="00A937FB"/>
    <w:rsid w:val="00A94E4A"/>
    <w:rsid w:val="00A95C63"/>
    <w:rsid w:val="00A95FD3"/>
    <w:rsid w:val="00A96155"/>
    <w:rsid w:val="00A966A6"/>
    <w:rsid w:val="00A96B29"/>
    <w:rsid w:val="00A96BBE"/>
    <w:rsid w:val="00A970BC"/>
    <w:rsid w:val="00AA192D"/>
    <w:rsid w:val="00AA19C0"/>
    <w:rsid w:val="00AA1F12"/>
    <w:rsid w:val="00AA36F6"/>
    <w:rsid w:val="00AA4BFB"/>
    <w:rsid w:val="00AA4C71"/>
    <w:rsid w:val="00AA58B8"/>
    <w:rsid w:val="00AA5A07"/>
    <w:rsid w:val="00AA5A9F"/>
    <w:rsid w:val="00AA5B00"/>
    <w:rsid w:val="00AA5B36"/>
    <w:rsid w:val="00AA5CDE"/>
    <w:rsid w:val="00AA658F"/>
    <w:rsid w:val="00AA6655"/>
    <w:rsid w:val="00AA71FE"/>
    <w:rsid w:val="00AA7250"/>
    <w:rsid w:val="00AA7B76"/>
    <w:rsid w:val="00AA7C4A"/>
    <w:rsid w:val="00AA7EEB"/>
    <w:rsid w:val="00AB0747"/>
    <w:rsid w:val="00AB0932"/>
    <w:rsid w:val="00AB1CBA"/>
    <w:rsid w:val="00AB225E"/>
    <w:rsid w:val="00AB2F9F"/>
    <w:rsid w:val="00AB3093"/>
    <w:rsid w:val="00AB3AEB"/>
    <w:rsid w:val="00AB421F"/>
    <w:rsid w:val="00AB5140"/>
    <w:rsid w:val="00AB5323"/>
    <w:rsid w:val="00AC26EC"/>
    <w:rsid w:val="00AC3C17"/>
    <w:rsid w:val="00AC3C3D"/>
    <w:rsid w:val="00AC4042"/>
    <w:rsid w:val="00AC4A70"/>
    <w:rsid w:val="00AC4FCE"/>
    <w:rsid w:val="00AC5068"/>
    <w:rsid w:val="00AC55A1"/>
    <w:rsid w:val="00AC6DD2"/>
    <w:rsid w:val="00AC76CE"/>
    <w:rsid w:val="00AD07F0"/>
    <w:rsid w:val="00AD0BBA"/>
    <w:rsid w:val="00AD0CBF"/>
    <w:rsid w:val="00AD10C1"/>
    <w:rsid w:val="00AD1135"/>
    <w:rsid w:val="00AD1189"/>
    <w:rsid w:val="00AD1575"/>
    <w:rsid w:val="00AD15E1"/>
    <w:rsid w:val="00AD2F5C"/>
    <w:rsid w:val="00AD3222"/>
    <w:rsid w:val="00AD35F8"/>
    <w:rsid w:val="00AD452F"/>
    <w:rsid w:val="00AD4DD5"/>
    <w:rsid w:val="00AD4E03"/>
    <w:rsid w:val="00AD586B"/>
    <w:rsid w:val="00AD72CE"/>
    <w:rsid w:val="00AD7942"/>
    <w:rsid w:val="00AE12EB"/>
    <w:rsid w:val="00AE1D17"/>
    <w:rsid w:val="00AE20D7"/>
    <w:rsid w:val="00AE246E"/>
    <w:rsid w:val="00AE2AF6"/>
    <w:rsid w:val="00AE2E03"/>
    <w:rsid w:val="00AE2F0C"/>
    <w:rsid w:val="00AE3680"/>
    <w:rsid w:val="00AE4483"/>
    <w:rsid w:val="00AE456F"/>
    <w:rsid w:val="00AE4B1B"/>
    <w:rsid w:val="00AE4C31"/>
    <w:rsid w:val="00AE4D97"/>
    <w:rsid w:val="00AE68F8"/>
    <w:rsid w:val="00AE711F"/>
    <w:rsid w:val="00AE7208"/>
    <w:rsid w:val="00AF0689"/>
    <w:rsid w:val="00AF1152"/>
    <w:rsid w:val="00AF1F22"/>
    <w:rsid w:val="00AF2156"/>
    <w:rsid w:val="00AF253D"/>
    <w:rsid w:val="00AF2AD3"/>
    <w:rsid w:val="00AF3135"/>
    <w:rsid w:val="00AF32DE"/>
    <w:rsid w:val="00AF3565"/>
    <w:rsid w:val="00AF4927"/>
    <w:rsid w:val="00AF4ED3"/>
    <w:rsid w:val="00AF52EA"/>
    <w:rsid w:val="00AF53D3"/>
    <w:rsid w:val="00AF5908"/>
    <w:rsid w:val="00AF5B4E"/>
    <w:rsid w:val="00AF60D5"/>
    <w:rsid w:val="00AF61EC"/>
    <w:rsid w:val="00AF637E"/>
    <w:rsid w:val="00AF7119"/>
    <w:rsid w:val="00AF72B1"/>
    <w:rsid w:val="00AF749C"/>
    <w:rsid w:val="00B01D33"/>
    <w:rsid w:val="00B01E45"/>
    <w:rsid w:val="00B023EC"/>
    <w:rsid w:val="00B02C82"/>
    <w:rsid w:val="00B032BE"/>
    <w:rsid w:val="00B034BE"/>
    <w:rsid w:val="00B039C7"/>
    <w:rsid w:val="00B042D8"/>
    <w:rsid w:val="00B044CB"/>
    <w:rsid w:val="00B051FC"/>
    <w:rsid w:val="00B05A99"/>
    <w:rsid w:val="00B05F51"/>
    <w:rsid w:val="00B062E5"/>
    <w:rsid w:val="00B06512"/>
    <w:rsid w:val="00B069A2"/>
    <w:rsid w:val="00B10181"/>
    <w:rsid w:val="00B10392"/>
    <w:rsid w:val="00B10766"/>
    <w:rsid w:val="00B108DD"/>
    <w:rsid w:val="00B1162E"/>
    <w:rsid w:val="00B11FCA"/>
    <w:rsid w:val="00B12C1F"/>
    <w:rsid w:val="00B12CE8"/>
    <w:rsid w:val="00B1433E"/>
    <w:rsid w:val="00B15F61"/>
    <w:rsid w:val="00B1627F"/>
    <w:rsid w:val="00B165B9"/>
    <w:rsid w:val="00B16C86"/>
    <w:rsid w:val="00B20D79"/>
    <w:rsid w:val="00B21537"/>
    <w:rsid w:val="00B2175B"/>
    <w:rsid w:val="00B21869"/>
    <w:rsid w:val="00B229D9"/>
    <w:rsid w:val="00B22CA8"/>
    <w:rsid w:val="00B2627A"/>
    <w:rsid w:val="00B26AD3"/>
    <w:rsid w:val="00B27E0C"/>
    <w:rsid w:val="00B27E96"/>
    <w:rsid w:val="00B30517"/>
    <w:rsid w:val="00B30B0D"/>
    <w:rsid w:val="00B31AA2"/>
    <w:rsid w:val="00B32291"/>
    <w:rsid w:val="00B33019"/>
    <w:rsid w:val="00B33960"/>
    <w:rsid w:val="00B34172"/>
    <w:rsid w:val="00B34F62"/>
    <w:rsid w:val="00B35233"/>
    <w:rsid w:val="00B35380"/>
    <w:rsid w:val="00B35788"/>
    <w:rsid w:val="00B35C69"/>
    <w:rsid w:val="00B35F18"/>
    <w:rsid w:val="00B36FF9"/>
    <w:rsid w:val="00B411D1"/>
    <w:rsid w:val="00B42A6F"/>
    <w:rsid w:val="00B42F64"/>
    <w:rsid w:val="00B432C1"/>
    <w:rsid w:val="00B43358"/>
    <w:rsid w:val="00B439E6"/>
    <w:rsid w:val="00B453D8"/>
    <w:rsid w:val="00B458F0"/>
    <w:rsid w:val="00B45D4D"/>
    <w:rsid w:val="00B46D0F"/>
    <w:rsid w:val="00B4771F"/>
    <w:rsid w:val="00B502FA"/>
    <w:rsid w:val="00B5186D"/>
    <w:rsid w:val="00B528BA"/>
    <w:rsid w:val="00B52CF7"/>
    <w:rsid w:val="00B542BF"/>
    <w:rsid w:val="00B56A75"/>
    <w:rsid w:val="00B56C11"/>
    <w:rsid w:val="00B600D2"/>
    <w:rsid w:val="00B603B8"/>
    <w:rsid w:val="00B604DD"/>
    <w:rsid w:val="00B6067E"/>
    <w:rsid w:val="00B60DFA"/>
    <w:rsid w:val="00B634C9"/>
    <w:rsid w:val="00B636E8"/>
    <w:rsid w:val="00B6458D"/>
    <w:rsid w:val="00B64DF9"/>
    <w:rsid w:val="00B65593"/>
    <w:rsid w:val="00B6639D"/>
    <w:rsid w:val="00B66550"/>
    <w:rsid w:val="00B66921"/>
    <w:rsid w:val="00B6767C"/>
    <w:rsid w:val="00B70133"/>
    <w:rsid w:val="00B70480"/>
    <w:rsid w:val="00B712F5"/>
    <w:rsid w:val="00B713C2"/>
    <w:rsid w:val="00B71EB5"/>
    <w:rsid w:val="00B729A0"/>
    <w:rsid w:val="00B72A73"/>
    <w:rsid w:val="00B72AC8"/>
    <w:rsid w:val="00B73CC0"/>
    <w:rsid w:val="00B760A3"/>
    <w:rsid w:val="00B76860"/>
    <w:rsid w:val="00B76CE4"/>
    <w:rsid w:val="00B77EC4"/>
    <w:rsid w:val="00B80B8F"/>
    <w:rsid w:val="00B80E0B"/>
    <w:rsid w:val="00B825CC"/>
    <w:rsid w:val="00B83A2A"/>
    <w:rsid w:val="00B84FA1"/>
    <w:rsid w:val="00B8531A"/>
    <w:rsid w:val="00B8553B"/>
    <w:rsid w:val="00B856CA"/>
    <w:rsid w:val="00B85BF5"/>
    <w:rsid w:val="00B85F7A"/>
    <w:rsid w:val="00B866F1"/>
    <w:rsid w:val="00B86978"/>
    <w:rsid w:val="00B86E6A"/>
    <w:rsid w:val="00B87059"/>
    <w:rsid w:val="00B8733A"/>
    <w:rsid w:val="00B90014"/>
    <w:rsid w:val="00B905DE"/>
    <w:rsid w:val="00B91081"/>
    <w:rsid w:val="00B91CA5"/>
    <w:rsid w:val="00B92503"/>
    <w:rsid w:val="00B93856"/>
    <w:rsid w:val="00B93FD3"/>
    <w:rsid w:val="00B95D8A"/>
    <w:rsid w:val="00B96086"/>
    <w:rsid w:val="00B96B07"/>
    <w:rsid w:val="00B96E83"/>
    <w:rsid w:val="00B97E7D"/>
    <w:rsid w:val="00B97F18"/>
    <w:rsid w:val="00BA1C7A"/>
    <w:rsid w:val="00BA278C"/>
    <w:rsid w:val="00BA2B89"/>
    <w:rsid w:val="00BA3F9D"/>
    <w:rsid w:val="00BA41CD"/>
    <w:rsid w:val="00BA480B"/>
    <w:rsid w:val="00BA5BB4"/>
    <w:rsid w:val="00BA6972"/>
    <w:rsid w:val="00BA7530"/>
    <w:rsid w:val="00BA7707"/>
    <w:rsid w:val="00BA7868"/>
    <w:rsid w:val="00BA7F15"/>
    <w:rsid w:val="00BB03F7"/>
    <w:rsid w:val="00BB06BF"/>
    <w:rsid w:val="00BB07D1"/>
    <w:rsid w:val="00BB106C"/>
    <w:rsid w:val="00BB1705"/>
    <w:rsid w:val="00BB17BD"/>
    <w:rsid w:val="00BB1B11"/>
    <w:rsid w:val="00BB24DB"/>
    <w:rsid w:val="00BB44E2"/>
    <w:rsid w:val="00BB450B"/>
    <w:rsid w:val="00BB48BE"/>
    <w:rsid w:val="00BB4D8D"/>
    <w:rsid w:val="00BB5B52"/>
    <w:rsid w:val="00BB5CBF"/>
    <w:rsid w:val="00BB5D6A"/>
    <w:rsid w:val="00BB60FB"/>
    <w:rsid w:val="00BB69BE"/>
    <w:rsid w:val="00BB6DFD"/>
    <w:rsid w:val="00BB6F8E"/>
    <w:rsid w:val="00BB7074"/>
    <w:rsid w:val="00BB73E3"/>
    <w:rsid w:val="00BB78B9"/>
    <w:rsid w:val="00BC06F3"/>
    <w:rsid w:val="00BC16D4"/>
    <w:rsid w:val="00BC1DC2"/>
    <w:rsid w:val="00BC2B77"/>
    <w:rsid w:val="00BC3096"/>
    <w:rsid w:val="00BC3C9F"/>
    <w:rsid w:val="00BC479C"/>
    <w:rsid w:val="00BC6175"/>
    <w:rsid w:val="00BC642C"/>
    <w:rsid w:val="00BC6488"/>
    <w:rsid w:val="00BC66B6"/>
    <w:rsid w:val="00BC7627"/>
    <w:rsid w:val="00BC7F42"/>
    <w:rsid w:val="00BD0016"/>
    <w:rsid w:val="00BD1A8E"/>
    <w:rsid w:val="00BD1AE1"/>
    <w:rsid w:val="00BD246C"/>
    <w:rsid w:val="00BD310C"/>
    <w:rsid w:val="00BD3227"/>
    <w:rsid w:val="00BD36B2"/>
    <w:rsid w:val="00BD38CC"/>
    <w:rsid w:val="00BD3D52"/>
    <w:rsid w:val="00BD402F"/>
    <w:rsid w:val="00BD4A16"/>
    <w:rsid w:val="00BD4E1D"/>
    <w:rsid w:val="00BD4F8C"/>
    <w:rsid w:val="00BD509B"/>
    <w:rsid w:val="00BD5424"/>
    <w:rsid w:val="00BD5F29"/>
    <w:rsid w:val="00BD6703"/>
    <w:rsid w:val="00BD72F4"/>
    <w:rsid w:val="00BD74F3"/>
    <w:rsid w:val="00BD799F"/>
    <w:rsid w:val="00BD7BC6"/>
    <w:rsid w:val="00BD7EF3"/>
    <w:rsid w:val="00BD7F0A"/>
    <w:rsid w:val="00BE0009"/>
    <w:rsid w:val="00BE0F19"/>
    <w:rsid w:val="00BE2516"/>
    <w:rsid w:val="00BE2B96"/>
    <w:rsid w:val="00BE44F0"/>
    <w:rsid w:val="00BE4A11"/>
    <w:rsid w:val="00BE512F"/>
    <w:rsid w:val="00BE6FBB"/>
    <w:rsid w:val="00BF0D18"/>
    <w:rsid w:val="00BF14C7"/>
    <w:rsid w:val="00BF25C3"/>
    <w:rsid w:val="00BF4EFB"/>
    <w:rsid w:val="00BF5289"/>
    <w:rsid w:val="00BF590E"/>
    <w:rsid w:val="00BF5C7D"/>
    <w:rsid w:val="00BF7188"/>
    <w:rsid w:val="00BF75B4"/>
    <w:rsid w:val="00BF787E"/>
    <w:rsid w:val="00BF7B50"/>
    <w:rsid w:val="00C00102"/>
    <w:rsid w:val="00C00730"/>
    <w:rsid w:val="00C00DB6"/>
    <w:rsid w:val="00C01C73"/>
    <w:rsid w:val="00C01FA0"/>
    <w:rsid w:val="00C026F4"/>
    <w:rsid w:val="00C02E69"/>
    <w:rsid w:val="00C041FF"/>
    <w:rsid w:val="00C04441"/>
    <w:rsid w:val="00C05B28"/>
    <w:rsid w:val="00C05CB4"/>
    <w:rsid w:val="00C06FAD"/>
    <w:rsid w:val="00C07A2E"/>
    <w:rsid w:val="00C112E2"/>
    <w:rsid w:val="00C114EC"/>
    <w:rsid w:val="00C12A70"/>
    <w:rsid w:val="00C1341D"/>
    <w:rsid w:val="00C13B39"/>
    <w:rsid w:val="00C14540"/>
    <w:rsid w:val="00C1464B"/>
    <w:rsid w:val="00C150B0"/>
    <w:rsid w:val="00C154A6"/>
    <w:rsid w:val="00C1584D"/>
    <w:rsid w:val="00C15D0E"/>
    <w:rsid w:val="00C16EAF"/>
    <w:rsid w:val="00C17773"/>
    <w:rsid w:val="00C2067D"/>
    <w:rsid w:val="00C21DFF"/>
    <w:rsid w:val="00C226E7"/>
    <w:rsid w:val="00C23AB6"/>
    <w:rsid w:val="00C242BB"/>
    <w:rsid w:val="00C24752"/>
    <w:rsid w:val="00C24AD0"/>
    <w:rsid w:val="00C24B98"/>
    <w:rsid w:val="00C25028"/>
    <w:rsid w:val="00C25597"/>
    <w:rsid w:val="00C255BF"/>
    <w:rsid w:val="00C255EC"/>
    <w:rsid w:val="00C267F2"/>
    <w:rsid w:val="00C26EA3"/>
    <w:rsid w:val="00C27205"/>
    <w:rsid w:val="00C27321"/>
    <w:rsid w:val="00C2797C"/>
    <w:rsid w:val="00C313ED"/>
    <w:rsid w:val="00C31A29"/>
    <w:rsid w:val="00C31C6F"/>
    <w:rsid w:val="00C31E0B"/>
    <w:rsid w:val="00C324CF"/>
    <w:rsid w:val="00C336F3"/>
    <w:rsid w:val="00C336FA"/>
    <w:rsid w:val="00C3624E"/>
    <w:rsid w:val="00C36702"/>
    <w:rsid w:val="00C36FF2"/>
    <w:rsid w:val="00C3757C"/>
    <w:rsid w:val="00C37D6D"/>
    <w:rsid w:val="00C406C3"/>
    <w:rsid w:val="00C41D7B"/>
    <w:rsid w:val="00C42B3F"/>
    <w:rsid w:val="00C43523"/>
    <w:rsid w:val="00C43814"/>
    <w:rsid w:val="00C459AA"/>
    <w:rsid w:val="00C459E6"/>
    <w:rsid w:val="00C463E4"/>
    <w:rsid w:val="00C46DBA"/>
    <w:rsid w:val="00C4779E"/>
    <w:rsid w:val="00C50167"/>
    <w:rsid w:val="00C501F8"/>
    <w:rsid w:val="00C5045C"/>
    <w:rsid w:val="00C50D8E"/>
    <w:rsid w:val="00C5149F"/>
    <w:rsid w:val="00C52033"/>
    <w:rsid w:val="00C520F1"/>
    <w:rsid w:val="00C52CDA"/>
    <w:rsid w:val="00C52E02"/>
    <w:rsid w:val="00C5311A"/>
    <w:rsid w:val="00C53A7B"/>
    <w:rsid w:val="00C5411A"/>
    <w:rsid w:val="00C549C4"/>
    <w:rsid w:val="00C557E0"/>
    <w:rsid w:val="00C563F3"/>
    <w:rsid w:val="00C5646E"/>
    <w:rsid w:val="00C567E0"/>
    <w:rsid w:val="00C56E2F"/>
    <w:rsid w:val="00C56E7D"/>
    <w:rsid w:val="00C56FFE"/>
    <w:rsid w:val="00C57CCE"/>
    <w:rsid w:val="00C61977"/>
    <w:rsid w:val="00C61C6E"/>
    <w:rsid w:val="00C61EE2"/>
    <w:rsid w:val="00C62139"/>
    <w:rsid w:val="00C62B6C"/>
    <w:rsid w:val="00C62ECA"/>
    <w:rsid w:val="00C63294"/>
    <w:rsid w:val="00C6335C"/>
    <w:rsid w:val="00C6539D"/>
    <w:rsid w:val="00C65748"/>
    <w:rsid w:val="00C65848"/>
    <w:rsid w:val="00C65E58"/>
    <w:rsid w:val="00C67C31"/>
    <w:rsid w:val="00C67D5C"/>
    <w:rsid w:val="00C70101"/>
    <w:rsid w:val="00C70480"/>
    <w:rsid w:val="00C70490"/>
    <w:rsid w:val="00C70C54"/>
    <w:rsid w:val="00C713FF"/>
    <w:rsid w:val="00C71472"/>
    <w:rsid w:val="00C71CC1"/>
    <w:rsid w:val="00C71D94"/>
    <w:rsid w:val="00C724CE"/>
    <w:rsid w:val="00C725FF"/>
    <w:rsid w:val="00C73D34"/>
    <w:rsid w:val="00C73FCF"/>
    <w:rsid w:val="00C74B24"/>
    <w:rsid w:val="00C74F1B"/>
    <w:rsid w:val="00C7533B"/>
    <w:rsid w:val="00C76C7C"/>
    <w:rsid w:val="00C76C87"/>
    <w:rsid w:val="00C80D10"/>
    <w:rsid w:val="00C8152D"/>
    <w:rsid w:val="00C8192C"/>
    <w:rsid w:val="00C819ED"/>
    <w:rsid w:val="00C81C0D"/>
    <w:rsid w:val="00C81F48"/>
    <w:rsid w:val="00C82B21"/>
    <w:rsid w:val="00C850A5"/>
    <w:rsid w:val="00C86A23"/>
    <w:rsid w:val="00C86E98"/>
    <w:rsid w:val="00C86FBA"/>
    <w:rsid w:val="00C91675"/>
    <w:rsid w:val="00C91F5F"/>
    <w:rsid w:val="00C92ECF"/>
    <w:rsid w:val="00C92F06"/>
    <w:rsid w:val="00C9333A"/>
    <w:rsid w:val="00C94416"/>
    <w:rsid w:val="00C950FF"/>
    <w:rsid w:val="00C95232"/>
    <w:rsid w:val="00C958F1"/>
    <w:rsid w:val="00C95BE5"/>
    <w:rsid w:val="00C96704"/>
    <w:rsid w:val="00C96AA9"/>
    <w:rsid w:val="00C96DC6"/>
    <w:rsid w:val="00C96E24"/>
    <w:rsid w:val="00C97BC9"/>
    <w:rsid w:val="00C97FE5"/>
    <w:rsid w:val="00CA02CC"/>
    <w:rsid w:val="00CA1486"/>
    <w:rsid w:val="00CA294F"/>
    <w:rsid w:val="00CA3196"/>
    <w:rsid w:val="00CA3724"/>
    <w:rsid w:val="00CA4450"/>
    <w:rsid w:val="00CA4496"/>
    <w:rsid w:val="00CA4A8E"/>
    <w:rsid w:val="00CA5142"/>
    <w:rsid w:val="00CA5EEB"/>
    <w:rsid w:val="00CB0144"/>
    <w:rsid w:val="00CB07AC"/>
    <w:rsid w:val="00CB1D2F"/>
    <w:rsid w:val="00CB3471"/>
    <w:rsid w:val="00CB3E68"/>
    <w:rsid w:val="00CB4452"/>
    <w:rsid w:val="00CB4E04"/>
    <w:rsid w:val="00CB5098"/>
    <w:rsid w:val="00CB670E"/>
    <w:rsid w:val="00CB6ED9"/>
    <w:rsid w:val="00CB6EE3"/>
    <w:rsid w:val="00CC07FF"/>
    <w:rsid w:val="00CC08E5"/>
    <w:rsid w:val="00CC0CC3"/>
    <w:rsid w:val="00CC0E4F"/>
    <w:rsid w:val="00CC0FEE"/>
    <w:rsid w:val="00CC1323"/>
    <w:rsid w:val="00CC1B85"/>
    <w:rsid w:val="00CC1BAA"/>
    <w:rsid w:val="00CC1C5F"/>
    <w:rsid w:val="00CC1F3E"/>
    <w:rsid w:val="00CC23E4"/>
    <w:rsid w:val="00CC288B"/>
    <w:rsid w:val="00CC2D56"/>
    <w:rsid w:val="00CC3F01"/>
    <w:rsid w:val="00CC4915"/>
    <w:rsid w:val="00CC4D7C"/>
    <w:rsid w:val="00CC56FB"/>
    <w:rsid w:val="00CC68E6"/>
    <w:rsid w:val="00CC7349"/>
    <w:rsid w:val="00CC78A2"/>
    <w:rsid w:val="00CC7F47"/>
    <w:rsid w:val="00CC7FF6"/>
    <w:rsid w:val="00CD077B"/>
    <w:rsid w:val="00CD10B6"/>
    <w:rsid w:val="00CD20A6"/>
    <w:rsid w:val="00CD24D5"/>
    <w:rsid w:val="00CD2E1F"/>
    <w:rsid w:val="00CD3027"/>
    <w:rsid w:val="00CD3297"/>
    <w:rsid w:val="00CD4473"/>
    <w:rsid w:val="00CD552D"/>
    <w:rsid w:val="00CD5635"/>
    <w:rsid w:val="00CD56C3"/>
    <w:rsid w:val="00CD5F1A"/>
    <w:rsid w:val="00CD6B35"/>
    <w:rsid w:val="00CD6CDB"/>
    <w:rsid w:val="00CD6E7D"/>
    <w:rsid w:val="00CD75E0"/>
    <w:rsid w:val="00CD764F"/>
    <w:rsid w:val="00CD7AAE"/>
    <w:rsid w:val="00CE0F4B"/>
    <w:rsid w:val="00CE1FD9"/>
    <w:rsid w:val="00CE22CA"/>
    <w:rsid w:val="00CE2CB2"/>
    <w:rsid w:val="00CE2F48"/>
    <w:rsid w:val="00CE3D1B"/>
    <w:rsid w:val="00CE47B7"/>
    <w:rsid w:val="00CE49AB"/>
    <w:rsid w:val="00CE51DA"/>
    <w:rsid w:val="00CE5906"/>
    <w:rsid w:val="00CE592B"/>
    <w:rsid w:val="00CE6936"/>
    <w:rsid w:val="00CE698E"/>
    <w:rsid w:val="00CE722C"/>
    <w:rsid w:val="00CE7B78"/>
    <w:rsid w:val="00CE7EC3"/>
    <w:rsid w:val="00CF0C20"/>
    <w:rsid w:val="00CF12C2"/>
    <w:rsid w:val="00CF22A8"/>
    <w:rsid w:val="00CF2CE4"/>
    <w:rsid w:val="00CF457A"/>
    <w:rsid w:val="00CF4B81"/>
    <w:rsid w:val="00CF60E4"/>
    <w:rsid w:val="00CF6E4F"/>
    <w:rsid w:val="00CF79A8"/>
    <w:rsid w:val="00CF7DB0"/>
    <w:rsid w:val="00D00402"/>
    <w:rsid w:val="00D004F4"/>
    <w:rsid w:val="00D00FE1"/>
    <w:rsid w:val="00D01863"/>
    <w:rsid w:val="00D01CBA"/>
    <w:rsid w:val="00D02225"/>
    <w:rsid w:val="00D02995"/>
    <w:rsid w:val="00D0351F"/>
    <w:rsid w:val="00D036B5"/>
    <w:rsid w:val="00D03F17"/>
    <w:rsid w:val="00D0461F"/>
    <w:rsid w:val="00D04F4F"/>
    <w:rsid w:val="00D05BE1"/>
    <w:rsid w:val="00D06118"/>
    <w:rsid w:val="00D07331"/>
    <w:rsid w:val="00D07616"/>
    <w:rsid w:val="00D07CA0"/>
    <w:rsid w:val="00D11CDE"/>
    <w:rsid w:val="00D123D2"/>
    <w:rsid w:val="00D125F2"/>
    <w:rsid w:val="00D131E4"/>
    <w:rsid w:val="00D13CFD"/>
    <w:rsid w:val="00D14705"/>
    <w:rsid w:val="00D14746"/>
    <w:rsid w:val="00D14C71"/>
    <w:rsid w:val="00D14E47"/>
    <w:rsid w:val="00D1524A"/>
    <w:rsid w:val="00D154D0"/>
    <w:rsid w:val="00D17231"/>
    <w:rsid w:val="00D17443"/>
    <w:rsid w:val="00D20B1E"/>
    <w:rsid w:val="00D21830"/>
    <w:rsid w:val="00D2245C"/>
    <w:rsid w:val="00D2254F"/>
    <w:rsid w:val="00D22BB3"/>
    <w:rsid w:val="00D23EA9"/>
    <w:rsid w:val="00D2401E"/>
    <w:rsid w:val="00D242F4"/>
    <w:rsid w:val="00D24D40"/>
    <w:rsid w:val="00D24EB9"/>
    <w:rsid w:val="00D24FF4"/>
    <w:rsid w:val="00D2505B"/>
    <w:rsid w:val="00D25D21"/>
    <w:rsid w:val="00D25D3E"/>
    <w:rsid w:val="00D25EC5"/>
    <w:rsid w:val="00D260A0"/>
    <w:rsid w:val="00D26274"/>
    <w:rsid w:val="00D262A2"/>
    <w:rsid w:val="00D3005E"/>
    <w:rsid w:val="00D30A19"/>
    <w:rsid w:val="00D31689"/>
    <w:rsid w:val="00D319DE"/>
    <w:rsid w:val="00D333F7"/>
    <w:rsid w:val="00D33437"/>
    <w:rsid w:val="00D33662"/>
    <w:rsid w:val="00D354C3"/>
    <w:rsid w:val="00D359ED"/>
    <w:rsid w:val="00D35D6B"/>
    <w:rsid w:val="00D36C6A"/>
    <w:rsid w:val="00D36EE2"/>
    <w:rsid w:val="00D376D5"/>
    <w:rsid w:val="00D37985"/>
    <w:rsid w:val="00D37C40"/>
    <w:rsid w:val="00D409DF"/>
    <w:rsid w:val="00D40E04"/>
    <w:rsid w:val="00D4147C"/>
    <w:rsid w:val="00D420C7"/>
    <w:rsid w:val="00D42464"/>
    <w:rsid w:val="00D42754"/>
    <w:rsid w:val="00D433C2"/>
    <w:rsid w:val="00D457B2"/>
    <w:rsid w:val="00D46435"/>
    <w:rsid w:val="00D46A33"/>
    <w:rsid w:val="00D4704C"/>
    <w:rsid w:val="00D47AAE"/>
    <w:rsid w:val="00D47ECB"/>
    <w:rsid w:val="00D50410"/>
    <w:rsid w:val="00D505C2"/>
    <w:rsid w:val="00D50D17"/>
    <w:rsid w:val="00D51DD2"/>
    <w:rsid w:val="00D53CC8"/>
    <w:rsid w:val="00D53E8E"/>
    <w:rsid w:val="00D53E9E"/>
    <w:rsid w:val="00D546C7"/>
    <w:rsid w:val="00D55554"/>
    <w:rsid w:val="00D561D7"/>
    <w:rsid w:val="00D5766B"/>
    <w:rsid w:val="00D57B5C"/>
    <w:rsid w:val="00D57ECF"/>
    <w:rsid w:val="00D60344"/>
    <w:rsid w:val="00D60A11"/>
    <w:rsid w:val="00D60C59"/>
    <w:rsid w:val="00D60C8C"/>
    <w:rsid w:val="00D61F91"/>
    <w:rsid w:val="00D63E2A"/>
    <w:rsid w:val="00D6484F"/>
    <w:rsid w:val="00D660EA"/>
    <w:rsid w:val="00D673C1"/>
    <w:rsid w:val="00D67D74"/>
    <w:rsid w:val="00D67FC7"/>
    <w:rsid w:val="00D70358"/>
    <w:rsid w:val="00D710C0"/>
    <w:rsid w:val="00D714B5"/>
    <w:rsid w:val="00D715A0"/>
    <w:rsid w:val="00D720A1"/>
    <w:rsid w:val="00D73B5F"/>
    <w:rsid w:val="00D74B76"/>
    <w:rsid w:val="00D74CD4"/>
    <w:rsid w:val="00D755E2"/>
    <w:rsid w:val="00D75692"/>
    <w:rsid w:val="00D75E14"/>
    <w:rsid w:val="00D76F71"/>
    <w:rsid w:val="00D77D4D"/>
    <w:rsid w:val="00D80C6A"/>
    <w:rsid w:val="00D812F5"/>
    <w:rsid w:val="00D82223"/>
    <w:rsid w:val="00D82BA6"/>
    <w:rsid w:val="00D833A5"/>
    <w:rsid w:val="00D83B9B"/>
    <w:rsid w:val="00D83E5E"/>
    <w:rsid w:val="00D8501D"/>
    <w:rsid w:val="00D85E13"/>
    <w:rsid w:val="00D8638C"/>
    <w:rsid w:val="00D86A39"/>
    <w:rsid w:val="00D90394"/>
    <w:rsid w:val="00D903FB"/>
    <w:rsid w:val="00D90705"/>
    <w:rsid w:val="00D91694"/>
    <w:rsid w:val="00D9243B"/>
    <w:rsid w:val="00D9252C"/>
    <w:rsid w:val="00D929B2"/>
    <w:rsid w:val="00D936B5"/>
    <w:rsid w:val="00D94C91"/>
    <w:rsid w:val="00D953B0"/>
    <w:rsid w:val="00D9563B"/>
    <w:rsid w:val="00D95663"/>
    <w:rsid w:val="00D96C7A"/>
    <w:rsid w:val="00D96C88"/>
    <w:rsid w:val="00D96F49"/>
    <w:rsid w:val="00DA00A7"/>
    <w:rsid w:val="00DA1AEF"/>
    <w:rsid w:val="00DA20D3"/>
    <w:rsid w:val="00DA2BF4"/>
    <w:rsid w:val="00DA2C81"/>
    <w:rsid w:val="00DA3028"/>
    <w:rsid w:val="00DA382F"/>
    <w:rsid w:val="00DA38D6"/>
    <w:rsid w:val="00DA3C03"/>
    <w:rsid w:val="00DA48AA"/>
    <w:rsid w:val="00DA48F2"/>
    <w:rsid w:val="00DA529B"/>
    <w:rsid w:val="00DA5471"/>
    <w:rsid w:val="00DA59B2"/>
    <w:rsid w:val="00DA6F10"/>
    <w:rsid w:val="00DA78CE"/>
    <w:rsid w:val="00DB0E15"/>
    <w:rsid w:val="00DB137D"/>
    <w:rsid w:val="00DB2203"/>
    <w:rsid w:val="00DB265C"/>
    <w:rsid w:val="00DB3B3F"/>
    <w:rsid w:val="00DB47C8"/>
    <w:rsid w:val="00DB480A"/>
    <w:rsid w:val="00DB4B74"/>
    <w:rsid w:val="00DB4D31"/>
    <w:rsid w:val="00DB6B90"/>
    <w:rsid w:val="00DB74C7"/>
    <w:rsid w:val="00DB7510"/>
    <w:rsid w:val="00DB7EBF"/>
    <w:rsid w:val="00DC22B7"/>
    <w:rsid w:val="00DC29AE"/>
    <w:rsid w:val="00DC2D4C"/>
    <w:rsid w:val="00DC2EDC"/>
    <w:rsid w:val="00DC34F0"/>
    <w:rsid w:val="00DC484E"/>
    <w:rsid w:val="00DC524A"/>
    <w:rsid w:val="00DC5EFE"/>
    <w:rsid w:val="00DC6AF3"/>
    <w:rsid w:val="00DC7493"/>
    <w:rsid w:val="00DC792D"/>
    <w:rsid w:val="00DD019D"/>
    <w:rsid w:val="00DD0484"/>
    <w:rsid w:val="00DD060A"/>
    <w:rsid w:val="00DD0A45"/>
    <w:rsid w:val="00DD1857"/>
    <w:rsid w:val="00DD2B2C"/>
    <w:rsid w:val="00DD2B31"/>
    <w:rsid w:val="00DD3111"/>
    <w:rsid w:val="00DD3563"/>
    <w:rsid w:val="00DD385A"/>
    <w:rsid w:val="00DD59F4"/>
    <w:rsid w:val="00DD6276"/>
    <w:rsid w:val="00DD67C2"/>
    <w:rsid w:val="00DD72A8"/>
    <w:rsid w:val="00DD734F"/>
    <w:rsid w:val="00DD7A23"/>
    <w:rsid w:val="00DD7DAE"/>
    <w:rsid w:val="00DE27B6"/>
    <w:rsid w:val="00DE31A5"/>
    <w:rsid w:val="00DE377C"/>
    <w:rsid w:val="00DE381A"/>
    <w:rsid w:val="00DE3A86"/>
    <w:rsid w:val="00DE3B7F"/>
    <w:rsid w:val="00DE3FD9"/>
    <w:rsid w:val="00DE41A3"/>
    <w:rsid w:val="00DE4A5E"/>
    <w:rsid w:val="00DE5043"/>
    <w:rsid w:val="00DE5083"/>
    <w:rsid w:val="00DE5312"/>
    <w:rsid w:val="00DE62DE"/>
    <w:rsid w:val="00DE73A5"/>
    <w:rsid w:val="00DE7778"/>
    <w:rsid w:val="00DE795D"/>
    <w:rsid w:val="00DE7A56"/>
    <w:rsid w:val="00DE7B01"/>
    <w:rsid w:val="00DE7CC9"/>
    <w:rsid w:val="00DF06AC"/>
    <w:rsid w:val="00DF084C"/>
    <w:rsid w:val="00DF144A"/>
    <w:rsid w:val="00DF23D7"/>
    <w:rsid w:val="00DF4424"/>
    <w:rsid w:val="00DF49E1"/>
    <w:rsid w:val="00DF4F92"/>
    <w:rsid w:val="00DF519E"/>
    <w:rsid w:val="00DF578F"/>
    <w:rsid w:val="00DF66CD"/>
    <w:rsid w:val="00DF7B07"/>
    <w:rsid w:val="00E01299"/>
    <w:rsid w:val="00E016CD"/>
    <w:rsid w:val="00E01754"/>
    <w:rsid w:val="00E01AB0"/>
    <w:rsid w:val="00E02CD6"/>
    <w:rsid w:val="00E04F16"/>
    <w:rsid w:val="00E04F2C"/>
    <w:rsid w:val="00E05220"/>
    <w:rsid w:val="00E05C2C"/>
    <w:rsid w:val="00E05E9D"/>
    <w:rsid w:val="00E0673E"/>
    <w:rsid w:val="00E067E7"/>
    <w:rsid w:val="00E06DFA"/>
    <w:rsid w:val="00E10696"/>
    <w:rsid w:val="00E106B2"/>
    <w:rsid w:val="00E107DB"/>
    <w:rsid w:val="00E10CA4"/>
    <w:rsid w:val="00E11E4E"/>
    <w:rsid w:val="00E12863"/>
    <w:rsid w:val="00E12BD1"/>
    <w:rsid w:val="00E12CD5"/>
    <w:rsid w:val="00E12D18"/>
    <w:rsid w:val="00E12DFF"/>
    <w:rsid w:val="00E13681"/>
    <w:rsid w:val="00E13839"/>
    <w:rsid w:val="00E13AF2"/>
    <w:rsid w:val="00E14006"/>
    <w:rsid w:val="00E1435D"/>
    <w:rsid w:val="00E1459F"/>
    <w:rsid w:val="00E15210"/>
    <w:rsid w:val="00E156D3"/>
    <w:rsid w:val="00E15926"/>
    <w:rsid w:val="00E16A21"/>
    <w:rsid w:val="00E1709B"/>
    <w:rsid w:val="00E17D9A"/>
    <w:rsid w:val="00E23CF3"/>
    <w:rsid w:val="00E23F90"/>
    <w:rsid w:val="00E245B8"/>
    <w:rsid w:val="00E25E4C"/>
    <w:rsid w:val="00E26FE0"/>
    <w:rsid w:val="00E275C3"/>
    <w:rsid w:val="00E277B4"/>
    <w:rsid w:val="00E3058C"/>
    <w:rsid w:val="00E30BB5"/>
    <w:rsid w:val="00E3192F"/>
    <w:rsid w:val="00E33670"/>
    <w:rsid w:val="00E34226"/>
    <w:rsid w:val="00E36518"/>
    <w:rsid w:val="00E36BC7"/>
    <w:rsid w:val="00E36D15"/>
    <w:rsid w:val="00E40382"/>
    <w:rsid w:val="00E40AA7"/>
    <w:rsid w:val="00E41959"/>
    <w:rsid w:val="00E42668"/>
    <w:rsid w:val="00E43292"/>
    <w:rsid w:val="00E43A7C"/>
    <w:rsid w:val="00E44AFA"/>
    <w:rsid w:val="00E45FD9"/>
    <w:rsid w:val="00E462FD"/>
    <w:rsid w:val="00E4633F"/>
    <w:rsid w:val="00E46505"/>
    <w:rsid w:val="00E46CB4"/>
    <w:rsid w:val="00E472A5"/>
    <w:rsid w:val="00E473D2"/>
    <w:rsid w:val="00E50D33"/>
    <w:rsid w:val="00E5108E"/>
    <w:rsid w:val="00E511A9"/>
    <w:rsid w:val="00E51278"/>
    <w:rsid w:val="00E516F7"/>
    <w:rsid w:val="00E5182C"/>
    <w:rsid w:val="00E52DEE"/>
    <w:rsid w:val="00E532B8"/>
    <w:rsid w:val="00E53900"/>
    <w:rsid w:val="00E53ED3"/>
    <w:rsid w:val="00E556C0"/>
    <w:rsid w:val="00E556CF"/>
    <w:rsid w:val="00E56119"/>
    <w:rsid w:val="00E562A1"/>
    <w:rsid w:val="00E56D07"/>
    <w:rsid w:val="00E5727C"/>
    <w:rsid w:val="00E57B69"/>
    <w:rsid w:val="00E57BED"/>
    <w:rsid w:val="00E611DE"/>
    <w:rsid w:val="00E61516"/>
    <w:rsid w:val="00E61C13"/>
    <w:rsid w:val="00E61DC5"/>
    <w:rsid w:val="00E62257"/>
    <w:rsid w:val="00E624B4"/>
    <w:rsid w:val="00E62D53"/>
    <w:rsid w:val="00E63171"/>
    <w:rsid w:val="00E63F0D"/>
    <w:rsid w:val="00E6451E"/>
    <w:rsid w:val="00E647B0"/>
    <w:rsid w:val="00E65D30"/>
    <w:rsid w:val="00E67342"/>
    <w:rsid w:val="00E67A1D"/>
    <w:rsid w:val="00E700AE"/>
    <w:rsid w:val="00E70522"/>
    <w:rsid w:val="00E70605"/>
    <w:rsid w:val="00E714B1"/>
    <w:rsid w:val="00E7179D"/>
    <w:rsid w:val="00E728B5"/>
    <w:rsid w:val="00E734F8"/>
    <w:rsid w:val="00E73765"/>
    <w:rsid w:val="00E73DC3"/>
    <w:rsid w:val="00E73EDC"/>
    <w:rsid w:val="00E759CB"/>
    <w:rsid w:val="00E77125"/>
    <w:rsid w:val="00E80050"/>
    <w:rsid w:val="00E80A06"/>
    <w:rsid w:val="00E81D9C"/>
    <w:rsid w:val="00E825C6"/>
    <w:rsid w:val="00E82AE5"/>
    <w:rsid w:val="00E837BD"/>
    <w:rsid w:val="00E8409E"/>
    <w:rsid w:val="00E863F7"/>
    <w:rsid w:val="00E869DB"/>
    <w:rsid w:val="00E875BF"/>
    <w:rsid w:val="00E9141C"/>
    <w:rsid w:val="00E91422"/>
    <w:rsid w:val="00E917AC"/>
    <w:rsid w:val="00E918D9"/>
    <w:rsid w:val="00E928E1"/>
    <w:rsid w:val="00E92DC9"/>
    <w:rsid w:val="00E92EC0"/>
    <w:rsid w:val="00E9333F"/>
    <w:rsid w:val="00E94194"/>
    <w:rsid w:val="00E94FF4"/>
    <w:rsid w:val="00E95205"/>
    <w:rsid w:val="00EA12BB"/>
    <w:rsid w:val="00EA2AA4"/>
    <w:rsid w:val="00EA2EBA"/>
    <w:rsid w:val="00EA32FF"/>
    <w:rsid w:val="00EA41E1"/>
    <w:rsid w:val="00EA5BCE"/>
    <w:rsid w:val="00EA68DA"/>
    <w:rsid w:val="00EA7877"/>
    <w:rsid w:val="00EB177B"/>
    <w:rsid w:val="00EB27A7"/>
    <w:rsid w:val="00EB3376"/>
    <w:rsid w:val="00EB4708"/>
    <w:rsid w:val="00EB6455"/>
    <w:rsid w:val="00EB6F27"/>
    <w:rsid w:val="00EB7346"/>
    <w:rsid w:val="00EC0140"/>
    <w:rsid w:val="00EC0389"/>
    <w:rsid w:val="00EC0AD0"/>
    <w:rsid w:val="00EC160E"/>
    <w:rsid w:val="00EC1AE5"/>
    <w:rsid w:val="00EC1DFD"/>
    <w:rsid w:val="00EC20C5"/>
    <w:rsid w:val="00EC2EE8"/>
    <w:rsid w:val="00EC407D"/>
    <w:rsid w:val="00EC4295"/>
    <w:rsid w:val="00EC4DF4"/>
    <w:rsid w:val="00EC5153"/>
    <w:rsid w:val="00EC52CA"/>
    <w:rsid w:val="00EC61A5"/>
    <w:rsid w:val="00EC63F0"/>
    <w:rsid w:val="00EC6C25"/>
    <w:rsid w:val="00EC7192"/>
    <w:rsid w:val="00EC75DB"/>
    <w:rsid w:val="00EC76A8"/>
    <w:rsid w:val="00EC7FF7"/>
    <w:rsid w:val="00ED00E5"/>
    <w:rsid w:val="00ED0319"/>
    <w:rsid w:val="00ED0757"/>
    <w:rsid w:val="00ED0B1E"/>
    <w:rsid w:val="00ED1DEE"/>
    <w:rsid w:val="00ED2881"/>
    <w:rsid w:val="00ED2AE6"/>
    <w:rsid w:val="00ED2AFF"/>
    <w:rsid w:val="00ED30EB"/>
    <w:rsid w:val="00ED420C"/>
    <w:rsid w:val="00ED588C"/>
    <w:rsid w:val="00ED6351"/>
    <w:rsid w:val="00ED792E"/>
    <w:rsid w:val="00EE306C"/>
    <w:rsid w:val="00EE3082"/>
    <w:rsid w:val="00EE46AD"/>
    <w:rsid w:val="00EE4DAD"/>
    <w:rsid w:val="00EE5E60"/>
    <w:rsid w:val="00EE6610"/>
    <w:rsid w:val="00EE68B5"/>
    <w:rsid w:val="00EE77EA"/>
    <w:rsid w:val="00EF012B"/>
    <w:rsid w:val="00EF1023"/>
    <w:rsid w:val="00EF19B1"/>
    <w:rsid w:val="00EF230D"/>
    <w:rsid w:val="00EF273D"/>
    <w:rsid w:val="00EF2EED"/>
    <w:rsid w:val="00EF31A6"/>
    <w:rsid w:val="00EF3A81"/>
    <w:rsid w:val="00EF3F27"/>
    <w:rsid w:val="00EF46A6"/>
    <w:rsid w:val="00EF46EC"/>
    <w:rsid w:val="00EF54F0"/>
    <w:rsid w:val="00EF57DF"/>
    <w:rsid w:val="00EF7507"/>
    <w:rsid w:val="00EF7988"/>
    <w:rsid w:val="00F002B8"/>
    <w:rsid w:val="00F009AD"/>
    <w:rsid w:val="00F02678"/>
    <w:rsid w:val="00F029F7"/>
    <w:rsid w:val="00F063B6"/>
    <w:rsid w:val="00F07A83"/>
    <w:rsid w:val="00F1039F"/>
    <w:rsid w:val="00F1181F"/>
    <w:rsid w:val="00F11BC3"/>
    <w:rsid w:val="00F12972"/>
    <w:rsid w:val="00F15421"/>
    <w:rsid w:val="00F154D0"/>
    <w:rsid w:val="00F165F6"/>
    <w:rsid w:val="00F16688"/>
    <w:rsid w:val="00F168CD"/>
    <w:rsid w:val="00F16921"/>
    <w:rsid w:val="00F16C8A"/>
    <w:rsid w:val="00F16E5D"/>
    <w:rsid w:val="00F17E85"/>
    <w:rsid w:val="00F20CF0"/>
    <w:rsid w:val="00F20DF5"/>
    <w:rsid w:val="00F21250"/>
    <w:rsid w:val="00F21DA3"/>
    <w:rsid w:val="00F22EA2"/>
    <w:rsid w:val="00F24C52"/>
    <w:rsid w:val="00F24DB0"/>
    <w:rsid w:val="00F25433"/>
    <w:rsid w:val="00F2589E"/>
    <w:rsid w:val="00F2674F"/>
    <w:rsid w:val="00F26A73"/>
    <w:rsid w:val="00F2741C"/>
    <w:rsid w:val="00F27538"/>
    <w:rsid w:val="00F277F9"/>
    <w:rsid w:val="00F27C04"/>
    <w:rsid w:val="00F311AB"/>
    <w:rsid w:val="00F31805"/>
    <w:rsid w:val="00F31AB9"/>
    <w:rsid w:val="00F32208"/>
    <w:rsid w:val="00F329E7"/>
    <w:rsid w:val="00F35966"/>
    <w:rsid w:val="00F35E4D"/>
    <w:rsid w:val="00F35E71"/>
    <w:rsid w:val="00F36432"/>
    <w:rsid w:val="00F36503"/>
    <w:rsid w:val="00F373E4"/>
    <w:rsid w:val="00F37CDD"/>
    <w:rsid w:val="00F4078D"/>
    <w:rsid w:val="00F4093C"/>
    <w:rsid w:val="00F40BF4"/>
    <w:rsid w:val="00F40C5B"/>
    <w:rsid w:val="00F41E88"/>
    <w:rsid w:val="00F42F3F"/>
    <w:rsid w:val="00F4404B"/>
    <w:rsid w:val="00F4580A"/>
    <w:rsid w:val="00F45959"/>
    <w:rsid w:val="00F45D9E"/>
    <w:rsid w:val="00F461DC"/>
    <w:rsid w:val="00F46239"/>
    <w:rsid w:val="00F46AD2"/>
    <w:rsid w:val="00F46DA6"/>
    <w:rsid w:val="00F46ED0"/>
    <w:rsid w:val="00F47C12"/>
    <w:rsid w:val="00F50248"/>
    <w:rsid w:val="00F50C89"/>
    <w:rsid w:val="00F51C30"/>
    <w:rsid w:val="00F51FAA"/>
    <w:rsid w:val="00F52327"/>
    <w:rsid w:val="00F5238C"/>
    <w:rsid w:val="00F53469"/>
    <w:rsid w:val="00F54070"/>
    <w:rsid w:val="00F542F4"/>
    <w:rsid w:val="00F546F7"/>
    <w:rsid w:val="00F54786"/>
    <w:rsid w:val="00F55848"/>
    <w:rsid w:val="00F564C0"/>
    <w:rsid w:val="00F571D6"/>
    <w:rsid w:val="00F576B3"/>
    <w:rsid w:val="00F578EC"/>
    <w:rsid w:val="00F57A9B"/>
    <w:rsid w:val="00F609D2"/>
    <w:rsid w:val="00F6150F"/>
    <w:rsid w:val="00F62271"/>
    <w:rsid w:val="00F62285"/>
    <w:rsid w:val="00F63244"/>
    <w:rsid w:val="00F63A5F"/>
    <w:rsid w:val="00F64EC6"/>
    <w:rsid w:val="00F66D67"/>
    <w:rsid w:val="00F674A1"/>
    <w:rsid w:val="00F67874"/>
    <w:rsid w:val="00F67ABC"/>
    <w:rsid w:val="00F703D1"/>
    <w:rsid w:val="00F70848"/>
    <w:rsid w:val="00F70DC0"/>
    <w:rsid w:val="00F711A6"/>
    <w:rsid w:val="00F71550"/>
    <w:rsid w:val="00F7278A"/>
    <w:rsid w:val="00F72E6E"/>
    <w:rsid w:val="00F73D4C"/>
    <w:rsid w:val="00F75C43"/>
    <w:rsid w:val="00F76F9E"/>
    <w:rsid w:val="00F7717C"/>
    <w:rsid w:val="00F8079B"/>
    <w:rsid w:val="00F80C60"/>
    <w:rsid w:val="00F81569"/>
    <w:rsid w:val="00F82464"/>
    <w:rsid w:val="00F8302F"/>
    <w:rsid w:val="00F83768"/>
    <w:rsid w:val="00F83CA3"/>
    <w:rsid w:val="00F83D28"/>
    <w:rsid w:val="00F83D97"/>
    <w:rsid w:val="00F84457"/>
    <w:rsid w:val="00F85A0F"/>
    <w:rsid w:val="00F8634A"/>
    <w:rsid w:val="00F86E84"/>
    <w:rsid w:val="00F87155"/>
    <w:rsid w:val="00F909B1"/>
    <w:rsid w:val="00F90AD5"/>
    <w:rsid w:val="00F9100B"/>
    <w:rsid w:val="00F91384"/>
    <w:rsid w:val="00F914F8"/>
    <w:rsid w:val="00F915C8"/>
    <w:rsid w:val="00F9192E"/>
    <w:rsid w:val="00F91BBD"/>
    <w:rsid w:val="00F9298A"/>
    <w:rsid w:val="00F92BE2"/>
    <w:rsid w:val="00F92BFD"/>
    <w:rsid w:val="00F94065"/>
    <w:rsid w:val="00F951FD"/>
    <w:rsid w:val="00F95805"/>
    <w:rsid w:val="00F95DAE"/>
    <w:rsid w:val="00F96F0E"/>
    <w:rsid w:val="00F97739"/>
    <w:rsid w:val="00FA0F02"/>
    <w:rsid w:val="00FA1D00"/>
    <w:rsid w:val="00FA20C9"/>
    <w:rsid w:val="00FA2818"/>
    <w:rsid w:val="00FA2831"/>
    <w:rsid w:val="00FA2EF9"/>
    <w:rsid w:val="00FA3136"/>
    <w:rsid w:val="00FA31A8"/>
    <w:rsid w:val="00FA36D1"/>
    <w:rsid w:val="00FA40D0"/>
    <w:rsid w:val="00FA4BC6"/>
    <w:rsid w:val="00FA5014"/>
    <w:rsid w:val="00FA5124"/>
    <w:rsid w:val="00FA54CF"/>
    <w:rsid w:val="00FA625D"/>
    <w:rsid w:val="00FA6BED"/>
    <w:rsid w:val="00FA6E33"/>
    <w:rsid w:val="00FA74BB"/>
    <w:rsid w:val="00FB00BD"/>
    <w:rsid w:val="00FB027D"/>
    <w:rsid w:val="00FB03D4"/>
    <w:rsid w:val="00FB0858"/>
    <w:rsid w:val="00FB0C82"/>
    <w:rsid w:val="00FB13BA"/>
    <w:rsid w:val="00FB290D"/>
    <w:rsid w:val="00FB2EB2"/>
    <w:rsid w:val="00FB3A0C"/>
    <w:rsid w:val="00FB5520"/>
    <w:rsid w:val="00FB5BEA"/>
    <w:rsid w:val="00FB62EB"/>
    <w:rsid w:val="00FC0C4B"/>
    <w:rsid w:val="00FC0E8E"/>
    <w:rsid w:val="00FC2294"/>
    <w:rsid w:val="00FC25AF"/>
    <w:rsid w:val="00FC3371"/>
    <w:rsid w:val="00FC346A"/>
    <w:rsid w:val="00FC3725"/>
    <w:rsid w:val="00FC3EC2"/>
    <w:rsid w:val="00FC4C24"/>
    <w:rsid w:val="00FC5047"/>
    <w:rsid w:val="00FC5FE3"/>
    <w:rsid w:val="00FC69D5"/>
    <w:rsid w:val="00FC6F61"/>
    <w:rsid w:val="00FD0ACB"/>
    <w:rsid w:val="00FD0FC5"/>
    <w:rsid w:val="00FD10BD"/>
    <w:rsid w:val="00FD2978"/>
    <w:rsid w:val="00FD3068"/>
    <w:rsid w:val="00FD38B5"/>
    <w:rsid w:val="00FD4298"/>
    <w:rsid w:val="00FD5A9B"/>
    <w:rsid w:val="00FD7A8A"/>
    <w:rsid w:val="00FE00C2"/>
    <w:rsid w:val="00FE0CCA"/>
    <w:rsid w:val="00FE106C"/>
    <w:rsid w:val="00FE1F9B"/>
    <w:rsid w:val="00FE22A7"/>
    <w:rsid w:val="00FE3346"/>
    <w:rsid w:val="00FE3D9A"/>
    <w:rsid w:val="00FE40D9"/>
    <w:rsid w:val="00FE44EC"/>
    <w:rsid w:val="00FE4B3B"/>
    <w:rsid w:val="00FE668C"/>
    <w:rsid w:val="00FE6A75"/>
    <w:rsid w:val="00FF00A0"/>
    <w:rsid w:val="00FF0596"/>
    <w:rsid w:val="00FF0FD5"/>
    <w:rsid w:val="00FF2326"/>
    <w:rsid w:val="00FF28F4"/>
    <w:rsid w:val="00FF3E0A"/>
    <w:rsid w:val="00FF4B86"/>
    <w:rsid w:val="00FF637E"/>
    <w:rsid w:val="00FF6536"/>
    <w:rsid w:val="00FF67FF"/>
    <w:rsid w:val="00FF6E43"/>
    <w:rsid w:val="00FF7004"/>
    <w:rsid w:val="00FF77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B40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3B8"/>
    <w:pPr>
      <w:spacing w:line="360" w:lineRule="auto"/>
      <w:ind w:firstLine="709"/>
    </w:pPr>
    <w:rPr>
      <w:rFonts w:ascii="Arial" w:hAnsi="Arial"/>
      <w:szCs w:val="24"/>
      <w:lang w:val="en-GB"/>
    </w:rPr>
  </w:style>
  <w:style w:type="paragraph" w:styleId="Heading1">
    <w:name w:val="heading 1"/>
    <w:basedOn w:val="Normal"/>
    <w:next w:val="Normal"/>
    <w:link w:val="Heading1Char"/>
    <w:uiPriority w:val="9"/>
    <w:qFormat/>
    <w:rsid w:val="00B603B8"/>
    <w:pPr>
      <w:ind w:firstLine="0"/>
      <w:outlineLvl w:val="0"/>
    </w:pPr>
    <w:rPr>
      <w:b/>
      <w:i/>
      <w:caps/>
    </w:rPr>
  </w:style>
  <w:style w:type="paragraph" w:styleId="Heading2">
    <w:name w:val="heading 2"/>
    <w:basedOn w:val="Heading1"/>
    <w:next w:val="Normal"/>
    <w:link w:val="Heading2Char"/>
    <w:uiPriority w:val="9"/>
    <w:qFormat/>
    <w:rsid w:val="00B603B8"/>
    <w:pPr>
      <w:keepNext/>
      <w:numPr>
        <w:ilvl w:val="1"/>
      </w:numPr>
      <w:spacing w:before="240" w:after="60"/>
      <w:outlineLvl w:val="1"/>
    </w:pPr>
    <w:rPr>
      <w:b w:val="0"/>
      <w:bCs/>
      <w:iCs/>
      <w:caps w:val="0"/>
      <w:szCs w:val="28"/>
    </w:rPr>
  </w:style>
  <w:style w:type="paragraph" w:styleId="Heading3">
    <w:name w:val="heading 3"/>
    <w:basedOn w:val="Normal"/>
    <w:next w:val="Normal"/>
    <w:link w:val="Heading3Char"/>
    <w:uiPriority w:val="9"/>
    <w:qFormat/>
    <w:rsid w:val="002F0BBD"/>
    <w:pPr>
      <w:keepNext/>
      <w:spacing w:before="240" w:after="60"/>
      <w:ind w:firstLine="0"/>
      <w:outlineLvl w:val="2"/>
    </w:pPr>
    <w:rPr>
      <w:bCs/>
      <w:i/>
      <w:szCs w:val="20"/>
    </w:rPr>
  </w:style>
  <w:style w:type="paragraph" w:styleId="Heading4">
    <w:name w:val="heading 4"/>
    <w:basedOn w:val="Normal"/>
    <w:next w:val="Normal"/>
    <w:link w:val="Heading4Char"/>
    <w:uiPriority w:val="9"/>
    <w:qFormat/>
    <w:rsid w:val="00ED0B1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ED0B1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ED0B1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ED0B1E"/>
    <w:pPr>
      <w:numPr>
        <w:ilvl w:val="6"/>
        <w:numId w:val="1"/>
      </w:numPr>
      <w:spacing w:before="240" w:after="60"/>
      <w:outlineLvl w:val="6"/>
    </w:pPr>
    <w:rPr>
      <w:rFonts w:ascii="Calibri" w:hAnsi="Calibri"/>
      <w:sz w:val="24"/>
    </w:rPr>
  </w:style>
  <w:style w:type="paragraph" w:styleId="Heading8">
    <w:name w:val="heading 8"/>
    <w:basedOn w:val="Normal"/>
    <w:next w:val="Normal"/>
    <w:link w:val="Heading8Char"/>
    <w:uiPriority w:val="9"/>
    <w:qFormat/>
    <w:rsid w:val="00ED0B1E"/>
    <w:pPr>
      <w:numPr>
        <w:ilvl w:val="7"/>
        <w:numId w:val="1"/>
      </w:numPr>
      <w:spacing w:before="240" w:after="60"/>
      <w:outlineLvl w:val="7"/>
    </w:pPr>
    <w:rPr>
      <w:rFonts w:ascii="Calibri" w:hAnsi="Calibri"/>
      <w:i/>
      <w:iCs/>
      <w:sz w:val="24"/>
    </w:rPr>
  </w:style>
  <w:style w:type="paragraph" w:styleId="Heading9">
    <w:name w:val="heading 9"/>
    <w:basedOn w:val="Normal"/>
    <w:next w:val="Normal"/>
    <w:link w:val="Heading9Char"/>
    <w:uiPriority w:val="9"/>
    <w:qFormat/>
    <w:rsid w:val="00ED0B1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D160C"/>
    <w:rPr>
      <w:color w:val="0000FF"/>
      <w:u w:val="single"/>
    </w:rPr>
  </w:style>
  <w:style w:type="character" w:customStyle="1" w:styleId="FootnoteTextChar">
    <w:name w:val="Footnote Text Char"/>
    <w:aliases w:val="Voetnoottekst Char2 Char Char,Voetnoottekst Char1 Char Char Char,Voetnoottekst Char3 Char Char Char Char,Voetnoottekst Char2 Char Char Char Char Char,Voetnoottekst Char1 Char Char Char Char Char Char,Voetnoottekst Char2 Char1"/>
    <w:link w:val="FootnoteText"/>
    <w:rsid w:val="002D160C"/>
    <w:rPr>
      <w:rFonts w:ascii="Arial" w:hAnsi="Arial"/>
      <w:szCs w:val="24"/>
      <w:lang w:val="en-GB" w:eastAsia="nl-NL" w:bidi="ar-SA"/>
    </w:rPr>
  </w:style>
  <w:style w:type="paragraph" w:styleId="FootnoteText">
    <w:name w:val="footnote text"/>
    <w:aliases w:val="Voetnoottekst Char2 Char,Voetnoottekst Char1 Char Char,Voetnoottekst Char3 Char Char Char,Voetnoottekst Char2 Char Char Char Char,Voetnoottekst Char1 Char Char Char Char Char,Voetnoottekst Char2,Voetnoottekst Char1 Char,Char"/>
    <w:basedOn w:val="Normal"/>
    <w:link w:val="FootnoteTextChar"/>
    <w:uiPriority w:val="99"/>
    <w:rsid w:val="002D160C"/>
    <w:pPr>
      <w:widowControl w:val="0"/>
    </w:pPr>
  </w:style>
  <w:style w:type="character" w:customStyle="1" w:styleId="CommentTextChar">
    <w:name w:val="Comment Text Char"/>
    <w:link w:val="CommentText"/>
    <w:uiPriority w:val="99"/>
    <w:rsid w:val="002D160C"/>
    <w:rPr>
      <w:rFonts w:ascii="Arial" w:hAnsi="Arial"/>
      <w:szCs w:val="24"/>
      <w:lang w:val="en-GB" w:eastAsia="nl-NL" w:bidi="ar-SA"/>
    </w:rPr>
  </w:style>
  <w:style w:type="paragraph" w:styleId="CommentText">
    <w:name w:val="annotation text"/>
    <w:basedOn w:val="Normal"/>
    <w:link w:val="CommentTextChar"/>
    <w:uiPriority w:val="99"/>
    <w:rsid w:val="002D160C"/>
  </w:style>
  <w:style w:type="character" w:customStyle="1" w:styleId="BodyTextChar">
    <w:name w:val="Body Text Char"/>
    <w:link w:val="BodyText"/>
    <w:rsid w:val="002D160C"/>
    <w:rPr>
      <w:rFonts w:ascii="Verdana" w:hAnsi="Verdana"/>
      <w:sz w:val="18"/>
      <w:szCs w:val="24"/>
      <w:lang w:val="en-GB" w:eastAsia="en-US" w:bidi="ar-SA"/>
    </w:rPr>
  </w:style>
  <w:style w:type="paragraph" w:styleId="BodyText">
    <w:name w:val="Body Text"/>
    <w:basedOn w:val="Normal"/>
    <w:link w:val="BodyTextChar"/>
    <w:rsid w:val="002D160C"/>
    <w:pPr>
      <w:spacing w:line="240" w:lineRule="exact"/>
      <w:ind w:firstLine="0"/>
    </w:pPr>
    <w:rPr>
      <w:rFonts w:ascii="Verdana" w:hAnsi="Verdana"/>
      <w:sz w:val="18"/>
      <w:lang w:eastAsia="en-US"/>
    </w:rPr>
  </w:style>
  <w:style w:type="character" w:styleId="FootnoteReference">
    <w:name w:val="footnote reference"/>
    <w:aliases w:val="Voetnootmarkering boek STT,Footnotemark,Footnotemark1,FR,Footnotemark2,FR1,Footnotemark3,FR2,Footnotemark4,FR3,Footnotemark5,FR4,Footnotemark6,Footnotemark7,Footnotemark8,FR5,Footnotemark11,Footnotemark21,FR11,Footnotemark31,FR21,FR31"/>
    <w:link w:val="Char1CharCharCarCarCarCarCarCarCarCarCarCar"/>
    <w:uiPriority w:val="99"/>
    <w:rsid w:val="002D160C"/>
    <w:rPr>
      <w:vertAlign w:val="superscript"/>
    </w:rPr>
  </w:style>
  <w:style w:type="character" w:styleId="CommentReference">
    <w:name w:val="annotation reference"/>
    <w:uiPriority w:val="99"/>
    <w:semiHidden/>
    <w:rsid w:val="002D160C"/>
    <w:rPr>
      <w:sz w:val="16"/>
      <w:szCs w:val="16"/>
    </w:rPr>
  </w:style>
  <w:style w:type="paragraph" w:styleId="BalloonText">
    <w:name w:val="Balloon Text"/>
    <w:basedOn w:val="Normal"/>
    <w:semiHidden/>
    <w:rsid w:val="002D160C"/>
    <w:rPr>
      <w:rFonts w:ascii="Tahoma" w:hAnsi="Tahoma" w:cs="Tahoma"/>
      <w:sz w:val="16"/>
      <w:szCs w:val="16"/>
    </w:rPr>
  </w:style>
  <w:style w:type="paragraph" w:customStyle="1" w:styleId="CharCharCharCharChar">
    <w:name w:val="Char Char Char Char Char"/>
    <w:basedOn w:val="Normal"/>
    <w:rsid w:val="00802AB5"/>
    <w:pPr>
      <w:spacing w:after="160" w:line="240" w:lineRule="exact"/>
      <w:ind w:firstLine="0"/>
    </w:pPr>
    <w:rPr>
      <w:rFonts w:ascii="Tahoma" w:hAnsi="Tahoma"/>
      <w:szCs w:val="20"/>
      <w:lang w:val="en-US" w:eastAsia="en-US"/>
    </w:rPr>
  </w:style>
  <w:style w:type="paragraph" w:styleId="CommentSubject">
    <w:name w:val="annotation subject"/>
    <w:basedOn w:val="CommentText"/>
    <w:next w:val="CommentText"/>
    <w:link w:val="CommentSubjectChar"/>
    <w:uiPriority w:val="99"/>
    <w:semiHidden/>
    <w:unhideWhenUsed/>
    <w:rsid w:val="00DD0484"/>
    <w:rPr>
      <w:b/>
      <w:bCs/>
    </w:rPr>
  </w:style>
  <w:style w:type="character" w:customStyle="1" w:styleId="CommentSubjectChar">
    <w:name w:val="Comment Subject Char"/>
    <w:link w:val="CommentSubject"/>
    <w:uiPriority w:val="99"/>
    <w:semiHidden/>
    <w:rsid w:val="00DD0484"/>
    <w:rPr>
      <w:rFonts w:ascii="Arial" w:hAnsi="Arial"/>
      <w:b/>
      <w:bCs/>
      <w:szCs w:val="24"/>
      <w:lang w:val="en-GB" w:eastAsia="nl-NL" w:bidi="ar-SA"/>
    </w:rPr>
  </w:style>
  <w:style w:type="paragraph" w:styleId="Header">
    <w:name w:val="header"/>
    <w:basedOn w:val="Normal"/>
    <w:rsid w:val="006B3122"/>
    <w:pPr>
      <w:tabs>
        <w:tab w:val="center" w:pos="4536"/>
        <w:tab w:val="right" w:pos="9072"/>
      </w:tabs>
    </w:pPr>
  </w:style>
  <w:style w:type="paragraph" w:styleId="Footer">
    <w:name w:val="footer"/>
    <w:basedOn w:val="Normal"/>
    <w:link w:val="FooterChar"/>
    <w:uiPriority w:val="99"/>
    <w:rsid w:val="006B3122"/>
    <w:pPr>
      <w:tabs>
        <w:tab w:val="center" w:pos="4536"/>
        <w:tab w:val="right" w:pos="9072"/>
      </w:tabs>
    </w:pPr>
  </w:style>
  <w:style w:type="character" w:styleId="PageNumber">
    <w:name w:val="page number"/>
    <w:basedOn w:val="DefaultParagraphFont"/>
    <w:rsid w:val="006B3122"/>
  </w:style>
  <w:style w:type="character" w:customStyle="1" w:styleId="Heading1Char">
    <w:name w:val="Heading 1 Char"/>
    <w:link w:val="Heading1"/>
    <w:uiPriority w:val="9"/>
    <w:rsid w:val="00B603B8"/>
    <w:rPr>
      <w:rFonts w:ascii="Arial" w:hAnsi="Arial"/>
      <w:b/>
      <w:i/>
      <w:caps/>
      <w:szCs w:val="24"/>
      <w:lang w:val="en-GB"/>
    </w:rPr>
  </w:style>
  <w:style w:type="paragraph" w:styleId="Title">
    <w:name w:val="Title"/>
    <w:basedOn w:val="Normal"/>
    <w:next w:val="Normal"/>
    <w:link w:val="TitleChar"/>
    <w:uiPriority w:val="10"/>
    <w:qFormat/>
    <w:rsid w:val="00FE40D9"/>
    <w:pPr>
      <w:ind w:firstLine="0"/>
    </w:pPr>
    <w:rPr>
      <w:u w:val="single"/>
    </w:rPr>
  </w:style>
  <w:style w:type="character" w:customStyle="1" w:styleId="TitleChar">
    <w:name w:val="Title Char"/>
    <w:link w:val="Title"/>
    <w:uiPriority w:val="10"/>
    <w:rsid w:val="00FE40D9"/>
    <w:rPr>
      <w:rFonts w:ascii="Arial" w:hAnsi="Arial"/>
      <w:szCs w:val="24"/>
      <w:u w:val="single"/>
    </w:rPr>
  </w:style>
  <w:style w:type="character" w:customStyle="1" w:styleId="Heading3Char">
    <w:name w:val="Heading 3 Char"/>
    <w:link w:val="Heading3"/>
    <w:uiPriority w:val="9"/>
    <w:rsid w:val="002F0BBD"/>
    <w:rPr>
      <w:rFonts w:ascii="Arial" w:hAnsi="Arial"/>
      <w:bCs/>
      <w:i/>
      <w:lang w:val="en-GB"/>
    </w:rPr>
  </w:style>
  <w:style w:type="character" w:customStyle="1" w:styleId="Heading2Char">
    <w:name w:val="Heading 2 Char"/>
    <w:link w:val="Heading2"/>
    <w:uiPriority w:val="9"/>
    <w:rsid w:val="00B603B8"/>
    <w:rPr>
      <w:rFonts w:ascii="Arial" w:hAnsi="Arial"/>
      <w:bCs/>
      <w:i/>
      <w:iCs/>
      <w:szCs w:val="28"/>
      <w:lang w:val="en-GB"/>
    </w:rPr>
  </w:style>
  <w:style w:type="character" w:customStyle="1" w:styleId="Heading4Char">
    <w:name w:val="Heading 4 Char"/>
    <w:link w:val="Heading4"/>
    <w:uiPriority w:val="9"/>
    <w:rsid w:val="00ED0B1E"/>
    <w:rPr>
      <w:rFonts w:ascii="Calibri" w:hAnsi="Calibri"/>
      <w:b/>
      <w:bCs/>
      <w:sz w:val="28"/>
      <w:szCs w:val="28"/>
      <w:lang w:val="en-GB"/>
    </w:rPr>
  </w:style>
  <w:style w:type="character" w:customStyle="1" w:styleId="Heading5Char">
    <w:name w:val="Heading 5 Char"/>
    <w:link w:val="Heading5"/>
    <w:uiPriority w:val="9"/>
    <w:rsid w:val="00ED0B1E"/>
    <w:rPr>
      <w:rFonts w:ascii="Calibri" w:hAnsi="Calibri"/>
      <w:b/>
      <w:bCs/>
      <w:i/>
      <w:iCs/>
      <w:sz w:val="26"/>
      <w:szCs w:val="26"/>
      <w:lang w:val="en-GB"/>
    </w:rPr>
  </w:style>
  <w:style w:type="character" w:customStyle="1" w:styleId="Heading6Char">
    <w:name w:val="Heading 6 Char"/>
    <w:link w:val="Heading6"/>
    <w:uiPriority w:val="9"/>
    <w:rsid w:val="00ED0B1E"/>
    <w:rPr>
      <w:rFonts w:ascii="Calibri" w:hAnsi="Calibri"/>
      <w:b/>
      <w:bCs/>
      <w:sz w:val="22"/>
      <w:szCs w:val="22"/>
      <w:lang w:val="en-GB"/>
    </w:rPr>
  </w:style>
  <w:style w:type="character" w:customStyle="1" w:styleId="Heading7Char">
    <w:name w:val="Heading 7 Char"/>
    <w:link w:val="Heading7"/>
    <w:uiPriority w:val="9"/>
    <w:rsid w:val="00ED0B1E"/>
    <w:rPr>
      <w:rFonts w:ascii="Calibri" w:hAnsi="Calibri"/>
      <w:sz w:val="24"/>
      <w:szCs w:val="24"/>
      <w:lang w:val="en-GB"/>
    </w:rPr>
  </w:style>
  <w:style w:type="character" w:customStyle="1" w:styleId="Heading8Char">
    <w:name w:val="Heading 8 Char"/>
    <w:link w:val="Heading8"/>
    <w:uiPriority w:val="9"/>
    <w:rsid w:val="00ED0B1E"/>
    <w:rPr>
      <w:rFonts w:ascii="Calibri" w:hAnsi="Calibri"/>
      <w:i/>
      <w:iCs/>
      <w:sz w:val="24"/>
      <w:szCs w:val="24"/>
      <w:lang w:val="en-GB"/>
    </w:rPr>
  </w:style>
  <w:style w:type="character" w:customStyle="1" w:styleId="Heading9Char">
    <w:name w:val="Heading 9 Char"/>
    <w:link w:val="Heading9"/>
    <w:uiPriority w:val="9"/>
    <w:rsid w:val="00ED0B1E"/>
    <w:rPr>
      <w:rFonts w:ascii="Cambria" w:hAnsi="Cambria"/>
      <w:sz w:val="22"/>
      <w:szCs w:val="22"/>
      <w:lang w:val="en-GB"/>
    </w:rPr>
  </w:style>
  <w:style w:type="character" w:styleId="FollowedHyperlink">
    <w:name w:val="FollowedHyperlink"/>
    <w:uiPriority w:val="99"/>
    <w:semiHidden/>
    <w:unhideWhenUsed/>
    <w:rsid w:val="00F8634A"/>
    <w:rPr>
      <w:color w:val="800080"/>
      <w:u w:val="single"/>
    </w:rPr>
  </w:style>
  <w:style w:type="character" w:styleId="Emphasis">
    <w:name w:val="Emphasis"/>
    <w:basedOn w:val="DefaultParagraphFont"/>
    <w:uiPriority w:val="20"/>
    <w:qFormat/>
    <w:rsid w:val="000B5D4A"/>
    <w:rPr>
      <w:i/>
      <w:iCs/>
    </w:rPr>
  </w:style>
  <w:style w:type="character" w:customStyle="1" w:styleId="ol1">
    <w:name w:val="ol1"/>
    <w:basedOn w:val="DefaultParagraphFont"/>
    <w:rsid w:val="000B5D4A"/>
  </w:style>
  <w:style w:type="paragraph" w:customStyle="1" w:styleId="labeled2">
    <w:name w:val="labeled2"/>
    <w:basedOn w:val="Normal"/>
    <w:rsid w:val="000B5D4A"/>
    <w:pPr>
      <w:spacing w:line="240" w:lineRule="auto"/>
      <w:ind w:left="1200" w:firstLine="0"/>
    </w:pPr>
    <w:rPr>
      <w:rFonts w:ascii="Times New Roman" w:hAnsi="Times New Roman"/>
      <w:sz w:val="24"/>
      <w:lang w:val="nl-NL"/>
    </w:rPr>
  </w:style>
  <w:style w:type="paragraph" w:styleId="ListParagraph">
    <w:name w:val="List Paragraph"/>
    <w:basedOn w:val="Normal"/>
    <w:uiPriority w:val="34"/>
    <w:qFormat/>
    <w:rsid w:val="004560C1"/>
    <w:pPr>
      <w:spacing w:after="200" w:line="276" w:lineRule="auto"/>
      <w:ind w:left="720" w:firstLine="0"/>
      <w:contextualSpacing/>
    </w:pPr>
    <w:rPr>
      <w:rFonts w:ascii="Calibri" w:hAnsi="Calibri"/>
      <w:sz w:val="22"/>
      <w:szCs w:val="22"/>
      <w:lang w:val="nl-NL"/>
    </w:rPr>
  </w:style>
  <w:style w:type="character" w:customStyle="1" w:styleId="emph-i">
    <w:name w:val="emph-i"/>
    <w:basedOn w:val="DefaultParagraphFont"/>
    <w:rsid w:val="00E472A5"/>
  </w:style>
  <w:style w:type="character" w:customStyle="1" w:styleId="apple-converted-space">
    <w:name w:val="apple-converted-space"/>
    <w:basedOn w:val="DefaultParagraphFont"/>
    <w:rsid w:val="00E472A5"/>
  </w:style>
  <w:style w:type="character" w:customStyle="1" w:styleId="st1">
    <w:name w:val="st1"/>
    <w:basedOn w:val="DefaultParagraphFont"/>
    <w:rsid w:val="003E1069"/>
  </w:style>
  <w:style w:type="paragraph" w:styleId="Revision">
    <w:name w:val="Revision"/>
    <w:hidden/>
    <w:uiPriority w:val="99"/>
    <w:semiHidden/>
    <w:rsid w:val="00206A3B"/>
    <w:rPr>
      <w:rFonts w:ascii="Arial" w:hAnsi="Arial"/>
      <w:szCs w:val="24"/>
      <w:lang w:val="en-GB"/>
    </w:rPr>
  </w:style>
  <w:style w:type="paragraph" w:styleId="NormalWeb">
    <w:name w:val="Normal (Web)"/>
    <w:basedOn w:val="Normal"/>
    <w:uiPriority w:val="99"/>
    <w:unhideWhenUsed/>
    <w:rsid w:val="00D1524A"/>
    <w:pPr>
      <w:spacing w:after="150" w:line="240" w:lineRule="auto"/>
      <w:ind w:firstLine="0"/>
    </w:pPr>
    <w:rPr>
      <w:rFonts w:ascii="Times New Roman" w:hAnsi="Times New Roman"/>
      <w:sz w:val="24"/>
      <w:lang w:val="nl-NL"/>
    </w:rPr>
  </w:style>
  <w:style w:type="paragraph" w:customStyle="1" w:styleId="Char1CharCharCarCarCarCarCarCarCarCarCarCar">
    <w:name w:val="Char1 Char Char Car Car Car Car Car Car Car Car Car Car"/>
    <w:basedOn w:val="Normal"/>
    <w:next w:val="Normal"/>
    <w:link w:val="FootnoteReference"/>
    <w:uiPriority w:val="99"/>
    <w:rsid w:val="00D125F2"/>
    <w:pPr>
      <w:spacing w:after="160" w:line="240" w:lineRule="exact"/>
      <w:ind w:firstLine="0"/>
    </w:pPr>
    <w:rPr>
      <w:rFonts w:ascii="Times New Roman" w:hAnsi="Times New Roman"/>
      <w:szCs w:val="20"/>
      <w:vertAlign w:val="superscript"/>
      <w:lang w:val="nl-NL"/>
    </w:rPr>
  </w:style>
  <w:style w:type="character" w:customStyle="1" w:styleId="FooterChar">
    <w:name w:val="Footer Char"/>
    <w:basedOn w:val="DefaultParagraphFont"/>
    <w:link w:val="Footer"/>
    <w:uiPriority w:val="99"/>
    <w:rsid w:val="00393BD8"/>
    <w:rPr>
      <w:rFonts w:ascii="Arial" w:hAnsi="Arial"/>
      <w:szCs w:val="24"/>
      <w:lang w:val="en-GB"/>
    </w:rPr>
  </w:style>
  <w:style w:type="paragraph" w:customStyle="1" w:styleId="tussenkop">
    <w:name w:val="tussenkop"/>
    <w:basedOn w:val="Normal"/>
    <w:uiPriority w:val="99"/>
    <w:semiHidden/>
    <w:rsid w:val="00D83B9B"/>
    <w:pPr>
      <w:spacing w:after="150" w:line="240" w:lineRule="auto"/>
      <w:ind w:firstLine="0"/>
    </w:pPr>
    <w:rPr>
      <w:rFonts w:ascii="Times New Roman" w:eastAsiaTheme="minorHAnsi" w:hAnsi="Times New Roman"/>
      <w:sz w:val="24"/>
      <w:lang w:val="nl-NL"/>
    </w:rPr>
  </w:style>
  <w:style w:type="character" w:styleId="Strong">
    <w:name w:val="Strong"/>
    <w:basedOn w:val="DefaultParagraphFont"/>
    <w:uiPriority w:val="22"/>
    <w:qFormat/>
    <w:rsid w:val="00D83B9B"/>
    <w:rPr>
      <w:b/>
      <w:bCs/>
    </w:rPr>
  </w:style>
  <w:style w:type="paragraph" w:customStyle="1" w:styleId="Default">
    <w:name w:val="Default"/>
    <w:rsid w:val="00AF72B1"/>
    <w:pPr>
      <w:autoSpaceDE w:val="0"/>
      <w:autoSpaceDN w:val="0"/>
      <w:adjustRightInd w:val="0"/>
    </w:pPr>
    <w:rPr>
      <w:rFonts w:ascii="PNIEI F+ Univers" w:hAnsi="PNIEI F+ Univers" w:cs="PNIEI F+ Univers"/>
      <w:color w:val="000000"/>
      <w:sz w:val="24"/>
      <w:szCs w:val="24"/>
    </w:rPr>
  </w:style>
  <w:style w:type="paragraph" w:customStyle="1" w:styleId="Heading51">
    <w:name w:val="Heading 51"/>
    <w:basedOn w:val="Normal"/>
    <w:next w:val="Normal"/>
    <w:autoRedefine/>
    <w:uiPriority w:val="9"/>
    <w:unhideWhenUsed/>
    <w:qFormat/>
    <w:rsid w:val="00166F0F"/>
    <w:pPr>
      <w:keepNext/>
      <w:keepLines/>
      <w:spacing w:before="40" w:line="259" w:lineRule="auto"/>
      <w:ind w:left="851" w:firstLine="0"/>
      <w:jc w:val="center"/>
      <w:outlineLvl w:val="4"/>
    </w:pPr>
    <w:rPr>
      <w:color w:val="4472C4"/>
      <w:sz w:val="24"/>
      <w:szCs w:val="22"/>
      <w:lang w:val="fr-BE" w:eastAsia="en-US"/>
    </w:rPr>
  </w:style>
  <w:style w:type="paragraph" w:styleId="NoSpacing">
    <w:name w:val="No Spacing"/>
    <w:uiPriority w:val="1"/>
    <w:qFormat/>
    <w:rsid w:val="00166F0F"/>
    <w:pPr>
      <w:ind w:firstLine="709"/>
    </w:pPr>
    <w:rPr>
      <w:rFonts w:ascii="Arial" w:hAnsi="Arial"/>
      <w:szCs w:val="24"/>
      <w:lang w:val="en-GB"/>
    </w:rPr>
  </w:style>
  <w:style w:type="paragraph" w:customStyle="1" w:styleId="Standard">
    <w:name w:val="Standard"/>
    <w:rsid w:val="0055755F"/>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4607">
      <w:bodyDiv w:val="1"/>
      <w:marLeft w:val="0"/>
      <w:marRight w:val="0"/>
      <w:marTop w:val="0"/>
      <w:marBottom w:val="0"/>
      <w:divBdr>
        <w:top w:val="none" w:sz="0" w:space="0" w:color="auto"/>
        <w:left w:val="none" w:sz="0" w:space="0" w:color="auto"/>
        <w:bottom w:val="none" w:sz="0" w:space="0" w:color="auto"/>
        <w:right w:val="none" w:sz="0" w:space="0" w:color="auto"/>
      </w:divBdr>
    </w:div>
    <w:div w:id="127358058">
      <w:bodyDiv w:val="1"/>
      <w:marLeft w:val="0"/>
      <w:marRight w:val="0"/>
      <w:marTop w:val="0"/>
      <w:marBottom w:val="0"/>
      <w:divBdr>
        <w:top w:val="none" w:sz="0" w:space="0" w:color="auto"/>
        <w:left w:val="none" w:sz="0" w:space="0" w:color="auto"/>
        <w:bottom w:val="none" w:sz="0" w:space="0" w:color="auto"/>
        <w:right w:val="none" w:sz="0" w:space="0" w:color="auto"/>
      </w:divBdr>
    </w:div>
    <w:div w:id="209539260">
      <w:bodyDiv w:val="1"/>
      <w:marLeft w:val="0"/>
      <w:marRight w:val="0"/>
      <w:marTop w:val="0"/>
      <w:marBottom w:val="0"/>
      <w:divBdr>
        <w:top w:val="none" w:sz="0" w:space="0" w:color="auto"/>
        <w:left w:val="none" w:sz="0" w:space="0" w:color="auto"/>
        <w:bottom w:val="none" w:sz="0" w:space="0" w:color="auto"/>
        <w:right w:val="none" w:sz="0" w:space="0" w:color="auto"/>
      </w:divBdr>
      <w:divsChild>
        <w:div w:id="991910748">
          <w:marLeft w:val="0"/>
          <w:marRight w:val="0"/>
          <w:marTop w:val="0"/>
          <w:marBottom w:val="0"/>
          <w:divBdr>
            <w:top w:val="none" w:sz="0" w:space="0" w:color="auto"/>
            <w:left w:val="none" w:sz="0" w:space="0" w:color="auto"/>
            <w:bottom w:val="none" w:sz="0" w:space="0" w:color="auto"/>
            <w:right w:val="none" w:sz="0" w:space="0" w:color="auto"/>
          </w:divBdr>
          <w:divsChild>
            <w:div w:id="630019757">
              <w:marLeft w:val="0"/>
              <w:marRight w:val="0"/>
              <w:marTop w:val="0"/>
              <w:marBottom w:val="0"/>
              <w:divBdr>
                <w:top w:val="none" w:sz="0" w:space="0" w:color="auto"/>
                <w:left w:val="none" w:sz="0" w:space="0" w:color="auto"/>
                <w:bottom w:val="none" w:sz="0" w:space="0" w:color="auto"/>
                <w:right w:val="none" w:sz="0" w:space="0" w:color="auto"/>
              </w:divBdr>
              <w:divsChild>
                <w:div w:id="870142109">
                  <w:marLeft w:val="0"/>
                  <w:marRight w:val="0"/>
                  <w:marTop w:val="0"/>
                  <w:marBottom w:val="0"/>
                  <w:divBdr>
                    <w:top w:val="none" w:sz="0" w:space="0" w:color="auto"/>
                    <w:left w:val="none" w:sz="0" w:space="0" w:color="auto"/>
                    <w:bottom w:val="none" w:sz="0" w:space="0" w:color="auto"/>
                    <w:right w:val="none" w:sz="0" w:space="0" w:color="auto"/>
                  </w:divBdr>
                  <w:divsChild>
                    <w:div w:id="34159825">
                      <w:marLeft w:val="0"/>
                      <w:marRight w:val="0"/>
                      <w:marTop w:val="0"/>
                      <w:marBottom w:val="0"/>
                      <w:divBdr>
                        <w:top w:val="none" w:sz="0" w:space="0" w:color="auto"/>
                        <w:left w:val="none" w:sz="0" w:space="0" w:color="auto"/>
                        <w:bottom w:val="none" w:sz="0" w:space="0" w:color="auto"/>
                        <w:right w:val="none" w:sz="0" w:space="0" w:color="auto"/>
                      </w:divBdr>
                      <w:divsChild>
                        <w:div w:id="1780300604">
                          <w:marLeft w:val="0"/>
                          <w:marRight w:val="0"/>
                          <w:marTop w:val="0"/>
                          <w:marBottom w:val="0"/>
                          <w:divBdr>
                            <w:top w:val="none" w:sz="0" w:space="0" w:color="auto"/>
                            <w:left w:val="none" w:sz="0" w:space="0" w:color="auto"/>
                            <w:bottom w:val="none" w:sz="0" w:space="0" w:color="auto"/>
                            <w:right w:val="none" w:sz="0" w:space="0" w:color="auto"/>
                          </w:divBdr>
                          <w:divsChild>
                            <w:div w:id="119418856">
                              <w:marLeft w:val="0"/>
                              <w:marRight w:val="0"/>
                              <w:marTop w:val="0"/>
                              <w:marBottom w:val="0"/>
                              <w:divBdr>
                                <w:top w:val="none" w:sz="0" w:space="0" w:color="auto"/>
                                <w:left w:val="none" w:sz="0" w:space="0" w:color="auto"/>
                                <w:bottom w:val="none" w:sz="0" w:space="0" w:color="auto"/>
                                <w:right w:val="none" w:sz="0" w:space="0" w:color="auto"/>
                              </w:divBdr>
                              <w:divsChild>
                                <w:div w:id="1063723551">
                                  <w:marLeft w:val="0"/>
                                  <w:marRight w:val="0"/>
                                  <w:marTop w:val="0"/>
                                  <w:marBottom w:val="0"/>
                                  <w:divBdr>
                                    <w:top w:val="none" w:sz="0" w:space="0" w:color="auto"/>
                                    <w:left w:val="none" w:sz="0" w:space="0" w:color="auto"/>
                                    <w:bottom w:val="none" w:sz="0" w:space="0" w:color="auto"/>
                                    <w:right w:val="none" w:sz="0" w:space="0" w:color="auto"/>
                                  </w:divBdr>
                                  <w:divsChild>
                                    <w:div w:id="913854438">
                                      <w:marLeft w:val="0"/>
                                      <w:marRight w:val="0"/>
                                      <w:marTop w:val="240"/>
                                      <w:marBottom w:val="0"/>
                                      <w:divBdr>
                                        <w:top w:val="none" w:sz="0" w:space="0" w:color="auto"/>
                                        <w:left w:val="none" w:sz="0" w:space="0" w:color="auto"/>
                                        <w:bottom w:val="none" w:sz="0" w:space="0" w:color="auto"/>
                                        <w:right w:val="none" w:sz="0" w:space="0" w:color="auto"/>
                                      </w:divBdr>
                                    </w:div>
                                    <w:div w:id="9251895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131546">
      <w:bodyDiv w:val="1"/>
      <w:marLeft w:val="0"/>
      <w:marRight w:val="0"/>
      <w:marTop w:val="0"/>
      <w:marBottom w:val="0"/>
      <w:divBdr>
        <w:top w:val="none" w:sz="0" w:space="0" w:color="auto"/>
        <w:left w:val="none" w:sz="0" w:space="0" w:color="auto"/>
        <w:bottom w:val="none" w:sz="0" w:space="0" w:color="auto"/>
        <w:right w:val="none" w:sz="0" w:space="0" w:color="auto"/>
      </w:divBdr>
      <w:divsChild>
        <w:div w:id="1330325324">
          <w:marLeft w:val="150"/>
          <w:marRight w:val="0"/>
          <w:marTop w:val="0"/>
          <w:marBottom w:val="0"/>
          <w:divBdr>
            <w:top w:val="none" w:sz="0" w:space="0" w:color="auto"/>
            <w:left w:val="none" w:sz="0" w:space="0" w:color="auto"/>
            <w:bottom w:val="none" w:sz="0" w:space="0" w:color="auto"/>
            <w:right w:val="none" w:sz="0" w:space="0" w:color="auto"/>
          </w:divBdr>
          <w:divsChild>
            <w:div w:id="1527795669">
              <w:marLeft w:val="0"/>
              <w:marRight w:val="0"/>
              <w:marTop w:val="0"/>
              <w:marBottom w:val="0"/>
              <w:divBdr>
                <w:top w:val="none" w:sz="0" w:space="0" w:color="auto"/>
                <w:left w:val="none" w:sz="0" w:space="0" w:color="auto"/>
                <w:bottom w:val="none" w:sz="0" w:space="0" w:color="auto"/>
                <w:right w:val="none" w:sz="0" w:space="0" w:color="auto"/>
              </w:divBdr>
              <w:divsChild>
                <w:div w:id="9797323">
                  <w:marLeft w:val="0"/>
                  <w:marRight w:val="0"/>
                  <w:marTop w:val="0"/>
                  <w:marBottom w:val="0"/>
                  <w:divBdr>
                    <w:top w:val="none" w:sz="0" w:space="0" w:color="auto"/>
                    <w:left w:val="none" w:sz="0" w:space="0" w:color="auto"/>
                    <w:bottom w:val="none" w:sz="0" w:space="0" w:color="auto"/>
                    <w:right w:val="none" w:sz="0" w:space="0" w:color="auto"/>
                  </w:divBdr>
                  <w:divsChild>
                    <w:div w:id="1956213127">
                      <w:marLeft w:val="0"/>
                      <w:marRight w:val="0"/>
                      <w:marTop w:val="0"/>
                      <w:marBottom w:val="0"/>
                      <w:divBdr>
                        <w:top w:val="none" w:sz="0" w:space="0" w:color="auto"/>
                        <w:left w:val="none" w:sz="0" w:space="0" w:color="auto"/>
                        <w:bottom w:val="none" w:sz="0" w:space="0" w:color="auto"/>
                        <w:right w:val="none" w:sz="0" w:space="0" w:color="auto"/>
                      </w:divBdr>
                      <w:divsChild>
                        <w:div w:id="1448506743">
                          <w:marLeft w:val="0"/>
                          <w:marRight w:val="0"/>
                          <w:marTop w:val="0"/>
                          <w:marBottom w:val="0"/>
                          <w:divBdr>
                            <w:top w:val="none" w:sz="0" w:space="0" w:color="auto"/>
                            <w:left w:val="none" w:sz="0" w:space="0" w:color="auto"/>
                            <w:bottom w:val="none" w:sz="0" w:space="0" w:color="auto"/>
                            <w:right w:val="none" w:sz="0" w:space="0" w:color="auto"/>
                          </w:divBdr>
                          <w:divsChild>
                            <w:div w:id="533035402">
                              <w:marLeft w:val="0"/>
                              <w:marRight w:val="0"/>
                              <w:marTop w:val="0"/>
                              <w:marBottom w:val="0"/>
                              <w:divBdr>
                                <w:top w:val="none" w:sz="0" w:space="0" w:color="auto"/>
                                <w:left w:val="none" w:sz="0" w:space="0" w:color="auto"/>
                                <w:bottom w:val="none" w:sz="0" w:space="0" w:color="auto"/>
                                <w:right w:val="none" w:sz="0" w:space="0" w:color="auto"/>
                              </w:divBdr>
                              <w:divsChild>
                                <w:div w:id="185143548">
                                  <w:marLeft w:val="0"/>
                                  <w:marRight w:val="0"/>
                                  <w:marTop w:val="0"/>
                                  <w:marBottom w:val="0"/>
                                  <w:divBdr>
                                    <w:top w:val="none" w:sz="0" w:space="0" w:color="auto"/>
                                    <w:left w:val="none" w:sz="0" w:space="0" w:color="auto"/>
                                    <w:bottom w:val="none" w:sz="0" w:space="0" w:color="auto"/>
                                    <w:right w:val="none" w:sz="0" w:space="0" w:color="auto"/>
                                  </w:divBdr>
                                  <w:divsChild>
                                    <w:div w:id="1226332110">
                                      <w:marLeft w:val="0"/>
                                      <w:marRight w:val="0"/>
                                      <w:marTop w:val="0"/>
                                      <w:marBottom w:val="0"/>
                                      <w:divBdr>
                                        <w:top w:val="none" w:sz="0" w:space="0" w:color="auto"/>
                                        <w:left w:val="none" w:sz="0" w:space="0" w:color="auto"/>
                                        <w:bottom w:val="none" w:sz="0" w:space="0" w:color="auto"/>
                                        <w:right w:val="none" w:sz="0" w:space="0" w:color="auto"/>
                                      </w:divBdr>
                                      <w:divsChild>
                                        <w:div w:id="1587106360">
                                          <w:marLeft w:val="0"/>
                                          <w:marRight w:val="0"/>
                                          <w:marTop w:val="0"/>
                                          <w:marBottom w:val="0"/>
                                          <w:divBdr>
                                            <w:top w:val="none" w:sz="0" w:space="0" w:color="auto"/>
                                            <w:left w:val="none" w:sz="0" w:space="0" w:color="auto"/>
                                            <w:bottom w:val="none" w:sz="0" w:space="0" w:color="auto"/>
                                            <w:right w:val="none" w:sz="0" w:space="0" w:color="auto"/>
                                          </w:divBdr>
                                          <w:divsChild>
                                            <w:div w:id="653291110">
                                              <w:marLeft w:val="0"/>
                                              <w:marRight w:val="0"/>
                                              <w:marTop w:val="0"/>
                                              <w:marBottom w:val="0"/>
                                              <w:divBdr>
                                                <w:top w:val="none" w:sz="0" w:space="0" w:color="auto"/>
                                                <w:left w:val="none" w:sz="0" w:space="0" w:color="auto"/>
                                                <w:bottom w:val="none" w:sz="0" w:space="0" w:color="auto"/>
                                                <w:right w:val="none" w:sz="0" w:space="0" w:color="auto"/>
                                              </w:divBdr>
                                              <w:divsChild>
                                                <w:div w:id="623195377">
                                                  <w:marLeft w:val="0"/>
                                                  <w:marRight w:val="0"/>
                                                  <w:marTop w:val="0"/>
                                                  <w:marBottom w:val="0"/>
                                                  <w:divBdr>
                                                    <w:top w:val="none" w:sz="0" w:space="0" w:color="auto"/>
                                                    <w:left w:val="none" w:sz="0" w:space="0" w:color="auto"/>
                                                    <w:bottom w:val="none" w:sz="0" w:space="0" w:color="auto"/>
                                                    <w:right w:val="none" w:sz="0" w:space="0" w:color="auto"/>
                                                  </w:divBdr>
                                                  <w:divsChild>
                                                    <w:div w:id="6157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0962063">
      <w:bodyDiv w:val="1"/>
      <w:marLeft w:val="0"/>
      <w:marRight w:val="0"/>
      <w:marTop w:val="0"/>
      <w:marBottom w:val="0"/>
      <w:divBdr>
        <w:top w:val="none" w:sz="0" w:space="0" w:color="auto"/>
        <w:left w:val="none" w:sz="0" w:space="0" w:color="auto"/>
        <w:bottom w:val="none" w:sz="0" w:space="0" w:color="auto"/>
        <w:right w:val="none" w:sz="0" w:space="0" w:color="auto"/>
      </w:divBdr>
      <w:divsChild>
        <w:div w:id="2091274593">
          <w:marLeft w:val="150"/>
          <w:marRight w:val="0"/>
          <w:marTop w:val="0"/>
          <w:marBottom w:val="0"/>
          <w:divBdr>
            <w:top w:val="none" w:sz="0" w:space="0" w:color="auto"/>
            <w:left w:val="none" w:sz="0" w:space="0" w:color="auto"/>
            <w:bottom w:val="none" w:sz="0" w:space="0" w:color="auto"/>
            <w:right w:val="none" w:sz="0" w:space="0" w:color="auto"/>
          </w:divBdr>
          <w:divsChild>
            <w:div w:id="748576594">
              <w:marLeft w:val="0"/>
              <w:marRight w:val="0"/>
              <w:marTop w:val="0"/>
              <w:marBottom w:val="0"/>
              <w:divBdr>
                <w:top w:val="none" w:sz="0" w:space="0" w:color="auto"/>
                <w:left w:val="none" w:sz="0" w:space="0" w:color="auto"/>
                <w:bottom w:val="none" w:sz="0" w:space="0" w:color="auto"/>
                <w:right w:val="none" w:sz="0" w:space="0" w:color="auto"/>
              </w:divBdr>
              <w:divsChild>
                <w:div w:id="1935817169">
                  <w:marLeft w:val="0"/>
                  <w:marRight w:val="0"/>
                  <w:marTop w:val="0"/>
                  <w:marBottom w:val="0"/>
                  <w:divBdr>
                    <w:top w:val="none" w:sz="0" w:space="0" w:color="auto"/>
                    <w:left w:val="none" w:sz="0" w:space="0" w:color="auto"/>
                    <w:bottom w:val="none" w:sz="0" w:space="0" w:color="auto"/>
                    <w:right w:val="none" w:sz="0" w:space="0" w:color="auto"/>
                  </w:divBdr>
                  <w:divsChild>
                    <w:div w:id="612858331">
                      <w:marLeft w:val="0"/>
                      <w:marRight w:val="0"/>
                      <w:marTop w:val="0"/>
                      <w:marBottom w:val="0"/>
                      <w:divBdr>
                        <w:top w:val="none" w:sz="0" w:space="0" w:color="auto"/>
                        <w:left w:val="none" w:sz="0" w:space="0" w:color="auto"/>
                        <w:bottom w:val="none" w:sz="0" w:space="0" w:color="auto"/>
                        <w:right w:val="none" w:sz="0" w:space="0" w:color="auto"/>
                      </w:divBdr>
                      <w:divsChild>
                        <w:div w:id="1597058038">
                          <w:marLeft w:val="0"/>
                          <w:marRight w:val="0"/>
                          <w:marTop w:val="0"/>
                          <w:marBottom w:val="0"/>
                          <w:divBdr>
                            <w:top w:val="none" w:sz="0" w:space="0" w:color="auto"/>
                            <w:left w:val="none" w:sz="0" w:space="0" w:color="auto"/>
                            <w:bottom w:val="none" w:sz="0" w:space="0" w:color="auto"/>
                            <w:right w:val="none" w:sz="0" w:space="0" w:color="auto"/>
                          </w:divBdr>
                          <w:divsChild>
                            <w:div w:id="702097286">
                              <w:marLeft w:val="0"/>
                              <w:marRight w:val="0"/>
                              <w:marTop w:val="0"/>
                              <w:marBottom w:val="0"/>
                              <w:divBdr>
                                <w:top w:val="none" w:sz="0" w:space="0" w:color="auto"/>
                                <w:left w:val="none" w:sz="0" w:space="0" w:color="auto"/>
                                <w:bottom w:val="none" w:sz="0" w:space="0" w:color="auto"/>
                                <w:right w:val="none" w:sz="0" w:space="0" w:color="auto"/>
                              </w:divBdr>
                              <w:divsChild>
                                <w:div w:id="179857800">
                                  <w:marLeft w:val="0"/>
                                  <w:marRight w:val="0"/>
                                  <w:marTop w:val="0"/>
                                  <w:marBottom w:val="0"/>
                                  <w:divBdr>
                                    <w:top w:val="none" w:sz="0" w:space="0" w:color="auto"/>
                                    <w:left w:val="none" w:sz="0" w:space="0" w:color="auto"/>
                                    <w:bottom w:val="none" w:sz="0" w:space="0" w:color="auto"/>
                                    <w:right w:val="none" w:sz="0" w:space="0" w:color="auto"/>
                                  </w:divBdr>
                                  <w:divsChild>
                                    <w:div w:id="1357775946">
                                      <w:marLeft w:val="0"/>
                                      <w:marRight w:val="0"/>
                                      <w:marTop w:val="0"/>
                                      <w:marBottom w:val="0"/>
                                      <w:divBdr>
                                        <w:top w:val="none" w:sz="0" w:space="0" w:color="auto"/>
                                        <w:left w:val="none" w:sz="0" w:space="0" w:color="auto"/>
                                        <w:bottom w:val="none" w:sz="0" w:space="0" w:color="auto"/>
                                        <w:right w:val="none" w:sz="0" w:space="0" w:color="auto"/>
                                      </w:divBdr>
                                      <w:divsChild>
                                        <w:div w:id="94441552">
                                          <w:marLeft w:val="0"/>
                                          <w:marRight w:val="0"/>
                                          <w:marTop w:val="0"/>
                                          <w:marBottom w:val="0"/>
                                          <w:divBdr>
                                            <w:top w:val="none" w:sz="0" w:space="0" w:color="auto"/>
                                            <w:left w:val="none" w:sz="0" w:space="0" w:color="auto"/>
                                            <w:bottom w:val="none" w:sz="0" w:space="0" w:color="auto"/>
                                            <w:right w:val="none" w:sz="0" w:space="0" w:color="auto"/>
                                          </w:divBdr>
                                          <w:divsChild>
                                            <w:div w:id="724452834">
                                              <w:marLeft w:val="0"/>
                                              <w:marRight w:val="0"/>
                                              <w:marTop w:val="0"/>
                                              <w:marBottom w:val="0"/>
                                              <w:divBdr>
                                                <w:top w:val="none" w:sz="0" w:space="0" w:color="auto"/>
                                                <w:left w:val="none" w:sz="0" w:space="0" w:color="auto"/>
                                                <w:bottom w:val="none" w:sz="0" w:space="0" w:color="auto"/>
                                                <w:right w:val="none" w:sz="0" w:space="0" w:color="auto"/>
                                              </w:divBdr>
                                              <w:divsChild>
                                                <w:div w:id="2091386771">
                                                  <w:marLeft w:val="0"/>
                                                  <w:marRight w:val="0"/>
                                                  <w:marTop w:val="0"/>
                                                  <w:marBottom w:val="0"/>
                                                  <w:divBdr>
                                                    <w:top w:val="none" w:sz="0" w:space="0" w:color="auto"/>
                                                    <w:left w:val="none" w:sz="0" w:space="0" w:color="auto"/>
                                                    <w:bottom w:val="none" w:sz="0" w:space="0" w:color="auto"/>
                                                    <w:right w:val="none" w:sz="0" w:space="0" w:color="auto"/>
                                                  </w:divBdr>
                                                  <w:divsChild>
                                                    <w:div w:id="19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8274616">
      <w:bodyDiv w:val="1"/>
      <w:marLeft w:val="0"/>
      <w:marRight w:val="0"/>
      <w:marTop w:val="0"/>
      <w:marBottom w:val="0"/>
      <w:divBdr>
        <w:top w:val="none" w:sz="0" w:space="0" w:color="auto"/>
        <w:left w:val="none" w:sz="0" w:space="0" w:color="auto"/>
        <w:bottom w:val="none" w:sz="0" w:space="0" w:color="auto"/>
        <w:right w:val="none" w:sz="0" w:space="0" w:color="auto"/>
      </w:divBdr>
    </w:div>
    <w:div w:id="60026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14077">
          <w:marLeft w:val="0"/>
          <w:marRight w:val="0"/>
          <w:marTop w:val="0"/>
          <w:marBottom w:val="300"/>
          <w:divBdr>
            <w:top w:val="none" w:sz="0" w:space="0" w:color="auto"/>
            <w:left w:val="none" w:sz="0" w:space="0" w:color="auto"/>
            <w:bottom w:val="none" w:sz="0" w:space="0" w:color="auto"/>
            <w:right w:val="none" w:sz="0" w:space="0" w:color="auto"/>
          </w:divBdr>
          <w:divsChild>
            <w:div w:id="2105105816">
              <w:marLeft w:val="0"/>
              <w:marRight w:val="0"/>
              <w:marTop w:val="0"/>
              <w:marBottom w:val="0"/>
              <w:divBdr>
                <w:top w:val="none" w:sz="0" w:space="0" w:color="auto"/>
                <w:left w:val="none" w:sz="0" w:space="0" w:color="auto"/>
                <w:bottom w:val="none" w:sz="0" w:space="0" w:color="auto"/>
                <w:right w:val="none" w:sz="0" w:space="0" w:color="auto"/>
              </w:divBdr>
              <w:divsChild>
                <w:div w:id="1547141022">
                  <w:marLeft w:val="0"/>
                  <w:marRight w:val="0"/>
                  <w:marTop w:val="0"/>
                  <w:marBottom w:val="0"/>
                  <w:divBdr>
                    <w:top w:val="none" w:sz="0" w:space="0" w:color="auto"/>
                    <w:left w:val="none" w:sz="0" w:space="0" w:color="auto"/>
                    <w:bottom w:val="none" w:sz="0" w:space="0" w:color="auto"/>
                    <w:right w:val="none" w:sz="0" w:space="0" w:color="auto"/>
                  </w:divBdr>
                  <w:divsChild>
                    <w:div w:id="2032486434">
                      <w:marLeft w:val="0"/>
                      <w:marRight w:val="0"/>
                      <w:marTop w:val="0"/>
                      <w:marBottom w:val="0"/>
                      <w:divBdr>
                        <w:top w:val="none" w:sz="0" w:space="0" w:color="auto"/>
                        <w:left w:val="none" w:sz="0" w:space="0" w:color="auto"/>
                        <w:bottom w:val="none" w:sz="0" w:space="0" w:color="auto"/>
                        <w:right w:val="none" w:sz="0" w:space="0" w:color="auto"/>
                      </w:divBdr>
                      <w:divsChild>
                        <w:div w:id="1981573477">
                          <w:marLeft w:val="0"/>
                          <w:marRight w:val="0"/>
                          <w:marTop w:val="0"/>
                          <w:marBottom w:val="0"/>
                          <w:divBdr>
                            <w:top w:val="none" w:sz="0" w:space="0" w:color="auto"/>
                            <w:left w:val="none" w:sz="0" w:space="0" w:color="auto"/>
                            <w:bottom w:val="none" w:sz="0" w:space="0" w:color="auto"/>
                            <w:right w:val="none" w:sz="0" w:space="0" w:color="auto"/>
                          </w:divBdr>
                          <w:divsChild>
                            <w:div w:id="13801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188721">
      <w:bodyDiv w:val="1"/>
      <w:marLeft w:val="0"/>
      <w:marRight w:val="0"/>
      <w:marTop w:val="0"/>
      <w:marBottom w:val="0"/>
      <w:divBdr>
        <w:top w:val="none" w:sz="0" w:space="0" w:color="auto"/>
        <w:left w:val="none" w:sz="0" w:space="0" w:color="auto"/>
        <w:bottom w:val="none" w:sz="0" w:space="0" w:color="auto"/>
        <w:right w:val="none" w:sz="0" w:space="0" w:color="auto"/>
      </w:divBdr>
      <w:divsChild>
        <w:div w:id="480662389">
          <w:marLeft w:val="0"/>
          <w:marRight w:val="0"/>
          <w:marTop w:val="135"/>
          <w:marBottom w:val="135"/>
          <w:divBdr>
            <w:top w:val="none" w:sz="0" w:space="0" w:color="auto"/>
            <w:left w:val="none" w:sz="0" w:space="0" w:color="auto"/>
            <w:bottom w:val="none" w:sz="0" w:space="0" w:color="auto"/>
            <w:right w:val="none" w:sz="0" w:space="0" w:color="auto"/>
          </w:divBdr>
        </w:div>
        <w:div w:id="1137991833">
          <w:marLeft w:val="0"/>
          <w:marRight w:val="0"/>
          <w:marTop w:val="135"/>
          <w:marBottom w:val="135"/>
          <w:divBdr>
            <w:top w:val="none" w:sz="0" w:space="0" w:color="auto"/>
            <w:left w:val="none" w:sz="0" w:space="0" w:color="auto"/>
            <w:bottom w:val="none" w:sz="0" w:space="0" w:color="auto"/>
            <w:right w:val="none" w:sz="0" w:space="0" w:color="auto"/>
          </w:divBdr>
        </w:div>
        <w:div w:id="1351762551">
          <w:marLeft w:val="0"/>
          <w:marRight w:val="0"/>
          <w:marTop w:val="135"/>
          <w:marBottom w:val="135"/>
          <w:divBdr>
            <w:top w:val="none" w:sz="0" w:space="0" w:color="auto"/>
            <w:left w:val="none" w:sz="0" w:space="0" w:color="auto"/>
            <w:bottom w:val="none" w:sz="0" w:space="0" w:color="auto"/>
            <w:right w:val="none" w:sz="0" w:space="0" w:color="auto"/>
          </w:divBdr>
        </w:div>
        <w:div w:id="1608998459">
          <w:marLeft w:val="0"/>
          <w:marRight w:val="0"/>
          <w:marTop w:val="135"/>
          <w:marBottom w:val="135"/>
          <w:divBdr>
            <w:top w:val="none" w:sz="0" w:space="0" w:color="auto"/>
            <w:left w:val="none" w:sz="0" w:space="0" w:color="auto"/>
            <w:bottom w:val="none" w:sz="0" w:space="0" w:color="auto"/>
            <w:right w:val="none" w:sz="0" w:space="0" w:color="auto"/>
          </w:divBdr>
        </w:div>
        <w:div w:id="1828782382">
          <w:marLeft w:val="0"/>
          <w:marRight w:val="0"/>
          <w:marTop w:val="135"/>
          <w:marBottom w:val="135"/>
          <w:divBdr>
            <w:top w:val="none" w:sz="0" w:space="0" w:color="auto"/>
            <w:left w:val="none" w:sz="0" w:space="0" w:color="auto"/>
            <w:bottom w:val="none" w:sz="0" w:space="0" w:color="auto"/>
            <w:right w:val="none" w:sz="0" w:space="0" w:color="auto"/>
          </w:divBdr>
        </w:div>
      </w:divsChild>
    </w:div>
    <w:div w:id="604731161">
      <w:bodyDiv w:val="1"/>
      <w:marLeft w:val="0"/>
      <w:marRight w:val="0"/>
      <w:marTop w:val="0"/>
      <w:marBottom w:val="0"/>
      <w:divBdr>
        <w:top w:val="none" w:sz="0" w:space="0" w:color="auto"/>
        <w:left w:val="none" w:sz="0" w:space="0" w:color="auto"/>
        <w:bottom w:val="none" w:sz="0" w:space="0" w:color="auto"/>
        <w:right w:val="none" w:sz="0" w:space="0" w:color="auto"/>
      </w:divBdr>
    </w:div>
    <w:div w:id="605237019">
      <w:bodyDiv w:val="1"/>
      <w:marLeft w:val="0"/>
      <w:marRight w:val="0"/>
      <w:marTop w:val="0"/>
      <w:marBottom w:val="0"/>
      <w:divBdr>
        <w:top w:val="none" w:sz="0" w:space="0" w:color="auto"/>
        <w:left w:val="none" w:sz="0" w:space="0" w:color="auto"/>
        <w:bottom w:val="none" w:sz="0" w:space="0" w:color="auto"/>
        <w:right w:val="none" w:sz="0" w:space="0" w:color="auto"/>
      </w:divBdr>
    </w:div>
    <w:div w:id="666514331">
      <w:bodyDiv w:val="1"/>
      <w:marLeft w:val="0"/>
      <w:marRight w:val="0"/>
      <w:marTop w:val="0"/>
      <w:marBottom w:val="0"/>
      <w:divBdr>
        <w:top w:val="none" w:sz="0" w:space="0" w:color="auto"/>
        <w:left w:val="none" w:sz="0" w:space="0" w:color="auto"/>
        <w:bottom w:val="none" w:sz="0" w:space="0" w:color="auto"/>
        <w:right w:val="none" w:sz="0" w:space="0" w:color="auto"/>
      </w:divBdr>
      <w:divsChild>
        <w:div w:id="834884678">
          <w:marLeft w:val="0"/>
          <w:marRight w:val="0"/>
          <w:marTop w:val="0"/>
          <w:marBottom w:val="300"/>
          <w:divBdr>
            <w:top w:val="none" w:sz="0" w:space="0" w:color="auto"/>
            <w:left w:val="none" w:sz="0" w:space="0" w:color="auto"/>
            <w:bottom w:val="none" w:sz="0" w:space="0" w:color="auto"/>
            <w:right w:val="none" w:sz="0" w:space="0" w:color="auto"/>
          </w:divBdr>
          <w:divsChild>
            <w:div w:id="2053798918">
              <w:marLeft w:val="0"/>
              <w:marRight w:val="0"/>
              <w:marTop w:val="0"/>
              <w:marBottom w:val="0"/>
              <w:divBdr>
                <w:top w:val="none" w:sz="0" w:space="0" w:color="auto"/>
                <w:left w:val="none" w:sz="0" w:space="0" w:color="auto"/>
                <w:bottom w:val="none" w:sz="0" w:space="0" w:color="auto"/>
                <w:right w:val="none" w:sz="0" w:space="0" w:color="auto"/>
              </w:divBdr>
              <w:divsChild>
                <w:div w:id="120660944">
                  <w:marLeft w:val="0"/>
                  <w:marRight w:val="0"/>
                  <w:marTop w:val="0"/>
                  <w:marBottom w:val="0"/>
                  <w:divBdr>
                    <w:top w:val="none" w:sz="0" w:space="0" w:color="auto"/>
                    <w:left w:val="none" w:sz="0" w:space="0" w:color="auto"/>
                    <w:bottom w:val="none" w:sz="0" w:space="0" w:color="auto"/>
                    <w:right w:val="none" w:sz="0" w:space="0" w:color="auto"/>
                  </w:divBdr>
                  <w:divsChild>
                    <w:div w:id="511991531">
                      <w:marLeft w:val="0"/>
                      <w:marRight w:val="0"/>
                      <w:marTop w:val="0"/>
                      <w:marBottom w:val="0"/>
                      <w:divBdr>
                        <w:top w:val="none" w:sz="0" w:space="0" w:color="auto"/>
                        <w:left w:val="none" w:sz="0" w:space="0" w:color="auto"/>
                        <w:bottom w:val="none" w:sz="0" w:space="0" w:color="auto"/>
                        <w:right w:val="none" w:sz="0" w:space="0" w:color="auto"/>
                      </w:divBdr>
                      <w:divsChild>
                        <w:div w:id="1693604184">
                          <w:marLeft w:val="0"/>
                          <w:marRight w:val="0"/>
                          <w:marTop w:val="0"/>
                          <w:marBottom w:val="0"/>
                          <w:divBdr>
                            <w:top w:val="none" w:sz="0" w:space="0" w:color="auto"/>
                            <w:left w:val="none" w:sz="0" w:space="0" w:color="auto"/>
                            <w:bottom w:val="none" w:sz="0" w:space="0" w:color="auto"/>
                            <w:right w:val="none" w:sz="0" w:space="0" w:color="auto"/>
                          </w:divBdr>
                          <w:divsChild>
                            <w:div w:id="137003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766726">
      <w:bodyDiv w:val="1"/>
      <w:marLeft w:val="0"/>
      <w:marRight w:val="0"/>
      <w:marTop w:val="0"/>
      <w:marBottom w:val="0"/>
      <w:divBdr>
        <w:top w:val="none" w:sz="0" w:space="0" w:color="auto"/>
        <w:left w:val="none" w:sz="0" w:space="0" w:color="auto"/>
        <w:bottom w:val="none" w:sz="0" w:space="0" w:color="auto"/>
        <w:right w:val="none" w:sz="0" w:space="0" w:color="auto"/>
      </w:divBdr>
    </w:div>
    <w:div w:id="779642851">
      <w:bodyDiv w:val="1"/>
      <w:marLeft w:val="0"/>
      <w:marRight w:val="0"/>
      <w:marTop w:val="0"/>
      <w:marBottom w:val="0"/>
      <w:divBdr>
        <w:top w:val="none" w:sz="0" w:space="0" w:color="auto"/>
        <w:left w:val="none" w:sz="0" w:space="0" w:color="auto"/>
        <w:bottom w:val="none" w:sz="0" w:space="0" w:color="auto"/>
        <w:right w:val="none" w:sz="0" w:space="0" w:color="auto"/>
      </w:divBdr>
    </w:div>
    <w:div w:id="783312173">
      <w:bodyDiv w:val="1"/>
      <w:marLeft w:val="0"/>
      <w:marRight w:val="0"/>
      <w:marTop w:val="0"/>
      <w:marBottom w:val="0"/>
      <w:divBdr>
        <w:top w:val="none" w:sz="0" w:space="0" w:color="auto"/>
        <w:left w:val="none" w:sz="0" w:space="0" w:color="auto"/>
        <w:bottom w:val="none" w:sz="0" w:space="0" w:color="auto"/>
        <w:right w:val="none" w:sz="0" w:space="0" w:color="auto"/>
      </w:divBdr>
    </w:div>
    <w:div w:id="829374083">
      <w:bodyDiv w:val="1"/>
      <w:marLeft w:val="0"/>
      <w:marRight w:val="0"/>
      <w:marTop w:val="0"/>
      <w:marBottom w:val="0"/>
      <w:divBdr>
        <w:top w:val="none" w:sz="0" w:space="0" w:color="auto"/>
        <w:left w:val="none" w:sz="0" w:space="0" w:color="auto"/>
        <w:bottom w:val="none" w:sz="0" w:space="0" w:color="auto"/>
        <w:right w:val="none" w:sz="0" w:space="0" w:color="auto"/>
      </w:divBdr>
    </w:div>
    <w:div w:id="857813815">
      <w:bodyDiv w:val="1"/>
      <w:marLeft w:val="0"/>
      <w:marRight w:val="0"/>
      <w:marTop w:val="0"/>
      <w:marBottom w:val="0"/>
      <w:divBdr>
        <w:top w:val="none" w:sz="0" w:space="0" w:color="auto"/>
        <w:left w:val="none" w:sz="0" w:space="0" w:color="auto"/>
        <w:bottom w:val="none" w:sz="0" w:space="0" w:color="auto"/>
        <w:right w:val="none" w:sz="0" w:space="0" w:color="auto"/>
      </w:divBdr>
    </w:div>
    <w:div w:id="1084690012">
      <w:bodyDiv w:val="1"/>
      <w:marLeft w:val="0"/>
      <w:marRight w:val="0"/>
      <w:marTop w:val="0"/>
      <w:marBottom w:val="0"/>
      <w:divBdr>
        <w:top w:val="none" w:sz="0" w:space="0" w:color="auto"/>
        <w:left w:val="none" w:sz="0" w:space="0" w:color="auto"/>
        <w:bottom w:val="none" w:sz="0" w:space="0" w:color="auto"/>
        <w:right w:val="none" w:sz="0" w:space="0" w:color="auto"/>
      </w:divBdr>
    </w:div>
    <w:div w:id="1115248708">
      <w:bodyDiv w:val="1"/>
      <w:marLeft w:val="0"/>
      <w:marRight w:val="0"/>
      <w:marTop w:val="0"/>
      <w:marBottom w:val="0"/>
      <w:divBdr>
        <w:top w:val="none" w:sz="0" w:space="0" w:color="auto"/>
        <w:left w:val="none" w:sz="0" w:space="0" w:color="auto"/>
        <w:bottom w:val="none" w:sz="0" w:space="0" w:color="auto"/>
        <w:right w:val="none" w:sz="0" w:space="0" w:color="auto"/>
      </w:divBdr>
      <w:divsChild>
        <w:div w:id="1579557605">
          <w:marLeft w:val="150"/>
          <w:marRight w:val="0"/>
          <w:marTop w:val="0"/>
          <w:marBottom w:val="0"/>
          <w:divBdr>
            <w:top w:val="none" w:sz="0" w:space="0" w:color="auto"/>
            <w:left w:val="none" w:sz="0" w:space="0" w:color="auto"/>
            <w:bottom w:val="none" w:sz="0" w:space="0" w:color="auto"/>
            <w:right w:val="none" w:sz="0" w:space="0" w:color="auto"/>
          </w:divBdr>
          <w:divsChild>
            <w:div w:id="2082093676">
              <w:marLeft w:val="0"/>
              <w:marRight w:val="0"/>
              <w:marTop w:val="0"/>
              <w:marBottom w:val="0"/>
              <w:divBdr>
                <w:top w:val="none" w:sz="0" w:space="0" w:color="auto"/>
                <w:left w:val="none" w:sz="0" w:space="0" w:color="auto"/>
                <w:bottom w:val="none" w:sz="0" w:space="0" w:color="auto"/>
                <w:right w:val="none" w:sz="0" w:space="0" w:color="auto"/>
              </w:divBdr>
              <w:divsChild>
                <w:div w:id="158154012">
                  <w:marLeft w:val="0"/>
                  <w:marRight w:val="0"/>
                  <w:marTop w:val="0"/>
                  <w:marBottom w:val="0"/>
                  <w:divBdr>
                    <w:top w:val="none" w:sz="0" w:space="0" w:color="auto"/>
                    <w:left w:val="none" w:sz="0" w:space="0" w:color="auto"/>
                    <w:bottom w:val="none" w:sz="0" w:space="0" w:color="auto"/>
                    <w:right w:val="none" w:sz="0" w:space="0" w:color="auto"/>
                  </w:divBdr>
                  <w:divsChild>
                    <w:div w:id="2135127679">
                      <w:marLeft w:val="0"/>
                      <w:marRight w:val="0"/>
                      <w:marTop w:val="0"/>
                      <w:marBottom w:val="0"/>
                      <w:divBdr>
                        <w:top w:val="none" w:sz="0" w:space="0" w:color="auto"/>
                        <w:left w:val="none" w:sz="0" w:space="0" w:color="auto"/>
                        <w:bottom w:val="none" w:sz="0" w:space="0" w:color="auto"/>
                        <w:right w:val="none" w:sz="0" w:space="0" w:color="auto"/>
                      </w:divBdr>
                      <w:divsChild>
                        <w:div w:id="902718164">
                          <w:marLeft w:val="0"/>
                          <w:marRight w:val="0"/>
                          <w:marTop w:val="0"/>
                          <w:marBottom w:val="0"/>
                          <w:divBdr>
                            <w:top w:val="none" w:sz="0" w:space="0" w:color="auto"/>
                            <w:left w:val="none" w:sz="0" w:space="0" w:color="auto"/>
                            <w:bottom w:val="none" w:sz="0" w:space="0" w:color="auto"/>
                            <w:right w:val="none" w:sz="0" w:space="0" w:color="auto"/>
                          </w:divBdr>
                          <w:divsChild>
                            <w:div w:id="957299757">
                              <w:marLeft w:val="0"/>
                              <w:marRight w:val="0"/>
                              <w:marTop w:val="0"/>
                              <w:marBottom w:val="0"/>
                              <w:divBdr>
                                <w:top w:val="none" w:sz="0" w:space="0" w:color="auto"/>
                                <w:left w:val="none" w:sz="0" w:space="0" w:color="auto"/>
                                <w:bottom w:val="none" w:sz="0" w:space="0" w:color="auto"/>
                                <w:right w:val="none" w:sz="0" w:space="0" w:color="auto"/>
                              </w:divBdr>
                              <w:divsChild>
                                <w:div w:id="1218250137">
                                  <w:marLeft w:val="0"/>
                                  <w:marRight w:val="0"/>
                                  <w:marTop w:val="0"/>
                                  <w:marBottom w:val="0"/>
                                  <w:divBdr>
                                    <w:top w:val="none" w:sz="0" w:space="0" w:color="auto"/>
                                    <w:left w:val="none" w:sz="0" w:space="0" w:color="auto"/>
                                    <w:bottom w:val="none" w:sz="0" w:space="0" w:color="auto"/>
                                    <w:right w:val="none" w:sz="0" w:space="0" w:color="auto"/>
                                  </w:divBdr>
                                  <w:divsChild>
                                    <w:div w:id="1385179738">
                                      <w:marLeft w:val="0"/>
                                      <w:marRight w:val="0"/>
                                      <w:marTop w:val="0"/>
                                      <w:marBottom w:val="0"/>
                                      <w:divBdr>
                                        <w:top w:val="none" w:sz="0" w:space="0" w:color="auto"/>
                                        <w:left w:val="none" w:sz="0" w:space="0" w:color="auto"/>
                                        <w:bottom w:val="none" w:sz="0" w:space="0" w:color="auto"/>
                                        <w:right w:val="none" w:sz="0" w:space="0" w:color="auto"/>
                                      </w:divBdr>
                                      <w:divsChild>
                                        <w:div w:id="432017998">
                                          <w:marLeft w:val="0"/>
                                          <w:marRight w:val="0"/>
                                          <w:marTop w:val="0"/>
                                          <w:marBottom w:val="0"/>
                                          <w:divBdr>
                                            <w:top w:val="none" w:sz="0" w:space="0" w:color="auto"/>
                                            <w:left w:val="none" w:sz="0" w:space="0" w:color="auto"/>
                                            <w:bottom w:val="none" w:sz="0" w:space="0" w:color="auto"/>
                                            <w:right w:val="none" w:sz="0" w:space="0" w:color="auto"/>
                                          </w:divBdr>
                                          <w:divsChild>
                                            <w:div w:id="1809398328">
                                              <w:marLeft w:val="0"/>
                                              <w:marRight w:val="0"/>
                                              <w:marTop w:val="0"/>
                                              <w:marBottom w:val="0"/>
                                              <w:divBdr>
                                                <w:top w:val="none" w:sz="0" w:space="0" w:color="auto"/>
                                                <w:left w:val="none" w:sz="0" w:space="0" w:color="auto"/>
                                                <w:bottom w:val="none" w:sz="0" w:space="0" w:color="auto"/>
                                                <w:right w:val="none" w:sz="0" w:space="0" w:color="auto"/>
                                              </w:divBdr>
                                              <w:divsChild>
                                                <w:div w:id="917134635">
                                                  <w:marLeft w:val="0"/>
                                                  <w:marRight w:val="0"/>
                                                  <w:marTop w:val="0"/>
                                                  <w:marBottom w:val="0"/>
                                                  <w:divBdr>
                                                    <w:top w:val="none" w:sz="0" w:space="0" w:color="auto"/>
                                                    <w:left w:val="none" w:sz="0" w:space="0" w:color="auto"/>
                                                    <w:bottom w:val="none" w:sz="0" w:space="0" w:color="auto"/>
                                                    <w:right w:val="none" w:sz="0" w:space="0" w:color="auto"/>
                                                  </w:divBdr>
                                                  <w:divsChild>
                                                    <w:div w:id="94400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0049201">
      <w:bodyDiv w:val="1"/>
      <w:marLeft w:val="0"/>
      <w:marRight w:val="0"/>
      <w:marTop w:val="0"/>
      <w:marBottom w:val="0"/>
      <w:divBdr>
        <w:top w:val="none" w:sz="0" w:space="0" w:color="auto"/>
        <w:left w:val="none" w:sz="0" w:space="0" w:color="auto"/>
        <w:bottom w:val="none" w:sz="0" w:space="0" w:color="auto"/>
        <w:right w:val="none" w:sz="0" w:space="0" w:color="auto"/>
      </w:divBdr>
    </w:div>
    <w:div w:id="1177041412">
      <w:bodyDiv w:val="1"/>
      <w:marLeft w:val="0"/>
      <w:marRight w:val="0"/>
      <w:marTop w:val="0"/>
      <w:marBottom w:val="0"/>
      <w:divBdr>
        <w:top w:val="none" w:sz="0" w:space="0" w:color="auto"/>
        <w:left w:val="none" w:sz="0" w:space="0" w:color="auto"/>
        <w:bottom w:val="none" w:sz="0" w:space="0" w:color="auto"/>
        <w:right w:val="none" w:sz="0" w:space="0" w:color="auto"/>
      </w:divBdr>
      <w:divsChild>
        <w:div w:id="1814832219">
          <w:marLeft w:val="150"/>
          <w:marRight w:val="0"/>
          <w:marTop w:val="0"/>
          <w:marBottom w:val="0"/>
          <w:divBdr>
            <w:top w:val="none" w:sz="0" w:space="0" w:color="auto"/>
            <w:left w:val="none" w:sz="0" w:space="0" w:color="auto"/>
            <w:bottom w:val="none" w:sz="0" w:space="0" w:color="auto"/>
            <w:right w:val="none" w:sz="0" w:space="0" w:color="auto"/>
          </w:divBdr>
          <w:divsChild>
            <w:div w:id="1403987073">
              <w:marLeft w:val="0"/>
              <w:marRight w:val="0"/>
              <w:marTop w:val="0"/>
              <w:marBottom w:val="0"/>
              <w:divBdr>
                <w:top w:val="none" w:sz="0" w:space="0" w:color="auto"/>
                <w:left w:val="none" w:sz="0" w:space="0" w:color="auto"/>
                <w:bottom w:val="none" w:sz="0" w:space="0" w:color="auto"/>
                <w:right w:val="none" w:sz="0" w:space="0" w:color="auto"/>
              </w:divBdr>
              <w:divsChild>
                <w:div w:id="1533807726">
                  <w:marLeft w:val="0"/>
                  <w:marRight w:val="0"/>
                  <w:marTop w:val="0"/>
                  <w:marBottom w:val="0"/>
                  <w:divBdr>
                    <w:top w:val="none" w:sz="0" w:space="0" w:color="auto"/>
                    <w:left w:val="none" w:sz="0" w:space="0" w:color="auto"/>
                    <w:bottom w:val="none" w:sz="0" w:space="0" w:color="auto"/>
                    <w:right w:val="none" w:sz="0" w:space="0" w:color="auto"/>
                  </w:divBdr>
                  <w:divsChild>
                    <w:div w:id="375279871">
                      <w:marLeft w:val="0"/>
                      <w:marRight w:val="0"/>
                      <w:marTop w:val="0"/>
                      <w:marBottom w:val="0"/>
                      <w:divBdr>
                        <w:top w:val="none" w:sz="0" w:space="0" w:color="auto"/>
                        <w:left w:val="none" w:sz="0" w:space="0" w:color="auto"/>
                        <w:bottom w:val="none" w:sz="0" w:space="0" w:color="auto"/>
                        <w:right w:val="none" w:sz="0" w:space="0" w:color="auto"/>
                      </w:divBdr>
                      <w:divsChild>
                        <w:div w:id="1010178097">
                          <w:marLeft w:val="0"/>
                          <w:marRight w:val="0"/>
                          <w:marTop w:val="0"/>
                          <w:marBottom w:val="0"/>
                          <w:divBdr>
                            <w:top w:val="none" w:sz="0" w:space="0" w:color="auto"/>
                            <w:left w:val="none" w:sz="0" w:space="0" w:color="auto"/>
                            <w:bottom w:val="none" w:sz="0" w:space="0" w:color="auto"/>
                            <w:right w:val="none" w:sz="0" w:space="0" w:color="auto"/>
                          </w:divBdr>
                          <w:divsChild>
                            <w:div w:id="1244296312">
                              <w:marLeft w:val="0"/>
                              <w:marRight w:val="0"/>
                              <w:marTop w:val="0"/>
                              <w:marBottom w:val="0"/>
                              <w:divBdr>
                                <w:top w:val="none" w:sz="0" w:space="0" w:color="auto"/>
                                <w:left w:val="none" w:sz="0" w:space="0" w:color="auto"/>
                                <w:bottom w:val="none" w:sz="0" w:space="0" w:color="auto"/>
                                <w:right w:val="none" w:sz="0" w:space="0" w:color="auto"/>
                              </w:divBdr>
                              <w:divsChild>
                                <w:div w:id="1969778087">
                                  <w:marLeft w:val="0"/>
                                  <w:marRight w:val="0"/>
                                  <w:marTop w:val="0"/>
                                  <w:marBottom w:val="0"/>
                                  <w:divBdr>
                                    <w:top w:val="none" w:sz="0" w:space="0" w:color="auto"/>
                                    <w:left w:val="none" w:sz="0" w:space="0" w:color="auto"/>
                                    <w:bottom w:val="none" w:sz="0" w:space="0" w:color="auto"/>
                                    <w:right w:val="none" w:sz="0" w:space="0" w:color="auto"/>
                                  </w:divBdr>
                                  <w:divsChild>
                                    <w:div w:id="2108384399">
                                      <w:marLeft w:val="0"/>
                                      <w:marRight w:val="0"/>
                                      <w:marTop w:val="0"/>
                                      <w:marBottom w:val="0"/>
                                      <w:divBdr>
                                        <w:top w:val="none" w:sz="0" w:space="0" w:color="auto"/>
                                        <w:left w:val="none" w:sz="0" w:space="0" w:color="auto"/>
                                        <w:bottom w:val="none" w:sz="0" w:space="0" w:color="auto"/>
                                        <w:right w:val="none" w:sz="0" w:space="0" w:color="auto"/>
                                      </w:divBdr>
                                      <w:divsChild>
                                        <w:div w:id="540364498">
                                          <w:marLeft w:val="0"/>
                                          <w:marRight w:val="0"/>
                                          <w:marTop w:val="0"/>
                                          <w:marBottom w:val="0"/>
                                          <w:divBdr>
                                            <w:top w:val="none" w:sz="0" w:space="0" w:color="auto"/>
                                            <w:left w:val="none" w:sz="0" w:space="0" w:color="auto"/>
                                            <w:bottom w:val="none" w:sz="0" w:space="0" w:color="auto"/>
                                            <w:right w:val="none" w:sz="0" w:space="0" w:color="auto"/>
                                          </w:divBdr>
                                          <w:divsChild>
                                            <w:div w:id="223879448">
                                              <w:marLeft w:val="0"/>
                                              <w:marRight w:val="0"/>
                                              <w:marTop w:val="0"/>
                                              <w:marBottom w:val="0"/>
                                              <w:divBdr>
                                                <w:top w:val="none" w:sz="0" w:space="0" w:color="auto"/>
                                                <w:left w:val="none" w:sz="0" w:space="0" w:color="auto"/>
                                                <w:bottom w:val="none" w:sz="0" w:space="0" w:color="auto"/>
                                                <w:right w:val="none" w:sz="0" w:space="0" w:color="auto"/>
                                              </w:divBdr>
                                              <w:divsChild>
                                                <w:div w:id="268977611">
                                                  <w:marLeft w:val="0"/>
                                                  <w:marRight w:val="0"/>
                                                  <w:marTop w:val="0"/>
                                                  <w:marBottom w:val="0"/>
                                                  <w:divBdr>
                                                    <w:top w:val="none" w:sz="0" w:space="0" w:color="auto"/>
                                                    <w:left w:val="none" w:sz="0" w:space="0" w:color="auto"/>
                                                    <w:bottom w:val="none" w:sz="0" w:space="0" w:color="auto"/>
                                                    <w:right w:val="none" w:sz="0" w:space="0" w:color="auto"/>
                                                  </w:divBdr>
                                                  <w:divsChild>
                                                    <w:div w:id="658119699">
                                                      <w:marLeft w:val="0"/>
                                                      <w:marRight w:val="0"/>
                                                      <w:marTop w:val="0"/>
                                                      <w:marBottom w:val="0"/>
                                                      <w:divBdr>
                                                        <w:top w:val="none" w:sz="0" w:space="0" w:color="auto"/>
                                                        <w:left w:val="none" w:sz="0" w:space="0" w:color="auto"/>
                                                        <w:bottom w:val="none" w:sz="0" w:space="0" w:color="auto"/>
                                                        <w:right w:val="none" w:sz="0" w:space="0" w:color="auto"/>
                                                      </w:divBdr>
                                                    </w:div>
                                                    <w:div w:id="1850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0582706">
      <w:bodyDiv w:val="1"/>
      <w:marLeft w:val="0"/>
      <w:marRight w:val="0"/>
      <w:marTop w:val="0"/>
      <w:marBottom w:val="0"/>
      <w:divBdr>
        <w:top w:val="none" w:sz="0" w:space="0" w:color="auto"/>
        <w:left w:val="none" w:sz="0" w:space="0" w:color="auto"/>
        <w:bottom w:val="none" w:sz="0" w:space="0" w:color="auto"/>
        <w:right w:val="none" w:sz="0" w:space="0" w:color="auto"/>
      </w:divBdr>
    </w:div>
    <w:div w:id="1222516115">
      <w:bodyDiv w:val="1"/>
      <w:marLeft w:val="0"/>
      <w:marRight w:val="0"/>
      <w:marTop w:val="0"/>
      <w:marBottom w:val="0"/>
      <w:divBdr>
        <w:top w:val="none" w:sz="0" w:space="0" w:color="auto"/>
        <w:left w:val="none" w:sz="0" w:space="0" w:color="auto"/>
        <w:bottom w:val="none" w:sz="0" w:space="0" w:color="auto"/>
        <w:right w:val="none" w:sz="0" w:space="0" w:color="auto"/>
      </w:divBdr>
    </w:div>
    <w:div w:id="1224147499">
      <w:bodyDiv w:val="1"/>
      <w:marLeft w:val="0"/>
      <w:marRight w:val="0"/>
      <w:marTop w:val="0"/>
      <w:marBottom w:val="0"/>
      <w:divBdr>
        <w:top w:val="none" w:sz="0" w:space="0" w:color="auto"/>
        <w:left w:val="none" w:sz="0" w:space="0" w:color="auto"/>
        <w:bottom w:val="none" w:sz="0" w:space="0" w:color="auto"/>
        <w:right w:val="none" w:sz="0" w:space="0" w:color="auto"/>
      </w:divBdr>
    </w:div>
    <w:div w:id="1286279487">
      <w:bodyDiv w:val="1"/>
      <w:marLeft w:val="0"/>
      <w:marRight w:val="0"/>
      <w:marTop w:val="0"/>
      <w:marBottom w:val="0"/>
      <w:divBdr>
        <w:top w:val="none" w:sz="0" w:space="0" w:color="auto"/>
        <w:left w:val="none" w:sz="0" w:space="0" w:color="auto"/>
        <w:bottom w:val="none" w:sz="0" w:space="0" w:color="auto"/>
        <w:right w:val="none" w:sz="0" w:space="0" w:color="auto"/>
      </w:divBdr>
    </w:div>
    <w:div w:id="1355379325">
      <w:bodyDiv w:val="1"/>
      <w:marLeft w:val="0"/>
      <w:marRight w:val="0"/>
      <w:marTop w:val="0"/>
      <w:marBottom w:val="0"/>
      <w:divBdr>
        <w:top w:val="none" w:sz="0" w:space="0" w:color="auto"/>
        <w:left w:val="none" w:sz="0" w:space="0" w:color="auto"/>
        <w:bottom w:val="none" w:sz="0" w:space="0" w:color="auto"/>
        <w:right w:val="none" w:sz="0" w:space="0" w:color="auto"/>
      </w:divBdr>
      <w:divsChild>
        <w:div w:id="431826308">
          <w:marLeft w:val="0"/>
          <w:marRight w:val="0"/>
          <w:marTop w:val="0"/>
          <w:marBottom w:val="0"/>
          <w:divBdr>
            <w:top w:val="none" w:sz="0" w:space="0" w:color="auto"/>
            <w:left w:val="none" w:sz="0" w:space="0" w:color="auto"/>
            <w:bottom w:val="none" w:sz="0" w:space="0" w:color="auto"/>
            <w:right w:val="none" w:sz="0" w:space="0" w:color="auto"/>
          </w:divBdr>
        </w:div>
        <w:div w:id="922757825">
          <w:marLeft w:val="0"/>
          <w:marRight w:val="0"/>
          <w:marTop w:val="0"/>
          <w:marBottom w:val="0"/>
          <w:divBdr>
            <w:top w:val="none" w:sz="0" w:space="0" w:color="auto"/>
            <w:left w:val="none" w:sz="0" w:space="0" w:color="auto"/>
            <w:bottom w:val="none" w:sz="0" w:space="0" w:color="auto"/>
            <w:right w:val="none" w:sz="0" w:space="0" w:color="auto"/>
          </w:divBdr>
        </w:div>
        <w:div w:id="1035621042">
          <w:marLeft w:val="0"/>
          <w:marRight w:val="0"/>
          <w:marTop w:val="0"/>
          <w:marBottom w:val="0"/>
          <w:divBdr>
            <w:top w:val="none" w:sz="0" w:space="0" w:color="auto"/>
            <w:left w:val="none" w:sz="0" w:space="0" w:color="auto"/>
            <w:bottom w:val="none" w:sz="0" w:space="0" w:color="auto"/>
            <w:right w:val="none" w:sz="0" w:space="0" w:color="auto"/>
          </w:divBdr>
        </w:div>
        <w:div w:id="1153567236">
          <w:marLeft w:val="0"/>
          <w:marRight w:val="0"/>
          <w:marTop w:val="0"/>
          <w:marBottom w:val="0"/>
          <w:divBdr>
            <w:top w:val="none" w:sz="0" w:space="0" w:color="auto"/>
            <w:left w:val="none" w:sz="0" w:space="0" w:color="auto"/>
            <w:bottom w:val="none" w:sz="0" w:space="0" w:color="auto"/>
            <w:right w:val="none" w:sz="0" w:space="0" w:color="auto"/>
          </w:divBdr>
        </w:div>
      </w:divsChild>
    </w:div>
    <w:div w:id="1375228897">
      <w:bodyDiv w:val="1"/>
      <w:marLeft w:val="0"/>
      <w:marRight w:val="0"/>
      <w:marTop w:val="0"/>
      <w:marBottom w:val="0"/>
      <w:divBdr>
        <w:top w:val="none" w:sz="0" w:space="0" w:color="auto"/>
        <w:left w:val="none" w:sz="0" w:space="0" w:color="auto"/>
        <w:bottom w:val="none" w:sz="0" w:space="0" w:color="auto"/>
        <w:right w:val="none" w:sz="0" w:space="0" w:color="auto"/>
      </w:divBdr>
      <w:divsChild>
        <w:div w:id="12615190">
          <w:marLeft w:val="0"/>
          <w:marRight w:val="0"/>
          <w:marTop w:val="0"/>
          <w:marBottom w:val="300"/>
          <w:divBdr>
            <w:top w:val="none" w:sz="0" w:space="0" w:color="auto"/>
            <w:left w:val="none" w:sz="0" w:space="0" w:color="auto"/>
            <w:bottom w:val="none" w:sz="0" w:space="0" w:color="auto"/>
            <w:right w:val="none" w:sz="0" w:space="0" w:color="auto"/>
          </w:divBdr>
          <w:divsChild>
            <w:div w:id="2012218185">
              <w:marLeft w:val="0"/>
              <w:marRight w:val="0"/>
              <w:marTop w:val="0"/>
              <w:marBottom w:val="0"/>
              <w:divBdr>
                <w:top w:val="none" w:sz="0" w:space="0" w:color="auto"/>
                <w:left w:val="none" w:sz="0" w:space="0" w:color="auto"/>
                <w:bottom w:val="none" w:sz="0" w:space="0" w:color="auto"/>
                <w:right w:val="none" w:sz="0" w:space="0" w:color="auto"/>
              </w:divBdr>
              <w:divsChild>
                <w:div w:id="1420056982">
                  <w:marLeft w:val="0"/>
                  <w:marRight w:val="0"/>
                  <w:marTop w:val="0"/>
                  <w:marBottom w:val="0"/>
                  <w:divBdr>
                    <w:top w:val="none" w:sz="0" w:space="0" w:color="auto"/>
                    <w:left w:val="none" w:sz="0" w:space="0" w:color="auto"/>
                    <w:bottom w:val="none" w:sz="0" w:space="0" w:color="auto"/>
                    <w:right w:val="none" w:sz="0" w:space="0" w:color="auto"/>
                  </w:divBdr>
                  <w:divsChild>
                    <w:div w:id="391855230">
                      <w:marLeft w:val="0"/>
                      <w:marRight w:val="0"/>
                      <w:marTop w:val="0"/>
                      <w:marBottom w:val="0"/>
                      <w:divBdr>
                        <w:top w:val="none" w:sz="0" w:space="0" w:color="auto"/>
                        <w:left w:val="none" w:sz="0" w:space="0" w:color="auto"/>
                        <w:bottom w:val="none" w:sz="0" w:space="0" w:color="auto"/>
                        <w:right w:val="none" w:sz="0" w:space="0" w:color="auto"/>
                      </w:divBdr>
                      <w:divsChild>
                        <w:div w:id="1428119512">
                          <w:marLeft w:val="0"/>
                          <w:marRight w:val="0"/>
                          <w:marTop w:val="0"/>
                          <w:marBottom w:val="0"/>
                          <w:divBdr>
                            <w:top w:val="none" w:sz="0" w:space="0" w:color="auto"/>
                            <w:left w:val="none" w:sz="0" w:space="0" w:color="auto"/>
                            <w:bottom w:val="none" w:sz="0" w:space="0" w:color="auto"/>
                            <w:right w:val="none" w:sz="0" w:space="0" w:color="auto"/>
                          </w:divBdr>
                          <w:divsChild>
                            <w:div w:id="11227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16314">
      <w:bodyDiv w:val="1"/>
      <w:marLeft w:val="0"/>
      <w:marRight w:val="0"/>
      <w:marTop w:val="0"/>
      <w:marBottom w:val="0"/>
      <w:divBdr>
        <w:top w:val="none" w:sz="0" w:space="0" w:color="auto"/>
        <w:left w:val="none" w:sz="0" w:space="0" w:color="auto"/>
        <w:bottom w:val="none" w:sz="0" w:space="0" w:color="auto"/>
        <w:right w:val="none" w:sz="0" w:space="0" w:color="auto"/>
      </w:divBdr>
    </w:div>
    <w:div w:id="1436441129">
      <w:bodyDiv w:val="1"/>
      <w:marLeft w:val="0"/>
      <w:marRight w:val="0"/>
      <w:marTop w:val="0"/>
      <w:marBottom w:val="0"/>
      <w:divBdr>
        <w:top w:val="none" w:sz="0" w:space="0" w:color="auto"/>
        <w:left w:val="none" w:sz="0" w:space="0" w:color="auto"/>
        <w:bottom w:val="none" w:sz="0" w:space="0" w:color="auto"/>
        <w:right w:val="none" w:sz="0" w:space="0" w:color="auto"/>
      </w:divBdr>
    </w:div>
    <w:div w:id="1448625534">
      <w:bodyDiv w:val="1"/>
      <w:marLeft w:val="0"/>
      <w:marRight w:val="0"/>
      <w:marTop w:val="0"/>
      <w:marBottom w:val="0"/>
      <w:divBdr>
        <w:top w:val="none" w:sz="0" w:space="0" w:color="auto"/>
        <w:left w:val="none" w:sz="0" w:space="0" w:color="auto"/>
        <w:bottom w:val="none" w:sz="0" w:space="0" w:color="auto"/>
        <w:right w:val="none" w:sz="0" w:space="0" w:color="auto"/>
      </w:divBdr>
    </w:div>
    <w:div w:id="1479541729">
      <w:bodyDiv w:val="1"/>
      <w:marLeft w:val="0"/>
      <w:marRight w:val="0"/>
      <w:marTop w:val="0"/>
      <w:marBottom w:val="0"/>
      <w:divBdr>
        <w:top w:val="none" w:sz="0" w:space="0" w:color="auto"/>
        <w:left w:val="none" w:sz="0" w:space="0" w:color="auto"/>
        <w:bottom w:val="none" w:sz="0" w:space="0" w:color="auto"/>
        <w:right w:val="none" w:sz="0" w:space="0" w:color="auto"/>
      </w:divBdr>
      <w:divsChild>
        <w:div w:id="110326651">
          <w:marLeft w:val="0"/>
          <w:marRight w:val="0"/>
          <w:marTop w:val="0"/>
          <w:marBottom w:val="0"/>
          <w:divBdr>
            <w:top w:val="none" w:sz="0" w:space="0" w:color="auto"/>
            <w:left w:val="none" w:sz="0" w:space="0" w:color="auto"/>
            <w:bottom w:val="none" w:sz="0" w:space="0" w:color="auto"/>
            <w:right w:val="none" w:sz="0" w:space="0" w:color="auto"/>
          </w:divBdr>
          <w:divsChild>
            <w:div w:id="1568343684">
              <w:marLeft w:val="0"/>
              <w:marRight w:val="0"/>
              <w:marTop w:val="0"/>
              <w:marBottom w:val="0"/>
              <w:divBdr>
                <w:top w:val="none" w:sz="0" w:space="0" w:color="auto"/>
                <w:left w:val="none" w:sz="0" w:space="0" w:color="auto"/>
                <w:bottom w:val="none" w:sz="0" w:space="0" w:color="auto"/>
                <w:right w:val="none" w:sz="0" w:space="0" w:color="auto"/>
              </w:divBdr>
              <w:divsChild>
                <w:div w:id="1947615642">
                  <w:marLeft w:val="0"/>
                  <w:marRight w:val="0"/>
                  <w:marTop w:val="0"/>
                  <w:marBottom w:val="0"/>
                  <w:divBdr>
                    <w:top w:val="none" w:sz="0" w:space="0" w:color="auto"/>
                    <w:left w:val="none" w:sz="0" w:space="0" w:color="auto"/>
                    <w:bottom w:val="none" w:sz="0" w:space="0" w:color="auto"/>
                    <w:right w:val="none" w:sz="0" w:space="0" w:color="auto"/>
                  </w:divBdr>
                  <w:divsChild>
                    <w:div w:id="1596089314">
                      <w:marLeft w:val="0"/>
                      <w:marRight w:val="0"/>
                      <w:marTop w:val="0"/>
                      <w:marBottom w:val="0"/>
                      <w:divBdr>
                        <w:top w:val="none" w:sz="0" w:space="0" w:color="auto"/>
                        <w:left w:val="none" w:sz="0" w:space="0" w:color="auto"/>
                        <w:bottom w:val="none" w:sz="0" w:space="0" w:color="auto"/>
                        <w:right w:val="none" w:sz="0" w:space="0" w:color="auto"/>
                      </w:divBdr>
                      <w:divsChild>
                        <w:div w:id="2073849666">
                          <w:marLeft w:val="0"/>
                          <w:marRight w:val="0"/>
                          <w:marTop w:val="0"/>
                          <w:marBottom w:val="0"/>
                          <w:divBdr>
                            <w:top w:val="none" w:sz="0" w:space="0" w:color="auto"/>
                            <w:left w:val="none" w:sz="0" w:space="0" w:color="auto"/>
                            <w:bottom w:val="none" w:sz="0" w:space="0" w:color="auto"/>
                            <w:right w:val="none" w:sz="0" w:space="0" w:color="auto"/>
                          </w:divBdr>
                          <w:divsChild>
                            <w:div w:id="1629777781">
                              <w:marLeft w:val="0"/>
                              <w:marRight w:val="0"/>
                              <w:marTop w:val="0"/>
                              <w:marBottom w:val="0"/>
                              <w:divBdr>
                                <w:top w:val="none" w:sz="0" w:space="0" w:color="auto"/>
                                <w:left w:val="none" w:sz="0" w:space="0" w:color="auto"/>
                                <w:bottom w:val="none" w:sz="0" w:space="0" w:color="auto"/>
                                <w:right w:val="none" w:sz="0" w:space="0" w:color="auto"/>
                              </w:divBdr>
                              <w:divsChild>
                                <w:div w:id="1762988576">
                                  <w:marLeft w:val="0"/>
                                  <w:marRight w:val="0"/>
                                  <w:marTop w:val="0"/>
                                  <w:marBottom w:val="0"/>
                                  <w:divBdr>
                                    <w:top w:val="none" w:sz="0" w:space="0" w:color="auto"/>
                                    <w:left w:val="none" w:sz="0" w:space="0" w:color="auto"/>
                                    <w:bottom w:val="none" w:sz="0" w:space="0" w:color="auto"/>
                                    <w:right w:val="none" w:sz="0" w:space="0" w:color="auto"/>
                                  </w:divBdr>
                                  <w:divsChild>
                                    <w:div w:id="999964165">
                                      <w:marLeft w:val="0"/>
                                      <w:marRight w:val="0"/>
                                      <w:marTop w:val="0"/>
                                      <w:marBottom w:val="0"/>
                                      <w:divBdr>
                                        <w:top w:val="none" w:sz="0" w:space="0" w:color="auto"/>
                                        <w:left w:val="none" w:sz="0" w:space="0" w:color="auto"/>
                                        <w:bottom w:val="none" w:sz="0" w:space="0" w:color="auto"/>
                                        <w:right w:val="none" w:sz="0" w:space="0" w:color="auto"/>
                                      </w:divBdr>
                                      <w:divsChild>
                                        <w:div w:id="17942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9142">
      <w:bodyDiv w:val="1"/>
      <w:marLeft w:val="0"/>
      <w:marRight w:val="0"/>
      <w:marTop w:val="0"/>
      <w:marBottom w:val="0"/>
      <w:divBdr>
        <w:top w:val="none" w:sz="0" w:space="0" w:color="auto"/>
        <w:left w:val="none" w:sz="0" w:space="0" w:color="auto"/>
        <w:bottom w:val="none" w:sz="0" w:space="0" w:color="auto"/>
        <w:right w:val="none" w:sz="0" w:space="0" w:color="auto"/>
      </w:divBdr>
    </w:div>
    <w:div w:id="1691376067">
      <w:bodyDiv w:val="1"/>
      <w:marLeft w:val="0"/>
      <w:marRight w:val="0"/>
      <w:marTop w:val="0"/>
      <w:marBottom w:val="0"/>
      <w:divBdr>
        <w:top w:val="none" w:sz="0" w:space="0" w:color="auto"/>
        <w:left w:val="none" w:sz="0" w:space="0" w:color="auto"/>
        <w:bottom w:val="none" w:sz="0" w:space="0" w:color="auto"/>
        <w:right w:val="none" w:sz="0" w:space="0" w:color="auto"/>
      </w:divBdr>
    </w:div>
    <w:div w:id="1779716472">
      <w:bodyDiv w:val="1"/>
      <w:marLeft w:val="0"/>
      <w:marRight w:val="0"/>
      <w:marTop w:val="0"/>
      <w:marBottom w:val="0"/>
      <w:divBdr>
        <w:top w:val="none" w:sz="0" w:space="0" w:color="auto"/>
        <w:left w:val="none" w:sz="0" w:space="0" w:color="auto"/>
        <w:bottom w:val="none" w:sz="0" w:space="0" w:color="auto"/>
        <w:right w:val="none" w:sz="0" w:space="0" w:color="auto"/>
      </w:divBdr>
    </w:div>
    <w:div w:id="1838425577">
      <w:bodyDiv w:val="1"/>
      <w:marLeft w:val="0"/>
      <w:marRight w:val="0"/>
      <w:marTop w:val="0"/>
      <w:marBottom w:val="0"/>
      <w:divBdr>
        <w:top w:val="none" w:sz="0" w:space="0" w:color="auto"/>
        <w:left w:val="none" w:sz="0" w:space="0" w:color="auto"/>
        <w:bottom w:val="none" w:sz="0" w:space="0" w:color="auto"/>
        <w:right w:val="none" w:sz="0" w:space="0" w:color="auto"/>
      </w:divBdr>
    </w:div>
    <w:div w:id="1874688465">
      <w:bodyDiv w:val="1"/>
      <w:marLeft w:val="0"/>
      <w:marRight w:val="0"/>
      <w:marTop w:val="0"/>
      <w:marBottom w:val="0"/>
      <w:divBdr>
        <w:top w:val="none" w:sz="0" w:space="0" w:color="auto"/>
        <w:left w:val="none" w:sz="0" w:space="0" w:color="auto"/>
        <w:bottom w:val="none" w:sz="0" w:space="0" w:color="auto"/>
        <w:right w:val="none" w:sz="0" w:space="0" w:color="auto"/>
      </w:divBdr>
    </w:div>
    <w:div w:id="19054063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742">
          <w:marLeft w:val="0"/>
          <w:marRight w:val="0"/>
          <w:marTop w:val="0"/>
          <w:marBottom w:val="0"/>
          <w:divBdr>
            <w:top w:val="none" w:sz="0" w:space="0" w:color="auto"/>
            <w:left w:val="none" w:sz="0" w:space="0" w:color="auto"/>
            <w:bottom w:val="none" w:sz="0" w:space="0" w:color="auto"/>
            <w:right w:val="none" w:sz="0" w:space="0" w:color="auto"/>
          </w:divBdr>
          <w:divsChild>
            <w:div w:id="1124150764">
              <w:marLeft w:val="0"/>
              <w:marRight w:val="0"/>
              <w:marTop w:val="0"/>
              <w:marBottom w:val="0"/>
              <w:divBdr>
                <w:top w:val="none" w:sz="0" w:space="0" w:color="auto"/>
                <w:left w:val="none" w:sz="0" w:space="0" w:color="auto"/>
                <w:bottom w:val="none" w:sz="0" w:space="0" w:color="auto"/>
                <w:right w:val="none" w:sz="0" w:space="0" w:color="auto"/>
              </w:divBdr>
              <w:divsChild>
                <w:div w:id="1067266900">
                  <w:marLeft w:val="0"/>
                  <w:marRight w:val="0"/>
                  <w:marTop w:val="0"/>
                  <w:marBottom w:val="0"/>
                  <w:divBdr>
                    <w:top w:val="none" w:sz="0" w:space="0" w:color="auto"/>
                    <w:left w:val="none" w:sz="0" w:space="0" w:color="auto"/>
                    <w:bottom w:val="none" w:sz="0" w:space="0" w:color="auto"/>
                    <w:right w:val="none" w:sz="0" w:space="0" w:color="auto"/>
                  </w:divBdr>
                  <w:divsChild>
                    <w:div w:id="585504087">
                      <w:marLeft w:val="0"/>
                      <w:marRight w:val="0"/>
                      <w:marTop w:val="0"/>
                      <w:marBottom w:val="0"/>
                      <w:divBdr>
                        <w:top w:val="none" w:sz="0" w:space="0" w:color="auto"/>
                        <w:left w:val="none" w:sz="0" w:space="0" w:color="auto"/>
                        <w:bottom w:val="none" w:sz="0" w:space="0" w:color="auto"/>
                        <w:right w:val="none" w:sz="0" w:space="0" w:color="auto"/>
                      </w:divBdr>
                      <w:divsChild>
                        <w:div w:id="1304576135">
                          <w:marLeft w:val="0"/>
                          <w:marRight w:val="0"/>
                          <w:marTop w:val="0"/>
                          <w:marBottom w:val="0"/>
                          <w:divBdr>
                            <w:top w:val="none" w:sz="0" w:space="0" w:color="auto"/>
                            <w:left w:val="none" w:sz="0" w:space="0" w:color="auto"/>
                            <w:bottom w:val="none" w:sz="0" w:space="0" w:color="auto"/>
                            <w:right w:val="none" w:sz="0" w:space="0" w:color="auto"/>
                          </w:divBdr>
                          <w:divsChild>
                            <w:div w:id="1424569106">
                              <w:marLeft w:val="0"/>
                              <w:marRight w:val="0"/>
                              <w:marTop w:val="0"/>
                              <w:marBottom w:val="0"/>
                              <w:divBdr>
                                <w:top w:val="none" w:sz="0" w:space="0" w:color="auto"/>
                                <w:left w:val="none" w:sz="0" w:space="0" w:color="auto"/>
                                <w:bottom w:val="none" w:sz="0" w:space="0" w:color="auto"/>
                                <w:right w:val="none" w:sz="0" w:space="0" w:color="auto"/>
                              </w:divBdr>
                              <w:divsChild>
                                <w:div w:id="833449373">
                                  <w:marLeft w:val="0"/>
                                  <w:marRight w:val="0"/>
                                  <w:marTop w:val="0"/>
                                  <w:marBottom w:val="0"/>
                                  <w:divBdr>
                                    <w:top w:val="none" w:sz="0" w:space="0" w:color="auto"/>
                                    <w:left w:val="none" w:sz="0" w:space="0" w:color="auto"/>
                                    <w:bottom w:val="none" w:sz="0" w:space="0" w:color="auto"/>
                                    <w:right w:val="none" w:sz="0" w:space="0" w:color="auto"/>
                                  </w:divBdr>
                                  <w:divsChild>
                                    <w:div w:id="16761036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033592">
      <w:bodyDiv w:val="1"/>
      <w:marLeft w:val="0"/>
      <w:marRight w:val="0"/>
      <w:marTop w:val="0"/>
      <w:marBottom w:val="0"/>
      <w:divBdr>
        <w:top w:val="none" w:sz="0" w:space="0" w:color="auto"/>
        <w:left w:val="none" w:sz="0" w:space="0" w:color="auto"/>
        <w:bottom w:val="none" w:sz="0" w:space="0" w:color="auto"/>
        <w:right w:val="none" w:sz="0" w:space="0" w:color="auto"/>
      </w:divBdr>
    </w:div>
    <w:div w:id="1982149311">
      <w:bodyDiv w:val="1"/>
      <w:marLeft w:val="0"/>
      <w:marRight w:val="0"/>
      <w:marTop w:val="0"/>
      <w:marBottom w:val="0"/>
      <w:divBdr>
        <w:top w:val="none" w:sz="0" w:space="0" w:color="auto"/>
        <w:left w:val="none" w:sz="0" w:space="0" w:color="auto"/>
        <w:bottom w:val="none" w:sz="0" w:space="0" w:color="auto"/>
        <w:right w:val="none" w:sz="0" w:space="0" w:color="auto"/>
      </w:divBdr>
      <w:divsChild>
        <w:div w:id="1767457169">
          <w:marLeft w:val="0"/>
          <w:marRight w:val="0"/>
          <w:marTop w:val="0"/>
          <w:marBottom w:val="0"/>
          <w:divBdr>
            <w:top w:val="none" w:sz="0" w:space="0" w:color="auto"/>
            <w:left w:val="none" w:sz="0" w:space="0" w:color="auto"/>
            <w:bottom w:val="none" w:sz="0" w:space="0" w:color="auto"/>
            <w:right w:val="none" w:sz="0" w:space="0" w:color="auto"/>
          </w:divBdr>
        </w:div>
      </w:divsChild>
    </w:div>
    <w:div w:id="211828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37</ap:Pages>
  <ap:Words>17331</ap:Words>
  <ap:Characters>100247</ap:Characters>
  <ap:DocSecurity>0</ap:DocSecurity>
  <ap:Lines>835</ap:Lines>
  <ap:Paragraphs>234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117344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2022-10-07T08:33:00.0000000Z</dcterms:created>
  <dcterms:modified xsi:type="dcterms:W3CDTF">2022-10-07T08:33:00.0000000Z</dcterms:modified>
  <version/>
  <category/>
</coreProperties>
</file>