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2161" w:rsidR="00A828E3" w:rsidRDefault="00E02D08" w14:paraId="1D58C16C" w14:textId="74F7AE7B">
      <w:pPr>
        <w:pStyle w:val="PlatteTekst"/>
        <w:rPr>
          <w:szCs w:val="18"/>
        </w:rPr>
        <w:sectPr w:rsidRPr="00602161"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02161">
        <w:rPr>
          <w:noProof/>
          <w:szCs w:val="18"/>
          <w:lang w:eastAsia="nl-NL"/>
        </w:rPr>
        <mc:AlternateContent>
          <mc:Choice Requires="wps">
            <w:drawing>
              <wp:anchor distT="0" distB="269875" distL="114300" distR="114300" simplePos="0" relativeHeight="251661312"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60B7BC26">
                            <w:pPr>
                              <w:pStyle w:val="Huisstijl-Agendatitel"/>
                              <w:ind w:left="0" w:firstLine="0"/>
                              <w:jc w:val="right"/>
                            </w:pPr>
                            <w:r>
                              <w:t xml:space="preserve">Commissie </w:t>
                            </w:r>
                            <w:r w:rsidR="00736908">
                              <w:t>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C4E24" w14:paraId="258EB843" w14:textId="65A914E0">
                            <w:pPr>
                              <w:pStyle w:val="Huisstijl-Agendatitel"/>
                              <w:ind w:left="0" w:firstLine="0"/>
                              <w:jc w:val="right"/>
                            </w:pPr>
                            <w:r>
                              <w:t>7</w:t>
                            </w:r>
                            <w:bookmarkStart w:name="_GoBack" w:id="0"/>
                            <w:bookmarkEnd w:id="0"/>
                            <w:r w:rsidR="005D5F00">
                              <w:t xml:space="preserve"> </w:t>
                            </w:r>
                            <w:r w:rsidR="00E7624E">
                              <w:t>september</w:t>
                            </w:r>
                            <w:r w:rsidR="00E02D08">
                              <w:t xml:space="preserve"> 202</w:t>
                            </w:r>
                            <w:r w:rsidR="00E7624E">
                              <w:t>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1312;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60B7BC26">
                      <w:pPr>
                        <w:pStyle w:val="Huisstijl-Agendatitel"/>
                        <w:ind w:left="0" w:firstLine="0"/>
                        <w:jc w:val="right"/>
                      </w:pPr>
                      <w:r>
                        <w:t xml:space="preserve">Commissie </w:t>
                      </w:r>
                      <w:r w:rsidR="00736908">
                        <w:t>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C4E24" w14:paraId="258EB843" w14:textId="65A914E0">
                      <w:pPr>
                        <w:pStyle w:val="Huisstijl-Agendatitel"/>
                        <w:ind w:left="0" w:firstLine="0"/>
                        <w:jc w:val="right"/>
                      </w:pPr>
                      <w:r>
                        <w:t>7</w:t>
                      </w:r>
                      <w:bookmarkStart w:name="_GoBack" w:id="1"/>
                      <w:bookmarkEnd w:id="1"/>
                      <w:r w:rsidR="005D5F00">
                        <w:t xml:space="preserve"> </w:t>
                      </w:r>
                      <w:r w:rsidR="00E7624E">
                        <w:t>september</w:t>
                      </w:r>
                      <w:r w:rsidR="00E02D08">
                        <w:t xml:space="preserve"> 202</w:t>
                      </w:r>
                      <w:r w:rsidR="00E7624E">
                        <w:t>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602161"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Pr="00602161" w:rsidR="00E02D08" w:rsidP="00C727FA" w:rsidRDefault="00E02D08" w14:paraId="05CDB571" w14:textId="47CE6B3B">
      <w:pPr>
        <w:rPr>
          <w:b/>
          <w:szCs w:val="18"/>
        </w:rPr>
      </w:pPr>
      <w:r w:rsidRPr="00602161">
        <w:rPr>
          <w:b/>
          <w:szCs w:val="18"/>
        </w:rPr>
        <w:t xml:space="preserve">Lijst van nieuwe EU-voorstellen </w:t>
      </w:r>
    </w:p>
    <w:p w:rsidRPr="00602161" w:rsidR="00E02D08" w:rsidP="00C727FA" w:rsidRDefault="00E02D08" w14:paraId="54F4943E" w14:textId="77777777">
      <w:pPr>
        <w:rPr>
          <w:b/>
          <w:szCs w:val="18"/>
        </w:rPr>
      </w:pPr>
    </w:p>
    <w:p w:rsidRPr="00602161" w:rsidR="005115F8" w:rsidP="005115F8" w:rsidRDefault="005115F8" w14:paraId="3EB199E6" w14:textId="3AA165EE">
      <w:pPr>
        <w:pStyle w:val="Normaalweb"/>
        <w:rPr>
          <w:rFonts w:ascii="Verdana" w:hAnsi="Verdana"/>
          <w:sz w:val="18"/>
          <w:szCs w:val="18"/>
        </w:rPr>
      </w:pPr>
      <w:r w:rsidRPr="00602161">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w:t>
      </w:r>
      <w:r w:rsidRPr="00602161" w:rsidR="00602161">
        <w:rPr>
          <w:rFonts w:ascii="Verdana" w:hAnsi="Verdana"/>
          <w:sz w:val="18"/>
          <w:szCs w:val="18"/>
        </w:rPr>
        <w:t>en aan de Tweede Kamer gestuurd</w:t>
      </w:r>
      <w:r w:rsidRPr="00602161" w:rsidR="00602161">
        <w:rPr>
          <w:rStyle w:val="Voetnootmarkering"/>
          <w:rFonts w:ascii="Verdana" w:hAnsi="Verdana"/>
          <w:sz w:val="18"/>
          <w:szCs w:val="18"/>
        </w:rPr>
        <w:footnoteReference w:id="1"/>
      </w:r>
      <w:r w:rsidRPr="00602161">
        <w:rPr>
          <w:rFonts w:ascii="Verdana" w:hAnsi="Verdana"/>
          <w:sz w:val="18"/>
          <w:szCs w:val="18"/>
        </w:rPr>
        <w:t xml:space="preserve">: </w:t>
      </w:r>
    </w:p>
    <w:p w:rsidRPr="00602161" w:rsidR="00820149" w:rsidP="00C727FA" w:rsidRDefault="00820149" w14:paraId="594D8C14" w14:textId="7519FF2E">
      <w:pPr>
        <w:rPr>
          <w:szCs w:val="18"/>
        </w:rPr>
      </w:pPr>
    </w:p>
    <w:p w:rsidRPr="00602161" w:rsidR="00820149" w:rsidP="00820149" w:rsidRDefault="00D27FE7" w14:paraId="015F6DB1" w14:textId="088DF86F">
      <w:pPr>
        <w:pStyle w:val="Lijstalinea"/>
        <w:numPr>
          <w:ilvl w:val="0"/>
          <w:numId w:val="2"/>
        </w:numPr>
        <w:rPr>
          <w:b/>
          <w:szCs w:val="18"/>
        </w:rPr>
      </w:pPr>
      <w:r w:rsidRPr="00602161">
        <w:rPr>
          <w:b/>
          <w:szCs w:val="18"/>
        </w:rPr>
        <w:t>Nieuw voorgestelde EU-w</w:t>
      </w:r>
      <w:r w:rsidRPr="00602161" w:rsidR="00820149">
        <w:rPr>
          <w:b/>
          <w:szCs w:val="18"/>
        </w:rPr>
        <w:t>etgeving</w:t>
      </w:r>
      <w:r w:rsidRPr="00602161" w:rsidR="00E02D08">
        <w:rPr>
          <w:rStyle w:val="Voetnootmarkering"/>
          <w:b/>
          <w:szCs w:val="18"/>
        </w:rPr>
        <w:br/>
      </w:r>
      <w:r w:rsidRPr="00602161" w:rsidR="00E02D08">
        <w:rPr>
          <w:szCs w:val="18"/>
        </w:rPr>
        <w:t>(Verordeningen, richtlijnen en wetgevende besluiten)</w:t>
      </w:r>
    </w:p>
    <w:p w:rsidRPr="00602161"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602161" w:rsidR="002A4BD8" w:rsidP="003A21AA" w:rsidRDefault="002A4BD8" w14:paraId="417B6F7B"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2A4BD8" w:rsidP="003A21AA" w:rsidRDefault="009E794D" w14:paraId="3770AB7C" w14:textId="5E9884B8">
            <w:pPr>
              <w:spacing w:after="240"/>
              <w:rPr>
                <w:szCs w:val="18"/>
                <w:lang w:val="en-US" w:eastAsia="nl-NL"/>
              </w:rPr>
            </w:pPr>
            <w:r w:rsidRPr="00602161">
              <w:rPr>
                <w:szCs w:val="18"/>
              </w:rPr>
              <w:t xml:space="preserve">Voorstel voor een VERORDENING VAN DE RAAD tot wijziging van bijlage I bij Verordening (EEG) nr. 2658/87 met betrekking tot de tarief- en statistieknomenclatuur en het gemeenschappelijk douanetarief </w:t>
            </w:r>
            <w:hyperlink w:history="1" r:id="rId15">
              <w:r w:rsidRPr="00602161" w:rsidR="0046653A">
                <w:rPr>
                  <w:rStyle w:val="Hyperlink"/>
                  <w:szCs w:val="18"/>
                  <w:lang w:val="en-US"/>
                </w:rPr>
                <w:t>COM(2022)359</w:t>
              </w:r>
            </w:hyperlink>
          </w:p>
        </w:tc>
      </w:tr>
      <w:tr w:rsidRPr="00602161"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2A4BD8" w:rsidP="003A21AA" w:rsidRDefault="002A4BD8" w14:paraId="67A0B1CB" w14:textId="77777777">
            <w:pPr>
              <w:spacing w:after="240"/>
              <w:rPr>
                <w:szCs w:val="18"/>
              </w:rPr>
            </w:pPr>
          </w:p>
        </w:tc>
        <w:tc>
          <w:tcPr>
            <w:tcW w:w="1035" w:type="dxa"/>
          </w:tcPr>
          <w:p w:rsidRPr="00602161" w:rsidR="002A4BD8" w:rsidP="003A21AA" w:rsidRDefault="002A4BD8" w14:paraId="1AD1B08F" w14:textId="77777777">
            <w:pPr>
              <w:spacing w:after="240"/>
              <w:rPr>
                <w:szCs w:val="18"/>
              </w:rPr>
            </w:pPr>
            <w:r w:rsidRPr="00602161">
              <w:rPr>
                <w:szCs w:val="18"/>
              </w:rPr>
              <w:t>Voorstel</w:t>
            </w:r>
          </w:p>
        </w:tc>
        <w:tc>
          <w:tcPr>
            <w:tcW w:w="6529" w:type="dxa"/>
          </w:tcPr>
          <w:p w:rsidRPr="00602161" w:rsidR="002A4BD8" w:rsidP="003A21AA" w:rsidRDefault="009E794D" w14:paraId="796F226E" w14:textId="40089C56">
            <w:pPr>
              <w:spacing w:after="240"/>
              <w:rPr>
                <w:szCs w:val="18"/>
              </w:rPr>
            </w:pPr>
            <w:r w:rsidRPr="00602161">
              <w:rPr>
                <w:szCs w:val="18"/>
              </w:rPr>
              <w:t>Via de gebruikelijke route behandelen, waarbij het voorstel en het nog te ontvangen BNC-fiche worden geagendeerd voor een schriftelijk overleg.</w:t>
            </w:r>
          </w:p>
        </w:tc>
      </w:tr>
      <w:tr w:rsidRPr="00602161"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2A4BD8" w:rsidP="003A21AA" w:rsidRDefault="002A4BD8" w14:paraId="17A999B7" w14:textId="77777777">
            <w:pPr>
              <w:spacing w:after="240"/>
              <w:rPr>
                <w:color w:val="595959" w:themeColor="text1" w:themeTint="A6"/>
                <w:szCs w:val="18"/>
              </w:rPr>
            </w:pPr>
          </w:p>
        </w:tc>
        <w:tc>
          <w:tcPr>
            <w:tcW w:w="1035" w:type="dxa"/>
          </w:tcPr>
          <w:p w:rsidRPr="00602161" w:rsidR="002A4BD8" w:rsidP="003A21AA" w:rsidRDefault="002A4BD8" w14:paraId="607AB8A0"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2A4BD8" w:rsidP="00A602F4" w:rsidRDefault="009E794D" w14:paraId="5F09C656" w14:textId="0D99264F">
            <w:pPr>
              <w:spacing w:after="240"/>
              <w:rPr>
                <w:color w:val="595959" w:themeColor="text1" w:themeTint="A6"/>
                <w:szCs w:val="18"/>
              </w:rPr>
            </w:pPr>
            <w:r w:rsidRPr="00602161">
              <w:rPr>
                <w:color w:val="595959" w:themeColor="text1" w:themeTint="A6"/>
                <w:szCs w:val="18"/>
              </w:rPr>
              <w:t xml:space="preserve">Het voorstel beoogt de tijdelijke schorsing van het gemeenschappelijk douanetarief </w:t>
            </w:r>
            <w:r w:rsidRPr="00602161" w:rsidR="00A602F4">
              <w:rPr>
                <w:color w:val="595959" w:themeColor="text1" w:themeTint="A6"/>
                <w:szCs w:val="18"/>
              </w:rPr>
              <w:t>die</w:t>
            </w:r>
            <w:r w:rsidRPr="00602161">
              <w:rPr>
                <w:color w:val="595959" w:themeColor="text1" w:themeTint="A6"/>
                <w:szCs w:val="18"/>
              </w:rPr>
              <w:t xml:space="preserve"> van toepassing </w:t>
            </w:r>
            <w:r w:rsidRPr="00602161" w:rsidR="00A602F4">
              <w:rPr>
                <w:color w:val="595959" w:themeColor="text1" w:themeTint="A6"/>
                <w:szCs w:val="18"/>
              </w:rPr>
              <w:t>is</w:t>
            </w:r>
            <w:r w:rsidRPr="00602161">
              <w:rPr>
                <w:color w:val="595959" w:themeColor="text1" w:themeTint="A6"/>
                <w:szCs w:val="18"/>
              </w:rPr>
              <w:t xml:space="preserve"> op goederen die worden gebruikt voor de productie van stikstofhoudende meststoffen. </w:t>
            </w:r>
            <w:r w:rsidRPr="00602161" w:rsidR="00A602F4">
              <w:rPr>
                <w:color w:val="595959" w:themeColor="text1" w:themeTint="A6"/>
                <w:szCs w:val="18"/>
              </w:rPr>
              <w:t>Doel is</w:t>
            </w:r>
            <w:r w:rsidRPr="00602161">
              <w:rPr>
                <w:color w:val="595959" w:themeColor="text1" w:themeTint="A6"/>
                <w:szCs w:val="18"/>
              </w:rPr>
              <w:t xml:space="preserve"> de kosten voor de meststoffenproducenten in de EU te drukken en </w:t>
            </w:r>
            <w:r w:rsidRPr="00602161" w:rsidR="00A602F4">
              <w:rPr>
                <w:color w:val="595959" w:themeColor="text1" w:themeTint="A6"/>
                <w:szCs w:val="18"/>
              </w:rPr>
              <w:t xml:space="preserve">daarmee </w:t>
            </w:r>
            <w:r w:rsidRPr="00602161">
              <w:rPr>
                <w:color w:val="595959" w:themeColor="text1" w:themeTint="A6"/>
                <w:szCs w:val="18"/>
              </w:rPr>
              <w:t>de kosten voor de landbouwers in de EU te verlagen.</w:t>
            </w:r>
            <w:r w:rsidRPr="00602161">
              <w:rPr>
                <w:color w:val="000000"/>
                <w:szCs w:val="18"/>
                <w:shd w:val="clear" w:color="auto" w:fill="FFFFFF"/>
              </w:rPr>
              <w:t> </w:t>
            </w:r>
          </w:p>
        </w:tc>
      </w:tr>
    </w:tbl>
    <w:p w:rsidRPr="00602161" w:rsidR="002A4BD8" w:rsidP="002A4BD8" w:rsidRDefault="002A4BD8" w14:paraId="597C8652" w14:textId="2B3AF35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0C6E19" w:rsidTr="00FE1CF4" w14:paraId="0EF6858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0C6E19" w:rsidP="00FE1CF4" w:rsidRDefault="000C6E19" w14:paraId="40E6987E" w14:textId="77777777">
            <w:pPr>
              <w:pStyle w:val="Lijstalinea"/>
              <w:numPr>
                <w:ilvl w:val="0"/>
                <w:numId w:val="10"/>
              </w:numPr>
              <w:spacing w:after="240"/>
              <w:ind w:left="312"/>
              <w:rPr>
                <w:color w:val="595959" w:themeColor="text1" w:themeTint="A6"/>
                <w:szCs w:val="18"/>
              </w:rPr>
            </w:pPr>
          </w:p>
        </w:tc>
        <w:tc>
          <w:tcPr>
            <w:tcW w:w="1035" w:type="dxa"/>
          </w:tcPr>
          <w:p w:rsidRPr="00602161" w:rsidR="000C6E19" w:rsidP="00FE1CF4" w:rsidRDefault="000C6E19" w14:paraId="6974E659"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0C6E19" w:rsidP="00FE1CF4" w:rsidRDefault="000C6E19" w14:paraId="44B5D699" w14:textId="77777777">
            <w:pPr>
              <w:shd w:val="clear" w:color="auto" w:fill="FFFFFF"/>
              <w:spacing w:after="75"/>
              <w:rPr>
                <w:szCs w:val="18"/>
                <w:lang w:eastAsia="nl-NL"/>
              </w:rPr>
            </w:pPr>
            <w:r w:rsidRPr="00602161">
              <w:rPr>
                <w:szCs w:val="18"/>
              </w:rPr>
              <w:t xml:space="preserve">Voorstel voor een BESLUIT VAN HET EUROPEES PARLEMENT EN DE RAAD tot toekenning van buitengewone </w:t>
            </w:r>
            <w:proofErr w:type="spellStart"/>
            <w:r w:rsidRPr="00602161">
              <w:rPr>
                <w:szCs w:val="18"/>
              </w:rPr>
              <w:t>macrofinanciële</w:t>
            </w:r>
            <w:proofErr w:type="spellEnd"/>
            <w:r w:rsidRPr="00602161">
              <w:rPr>
                <w:szCs w:val="18"/>
              </w:rPr>
              <w:t xml:space="preserve"> bijstand aan Oekraïne </w:t>
            </w:r>
            <w:hyperlink w:history="1" r:id="rId16">
              <w:r w:rsidRPr="00602161">
                <w:rPr>
                  <w:rStyle w:val="Hyperlink"/>
                  <w:szCs w:val="18"/>
                </w:rPr>
                <w:t>COM/2022/450</w:t>
              </w:r>
            </w:hyperlink>
          </w:p>
        </w:tc>
      </w:tr>
      <w:tr w:rsidRPr="00602161" w:rsidR="000C6E19" w:rsidTr="00FE1CF4" w14:paraId="1166873E"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0C6E19" w:rsidP="000C6E19" w:rsidRDefault="000C6E19" w14:paraId="226C31C7" w14:textId="77777777">
            <w:pPr>
              <w:spacing w:after="240"/>
              <w:rPr>
                <w:szCs w:val="18"/>
              </w:rPr>
            </w:pPr>
          </w:p>
        </w:tc>
        <w:tc>
          <w:tcPr>
            <w:tcW w:w="1035" w:type="dxa"/>
          </w:tcPr>
          <w:p w:rsidRPr="00602161" w:rsidR="000C6E19" w:rsidP="000C6E19" w:rsidRDefault="000C6E19" w14:paraId="2BBE7490" w14:textId="77777777">
            <w:pPr>
              <w:spacing w:after="240"/>
              <w:rPr>
                <w:szCs w:val="18"/>
              </w:rPr>
            </w:pPr>
            <w:r w:rsidRPr="00602161">
              <w:rPr>
                <w:szCs w:val="18"/>
              </w:rPr>
              <w:t>Voorstel</w:t>
            </w:r>
          </w:p>
        </w:tc>
        <w:tc>
          <w:tcPr>
            <w:tcW w:w="6529" w:type="dxa"/>
          </w:tcPr>
          <w:p w:rsidRPr="00602161" w:rsidR="000C6E19" w:rsidP="000C6E19" w:rsidRDefault="000C6E19" w14:paraId="448A86EA" w14:textId="17663776">
            <w:pPr>
              <w:spacing w:after="240"/>
              <w:rPr>
                <w:szCs w:val="18"/>
              </w:rPr>
            </w:pPr>
            <w:r w:rsidRPr="00602161">
              <w:rPr>
                <w:szCs w:val="18"/>
              </w:rPr>
              <w:t>Via de gebruikelijke route behandelen, waarbij het voorstel en het nog te ontvangen BNC-fiche worden geagendeerd voor een schriftelijk overleg.</w:t>
            </w:r>
          </w:p>
        </w:tc>
      </w:tr>
      <w:tr w:rsidRPr="00602161" w:rsidR="000C6E19" w:rsidTr="00FE1CF4" w14:paraId="6690B324"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0C6E19" w:rsidP="000C6E19" w:rsidRDefault="000C6E19" w14:paraId="255F0CE6" w14:textId="77777777">
            <w:pPr>
              <w:spacing w:after="240"/>
              <w:rPr>
                <w:color w:val="595959" w:themeColor="text1" w:themeTint="A6"/>
                <w:szCs w:val="18"/>
              </w:rPr>
            </w:pPr>
          </w:p>
        </w:tc>
        <w:tc>
          <w:tcPr>
            <w:tcW w:w="1035" w:type="dxa"/>
          </w:tcPr>
          <w:p w:rsidRPr="00602161" w:rsidR="000C6E19" w:rsidP="000C6E19" w:rsidRDefault="000C6E19" w14:paraId="4A7E8FF2"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0C6E19" w:rsidP="000C6E19" w:rsidRDefault="000C6E19" w14:paraId="7465202F" w14:textId="6D753D23">
            <w:pPr>
              <w:spacing w:after="240"/>
              <w:rPr>
                <w:color w:val="595959" w:themeColor="text1" w:themeTint="A6"/>
                <w:szCs w:val="18"/>
              </w:rPr>
            </w:pPr>
            <w:r w:rsidRPr="00602161">
              <w:rPr>
                <w:color w:val="595959" w:themeColor="text1" w:themeTint="A6"/>
                <w:szCs w:val="18"/>
              </w:rPr>
              <w:t>Om in de onmiddellijke financieringsbehoeften van Oekraïne te voorzien, doet de Commissie een voorstel voor een besluit tot toekenning van aanvullende</w:t>
            </w:r>
            <w:r w:rsidRPr="00602161">
              <w:rPr>
                <w:szCs w:val="18"/>
              </w:rPr>
              <w:t xml:space="preserve"> </w:t>
            </w:r>
            <w:proofErr w:type="spellStart"/>
            <w:r w:rsidRPr="00602161">
              <w:rPr>
                <w:color w:val="595959" w:themeColor="text1" w:themeTint="A6"/>
                <w:szCs w:val="18"/>
              </w:rPr>
              <w:t>macrofinanciële</w:t>
            </w:r>
            <w:proofErr w:type="spellEnd"/>
            <w:r w:rsidRPr="00602161">
              <w:rPr>
                <w:color w:val="595959" w:themeColor="text1" w:themeTint="A6"/>
                <w:szCs w:val="18"/>
              </w:rPr>
              <w:t xml:space="preserve"> bijstand (MFB) van maximaal 1 miljard EUR aan Oekraïne in de vorm van een zeer tijdelijke langlopende lening. Deze MFB wordt beschouwd als het eerste deel en de Commissie is voornemens zo spoedig mogelijk met een voorstel voor het tweede deel van 5 miljard EUR te komen. De lening zal een beschikbaarheidsperiode van één jaar hebben en in één tranche worden uitbetaald, die in een of meer tranches kan worden opgesplitst. Een memorandum van overeenstemming (hierna „</w:t>
            </w:r>
            <w:proofErr w:type="spellStart"/>
            <w:r w:rsidRPr="00602161">
              <w:rPr>
                <w:color w:val="595959" w:themeColor="text1" w:themeTint="A6"/>
                <w:szCs w:val="18"/>
              </w:rPr>
              <w:t>MvO</w:t>
            </w:r>
            <w:proofErr w:type="spellEnd"/>
            <w:r w:rsidRPr="00602161">
              <w:rPr>
                <w:color w:val="595959" w:themeColor="text1" w:themeTint="A6"/>
                <w:szCs w:val="18"/>
              </w:rPr>
              <w:t xml:space="preserve">” genoemd), dat met de Oekraïense autoriteiten moet worden overeengekomen, zal zorgen voor meer transparantie en </w:t>
            </w:r>
            <w:r w:rsidRPr="00602161">
              <w:rPr>
                <w:color w:val="595959" w:themeColor="text1" w:themeTint="A6"/>
                <w:szCs w:val="18"/>
              </w:rPr>
              <w:lastRenderedPageBreak/>
              <w:t>verslaglegging over het gebruik van middelen. De voorgestelde tranche van 1 miljard EUR zal worden gedekt door voorzieningen die beschikbaar zijn uit de EU-begroting.</w:t>
            </w:r>
          </w:p>
        </w:tc>
      </w:tr>
    </w:tbl>
    <w:p w:rsidRPr="00602161" w:rsidR="000C6E19" w:rsidP="002A4BD8" w:rsidRDefault="000C6E19" w14:paraId="0F964499" w14:textId="77777777">
      <w:pPr>
        <w:rPr>
          <w:szCs w:val="18"/>
        </w:rPr>
      </w:pPr>
    </w:p>
    <w:p w:rsidRPr="00602161" w:rsidR="006E5214" w:rsidP="002A4BD8" w:rsidRDefault="006E5214" w14:paraId="6D6A1961" w14:textId="77777777">
      <w:pPr>
        <w:rPr>
          <w:szCs w:val="18"/>
        </w:rPr>
      </w:pPr>
    </w:p>
    <w:p w:rsidRPr="00602161" w:rsidR="00820149" w:rsidP="00820149" w:rsidRDefault="00D27FE7" w14:paraId="56C0CBEE" w14:textId="2B17A68E">
      <w:pPr>
        <w:pStyle w:val="Lijstalinea"/>
        <w:numPr>
          <w:ilvl w:val="0"/>
          <w:numId w:val="2"/>
        </w:numPr>
        <w:rPr>
          <w:b/>
          <w:szCs w:val="18"/>
        </w:rPr>
      </w:pPr>
      <w:r w:rsidRPr="00602161">
        <w:rPr>
          <w:b/>
          <w:szCs w:val="18"/>
        </w:rPr>
        <w:t>Nieuwe</w:t>
      </w:r>
      <w:r w:rsidRPr="00602161" w:rsidR="008C43A5">
        <w:rPr>
          <w:b/>
          <w:szCs w:val="18"/>
        </w:rPr>
        <w:t xml:space="preserve"> EU-</w:t>
      </w:r>
      <w:r w:rsidRPr="00602161" w:rsidR="006E2C94">
        <w:rPr>
          <w:b/>
          <w:szCs w:val="18"/>
        </w:rPr>
        <w:t>documenten</w:t>
      </w:r>
      <w:r w:rsidRPr="00602161">
        <w:rPr>
          <w:b/>
          <w:szCs w:val="18"/>
        </w:rPr>
        <w:t xml:space="preserve"> van niet-wetgevende aard </w:t>
      </w:r>
      <w:r w:rsidRPr="00602161" w:rsidR="00E02D08">
        <w:rPr>
          <w:b/>
          <w:szCs w:val="18"/>
        </w:rPr>
        <w:br/>
      </w:r>
      <w:r w:rsidRPr="00602161" w:rsidR="00E02D08">
        <w:rPr>
          <w:szCs w:val="18"/>
        </w:rPr>
        <w:t>(M</w:t>
      </w:r>
      <w:r w:rsidRPr="00602161" w:rsidR="00820149">
        <w:rPr>
          <w:szCs w:val="18"/>
        </w:rPr>
        <w:t>edede</w:t>
      </w:r>
      <w:r w:rsidRPr="00602161">
        <w:rPr>
          <w:szCs w:val="18"/>
        </w:rPr>
        <w:t>lingen, aanbevelingen, actieplannen, consultaties, etc.</w:t>
      </w:r>
      <w:r w:rsidRPr="00602161" w:rsidR="00E02D08">
        <w:rPr>
          <w:szCs w:val="18"/>
        </w:rPr>
        <w:t>)</w:t>
      </w:r>
    </w:p>
    <w:p w:rsidRPr="00602161"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602161" w:rsidR="00D75535" w:rsidP="002A4BD8" w:rsidRDefault="00D75535" w14:paraId="3A1FD66E" w14:textId="77D9BD0E">
            <w:pPr>
              <w:spacing w:after="240"/>
              <w:rPr>
                <w:color w:val="595959" w:themeColor="text1" w:themeTint="A6"/>
                <w:szCs w:val="18"/>
              </w:rPr>
            </w:pPr>
            <w:r w:rsidRPr="00602161">
              <w:rPr>
                <w:color w:val="595959" w:themeColor="text1" w:themeTint="A6"/>
                <w:szCs w:val="18"/>
              </w:rPr>
              <w:t>Titel</w:t>
            </w:r>
          </w:p>
        </w:tc>
        <w:tc>
          <w:tcPr>
            <w:tcW w:w="6529" w:type="dxa"/>
          </w:tcPr>
          <w:p w:rsidRPr="00602161" w:rsidR="00D75535" w:rsidP="00A602F4" w:rsidRDefault="005D5F00" w14:paraId="72720F3A" w14:textId="07EA690C">
            <w:pPr>
              <w:shd w:val="clear" w:color="auto" w:fill="FFFFFF"/>
              <w:spacing w:after="75"/>
              <w:rPr>
                <w:szCs w:val="18"/>
                <w:lang w:eastAsia="nl-NL"/>
              </w:rPr>
            </w:pPr>
            <w:r w:rsidRPr="00602161">
              <w:rPr>
                <w:szCs w:val="18"/>
              </w:rPr>
              <w:t xml:space="preserve">VERSLAG VAN DE COMMISSIE AAN HET EUROPEES PARLEMENT, DE RAAD EN DE EUROPESE CENTRALE BANK betreffende de uitvoering en de resultaten van het </w:t>
            </w:r>
            <w:proofErr w:type="spellStart"/>
            <w:r w:rsidRPr="00602161">
              <w:rPr>
                <w:szCs w:val="18"/>
              </w:rPr>
              <w:t>Pericles</w:t>
            </w:r>
            <w:proofErr w:type="spellEnd"/>
            <w:r w:rsidRPr="00602161">
              <w:rPr>
                <w:szCs w:val="18"/>
              </w:rPr>
              <w:t xml:space="preserve"> IV-programma voor de bescherming van de euro tegen valsemunterij in 2021 </w:t>
            </w:r>
            <w:hyperlink w:history="1" r:id="rId17">
              <w:r w:rsidRPr="00602161">
                <w:rPr>
                  <w:rStyle w:val="Hyperlink"/>
                  <w:szCs w:val="18"/>
                </w:rPr>
                <w:t>COM/2022/318</w:t>
              </w:r>
            </w:hyperlink>
          </w:p>
        </w:tc>
      </w:tr>
      <w:tr w:rsidRPr="00602161"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D75535" w:rsidP="002A4BD8" w:rsidRDefault="00D75535" w14:paraId="6A303693" w14:textId="77777777">
            <w:pPr>
              <w:spacing w:after="240"/>
              <w:rPr>
                <w:szCs w:val="18"/>
              </w:rPr>
            </w:pPr>
          </w:p>
        </w:tc>
        <w:tc>
          <w:tcPr>
            <w:tcW w:w="1035" w:type="dxa"/>
          </w:tcPr>
          <w:p w:rsidRPr="00602161" w:rsidR="00D75535" w:rsidP="002A4BD8" w:rsidRDefault="00D75535" w14:paraId="56AA8A1B" w14:textId="21F2ECA8">
            <w:pPr>
              <w:spacing w:after="240"/>
              <w:rPr>
                <w:szCs w:val="18"/>
              </w:rPr>
            </w:pPr>
            <w:r w:rsidRPr="00602161">
              <w:rPr>
                <w:szCs w:val="18"/>
              </w:rPr>
              <w:t>Voorstel</w:t>
            </w:r>
          </w:p>
        </w:tc>
        <w:tc>
          <w:tcPr>
            <w:tcW w:w="6529" w:type="dxa"/>
          </w:tcPr>
          <w:p w:rsidRPr="00602161" w:rsidR="00D75535" w:rsidP="002A4BD8" w:rsidRDefault="00A602F4" w14:paraId="67810C71" w14:textId="230F9CC7">
            <w:pPr>
              <w:spacing w:after="240"/>
              <w:rPr>
                <w:szCs w:val="18"/>
              </w:rPr>
            </w:pPr>
            <w:r w:rsidRPr="00602161">
              <w:rPr>
                <w:szCs w:val="18"/>
              </w:rPr>
              <w:t>Voor kennisgeving aannemen</w:t>
            </w:r>
          </w:p>
        </w:tc>
      </w:tr>
      <w:tr w:rsidRPr="00602161"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D75535" w:rsidP="002A4BD8" w:rsidRDefault="00D75535" w14:paraId="696A5853" w14:textId="77777777">
            <w:pPr>
              <w:spacing w:after="240"/>
              <w:rPr>
                <w:color w:val="595959" w:themeColor="text1" w:themeTint="A6"/>
                <w:szCs w:val="18"/>
              </w:rPr>
            </w:pPr>
          </w:p>
        </w:tc>
        <w:tc>
          <w:tcPr>
            <w:tcW w:w="1035" w:type="dxa"/>
          </w:tcPr>
          <w:p w:rsidRPr="00602161" w:rsidR="00D75535" w:rsidP="002A4BD8" w:rsidRDefault="00D75535" w14:paraId="2FCB5E77" w14:textId="48E7D55D">
            <w:pPr>
              <w:spacing w:after="240"/>
              <w:rPr>
                <w:color w:val="595959" w:themeColor="text1" w:themeTint="A6"/>
                <w:szCs w:val="18"/>
              </w:rPr>
            </w:pPr>
            <w:r w:rsidRPr="00602161">
              <w:rPr>
                <w:color w:val="595959" w:themeColor="text1" w:themeTint="A6"/>
                <w:szCs w:val="18"/>
              </w:rPr>
              <w:t>Noot</w:t>
            </w:r>
          </w:p>
        </w:tc>
        <w:tc>
          <w:tcPr>
            <w:tcW w:w="6529" w:type="dxa"/>
          </w:tcPr>
          <w:p w:rsidRPr="00602161" w:rsidR="00D75535" w:rsidP="00A602F4" w:rsidRDefault="00A602F4" w14:paraId="27F3CDCE" w14:textId="19576D3B">
            <w:pPr>
              <w:spacing w:after="240"/>
              <w:rPr>
                <w:color w:val="595959" w:themeColor="text1" w:themeTint="A6"/>
                <w:szCs w:val="18"/>
              </w:rPr>
            </w:pPr>
            <w:r w:rsidRPr="00602161">
              <w:rPr>
                <w:color w:val="595959" w:themeColor="text1" w:themeTint="A6"/>
                <w:szCs w:val="18"/>
              </w:rPr>
              <w:t xml:space="preserve">Het </w:t>
            </w:r>
            <w:proofErr w:type="spellStart"/>
            <w:r w:rsidRPr="00602161">
              <w:rPr>
                <w:color w:val="595959" w:themeColor="text1" w:themeTint="A6"/>
                <w:szCs w:val="18"/>
              </w:rPr>
              <w:t>Pericles</w:t>
            </w:r>
            <w:proofErr w:type="spellEnd"/>
            <w:r w:rsidRPr="00602161">
              <w:rPr>
                <w:color w:val="595959" w:themeColor="text1" w:themeTint="A6"/>
                <w:szCs w:val="18"/>
              </w:rPr>
              <w:t xml:space="preserve"> IV-programma is een programma gericht op uitwisselingen, </w:t>
            </w:r>
            <w:proofErr w:type="spellStart"/>
            <w:r w:rsidRPr="00602161">
              <w:rPr>
                <w:color w:val="595959" w:themeColor="text1" w:themeTint="A6"/>
                <w:szCs w:val="18"/>
              </w:rPr>
              <w:t>bĳstand</w:t>
            </w:r>
            <w:proofErr w:type="spellEnd"/>
            <w:r w:rsidRPr="00602161">
              <w:rPr>
                <w:color w:val="595959" w:themeColor="text1" w:themeTint="A6"/>
                <w:szCs w:val="18"/>
              </w:rPr>
              <w:t xml:space="preserve"> en opleiding voor de bescherming van de euro tegen </w:t>
            </w:r>
            <w:proofErr w:type="spellStart"/>
            <w:r w:rsidRPr="00602161">
              <w:rPr>
                <w:color w:val="595959" w:themeColor="text1" w:themeTint="A6"/>
                <w:szCs w:val="18"/>
              </w:rPr>
              <w:t>valsemunterĳ</w:t>
            </w:r>
            <w:proofErr w:type="spellEnd"/>
            <w:r w:rsidRPr="00602161">
              <w:rPr>
                <w:color w:val="595959" w:themeColor="text1" w:themeTint="A6"/>
                <w:szCs w:val="18"/>
              </w:rPr>
              <w:t xml:space="preserve">. Dit verslag geeft informatie over de vastleggingen en de uitvoering van het </w:t>
            </w:r>
            <w:proofErr w:type="spellStart"/>
            <w:r w:rsidRPr="00602161">
              <w:rPr>
                <w:color w:val="595959" w:themeColor="text1" w:themeTint="A6"/>
                <w:szCs w:val="18"/>
              </w:rPr>
              <w:t>Pericles</w:t>
            </w:r>
            <w:proofErr w:type="spellEnd"/>
            <w:r w:rsidRPr="00602161">
              <w:rPr>
                <w:color w:val="595959" w:themeColor="text1" w:themeTint="A6"/>
                <w:szCs w:val="18"/>
              </w:rPr>
              <w:t xml:space="preserve"> IV-programma in 2021.</w:t>
            </w:r>
          </w:p>
        </w:tc>
      </w:tr>
    </w:tbl>
    <w:p w:rsidRPr="00602161"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602161" w:rsidR="002A4BD8" w:rsidP="003A21AA" w:rsidRDefault="002A4BD8" w14:paraId="0AC39600"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5D5F00" w:rsidP="005D5F00" w:rsidRDefault="005D5F00" w14:paraId="14D731A2" w14:textId="77777777">
            <w:pPr>
              <w:shd w:val="clear" w:color="auto" w:fill="FFFFFF"/>
              <w:spacing w:after="75"/>
              <w:rPr>
                <w:szCs w:val="18"/>
                <w:lang w:eastAsia="nl-NL"/>
              </w:rPr>
            </w:pPr>
            <w:r w:rsidRPr="00602161">
              <w:rPr>
                <w:szCs w:val="18"/>
              </w:rPr>
              <w:t xml:space="preserve">REPORT FROM THE COMMISSION TO THE EUROPEAN PARLIAMENT AND THE COUNCIL on </w:t>
            </w:r>
            <w:proofErr w:type="spellStart"/>
            <w:r w:rsidRPr="00602161">
              <w:rPr>
                <w:szCs w:val="18"/>
              </w:rPr>
              <w:t>the</w:t>
            </w:r>
            <w:proofErr w:type="spellEnd"/>
            <w:r w:rsidRPr="00602161">
              <w:rPr>
                <w:szCs w:val="18"/>
              </w:rPr>
              <w:t xml:space="preserve"> follow-up </w:t>
            </w:r>
            <w:proofErr w:type="spellStart"/>
            <w:r w:rsidRPr="00602161">
              <w:rPr>
                <w:szCs w:val="18"/>
              </w:rPr>
              <w:t>to</w:t>
            </w:r>
            <w:proofErr w:type="spellEnd"/>
            <w:r w:rsidRPr="00602161">
              <w:rPr>
                <w:szCs w:val="18"/>
              </w:rPr>
              <w:t xml:space="preserve"> </w:t>
            </w:r>
            <w:proofErr w:type="spellStart"/>
            <w:r w:rsidRPr="00602161">
              <w:rPr>
                <w:szCs w:val="18"/>
              </w:rPr>
              <w:t>the</w:t>
            </w:r>
            <w:proofErr w:type="spellEnd"/>
            <w:r w:rsidRPr="00602161">
              <w:rPr>
                <w:szCs w:val="18"/>
              </w:rPr>
              <w:t xml:space="preserve"> discharge </w:t>
            </w:r>
            <w:proofErr w:type="spellStart"/>
            <w:r w:rsidRPr="00602161">
              <w:rPr>
                <w:szCs w:val="18"/>
              </w:rPr>
              <w:t>for</w:t>
            </w:r>
            <w:proofErr w:type="spellEnd"/>
            <w:r w:rsidRPr="00602161">
              <w:rPr>
                <w:szCs w:val="18"/>
              </w:rPr>
              <w:t xml:space="preserve"> </w:t>
            </w:r>
            <w:proofErr w:type="spellStart"/>
            <w:r w:rsidRPr="00602161">
              <w:rPr>
                <w:szCs w:val="18"/>
              </w:rPr>
              <w:t>the</w:t>
            </w:r>
            <w:proofErr w:type="spellEnd"/>
            <w:r w:rsidRPr="00602161">
              <w:rPr>
                <w:szCs w:val="18"/>
              </w:rPr>
              <w:t xml:space="preserve"> 2020 financial </w:t>
            </w:r>
            <w:proofErr w:type="spellStart"/>
            <w:r w:rsidRPr="00602161">
              <w:rPr>
                <w:szCs w:val="18"/>
              </w:rPr>
              <w:t>year</w:t>
            </w:r>
            <w:proofErr w:type="spellEnd"/>
            <w:r w:rsidRPr="00602161">
              <w:rPr>
                <w:szCs w:val="18"/>
              </w:rPr>
              <w:t xml:space="preserve"> </w:t>
            </w:r>
            <w:hyperlink w:history="1" r:id="rId18">
              <w:r w:rsidRPr="00602161">
                <w:rPr>
                  <w:rStyle w:val="Hyperlink"/>
                  <w:szCs w:val="18"/>
                </w:rPr>
                <w:t>COM/2022/331</w:t>
              </w:r>
            </w:hyperlink>
          </w:p>
          <w:p w:rsidRPr="00602161" w:rsidR="002A4BD8" w:rsidP="003A21AA" w:rsidRDefault="002A4BD8" w14:paraId="0C5E3C92" w14:textId="795DCC3D">
            <w:pPr>
              <w:spacing w:after="240"/>
              <w:rPr>
                <w:b/>
                <w:color w:val="595959" w:themeColor="text1" w:themeTint="A6"/>
                <w:szCs w:val="18"/>
              </w:rPr>
            </w:pPr>
          </w:p>
        </w:tc>
      </w:tr>
      <w:tr w:rsidRPr="00602161"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2A4BD8" w:rsidP="003A21AA" w:rsidRDefault="002A4BD8" w14:paraId="230BAF7C" w14:textId="77777777">
            <w:pPr>
              <w:spacing w:after="240"/>
              <w:rPr>
                <w:szCs w:val="18"/>
              </w:rPr>
            </w:pPr>
          </w:p>
        </w:tc>
        <w:tc>
          <w:tcPr>
            <w:tcW w:w="1035" w:type="dxa"/>
          </w:tcPr>
          <w:p w:rsidRPr="00602161" w:rsidR="002A4BD8" w:rsidP="003A21AA" w:rsidRDefault="002A4BD8" w14:paraId="1257E0FF" w14:textId="77777777">
            <w:pPr>
              <w:spacing w:after="240"/>
              <w:rPr>
                <w:szCs w:val="18"/>
              </w:rPr>
            </w:pPr>
            <w:r w:rsidRPr="00602161">
              <w:rPr>
                <w:szCs w:val="18"/>
              </w:rPr>
              <w:t>Voorstel</w:t>
            </w:r>
          </w:p>
        </w:tc>
        <w:tc>
          <w:tcPr>
            <w:tcW w:w="6529" w:type="dxa"/>
          </w:tcPr>
          <w:p w:rsidRPr="00602161" w:rsidR="002A4BD8" w:rsidP="003A21AA" w:rsidRDefault="00A602F4" w14:paraId="505F4BE9" w14:textId="34C04401">
            <w:pPr>
              <w:spacing w:after="240"/>
              <w:rPr>
                <w:szCs w:val="18"/>
              </w:rPr>
            </w:pPr>
            <w:r w:rsidRPr="00602161">
              <w:rPr>
                <w:szCs w:val="18"/>
              </w:rPr>
              <w:t>Voor kennisgeving aannemen</w:t>
            </w:r>
          </w:p>
        </w:tc>
      </w:tr>
      <w:tr w:rsidRPr="00602161"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2A4BD8" w:rsidP="003A21AA" w:rsidRDefault="002A4BD8" w14:paraId="7D9A1404" w14:textId="77777777">
            <w:pPr>
              <w:spacing w:after="240"/>
              <w:rPr>
                <w:color w:val="595959" w:themeColor="text1" w:themeTint="A6"/>
                <w:szCs w:val="18"/>
              </w:rPr>
            </w:pPr>
          </w:p>
        </w:tc>
        <w:tc>
          <w:tcPr>
            <w:tcW w:w="1035" w:type="dxa"/>
          </w:tcPr>
          <w:p w:rsidRPr="00602161" w:rsidR="002A4BD8" w:rsidP="003A21AA" w:rsidRDefault="002A4BD8" w14:paraId="1AFEDB1C"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2A4BD8" w:rsidP="00A602F4" w:rsidRDefault="00A602F4" w14:paraId="3E288C2D" w14:textId="7DEE912C">
            <w:pPr>
              <w:spacing w:after="240"/>
              <w:rPr>
                <w:color w:val="595959" w:themeColor="text1" w:themeTint="A6"/>
                <w:szCs w:val="18"/>
              </w:rPr>
            </w:pPr>
            <w:r w:rsidRPr="00602161">
              <w:rPr>
                <w:color w:val="595959" w:themeColor="text1" w:themeTint="A6"/>
                <w:szCs w:val="18"/>
              </w:rPr>
              <w:t>Op 4 mei 2022 besloot het Europees Parlement, rekening houdend met een aanbeveling van de Raad, het financiële jaar 2020 af te sluiten door de Commissie kwijting te verlenen voor de uitvoering van de EU-begroting in 2020. In het kader van de kwijtingsprocedure 2020 hebben het Europees Parlement en de Raad ook een aantal verzoeken tot de Commissie gericht (o.a. over effectiviteit en bescherming van de EU-begroting). Dit verslag gaat over de follow-up van de kwijtingsprocedure 2020 en bevat een samenvatting van de maatregelen die de Commissie heeft genomen naar aanleiding van deze verzoeken.</w:t>
            </w:r>
          </w:p>
        </w:tc>
      </w:tr>
    </w:tbl>
    <w:p w:rsidRPr="00602161"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602161" w:rsidR="002A4BD8" w:rsidP="003A21AA" w:rsidRDefault="002A4BD8" w14:paraId="50781506"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2A4BD8" w:rsidP="00A602F4" w:rsidRDefault="00A602F4" w14:paraId="29CB7480" w14:textId="1C2BC0A2">
            <w:pPr>
              <w:shd w:val="clear" w:color="auto" w:fill="FFFFFF"/>
              <w:spacing w:after="75"/>
              <w:rPr>
                <w:szCs w:val="18"/>
                <w:lang w:eastAsia="nl-NL"/>
              </w:rPr>
            </w:pPr>
            <w:r w:rsidRPr="00602161">
              <w:rPr>
                <w:szCs w:val="18"/>
              </w:rPr>
              <w:t xml:space="preserve">ONTWERP VAN GEWIJZIGDE BEGROTING NR. 4 BIJ DE ALGEMENE BEGROTING VOOR 2022 Actualisering van de ontvangsten (eigen middelen) en andere technische aanpassingen </w:t>
            </w:r>
            <w:hyperlink w:history="1" r:id="rId19">
              <w:r w:rsidRPr="00602161" w:rsidR="005D5F00">
                <w:rPr>
                  <w:rStyle w:val="Hyperlink"/>
                  <w:szCs w:val="18"/>
                </w:rPr>
                <w:t>COM/2022/350</w:t>
              </w:r>
            </w:hyperlink>
          </w:p>
        </w:tc>
      </w:tr>
      <w:tr w:rsidRPr="00602161"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2A4BD8" w:rsidP="003A21AA" w:rsidRDefault="002A4BD8" w14:paraId="4862F65F" w14:textId="77777777">
            <w:pPr>
              <w:spacing w:after="240"/>
              <w:rPr>
                <w:szCs w:val="18"/>
              </w:rPr>
            </w:pPr>
          </w:p>
        </w:tc>
        <w:tc>
          <w:tcPr>
            <w:tcW w:w="1035" w:type="dxa"/>
          </w:tcPr>
          <w:p w:rsidRPr="00602161" w:rsidR="002A4BD8" w:rsidP="003A21AA" w:rsidRDefault="002A4BD8" w14:paraId="17927D7F" w14:textId="77777777">
            <w:pPr>
              <w:spacing w:after="240"/>
              <w:rPr>
                <w:szCs w:val="18"/>
              </w:rPr>
            </w:pPr>
            <w:r w:rsidRPr="00602161">
              <w:rPr>
                <w:szCs w:val="18"/>
              </w:rPr>
              <w:t>Voorstel</w:t>
            </w:r>
          </w:p>
        </w:tc>
        <w:tc>
          <w:tcPr>
            <w:tcW w:w="6529" w:type="dxa"/>
          </w:tcPr>
          <w:p w:rsidRPr="00602161" w:rsidR="002A4BD8" w:rsidP="003A21AA" w:rsidRDefault="00A602F4" w14:paraId="69E52296" w14:textId="757890B3">
            <w:pPr>
              <w:spacing w:after="240"/>
              <w:rPr>
                <w:szCs w:val="18"/>
              </w:rPr>
            </w:pPr>
            <w:r w:rsidRPr="00602161">
              <w:rPr>
                <w:szCs w:val="18"/>
              </w:rPr>
              <w:t>Voor kennisgeving aannemen</w:t>
            </w:r>
          </w:p>
        </w:tc>
      </w:tr>
      <w:tr w:rsidRPr="00602161"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2A4BD8" w:rsidP="003A21AA" w:rsidRDefault="002A4BD8" w14:paraId="677C0A18" w14:textId="77777777">
            <w:pPr>
              <w:spacing w:after="240"/>
              <w:rPr>
                <w:color w:val="595959" w:themeColor="text1" w:themeTint="A6"/>
                <w:szCs w:val="18"/>
              </w:rPr>
            </w:pPr>
          </w:p>
        </w:tc>
        <w:tc>
          <w:tcPr>
            <w:tcW w:w="1035" w:type="dxa"/>
          </w:tcPr>
          <w:p w:rsidRPr="00602161" w:rsidR="002A4BD8" w:rsidP="003A21AA" w:rsidRDefault="002A4BD8" w14:paraId="1C9C2532"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2A4BD8" w:rsidP="00BE3916" w:rsidRDefault="00A602F4" w14:paraId="2D4BA6EA" w14:textId="2E2FF396">
            <w:pPr>
              <w:spacing w:after="240"/>
              <w:rPr>
                <w:color w:val="595959" w:themeColor="text1" w:themeTint="A6"/>
                <w:szCs w:val="18"/>
              </w:rPr>
            </w:pPr>
            <w:r w:rsidRPr="00602161">
              <w:rPr>
                <w:color w:val="595959" w:themeColor="text1" w:themeTint="A6"/>
                <w:szCs w:val="18"/>
              </w:rPr>
              <w:t>Belangrijkste doel van dit ontwerp van gewijzigde begroting voor het jaar 2022 is het om de ontvangstenzijde van de EU-begroting aan te passen aan de meest recente ontwikkelingen: i)</w:t>
            </w:r>
            <w:r w:rsidRPr="00602161">
              <w:rPr>
                <w:szCs w:val="18"/>
              </w:rPr>
              <w:t xml:space="preserve"> </w:t>
            </w:r>
            <w:r w:rsidRPr="00602161">
              <w:rPr>
                <w:color w:val="595959" w:themeColor="text1" w:themeTint="A6"/>
                <w:szCs w:val="18"/>
              </w:rPr>
              <w:t xml:space="preserve">de geactualiseerde ramingen van de eigen middelen voor de begroting 2022, ii) </w:t>
            </w:r>
            <w:r w:rsidRPr="00602161">
              <w:rPr>
                <w:color w:val="595959" w:themeColor="text1" w:themeTint="A6"/>
                <w:szCs w:val="18"/>
              </w:rPr>
              <w:lastRenderedPageBreak/>
              <w:t>actualisering van andere inkomsten, zoals de bijdrage van het Verenigd Koninkrijk, geldboeten en andere. Ook bevat de gewijzigde begroting twee aanpassingen met betrekking tot uitgaven: i) de nieuwe mogelijkheden voor d</w:t>
            </w:r>
            <w:r w:rsidRPr="00602161" w:rsidR="00BE3916">
              <w:rPr>
                <w:color w:val="595959" w:themeColor="text1" w:themeTint="A6"/>
                <w:szCs w:val="18"/>
              </w:rPr>
              <w:t xml:space="preserve">e lidstaten om middelen vanuit verschillende EU-fondsen over te dragen aan het </w:t>
            </w:r>
            <w:proofErr w:type="spellStart"/>
            <w:r w:rsidRPr="00602161" w:rsidR="00BE3916">
              <w:rPr>
                <w:color w:val="595959" w:themeColor="text1" w:themeTint="A6"/>
                <w:szCs w:val="18"/>
              </w:rPr>
              <w:t>REPowerEU</w:t>
            </w:r>
            <w:proofErr w:type="spellEnd"/>
            <w:r w:rsidRPr="00602161" w:rsidR="00BE3916">
              <w:rPr>
                <w:color w:val="595959" w:themeColor="text1" w:themeTint="A6"/>
                <w:szCs w:val="18"/>
              </w:rPr>
              <w:t xml:space="preserve">-hoofdstuk van de herstel- en veerkrachtfaciliteit (RFF) en ii) het extra personeel dat voor </w:t>
            </w:r>
            <w:proofErr w:type="spellStart"/>
            <w:r w:rsidRPr="00602161" w:rsidR="00BE3916">
              <w:rPr>
                <w:color w:val="595959" w:themeColor="text1" w:themeTint="A6"/>
                <w:szCs w:val="18"/>
              </w:rPr>
              <w:t>Eurojust</w:t>
            </w:r>
            <w:proofErr w:type="spellEnd"/>
            <w:r w:rsidRPr="00602161" w:rsidR="00BE3916">
              <w:rPr>
                <w:color w:val="595959" w:themeColor="text1" w:themeTint="A6"/>
                <w:szCs w:val="18"/>
              </w:rPr>
              <w:t xml:space="preserve"> wordt gevraagd na de uitbreiding van zijn mandaat om bewijsmateriaal voor oorlogsmisdaden te verzamelen en te bewaren. </w:t>
            </w:r>
          </w:p>
        </w:tc>
      </w:tr>
    </w:tbl>
    <w:p w:rsidRPr="00602161"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602161" w:rsidR="00DF5A2E" w:rsidP="000279E0" w:rsidRDefault="00DF5A2E" w14:paraId="39080C1A"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DF5A2E" w:rsidP="00C50603" w:rsidRDefault="005D5F00" w14:paraId="04C51897" w14:textId="7074AB13">
            <w:pPr>
              <w:shd w:val="clear" w:color="auto" w:fill="FFFFFF"/>
              <w:spacing w:after="75"/>
              <w:rPr>
                <w:szCs w:val="18"/>
                <w:lang w:eastAsia="nl-NL"/>
              </w:rPr>
            </w:pPr>
            <w:r w:rsidRPr="00602161">
              <w:rPr>
                <w:szCs w:val="18"/>
              </w:rPr>
              <w:t xml:space="preserve">Voorstel voor een ONTWERP Jaarlijkse begroting van de Unie voor het begrotingsjaar 2023 - Algemene inleiding - Algemene staat van uitgaven - Algemene staat van ontvangsten - Staat van ontvangsten en uitgaven per afdeling </w:t>
            </w:r>
            <w:hyperlink w:history="1" r:id="rId20">
              <w:r w:rsidRPr="00602161">
                <w:rPr>
                  <w:rStyle w:val="Hyperlink"/>
                  <w:szCs w:val="18"/>
                </w:rPr>
                <w:t>COM/2022/400</w:t>
              </w:r>
            </w:hyperlink>
          </w:p>
        </w:tc>
      </w:tr>
      <w:tr w:rsidRPr="00602161"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DF5A2E" w:rsidP="000279E0" w:rsidRDefault="00DF5A2E" w14:paraId="604BFA20" w14:textId="77777777">
            <w:pPr>
              <w:spacing w:after="240"/>
              <w:rPr>
                <w:szCs w:val="18"/>
              </w:rPr>
            </w:pPr>
          </w:p>
        </w:tc>
        <w:tc>
          <w:tcPr>
            <w:tcW w:w="1035" w:type="dxa"/>
          </w:tcPr>
          <w:p w:rsidRPr="00602161" w:rsidR="00DF5A2E" w:rsidP="000279E0" w:rsidRDefault="00DF5A2E" w14:paraId="5DC784BA" w14:textId="77777777">
            <w:pPr>
              <w:spacing w:after="240"/>
              <w:rPr>
                <w:szCs w:val="18"/>
              </w:rPr>
            </w:pPr>
            <w:r w:rsidRPr="00602161">
              <w:rPr>
                <w:szCs w:val="18"/>
              </w:rPr>
              <w:t>Voorstel</w:t>
            </w:r>
          </w:p>
        </w:tc>
        <w:tc>
          <w:tcPr>
            <w:tcW w:w="6529" w:type="dxa"/>
          </w:tcPr>
          <w:p w:rsidRPr="00602161" w:rsidR="00DF5A2E" w:rsidP="000279E0" w:rsidRDefault="000C6E19" w14:paraId="4A3BAB03" w14:textId="43945598">
            <w:pPr>
              <w:spacing w:after="240"/>
              <w:rPr>
                <w:szCs w:val="18"/>
              </w:rPr>
            </w:pPr>
            <w:r w:rsidRPr="00602161">
              <w:rPr>
                <w:szCs w:val="18"/>
              </w:rPr>
              <w:t>Voor kennisgeving aannemen</w:t>
            </w:r>
          </w:p>
        </w:tc>
      </w:tr>
      <w:tr w:rsidRPr="00602161"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DF5A2E" w:rsidP="000279E0" w:rsidRDefault="00DF5A2E" w14:paraId="533FFCD0" w14:textId="77777777">
            <w:pPr>
              <w:spacing w:after="240"/>
              <w:rPr>
                <w:color w:val="595959" w:themeColor="text1" w:themeTint="A6"/>
                <w:szCs w:val="18"/>
              </w:rPr>
            </w:pPr>
          </w:p>
        </w:tc>
        <w:tc>
          <w:tcPr>
            <w:tcW w:w="1035" w:type="dxa"/>
          </w:tcPr>
          <w:p w:rsidRPr="00602161" w:rsidR="00DF5A2E" w:rsidP="000279E0" w:rsidRDefault="00DF5A2E" w14:paraId="58D2A03C"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DF5A2E" w:rsidP="00C50603" w:rsidRDefault="00C50603" w14:paraId="235A147C" w14:textId="43D000AF">
            <w:pPr>
              <w:spacing w:after="240"/>
              <w:rPr>
                <w:color w:val="595959" w:themeColor="text1" w:themeTint="A6"/>
                <w:szCs w:val="18"/>
              </w:rPr>
            </w:pPr>
            <w:r w:rsidRPr="00602161">
              <w:rPr>
                <w:color w:val="595959" w:themeColor="text1" w:themeTint="A6"/>
                <w:szCs w:val="18"/>
              </w:rPr>
              <w:t xml:space="preserve">Dit betreft de ontwerp EU-begroting 2023 in het kader van het meerjarig financieel kader (MFK) voor 2021-2027. </w:t>
            </w:r>
          </w:p>
        </w:tc>
      </w:tr>
    </w:tbl>
    <w:p w:rsidRPr="00602161" w:rsidR="00DF5A2E" w:rsidP="002A4BD8" w:rsidRDefault="00DF5A2E" w14:paraId="47A9638E" w14:textId="449A710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602161" w:rsidR="00DF5A2E" w:rsidP="000279E0" w:rsidRDefault="00DF5A2E" w14:paraId="3BF36ED7"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DF5A2E" w:rsidP="000279E0" w:rsidRDefault="0046653A" w14:paraId="04F013A3" w14:textId="558C0F3B">
            <w:pPr>
              <w:spacing w:after="240"/>
              <w:rPr>
                <w:b/>
                <w:color w:val="595959" w:themeColor="text1" w:themeTint="A6"/>
                <w:szCs w:val="18"/>
              </w:rPr>
            </w:pPr>
            <w:r w:rsidRPr="00602161">
              <w:rPr>
                <w:szCs w:val="18"/>
                <w:lang w:val="en-US"/>
              </w:rPr>
              <w:t xml:space="preserve">Tax evasion &amp; aggressive tax planning in the EU – tackling the role of enablers </w:t>
            </w:r>
            <w:hyperlink w:history="1" r:id="rId21">
              <w:proofErr w:type="spellStart"/>
              <w:r w:rsidRPr="00602161">
                <w:rPr>
                  <w:rStyle w:val="Hyperlink"/>
                  <w:szCs w:val="18"/>
                  <w:lang w:val="en-US"/>
                </w:rPr>
                <w:t>Raadpleging</w:t>
              </w:r>
              <w:proofErr w:type="spellEnd"/>
            </w:hyperlink>
          </w:p>
        </w:tc>
      </w:tr>
      <w:tr w:rsidRPr="00602161"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DF5A2E" w:rsidP="000279E0" w:rsidRDefault="00DF5A2E" w14:paraId="469EFAD3" w14:textId="77777777">
            <w:pPr>
              <w:spacing w:after="240"/>
              <w:rPr>
                <w:szCs w:val="18"/>
              </w:rPr>
            </w:pPr>
          </w:p>
        </w:tc>
        <w:tc>
          <w:tcPr>
            <w:tcW w:w="1035" w:type="dxa"/>
          </w:tcPr>
          <w:p w:rsidRPr="00602161" w:rsidR="00DF5A2E" w:rsidP="000279E0" w:rsidRDefault="00DF5A2E" w14:paraId="5C0952F5" w14:textId="77777777">
            <w:pPr>
              <w:spacing w:after="240"/>
              <w:rPr>
                <w:szCs w:val="18"/>
              </w:rPr>
            </w:pPr>
            <w:r w:rsidRPr="00602161">
              <w:rPr>
                <w:szCs w:val="18"/>
              </w:rPr>
              <w:t>Voorstel</w:t>
            </w:r>
          </w:p>
        </w:tc>
        <w:tc>
          <w:tcPr>
            <w:tcW w:w="6529" w:type="dxa"/>
          </w:tcPr>
          <w:p w:rsidRPr="00602161" w:rsidR="00DF5A2E" w:rsidP="000279E0" w:rsidRDefault="00C50603" w14:paraId="6CC066D4" w14:textId="28A99CB9">
            <w:pPr>
              <w:spacing w:after="240"/>
              <w:rPr>
                <w:szCs w:val="18"/>
              </w:rPr>
            </w:pPr>
            <w:r w:rsidRPr="00602161">
              <w:rPr>
                <w:szCs w:val="18"/>
              </w:rPr>
              <w:t>Afschrift van de mogelijke consultatiereactie van het kabinet afwachten</w:t>
            </w:r>
          </w:p>
        </w:tc>
      </w:tr>
      <w:tr w:rsidRPr="00602161" w:rsidR="00DF5A2E"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DF5A2E" w:rsidP="000279E0" w:rsidRDefault="00DF5A2E" w14:paraId="27178720" w14:textId="77777777">
            <w:pPr>
              <w:spacing w:after="240"/>
              <w:rPr>
                <w:color w:val="595959" w:themeColor="text1" w:themeTint="A6"/>
                <w:szCs w:val="18"/>
              </w:rPr>
            </w:pPr>
          </w:p>
        </w:tc>
        <w:tc>
          <w:tcPr>
            <w:tcW w:w="1035" w:type="dxa"/>
          </w:tcPr>
          <w:p w:rsidRPr="00602161" w:rsidR="00DF5A2E" w:rsidP="000279E0" w:rsidRDefault="00DF5A2E" w14:paraId="4CA7A201"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DF5A2E" w:rsidP="00C50603" w:rsidRDefault="00C50603" w14:paraId="55FECFDC" w14:textId="58A5F840">
            <w:pPr>
              <w:spacing w:after="240"/>
              <w:rPr>
                <w:color w:val="595959" w:themeColor="text1" w:themeTint="A6"/>
                <w:szCs w:val="18"/>
              </w:rPr>
            </w:pPr>
            <w:r w:rsidRPr="00602161">
              <w:rPr>
                <w:color w:val="595959" w:themeColor="text1" w:themeTint="A6"/>
                <w:szCs w:val="18"/>
              </w:rPr>
              <w:t>Dit betreft een openbare raadpleging over de rol van “</w:t>
            </w:r>
            <w:proofErr w:type="spellStart"/>
            <w:r w:rsidRPr="00602161">
              <w:rPr>
                <w:color w:val="595959" w:themeColor="text1" w:themeTint="A6"/>
                <w:szCs w:val="18"/>
              </w:rPr>
              <w:t>enablers</w:t>
            </w:r>
            <w:proofErr w:type="spellEnd"/>
            <w:r w:rsidRPr="00602161">
              <w:rPr>
                <w:color w:val="595959" w:themeColor="text1" w:themeTint="A6"/>
                <w:szCs w:val="18"/>
              </w:rPr>
              <w:t xml:space="preserve">” bij belastingontduiking &amp; agressieve fiscale planning in de EU. Dit initiatief heeft tot doel de strijd tegen belastingontduiking en agressieve fiscale planning op te voeren door de rol van </w:t>
            </w:r>
            <w:proofErr w:type="spellStart"/>
            <w:r w:rsidRPr="00602161">
              <w:rPr>
                <w:color w:val="595959" w:themeColor="text1" w:themeTint="A6"/>
                <w:szCs w:val="18"/>
              </w:rPr>
              <w:t>enablers</w:t>
            </w:r>
            <w:proofErr w:type="spellEnd"/>
            <w:r w:rsidRPr="00602161">
              <w:rPr>
                <w:color w:val="595959" w:themeColor="text1" w:themeTint="A6"/>
                <w:szCs w:val="18"/>
              </w:rPr>
              <w:t xml:space="preserve"> die deze complexe en niet-transparante structuren creëren, aan banden te leggen. </w:t>
            </w:r>
          </w:p>
        </w:tc>
      </w:tr>
    </w:tbl>
    <w:p w:rsidRPr="00602161" w:rsidR="00DF5A2E" w:rsidP="002A4BD8" w:rsidRDefault="00DF5A2E" w14:paraId="73F01234" w14:textId="0EB0E84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6E5214" w:rsidTr="00B20232" w14:paraId="3E3C592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6E5214" w:rsidP="00B20232" w:rsidRDefault="006E5214" w14:paraId="1CDDCD20" w14:textId="77777777">
            <w:pPr>
              <w:pStyle w:val="Lijstalinea"/>
              <w:numPr>
                <w:ilvl w:val="0"/>
                <w:numId w:val="10"/>
              </w:numPr>
              <w:spacing w:after="240"/>
              <w:ind w:left="312"/>
              <w:rPr>
                <w:color w:val="595959" w:themeColor="text1" w:themeTint="A6"/>
                <w:szCs w:val="18"/>
              </w:rPr>
            </w:pPr>
          </w:p>
        </w:tc>
        <w:tc>
          <w:tcPr>
            <w:tcW w:w="1035" w:type="dxa"/>
          </w:tcPr>
          <w:p w:rsidRPr="00602161" w:rsidR="006E5214" w:rsidP="00B20232" w:rsidRDefault="006E5214" w14:paraId="0413139A"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6E5214" w:rsidP="00B20232" w:rsidRDefault="0046653A" w14:paraId="6AE3BFA7" w14:textId="0CEBB3F2">
            <w:pPr>
              <w:spacing w:after="240"/>
              <w:rPr>
                <w:szCs w:val="18"/>
                <w:lang w:val="en-US" w:eastAsia="nl-NL"/>
              </w:rPr>
            </w:pPr>
            <w:proofErr w:type="spellStart"/>
            <w:r w:rsidRPr="00602161">
              <w:rPr>
                <w:szCs w:val="18"/>
                <w:lang w:val="en-US"/>
              </w:rPr>
              <w:t>Comité</w:t>
            </w:r>
            <w:proofErr w:type="spellEnd"/>
            <w:r w:rsidRPr="00602161">
              <w:rPr>
                <w:szCs w:val="18"/>
                <w:lang w:val="en-US"/>
              </w:rPr>
              <w:t xml:space="preserve"> van </w:t>
            </w:r>
            <w:proofErr w:type="spellStart"/>
            <w:r w:rsidRPr="00602161">
              <w:rPr>
                <w:szCs w:val="18"/>
                <w:lang w:val="en-US"/>
              </w:rPr>
              <w:t>toezicht</w:t>
            </w:r>
            <w:proofErr w:type="spellEnd"/>
            <w:r w:rsidRPr="00602161">
              <w:rPr>
                <w:szCs w:val="18"/>
                <w:lang w:val="en-US"/>
              </w:rPr>
              <w:t xml:space="preserve"> op de </w:t>
            </w:r>
            <w:proofErr w:type="spellStart"/>
            <w:r w:rsidRPr="00602161">
              <w:rPr>
                <w:szCs w:val="18"/>
                <w:lang w:val="en-US"/>
              </w:rPr>
              <w:t>naleving</w:t>
            </w:r>
            <w:proofErr w:type="spellEnd"/>
            <w:r w:rsidRPr="00602161">
              <w:rPr>
                <w:szCs w:val="18"/>
                <w:lang w:val="en-US"/>
              </w:rPr>
              <w:t xml:space="preserve"> van het </w:t>
            </w:r>
            <w:proofErr w:type="spellStart"/>
            <w:r w:rsidRPr="00602161">
              <w:rPr>
                <w:szCs w:val="18"/>
                <w:lang w:val="en-US"/>
              </w:rPr>
              <w:t>Verdrag</w:t>
            </w:r>
            <w:proofErr w:type="spellEnd"/>
            <w:r w:rsidRPr="00602161">
              <w:rPr>
                <w:szCs w:val="18"/>
                <w:lang w:val="en-US"/>
              </w:rPr>
              <w:t xml:space="preserve"> van Aarhus - </w:t>
            </w:r>
            <w:proofErr w:type="spellStart"/>
            <w:r w:rsidRPr="00602161">
              <w:rPr>
                <w:szCs w:val="18"/>
                <w:lang w:val="en-US"/>
              </w:rPr>
              <w:t>zaak</w:t>
            </w:r>
            <w:proofErr w:type="spellEnd"/>
            <w:r w:rsidRPr="00602161">
              <w:rPr>
                <w:szCs w:val="18"/>
                <w:lang w:val="en-US"/>
              </w:rPr>
              <w:t xml:space="preserve"> </w:t>
            </w:r>
            <w:proofErr w:type="spellStart"/>
            <w:r w:rsidRPr="00602161">
              <w:rPr>
                <w:szCs w:val="18"/>
                <w:lang w:val="en-US"/>
              </w:rPr>
              <w:t>inzake</w:t>
            </w:r>
            <w:proofErr w:type="spellEnd"/>
            <w:r w:rsidRPr="00602161">
              <w:rPr>
                <w:szCs w:val="18"/>
                <w:lang w:val="en-US"/>
              </w:rPr>
              <w:t xml:space="preserve"> </w:t>
            </w:r>
            <w:proofErr w:type="spellStart"/>
            <w:r w:rsidRPr="00602161">
              <w:rPr>
                <w:szCs w:val="18"/>
                <w:lang w:val="en-US"/>
              </w:rPr>
              <w:t>staatssteun</w:t>
            </w:r>
            <w:proofErr w:type="spellEnd"/>
            <w:r w:rsidRPr="00602161">
              <w:rPr>
                <w:szCs w:val="18"/>
                <w:lang w:val="en-US"/>
              </w:rPr>
              <w:t xml:space="preserve">: </w:t>
            </w:r>
            <w:proofErr w:type="spellStart"/>
            <w:r w:rsidRPr="00602161">
              <w:rPr>
                <w:szCs w:val="18"/>
                <w:lang w:val="en-US"/>
              </w:rPr>
              <w:t>gevolgen</w:t>
            </w:r>
            <w:proofErr w:type="spellEnd"/>
            <w:r w:rsidRPr="00602161">
              <w:rPr>
                <w:szCs w:val="18"/>
                <w:lang w:val="en-US"/>
              </w:rPr>
              <w:t>/</w:t>
            </w:r>
            <w:proofErr w:type="spellStart"/>
            <w:r w:rsidRPr="00602161">
              <w:rPr>
                <w:szCs w:val="18"/>
                <w:lang w:val="en-US"/>
              </w:rPr>
              <w:t>opties</w:t>
            </w:r>
            <w:proofErr w:type="spellEnd"/>
            <w:r w:rsidRPr="00602161">
              <w:rPr>
                <w:szCs w:val="18"/>
                <w:lang w:val="en-US"/>
              </w:rPr>
              <w:t xml:space="preserve"> </w:t>
            </w:r>
            <w:hyperlink w:history="1" r:id="rId22">
              <w:proofErr w:type="spellStart"/>
              <w:r w:rsidRPr="00602161">
                <w:rPr>
                  <w:rStyle w:val="Hyperlink"/>
                  <w:szCs w:val="18"/>
                  <w:lang w:val="en-US"/>
                </w:rPr>
                <w:t>Raadpleging</w:t>
              </w:r>
              <w:proofErr w:type="spellEnd"/>
            </w:hyperlink>
          </w:p>
        </w:tc>
      </w:tr>
      <w:tr w:rsidRPr="00602161" w:rsidR="006E5214" w:rsidTr="00B20232" w14:paraId="0B83DB79"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6E5214" w:rsidP="00B20232" w:rsidRDefault="006E5214" w14:paraId="2C355E86" w14:textId="77777777">
            <w:pPr>
              <w:spacing w:after="240"/>
              <w:rPr>
                <w:szCs w:val="18"/>
              </w:rPr>
            </w:pPr>
          </w:p>
        </w:tc>
        <w:tc>
          <w:tcPr>
            <w:tcW w:w="1035" w:type="dxa"/>
          </w:tcPr>
          <w:p w:rsidRPr="00602161" w:rsidR="006E5214" w:rsidP="00B20232" w:rsidRDefault="006E5214" w14:paraId="16781259" w14:textId="77777777">
            <w:pPr>
              <w:spacing w:after="240"/>
              <w:rPr>
                <w:szCs w:val="18"/>
              </w:rPr>
            </w:pPr>
            <w:r w:rsidRPr="00602161">
              <w:rPr>
                <w:szCs w:val="18"/>
              </w:rPr>
              <w:t>Voorstel</w:t>
            </w:r>
          </w:p>
        </w:tc>
        <w:tc>
          <w:tcPr>
            <w:tcW w:w="6529" w:type="dxa"/>
          </w:tcPr>
          <w:p w:rsidRPr="00602161" w:rsidR="006E5214" w:rsidP="00B20232" w:rsidRDefault="00C50603" w14:paraId="1764A7BE" w14:textId="6FE26635">
            <w:pPr>
              <w:spacing w:after="240"/>
              <w:rPr>
                <w:szCs w:val="18"/>
              </w:rPr>
            </w:pPr>
            <w:r w:rsidRPr="00602161">
              <w:rPr>
                <w:szCs w:val="18"/>
              </w:rPr>
              <w:t>Afschrift van de mogelijke consultatiereactie van het kabinet afwachten</w:t>
            </w:r>
          </w:p>
        </w:tc>
      </w:tr>
      <w:tr w:rsidRPr="00602161" w:rsidR="006E5214" w:rsidTr="00B20232" w14:paraId="21F854C2"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6E5214" w:rsidP="00B20232" w:rsidRDefault="006E5214" w14:paraId="5C877451" w14:textId="77777777">
            <w:pPr>
              <w:spacing w:after="240"/>
              <w:rPr>
                <w:color w:val="595959" w:themeColor="text1" w:themeTint="A6"/>
                <w:szCs w:val="18"/>
              </w:rPr>
            </w:pPr>
          </w:p>
        </w:tc>
        <w:tc>
          <w:tcPr>
            <w:tcW w:w="1035" w:type="dxa"/>
          </w:tcPr>
          <w:p w:rsidRPr="00602161" w:rsidR="006E5214" w:rsidP="00B20232" w:rsidRDefault="006E5214" w14:paraId="53862C94"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6E5214" w:rsidP="00C50603" w:rsidRDefault="00C50603" w14:paraId="5D690BD8" w14:textId="0E873C04">
            <w:pPr>
              <w:spacing w:after="240"/>
              <w:rPr>
                <w:color w:val="595959" w:themeColor="text1" w:themeTint="A6"/>
                <w:szCs w:val="18"/>
              </w:rPr>
            </w:pPr>
            <w:r w:rsidRPr="00602161">
              <w:rPr>
                <w:color w:val="595959" w:themeColor="text1" w:themeTint="A6"/>
                <w:szCs w:val="18"/>
              </w:rPr>
              <w:t>De EU en haar lidstaten zijn partij bij het Verdrag van Aarhus betreffende toegang tot informatie, inspraak bij besluitvorming en toegang tot de rechter inzake milieuaangelegenheden. Het Nalevingscomité (zaak ACCC/C/2015/128) heeft vastgesteld dat de EU zich niet aan het verdrag heeft gehouden omdat zij de mensen niet in staat stelt besluiten over staatssteunmaatregelen aan te vechten Deze raadpleging ziet op de gevolgen van deze bevindingen en opties om dit probleem aan te pakken.</w:t>
            </w:r>
          </w:p>
        </w:tc>
      </w:tr>
    </w:tbl>
    <w:p w:rsidRPr="00602161"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6E5214" w:rsidTr="00B20232" w14:paraId="123D15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6E5214" w:rsidP="00B20232" w:rsidRDefault="006E5214" w14:paraId="653F6739" w14:textId="77777777">
            <w:pPr>
              <w:pStyle w:val="Lijstalinea"/>
              <w:numPr>
                <w:ilvl w:val="0"/>
                <w:numId w:val="10"/>
              </w:numPr>
              <w:spacing w:after="240"/>
              <w:ind w:left="312"/>
              <w:rPr>
                <w:color w:val="595959" w:themeColor="text1" w:themeTint="A6"/>
                <w:szCs w:val="18"/>
              </w:rPr>
            </w:pPr>
          </w:p>
        </w:tc>
        <w:tc>
          <w:tcPr>
            <w:tcW w:w="1035" w:type="dxa"/>
          </w:tcPr>
          <w:p w:rsidRPr="00602161" w:rsidR="006E5214" w:rsidP="00B20232" w:rsidRDefault="006E5214" w14:paraId="4C67EB1F" w14:textId="77777777">
            <w:pPr>
              <w:spacing w:after="240"/>
              <w:rPr>
                <w:color w:val="595959" w:themeColor="text1" w:themeTint="A6"/>
                <w:szCs w:val="18"/>
              </w:rPr>
            </w:pPr>
            <w:r w:rsidRPr="00602161">
              <w:rPr>
                <w:color w:val="595959" w:themeColor="text1" w:themeTint="A6"/>
                <w:szCs w:val="18"/>
              </w:rPr>
              <w:t>Titel</w:t>
            </w:r>
          </w:p>
        </w:tc>
        <w:tc>
          <w:tcPr>
            <w:tcW w:w="6529" w:type="dxa"/>
          </w:tcPr>
          <w:tbl>
            <w:tblPr>
              <w:tblW w:w="0" w:type="dxa"/>
              <w:tblLayout w:type="fixed"/>
              <w:tblCellMar>
                <w:left w:w="0" w:type="dxa"/>
                <w:right w:w="0" w:type="dxa"/>
              </w:tblCellMar>
              <w:tblLook w:val="04A0" w:firstRow="1" w:lastRow="0" w:firstColumn="1" w:lastColumn="0" w:noHBand="0" w:noVBand="1"/>
            </w:tblPr>
            <w:tblGrid>
              <w:gridCol w:w="6378"/>
            </w:tblGrid>
            <w:tr w:rsidRPr="00602161" w:rsidR="0046653A" w:rsidTr="0046653A" w14:paraId="76D66200" w14:textId="77777777">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602161" w:rsidR="0046653A" w:rsidP="0046653A" w:rsidRDefault="0046653A" w14:paraId="3989CEFC" w14:textId="77777777">
                  <w:pPr>
                    <w:spacing w:after="240"/>
                    <w:rPr>
                      <w:szCs w:val="18"/>
                      <w:lang w:val="en-US" w:eastAsia="nl-NL"/>
                    </w:rPr>
                  </w:pPr>
                  <w:r w:rsidRPr="00602161">
                    <w:rPr>
                      <w:szCs w:val="18"/>
                      <w:lang w:val="en-US" w:eastAsia="nl-NL"/>
                    </w:rPr>
                    <w:t xml:space="preserve">VERSLAG VAN DE COMMISSIE AAN DE RAAD EN HET EUROPEES PARLEMENT </w:t>
                  </w:r>
                  <w:proofErr w:type="spellStart"/>
                  <w:r w:rsidRPr="00602161">
                    <w:rPr>
                      <w:szCs w:val="18"/>
                      <w:lang w:val="en-US" w:eastAsia="nl-NL"/>
                    </w:rPr>
                    <w:t>Samenvatting</w:t>
                  </w:r>
                  <w:proofErr w:type="spellEnd"/>
                  <w:r w:rsidRPr="00602161">
                    <w:rPr>
                      <w:szCs w:val="18"/>
                      <w:lang w:val="en-US" w:eastAsia="nl-NL"/>
                    </w:rPr>
                    <w:t xml:space="preserve"> van de </w:t>
                  </w:r>
                  <w:proofErr w:type="spellStart"/>
                  <w:r w:rsidRPr="00602161">
                    <w:rPr>
                      <w:szCs w:val="18"/>
                      <w:lang w:val="en-US" w:eastAsia="nl-NL"/>
                    </w:rPr>
                    <w:t>jaarverslagen</w:t>
                  </w:r>
                  <w:proofErr w:type="spellEnd"/>
                  <w:r w:rsidRPr="00602161">
                    <w:rPr>
                      <w:szCs w:val="18"/>
                      <w:lang w:val="en-US" w:eastAsia="nl-NL"/>
                    </w:rPr>
                    <w:t xml:space="preserve"> over de </w:t>
                  </w:r>
                  <w:proofErr w:type="spellStart"/>
                  <w:r w:rsidRPr="00602161">
                    <w:rPr>
                      <w:szCs w:val="18"/>
                      <w:lang w:val="en-US" w:eastAsia="nl-NL"/>
                    </w:rPr>
                    <w:t>uitvoering</w:t>
                  </w:r>
                  <w:proofErr w:type="spellEnd"/>
                  <w:r w:rsidRPr="00602161">
                    <w:rPr>
                      <w:szCs w:val="18"/>
                      <w:lang w:val="en-US" w:eastAsia="nl-NL"/>
                    </w:rPr>
                    <w:t xml:space="preserve"> van </w:t>
                  </w:r>
                  <w:proofErr w:type="spellStart"/>
                  <w:r w:rsidRPr="00602161">
                    <w:rPr>
                      <w:szCs w:val="18"/>
                      <w:lang w:val="en-US" w:eastAsia="nl-NL"/>
                    </w:rPr>
                    <w:t>operationele</w:t>
                  </w:r>
                  <w:proofErr w:type="spellEnd"/>
                  <w:r w:rsidRPr="00602161">
                    <w:rPr>
                      <w:szCs w:val="18"/>
                      <w:lang w:val="en-US" w:eastAsia="nl-NL"/>
                    </w:rPr>
                    <w:t xml:space="preserve"> </w:t>
                  </w:r>
                  <w:proofErr w:type="spellStart"/>
                  <w:r w:rsidRPr="00602161">
                    <w:rPr>
                      <w:szCs w:val="18"/>
                      <w:lang w:val="en-US" w:eastAsia="nl-NL"/>
                    </w:rPr>
                    <w:t>programma’s</w:t>
                  </w:r>
                  <w:proofErr w:type="spellEnd"/>
                  <w:r w:rsidRPr="00602161">
                    <w:rPr>
                      <w:szCs w:val="18"/>
                      <w:lang w:val="en-US" w:eastAsia="nl-NL"/>
                    </w:rPr>
                    <w:t xml:space="preserve"> die in 2020 </w:t>
                  </w:r>
                  <w:proofErr w:type="spellStart"/>
                  <w:r w:rsidRPr="00602161">
                    <w:rPr>
                      <w:szCs w:val="18"/>
                      <w:lang w:val="en-US" w:eastAsia="nl-NL"/>
                    </w:rPr>
                    <w:t>zijn</w:t>
                  </w:r>
                  <w:proofErr w:type="spellEnd"/>
                  <w:r w:rsidRPr="00602161">
                    <w:rPr>
                      <w:szCs w:val="18"/>
                      <w:lang w:val="en-US" w:eastAsia="nl-NL"/>
                    </w:rPr>
                    <w:t xml:space="preserve"> </w:t>
                  </w:r>
                  <w:proofErr w:type="spellStart"/>
                  <w:r w:rsidRPr="00602161">
                    <w:rPr>
                      <w:szCs w:val="18"/>
                      <w:lang w:val="en-US" w:eastAsia="nl-NL"/>
                    </w:rPr>
                    <w:t>medegefinancierd</w:t>
                  </w:r>
                  <w:proofErr w:type="spellEnd"/>
                  <w:r w:rsidRPr="00602161">
                    <w:rPr>
                      <w:szCs w:val="18"/>
                      <w:lang w:val="en-US" w:eastAsia="nl-NL"/>
                    </w:rPr>
                    <w:t xml:space="preserve"> door het </w:t>
                  </w:r>
                  <w:proofErr w:type="spellStart"/>
                  <w:r w:rsidRPr="00602161">
                    <w:rPr>
                      <w:szCs w:val="18"/>
                      <w:lang w:val="en-US" w:eastAsia="nl-NL"/>
                    </w:rPr>
                    <w:t>Fonds</w:t>
                  </w:r>
                  <w:proofErr w:type="spellEnd"/>
                  <w:r w:rsidRPr="00602161">
                    <w:rPr>
                      <w:szCs w:val="18"/>
                      <w:lang w:val="en-US" w:eastAsia="nl-NL"/>
                    </w:rPr>
                    <w:t xml:space="preserve"> voor </w:t>
                  </w:r>
                  <w:proofErr w:type="spellStart"/>
                  <w:r w:rsidRPr="00602161">
                    <w:rPr>
                      <w:szCs w:val="18"/>
                      <w:lang w:val="en-US" w:eastAsia="nl-NL"/>
                    </w:rPr>
                    <w:t>Europese</w:t>
                  </w:r>
                  <w:proofErr w:type="spellEnd"/>
                  <w:r w:rsidRPr="00602161">
                    <w:rPr>
                      <w:szCs w:val="18"/>
                      <w:lang w:val="en-US" w:eastAsia="nl-NL"/>
                    </w:rPr>
                    <w:t xml:space="preserve"> </w:t>
                  </w:r>
                  <w:proofErr w:type="spellStart"/>
                  <w:r w:rsidRPr="00602161">
                    <w:rPr>
                      <w:szCs w:val="18"/>
                      <w:lang w:val="en-US" w:eastAsia="nl-NL"/>
                    </w:rPr>
                    <w:t>hulp</w:t>
                  </w:r>
                  <w:proofErr w:type="spellEnd"/>
                  <w:r w:rsidRPr="00602161">
                    <w:rPr>
                      <w:szCs w:val="18"/>
                      <w:lang w:val="en-US" w:eastAsia="nl-NL"/>
                    </w:rPr>
                    <w:t xml:space="preserve"> </w:t>
                  </w:r>
                  <w:proofErr w:type="spellStart"/>
                  <w:r w:rsidRPr="00602161">
                    <w:rPr>
                      <w:szCs w:val="18"/>
                      <w:lang w:val="en-US" w:eastAsia="nl-NL"/>
                    </w:rPr>
                    <w:t>aan</w:t>
                  </w:r>
                  <w:proofErr w:type="spellEnd"/>
                  <w:r w:rsidRPr="00602161">
                    <w:rPr>
                      <w:szCs w:val="18"/>
                      <w:lang w:val="en-US" w:eastAsia="nl-NL"/>
                    </w:rPr>
                    <w:t xml:space="preserve"> de </w:t>
                  </w:r>
                  <w:proofErr w:type="spellStart"/>
                  <w:r w:rsidRPr="00602161">
                    <w:rPr>
                      <w:szCs w:val="18"/>
                      <w:lang w:val="en-US" w:eastAsia="nl-NL"/>
                    </w:rPr>
                    <w:t>meest</w:t>
                  </w:r>
                  <w:proofErr w:type="spellEnd"/>
                  <w:r w:rsidRPr="00602161">
                    <w:rPr>
                      <w:szCs w:val="18"/>
                      <w:lang w:val="en-US" w:eastAsia="nl-NL"/>
                    </w:rPr>
                    <w:t xml:space="preserve"> </w:t>
                  </w:r>
                  <w:proofErr w:type="spellStart"/>
                  <w:r w:rsidRPr="00602161">
                    <w:rPr>
                      <w:szCs w:val="18"/>
                      <w:lang w:val="en-US" w:eastAsia="nl-NL"/>
                    </w:rPr>
                    <w:t>behoeftigen</w:t>
                  </w:r>
                  <w:proofErr w:type="spellEnd"/>
                  <w:r w:rsidRPr="00602161">
                    <w:rPr>
                      <w:szCs w:val="18"/>
                      <w:lang w:val="en-US" w:eastAsia="nl-NL"/>
                    </w:rPr>
                    <w:t xml:space="preserve"> </w:t>
                  </w:r>
                  <w:hyperlink w:history="1" r:id="rId23">
                    <w:r w:rsidRPr="00602161">
                      <w:rPr>
                        <w:color w:val="0000FF"/>
                        <w:szCs w:val="18"/>
                        <w:u w:val="single"/>
                        <w:lang w:val="en-US" w:eastAsia="nl-NL"/>
                      </w:rPr>
                      <w:t>COM(2022)340</w:t>
                    </w:r>
                  </w:hyperlink>
                </w:p>
              </w:tc>
            </w:tr>
          </w:tbl>
          <w:p w:rsidRPr="00602161" w:rsidR="006E5214" w:rsidP="0046653A" w:rsidRDefault="006E5214" w14:paraId="49B3CFF0" w14:textId="77777777">
            <w:pPr>
              <w:spacing w:after="240"/>
              <w:rPr>
                <w:b/>
                <w:color w:val="595959" w:themeColor="text1" w:themeTint="A6"/>
                <w:szCs w:val="18"/>
              </w:rPr>
            </w:pPr>
          </w:p>
        </w:tc>
      </w:tr>
      <w:tr w:rsidRPr="00602161" w:rsidR="006E5214" w:rsidTr="00B20232" w14:paraId="4C2845C2"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6E5214" w:rsidP="00B20232" w:rsidRDefault="006E5214" w14:paraId="4C70F3F4" w14:textId="77777777">
            <w:pPr>
              <w:spacing w:after="240"/>
              <w:rPr>
                <w:szCs w:val="18"/>
              </w:rPr>
            </w:pPr>
          </w:p>
        </w:tc>
        <w:tc>
          <w:tcPr>
            <w:tcW w:w="1035" w:type="dxa"/>
          </w:tcPr>
          <w:p w:rsidRPr="00602161" w:rsidR="006E5214" w:rsidP="00B20232" w:rsidRDefault="006E5214" w14:paraId="244BABCA" w14:textId="77777777">
            <w:pPr>
              <w:spacing w:after="240"/>
              <w:rPr>
                <w:szCs w:val="18"/>
              </w:rPr>
            </w:pPr>
            <w:r w:rsidRPr="00602161">
              <w:rPr>
                <w:szCs w:val="18"/>
              </w:rPr>
              <w:t>Voorstel</w:t>
            </w:r>
          </w:p>
        </w:tc>
        <w:tc>
          <w:tcPr>
            <w:tcW w:w="6529" w:type="dxa"/>
          </w:tcPr>
          <w:p w:rsidRPr="00602161" w:rsidR="006E5214" w:rsidP="00B20232" w:rsidRDefault="00AE547B" w14:paraId="060A1730" w14:textId="786FE238">
            <w:pPr>
              <w:spacing w:after="240"/>
              <w:rPr>
                <w:szCs w:val="18"/>
              </w:rPr>
            </w:pPr>
            <w:r w:rsidRPr="00602161">
              <w:rPr>
                <w:szCs w:val="18"/>
              </w:rPr>
              <w:t>Voor kennisgeving aannemen.</w:t>
            </w:r>
          </w:p>
        </w:tc>
      </w:tr>
      <w:tr w:rsidRPr="00602161" w:rsidR="006E5214" w:rsidTr="00B20232" w14:paraId="66294184"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6E5214" w:rsidP="00B20232" w:rsidRDefault="006E5214" w14:paraId="4008FB98" w14:textId="77777777">
            <w:pPr>
              <w:spacing w:after="240"/>
              <w:rPr>
                <w:color w:val="595959" w:themeColor="text1" w:themeTint="A6"/>
                <w:szCs w:val="18"/>
              </w:rPr>
            </w:pPr>
          </w:p>
        </w:tc>
        <w:tc>
          <w:tcPr>
            <w:tcW w:w="1035" w:type="dxa"/>
          </w:tcPr>
          <w:p w:rsidRPr="00602161" w:rsidR="006E5214" w:rsidP="00B20232" w:rsidRDefault="006E5214" w14:paraId="33A8C113"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6E5214" w:rsidP="00AE547B" w:rsidRDefault="00AE547B" w14:paraId="6C03BAFC" w14:textId="5FFA868F">
            <w:pPr>
              <w:spacing w:after="240"/>
              <w:rPr>
                <w:color w:val="595959" w:themeColor="text1" w:themeTint="A6"/>
                <w:szCs w:val="18"/>
              </w:rPr>
            </w:pPr>
            <w:r w:rsidRPr="00602161">
              <w:rPr>
                <w:color w:val="595959" w:themeColor="text1" w:themeTint="A6"/>
                <w:szCs w:val="18"/>
              </w:rPr>
              <w:t>Het Fonds voor Europese hulp aan de meest behoeftigen (FEAD) 1 helpt de ergste vormen van armoede in de EU aanpakken, zoals voedselgebrek, kinderarmoede en dakloosheid. In totaal beschikte het FEAD over een bedrag van 3,8 miljard EUR (lopende prijzen) voor de periode 2014-2020. Dit verslag is gebaseerd op de nationale uitvoeringsverslagen van 2020 die de Commissie van de lidstaten heeft ontvangen over operationele programma’s die in 2020 zijn medegefinancierd door het FEAD.</w:t>
            </w:r>
          </w:p>
        </w:tc>
      </w:tr>
    </w:tbl>
    <w:p w:rsidRPr="00602161" w:rsidR="0046653A" w:rsidP="0046653A" w:rsidRDefault="0046653A" w14:paraId="0C3F8B54" w14:textId="085DE4C9">
      <w:pPr>
        <w:spacing w:after="240"/>
        <w:rPr>
          <w:szCs w:val="18"/>
          <w:lang w:val="en-US" w:eastAsia="nl-N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157741B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7CD0D846"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7305EF8F"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46653A" w14:paraId="45C44426" w14:textId="38E53A9F">
            <w:pPr>
              <w:spacing w:after="240"/>
              <w:rPr>
                <w:szCs w:val="18"/>
                <w:lang w:val="en-US" w:eastAsia="nl-NL"/>
              </w:rPr>
            </w:pPr>
            <w:proofErr w:type="spellStart"/>
            <w:r w:rsidRPr="00602161">
              <w:rPr>
                <w:szCs w:val="18"/>
                <w:lang w:val="en-US"/>
              </w:rPr>
              <w:t>Voorstel</w:t>
            </w:r>
            <w:proofErr w:type="spellEnd"/>
            <w:r w:rsidRPr="00602161">
              <w:rPr>
                <w:szCs w:val="18"/>
                <w:lang w:val="en-US"/>
              </w:rPr>
              <w:t xml:space="preserve"> voor </w:t>
            </w:r>
            <w:proofErr w:type="spellStart"/>
            <w:r w:rsidRPr="00602161">
              <w:rPr>
                <w:szCs w:val="18"/>
                <w:lang w:val="en-US"/>
              </w:rPr>
              <w:t>een</w:t>
            </w:r>
            <w:proofErr w:type="spellEnd"/>
            <w:r w:rsidRPr="00602161">
              <w:rPr>
                <w:szCs w:val="18"/>
                <w:lang w:val="en-US"/>
              </w:rPr>
              <w:t xml:space="preserve"> UITVOERINGSBESLUIT VAN DE RAAD tot </w:t>
            </w:r>
            <w:proofErr w:type="spellStart"/>
            <w:r w:rsidRPr="00602161">
              <w:rPr>
                <w:szCs w:val="18"/>
                <w:lang w:val="en-US"/>
              </w:rPr>
              <w:t>wijziging</w:t>
            </w:r>
            <w:proofErr w:type="spellEnd"/>
            <w:r w:rsidRPr="00602161">
              <w:rPr>
                <w:szCs w:val="18"/>
                <w:lang w:val="en-US"/>
              </w:rPr>
              <w:t xml:space="preserve"> van </w:t>
            </w:r>
            <w:proofErr w:type="spellStart"/>
            <w:r w:rsidRPr="00602161">
              <w:rPr>
                <w:szCs w:val="18"/>
                <w:lang w:val="en-US"/>
              </w:rPr>
              <w:t>Uitvoeringsbesluit</w:t>
            </w:r>
            <w:proofErr w:type="spellEnd"/>
            <w:r w:rsidRPr="00602161">
              <w:rPr>
                <w:szCs w:val="18"/>
                <w:lang w:val="en-US"/>
              </w:rPr>
              <w:t xml:space="preserve"> 2013/677/EU </w:t>
            </w:r>
            <w:proofErr w:type="spellStart"/>
            <w:r w:rsidRPr="00602161">
              <w:rPr>
                <w:szCs w:val="18"/>
                <w:lang w:val="en-US"/>
              </w:rPr>
              <w:t>waarbij</w:t>
            </w:r>
            <w:proofErr w:type="spellEnd"/>
            <w:r w:rsidRPr="00602161">
              <w:rPr>
                <w:szCs w:val="18"/>
                <w:lang w:val="en-US"/>
              </w:rPr>
              <w:t xml:space="preserve"> Luxemburg </w:t>
            </w:r>
            <w:proofErr w:type="spellStart"/>
            <w:r w:rsidRPr="00602161">
              <w:rPr>
                <w:szCs w:val="18"/>
                <w:lang w:val="en-US"/>
              </w:rPr>
              <w:t>wordt</w:t>
            </w:r>
            <w:proofErr w:type="spellEnd"/>
            <w:r w:rsidRPr="00602161">
              <w:rPr>
                <w:szCs w:val="18"/>
                <w:lang w:val="en-US"/>
              </w:rPr>
              <w:t xml:space="preserve"> </w:t>
            </w:r>
            <w:proofErr w:type="spellStart"/>
            <w:r w:rsidRPr="00602161">
              <w:rPr>
                <w:szCs w:val="18"/>
                <w:lang w:val="en-US"/>
              </w:rPr>
              <w:t>gemachtigd</w:t>
            </w:r>
            <w:proofErr w:type="spellEnd"/>
            <w:r w:rsidRPr="00602161">
              <w:rPr>
                <w:szCs w:val="18"/>
                <w:lang w:val="en-US"/>
              </w:rPr>
              <w:t xml:space="preserve"> </w:t>
            </w:r>
            <w:proofErr w:type="spellStart"/>
            <w:r w:rsidRPr="00602161">
              <w:rPr>
                <w:szCs w:val="18"/>
                <w:lang w:val="en-US"/>
              </w:rPr>
              <w:t>een</w:t>
            </w:r>
            <w:proofErr w:type="spellEnd"/>
            <w:r w:rsidRPr="00602161">
              <w:rPr>
                <w:szCs w:val="18"/>
                <w:lang w:val="en-US"/>
              </w:rPr>
              <w:t xml:space="preserve"> </w:t>
            </w:r>
            <w:proofErr w:type="spellStart"/>
            <w:r w:rsidRPr="00602161">
              <w:rPr>
                <w:szCs w:val="18"/>
                <w:lang w:val="en-US"/>
              </w:rPr>
              <w:t>bijzondere</w:t>
            </w:r>
            <w:proofErr w:type="spellEnd"/>
            <w:r w:rsidRPr="00602161">
              <w:rPr>
                <w:szCs w:val="18"/>
                <w:lang w:val="en-US"/>
              </w:rPr>
              <w:t xml:space="preserve"> </w:t>
            </w:r>
            <w:proofErr w:type="spellStart"/>
            <w:r w:rsidRPr="00602161">
              <w:rPr>
                <w:szCs w:val="18"/>
                <w:lang w:val="en-US"/>
              </w:rPr>
              <w:t>maatregel</w:t>
            </w:r>
            <w:proofErr w:type="spellEnd"/>
            <w:r w:rsidRPr="00602161">
              <w:rPr>
                <w:szCs w:val="18"/>
                <w:lang w:val="en-US"/>
              </w:rPr>
              <w:t xml:space="preserve"> in te </w:t>
            </w:r>
            <w:proofErr w:type="spellStart"/>
            <w:r w:rsidRPr="00602161">
              <w:rPr>
                <w:szCs w:val="18"/>
                <w:lang w:val="en-US"/>
              </w:rPr>
              <w:t>voeren</w:t>
            </w:r>
            <w:proofErr w:type="spellEnd"/>
            <w:r w:rsidRPr="00602161">
              <w:rPr>
                <w:szCs w:val="18"/>
                <w:lang w:val="en-US"/>
              </w:rPr>
              <w:t xml:space="preserve"> die </w:t>
            </w:r>
            <w:proofErr w:type="spellStart"/>
            <w:r w:rsidRPr="00602161">
              <w:rPr>
                <w:szCs w:val="18"/>
                <w:lang w:val="en-US"/>
              </w:rPr>
              <w:t>afwijkt</w:t>
            </w:r>
            <w:proofErr w:type="spellEnd"/>
            <w:r w:rsidRPr="00602161">
              <w:rPr>
                <w:szCs w:val="18"/>
                <w:lang w:val="en-US"/>
              </w:rPr>
              <w:t xml:space="preserve"> van </w:t>
            </w:r>
            <w:proofErr w:type="spellStart"/>
            <w:r w:rsidRPr="00602161">
              <w:rPr>
                <w:szCs w:val="18"/>
                <w:lang w:val="en-US"/>
              </w:rPr>
              <w:t>artikel</w:t>
            </w:r>
            <w:proofErr w:type="spellEnd"/>
            <w:r w:rsidRPr="00602161">
              <w:rPr>
                <w:szCs w:val="18"/>
                <w:lang w:val="en-US"/>
              </w:rPr>
              <w:t xml:space="preserve"> 285 van </w:t>
            </w:r>
            <w:proofErr w:type="spellStart"/>
            <w:r w:rsidRPr="00602161">
              <w:rPr>
                <w:szCs w:val="18"/>
                <w:lang w:val="en-US"/>
              </w:rPr>
              <w:t>Richtlijn</w:t>
            </w:r>
            <w:proofErr w:type="spellEnd"/>
            <w:r w:rsidRPr="00602161">
              <w:rPr>
                <w:szCs w:val="18"/>
                <w:lang w:val="en-US"/>
              </w:rPr>
              <w:t xml:space="preserve"> 2006/112/EG </w:t>
            </w:r>
            <w:proofErr w:type="spellStart"/>
            <w:r w:rsidRPr="00602161">
              <w:rPr>
                <w:szCs w:val="18"/>
                <w:lang w:val="en-US"/>
              </w:rPr>
              <w:t>betreffende</w:t>
            </w:r>
            <w:proofErr w:type="spellEnd"/>
            <w:r w:rsidRPr="00602161">
              <w:rPr>
                <w:szCs w:val="18"/>
                <w:lang w:val="en-US"/>
              </w:rPr>
              <w:t xml:space="preserve"> het </w:t>
            </w:r>
            <w:proofErr w:type="spellStart"/>
            <w:r w:rsidRPr="00602161">
              <w:rPr>
                <w:szCs w:val="18"/>
                <w:lang w:val="en-US"/>
              </w:rPr>
              <w:t>gemeenschappelijke</w:t>
            </w:r>
            <w:proofErr w:type="spellEnd"/>
            <w:r w:rsidRPr="00602161">
              <w:rPr>
                <w:szCs w:val="18"/>
                <w:lang w:val="en-US"/>
              </w:rPr>
              <w:t xml:space="preserve"> </w:t>
            </w:r>
            <w:proofErr w:type="spellStart"/>
            <w:r w:rsidRPr="00602161">
              <w:rPr>
                <w:szCs w:val="18"/>
                <w:lang w:val="en-US"/>
              </w:rPr>
              <w:t>stelsel</w:t>
            </w:r>
            <w:proofErr w:type="spellEnd"/>
            <w:r w:rsidRPr="00602161">
              <w:rPr>
                <w:szCs w:val="18"/>
                <w:lang w:val="en-US"/>
              </w:rPr>
              <w:t xml:space="preserve"> van </w:t>
            </w:r>
            <w:proofErr w:type="spellStart"/>
            <w:r w:rsidRPr="00602161">
              <w:rPr>
                <w:szCs w:val="18"/>
                <w:lang w:val="en-US"/>
              </w:rPr>
              <w:t>belasting</w:t>
            </w:r>
            <w:proofErr w:type="spellEnd"/>
            <w:r w:rsidRPr="00602161">
              <w:rPr>
                <w:szCs w:val="18"/>
                <w:lang w:val="en-US"/>
              </w:rPr>
              <w:t xml:space="preserve"> over de </w:t>
            </w:r>
            <w:proofErr w:type="spellStart"/>
            <w:r w:rsidRPr="00602161">
              <w:rPr>
                <w:szCs w:val="18"/>
                <w:lang w:val="en-US"/>
              </w:rPr>
              <w:t>toegevoegde</w:t>
            </w:r>
            <w:proofErr w:type="spellEnd"/>
            <w:r w:rsidRPr="00602161">
              <w:rPr>
                <w:szCs w:val="18"/>
                <w:lang w:val="en-US"/>
              </w:rPr>
              <w:t xml:space="preserve"> </w:t>
            </w:r>
            <w:proofErr w:type="spellStart"/>
            <w:r w:rsidRPr="00602161">
              <w:rPr>
                <w:szCs w:val="18"/>
                <w:lang w:val="en-US"/>
              </w:rPr>
              <w:t>waarde</w:t>
            </w:r>
            <w:proofErr w:type="spellEnd"/>
            <w:r w:rsidRPr="00602161">
              <w:rPr>
                <w:szCs w:val="18"/>
                <w:lang w:val="en-US"/>
              </w:rPr>
              <w:t xml:space="preserve"> </w:t>
            </w:r>
            <w:hyperlink w:history="1" r:id="rId24">
              <w:r w:rsidRPr="00602161">
                <w:rPr>
                  <w:rStyle w:val="Hyperlink"/>
                  <w:szCs w:val="18"/>
                  <w:lang w:val="en-US"/>
                </w:rPr>
                <w:t>COM(2022)352</w:t>
              </w:r>
            </w:hyperlink>
          </w:p>
        </w:tc>
      </w:tr>
      <w:tr w:rsidRPr="00602161" w:rsidR="0046653A" w:rsidTr="00584452" w14:paraId="1A0235BD"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1B21EAFF" w14:textId="77777777">
            <w:pPr>
              <w:spacing w:after="240"/>
              <w:rPr>
                <w:szCs w:val="18"/>
              </w:rPr>
            </w:pPr>
          </w:p>
        </w:tc>
        <w:tc>
          <w:tcPr>
            <w:tcW w:w="1035" w:type="dxa"/>
          </w:tcPr>
          <w:p w:rsidRPr="00602161" w:rsidR="0046653A" w:rsidP="00584452" w:rsidRDefault="0046653A" w14:paraId="7F40EB5C" w14:textId="77777777">
            <w:pPr>
              <w:spacing w:after="240"/>
              <w:rPr>
                <w:szCs w:val="18"/>
              </w:rPr>
            </w:pPr>
            <w:r w:rsidRPr="00602161">
              <w:rPr>
                <w:szCs w:val="18"/>
              </w:rPr>
              <w:t>Voorstel</w:t>
            </w:r>
          </w:p>
        </w:tc>
        <w:tc>
          <w:tcPr>
            <w:tcW w:w="6529" w:type="dxa"/>
          </w:tcPr>
          <w:p w:rsidRPr="00602161" w:rsidR="0046653A" w:rsidP="00584452" w:rsidRDefault="00C54E7C" w14:paraId="7892277F" w14:textId="06A5E444">
            <w:pPr>
              <w:spacing w:after="240"/>
              <w:rPr>
                <w:szCs w:val="18"/>
              </w:rPr>
            </w:pPr>
            <w:r w:rsidRPr="00602161">
              <w:rPr>
                <w:szCs w:val="18"/>
              </w:rPr>
              <w:t>Voor kennisgeving aannemen.</w:t>
            </w:r>
          </w:p>
        </w:tc>
      </w:tr>
      <w:tr w:rsidRPr="00602161" w:rsidR="0046653A" w:rsidTr="00584452" w14:paraId="548F75BC"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61D45E36" w14:textId="77777777">
            <w:pPr>
              <w:spacing w:after="240"/>
              <w:rPr>
                <w:color w:val="595959" w:themeColor="text1" w:themeTint="A6"/>
                <w:szCs w:val="18"/>
              </w:rPr>
            </w:pPr>
          </w:p>
        </w:tc>
        <w:tc>
          <w:tcPr>
            <w:tcW w:w="1035" w:type="dxa"/>
          </w:tcPr>
          <w:p w:rsidRPr="00602161" w:rsidR="0046653A" w:rsidP="00584452" w:rsidRDefault="0046653A" w14:paraId="2B2F338E"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C54E7C" w:rsidRDefault="00C54E7C" w14:paraId="4CD9A4AE" w14:textId="4907E732">
            <w:pPr>
              <w:spacing w:after="240"/>
              <w:rPr>
                <w:color w:val="595959" w:themeColor="text1" w:themeTint="A6"/>
                <w:szCs w:val="18"/>
              </w:rPr>
            </w:pPr>
            <w:r w:rsidRPr="00602161">
              <w:rPr>
                <w:color w:val="595959" w:themeColor="text1" w:themeTint="A6"/>
                <w:szCs w:val="18"/>
              </w:rPr>
              <w:t>Op basis van de btw-richtlijn kan de Raad op voorstel van de Commissie met eenparigheid van stemmen elke lidstaat machtigen bijzondere, van de bepalingen van deze richtlijn afwijkende maatregelen te treffen, teneinde de belastinginning te vereenvoudigen of bepaalde vormen van belastingfraude of -ontwijking te voorkomen. Luxemburg verzocht om tot en met 31 december 2024 een maatregel te mogen blijven toepassen die Luxemburg in staat stelt om belastingplichtigen met een jaaromzet van niet meer dan 35 000 EUR van de btw vrij te stellen.</w:t>
            </w:r>
          </w:p>
        </w:tc>
      </w:tr>
    </w:tbl>
    <w:p w:rsidRPr="00602161" w:rsidR="0046653A" w:rsidP="0046653A" w:rsidRDefault="0046653A" w14:paraId="2A01377F" w14:textId="7B2C1665">
      <w:pPr>
        <w:spacing w:after="240"/>
        <w:rPr>
          <w:szCs w:val="18"/>
          <w:lang w:val="en-US" w:eastAsia="nl-N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38E37A6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0BBACA79"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17F63470"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46653A" w14:paraId="5B46742B" w14:textId="398A0927">
            <w:pPr>
              <w:spacing w:after="240"/>
              <w:rPr>
                <w:szCs w:val="18"/>
                <w:lang w:val="en-US" w:eastAsia="nl-NL"/>
              </w:rPr>
            </w:pPr>
            <w:r w:rsidRPr="00602161">
              <w:rPr>
                <w:szCs w:val="18"/>
                <w:lang w:val="en-US"/>
              </w:rPr>
              <w:t xml:space="preserve">VERSLAG VAN DE COMMISSIE AAN DE RAAD </w:t>
            </w:r>
            <w:proofErr w:type="spellStart"/>
            <w:r w:rsidRPr="00602161">
              <w:rPr>
                <w:szCs w:val="18"/>
                <w:lang w:val="en-US"/>
              </w:rPr>
              <w:t>betreffende</w:t>
            </w:r>
            <w:proofErr w:type="spellEnd"/>
            <w:r w:rsidRPr="00602161">
              <w:rPr>
                <w:szCs w:val="18"/>
                <w:lang w:val="en-US"/>
              </w:rPr>
              <w:t xml:space="preserve"> de </w:t>
            </w:r>
            <w:proofErr w:type="spellStart"/>
            <w:r w:rsidRPr="00602161">
              <w:rPr>
                <w:szCs w:val="18"/>
                <w:lang w:val="en-US"/>
              </w:rPr>
              <w:t>uitvoering</w:t>
            </w:r>
            <w:proofErr w:type="spellEnd"/>
            <w:r w:rsidRPr="00602161">
              <w:rPr>
                <w:szCs w:val="18"/>
                <w:lang w:val="en-US"/>
              </w:rPr>
              <w:t xml:space="preserve"> van </w:t>
            </w:r>
            <w:proofErr w:type="spellStart"/>
            <w:r w:rsidRPr="00602161">
              <w:rPr>
                <w:szCs w:val="18"/>
                <w:lang w:val="en-US"/>
              </w:rPr>
              <w:t>Verordening</w:t>
            </w:r>
            <w:proofErr w:type="spellEnd"/>
            <w:r w:rsidRPr="00602161">
              <w:rPr>
                <w:szCs w:val="18"/>
                <w:lang w:val="en-US"/>
              </w:rPr>
              <w:t xml:space="preserve"> (EU) 2020/521 wat </w:t>
            </w:r>
            <w:proofErr w:type="spellStart"/>
            <w:r w:rsidRPr="00602161">
              <w:rPr>
                <w:szCs w:val="18"/>
                <w:lang w:val="en-US"/>
              </w:rPr>
              <w:t>betreft</w:t>
            </w:r>
            <w:proofErr w:type="spellEnd"/>
            <w:r w:rsidRPr="00602161">
              <w:rPr>
                <w:szCs w:val="18"/>
                <w:lang w:val="en-US"/>
              </w:rPr>
              <w:t xml:space="preserve"> de </w:t>
            </w:r>
            <w:proofErr w:type="spellStart"/>
            <w:r w:rsidRPr="00602161">
              <w:rPr>
                <w:szCs w:val="18"/>
                <w:lang w:val="en-US"/>
              </w:rPr>
              <w:t>activering</w:t>
            </w:r>
            <w:proofErr w:type="spellEnd"/>
            <w:r w:rsidRPr="00602161">
              <w:rPr>
                <w:szCs w:val="18"/>
                <w:lang w:val="en-US"/>
              </w:rPr>
              <w:t xml:space="preserve"> van </w:t>
            </w:r>
            <w:proofErr w:type="spellStart"/>
            <w:r w:rsidRPr="00602161">
              <w:rPr>
                <w:szCs w:val="18"/>
                <w:lang w:val="en-US"/>
              </w:rPr>
              <w:t>noodhulp</w:t>
            </w:r>
            <w:proofErr w:type="spellEnd"/>
            <w:r w:rsidRPr="00602161">
              <w:rPr>
                <w:szCs w:val="18"/>
                <w:lang w:val="en-US"/>
              </w:rPr>
              <w:t xml:space="preserve"> om de </w:t>
            </w:r>
            <w:proofErr w:type="spellStart"/>
            <w:r w:rsidRPr="00602161">
              <w:rPr>
                <w:szCs w:val="18"/>
                <w:lang w:val="en-US"/>
              </w:rPr>
              <w:t>uitgaven</w:t>
            </w:r>
            <w:proofErr w:type="spellEnd"/>
            <w:r w:rsidRPr="00602161">
              <w:rPr>
                <w:szCs w:val="18"/>
                <w:lang w:val="en-US"/>
              </w:rPr>
              <w:t xml:space="preserve"> te </w:t>
            </w:r>
            <w:proofErr w:type="spellStart"/>
            <w:r w:rsidRPr="00602161">
              <w:rPr>
                <w:szCs w:val="18"/>
                <w:lang w:val="en-US"/>
              </w:rPr>
              <w:t>financieren</w:t>
            </w:r>
            <w:proofErr w:type="spellEnd"/>
            <w:r w:rsidRPr="00602161">
              <w:rPr>
                <w:szCs w:val="18"/>
                <w:lang w:val="en-US"/>
              </w:rPr>
              <w:t xml:space="preserve"> die </w:t>
            </w:r>
            <w:proofErr w:type="spellStart"/>
            <w:r w:rsidRPr="00602161">
              <w:rPr>
                <w:szCs w:val="18"/>
                <w:lang w:val="en-US"/>
              </w:rPr>
              <w:t>nodig</w:t>
            </w:r>
            <w:proofErr w:type="spellEnd"/>
            <w:r w:rsidRPr="00602161">
              <w:rPr>
                <w:szCs w:val="18"/>
                <w:lang w:val="en-US"/>
              </w:rPr>
              <w:t xml:space="preserve"> </w:t>
            </w:r>
            <w:proofErr w:type="spellStart"/>
            <w:r w:rsidRPr="00602161">
              <w:rPr>
                <w:szCs w:val="18"/>
                <w:lang w:val="en-US"/>
              </w:rPr>
              <w:t>zijn</w:t>
            </w:r>
            <w:proofErr w:type="spellEnd"/>
            <w:r w:rsidRPr="00602161">
              <w:rPr>
                <w:szCs w:val="18"/>
                <w:lang w:val="en-US"/>
              </w:rPr>
              <w:t xml:space="preserve"> om de COVID-19-pandemie het </w:t>
            </w:r>
            <w:proofErr w:type="spellStart"/>
            <w:r w:rsidRPr="00602161">
              <w:rPr>
                <w:szCs w:val="18"/>
                <w:lang w:val="en-US"/>
              </w:rPr>
              <w:t>hoofd</w:t>
            </w:r>
            <w:proofErr w:type="spellEnd"/>
            <w:r w:rsidRPr="00602161">
              <w:rPr>
                <w:szCs w:val="18"/>
                <w:lang w:val="en-US"/>
              </w:rPr>
              <w:t xml:space="preserve"> te </w:t>
            </w:r>
            <w:proofErr w:type="spellStart"/>
            <w:r w:rsidRPr="00602161">
              <w:rPr>
                <w:szCs w:val="18"/>
                <w:lang w:val="en-US"/>
              </w:rPr>
              <w:t>bieden</w:t>
            </w:r>
            <w:proofErr w:type="spellEnd"/>
            <w:r w:rsidRPr="00602161">
              <w:rPr>
                <w:szCs w:val="18"/>
                <w:lang w:val="en-US"/>
              </w:rPr>
              <w:t xml:space="preserve"> </w:t>
            </w:r>
            <w:hyperlink w:history="1" r:id="rId25">
              <w:r w:rsidRPr="00602161">
                <w:rPr>
                  <w:rStyle w:val="Hyperlink"/>
                  <w:szCs w:val="18"/>
                  <w:lang w:val="en-US"/>
                </w:rPr>
                <w:t>COM(2022)386</w:t>
              </w:r>
            </w:hyperlink>
          </w:p>
        </w:tc>
      </w:tr>
      <w:tr w:rsidRPr="00602161" w:rsidR="0046653A" w:rsidTr="00584452" w14:paraId="15559BE9"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09DB80A9" w14:textId="77777777">
            <w:pPr>
              <w:spacing w:after="240"/>
              <w:rPr>
                <w:szCs w:val="18"/>
              </w:rPr>
            </w:pPr>
          </w:p>
        </w:tc>
        <w:tc>
          <w:tcPr>
            <w:tcW w:w="1035" w:type="dxa"/>
          </w:tcPr>
          <w:p w:rsidRPr="00602161" w:rsidR="0046653A" w:rsidP="00584452" w:rsidRDefault="0046653A" w14:paraId="44E3928F" w14:textId="77777777">
            <w:pPr>
              <w:spacing w:after="240"/>
              <w:rPr>
                <w:szCs w:val="18"/>
              </w:rPr>
            </w:pPr>
            <w:r w:rsidRPr="00602161">
              <w:rPr>
                <w:szCs w:val="18"/>
              </w:rPr>
              <w:t>Voorstel</w:t>
            </w:r>
          </w:p>
        </w:tc>
        <w:tc>
          <w:tcPr>
            <w:tcW w:w="6529" w:type="dxa"/>
          </w:tcPr>
          <w:p w:rsidRPr="00602161" w:rsidR="0046653A" w:rsidP="00584452" w:rsidRDefault="00D151F4" w14:paraId="697A5682" w14:textId="7A333C42">
            <w:pPr>
              <w:spacing w:after="240"/>
              <w:rPr>
                <w:szCs w:val="18"/>
              </w:rPr>
            </w:pPr>
            <w:r w:rsidRPr="00602161">
              <w:rPr>
                <w:szCs w:val="18"/>
              </w:rPr>
              <w:t>Voor kennisgeving aannemen.</w:t>
            </w:r>
          </w:p>
        </w:tc>
      </w:tr>
      <w:tr w:rsidRPr="00602161" w:rsidR="0046653A" w:rsidTr="00584452" w14:paraId="0A207C1F"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104AF597" w14:textId="77777777">
            <w:pPr>
              <w:spacing w:after="240"/>
              <w:rPr>
                <w:color w:val="595959" w:themeColor="text1" w:themeTint="A6"/>
                <w:szCs w:val="18"/>
              </w:rPr>
            </w:pPr>
          </w:p>
        </w:tc>
        <w:tc>
          <w:tcPr>
            <w:tcW w:w="1035" w:type="dxa"/>
          </w:tcPr>
          <w:p w:rsidRPr="00602161" w:rsidR="0046653A" w:rsidP="00584452" w:rsidRDefault="0046653A" w14:paraId="26BC6152"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733678" w:rsidRDefault="00D151F4" w14:paraId="23EE5ADC" w14:textId="65B81348">
            <w:pPr>
              <w:spacing w:after="240"/>
              <w:rPr>
                <w:color w:val="595959" w:themeColor="text1" w:themeTint="A6"/>
                <w:szCs w:val="18"/>
              </w:rPr>
            </w:pPr>
            <w:r w:rsidRPr="00602161">
              <w:rPr>
                <w:color w:val="595959" w:themeColor="text1" w:themeTint="A6"/>
                <w:szCs w:val="18"/>
              </w:rPr>
              <w:t>In april 2020 kwam de Raad overeen om het instrument voor noodhulp (ESI) te activeren</w:t>
            </w:r>
            <w:r w:rsidRPr="00602161" w:rsidR="00733678">
              <w:rPr>
                <w:color w:val="595959" w:themeColor="text1" w:themeTint="A6"/>
                <w:szCs w:val="18"/>
              </w:rPr>
              <w:t xml:space="preserve"> in het kader van de COVID-19-pandemie</w:t>
            </w:r>
            <w:r w:rsidRPr="00602161">
              <w:rPr>
                <w:color w:val="595959" w:themeColor="text1" w:themeTint="A6"/>
                <w:szCs w:val="18"/>
              </w:rPr>
              <w:t xml:space="preserve">. Dit verslag geeft een overzicht van de belangrijkste gevolgen van het ESI sinds de activering ervan, samen met een </w:t>
            </w:r>
            <w:r w:rsidRPr="00602161">
              <w:rPr>
                <w:color w:val="595959" w:themeColor="text1" w:themeTint="A6"/>
                <w:szCs w:val="18"/>
              </w:rPr>
              <w:lastRenderedPageBreak/>
              <w:t>analyse van de belangrijkste problemen die zich hebben voorgedaan en een overzicht van geplande toekomstige activiteiten.</w:t>
            </w:r>
          </w:p>
        </w:tc>
      </w:tr>
    </w:tbl>
    <w:p w:rsidRPr="00602161" w:rsidR="0046653A" w:rsidP="0046653A" w:rsidRDefault="0046653A" w14:paraId="6F3CF93C" w14:textId="77777777">
      <w:pPr>
        <w:spacing w:after="240"/>
        <w:rPr>
          <w:szCs w:val="18"/>
          <w:lang w:val="en-US" w:eastAsia="nl-NL"/>
        </w:rPr>
      </w:pPr>
      <w:r w:rsidRPr="00602161">
        <w:rPr>
          <w:szCs w:val="18"/>
          <w:lang w:val="en-US" w:eastAsia="nl-NL"/>
        </w:rPr>
        <w:lastRenderedPageBreak/>
        <w:br/>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230809C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113274F3"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57BD5562"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2F7EBD" w14:paraId="158178E8" w14:textId="61103EBC">
            <w:pPr>
              <w:spacing w:after="240"/>
              <w:rPr>
                <w:szCs w:val="18"/>
                <w:lang w:val="en-US" w:eastAsia="nl-NL"/>
              </w:rPr>
            </w:pPr>
            <w:r w:rsidRPr="00602161">
              <w:rPr>
                <w:szCs w:val="18"/>
                <w:lang w:val="en-US"/>
              </w:rPr>
              <w:t xml:space="preserve">VERSLAG VAN DE COMMISSIE AAN HET EUROPEES PARLEMENT EN DE RAAD </w:t>
            </w:r>
            <w:proofErr w:type="spellStart"/>
            <w:r w:rsidRPr="00602161">
              <w:rPr>
                <w:szCs w:val="18"/>
                <w:lang w:val="en-US"/>
              </w:rPr>
              <w:t>Evaluatieverslag</w:t>
            </w:r>
            <w:proofErr w:type="spellEnd"/>
            <w:r w:rsidRPr="00602161">
              <w:rPr>
                <w:szCs w:val="18"/>
                <w:lang w:val="en-US"/>
              </w:rPr>
              <w:t xml:space="preserve"> over de </w:t>
            </w:r>
            <w:proofErr w:type="spellStart"/>
            <w:r w:rsidRPr="00602161">
              <w:rPr>
                <w:szCs w:val="18"/>
                <w:lang w:val="en-US"/>
              </w:rPr>
              <w:t>uitvoering</w:t>
            </w:r>
            <w:proofErr w:type="spellEnd"/>
            <w:r w:rsidRPr="00602161">
              <w:rPr>
                <w:szCs w:val="18"/>
                <w:lang w:val="en-US"/>
              </w:rPr>
              <w:t xml:space="preserve"> van de </w:t>
            </w:r>
            <w:proofErr w:type="spellStart"/>
            <w:r w:rsidRPr="00602161">
              <w:rPr>
                <w:szCs w:val="18"/>
                <w:lang w:val="en-US"/>
              </w:rPr>
              <w:t>herstel</w:t>
            </w:r>
            <w:proofErr w:type="spellEnd"/>
            <w:r w:rsidRPr="00602161">
              <w:rPr>
                <w:szCs w:val="18"/>
                <w:lang w:val="en-US"/>
              </w:rPr>
              <w:t xml:space="preserve">- en </w:t>
            </w:r>
            <w:proofErr w:type="spellStart"/>
            <w:r w:rsidRPr="00602161">
              <w:rPr>
                <w:szCs w:val="18"/>
                <w:lang w:val="en-US"/>
              </w:rPr>
              <w:t>veerkrachtfaciliteit</w:t>
            </w:r>
            <w:proofErr w:type="spellEnd"/>
            <w:r w:rsidRPr="00602161">
              <w:rPr>
                <w:szCs w:val="18"/>
                <w:lang w:val="en-US"/>
              </w:rPr>
              <w:t xml:space="preserve"> </w:t>
            </w:r>
            <w:hyperlink w:history="1" r:id="rId26">
              <w:r w:rsidRPr="00602161" w:rsidR="0046653A">
                <w:rPr>
                  <w:rStyle w:val="Hyperlink"/>
                  <w:szCs w:val="18"/>
                  <w:lang w:val="en-US"/>
                </w:rPr>
                <w:t>COM(2022)383</w:t>
              </w:r>
            </w:hyperlink>
          </w:p>
        </w:tc>
      </w:tr>
      <w:tr w:rsidRPr="00602161" w:rsidR="0046653A" w:rsidTr="00584452" w14:paraId="6F3CEC8F"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066B6180" w14:textId="77777777">
            <w:pPr>
              <w:spacing w:after="240"/>
              <w:rPr>
                <w:szCs w:val="18"/>
              </w:rPr>
            </w:pPr>
          </w:p>
        </w:tc>
        <w:tc>
          <w:tcPr>
            <w:tcW w:w="1035" w:type="dxa"/>
          </w:tcPr>
          <w:p w:rsidRPr="00602161" w:rsidR="0046653A" w:rsidP="00584452" w:rsidRDefault="0046653A" w14:paraId="60880EF0" w14:textId="77777777">
            <w:pPr>
              <w:spacing w:after="240"/>
              <w:rPr>
                <w:szCs w:val="18"/>
              </w:rPr>
            </w:pPr>
            <w:r w:rsidRPr="00602161">
              <w:rPr>
                <w:szCs w:val="18"/>
              </w:rPr>
              <w:t>Voorstel</w:t>
            </w:r>
          </w:p>
        </w:tc>
        <w:tc>
          <w:tcPr>
            <w:tcW w:w="6529" w:type="dxa"/>
          </w:tcPr>
          <w:p w:rsidRPr="00602161" w:rsidR="0046653A" w:rsidP="00584452" w:rsidRDefault="002F7EBD" w14:paraId="5EB20A2B" w14:textId="100A16A8">
            <w:pPr>
              <w:spacing w:after="240"/>
              <w:rPr>
                <w:szCs w:val="18"/>
              </w:rPr>
            </w:pPr>
            <w:r w:rsidRPr="00602161">
              <w:rPr>
                <w:szCs w:val="18"/>
              </w:rPr>
              <w:t>Desgewenst betrekken bij het commissiedebat Eurogroep/</w:t>
            </w:r>
            <w:proofErr w:type="spellStart"/>
            <w:r w:rsidRPr="00602161">
              <w:rPr>
                <w:szCs w:val="18"/>
              </w:rPr>
              <w:t>Ecofin</w:t>
            </w:r>
            <w:proofErr w:type="spellEnd"/>
            <w:r w:rsidRPr="00602161">
              <w:rPr>
                <w:szCs w:val="18"/>
              </w:rPr>
              <w:t xml:space="preserve"> van 29 september.</w:t>
            </w:r>
          </w:p>
        </w:tc>
      </w:tr>
      <w:tr w:rsidRPr="00602161" w:rsidR="0046653A" w:rsidTr="00584452" w14:paraId="7B5F6189"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0F4C1B18" w14:textId="77777777">
            <w:pPr>
              <w:spacing w:after="240"/>
              <w:rPr>
                <w:color w:val="595959" w:themeColor="text1" w:themeTint="A6"/>
                <w:szCs w:val="18"/>
              </w:rPr>
            </w:pPr>
          </w:p>
        </w:tc>
        <w:tc>
          <w:tcPr>
            <w:tcW w:w="1035" w:type="dxa"/>
          </w:tcPr>
          <w:p w:rsidRPr="00602161" w:rsidR="0046653A" w:rsidP="00584452" w:rsidRDefault="0046653A" w14:paraId="75B825FB"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2F7EBD" w:rsidRDefault="002F7EBD" w14:paraId="34960C37" w14:textId="5CF8A39B">
            <w:pPr>
              <w:spacing w:after="240"/>
              <w:rPr>
                <w:color w:val="595959" w:themeColor="text1" w:themeTint="A6"/>
                <w:szCs w:val="18"/>
              </w:rPr>
            </w:pPr>
            <w:r w:rsidRPr="00602161">
              <w:rPr>
                <w:color w:val="595959" w:themeColor="text1" w:themeTint="A6"/>
                <w:szCs w:val="18"/>
              </w:rPr>
              <w:t xml:space="preserve">In dit evaluatieverslag wordt een update gegeven van de uitvoering van de herstel- en veerkrachtfaciliteit (RRF), met een kwantitatieve beoordeling van de bijdrage van de herstel- en veerkrachtplannen aan het bereiken van de klimaat- en digitale doelstellingen en aan elk van de zes pijlers. </w:t>
            </w:r>
          </w:p>
        </w:tc>
      </w:tr>
    </w:tbl>
    <w:p w:rsidRPr="00602161" w:rsidR="0046653A" w:rsidP="0046653A" w:rsidRDefault="0046653A" w14:paraId="75C7BA36" w14:textId="55380E3D">
      <w:pPr>
        <w:spacing w:after="240"/>
        <w:rPr>
          <w:szCs w:val="18"/>
          <w:lang w:val="en-US" w:eastAsia="nl-NL"/>
        </w:rPr>
      </w:pPr>
      <w:r w:rsidRPr="00602161">
        <w:rPr>
          <w:szCs w:val="18"/>
          <w:lang w:val="en-US" w:eastAsia="nl-NL"/>
        </w:rPr>
        <w:br/>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539B8B7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0A3FAB9F"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47A7ABEF"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46653A" w14:paraId="067BBA02" w14:textId="7823441E">
            <w:pPr>
              <w:spacing w:after="240"/>
              <w:rPr>
                <w:szCs w:val="18"/>
                <w:lang w:val="en-US" w:eastAsia="nl-NL"/>
              </w:rPr>
            </w:pPr>
            <w:r w:rsidRPr="00602161">
              <w:rPr>
                <w:szCs w:val="18"/>
                <w:lang w:val="en-US"/>
              </w:rPr>
              <w:t xml:space="preserve">VERSLAG VAN DE COMMISSIE AAN HET EUROPEES PARLEMENT EN DE RAAD </w:t>
            </w:r>
            <w:proofErr w:type="spellStart"/>
            <w:r w:rsidRPr="00602161">
              <w:rPr>
                <w:szCs w:val="18"/>
                <w:lang w:val="en-US"/>
              </w:rPr>
              <w:t>betreffende</w:t>
            </w:r>
            <w:proofErr w:type="spellEnd"/>
            <w:r w:rsidRPr="00602161">
              <w:rPr>
                <w:szCs w:val="18"/>
                <w:lang w:val="en-US"/>
              </w:rPr>
              <w:t xml:space="preserve"> de </w:t>
            </w:r>
            <w:proofErr w:type="spellStart"/>
            <w:r w:rsidRPr="00602161">
              <w:rPr>
                <w:szCs w:val="18"/>
                <w:lang w:val="en-US"/>
              </w:rPr>
              <w:t>naleving</w:t>
            </w:r>
            <w:proofErr w:type="spellEnd"/>
            <w:r w:rsidRPr="00602161">
              <w:rPr>
                <w:szCs w:val="18"/>
                <w:lang w:val="en-US"/>
              </w:rPr>
              <w:t xml:space="preserve"> door de </w:t>
            </w:r>
            <w:proofErr w:type="spellStart"/>
            <w:r w:rsidRPr="00602161">
              <w:rPr>
                <w:szCs w:val="18"/>
                <w:lang w:val="en-US"/>
              </w:rPr>
              <w:t>Europese</w:t>
            </w:r>
            <w:proofErr w:type="spellEnd"/>
            <w:r w:rsidRPr="00602161">
              <w:rPr>
                <w:szCs w:val="18"/>
                <w:lang w:val="en-US"/>
              </w:rPr>
              <w:t xml:space="preserve"> </w:t>
            </w:r>
            <w:proofErr w:type="spellStart"/>
            <w:r w:rsidRPr="00602161">
              <w:rPr>
                <w:szCs w:val="18"/>
                <w:lang w:val="en-US"/>
              </w:rPr>
              <w:t>Bankautoriteit</w:t>
            </w:r>
            <w:proofErr w:type="spellEnd"/>
            <w:r w:rsidRPr="00602161">
              <w:rPr>
                <w:szCs w:val="18"/>
                <w:lang w:val="en-US"/>
              </w:rPr>
              <w:t xml:space="preserve"> van de </w:t>
            </w:r>
            <w:proofErr w:type="spellStart"/>
            <w:r w:rsidRPr="00602161">
              <w:rPr>
                <w:szCs w:val="18"/>
                <w:lang w:val="en-US"/>
              </w:rPr>
              <w:t>vereisten</w:t>
            </w:r>
            <w:proofErr w:type="spellEnd"/>
            <w:r w:rsidRPr="00602161">
              <w:rPr>
                <w:szCs w:val="18"/>
                <w:lang w:val="en-US"/>
              </w:rPr>
              <w:t xml:space="preserve"> in </w:t>
            </w:r>
            <w:proofErr w:type="spellStart"/>
            <w:r w:rsidRPr="00602161">
              <w:rPr>
                <w:szCs w:val="18"/>
                <w:lang w:val="en-US"/>
              </w:rPr>
              <w:t>verband</w:t>
            </w:r>
            <w:proofErr w:type="spellEnd"/>
            <w:r w:rsidRPr="00602161">
              <w:rPr>
                <w:szCs w:val="18"/>
                <w:lang w:val="en-US"/>
              </w:rPr>
              <w:t xml:space="preserve"> met de </w:t>
            </w:r>
            <w:proofErr w:type="spellStart"/>
            <w:r w:rsidRPr="00602161">
              <w:rPr>
                <w:szCs w:val="18"/>
                <w:lang w:val="en-US"/>
              </w:rPr>
              <w:t>locatie</w:t>
            </w:r>
            <w:proofErr w:type="spellEnd"/>
            <w:r w:rsidRPr="00602161">
              <w:rPr>
                <w:szCs w:val="18"/>
                <w:lang w:val="en-US"/>
              </w:rPr>
              <w:t xml:space="preserve"> van </w:t>
            </w:r>
            <w:proofErr w:type="spellStart"/>
            <w:r w:rsidRPr="00602161">
              <w:rPr>
                <w:szCs w:val="18"/>
                <w:lang w:val="en-US"/>
              </w:rPr>
              <w:t>haar</w:t>
            </w:r>
            <w:proofErr w:type="spellEnd"/>
            <w:r w:rsidRPr="00602161">
              <w:rPr>
                <w:szCs w:val="18"/>
                <w:lang w:val="en-US"/>
              </w:rPr>
              <w:t xml:space="preserve"> </w:t>
            </w:r>
            <w:proofErr w:type="spellStart"/>
            <w:r w:rsidRPr="00602161">
              <w:rPr>
                <w:szCs w:val="18"/>
                <w:lang w:val="en-US"/>
              </w:rPr>
              <w:t>zetel</w:t>
            </w:r>
            <w:proofErr w:type="spellEnd"/>
            <w:r w:rsidRPr="00602161">
              <w:rPr>
                <w:szCs w:val="18"/>
                <w:lang w:val="en-US"/>
              </w:rPr>
              <w:t xml:space="preserve"> </w:t>
            </w:r>
            <w:hyperlink w:history="1" r:id="rId27">
              <w:r w:rsidRPr="00602161">
                <w:rPr>
                  <w:rStyle w:val="Hyperlink"/>
                  <w:szCs w:val="18"/>
                  <w:lang w:val="en-US"/>
                </w:rPr>
                <w:t>COM(2022)387</w:t>
              </w:r>
            </w:hyperlink>
          </w:p>
        </w:tc>
      </w:tr>
      <w:tr w:rsidRPr="00602161" w:rsidR="0046653A" w:rsidTr="00584452" w14:paraId="661DDFF0"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1141F234" w14:textId="77777777">
            <w:pPr>
              <w:spacing w:after="240"/>
              <w:rPr>
                <w:szCs w:val="18"/>
              </w:rPr>
            </w:pPr>
          </w:p>
        </w:tc>
        <w:tc>
          <w:tcPr>
            <w:tcW w:w="1035" w:type="dxa"/>
          </w:tcPr>
          <w:p w:rsidRPr="00602161" w:rsidR="0046653A" w:rsidP="00584452" w:rsidRDefault="0046653A" w14:paraId="29F5818B" w14:textId="77777777">
            <w:pPr>
              <w:spacing w:after="240"/>
              <w:rPr>
                <w:szCs w:val="18"/>
              </w:rPr>
            </w:pPr>
            <w:r w:rsidRPr="00602161">
              <w:rPr>
                <w:szCs w:val="18"/>
              </w:rPr>
              <w:t>Voorstel</w:t>
            </w:r>
          </w:p>
        </w:tc>
        <w:tc>
          <w:tcPr>
            <w:tcW w:w="6529" w:type="dxa"/>
          </w:tcPr>
          <w:p w:rsidRPr="00602161" w:rsidR="0046653A" w:rsidP="00584452" w:rsidRDefault="002F7EBD" w14:paraId="4A77845E" w14:textId="31610FA9">
            <w:pPr>
              <w:spacing w:after="240"/>
              <w:rPr>
                <w:szCs w:val="18"/>
              </w:rPr>
            </w:pPr>
            <w:r w:rsidRPr="00602161">
              <w:rPr>
                <w:szCs w:val="18"/>
              </w:rPr>
              <w:t>Voor kennisgeving aannemen</w:t>
            </w:r>
          </w:p>
        </w:tc>
      </w:tr>
      <w:tr w:rsidRPr="00602161" w:rsidR="0046653A" w:rsidTr="00584452" w14:paraId="55A8CD52"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2324F991" w14:textId="77777777">
            <w:pPr>
              <w:spacing w:after="240"/>
              <w:rPr>
                <w:color w:val="595959" w:themeColor="text1" w:themeTint="A6"/>
                <w:szCs w:val="18"/>
              </w:rPr>
            </w:pPr>
          </w:p>
        </w:tc>
        <w:tc>
          <w:tcPr>
            <w:tcW w:w="1035" w:type="dxa"/>
          </w:tcPr>
          <w:p w:rsidRPr="00602161" w:rsidR="0046653A" w:rsidP="00584452" w:rsidRDefault="0046653A" w14:paraId="5C87016C"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2F7EBD" w:rsidRDefault="002F7EBD" w14:paraId="424E6C98" w14:textId="49BA1B02">
            <w:pPr>
              <w:spacing w:after="240"/>
              <w:rPr>
                <w:color w:val="595959" w:themeColor="text1" w:themeTint="A6"/>
                <w:szCs w:val="18"/>
              </w:rPr>
            </w:pPr>
            <w:r w:rsidRPr="00602161">
              <w:rPr>
                <w:color w:val="595959" w:themeColor="text1" w:themeTint="A6"/>
                <w:szCs w:val="18"/>
              </w:rPr>
              <w:t xml:space="preserve">Op 20 november 2017 is Parijs gekozen als nieuwe zetel van de Europese Bankautoriteit (EBA) nadat de EBA moest verhuizen n.a.v. </w:t>
            </w:r>
            <w:proofErr w:type="spellStart"/>
            <w:r w:rsidRPr="00602161">
              <w:rPr>
                <w:color w:val="595959" w:themeColor="text1" w:themeTint="A6"/>
                <w:szCs w:val="18"/>
              </w:rPr>
              <w:t>Brexit</w:t>
            </w:r>
            <w:proofErr w:type="spellEnd"/>
            <w:r w:rsidRPr="00602161">
              <w:rPr>
                <w:color w:val="595959" w:themeColor="text1" w:themeTint="A6"/>
                <w:szCs w:val="18"/>
              </w:rPr>
              <w:t>. Naast de wijziging van de locatie voor de zetel zijn bij de wijziging van de EBA-verordening bepaalde nieuwe vereisten voor de EBA ingevoerd met betrekking tot de locatie voor haar zetel en een verplichting voor de Commissie om uiterlijk op 30 maart 2019 en vervolgens om de 12 maanden een verslag te publiceren over de naleving van deze vereisten door de EBA. Dit is het vierde verslag in het kader van deze rapportageverplichting.</w:t>
            </w:r>
          </w:p>
        </w:tc>
      </w:tr>
    </w:tbl>
    <w:p w:rsidRPr="00602161" w:rsidR="0046653A" w:rsidP="0046653A" w:rsidRDefault="0046653A" w14:paraId="57A1BC3B" w14:textId="77777777">
      <w:pPr>
        <w:spacing w:after="240"/>
        <w:rPr>
          <w:szCs w:val="18"/>
          <w:lang w:val="en-US" w:eastAsia="nl-NL"/>
        </w:rPr>
      </w:pPr>
      <w:r w:rsidRPr="00602161">
        <w:rPr>
          <w:szCs w:val="18"/>
          <w:lang w:val="en-US" w:eastAsia="nl-NL"/>
        </w:rPr>
        <w:br/>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7F6A90B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72BEF879"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234F4061"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46653A" w14:paraId="32659DFC" w14:textId="3F2D7F34">
            <w:pPr>
              <w:spacing w:after="240"/>
              <w:rPr>
                <w:szCs w:val="18"/>
                <w:lang w:val="en-US" w:eastAsia="nl-NL"/>
              </w:rPr>
            </w:pPr>
            <w:r w:rsidRPr="00602161">
              <w:rPr>
                <w:szCs w:val="18"/>
                <w:lang w:val="en-US"/>
              </w:rPr>
              <w:t xml:space="preserve">VERSLAG VAN DE COMMISSIE AAN HET EUROPEES PARLEMENT EN DE RAAD </w:t>
            </w:r>
            <w:proofErr w:type="spellStart"/>
            <w:r w:rsidRPr="00602161">
              <w:rPr>
                <w:szCs w:val="18"/>
                <w:lang w:val="en-US"/>
              </w:rPr>
              <w:t>betreffende</w:t>
            </w:r>
            <w:proofErr w:type="spellEnd"/>
            <w:r w:rsidRPr="00602161">
              <w:rPr>
                <w:szCs w:val="18"/>
                <w:lang w:val="en-US"/>
              </w:rPr>
              <w:t xml:space="preserve"> de </w:t>
            </w:r>
            <w:proofErr w:type="spellStart"/>
            <w:r w:rsidRPr="00602161">
              <w:rPr>
                <w:szCs w:val="18"/>
                <w:lang w:val="en-US"/>
              </w:rPr>
              <w:t>behandeling</w:t>
            </w:r>
            <w:proofErr w:type="spellEnd"/>
            <w:r w:rsidRPr="00602161">
              <w:rPr>
                <w:szCs w:val="18"/>
                <w:lang w:val="en-US"/>
              </w:rPr>
              <w:t xml:space="preserve"> van </w:t>
            </w:r>
            <w:proofErr w:type="spellStart"/>
            <w:r w:rsidRPr="00602161">
              <w:rPr>
                <w:szCs w:val="18"/>
                <w:lang w:val="en-US"/>
              </w:rPr>
              <w:t>aandelen</w:t>
            </w:r>
            <w:proofErr w:type="spellEnd"/>
            <w:r w:rsidRPr="00602161">
              <w:rPr>
                <w:szCs w:val="18"/>
                <w:lang w:val="en-US"/>
              </w:rPr>
              <w:t xml:space="preserve"> van </w:t>
            </w:r>
            <w:proofErr w:type="spellStart"/>
            <w:r w:rsidRPr="00602161">
              <w:rPr>
                <w:szCs w:val="18"/>
                <w:lang w:val="en-US"/>
              </w:rPr>
              <w:t>centrale</w:t>
            </w:r>
            <w:proofErr w:type="spellEnd"/>
            <w:r w:rsidRPr="00602161">
              <w:rPr>
                <w:szCs w:val="18"/>
                <w:lang w:val="en-US"/>
              </w:rPr>
              <w:t xml:space="preserve"> </w:t>
            </w:r>
            <w:proofErr w:type="spellStart"/>
            <w:r w:rsidRPr="00602161">
              <w:rPr>
                <w:szCs w:val="18"/>
                <w:lang w:val="en-US"/>
              </w:rPr>
              <w:t>tegenpartijen</w:t>
            </w:r>
            <w:proofErr w:type="spellEnd"/>
            <w:r w:rsidRPr="00602161">
              <w:rPr>
                <w:szCs w:val="18"/>
                <w:lang w:val="en-US"/>
              </w:rPr>
              <w:t xml:space="preserve"> in het </w:t>
            </w:r>
            <w:proofErr w:type="spellStart"/>
            <w:r w:rsidRPr="00602161">
              <w:rPr>
                <w:szCs w:val="18"/>
                <w:lang w:val="en-US"/>
              </w:rPr>
              <w:t>afschrijvings</w:t>
            </w:r>
            <w:proofErr w:type="spellEnd"/>
            <w:r w:rsidRPr="00602161">
              <w:rPr>
                <w:szCs w:val="18"/>
                <w:lang w:val="en-US"/>
              </w:rPr>
              <w:t xml:space="preserve">- en </w:t>
            </w:r>
            <w:proofErr w:type="spellStart"/>
            <w:r w:rsidRPr="00602161">
              <w:rPr>
                <w:szCs w:val="18"/>
                <w:lang w:val="en-US"/>
              </w:rPr>
              <w:t>omzettingsinstrument</w:t>
            </w:r>
            <w:proofErr w:type="spellEnd"/>
            <w:r w:rsidRPr="00602161">
              <w:rPr>
                <w:szCs w:val="18"/>
                <w:lang w:val="en-US"/>
              </w:rPr>
              <w:t xml:space="preserve"> </w:t>
            </w:r>
            <w:proofErr w:type="spellStart"/>
            <w:r w:rsidRPr="00602161">
              <w:rPr>
                <w:szCs w:val="18"/>
                <w:lang w:val="en-US"/>
              </w:rPr>
              <w:t>krachtens</w:t>
            </w:r>
            <w:proofErr w:type="spellEnd"/>
            <w:r w:rsidRPr="00602161">
              <w:rPr>
                <w:szCs w:val="18"/>
                <w:lang w:val="en-US"/>
              </w:rPr>
              <w:t xml:space="preserve"> </w:t>
            </w:r>
            <w:proofErr w:type="spellStart"/>
            <w:r w:rsidRPr="00602161">
              <w:rPr>
                <w:szCs w:val="18"/>
                <w:lang w:val="en-US"/>
              </w:rPr>
              <w:t>Verordening</w:t>
            </w:r>
            <w:proofErr w:type="spellEnd"/>
            <w:r w:rsidRPr="00602161">
              <w:rPr>
                <w:szCs w:val="18"/>
                <w:lang w:val="en-US"/>
              </w:rPr>
              <w:t xml:space="preserve"> (EU) 2021/23 </w:t>
            </w:r>
            <w:hyperlink w:history="1" r:id="rId28">
              <w:r w:rsidRPr="00602161">
                <w:rPr>
                  <w:rStyle w:val="Hyperlink"/>
                  <w:szCs w:val="18"/>
                  <w:lang w:val="en-US"/>
                </w:rPr>
                <w:t>COM(2022)393</w:t>
              </w:r>
            </w:hyperlink>
          </w:p>
        </w:tc>
      </w:tr>
      <w:tr w:rsidRPr="00602161" w:rsidR="0046653A" w:rsidTr="00584452" w14:paraId="47EB42C6"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363F3B03" w14:textId="77777777">
            <w:pPr>
              <w:spacing w:after="240"/>
              <w:rPr>
                <w:szCs w:val="18"/>
              </w:rPr>
            </w:pPr>
          </w:p>
        </w:tc>
        <w:tc>
          <w:tcPr>
            <w:tcW w:w="1035" w:type="dxa"/>
          </w:tcPr>
          <w:p w:rsidRPr="00602161" w:rsidR="0046653A" w:rsidP="00584452" w:rsidRDefault="0046653A" w14:paraId="32C7BD47" w14:textId="77777777">
            <w:pPr>
              <w:spacing w:after="240"/>
              <w:rPr>
                <w:szCs w:val="18"/>
              </w:rPr>
            </w:pPr>
            <w:r w:rsidRPr="00602161">
              <w:rPr>
                <w:szCs w:val="18"/>
              </w:rPr>
              <w:t>Voorstel</w:t>
            </w:r>
          </w:p>
        </w:tc>
        <w:tc>
          <w:tcPr>
            <w:tcW w:w="6529" w:type="dxa"/>
          </w:tcPr>
          <w:p w:rsidRPr="00602161" w:rsidR="0046653A" w:rsidP="00584452" w:rsidRDefault="007B6054" w14:paraId="33B528CE" w14:textId="5D02AB4B">
            <w:pPr>
              <w:spacing w:after="240"/>
              <w:rPr>
                <w:szCs w:val="18"/>
              </w:rPr>
            </w:pPr>
            <w:r w:rsidRPr="00602161">
              <w:rPr>
                <w:szCs w:val="18"/>
              </w:rPr>
              <w:t>Voor kennisgeving aannemen.</w:t>
            </w:r>
          </w:p>
        </w:tc>
      </w:tr>
      <w:tr w:rsidRPr="00602161" w:rsidR="0046653A" w:rsidTr="00584452" w14:paraId="5C214544"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276D7AE6" w14:textId="77777777">
            <w:pPr>
              <w:spacing w:after="240"/>
              <w:rPr>
                <w:color w:val="595959" w:themeColor="text1" w:themeTint="A6"/>
                <w:szCs w:val="18"/>
              </w:rPr>
            </w:pPr>
          </w:p>
        </w:tc>
        <w:tc>
          <w:tcPr>
            <w:tcW w:w="1035" w:type="dxa"/>
          </w:tcPr>
          <w:p w:rsidRPr="00602161" w:rsidR="0046653A" w:rsidP="00584452" w:rsidRDefault="0046653A" w14:paraId="2E10A2A5"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5269E4" w:rsidRDefault="007B6054" w14:paraId="4F3C6CA8" w14:textId="213D7A62">
            <w:pPr>
              <w:spacing w:after="240"/>
              <w:rPr>
                <w:color w:val="595959" w:themeColor="text1" w:themeTint="A6"/>
                <w:szCs w:val="18"/>
              </w:rPr>
            </w:pPr>
            <w:r w:rsidRPr="00602161">
              <w:rPr>
                <w:color w:val="595959" w:themeColor="text1" w:themeTint="A6"/>
                <w:szCs w:val="18"/>
              </w:rPr>
              <w:t xml:space="preserve">Dit betreft een verslag over de noodzaak van verdere wijzigingen wat betreft de toepassing van het afschrijvings- en omzettingsinstrument bij afwikkeling van centrale tegenpartijen </w:t>
            </w:r>
            <w:r w:rsidRPr="00602161">
              <w:rPr>
                <w:color w:val="595959" w:themeColor="text1" w:themeTint="A6"/>
                <w:szCs w:val="18"/>
              </w:rPr>
              <w:lastRenderedPageBreak/>
              <w:t>(</w:t>
            </w:r>
            <w:proofErr w:type="spellStart"/>
            <w:r w:rsidRPr="00602161">
              <w:rPr>
                <w:color w:val="595959" w:themeColor="text1" w:themeTint="A6"/>
                <w:szCs w:val="18"/>
              </w:rPr>
              <w:t>CTP’s</w:t>
            </w:r>
            <w:proofErr w:type="spellEnd"/>
            <w:r w:rsidRPr="00602161">
              <w:rPr>
                <w:color w:val="595959" w:themeColor="text1" w:themeTint="A6"/>
                <w:szCs w:val="18"/>
              </w:rPr>
              <w:t>).</w:t>
            </w:r>
            <w:r w:rsidRPr="00602161" w:rsidR="005269E4">
              <w:rPr>
                <w:color w:val="595959" w:themeColor="text1" w:themeTint="A6"/>
                <w:szCs w:val="18"/>
              </w:rPr>
              <w:t xml:space="preserve"> Er wordt echter geen aanbeveling gedaan, omdat het regime nog in ontwikkeling en de praktijkervaring nog beperkt is. </w:t>
            </w:r>
          </w:p>
        </w:tc>
      </w:tr>
    </w:tbl>
    <w:p w:rsidRPr="00602161" w:rsidR="0046653A" w:rsidP="0046653A" w:rsidRDefault="0046653A" w14:paraId="7C6CC496" w14:textId="77777777">
      <w:pPr>
        <w:spacing w:after="240"/>
        <w:rPr>
          <w:szCs w:val="18"/>
          <w:lang w:val="en-US" w:eastAsia="nl-NL"/>
        </w:rPr>
      </w:pPr>
      <w:r w:rsidRPr="00602161">
        <w:rPr>
          <w:szCs w:val="18"/>
          <w:lang w:val="en-US" w:eastAsia="nl-NL"/>
        </w:rPr>
        <w:lastRenderedPageBreak/>
        <w:br/>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40C2565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73BE9FB5"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7301CE46" w14:textId="77777777">
            <w:pPr>
              <w:spacing w:after="240"/>
              <w:rPr>
                <w:color w:val="595959" w:themeColor="text1" w:themeTint="A6"/>
                <w:szCs w:val="18"/>
              </w:rPr>
            </w:pPr>
            <w:r w:rsidRPr="00602161">
              <w:rPr>
                <w:color w:val="595959" w:themeColor="text1" w:themeTint="A6"/>
                <w:szCs w:val="18"/>
              </w:rPr>
              <w:t>Titel</w:t>
            </w:r>
          </w:p>
        </w:tc>
        <w:tc>
          <w:tcPr>
            <w:tcW w:w="6529" w:type="dxa"/>
          </w:tcPr>
          <w:tbl>
            <w:tblPr>
              <w:tblW w:w="0" w:type="dxa"/>
              <w:tblLayout w:type="fixed"/>
              <w:tblCellMar>
                <w:left w:w="0" w:type="dxa"/>
                <w:right w:w="0" w:type="dxa"/>
              </w:tblCellMar>
              <w:tblLook w:val="04A0" w:firstRow="1" w:lastRow="0" w:firstColumn="1" w:lastColumn="0" w:noHBand="0" w:noVBand="1"/>
            </w:tblPr>
            <w:tblGrid>
              <w:gridCol w:w="6378"/>
            </w:tblGrid>
            <w:tr w:rsidRPr="00602161" w:rsidR="008B50A8" w:rsidTr="008B50A8" w14:paraId="27B72966" w14:textId="77777777">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602161" w:rsidR="008B50A8" w:rsidP="008B50A8" w:rsidRDefault="008B50A8" w14:paraId="6DE93C32" w14:textId="77777777">
                  <w:pPr>
                    <w:spacing w:after="240"/>
                    <w:rPr>
                      <w:szCs w:val="18"/>
                      <w:lang w:val="en-US" w:eastAsia="nl-NL"/>
                    </w:rPr>
                  </w:pPr>
                  <w:proofErr w:type="spellStart"/>
                  <w:r w:rsidRPr="00602161">
                    <w:rPr>
                      <w:szCs w:val="18"/>
                      <w:lang w:val="en-US" w:eastAsia="nl-NL"/>
                    </w:rPr>
                    <w:t>Voorstel</w:t>
                  </w:r>
                  <w:proofErr w:type="spellEnd"/>
                  <w:r w:rsidRPr="00602161">
                    <w:rPr>
                      <w:szCs w:val="18"/>
                      <w:lang w:val="en-US" w:eastAsia="nl-NL"/>
                    </w:rPr>
                    <w:t xml:space="preserve"> voor </w:t>
                  </w:r>
                  <w:proofErr w:type="spellStart"/>
                  <w:r w:rsidRPr="00602161">
                    <w:rPr>
                      <w:szCs w:val="18"/>
                      <w:lang w:val="en-US" w:eastAsia="nl-NL"/>
                    </w:rPr>
                    <w:t>een</w:t>
                  </w:r>
                  <w:proofErr w:type="spellEnd"/>
                  <w:r w:rsidRPr="00602161">
                    <w:rPr>
                      <w:szCs w:val="18"/>
                      <w:lang w:val="en-US" w:eastAsia="nl-NL"/>
                    </w:rPr>
                    <w:t xml:space="preserve"> UITVOERINGSBESLUIT VAN DE RAAD </w:t>
                  </w:r>
                  <w:proofErr w:type="spellStart"/>
                  <w:r w:rsidRPr="00602161">
                    <w:rPr>
                      <w:szCs w:val="18"/>
                      <w:lang w:val="en-US" w:eastAsia="nl-NL"/>
                    </w:rPr>
                    <w:t>waarbij</w:t>
                  </w:r>
                  <w:proofErr w:type="spellEnd"/>
                  <w:r w:rsidRPr="00602161">
                    <w:rPr>
                      <w:szCs w:val="18"/>
                      <w:lang w:val="en-US" w:eastAsia="nl-NL"/>
                    </w:rPr>
                    <w:t xml:space="preserve"> </w:t>
                  </w:r>
                  <w:proofErr w:type="spellStart"/>
                  <w:r w:rsidRPr="00602161">
                    <w:rPr>
                      <w:szCs w:val="18"/>
                      <w:lang w:val="en-US" w:eastAsia="nl-NL"/>
                    </w:rPr>
                    <w:t>Zweden</w:t>
                  </w:r>
                  <w:proofErr w:type="spellEnd"/>
                  <w:r w:rsidRPr="00602161">
                    <w:rPr>
                      <w:szCs w:val="18"/>
                      <w:lang w:val="en-US" w:eastAsia="nl-NL"/>
                    </w:rPr>
                    <w:t xml:space="preserve"> </w:t>
                  </w:r>
                  <w:proofErr w:type="spellStart"/>
                  <w:r w:rsidRPr="00602161">
                    <w:rPr>
                      <w:szCs w:val="18"/>
                      <w:lang w:val="en-US" w:eastAsia="nl-NL"/>
                    </w:rPr>
                    <w:t>overeenkomstig</w:t>
                  </w:r>
                  <w:proofErr w:type="spellEnd"/>
                  <w:r w:rsidRPr="00602161">
                    <w:rPr>
                      <w:szCs w:val="18"/>
                      <w:lang w:val="en-US" w:eastAsia="nl-NL"/>
                    </w:rPr>
                    <w:t xml:space="preserve"> </w:t>
                  </w:r>
                  <w:proofErr w:type="spellStart"/>
                  <w:r w:rsidRPr="00602161">
                    <w:rPr>
                      <w:szCs w:val="18"/>
                      <w:lang w:val="en-US" w:eastAsia="nl-NL"/>
                    </w:rPr>
                    <w:t>artikel</w:t>
                  </w:r>
                  <w:proofErr w:type="spellEnd"/>
                  <w:r w:rsidRPr="00602161">
                    <w:rPr>
                      <w:szCs w:val="18"/>
                      <w:lang w:val="en-US" w:eastAsia="nl-NL"/>
                    </w:rPr>
                    <w:t xml:space="preserve"> 19 van </w:t>
                  </w:r>
                  <w:proofErr w:type="spellStart"/>
                  <w:r w:rsidRPr="00602161">
                    <w:rPr>
                      <w:szCs w:val="18"/>
                      <w:lang w:val="en-US" w:eastAsia="nl-NL"/>
                    </w:rPr>
                    <w:t>Richtlijn</w:t>
                  </w:r>
                  <w:proofErr w:type="spellEnd"/>
                  <w:r w:rsidRPr="00602161">
                    <w:rPr>
                      <w:szCs w:val="18"/>
                      <w:lang w:val="en-US" w:eastAsia="nl-NL"/>
                    </w:rPr>
                    <w:t xml:space="preserve"> 2003/96/EG </w:t>
                  </w:r>
                  <w:proofErr w:type="spellStart"/>
                  <w:r w:rsidRPr="00602161">
                    <w:rPr>
                      <w:szCs w:val="18"/>
                      <w:lang w:val="en-US" w:eastAsia="nl-NL"/>
                    </w:rPr>
                    <w:t>wordt</w:t>
                  </w:r>
                  <w:proofErr w:type="spellEnd"/>
                  <w:r w:rsidRPr="00602161">
                    <w:rPr>
                      <w:szCs w:val="18"/>
                      <w:lang w:val="en-US" w:eastAsia="nl-NL"/>
                    </w:rPr>
                    <w:t xml:space="preserve"> </w:t>
                  </w:r>
                  <w:proofErr w:type="spellStart"/>
                  <w:r w:rsidRPr="00602161">
                    <w:rPr>
                      <w:szCs w:val="18"/>
                      <w:lang w:val="en-US" w:eastAsia="nl-NL"/>
                    </w:rPr>
                    <w:t>gemachtigd</w:t>
                  </w:r>
                  <w:proofErr w:type="spellEnd"/>
                  <w:r w:rsidRPr="00602161">
                    <w:rPr>
                      <w:szCs w:val="18"/>
                      <w:lang w:val="en-US" w:eastAsia="nl-NL"/>
                    </w:rPr>
                    <w:t xml:space="preserve"> </w:t>
                  </w:r>
                  <w:proofErr w:type="spellStart"/>
                  <w:r w:rsidRPr="00602161">
                    <w:rPr>
                      <w:szCs w:val="18"/>
                      <w:lang w:val="en-US" w:eastAsia="nl-NL"/>
                    </w:rPr>
                    <w:t>verlaagde</w:t>
                  </w:r>
                  <w:proofErr w:type="spellEnd"/>
                  <w:r w:rsidRPr="00602161">
                    <w:rPr>
                      <w:szCs w:val="18"/>
                      <w:lang w:val="en-US" w:eastAsia="nl-NL"/>
                    </w:rPr>
                    <w:t xml:space="preserve"> </w:t>
                  </w:r>
                  <w:proofErr w:type="spellStart"/>
                  <w:r w:rsidRPr="00602161">
                    <w:rPr>
                      <w:szCs w:val="18"/>
                      <w:lang w:val="en-US" w:eastAsia="nl-NL"/>
                    </w:rPr>
                    <w:t>accijnstarieven</w:t>
                  </w:r>
                  <w:proofErr w:type="spellEnd"/>
                  <w:r w:rsidRPr="00602161">
                    <w:rPr>
                      <w:szCs w:val="18"/>
                      <w:lang w:val="en-US" w:eastAsia="nl-NL"/>
                    </w:rPr>
                    <w:t xml:space="preserve"> toe te </w:t>
                  </w:r>
                  <w:proofErr w:type="spellStart"/>
                  <w:r w:rsidRPr="00602161">
                    <w:rPr>
                      <w:szCs w:val="18"/>
                      <w:lang w:val="en-US" w:eastAsia="nl-NL"/>
                    </w:rPr>
                    <w:t>passen</w:t>
                  </w:r>
                  <w:proofErr w:type="spellEnd"/>
                  <w:r w:rsidRPr="00602161">
                    <w:rPr>
                      <w:szCs w:val="18"/>
                      <w:lang w:val="en-US" w:eastAsia="nl-NL"/>
                    </w:rPr>
                    <w:t xml:space="preserve"> op </w:t>
                  </w:r>
                  <w:proofErr w:type="spellStart"/>
                  <w:r w:rsidRPr="00602161">
                    <w:rPr>
                      <w:szCs w:val="18"/>
                      <w:lang w:val="en-US" w:eastAsia="nl-NL"/>
                    </w:rPr>
                    <w:t>benzine</w:t>
                  </w:r>
                  <w:proofErr w:type="spellEnd"/>
                  <w:r w:rsidRPr="00602161">
                    <w:rPr>
                      <w:szCs w:val="18"/>
                      <w:lang w:val="en-US" w:eastAsia="nl-NL"/>
                    </w:rPr>
                    <w:t xml:space="preserve">, </w:t>
                  </w:r>
                  <w:proofErr w:type="spellStart"/>
                  <w:r w:rsidRPr="00602161">
                    <w:rPr>
                      <w:szCs w:val="18"/>
                      <w:lang w:val="en-US" w:eastAsia="nl-NL"/>
                    </w:rPr>
                    <w:t>ongemerkte</w:t>
                  </w:r>
                  <w:proofErr w:type="spellEnd"/>
                  <w:r w:rsidRPr="00602161">
                    <w:rPr>
                      <w:szCs w:val="18"/>
                      <w:lang w:val="en-US" w:eastAsia="nl-NL"/>
                    </w:rPr>
                    <w:t xml:space="preserve"> </w:t>
                  </w:r>
                  <w:proofErr w:type="spellStart"/>
                  <w:r w:rsidRPr="00602161">
                    <w:rPr>
                      <w:szCs w:val="18"/>
                      <w:lang w:val="en-US" w:eastAsia="nl-NL"/>
                    </w:rPr>
                    <w:t>gasolie</w:t>
                  </w:r>
                  <w:proofErr w:type="spellEnd"/>
                  <w:r w:rsidRPr="00602161">
                    <w:rPr>
                      <w:szCs w:val="18"/>
                      <w:lang w:val="en-US" w:eastAsia="nl-NL"/>
                    </w:rPr>
                    <w:t xml:space="preserve"> en </w:t>
                  </w:r>
                  <w:proofErr w:type="spellStart"/>
                  <w:r w:rsidRPr="00602161">
                    <w:rPr>
                      <w:szCs w:val="18"/>
                      <w:lang w:val="en-US" w:eastAsia="nl-NL"/>
                    </w:rPr>
                    <w:t>gelijkwaardige</w:t>
                  </w:r>
                  <w:proofErr w:type="spellEnd"/>
                  <w:r w:rsidRPr="00602161">
                    <w:rPr>
                      <w:szCs w:val="18"/>
                      <w:lang w:val="en-US" w:eastAsia="nl-NL"/>
                    </w:rPr>
                    <w:t xml:space="preserve"> </w:t>
                  </w:r>
                  <w:proofErr w:type="spellStart"/>
                  <w:r w:rsidRPr="00602161">
                    <w:rPr>
                      <w:szCs w:val="18"/>
                      <w:lang w:val="en-US" w:eastAsia="nl-NL"/>
                    </w:rPr>
                    <w:t>brandstoffen</w:t>
                  </w:r>
                  <w:proofErr w:type="spellEnd"/>
                  <w:r w:rsidRPr="00602161">
                    <w:rPr>
                      <w:szCs w:val="18"/>
                      <w:lang w:val="en-US" w:eastAsia="nl-NL"/>
                    </w:rPr>
                    <w:t xml:space="preserve"> die </w:t>
                  </w:r>
                  <w:proofErr w:type="spellStart"/>
                  <w:r w:rsidRPr="00602161">
                    <w:rPr>
                      <w:szCs w:val="18"/>
                      <w:lang w:val="en-US" w:eastAsia="nl-NL"/>
                    </w:rPr>
                    <w:t>als</w:t>
                  </w:r>
                  <w:proofErr w:type="spellEnd"/>
                  <w:r w:rsidRPr="00602161">
                    <w:rPr>
                      <w:szCs w:val="18"/>
                      <w:lang w:val="en-US" w:eastAsia="nl-NL"/>
                    </w:rPr>
                    <w:t xml:space="preserve"> </w:t>
                  </w:r>
                  <w:proofErr w:type="spellStart"/>
                  <w:r w:rsidRPr="00602161">
                    <w:rPr>
                      <w:szCs w:val="18"/>
                      <w:lang w:val="en-US" w:eastAsia="nl-NL"/>
                    </w:rPr>
                    <w:t>motorbrandstof</w:t>
                  </w:r>
                  <w:proofErr w:type="spellEnd"/>
                  <w:r w:rsidRPr="00602161">
                    <w:rPr>
                      <w:szCs w:val="18"/>
                      <w:lang w:val="en-US" w:eastAsia="nl-NL"/>
                    </w:rPr>
                    <w:t xml:space="preserve"> </w:t>
                  </w:r>
                  <w:proofErr w:type="spellStart"/>
                  <w:r w:rsidRPr="00602161">
                    <w:rPr>
                      <w:szCs w:val="18"/>
                      <w:lang w:val="en-US" w:eastAsia="nl-NL"/>
                    </w:rPr>
                    <w:t>worden</w:t>
                  </w:r>
                  <w:proofErr w:type="spellEnd"/>
                  <w:r w:rsidRPr="00602161">
                    <w:rPr>
                      <w:szCs w:val="18"/>
                      <w:lang w:val="en-US" w:eastAsia="nl-NL"/>
                    </w:rPr>
                    <w:t xml:space="preserve"> </w:t>
                  </w:r>
                  <w:proofErr w:type="spellStart"/>
                  <w:r w:rsidRPr="00602161">
                    <w:rPr>
                      <w:szCs w:val="18"/>
                      <w:lang w:val="en-US" w:eastAsia="nl-NL"/>
                    </w:rPr>
                    <w:t>gebruikt</w:t>
                  </w:r>
                  <w:proofErr w:type="spellEnd"/>
                  <w:r w:rsidRPr="00602161">
                    <w:rPr>
                      <w:szCs w:val="18"/>
                      <w:lang w:val="en-US" w:eastAsia="nl-NL"/>
                    </w:rPr>
                    <w:t xml:space="preserve"> </w:t>
                  </w:r>
                  <w:hyperlink w:history="1" r:id="rId29">
                    <w:r w:rsidRPr="00602161">
                      <w:rPr>
                        <w:color w:val="0000FF"/>
                        <w:szCs w:val="18"/>
                        <w:u w:val="single"/>
                        <w:lang w:val="en-US" w:eastAsia="nl-NL"/>
                      </w:rPr>
                      <w:t>COM(2022)398</w:t>
                    </w:r>
                  </w:hyperlink>
                </w:p>
              </w:tc>
            </w:tr>
          </w:tbl>
          <w:p w:rsidRPr="00602161" w:rsidR="0046653A" w:rsidP="00584452" w:rsidRDefault="0046653A" w14:paraId="27534672" w14:textId="77777777">
            <w:pPr>
              <w:spacing w:after="240"/>
              <w:rPr>
                <w:b/>
                <w:color w:val="595959" w:themeColor="text1" w:themeTint="A6"/>
                <w:szCs w:val="18"/>
              </w:rPr>
            </w:pPr>
          </w:p>
        </w:tc>
      </w:tr>
      <w:tr w:rsidRPr="00602161" w:rsidR="0046653A" w:rsidTr="00584452" w14:paraId="315D11B0"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7A77E42E" w14:textId="77777777">
            <w:pPr>
              <w:spacing w:after="240"/>
              <w:rPr>
                <w:szCs w:val="18"/>
              </w:rPr>
            </w:pPr>
          </w:p>
        </w:tc>
        <w:tc>
          <w:tcPr>
            <w:tcW w:w="1035" w:type="dxa"/>
          </w:tcPr>
          <w:p w:rsidRPr="00602161" w:rsidR="0046653A" w:rsidP="00584452" w:rsidRDefault="0046653A" w14:paraId="6479B3F7" w14:textId="77777777">
            <w:pPr>
              <w:spacing w:after="240"/>
              <w:rPr>
                <w:szCs w:val="18"/>
              </w:rPr>
            </w:pPr>
            <w:r w:rsidRPr="00602161">
              <w:rPr>
                <w:szCs w:val="18"/>
              </w:rPr>
              <w:t>Voorstel</w:t>
            </w:r>
          </w:p>
        </w:tc>
        <w:tc>
          <w:tcPr>
            <w:tcW w:w="6529" w:type="dxa"/>
          </w:tcPr>
          <w:p w:rsidRPr="00602161" w:rsidR="0046653A" w:rsidP="00584452" w:rsidRDefault="005269E4" w14:paraId="2BFA034B" w14:textId="7201D4CA">
            <w:pPr>
              <w:spacing w:after="240"/>
              <w:rPr>
                <w:szCs w:val="18"/>
              </w:rPr>
            </w:pPr>
            <w:r w:rsidRPr="00602161">
              <w:rPr>
                <w:szCs w:val="18"/>
              </w:rPr>
              <w:t>Voor kennisgeving aannemen</w:t>
            </w:r>
          </w:p>
        </w:tc>
      </w:tr>
      <w:tr w:rsidRPr="00602161" w:rsidR="0046653A" w:rsidTr="00584452" w14:paraId="7892EFE2"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5A7C64AD" w14:textId="77777777">
            <w:pPr>
              <w:spacing w:after="240"/>
              <w:rPr>
                <w:color w:val="595959" w:themeColor="text1" w:themeTint="A6"/>
                <w:szCs w:val="18"/>
              </w:rPr>
            </w:pPr>
          </w:p>
        </w:tc>
        <w:tc>
          <w:tcPr>
            <w:tcW w:w="1035" w:type="dxa"/>
          </w:tcPr>
          <w:p w:rsidRPr="00602161" w:rsidR="0046653A" w:rsidP="00584452" w:rsidRDefault="0046653A" w14:paraId="712F3595"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5269E4" w:rsidRDefault="005269E4" w14:paraId="3B27952F" w14:textId="15DF2310">
            <w:pPr>
              <w:spacing w:after="240"/>
              <w:rPr>
                <w:color w:val="595959" w:themeColor="text1" w:themeTint="A6"/>
                <w:szCs w:val="18"/>
              </w:rPr>
            </w:pPr>
            <w:r w:rsidRPr="00602161">
              <w:rPr>
                <w:color w:val="595959" w:themeColor="text1" w:themeTint="A6"/>
                <w:szCs w:val="18"/>
              </w:rPr>
              <w:t>De belastingheffing van energieproducten en elektriciteit in de Europese Unie is geregeld in de energiebelastingrichtlijn. De Raad kan op voorstel van de Commissie met eenparigheid van stemmen besluiten dat een lidstaat uit specifieke beleidsoverwegingen wordt gemachtigd om verdere belastingvrijstellingen of -verlagingen in te voeren. Zweden wil toestemming krijgen om de nationale belastingtarieven voor benzine, ongemerkte gasolie en gelijkwaardige brandstoffen die als motorbrandstof worden gebruikt, tijdelijk te verlagen</w:t>
            </w:r>
            <w:r w:rsidRPr="00602161" w:rsidR="00E13767">
              <w:rPr>
                <w:color w:val="595959" w:themeColor="text1" w:themeTint="A6"/>
                <w:szCs w:val="18"/>
              </w:rPr>
              <w:t xml:space="preserve"> tot onder in de richtlijn vastgestelde minimumniveaus.</w:t>
            </w:r>
          </w:p>
        </w:tc>
      </w:tr>
    </w:tbl>
    <w:p w:rsidRPr="00602161" w:rsidR="0046653A" w:rsidP="0046653A" w:rsidRDefault="0046653A" w14:paraId="6635533F" w14:textId="1465B171">
      <w:pPr>
        <w:spacing w:after="240"/>
        <w:rPr>
          <w:szCs w:val="18"/>
          <w:lang w:val="en-US" w:eastAsia="nl-N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095A46B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26C7788C"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4D685279"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8B50A8" w14:paraId="3630CDF7" w14:textId="58309294">
            <w:pPr>
              <w:spacing w:after="240"/>
              <w:rPr>
                <w:szCs w:val="18"/>
                <w:lang w:val="en-US" w:eastAsia="nl-NL"/>
              </w:rPr>
            </w:pPr>
            <w:proofErr w:type="spellStart"/>
            <w:r w:rsidRPr="00602161">
              <w:rPr>
                <w:szCs w:val="18"/>
                <w:lang w:val="en-US"/>
              </w:rPr>
              <w:t>Voorstel</w:t>
            </w:r>
            <w:proofErr w:type="spellEnd"/>
            <w:r w:rsidRPr="00602161">
              <w:rPr>
                <w:szCs w:val="18"/>
                <w:lang w:val="en-US"/>
              </w:rPr>
              <w:t xml:space="preserve"> voor </w:t>
            </w:r>
            <w:proofErr w:type="spellStart"/>
            <w:r w:rsidRPr="00602161">
              <w:rPr>
                <w:szCs w:val="18"/>
                <w:lang w:val="en-US"/>
              </w:rPr>
              <w:t>een</w:t>
            </w:r>
            <w:proofErr w:type="spellEnd"/>
            <w:r w:rsidRPr="00602161">
              <w:rPr>
                <w:szCs w:val="18"/>
                <w:lang w:val="en-US"/>
              </w:rPr>
              <w:t xml:space="preserve"> UITVOERINGSBESLUIT VAN DE RAAD </w:t>
            </w:r>
            <w:proofErr w:type="spellStart"/>
            <w:r w:rsidRPr="00602161">
              <w:rPr>
                <w:szCs w:val="18"/>
                <w:lang w:val="en-US"/>
              </w:rPr>
              <w:t>waarbij</w:t>
            </w:r>
            <w:proofErr w:type="spellEnd"/>
            <w:r w:rsidRPr="00602161">
              <w:rPr>
                <w:szCs w:val="18"/>
                <w:lang w:val="en-US"/>
              </w:rPr>
              <w:t xml:space="preserve"> Portugal </w:t>
            </w:r>
            <w:proofErr w:type="spellStart"/>
            <w:r w:rsidRPr="00602161">
              <w:rPr>
                <w:szCs w:val="18"/>
                <w:lang w:val="en-US"/>
              </w:rPr>
              <w:t>overeenkomstig</w:t>
            </w:r>
            <w:proofErr w:type="spellEnd"/>
            <w:r w:rsidRPr="00602161">
              <w:rPr>
                <w:szCs w:val="18"/>
                <w:lang w:val="en-US"/>
              </w:rPr>
              <w:t xml:space="preserve"> </w:t>
            </w:r>
            <w:proofErr w:type="spellStart"/>
            <w:r w:rsidRPr="00602161">
              <w:rPr>
                <w:szCs w:val="18"/>
                <w:lang w:val="en-US"/>
              </w:rPr>
              <w:t>artikel</w:t>
            </w:r>
            <w:proofErr w:type="spellEnd"/>
            <w:r w:rsidRPr="00602161">
              <w:rPr>
                <w:szCs w:val="18"/>
                <w:lang w:val="en-US"/>
              </w:rPr>
              <w:t xml:space="preserve"> 19 van </w:t>
            </w:r>
            <w:proofErr w:type="spellStart"/>
            <w:r w:rsidRPr="00602161">
              <w:rPr>
                <w:szCs w:val="18"/>
                <w:lang w:val="en-US"/>
              </w:rPr>
              <w:t>Richtlijn</w:t>
            </w:r>
            <w:proofErr w:type="spellEnd"/>
            <w:r w:rsidRPr="00602161">
              <w:rPr>
                <w:szCs w:val="18"/>
                <w:lang w:val="en-US"/>
              </w:rPr>
              <w:t xml:space="preserve"> 2003/96/EG </w:t>
            </w:r>
            <w:proofErr w:type="spellStart"/>
            <w:r w:rsidRPr="00602161">
              <w:rPr>
                <w:szCs w:val="18"/>
                <w:lang w:val="en-US"/>
              </w:rPr>
              <w:t>wordt</w:t>
            </w:r>
            <w:proofErr w:type="spellEnd"/>
            <w:r w:rsidRPr="00602161">
              <w:rPr>
                <w:szCs w:val="18"/>
                <w:lang w:val="en-US"/>
              </w:rPr>
              <w:t xml:space="preserve"> </w:t>
            </w:r>
            <w:proofErr w:type="spellStart"/>
            <w:r w:rsidRPr="00602161">
              <w:rPr>
                <w:szCs w:val="18"/>
                <w:lang w:val="en-US"/>
              </w:rPr>
              <w:t>gemachtigd</w:t>
            </w:r>
            <w:proofErr w:type="spellEnd"/>
            <w:r w:rsidRPr="00602161">
              <w:rPr>
                <w:szCs w:val="18"/>
                <w:lang w:val="en-US"/>
              </w:rPr>
              <w:t xml:space="preserve"> </w:t>
            </w:r>
            <w:proofErr w:type="spellStart"/>
            <w:r w:rsidRPr="00602161">
              <w:rPr>
                <w:szCs w:val="18"/>
                <w:lang w:val="en-US"/>
              </w:rPr>
              <w:t>verlaagde</w:t>
            </w:r>
            <w:proofErr w:type="spellEnd"/>
            <w:r w:rsidRPr="00602161">
              <w:rPr>
                <w:szCs w:val="18"/>
                <w:lang w:val="en-US"/>
              </w:rPr>
              <w:t xml:space="preserve"> </w:t>
            </w:r>
            <w:proofErr w:type="spellStart"/>
            <w:r w:rsidRPr="00602161">
              <w:rPr>
                <w:szCs w:val="18"/>
                <w:lang w:val="en-US"/>
              </w:rPr>
              <w:t>accijnstarieven</w:t>
            </w:r>
            <w:proofErr w:type="spellEnd"/>
            <w:r w:rsidRPr="00602161">
              <w:rPr>
                <w:szCs w:val="18"/>
                <w:lang w:val="en-US"/>
              </w:rPr>
              <w:t xml:space="preserve"> toe te </w:t>
            </w:r>
            <w:proofErr w:type="spellStart"/>
            <w:r w:rsidRPr="00602161">
              <w:rPr>
                <w:szCs w:val="18"/>
                <w:lang w:val="en-US"/>
              </w:rPr>
              <w:t>passen</w:t>
            </w:r>
            <w:proofErr w:type="spellEnd"/>
            <w:r w:rsidRPr="00602161">
              <w:rPr>
                <w:szCs w:val="18"/>
                <w:lang w:val="en-US"/>
              </w:rPr>
              <w:t xml:space="preserve"> op </w:t>
            </w:r>
            <w:proofErr w:type="spellStart"/>
            <w:r w:rsidRPr="00602161">
              <w:rPr>
                <w:szCs w:val="18"/>
                <w:lang w:val="en-US"/>
              </w:rPr>
              <w:t>als</w:t>
            </w:r>
            <w:proofErr w:type="spellEnd"/>
            <w:r w:rsidRPr="00602161">
              <w:rPr>
                <w:szCs w:val="18"/>
                <w:lang w:val="en-US"/>
              </w:rPr>
              <w:t xml:space="preserve"> </w:t>
            </w:r>
            <w:proofErr w:type="spellStart"/>
            <w:r w:rsidRPr="00602161">
              <w:rPr>
                <w:szCs w:val="18"/>
                <w:lang w:val="en-US"/>
              </w:rPr>
              <w:t>motorbrandstof</w:t>
            </w:r>
            <w:proofErr w:type="spellEnd"/>
            <w:r w:rsidRPr="00602161">
              <w:rPr>
                <w:szCs w:val="18"/>
                <w:lang w:val="en-US"/>
              </w:rPr>
              <w:t xml:space="preserve"> </w:t>
            </w:r>
            <w:proofErr w:type="spellStart"/>
            <w:r w:rsidRPr="00602161">
              <w:rPr>
                <w:szCs w:val="18"/>
                <w:lang w:val="en-US"/>
              </w:rPr>
              <w:t>gebruikte</w:t>
            </w:r>
            <w:proofErr w:type="spellEnd"/>
            <w:r w:rsidRPr="00602161">
              <w:rPr>
                <w:szCs w:val="18"/>
                <w:lang w:val="en-US"/>
              </w:rPr>
              <w:t xml:space="preserve"> </w:t>
            </w:r>
            <w:proofErr w:type="spellStart"/>
            <w:r w:rsidRPr="00602161">
              <w:rPr>
                <w:szCs w:val="18"/>
                <w:lang w:val="en-US"/>
              </w:rPr>
              <w:t>gasolie</w:t>
            </w:r>
            <w:proofErr w:type="spellEnd"/>
            <w:r w:rsidRPr="00602161">
              <w:rPr>
                <w:szCs w:val="18"/>
                <w:lang w:val="en-US"/>
              </w:rPr>
              <w:t xml:space="preserve"> en </w:t>
            </w:r>
            <w:proofErr w:type="spellStart"/>
            <w:r w:rsidRPr="00602161">
              <w:rPr>
                <w:szCs w:val="18"/>
                <w:lang w:val="en-US"/>
              </w:rPr>
              <w:t>loodvrije</w:t>
            </w:r>
            <w:proofErr w:type="spellEnd"/>
            <w:r w:rsidRPr="00602161">
              <w:rPr>
                <w:szCs w:val="18"/>
                <w:lang w:val="en-US"/>
              </w:rPr>
              <w:t xml:space="preserve"> </w:t>
            </w:r>
            <w:proofErr w:type="spellStart"/>
            <w:r w:rsidRPr="00602161">
              <w:rPr>
                <w:szCs w:val="18"/>
                <w:lang w:val="en-US"/>
              </w:rPr>
              <w:t>benzine</w:t>
            </w:r>
            <w:proofErr w:type="spellEnd"/>
            <w:r w:rsidRPr="00602161">
              <w:rPr>
                <w:szCs w:val="18"/>
                <w:lang w:val="en-US"/>
              </w:rPr>
              <w:t xml:space="preserve"> </w:t>
            </w:r>
            <w:hyperlink w:history="1" r:id="rId30">
              <w:r w:rsidRPr="00602161">
                <w:rPr>
                  <w:rStyle w:val="Hyperlink"/>
                  <w:szCs w:val="18"/>
                  <w:lang w:val="en-US"/>
                </w:rPr>
                <w:t>COM(2022)408</w:t>
              </w:r>
            </w:hyperlink>
          </w:p>
        </w:tc>
      </w:tr>
      <w:tr w:rsidRPr="00602161" w:rsidR="0046653A" w:rsidTr="00584452" w14:paraId="69F75FAA"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67568C20" w14:textId="77777777">
            <w:pPr>
              <w:spacing w:after="240"/>
              <w:rPr>
                <w:szCs w:val="18"/>
              </w:rPr>
            </w:pPr>
          </w:p>
        </w:tc>
        <w:tc>
          <w:tcPr>
            <w:tcW w:w="1035" w:type="dxa"/>
          </w:tcPr>
          <w:p w:rsidRPr="00602161" w:rsidR="0046653A" w:rsidP="00584452" w:rsidRDefault="0046653A" w14:paraId="7E4A9EAF" w14:textId="77777777">
            <w:pPr>
              <w:spacing w:after="240"/>
              <w:rPr>
                <w:szCs w:val="18"/>
              </w:rPr>
            </w:pPr>
            <w:r w:rsidRPr="00602161">
              <w:rPr>
                <w:szCs w:val="18"/>
              </w:rPr>
              <w:t>Voorstel</w:t>
            </w:r>
          </w:p>
        </w:tc>
        <w:tc>
          <w:tcPr>
            <w:tcW w:w="6529" w:type="dxa"/>
          </w:tcPr>
          <w:p w:rsidRPr="00602161" w:rsidR="0046653A" w:rsidP="00584452" w:rsidRDefault="00E13767" w14:paraId="0FB69178" w14:textId="41B440D3">
            <w:pPr>
              <w:spacing w:after="240"/>
              <w:rPr>
                <w:szCs w:val="18"/>
              </w:rPr>
            </w:pPr>
            <w:r w:rsidRPr="00602161">
              <w:rPr>
                <w:szCs w:val="18"/>
              </w:rPr>
              <w:t>Voor kennisgeving aannemen</w:t>
            </w:r>
          </w:p>
        </w:tc>
      </w:tr>
      <w:tr w:rsidRPr="00602161" w:rsidR="0046653A" w:rsidTr="00584452" w14:paraId="22BA191B"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521DEA01" w14:textId="77777777">
            <w:pPr>
              <w:spacing w:after="240"/>
              <w:rPr>
                <w:color w:val="595959" w:themeColor="text1" w:themeTint="A6"/>
                <w:szCs w:val="18"/>
              </w:rPr>
            </w:pPr>
          </w:p>
        </w:tc>
        <w:tc>
          <w:tcPr>
            <w:tcW w:w="1035" w:type="dxa"/>
          </w:tcPr>
          <w:p w:rsidRPr="00602161" w:rsidR="0046653A" w:rsidP="00584452" w:rsidRDefault="0046653A" w14:paraId="60A6FBC2"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E13767" w:rsidRDefault="00E13767" w14:paraId="011521B0" w14:textId="6B87BB81">
            <w:pPr>
              <w:spacing w:after="240"/>
              <w:rPr>
                <w:color w:val="595959" w:themeColor="text1" w:themeTint="A6"/>
                <w:szCs w:val="18"/>
              </w:rPr>
            </w:pPr>
            <w:r w:rsidRPr="00602161">
              <w:rPr>
                <w:color w:val="595959" w:themeColor="text1" w:themeTint="A6"/>
                <w:szCs w:val="18"/>
              </w:rPr>
              <w:t>De belastingheffing van energieproducten en elektriciteit in de Europese Unie is geregeld in de energiebelastingrichtlijn. De Raad kan op voorstel van de Commissie met eenparigheid van stemmen besluiten dat een lidstaat uit specifieke beleidsoverwegingen wordt gemachtigd om verdere belastingvrijstellingen of -verlagingen in te voeren.</w:t>
            </w:r>
            <w:r w:rsidRPr="00602161">
              <w:rPr>
                <w:szCs w:val="18"/>
              </w:rPr>
              <w:t xml:space="preserve"> </w:t>
            </w:r>
            <w:r w:rsidRPr="00602161">
              <w:rPr>
                <w:color w:val="595959" w:themeColor="text1" w:themeTint="A6"/>
                <w:szCs w:val="18"/>
              </w:rPr>
              <w:t>Portugal wil de nationale belastingtarieven voor als motorbrandstof gebruikte gasolie en loodvrije benzine tijdelijk verlagen tot onder in de richtlijn vastgestelde minimumniveaus.</w:t>
            </w:r>
          </w:p>
        </w:tc>
      </w:tr>
    </w:tbl>
    <w:p w:rsidRPr="00602161" w:rsidR="0046653A" w:rsidP="0046653A" w:rsidRDefault="0046653A" w14:paraId="55E5DC99" w14:textId="43B7333C">
      <w:pPr>
        <w:spacing w:after="240"/>
        <w:rPr>
          <w:szCs w:val="18"/>
          <w:lang w:val="en-US" w:eastAsia="nl-N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36FCDA2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3BBAE3B1"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0BBDC130"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8B50A8" w14:paraId="09A917A5" w14:textId="0B609CD7">
            <w:pPr>
              <w:spacing w:after="240"/>
              <w:rPr>
                <w:szCs w:val="18"/>
                <w:lang w:val="en-US" w:eastAsia="nl-NL"/>
              </w:rPr>
            </w:pPr>
            <w:proofErr w:type="spellStart"/>
            <w:r w:rsidRPr="00602161">
              <w:rPr>
                <w:szCs w:val="18"/>
                <w:lang w:val="en-US"/>
              </w:rPr>
              <w:t>Staatssteunregels</w:t>
            </w:r>
            <w:proofErr w:type="spellEnd"/>
            <w:r w:rsidRPr="00602161">
              <w:rPr>
                <w:szCs w:val="18"/>
                <w:lang w:val="en-US"/>
              </w:rPr>
              <w:t xml:space="preserve"> voor de </w:t>
            </w:r>
            <w:proofErr w:type="spellStart"/>
            <w:r w:rsidRPr="00602161">
              <w:rPr>
                <w:szCs w:val="18"/>
                <w:lang w:val="en-US"/>
              </w:rPr>
              <w:t>beoordeling</w:t>
            </w:r>
            <w:proofErr w:type="spellEnd"/>
            <w:r w:rsidRPr="00602161">
              <w:rPr>
                <w:szCs w:val="18"/>
                <w:lang w:val="en-US"/>
              </w:rPr>
              <w:t xml:space="preserve"> van </w:t>
            </w:r>
            <w:proofErr w:type="spellStart"/>
            <w:r w:rsidRPr="00602161">
              <w:rPr>
                <w:szCs w:val="18"/>
                <w:lang w:val="en-US"/>
              </w:rPr>
              <w:t>staatsgaranties</w:t>
            </w:r>
            <w:proofErr w:type="spellEnd"/>
            <w:r w:rsidRPr="00602161">
              <w:rPr>
                <w:szCs w:val="18"/>
                <w:lang w:val="en-US"/>
              </w:rPr>
              <w:t xml:space="preserve"> op </w:t>
            </w:r>
            <w:proofErr w:type="spellStart"/>
            <w:r w:rsidRPr="00602161">
              <w:rPr>
                <w:szCs w:val="18"/>
                <w:lang w:val="en-US"/>
              </w:rPr>
              <w:t>leningen</w:t>
            </w:r>
            <w:proofErr w:type="spellEnd"/>
            <w:r w:rsidRPr="00602161">
              <w:rPr>
                <w:szCs w:val="18"/>
                <w:lang w:val="en-US"/>
              </w:rPr>
              <w:t xml:space="preserve"> – </w:t>
            </w:r>
            <w:proofErr w:type="spellStart"/>
            <w:r w:rsidRPr="00602161">
              <w:rPr>
                <w:szCs w:val="18"/>
                <w:lang w:val="en-US"/>
              </w:rPr>
              <w:t>evaluatie</w:t>
            </w:r>
            <w:proofErr w:type="spellEnd"/>
            <w:r w:rsidRPr="00602161">
              <w:rPr>
                <w:szCs w:val="18"/>
                <w:lang w:val="en-US"/>
              </w:rPr>
              <w:t xml:space="preserve"> </w:t>
            </w:r>
            <w:hyperlink w:history="1" r:id="rId31">
              <w:proofErr w:type="spellStart"/>
              <w:r w:rsidRPr="00602161">
                <w:rPr>
                  <w:rStyle w:val="Hyperlink"/>
                  <w:szCs w:val="18"/>
                  <w:lang w:val="en-US"/>
                </w:rPr>
                <w:t>Raadpleging</w:t>
              </w:r>
              <w:proofErr w:type="spellEnd"/>
            </w:hyperlink>
          </w:p>
        </w:tc>
      </w:tr>
      <w:tr w:rsidRPr="00602161" w:rsidR="0046653A" w:rsidTr="00584452" w14:paraId="271E5D82"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1D4AC3E5" w14:textId="77777777">
            <w:pPr>
              <w:spacing w:after="240"/>
              <w:rPr>
                <w:szCs w:val="18"/>
              </w:rPr>
            </w:pPr>
          </w:p>
        </w:tc>
        <w:tc>
          <w:tcPr>
            <w:tcW w:w="1035" w:type="dxa"/>
          </w:tcPr>
          <w:p w:rsidRPr="00602161" w:rsidR="0046653A" w:rsidP="00584452" w:rsidRDefault="0046653A" w14:paraId="5849EFF9" w14:textId="77777777">
            <w:pPr>
              <w:spacing w:after="240"/>
              <w:rPr>
                <w:szCs w:val="18"/>
              </w:rPr>
            </w:pPr>
            <w:r w:rsidRPr="00602161">
              <w:rPr>
                <w:szCs w:val="18"/>
              </w:rPr>
              <w:t>Voorstel</w:t>
            </w:r>
          </w:p>
        </w:tc>
        <w:tc>
          <w:tcPr>
            <w:tcW w:w="6529" w:type="dxa"/>
          </w:tcPr>
          <w:p w:rsidRPr="00602161" w:rsidR="0046653A" w:rsidP="00584452" w:rsidRDefault="00E13767" w14:paraId="2787FDBF" w14:textId="7F04A2EC">
            <w:pPr>
              <w:spacing w:after="240"/>
              <w:rPr>
                <w:szCs w:val="18"/>
              </w:rPr>
            </w:pPr>
            <w:r w:rsidRPr="00602161">
              <w:rPr>
                <w:szCs w:val="18"/>
              </w:rPr>
              <w:t>Afschrift van de mogelijke consultatiereactie van het kabinet afwachten</w:t>
            </w:r>
          </w:p>
        </w:tc>
      </w:tr>
      <w:tr w:rsidRPr="00602161" w:rsidR="0046653A" w:rsidTr="00584452" w14:paraId="7C52D5CD"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52F604E4" w14:textId="77777777">
            <w:pPr>
              <w:spacing w:after="240"/>
              <w:rPr>
                <w:color w:val="595959" w:themeColor="text1" w:themeTint="A6"/>
                <w:szCs w:val="18"/>
              </w:rPr>
            </w:pPr>
          </w:p>
        </w:tc>
        <w:tc>
          <w:tcPr>
            <w:tcW w:w="1035" w:type="dxa"/>
          </w:tcPr>
          <w:p w:rsidRPr="00602161" w:rsidR="0046653A" w:rsidP="00584452" w:rsidRDefault="0046653A" w14:paraId="43266F4D"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E13767" w:rsidRDefault="00E13767" w14:paraId="3488B9F6" w14:textId="06DCBDC4">
            <w:pPr>
              <w:spacing w:after="240"/>
              <w:rPr>
                <w:color w:val="595959" w:themeColor="text1" w:themeTint="A6"/>
                <w:szCs w:val="18"/>
              </w:rPr>
            </w:pPr>
            <w:r w:rsidRPr="00602161">
              <w:rPr>
                <w:color w:val="595959" w:themeColor="text1" w:themeTint="A6"/>
                <w:szCs w:val="18"/>
              </w:rPr>
              <w:t>In de garantiemededeling wordt beschreven hoe de Commissie staatsgaranties voor leningen aan ondernemingen beoordeelt. De Commissie zal nu evalueren deze regeling in de loop van de tijd heeft gefunctioneerd. Daartoe organiseert de Commissie o.a. deze openbare raadpleging.</w:t>
            </w:r>
          </w:p>
        </w:tc>
      </w:tr>
    </w:tbl>
    <w:p w:rsidRPr="00602161" w:rsidR="0046653A" w:rsidP="002A4BD8" w:rsidRDefault="0046653A" w14:paraId="0944D78B" w14:textId="77777777">
      <w:pPr>
        <w:rPr>
          <w:szCs w:val="18"/>
        </w:rPr>
      </w:pPr>
      <w:r w:rsidRPr="00602161">
        <w:rPr>
          <w:szCs w:val="18"/>
        </w:rPr>
        <w:br/>
      </w:r>
      <w:r w:rsidRPr="00602161">
        <w:rPr>
          <w:szCs w:val="18"/>
        </w:rPr>
        <w:br/>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02161" w:rsidR="0046653A" w:rsidTr="00584452" w14:paraId="74AB0AD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602161" w:rsidR="0046653A" w:rsidP="00584452" w:rsidRDefault="0046653A" w14:paraId="310DA020" w14:textId="77777777">
            <w:pPr>
              <w:pStyle w:val="Lijstalinea"/>
              <w:numPr>
                <w:ilvl w:val="0"/>
                <w:numId w:val="10"/>
              </w:numPr>
              <w:spacing w:after="240"/>
              <w:ind w:left="312"/>
              <w:rPr>
                <w:color w:val="595959" w:themeColor="text1" w:themeTint="A6"/>
                <w:szCs w:val="18"/>
              </w:rPr>
            </w:pPr>
          </w:p>
        </w:tc>
        <w:tc>
          <w:tcPr>
            <w:tcW w:w="1035" w:type="dxa"/>
          </w:tcPr>
          <w:p w:rsidRPr="00602161" w:rsidR="0046653A" w:rsidP="00584452" w:rsidRDefault="0046653A" w14:paraId="72C4C10A" w14:textId="77777777">
            <w:pPr>
              <w:spacing w:after="240"/>
              <w:rPr>
                <w:color w:val="595959" w:themeColor="text1" w:themeTint="A6"/>
                <w:szCs w:val="18"/>
              </w:rPr>
            </w:pPr>
            <w:r w:rsidRPr="00602161">
              <w:rPr>
                <w:color w:val="595959" w:themeColor="text1" w:themeTint="A6"/>
                <w:szCs w:val="18"/>
              </w:rPr>
              <w:t>Titel</w:t>
            </w:r>
          </w:p>
        </w:tc>
        <w:tc>
          <w:tcPr>
            <w:tcW w:w="6529" w:type="dxa"/>
          </w:tcPr>
          <w:p w:rsidRPr="00602161" w:rsidR="0046653A" w:rsidP="00584452" w:rsidRDefault="00B06E82" w14:paraId="012E9F89" w14:textId="7005B787">
            <w:pPr>
              <w:spacing w:after="240"/>
              <w:rPr>
                <w:b/>
                <w:color w:val="595959" w:themeColor="text1" w:themeTint="A6"/>
                <w:szCs w:val="18"/>
              </w:rPr>
            </w:pPr>
            <w:r w:rsidRPr="00602161">
              <w:rPr>
                <w:szCs w:val="18"/>
              </w:rPr>
              <w:t xml:space="preserve">Voorstel voor een BESLUIT VAN DE RAAD betreffende het standpunt dat namens de Europese Unie moet worden ingenomen in de Gemengde Commissie EU-CTC die is ingesteld bij de Overeenkomst betreffende een gemeenschappelijke regeling inzake douanevervoer van 20 mei 1987, met betrekking tot wijzigingen van deze overeenkomst </w:t>
            </w:r>
            <w:hyperlink w:history="1" r:id="rId32">
              <w:r w:rsidRPr="00602161">
                <w:rPr>
                  <w:rStyle w:val="Hyperlink"/>
                  <w:szCs w:val="18"/>
                </w:rPr>
                <w:t>COM(2022)428</w:t>
              </w:r>
            </w:hyperlink>
          </w:p>
        </w:tc>
      </w:tr>
      <w:tr w:rsidRPr="00602161" w:rsidR="0046653A" w:rsidTr="00584452" w14:paraId="2B824270"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60CB72D5" w14:textId="77777777">
            <w:pPr>
              <w:spacing w:after="240"/>
              <w:rPr>
                <w:szCs w:val="18"/>
              </w:rPr>
            </w:pPr>
          </w:p>
        </w:tc>
        <w:tc>
          <w:tcPr>
            <w:tcW w:w="1035" w:type="dxa"/>
          </w:tcPr>
          <w:p w:rsidRPr="00602161" w:rsidR="0046653A" w:rsidP="00584452" w:rsidRDefault="0046653A" w14:paraId="78013882" w14:textId="77777777">
            <w:pPr>
              <w:spacing w:after="240"/>
              <w:rPr>
                <w:szCs w:val="18"/>
              </w:rPr>
            </w:pPr>
            <w:r w:rsidRPr="00602161">
              <w:rPr>
                <w:szCs w:val="18"/>
              </w:rPr>
              <w:t>Voorstel</w:t>
            </w:r>
          </w:p>
        </w:tc>
        <w:tc>
          <w:tcPr>
            <w:tcW w:w="6529" w:type="dxa"/>
          </w:tcPr>
          <w:p w:rsidRPr="00602161" w:rsidR="0046653A" w:rsidP="00584452" w:rsidRDefault="0016130C" w14:paraId="61E1B8FA" w14:textId="4C556DD9">
            <w:pPr>
              <w:spacing w:after="240"/>
              <w:rPr>
                <w:szCs w:val="18"/>
              </w:rPr>
            </w:pPr>
            <w:r w:rsidRPr="00602161">
              <w:rPr>
                <w:szCs w:val="18"/>
              </w:rPr>
              <w:t>Voor kennisgeving aannemen.</w:t>
            </w:r>
          </w:p>
        </w:tc>
      </w:tr>
      <w:tr w:rsidRPr="00602161" w:rsidR="0046653A" w:rsidTr="00584452" w14:paraId="2DB4E69B" w14:textId="77777777">
        <w:tc>
          <w:tcPr>
            <w:tcW w:w="421" w:type="dxa"/>
            <w:vMerge/>
            <w:tcBorders>
              <w:top w:val="nil"/>
              <w:bottom w:val="single" w:color="D9D9D9" w:themeColor="background1" w:themeShade="D9" w:sz="4" w:space="0"/>
            </w:tcBorders>
            <w:shd w:val="clear" w:color="auto" w:fill="F2F2F2" w:themeFill="background1" w:themeFillShade="F2"/>
          </w:tcPr>
          <w:p w:rsidRPr="00602161" w:rsidR="0046653A" w:rsidP="00584452" w:rsidRDefault="0046653A" w14:paraId="3F3B8094" w14:textId="77777777">
            <w:pPr>
              <w:spacing w:after="240"/>
              <w:rPr>
                <w:color w:val="595959" w:themeColor="text1" w:themeTint="A6"/>
                <w:szCs w:val="18"/>
              </w:rPr>
            </w:pPr>
          </w:p>
        </w:tc>
        <w:tc>
          <w:tcPr>
            <w:tcW w:w="1035" w:type="dxa"/>
          </w:tcPr>
          <w:p w:rsidRPr="00602161" w:rsidR="0046653A" w:rsidP="00584452" w:rsidRDefault="0046653A" w14:paraId="68C088F4" w14:textId="77777777">
            <w:pPr>
              <w:spacing w:after="240"/>
              <w:rPr>
                <w:color w:val="595959" w:themeColor="text1" w:themeTint="A6"/>
                <w:szCs w:val="18"/>
              </w:rPr>
            </w:pPr>
            <w:r w:rsidRPr="00602161">
              <w:rPr>
                <w:color w:val="595959" w:themeColor="text1" w:themeTint="A6"/>
                <w:szCs w:val="18"/>
              </w:rPr>
              <w:t>Noot</w:t>
            </w:r>
          </w:p>
        </w:tc>
        <w:tc>
          <w:tcPr>
            <w:tcW w:w="6529" w:type="dxa"/>
          </w:tcPr>
          <w:p w:rsidRPr="00602161" w:rsidR="0046653A" w:rsidP="008262D3" w:rsidRDefault="00C82CC1" w14:paraId="3D52D4A7" w14:textId="2FD9C9D3">
            <w:pPr>
              <w:spacing w:after="240"/>
              <w:rPr>
                <w:color w:val="595959" w:themeColor="text1" w:themeTint="A6"/>
                <w:szCs w:val="18"/>
              </w:rPr>
            </w:pPr>
            <w:r w:rsidRPr="00602161">
              <w:rPr>
                <w:color w:val="595959" w:themeColor="text1" w:themeTint="A6"/>
                <w:szCs w:val="18"/>
              </w:rPr>
              <w:t xml:space="preserve">Dit betreft het besluit tot bepaling van het namens de Unie in te nemen standpunt in de Gemengde Commissie EU-CTC in het kader van de Overeenkomst betreffende een gemeenschappelijke regeling inzake douanevervoer (“de overeenkomst”). De overeenkomst stelt maatregelen vast ter vereenvoudiging van het goederenverkeer tussen de Europese Unie, </w:t>
            </w:r>
            <w:r w:rsidRPr="00602161" w:rsidR="008262D3">
              <w:rPr>
                <w:color w:val="595959" w:themeColor="text1" w:themeTint="A6"/>
                <w:szCs w:val="18"/>
              </w:rPr>
              <w:t xml:space="preserve">IJsland, </w:t>
            </w:r>
            <w:r w:rsidRPr="00602161">
              <w:rPr>
                <w:color w:val="595959" w:themeColor="text1" w:themeTint="A6"/>
                <w:szCs w:val="18"/>
              </w:rPr>
              <w:t>Noord-Macedonië, Noorwegen, Zwitserse, Turkije, Se</w:t>
            </w:r>
            <w:r w:rsidRPr="00602161" w:rsidR="008262D3">
              <w:rPr>
                <w:color w:val="595959" w:themeColor="text1" w:themeTint="A6"/>
                <w:szCs w:val="18"/>
              </w:rPr>
              <w:t>rvië en het Verenigd Koninkrijk. Het ontwerpbesluit strekt ertoe de Overeenkomst aan te passen naar aanleiding van de toetreding van Oekraïne.</w:t>
            </w:r>
          </w:p>
        </w:tc>
      </w:tr>
    </w:tbl>
    <w:p w:rsidRPr="00602161" w:rsidR="0046653A" w:rsidP="002A4BD8" w:rsidRDefault="0046653A" w14:paraId="374789EA" w14:textId="77777777">
      <w:pPr>
        <w:rPr>
          <w:szCs w:val="18"/>
        </w:rPr>
      </w:pPr>
      <w:r w:rsidRPr="00602161">
        <w:rPr>
          <w:szCs w:val="18"/>
        </w:rPr>
        <w:br/>
      </w:r>
    </w:p>
    <w:p w:rsidRPr="00602161" w:rsidR="0046653A" w:rsidP="002A4BD8" w:rsidRDefault="0046653A" w14:paraId="0BA959EA" w14:textId="77777777">
      <w:pPr>
        <w:rPr>
          <w:szCs w:val="18"/>
        </w:rPr>
      </w:pPr>
      <w:r w:rsidRPr="00602161">
        <w:rPr>
          <w:szCs w:val="18"/>
        </w:rPr>
        <w:br/>
      </w:r>
      <w:r w:rsidRPr="00602161">
        <w:rPr>
          <w:szCs w:val="18"/>
        </w:rPr>
        <w:br/>
      </w:r>
    </w:p>
    <w:p w:rsidRPr="00602161" w:rsidR="0046653A" w:rsidP="002A4BD8" w:rsidRDefault="0046653A" w14:paraId="1E71ABDE" w14:textId="77777777">
      <w:pPr>
        <w:rPr>
          <w:szCs w:val="18"/>
        </w:rPr>
      </w:pPr>
      <w:r w:rsidRPr="00602161">
        <w:rPr>
          <w:szCs w:val="18"/>
        </w:rPr>
        <w:br/>
      </w:r>
    </w:p>
    <w:p w:rsidRPr="00602161" w:rsidR="006E5214" w:rsidP="002A4BD8" w:rsidRDefault="0046653A" w14:paraId="354AC484" w14:textId="7668682E">
      <w:pPr>
        <w:rPr>
          <w:szCs w:val="18"/>
        </w:rPr>
      </w:pPr>
      <w:r w:rsidRPr="00602161">
        <w:rPr>
          <w:szCs w:val="18"/>
        </w:rPr>
        <w:br/>
      </w:r>
      <w:r w:rsidRPr="00602161">
        <w:rPr>
          <w:szCs w:val="18"/>
        </w:rPr>
        <w:br/>
      </w:r>
    </w:p>
    <w:sectPr w:rsidRPr="00602161" w:rsidR="006E5214" w:rsidSect="00BF62AD">
      <w:headerReference w:type="default" r:id="rId33"/>
      <w:footerReference w:type="default" r:id="rId34"/>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61312"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3C8E785E" w:rsidR="00A42CDC" w:rsidRDefault="00F407B0">
                          <w:pPr>
                            <w:pStyle w:val="Huisstijl-Paginanummer"/>
                          </w:pPr>
                          <w:r>
                            <w:fldChar w:fldCharType="begin"/>
                          </w:r>
                          <w:r>
                            <w:instrText xml:space="preserve"> PAGE  \* Arabic  \* MERGEFORMAT </w:instrText>
                          </w:r>
                          <w:r>
                            <w:fldChar w:fldCharType="separate"/>
                          </w:r>
                          <w:r w:rsidR="00EC4E2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3C8E785E" w:rsidR="00A42CDC" w:rsidRDefault="00F407B0">
                    <w:pPr>
                      <w:pStyle w:val="Huisstijl-Paginanummer"/>
                    </w:pPr>
                    <w:r>
                      <w:fldChar w:fldCharType="begin"/>
                    </w:r>
                    <w:r>
                      <w:instrText xml:space="preserve"> PAGE  \* Arabic  \* MERGEFORMAT </w:instrText>
                    </w:r>
                    <w:r>
                      <w:fldChar w:fldCharType="separate"/>
                    </w:r>
                    <w:r w:rsidR="00EC4E2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5168"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5C3104E2" w:rsidR="00A42CDC" w:rsidRDefault="00F407B0">
                          <w:pPr>
                            <w:pStyle w:val="Huisstijl-Paginanummer"/>
                          </w:pPr>
                          <w:r>
                            <w:fldChar w:fldCharType="begin"/>
                          </w:r>
                          <w:r>
                            <w:instrText xml:space="preserve"> PAGE  \* Arabic  \* MERGEFORMAT </w:instrText>
                          </w:r>
                          <w:r>
                            <w:fldChar w:fldCharType="separate"/>
                          </w:r>
                          <w:r w:rsidR="00EC4E24">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5C3104E2" w:rsidR="00A42CDC" w:rsidRDefault="00F407B0">
                    <w:pPr>
                      <w:pStyle w:val="Huisstijl-Paginanummer"/>
                    </w:pPr>
                    <w:r>
                      <w:fldChar w:fldCharType="begin"/>
                    </w:r>
                    <w:r>
                      <w:instrText xml:space="preserve"> PAGE  \* Arabic  \* MERGEFORMAT </w:instrText>
                    </w:r>
                    <w:r>
                      <w:fldChar w:fldCharType="separate"/>
                    </w:r>
                    <w:r w:rsidR="00EC4E24">
                      <w:rPr>
                        <w:noProof/>
                      </w:rPr>
                      <w:t>7</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5CD01EF8" w14:textId="77777777" w:rsidR="00602161" w:rsidRDefault="00602161" w:rsidP="00602161">
      <w:pPr>
        <w:pStyle w:val="Voetnoottekst"/>
      </w:pPr>
      <w:r>
        <w:rPr>
          <w:rStyle w:val="Voetnootmarkering"/>
        </w:rPr>
        <w:footnoteRef/>
      </w:r>
      <w:r>
        <w:t xml:space="preserve"> </w:t>
      </w:r>
      <w:r w:rsidRPr="00E5137B">
        <w:t xml:space="preserve">Voor een overzicht van behandelopties per type EU-voorstel, zie </w:t>
      </w:r>
      <w:hyperlink r:id="rId1" w:history="1">
        <w:r w:rsidRPr="00E5137B">
          <w:rPr>
            <w:rStyle w:val="Hyperlink"/>
          </w:rPr>
          <w:t>dit overzicht op Plein2</w:t>
        </w:r>
      </w:hyperlink>
      <w:r w:rsidRPr="00E5137B">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5926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4227"/>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6E19"/>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30C"/>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01AB"/>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2F7EBD"/>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6653A"/>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69E4"/>
    <w:rsid w:val="00527428"/>
    <w:rsid w:val="005324DF"/>
    <w:rsid w:val="005376B8"/>
    <w:rsid w:val="00540F78"/>
    <w:rsid w:val="00543233"/>
    <w:rsid w:val="00543BB4"/>
    <w:rsid w:val="00554CBF"/>
    <w:rsid w:val="00565011"/>
    <w:rsid w:val="00575841"/>
    <w:rsid w:val="00581C55"/>
    <w:rsid w:val="005825DC"/>
    <w:rsid w:val="005834BB"/>
    <w:rsid w:val="0058398B"/>
    <w:rsid w:val="00585E31"/>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D5F00"/>
    <w:rsid w:val="005E300D"/>
    <w:rsid w:val="005E7B45"/>
    <w:rsid w:val="005F1EDF"/>
    <w:rsid w:val="005F3027"/>
    <w:rsid w:val="00602161"/>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27E7"/>
    <w:rsid w:val="007135E6"/>
    <w:rsid w:val="00715569"/>
    <w:rsid w:val="007204C6"/>
    <w:rsid w:val="00720DBB"/>
    <w:rsid w:val="00721758"/>
    <w:rsid w:val="00721E15"/>
    <w:rsid w:val="00723DF8"/>
    <w:rsid w:val="007248BC"/>
    <w:rsid w:val="00726354"/>
    <w:rsid w:val="00733678"/>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B6054"/>
    <w:rsid w:val="007D49C7"/>
    <w:rsid w:val="007E249D"/>
    <w:rsid w:val="007E4BFD"/>
    <w:rsid w:val="007F04F9"/>
    <w:rsid w:val="007F714A"/>
    <w:rsid w:val="00802D86"/>
    <w:rsid w:val="00802F06"/>
    <w:rsid w:val="008047D9"/>
    <w:rsid w:val="00804A4D"/>
    <w:rsid w:val="0081023D"/>
    <w:rsid w:val="0081050B"/>
    <w:rsid w:val="00812348"/>
    <w:rsid w:val="00812D3E"/>
    <w:rsid w:val="00820149"/>
    <w:rsid w:val="00820651"/>
    <w:rsid w:val="008262D3"/>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0A8"/>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E794D"/>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02F4"/>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547B"/>
    <w:rsid w:val="00AE681E"/>
    <w:rsid w:val="00AE69BE"/>
    <w:rsid w:val="00AE768D"/>
    <w:rsid w:val="00AF27EB"/>
    <w:rsid w:val="00AF294D"/>
    <w:rsid w:val="00AF7BAC"/>
    <w:rsid w:val="00B06E82"/>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E3916"/>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6F61"/>
    <w:rsid w:val="00C4727D"/>
    <w:rsid w:val="00C50603"/>
    <w:rsid w:val="00C5067A"/>
    <w:rsid w:val="00C54E7C"/>
    <w:rsid w:val="00C60BB7"/>
    <w:rsid w:val="00C643E9"/>
    <w:rsid w:val="00C660F6"/>
    <w:rsid w:val="00C71065"/>
    <w:rsid w:val="00C727FA"/>
    <w:rsid w:val="00C75EFA"/>
    <w:rsid w:val="00C76646"/>
    <w:rsid w:val="00C776F3"/>
    <w:rsid w:val="00C77C19"/>
    <w:rsid w:val="00C81CF5"/>
    <w:rsid w:val="00C82CC1"/>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1F4"/>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3767"/>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624E"/>
    <w:rsid w:val="00E80096"/>
    <w:rsid w:val="00E80FBD"/>
    <w:rsid w:val="00E82B47"/>
    <w:rsid w:val="00E84D83"/>
    <w:rsid w:val="00E86E93"/>
    <w:rsid w:val="00EA3A9D"/>
    <w:rsid w:val="00EA4B76"/>
    <w:rsid w:val="00EA546B"/>
    <w:rsid w:val="00EA6FF9"/>
    <w:rsid w:val="00EB409D"/>
    <w:rsid w:val="00EC4140"/>
    <w:rsid w:val="00EC4E24"/>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457">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4699906">
      <w:bodyDiv w:val="1"/>
      <w:marLeft w:val="0"/>
      <w:marRight w:val="0"/>
      <w:marTop w:val="0"/>
      <w:marBottom w:val="0"/>
      <w:divBdr>
        <w:top w:val="none" w:sz="0" w:space="0" w:color="auto"/>
        <w:left w:val="none" w:sz="0" w:space="0" w:color="auto"/>
        <w:bottom w:val="none" w:sz="0" w:space="0" w:color="auto"/>
        <w:right w:val="none" w:sz="0" w:space="0" w:color="auto"/>
      </w:divBdr>
    </w:div>
    <w:div w:id="253051153">
      <w:bodyDiv w:val="1"/>
      <w:marLeft w:val="0"/>
      <w:marRight w:val="0"/>
      <w:marTop w:val="0"/>
      <w:marBottom w:val="0"/>
      <w:divBdr>
        <w:top w:val="none" w:sz="0" w:space="0" w:color="auto"/>
        <w:left w:val="none" w:sz="0" w:space="0" w:color="auto"/>
        <w:bottom w:val="none" w:sz="0" w:space="0" w:color="auto"/>
        <w:right w:val="none" w:sz="0" w:space="0" w:color="auto"/>
      </w:divBdr>
    </w:div>
    <w:div w:id="253709096">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6265636">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387377">
      <w:bodyDiv w:val="1"/>
      <w:marLeft w:val="0"/>
      <w:marRight w:val="0"/>
      <w:marTop w:val="0"/>
      <w:marBottom w:val="0"/>
      <w:divBdr>
        <w:top w:val="none" w:sz="0" w:space="0" w:color="auto"/>
        <w:left w:val="none" w:sz="0" w:space="0" w:color="auto"/>
        <w:bottom w:val="none" w:sz="0" w:space="0" w:color="auto"/>
        <w:right w:val="none" w:sz="0" w:space="0" w:color="auto"/>
      </w:divBdr>
    </w:div>
    <w:div w:id="681736412">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880">
      <w:bodyDiv w:val="1"/>
      <w:marLeft w:val="0"/>
      <w:marRight w:val="0"/>
      <w:marTop w:val="0"/>
      <w:marBottom w:val="0"/>
      <w:divBdr>
        <w:top w:val="none" w:sz="0" w:space="0" w:color="auto"/>
        <w:left w:val="none" w:sz="0" w:space="0" w:color="auto"/>
        <w:bottom w:val="none" w:sz="0" w:space="0" w:color="auto"/>
        <w:right w:val="none" w:sz="0" w:space="0" w:color="auto"/>
      </w:divBdr>
    </w:div>
    <w:div w:id="918176312">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2045565">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41969640">
      <w:bodyDiv w:val="1"/>
      <w:marLeft w:val="0"/>
      <w:marRight w:val="0"/>
      <w:marTop w:val="0"/>
      <w:marBottom w:val="0"/>
      <w:divBdr>
        <w:top w:val="none" w:sz="0" w:space="0" w:color="auto"/>
        <w:left w:val="none" w:sz="0" w:space="0" w:color="auto"/>
        <w:bottom w:val="none" w:sz="0" w:space="0" w:color="auto"/>
        <w:right w:val="none" w:sz="0" w:space="0" w:color="auto"/>
      </w:divBdr>
    </w:div>
    <w:div w:id="1215775417">
      <w:bodyDiv w:val="1"/>
      <w:marLeft w:val="0"/>
      <w:marRight w:val="0"/>
      <w:marTop w:val="0"/>
      <w:marBottom w:val="0"/>
      <w:divBdr>
        <w:top w:val="none" w:sz="0" w:space="0" w:color="auto"/>
        <w:left w:val="none" w:sz="0" w:space="0" w:color="auto"/>
        <w:bottom w:val="none" w:sz="0" w:space="0" w:color="auto"/>
        <w:right w:val="none" w:sz="0" w:space="0" w:color="auto"/>
      </w:divBdr>
    </w:div>
    <w:div w:id="1235965619">
      <w:bodyDiv w:val="1"/>
      <w:marLeft w:val="0"/>
      <w:marRight w:val="0"/>
      <w:marTop w:val="0"/>
      <w:marBottom w:val="0"/>
      <w:divBdr>
        <w:top w:val="none" w:sz="0" w:space="0" w:color="auto"/>
        <w:left w:val="none" w:sz="0" w:space="0" w:color="auto"/>
        <w:bottom w:val="none" w:sz="0" w:space="0" w:color="auto"/>
        <w:right w:val="none" w:sz="0" w:space="0" w:color="auto"/>
      </w:divBdr>
    </w:div>
    <w:div w:id="1366373759">
      <w:bodyDiv w:val="1"/>
      <w:marLeft w:val="0"/>
      <w:marRight w:val="0"/>
      <w:marTop w:val="0"/>
      <w:marBottom w:val="0"/>
      <w:divBdr>
        <w:top w:val="none" w:sz="0" w:space="0" w:color="auto"/>
        <w:left w:val="none" w:sz="0" w:space="0" w:color="auto"/>
        <w:bottom w:val="none" w:sz="0" w:space="0" w:color="auto"/>
        <w:right w:val="none" w:sz="0" w:space="0" w:color="auto"/>
      </w:divBdr>
    </w:div>
    <w:div w:id="139600367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8715082">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578588860">
      <w:bodyDiv w:val="1"/>
      <w:marLeft w:val="0"/>
      <w:marRight w:val="0"/>
      <w:marTop w:val="0"/>
      <w:marBottom w:val="0"/>
      <w:divBdr>
        <w:top w:val="none" w:sz="0" w:space="0" w:color="auto"/>
        <w:left w:val="none" w:sz="0" w:space="0" w:color="auto"/>
        <w:bottom w:val="none" w:sz="0" w:space="0" w:color="auto"/>
        <w:right w:val="none" w:sz="0" w:space="0" w:color="auto"/>
      </w:divBdr>
    </w:div>
    <w:div w:id="1589536903">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81627210">
      <w:bodyDiv w:val="1"/>
      <w:marLeft w:val="0"/>
      <w:marRight w:val="0"/>
      <w:marTop w:val="0"/>
      <w:marBottom w:val="0"/>
      <w:divBdr>
        <w:top w:val="none" w:sz="0" w:space="0" w:color="auto"/>
        <w:left w:val="none" w:sz="0" w:space="0" w:color="auto"/>
        <w:bottom w:val="none" w:sz="0" w:space="0" w:color="auto"/>
        <w:right w:val="none" w:sz="0" w:space="0" w:color="auto"/>
      </w:divBdr>
    </w:div>
    <w:div w:id="1905752904">
      <w:bodyDiv w:val="1"/>
      <w:marLeft w:val="0"/>
      <w:marRight w:val="0"/>
      <w:marTop w:val="0"/>
      <w:marBottom w:val="0"/>
      <w:divBdr>
        <w:top w:val="none" w:sz="0" w:space="0" w:color="auto"/>
        <w:left w:val="none" w:sz="0" w:space="0" w:color="auto"/>
        <w:bottom w:val="none" w:sz="0" w:space="0" w:color="auto"/>
        <w:right w:val="none" w:sz="0" w:space="0" w:color="auto"/>
      </w:divBdr>
    </w:div>
    <w:div w:id="1928998624">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2DC0331&amp;qid=1657016838763" TargetMode="External" Id="rId18" /><Relationship Type="http://schemas.openxmlformats.org/officeDocument/2006/relationships/hyperlink" Target="https://eur-lex.europa.eu/legal-content/NL/TXT/?uri=COM%3A2022%3A383%3AFIN&amp;qid=1659337861131" TargetMode="External" Id="rId26" /><Relationship Type="http://schemas.openxmlformats.org/officeDocument/2006/relationships/hyperlink" Target="https://ec.europa.eu/info/law/better-regulation/have-your-say/initiatives/13488-Tax-evasion-aggressive-tax-planning-in-the-EU-tackling-the-role-of-enablers_nl" TargetMode="External" Id="rId21" /><Relationship Type="http://schemas.openxmlformats.org/officeDocument/2006/relationships/footer" Target="footer2.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2DC0318&amp;qid=1657016269426" TargetMode="External" Id="rId17" /><Relationship Type="http://schemas.openxmlformats.org/officeDocument/2006/relationships/hyperlink" Target="https://eur-lex.europa.eu/legal-content/NL/TXT/?uri=COM%3A2022%3A386%3AFIN&amp;qid=1659337658501" TargetMode="External" Id="rId25" /><Relationship Type="http://schemas.openxmlformats.org/officeDocument/2006/relationships/header" Target="header2.xml" Id="rId33" /><Relationship Type="http://schemas.openxmlformats.org/officeDocument/2006/relationships/hyperlink" Target="https://eur-lex.europa.eu/legal-content/NL/TXT/?uri=CELEX%3A52022PC0450&amp;qid=1657017126377" TargetMode="External" Id="rId16" /><Relationship Type="http://schemas.openxmlformats.org/officeDocument/2006/relationships/hyperlink" Target="https://eur-lex.europa.eu/legal-content/NL/TXT/?uri=COM%3A2022%3A400%3AFIN&amp;qid=1657017182556" TargetMode="External" Id="rId20" /><Relationship Type="http://schemas.openxmlformats.org/officeDocument/2006/relationships/hyperlink" Target="https://eur-lex.europa.eu/legal-content/NL/TXT/?uri=CELEX%3A52022PC0398&amp;qid=1661777678139" TargetMode="External" Id="rId29" /><Relationship Type="http://schemas.openxmlformats.org/officeDocument/2006/relationships/footnotes" Target="footnotes.xml" Id="rId11" /><Relationship Type="http://schemas.openxmlformats.org/officeDocument/2006/relationships/hyperlink" Target="https://eur-lex.europa.eu/legal-content/NL/TXT/?uri=CELEX%3A52022PC0352&amp;qid=1658994594992" TargetMode="External" Id="rId24" /><Relationship Type="http://schemas.openxmlformats.org/officeDocument/2006/relationships/hyperlink" Target="https://eur-lex.europa.eu/legal-content/NL/TXT/?uri=CELEX%3A52022PC0428&amp;qid=1662461037467" TargetMode="External" Id="rId32" /><Relationship Type="http://schemas.openxmlformats.org/officeDocument/2006/relationships/hyperlink" Target="https://eur-lex.europa.eu/legal-content/NL/TXT/?uri=CELEX%3A52022PC0359&amp;qid=1658392204019" TargetMode="External" Id="rId15" /><Relationship Type="http://schemas.openxmlformats.org/officeDocument/2006/relationships/hyperlink" Target="https://eur-lex.europa.eu/legal-content/NL/TXT/?uri=CELEX%3A52022DC0340&amp;qid=1658391992044" TargetMode="External" Id="rId23" /><Relationship Type="http://schemas.openxmlformats.org/officeDocument/2006/relationships/hyperlink" Target="https://eur-lex.europa.eu/legal-content/NL/TXT/?uri=CELEX%3A52022DC0393&amp;qid=1661775516838" TargetMode="External" Id="rId28" /><Relationship Type="http://schemas.openxmlformats.org/officeDocument/2006/relationships/theme" Target="theme/theme1.xml" Id="rId36" /><Relationship Type="http://schemas.openxmlformats.org/officeDocument/2006/relationships/webSettings" Target="webSettings.xml" Id="rId10" /><Relationship Type="http://schemas.openxmlformats.org/officeDocument/2006/relationships/hyperlink" Target="https://eur-lex.europa.eu/legal-content/NL/TXT/?uri=CELEX%3A52022DC0350&amp;qid=1657016941211" TargetMode="External" Id="rId19" /><Relationship Type="http://schemas.openxmlformats.org/officeDocument/2006/relationships/hyperlink" Target="https://ec.europa.eu/info/law/better-regulation/have-your-say/initiatives/13466-Staatssteunregels-voor-de-beoordeling-van-staatsgaranties-op-leningen-evaluatie_nl" TargetMode="External" Id="rId31"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c.europa.eu/info/law/better-regulation/have-your-say/initiatives/13462-Comite-van-toezicht-op-de-naleving-van-het-Verdrag-van-Aarhus-zaak-inzake-staatssteun-gevolgen-opties_nl" TargetMode="External" Id="rId22" /><Relationship Type="http://schemas.openxmlformats.org/officeDocument/2006/relationships/hyperlink" Target="https://eur-lex.europa.eu/legal-content/NL/TXT/?uri=CELEX%3A52022DC0387&amp;qid=1659955415526" TargetMode="External" Id="rId27" /><Relationship Type="http://schemas.openxmlformats.org/officeDocument/2006/relationships/hyperlink" Target="https://eur-lex.europa.eu/legal-content/NL/TXT/?uri=CELEX%3A52022PC0408&amp;qid=1661777873158" TargetMode="External" Id="rId30" /><Relationship Type="http://schemas.openxmlformats.org/officeDocument/2006/relationships/fontTable" Target="fontTable.xml" Id="rId35"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1983</ap:Words>
  <ap:Characters>14099</ap:Characters>
  <ap:DocSecurity>4</ap:DocSecurity>
  <ap:Lines>117</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2022-09-09T08:24:00.0000000Z</dcterms:created>
  <dcterms:modified xsi:type="dcterms:W3CDTF">2022-09-09T08:24:00.0000000Z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4f5d1971-d7a4-4569-bfdb-32d8c0efab74</vt:lpwstr>
  </property>
</Properties>
</file>