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65365337" w14:textId="77777777">
          <w:pPr>
            <w:tabs>
              <w:tab w:val="left" w:pos="3686"/>
            </w:tabs>
          </w:pPr>
          <w:r>
            <w:rPr>
              <w:noProof/>
            </w:rPr>
            <mc:AlternateContent>
              <mc:Choice Requires="wps">
                <w:drawing>
                  <wp:anchor distT="0" distB="0" distL="114300" distR="114300" simplePos="0" relativeHeight="251657728" behindDoc="0" locked="0" layoutInCell="1" allowOverlap="1" wp14:editId="74BD02CC" wp14:anchorId="40681A1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A46A69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0681A12">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2A46A69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F9F4BA9" wp14:anchorId="1221394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W13.22.0015/III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25 mei 2022</w:t>
              </w:r>
            </w:sdtContent>
          </w:sdt>
        </w:p>
        <w:p w:rsidR="00503044" w:rsidP="00503044" w:rsidRDefault="00503044" w14:paraId="702355E5" w14:textId="77777777">
          <w:pPr>
            <w:tabs>
              <w:tab w:val="left" w:pos="3685"/>
            </w:tabs>
          </w:pPr>
        </w:p>
        <w:p w:rsidR="00503044" w:rsidP="00503044" w:rsidRDefault="00503044" w14:paraId="16A32822"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494AA1" w:rsidRDefault="00774451" w14:paraId="0C47503C" w14:textId="77777777">
              <w:r>
                <w:t>Bij Kabinetsmissive van 10 februari 2022, no.2022000250, heeft Uwe Majesteit, op voordracht van de Minister voor Langdurige Zorg en Sport, mede namens de Minister van Binnenlandse Zaken en Koninkrijksrelaties, bij de Afdeling advisering van de Raad van State ter overweging aanhangig gemaakt het voorstel van wet houdende de Wijziging van de Wet uitvoering antidopingbeleid ter instelling van de Beoordelingscommissie dopingzaken (Wet Beoordelingscommissie dopingzaken), met memorie van toelichting.</w:t>
              </w:r>
            </w:p>
          </w:sdtContent>
        </w:sdt>
        <w:p w:rsidR="0071031E" w:rsidRDefault="0071031E" w14:paraId="26DDC3E6" w14:textId="77777777"/>
        <w:sdt>
          <w:sdtPr>
            <w:alias w:val="VrijeTekst1"/>
            <w:tag w:val="VrijeTekst1"/>
            <w:id w:val="-437221631"/>
            <w:lock w:val="sdtLocked"/>
          </w:sdtPr>
          <w:sdtEndPr/>
          <w:sdtContent>
            <w:p w:rsidR="0095566F" w:rsidP="0095566F" w:rsidRDefault="00774451" w14:paraId="24B10794" w14:textId="77777777">
              <w:r>
                <w:t xml:space="preserve">Het wetsvoorstel strekt tot instelling van een Beoordelingscommissie dopingzaken als zelfstandig bestuursorgaan (zbo). Deze commissie krijgt als taak om bezwaren tegen beslissingen van de Dopingautoriteit te behandelen. Daarnaast bevat het wetsvoorstel procedurele regels voor deze beoordelingscommissie. Ook beoogt de toelichting van het wetsvoorstel te verduidelijken dat de doping-gerelateerde beslissingen van de Dopingautoriteit geen besluiten zijn in de zin van de Algemene wet bestuursrecht (Awb). </w:t>
              </w:r>
            </w:p>
            <w:p w:rsidR="0095566F" w:rsidP="0095566F" w:rsidRDefault="00E3588F" w14:paraId="367C7502" w14:textId="77777777"/>
            <w:p w:rsidR="0095566F" w:rsidP="0095566F" w:rsidRDefault="00774451" w14:paraId="5FA1A910" w14:textId="77777777">
              <w:r>
                <w:t>De Afdeling advisering van de Raad van State merkt allereerst op dat de doping-gerelateerde beslissingen van de Dopingautoriteit geen privaatrechtelijk karakter hebben, zoals de regering betoogt, maar besluiten zijn in de zin van de Awb. Daarmee vormt de Awb het kader waarbinnen dit wetsvoorstel moet worden beoordeeld.</w:t>
              </w:r>
            </w:p>
            <w:p w:rsidR="0095566F" w:rsidP="0095566F" w:rsidRDefault="00E3588F" w14:paraId="57DFB4C3" w14:textId="77777777"/>
            <w:p w:rsidR="0095566F" w:rsidP="0095566F" w:rsidRDefault="00774451" w14:paraId="3C267089" w14:textId="77777777">
              <w:r>
                <w:t xml:space="preserve">De regering wenst te bevorderen dat voldaan wordt aan de </w:t>
              </w:r>
              <w:r w:rsidRPr="00033066">
                <w:t>Wereld Anti Doping-code (</w:t>
              </w:r>
              <w:r>
                <w:t>WAD-code) en wil in dat verband de behandeling van bezwaren neerleggen bij een instantie die onafhankelijk is van de Dopingautoriteit. De voorgestelde opzet komt feitelijk neer op een vorm van administratief beroep. Dit is echter niet verenigbaar met de hoofdsystematiek van de Awb, die uitgaat van bezwaar bij het bestuursorgaan dat het besluit heeft genomen, en daarna eventueel beroep bij de onafhankelijke bestuursrechter. Daarvan uitgaande beschrijft de Afdeling drie alternatieven die kunnen worden verkend en die in alle gevallen nopen tot fundamentele herziening van het wetsvoorstel.</w:t>
              </w:r>
            </w:p>
            <w:p w:rsidR="0095566F" w:rsidP="0095566F" w:rsidRDefault="00E3588F" w14:paraId="29B80D7D" w14:textId="77777777"/>
            <w:p w:rsidR="0095566F" w:rsidP="0095566F" w:rsidRDefault="00774451" w14:paraId="14EA4676" w14:textId="77777777">
              <w:r>
                <w:t>Indien de regering niettemin vasthoudt aan een oplossingsrichting waarbij een zbo wordt ingesteld, dient de noodzaak van het instellen van een zbo dragend te worden gemotiveerd. Daarbij dient een grondige verkenning van alternatieven te worden gegeven.</w:t>
              </w:r>
            </w:p>
            <w:p w:rsidR="0095566F" w:rsidP="0095566F" w:rsidRDefault="00E3588F" w14:paraId="7A9DCC5E" w14:textId="77777777"/>
            <w:p w:rsidR="00264C24" w:rsidP="0095566F" w:rsidRDefault="00774451" w14:paraId="12B6387F" w14:textId="77777777">
              <w:r w:rsidRPr="00BE5631">
                <w:t xml:space="preserve">In verband </w:t>
              </w:r>
              <w:r>
                <w:t>met deze opmerkingen kan over het wetsvoorstel niet positief worden geadviseerd.</w:t>
              </w:r>
            </w:p>
            <w:p w:rsidR="00264C24" w:rsidRDefault="00774451" w14:paraId="73A22DD6" w14:textId="77777777">
              <w:r>
                <w:br w:type="page"/>
              </w:r>
            </w:p>
            <w:p w:rsidR="0095566F" w:rsidP="0095566F" w:rsidRDefault="00774451" w14:paraId="2FC55272" w14:textId="77777777">
              <w:pPr>
                <w:keepNext/>
                <w:keepLines/>
              </w:pPr>
              <w:r>
                <w:lastRenderedPageBreak/>
                <w:t>1.</w:t>
              </w:r>
              <w:r>
                <w:tab/>
              </w:r>
              <w:r>
                <w:rPr>
                  <w:u w:val="single"/>
                </w:rPr>
                <w:t>Achtergrond en inhoud</w:t>
              </w:r>
              <w:r w:rsidRPr="00BD017C">
                <w:rPr>
                  <w:u w:val="single"/>
                </w:rPr>
                <w:t xml:space="preserve"> wetsvoorstel</w:t>
              </w:r>
            </w:p>
            <w:p w:rsidR="0095566F" w:rsidP="0095566F" w:rsidRDefault="00E3588F" w14:paraId="3FF8A1E0" w14:textId="77777777">
              <w:pPr>
                <w:keepNext/>
                <w:keepLines/>
              </w:pPr>
            </w:p>
            <w:p w:rsidR="0095566F" w:rsidP="0095566F" w:rsidRDefault="00774451" w14:paraId="4066ECA3" w14:textId="77777777">
              <w:pPr>
                <w:rPr>
                  <w:i/>
                  <w:iCs/>
                </w:rPr>
              </w:pPr>
              <w:r>
                <w:t xml:space="preserve">a. </w:t>
              </w:r>
              <w:r>
                <w:tab/>
              </w:r>
              <w:r>
                <w:rPr>
                  <w:i/>
                  <w:iCs/>
                </w:rPr>
                <w:t>Achtergrond: hybride karakter antidopingbeleid</w:t>
              </w:r>
            </w:p>
            <w:p w:rsidR="0095566F" w:rsidP="0095566F" w:rsidRDefault="00774451" w14:paraId="4790F006" w14:textId="77777777">
              <w:pPr>
                <w:rPr>
                  <w:color w:val="000000" w:themeColor="text1"/>
                  <w:szCs w:val="18"/>
                </w:rPr>
              </w:pPr>
              <w:r>
                <w:rPr>
                  <w:szCs w:val="18"/>
                </w:rPr>
                <w:t xml:space="preserve">Het Nederlandse antidopingbeleid is een gezamenlijke verantwoordelijkheid van de georganiseerde sport en de overheid. </w:t>
              </w:r>
              <w:r w:rsidRPr="00FE3858">
                <w:rPr>
                  <w:color w:val="000000" w:themeColor="text1"/>
                  <w:szCs w:val="18"/>
                </w:rPr>
                <w:t>De inhoudelijke antidopingregels zijn eigen regels van de sport</w:t>
              </w:r>
              <w:r>
                <w:rPr>
                  <w:color w:val="000000" w:themeColor="text1"/>
                  <w:szCs w:val="18"/>
                </w:rPr>
                <w:t>, vastgelegd in het Nationaal Dopingreglement</w:t>
              </w:r>
              <w:r w:rsidRPr="00FE3858">
                <w:rPr>
                  <w:color w:val="000000" w:themeColor="text1"/>
                  <w:szCs w:val="18"/>
                </w:rPr>
                <w:t>.</w:t>
              </w:r>
              <w:r>
                <w:rPr>
                  <w:color w:val="000000" w:themeColor="text1"/>
                  <w:szCs w:val="18"/>
                </w:rPr>
                <w:t xml:space="preserve"> Sporters zijn hieraan gebonden door hun lidmaatschap van een sportvereniging. Het Nationaal Dopingreglement is gebaseerd op de WAD-code.</w:t>
              </w:r>
            </w:p>
            <w:p w:rsidR="0095566F" w:rsidP="0095566F" w:rsidRDefault="00E3588F" w14:paraId="1E54E29C" w14:textId="77777777">
              <w:pPr>
                <w:rPr>
                  <w:color w:val="000000" w:themeColor="text1"/>
                  <w:szCs w:val="18"/>
                </w:rPr>
              </w:pPr>
            </w:p>
            <w:p w:rsidR="0095566F" w:rsidP="0095566F" w:rsidRDefault="00774451" w14:paraId="398638A3" w14:textId="77777777">
              <w:pPr>
                <w:rPr>
                  <w:szCs w:val="18"/>
                </w:rPr>
              </w:pPr>
              <w:r>
                <w:rPr>
                  <w:color w:val="000000" w:themeColor="text1"/>
                  <w:szCs w:val="18"/>
                </w:rPr>
                <w:t>In 2019 is de Dopingautoriteit omgevormd van particuliere stichting (de stichting Anti-Doping Autoriteit) naar een zbo. Daarbij werd zij wettelijk belast met de taak om</w:t>
              </w:r>
              <w:r>
                <w:rPr>
                  <w:szCs w:val="18"/>
                </w:rPr>
                <w:t xml:space="preserve"> doping in de sport te bestrijden en dopingcontroles te verrichten.</w:t>
              </w:r>
              <w:r>
                <w:rPr>
                  <w:rStyle w:val="Voetnootmarkering"/>
                  <w:szCs w:val="18"/>
                </w:rPr>
                <w:footnoteReference w:id="1"/>
              </w:r>
              <w:r>
                <w:rPr>
                  <w:szCs w:val="18"/>
                </w:rPr>
                <w:t xml:space="preserve"> De taken en bevoegdheden van de Dopingautoriteit zijn sindsdien geregeld in de Wet uitvoering antidopingbeleid (Wuab). Het antidopingbeleid kreeg daarmee een hybride karakter: het is grotendeels privaatrechtelijk, maar met een publiekrechtelijk kader.</w:t>
              </w:r>
            </w:p>
            <w:p w:rsidR="0095566F" w:rsidP="0095566F" w:rsidRDefault="00E3588F" w14:paraId="6D37A75E" w14:textId="77777777">
              <w:pPr>
                <w:rPr>
                  <w:szCs w:val="18"/>
                </w:rPr>
              </w:pPr>
            </w:p>
            <w:p w:rsidR="0095566F" w:rsidP="0095566F" w:rsidRDefault="00774451" w14:paraId="0B1CBF68" w14:textId="77777777">
              <w:pPr>
                <w:rPr>
                  <w:szCs w:val="18"/>
                </w:rPr>
              </w:pPr>
              <w:r w:rsidRPr="00C720FD">
                <w:rPr>
                  <w:szCs w:val="18"/>
                </w:rPr>
                <w:t>De reden om van de stichting Anti-Doping Autoriteit Nederland een zbo in te maken, was het creëren van een grondslag voor de verwerking van persoonsgegevens. De stichting Anti-Doping Autoriteit Nederland verwerkte persoonsgegevens op grond van toestemming. Dit zou geen geschikte grondslag zijn, omdat sporters hun toestemming mogelijk niet geheel in vrijheid kunnen geven. Door de Dopingautoriteit als zbo in te stellen, werd de uitvoering van in een formele wet vastgelegde taken en bevoegdheden de grondslag voor de gegevensverwerking</w:t>
              </w:r>
              <w:r>
                <w:rPr>
                  <w:szCs w:val="18"/>
                </w:rPr>
                <w:t>.</w:t>
              </w:r>
              <w:r>
                <w:rPr>
                  <w:rStyle w:val="Voetnootmarkering"/>
                  <w:szCs w:val="18"/>
                </w:rPr>
                <w:footnoteReference w:id="2"/>
              </w:r>
            </w:p>
            <w:p w:rsidR="0095566F" w:rsidP="0095566F" w:rsidRDefault="00E3588F" w14:paraId="68E7AECD" w14:textId="77777777"/>
            <w:p w:rsidRPr="00033066" w:rsidR="0095566F" w:rsidP="0095566F" w:rsidRDefault="00774451" w14:paraId="1B29ED41" w14:textId="77777777">
              <w:pPr>
                <w:rPr>
                  <w:i/>
                  <w:iCs/>
                </w:rPr>
              </w:pPr>
              <w:r>
                <w:t xml:space="preserve">b. </w:t>
              </w:r>
              <w:r>
                <w:tab/>
              </w:r>
              <w:r>
                <w:rPr>
                  <w:i/>
                  <w:iCs/>
                </w:rPr>
                <w:t>Aanleiding: non-compliance met de WAD-code</w:t>
              </w:r>
            </w:p>
            <w:p w:rsidR="0095566F" w:rsidP="0095566F" w:rsidRDefault="00774451" w14:paraId="327F96FA" w14:textId="77777777">
              <w:r w:rsidRPr="00033066">
                <w:t xml:space="preserve">Op 1 januari 2021 is een herziene versie van de </w:t>
              </w:r>
              <w:r>
                <w:t>WAD-code</w:t>
              </w:r>
              <w:r w:rsidRPr="00033066">
                <w:t xml:space="preserve"> in werking getreden. De WAD-code bevat bepalingen over </w:t>
              </w:r>
              <w:r>
                <w:t xml:space="preserve">het </w:t>
              </w:r>
              <w:r w:rsidRPr="00033066">
                <w:t xml:space="preserve">antidopingbeleid, met als doel het mondiale antidopingbeleid te harmoniseren. </w:t>
              </w:r>
              <w:r w:rsidRPr="008448A7">
                <w:t>De WAD-code is bindend voor de ondertekenaars ervan</w:t>
              </w:r>
              <w:r>
                <w:t>:</w:t>
              </w:r>
              <w:r w:rsidRPr="008448A7">
                <w:t xml:space="preserve"> </w:t>
              </w:r>
              <w:r>
                <w:t>i</w:t>
              </w:r>
              <w:r w:rsidRPr="008448A7">
                <w:t xml:space="preserve">n Nederland </w:t>
              </w:r>
              <w:r>
                <w:t>zijn dat de</w:t>
              </w:r>
              <w:r w:rsidRPr="008448A7">
                <w:t xml:space="preserve"> Dopingautoriteit en </w:t>
              </w:r>
              <w:r>
                <w:t xml:space="preserve">de sportkoepel </w:t>
              </w:r>
              <w:r w:rsidRPr="008448A7">
                <w:t xml:space="preserve">NOC*NSF. Deze partijen </w:t>
              </w:r>
              <w:r>
                <w:t xml:space="preserve">zijn </w:t>
              </w:r>
              <w:r w:rsidRPr="008448A7">
                <w:t xml:space="preserve">gehouden </w:t>
              </w:r>
              <w:r>
                <w:t xml:space="preserve">om </w:t>
              </w:r>
              <w:r w:rsidRPr="008448A7">
                <w:t>uitvoering te geven aan de voor hen verplichte elementen uit de WAD-code.</w:t>
              </w:r>
              <w:r>
                <w:rPr>
                  <w:rStyle w:val="Voetnootmarkering"/>
                </w:rPr>
                <w:footnoteReference w:id="3"/>
              </w:r>
              <w:r w:rsidRPr="008448A7">
                <w:t xml:space="preserve"> </w:t>
              </w:r>
            </w:p>
            <w:p w:rsidR="0095566F" w:rsidP="0095566F" w:rsidRDefault="00E3588F" w14:paraId="63CFCFC8" w14:textId="77777777"/>
            <w:p w:rsidR="0095566F" w:rsidP="0095566F" w:rsidRDefault="00774451" w14:paraId="36631921" w14:textId="77777777">
              <w:r>
                <w:t>Het</w:t>
              </w:r>
              <w:r w:rsidRPr="00007F0D">
                <w:t xml:space="preserve"> Wereld Anti-Doping Agentschap</w:t>
              </w:r>
              <w:r>
                <w:t xml:space="preserve"> </w:t>
              </w:r>
              <w:r w:rsidRPr="008448A7">
                <w:t xml:space="preserve">(WADA) houdt toezicht </w:t>
              </w:r>
              <w:r>
                <w:t xml:space="preserve">op de naleving van de WAD-code </w:t>
              </w:r>
              <w:r w:rsidRPr="008448A7">
                <w:t>en heeft in dit kader in 2020 een audit uitgevoerd in Nederland.</w:t>
              </w:r>
              <w:r>
                <w:t xml:space="preserve"> In de nasleep van deze audit kwam aan het licht dat het WADA zich niet kan vinden in de wijze waarop de bezwaarprocedure is ingericht tegen doping-gerelateerde beslissingen die op grond van de WAD-code appellabel zijn. </w:t>
              </w:r>
            </w:p>
            <w:p w:rsidR="0095566F" w:rsidP="0095566F" w:rsidRDefault="00E3588F" w14:paraId="12C7C8EE" w14:textId="77777777"/>
            <w:p w:rsidR="00ED11C5" w:rsidP="0095566F" w:rsidRDefault="00774451" w14:paraId="1573FFF2" w14:textId="77777777">
              <w:r>
                <w:t>Volgens de Awb behelst de bezwaarprocedure een heroverweging van een besluit door het bestuursorgaan dat het oorspronkelijke besluit heeft genomen. Tegen de uitkomst in de bezwaarprocedure staat beroep open bij de bestuursrechter.</w:t>
              </w:r>
              <w:r>
                <w:rPr>
                  <w:rStyle w:val="Voetnootmarkering"/>
                </w:rPr>
                <w:footnoteReference w:id="4"/>
              </w:r>
              <w:r>
                <w:t xml:space="preserve"> De bezwaarmogelijkheid tegen besluiten van de Dopingautoriteit is</w:t>
              </w:r>
              <w:r w:rsidRPr="0027483E">
                <w:t xml:space="preserve"> </w:t>
              </w:r>
              <w:r>
                <w:t>ondergebracht bij</w:t>
              </w:r>
              <w:r w:rsidRPr="0027483E">
                <w:t xml:space="preserve"> </w:t>
              </w:r>
              <w:r>
                <w:t xml:space="preserve">de interne </w:t>
              </w:r>
              <w:r w:rsidRPr="00BD0F9D">
                <w:t>Bezwaarcommissie Nationaal Dopingreglement</w:t>
              </w:r>
              <w:r>
                <w:t xml:space="preserve"> (BND). Deze maakt onderdeel uit van de Dopingautoriteit. </w:t>
              </w:r>
            </w:p>
            <w:p w:rsidR="00ED11C5" w:rsidP="0095566F" w:rsidRDefault="00E3588F" w14:paraId="1E2EA435" w14:textId="77777777"/>
            <w:p w:rsidR="0095566F" w:rsidP="0095566F" w:rsidRDefault="00774451" w14:paraId="7E5E4F0E" w14:textId="77777777">
              <w:r>
                <w:lastRenderedPageBreak/>
                <w:t>Volgens het WADA is de BND daardoor niet institutioneel onafhankelijk van de Dopingautoriteit, en voldoet de Dopingautoriteit niet aan de WAD-code. Deze</w:t>
              </w:r>
              <w:r w:rsidRPr="0027483E">
                <w:t xml:space="preserve"> bepaalt </w:t>
              </w:r>
              <w:r>
                <w:t xml:space="preserve">namelijk </w:t>
              </w:r>
              <w:r w:rsidRPr="0027483E">
                <w:t>dat appellabel</w:t>
              </w:r>
              <w:r>
                <w:t xml:space="preserve">e besluiten </w:t>
              </w:r>
              <w:r w:rsidRPr="0027483E">
                <w:t xml:space="preserve">beoordeeld moeten worden door een </w:t>
              </w:r>
              <w:r>
                <w:t>instantie</w:t>
              </w:r>
              <w:r w:rsidRPr="0027483E">
                <w:t xml:space="preserve"> die </w:t>
              </w:r>
              <w:r>
                <w:t>‘</w:t>
              </w:r>
              <w:r w:rsidRPr="0027483E">
                <w:t>institutioneel en operationeel onafhankelijk</w:t>
              </w:r>
              <w:r>
                <w:t>’</w:t>
              </w:r>
              <w:r w:rsidRPr="0027483E">
                <w:t xml:space="preserve"> is van de antidopingorganisatie die met de afhandeling van dopingcontrole- en onderzoeksresultaten is belast.</w:t>
              </w:r>
              <w:r>
                <w:rPr>
                  <w:rStyle w:val="Voetnootmarkering"/>
                </w:rPr>
                <w:footnoteReference w:id="5"/>
              </w:r>
              <w:r w:rsidRPr="0027483E">
                <w:t xml:space="preserve"> </w:t>
              </w:r>
              <w:r>
                <w:t>Het</w:t>
              </w:r>
              <w:r w:rsidRPr="00DE339C">
                <w:t xml:space="preserve"> WADA heeft laten weten aan deze tekortkoming sancties te zullen verbinden als deze niet wordt opgelost. </w:t>
              </w:r>
              <w:r>
                <w:t>Daarmee kan deelname van Nederlandse topsporters aan internationale wedstrijden en de organisatie van sportevenementen in Nederland in gevaar komen.</w:t>
              </w:r>
            </w:p>
            <w:p w:rsidR="0095566F" w:rsidP="0095566F" w:rsidRDefault="00E3588F" w14:paraId="030BC912" w14:textId="77777777"/>
            <w:p w:rsidR="0095566F" w:rsidP="0095566F" w:rsidRDefault="00774451" w14:paraId="762D6A1D" w14:textId="77777777">
              <w:pPr>
                <w:rPr>
                  <w:i/>
                  <w:iCs/>
                  <w:szCs w:val="18"/>
                </w:rPr>
              </w:pPr>
              <w:r>
                <w:rPr>
                  <w:szCs w:val="18"/>
                </w:rPr>
                <w:t xml:space="preserve">c. </w:t>
              </w:r>
              <w:r>
                <w:rPr>
                  <w:szCs w:val="18"/>
                </w:rPr>
                <w:tab/>
              </w:r>
              <w:r>
                <w:rPr>
                  <w:i/>
                  <w:iCs/>
                  <w:szCs w:val="18"/>
                </w:rPr>
                <w:t>Inhoud wetsvoorstel</w:t>
              </w:r>
            </w:p>
            <w:p w:rsidR="0095566F" w:rsidP="0095566F" w:rsidRDefault="00774451" w14:paraId="474CCBAE" w14:textId="77777777">
              <w:pPr>
                <w:rPr>
                  <w:szCs w:val="18"/>
                </w:rPr>
              </w:pPr>
              <w:r>
                <w:t xml:space="preserve">Tegen deze achtergrond </w:t>
              </w:r>
              <w:r w:rsidRPr="00FE3858">
                <w:rPr>
                  <w:szCs w:val="18"/>
                  <w:shd w:val="clear" w:color="auto" w:fill="FFFFFF"/>
                </w:rPr>
                <w:t xml:space="preserve">voorziet </w:t>
              </w:r>
              <w:r>
                <w:rPr>
                  <w:szCs w:val="18"/>
                  <w:shd w:val="clear" w:color="auto" w:fill="FFFFFF"/>
                </w:rPr>
                <w:t>het</w:t>
              </w:r>
              <w:r w:rsidRPr="00FE3858">
                <w:rPr>
                  <w:szCs w:val="18"/>
                  <w:shd w:val="clear" w:color="auto" w:fill="FFFFFF"/>
                </w:rPr>
                <w:t xml:space="preserve"> wetsvoorstel in de instelling van </w:t>
              </w:r>
              <w:r>
                <w:rPr>
                  <w:szCs w:val="18"/>
                  <w:shd w:val="clear" w:color="auto" w:fill="FFFFFF"/>
                </w:rPr>
                <w:t>een</w:t>
              </w:r>
              <w:r w:rsidRPr="00FE3858">
                <w:rPr>
                  <w:szCs w:val="18"/>
                  <w:shd w:val="clear" w:color="auto" w:fill="FFFFFF"/>
                </w:rPr>
                <w:t xml:space="preserve"> Beoordelingscommissie dopingzaken als nieuw</w:t>
              </w:r>
              <w:r>
                <w:rPr>
                  <w:szCs w:val="18"/>
                  <w:shd w:val="clear" w:color="auto" w:fill="FFFFFF"/>
                </w:rPr>
                <w:t xml:space="preserve"> </w:t>
              </w:r>
              <w:r w:rsidRPr="00FE3858">
                <w:rPr>
                  <w:szCs w:val="18"/>
                  <w:shd w:val="clear" w:color="auto" w:fill="FFFFFF"/>
                </w:rPr>
                <w:t>publiekrechtelijk zbo, onafhankelijk</w:t>
              </w:r>
              <w:r>
                <w:rPr>
                  <w:szCs w:val="18"/>
                  <w:shd w:val="clear" w:color="auto" w:fill="FFFFFF"/>
                </w:rPr>
                <w:t xml:space="preserve"> </w:t>
              </w:r>
              <w:r w:rsidRPr="00FE3858">
                <w:rPr>
                  <w:szCs w:val="18"/>
                  <w:shd w:val="clear" w:color="auto" w:fill="FFFFFF"/>
                </w:rPr>
                <w:t>van de Dopingautoriteit</w:t>
              </w:r>
              <w:r>
                <w:rPr>
                  <w:szCs w:val="18"/>
                  <w:shd w:val="clear" w:color="auto" w:fill="FFFFFF"/>
                </w:rPr>
                <w:t>. Deze beoordelingscommissie krijgt als</w:t>
              </w:r>
              <w:r w:rsidRPr="00FE3858">
                <w:rPr>
                  <w:szCs w:val="18"/>
                  <w:shd w:val="clear" w:color="auto" w:fill="FFFFFF"/>
                </w:rPr>
                <w:t xml:space="preserve"> taak om </w:t>
              </w:r>
              <w:r w:rsidRPr="00FE3858">
                <w:rPr>
                  <w:szCs w:val="18"/>
                </w:rPr>
                <w:t xml:space="preserve">op verzoek beslissingen </w:t>
              </w:r>
              <w:r>
                <w:rPr>
                  <w:szCs w:val="18"/>
                </w:rPr>
                <w:t xml:space="preserve">van </w:t>
              </w:r>
              <w:r w:rsidRPr="00FE3858">
                <w:rPr>
                  <w:szCs w:val="18"/>
                </w:rPr>
                <w:t>de Dopingautoriteit</w:t>
              </w:r>
              <w:r>
                <w:rPr>
                  <w:szCs w:val="18"/>
                </w:rPr>
                <w:t xml:space="preserve"> </w:t>
              </w:r>
              <w:r w:rsidRPr="00FE3858">
                <w:rPr>
                  <w:szCs w:val="18"/>
                </w:rPr>
                <w:t>te beoordelen</w:t>
              </w:r>
              <w:r>
                <w:rPr>
                  <w:szCs w:val="18"/>
                </w:rPr>
                <w:t xml:space="preserve"> </w:t>
              </w:r>
              <w:r w:rsidRPr="00FE3858">
                <w:rPr>
                  <w:szCs w:val="18"/>
                </w:rPr>
                <w:t xml:space="preserve">die ingevolge de WAD-code appellabel zijn. </w:t>
              </w:r>
              <w:r>
                <w:rPr>
                  <w:szCs w:val="18"/>
                </w:rPr>
                <w:t>Het wetsvoorstel regelt daarnaast procedurele aspecten in verband met deze beoordelingscommissie. Zo neemt het wetsvoorstel procesregels over die ook zijn opgenomen in de afdelingen 6.2 en 7.2 van de Awb. Hiertoe is besloten omdat de regering meent dat de doping-gerelateerde beslissingen van de Dopingautoriteit geen besluiten zijn in de zin van de Awb en dat daarmee de Awb zelf niet van toepassing is. Tot nu toe is aangenomen dat het hier om Awb-besluiten gaat en de Awb dus wel van toepassing is.</w:t>
              </w:r>
              <w:r>
                <w:rPr>
                  <w:rStyle w:val="Voetnootmarkering"/>
                  <w:szCs w:val="18"/>
                </w:rPr>
                <w:footnoteReference w:id="6"/>
              </w:r>
            </w:p>
            <w:p w:rsidR="0095566F" w:rsidP="0095566F" w:rsidRDefault="00E3588F" w14:paraId="682EA767" w14:textId="77777777">
              <w:pPr>
                <w:rPr>
                  <w:szCs w:val="18"/>
                </w:rPr>
              </w:pPr>
            </w:p>
            <w:p w:rsidR="0095566F" w:rsidP="0095566F" w:rsidRDefault="00774451" w14:paraId="60D90869" w14:textId="77777777">
              <w:pPr>
                <w:rPr>
                  <w:szCs w:val="18"/>
                </w:rPr>
              </w:pPr>
              <w:r>
                <w:rPr>
                  <w:szCs w:val="18"/>
                </w:rPr>
                <w:t>d.</w:t>
              </w:r>
              <w:r>
                <w:rPr>
                  <w:szCs w:val="18"/>
                </w:rPr>
                <w:tab/>
              </w:r>
              <w:r w:rsidRPr="00761AC8">
                <w:rPr>
                  <w:i/>
                  <w:iCs/>
                  <w:szCs w:val="18"/>
                </w:rPr>
                <w:t>Opbouw advies</w:t>
              </w:r>
            </w:p>
            <w:p w:rsidR="00264C24" w:rsidP="00264C24" w:rsidRDefault="00774451" w14:paraId="012496DD" w14:textId="77777777">
              <w:pPr>
                <w:rPr>
                  <w:szCs w:val="18"/>
                </w:rPr>
              </w:pPr>
              <w:r>
                <w:rPr>
                  <w:szCs w:val="18"/>
                </w:rPr>
                <w:t>De Afdeling gaat eerst in op de vraag tegen welk juridisch kader het wetsvoorstel moet worden beschouwd (zie punt 2). Vervolgens wordt geanalyseerd hoe de door het WADA geconstateerde tekortkoming zich verhoudt tot het toepasselijke kader (zie punt 3). Tot slot gaat de Afdeling in op de specifieke vormgeving van de voorgestelde beoordelingscommissie als zbo (zie punt 4).</w:t>
              </w:r>
            </w:p>
            <w:p w:rsidR="00264C24" w:rsidP="00264C24" w:rsidRDefault="00E3588F" w14:paraId="73BC5348" w14:textId="77777777">
              <w:pPr>
                <w:rPr>
                  <w:szCs w:val="18"/>
                </w:rPr>
              </w:pPr>
            </w:p>
            <w:p w:rsidR="00264C24" w:rsidP="00264C24" w:rsidRDefault="00774451" w14:paraId="1AD3D770" w14:textId="77777777">
              <w:pPr>
                <w:rPr>
                  <w:u w:val="single"/>
                </w:rPr>
              </w:pPr>
              <w:r>
                <w:t xml:space="preserve">2. </w:t>
              </w:r>
              <w:r>
                <w:tab/>
              </w:r>
              <w:r w:rsidRPr="00400E44">
                <w:rPr>
                  <w:u w:val="single"/>
                </w:rPr>
                <w:t>Toepasselijk</w:t>
              </w:r>
              <w:r>
                <w:rPr>
                  <w:u w:val="single"/>
                </w:rPr>
                <w:t xml:space="preserve"> juridisch kader</w:t>
              </w:r>
            </w:p>
            <w:p w:rsidR="00264C24" w:rsidP="00264C24" w:rsidRDefault="00E3588F" w14:paraId="4BFCA074" w14:textId="77777777">
              <w:pPr>
                <w:rPr>
                  <w:u w:val="single"/>
                </w:rPr>
              </w:pPr>
            </w:p>
            <w:p w:rsidR="0095566F" w:rsidP="00264C24" w:rsidRDefault="00774451" w14:paraId="35A467E5" w14:textId="77777777">
              <w:r>
                <w:t xml:space="preserve">De regering stelt zich op het standpunt dat de doping-gerelateerde beslissingen van de Dopingautoriteit een privaatrechtelijk karakter hebben en geen Awb-besluiten zijn. Daarmee zouden ook de bezwaar- en beroepsmogelijkheden zoals geregeld in de Awb niet van toepassing zijn. Dit </w:t>
              </w:r>
              <w:r w:rsidRPr="00017552">
                <w:t xml:space="preserve">is in afwijking van de tot nu door de regering zelf gehuldigde lijn, die zij nu </w:t>
              </w:r>
              <w:r>
                <w:t>een ‘onjuiste aanname’ noemt. De aanleiding voor dit nieuwe inzicht is dat volgens de regering hierover verwarring bestond.</w:t>
              </w:r>
              <w:r>
                <w:rPr>
                  <w:rStyle w:val="Voetnootmarkering"/>
                </w:rPr>
                <w:footnoteReference w:id="7"/>
              </w:r>
              <w:r>
                <w:t xml:space="preserve"> Overigens sluit de regering niet uit dat in de toekomst de doping-beslissingen alsnog het karakter van een Awb-besluit krijgen als herziening van de WAD-code daartoe noopt.</w:t>
              </w:r>
              <w:r>
                <w:rPr>
                  <w:rStyle w:val="Voetnootmarkering"/>
                </w:rPr>
                <w:footnoteReference w:id="8"/>
              </w:r>
            </w:p>
            <w:p w:rsidR="0095566F" w:rsidP="0095566F" w:rsidRDefault="00E3588F" w14:paraId="7F32894A" w14:textId="77777777"/>
            <w:p w:rsidR="0095566F" w:rsidP="0095566F" w:rsidRDefault="00774451" w14:paraId="50C9D890" w14:textId="77777777">
              <w:r>
                <w:t xml:space="preserve">De regering onderkent dat het bij de doping-gerelateerde beslissingen van de Dopingautoriteit gaat om een schriftelijke beslissing van een bestuursorgaan, die een rechtshandeling inhoudt. De reden dat deze beslissingen tóch geen Awb-besluiten zijn, is volgens de toelichting dat die beslissingen privaatrechtelijke rechtsgevolgen </w:t>
              </w:r>
              <w:r>
                <w:lastRenderedPageBreak/>
                <w:t>hebben.</w:t>
              </w:r>
              <w:r>
                <w:rPr>
                  <w:rStyle w:val="Voetnootmarkering"/>
                </w:rPr>
                <w:footnoteReference w:id="9"/>
              </w:r>
              <w:r>
                <w:t xml:space="preserve"> De binding aan die beslissingen vindt namelijk hoofdzakelijk plaats via het verenigingsrecht, en in sommige gevallen via het overeenkomstenrecht. Door het ontbreken van een publiekrechtelijk rechtsgevolg, kwalificeren deze beslissingen niet als Awb-besluit, aldus de regering.</w:t>
              </w:r>
            </w:p>
            <w:p w:rsidR="0095566F" w:rsidP="0095566F" w:rsidRDefault="00E3588F" w14:paraId="6A85EFBD" w14:textId="77777777"/>
            <w:p w:rsidR="0095566F" w:rsidP="0095566F" w:rsidRDefault="00774451" w14:paraId="2F4B274A" w14:textId="77777777">
              <w:r>
                <w:t>De Afdeling is niet overtuigd van het standpunt van de regering en merkt hierover het volgende op. De definitie van een besluit is gegeven in artikel 1:3 van de Awb:</w:t>
              </w:r>
            </w:p>
            <w:p w:rsidR="0095566F" w:rsidP="0095566F" w:rsidRDefault="00E3588F" w14:paraId="712EFE7F" w14:textId="77777777"/>
            <w:p w:rsidRPr="00DB32BC" w:rsidR="0095566F" w:rsidP="0095566F" w:rsidRDefault="00774451" w14:paraId="32E64C51" w14:textId="77777777">
              <w:pPr>
                <w:ind w:left="708"/>
              </w:pPr>
              <w:r>
                <w:t>“</w:t>
              </w:r>
              <w:r w:rsidRPr="00DB32BC">
                <w:t xml:space="preserve">Onder besluit wordt verstaan: een </w:t>
              </w:r>
              <w:r w:rsidRPr="00DB32BC">
                <w:rPr>
                  <w:u w:val="single"/>
                </w:rPr>
                <w:t>schriftelijke beslissing</w:t>
              </w:r>
              <w:r w:rsidRPr="00DB32BC">
                <w:t xml:space="preserve"> van een </w:t>
              </w:r>
              <w:r w:rsidRPr="00DB32BC">
                <w:rPr>
                  <w:u w:val="single"/>
                </w:rPr>
                <w:t>bestuursorgaan</w:t>
              </w:r>
              <w:r w:rsidRPr="00DB32BC">
                <w:t xml:space="preserve">, inhoudende een </w:t>
              </w:r>
              <w:r w:rsidRPr="00DB32BC">
                <w:rPr>
                  <w:u w:val="single"/>
                </w:rPr>
                <w:t>publiekrechtelijke</w:t>
              </w:r>
              <w:r w:rsidRPr="00DB32BC">
                <w:t xml:space="preserve"> </w:t>
              </w:r>
              <w:r w:rsidRPr="00DB32BC">
                <w:rPr>
                  <w:u w:val="single"/>
                </w:rPr>
                <w:t>rechtshandeling</w:t>
              </w:r>
              <w:r w:rsidRPr="00DB32BC">
                <w:t>.</w:t>
              </w:r>
              <w:r>
                <w:t>”</w:t>
              </w:r>
            </w:p>
            <w:p w:rsidR="0095566F" w:rsidP="0095566F" w:rsidRDefault="00E3588F" w14:paraId="480A94C5" w14:textId="77777777"/>
            <w:p w:rsidR="0095566F" w:rsidP="0095566F" w:rsidRDefault="00774451" w14:paraId="58FA1F22" w14:textId="77777777">
              <w:r>
                <w:t xml:space="preserve">De Afdeling merkt op dat buiten discussie staat dat de Dopingautoriteit een </w:t>
              </w:r>
              <w:r w:rsidRPr="00B27677">
                <w:rPr>
                  <w:i/>
                  <w:iCs/>
                </w:rPr>
                <w:t>bestuursorgaan</w:t>
              </w:r>
              <w:r>
                <w:t xml:space="preserve"> is dat </w:t>
              </w:r>
              <w:r w:rsidRPr="00B27677">
                <w:rPr>
                  <w:i/>
                  <w:iCs/>
                </w:rPr>
                <w:t>schriftelijke</w:t>
              </w:r>
              <w:r>
                <w:t xml:space="preserve"> beslissingen neemt, zoals overigens de regering ook zelf constateert.</w:t>
              </w:r>
              <w:r>
                <w:rPr>
                  <w:rStyle w:val="Voetnootmarkering"/>
                </w:rPr>
                <w:footnoteReference w:id="10"/>
              </w:r>
              <w:r>
                <w:t xml:space="preserve"> Evenmin betwist de regering dat deze beslissingen een </w:t>
              </w:r>
              <w:r w:rsidRPr="00B27677">
                <w:rPr>
                  <w:i/>
                  <w:iCs/>
                </w:rPr>
                <w:t>rechtshandeling</w:t>
              </w:r>
              <w:r>
                <w:t xml:space="preserve"> inhouden, in de zin van een op rechtsgevolg gerichte handeling. E</w:t>
              </w:r>
              <w:r w:rsidRPr="00B27677">
                <w:t xml:space="preserve">en beslissing </w:t>
              </w:r>
              <w:r>
                <w:t>heeft</w:t>
              </w:r>
              <w:r w:rsidRPr="00B27677">
                <w:t xml:space="preserve"> rechtsgevolg </w:t>
              </w:r>
              <w:r>
                <w:t>als daarmee</w:t>
              </w:r>
              <w:r w:rsidRPr="00B27677">
                <w:t xml:space="preserve"> een bevoegdheid, recht of verplichting voor </w:t>
              </w:r>
              <w:r>
                <w:t>een persoon</w:t>
              </w:r>
              <w:r w:rsidRPr="00B27677">
                <w:t xml:space="preserve"> ontstaa</w:t>
              </w:r>
              <w:r>
                <w:t>t</w:t>
              </w:r>
              <w:r w:rsidRPr="00B27677">
                <w:t xml:space="preserve"> of teniet </w:t>
              </w:r>
              <w:r>
                <w:t>wordt gedaan</w:t>
              </w:r>
              <w:r w:rsidRPr="00B27677">
                <w:t xml:space="preserve">, dan wel </w:t>
              </w:r>
              <w:r>
                <w:t xml:space="preserve">als daarmee </w:t>
              </w:r>
              <w:r w:rsidRPr="00B27677">
                <w:t xml:space="preserve">de juridische status van een persoon of een zaak </w:t>
              </w:r>
              <w:r>
                <w:t xml:space="preserve">wordt </w:t>
              </w:r>
              <w:r w:rsidRPr="00B27677">
                <w:t>vast</w:t>
              </w:r>
              <w:r>
                <w:t>gesteld</w:t>
              </w:r>
              <w:r w:rsidRPr="00B27677">
                <w:t>.</w:t>
              </w:r>
              <w:r>
                <w:rPr>
                  <w:rStyle w:val="Voetnootmarkering"/>
                </w:rPr>
                <w:footnoteReference w:id="11"/>
              </w:r>
            </w:p>
            <w:p w:rsidR="0095566F" w:rsidP="0095566F" w:rsidRDefault="00E3588F" w14:paraId="0E8945D4" w14:textId="77777777"/>
            <w:p w:rsidR="0095566F" w:rsidP="0095566F" w:rsidRDefault="00774451" w14:paraId="43488DC3" w14:textId="77777777">
              <w:r>
                <w:t>Dan spitst de vraag zich toe op de juridische aard van de</w:t>
              </w:r>
              <w:r w:rsidRPr="006E59E8">
                <w:t xml:space="preserve"> rechtshandeling</w:t>
              </w:r>
              <w:r>
                <w:t>: is deze publiekrechtelijk of privaatrechtelijk? Het onderscheid tussen privaatrechtelijke en publiekrechtelijke rechtshandelingen wordt gemaakt op grond van de bevoegdheid die ten grondslag ligt aan de rechtshandeling.</w:t>
              </w:r>
              <w:r>
                <w:rPr>
                  <w:rStyle w:val="Voetnootmarkering"/>
                </w:rPr>
                <w:footnoteReference w:id="12"/>
              </w:r>
              <w:r>
                <w:t xml:space="preserve"> Bij een privaatrechtelijke rechtshandeling gaat het om een bevoegdheid die eenieder toekomt. Bij een </w:t>
              </w:r>
              <w:r w:rsidRPr="006E59E8">
                <w:t>publiekrechtelijke rechtshandeling</w:t>
              </w:r>
              <w:r>
                <w:t xml:space="preserve"> ligt een publiekrechtelijke bevoegdheid ten grondslag aan de uitoefening van wettelijk omschreven taken.</w:t>
              </w:r>
              <w:r>
                <w:rPr>
                  <w:rStyle w:val="Voetnootmarkering"/>
                </w:rPr>
                <w:footnoteReference w:id="13"/>
              </w:r>
              <w:r>
                <w:t xml:space="preserve"> Dit laatste is het geval bij de Dopingautoriteit, die in de wet omschreven taken en bevoegdheden heeft.</w:t>
              </w:r>
              <w:r>
                <w:rPr>
                  <w:rStyle w:val="Voetnootmarkering"/>
                </w:rPr>
                <w:footnoteReference w:id="14"/>
              </w:r>
              <w:r>
                <w:t xml:space="preserve"> Deze publiekrechtelijke taken en bevoegdheden zijn exclusief aan de Dopingautoriteit toegekend en vormen aldus de </w:t>
              </w:r>
              <w:r w:rsidRPr="00D7264F">
                <w:t xml:space="preserve">publiekrechtelijke </w:t>
              </w:r>
              <w:r>
                <w:t xml:space="preserve">grondslag voor de besluiten van deze instantie. </w:t>
              </w:r>
            </w:p>
            <w:p w:rsidR="0095566F" w:rsidP="0095566F" w:rsidRDefault="00E3588F" w14:paraId="51735113" w14:textId="77777777"/>
            <w:p w:rsidR="0095566F" w:rsidP="0095566F" w:rsidRDefault="00774451" w14:paraId="4FFA1A92" w14:textId="77777777">
              <w:r>
                <w:t xml:space="preserve">Daarmee kan de Afdeling niet anders dan concluderen dat de doping-gerelateerde beslissingen van de Dopingautoriteit voldoen aan de definitie van een besluit in de zin van de Awb. Voor de beantwoording van de vraag of sprake is van een Awb-besluit doet daarbij niet ter zake of het rechtsgevolg privaatrechtelijk dan wel publiekrechtelijk van aard is. </w:t>
              </w:r>
            </w:p>
            <w:p w:rsidR="0095566F" w:rsidP="0095566F" w:rsidRDefault="00E3588F" w14:paraId="48DA369E" w14:textId="77777777"/>
            <w:p w:rsidR="0095566F" w:rsidP="0095566F" w:rsidRDefault="00774451" w14:paraId="766E3498" w14:textId="77777777">
              <w:r>
                <w:lastRenderedPageBreak/>
                <w:t xml:space="preserve">Op grond van het voorgaande komt de Afdeling tot de conclusie dat de Awb van toepassing is op deze besluiten van de Dopingautoriteit. </w:t>
              </w:r>
            </w:p>
            <w:p w:rsidR="0095566F" w:rsidP="0095566F" w:rsidRDefault="00E3588F" w14:paraId="7CE4AC51" w14:textId="77777777"/>
            <w:p w:rsidR="0095566F" w:rsidP="0095566F" w:rsidRDefault="00774451" w14:paraId="6BB39E6D" w14:textId="77777777">
              <w:r>
                <w:t>Vanuit het belang van eenheid van wetgeving is het onwenselijk om bepalingen uit algemene wetten (zoals de Awb) in bijzondere wetgeving over te nemen.</w:t>
              </w:r>
              <w:r>
                <w:rPr>
                  <w:rStyle w:val="Voetnootmarkering"/>
                </w:rPr>
                <w:footnoteReference w:id="15"/>
              </w:r>
              <w:r>
                <w:t xml:space="preserve"> De Afdeling adviseert daarom de procesregels uit het wetsvoorstel te schrappen nu de Awb in de afdelingen 6.2 en 7.2 reeds voorziet in deze procesregels.</w:t>
              </w:r>
            </w:p>
            <w:p w:rsidR="0095566F" w:rsidP="0095566F" w:rsidRDefault="00E3588F" w14:paraId="64D1B74D" w14:textId="77777777"/>
            <w:p w:rsidR="0095566F" w:rsidP="0095566F" w:rsidRDefault="00774451" w14:paraId="5C7200FA" w14:textId="77777777">
              <w:pPr>
                <w:rPr>
                  <w:u w:val="single"/>
                </w:rPr>
              </w:pPr>
              <w:r>
                <w:t xml:space="preserve">3. </w:t>
              </w:r>
              <w:r>
                <w:tab/>
              </w:r>
              <w:r w:rsidRPr="00D94F20">
                <w:rPr>
                  <w:u w:val="single"/>
                </w:rPr>
                <w:t xml:space="preserve">Verenigbaarheid </w:t>
              </w:r>
              <w:r>
                <w:rPr>
                  <w:u w:val="single"/>
                </w:rPr>
                <w:t>onafhankelijke</w:t>
              </w:r>
              <w:r w:rsidRPr="00D94F20">
                <w:rPr>
                  <w:u w:val="single"/>
                </w:rPr>
                <w:t xml:space="preserve"> bezwaarinstantie met de Awb</w:t>
              </w:r>
            </w:p>
            <w:p w:rsidR="0095566F" w:rsidP="0095566F" w:rsidRDefault="00E3588F" w14:paraId="1C9C6844" w14:textId="77777777"/>
            <w:p w:rsidR="0095566F" w:rsidP="0095566F" w:rsidRDefault="00774451" w14:paraId="3758AC54" w14:textId="77777777">
              <w:r>
                <w:t>De Afdeling begrijpt dat de regering wenst te bevorderen dat voldaan wordt aan de WAD-code. Tegelijkertijd dienen daarbij de nationale juridische kaders in acht te worden genomen. Concreet ligt de vraag voor of de instelling van een onafhankelijk orgaan dat bezwaar tegen besluiten van de Dopingautoriteit moet beoordelen verenigbaar is met de Awb.</w:t>
              </w:r>
            </w:p>
            <w:p w:rsidR="0095566F" w:rsidP="0095566F" w:rsidRDefault="00E3588F" w14:paraId="5FD7F21F" w14:textId="77777777"/>
            <w:p w:rsidR="0095566F" w:rsidP="0095566F" w:rsidRDefault="00774451" w14:paraId="7A7086C5" w14:textId="77777777">
              <w:r>
                <w:t xml:space="preserve">Zoals hiervoor uiteengezet, is de Awb van toepassing op doping-gerelateerde beslissingen van de Dopingautoriteit. Een onafhankelijke bezwaarinstantie, of deze nu als zbo wordt ingericht of anderszins, is niet in lijn met het hoofdsysteem van de Awb. Volgens dat hoofdsysteem vindt de bezwaarprocedure plaats bij </w:t>
              </w:r>
              <w:r w:rsidRPr="00D619CB">
                <w:t xml:space="preserve">hetzelfde bestuursorgaan dat het oorspronkelijke besluit nam. </w:t>
              </w:r>
            </w:p>
            <w:p w:rsidR="0095566F" w:rsidP="0095566F" w:rsidRDefault="00E3588F" w14:paraId="49EF28E7" w14:textId="77777777"/>
            <w:p w:rsidR="0095566F" w:rsidP="0095566F" w:rsidRDefault="00774451" w14:paraId="77011123" w14:textId="77777777">
              <w:r w:rsidRPr="00D619CB">
                <w:t>Door een ander bestuursorgaan te laten oordelen in bezwaar, wordt in feite een vorm van administratief beroep ingevoerd. Het verschil tussen bezwaar en administratief beroep is weergegeven</w:t>
              </w:r>
              <w:r>
                <w:t xml:space="preserve"> in artikel 1:5 Awb: bij bezwaar wordt opnieuw besloten door hetzelfde bestuursorgaan, terwijl bij administratief beroep opnieuw wordt besloten door een ander – veelal ‘hoger’ – bestuursorgaan dan het bestuursorgaan dat het primaire besluit heeft genomen.</w:t>
              </w:r>
              <w:r>
                <w:rPr>
                  <w:rStyle w:val="Voetnootmarkering"/>
                </w:rPr>
                <w:footnoteReference w:id="16"/>
              </w:r>
              <w:r>
                <w:t xml:space="preserve"> Vanuit het beginsel van eenheid van het bestuurs(proces)recht, een belangrijke grondslag van de Awb,</w:t>
              </w:r>
              <w:r>
                <w:rPr>
                  <w:rStyle w:val="Voetnootmarkering"/>
                </w:rPr>
                <w:footnoteReference w:id="17"/>
              </w:r>
              <w:r>
                <w:t xml:space="preserve"> is het invoeren van nieuwe vormen van administratief beroep in beginsel onwenselijk.</w:t>
              </w:r>
              <w:r>
                <w:rPr>
                  <w:rStyle w:val="Voetnootmarkering"/>
                </w:rPr>
                <w:footnoteReference w:id="18"/>
              </w:r>
            </w:p>
            <w:p w:rsidR="0095566F" w:rsidP="0095566F" w:rsidRDefault="00E3588F" w14:paraId="7EFB6924" w14:textId="77777777"/>
            <w:p w:rsidR="0095566F" w:rsidP="0095566F" w:rsidRDefault="00774451" w14:paraId="0DFD8CFB" w14:textId="77777777">
              <w:r>
                <w:t xml:space="preserve">Gelet op deze problematiek beschrijft de Afdeling de volgende alternatieven. Het eerste alternatief ziet op het in stand laten van de huidige situatie, nu de huidige situatie naar het oordeel van de Afdeling voldoet aan de vereisten van de WAD-code. Het tweede en derde alternatief zien op wijzigingen van het huidige stelsel. </w:t>
              </w:r>
            </w:p>
            <w:p w:rsidR="00B60FBA" w:rsidP="0095566F" w:rsidRDefault="00E3588F" w14:paraId="5316393F" w14:textId="77777777"/>
            <w:p w:rsidR="0095566F" w:rsidP="0095566F" w:rsidRDefault="00774451" w14:paraId="169F0B58" w14:textId="77777777">
              <w:r w:rsidRPr="00A9561E">
                <w:t>a.</w:t>
              </w:r>
              <w:r w:rsidRPr="00A9561E">
                <w:tab/>
              </w:r>
              <w:r w:rsidRPr="00A9561E">
                <w:rPr>
                  <w:i/>
                  <w:iCs/>
                </w:rPr>
                <w:t xml:space="preserve">Bestaande </w:t>
              </w:r>
              <w:r>
                <w:rPr>
                  <w:i/>
                  <w:iCs/>
                </w:rPr>
                <w:t>institutionele vormgeving</w:t>
              </w:r>
            </w:p>
            <w:p w:rsidR="00C80338" w:rsidP="0095566F" w:rsidRDefault="00774451" w14:paraId="6E82E032" w14:textId="77777777">
              <w:r>
                <w:t xml:space="preserve">Het wetsvoorstel gaat uit van de premisse dat het huidige stelsel niet voldoet aan een operationeel en institutioneel onafhankelijk ‘hearing panel’ zoals vereist in de WAD-code. Aangezien de bezwaarschriftcommissie BND niet institutioneel onafhankelijk is </w:t>
              </w:r>
              <w:r>
                <w:lastRenderedPageBreak/>
                <w:t>van de Dopingautoriteit, wordt geconcludeerd dat de bestaande situatie niet verenigbaar is met de WAD-code.</w:t>
              </w:r>
              <w:r>
                <w:rPr>
                  <w:rStyle w:val="Voetnootmarkering"/>
                </w:rPr>
                <w:footnoteReference w:id="19"/>
              </w:r>
              <w:r>
                <w:t xml:space="preserve"> </w:t>
              </w:r>
            </w:p>
            <w:p w:rsidR="006E2210" w:rsidP="0095566F" w:rsidRDefault="00E3588F" w14:paraId="2DDFC4F8" w14:textId="77777777"/>
            <w:p w:rsidR="00B54AEC" w:rsidP="0095566F" w:rsidRDefault="00774451" w14:paraId="7C9419A9" w14:textId="77777777">
              <w:r>
                <w:t xml:space="preserve">De Afdeling merkt op dat het op zichzelf juist is dat de bezwaarprocedure zoals nu ingericht niet aan de genoemde onafhankelijkheidseisen voldoet. Bezwaar is immers in essentie een bestuurlijke heroverweging. De vervolgstap in de Awb-systematiek voorziet echter in beroep bij de bestuursrechter. Deze is in alle opzichten onafhankelijk van het bestuursorgaan dat het oorspronkelijke besluit heeft genomen. De vraag is dan ook gerechtvaardigd waarom de institutionele vormgeving van bezwaar én beroep in Nederland niet zou voldoen aan de vereisten van de WAD-code. De toelichting is zeer summier op dit punt. Een nadere toelichting is hier te meer van belang omdat het wetsvoorstel hier niet alleen afwijkt van de Awb, maar ook van het door de regering beleden uitgangspunt om terughoudend te zijn met de instelling van nieuwe zbo’s (zie hierna punt 4). </w:t>
              </w:r>
            </w:p>
            <w:p w:rsidR="00B54AEC" w:rsidP="0095566F" w:rsidRDefault="00E3588F" w14:paraId="58A951BE" w14:textId="77777777"/>
            <w:p w:rsidRPr="00C42F20" w:rsidR="0095566F" w:rsidP="0095566F" w:rsidRDefault="00774451" w14:paraId="72B1CED8" w14:textId="77777777">
              <w:pPr>
                <w:rPr>
                  <w:i/>
                  <w:iCs/>
                </w:rPr>
              </w:pPr>
              <w:r>
                <w:t xml:space="preserve">b. </w:t>
              </w:r>
              <w:r>
                <w:tab/>
              </w:r>
              <w:r w:rsidRPr="00C42F20">
                <w:rPr>
                  <w:i/>
                  <w:iCs/>
                </w:rPr>
                <w:t>Her</w:t>
              </w:r>
              <w:r>
                <w:rPr>
                  <w:i/>
                  <w:iCs/>
                </w:rPr>
                <w:t>bezinning hybride</w:t>
              </w:r>
              <w:r w:rsidRPr="00C42F20">
                <w:rPr>
                  <w:i/>
                  <w:iCs/>
                </w:rPr>
                <w:t xml:space="preserve"> stelsel</w:t>
              </w:r>
            </w:p>
            <w:p w:rsidR="0095566F" w:rsidP="0095566F" w:rsidRDefault="00774451" w14:paraId="2A593918" w14:textId="77777777">
              <w:r>
                <w:t>De spanning tussen de toepasselijke privaatrechtelijke en publiekrechtelijke kaders kan worden opgelost door te kiezen voor een volledig privaatrechtelijke regeling. Hoewel de terugkeer naar een volledig privaatrechtelijke regeling organisatorisch complex is,</w:t>
              </w:r>
              <w:r>
                <w:rPr>
                  <w:rStyle w:val="Voetnootmarkering"/>
                </w:rPr>
                <w:footnoteReference w:id="20"/>
              </w:r>
              <w:r>
                <w:t xml:space="preserve"> wordt op deze wijze wel aangesloten bij het privaatrechtelijke karakter van de dopingregels en van het ‘sportrecht’ in den brede. Deze situatie bestond ook al voor de invoering van de Wuab in 2019.</w:t>
              </w:r>
              <w:r>
                <w:rPr>
                  <w:rStyle w:val="Voetnootmarkering"/>
                </w:rPr>
                <w:footnoteReference w:id="21"/>
              </w:r>
              <w:r>
                <w:t xml:space="preserve"> </w:t>
              </w:r>
            </w:p>
            <w:p w:rsidR="0095566F" w:rsidP="0095566F" w:rsidRDefault="00E3588F" w14:paraId="3BF014AD" w14:textId="77777777"/>
            <w:p w:rsidR="0095566F" w:rsidP="0095566F" w:rsidRDefault="00774451" w14:paraId="04560B37" w14:textId="77777777">
              <w:r>
                <w:t>In reactie op een eerder advies van de Afdeling om een duidelijke keuze te maken tussen een privaatrechtelijke of een publiekrechtelijke regeling, wees de regering een volledig privaatrechtelijke regeling van de hand.</w:t>
              </w:r>
              <w:r>
                <w:rPr>
                  <w:rStyle w:val="Voetnootmarkering"/>
                </w:rPr>
                <w:footnoteReference w:id="22"/>
              </w:r>
              <w:r>
                <w:t xml:space="preserve"> Als grondslag voor de verwerking van persoonsgegevens achtte zij een wettelijke regeling van taken en bevoegdheden noodzakelijk. Andersom achtte de regering een volwaardig publiek stelsel evenmin opportuun. Dat zou betekenen dat het huidige privaatrechtelijke dopingregime volledig in het publiekrecht wordt getrokken en ook het tuchtrechtsysteem zou komen te vervallen. Dit was volgens de regering niet in lijn met het uitgangspunt dat de sportwereld ‘primair verantwoordelijk’ is voor de dopingaanpak en de overheid faciliterend optreedt.</w:t>
              </w:r>
              <w:r>
                <w:rPr>
                  <w:rStyle w:val="Voetnootmarkering"/>
                </w:rPr>
                <w:footnoteReference w:id="23"/>
              </w:r>
            </w:p>
            <w:p w:rsidR="0095566F" w:rsidP="0095566F" w:rsidRDefault="00E3588F" w14:paraId="73F8F2B4" w14:textId="77777777"/>
            <w:p w:rsidR="0095566F" w:rsidP="0095566F" w:rsidRDefault="00774451" w14:paraId="3083C64C" w14:textId="77777777">
              <w:r>
                <w:t xml:space="preserve">Indien de regering aan deze lijn vasthoudt, blijft het systeem hinken op twee gedachten. Betwijfeld mag worden of met marginale aanpassingen aan dit hybride systeem een einde kan worden gemaakt aan de in de toelichting genoemde ‘verwarring’ en ‘onduidelijkheid’. </w:t>
              </w:r>
            </w:p>
            <w:p w:rsidR="0095566F" w:rsidP="0095566F" w:rsidRDefault="00E3588F" w14:paraId="4A5B2275" w14:textId="77777777"/>
            <w:p w:rsidRPr="00C42F20" w:rsidR="0095566F" w:rsidP="0095566F" w:rsidRDefault="00774451" w14:paraId="2545BBF8" w14:textId="77777777">
              <w:pPr>
                <w:rPr>
                  <w:i/>
                  <w:iCs/>
                </w:rPr>
              </w:pPr>
              <w:r>
                <w:t xml:space="preserve">c. </w:t>
              </w:r>
              <w:r>
                <w:tab/>
              </w:r>
              <w:r w:rsidRPr="00C42F20">
                <w:rPr>
                  <w:i/>
                  <w:iCs/>
                </w:rPr>
                <w:t>Aanpassing binnen bestaande stelsel</w:t>
              </w:r>
            </w:p>
            <w:p w:rsidR="005022F2" w:rsidP="005022F2" w:rsidRDefault="00774451" w14:paraId="7F48EE49" w14:textId="77777777">
              <w:r>
                <w:t xml:space="preserve">Indien een meer fundamentele herbezinning van het stelsel niet haalbaar blijkt, moet binnen de huidige regeling naar een juridisch passende oplossing worden gezocht. De Afdeling wijst er in dit verband op dat de toelichting geen aandacht besteedt aan de mogelijkheid om de doping-gerelateerde besluiten op de ‘negatieve lijst’ van de Awb te </w:t>
              </w:r>
              <w:r>
                <w:lastRenderedPageBreak/>
                <w:t>plaatsen.</w:t>
              </w:r>
              <w:r>
                <w:rPr>
                  <w:rStyle w:val="Voetnootmarkering"/>
                </w:rPr>
                <w:footnoteReference w:id="24"/>
              </w:r>
              <w:r>
                <w:t xml:space="preserve"> Op die wijze staat tegen deze besluiten geen beroep open bij de bestuursrechter. Dit impliceert ook dat er geen bestuursrechtelijk bezwaar tegen kan worden gemaakt. Dit betekent dat de bezwaarprocedure van de Awb niet van toepassing is en beoordeling van een bezwaar kan worden neergelegd bij een instantie die operationeel en institutioneel onafhankelijk is van de Dopingautoriteit, zoals de WAD-code vereist.</w:t>
              </w:r>
              <w:r>
                <w:rPr>
                  <w:rStyle w:val="Voetnootmarkering"/>
                </w:rPr>
                <w:footnoteReference w:id="25"/>
              </w:r>
              <w:r>
                <w:t xml:space="preserve"> Overigens laat dit onverlet dat vervolgens de weg open staat naar de burgerlijke rechter als ‘restrechter’.</w:t>
              </w:r>
            </w:p>
            <w:p w:rsidR="0095566F" w:rsidP="0095566F" w:rsidRDefault="00E3588F" w14:paraId="2BEA5484" w14:textId="77777777"/>
            <w:p w:rsidR="009F7561" w:rsidRDefault="00774451" w14:paraId="57B9184E" w14:textId="77777777">
              <w:r>
                <w:t>De negatieve lijst kan in voorkomend geval een uitkomst bieden bij besluiten die zijn ingebed in niet-bestuursrechtelijke verhoudingen, dan wel lijken op beslissingen of handelingen waarover gewoonlijk een andere rechter dan de bestuursrechter oordeelt.</w:t>
              </w:r>
              <w:r>
                <w:rPr>
                  <w:rStyle w:val="Voetnootmarkering"/>
                </w:rPr>
                <w:footnoteReference w:id="26"/>
              </w:r>
              <w:r>
                <w:t xml:space="preserve"> Vanuit het oogpunt van eenheid van wetgeving dient terughoudend te worden omgegaan met een dergelijke afwijking. Tegelijkertijd voorziet de Awb in deze mogelijkheid waar in bijzondere gevallen, en met redenen omkleed, gebruik van kan worden gemaakt. </w:t>
              </w:r>
            </w:p>
            <w:p w:rsidR="009F7561" w:rsidRDefault="00E3588F" w14:paraId="72E645B2" w14:textId="77777777"/>
            <w:p w:rsidR="00451B2F" w:rsidP="00451B2F" w:rsidRDefault="00774451" w14:paraId="070CA3F2" w14:textId="77777777">
              <w:r>
                <w:t>Uit het voorgaande volgt dat de Afdeling geen noodzaak ziet om een zbo in te stellen. Desalniettemin merkt de Afdeling het volgende op ten aanzien van het voorstel van de regering om een zbo in te stellen.</w:t>
              </w:r>
            </w:p>
            <w:p w:rsidR="00451B2F" w:rsidP="0095566F" w:rsidRDefault="00E3588F" w14:paraId="0AFA2C25" w14:textId="77777777"/>
            <w:p w:rsidR="0095566F" w:rsidP="0095566F" w:rsidRDefault="00774451" w14:paraId="3A7C47E1" w14:textId="77777777">
              <w:pPr>
                <w:rPr>
                  <w:u w:val="single"/>
                </w:rPr>
              </w:pPr>
              <w:r>
                <w:t>4.</w:t>
              </w:r>
              <w:r>
                <w:tab/>
              </w:r>
              <w:r>
                <w:rPr>
                  <w:u w:val="single"/>
                </w:rPr>
                <w:t>Instelling zbo</w:t>
              </w:r>
            </w:p>
            <w:p w:rsidR="0095566F" w:rsidP="0095566F" w:rsidRDefault="00E3588F" w14:paraId="4CDE64AB" w14:textId="77777777">
              <w:pPr>
                <w:rPr>
                  <w:u w:val="single"/>
                </w:rPr>
              </w:pPr>
            </w:p>
            <w:p w:rsidR="0095566F" w:rsidP="0095566F" w:rsidRDefault="00774451" w14:paraId="0AC8DD79" w14:textId="77777777">
              <w:r>
                <w:t>Het wetsvoorstel voorziet in de instelling van een Beoordelingscommissie dopingzaken als publiekrechtelijk zbo.</w:t>
              </w:r>
              <w:r>
                <w:rPr>
                  <w:rStyle w:val="Voetnootmarkering"/>
                </w:rPr>
                <w:footnoteReference w:id="27"/>
              </w:r>
              <w:r>
                <w:t xml:space="preserve"> Zbo’s</w:t>
              </w:r>
              <w:r w:rsidRPr="008F2876">
                <w:t xml:space="preserve"> hebben als belangrijkste kenmerk dat zij niet onder volledige politieke verantwoordelijkheid werkzaam zijn.</w:t>
              </w:r>
              <w:r>
                <w:t xml:space="preserve"> </w:t>
              </w:r>
              <w:r w:rsidRPr="008F2876">
                <w:t xml:space="preserve">Daarmee vormen zij onderdelen van het openbaar bestuur waarop geen volledige </w:t>
              </w:r>
              <w:r>
                <w:t xml:space="preserve">democratische </w:t>
              </w:r>
              <w:r w:rsidRPr="008F2876">
                <w:t>controle bestaat.</w:t>
              </w:r>
              <w:r>
                <w:rPr>
                  <w:rStyle w:val="Voetnootmarkering"/>
                </w:rPr>
                <w:footnoteReference w:id="28"/>
              </w:r>
              <w:r w:rsidRPr="008F2876">
                <w:t xml:space="preserve"> </w:t>
              </w:r>
              <w:r>
                <w:t xml:space="preserve">Het is regeringsbeleid om </w:t>
              </w:r>
              <w:r w:rsidRPr="005E42EB">
                <w:t>terughoudend te zijn met de wettelijke instelling van nieuwe onafhankelijke instanties.</w:t>
              </w:r>
              <w:r w:rsidRPr="006765F6">
                <w:rPr>
                  <w:vertAlign w:val="superscript"/>
                </w:rPr>
                <w:footnoteReference w:id="29"/>
              </w:r>
              <w:r>
                <w:t xml:space="preserve"> Het</w:t>
              </w:r>
              <w:r w:rsidRPr="008F2876">
                <w:t xml:space="preserve"> gebruik van zbo</w:t>
              </w:r>
              <w:r>
                <w:t>’</w:t>
              </w:r>
              <w:r w:rsidRPr="008F2876">
                <w:t xml:space="preserve">s </w:t>
              </w:r>
              <w:r>
                <w:t xml:space="preserve">behoeft daarom </w:t>
              </w:r>
              <w:r w:rsidRPr="008F2876">
                <w:t>afzonderlijke motivering.</w:t>
              </w:r>
              <w:r>
                <w:t xml:space="preserve"> De Afdeling merkt hierover het volgende op. </w:t>
              </w:r>
            </w:p>
            <w:p w:rsidR="0095566F" w:rsidP="0095566F" w:rsidRDefault="00E3588F" w14:paraId="56E52D44" w14:textId="77777777"/>
            <w:p w:rsidRPr="0095566F" w:rsidR="0095566F" w:rsidP="0095566F" w:rsidRDefault="00774451" w14:paraId="31068064" w14:textId="77777777">
              <w:pPr>
                <w:rPr>
                  <w:i/>
                  <w:iCs/>
                </w:rPr>
              </w:pPr>
              <w:r>
                <w:t xml:space="preserve">a. </w:t>
              </w:r>
              <w:r>
                <w:tab/>
              </w:r>
              <w:r>
                <w:rPr>
                  <w:i/>
                  <w:iCs/>
                </w:rPr>
                <w:t>Alternatieven</w:t>
              </w:r>
            </w:p>
            <w:p w:rsidR="0095566F" w:rsidP="0095566F" w:rsidRDefault="00774451" w14:paraId="61784B60" w14:textId="77777777">
              <w:pPr>
                <w:rPr>
                  <w:szCs w:val="22"/>
                </w:rPr>
              </w:pPr>
              <w:r>
                <w:rPr>
                  <w:szCs w:val="22"/>
                </w:rPr>
                <w:t>In het licht van de inperking van de ministeriële verantwoordelijkheid en daarmee van de democratische controle acht de Afdeling het geboden dat de regering zich houdt aan de beleden terughoudendheid tot het instellen van nieuwe zbo’s. Dit betekent dat een grondige afweging en een zorgvuldige motivering van de voors en tegens van de instelling van een nieuw zbo noodzakelijk zijn. Daarbij dienen ook nadrukkelijk andere opties te worden afgewogen.</w:t>
              </w:r>
            </w:p>
            <w:p w:rsidR="0095566F" w:rsidP="0095566F" w:rsidRDefault="00E3588F" w14:paraId="5EF093EA" w14:textId="77777777">
              <w:pPr>
                <w:rPr>
                  <w:szCs w:val="22"/>
                </w:rPr>
              </w:pPr>
            </w:p>
            <w:p w:rsidR="0095566F" w:rsidP="0095566F" w:rsidRDefault="00774451" w14:paraId="4E676361" w14:textId="77777777">
              <w:pPr>
                <w:rPr>
                  <w:szCs w:val="22"/>
                </w:rPr>
              </w:pPr>
              <w:r>
                <w:rPr>
                  <w:szCs w:val="22"/>
                </w:rPr>
                <w:t>De toelichting beschrijft dat is overwogen om de betreffende wettelijke taken toe te kennen aan een rechtspersoon niet zijnde een zbo (zoals een stichting, vereniging of bedrijf).</w:t>
              </w:r>
              <w:r>
                <w:rPr>
                  <w:rStyle w:val="Voetnootmarkering"/>
                  <w:szCs w:val="22"/>
                </w:rPr>
                <w:footnoteReference w:id="30"/>
              </w:r>
              <w:r>
                <w:rPr>
                  <w:szCs w:val="22"/>
                </w:rPr>
                <w:t xml:space="preserve"> Daarvoor is niet gekozen, omdat er niet zonder meer een bestaande rechtspersoon zou zijn waarbij de betreffende taken snel en logisch kunnen worden neergelegd.</w:t>
              </w:r>
            </w:p>
            <w:p w:rsidR="00AF0E4A" w:rsidP="0095566F" w:rsidRDefault="00E3588F" w14:paraId="6F5C653D" w14:textId="77777777">
              <w:pPr>
                <w:rPr>
                  <w:szCs w:val="22"/>
                </w:rPr>
              </w:pPr>
            </w:p>
            <w:p w:rsidR="0095566F" w:rsidP="00AF0E4A" w:rsidRDefault="00774451" w14:paraId="46A4CFAB" w14:textId="77777777">
              <w:pPr>
                <w:rPr>
                  <w:szCs w:val="22"/>
                </w:rPr>
              </w:pPr>
              <w:r w:rsidRPr="00AF0E4A">
                <w:rPr>
                  <w:szCs w:val="22"/>
                </w:rPr>
                <w:t xml:space="preserve">De Afdeling acht deze afweging van alternatieven </w:t>
              </w:r>
              <w:r>
                <w:rPr>
                  <w:szCs w:val="22"/>
                </w:rPr>
                <w:t>–</w:t>
              </w:r>
              <w:r w:rsidRPr="00AF0E4A">
                <w:rPr>
                  <w:szCs w:val="22"/>
                </w:rPr>
                <w:t xml:space="preserve"> onverminderd hetgeen onder punt 3 is betoogd inzake de toepasselijkheid van de Awb </w:t>
              </w:r>
              <w:r>
                <w:rPr>
                  <w:szCs w:val="22"/>
                </w:rPr>
                <w:t>–</w:t>
              </w:r>
              <w:r w:rsidRPr="00AF0E4A">
                <w:rPr>
                  <w:szCs w:val="22"/>
                </w:rPr>
                <w:t xml:space="preserve"> te summier.</w:t>
              </w:r>
              <w:r>
                <w:rPr>
                  <w:szCs w:val="22"/>
                </w:rPr>
                <w:t xml:space="preserve"> Zonder dat diverse opties grondig zijn uitgewerkt, luidt de slotsom dat een zbo moet worden ingesteld. </w:t>
              </w:r>
              <w:r w:rsidRPr="005D12A4">
                <w:rPr>
                  <w:szCs w:val="22"/>
                </w:rPr>
                <w:t>De toelichting besteedt bijvoorbeeld geen aandacht aan bestaande arrangementen op het terrein van tuchtrechtspraak en arbitrage in de sport.</w:t>
              </w:r>
              <w:r>
                <w:rPr>
                  <w:szCs w:val="22"/>
                </w:rPr>
                <w:t xml:space="preserve"> Evenmin is uiteengezet of deze taak bij een bestaand bestuursorgaan kan worden ondergebracht.</w:t>
              </w:r>
            </w:p>
            <w:p w:rsidR="0095566F" w:rsidP="0095566F" w:rsidRDefault="00E3588F" w14:paraId="3BBFAC5C" w14:textId="77777777">
              <w:pPr>
                <w:rPr>
                  <w:szCs w:val="22"/>
                </w:rPr>
              </w:pPr>
            </w:p>
            <w:p w:rsidR="00264C24" w:rsidRDefault="00774451" w14:paraId="43442C13" w14:textId="77777777">
              <w:pPr>
                <w:rPr>
                  <w:szCs w:val="22"/>
                </w:rPr>
              </w:pPr>
              <w:r>
                <w:rPr>
                  <w:szCs w:val="22"/>
                </w:rPr>
                <w:br w:type="page"/>
              </w:r>
            </w:p>
            <w:p w:rsidRPr="006929EE" w:rsidR="0095566F" w:rsidP="0095566F" w:rsidRDefault="00774451" w14:paraId="295BA8E6" w14:textId="77777777">
              <w:pPr>
                <w:rPr>
                  <w:i/>
                  <w:iCs/>
                  <w:szCs w:val="22"/>
                </w:rPr>
              </w:pPr>
              <w:r>
                <w:rPr>
                  <w:szCs w:val="22"/>
                </w:rPr>
                <w:lastRenderedPageBreak/>
                <w:t xml:space="preserve">b. </w:t>
              </w:r>
              <w:r>
                <w:rPr>
                  <w:szCs w:val="22"/>
                </w:rPr>
                <w:tab/>
              </w:r>
              <w:r w:rsidRPr="000F7E0F">
                <w:rPr>
                  <w:i/>
                  <w:iCs/>
                  <w:szCs w:val="22"/>
                </w:rPr>
                <w:t>Verwerking persoonsgegevens</w:t>
              </w:r>
            </w:p>
            <w:p w:rsidR="0095566F" w:rsidP="0095566F" w:rsidRDefault="00774451" w14:paraId="3C6B4AC9" w14:textId="77777777">
              <w:pPr>
                <w:rPr>
                  <w:szCs w:val="22"/>
                </w:rPr>
              </w:pPr>
              <w:r>
                <w:rPr>
                  <w:szCs w:val="22"/>
                </w:rPr>
                <w:t>Het instellen van een zbo is volgens de toelichting voorts noodzakelijk om een grondslag te creëren voor de verwerking van persoonsgegevens die gepaard gaat met de taken van de beoordelingscommissie.</w:t>
              </w:r>
              <w:r>
                <w:rPr>
                  <w:rStyle w:val="Voetnootmarkering"/>
                  <w:szCs w:val="22"/>
                </w:rPr>
                <w:footnoteReference w:id="31"/>
              </w:r>
              <w:r>
                <w:rPr>
                  <w:szCs w:val="22"/>
                </w:rPr>
                <w:t xml:space="preserve"> Volgens de toelichting kunnen sporters in dit kader niet vrijelijk toestemming geven voor hun gegevensverwerking, of daarvoor vrijelijk een overeenkomst afsluiten. Daarvoor zouden de beslissingen van de Beoordelingscommissie dopingzaken teveel invloed hebben op de belangen van de sporters. De toelichting verwijst hierbij ook naar de reden om de Dopingautoriteit in te stellen als zbo: daar bestond om dezelfde redenen de noodzaak om een grondslag voor de gegevensverwerking te creëren.</w:t>
              </w:r>
            </w:p>
            <w:p w:rsidR="0095566F" w:rsidP="0095566F" w:rsidRDefault="00E3588F" w14:paraId="7B20C294" w14:textId="77777777">
              <w:pPr>
                <w:rPr>
                  <w:szCs w:val="22"/>
                </w:rPr>
              </w:pPr>
            </w:p>
            <w:p w:rsidRPr="00F84EF1" w:rsidR="0095566F" w:rsidP="0095566F" w:rsidRDefault="00774451" w14:paraId="32D5A57F" w14:textId="77777777">
              <w:pPr>
                <w:rPr>
                  <w:szCs w:val="22"/>
                </w:rPr>
              </w:pPr>
              <w:r w:rsidRPr="00DE339C">
                <w:rPr>
                  <w:szCs w:val="22"/>
                </w:rPr>
                <w:t xml:space="preserve">In haar advies over de Wuab merkte de Afdeling op dat </w:t>
              </w:r>
              <w:r>
                <w:rPr>
                  <w:szCs w:val="22"/>
                </w:rPr>
                <w:t>er</w:t>
              </w:r>
              <w:r w:rsidRPr="00DE339C">
                <w:rPr>
                  <w:szCs w:val="22"/>
                </w:rPr>
                <w:t xml:space="preserve"> andere grondslagen voor gegevensverwerking bestaan dan toestemming</w:t>
              </w:r>
              <w:r>
                <w:rPr>
                  <w:szCs w:val="22"/>
                </w:rPr>
                <w:t xml:space="preserve"> </w:t>
              </w:r>
              <w:r w:rsidRPr="00DE339C">
                <w:rPr>
                  <w:szCs w:val="22"/>
                </w:rPr>
                <w:t>of de uitoefening van een publiekrechtelijke taak.</w:t>
              </w:r>
              <w:r>
                <w:rPr>
                  <w:rStyle w:val="Voetnootmarkering"/>
                  <w:szCs w:val="22"/>
                </w:rPr>
                <w:footnoteReference w:id="32"/>
              </w:r>
              <w:r w:rsidRPr="00DE339C">
                <w:rPr>
                  <w:szCs w:val="22"/>
                </w:rPr>
                <w:t xml:space="preserve"> </w:t>
              </w:r>
              <w:r>
                <w:rPr>
                  <w:szCs w:val="22"/>
                </w:rPr>
                <w:t>Zo mogen persoonsgegevens ook</w:t>
              </w:r>
              <w:r w:rsidRPr="00DE339C">
                <w:rPr>
                  <w:szCs w:val="22"/>
                </w:rPr>
                <w:t xml:space="preserve"> </w:t>
              </w:r>
              <w:r>
                <w:rPr>
                  <w:szCs w:val="22"/>
                </w:rPr>
                <w:t xml:space="preserve">worden </w:t>
              </w:r>
              <w:r w:rsidRPr="00DE339C">
                <w:rPr>
                  <w:szCs w:val="22"/>
                </w:rPr>
                <w:t>verwerkt indien dit noodzakelijk is ter behartiging van een gerechtvaardigd belang.</w:t>
              </w:r>
              <w:r>
                <w:rPr>
                  <w:rStyle w:val="Voetnootmarkering"/>
                  <w:szCs w:val="22"/>
                </w:rPr>
                <w:footnoteReference w:id="33"/>
              </w:r>
              <w:r w:rsidRPr="00DE339C">
                <w:rPr>
                  <w:szCs w:val="22"/>
                </w:rPr>
                <w:t xml:space="preserve"> De toelichting noemt deze grondslag niet. Zonder nadere motivering is het de Afdeling niet duidelijk waarom de regering de uitoefening van een publiekrechtelijke taak als enig mogelijke grondslag voor gegevensverwerking ziet.</w:t>
              </w:r>
            </w:p>
            <w:p w:rsidR="0095566F" w:rsidP="0095566F" w:rsidRDefault="00E3588F" w14:paraId="493ACB2F" w14:textId="77777777"/>
            <w:p w:rsidRPr="00381B15" w:rsidR="0095566F" w:rsidP="0095566F" w:rsidRDefault="00774451" w14:paraId="6F919FF1" w14:textId="77777777">
              <w:pPr>
                <w:rPr>
                  <w:i/>
                  <w:iCs/>
                </w:rPr>
              </w:pPr>
              <w:r>
                <w:t>c.</w:t>
              </w:r>
              <w:r>
                <w:tab/>
              </w:r>
              <w:r>
                <w:rPr>
                  <w:i/>
                  <w:iCs/>
                </w:rPr>
                <w:t>Conclusie</w:t>
              </w:r>
            </w:p>
            <w:p w:rsidR="0031089B" w:rsidP="0095566F" w:rsidRDefault="00774451" w14:paraId="40B1C089" w14:textId="77777777">
              <w:r>
                <w:t>Indien de regering ervoor zou blijven kiezen om een zbo in te stellen ondanks de eerder genoemde bezwaren van de Afdeling tegen dit wetsvoorstel als zodanig (zie punt 3), adviseert de Afdeling om de noodzaak hiervan in de toelichting grondig en expliciet af te wegen. Deze afweging dient alsnog te worden voorzien van een dragende motivering. In dat kader zou dan ook nader moeten worden ingegaan op de argumenten voor en tegen alternatieve arrangementen, als eerder onder punt 3 genoemd.</w:t>
              </w:r>
            </w:p>
          </w:sdtContent>
        </w:sdt>
        <w:p w:rsidR="003A1FC7" w:rsidRDefault="003A1FC7" w14:paraId="7E341577" w14:textId="77777777"/>
        <w:sdt>
          <w:sdtPr>
            <w:alias w:val="Dictum"/>
            <w:tag w:val="Dictum"/>
            <w:id w:val="1621489950"/>
            <w:lock w:val="sdtContentLocked"/>
            <w:placeholder>
              <w:docPart w:val="DefaultPlaceholder_1082065158"/>
            </w:placeholder>
            <w:text w:multiLine="1"/>
          </w:sdtPr>
          <w:sdtEndPr/>
          <w:sdtContent>
            <w:p w:rsidR="00494AA1" w:rsidRDefault="00774451" w14:paraId="2F28844C" w14:textId="7DDD555E">
              <w:r>
                <w:t>De Afdeling advisering van de Raad van State heeft ernstige bezwaren tegen het voorstel en adviseert het niet bij de Tweede Kamer der Staten-Generaal in te dienen.</w:t>
              </w:r>
              <w:r>
                <w:br/>
              </w:r>
              <w:r>
                <w:br/>
              </w:r>
              <w:r>
                <w:br/>
                <w:t>De waarnemend vice-president van de Raad van State,</w:t>
              </w:r>
            </w:p>
          </w:sdtContent>
        </w:sdt>
      </w:sdtContent>
    </w:sdt>
    <w:sectPr w:rsidR="00494AA1"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6CB52" w14:textId="77777777" w:rsidR="00847094" w:rsidRDefault="00774451" w:rsidP="005B3E03">
      <w:r>
        <w:separator/>
      </w:r>
    </w:p>
    <w:p w14:paraId="0832B4ED" w14:textId="77777777" w:rsidR="002D0ACF" w:rsidRDefault="00E3588F"/>
  </w:endnote>
  <w:endnote w:type="continuationSeparator" w:id="0">
    <w:p w14:paraId="4E701FF9" w14:textId="77777777" w:rsidR="00847094" w:rsidRDefault="00774451" w:rsidP="005B3E03">
      <w:r>
        <w:continuationSeparator/>
      </w:r>
    </w:p>
    <w:p w14:paraId="3E877161" w14:textId="77777777" w:rsidR="002D0ACF" w:rsidRDefault="00E35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8AF33"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EFFB072" wp14:editId="5220D104">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66E5C"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FFB072"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1CA66E5C"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65754" w14:textId="77777777" w:rsidR="00847094" w:rsidRDefault="00774451" w:rsidP="005B3E03">
      <w:r>
        <w:separator/>
      </w:r>
    </w:p>
    <w:p w14:paraId="02F10F8E" w14:textId="77777777" w:rsidR="002D0ACF" w:rsidRDefault="00E3588F"/>
  </w:footnote>
  <w:footnote w:type="continuationSeparator" w:id="0">
    <w:p w14:paraId="79C4D033" w14:textId="77777777" w:rsidR="00847094" w:rsidRDefault="00774451" w:rsidP="005B3E03">
      <w:r>
        <w:continuationSeparator/>
      </w:r>
    </w:p>
    <w:p w14:paraId="0E742EBD" w14:textId="77777777" w:rsidR="002D0ACF" w:rsidRDefault="00E3588F"/>
  </w:footnote>
  <w:footnote w:id="1">
    <w:p w14:paraId="4FFF6ADB" w14:textId="77777777" w:rsidR="0095566F" w:rsidRDefault="00774451" w:rsidP="0095566F">
      <w:pPr>
        <w:pStyle w:val="Voetnoottekst"/>
      </w:pPr>
      <w:r w:rsidRPr="00B423D9">
        <w:rPr>
          <w:rStyle w:val="Voetnootmarkering"/>
        </w:rPr>
        <w:footnoteRef/>
      </w:r>
      <w:r w:rsidRPr="00B423D9">
        <w:t xml:space="preserve"> </w:t>
      </w:r>
      <w:r w:rsidRPr="00B423D9">
        <w:tab/>
      </w:r>
      <w:r>
        <w:t>A</w:t>
      </w:r>
      <w:r w:rsidRPr="00B423D9">
        <w:t xml:space="preserve">rtikel 5 </w:t>
      </w:r>
      <w:r>
        <w:t xml:space="preserve">en 6 </w:t>
      </w:r>
      <w:r w:rsidRPr="00B423D9">
        <w:t>van de Wuab.</w:t>
      </w:r>
    </w:p>
  </w:footnote>
  <w:footnote w:id="2">
    <w:p w14:paraId="14B33CB0" w14:textId="77777777" w:rsidR="0095566F" w:rsidRDefault="00774451" w:rsidP="0095566F">
      <w:pPr>
        <w:pStyle w:val="Voetnoottekst"/>
      </w:pPr>
      <w:r>
        <w:rPr>
          <w:rStyle w:val="Voetnootmarkering"/>
        </w:rPr>
        <w:footnoteRef/>
      </w:r>
      <w:r>
        <w:t xml:space="preserve"> </w:t>
      </w:r>
      <w:r>
        <w:tab/>
      </w:r>
      <w:r w:rsidRPr="003E2E5D">
        <w:t>Kamer</w:t>
      </w:r>
      <w:r>
        <w:t>stukken II</w:t>
      </w:r>
      <w:r w:rsidRPr="003E2E5D">
        <w:t xml:space="preserve"> 2015</w:t>
      </w:r>
      <w:r>
        <w:t>/</w:t>
      </w:r>
      <w:r w:rsidRPr="003E2E5D">
        <w:t>16, 34543, nr. 3</w:t>
      </w:r>
      <w:r>
        <w:t>, paragraaf 4.1.</w:t>
      </w:r>
    </w:p>
  </w:footnote>
  <w:footnote w:id="3">
    <w:p w14:paraId="3B2BD958" w14:textId="77777777" w:rsidR="0095566F" w:rsidRDefault="00774451" w:rsidP="0095566F">
      <w:pPr>
        <w:pStyle w:val="Voetnoottekst"/>
      </w:pPr>
      <w:r>
        <w:rPr>
          <w:rStyle w:val="Voetnootmarkering"/>
        </w:rPr>
        <w:footnoteRef/>
      </w:r>
      <w:r>
        <w:t xml:space="preserve"> </w:t>
      </w:r>
      <w:r>
        <w:tab/>
        <w:t>A</w:t>
      </w:r>
      <w:r w:rsidRPr="008448A7">
        <w:t>rtikel 23.2 van de WAD-code</w:t>
      </w:r>
      <w:r>
        <w:t>.</w:t>
      </w:r>
    </w:p>
  </w:footnote>
  <w:footnote w:id="4">
    <w:p w14:paraId="1C3DE1A8" w14:textId="77777777" w:rsidR="0095566F" w:rsidRDefault="00774451" w:rsidP="0095566F">
      <w:pPr>
        <w:pStyle w:val="Voetnoottekst"/>
      </w:pPr>
      <w:r>
        <w:rPr>
          <w:rStyle w:val="Voetnootmarkering"/>
        </w:rPr>
        <w:footnoteRef/>
      </w:r>
      <w:r>
        <w:t xml:space="preserve"> </w:t>
      </w:r>
      <w:r>
        <w:tab/>
      </w:r>
      <w:r w:rsidRPr="00892494">
        <w:t xml:space="preserve">Hoofdstuk 6. </w:t>
      </w:r>
      <w:r>
        <w:t>‘</w:t>
      </w:r>
      <w:r w:rsidRPr="00892494">
        <w:t>Algemene bepalingen over bezwaar en beroep</w:t>
      </w:r>
      <w:r>
        <w:t>’ van de Awb.</w:t>
      </w:r>
    </w:p>
  </w:footnote>
  <w:footnote w:id="5">
    <w:p w14:paraId="0D06B7F6" w14:textId="77777777" w:rsidR="0095566F" w:rsidRDefault="00774451" w:rsidP="0095566F">
      <w:pPr>
        <w:pStyle w:val="Voetnoottekst"/>
      </w:pPr>
      <w:r>
        <w:rPr>
          <w:rStyle w:val="Voetnootmarkering"/>
        </w:rPr>
        <w:footnoteRef/>
      </w:r>
      <w:r>
        <w:t xml:space="preserve"> </w:t>
      </w:r>
      <w:r>
        <w:tab/>
        <w:t>A</w:t>
      </w:r>
      <w:r w:rsidRPr="008448A7">
        <w:t xml:space="preserve">rtikel </w:t>
      </w:r>
      <w:r>
        <w:t>13.2.2</w:t>
      </w:r>
      <w:r w:rsidRPr="008448A7">
        <w:t xml:space="preserve"> van de WAD-code</w:t>
      </w:r>
      <w:r>
        <w:t>.</w:t>
      </w:r>
    </w:p>
  </w:footnote>
  <w:footnote w:id="6">
    <w:p w14:paraId="55CC083F" w14:textId="77777777" w:rsidR="0095566F" w:rsidRDefault="00774451" w:rsidP="0095566F">
      <w:pPr>
        <w:pStyle w:val="Voetnoottekst"/>
      </w:pPr>
      <w:r>
        <w:rPr>
          <w:rStyle w:val="Voetnootmarkering"/>
        </w:rPr>
        <w:footnoteRef/>
      </w:r>
      <w:r>
        <w:t xml:space="preserve"> </w:t>
      </w:r>
      <w:r>
        <w:tab/>
      </w:r>
      <w:r w:rsidRPr="00DE339C">
        <w:t>Kamerstukken II 2015/16, 34543, nr. 3, p. 12-13.</w:t>
      </w:r>
    </w:p>
  </w:footnote>
  <w:footnote w:id="7">
    <w:p w14:paraId="0F65355A" w14:textId="77777777" w:rsidR="0095566F" w:rsidRDefault="00774451" w:rsidP="0095566F">
      <w:pPr>
        <w:pStyle w:val="Voetnoottekst"/>
      </w:pPr>
      <w:r>
        <w:rPr>
          <w:rStyle w:val="Voetnootmarkering"/>
        </w:rPr>
        <w:footnoteRef/>
      </w:r>
      <w:r>
        <w:t xml:space="preserve"> </w:t>
      </w:r>
      <w:r>
        <w:tab/>
        <w:t>Memorie van toelichting, paragraaf 2.2, ‘</w:t>
      </w:r>
      <w:r w:rsidRPr="002F60BE">
        <w:t>Het privaatrechtelijke karakter van beslissingen van de Dopingautoriteit</w:t>
      </w:r>
      <w:r>
        <w:t>’.</w:t>
      </w:r>
    </w:p>
  </w:footnote>
  <w:footnote w:id="8">
    <w:p w14:paraId="38BC76B7" w14:textId="77777777" w:rsidR="0095566F" w:rsidRDefault="00774451" w:rsidP="0095566F">
      <w:pPr>
        <w:pStyle w:val="Voetnoottekst"/>
      </w:pPr>
      <w:r>
        <w:rPr>
          <w:rStyle w:val="Voetnootmarkering"/>
        </w:rPr>
        <w:footnoteRef/>
      </w:r>
      <w:r>
        <w:t xml:space="preserve"> </w:t>
      </w:r>
      <w:r>
        <w:tab/>
        <w:t>Memorie van toelichting, paragraaf 6, ‘</w:t>
      </w:r>
      <w:r w:rsidRPr="002F60BE">
        <w:t>Rechtvaardiging oprichting nieuwe publiekrechtelijke zbo</w:t>
      </w:r>
      <w:r>
        <w:t>’.</w:t>
      </w:r>
    </w:p>
  </w:footnote>
  <w:footnote w:id="9">
    <w:p w14:paraId="31232D16" w14:textId="77777777" w:rsidR="0095566F" w:rsidRDefault="00774451" w:rsidP="0095566F">
      <w:pPr>
        <w:pStyle w:val="Voetnoottekst"/>
      </w:pPr>
      <w:r>
        <w:rPr>
          <w:rStyle w:val="Voetnootmarkering"/>
        </w:rPr>
        <w:footnoteRef/>
      </w:r>
      <w:r>
        <w:t xml:space="preserve"> </w:t>
      </w:r>
      <w:r>
        <w:tab/>
        <w:t>Memorie van toelichting, paragraaf 2.2, ‘</w:t>
      </w:r>
      <w:r w:rsidRPr="002F60BE">
        <w:t>Het privaatrechtelijke karakter van beslissingen van de Dopingautoriteit</w:t>
      </w:r>
      <w:r>
        <w:t>’.</w:t>
      </w:r>
    </w:p>
  </w:footnote>
  <w:footnote w:id="10">
    <w:p w14:paraId="2D858055" w14:textId="77777777" w:rsidR="0095566F" w:rsidRDefault="00774451" w:rsidP="0095566F">
      <w:pPr>
        <w:pStyle w:val="Voetnoottekst"/>
      </w:pPr>
      <w:r>
        <w:rPr>
          <w:rStyle w:val="Voetnootmarkering"/>
        </w:rPr>
        <w:footnoteRef/>
      </w:r>
      <w:r>
        <w:t xml:space="preserve"> </w:t>
      </w:r>
      <w:r>
        <w:tab/>
        <w:t>Memorie van toelichting, paragraaf 2.2, ‘</w:t>
      </w:r>
      <w:r w:rsidRPr="002F60BE">
        <w:t>Het privaatrechtelijke karakter van beslissingen van de Dopingautoriteit</w:t>
      </w:r>
      <w:r>
        <w:t xml:space="preserve">’. </w:t>
      </w:r>
    </w:p>
  </w:footnote>
  <w:footnote w:id="11">
    <w:p w14:paraId="75990076" w14:textId="77777777" w:rsidR="0095566F" w:rsidRDefault="00774451" w:rsidP="0095566F">
      <w:pPr>
        <w:pStyle w:val="Voetnoottekst"/>
      </w:pPr>
      <w:r>
        <w:rPr>
          <w:rStyle w:val="Voetnootmarkering"/>
        </w:rPr>
        <w:footnoteRef/>
      </w:r>
      <w:r>
        <w:t xml:space="preserve"> </w:t>
      </w:r>
      <w:r>
        <w:tab/>
        <w:t xml:space="preserve">ABRvS, </w:t>
      </w:r>
      <w:r w:rsidRPr="00D77400">
        <w:t>23 juli 2014</w:t>
      </w:r>
      <w:r>
        <w:t>, u</w:t>
      </w:r>
      <w:r w:rsidRPr="00D77400">
        <w:t>itspraak 201400270/1/A4</w:t>
      </w:r>
      <w:r>
        <w:t xml:space="preserve">. </w:t>
      </w:r>
      <w:r w:rsidRPr="00D77400">
        <w:t>ECLI:NL:RVS:2014:2787</w:t>
      </w:r>
      <w:r>
        <w:t>, paragraaf 5.2.</w:t>
      </w:r>
    </w:p>
  </w:footnote>
  <w:footnote w:id="12">
    <w:p w14:paraId="09B3A8EE" w14:textId="77777777" w:rsidR="0095566F" w:rsidRDefault="00774451" w:rsidP="0095566F">
      <w:pPr>
        <w:pStyle w:val="Voetnoottekst"/>
      </w:pPr>
      <w:r>
        <w:rPr>
          <w:rStyle w:val="Voetnootmarkering"/>
        </w:rPr>
        <w:footnoteRef/>
      </w:r>
      <w:r>
        <w:t xml:space="preserve"> </w:t>
      </w:r>
      <w:r>
        <w:tab/>
        <w:t xml:space="preserve">Zie uitgebreider: ‘Tekst en Commentaar Algemene wet bestuursrecht’, onder redactie van: mr. T.C. Borman en prof. mr. J.C.A. de Poorter, twaalfde druk, 2022; en ‘Bestuursrecht 1. Systeem, bevoegdheid, bevoegdheidsuitoefening, handhaving’, onder redactie van: prof. mr. dr. H.E. Bröring en prof. mr. dr. K.J. de Graaf, zevende druk, 2022, p. 185 en 189. </w:t>
      </w:r>
    </w:p>
  </w:footnote>
  <w:footnote w:id="13">
    <w:p w14:paraId="4C6461E4" w14:textId="77777777" w:rsidR="0095566F" w:rsidRDefault="00774451" w:rsidP="0095566F">
      <w:pPr>
        <w:pStyle w:val="Voetnoottekst"/>
      </w:pPr>
      <w:r>
        <w:rPr>
          <w:rStyle w:val="Voetnootmarkering"/>
        </w:rPr>
        <w:footnoteRef/>
      </w:r>
      <w:r>
        <w:t xml:space="preserve"> </w:t>
      </w:r>
      <w:r>
        <w:tab/>
        <w:t xml:space="preserve">ABRvS, </w:t>
      </w:r>
      <w:r w:rsidRPr="00D7264F">
        <w:t>3</w:t>
      </w:r>
      <w:r>
        <w:t xml:space="preserve"> februari </w:t>
      </w:r>
      <w:r w:rsidRPr="00D7264F">
        <w:t>2021</w:t>
      </w:r>
      <w:r>
        <w:t xml:space="preserve">, uitspraak </w:t>
      </w:r>
      <w:r w:rsidRPr="006533E9">
        <w:t>201900918/1/A3</w:t>
      </w:r>
      <w:r>
        <w:t xml:space="preserve">, </w:t>
      </w:r>
      <w:r w:rsidRPr="00D7264F">
        <w:t>ECLI:NL:RVS:2021:205</w:t>
      </w:r>
      <w:r>
        <w:t>, paragraaf 5: ‘</w:t>
      </w:r>
      <w:r w:rsidRPr="00D7264F">
        <w:t>Een rechtshandeling is publiekrechtelijk als zij is gebaseerd op een publiekrechtelijke grondslag. In de regel is daarvoor nodig dat het bestuursorgaan de bevoegdheid tot het verrichten van die handeling ontleent aan een specifiek wettelijk voorschrift</w:t>
      </w:r>
      <w:r>
        <w:t>’</w:t>
      </w:r>
      <w:r w:rsidRPr="00D7264F">
        <w:t>.</w:t>
      </w:r>
    </w:p>
  </w:footnote>
  <w:footnote w:id="14">
    <w:p w14:paraId="420C40D8" w14:textId="77777777" w:rsidR="0095566F" w:rsidRDefault="00774451" w:rsidP="0095566F">
      <w:pPr>
        <w:pStyle w:val="Voetnoottekst"/>
      </w:pPr>
      <w:r>
        <w:rPr>
          <w:rStyle w:val="Voetnootmarkering"/>
        </w:rPr>
        <w:footnoteRef/>
      </w:r>
      <w:r>
        <w:t xml:space="preserve"> </w:t>
      </w:r>
      <w:r>
        <w:tab/>
        <w:t>Artikel 5 en 6 van de Wuab.</w:t>
      </w:r>
    </w:p>
  </w:footnote>
  <w:footnote w:id="15">
    <w:p w14:paraId="6B207037" w14:textId="77777777" w:rsidR="0095566F" w:rsidRDefault="00774451" w:rsidP="0095566F">
      <w:pPr>
        <w:pStyle w:val="Voetnoottekst"/>
      </w:pPr>
      <w:r>
        <w:rPr>
          <w:rStyle w:val="Voetnootmarkering"/>
        </w:rPr>
        <w:footnoteRef/>
      </w:r>
      <w:r>
        <w:t xml:space="preserve"> </w:t>
      </w:r>
      <w:r>
        <w:tab/>
      </w:r>
      <w:bookmarkStart w:id="1" w:name="_Hlk101517744"/>
      <w:r>
        <w:t xml:space="preserve">Zie ook de Aanwijzingen voor de regelgeving, Aanwijzing </w:t>
      </w:r>
      <w:bookmarkEnd w:id="1"/>
      <w:r w:rsidRPr="006F6EBE">
        <w:t xml:space="preserve">2.46 </w:t>
      </w:r>
      <w:r>
        <w:t>‘</w:t>
      </w:r>
      <w:r w:rsidRPr="006F6EBE">
        <w:t>Afwijking van algemene wetten</w:t>
      </w:r>
      <w:r>
        <w:t>’.</w:t>
      </w:r>
    </w:p>
  </w:footnote>
  <w:footnote w:id="16">
    <w:p w14:paraId="567DCE56" w14:textId="77777777" w:rsidR="0095566F" w:rsidRDefault="00774451" w:rsidP="0095566F">
      <w:pPr>
        <w:pStyle w:val="Voetnoottekst"/>
      </w:pPr>
      <w:r>
        <w:rPr>
          <w:rStyle w:val="Voetnootmarkering"/>
        </w:rPr>
        <w:footnoteRef/>
      </w:r>
      <w:r>
        <w:t xml:space="preserve"> </w:t>
      </w:r>
      <w:r>
        <w:tab/>
        <w:t>R.J.N. Schlössels, R.J.B. Schutgens en S.E. Zijlstra, ‘Bestuursrecht in de sociale rechtsstaat. 2. Rechtsbescherming, Overheidsaansprakelijkheid (Handboeken staats- en bestuursrecht)’, Deventer: Wolters Kluwer 2019, p. 247.</w:t>
      </w:r>
    </w:p>
  </w:footnote>
  <w:footnote w:id="17">
    <w:p w14:paraId="3361A9DC" w14:textId="77777777" w:rsidR="0095566F" w:rsidRDefault="00774451" w:rsidP="0095566F">
      <w:pPr>
        <w:pStyle w:val="Voetnoottekst"/>
      </w:pPr>
      <w:r>
        <w:rPr>
          <w:rStyle w:val="Voetnootmarkering"/>
        </w:rPr>
        <w:footnoteRef/>
      </w:r>
      <w:r>
        <w:t xml:space="preserve"> </w:t>
      </w:r>
      <w:r>
        <w:tab/>
      </w:r>
      <w:r w:rsidRPr="009F4E22">
        <w:t>Kamerstukken II 1989/90, 21221, nr. 3, p. 4</w:t>
      </w:r>
      <w:r>
        <w:t>.</w:t>
      </w:r>
    </w:p>
  </w:footnote>
  <w:footnote w:id="18">
    <w:p w14:paraId="44BE36FC" w14:textId="77777777" w:rsidR="0095566F" w:rsidRDefault="00774451" w:rsidP="0095566F">
      <w:pPr>
        <w:pStyle w:val="Voetnoottekst"/>
      </w:pPr>
      <w:r>
        <w:rPr>
          <w:rStyle w:val="Voetnootmarkering"/>
        </w:rPr>
        <w:footnoteRef/>
      </w:r>
      <w:r>
        <w:t xml:space="preserve"> </w:t>
      </w:r>
      <w:r>
        <w:tab/>
        <w:t xml:space="preserve">Zie ook de Aanwijzingen voor de regelgeving, </w:t>
      </w:r>
      <w:r w:rsidRPr="00E47D5A">
        <w:t xml:space="preserve">Aanwijzing 5.48 </w:t>
      </w:r>
      <w:r>
        <w:t>‘</w:t>
      </w:r>
      <w:r w:rsidRPr="00E47D5A">
        <w:t>Rechtsbescherming</w:t>
      </w:r>
      <w:r>
        <w:t xml:space="preserve">’, eerste onderdeel en Aanwijzing 5.54 ‘Administratief beroep’. Daarnaast is ook wel gepleit voor afschaffing van deze nog slechts sporadisch voorkomende en ‘verouderde’ rechtsfiguur, zie: N. Verheij, ‘Afscheid van het administratief beroep’, in: </w:t>
      </w:r>
      <w:r w:rsidRPr="006E334C">
        <w:t>Nederlands Tijdschrift voor Bestuursrecht</w:t>
      </w:r>
      <w:r>
        <w:t>, 2007, p. 307-308.</w:t>
      </w:r>
    </w:p>
  </w:footnote>
  <w:footnote w:id="19">
    <w:p w14:paraId="5050481F" w14:textId="77777777" w:rsidR="00936FEC" w:rsidRDefault="00774451">
      <w:pPr>
        <w:pStyle w:val="Voetnoottekst"/>
      </w:pPr>
      <w:r>
        <w:rPr>
          <w:rStyle w:val="Voetnootmarkering"/>
        </w:rPr>
        <w:footnoteRef/>
      </w:r>
      <w:r>
        <w:t xml:space="preserve"> </w:t>
      </w:r>
      <w:r>
        <w:tab/>
        <w:t>Memorie van toelichting, paragraaf 1.1, ‘Aanleiding’.</w:t>
      </w:r>
    </w:p>
  </w:footnote>
  <w:footnote w:id="20">
    <w:p w14:paraId="32EBC0A7" w14:textId="77777777" w:rsidR="0095566F" w:rsidRDefault="00774451" w:rsidP="0095566F">
      <w:pPr>
        <w:pStyle w:val="Voetnoottekst"/>
      </w:pPr>
      <w:r>
        <w:rPr>
          <w:rStyle w:val="Voetnootmarkering"/>
        </w:rPr>
        <w:footnoteRef/>
      </w:r>
      <w:r>
        <w:t xml:space="preserve"> </w:t>
      </w:r>
      <w:r>
        <w:tab/>
        <w:t>Memorie van toelichting, paragraaf 5, ‘</w:t>
      </w:r>
      <w:r w:rsidRPr="002F60BE">
        <w:t>Rechtvaardiging overheidsinterventie</w:t>
      </w:r>
      <w:r>
        <w:t>’.</w:t>
      </w:r>
    </w:p>
  </w:footnote>
  <w:footnote w:id="21">
    <w:p w14:paraId="194A9605" w14:textId="77777777" w:rsidR="0095566F" w:rsidRDefault="00774451" w:rsidP="0095566F">
      <w:pPr>
        <w:pStyle w:val="Voetnoottekst"/>
      </w:pPr>
      <w:r>
        <w:rPr>
          <w:rStyle w:val="Voetnootmarkering"/>
        </w:rPr>
        <w:footnoteRef/>
      </w:r>
      <w:r>
        <w:t xml:space="preserve"> </w:t>
      </w:r>
      <w:r>
        <w:tab/>
        <w:t>Zie ook de Aanwijzingen voor de regelgeving, Aanwijzing 2.5 ‘Zelfregulering’.</w:t>
      </w:r>
    </w:p>
  </w:footnote>
  <w:footnote w:id="22">
    <w:p w14:paraId="5D69FF01" w14:textId="77777777" w:rsidR="0095566F" w:rsidRDefault="00774451" w:rsidP="0095566F">
      <w:pPr>
        <w:pStyle w:val="Voetnoottekst"/>
      </w:pPr>
      <w:r>
        <w:rPr>
          <w:rStyle w:val="Voetnootmarkering"/>
        </w:rPr>
        <w:footnoteRef/>
      </w:r>
      <w:r>
        <w:t xml:space="preserve"> </w:t>
      </w:r>
      <w:r>
        <w:tab/>
        <w:t xml:space="preserve">Zie ook het advies van de Afdeling advisering van de Raad van State van 26 mei 2016 (W13.15.0408/lll), paragraaf 4. </w:t>
      </w:r>
    </w:p>
  </w:footnote>
  <w:footnote w:id="23">
    <w:p w14:paraId="4668A440" w14:textId="77777777" w:rsidR="0095566F" w:rsidRDefault="00774451" w:rsidP="0095566F">
      <w:pPr>
        <w:pStyle w:val="Voetnoottekst"/>
      </w:pPr>
      <w:r>
        <w:rPr>
          <w:rStyle w:val="Voetnootmarkering"/>
        </w:rPr>
        <w:footnoteRef/>
      </w:r>
      <w:r>
        <w:t xml:space="preserve"> </w:t>
      </w:r>
      <w:r>
        <w:tab/>
        <w:t>Kamerstukken II 2015/16, 34543, nr. 4.</w:t>
      </w:r>
    </w:p>
  </w:footnote>
  <w:footnote w:id="24">
    <w:p w14:paraId="377211C1" w14:textId="77777777" w:rsidR="0095566F" w:rsidRDefault="00774451" w:rsidP="0095566F">
      <w:pPr>
        <w:pStyle w:val="Voetnoottekst"/>
      </w:pPr>
      <w:r>
        <w:rPr>
          <w:rStyle w:val="Voetnootmarkering"/>
        </w:rPr>
        <w:footnoteRef/>
      </w:r>
      <w:r>
        <w:t xml:space="preserve"> </w:t>
      </w:r>
      <w:r>
        <w:tab/>
        <w:t xml:space="preserve">Artikel 8:5, eerste lid van de Awb. Zie ook de Aanwijzingen voor de regelgeving, </w:t>
      </w:r>
      <w:r w:rsidRPr="00B57508">
        <w:t xml:space="preserve">Aanwijzing 5.49 </w:t>
      </w:r>
      <w:r>
        <w:t>‘</w:t>
      </w:r>
      <w:r w:rsidRPr="00B57508">
        <w:t>Afwijkende rechtsbescherming in bijlagen Awb</w:t>
      </w:r>
      <w:r>
        <w:t xml:space="preserve">’. Zie voorts </w:t>
      </w:r>
      <w:r w:rsidRPr="00ED620F">
        <w:t>T&amp;C Awb, commentaar op art</w:t>
      </w:r>
      <w:r>
        <w:t>ikel</w:t>
      </w:r>
      <w:r w:rsidRPr="00ED620F">
        <w:t xml:space="preserve"> 8:5 Awb</w:t>
      </w:r>
      <w:r>
        <w:t>.</w:t>
      </w:r>
    </w:p>
  </w:footnote>
  <w:footnote w:id="25">
    <w:p w14:paraId="2E1FDF2C" w14:textId="77777777" w:rsidR="0095566F" w:rsidRDefault="00774451" w:rsidP="0095566F">
      <w:pPr>
        <w:pStyle w:val="Voetnoottekst"/>
      </w:pPr>
      <w:r>
        <w:rPr>
          <w:rStyle w:val="Voetnootmarkering"/>
        </w:rPr>
        <w:footnoteRef/>
      </w:r>
      <w:r>
        <w:t xml:space="preserve"> </w:t>
      </w:r>
      <w:r>
        <w:tab/>
        <w:t>Zie artikel 13.2.2 van de WAD-code.</w:t>
      </w:r>
    </w:p>
  </w:footnote>
  <w:footnote w:id="26">
    <w:p w14:paraId="17C16E75" w14:textId="77777777" w:rsidR="0095566F" w:rsidRDefault="00774451" w:rsidP="0095566F">
      <w:pPr>
        <w:pStyle w:val="Voetnoottekst"/>
      </w:pPr>
      <w:r>
        <w:rPr>
          <w:rStyle w:val="Voetnootmarkering"/>
        </w:rPr>
        <w:footnoteRef/>
      </w:r>
      <w:r>
        <w:t xml:space="preserve"> </w:t>
      </w:r>
      <w:r>
        <w:tab/>
        <w:t xml:space="preserve">Zie ook S. Zijlstra, ‘De negatieve lijst bij de Awb: het rariteitenkabinet van het bestuursprocesrecht’, in: </w:t>
      </w:r>
      <w:r w:rsidRPr="006E334C">
        <w:t>Nederlands Tijdschrift voor Bestuursrecht</w:t>
      </w:r>
      <w:r>
        <w:t>, 2015, afl. 8, p. 251; en R.J.N. Schlössels, R.J.B. Schutgens en S.E. Zijlstra, ‘Bestuursrecht in de sociale rechtsstaat. 2. Rechtsbescherming, Overheidsaansprakelijkheid (Handboeken staats- en bestuursrecht)’, Deventer: Wolters Kluwer 2019, p. 262.</w:t>
      </w:r>
    </w:p>
  </w:footnote>
  <w:footnote w:id="27">
    <w:p w14:paraId="72B73F50" w14:textId="77777777" w:rsidR="0095566F" w:rsidRDefault="00774451" w:rsidP="0095566F">
      <w:pPr>
        <w:pStyle w:val="Voetnoottekst"/>
      </w:pPr>
      <w:r>
        <w:rPr>
          <w:rStyle w:val="Voetnootmarkering"/>
        </w:rPr>
        <w:footnoteRef/>
      </w:r>
      <w:r>
        <w:t xml:space="preserve"> </w:t>
      </w:r>
      <w:r>
        <w:tab/>
        <w:t>Voorgesteld artikel 14.</w:t>
      </w:r>
    </w:p>
  </w:footnote>
  <w:footnote w:id="28">
    <w:p w14:paraId="7B04E4D5" w14:textId="77777777" w:rsidR="0095566F" w:rsidRDefault="00774451" w:rsidP="0095566F">
      <w:pPr>
        <w:pStyle w:val="Voetnoottekst"/>
      </w:pPr>
      <w:r>
        <w:rPr>
          <w:rStyle w:val="Voetnootmarkering"/>
        </w:rPr>
        <w:footnoteRef/>
      </w:r>
      <w:r>
        <w:t xml:space="preserve"> </w:t>
      </w:r>
      <w:r>
        <w:tab/>
        <w:t xml:space="preserve">Zie ook </w:t>
      </w:r>
      <w:r w:rsidRPr="008F2876">
        <w:t xml:space="preserve">S.E. Zijlstra (red.), </w:t>
      </w:r>
      <w:r>
        <w:t>‘</w:t>
      </w:r>
      <w:r w:rsidRPr="008F2876">
        <w:t>Bestuurlijk organisatierecht (Handboeken staats- en bestuursrecht)</w:t>
      </w:r>
      <w:r>
        <w:t>’</w:t>
      </w:r>
      <w:r w:rsidRPr="008F2876">
        <w:t>, Deventer: Wolters Kluwer 2019</w:t>
      </w:r>
      <w:r>
        <w:t>, paragraaf 12.1.</w:t>
      </w:r>
    </w:p>
  </w:footnote>
  <w:footnote w:id="29">
    <w:p w14:paraId="05CBBA7D" w14:textId="77777777" w:rsidR="0095566F" w:rsidRPr="001267DF" w:rsidRDefault="00774451" w:rsidP="0095566F">
      <w:pPr>
        <w:pStyle w:val="Voetnoottekst"/>
      </w:pPr>
      <w:r w:rsidRPr="001D25BD">
        <w:rPr>
          <w:rStyle w:val="Voetnootmarkering"/>
        </w:rPr>
        <w:footnoteRef/>
      </w:r>
      <w:r w:rsidRPr="001D25BD">
        <w:rPr>
          <w:sz w:val="16"/>
          <w:szCs w:val="16"/>
        </w:rPr>
        <w:t xml:space="preserve"> </w:t>
      </w:r>
      <w:r>
        <w:rPr>
          <w:sz w:val="16"/>
          <w:szCs w:val="16"/>
        </w:rPr>
        <w:tab/>
      </w:r>
      <w:r w:rsidRPr="00863FED">
        <w:t>Kamerstukken II 2014/15, 25268, nr. 83.</w:t>
      </w:r>
      <w:r>
        <w:t xml:space="preserve"> Zie ook het advies van de Afdeling advisering van de Raad van State van 15 juni 2020 over de ministeriële verantwoordelijkheid (</w:t>
      </w:r>
      <w:r w:rsidRPr="00534936">
        <w:t>W04.20.0135/I</w:t>
      </w:r>
      <w:r>
        <w:t>), Kamerstukken II 2019/20, 35300, nr. 78 (bijlage), punt 3.2 en 4.3.</w:t>
      </w:r>
    </w:p>
  </w:footnote>
  <w:footnote w:id="30">
    <w:p w14:paraId="73BE11AB" w14:textId="77777777" w:rsidR="0095566F" w:rsidRDefault="00774451" w:rsidP="0095566F">
      <w:pPr>
        <w:pStyle w:val="Voetnoottekst"/>
      </w:pPr>
      <w:r>
        <w:rPr>
          <w:rStyle w:val="Voetnootmarkering"/>
        </w:rPr>
        <w:footnoteRef/>
      </w:r>
      <w:r>
        <w:t xml:space="preserve"> </w:t>
      </w:r>
      <w:r>
        <w:tab/>
        <w:t>Memorie van toelichting, paragraaf 6, ‘</w:t>
      </w:r>
      <w:r w:rsidRPr="002F60BE">
        <w:t>Rechtvaardiging oprichting nieuwe publiekrechtelijke zbo</w:t>
      </w:r>
      <w:r>
        <w:t>’.</w:t>
      </w:r>
    </w:p>
  </w:footnote>
  <w:footnote w:id="31">
    <w:p w14:paraId="5DB8B92B" w14:textId="77777777" w:rsidR="0095566F" w:rsidRDefault="00774451" w:rsidP="0095566F">
      <w:pPr>
        <w:pStyle w:val="Voetnoottekst"/>
      </w:pPr>
      <w:r>
        <w:rPr>
          <w:rStyle w:val="Voetnootmarkering"/>
        </w:rPr>
        <w:footnoteRef/>
      </w:r>
      <w:r>
        <w:t xml:space="preserve"> </w:t>
      </w:r>
      <w:r>
        <w:tab/>
        <w:t>Memorie van toelichting, paragraaf 6, ‘</w:t>
      </w:r>
      <w:r w:rsidRPr="002F60BE">
        <w:t>Rechtvaardiging oprichting nieuwe publiekrechtelijke zbo</w:t>
      </w:r>
      <w:r>
        <w:t>’.</w:t>
      </w:r>
    </w:p>
  </w:footnote>
  <w:footnote w:id="32">
    <w:p w14:paraId="12A47DC4" w14:textId="77777777" w:rsidR="0095566F" w:rsidRDefault="00774451" w:rsidP="0095566F">
      <w:pPr>
        <w:pStyle w:val="Voetnoottekst"/>
      </w:pPr>
      <w:r>
        <w:rPr>
          <w:rStyle w:val="Voetnootmarkering"/>
        </w:rPr>
        <w:footnoteRef/>
      </w:r>
      <w:r>
        <w:t xml:space="preserve"> </w:t>
      </w:r>
      <w:r>
        <w:tab/>
        <w:t>Advies van de Afdeling advisering van de Raad van State van 26 mei 2016 (W13.15.0408/lll).</w:t>
      </w:r>
    </w:p>
  </w:footnote>
  <w:footnote w:id="33">
    <w:p w14:paraId="4B798532" w14:textId="77777777" w:rsidR="0095566F" w:rsidRDefault="00774451" w:rsidP="0095566F">
      <w:pPr>
        <w:pStyle w:val="Voetnoottekst"/>
      </w:pPr>
      <w:r>
        <w:rPr>
          <w:rStyle w:val="Voetnootmarkering"/>
        </w:rPr>
        <w:footnoteRef/>
      </w:r>
      <w:r>
        <w:t xml:space="preserve"> </w:t>
      </w:r>
      <w:r>
        <w:tab/>
        <w:t>Zie artikel 6, eerste lid, sub f van de Algemene Verordening Gegevensverwerking.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A94A6" w14:textId="0A2618CB"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3588F">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E1751"/>
    <w:multiLevelType w:val="hybridMultilevel"/>
    <w:tmpl w:val="A76C58AE"/>
    <w:lvl w:ilvl="0" w:tplc="0FE2AC46">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C414F4"/>
    <w:multiLevelType w:val="hybridMultilevel"/>
    <w:tmpl w:val="7E18F0AE"/>
    <w:lvl w:ilvl="0" w:tplc="CCDE049E">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3311F"/>
    <w:rsid w:val="002656A3"/>
    <w:rsid w:val="0027703A"/>
    <w:rsid w:val="002A16F1"/>
    <w:rsid w:val="002C6867"/>
    <w:rsid w:val="002D0875"/>
    <w:rsid w:val="00303CA7"/>
    <w:rsid w:val="00322CB5"/>
    <w:rsid w:val="003A1FC7"/>
    <w:rsid w:val="004421C1"/>
    <w:rsid w:val="00494AA1"/>
    <w:rsid w:val="004C120D"/>
    <w:rsid w:val="00503044"/>
    <w:rsid w:val="006D3E6B"/>
    <w:rsid w:val="0071031E"/>
    <w:rsid w:val="00724C4B"/>
    <w:rsid w:val="00743D19"/>
    <w:rsid w:val="00774451"/>
    <w:rsid w:val="00831756"/>
    <w:rsid w:val="009E72D2"/>
    <w:rsid w:val="00A349AF"/>
    <w:rsid w:val="00AA44F3"/>
    <w:rsid w:val="00B03C96"/>
    <w:rsid w:val="00B44919"/>
    <w:rsid w:val="00C02F92"/>
    <w:rsid w:val="00C5066A"/>
    <w:rsid w:val="00C50D4F"/>
    <w:rsid w:val="00C94D31"/>
    <w:rsid w:val="00CE7A70"/>
    <w:rsid w:val="00D32A9E"/>
    <w:rsid w:val="00D76613"/>
    <w:rsid w:val="00DE075A"/>
    <w:rsid w:val="00DE1A79"/>
    <w:rsid w:val="00DF6602"/>
    <w:rsid w:val="00E3588F"/>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22527C0"/>
  <w15:docId w15:val="{F5CD96CD-05B7-42F3-A09E-4FE786B1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8448A7"/>
    <w:rPr>
      <w:vertAlign w:val="superscript"/>
    </w:rPr>
  </w:style>
  <w:style w:type="character" w:styleId="Verwijzingopmerking">
    <w:name w:val="annotation reference"/>
    <w:basedOn w:val="Standaardalinea-lettertype"/>
    <w:semiHidden/>
    <w:unhideWhenUsed/>
    <w:rsid w:val="005E42EB"/>
    <w:rPr>
      <w:sz w:val="16"/>
      <w:szCs w:val="16"/>
    </w:rPr>
  </w:style>
  <w:style w:type="paragraph" w:styleId="Tekstopmerking">
    <w:name w:val="annotation text"/>
    <w:basedOn w:val="Standaard"/>
    <w:link w:val="TekstopmerkingChar"/>
    <w:semiHidden/>
    <w:unhideWhenUsed/>
    <w:rsid w:val="005E42EB"/>
    <w:rPr>
      <w:sz w:val="20"/>
      <w:szCs w:val="20"/>
    </w:rPr>
  </w:style>
  <w:style w:type="character" w:customStyle="1" w:styleId="TekstopmerkingChar">
    <w:name w:val="Tekst opmerking Char"/>
    <w:basedOn w:val="Standaardalinea-lettertype"/>
    <w:link w:val="Tekstopmerking"/>
    <w:semiHidden/>
    <w:rsid w:val="005E42EB"/>
    <w:rPr>
      <w:rFonts w:ascii="Univers" w:hAnsi="Univers"/>
    </w:rPr>
  </w:style>
  <w:style w:type="paragraph" w:styleId="Onderwerpvanopmerking">
    <w:name w:val="annotation subject"/>
    <w:basedOn w:val="Tekstopmerking"/>
    <w:next w:val="Tekstopmerking"/>
    <w:link w:val="OnderwerpvanopmerkingChar"/>
    <w:semiHidden/>
    <w:unhideWhenUsed/>
    <w:rsid w:val="005E42EB"/>
    <w:rPr>
      <w:b/>
      <w:bCs/>
    </w:rPr>
  </w:style>
  <w:style w:type="character" w:customStyle="1" w:styleId="OnderwerpvanopmerkingChar">
    <w:name w:val="Onderwerp van opmerking Char"/>
    <w:basedOn w:val="TekstopmerkingChar"/>
    <w:link w:val="Onderwerpvanopmerking"/>
    <w:semiHidden/>
    <w:rsid w:val="005E42EB"/>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2979</ap:Words>
  <ap:Characters>17897</ap:Characters>
  <ap:DocSecurity>4</ap:DocSecurity>
  <ap:Lines>149</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2022-05-25T14:46:00.0000000Z</lastPrinted>
  <dcterms:created xsi:type="dcterms:W3CDTF">2022-07-18T08:23:00.0000000Z</dcterms:created>
  <dcterms:modified xsi:type="dcterms:W3CDTF">2022-07-18T08:23:00.0000000Z</dcterms:modified>
  <dc:description>------------------------</dc:description>
  <dc:subject/>
  <dc:title/>
  <keywords/>
  <version/>
  <category/>
</coreProperties>
</file>