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AE1" w:rsidP="003249C8" w:rsidRDefault="00725BB6" w14:paraId="41A3BAE9" w14:textId="22219E2D">
      <w:r>
        <w:t xml:space="preserve">Geachte </w:t>
      </w:r>
      <w:r w:rsidR="008A3716">
        <w:t>V</w:t>
      </w:r>
      <w:r>
        <w:t>oorzitter</w:t>
      </w:r>
      <w:r w:rsidR="001A0F3C">
        <w:t>,</w:t>
      </w:r>
    </w:p>
    <w:p w:rsidR="00DC5886" w:rsidP="003249C8" w:rsidRDefault="00DC5886" w14:paraId="414659C8" w14:textId="77777777"/>
    <w:p w:rsidRPr="00536E4F" w:rsidR="00FA7F35" w:rsidP="003249C8" w:rsidRDefault="00FA7F35" w14:paraId="22289258" w14:textId="7A46874F">
      <w:pPr>
        <w:rPr>
          <w:szCs w:val="18"/>
        </w:rPr>
      </w:pPr>
      <w:r w:rsidRPr="00D21B83">
        <w:rPr>
          <w:szCs w:val="18"/>
        </w:rPr>
        <w:t xml:space="preserve">Bijgevoegd </w:t>
      </w:r>
      <w:r w:rsidRPr="00D21B83">
        <w:t xml:space="preserve">ontvangt u de </w:t>
      </w:r>
      <w:r w:rsidR="00E96088">
        <w:t>zeven</w:t>
      </w:r>
      <w:r>
        <w:t xml:space="preserve">de </w:t>
      </w:r>
      <w:r w:rsidRPr="00D21B83">
        <w:t xml:space="preserve">incidentele suppletoire begroting van het </w:t>
      </w:r>
      <w:r w:rsidR="003249C8">
        <w:t>M</w:t>
      </w:r>
      <w:r w:rsidRPr="00D21B83">
        <w:t xml:space="preserve">inisterie </w:t>
      </w:r>
      <w:r w:rsidRPr="00D21B83">
        <w:rPr>
          <w:szCs w:val="18"/>
        </w:rPr>
        <w:t>van Economische Zaken en Klimaat (XIII) voor het jaar 202</w:t>
      </w:r>
      <w:r>
        <w:rPr>
          <w:szCs w:val="18"/>
        </w:rPr>
        <w:t xml:space="preserve">2. </w:t>
      </w:r>
      <w:r w:rsidRPr="00C65AE9">
        <w:t>Het wetsvoorstel gaat vergezeld van een memorie van toelichting.</w:t>
      </w:r>
      <w:r w:rsidRPr="00536E4F">
        <w:t xml:space="preserve"> </w:t>
      </w:r>
    </w:p>
    <w:p w:rsidRPr="00536E4F" w:rsidR="00FA7F35" w:rsidP="003249C8" w:rsidRDefault="00FA7F35" w14:paraId="0982F9F6" w14:textId="77777777"/>
    <w:p w:rsidR="00D45E20" w:rsidP="00D45E20" w:rsidRDefault="00D45E20" w14:paraId="39171B2A" w14:textId="5553F2F1">
      <w:r w:rsidRPr="00D21B83">
        <w:t xml:space="preserve">In deze </w:t>
      </w:r>
      <w:r>
        <w:t xml:space="preserve">zevende </w:t>
      </w:r>
      <w:r w:rsidRPr="00D21B83">
        <w:t xml:space="preserve">incidentele suppletoire begroting </w:t>
      </w:r>
      <w:r w:rsidRPr="00737E88">
        <w:t xml:space="preserve">wordt het </w:t>
      </w:r>
      <w:r>
        <w:t xml:space="preserve">budget </w:t>
      </w:r>
      <w:r w:rsidRPr="00737E88">
        <w:t xml:space="preserve">voor de IPCEI waterstof die </w:t>
      </w:r>
      <w:r>
        <w:t>met de julibrief is</w:t>
      </w:r>
      <w:r w:rsidRPr="00737E88">
        <w:t xml:space="preserve"> gereserveerd binnen </w:t>
      </w:r>
      <w:r>
        <w:t>de Klimaatfondsmiddelen</w:t>
      </w:r>
      <w:r w:rsidRPr="00737E88">
        <w:t xml:space="preserve"> overgeheveld</w:t>
      </w:r>
      <w:r>
        <w:t xml:space="preserve"> van de Aanvullende Post bij het Ministerie van Financiën</w:t>
      </w:r>
      <w:r w:rsidRPr="00737E88">
        <w:t xml:space="preserve"> naar de begroting van het Ministerie van Economische Zaken en Klimaat. Het betreft in totaal </w:t>
      </w:r>
      <w:r w:rsidR="00123752">
        <w:t xml:space="preserve">maximaal </w:t>
      </w:r>
      <w:r w:rsidRPr="00737E88">
        <w:t>€ 1,3</w:t>
      </w:r>
      <w:r w:rsidR="00254A0B">
        <w:t>85</w:t>
      </w:r>
      <w:r w:rsidRPr="00737E88">
        <w:t xml:space="preserve"> miljard aan verplichtingenbudget voor het jaar 2022 voor de tweede en derde golf van de IPCEI waterstof.</w:t>
      </w:r>
      <w:r>
        <w:t xml:space="preserve"> </w:t>
      </w:r>
      <w:r w:rsidRPr="008366E0">
        <w:t xml:space="preserve">Voor de tweede golf wordt </w:t>
      </w:r>
      <w:r w:rsidR="00123752">
        <w:t xml:space="preserve">maximaal </w:t>
      </w:r>
      <w:r w:rsidRPr="008366E0">
        <w:t>€ 785 m</w:t>
      </w:r>
      <w:r>
        <w:t>iljoen</w:t>
      </w:r>
      <w:r w:rsidRPr="008366E0">
        <w:t xml:space="preserve"> aan kasmiddelen overgeheveld, welke verspreid staan over de jaren 2023 tot en met 2026. Voor de derde golf wordt er </w:t>
      </w:r>
      <w:r w:rsidR="00123752">
        <w:t xml:space="preserve">maximaal </w:t>
      </w:r>
      <w:r w:rsidRPr="008366E0">
        <w:t>€</w:t>
      </w:r>
      <w:r>
        <w:t xml:space="preserve"> </w:t>
      </w:r>
      <w:r w:rsidRPr="008366E0">
        <w:t>600 m</w:t>
      </w:r>
      <w:r>
        <w:t>iljoen</w:t>
      </w:r>
      <w:r w:rsidRPr="008366E0">
        <w:t xml:space="preserve"> overgeheveld welke verspreid staan over de jaren 2023 tot en met 2027.</w:t>
      </w:r>
    </w:p>
    <w:p w:rsidR="00FD6010" w:rsidP="00D45E20" w:rsidRDefault="00FD6010" w14:paraId="109BDAF3" w14:textId="7FFEF418"/>
    <w:p w:rsidRPr="00FD6010" w:rsidR="00FD6010" w:rsidP="00D45E20" w:rsidRDefault="00FD6010" w14:paraId="72E74144" w14:textId="23BCABB0">
      <w:pPr>
        <w:rPr>
          <w:szCs w:val="18"/>
        </w:rPr>
      </w:pPr>
      <w:r>
        <w:rPr>
          <w:szCs w:val="18"/>
        </w:rPr>
        <w:t xml:space="preserve">Een eis om mee te kunnen doen met het notificatietraject van de IPCEI-waterstof is dat Nederland vóór het notificatiemoment budget beschikbaar heeft om de projecten te kunnen steunen. De deadline voor het indienen van projecten in de tweede golf bij de Europese Commissie om in aanmerking te komen voor IPCEI-status (notificatie) zal naar verwachting in augustus 2022 zijn. Voor de derde golf zal dit moment naar verwachting later dit jaar plaatsvinden. Hierdoor komt de verplichting van het budget in 2023 conform de beoordeling van de Klimaatfonds middelen te laat, ook als de middelen vanaf 2023 worden uitgegeven. De deadline voor notificatie van de projecten is vervroegd in het kader van RePowerEU en de hierin uiteengezette doelen om versneld onafhankelijk te worden van Russische fossiele brandstoffen door onder andere het opschalen van elektrolysecapaciteit en import van groene waterstof. Indien Nederland niet voor het notificatiemoment een definitief besluit neemt over welke projecten subsidie zullen krijgen en het vereiste budget verplicht is in 2022, lopen de Nederlandse projecten het risico geen onderdeel meer te kunnen uitmaken van het IPCEI-traject. Dit zou de positie van de projecten ten opzichte van projecten uit andere lidstaten schaden en een ongewenst signaal uitstralen met betrekking tot Nederlandse inzet voor de versnelling van de onafhankelijkheid van Russische fossiele brandstoffen. De subsidieregeling waarmee de definitieve selectie zal worden gemaakt, zal binnen enkele dagen na verzending van deze brief worden geopend. Om deze reden kan </w:t>
      </w:r>
      <w:r>
        <w:rPr>
          <w:szCs w:val="18"/>
        </w:rPr>
        <w:lastRenderedPageBreak/>
        <w:t>niet gewacht worden tot de begroting voor 2023 voor budgettaire verwerking en autorisatie van het parlement voor deze uitgaven en worden deze middelen overgeheveld middels een incidentele suppletoire begroting.</w:t>
      </w:r>
    </w:p>
    <w:p w:rsidR="00D45E20" w:rsidP="004048D0" w:rsidRDefault="00D45E20" w14:paraId="34D51885" w14:textId="77777777"/>
    <w:p w:rsidR="00E76F0A" w:rsidP="00E76F0A" w:rsidRDefault="00E76F0A" w14:paraId="1B767B9C" w14:textId="4AC90C1A">
      <w:pPr>
        <w:pStyle w:val="Default"/>
        <w:spacing w:line="240" w:lineRule="atLeast"/>
        <w:rPr>
          <w:rFonts w:ascii="Verdana" w:hAnsi="Verdana"/>
          <w:sz w:val="18"/>
          <w:szCs w:val="18"/>
        </w:rPr>
      </w:pPr>
      <w:r w:rsidRPr="00737E88">
        <w:rPr>
          <w:rFonts w:ascii="Verdana" w:hAnsi="Verdana"/>
          <w:sz w:val="18"/>
          <w:szCs w:val="18"/>
        </w:rPr>
        <w:t>Op grond van de nieuwe werkwijze met betrekking tot artikel 3.1 van de Comptabiliteitswet (Kamerstuk 31 865, nr. 198) is het met ingang van 1</w:t>
      </w:r>
      <w:r>
        <w:rPr>
          <w:rFonts w:ascii="Verdana" w:hAnsi="Verdana"/>
          <w:sz w:val="18"/>
          <w:szCs w:val="18"/>
        </w:rPr>
        <w:t xml:space="preserve"> </w:t>
      </w:r>
      <w:r w:rsidRPr="00737E88">
        <w:rPr>
          <w:rFonts w:ascii="Verdana" w:hAnsi="Verdana"/>
          <w:sz w:val="18"/>
          <w:szCs w:val="18"/>
        </w:rPr>
        <w:t>november 2021 verplicht om beleidsvoorstellen met budgettair beslag van meer dan € 20 miljoen per jaar in een kader toe te lichten. Voor de IPCEI waterstof golf 2 en 3 ziet dit kader er als volgt uit:</w:t>
      </w:r>
    </w:p>
    <w:p w:rsidR="008313FD" w:rsidP="008313FD" w:rsidRDefault="008313FD" w14:paraId="2BD2CA93" w14:textId="77777777">
      <w:pPr>
        <w:pStyle w:val="Default"/>
        <w:spacing w:line="240" w:lineRule="atLeast"/>
        <w:rPr>
          <w:rFonts w:ascii="Verdana" w:hAnsi="Verdana"/>
          <w:sz w:val="18"/>
          <w:szCs w:val="18"/>
        </w:rPr>
      </w:pPr>
    </w:p>
    <w:tbl>
      <w:tblPr>
        <w:tblStyle w:val="Tabelraster"/>
        <w:tblW w:w="8767" w:type="dxa"/>
        <w:tblLook w:val="04A0" w:firstRow="1" w:lastRow="0" w:firstColumn="1" w:lastColumn="0" w:noHBand="0" w:noVBand="1"/>
      </w:tblPr>
      <w:tblGrid>
        <w:gridCol w:w="3422"/>
        <w:gridCol w:w="5345"/>
      </w:tblGrid>
      <w:tr w:rsidRPr="00164EB9" w:rsidR="008313FD" w:rsidTr="00145F19" w14:paraId="5CBCED64" w14:textId="77777777">
        <w:trPr>
          <w:trHeight w:val="295"/>
        </w:trPr>
        <w:tc>
          <w:tcPr>
            <w:tcW w:w="8767" w:type="dxa"/>
            <w:gridSpan w:val="2"/>
            <w:noWrap/>
            <w:hideMark/>
          </w:tcPr>
          <w:p w:rsidRPr="00164EB9" w:rsidR="008313FD" w:rsidP="00145F19" w:rsidRDefault="008313FD" w14:paraId="50B22186" w14:textId="77777777">
            <w:pPr>
              <w:rPr>
                <w:rFonts w:ascii="Calibri" w:hAnsi="Calibri"/>
                <w:sz w:val="22"/>
                <w:szCs w:val="22"/>
              </w:rPr>
            </w:pPr>
            <w:r w:rsidRPr="00164EB9">
              <w:rPr>
                <w:rFonts w:ascii="Calibri" w:hAnsi="Calibri"/>
                <w:sz w:val="22"/>
                <w:szCs w:val="22"/>
              </w:rPr>
              <w:t>Beleidskeuzes uitgelegd - Onderbouwing doeltreffendheid, doelmatigheid en evaluatie (CW 3.1)</w:t>
            </w:r>
          </w:p>
        </w:tc>
      </w:tr>
      <w:tr w:rsidRPr="00164EB9" w:rsidR="008313FD" w:rsidTr="00145F19" w14:paraId="6AF09244" w14:textId="77777777">
        <w:trPr>
          <w:trHeight w:val="295"/>
        </w:trPr>
        <w:tc>
          <w:tcPr>
            <w:tcW w:w="3422" w:type="dxa"/>
            <w:noWrap/>
            <w:hideMark/>
          </w:tcPr>
          <w:p w:rsidRPr="00164EB9" w:rsidR="008313FD" w:rsidP="00145F19" w:rsidRDefault="008313FD" w14:paraId="56EBFBC1" w14:textId="77777777">
            <w:pPr>
              <w:rPr>
                <w:rFonts w:ascii="Calibri" w:hAnsi="Calibri"/>
                <w:sz w:val="22"/>
                <w:szCs w:val="22"/>
              </w:rPr>
            </w:pPr>
            <w:r w:rsidRPr="00164EB9">
              <w:rPr>
                <w:rFonts w:ascii="Calibri" w:hAnsi="Calibri"/>
                <w:sz w:val="22"/>
                <w:szCs w:val="22"/>
              </w:rPr>
              <w:t xml:space="preserve">CW3.1 </w:t>
            </w:r>
            <w:r w:rsidRPr="00737E88">
              <w:rPr>
                <w:szCs w:val="18"/>
              </w:rPr>
              <w:t>IPCEI waterstof golf 2 en 3</w:t>
            </w:r>
          </w:p>
        </w:tc>
        <w:tc>
          <w:tcPr>
            <w:tcW w:w="5345" w:type="dxa"/>
            <w:noWrap/>
            <w:hideMark/>
          </w:tcPr>
          <w:p w:rsidRPr="00164EB9" w:rsidR="008313FD" w:rsidP="00145F19" w:rsidRDefault="008313FD" w14:paraId="36260091" w14:textId="77777777">
            <w:pPr>
              <w:rPr>
                <w:rFonts w:ascii="Calibri" w:hAnsi="Calibri"/>
                <w:sz w:val="22"/>
                <w:szCs w:val="22"/>
              </w:rPr>
            </w:pPr>
          </w:p>
        </w:tc>
      </w:tr>
      <w:tr w:rsidRPr="00164EB9" w:rsidR="008313FD" w:rsidTr="00145F19" w14:paraId="16C1DC19" w14:textId="77777777">
        <w:trPr>
          <w:trHeight w:val="295"/>
        </w:trPr>
        <w:tc>
          <w:tcPr>
            <w:tcW w:w="3422" w:type="dxa"/>
            <w:noWrap/>
            <w:hideMark/>
          </w:tcPr>
          <w:p w:rsidRPr="00164EB9" w:rsidR="008313FD" w:rsidP="00145F19" w:rsidRDefault="008313FD" w14:paraId="2A282182" w14:textId="77777777">
            <w:pPr>
              <w:rPr>
                <w:rFonts w:ascii="Calibri" w:hAnsi="Calibri"/>
                <w:sz w:val="22"/>
                <w:szCs w:val="22"/>
              </w:rPr>
            </w:pPr>
            <w:r w:rsidRPr="00164EB9">
              <w:rPr>
                <w:rFonts w:ascii="Calibri" w:hAnsi="Calibri"/>
                <w:sz w:val="22"/>
                <w:szCs w:val="22"/>
              </w:rPr>
              <w:t> </w:t>
            </w:r>
          </w:p>
        </w:tc>
        <w:tc>
          <w:tcPr>
            <w:tcW w:w="5345" w:type="dxa"/>
            <w:noWrap/>
            <w:hideMark/>
          </w:tcPr>
          <w:p w:rsidRPr="00164EB9" w:rsidR="008313FD" w:rsidP="00145F19" w:rsidRDefault="008313FD" w14:paraId="609A33CB" w14:textId="77777777">
            <w:pPr>
              <w:rPr>
                <w:rFonts w:ascii="Calibri" w:hAnsi="Calibri"/>
                <w:sz w:val="22"/>
                <w:szCs w:val="22"/>
              </w:rPr>
            </w:pPr>
            <w:r w:rsidRPr="00164EB9">
              <w:rPr>
                <w:rFonts w:ascii="Calibri" w:hAnsi="Calibri"/>
                <w:sz w:val="22"/>
                <w:szCs w:val="22"/>
              </w:rPr>
              <w:t> </w:t>
            </w:r>
          </w:p>
        </w:tc>
      </w:tr>
      <w:tr w:rsidRPr="00164EB9" w:rsidR="008313FD" w:rsidTr="00145F19" w14:paraId="0C178B2B" w14:textId="77777777">
        <w:trPr>
          <w:trHeight w:val="1478"/>
        </w:trPr>
        <w:tc>
          <w:tcPr>
            <w:tcW w:w="3422" w:type="dxa"/>
            <w:noWrap/>
            <w:hideMark/>
          </w:tcPr>
          <w:p w:rsidRPr="00164EB9" w:rsidR="008313FD" w:rsidP="00145F19" w:rsidRDefault="008313FD" w14:paraId="26256D65" w14:textId="77777777">
            <w:pPr>
              <w:rPr>
                <w:rFonts w:ascii="Calibri" w:hAnsi="Calibri"/>
                <w:sz w:val="22"/>
                <w:szCs w:val="22"/>
              </w:rPr>
            </w:pPr>
            <w:r w:rsidRPr="00164EB9">
              <w:rPr>
                <w:rFonts w:ascii="Calibri" w:hAnsi="Calibri"/>
                <w:sz w:val="22"/>
                <w:szCs w:val="22"/>
              </w:rPr>
              <w:t>1. Doel(en)</w:t>
            </w:r>
          </w:p>
        </w:tc>
        <w:tc>
          <w:tcPr>
            <w:tcW w:w="5345" w:type="dxa"/>
            <w:hideMark/>
          </w:tcPr>
          <w:p w:rsidRPr="0090096F" w:rsidR="008313FD" w:rsidP="00145F19" w:rsidRDefault="008313FD" w14:paraId="04E28C05" w14:textId="77777777">
            <w:pPr>
              <w:rPr>
                <w:rFonts w:ascii="Calibri" w:hAnsi="Calibri"/>
                <w:sz w:val="22"/>
                <w:szCs w:val="22"/>
              </w:rPr>
            </w:pPr>
            <w:r w:rsidRPr="0090096F">
              <w:rPr>
                <w:rFonts w:ascii="Calibri" w:hAnsi="Calibri"/>
                <w:sz w:val="22"/>
                <w:szCs w:val="22"/>
              </w:rPr>
              <w:t xml:space="preserve">Het IPCEI instrument vormt een belangrijke ondersteuning voor nieuwe grootschalige waterstofprojecten in Nederland en in andere Europese landen. Om de waterstofeconomie te versnellen is in het Klimaatakkoord afgesproken dat Nederland in IPCEI-verband inzet op een sterke rol voor groene waterstof in de concurrentiepositie van Europa ten opzichte van andere werelddelen. </w:t>
            </w:r>
          </w:p>
          <w:p w:rsidR="008313FD" w:rsidP="00145F19" w:rsidRDefault="008313FD" w14:paraId="68C1A8FA" w14:textId="77777777">
            <w:pPr>
              <w:rPr>
                <w:rFonts w:ascii="Calibri" w:hAnsi="Calibri"/>
                <w:sz w:val="22"/>
                <w:szCs w:val="22"/>
              </w:rPr>
            </w:pPr>
          </w:p>
          <w:p w:rsidR="008313FD" w:rsidP="00145F19" w:rsidRDefault="008313FD" w14:paraId="77AAD48A" w14:textId="3F0CCA82">
            <w:pPr>
              <w:rPr>
                <w:rFonts w:ascii="Calibri" w:hAnsi="Calibri"/>
                <w:sz w:val="22"/>
                <w:szCs w:val="22"/>
              </w:rPr>
            </w:pPr>
            <w:r w:rsidRPr="0090096F">
              <w:rPr>
                <w:rFonts w:ascii="Calibri" w:hAnsi="Calibri"/>
                <w:sz w:val="22"/>
                <w:szCs w:val="22"/>
              </w:rPr>
              <w:t xml:space="preserve">Met oog op recente geopolitieke ontwikkelingen vormen projecten op deze schaal een zeer belangrijke schakel in het sneller onafhankelijk worden van Russische fossiele brandstoffen. De projecten die voor subsidie in aanmerking willen komen in de tweede golf richten zich </w:t>
            </w:r>
            <w:bookmarkStart w:name="_Hlk107245610" w:id="0"/>
            <w:r w:rsidRPr="0090096F">
              <w:rPr>
                <w:rFonts w:ascii="Calibri" w:hAnsi="Calibri"/>
                <w:sz w:val="22"/>
                <w:szCs w:val="22"/>
              </w:rPr>
              <w:t>op grootschalige productie van elektrolysecapaciteit. De projecten in de derde golf zijn gericht op het opzetten van grootschalige importfaciliteiten, opslag, en infrastructuur voor groene waterstof</w:t>
            </w:r>
            <w:bookmarkEnd w:id="0"/>
            <w:r w:rsidRPr="0090096F">
              <w:rPr>
                <w:rFonts w:ascii="Calibri" w:hAnsi="Calibri"/>
                <w:sz w:val="22"/>
                <w:szCs w:val="22"/>
              </w:rPr>
              <w:t>. Op dit moment zijn projecten met duurzame waterstoftechnologie nog niet commercieel haalbaar en is overheidssteun nodig om de eerste projecten te realiseren en daarmee schaal te creëren om toekomstige kostenreducties in de technologische ontwikkelingen te realiseren.</w:t>
            </w:r>
          </w:p>
          <w:p w:rsidR="008313FD" w:rsidP="00145F19" w:rsidRDefault="008313FD" w14:paraId="6FA89D81" w14:textId="77777777">
            <w:pPr>
              <w:rPr>
                <w:rFonts w:ascii="Calibri" w:hAnsi="Calibri"/>
                <w:sz w:val="22"/>
                <w:szCs w:val="22"/>
              </w:rPr>
            </w:pPr>
          </w:p>
          <w:p w:rsidRPr="00164EB9" w:rsidR="008313FD" w:rsidP="00145F19" w:rsidRDefault="008313FD" w14:paraId="32AF59DF" w14:textId="77777777">
            <w:pPr>
              <w:rPr>
                <w:rFonts w:ascii="Calibri" w:hAnsi="Calibri"/>
                <w:sz w:val="22"/>
                <w:szCs w:val="22"/>
              </w:rPr>
            </w:pPr>
            <w:r w:rsidRPr="0090096F">
              <w:rPr>
                <w:rFonts w:ascii="Calibri" w:hAnsi="Calibri"/>
                <w:sz w:val="22"/>
                <w:szCs w:val="22"/>
              </w:rPr>
              <w:t>Om dit te bewerkstelligen stelt het Ministerie van Economische Zaken en Klimaat (EZK) maximaal €</w:t>
            </w:r>
            <w:r>
              <w:rPr>
                <w:rFonts w:ascii="Calibri" w:hAnsi="Calibri"/>
                <w:sz w:val="22"/>
                <w:szCs w:val="22"/>
              </w:rPr>
              <w:t xml:space="preserve"> </w:t>
            </w:r>
            <w:r w:rsidRPr="0090096F">
              <w:rPr>
                <w:rFonts w:ascii="Calibri" w:hAnsi="Calibri"/>
                <w:sz w:val="22"/>
                <w:szCs w:val="22"/>
              </w:rPr>
              <w:t>785 miljoen beschikbaar voor de tweede golf van het IPCEI waterstof (IPCEI Industry) en maximaal € 600 miljoen voor de derde golf (IPCEI Regional Hubs and Their Links).</w:t>
            </w:r>
          </w:p>
        </w:tc>
      </w:tr>
      <w:tr w:rsidRPr="00164EB9" w:rsidR="008313FD" w:rsidTr="008313FD" w14:paraId="03162532" w14:textId="77777777">
        <w:trPr>
          <w:trHeight w:val="496"/>
        </w:trPr>
        <w:tc>
          <w:tcPr>
            <w:tcW w:w="3422" w:type="dxa"/>
            <w:noWrap/>
            <w:hideMark/>
          </w:tcPr>
          <w:p w:rsidRPr="00164EB9" w:rsidR="008313FD" w:rsidP="00145F19" w:rsidRDefault="008313FD" w14:paraId="7E42AB36" w14:textId="77777777">
            <w:pPr>
              <w:rPr>
                <w:rFonts w:ascii="Calibri" w:hAnsi="Calibri"/>
                <w:sz w:val="22"/>
                <w:szCs w:val="22"/>
              </w:rPr>
            </w:pPr>
            <w:r w:rsidRPr="00164EB9">
              <w:rPr>
                <w:rFonts w:ascii="Calibri" w:hAnsi="Calibri"/>
                <w:sz w:val="22"/>
                <w:szCs w:val="22"/>
              </w:rPr>
              <w:t>2. Beleidsinstrument(en)</w:t>
            </w:r>
          </w:p>
        </w:tc>
        <w:tc>
          <w:tcPr>
            <w:tcW w:w="5345" w:type="dxa"/>
            <w:hideMark/>
          </w:tcPr>
          <w:p w:rsidRPr="00164EB9" w:rsidR="008313FD" w:rsidP="00145F19" w:rsidRDefault="008313FD" w14:paraId="5EAF3877" w14:textId="77777777">
            <w:pPr>
              <w:rPr>
                <w:rFonts w:ascii="Calibri" w:hAnsi="Calibri"/>
                <w:sz w:val="22"/>
                <w:szCs w:val="22"/>
              </w:rPr>
            </w:pPr>
            <w:r w:rsidRPr="0090096F">
              <w:rPr>
                <w:rFonts w:ascii="Calibri" w:hAnsi="Calibri"/>
                <w:sz w:val="22"/>
                <w:szCs w:val="22"/>
              </w:rPr>
              <w:t>De genoemde middelen stelt het Ministerie beschikbaar via een subsidiemodule voor IPCEI-projecten.</w:t>
            </w:r>
            <w:r>
              <w:rPr>
                <w:rFonts w:ascii="Calibri" w:hAnsi="Calibri"/>
                <w:sz w:val="22"/>
                <w:szCs w:val="22"/>
              </w:rPr>
              <w:t xml:space="preserve"> De module </w:t>
            </w:r>
            <w:r>
              <w:rPr>
                <w:rFonts w:ascii="Calibri" w:hAnsi="Calibri"/>
                <w:sz w:val="22"/>
                <w:szCs w:val="22"/>
              </w:rPr>
              <w:lastRenderedPageBreak/>
              <w:t xml:space="preserve">wordt opengesteld voor golven 2 en 3. Omdat de golven verschillende doelen hebben elektrolyse capaciteit, en import- en opslag infrastructuur), zullen de respectievelijke projecten en golven binnen de subsidiemodule apart geëvalueerd worden.  </w:t>
            </w:r>
            <w:r w:rsidRPr="0090096F">
              <w:rPr>
                <w:rFonts w:ascii="Calibri" w:hAnsi="Calibri"/>
                <w:sz w:val="22"/>
                <w:szCs w:val="22"/>
              </w:rPr>
              <w:t xml:space="preserve">De subsidie bestaat uit een CAPEX-subsidie voor het realiseren van de benodigde faciliteiten en infrastructuur, en uit een OPEX-subsidie tot aan de massaproductie fase van een project. </w:t>
            </w:r>
            <w:r>
              <w:rPr>
                <w:rFonts w:ascii="Calibri" w:hAnsi="Calibri"/>
                <w:sz w:val="22"/>
                <w:szCs w:val="22"/>
              </w:rPr>
              <w:t xml:space="preserve">De kosten die hiervoor in aanmerking komen volgen uit een lijst opgesteld door de Europese Commissie in het IPCEI-steunkader en kunnen tot 100% gesubsidieerd worden binnen het Europese IPCEI steunkader. De nationale IPCEI subsidiemodule biedt de mogelijkheid om voor een lager percentage aan de projecten toe te kennen. </w:t>
            </w:r>
            <w:r w:rsidRPr="0090096F">
              <w:rPr>
                <w:rFonts w:ascii="Calibri" w:hAnsi="Calibri"/>
                <w:sz w:val="22"/>
                <w:szCs w:val="22"/>
              </w:rPr>
              <w:t>Voor deze middelen komen alleen projecten in aanmerking die hebben deelgenomen aan de voorbereidende handelingen voor de tweede en derde golf van het IPCEI waterstof en door de Nederlandse overheid voor pre-notificatie zijn opgegeven bij de Europese Commissie.</w:t>
            </w:r>
          </w:p>
        </w:tc>
      </w:tr>
      <w:tr w:rsidRPr="00164EB9" w:rsidR="008313FD" w:rsidTr="00145F19" w14:paraId="74CD7774" w14:textId="77777777">
        <w:trPr>
          <w:trHeight w:val="886"/>
        </w:trPr>
        <w:tc>
          <w:tcPr>
            <w:tcW w:w="3422" w:type="dxa"/>
            <w:noWrap/>
            <w:hideMark/>
          </w:tcPr>
          <w:p w:rsidRPr="00164EB9" w:rsidR="008313FD" w:rsidP="00145F19" w:rsidRDefault="008313FD" w14:paraId="039D9B3A" w14:textId="77777777">
            <w:pPr>
              <w:rPr>
                <w:rFonts w:ascii="Calibri" w:hAnsi="Calibri"/>
                <w:sz w:val="22"/>
                <w:szCs w:val="22"/>
              </w:rPr>
            </w:pPr>
            <w:r w:rsidRPr="00164EB9">
              <w:rPr>
                <w:rFonts w:ascii="Calibri" w:hAnsi="Calibri"/>
                <w:sz w:val="22"/>
                <w:szCs w:val="22"/>
              </w:rPr>
              <w:lastRenderedPageBreak/>
              <w:t>3a. Financiële gevolgen voor het Rijk</w:t>
            </w:r>
          </w:p>
        </w:tc>
        <w:tc>
          <w:tcPr>
            <w:tcW w:w="5345" w:type="dxa"/>
            <w:hideMark/>
          </w:tcPr>
          <w:p w:rsidRPr="00164EB9" w:rsidR="008313FD" w:rsidP="00145F19" w:rsidRDefault="008313FD" w14:paraId="5058AC0E" w14:textId="45131B92">
            <w:pPr>
              <w:rPr>
                <w:rFonts w:ascii="Calibri" w:hAnsi="Calibri"/>
                <w:sz w:val="22"/>
                <w:szCs w:val="22"/>
              </w:rPr>
            </w:pPr>
            <w:r w:rsidRPr="0090096F">
              <w:rPr>
                <w:rFonts w:ascii="Calibri" w:hAnsi="Calibri"/>
                <w:sz w:val="22"/>
                <w:szCs w:val="22"/>
              </w:rPr>
              <w:t xml:space="preserve">De financiële gevolgen voor de Rijksbegroting betreffen in totaal </w:t>
            </w:r>
            <w:r w:rsidR="00123752">
              <w:rPr>
                <w:rFonts w:ascii="Calibri" w:hAnsi="Calibri"/>
                <w:sz w:val="22"/>
                <w:szCs w:val="22"/>
              </w:rPr>
              <w:t xml:space="preserve">maximaal </w:t>
            </w:r>
            <w:r w:rsidRPr="0090096F">
              <w:rPr>
                <w:rFonts w:ascii="Calibri" w:hAnsi="Calibri"/>
                <w:sz w:val="22"/>
                <w:szCs w:val="22"/>
              </w:rPr>
              <w:t>€</w:t>
            </w:r>
            <w:r>
              <w:rPr>
                <w:rFonts w:ascii="Calibri" w:hAnsi="Calibri"/>
                <w:sz w:val="22"/>
                <w:szCs w:val="22"/>
              </w:rPr>
              <w:t xml:space="preserve"> </w:t>
            </w:r>
            <w:r w:rsidRPr="0090096F">
              <w:rPr>
                <w:rFonts w:ascii="Calibri" w:hAnsi="Calibri"/>
                <w:sz w:val="22"/>
                <w:szCs w:val="22"/>
              </w:rPr>
              <w:t>1</w:t>
            </w:r>
            <w:r w:rsidR="00254A0B">
              <w:rPr>
                <w:rFonts w:ascii="Calibri" w:hAnsi="Calibri"/>
                <w:sz w:val="22"/>
                <w:szCs w:val="22"/>
              </w:rPr>
              <w:t>,</w:t>
            </w:r>
            <w:r w:rsidRPr="0090096F">
              <w:rPr>
                <w:rFonts w:ascii="Calibri" w:hAnsi="Calibri"/>
                <w:sz w:val="22"/>
                <w:szCs w:val="22"/>
              </w:rPr>
              <w:t>385 miljard voor IPCEI golven 2 (</w:t>
            </w:r>
            <w:r w:rsidR="00123752">
              <w:rPr>
                <w:rFonts w:ascii="Calibri" w:hAnsi="Calibri"/>
                <w:sz w:val="22"/>
                <w:szCs w:val="22"/>
              </w:rPr>
              <w:t xml:space="preserve">maximaal </w:t>
            </w:r>
            <w:r w:rsidRPr="0090096F">
              <w:rPr>
                <w:rFonts w:ascii="Calibri" w:hAnsi="Calibri"/>
                <w:sz w:val="22"/>
                <w:szCs w:val="22"/>
              </w:rPr>
              <w:t>€</w:t>
            </w:r>
            <w:r>
              <w:rPr>
                <w:rFonts w:ascii="Calibri" w:hAnsi="Calibri"/>
                <w:sz w:val="22"/>
                <w:szCs w:val="22"/>
              </w:rPr>
              <w:t xml:space="preserve"> </w:t>
            </w:r>
            <w:r w:rsidRPr="0090096F">
              <w:rPr>
                <w:rFonts w:ascii="Calibri" w:hAnsi="Calibri"/>
                <w:sz w:val="22"/>
                <w:szCs w:val="22"/>
              </w:rPr>
              <w:t>785 m</w:t>
            </w:r>
            <w:r>
              <w:rPr>
                <w:rFonts w:ascii="Calibri" w:hAnsi="Calibri"/>
                <w:sz w:val="22"/>
                <w:szCs w:val="22"/>
              </w:rPr>
              <w:t>iljoen</w:t>
            </w:r>
            <w:r w:rsidRPr="0090096F">
              <w:rPr>
                <w:rFonts w:ascii="Calibri" w:hAnsi="Calibri"/>
                <w:sz w:val="22"/>
                <w:szCs w:val="22"/>
              </w:rPr>
              <w:t>) en 3 (</w:t>
            </w:r>
            <w:r w:rsidR="00123752">
              <w:rPr>
                <w:rFonts w:ascii="Calibri" w:hAnsi="Calibri"/>
                <w:sz w:val="22"/>
                <w:szCs w:val="22"/>
              </w:rPr>
              <w:t xml:space="preserve">maximaal </w:t>
            </w:r>
            <w:r w:rsidRPr="0090096F">
              <w:rPr>
                <w:rFonts w:ascii="Calibri" w:hAnsi="Calibri"/>
                <w:sz w:val="22"/>
                <w:szCs w:val="22"/>
              </w:rPr>
              <w:t>€</w:t>
            </w:r>
            <w:r>
              <w:rPr>
                <w:rFonts w:ascii="Calibri" w:hAnsi="Calibri"/>
                <w:sz w:val="22"/>
                <w:szCs w:val="22"/>
              </w:rPr>
              <w:t xml:space="preserve"> </w:t>
            </w:r>
            <w:r w:rsidRPr="0090096F">
              <w:rPr>
                <w:rFonts w:ascii="Calibri" w:hAnsi="Calibri"/>
                <w:sz w:val="22"/>
                <w:szCs w:val="22"/>
              </w:rPr>
              <w:t>600 m</w:t>
            </w:r>
            <w:r>
              <w:rPr>
                <w:rFonts w:ascii="Calibri" w:hAnsi="Calibri"/>
                <w:sz w:val="22"/>
                <w:szCs w:val="22"/>
              </w:rPr>
              <w:t>i</w:t>
            </w:r>
            <w:r w:rsidRPr="0090096F">
              <w:rPr>
                <w:rFonts w:ascii="Calibri" w:hAnsi="Calibri"/>
                <w:sz w:val="22"/>
                <w:szCs w:val="22"/>
              </w:rPr>
              <w:t>l</w:t>
            </w:r>
            <w:r>
              <w:rPr>
                <w:rFonts w:ascii="Calibri" w:hAnsi="Calibri"/>
                <w:sz w:val="22"/>
                <w:szCs w:val="22"/>
              </w:rPr>
              <w:t>joen</w:t>
            </w:r>
            <w:r w:rsidRPr="0090096F">
              <w:rPr>
                <w:rFonts w:ascii="Calibri" w:hAnsi="Calibri"/>
                <w:sz w:val="22"/>
                <w:szCs w:val="22"/>
              </w:rPr>
              <w:t>). Deze middelen zijn reeds in het Klimaatfonds gereserveerd voor 2023 en verder. De totale verplichtingenruimte voor deze twee golven wordt middels de 7</w:t>
            </w:r>
            <w:r w:rsidRPr="00123752">
              <w:rPr>
                <w:rFonts w:ascii="Calibri" w:hAnsi="Calibri"/>
                <w:sz w:val="22"/>
                <w:szCs w:val="22"/>
                <w:vertAlign w:val="superscript"/>
              </w:rPr>
              <w:t>e</w:t>
            </w:r>
            <w:r w:rsidRPr="0090096F">
              <w:rPr>
                <w:rFonts w:ascii="Calibri" w:hAnsi="Calibri"/>
                <w:sz w:val="22"/>
                <w:szCs w:val="22"/>
              </w:rPr>
              <w:t xml:space="preserve"> incidentele suppletoire begroting naar de EZK begroting van 2022 gehaald. De middelen zijn uitsluitend beschikbaar voor de door de Europese Commissie goedgekeurde projecten in de IPCEI golven voor de verwachte looptijd van 2023 tot en met 2027. De definitieve looptijd hangt af van de definitieve selectie van projecten. </w:t>
            </w:r>
          </w:p>
        </w:tc>
      </w:tr>
      <w:tr w:rsidRPr="00164EB9" w:rsidR="008313FD" w:rsidTr="00145F19" w14:paraId="2468539D" w14:textId="77777777">
        <w:trPr>
          <w:trHeight w:val="1182"/>
        </w:trPr>
        <w:tc>
          <w:tcPr>
            <w:tcW w:w="3422" w:type="dxa"/>
            <w:noWrap/>
            <w:hideMark/>
          </w:tcPr>
          <w:p w:rsidRPr="00164EB9" w:rsidR="008313FD" w:rsidP="00145F19" w:rsidRDefault="008313FD" w14:paraId="096CA105" w14:textId="77777777">
            <w:pPr>
              <w:rPr>
                <w:rFonts w:ascii="Calibri" w:hAnsi="Calibri"/>
                <w:sz w:val="22"/>
                <w:szCs w:val="22"/>
              </w:rPr>
            </w:pPr>
            <w:r w:rsidRPr="00164EB9">
              <w:rPr>
                <w:rFonts w:ascii="Calibri" w:hAnsi="Calibri"/>
                <w:sz w:val="22"/>
                <w:szCs w:val="22"/>
              </w:rPr>
              <w:t>3b. Financiële gevolgen voor maatschappelijke actoren</w:t>
            </w:r>
          </w:p>
        </w:tc>
        <w:tc>
          <w:tcPr>
            <w:tcW w:w="5345" w:type="dxa"/>
            <w:hideMark/>
          </w:tcPr>
          <w:p w:rsidRPr="00164EB9" w:rsidR="008313FD" w:rsidP="00145F19" w:rsidRDefault="008313FD" w14:paraId="2769E44E" w14:textId="77777777">
            <w:pPr>
              <w:rPr>
                <w:rFonts w:ascii="Calibri" w:hAnsi="Calibri"/>
                <w:sz w:val="22"/>
                <w:szCs w:val="22"/>
              </w:rPr>
            </w:pPr>
            <w:r w:rsidRPr="0090096F">
              <w:rPr>
                <w:rFonts w:ascii="Calibri" w:hAnsi="Calibri"/>
                <w:sz w:val="22"/>
                <w:szCs w:val="22"/>
              </w:rPr>
              <w:t xml:space="preserve">Via de subsidiemodule zal EZK de geselecteerde projecten niet meer steun verlenen dan strikt noodzakelijk is. Over-subsidiering van projecten wordt vermeden door de implementatie van een clawback-mechanisme, waarin middelen teruggevorderd kunnen worden wanneer projecten meer winst maken dan van te voren verwacht (door bijvoorbeeld een hogere waterstofprijs). De subsidiebehoefte wordt uitvoerig </w:t>
            </w:r>
            <w:r w:rsidRPr="0090096F">
              <w:rPr>
                <w:rFonts w:ascii="Calibri" w:hAnsi="Calibri"/>
                <w:sz w:val="22"/>
                <w:szCs w:val="22"/>
              </w:rPr>
              <w:lastRenderedPageBreak/>
              <w:t>getoetst door zowel de Europese Commissie als de Rijksdienst voor Ondernemend Nederland (RVO).</w:t>
            </w:r>
          </w:p>
        </w:tc>
      </w:tr>
      <w:tr w:rsidRPr="00164EB9" w:rsidR="008313FD" w:rsidTr="00145F19" w14:paraId="46675702" w14:textId="77777777">
        <w:trPr>
          <w:trHeight w:val="793"/>
        </w:trPr>
        <w:tc>
          <w:tcPr>
            <w:tcW w:w="3422" w:type="dxa"/>
            <w:noWrap/>
            <w:hideMark/>
          </w:tcPr>
          <w:p w:rsidRPr="00164EB9" w:rsidR="008313FD" w:rsidP="00145F19" w:rsidRDefault="008313FD" w14:paraId="515C6841" w14:textId="77777777">
            <w:pPr>
              <w:rPr>
                <w:rFonts w:ascii="Calibri" w:hAnsi="Calibri"/>
                <w:sz w:val="22"/>
                <w:szCs w:val="22"/>
              </w:rPr>
            </w:pPr>
            <w:r w:rsidRPr="00164EB9">
              <w:rPr>
                <w:rFonts w:ascii="Calibri" w:hAnsi="Calibri"/>
                <w:sz w:val="22"/>
                <w:szCs w:val="22"/>
              </w:rPr>
              <w:lastRenderedPageBreak/>
              <w:t>4. Nagestreefde doeltreffendheid</w:t>
            </w:r>
          </w:p>
        </w:tc>
        <w:tc>
          <w:tcPr>
            <w:tcW w:w="5345" w:type="dxa"/>
            <w:hideMark/>
          </w:tcPr>
          <w:p w:rsidRPr="00747DDD" w:rsidR="008313FD" w:rsidP="00145F19" w:rsidRDefault="008313FD" w14:paraId="6118649F" w14:textId="77777777">
            <w:pPr>
              <w:rPr>
                <w:rFonts w:asciiTheme="minorHAnsi" w:hAnsiTheme="minorHAnsi" w:cstheme="minorHAnsi"/>
                <w:sz w:val="22"/>
                <w:szCs w:val="22"/>
              </w:rPr>
            </w:pPr>
            <w:r w:rsidRPr="00747DDD">
              <w:rPr>
                <w:rFonts w:asciiTheme="minorHAnsi" w:hAnsiTheme="minorHAnsi" w:cstheme="minorHAnsi"/>
                <w:sz w:val="22"/>
                <w:szCs w:val="22"/>
              </w:rPr>
              <w:t xml:space="preserve">Via het IPCEI-traject kunnen projecten genotificeerd worden om staatssteun te kunnen ontvangen, waarbij nationale overheden meer steun aan projecten kunnen geven dan onder de gangbare steunkaders. Met de IPCEI-deelname beoogt het kabinet een impuls te geven aan de ontwikkeling van de bredere waterstofmarkt door het opzetten van grootschalige waterstofproductie en de daarvoor benodigde importfaciliteiten en infrastructuur, als toevoeging op het generieke instrumentarium dat alleen (beperkte) ondersteuning biedt aan kleinschaligere waterstofproductie en infrastructuur en minder op de innovatieve productie en risicovoller opschaling van de nieuwe technologie. De IPCEI-projecten moeten erop gericht zijn om de kosten van schone waterstof te verlagen en een perspectief te bieden voor schone productietechnologieën om te kunnen concurreren met traditionele technologieën. De gewenste effecten zijn als gevolg van het realiseren van de projecten onder andere lagere kosten en kleinere risico’s voor toekomstige vergelijkbare projecten: door de lessen die de aanvragers leren met hun projecten leveren zij relevante informatie op voor andere marktpartijen. </w:t>
            </w:r>
          </w:p>
          <w:p w:rsidRPr="00747DDD" w:rsidR="008313FD" w:rsidP="00145F19" w:rsidRDefault="008313FD" w14:paraId="7FD90DE3" w14:textId="77777777">
            <w:pPr>
              <w:rPr>
                <w:rFonts w:asciiTheme="minorHAnsi" w:hAnsiTheme="minorHAnsi" w:cstheme="minorHAnsi"/>
                <w:sz w:val="22"/>
                <w:szCs w:val="22"/>
              </w:rPr>
            </w:pPr>
          </w:p>
          <w:p w:rsidRPr="00747DDD" w:rsidR="008313FD" w:rsidP="00145F19" w:rsidRDefault="008313FD" w14:paraId="44F6AD68" w14:textId="77777777">
            <w:pPr>
              <w:rPr>
                <w:rFonts w:asciiTheme="minorHAnsi" w:hAnsiTheme="minorHAnsi" w:cstheme="minorHAnsi"/>
                <w:sz w:val="22"/>
                <w:szCs w:val="22"/>
              </w:rPr>
            </w:pPr>
            <w:r w:rsidRPr="00747DDD">
              <w:rPr>
                <w:rFonts w:asciiTheme="minorHAnsi" w:hAnsiTheme="minorHAnsi" w:cstheme="minorHAnsi"/>
                <w:sz w:val="22"/>
                <w:szCs w:val="22"/>
              </w:rPr>
              <w:t>Door deel te nemen aan IPCEI vormen de projecten onderdeel van een Europese waardeketen die de impuls vormt voor het ontstaan van de waterstofeconomie in Europa. De Europese Commissie heeft op 11 maart jl. in RePowerEU aangegeven dat het hoge prioriteit aan het realiseren van IPCEI-projecten geeft en behandelt deze projecten daarom met voorrang, waardoor ze snel gerealiseerd kunnen worden. De projecten die EZK wil steunen via het IPCEI hebben geen andere mogelijkheid om tijdig voldoende subsidies aan te vragen om hun project te realiseren en daarmee bij te dragen aan de Nederlandse beleidsdoelen van 500 MW geïnstalleerd vermogen in 2025 en 3-4 GW in 2030.</w:t>
            </w:r>
          </w:p>
        </w:tc>
      </w:tr>
      <w:tr w:rsidRPr="00164EB9" w:rsidR="008313FD" w:rsidTr="00145F19" w14:paraId="2F3705A3" w14:textId="77777777">
        <w:trPr>
          <w:trHeight w:val="1773"/>
        </w:trPr>
        <w:tc>
          <w:tcPr>
            <w:tcW w:w="3422" w:type="dxa"/>
            <w:noWrap/>
            <w:hideMark/>
          </w:tcPr>
          <w:p w:rsidRPr="00164EB9" w:rsidR="008313FD" w:rsidP="00145F19" w:rsidRDefault="008313FD" w14:paraId="0581B49B" w14:textId="77777777">
            <w:pPr>
              <w:rPr>
                <w:rFonts w:ascii="Calibri" w:hAnsi="Calibri"/>
                <w:sz w:val="22"/>
                <w:szCs w:val="22"/>
              </w:rPr>
            </w:pPr>
            <w:r w:rsidRPr="00164EB9">
              <w:rPr>
                <w:rFonts w:ascii="Calibri" w:hAnsi="Calibri"/>
                <w:sz w:val="22"/>
                <w:szCs w:val="22"/>
              </w:rPr>
              <w:lastRenderedPageBreak/>
              <w:t>5. Nagestreefde doelmatigheid</w:t>
            </w:r>
          </w:p>
        </w:tc>
        <w:tc>
          <w:tcPr>
            <w:tcW w:w="5345" w:type="dxa"/>
            <w:hideMark/>
          </w:tcPr>
          <w:p w:rsidRPr="00164EB9" w:rsidR="008313FD" w:rsidP="00145F19" w:rsidRDefault="008313FD" w14:paraId="5BFA5FB8" w14:textId="77777777">
            <w:pPr>
              <w:rPr>
                <w:rFonts w:ascii="Calibri" w:hAnsi="Calibri"/>
                <w:sz w:val="22"/>
                <w:szCs w:val="22"/>
              </w:rPr>
            </w:pPr>
            <w:r w:rsidRPr="0090096F">
              <w:rPr>
                <w:rFonts w:ascii="Calibri" w:hAnsi="Calibri"/>
                <w:sz w:val="22"/>
                <w:szCs w:val="22"/>
              </w:rPr>
              <w:t>Door waterstofproductie te stimuleren middels het IPCEI-traject beoogt het kabinet de ontwikkeling van de waterstofmarkt op gang te brengen, conform de ambities in het Klimaatakkoord. Het gaat om een incidentele subsidie: EZK beoogt met beperkte, gerichte ingrepen de beoogde ontwikkeling op gang te brengen. Projecten zullen definitief worden geselecteerd afhankelijk van de rangschikkingscriteria in de IPCEI subsidiemodule en de beoordeling door de Europese Commissie op basis van het IPCEI steunkader.</w:t>
            </w:r>
          </w:p>
        </w:tc>
      </w:tr>
      <w:tr w:rsidRPr="00164EB9" w:rsidR="008313FD" w:rsidTr="00145F19" w14:paraId="186D7987" w14:textId="77777777">
        <w:trPr>
          <w:trHeight w:val="1182"/>
        </w:trPr>
        <w:tc>
          <w:tcPr>
            <w:tcW w:w="3422" w:type="dxa"/>
            <w:noWrap/>
            <w:hideMark/>
          </w:tcPr>
          <w:p w:rsidRPr="00164EB9" w:rsidR="008313FD" w:rsidP="00145F19" w:rsidRDefault="008313FD" w14:paraId="6CE0185A" w14:textId="77777777">
            <w:pPr>
              <w:rPr>
                <w:rFonts w:ascii="Calibri" w:hAnsi="Calibri"/>
                <w:sz w:val="22"/>
                <w:szCs w:val="22"/>
              </w:rPr>
            </w:pPr>
            <w:r w:rsidRPr="00164EB9">
              <w:rPr>
                <w:rFonts w:ascii="Calibri" w:hAnsi="Calibri"/>
                <w:sz w:val="22"/>
                <w:szCs w:val="22"/>
              </w:rPr>
              <w:t>6. Evaluatieparagraaf</w:t>
            </w:r>
          </w:p>
        </w:tc>
        <w:tc>
          <w:tcPr>
            <w:tcW w:w="5345" w:type="dxa"/>
            <w:hideMark/>
          </w:tcPr>
          <w:p w:rsidRPr="0090096F" w:rsidR="008313FD" w:rsidP="00145F19" w:rsidRDefault="008313FD" w14:paraId="6C13223D" w14:textId="77777777">
            <w:pPr>
              <w:rPr>
                <w:rFonts w:ascii="Calibri" w:hAnsi="Calibri"/>
                <w:sz w:val="22"/>
                <w:szCs w:val="22"/>
              </w:rPr>
            </w:pPr>
            <w:r w:rsidRPr="0090096F">
              <w:rPr>
                <w:rFonts w:ascii="Calibri" w:hAnsi="Calibri"/>
                <w:sz w:val="22"/>
                <w:szCs w:val="22"/>
              </w:rPr>
              <w:t xml:space="preserve">Subsidieontvangers moeten jaarlijks gedurende de looptijd en bij vaststelling van de subsidie rapporteren over de voortgang ten opzichte van het beoogde projectplan, de behaalde resultaten, de financiële realisatie en eventuele voorziene vertragingen/tegenvallers. Deze rapportages zijn grotendeels openbaar – uitgezonderd van bedrijfsvertrouwelijke informatie – waardoor andere bedrijven en organisaties hiervan kunnen leren. </w:t>
            </w:r>
          </w:p>
          <w:p w:rsidRPr="0090096F" w:rsidR="008313FD" w:rsidP="00145F19" w:rsidRDefault="008313FD" w14:paraId="35156D94" w14:textId="77777777">
            <w:pPr>
              <w:rPr>
                <w:rFonts w:ascii="Calibri" w:hAnsi="Calibri"/>
                <w:sz w:val="22"/>
                <w:szCs w:val="22"/>
              </w:rPr>
            </w:pPr>
          </w:p>
          <w:p w:rsidRPr="0090096F" w:rsidR="008313FD" w:rsidP="00145F19" w:rsidRDefault="008313FD" w14:paraId="1219A481" w14:textId="77777777">
            <w:pPr>
              <w:rPr>
                <w:rFonts w:ascii="Calibri" w:hAnsi="Calibri"/>
                <w:sz w:val="22"/>
                <w:szCs w:val="22"/>
              </w:rPr>
            </w:pPr>
            <w:r w:rsidRPr="0090096F">
              <w:rPr>
                <w:rFonts w:ascii="Calibri" w:hAnsi="Calibri"/>
                <w:sz w:val="22"/>
                <w:szCs w:val="22"/>
              </w:rPr>
              <w:t xml:space="preserve">Met hun projectplan moeten bedrijven bijvoorbeeld vooraf aantonen welke resultaten (realiseren van opgesteld vermogen, productie en/of groene waterstof, vulgraad opslag, etc.) zij beogen te realiseren aan de hand van de opgegeven activiteiten (aanschaf van installaties, aanleg van faciliteiten, inzet van personeel, etc.) en welke uitgaven daar tegenover staan. De resultaten en activiteiten moeten ook in de tijd geordend worden. Het is op basis van deze informatie dat EZK zal bepalen of de projecten op schema lopen gedurende de subsidieperiode en achteraf zal beoordelen of de projecten succesvol waren. </w:t>
            </w:r>
          </w:p>
          <w:p w:rsidRPr="0090096F" w:rsidR="008313FD" w:rsidP="00145F19" w:rsidRDefault="008313FD" w14:paraId="7CC8A541" w14:textId="77777777">
            <w:pPr>
              <w:rPr>
                <w:rFonts w:ascii="Calibri" w:hAnsi="Calibri"/>
                <w:sz w:val="22"/>
                <w:szCs w:val="22"/>
              </w:rPr>
            </w:pPr>
          </w:p>
          <w:p w:rsidRPr="0090096F" w:rsidR="008313FD" w:rsidP="00145F19" w:rsidRDefault="008313FD" w14:paraId="387897E3" w14:textId="77777777">
            <w:pPr>
              <w:rPr>
                <w:rFonts w:ascii="Calibri" w:hAnsi="Calibri"/>
                <w:sz w:val="22"/>
                <w:szCs w:val="22"/>
              </w:rPr>
            </w:pPr>
            <w:r w:rsidRPr="0090096F">
              <w:rPr>
                <w:rFonts w:ascii="Calibri" w:hAnsi="Calibri"/>
                <w:sz w:val="22"/>
                <w:szCs w:val="22"/>
              </w:rPr>
              <w:t xml:space="preserve">Om te bepalen of de projecten leiden tot een snellere marktontwikkeling moeten de indieners van tevoren expliciet maken hoe zij opgedane kennis gaan delen. Na afloop van het project kan EZK dan beoordelen in hoeverre de indieners deze kennis succesvol aan andere marktpartijen hebben overgebracht, op basis van hun plannen voor kennisdissimilatie (als onderdeel van het projectplan). </w:t>
            </w:r>
          </w:p>
          <w:p w:rsidRPr="0090096F" w:rsidR="008313FD" w:rsidP="00145F19" w:rsidRDefault="008313FD" w14:paraId="0567C140" w14:textId="77777777">
            <w:pPr>
              <w:rPr>
                <w:rFonts w:ascii="Calibri" w:hAnsi="Calibri"/>
                <w:sz w:val="22"/>
                <w:szCs w:val="22"/>
              </w:rPr>
            </w:pPr>
          </w:p>
          <w:p w:rsidRPr="00164EB9" w:rsidR="008313FD" w:rsidP="00145F19" w:rsidRDefault="008313FD" w14:paraId="786D694C" w14:textId="77777777">
            <w:pPr>
              <w:rPr>
                <w:rFonts w:ascii="Calibri" w:hAnsi="Calibri"/>
                <w:sz w:val="22"/>
                <w:szCs w:val="22"/>
              </w:rPr>
            </w:pPr>
            <w:r w:rsidRPr="0090096F">
              <w:rPr>
                <w:rFonts w:ascii="Calibri" w:hAnsi="Calibri"/>
                <w:sz w:val="22"/>
                <w:szCs w:val="22"/>
              </w:rPr>
              <w:lastRenderedPageBreak/>
              <w:t xml:space="preserve">De evaluatie van het IPCEI waterstof </w:t>
            </w:r>
            <w:r>
              <w:rPr>
                <w:rFonts w:ascii="Calibri" w:hAnsi="Calibri"/>
                <w:sz w:val="22"/>
                <w:szCs w:val="22"/>
              </w:rPr>
              <w:t xml:space="preserve">als geheel </w:t>
            </w:r>
            <w:r w:rsidRPr="0090096F">
              <w:rPr>
                <w:rFonts w:ascii="Calibri" w:hAnsi="Calibri"/>
                <w:sz w:val="22"/>
                <w:szCs w:val="22"/>
              </w:rPr>
              <w:t>wordt onderdeel van de Strategische Evaluatie Agenda (SEA) net als alle andere instrumenten gerelateerd aan het Klimaatbeleid en start uiterlijk in 2025.</w:t>
            </w:r>
            <w:r>
              <w:rPr>
                <w:rFonts w:ascii="Calibri" w:hAnsi="Calibri"/>
                <w:sz w:val="22"/>
                <w:szCs w:val="22"/>
              </w:rPr>
              <w:t xml:space="preserve"> </w:t>
            </w:r>
            <w:bookmarkStart w:name="_Hlk107248197" w:id="1"/>
            <w:r w:rsidRPr="00747DDD">
              <w:rPr>
                <w:rFonts w:ascii="Calibri" w:hAnsi="Calibri"/>
                <w:sz w:val="22"/>
                <w:szCs w:val="22"/>
              </w:rPr>
              <w:t xml:space="preserve">Omdat de golven verschillende doelen hebben </w:t>
            </w:r>
            <w:r>
              <w:rPr>
                <w:rFonts w:ascii="Calibri" w:hAnsi="Calibri"/>
                <w:sz w:val="22"/>
                <w:szCs w:val="22"/>
              </w:rPr>
              <w:t>(</w:t>
            </w:r>
            <w:r w:rsidRPr="00747DDD">
              <w:rPr>
                <w:rFonts w:ascii="Calibri" w:hAnsi="Calibri"/>
                <w:sz w:val="22"/>
                <w:szCs w:val="22"/>
              </w:rPr>
              <w:t>elektrolyse capaciteit, en import- en opslag infrastructuur), zullen de respectievelijke projecten en golven binnen de subsidiemodule apart geëvalueerd worden</w:t>
            </w:r>
            <w:r>
              <w:rPr>
                <w:rFonts w:ascii="Calibri" w:hAnsi="Calibri"/>
                <w:sz w:val="22"/>
                <w:szCs w:val="22"/>
              </w:rPr>
              <w:t xml:space="preserve">. </w:t>
            </w:r>
            <w:bookmarkStart w:name="_Hlk107248171" w:id="2"/>
            <w:bookmarkEnd w:id="1"/>
            <w:r>
              <w:rPr>
                <w:rFonts w:ascii="Calibri" w:hAnsi="Calibri"/>
                <w:sz w:val="22"/>
                <w:szCs w:val="22"/>
              </w:rPr>
              <w:t>De planning hiervoor wordt gebaseerd op de operationele gereedheid van de projecten welke duidelijk wordt na officiële notificatie bij de Europese Commissie. Wanneer projecten gereed zijn kan worden geëvalueerd in welke capaciteit deze hebben bijgedragen aan de Nederlandse beleidsdoelen.</w:t>
            </w:r>
            <w:bookmarkEnd w:id="2"/>
          </w:p>
        </w:tc>
      </w:tr>
    </w:tbl>
    <w:p w:rsidR="00E76F0A" w:rsidP="00E76F0A" w:rsidRDefault="00E76F0A" w14:paraId="6320134E" w14:textId="77777777">
      <w:pPr>
        <w:pStyle w:val="Default"/>
        <w:spacing w:line="240" w:lineRule="atLeast"/>
        <w:rPr>
          <w:rFonts w:ascii="Verdana" w:hAnsi="Verdana"/>
          <w:sz w:val="18"/>
          <w:szCs w:val="18"/>
        </w:rPr>
      </w:pPr>
    </w:p>
    <w:p w:rsidR="00E96088" w:rsidP="00E96088" w:rsidRDefault="00E96088" w14:paraId="7BF6BD97" w14:textId="5AC8BC35">
      <w:r>
        <w:t>Mede namens de Minister voor Klimaat en Energie,</w:t>
      </w:r>
    </w:p>
    <w:p w:rsidR="00E96088" w:rsidP="00460385" w:rsidRDefault="00E96088" w14:paraId="12F013EF" w14:textId="286A4957"/>
    <w:p w:rsidR="00E96088" w:rsidP="00460385" w:rsidRDefault="00E96088" w14:paraId="108C5D35" w14:textId="102171AA"/>
    <w:p w:rsidR="00E96088" w:rsidP="00460385" w:rsidRDefault="00E96088" w14:paraId="1C88489F" w14:textId="0AE5B57D"/>
    <w:p w:rsidR="00E76F0A" w:rsidP="00460385" w:rsidRDefault="00E76F0A" w14:paraId="436B1BD8" w14:textId="77777777"/>
    <w:p w:rsidR="005F09C8" w:rsidP="00460385" w:rsidRDefault="005F09C8" w14:paraId="1517EAD8" w14:textId="77777777"/>
    <w:p w:rsidRPr="00460385" w:rsidR="005F09C8" w:rsidP="005F09C8" w:rsidRDefault="005F09C8" w14:paraId="745F0211" w14:textId="77777777">
      <w:pPr>
        <w:rPr>
          <w:szCs w:val="18"/>
        </w:rPr>
      </w:pPr>
      <w:r w:rsidRPr="00460385">
        <w:rPr>
          <w:szCs w:val="18"/>
        </w:rPr>
        <w:t>M.A.M. Adriaansens</w:t>
      </w:r>
    </w:p>
    <w:p w:rsidRPr="00AE228A" w:rsidR="005F09C8" w:rsidP="00AE228A" w:rsidRDefault="005F09C8" w14:paraId="2E584093" w14:textId="42FAB091">
      <w:r>
        <w:t>Minister van Economische Zaken en Klimaat</w:t>
      </w:r>
    </w:p>
    <w:sectPr w:rsidRPr="00AE228A" w:rsidR="005F09C8" w:rsidSect="001E17B7">
      <w:headerReference w:type="default" r:id="rId8"/>
      <w:footerReference w:type="default" r:id="rId9"/>
      <w:headerReference w:type="first" r:id="rId10"/>
      <w:footerReference w:type="first" r:id="rId11"/>
      <w:pgSz w:w="11906" w:h="16838" w:code="9"/>
      <w:pgMar w:top="2398" w:right="2818" w:bottom="794"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587F" w14:textId="77777777" w:rsidR="007E43EF" w:rsidRDefault="007E43EF">
      <w:pPr>
        <w:spacing w:line="240" w:lineRule="auto"/>
      </w:pPr>
      <w:r>
        <w:separator/>
      </w:r>
    </w:p>
  </w:endnote>
  <w:endnote w:type="continuationSeparator" w:id="0">
    <w:p w14:paraId="37DD5EBB" w14:textId="77777777" w:rsidR="007E43EF" w:rsidRDefault="007E43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E98C" w14:textId="77777777" w:rsidR="00AE501D" w:rsidRPr="00BC3B53" w:rsidRDefault="00AE501D"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AE501D" w14:paraId="1EAD3107" w14:textId="77777777" w:rsidTr="00CA6A25">
      <w:trPr>
        <w:trHeight w:hRule="exact" w:val="240"/>
      </w:trPr>
      <w:tc>
        <w:tcPr>
          <w:tcW w:w="7601" w:type="dxa"/>
          <w:shd w:val="clear" w:color="auto" w:fill="auto"/>
        </w:tcPr>
        <w:p w14:paraId="6BAF981E" w14:textId="77777777" w:rsidR="00AE501D" w:rsidRDefault="00AE501D" w:rsidP="003F1F6B">
          <w:pPr>
            <w:pStyle w:val="Huisstijl-Rubricering"/>
          </w:pPr>
        </w:p>
      </w:tc>
      <w:tc>
        <w:tcPr>
          <w:tcW w:w="2156" w:type="dxa"/>
        </w:tcPr>
        <w:p w14:paraId="4A6BA531" w14:textId="6D7AE4CF" w:rsidR="00AE501D" w:rsidRPr="00645414" w:rsidRDefault="00AE501D"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2</w:t>
          </w:r>
          <w:r w:rsidRPr="00645414">
            <w:fldChar w:fldCharType="end"/>
          </w:r>
          <w:r w:rsidRPr="00645414">
            <w:t xml:space="preserve"> </w:t>
          </w:r>
          <w:r>
            <w:t>van</w:t>
          </w:r>
          <w:r w:rsidRPr="00645414">
            <w:t xml:space="preserve"> </w:t>
          </w:r>
          <w:r w:rsidR="006970B6">
            <w:fldChar w:fldCharType="begin"/>
          </w:r>
          <w:r w:rsidR="006970B6">
            <w:instrText xml:space="preserve"> SECTIONPAGES   \* MERGEFORMAT </w:instrText>
          </w:r>
          <w:r w:rsidR="006970B6">
            <w:fldChar w:fldCharType="separate"/>
          </w:r>
          <w:r w:rsidR="006970B6">
            <w:t>6</w:t>
          </w:r>
          <w:r w:rsidR="006970B6">
            <w:fldChar w:fldCharType="end"/>
          </w:r>
        </w:p>
      </w:tc>
    </w:tr>
  </w:tbl>
  <w:p w14:paraId="753EA66B" w14:textId="77777777" w:rsidR="00AE501D" w:rsidRPr="00BC3B53" w:rsidRDefault="00AE501D" w:rsidP="00BC3B53">
    <w:pPr>
      <w:pStyle w:val="Voettekst"/>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AE501D" w14:paraId="39B795DE" w14:textId="77777777" w:rsidTr="00CA6A25">
      <w:trPr>
        <w:trHeight w:hRule="exact" w:val="240"/>
      </w:trPr>
      <w:tc>
        <w:tcPr>
          <w:tcW w:w="7601" w:type="dxa"/>
          <w:shd w:val="clear" w:color="auto" w:fill="auto"/>
        </w:tcPr>
        <w:p w14:paraId="5D3B2D29" w14:textId="77777777" w:rsidR="00AE501D" w:rsidRDefault="00AE501D" w:rsidP="008C356D">
          <w:pPr>
            <w:pStyle w:val="Huisstijl-Rubricering"/>
          </w:pPr>
        </w:p>
      </w:tc>
      <w:tc>
        <w:tcPr>
          <w:tcW w:w="2170" w:type="dxa"/>
        </w:tcPr>
        <w:p w14:paraId="42405988" w14:textId="2E0BD429" w:rsidR="00AE501D" w:rsidRPr="00ED539E" w:rsidRDefault="00AE501D"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t>1</w:t>
          </w:r>
          <w:r w:rsidRPr="00645414">
            <w:fldChar w:fldCharType="end"/>
          </w:r>
          <w:r w:rsidRPr="00ED539E">
            <w:rPr>
              <w:rStyle w:val="Huisstijl-GegevenCharChar"/>
            </w:rPr>
            <w:t xml:space="preserve"> </w:t>
          </w:r>
          <w:r>
            <w:t>van</w:t>
          </w:r>
          <w:r w:rsidRPr="00ED539E">
            <w:t xml:space="preserve"> </w:t>
          </w:r>
          <w:r w:rsidR="006970B6">
            <w:fldChar w:fldCharType="begin"/>
          </w:r>
          <w:r w:rsidR="006970B6">
            <w:instrText xml:space="preserve"> SECTIONPAGES   \* MERGEFORMAT </w:instrText>
          </w:r>
          <w:r w:rsidR="006970B6">
            <w:fldChar w:fldCharType="separate"/>
          </w:r>
          <w:r w:rsidR="006970B6">
            <w:t>6</w:t>
          </w:r>
          <w:r w:rsidR="006970B6">
            <w:fldChar w:fldCharType="end"/>
          </w:r>
        </w:p>
      </w:tc>
    </w:tr>
  </w:tbl>
  <w:p w14:paraId="52FD28DC" w14:textId="77777777" w:rsidR="00AE501D" w:rsidRPr="00BC3B53" w:rsidRDefault="00AE501D" w:rsidP="008C356D">
    <w:pPr>
      <w:pStyle w:val="Voettekst"/>
      <w:spacing w:line="240" w:lineRule="auto"/>
      <w:rPr>
        <w:sz w:val="2"/>
        <w:szCs w:val="2"/>
      </w:rPr>
    </w:pPr>
  </w:p>
  <w:p w14:paraId="55155723" w14:textId="77777777" w:rsidR="00AE501D" w:rsidRPr="00BC3B53" w:rsidRDefault="00AE501D"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0B2DC" w14:textId="77777777" w:rsidR="007E43EF" w:rsidRDefault="007E43EF">
      <w:pPr>
        <w:spacing w:line="240" w:lineRule="auto"/>
      </w:pPr>
      <w:r>
        <w:separator/>
      </w:r>
    </w:p>
  </w:footnote>
  <w:footnote w:type="continuationSeparator" w:id="0">
    <w:p w14:paraId="7E07932C" w14:textId="77777777" w:rsidR="007E43EF" w:rsidRDefault="007E43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AE501D" w14:paraId="2031D1AA" w14:textId="77777777" w:rsidTr="00A50CF6">
      <w:tc>
        <w:tcPr>
          <w:tcW w:w="2156" w:type="dxa"/>
          <w:shd w:val="clear" w:color="auto" w:fill="auto"/>
        </w:tcPr>
        <w:p w14:paraId="1F51CCFD" w14:textId="77777777" w:rsidR="00AE501D" w:rsidRPr="005819CE" w:rsidRDefault="00AE501D" w:rsidP="00A50CF6">
          <w:pPr>
            <w:pStyle w:val="Huisstijl-Adres"/>
            <w:rPr>
              <w:b/>
            </w:rPr>
          </w:pPr>
          <w:r>
            <w:rPr>
              <w:b/>
            </w:rPr>
            <w:t>Directie Financieel Economische Zaken</w:t>
          </w:r>
          <w:r w:rsidRPr="005819CE">
            <w:rPr>
              <w:b/>
            </w:rPr>
            <w:br/>
          </w:r>
        </w:p>
      </w:tc>
    </w:tr>
    <w:tr w:rsidR="00AE501D" w14:paraId="23B8372E" w14:textId="77777777" w:rsidTr="00A50CF6">
      <w:trPr>
        <w:trHeight w:hRule="exact" w:val="200"/>
      </w:trPr>
      <w:tc>
        <w:tcPr>
          <w:tcW w:w="2156" w:type="dxa"/>
          <w:shd w:val="clear" w:color="auto" w:fill="auto"/>
        </w:tcPr>
        <w:p w14:paraId="324532BC" w14:textId="77777777" w:rsidR="00AE501D" w:rsidRPr="005819CE" w:rsidRDefault="00AE501D" w:rsidP="00A50CF6"/>
      </w:tc>
    </w:tr>
    <w:tr w:rsidR="00AE501D" w14:paraId="3203A4E8" w14:textId="77777777" w:rsidTr="00502512">
      <w:trPr>
        <w:trHeight w:hRule="exact" w:val="774"/>
      </w:trPr>
      <w:tc>
        <w:tcPr>
          <w:tcW w:w="2156" w:type="dxa"/>
          <w:shd w:val="clear" w:color="auto" w:fill="auto"/>
        </w:tcPr>
        <w:p w14:paraId="6D29B43A" w14:textId="77777777" w:rsidR="00AE501D" w:rsidRDefault="00AE501D" w:rsidP="003A5290">
          <w:pPr>
            <w:pStyle w:val="Huisstijl-Kopje"/>
          </w:pPr>
          <w:r>
            <w:t>Ons kenmerk</w:t>
          </w:r>
        </w:p>
        <w:p w14:paraId="73F41113" w14:textId="77777777" w:rsidR="00AE501D" w:rsidRPr="00502512" w:rsidRDefault="00AE501D" w:rsidP="003A5290">
          <w:pPr>
            <w:pStyle w:val="Huisstijl-Kopje"/>
            <w:rPr>
              <w:b w:val="0"/>
            </w:rPr>
          </w:pPr>
          <w:r>
            <w:rPr>
              <w:b w:val="0"/>
            </w:rPr>
            <w:t>FEZ</w:t>
          </w:r>
          <w:r w:rsidRPr="00502512">
            <w:rPr>
              <w:b w:val="0"/>
            </w:rPr>
            <w:t xml:space="preserve"> / </w:t>
          </w:r>
          <w:sdt>
            <w:sdtPr>
              <w:rPr>
                <w:b w:val="0"/>
              </w:rPr>
              <w:alias w:val="documentId"/>
              <w:id w:val="762191242"/>
              <w:placeholder>
                <w:docPart w:val="DefaultPlaceholder_-1854013440"/>
              </w:placeholder>
            </w:sdtPr>
            <w:sdtEndPr/>
            <w:sdtContent>
              <w:r>
                <w:rPr>
                  <w:b w:val="0"/>
                </w:rPr>
                <w:fldChar w:fldCharType="begin"/>
              </w:r>
              <w:r>
                <w:rPr>
                  <w:b w:val="0"/>
                </w:rPr>
                <w:instrText xml:space="preserve"> DOCPROPERTY  "documentId"  \* MERGEFORMAT </w:instrText>
              </w:r>
              <w:r>
                <w:rPr>
                  <w:b w:val="0"/>
                </w:rPr>
                <w:fldChar w:fldCharType="separate"/>
              </w:r>
              <w:r>
                <w:rPr>
                  <w:b w:val="0"/>
                </w:rPr>
                <w:t>20270396</w:t>
              </w:r>
              <w:r>
                <w:rPr>
                  <w:b w:val="0"/>
                </w:rPr>
                <w:fldChar w:fldCharType="end"/>
              </w:r>
            </w:sdtContent>
          </w:sdt>
        </w:p>
        <w:p w14:paraId="753FF76A" w14:textId="77777777" w:rsidR="00AE501D" w:rsidRPr="005819CE" w:rsidRDefault="00AE501D" w:rsidP="00361A56">
          <w:pPr>
            <w:pStyle w:val="Huisstijl-Kopje"/>
          </w:pPr>
        </w:p>
      </w:tc>
    </w:tr>
  </w:tbl>
  <w:p w14:paraId="50DA1473" w14:textId="77777777" w:rsidR="00AE501D" w:rsidRDefault="00AE501D" w:rsidP="008C356D">
    <w:pPr>
      <w:pStyle w:val="Koptekst"/>
      <w:rPr>
        <w:rFonts w:cs="Verdana-Bold"/>
        <w:b/>
        <w:bCs/>
        <w:smallCaps/>
        <w:szCs w:val="18"/>
      </w:rPr>
    </w:pPr>
  </w:p>
  <w:p w14:paraId="594F5425" w14:textId="77777777" w:rsidR="00AE501D" w:rsidRDefault="00AE501D" w:rsidP="008C356D"/>
  <w:p w14:paraId="535BFD83" w14:textId="77777777" w:rsidR="00AE501D" w:rsidRPr="00740712" w:rsidRDefault="00AE501D" w:rsidP="008C356D"/>
  <w:p w14:paraId="0B195DEA" w14:textId="77777777" w:rsidR="00AE501D" w:rsidRPr="00217880" w:rsidRDefault="00AE501D" w:rsidP="008C356D">
    <w:pPr>
      <w:spacing w:line="0" w:lineRule="atLeast"/>
      <w:rPr>
        <w:sz w:val="2"/>
        <w:szCs w:val="2"/>
      </w:rPr>
    </w:pPr>
  </w:p>
  <w:p w14:paraId="67348CE2" w14:textId="77777777" w:rsidR="00AE501D" w:rsidRDefault="00AE501D" w:rsidP="004F44C2">
    <w:pPr>
      <w:pStyle w:val="Koptekst"/>
      <w:rPr>
        <w:rFonts w:cs="Verdana-Bold"/>
        <w:b/>
        <w:bCs/>
        <w:smallCaps/>
        <w:szCs w:val="18"/>
      </w:rPr>
    </w:pPr>
  </w:p>
  <w:p w14:paraId="660DA0C0" w14:textId="77777777" w:rsidR="00AE501D" w:rsidRDefault="00AE501D" w:rsidP="004F44C2"/>
  <w:p w14:paraId="33DCE01C" w14:textId="77777777" w:rsidR="00AE501D" w:rsidRPr="00740712" w:rsidRDefault="00AE501D" w:rsidP="004F44C2"/>
  <w:p w14:paraId="3B8E5D67" w14:textId="77777777" w:rsidR="00AE501D" w:rsidRPr="00217880" w:rsidRDefault="00AE501D" w:rsidP="004F44C2">
    <w:pPr>
      <w:spacing w:line="0" w:lineRule="atLeast"/>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AE501D" w14:paraId="378379AB" w14:textId="77777777" w:rsidTr="00751A6A">
      <w:trPr>
        <w:trHeight w:val="2636"/>
      </w:trPr>
      <w:tc>
        <w:tcPr>
          <w:tcW w:w="737" w:type="dxa"/>
          <w:shd w:val="clear" w:color="auto" w:fill="auto"/>
        </w:tcPr>
        <w:p w14:paraId="69072FCF" w14:textId="0BCDE8F3" w:rsidR="00AE501D" w:rsidRDefault="00AE501D" w:rsidP="00D0609E">
          <w:pPr>
            <w:framePr w:w="6340" w:h="2750" w:hRule="exact" w:hSpace="180" w:wrap="around" w:vAnchor="page" w:hAnchor="text" w:x="3873" w:y="-140"/>
            <w:spacing w:line="240" w:lineRule="auto"/>
          </w:pPr>
        </w:p>
      </w:tc>
      <w:tc>
        <w:tcPr>
          <w:tcW w:w="5156" w:type="dxa"/>
          <w:shd w:val="clear" w:color="auto" w:fill="auto"/>
        </w:tcPr>
        <w:p w14:paraId="53C1F961" w14:textId="77777777" w:rsidR="00AE501D" w:rsidRDefault="00AE501D" w:rsidP="00651CEE">
          <w:pPr>
            <w:rPr>
              <w:szCs w:val="18"/>
            </w:rPr>
          </w:pPr>
          <w:r>
            <w:rPr>
              <w:noProof/>
              <w:szCs w:val="18"/>
            </w:rPr>
            <w:drawing>
              <wp:inline distT="0" distB="0" distL="0" distR="0" wp14:anchorId="5A025D50" wp14:editId="27C299FC">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601374" name="EK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p w14:paraId="5388EEA1" w14:textId="77777777" w:rsidR="00AE501D" w:rsidRDefault="00AE501D" w:rsidP="00F034D8">
          <w:pPr>
            <w:rPr>
              <w:szCs w:val="18"/>
            </w:rPr>
          </w:pPr>
        </w:p>
        <w:p w14:paraId="47378203" w14:textId="77777777" w:rsidR="00AE501D" w:rsidRDefault="00AE501D"/>
      </w:tc>
    </w:tr>
  </w:tbl>
  <w:p w14:paraId="49DF6106" w14:textId="77777777" w:rsidR="00AE501D" w:rsidRDefault="00AE501D" w:rsidP="00D0609E">
    <w:pPr>
      <w:framePr w:w="6340" w:h="2750" w:hRule="exact" w:hSpace="180" w:wrap="around" w:vAnchor="page" w:hAnchor="text" w:x="3873" w:y="-140"/>
    </w:pPr>
  </w:p>
  <w:p w14:paraId="1999FD19" w14:textId="77777777" w:rsidR="00AE501D" w:rsidRDefault="00AE501D" w:rsidP="000049FB">
    <w:pPr>
      <w:pStyle w:val="Koptekst"/>
      <w:tabs>
        <w:tab w:val="clear" w:pos="4536"/>
        <w:tab w:val="clear" w:pos="9072"/>
      </w:tabs>
    </w:pPr>
  </w:p>
  <w:tbl>
    <w:tblPr>
      <w:tblpPr w:leftFromText="142" w:rightFromText="142" w:vertAnchor="page" w:tblpX="7758" w:tblpY="2978"/>
      <w:tblOverlap w:val="never"/>
      <w:tblW w:w="2018" w:type="dxa"/>
      <w:tblLayout w:type="fixed"/>
      <w:tblCellMar>
        <w:left w:w="0" w:type="dxa"/>
        <w:right w:w="0" w:type="dxa"/>
      </w:tblCellMar>
      <w:tblLook w:val="0000" w:firstRow="0" w:lastRow="0" w:firstColumn="0" w:lastColumn="0" w:noHBand="0" w:noVBand="0"/>
    </w:tblPr>
    <w:tblGrid>
      <w:gridCol w:w="2018"/>
    </w:tblGrid>
    <w:tr w:rsidR="00AE501D" w14:paraId="2267D7A7" w14:textId="77777777" w:rsidTr="00527979">
      <w:tc>
        <w:tcPr>
          <w:tcW w:w="2018" w:type="dxa"/>
          <w:shd w:val="clear" w:color="auto" w:fill="auto"/>
        </w:tcPr>
        <w:p w14:paraId="438F5A5C" w14:textId="77777777" w:rsidR="00AE501D" w:rsidRPr="005819CE" w:rsidRDefault="00AE501D" w:rsidP="00527979">
          <w:pPr>
            <w:pStyle w:val="Huisstijl-Adres"/>
            <w:rPr>
              <w:b/>
            </w:rPr>
          </w:pPr>
          <w:r>
            <w:rPr>
              <w:b/>
            </w:rPr>
            <w:t>Directie Financieel Economische Zaken</w:t>
          </w:r>
          <w:r w:rsidRPr="005819CE">
            <w:rPr>
              <w:b/>
            </w:rPr>
            <w:br/>
          </w:r>
        </w:p>
        <w:p w14:paraId="6D8A50B0" w14:textId="77777777" w:rsidR="00AE501D" w:rsidRPr="00BE5ED9" w:rsidRDefault="00AE501D" w:rsidP="00527979">
          <w:pPr>
            <w:pStyle w:val="Huisstijl-Adres"/>
          </w:pPr>
          <w:r>
            <w:rPr>
              <w:b/>
            </w:rPr>
            <w:t>Bezoekadres</w:t>
          </w:r>
          <w:r>
            <w:rPr>
              <w:b/>
            </w:rPr>
            <w:br/>
          </w:r>
          <w:r>
            <w:t>Bezuidenhoutseweg 73</w:t>
          </w:r>
          <w:r w:rsidRPr="005819CE">
            <w:br/>
          </w:r>
          <w:r>
            <w:t>2594 AC Den Haag</w:t>
          </w:r>
        </w:p>
        <w:p w14:paraId="6E4664E6" w14:textId="77777777" w:rsidR="00AE501D" w:rsidRDefault="00AE501D" w:rsidP="00527979">
          <w:pPr>
            <w:pStyle w:val="Huisstijl-Adres"/>
          </w:pPr>
          <w:r>
            <w:rPr>
              <w:b/>
            </w:rPr>
            <w:t>Postadres</w:t>
          </w:r>
          <w:r>
            <w:rPr>
              <w:b/>
            </w:rPr>
            <w:br/>
          </w:r>
          <w:r>
            <w:t>Postbus 20401</w:t>
          </w:r>
          <w:r w:rsidRPr="005819CE">
            <w:br/>
            <w:t>2500 E</w:t>
          </w:r>
          <w:r>
            <w:t>K</w:t>
          </w:r>
          <w:r w:rsidRPr="005819CE">
            <w:t xml:space="preserve"> Den Haag</w:t>
          </w:r>
        </w:p>
        <w:p w14:paraId="1D99BA3A" w14:textId="77777777" w:rsidR="00AE501D" w:rsidRPr="005B3814" w:rsidRDefault="00AE501D" w:rsidP="00527979">
          <w:pPr>
            <w:pStyle w:val="Huisstijl-Adres"/>
          </w:pPr>
          <w:r>
            <w:rPr>
              <w:b/>
            </w:rPr>
            <w:t>Overheidsidentificatienr</w:t>
          </w:r>
          <w:r>
            <w:rPr>
              <w:b/>
            </w:rPr>
            <w:br/>
          </w:r>
          <w:r w:rsidRPr="005B3814">
            <w:t>00000001003214369000</w:t>
          </w:r>
        </w:p>
        <w:p w14:paraId="2D8A017D" w14:textId="77777777" w:rsidR="00AE501D" w:rsidRPr="008A3716" w:rsidRDefault="00AE501D" w:rsidP="00527979">
          <w:pPr>
            <w:pStyle w:val="Huisstijl-Adres"/>
            <w:rPr>
              <w:u w:val="single"/>
            </w:rPr>
          </w:pPr>
          <w:r>
            <w:t>T</w:t>
          </w:r>
          <w:r>
            <w:tab/>
            <w:t>070 379 8911 (algemeen)</w:t>
          </w:r>
          <w:r w:rsidRPr="005819CE">
            <w:br/>
          </w:r>
          <w:r>
            <w:t>F</w:t>
          </w:r>
          <w:r>
            <w:tab/>
            <w:t>070 378 6100 (algemeen)</w:t>
          </w:r>
          <w:r w:rsidRPr="005819CE">
            <w:br/>
          </w:r>
          <w:r>
            <w:t>www.rijksoverheid.nl/ezk</w:t>
          </w:r>
        </w:p>
      </w:tc>
    </w:tr>
    <w:tr w:rsidR="00AE501D" w14:paraId="296629F1" w14:textId="77777777" w:rsidTr="00527979">
      <w:trPr>
        <w:trHeight w:hRule="exact" w:val="200"/>
      </w:trPr>
      <w:tc>
        <w:tcPr>
          <w:tcW w:w="2018" w:type="dxa"/>
          <w:shd w:val="clear" w:color="auto" w:fill="auto"/>
        </w:tcPr>
        <w:p w14:paraId="04C8E0D6" w14:textId="77777777" w:rsidR="00AE501D" w:rsidRPr="005819CE" w:rsidRDefault="00AE501D" w:rsidP="00527979"/>
      </w:tc>
    </w:tr>
    <w:tr w:rsidR="00AE501D" w14:paraId="097C00F5" w14:textId="77777777" w:rsidTr="00527979">
      <w:tc>
        <w:tcPr>
          <w:tcW w:w="2018" w:type="dxa"/>
          <w:shd w:val="clear" w:color="auto" w:fill="auto"/>
        </w:tcPr>
        <w:p w14:paraId="4F63BEDE" w14:textId="77777777" w:rsidR="00AE501D" w:rsidRPr="005819CE" w:rsidRDefault="00AE501D" w:rsidP="00527979">
          <w:pPr>
            <w:pStyle w:val="Huisstijl-Kopje"/>
          </w:pPr>
          <w:r>
            <w:t>Ons kenmerk</w:t>
          </w:r>
          <w:r w:rsidRPr="005819CE">
            <w:t xml:space="preserve"> </w:t>
          </w:r>
        </w:p>
        <w:p w14:paraId="409E2CF4" w14:textId="1598895A" w:rsidR="00AE501D" w:rsidRPr="005819CE" w:rsidRDefault="00AE501D" w:rsidP="00527979">
          <w:pPr>
            <w:pStyle w:val="Huisstijl-Gegeven"/>
          </w:pPr>
          <w:r>
            <w:t xml:space="preserve">FEZ / </w:t>
          </w:r>
          <w:sdt>
            <w:sdtPr>
              <w:alias w:val="documentId"/>
              <w:id w:val="774674115"/>
              <w:placeholder>
                <w:docPart w:val="DefaultPlaceholder_-1854013440"/>
              </w:placeholder>
            </w:sdtPr>
            <w:sdtEndPr/>
            <w:sdtContent>
              <w:r w:rsidR="00660927">
                <w:t>222</w:t>
              </w:r>
              <w:r w:rsidR="00E96088">
                <w:t>74327</w:t>
              </w:r>
            </w:sdtContent>
          </w:sdt>
        </w:p>
        <w:p w14:paraId="0F2F7279" w14:textId="77777777" w:rsidR="00AE501D" w:rsidRPr="005819CE" w:rsidRDefault="00AE501D" w:rsidP="00527979">
          <w:pPr>
            <w:pStyle w:val="Huisstijl-Kopje"/>
          </w:pPr>
          <w:r>
            <w:t>Bijlage(n)</w:t>
          </w:r>
        </w:p>
        <w:p w14:paraId="2A4739AA" w14:textId="77777777" w:rsidR="00AE501D" w:rsidRPr="005819CE" w:rsidRDefault="00AE501D" w:rsidP="00527979">
          <w:pPr>
            <w:pStyle w:val="Huisstijl-Gegeven"/>
          </w:pPr>
          <w:r>
            <w:t>2</w:t>
          </w:r>
        </w:p>
      </w:tc>
    </w:tr>
  </w:tbl>
  <w:tbl>
    <w:tblPr>
      <w:tblW w:w="7371" w:type="dxa"/>
      <w:tblLayout w:type="fixed"/>
      <w:tblCellMar>
        <w:left w:w="0" w:type="dxa"/>
        <w:right w:w="0" w:type="dxa"/>
      </w:tblCellMar>
      <w:tblLook w:val="0000" w:firstRow="0" w:lastRow="0" w:firstColumn="0" w:lastColumn="0" w:noHBand="0" w:noVBand="0"/>
    </w:tblPr>
    <w:tblGrid>
      <w:gridCol w:w="709"/>
      <w:gridCol w:w="6662"/>
    </w:tblGrid>
    <w:tr w:rsidR="00AE501D" w14:paraId="5E03F9FB" w14:textId="77777777" w:rsidTr="00725BB6">
      <w:trPr>
        <w:trHeight w:val="400"/>
      </w:trPr>
      <w:tc>
        <w:tcPr>
          <w:tcW w:w="7371" w:type="dxa"/>
          <w:gridSpan w:val="2"/>
          <w:shd w:val="clear" w:color="auto" w:fill="auto"/>
        </w:tcPr>
        <w:p w14:paraId="51A91128" w14:textId="77777777" w:rsidR="00AE501D" w:rsidRPr="00BC3B53" w:rsidRDefault="00AE501D" w:rsidP="00A50CF6">
          <w:pPr>
            <w:pStyle w:val="Huisstijl-Retouradres"/>
          </w:pPr>
          <w:r>
            <w:t>&gt; Retouradres Postbus 20401 2500 EK Den Haag</w:t>
          </w:r>
        </w:p>
      </w:tc>
    </w:tr>
    <w:tr w:rsidR="00AE501D" w14:paraId="02060816" w14:textId="77777777" w:rsidTr="00725BB6">
      <w:tc>
        <w:tcPr>
          <w:tcW w:w="7371" w:type="dxa"/>
          <w:gridSpan w:val="2"/>
          <w:shd w:val="clear" w:color="auto" w:fill="auto"/>
        </w:tcPr>
        <w:p w14:paraId="5999F2D7" w14:textId="77777777" w:rsidR="00AE501D" w:rsidRPr="00983E8F" w:rsidRDefault="00AE501D" w:rsidP="00A50CF6">
          <w:pPr>
            <w:pStyle w:val="Huisstijl-Rubricering"/>
          </w:pPr>
        </w:p>
      </w:tc>
    </w:tr>
    <w:tr w:rsidR="00AE501D" w:rsidRPr="00E26696" w14:paraId="618F3F52" w14:textId="77777777" w:rsidTr="00725BB6">
      <w:trPr>
        <w:trHeight w:hRule="exact" w:val="2440"/>
      </w:trPr>
      <w:tc>
        <w:tcPr>
          <w:tcW w:w="7371" w:type="dxa"/>
          <w:gridSpan w:val="2"/>
          <w:shd w:val="clear" w:color="auto" w:fill="auto"/>
        </w:tcPr>
        <w:p w14:paraId="1C7C4BEB" w14:textId="77777777" w:rsidR="00AE501D" w:rsidRDefault="00AE501D" w:rsidP="00B51119">
          <w:pPr>
            <w:pStyle w:val="Huisstijl-NAW"/>
          </w:pPr>
          <w:r>
            <w:t xml:space="preserve">De Voorzitter van de Tweede Kamer </w:t>
          </w:r>
        </w:p>
        <w:p w14:paraId="67792FFD" w14:textId="77777777" w:rsidR="00AE501D" w:rsidRDefault="00AE501D" w:rsidP="00B51119">
          <w:pPr>
            <w:pStyle w:val="Huisstijl-NAW"/>
          </w:pPr>
          <w:r>
            <w:t>der Staten-Generaal</w:t>
          </w:r>
        </w:p>
        <w:p w14:paraId="2F32F0E7" w14:textId="77777777" w:rsidR="00AE501D" w:rsidRDefault="00AE501D" w:rsidP="00B51119">
          <w:pPr>
            <w:pStyle w:val="Huisstijl-NAW"/>
          </w:pPr>
          <w:r>
            <w:t>Prinses Irenestraat 6</w:t>
          </w:r>
        </w:p>
        <w:p w14:paraId="0C101F59" w14:textId="50508849" w:rsidR="00AE501D" w:rsidRPr="00E26696" w:rsidRDefault="00AE501D" w:rsidP="00B51119">
          <w:pPr>
            <w:pStyle w:val="Huisstijl-NAW"/>
          </w:pPr>
          <w:r>
            <w:t>2595 BD  DEN HAAG</w:t>
          </w:r>
        </w:p>
      </w:tc>
    </w:tr>
    <w:tr w:rsidR="00AE501D" w14:paraId="0AFB3A16" w14:textId="77777777" w:rsidTr="00725BB6">
      <w:trPr>
        <w:trHeight w:hRule="exact" w:val="400"/>
      </w:trPr>
      <w:tc>
        <w:tcPr>
          <w:tcW w:w="7371" w:type="dxa"/>
          <w:gridSpan w:val="2"/>
          <w:shd w:val="clear" w:color="auto" w:fill="auto"/>
        </w:tcPr>
        <w:p w14:paraId="4F7D0A26" w14:textId="77777777" w:rsidR="00AE501D" w:rsidRPr="00035E67" w:rsidRDefault="00AE501D" w:rsidP="00A50CF6">
          <w:pPr>
            <w:tabs>
              <w:tab w:val="left" w:pos="740"/>
            </w:tabs>
            <w:autoSpaceDE w:val="0"/>
            <w:autoSpaceDN w:val="0"/>
            <w:adjustRightInd w:val="0"/>
            <w:ind w:left="743" w:hanging="743"/>
            <w:rPr>
              <w:rFonts w:cs="Verdana"/>
              <w:szCs w:val="18"/>
            </w:rPr>
          </w:pPr>
        </w:p>
      </w:tc>
    </w:tr>
    <w:tr w:rsidR="00AE501D" w14:paraId="4739097B" w14:textId="77777777" w:rsidTr="00725BB6">
      <w:trPr>
        <w:trHeight w:val="240"/>
      </w:trPr>
      <w:tc>
        <w:tcPr>
          <w:tcW w:w="709" w:type="dxa"/>
          <w:shd w:val="clear" w:color="auto" w:fill="auto"/>
        </w:tcPr>
        <w:p w14:paraId="62F00F25" w14:textId="77777777" w:rsidR="00AE501D" w:rsidRPr="007709EF" w:rsidRDefault="00AE501D" w:rsidP="00A50CF6">
          <w:pPr>
            <w:rPr>
              <w:szCs w:val="18"/>
            </w:rPr>
          </w:pPr>
          <w:r>
            <w:rPr>
              <w:szCs w:val="18"/>
            </w:rPr>
            <w:t>Datum</w:t>
          </w:r>
        </w:p>
      </w:tc>
      <w:tc>
        <w:tcPr>
          <w:tcW w:w="6662" w:type="dxa"/>
          <w:shd w:val="clear" w:color="auto" w:fill="auto"/>
        </w:tcPr>
        <w:p w14:paraId="2E81DE47" w14:textId="77777777" w:rsidR="00AE501D" w:rsidRPr="007709EF" w:rsidRDefault="00AE501D" w:rsidP="00A50CF6"/>
      </w:tc>
    </w:tr>
    <w:tr w:rsidR="00AE501D" w:rsidRPr="00DC5886" w14:paraId="559E26FF" w14:textId="77777777" w:rsidTr="00F94477">
      <w:trPr>
        <w:trHeight w:val="590"/>
      </w:trPr>
      <w:tc>
        <w:tcPr>
          <w:tcW w:w="709" w:type="dxa"/>
          <w:shd w:val="clear" w:color="auto" w:fill="auto"/>
        </w:tcPr>
        <w:p w14:paraId="722D9CA8" w14:textId="77777777" w:rsidR="00AE501D" w:rsidRPr="007709EF" w:rsidRDefault="00AE501D" w:rsidP="00725BB6">
          <w:pPr>
            <w:rPr>
              <w:szCs w:val="18"/>
            </w:rPr>
          </w:pPr>
          <w:r>
            <w:rPr>
              <w:szCs w:val="18"/>
            </w:rPr>
            <w:t>Betreft</w:t>
          </w:r>
        </w:p>
      </w:tc>
      <w:tc>
        <w:tcPr>
          <w:tcW w:w="6662" w:type="dxa"/>
          <w:shd w:val="clear" w:color="auto" w:fill="auto"/>
        </w:tcPr>
        <w:p w14:paraId="5ADFC53A" w14:textId="2CF329A0" w:rsidR="00AE501D" w:rsidRPr="00C65AE9" w:rsidRDefault="00AE501D" w:rsidP="00C65AE9">
          <w:pPr>
            <w:rPr>
              <w:rFonts w:cs="Arial"/>
              <w:szCs w:val="18"/>
            </w:rPr>
          </w:pPr>
          <w:r w:rsidRPr="00D21B83">
            <w:rPr>
              <w:szCs w:val="18"/>
            </w:rPr>
            <w:t xml:space="preserve">Aanbiedingsbrief </w:t>
          </w:r>
          <w:r w:rsidR="00E96088">
            <w:rPr>
              <w:szCs w:val="18"/>
            </w:rPr>
            <w:t>zeven</w:t>
          </w:r>
          <w:r>
            <w:rPr>
              <w:szCs w:val="18"/>
            </w:rPr>
            <w:t xml:space="preserve">de </w:t>
          </w:r>
          <w:r w:rsidRPr="00D21B83">
            <w:rPr>
              <w:szCs w:val="18"/>
            </w:rPr>
            <w:t>incidentele supp</w:t>
          </w:r>
          <w:r w:rsidRPr="00BF3202">
            <w:rPr>
              <w:szCs w:val="18"/>
            </w:rPr>
            <w:t>letoire begroting (ISB) EZK 202</w:t>
          </w:r>
          <w:r>
            <w:rPr>
              <w:szCs w:val="18"/>
            </w:rPr>
            <w:t>2</w:t>
          </w:r>
          <w:r w:rsidRPr="00BF3202">
            <w:rPr>
              <w:szCs w:val="18"/>
            </w:rPr>
            <w:t xml:space="preserve"> inzake </w:t>
          </w:r>
          <w:r w:rsidR="00883DD7" w:rsidRPr="00883DD7">
            <w:rPr>
              <w:szCs w:val="18"/>
            </w:rPr>
            <w:t xml:space="preserve">IPCEI </w:t>
          </w:r>
          <w:r w:rsidR="005538CD">
            <w:rPr>
              <w:szCs w:val="18"/>
            </w:rPr>
            <w:t>w</w:t>
          </w:r>
          <w:r w:rsidR="00883DD7" w:rsidRPr="00883DD7">
            <w:rPr>
              <w:szCs w:val="18"/>
            </w:rPr>
            <w:t>aterstof</w:t>
          </w:r>
          <w:r w:rsidR="00E96088">
            <w:rPr>
              <w:szCs w:val="18"/>
            </w:rPr>
            <w:t xml:space="preserve"> golf 2 en 3</w:t>
          </w:r>
        </w:p>
      </w:tc>
    </w:tr>
  </w:tbl>
  <w:p w14:paraId="2F4AF82D" w14:textId="77777777" w:rsidR="00AE501D" w:rsidRPr="00BC4AE3" w:rsidRDefault="00AE501D"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B8A19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D0FD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C69A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FF442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2AF4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7F279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DCC59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36F23DCA"/>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6D468498">
      <w:start w:val="1"/>
      <w:numFmt w:val="bullet"/>
      <w:pStyle w:val="Lijstopsomteken"/>
      <w:lvlText w:val="•"/>
      <w:lvlJc w:val="left"/>
      <w:pPr>
        <w:tabs>
          <w:tab w:val="num" w:pos="227"/>
        </w:tabs>
        <w:ind w:left="227" w:hanging="227"/>
      </w:pPr>
      <w:rPr>
        <w:rFonts w:ascii="Verdana" w:hAnsi="Verdana" w:hint="default"/>
        <w:sz w:val="18"/>
        <w:szCs w:val="18"/>
      </w:rPr>
    </w:lvl>
    <w:lvl w:ilvl="1" w:tplc="418CE62C" w:tentative="1">
      <w:start w:val="1"/>
      <w:numFmt w:val="bullet"/>
      <w:lvlText w:val="o"/>
      <w:lvlJc w:val="left"/>
      <w:pPr>
        <w:tabs>
          <w:tab w:val="num" w:pos="1440"/>
        </w:tabs>
        <w:ind w:left="1440" w:hanging="360"/>
      </w:pPr>
      <w:rPr>
        <w:rFonts w:ascii="Courier New" w:hAnsi="Courier New" w:cs="Courier New" w:hint="default"/>
      </w:rPr>
    </w:lvl>
    <w:lvl w:ilvl="2" w:tplc="DE48323A" w:tentative="1">
      <w:start w:val="1"/>
      <w:numFmt w:val="bullet"/>
      <w:lvlText w:val=""/>
      <w:lvlJc w:val="left"/>
      <w:pPr>
        <w:tabs>
          <w:tab w:val="num" w:pos="2160"/>
        </w:tabs>
        <w:ind w:left="2160" w:hanging="360"/>
      </w:pPr>
      <w:rPr>
        <w:rFonts w:ascii="Wingdings" w:hAnsi="Wingdings" w:hint="default"/>
      </w:rPr>
    </w:lvl>
    <w:lvl w:ilvl="3" w:tplc="2E281338" w:tentative="1">
      <w:start w:val="1"/>
      <w:numFmt w:val="bullet"/>
      <w:lvlText w:val=""/>
      <w:lvlJc w:val="left"/>
      <w:pPr>
        <w:tabs>
          <w:tab w:val="num" w:pos="2880"/>
        </w:tabs>
        <w:ind w:left="2880" w:hanging="360"/>
      </w:pPr>
      <w:rPr>
        <w:rFonts w:ascii="Symbol" w:hAnsi="Symbol" w:hint="default"/>
      </w:rPr>
    </w:lvl>
    <w:lvl w:ilvl="4" w:tplc="952C4EDA" w:tentative="1">
      <w:start w:val="1"/>
      <w:numFmt w:val="bullet"/>
      <w:lvlText w:val="o"/>
      <w:lvlJc w:val="left"/>
      <w:pPr>
        <w:tabs>
          <w:tab w:val="num" w:pos="3600"/>
        </w:tabs>
        <w:ind w:left="3600" w:hanging="360"/>
      </w:pPr>
      <w:rPr>
        <w:rFonts w:ascii="Courier New" w:hAnsi="Courier New" w:cs="Courier New" w:hint="default"/>
      </w:rPr>
    </w:lvl>
    <w:lvl w:ilvl="5" w:tplc="8968D52A" w:tentative="1">
      <w:start w:val="1"/>
      <w:numFmt w:val="bullet"/>
      <w:lvlText w:val=""/>
      <w:lvlJc w:val="left"/>
      <w:pPr>
        <w:tabs>
          <w:tab w:val="num" w:pos="4320"/>
        </w:tabs>
        <w:ind w:left="4320" w:hanging="360"/>
      </w:pPr>
      <w:rPr>
        <w:rFonts w:ascii="Wingdings" w:hAnsi="Wingdings" w:hint="default"/>
      </w:rPr>
    </w:lvl>
    <w:lvl w:ilvl="6" w:tplc="4B26818A" w:tentative="1">
      <w:start w:val="1"/>
      <w:numFmt w:val="bullet"/>
      <w:lvlText w:val=""/>
      <w:lvlJc w:val="left"/>
      <w:pPr>
        <w:tabs>
          <w:tab w:val="num" w:pos="5040"/>
        </w:tabs>
        <w:ind w:left="5040" w:hanging="360"/>
      </w:pPr>
      <w:rPr>
        <w:rFonts w:ascii="Symbol" w:hAnsi="Symbol" w:hint="default"/>
      </w:rPr>
    </w:lvl>
    <w:lvl w:ilvl="7" w:tplc="11B22EEC" w:tentative="1">
      <w:start w:val="1"/>
      <w:numFmt w:val="bullet"/>
      <w:lvlText w:val="o"/>
      <w:lvlJc w:val="left"/>
      <w:pPr>
        <w:tabs>
          <w:tab w:val="num" w:pos="5760"/>
        </w:tabs>
        <w:ind w:left="5760" w:hanging="360"/>
      </w:pPr>
      <w:rPr>
        <w:rFonts w:ascii="Courier New" w:hAnsi="Courier New" w:cs="Courier New" w:hint="default"/>
      </w:rPr>
    </w:lvl>
    <w:lvl w:ilvl="8" w:tplc="8DD0091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5238B12E">
      <w:start w:val="1"/>
      <w:numFmt w:val="bullet"/>
      <w:pStyle w:val="Lijstopsomteken2"/>
      <w:lvlText w:val="–"/>
      <w:lvlJc w:val="left"/>
      <w:pPr>
        <w:tabs>
          <w:tab w:val="num" w:pos="227"/>
        </w:tabs>
        <w:ind w:left="227" w:firstLine="0"/>
      </w:pPr>
      <w:rPr>
        <w:rFonts w:ascii="Verdana" w:hAnsi="Verdana" w:hint="default"/>
      </w:rPr>
    </w:lvl>
    <w:lvl w:ilvl="1" w:tplc="A922036C" w:tentative="1">
      <w:start w:val="1"/>
      <w:numFmt w:val="bullet"/>
      <w:lvlText w:val="o"/>
      <w:lvlJc w:val="left"/>
      <w:pPr>
        <w:tabs>
          <w:tab w:val="num" w:pos="1440"/>
        </w:tabs>
        <w:ind w:left="1440" w:hanging="360"/>
      </w:pPr>
      <w:rPr>
        <w:rFonts w:ascii="Courier New" w:hAnsi="Courier New" w:cs="Courier New" w:hint="default"/>
      </w:rPr>
    </w:lvl>
    <w:lvl w:ilvl="2" w:tplc="A400080C" w:tentative="1">
      <w:start w:val="1"/>
      <w:numFmt w:val="bullet"/>
      <w:lvlText w:val=""/>
      <w:lvlJc w:val="left"/>
      <w:pPr>
        <w:tabs>
          <w:tab w:val="num" w:pos="2160"/>
        </w:tabs>
        <w:ind w:left="2160" w:hanging="360"/>
      </w:pPr>
      <w:rPr>
        <w:rFonts w:ascii="Wingdings" w:hAnsi="Wingdings" w:hint="default"/>
      </w:rPr>
    </w:lvl>
    <w:lvl w:ilvl="3" w:tplc="2AFC853E" w:tentative="1">
      <w:start w:val="1"/>
      <w:numFmt w:val="bullet"/>
      <w:lvlText w:val=""/>
      <w:lvlJc w:val="left"/>
      <w:pPr>
        <w:tabs>
          <w:tab w:val="num" w:pos="2880"/>
        </w:tabs>
        <w:ind w:left="2880" w:hanging="360"/>
      </w:pPr>
      <w:rPr>
        <w:rFonts w:ascii="Symbol" w:hAnsi="Symbol" w:hint="default"/>
      </w:rPr>
    </w:lvl>
    <w:lvl w:ilvl="4" w:tplc="11D68B48" w:tentative="1">
      <w:start w:val="1"/>
      <w:numFmt w:val="bullet"/>
      <w:lvlText w:val="o"/>
      <w:lvlJc w:val="left"/>
      <w:pPr>
        <w:tabs>
          <w:tab w:val="num" w:pos="3600"/>
        </w:tabs>
        <w:ind w:left="3600" w:hanging="360"/>
      </w:pPr>
      <w:rPr>
        <w:rFonts w:ascii="Courier New" w:hAnsi="Courier New" w:cs="Courier New" w:hint="default"/>
      </w:rPr>
    </w:lvl>
    <w:lvl w:ilvl="5" w:tplc="BAE8D636" w:tentative="1">
      <w:start w:val="1"/>
      <w:numFmt w:val="bullet"/>
      <w:lvlText w:val=""/>
      <w:lvlJc w:val="left"/>
      <w:pPr>
        <w:tabs>
          <w:tab w:val="num" w:pos="4320"/>
        </w:tabs>
        <w:ind w:left="4320" w:hanging="360"/>
      </w:pPr>
      <w:rPr>
        <w:rFonts w:ascii="Wingdings" w:hAnsi="Wingdings" w:hint="default"/>
      </w:rPr>
    </w:lvl>
    <w:lvl w:ilvl="6" w:tplc="737E3500" w:tentative="1">
      <w:start w:val="1"/>
      <w:numFmt w:val="bullet"/>
      <w:lvlText w:val=""/>
      <w:lvlJc w:val="left"/>
      <w:pPr>
        <w:tabs>
          <w:tab w:val="num" w:pos="5040"/>
        </w:tabs>
        <w:ind w:left="5040" w:hanging="360"/>
      </w:pPr>
      <w:rPr>
        <w:rFonts w:ascii="Symbol" w:hAnsi="Symbol" w:hint="default"/>
      </w:rPr>
    </w:lvl>
    <w:lvl w:ilvl="7" w:tplc="962E0F0E" w:tentative="1">
      <w:start w:val="1"/>
      <w:numFmt w:val="bullet"/>
      <w:lvlText w:val="o"/>
      <w:lvlJc w:val="left"/>
      <w:pPr>
        <w:tabs>
          <w:tab w:val="num" w:pos="5760"/>
        </w:tabs>
        <w:ind w:left="5760" w:hanging="360"/>
      </w:pPr>
      <w:rPr>
        <w:rFonts w:ascii="Courier New" w:hAnsi="Courier New" w:cs="Courier New" w:hint="default"/>
      </w:rPr>
    </w:lvl>
    <w:lvl w:ilvl="8" w:tplc="EDCC4FE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FC24848"/>
    <w:multiLevelType w:val="hybridMultilevel"/>
    <w:tmpl w:val="45E83B94"/>
    <w:lvl w:ilvl="0" w:tplc="04130001">
      <w:start w:val="1"/>
      <w:numFmt w:val="bullet"/>
      <w:lvlText w:val=""/>
      <w:lvlJc w:val="left"/>
      <w:pPr>
        <w:ind w:left="2424" w:hanging="360"/>
      </w:pPr>
      <w:rPr>
        <w:rFonts w:ascii="Symbol" w:hAnsi="Symbol" w:hint="default"/>
      </w:rPr>
    </w:lvl>
    <w:lvl w:ilvl="1" w:tplc="04130003" w:tentative="1">
      <w:start w:val="1"/>
      <w:numFmt w:val="bullet"/>
      <w:lvlText w:val="o"/>
      <w:lvlJc w:val="left"/>
      <w:pPr>
        <w:ind w:left="3144" w:hanging="360"/>
      </w:pPr>
      <w:rPr>
        <w:rFonts w:ascii="Courier New" w:hAnsi="Courier New" w:cs="Courier New" w:hint="default"/>
      </w:rPr>
    </w:lvl>
    <w:lvl w:ilvl="2" w:tplc="04130005" w:tentative="1">
      <w:start w:val="1"/>
      <w:numFmt w:val="bullet"/>
      <w:lvlText w:val=""/>
      <w:lvlJc w:val="left"/>
      <w:pPr>
        <w:ind w:left="3864" w:hanging="360"/>
      </w:pPr>
      <w:rPr>
        <w:rFonts w:ascii="Wingdings" w:hAnsi="Wingdings" w:hint="default"/>
      </w:rPr>
    </w:lvl>
    <w:lvl w:ilvl="3" w:tplc="04130001" w:tentative="1">
      <w:start w:val="1"/>
      <w:numFmt w:val="bullet"/>
      <w:lvlText w:val=""/>
      <w:lvlJc w:val="left"/>
      <w:pPr>
        <w:ind w:left="4584" w:hanging="360"/>
      </w:pPr>
      <w:rPr>
        <w:rFonts w:ascii="Symbol" w:hAnsi="Symbol" w:hint="default"/>
      </w:rPr>
    </w:lvl>
    <w:lvl w:ilvl="4" w:tplc="04130003" w:tentative="1">
      <w:start w:val="1"/>
      <w:numFmt w:val="bullet"/>
      <w:lvlText w:val="o"/>
      <w:lvlJc w:val="left"/>
      <w:pPr>
        <w:ind w:left="5304" w:hanging="360"/>
      </w:pPr>
      <w:rPr>
        <w:rFonts w:ascii="Courier New" w:hAnsi="Courier New" w:cs="Courier New" w:hint="default"/>
      </w:rPr>
    </w:lvl>
    <w:lvl w:ilvl="5" w:tplc="04130005" w:tentative="1">
      <w:start w:val="1"/>
      <w:numFmt w:val="bullet"/>
      <w:lvlText w:val=""/>
      <w:lvlJc w:val="left"/>
      <w:pPr>
        <w:ind w:left="6024" w:hanging="360"/>
      </w:pPr>
      <w:rPr>
        <w:rFonts w:ascii="Wingdings" w:hAnsi="Wingdings" w:hint="default"/>
      </w:rPr>
    </w:lvl>
    <w:lvl w:ilvl="6" w:tplc="04130001" w:tentative="1">
      <w:start w:val="1"/>
      <w:numFmt w:val="bullet"/>
      <w:lvlText w:val=""/>
      <w:lvlJc w:val="left"/>
      <w:pPr>
        <w:ind w:left="6744" w:hanging="360"/>
      </w:pPr>
      <w:rPr>
        <w:rFonts w:ascii="Symbol" w:hAnsi="Symbol" w:hint="default"/>
      </w:rPr>
    </w:lvl>
    <w:lvl w:ilvl="7" w:tplc="04130003" w:tentative="1">
      <w:start w:val="1"/>
      <w:numFmt w:val="bullet"/>
      <w:lvlText w:val="o"/>
      <w:lvlJc w:val="left"/>
      <w:pPr>
        <w:ind w:left="7464" w:hanging="360"/>
      </w:pPr>
      <w:rPr>
        <w:rFonts w:ascii="Courier New" w:hAnsi="Courier New" w:cs="Courier New" w:hint="default"/>
      </w:rPr>
    </w:lvl>
    <w:lvl w:ilvl="8" w:tplc="04130005" w:tentative="1">
      <w:start w:val="1"/>
      <w:numFmt w:val="bullet"/>
      <w:lvlText w:val=""/>
      <w:lvlJc w:val="left"/>
      <w:pPr>
        <w:ind w:left="8184" w:hanging="360"/>
      </w:pPr>
      <w:rPr>
        <w:rFonts w:ascii="Wingdings" w:hAnsi="Wingdings" w:hint="default"/>
      </w:r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F648B1"/>
    <w:multiLevelType w:val="hybridMultilevel"/>
    <w:tmpl w:val="0A385D0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729E6AC8"/>
    <w:multiLevelType w:val="hybridMultilevel"/>
    <w:tmpl w:val="B6EE69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4"/>
  </w:num>
  <w:num w:numId="14">
    <w:abstractNumId w:val="12"/>
  </w:num>
  <w:num w:numId="15">
    <w:abstractNumId w:val="15"/>
  </w:num>
  <w:num w:numId="16">
    <w:abstractNumId w:val="13"/>
  </w:num>
  <w:num w:numId="17">
    <w:abstractNumId w:val="1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DBC"/>
    <w:rsid w:val="00003B04"/>
    <w:rsid w:val="000049FB"/>
    <w:rsid w:val="00013862"/>
    <w:rsid w:val="00016012"/>
    <w:rsid w:val="00020189"/>
    <w:rsid w:val="00020EE4"/>
    <w:rsid w:val="00023E9A"/>
    <w:rsid w:val="00033CDD"/>
    <w:rsid w:val="00034A84"/>
    <w:rsid w:val="00035E67"/>
    <w:rsid w:val="000366F3"/>
    <w:rsid w:val="00040884"/>
    <w:rsid w:val="00042A5B"/>
    <w:rsid w:val="000511C7"/>
    <w:rsid w:val="0006024D"/>
    <w:rsid w:val="00071F28"/>
    <w:rsid w:val="000731D8"/>
    <w:rsid w:val="00074079"/>
    <w:rsid w:val="00074160"/>
    <w:rsid w:val="00077B03"/>
    <w:rsid w:val="00092799"/>
    <w:rsid w:val="00092C5F"/>
    <w:rsid w:val="00096680"/>
    <w:rsid w:val="000A0F36"/>
    <w:rsid w:val="000A174A"/>
    <w:rsid w:val="000A2CF2"/>
    <w:rsid w:val="000A3E0A"/>
    <w:rsid w:val="000A65AC"/>
    <w:rsid w:val="000B7281"/>
    <w:rsid w:val="000B7FAB"/>
    <w:rsid w:val="000C0163"/>
    <w:rsid w:val="000C1BA1"/>
    <w:rsid w:val="000C3EA9"/>
    <w:rsid w:val="000C70EB"/>
    <w:rsid w:val="000D0225"/>
    <w:rsid w:val="000D7B53"/>
    <w:rsid w:val="000E3EB0"/>
    <w:rsid w:val="000E7895"/>
    <w:rsid w:val="000F161D"/>
    <w:rsid w:val="000F3CAA"/>
    <w:rsid w:val="000F4417"/>
    <w:rsid w:val="00103280"/>
    <w:rsid w:val="0010771A"/>
    <w:rsid w:val="00121081"/>
    <w:rsid w:val="00121BF0"/>
    <w:rsid w:val="00123704"/>
    <w:rsid w:val="00123752"/>
    <w:rsid w:val="001267EE"/>
    <w:rsid w:val="001270C7"/>
    <w:rsid w:val="00132540"/>
    <w:rsid w:val="0014786A"/>
    <w:rsid w:val="001516A4"/>
    <w:rsid w:val="00151E5F"/>
    <w:rsid w:val="00153E28"/>
    <w:rsid w:val="001569AB"/>
    <w:rsid w:val="00164D63"/>
    <w:rsid w:val="0016725C"/>
    <w:rsid w:val="001726F3"/>
    <w:rsid w:val="00173C51"/>
    <w:rsid w:val="00174CC2"/>
    <w:rsid w:val="0017690E"/>
    <w:rsid w:val="00176CC6"/>
    <w:rsid w:val="00181BE4"/>
    <w:rsid w:val="00185576"/>
    <w:rsid w:val="00185951"/>
    <w:rsid w:val="00191DA2"/>
    <w:rsid w:val="00196B8B"/>
    <w:rsid w:val="001A0F3C"/>
    <w:rsid w:val="001A29D5"/>
    <w:rsid w:val="001A2BEA"/>
    <w:rsid w:val="001A6D93"/>
    <w:rsid w:val="001C32EC"/>
    <w:rsid w:val="001C38BD"/>
    <w:rsid w:val="001C4D5A"/>
    <w:rsid w:val="001D51AA"/>
    <w:rsid w:val="001E17B7"/>
    <w:rsid w:val="001E34C6"/>
    <w:rsid w:val="001E5581"/>
    <w:rsid w:val="001F3C70"/>
    <w:rsid w:val="00200D88"/>
    <w:rsid w:val="00201F68"/>
    <w:rsid w:val="00211A90"/>
    <w:rsid w:val="00212F2A"/>
    <w:rsid w:val="00214F2B"/>
    <w:rsid w:val="00215BA5"/>
    <w:rsid w:val="00217880"/>
    <w:rsid w:val="00222D66"/>
    <w:rsid w:val="00224A8A"/>
    <w:rsid w:val="0022702E"/>
    <w:rsid w:val="002309A8"/>
    <w:rsid w:val="00236CFE"/>
    <w:rsid w:val="002373B8"/>
    <w:rsid w:val="002428E3"/>
    <w:rsid w:val="00243031"/>
    <w:rsid w:val="00245684"/>
    <w:rsid w:val="00254A0B"/>
    <w:rsid w:val="00260BAF"/>
    <w:rsid w:val="00264D0E"/>
    <w:rsid w:val="002650F7"/>
    <w:rsid w:val="002651C7"/>
    <w:rsid w:val="00273F3B"/>
    <w:rsid w:val="00274DB7"/>
    <w:rsid w:val="00275984"/>
    <w:rsid w:val="00280F74"/>
    <w:rsid w:val="00280F9C"/>
    <w:rsid w:val="00286998"/>
    <w:rsid w:val="00287375"/>
    <w:rsid w:val="00291AB7"/>
    <w:rsid w:val="00292EB2"/>
    <w:rsid w:val="0029422B"/>
    <w:rsid w:val="002A0938"/>
    <w:rsid w:val="002A40A8"/>
    <w:rsid w:val="002B153C"/>
    <w:rsid w:val="002B52FC"/>
    <w:rsid w:val="002C2830"/>
    <w:rsid w:val="002C6F34"/>
    <w:rsid w:val="002D001A"/>
    <w:rsid w:val="002D28E2"/>
    <w:rsid w:val="002D317B"/>
    <w:rsid w:val="002D3587"/>
    <w:rsid w:val="002D502D"/>
    <w:rsid w:val="002D52EC"/>
    <w:rsid w:val="002D6691"/>
    <w:rsid w:val="002E0F69"/>
    <w:rsid w:val="002F5147"/>
    <w:rsid w:val="002F7ABD"/>
    <w:rsid w:val="00304897"/>
    <w:rsid w:val="00312597"/>
    <w:rsid w:val="003227A6"/>
    <w:rsid w:val="003249C8"/>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42AF"/>
    <w:rsid w:val="00376093"/>
    <w:rsid w:val="00380009"/>
    <w:rsid w:val="00383DA1"/>
    <w:rsid w:val="00385F30"/>
    <w:rsid w:val="00393696"/>
    <w:rsid w:val="00393963"/>
    <w:rsid w:val="00394822"/>
    <w:rsid w:val="00395575"/>
    <w:rsid w:val="00395672"/>
    <w:rsid w:val="003A06C8"/>
    <w:rsid w:val="003A0D7C"/>
    <w:rsid w:val="003A5290"/>
    <w:rsid w:val="003B0155"/>
    <w:rsid w:val="003B1E18"/>
    <w:rsid w:val="003B382C"/>
    <w:rsid w:val="003B7EE7"/>
    <w:rsid w:val="003C2CCB"/>
    <w:rsid w:val="003D3539"/>
    <w:rsid w:val="003D39EC"/>
    <w:rsid w:val="003E3DD5"/>
    <w:rsid w:val="003F07C6"/>
    <w:rsid w:val="003F1F6B"/>
    <w:rsid w:val="003F3757"/>
    <w:rsid w:val="003F38BD"/>
    <w:rsid w:val="003F44B7"/>
    <w:rsid w:val="004008E9"/>
    <w:rsid w:val="004028FC"/>
    <w:rsid w:val="004048D0"/>
    <w:rsid w:val="00413D48"/>
    <w:rsid w:val="004312E7"/>
    <w:rsid w:val="00441AC2"/>
    <w:rsid w:val="0044249B"/>
    <w:rsid w:val="0045023C"/>
    <w:rsid w:val="00451A5B"/>
    <w:rsid w:val="00452BCD"/>
    <w:rsid w:val="00452CEA"/>
    <w:rsid w:val="00453382"/>
    <w:rsid w:val="00455D7F"/>
    <w:rsid w:val="004579F5"/>
    <w:rsid w:val="00460385"/>
    <w:rsid w:val="0046094D"/>
    <w:rsid w:val="00465B52"/>
    <w:rsid w:val="0046708E"/>
    <w:rsid w:val="00467A2F"/>
    <w:rsid w:val="004729A9"/>
    <w:rsid w:val="00472A65"/>
    <w:rsid w:val="00474463"/>
    <w:rsid w:val="00474B75"/>
    <w:rsid w:val="00475199"/>
    <w:rsid w:val="00483F0B"/>
    <w:rsid w:val="00486F5A"/>
    <w:rsid w:val="00496319"/>
    <w:rsid w:val="00497279"/>
    <w:rsid w:val="004A163B"/>
    <w:rsid w:val="004A670A"/>
    <w:rsid w:val="004B5465"/>
    <w:rsid w:val="004B70F0"/>
    <w:rsid w:val="004D505E"/>
    <w:rsid w:val="004D72CA"/>
    <w:rsid w:val="004E2242"/>
    <w:rsid w:val="004E505E"/>
    <w:rsid w:val="004F4115"/>
    <w:rsid w:val="004F42FF"/>
    <w:rsid w:val="004F44C2"/>
    <w:rsid w:val="00502512"/>
    <w:rsid w:val="00503FD2"/>
    <w:rsid w:val="00505262"/>
    <w:rsid w:val="00516022"/>
    <w:rsid w:val="00517373"/>
    <w:rsid w:val="00521CEE"/>
    <w:rsid w:val="00524FB4"/>
    <w:rsid w:val="00527979"/>
    <w:rsid w:val="00527BD4"/>
    <w:rsid w:val="00536E4F"/>
    <w:rsid w:val="0053707F"/>
    <w:rsid w:val="00537095"/>
    <w:rsid w:val="005403C8"/>
    <w:rsid w:val="005429DC"/>
    <w:rsid w:val="005538CD"/>
    <w:rsid w:val="005565F9"/>
    <w:rsid w:val="00562744"/>
    <w:rsid w:val="00573041"/>
    <w:rsid w:val="00575B80"/>
    <w:rsid w:val="0057620F"/>
    <w:rsid w:val="005819CE"/>
    <w:rsid w:val="0058298D"/>
    <w:rsid w:val="00584D3E"/>
    <w:rsid w:val="0059126A"/>
    <w:rsid w:val="005924E0"/>
    <w:rsid w:val="00593C2B"/>
    <w:rsid w:val="00595231"/>
    <w:rsid w:val="00596166"/>
    <w:rsid w:val="00597F64"/>
    <w:rsid w:val="005A207F"/>
    <w:rsid w:val="005A2F35"/>
    <w:rsid w:val="005A55F8"/>
    <w:rsid w:val="005B3814"/>
    <w:rsid w:val="005B463E"/>
    <w:rsid w:val="005C34E1"/>
    <w:rsid w:val="005C3FE0"/>
    <w:rsid w:val="005C65B5"/>
    <w:rsid w:val="005C740C"/>
    <w:rsid w:val="005D21A8"/>
    <w:rsid w:val="005D625B"/>
    <w:rsid w:val="005E3E85"/>
    <w:rsid w:val="005E40E3"/>
    <w:rsid w:val="005F09C8"/>
    <w:rsid w:val="005F62D3"/>
    <w:rsid w:val="005F6D11"/>
    <w:rsid w:val="00600CF0"/>
    <w:rsid w:val="006048F4"/>
    <w:rsid w:val="0060660A"/>
    <w:rsid w:val="00613B1D"/>
    <w:rsid w:val="00614479"/>
    <w:rsid w:val="00617A44"/>
    <w:rsid w:val="006202B6"/>
    <w:rsid w:val="00625CD0"/>
    <w:rsid w:val="0062627D"/>
    <w:rsid w:val="00627432"/>
    <w:rsid w:val="006340E2"/>
    <w:rsid w:val="006448E4"/>
    <w:rsid w:val="00644991"/>
    <w:rsid w:val="00645414"/>
    <w:rsid w:val="006467D1"/>
    <w:rsid w:val="00646B91"/>
    <w:rsid w:val="0065147C"/>
    <w:rsid w:val="00651CEE"/>
    <w:rsid w:val="00653606"/>
    <w:rsid w:val="00656FFB"/>
    <w:rsid w:val="00660927"/>
    <w:rsid w:val="006610E9"/>
    <w:rsid w:val="00661591"/>
    <w:rsid w:val="0066311B"/>
    <w:rsid w:val="0066632F"/>
    <w:rsid w:val="00674A89"/>
    <w:rsid w:val="00674F3D"/>
    <w:rsid w:val="00676B93"/>
    <w:rsid w:val="00685017"/>
    <w:rsid w:val="00685545"/>
    <w:rsid w:val="006864B3"/>
    <w:rsid w:val="00692D64"/>
    <w:rsid w:val="006938B0"/>
    <w:rsid w:val="006970B6"/>
    <w:rsid w:val="006A10F8"/>
    <w:rsid w:val="006A2100"/>
    <w:rsid w:val="006A5C3B"/>
    <w:rsid w:val="006A72E0"/>
    <w:rsid w:val="006B0BF3"/>
    <w:rsid w:val="006B71B2"/>
    <w:rsid w:val="006B775E"/>
    <w:rsid w:val="006B7BC7"/>
    <w:rsid w:val="006C2535"/>
    <w:rsid w:val="006C441E"/>
    <w:rsid w:val="006C4B90"/>
    <w:rsid w:val="006D1016"/>
    <w:rsid w:val="006D17F2"/>
    <w:rsid w:val="006E3546"/>
    <w:rsid w:val="006E3FA9"/>
    <w:rsid w:val="006E7D82"/>
    <w:rsid w:val="006F038F"/>
    <w:rsid w:val="006F0F93"/>
    <w:rsid w:val="006F31F2"/>
    <w:rsid w:val="006F7494"/>
    <w:rsid w:val="006F751F"/>
    <w:rsid w:val="00714DC5"/>
    <w:rsid w:val="00715237"/>
    <w:rsid w:val="00721AE1"/>
    <w:rsid w:val="007254A5"/>
    <w:rsid w:val="00725748"/>
    <w:rsid w:val="00725BB6"/>
    <w:rsid w:val="00735D88"/>
    <w:rsid w:val="0073720D"/>
    <w:rsid w:val="00737507"/>
    <w:rsid w:val="00740712"/>
    <w:rsid w:val="00741F3E"/>
    <w:rsid w:val="007426AA"/>
    <w:rsid w:val="00742AB9"/>
    <w:rsid w:val="00751A6A"/>
    <w:rsid w:val="007538A5"/>
    <w:rsid w:val="00754FBF"/>
    <w:rsid w:val="007573F3"/>
    <w:rsid w:val="007610AA"/>
    <w:rsid w:val="007709EF"/>
    <w:rsid w:val="00782701"/>
    <w:rsid w:val="00783559"/>
    <w:rsid w:val="00784C2D"/>
    <w:rsid w:val="0079551B"/>
    <w:rsid w:val="00797AA5"/>
    <w:rsid w:val="007A26BD"/>
    <w:rsid w:val="007A4105"/>
    <w:rsid w:val="007A6916"/>
    <w:rsid w:val="007B0E10"/>
    <w:rsid w:val="007B3E90"/>
    <w:rsid w:val="007B4503"/>
    <w:rsid w:val="007B53FF"/>
    <w:rsid w:val="007C406E"/>
    <w:rsid w:val="007C5183"/>
    <w:rsid w:val="007C7573"/>
    <w:rsid w:val="007E2B20"/>
    <w:rsid w:val="007E43EF"/>
    <w:rsid w:val="007F439C"/>
    <w:rsid w:val="007F510A"/>
    <w:rsid w:val="007F5331"/>
    <w:rsid w:val="00800CCA"/>
    <w:rsid w:val="0080491A"/>
    <w:rsid w:val="00806120"/>
    <w:rsid w:val="00810C93"/>
    <w:rsid w:val="00812028"/>
    <w:rsid w:val="00812DD8"/>
    <w:rsid w:val="00813082"/>
    <w:rsid w:val="00814D03"/>
    <w:rsid w:val="00814F82"/>
    <w:rsid w:val="00821FC1"/>
    <w:rsid w:val="00823AE2"/>
    <w:rsid w:val="00827C95"/>
    <w:rsid w:val="008313FD"/>
    <w:rsid w:val="0083178B"/>
    <w:rsid w:val="00831EE4"/>
    <w:rsid w:val="00833695"/>
    <w:rsid w:val="008336B7"/>
    <w:rsid w:val="00833A8E"/>
    <w:rsid w:val="00836ACA"/>
    <w:rsid w:val="008371FE"/>
    <w:rsid w:val="00842CD8"/>
    <w:rsid w:val="008431FA"/>
    <w:rsid w:val="00847444"/>
    <w:rsid w:val="008517C6"/>
    <w:rsid w:val="008547BA"/>
    <w:rsid w:val="008553C7"/>
    <w:rsid w:val="00856767"/>
    <w:rsid w:val="00857EAB"/>
    <w:rsid w:val="00857FEB"/>
    <w:rsid w:val="008601AF"/>
    <w:rsid w:val="008636BD"/>
    <w:rsid w:val="00867737"/>
    <w:rsid w:val="00872271"/>
    <w:rsid w:val="00876088"/>
    <w:rsid w:val="00883137"/>
    <w:rsid w:val="00883DD7"/>
    <w:rsid w:val="0088798A"/>
    <w:rsid w:val="00891EF4"/>
    <w:rsid w:val="008A1F5D"/>
    <w:rsid w:val="008A28F5"/>
    <w:rsid w:val="008A3716"/>
    <w:rsid w:val="008A71F3"/>
    <w:rsid w:val="008B1198"/>
    <w:rsid w:val="008B3471"/>
    <w:rsid w:val="008B3929"/>
    <w:rsid w:val="008B4125"/>
    <w:rsid w:val="008B4CB3"/>
    <w:rsid w:val="008B567B"/>
    <w:rsid w:val="008B7B24"/>
    <w:rsid w:val="008C356D"/>
    <w:rsid w:val="008D43B5"/>
    <w:rsid w:val="008E0B3F"/>
    <w:rsid w:val="008E49AD"/>
    <w:rsid w:val="008E698E"/>
    <w:rsid w:val="008F00FB"/>
    <w:rsid w:val="008F2584"/>
    <w:rsid w:val="008F3246"/>
    <w:rsid w:val="008F3C1B"/>
    <w:rsid w:val="008F508C"/>
    <w:rsid w:val="0090271B"/>
    <w:rsid w:val="00910642"/>
    <w:rsid w:val="00910DDF"/>
    <w:rsid w:val="009121BA"/>
    <w:rsid w:val="00926AE2"/>
    <w:rsid w:val="00930B13"/>
    <w:rsid w:val="0093118C"/>
    <w:rsid w:val="009311C8"/>
    <w:rsid w:val="00933376"/>
    <w:rsid w:val="00933A2F"/>
    <w:rsid w:val="00950BDD"/>
    <w:rsid w:val="0096234B"/>
    <w:rsid w:val="00963374"/>
    <w:rsid w:val="009716D8"/>
    <w:rsid w:val="009718F9"/>
    <w:rsid w:val="00971F42"/>
    <w:rsid w:val="00972FB9"/>
    <w:rsid w:val="00974C96"/>
    <w:rsid w:val="00975112"/>
    <w:rsid w:val="00981768"/>
    <w:rsid w:val="00983E8F"/>
    <w:rsid w:val="0098788A"/>
    <w:rsid w:val="009903AB"/>
    <w:rsid w:val="00994FDA"/>
    <w:rsid w:val="009A31BF"/>
    <w:rsid w:val="009A3B71"/>
    <w:rsid w:val="009A4996"/>
    <w:rsid w:val="009A6122"/>
    <w:rsid w:val="009A61BC"/>
    <w:rsid w:val="009A649B"/>
    <w:rsid w:val="009B0138"/>
    <w:rsid w:val="009B0FE9"/>
    <w:rsid w:val="009B173A"/>
    <w:rsid w:val="009B29B3"/>
    <w:rsid w:val="009C3F20"/>
    <w:rsid w:val="009C70EC"/>
    <w:rsid w:val="009C7CA1"/>
    <w:rsid w:val="009D043D"/>
    <w:rsid w:val="009E01BA"/>
    <w:rsid w:val="009E07A4"/>
    <w:rsid w:val="009E752C"/>
    <w:rsid w:val="009F3259"/>
    <w:rsid w:val="009F7242"/>
    <w:rsid w:val="00A04B00"/>
    <w:rsid w:val="00A056DE"/>
    <w:rsid w:val="00A11AB9"/>
    <w:rsid w:val="00A128AD"/>
    <w:rsid w:val="00A175FF"/>
    <w:rsid w:val="00A21E76"/>
    <w:rsid w:val="00A23BC8"/>
    <w:rsid w:val="00A245F8"/>
    <w:rsid w:val="00A30E68"/>
    <w:rsid w:val="00A31933"/>
    <w:rsid w:val="00A329D2"/>
    <w:rsid w:val="00A34AA0"/>
    <w:rsid w:val="00A3715C"/>
    <w:rsid w:val="00A40CDE"/>
    <w:rsid w:val="00A41FE2"/>
    <w:rsid w:val="00A46FEF"/>
    <w:rsid w:val="00A47948"/>
    <w:rsid w:val="00A50CF6"/>
    <w:rsid w:val="00A510E9"/>
    <w:rsid w:val="00A55EC1"/>
    <w:rsid w:val="00A56946"/>
    <w:rsid w:val="00A6170E"/>
    <w:rsid w:val="00A628F9"/>
    <w:rsid w:val="00A63B8C"/>
    <w:rsid w:val="00A715F8"/>
    <w:rsid w:val="00A77F6F"/>
    <w:rsid w:val="00A831FD"/>
    <w:rsid w:val="00A83352"/>
    <w:rsid w:val="00A850A2"/>
    <w:rsid w:val="00A91FA3"/>
    <w:rsid w:val="00A927D3"/>
    <w:rsid w:val="00A96CF8"/>
    <w:rsid w:val="00AA7FC9"/>
    <w:rsid w:val="00AB237D"/>
    <w:rsid w:val="00AB5933"/>
    <w:rsid w:val="00AE013D"/>
    <w:rsid w:val="00AE0737"/>
    <w:rsid w:val="00AE11B7"/>
    <w:rsid w:val="00AE228A"/>
    <w:rsid w:val="00AE501D"/>
    <w:rsid w:val="00AE7F68"/>
    <w:rsid w:val="00AF2321"/>
    <w:rsid w:val="00AF52F6"/>
    <w:rsid w:val="00AF52FD"/>
    <w:rsid w:val="00AF54A8"/>
    <w:rsid w:val="00AF7237"/>
    <w:rsid w:val="00B0043A"/>
    <w:rsid w:val="00B00D75"/>
    <w:rsid w:val="00B070CB"/>
    <w:rsid w:val="00B12456"/>
    <w:rsid w:val="00B145F0"/>
    <w:rsid w:val="00B14CAB"/>
    <w:rsid w:val="00B259C8"/>
    <w:rsid w:val="00B26CCF"/>
    <w:rsid w:val="00B30E07"/>
    <w:rsid w:val="00B30FC2"/>
    <w:rsid w:val="00B331A2"/>
    <w:rsid w:val="00B425F0"/>
    <w:rsid w:val="00B42DFA"/>
    <w:rsid w:val="00B51119"/>
    <w:rsid w:val="00B531DD"/>
    <w:rsid w:val="00B53BB9"/>
    <w:rsid w:val="00B55014"/>
    <w:rsid w:val="00B62232"/>
    <w:rsid w:val="00B6527E"/>
    <w:rsid w:val="00B70BF3"/>
    <w:rsid w:val="00B71DC2"/>
    <w:rsid w:val="00B76B9B"/>
    <w:rsid w:val="00B81A4A"/>
    <w:rsid w:val="00B91CFC"/>
    <w:rsid w:val="00B93893"/>
    <w:rsid w:val="00B95A05"/>
    <w:rsid w:val="00BA1397"/>
    <w:rsid w:val="00BA7E0A"/>
    <w:rsid w:val="00BB06A5"/>
    <w:rsid w:val="00BB09CB"/>
    <w:rsid w:val="00BB7523"/>
    <w:rsid w:val="00BC3B53"/>
    <w:rsid w:val="00BC3B96"/>
    <w:rsid w:val="00BC4AE3"/>
    <w:rsid w:val="00BC5B28"/>
    <w:rsid w:val="00BD2370"/>
    <w:rsid w:val="00BE16B7"/>
    <w:rsid w:val="00BE38FC"/>
    <w:rsid w:val="00BE3F88"/>
    <w:rsid w:val="00BE4756"/>
    <w:rsid w:val="00BE5ED9"/>
    <w:rsid w:val="00BE664D"/>
    <w:rsid w:val="00BE7B41"/>
    <w:rsid w:val="00BF3202"/>
    <w:rsid w:val="00C10A43"/>
    <w:rsid w:val="00C15A91"/>
    <w:rsid w:val="00C15CC3"/>
    <w:rsid w:val="00C206F1"/>
    <w:rsid w:val="00C217E1"/>
    <w:rsid w:val="00C219B1"/>
    <w:rsid w:val="00C4015B"/>
    <w:rsid w:val="00C40C60"/>
    <w:rsid w:val="00C5258E"/>
    <w:rsid w:val="00C530C9"/>
    <w:rsid w:val="00C547CF"/>
    <w:rsid w:val="00C619A7"/>
    <w:rsid w:val="00C6400D"/>
    <w:rsid w:val="00C65AE9"/>
    <w:rsid w:val="00C73D5F"/>
    <w:rsid w:val="00C76A21"/>
    <w:rsid w:val="00C77531"/>
    <w:rsid w:val="00C82AFE"/>
    <w:rsid w:val="00C834E7"/>
    <w:rsid w:val="00C83DBC"/>
    <w:rsid w:val="00C90702"/>
    <w:rsid w:val="00C97C80"/>
    <w:rsid w:val="00CA47D3"/>
    <w:rsid w:val="00CA6533"/>
    <w:rsid w:val="00CA6A25"/>
    <w:rsid w:val="00CA6A3F"/>
    <w:rsid w:val="00CA7C99"/>
    <w:rsid w:val="00CB0755"/>
    <w:rsid w:val="00CC6290"/>
    <w:rsid w:val="00CD233D"/>
    <w:rsid w:val="00CD362D"/>
    <w:rsid w:val="00CE0187"/>
    <w:rsid w:val="00CE07D4"/>
    <w:rsid w:val="00CE101D"/>
    <w:rsid w:val="00CE1814"/>
    <w:rsid w:val="00CE1C84"/>
    <w:rsid w:val="00CE42A3"/>
    <w:rsid w:val="00CE5055"/>
    <w:rsid w:val="00CF053F"/>
    <w:rsid w:val="00CF1A17"/>
    <w:rsid w:val="00CF4648"/>
    <w:rsid w:val="00D0282E"/>
    <w:rsid w:val="00D0375A"/>
    <w:rsid w:val="00D0609E"/>
    <w:rsid w:val="00D078E1"/>
    <w:rsid w:val="00D100E9"/>
    <w:rsid w:val="00D17942"/>
    <w:rsid w:val="00D21B83"/>
    <w:rsid w:val="00D21E4B"/>
    <w:rsid w:val="00D22441"/>
    <w:rsid w:val="00D23522"/>
    <w:rsid w:val="00D264D6"/>
    <w:rsid w:val="00D33BF0"/>
    <w:rsid w:val="00D33DE0"/>
    <w:rsid w:val="00D36447"/>
    <w:rsid w:val="00D45E20"/>
    <w:rsid w:val="00D516BE"/>
    <w:rsid w:val="00D5423B"/>
    <w:rsid w:val="00D54E6A"/>
    <w:rsid w:val="00D54F4E"/>
    <w:rsid w:val="00D57A56"/>
    <w:rsid w:val="00D604B3"/>
    <w:rsid w:val="00D60BA4"/>
    <w:rsid w:val="00D60BEC"/>
    <w:rsid w:val="00D62419"/>
    <w:rsid w:val="00D639D3"/>
    <w:rsid w:val="00D77870"/>
    <w:rsid w:val="00D80977"/>
    <w:rsid w:val="00D80CCE"/>
    <w:rsid w:val="00D86EEA"/>
    <w:rsid w:val="00D86F9E"/>
    <w:rsid w:val="00D87D03"/>
    <w:rsid w:val="00D87E45"/>
    <w:rsid w:val="00D9360B"/>
    <w:rsid w:val="00D95C88"/>
    <w:rsid w:val="00D97B2E"/>
    <w:rsid w:val="00DA00D1"/>
    <w:rsid w:val="00DA241E"/>
    <w:rsid w:val="00DB36FE"/>
    <w:rsid w:val="00DB533A"/>
    <w:rsid w:val="00DB6307"/>
    <w:rsid w:val="00DC46F1"/>
    <w:rsid w:val="00DC5886"/>
    <w:rsid w:val="00DD0224"/>
    <w:rsid w:val="00DD1DCD"/>
    <w:rsid w:val="00DD338F"/>
    <w:rsid w:val="00DD66F2"/>
    <w:rsid w:val="00DE0A18"/>
    <w:rsid w:val="00DE3FE0"/>
    <w:rsid w:val="00DE578A"/>
    <w:rsid w:val="00DF2583"/>
    <w:rsid w:val="00DF54D9"/>
    <w:rsid w:val="00DF7283"/>
    <w:rsid w:val="00DF788A"/>
    <w:rsid w:val="00E01A59"/>
    <w:rsid w:val="00E0329A"/>
    <w:rsid w:val="00E10DC6"/>
    <w:rsid w:val="00E11F8E"/>
    <w:rsid w:val="00E15881"/>
    <w:rsid w:val="00E15B61"/>
    <w:rsid w:val="00E16A8F"/>
    <w:rsid w:val="00E1748E"/>
    <w:rsid w:val="00E21D6A"/>
    <w:rsid w:val="00E21DE3"/>
    <w:rsid w:val="00E2409C"/>
    <w:rsid w:val="00E26696"/>
    <w:rsid w:val="00E273C5"/>
    <w:rsid w:val="00E307D1"/>
    <w:rsid w:val="00E33A5F"/>
    <w:rsid w:val="00E33EEC"/>
    <w:rsid w:val="00E34732"/>
    <w:rsid w:val="00E3731D"/>
    <w:rsid w:val="00E51469"/>
    <w:rsid w:val="00E634E3"/>
    <w:rsid w:val="00E717C4"/>
    <w:rsid w:val="00E759CF"/>
    <w:rsid w:val="00E76F0A"/>
    <w:rsid w:val="00E77E18"/>
    <w:rsid w:val="00E77F89"/>
    <w:rsid w:val="00E80330"/>
    <w:rsid w:val="00E806C5"/>
    <w:rsid w:val="00E80E71"/>
    <w:rsid w:val="00E83ECA"/>
    <w:rsid w:val="00E850D3"/>
    <w:rsid w:val="00E853D6"/>
    <w:rsid w:val="00E87628"/>
    <w:rsid w:val="00E876B9"/>
    <w:rsid w:val="00E92CC9"/>
    <w:rsid w:val="00E95992"/>
    <w:rsid w:val="00E96088"/>
    <w:rsid w:val="00EC03B6"/>
    <w:rsid w:val="00EC0DFF"/>
    <w:rsid w:val="00EC237D"/>
    <w:rsid w:val="00EC2918"/>
    <w:rsid w:val="00EC3071"/>
    <w:rsid w:val="00EC4D0E"/>
    <w:rsid w:val="00EC4E2B"/>
    <w:rsid w:val="00ED072A"/>
    <w:rsid w:val="00ED539E"/>
    <w:rsid w:val="00EE3CDC"/>
    <w:rsid w:val="00EE4A1F"/>
    <w:rsid w:val="00EE4C2D"/>
    <w:rsid w:val="00EE6E1A"/>
    <w:rsid w:val="00EF1B5A"/>
    <w:rsid w:val="00EF24FB"/>
    <w:rsid w:val="00EF2CCA"/>
    <w:rsid w:val="00EF495B"/>
    <w:rsid w:val="00EF60DC"/>
    <w:rsid w:val="00F00F54"/>
    <w:rsid w:val="00F01B2E"/>
    <w:rsid w:val="00F034D8"/>
    <w:rsid w:val="00F03963"/>
    <w:rsid w:val="00F04154"/>
    <w:rsid w:val="00F11068"/>
    <w:rsid w:val="00F1256D"/>
    <w:rsid w:val="00F13A4E"/>
    <w:rsid w:val="00F172BB"/>
    <w:rsid w:val="00F17B10"/>
    <w:rsid w:val="00F21BEF"/>
    <w:rsid w:val="00F2315B"/>
    <w:rsid w:val="00F314B4"/>
    <w:rsid w:val="00F31D7B"/>
    <w:rsid w:val="00F41A6F"/>
    <w:rsid w:val="00F45A25"/>
    <w:rsid w:val="00F50F86"/>
    <w:rsid w:val="00F51D20"/>
    <w:rsid w:val="00F53F91"/>
    <w:rsid w:val="00F61569"/>
    <w:rsid w:val="00F6173A"/>
    <w:rsid w:val="00F61A72"/>
    <w:rsid w:val="00F62B67"/>
    <w:rsid w:val="00F66F13"/>
    <w:rsid w:val="00F677B9"/>
    <w:rsid w:val="00F74073"/>
    <w:rsid w:val="00F75603"/>
    <w:rsid w:val="00F845B4"/>
    <w:rsid w:val="00F8713B"/>
    <w:rsid w:val="00F937C7"/>
    <w:rsid w:val="00F93F9E"/>
    <w:rsid w:val="00F94477"/>
    <w:rsid w:val="00FA2CD7"/>
    <w:rsid w:val="00FA40A5"/>
    <w:rsid w:val="00FA5271"/>
    <w:rsid w:val="00FA7F35"/>
    <w:rsid w:val="00FB06ED"/>
    <w:rsid w:val="00FC0FC9"/>
    <w:rsid w:val="00FC3165"/>
    <w:rsid w:val="00FC36AB"/>
    <w:rsid w:val="00FC4300"/>
    <w:rsid w:val="00FC7F66"/>
    <w:rsid w:val="00FD5776"/>
    <w:rsid w:val="00FD6010"/>
    <w:rsid w:val="00FE1597"/>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64FF6E3"/>
  <w15:docId w15:val="{002A16AF-7CE8-441B-9D86-0A54ACB39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Standaard">
    <w:name w:val="Normal"/>
    <w:qFormat/>
    <w:rsid w:val="00C82AFE"/>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1397"/>
    <w:rPr>
      <w:color w:val="808080"/>
    </w:rPr>
  </w:style>
  <w:style w:type="paragraph" w:styleId="Voetnoottekst">
    <w:name w:val="footnote text"/>
    <w:basedOn w:val="Standaard"/>
    <w:link w:val="VoetnoottekstChar"/>
    <w:unhideWhenUsed/>
    <w:rsid w:val="00C82AFE"/>
    <w:pPr>
      <w:spacing w:line="180" w:lineRule="atLeast"/>
    </w:pPr>
    <w:rPr>
      <w:sz w:val="13"/>
      <w:szCs w:val="20"/>
    </w:rPr>
  </w:style>
  <w:style w:type="character" w:customStyle="1" w:styleId="VoetnoottekstChar">
    <w:name w:val="Voetnoottekst Char"/>
    <w:basedOn w:val="Standaardalinea-lettertype"/>
    <w:link w:val="Voetnoottekst"/>
    <w:rsid w:val="00C82AFE"/>
    <w:rPr>
      <w:rFonts w:ascii="Verdana" w:hAnsi="Verdana"/>
      <w:sz w:val="13"/>
      <w:lang w:val="nl-NL" w:eastAsia="nl-NL"/>
    </w:rPr>
  </w:style>
  <w:style w:type="paragraph" w:styleId="Ballontekst">
    <w:name w:val="Balloon Text"/>
    <w:basedOn w:val="Standaard"/>
    <w:link w:val="BallontekstChar"/>
    <w:rsid w:val="004A163B"/>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4A163B"/>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rsid w:val="00023E9A"/>
    <w:pPr>
      <w:tabs>
        <w:tab w:val="center" w:pos="4536"/>
        <w:tab w:val="right" w:pos="9072"/>
      </w:tabs>
    </w:pPr>
  </w:style>
  <w:style w:type="paragraph" w:customStyle="1" w:styleId="Footer0">
    <w:name w:val="Footer_0"/>
    <w:basedOn w:val="Normal0"/>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marginbottom-none">
    <w:name w:val="marginbottom-none"/>
    <w:basedOn w:val="Standaard"/>
    <w:rsid w:val="00DC5886"/>
    <w:pPr>
      <w:spacing w:before="100" w:beforeAutospacing="1" w:after="100" w:afterAutospacing="1" w:line="240" w:lineRule="auto"/>
    </w:pPr>
    <w:rPr>
      <w:rFonts w:ascii="Times New Roman" w:hAnsi="Times New Roman"/>
      <w:sz w:val="24"/>
    </w:rPr>
  </w:style>
  <w:style w:type="paragraph" w:customStyle="1" w:styleId="marginbottom-auto">
    <w:name w:val="marginbottom-auto"/>
    <w:basedOn w:val="Standaard"/>
    <w:rsid w:val="00DC5886"/>
    <w:pPr>
      <w:spacing w:before="100" w:beforeAutospacing="1" w:after="100" w:afterAutospacing="1" w:line="240" w:lineRule="auto"/>
    </w:pPr>
    <w:rPr>
      <w:rFonts w:ascii="Times New Roman" w:hAnsi="Times New Roman"/>
      <w:sz w:val="24"/>
    </w:rPr>
  </w:style>
  <w:style w:type="paragraph" w:customStyle="1" w:styleId="Default">
    <w:name w:val="Default"/>
    <w:basedOn w:val="Standaard"/>
    <w:rsid w:val="00486F5A"/>
    <w:pPr>
      <w:autoSpaceDE w:val="0"/>
      <w:autoSpaceDN w:val="0"/>
      <w:spacing w:line="240" w:lineRule="auto"/>
    </w:pPr>
    <w:rPr>
      <w:rFonts w:ascii="Arial" w:eastAsiaTheme="minorHAnsi" w:hAnsi="Arial" w:cs="Arial"/>
      <w:color w:val="000000"/>
      <w:sz w:val="24"/>
      <w:lang w:eastAsia="en-US"/>
    </w:rPr>
  </w:style>
  <w:style w:type="character" w:customStyle="1" w:styleId="ip-text-input">
    <w:name w:val="ip-text-input"/>
    <w:basedOn w:val="Standaardalinea-lettertype"/>
    <w:rsid w:val="00F31D7B"/>
  </w:style>
  <w:style w:type="character" w:customStyle="1" w:styleId="link-element">
    <w:name w:val="link-element"/>
    <w:basedOn w:val="Standaardalinea-lettertype"/>
    <w:rsid w:val="00F31D7B"/>
  </w:style>
  <w:style w:type="character" w:styleId="Onopgelostemelding">
    <w:name w:val="Unresolved Mention"/>
    <w:basedOn w:val="Standaardalinea-lettertype"/>
    <w:rsid w:val="00BB09CB"/>
    <w:rPr>
      <w:color w:val="605E5C"/>
      <w:shd w:val="clear" w:color="auto" w:fill="E1DFDD"/>
    </w:rPr>
  </w:style>
  <w:style w:type="paragraph" w:styleId="Lijstalinea">
    <w:name w:val="List Paragraph"/>
    <w:basedOn w:val="Standaard"/>
    <w:uiPriority w:val="34"/>
    <w:qFormat/>
    <w:rsid w:val="008A71F3"/>
    <w:pPr>
      <w:ind w:left="720"/>
      <w:contextualSpacing/>
    </w:pPr>
  </w:style>
  <w:style w:type="character" w:styleId="Verwijzingopmerking">
    <w:name w:val="annotation reference"/>
    <w:basedOn w:val="Standaardalinea-lettertype"/>
    <w:semiHidden/>
    <w:unhideWhenUsed/>
    <w:rsid w:val="00D86F9E"/>
    <w:rPr>
      <w:sz w:val="16"/>
      <w:szCs w:val="16"/>
    </w:rPr>
  </w:style>
  <w:style w:type="paragraph" w:styleId="Tekstopmerking">
    <w:name w:val="annotation text"/>
    <w:basedOn w:val="Standaard"/>
    <w:link w:val="TekstopmerkingChar"/>
    <w:semiHidden/>
    <w:unhideWhenUsed/>
    <w:rsid w:val="00D86F9E"/>
    <w:pPr>
      <w:spacing w:line="240" w:lineRule="auto"/>
    </w:pPr>
    <w:rPr>
      <w:sz w:val="20"/>
      <w:szCs w:val="20"/>
    </w:rPr>
  </w:style>
  <w:style w:type="character" w:customStyle="1" w:styleId="TekstopmerkingChar">
    <w:name w:val="Tekst opmerking Char"/>
    <w:basedOn w:val="Standaardalinea-lettertype"/>
    <w:link w:val="Tekstopmerking"/>
    <w:semiHidden/>
    <w:rsid w:val="00D86F9E"/>
    <w:rPr>
      <w:rFonts w:ascii="Verdana" w:hAnsi="Verdana"/>
      <w:lang w:val="nl-NL" w:eastAsia="nl-NL"/>
    </w:rPr>
  </w:style>
  <w:style w:type="paragraph" w:styleId="Onderwerpvanopmerking">
    <w:name w:val="annotation subject"/>
    <w:basedOn w:val="Tekstopmerking"/>
    <w:next w:val="Tekstopmerking"/>
    <w:link w:val="OnderwerpvanopmerkingChar"/>
    <w:semiHidden/>
    <w:unhideWhenUsed/>
    <w:rsid w:val="00D86F9E"/>
    <w:rPr>
      <w:b/>
      <w:bCs/>
    </w:rPr>
  </w:style>
  <w:style w:type="character" w:customStyle="1" w:styleId="OnderwerpvanopmerkingChar">
    <w:name w:val="Onderwerp van opmerking Char"/>
    <w:basedOn w:val="TekstopmerkingChar"/>
    <w:link w:val="Onderwerpvanopmerking"/>
    <w:semiHidden/>
    <w:rsid w:val="00D86F9E"/>
    <w:rPr>
      <w:rFonts w:ascii="Verdana" w:hAnsi="Verdana"/>
      <w:b/>
      <w:bCs/>
      <w:lang w:val="nl-NL" w:eastAsia="nl-NL"/>
    </w:rPr>
  </w:style>
  <w:style w:type="paragraph" w:styleId="Normaalweb">
    <w:name w:val="Normal (Web)"/>
    <w:basedOn w:val="Standaard"/>
    <w:uiPriority w:val="99"/>
    <w:semiHidden/>
    <w:unhideWhenUsed/>
    <w:rsid w:val="00280F9C"/>
    <w:pPr>
      <w:spacing w:before="100" w:beforeAutospacing="1" w:after="100" w:afterAutospacing="1"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24064">
      <w:bodyDiv w:val="1"/>
      <w:marLeft w:val="0"/>
      <w:marRight w:val="0"/>
      <w:marTop w:val="0"/>
      <w:marBottom w:val="0"/>
      <w:divBdr>
        <w:top w:val="none" w:sz="0" w:space="0" w:color="auto"/>
        <w:left w:val="none" w:sz="0" w:space="0" w:color="auto"/>
        <w:bottom w:val="none" w:sz="0" w:space="0" w:color="auto"/>
        <w:right w:val="none" w:sz="0" w:space="0" w:color="auto"/>
      </w:divBdr>
      <w:divsChild>
        <w:div w:id="938029890">
          <w:marLeft w:val="0"/>
          <w:marRight w:val="0"/>
          <w:marTop w:val="0"/>
          <w:marBottom w:val="0"/>
          <w:divBdr>
            <w:top w:val="none" w:sz="0" w:space="0" w:color="auto"/>
            <w:left w:val="none" w:sz="0" w:space="0" w:color="auto"/>
            <w:bottom w:val="none" w:sz="0" w:space="0" w:color="auto"/>
            <w:right w:val="none" w:sz="0" w:space="0" w:color="auto"/>
          </w:divBdr>
        </w:div>
      </w:divsChild>
    </w:div>
    <w:div w:id="41516592">
      <w:bodyDiv w:val="1"/>
      <w:marLeft w:val="0"/>
      <w:marRight w:val="0"/>
      <w:marTop w:val="0"/>
      <w:marBottom w:val="0"/>
      <w:divBdr>
        <w:top w:val="none" w:sz="0" w:space="0" w:color="auto"/>
        <w:left w:val="none" w:sz="0" w:space="0" w:color="auto"/>
        <w:bottom w:val="none" w:sz="0" w:space="0" w:color="auto"/>
        <w:right w:val="none" w:sz="0" w:space="0" w:color="auto"/>
      </w:divBdr>
    </w:div>
    <w:div w:id="103768565">
      <w:bodyDiv w:val="1"/>
      <w:marLeft w:val="0"/>
      <w:marRight w:val="0"/>
      <w:marTop w:val="0"/>
      <w:marBottom w:val="0"/>
      <w:divBdr>
        <w:top w:val="none" w:sz="0" w:space="0" w:color="auto"/>
        <w:left w:val="none" w:sz="0" w:space="0" w:color="auto"/>
        <w:bottom w:val="none" w:sz="0" w:space="0" w:color="auto"/>
        <w:right w:val="none" w:sz="0" w:space="0" w:color="auto"/>
      </w:divBdr>
    </w:div>
    <w:div w:id="160243986">
      <w:bodyDiv w:val="1"/>
      <w:marLeft w:val="0"/>
      <w:marRight w:val="0"/>
      <w:marTop w:val="0"/>
      <w:marBottom w:val="0"/>
      <w:divBdr>
        <w:top w:val="none" w:sz="0" w:space="0" w:color="auto"/>
        <w:left w:val="none" w:sz="0" w:space="0" w:color="auto"/>
        <w:bottom w:val="none" w:sz="0" w:space="0" w:color="auto"/>
        <w:right w:val="none" w:sz="0" w:space="0" w:color="auto"/>
      </w:divBdr>
      <w:divsChild>
        <w:div w:id="823156863">
          <w:marLeft w:val="0"/>
          <w:marRight w:val="0"/>
          <w:marTop w:val="0"/>
          <w:marBottom w:val="0"/>
          <w:divBdr>
            <w:top w:val="none" w:sz="0" w:space="0" w:color="auto"/>
            <w:left w:val="none" w:sz="0" w:space="0" w:color="auto"/>
            <w:bottom w:val="none" w:sz="0" w:space="0" w:color="auto"/>
            <w:right w:val="none" w:sz="0" w:space="0" w:color="auto"/>
          </w:divBdr>
        </w:div>
      </w:divsChild>
    </w:div>
    <w:div w:id="257296408">
      <w:bodyDiv w:val="1"/>
      <w:marLeft w:val="0"/>
      <w:marRight w:val="0"/>
      <w:marTop w:val="0"/>
      <w:marBottom w:val="0"/>
      <w:divBdr>
        <w:top w:val="none" w:sz="0" w:space="0" w:color="auto"/>
        <w:left w:val="none" w:sz="0" w:space="0" w:color="auto"/>
        <w:bottom w:val="none" w:sz="0" w:space="0" w:color="auto"/>
        <w:right w:val="none" w:sz="0" w:space="0" w:color="auto"/>
      </w:divBdr>
      <w:divsChild>
        <w:div w:id="478306638">
          <w:marLeft w:val="0"/>
          <w:marRight w:val="0"/>
          <w:marTop w:val="0"/>
          <w:marBottom w:val="0"/>
          <w:divBdr>
            <w:top w:val="none" w:sz="0" w:space="0" w:color="auto"/>
            <w:left w:val="none" w:sz="0" w:space="0" w:color="auto"/>
            <w:bottom w:val="none" w:sz="0" w:space="0" w:color="auto"/>
            <w:right w:val="none" w:sz="0" w:space="0" w:color="auto"/>
          </w:divBdr>
          <w:divsChild>
            <w:div w:id="623577309">
              <w:marLeft w:val="0"/>
              <w:marRight w:val="0"/>
              <w:marTop w:val="0"/>
              <w:marBottom w:val="0"/>
              <w:divBdr>
                <w:top w:val="none" w:sz="0" w:space="0" w:color="auto"/>
                <w:left w:val="none" w:sz="0" w:space="0" w:color="auto"/>
                <w:bottom w:val="none" w:sz="0" w:space="0" w:color="auto"/>
                <w:right w:val="none" w:sz="0" w:space="0" w:color="auto"/>
              </w:divBdr>
            </w:div>
            <w:div w:id="2728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241997">
      <w:bodyDiv w:val="1"/>
      <w:marLeft w:val="0"/>
      <w:marRight w:val="0"/>
      <w:marTop w:val="0"/>
      <w:marBottom w:val="0"/>
      <w:divBdr>
        <w:top w:val="none" w:sz="0" w:space="0" w:color="auto"/>
        <w:left w:val="none" w:sz="0" w:space="0" w:color="auto"/>
        <w:bottom w:val="none" w:sz="0" w:space="0" w:color="auto"/>
        <w:right w:val="none" w:sz="0" w:space="0" w:color="auto"/>
      </w:divBdr>
      <w:divsChild>
        <w:div w:id="1261646532">
          <w:marLeft w:val="0"/>
          <w:marRight w:val="0"/>
          <w:marTop w:val="0"/>
          <w:marBottom w:val="0"/>
          <w:divBdr>
            <w:top w:val="none" w:sz="0" w:space="0" w:color="auto"/>
            <w:left w:val="none" w:sz="0" w:space="0" w:color="auto"/>
            <w:bottom w:val="none" w:sz="0" w:space="0" w:color="auto"/>
            <w:right w:val="none" w:sz="0" w:space="0" w:color="auto"/>
          </w:divBdr>
        </w:div>
      </w:divsChild>
    </w:div>
    <w:div w:id="351953575">
      <w:bodyDiv w:val="1"/>
      <w:marLeft w:val="0"/>
      <w:marRight w:val="0"/>
      <w:marTop w:val="0"/>
      <w:marBottom w:val="0"/>
      <w:divBdr>
        <w:top w:val="none" w:sz="0" w:space="0" w:color="auto"/>
        <w:left w:val="none" w:sz="0" w:space="0" w:color="auto"/>
        <w:bottom w:val="none" w:sz="0" w:space="0" w:color="auto"/>
        <w:right w:val="none" w:sz="0" w:space="0" w:color="auto"/>
      </w:divBdr>
      <w:divsChild>
        <w:div w:id="1649897117">
          <w:marLeft w:val="0"/>
          <w:marRight w:val="0"/>
          <w:marTop w:val="0"/>
          <w:marBottom w:val="0"/>
          <w:divBdr>
            <w:top w:val="none" w:sz="0" w:space="0" w:color="auto"/>
            <w:left w:val="none" w:sz="0" w:space="0" w:color="auto"/>
            <w:bottom w:val="none" w:sz="0" w:space="0" w:color="auto"/>
            <w:right w:val="none" w:sz="0" w:space="0" w:color="auto"/>
          </w:divBdr>
          <w:divsChild>
            <w:div w:id="182867320">
              <w:marLeft w:val="0"/>
              <w:marRight w:val="0"/>
              <w:marTop w:val="0"/>
              <w:marBottom w:val="0"/>
              <w:divBdr>
                <w:top w:val="none" w:sz="0" w:space="0" w:color="auto"/>
                <w:left w:val="none" w:sz="0" w:space="0" w:color="auto"/>
                <w:bottom w:val="none" w:sz="0" w:space="0" w:color="auto"/>
                <w:right w:val="none" w:sz="0" w:space="0" w:color="auto"/>
              </w:divBdr>
            </w:div>
            <w:div w:id="187592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976439">
      <w:bodyDiv w:val="1"/>
      <w:marLeft w:val="0"/>
      <w:marRight w:val="0"/>
      <w:marTop w:val="0"/>
      <w:marBottom w:val="0"/>
      <w:divBdr>
        <w:top w:val="none" w:sz="0" w:space="0" w:color="auto"/>
        <w:left w:val="none" w:sz="0" w:space="0" w:color="auto"/>
        <w:bottom w:val="none" w:sz="0" w:space="0" w:color="auto"/>
        <w:right w:val="none" w:sz="0" w:space="0" w:color="auto"/>
      </w:divBdr>
      <w:divsChild>
        <w:div w:id="488591974">
          <w:marLeft w:val="0"/>
          <w:marRight w:val="0"/>
          <w:marTop w:val="0"/>
          <w:marBottom w:val="0"/>
          <w:divBdr>
            <w:top w:val="none" w:sz="0" w:space="0" w:color="auto"/>
            <w:left w:val="none" w:sz="0" w:space="0" w:color="auto"/>
            <w:bottom w:val="none" w:sz="0" w:space="0" w:color="auto"/>
            <w:right w:val="none" w:sz="0" w:space="0" w:color="auto"/>
          </w:divBdr>
        </w:div>
      </w:divsChild>
    </w:div>
    <w:div w:id="631056173">
      <w:bodyDiv w:val="1"/>
      <w:marLeft w:val="0"/>
      <w:marRight w:val="0"/>
      <w:marTop w:val="0"/>
      <w:marBottom w:val="0"/>
      <w:divBdr>
        <w:top w:val="none" w:sz="0" w:space="0" w:color="auto"/>
        <w:left w:val="none" w:sz="0" w:space="0" w:color="auto"/>
        <w:bottom w:val="none" w:sz="0" w:space="0" w:color="auto"/>
        <w:right w:val="none" w:sz="0" w:space="0" w:color="auto"/>
      </w:divBdr>
      <w:divsChild>
        <w:div w:id="249505162">
          <w:marLeft w:val="0"/>
          <w:marRight w:val="0"/>
          <w:marTop w:val="0"/>
          <w:marBottom w:val="0"/>
          <w:divBdr>
            <w:top w:val="none" w:sz="0" w:space="0" w:color="auto"/>
            <w:left w:val="none" w:sz="0" w:space="0" w:color="auto"/>
            <w:bottom w:val="none" w:sz="0" w:space="0" w:color="auto"/>
            <w:right w:val="none" w:sz="0" w:space="0" w:color="auto"/>
          </w:divBdr>
        </w:div>
      </w:divsChild>
    </w:div>
    <w:div w:id="838079557">
      <w:bodyDiv w:val="1"/>
      <w:marLeft w:val="0"/>
      <w:marRight w:val="0"/>
      <w:marTop w:val="0"/>
      <w:marBottom w:val="0"/>
      <w:divBdr>
        <w:top w:val="none" w:sz="0" w:space="0" w:color="auto"/>
        <w:left w:val="none" w:sz="0" w:space="0" w:color="auto"/>
        <w:bottom w:val="none" w:sz="0" w:space="0" w:color="auto"/>
        <w:right w:val="none" w:sz="0" w:space="0" w:color="auto"/>
      </w:divBdr>
    </w:div>
    <w:div w:id="877351232">
      <w:bodyDiv w:val="1"/>
      <w:marLeft w:val="0"/>
      <w:marRight w:val="0"/>
      <w:marTop w:val="0"/>
      <w:marBottom w:val="0"/>
      <w:divBdr>
        <w:top w:val="none" w:sz="0" w:space="0" w:color="auto"/>
        <w:left w:val="none" w:sz="0" w:space="0" w:color="auto"/>
        <w:bottom w:val="none" w:sz="0" w:space="0" w:color="auto"/>
        <w:right w:val="none" w:sz="0" w:space="0" w:color="auto"/>
      </w:divBdr>
    </w:div>
    <w:div w:id="948968953">
      <w:bodyDiv w:val="1"/>
      <w:marLeft w:val="0"/>
      <w:marRight w:val="0"/>
      <w:marTop w:val="0"/>
      <w:marBottom w:val="0"/>
      <w:divBdr>
        <w:top w:val="none" w:sz="0" w:space="0" w:color="auto"/>
        <w:left w:val="none" w:sz="0" w:space="0" w:color="auto"/>
        <w:bottom w:val="none" w:sz="0" w:space="0" w:color="auto"/>
        <w:right w:val="none" w:sz="0" w:space="0" w:color="auto"/>
      </w:divBdr>
    </w:div>
    <w:div w:id="1050957342">
      <w:bodyDiv w:val="1"/>
      <w:marLeft w:val="0"/>
      <w:marRight w:val="0"/>
      <w:marTop w:val="0"/>
      <w:marBottom w:val="0"/>
      <w:divBdr>
        <w:top w:val="none" w:sz="0" w:space="0" w:color="auto"/>
        <w:left w:val="none" w:sz="0" w:space="0" w:color="auto"/>
        <w:bottom w:val="none" w:sz="0" w:space="0" w:color="auto"/>
        <w:right w:val="none" w:sz="0" w:space="0" w:color="auto"/>
      </w:divBdr>
      <w:divsChild>
        <w:div w:id="577329150">
          <w:marLeft w:val="0"/>
          <w:marRight w:val="0"/>
          <w:marTop w:val="0"/>
          <w:marBottom w:val="0"/>
          <w:divBdr>
            <w:top w:val="none" w:sz="0" w:space="0" w:color="auto"/>
            <w:left w:val="none" w:sz="0" w:space="0" w:color="auto"/>
            <w:bottom w:val="none" w:sz="0" w:space="0" w:color="auto"/>
            <w:right w:val="none" w:sz="0" w:space="0" w:color="auto"/>
          </w:divBdr>
        </w:div>
      </w:divsChild>
    </w:div>
    <w:div w:id="1099252055">
      <w:bodyDiv w:val="1"/>
      <w:marLeft w:val="0"/>
      <w:marRight w:val="0"/>
      <w:marTop w:val="0"/>
      <w:marBottom w:val="0"/>
      <w:divBdr>
        <w:top w:val="none" w:sz="0" w:space="0" w:color="auto"/>
        <w:left w:val="none" w:sz="0" w:space="0" w:color="auto"/>
        <w:bottom w:val="none" w:sz="0" w:space="0" w:color="auto"/>
        <w:right w:val="none" w:sz="0" w:space="0" w:color="auto"/>
      </w:divBdr>
    </w:div>
    <w:div w:id="1175412467">
      <w:bodyDiv w:val="1"/>
      <w:marLeft w:val="0"/>
      <w:marRight w:val="0"/>
      <w:marTop w:val="0"/>
      <w:marBottom w:val="0"/>
      <w:divBdr>
        <w:top w:val="none" w:sz="0" w:space="0" w:color="auto"/>
        <w:left w:val="none" w:sz="0" w:space="0" w:color="auto"/>
        <w:bottom w:val="none" w:sz="0" w:space="0" w:color="auto"/>
        <w:right w:val="none" w:sz="0" w:space="0" w:color="auto"/>
      </w:divBdr>
    </w:div>
    <w:div w:id="1183284281">
      <w:bodyDiv w:val="1"/>
      <w:marLeft w:val="0"/>
      <w:marRight w:val="0"/>
      <w:marTop w:val="0"/>
      <w:marBottom w:val="0"/>
      <w:divBdr>
        <w:top w:val="none" w:sz="0" w:space="0" w:color="auto"/>
        <w:left w:val="none" w:sz="0" w:space="0" w:color="auto"/>
        <w:bottom w:val="none" w:sz="0" w:space="0" w:color="auto"/>
        <w:right w:val="none" w:sz="0" w:space="0" w:color="auto"/>
      </w:divBdr>
    </w:div>
    <w:div w:id="1205018085">
      <w:bodyDiv w:val="1"/>
      <w:marLeft w:val="0"/>
      <w:marRight w:val="0"/>
      <w:marTop w:val="0"/>
      <w:marBottom w:val="0"/>
      <w:divBdr>
        <w:top w:val="none" w:sz="0" w:space="0" w:color="auto"/>
        <w:left w:val="none" w:sz="0" w:space="0" w:color="auto"/>
        <w:bottom w:val="none" w:sz="0" w:space="0" w:color="auto"/>
        <w:right w:val="none" w:sz="0" w:space="0" w:color="auto"/>
      </w:divBdr>
      <w:divsChild>
        <w:div w:id="1651979026">
          <w:marLeft w:val="0"/>
          <w:marRight w:val="0"/>
          <w:marTop w:val="0"/>
          <w:marBottom w:val="0"/>
          <w:divBdr>
            <w:top w:val="none" w:sz="0" w:space="0" w:color="auto"/>
            <w:left w:val="none" w:sz="0" w:space="0" w:color="auto"/>
            <w:bottom w:val="none" w:sz="0" w:space="0" w:color="auto"/>
            <w:right w:val="none" w:sz="0" w:space="0" w:color="auto"/>
          </w:divBdr>
        </w:div>
      </w:divsChild>
    </w:div>
    <w:div w:id="1235241685">
      <w:bodyDiv w:val="1"/>
      <w:marLeft w:val="0"/>
      <w:marRight w:val="0"/>
      <w:marTop w:val="0"/>
      <w:marBottom w:val="0"/>
      <w:divBdr>
        <w:top w:val="none" w:sz="0" w:space="0" w:color="auto"/>
        <w:left w:val="none" w:sz="0" w:space="0" w:color="auto"/>
        <w:bottom w:val="none" w:sz="0" w:space="0" w:color="auto"/>
        <w:right w:val="none" w:sz="0" w:space="0" w:color="auto"/>
      </w:divBdr>
      <w:divsChild>
        <w:div w:id="1676612775">
          <w:marLeft w:val="0"/>
          <w:marRight w:val="0"/>
          <w:marTop w:val="0"/>
          <w:marBottom w:val="0"/>
          <w:divBdr>
            <w:top w:val="none" w:sz="0" w:space="0" w:color="auto"/>
            <w:left w:val="none" w:sz="0" w:space="0" w:color="auto"/>
            <w:bottom w:val="none" w:sz="0" w:space="0" w:color="auto"/>
            <w:right w:val="none" w:sz="0" w:space="0" w:color="auto"/>
          </w:divBdr>
        </w:div>
      </w:divsChild>
    </w:div>
    <w:div w:id="1255822660">
      <w:bodyDiv w:val="1"/>
      <w:marLeft w:val="0"/>
      <w:marRight w:val="0"/>
      <w:marTop w:val="0"/>
      <w:marBottom w:val="0"/>
      <w:divBdr>
        <w:top w:val="none" w:sz="0" w:space="0" w:color="auto"/>
        <w:left w:val="none" w:sz="0" w:space="0" w:color="auto"/>
        <w:bottom w:val="none" w:sz="0" w:space="0" w:color="auto"/>
        <w:right w:val="none" w:sz="0" w:space="0" w:color="auto"/>
      </w:divBdr>
      <w:divsChild>
        <w:div w:id="1494951947">
          <w:marLeft w:val="0"/>
          <w:marRight w:val="0"/>
          <w:marTop w:val="0"/>
          <w:marBottom w:val="0"/>
          <w:divBdr>
            <w:top w:val="none" w:sz="0" w:space="0" w:color="auto"/>
            <w:left w:val="none" w:sz="0" w:space="0" w:color="auto"/>
            <w:bottom w:val="none" w:sz="0" w:space="0" w:color="auto"/>
            <w:right w:val="none" w:sz="0" w:space="0" w:color="auto"/>
          </w:divBdr>
        </w:div>
      </w:divsChild>
    </w:div>
    <w:div w:id="1265571485">
      <w:bodyDiv w:val="1"/>
      <w:marLeft w:val="0"/>
      <w:marRight w:val="0"/>
      <w:marTop w:val="0"/>
      <w:marBottom w:val="0"/>
      <w:divBdr>
        <w:top w:val="none" w:sz="0" w:space="0" w:color="auto"/>
        <w:left w:val="none" w:sz="0" w:space="0" w:color="auto"/>
        <w:bottom w:val="none" w:sz="0" w:space="0" w:color="auto"/>
        <w:right w:val="none" w:sz="0" w:space="0" w:color="auto"/>
      </w:divBdr>
      <w:divsChild>
        <w:div w:id="2078356359">
          <w:marLeft w:val="0"/>
          <w:marRight w:val="0"/>
          <w:marTop w:val="0"/>
          <w:marBottom w:val="0"/>
          <w:divBdr>
            <w:top w:val="none" w:sz="0" w:space="0" w:color="auto"/>
            <w:left w:val="none" w:sz="0" w:space="0" w:color="auto"/>
            <w:bottom w:val="none" w:sz="0" w:space="0" w:color="auto"/>
            <w:right w:val="none" w:sz="0" w:space="0" w:color="auto"/>
          </w:divBdr>
        </w:div>
      </w:divsChild>
    </w:div>
    <w:div w:id="1267032825">
      <w:bodyDiv w:val="1"/>
      <w:marLeft w:val="0"/>
      <w:marRight w:val="0"/>
      <w:marTop w:val="0"/>
      <w:marBottom w:val="0"/>
      <w:divBdr>
        <w:top w:val="none" w:sz="0" w:space="0" w:color="auto"/>
        <w:left w:val="none" w:sz="0" w:space="0" w:color="auto"/>
        <w:bottom w:val="none" w:sz="0" w:space="0" w:color="auto"/>
        <w:right w:val="none" w:sz="0" w:space="0" w:color="auto"/>
      </w:divBdr>
      <w:divsChild>
        <w:div w:id="1875844053">
          <w:marLeft w:val="0"/>
          <w:marRight w:val="0"/>
          <w:marTop w:val="0"/>
          <w:marBottom w:val="0"/>
          <w:divBdr>
            <w:top w:val="none" w:sz="0" w:space="0" w:color="auto"/>
            <w:left w:val="none" w:sz="0" w:space="0" w:color="auto"/>
            <w:bottom w:val="none" w:sz="0" w:space="0" w:color="auto"/>
            <w:right w:val="none" w:sz="0" w:space="0" w:color="auto"/>
          </w:divBdr>
        </w:div>
      </w:divsChild>
    </w:div>
    <w:div w:id="1469132519">
      <w:bodyDiv w:val="1"/>
      <w:marLeft w:val="0"/>
      <w:marRight w:val="0"/>
      <w:marTop w:val="0"/>
      <w:marBottom w:val="0"/>
      <w:divBdr>
        <w:top w:val="none" w:sz="0" w:space="0" w:color="auto"/>
        <w:left w:val="none" w:sz="0" w:space="0" w:color="auto"/>
        <w:bottom w:val="none" w:sz="0" w:space="0" w:color="auto"/>
        <w:right w:val="none" w:sz="0" w:space="0" w:color="auto"/>
      </w:divBdr>
    </w:div>
    <w:div w:id="1492480658">
      <w:bodyDiv w:val="1"/>
      <w:marLeft w:val="0"/>
      <w:marRight w:val="0"/>
      <w:marTop w:val="0"/>
      <w:marBottom w:val="0"/>
      <w:divBdr>
        <w:top w:val="none" w:sz="0" w:space="0" w:color="auto"/>
        <w:left w:val="none" w:sz="0" w:space="0" w:color="auto"/>
        <w:bottom w:val="none" w:sz="0" w:space="0" w:color="auto"/>
        <w:right w:val="none" w:sz="0" w:space="0" w:color="auto"/>
      </w:divBdr>
      <w:divsChild>
        <w:div w:id="1237939954">
          <w:marLeft w:val="0"/>
          <w:marRight w:val="0"/>
          <w:marTop w:val="0"/>
          <w:marBottom w:val="0"/>
          <w:divBdr>
            <w:top w:val="none" w:sz="0" w:space="0" w:color="auto"/>
            <w:left w:val="none" w:sz="0" w:space="0" w:color="auto"/>
            <w:bottom w:val="none" w:sz="0" w:space="0" w:color="auto"/>
            <w:right w:val="none" w:sz="0" w:space="0" w:color="auto"/>
          </w:divBdr>
        </w:div>
      </w:divsChild>
    </w:div>
    <w:div w:id="1493377072">
      <w:bodyDiv w:val="1"/>
      <w:marLeft w:val="0"/>
      <w:marRight w:val="0"/>
      <w:marTop w:val="0"/>
      <w:marBottom w:val="0"/>
      <w:divBdr>
        <w:top w:val="none" w:sz="0" w:space="0" w:color="auto"/>
        <w:left w:val="none" w:sz="0" w:space="0" w:color="auto"/>
        <w:bottom w:val="none" w:sz="0" w:space="0" w:color="auto"/>
        <w:right w:val="none" w:sz="0" w:space="0" w:color="auto"/>
      </w:divBdr>
    </w:div>
    <w:div w:id="1562595058">
      <w:bodyDiv w:val="1"/>
      <w:marLeft w:val="0"/>
      <w:marRight w:val="0"/>
      <w:marTop w:val="0"/>
      <w:marBottom w:val="0"/>
      <w:divBdr>
        <w:top w:val="none" w:sz="0" w:space="0" w:color="auto"/>
        <w:left w:val="none" w:sz="0" w:space="0" w:color="auto"/>
        <w:bottom w:val="none" w:sz="0" w:space="0" w:color="auto"/>
        <w:right w:val="none" w:sz="0" w:space="0" w:color="auto"/>
      </w:divBdr>
      <w:divsChild>
        <w:div w:id="490561108">
          <w:marLeft w:val="0"/>
          <w:marRight w:val="0"/>
          <w:marTop w:val="0"/>
          <w:marBottom w:val="0"/>
          <w:divBdr>
            <w:top w:val="none" w:sz="0" w:space="0" w:color="auto"/>
            <w:left w:val="none" w:sz="0" w:space="0" w:color="auto"/>
            <w:bottom w:val="none" w:sz="0" w:space="0" w:color="auto"/>
            <w:right w:val="none" w:sz="0" w:space="0" w:color="auto"/>
          </w:divBdr>
        </w:div>
      </w:divsChild>
    </w:div>
    <w:div w:id="1610698203">
      <w:bodyDiv w:val="1"/>
      <w:marLeft w:val="0"/>
      <w:marRight w:val="0"/>
      <w:marTop w:val="0"/>
      <w:marBottom w:val="0"/>
      <w:divBdr>
        <w:top w:val="none" w:sz="0" w:space="0" w:color="auto"/>
        <w:left w:val="none" w:sz="0" w:space="0" w:color="auto"/>
        <w:bottom w:val="none" w:sz="0" w:space="0" w:color="auto"/>
        <w:right w:val="none" w:sz="0" w:space="0" w:color="auto"/>
      </w:divBdr>
      <w:divsChild>
        <w:div w:id="341901668">
          <w:marLeft w:val="0"/>
          <w:marRight w:val="0"/>
          <w:marTop w:val="0"/>
          <w:marBottom w:val="0"/>
          <w:divBdr>
            <w:top w:val="none" w:sz="0" w:space="0" w:color="auto"/>
            <w:left w:val="none" w:sz="0" w:space="0" w:color="auto"/>
            <w:bottom w:val="none" w:sz="0" w:space="0" w:color="auto"/>
            <w:right w:val="none" w:sz="0" w:space="0" w:color="auto"/>
          </w:divBdr>
        </w:div>
      </w:divsChild>
    </w:div>
    <w:div w:id="1701517718">
      <w:bodyDiv w:val="1"/>
      <w:marLeft w:val="0"/>
      <w:marRight w:val="0"/>
      <w:marTop w:val="0"/>
      <w:marBottom w:val="0"/>
      <w:divBdr>
        <w:top w:val="none" w:sz="0" w:space="0" w:color="auto"/>
        <w:left w:val="none" w:sz="0" w:space="0" w:color="auto"/>
        <w:bottom w:val="none" w:sz="0" w:space="0" w:color="auto"/>
        <w:right w:val="none" w:sz="0" w:space="0" w:color="auto"/>
      </w:divBdr>
      <w:divsChild>
        <w:div w:id="1600914688">
          <w:marLeft w:val="0"/>
          <w:marRight w:val="0"/>
          <w:marTop w:val="0"/>
          <w:marBottom w:val="0"/>
          <w:divBdr>
            <w:top w:val="none" w:sz="0" w:space="0" w:color="auto"/>
            <w:left w:val="none" w:sz="0" w:space="0" w:color="auto"/>
            <w:bottom w:val="none" w:sz="0" w:space="0" w:color="auto"/>
            <w:right w:val="none" w:sz="0" w:space="0" w:color="auto"/>
          </w:divBdr>
        </w:div>
      </w:divsChild>
    </w:div>
    <w:div w:id="1794982065">
      <w:bodyDiv w:val="1"/>
      <w:marLeft w:val="0"/>
      <w:marRight w:val="0"/>
      <w:marTop w:val="0"/>
      <w:marBottom w:val="0"/>
      <w:divBdr>
        <w:top w:val="none" w:sz="0" w:space="0" w:color="auto"/>
        <w:left w:val="none" w:sz="0" w:space="0" w:color="auto"/>
        <w:bottom w:val="none" w:sz="0" w:space="0" w:color="auto"/>
        <w:right w:val="none" w:sz="0" w:space="0" w:color="auto"/>
      </w:divBdr>
    </w:div>
    <w:div w:id="1879006761">
      <w:bodyDiv w:val="1"/>
      <w:marLeft w:val="0"/>
      <w:marRight w:val="0"/>
      <w:marTop w:val="0"/>
      <w:marBottom w:val="0"/>
      <w:divBdr>
        <w:top w:val="none" w:sz="0" w:space="0" w:color="auto"/>
        <w:left w:val="none" w:sz="0" w:space="0" w:color="auto"/>
        <w:bottom w:val="none" w:sz="0" w:space="0" w:color="auto"/>
        <w:right w:val="none" w:sz="0" w:space="0" w:color="auto"/>
      </w:divBdr>
    </w:div>
    <w:div w:id="197926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glossaryDocument" Target="glossary/document.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theme" Target="theme/theme1.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gemeen"/>
          <w:gallery w:val="placeholder"/>
        </w:category>
        <w:types>
          <w:type w:val="bbPlcHdr"/>
        </w:types>
        <w:behaviors>
          <w:behavior w:val="content"/>
        </w:behaviors>
        <w:guid w:val="{55903B0B-787F-4C4B-B043-468BCB634001}"/>
      </w:docPartPr>
      <w:docPartBody>
        <w:p w:rsidR="00042A5B" w:rsidRDefault="00A144E1">
          <w:r w:rsidRPr="001267EE">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FC5"/>
    <w:rsid w:val="00042A5B"/>
    <w:rsid w:val="00153D56"/>
    <w:rsid w:val="002A6403"/>
    <w:rsid w:val="0049120B"/>
    <w:rsid w:val="0064486A"/>
    <w:rsid w:val="008774FE"/>
    <w:rsid w:val="008A4F4E"/>
    <w:rsid w:val="009F6AB0"/>
    <w:rsid w:val="00A144E1"/>
    <w:rsid w:val="00A22FC5"/>
    <w:rsid w:val="00A81211"/>
    <w:rsid w:val="00CF7595"/>
    <w:rsid w:val="00E63258"/>
    <w:rsid w:val="00FE314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ard">
    <w:name w:val="Normal"/>
    <w:qFormat/>
    <w:rsid w:val="00A22FC5"/>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22FC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1660</ap:Words>
  <ap:Characters>9966</ap:Characters>
  <ap:DocSecurity>4</ap:DocSecurity>
  <ap:Lines>83</ap:Lines>
  <ap:Paragraphs>23</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11603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2022-07-04T13:11:00.0000000Z</dcterms:created>
  <dcterms:modified xsi:type="dcterms:W3CDTF">2022-07-04T13:11:00.0000000Z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MersmanD</vt:lpwstr>
  </property>
  <property fmtid="{D5CDD505-2E9C-101B-9397-08002B2CF9AE}" pid="3" name="A_ADRES">
    <vt:lpwstr>Aan de </vt:lpwstr>
  </property>
  <property fmtid="{D5CDD505-2E9C-101B-9397-08002B2CF9AE}" pid="4" name="A_DEP_NAAM">
    <vt:lpwstr>EZK</vt:lpwstr>
  </property>
  <property fmtid="{D5CDD505-2E9C-101B-9397-08002B2CF9AE}" pid="5" name="A_DOC_RICHTING_ID">
    <vt:lpwstr>Uitgaand</vt:lpwstr>
  </property>
  <property fmtid="{D5CDD505-2E9C-101B-9397-08002B2CF9AE}" pid="6" name="A_KENMERK">
    <vt:lpwstr/>
  </property>
  <property fmtid="{D5CDD505-2E9C-101B-9397-08002B2CF9AE}" pid="7" name="DOCNAME">
    <vt:lpwstr>NvW</vt:lpwstr>
  </property>
  <property fmtid="{D5CDD505-2E9C-101B-9397-08002B2CF9AE}" pid="8" name="documentId">
    <vt:lpwstr>20270396</vt:lpwstr>
  </property>
  <property fmtid="{D5CDD505-2E9C-101B-9397-08002B2CF9AE}" pid="9" name="TYPE_ID">
    <vt:lpwstr>Brief</vt:lpwstr>
  </property>
  <property fmtid="{D5CDD505-2E9C-101B-9397-08002B2CF9AE}" pid="10" name="ContentTypeId">
    <vt:lpwstr>0x010100931504D4BA67E842B4E591D7DB657C4F</vt:lpwstr>
  </property>
</Properties>
</file>