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12"/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578B19B9" wp14:anchorId="4A591BC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J&amp;V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760299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30</w:t>
                            </w:r>
                            <w:r w:rsidR="00661844">
                              <w:t xml:space="preserve"> mei</w:t>
                            </w:r>
                            <w:r w:rsidR="00D27A2D">
                              <w:t xml:space="preserve"> </w:t>
                            </w:r>
                            <w:r w:rsidR="00E02D08">
                              <w:t>202</w:t>
                            </w:r>
                            <w:r w:rsidR="00375975">
                              <w:t>2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591BC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J&amp;V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760299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30</w:t>
                      </w:r>
                      <w:r w:rsidR="00661844">
                        <w:t xml:space="preserve"> mei</w:t>
                      </w:r>
                      <w:r w:rsidR="00D27A2D">
                        <w:t xml:space="preserve"> </w:t>
                      </w:r>
                      <w:r w:rsidR="00E02D08">
                        <w:t>202</w:t>
                      </w:r>
                      <w:r w:rsidR="00375975">
                        <w:t>2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70C9AB6" wp14:anchorId="0E66C126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0E66C126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Europese Commi</w:t>
      </w:r>
      <w:r w:rsidR="004D485A">
        <w:rPr>
          <w:sz w:val="16"/>
          <w:szCs w:val="18"/>
        </w:rPr>
        <w:t>ssie heeft in de periode tussen</w:t>
      </w:r>
      <w:r w:rsidR="002763B3">
        <w:rPr>
          <w:b/>
          <w:sz w:val="16"/>
          <w:szCs w:val="18"/>
        </w:rPr>
        <w:t xml:space="preserve"> </w:t>
      </w:r>
      <w:r w:rsidR="00661844">
        <w:rPr>
          <w:b/>
          <w:sz w:val="16"/>
          <w:szCs w:val="18"/>
        </w:rPr>
        <w:t>1</w:t>
      </w:r>
      <w:r w:rsidR="00DE1EDF">
        <w:rPr>
          <w:b/>
          <w:sz w:val="16"/>
          <w:szCs w:val="18"/>
        </w:rPr>
        <w:t>2</w:t>
      </w:r>
      <w:r w:rsidR="00D27A2D">
        <w:rPr>
          <w:b/>
          <w:sz w:val="16"/>
          <w:szCs w:val="18"/>
        </w:rPr>
        <w:t xml:space="preserve"> </w:t>
      </w:r>
      <w:r w:rsidR="00DE1EDF">
        <w:rPr>
          <w:b/>
          <w:sz w:val="16"/>
          <w:szCs w:val="18"/>
        </w:rPr>
        <w:t>mei</w:t>
      </w:r>
      <w:r w:rsidR="00D27A2D">
        <w:rPr>
          <w:b/>
          <w:sz w:val="16"/>
          <w:szCs w:val="18"/>
        </w:rPr>
        <w:t xml:space="preserve"> en </w:t>
      </w:r>
      <w:r w:rsidR="00760299">
        <w:rPr>
          <w:b/>
          <w:sz w:val="16"/>
          <w:szCs w:val="18"/>
        </w:rPr>
        <w:t>30</w:t>
      </w:r>
      <w:r w:rsidR="00661844">
        <w:rPr>
          <w:b/>
          <w:sz w:val="16"/>
          <w:szCs w:val="18"/>
        </w:rPr>
        <w:t xml:space="preserve"> mei</w:t>
      </w:r>
      <w:r w:rsidR="00375975">
        <w:rPr>
          <w:b/>
          <w:sz w:val="16"/>
          <w:szCs w:val="18"/>
        </w:rPr>
        <w:t xml:space="preserve"> 2022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>
      <w:pPr>
        <w:rPr>
          <w:szCs w:val="18"/>
        </w:rPr>
      </w:pPr>
    </w:p>
    <w:p w:rsidRPr="00D27A2D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677F9C" w:rsidP="00677F9C" w:rsidRDefault="00677F9C">
      <w:pPr>
        <w:rPr>
          <w:szCs w:val="18"/>
        </w:rPr>
      </w:pPr>
    </w:p>
    <w:p w:rsidRPr="00CC4946" w:rsidR="00677F9C" w:rsidP="00677F9C" w:rsidRDefault="00677F9C">
      <w:pPr>
        <w:rPr>
          <w:szCs w:val="18"/>
        </w:rPr>
      </w:pPr>
    </w:p>
    <w:tbl>
      <w:tblPr>
        <w:tblW w:w="778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611"/>
        <w:gridCol w:w="5754"/>
      </w:tblGrid>
      <w:tr w:rsidRPr="0082099C" w:rsidR="00677F9C" w:rsidTr="00D60D0D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7A69" w:rsidR="00677F9C" w:rsidP="00D60D0D" w:rsidRDefault="00677F9C">
            <w:pPr>
              <w:spacing w:after="240"/>
              <w:ind w:left="360" w:hanging="360"/>
              <w:contextualSpacing/>
              <w:rPr>
                <w:szCs w:val="18"/>
              </w:rPr>
            </w:pPr>
            <w:r w:rsidRPr="00C47A69">
              <w:rPr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677F9C" w:rsidP="00D60D0D" w:rsidRDefault="00677F9C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t>Titel</w:t>
            </w:r>
          </w:p>
        </w:tc>
        <w:tc>
          <w:tcPr>
            <w:tcW w:w="5754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7A69" w:rsidR="00677F9C" w:rsidP="0082781F" w:rsidRDefault="0082781F">
            <w:pPr>
              <w:shd w:val="clear" w:color="auto" w:fill="FFFFFF"/>
              <w:spacing w:after="75"/>
              <w:rPr>
                <w:szCs w:val="18"/>
                <w:lang w:val="en-US" w:eastAsia="nl-NL"/>
              </w:rPr>
            </w:pPr>
            <w:r w:rsidRPr="0082099C">
              <w:rPr>
                <w:szCs w:val="18"/>
                <w:lang w:val="en-US"/>
              </w:rPr>
              <w:t xml:space="preserve">Proposal for a REGULATION OF THE EUROPEAN PARLIAMENT AND OF THE COUNCIL laying down rules to prevent and combat child sexual abuse </w:t>
            </w:r>
            <w:hyperlink w:history="1" r:id="rId14">
              <w:r w:rsidRPr="0082099C">
                <w:rPr>
                  <w:rStyle w:val="Hyperlink"/>
                  <w:szCs w:val="18"/>
                  <w:lang w:val="en-US"/>
                </w:rPr>
                <w:t>COM (2022) 209</w:t>
              </w:r>
            </w:hyperlink>
          </w:p>
        </w:tc>
      </w:tr>
      <w:tr w:rsidRPr="00C47A69" w:rsidR="00000012" w:rsidTr="00D60D0D">
        <w:trPr>
          <w:trHeight w:val="185"/>
        </w:trPr>
        <w:tc>
          <w:tcPr>
            <w:tcW w:w="421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C47A69" w:rsidR="00000012" w:rsidP="00000012" w:rsidRDefault="00000012">
            <w:pPr>
              <w:rPr>
                <w:szCs w:val="18"/>
                <w:lang w:val="en-US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000012" w:rsidP="00000012" w:rsidRDefault="00000012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t>Voorstel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2099C" w:rsidR="00000012" w:rsidP="00000012" w:rsidRDefault="0082099C">
            <w:pPr>
              <w:spacing w:after="240"/>
              <w:rPr>
                <w:b/>
                <w:bCs/>
                <w:szCs w:val="18"/>
                <w:lang w:eastAsia="nl-NL"/>
              </w:rPr>
            </w:pPr>
            <w:r w:rsidRPr="0082099C">
              <w:rPr>
                <w:b/>
                <w:bCs/>
                <w:szCs w:val="18"/>
                <w:lang w:eastAsia="nl-NL"/>
              </w:rPr>
              <w:t>Zie bijgevoegde behandelnotitie</w:t>
            </w:r>
          </w:p>
        </w:tc>
      </w:tr>
      <w:tr w:rsidRPr="00C47A69" w:rsidR="00000012" w:rsidTr="00D60D0D">
        <w:tc>
          <w:tcPr>
            <w:tcW w:w="421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C47A69" w:rsidR="00000012" w:rsidP="00000012" w:rsidRDefault="00000012">
            <w:pPr>
              <w:rPr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000012" w:rsidP="00000012" w:rsidRDefault="00000012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br/>
              <w:t>Noot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2099C" w:rsidR="00000012" w:rsidP="0082099C" w:rsidRDefault="0082099C">
            <w:pPr>
              <w:spacing w:before="240" w:after="210" w:line="276" w:lineRule="auto"/>
              <w:rPr>
                <w:i/>
                <w:color w:val="595959" w:themeColor="text1" w:themeTint="A6"/>
                <w:szCs w:val="18"/>
              </w:rPr>
            </w:pPr>
            <w:r w:rsidRPr="0082099C">
              <w:rPr>
                <w:i/>
                <w:color w:val="595959" w:themeColor="text1" w:themeTint="A6"/>
                <w:szCs w:val="18"/>
              </w:rPr>
              <w:t>Het betreft een EU-voorstel dat eerder door uw commissie prioritair is verklaard. Bijgevoegde stafnotitie zet de behandelmogelijkheden uiteen.</w:t>
            </w:r>
          </w:p>
        </w:tc>
      </w:tr>
    </w:tbl>
    <w:p w:rsidR="00D27A2D" w:rsidP="00D27A2D" w:rsidRDefault="00D27A2D">
      <w:pPr>
        <w:rPr>
          <w:szCs w:val="18"/>
        </w:rPr>
      </w:pPr>
    </w:p>
    <w:p w:rsidRPr="00D27A2D" w:rsidR="0082781F" w:rsidP="0082781F" w:rsidRDefault="0082781F">
      <w:pPr>
        <w:rPr>
          <w:b/>
          <w:szCs w:val="18"/>
        </w:rPr>
      </w:pPr>
    </w:p>
    <w:p w:rsidRPr="0082781F" w:rsidR="0082781F" w:rsidP="0082781F" w:rsidRDefault="0082781F">
      <w:pPr>
        <w:pStyle w:val="Lijstalinea"/>
        <w:numPr>
          <w:ilvl w:val="0"/>
          <w:numId w:val="2"/>
        </w:numPr>
        <w:rPr>
          <w:szCs w:val="18"/>
        </w:rPr>
      </w:pPr>
      <w:r w:rsidRPr="0082781F">
        <w:rPr>
          <w:b/>
          <w:szCs w:val="18"/>
        </w:rPr>
        <w:t xml:space="preserve">Nieuwe EU-documenten van niet-wetgevende aard </w:t>
      </w:r>
      <w:r w:rsidRPr="0082781F">
        <w:rPr>
          <w:b/>
          <w:szCs w:val="18"/>
        </w:rPr>
        <w:br/>
      </w:r>
      <w:r w:rsidRPr="0082781F">
        <w:rPr>
          <w:szCs w:val="18"/>
        </w:rPr>
        <w:t>(Mededelingen, aanbevelingen, actieplannen, consultaties, etc.)</w:t>
      </w:r>
    </w:p>
    <w:p w:rsidR="0082781F" w:rsidP="00D27A2D" w:rsidRDefault="0082781F">
      <w:pPr>
        <w:rPr>
          <w:szCs w:val="18"/>
        </w:rPr>
      </w:pPr>
    </w:p>
    <w:p w:rsidRPr="00C47A69" w:rsidR="0082781F" w:rsidP="00D27A2D" w:rsidRDefault="0082781F">
      <w:pPr>
        <w:rPr>
          <w:szCs w:val="18"/>
        </w:rPr>
      </w:pPr>
    </w:p>
    <w:tbl>
      <w:tblPr>
        <w:tblW w:w="778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611"/>
        <w:gridCol w:w="5754"/>
      </w:tblGrid>
      <w:tr w:rsidRPr="00456256" w:rsidR="00677F9C" w:rsidTr="00D60D0D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7A69" w:rsidR="00677F9C" w:rsidP="00D60D0D" w:rsidRDefault="00677F9C">
            <w:pPr>
              <w:spacing w:after="240"/>
              <w:ind w:left="360" w:hanging="360"/>
              <w:contextualSpacing/>
              <w:rPr>
                <w:szCs w:val="18"/>
              </w:rPr>
            </w:pPr>
            <w:r w:rsidRPr="00C47A69">
              <w:rPr>
                <w:szCs w:val="18"/>
              </w:rPr>
              <w:t>2.</w:t>
            </w:r>
          </w:p>
        </w:tc>
        <w:tc>
          <w:tcPr>
            <w:tcW w:w="1611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677F9C" w:rsidP="00D60D0D" w:rsidRDefault="00677F9C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t>Titel</w:t>
            </w:r>
          </w:p>
        </w:tc>
        <w:tc>
          <w:tcPr>
            <w:tcW w:w="5754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2099C" w:rsidR="00677F9C" w:rsidP="00677F9C" w:rsidRDefault="0082099C">
            <w:pPr>
              <w:spacing w:after="240"/>
              <w:rPr>
                <w:szCs w:val="18"/>
                <w:lang w:eastAsia="nl-NL"/>
              </w:rPr>
            </w:pPr>
            <w:r w:rsidRPr="0082099C">
              <w:rPr>
                <w:szCs w:val="18"/>
              </w:rPr>
              <w:t xml:space="preserve">MEDEDELING VAN DE COMMISSIE AAN HET EUROPEES PARLEMENT, DE RAAD, DE EUROPESE CENTRALE BANK, HET EUROPEES ECONOMISCH EN SOCIAAL COMITÉ EN HET COMITÉ VAN DE REGIO’S EU-scoreboard voor justitie 2022 </w:t>
            </w:r>
            <w:hyperlink w:history="1" r:id="rId15">
              <w:r w:rsidRPr="0082099C">
                <w:rPr>
                  <w:rStyle w:val="Hyperlink"/>
                  <w:szCs w:val="18"/>
                </w:rPr>
                <w:t>COM (2022) 234</w:t>
              </w:r>
            </w:hyperlink>
          </w:p>
        </w:tc>
      </w:tr>
      <w:tr w:rsidRPr="00C47A69" w:rsidR="00677F9C" w:rsidTr="00D60D0D">
        <w:trPr>
          <w:trHeight w:val="185"/>
        </w:trPr>
        <w:tc>
          <w:tcPr>
            <w:tcW w:w="421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82099C" w:rsidR="00677F9C" w:rsidP="00D60D0D" w:rsidRDefault="00677F9C">
            <w:pPr>
              <w:rPr>
                <w:szCs w:val="18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677F9C" w:rsidP="00D60D0D" w:rsidRDefault="00677F9C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t>Voorstel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7A69" w:rsidR="00677F9C" w:rsidP="00456256" w:rsidRDefault="0082099C">
            <w:pPr>
              <w:spacing w:after="240"/>
              <w:rPr>
                <w:bCs/>
                <w:szCs w:val="18"/>
                <w:lang w:eastAsia="nl-NL"/>
              </w:rPr>
            </w:pPr>
            <w:r w:rsidRPr="0082099C">
              <w:rPr>
                <w:bCs/>
                <w:szCs w:val="18"/>
                <w:lang w:eastAsia="nl-NL"/>
              </w:rPr>
              <w:t xml:space="preserve">Betrekken bij </w:t>
            </w:r>
            <w:r>
              <w:rPr>
                <w:bCs/>
                <w:szCs w:val="18"/>
                <w:lang w:eastAsia="nl-NL"/>
              </w:rPr>
              <w:t xml:space="preserve">een </w:t>
            </w:r>
            <w:r w:rsidRPr="0082099C">
              <w:rPr>
                <w:bCs/>
                <w:szCs w:val="18"/>
                <w:lang w:eastAsia="nl-NL"/>
              </w:rPr>
              <w:t>eerstvolgend overleg over de JBZ-Raad</w:t>
            </w:r>
          </w:p>
        </w:tc>
      </w:tr>
      <w:tr w:rsidRPr="00C47A69" w:rsidR="00677F9C" w:rsidTr="00D60D0D">
        <w:tc>
          <w:tcPr>
            <w:tcW w:w="421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C47A69" w:rsidR="00677F9C" w:rsidP="00D60D0D" w:rsidRDefault="00677F9C">
            <w:pPr>
              <w:rPr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677F9C" w:rsidP="00D60D0D" w:rsidRDefault="00677F9C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br/>
              <w:t>Noot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7A69" w:rsidR="00677F9C" w:rsidP="00C47A69" w:rsidRDefault="0082099C">
            <w:pPr>
              <w:spacing w:before="240" w:after="210" w:line="276" w:lineRule="auto"/>
              <w:rPr>
                <w:szCs w:val="18"/>
                <w:lang w:eastAsia="nl-NL"/>
              </w:rPr>
            </w:pPr>
            <w:r w:rsidRPr="0082099C">
              <w:rPr>
                <w:i/>
                <w:color w:val="595959" w:themeColor="text1" w:themeTint="A6"/>
                <w:szCs w:val="18"/>
              </w:rPr>
              <w:t xml:space="preserve">Het betreft de meest recente editie van het EU </w:t>
            </w:r>
            <w:proofErr w:type="spellStart"/>
            <w:r w:rsidRPr="0082099C">
              <w:rPr>
                <w:i/>
                <w:color w:val="595959" w:themeColor="text1" w:themeTint="A6"/>
                <w:szCs w:val="18"/>
              </w:rPr>
              <w:t>Justice</w:t>
            </w:r>
            <w:proofErr w:type="spellEnd"/>
            <w:r w:rsidRPr="0082099C">
              <w:rPr>
                <w:i/>
                <w:color w:val="595959" w:themeColor="text1" w:themeTint="A6"/>
                <w:szCs w:val="18"/>
              </w:rPr>
              <w:t xml:space="preserve"> scoreboard. Het jaarlijkse scoreboard vergelijkt de rechtssystemen in de lidstaten hoofdzakelijk op basis van kwantitatieve gegevens zoals toegankelijkheid (</w:t>
            </w:r>
            <w:proofErr w:type="spellStart"/>
            <w:r w:rsidRPr="0082099C">
              <w:rPr>
                <w:i/>
                <w:color w:val="595959" w:themeColor="text1" w:themeTint="A6"/>
                <w:szCs w:val="18"/>
              </w:rPr>
              <w:t>oa</w:t>
            </w:r>
            <w:proofErr w:type="spellEnd"/>
            <w:r w:rsidRPr="0082099C">
              <w:rPr>
                <w:i/>
                <w:color w:val="595959" w:themeColor="text1" w:themeTint="A6"/>
                <w:szCs w:val="18"/>
              </w:rPr>
              <w:t xml:space="preserve"> in termen van kosten voeren rechtszaak, toegang -ook online- tot relevante informatie, alternatieve beslechtingsmethoden zoals mediatie), budget en middelen (</w:t>
            </w:r>
            <w:proofErr w:type="spellStart"/>
            <w:r w:rsidRPr="0082099C">
              <w:rPr>
                <w:i/>
                <w:color w:val="595959" w:themeColor="text1" w:themeTint="A6"/>
                <w:szCs w:val="18"/>
              </w:rPr>
              <w:t>oa</w:t>
            </w:r>
            <w:proofErr w:type="spellEnd"/>
            <w:r w:rsidRPr="0082099C">
              <w:rPr>
                <w:i/>
                <w:color w:val="595959" w:themeColor="text1" w:themeTint="A6"/>
                <w:szCs w:val="18"/>
              </w:rPr>
              <w:t xml:space="preserve"> aantal rechters in relatie tot inwonertal en opleidingsmogelijkheden rechters) en basismaatstaven (</w:t>
            </w:r>
            <w:proofErr w:type="spellStart"/>
            <w:r w:rsidRPr="0082099C">
              <w:rPr>
                <w:i/>
                <w:color w:val="595959" w:themeColor="text1" w:themeTint="A6"/>
                <w:szCs w:val="18"/>
              </w:rPr>
              <w:t>oa</w:t>
            </w:r>
            <w:proofErr w:type="spellEnd"/>
            <w:r w:rsidRPr="0082099C">
              <w:rPr>
                <w:i/>
                <w:color w:val="595959" w:themeColor="text1" w:themeTint="A6"/>
                <w:szCs w:val="18"/>
              </w:rPr>
              <w:t xml:space="preserve"> doorvoertijden, achterstanden, informeren partijen over voortgang zaak). Sinds 2020 is het scoreboard ook een belangrijke input voor het EU </w:t>
            </w:r>
            <w:r w:rsidRPr="0082099C">
              <w:rPr>
                <w:i/>
                <w:color w:val="595959" w:themeColor="text1" w:themeTint="A6"/>
                <w:szCs w:val="18"/>
              </w:rPr>
              <w:lastRenderedPageBreak/>
              <w:t>rechtsstatelijkheidsmechanisme en het daarbij behorende jaarlijkse EU rechtsstatelijkheidsverslag.</w:t>
            </w:r>
          </w:p>
        </w:tc>
      </w:tr>
    </w:tbl>
    <w:p w:rsidRPr="00C47A69" w:rsidR="000B67CB" w:rsidP="000B67CB" w:rsidRDefault="000B67CB">
      <w:pPr>
        <w:rPr>
          <w:szCs w:val="18"/>
        </w:rPr>
      </w:pPr>
    </w:p>
    <w:p w:rsidRPr="00C47A69" w:rsidR="001C7F24" w:rsidP="00D27A2D" w:rsidRDefault="001C7F24">
      <w:pPr>
        <w:rPr>
          <w:b/>
          <w:szCs w:val="18"/>
        </w:rPr>
      </w:pPr>
    </w:p>
    <w:sectPr w:rsidRPr="00C47A69" w:rsidR="001C7F24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27" w:rsidRDefault="00C07227">
      <w:r>
        <w:separator/>
      </w:r>
    </w:p>
  </w:endnote>
  <w:endnote w:type="continuationSeparator" w:id="0">
    <w:p w:rsidR="00C07227" w:rsidRDefault="00C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A4A918F" wp14:editId="19BF19A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B136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A918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B136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347FB80" wp14:editId="0B88438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7FB80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6059AE4C" wp14:editId="6B8078EA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B136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9AE4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B136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AABAB02" wp14:editId="66CC4B42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BAB02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27" w:rsidRDefault="00C07227">
      <w:r>
        <w:separator/>
      </w:r>
    </w:p>
  </w:footnote>
  <w:footnote w:type="continuationSeparator" w:id="0">
    <w:p w:rsidR="00C07227" w:rsidRDefault="00C07227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7B54AF7" wp14:editId="4109C29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2E7A108A" wp14:editId="1BD94C2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5946133" wp14:editId="2861A75D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4613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455E595A" wp14:editId="4F969E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C8"/>
    <w:multiLevelType w:val="hybridMultilevel"/>
    <w:tmpl w:val="4970C854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1585"/>
    <w:multiLevelType w:val="hybridMultilevel"/>
    <w:tmpl w:val="AE324B72"/>
    <w:lvl w:ilvl="0" w:tplc="BCCC8A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F87"/>
    <w:multiLevelType w:val="hybridMultilevel"/>
    <w:tmpl w:val="E23EF35A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0B6F"/>
    <w:multiLevelType w:val="hybridMultilevel"/>
    <w:tmpl w:val="C1ECED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4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012"/>
    <w:rsid w:val="0000060B"/>
    <w:rsid w:val="00003502"/>
    <w:rsid w:val="000037E5"/>
    <w:rsid w:val="00004383"/>
    <w:rsid w:val="00006780"/>
    <w:rsid w:val="00010EF2"/>
    <w:rsid w:val="000123FA"/>
    <w:rsid w:val="00013B5B"/>
    <w:rsid w:val="00016110"/>
    <w:rsid w:val="00026246"/>
    <w:rsid w:val="00026D47"/>
    <w:rsid w:val="000339A6"/>
    <w:rsid w:val="00035057"/>
    <w:rsid w:val="00036674"/>
    <w:rsid w:val="00036A73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394E"/>
    <w:rsid w:val="00094546"/>
    <w:rsid w:val="00094A9B"/>
    <w:rsid w:val="000A1C2B"/>
    <w:rsid w:val="000A23C5"/>
    <w:rsid w:val="000A3170"/>
    <w:rsid w:val="000B2192"/>
    <w:rsid w:val="000B67CB"/>
    <w:rsid w:val="000B75C7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410C"/>
    <w:rsid w:val="000F5363"/>
    <w:rsid w:val="000F5722"/>
    <w:rsid w:val="000F6768"/>
    <w:rsid w:val="00102FE4"/>
    <w:rsid w:val="001032F7"/>
    <w:rsid w:val="00105391"/>
    <w:rsid w:val="00120FD2"/>
    <w:rsid w:val="001300CE"/>
    <w:rsid w:val="0013509E"/>
    <w:rsid w:val="0013623C"/>
    <w:rsid w:val="001401C7"/>
    <w:rsid w:val="00141D39"/>
    <w:rsid w:val="001445D4"/>
    <w:rsid w:val="00146420"/>
    <w:rsid w:val="00147017"/>
    <w:rsid w:val="00151AC8"/>
    <w:rsid w:val="001545B9"/>
    <w:rsid w:val="00154EC0"/>
    <w:rsid w:val="001555A9"/>
    <w:rsid w:val="00156992"/>
    <w:rsid w:val="00160E6E"/>
    <w:rsid w:val="00161D1B"/>
    <w:rsid w:val="001706B1"/>
    <w:rsid w:val="00170AFB"/>
    <w:rsid w:val="001715CC"/>
    <w:rsid w:val="0017367F"/>
    <w:rsid w:val="0018125C"/>
    <w:rsid w:val="001847AF"/>
    <w:rsid w:val="00184CB6"/>
    <w:rsid w:val="00187402"/>
    <w:rsid w:val="0018775E"/>
    <w:rsid w:val="00192F0E"/>
    <w:rsid w:val="00193DF4"/>
    <w:rsid w:val="001952B8"/>
    <w:rsid w:val="001959F4"/>
    <w:rsid w:val="001972AC"/>
    <w:rsid w:val="001A3995"/>
    <w:rsid w:val="001A4097"/>
    <w:rsid w:val="001B2F65"/>
    <w:rsid w:val="001B7CAE"/>
    <w:rsid w:val="001C14DB"/>
    <w:rsid w:val="001C3467"/>
    <w:rsid w:val="001C7F24"/>
    <w:rsid w:val="001D08B2"/>
    <w:rsid w:val="001D3CD3"/>
    <w:rsid w:val="001D7B39"/>
    <w:rsid w:val="001E143A"/>
    <w:rsid w:val="001E1C84"/>
    <w:rsid w:val="001E1F15"/>
    <w:rsid w:val="001E39BA"/>
    <w:rsid w:val="001E754B"/>
    <w:rsid w:val="001F1517"/>
    <w:rsid w:val="001F3B0C"/>
    <w:rsid w:val="001F4221"/>
    <w:rsid w:val="001F7012"/>
    <w:rsid w:val="002048D9"/>
    <w:rsid w:val="00210705"/>
    <w:rsid w:val="00211391"/>
    <w:rsid w:val="00216C27"/>
    <w:rsid w:val="00221D6B"/>
    <w:rsid w:val="00222071"/>
    <w:rsid w:val="0022374D"/>
    <w:rsid w:val="00224294"/>
    <w:rsid w:val="00227D85"/>
    <w:rsid w:val="00235B3D"/>
    <w:rsid w:val="00241DE4"/>
    <w:rsid w:val="00245D08"/>
    <w:rsid w:val="0024689F"/>
    <w:rsid w:val="00251996"/>
    <w:rsid w:val="002538C7"/>
    <w:rsid w:val="00262A1B"/>
    <w:rsid w:val="00266365"/>
    <w:rsid w:val="00271075"/>
    <w:rsid w:val="002763B3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232"/>
    <w:rsid w:val="002C488A"/>
    <w:rsid w:val="002E43EB"/>
    <w:rsid w:val="002E5CC6"/>
    <w:rsid w:val="002E6686"/>
    <w:rsid w:val="002E72EA"/>
    <w:rsid w:val="002F363A"/>
    <w:rsid w:val="002F366C"/>
    <w:rsid w:val="002F45EE"/>
    <w:rsid w:val="003023F3"/>
    <w:rsid w:val="0030416C"/>
    <w:rsid w:val="003066D7"/>
    <w:rsid w:val="00306CA9"/>
    <w:rsid w:val="0031228D"/>
    <w:rsid w:val="00313734"/>
    <w:rsid w:val="003154A8"/>
    <w:rsid w:val="0031630D"/>
    <w:rsid w:val="003214FD"/>
    <w:rsid w:val="00322A38"/>
    <w:rsid w:val="00324A4E"/>
    <w:rsid w:val="003252C4"/>
    <w:rsid w:val="0032616D"/>
    <w:rsid w:val="00326A27"/>
    <w:rsid w:val="00326C25"/>
    <w:rsid w:val="00331729"/>
    <w:rsid w:val="00331CCE"/>
    <w:rsid w:val="003333D6"/>
    <w:rsid w:val="0033344D"/>
    <w:rsid w:val="003354DB"/>
    <w:rsid w:val="003410ED"/>
    <w:rsid w:val="00346125"/>
    <w:rsid w:val="00352A08"/>
    <w:rsid w:val="0035316A"/>
    <w:rsid w:val="00355DCC"/>
    <w:rsid w:val="00356E8E"/>
    <w:rsid w:val="00361C03"/>
    <w:rsid w:val="003620C8"/>
    <w:rsid w:val="003630D5"/>
    <w:rsid w:val="00363512"/>
    <w:rsid w:val="00364EE8"/>
    <w:rsid w:val="003664D8"/>
    <w:rsid w:val="00372B95"/>
    <w:rsid w:val="0037414F"/>
    <w:rsid w:val="00374B44"/>
    <w:rsid w:val="00375257"/>
    <w:rsid w:val="00375975"/>
    <w:rsid w:val="00376585"/>
    <w:rsid w:val="00377E26"/>
    <w:rsid w:val="003812B9"/>
    <w:rsid w:val="003843F9"/>
    <w:rsid w:val="00393BB7"/>
    <w:rsid w:val="003A13C3"/>
    <w:rsid w:val="003A219A"/>
    <w:rsid w:val="003A5792"/>
    <w:rsid w:val="003B1D02"/>
    <w:rsid w:val="003B254F"/>
    <w:rsid w:val="003B2964"/>
    <w:rsid w:val="003B4119"/>
    <w:rsid w:val="003B484E"/>
    <w:rsid w:val="003B5C06"/>
    <w:rsid w:val="003B67E0"/>
    <w:rsid w:val="003C0D63"/>
    <w:rsid w:val="003C24C5"/>
    <w:rsid w:val="003C2832"/>
    <w:rsid w:val="003D22ED"/>
    <w:rsid w:val="003D450D"/>
    <w:rsid w:val="003D5554"/>
    <w:rsid w:val="003D660C"/>
    <w:rsid w:val="003E6EA2"/>
    <w:rsid w:val="003F11BC"/>
    <w:rsid w:val="003F46F7"/>
    <w:rsid w:val="003F5EBE"/>
    <w:rsid w:val="003F628A"/>
    <w:rsid w:val="003F6CF0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04C7"/>
    <w:rsid w:val="004521E2"/>
    <w:rsid w:val="00455D0F"/>
    <w:rsid w:val="00456256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D0413"/>
    <w:rsid w:val="004D485A"/>
    <w:rsid w:val="004E3424"/>
    <w:rsid w:val="004E426E"/>
    <w:rsid w:val="004E5595"/>
    <w:rsid w:val="004F6ADD"/>
    <w:rsid w:val="00505F93"/>
    <w:rsid w:val="005074D4"/>
    <w:rsid w:val="00507A41"/>
    <w:rsid w:val="00511442"/>
    <w:rsid w:val="00511478"/>
    <w:rsid w:val="005158C0"/>
    <w:rsid w:val="0051638F"/>
    <w:rsid w:val="00520D88"/>
    <w:rsid w:val="00521E24"/>
    <w:rsid w:val="00522540"/>
    <w:rsid w:val="0052521A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2DAF"/>
    <w:rsid w:val="00554CBF"/>
    <w:rsid w:val="005550DC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6DD"/>
    <w:rsid w:val="005F1EDF"/>
    <w:rsid w:val="005F3027"/>
    <w:rsid w:val="005F7396"/>
    <w:rsid w:val="00601DBD"/>
    <w:rsid w:val="00605B5A"/>
    <w:rsid w:val="006060B3"/>
    <w:rsid w:val="0060611D"/>
    <w:rsid w:val="006111AC"/>
    <w:rsid w:val="00613764"/>
    <w:rsid w:val="00615A26"/>
    <w:rsid w:val="00617577"/>
    <w:rsid w:val="006200E7"/>
    <w:rsid w:val="00621260"/>
    <w:rsid w:val="00622941"/>
    <w:rsid w:val="00623A6E"/>
    <w:rsid w:val="00626F56"/>
    <w:rsid w:val="00626FD8"/>
    <w:rsid w:val="006273D7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0DE6"/>
    <w:rsid w:val="00661844"/>
    <w:rsid w:val="00661ACE"/>
    <w:rsid w:val="00661F6A"/>
    <w:rsid w:val="006635A7"/>
    <w:rsid w:val="00667A74"/>
    <w:rsid w:val="00673519"/>
    <w:rsid w:val="00677F9C"/>
    <w:rsid w:val="00682002"/>
    <w:rsid w:val="00683713"/>
    <w:rsid w:val="006837AF"/>
    <w:rsid w:val="006844E0"/>
    <w:rsid w:val="00690F44"/>
    <w:rsid w:val="006919C8"/>
    <w:rsid w:val="00692FA3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C76FE"/>
    <w:rsid w:val="006D2B66"/>
    <w:rsid w:val="006D379C"/>
    <w:rsid w:val="006D3AA5"/>
    <w:rsid w:val="006D4B9F"/>
    <w:rsid w:val="006D7AEF"/>
    <w:rsid w:val="006D7D87"/>
    <w:rsid w:val="006E0F91"/>
    <w:rsid w:val="006E2C94"/>
    <w:rsid w:val="006E3C1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2AC4"/>
    <w:rsid w:val="00723DF8"/>
    <w:rsid w:val="007248BC"/>
    <w:rsid w:val="00726354"/>
    <w:rsid w:val="007417AC"/>
    <w:rsid w:val="007439D7"/>
    <w:rsid w:val="00745D31"/>
    <w:rsid w:val="00754EE2"/>
    <w:rsid w:val="00755534"/>
    <w:rsid w:val="00757AA5"/>
    <w:rsid w:val="00760299"/>
    <w:rsid w:val="007642F9"/>
    <w:rsid w:val="00770A61"/>
    <w:rsid w:val="00773074"/>
    <w:rsid w:val="00773C33"/>
    <w:rsid w:val="00781A50"/>
    <w:rsid w:val="0078416F"/>
    <w:rsid w:val="007876BC"/>
    <w:rsid w:val="00787C51"/>
    <w:rsid w:val="007907EC"/>
    <w:rsid w:val="00790D60"/>
    <w:rsid w:val="0079316B"/>
    <w:rsid w:val="00794A22"/>
    <w:rsid w:val="00796433"/>
    <w:rsid w:val="00796B75"/>
    <w:rsid w:val="007A03BA"/>
    <w:rsid w:val="007A4A53"/>
    <w:rsid w:val="007A6CDA"/>
    <w:rsid w:val="007B02DE"/>
    <w:rsid w:val="007D0BE8"/>
    <w:rsid w:val="007D49C7"/>
    <w:rsid w:val="007E249D"/>
    <w:rsid w:val="007E4BFD"/>
    <w:rsid w:val="007F04F9"/>
    <w:rsid w:val="007F18E4"/>
    <w:rsid w:val="007F59F3"/>
    <w:rsid w:val="007F714A"/>
    <w:rsid w:val="007F7537"/>
    <w:rsid w:val="00802D86"/>
    <w:rsid w:val="00802F06"/>
    <w:rsid w:val="008047D9"/>
    <w:rsid w:val="00804A4D"/>
    <w:rsid w:val="00806B32"/>
    <w:rsid w:val="008101EF"/>
    <w:rsid w:val="0081023D"/>
    <w:rsid w:val="0081050B"/>
    <w:rsid w:val="00812348"/>
    <w:rsid w:val="00820149"/>
    <w:rsid w:val="00820651"/>
    <w:rsid w:val="0082099C"/>
    <w:rsid w:val="008266D0"/>
    <w:rsid w:val="00826C29"/>
    <w:rsid w:val="0082781F"/>
    <w:rsid w:val="0083225E"/>
    <w:rsid w:val="00834690"/>
    <w:rsid w:val="0083576C"/>
    <w:rsid w:val="00840FA0"/>
    <w:rsid w:val="00843FBB"/>
    <w:rsid w:val="008454D2"/>
    <w:rsid w:val="00845DEC"/>
    <w:rsid w:val="00847B9F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63EE"/>
    <w:rsid w:val="008B7783"/>
    <w:rsid w:val="008C43A5"/>
    <w:rsid w:val="008C4443"/>
    <w:rsid w:val="008C5C41"/>
    <w:rsid w:val="008E1635"/>
    <w:rsid w:val="008E1DAE"/>
    <w:rsid w:val="008E363B"/>
    <w:rsid w:val="008E7DAC"/>
    <w:rsid w:val="008F0904"/>
    <w:rsid w:val="008F20EF"/>
    <w:rsid w:val="008F5366"/>
    <w:rsid w:val="00901055"/>
    <w:rsid w:val="00903EEA"/>
    <w:rsid w:val="0090730F"/>
    <w:rsid w:val="0091479F"/>
    <w:rsid w:val="00914C2D"/>
    <w:rsid w:val="00914C45"/>
    <w:rsid w:val="00916678"/>
    <w:rsid w:val="0091744E"/>
    <w:rsid w:val="00922C5B"/>
    <w:rsid w:val="009238EE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5D0D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3C1"/>
    <w:rsid w:val="00990B28"/>
    <w:rsid w:val="0099168E"/>
    <w:rsid w:val="0099243E"/>
    <w:rsid w:val="009925DF"/>
    <w:rsid w:val="009956D1"/>
    <w:rsid w:val="00995B14"/>
    <w:rsid w:val="009A5399"/>
    <w:rsid w:val="009A7616"/>
    <w:rsid w:val="009B0054"/>
    <w:rsid w:val="009B1361"/>
    <w:rsid w:val="009B1792"/>
    <w:rsid w:val="009B2C99"/>
    <w:rsid w:val="009B3CF3"/>
    <w:rsid w:val="009B3D65"/>
    <w:rsid w:val="009B4DCA"/>
    <w:rsid w:val="009B706C"/>
    <w:rsid w:val="009C2266"/>
    <w:rsid w:val="009C799B"/>
    <w:rsid w:val="009D0749"/>
    <w:rsid w:val="009D5654"/>
    <w:rsid w:val="009E2113"/>
    <w:rsid w:val="009F1C43"/>
    <w:rsid w:val="009F2CCC"/>
    <w:rsid w:val="009F41F0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4007"/>
    <w:rsid w:val="00A464BD"/>
    <w:rsid w:val="00A47531"/>
    <w:rsid w:val="00A501AD"/>
    <w:rsid w:val="00A57E41"/>
    <w:rsid w:val="00A657BB"/>
    <w:rsid w:val="00A7624E"/>
    <w:rsid w:val="00A77085"/>
    <w:rsid w:val="00A80CBB"/>
    <w:rsid w:val="00A828E3"/>
    <w:rsid w:val="00A831F2"/>
    <w:rsid w:val="00A845F3"/>
    <w:rsid w:val="00A95091"/>
    <w:rsid w:val="00A96541"/>
    <w:rsid w:val="00AA0328"/>
    <w:rsid w:val="00AA44E4"/>
    <w:rsid w:val="00AA70BE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069CF"/>
    <w:rsid w:val="00B257AD"/>
    <w:rsid w:val="00B26BD6"/>
    <w:rsid w:val="00B2723B"/>
    <w:rsid w:val="00B30327"/>
    <w:rsid w:val="00B306FA"/>
    <w:rsid w:val="00B327F5"/>
    <w:rsid w:val="00B34C2F"/>
    <w:rsid w:val="00B53C93"/>
    <w:rsid w:val="00B54A2B"/>
    <w:rsid w:val="00B55826"/>
    <w:rsid w:val="00B56147"/>
    <w:rsid w:val="00B60251"/>
    <w:rsid w:val="00B71A9C"/>
    <w:rsid w:val="00B757E9"/>
    <w:rsid w:val="00B77B98"/>
    <w:rsid w:val="00B856A6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A6F22"/>
    <w:rsid w:val="00BB0C55"/>
    <w:rsid w:val="00BB0CE8"/>
    <w:rsid w:val="00BB1C40"/>
    <w:rsid w:val="00BB27BB"/>
    <w:rsid w:val="00BB2953"/>
    <w:rsid w:val="00BB2E65"/>
    <w:rsid w:val="00BB42DA"/>
    <w:rsid w:val="00BB4A0D"/>
    <w:rsid w:val="00BB716F"/>
    <w:rsid w:val="00BC0427"/>
    <w:rsid w:val="00BC1083"/>
    <w:rsid w:val="00BC1AB1"/>
    <w:rsid w:val="00BC2307"/>
    <w:rsid w:val="00BC2EAD"/>
    <w:rsid w:val="00BC3391"/>
    <w:rsid w:val="00BC7779"/>
    <w:rsid w:val="00BD13D9"/>
    <w:rsid w:val="00BD28EC"/>
    <w:rsid w:val="00BD3B5C"/>
    <w:rsid w:val="00BE4A32"/>
    <w:rsid w:val="00BF2DEC"/>
    <w:rsid w:val="00BF468F"/>
    <w:rsid w:val="00BF62AD"/>
    <w:rsid w:val="00C00303"/>
    <w:rsid w:val="00C043E6"/>
    <w:rsid w:val="00C07227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371E6"/>
    <w:rsid w:val="00C4073F"/>
    <w:rsid w:val="00C4381A"/>
    <w:rsid w:val="00C4727D"/>
    <w:rsid w:val="00C477AC"/>
    <w:rsid w:val="00C47A69"/>
    <w:rsid w:val="00C5067A"/>
    <w:rsid w:val="00C51C8C"/>
    <w:rsid w:val="00C60BB7"/>
    <w:rsid w:val="00C615FF"/>
    <w:rsid w:val="00C61F68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333D"/>
    <w:rsid w:val="00C95F3E"/>
    <w:rsid w:val="00C97A62"/>
    <w:rsid w:val="00CA0F1D"/>
    <w:rsid w:val="00CA2071"/>
    <w:rsid w:val="00CA2568"/>
    <w:rsid w:val="00CA2E09"/>
    <w:rsid w:val="00CA686E"/>
    <w:rsid w:val="00CA7319"/>
    <w:rsid w:val="00CB241D"/>
    <w:rsid w:val="00CB6655"/>
    <w:rsid w:val="00CB6D12"/>
    <w:rsid w:val="00CC06B3"/>
    <w:rsid w:val="00CC0D76"/>
    <w:rsid w:val="00CC14BA"/>
    <w:rsid w:val="00CC1F4A"/>
    <w:rsid w:val="00CC4922"/>
    <w:rsid w:val="00CC4946"/>
    <w:rsid w:val="00CC721A"/>
    <w:rsid w:val="00CD180F"/>
    <w:rsid w:val="00CD57F3"/>
    <w:rsid w:val="00CD6193"/>
    <w:rsid w:val="00CD730D"/>
    <w:rsid w:val="00CE6987"/>
    <w:rsid w:val="00CF0772"/>
    <w:rsid w:val="00CF5FFF"/>
    <w:rsid w:val="00CF7ECD"/>
    <w:rsid w:val="00D03DA0"/>
    <w:rsid w:val="00D04E0E"/>
    <w:rsid w:val="00D05232"/>
    <w:rsid w:val="00D06AD2"/>
    <w:rsid w:val="00D06BD8"/>
    <w:rsid w:val="00D07863"/>
    <w:rsid w:val="00D11FD5"/>
    <w:rsid w:val="00D1290D"/>
    <w:rsid w:val="00D14580"/>
    <w:rsid w:val="00D152E7"/>
    <w:rsid w:val="00D201CB"/>
    <w:rsid w:val="00D201E3"/>
    <w:rsid w:val="00D206E8"/>
    <w:rsid w:val="00D212CA"/>
    <w:rsid w:val="00D233A8"/>
    <w:rsid w:val="00D26280"/>
    <w:rsid w:val="00D27A2D"/>
    <w:rsid w:val="00D27FE7"/>
    <w:rsid w:val="00D303E7"/>
    <w:rsid w:val="00D3073E"/>
    <w:rsid w:val="00D30C85"/>
    <w:rsid w:val="00D36A44"/>
    <w:rsid w:val="00D40390"/>
    <w:rsid w:val="00D4444E"/>
    <w:rsid w:val="00D45122"/>
    <w:rsid w:val="00D45D0D"/>
    <w:rsid w:val="00D46679"/>
    <w:rsid w:val="00D467E2"/>
    <w:rsid w:val="00D472BC"/>
    <w:rsid w:val="00D5774F"/>
    <w:rsid w:val="00D63F2D"/>
    <w:rsid w:val="00D64CF8"/>
    <w:rsid w:val="00D64F93"/>
    <w:rsid w:val="00D6591C"/>
    <w:rsid w:val="00D66A1E"/>
    <w:rsid w:val="00D67F7F"/>
    <w:rsid w:val="00D7255C"/>
    <w:rsid w:val="00D72CC9"/>
    <w:rsid w:val="00D75535"/>
    <w:rsid w:val="00D926C2"/>
    <w:rsid w:val="00D97DF1"/>
    <w:rsid w:val="00DA5144"/>
    <w:rsid w:val="00DB2B90"/>
    <w:rsid w:val="00DB3F6B"/>
    <w:rsid w:val="00DB464F"/>
    <w:rsid w:val="00DB4716"/>
    <w:rsid w:val="00DB4C71"/>
    <w:rsid w:val="00DB6B9D"/>
    <w:rsid w:val="00DC022A"/>
    <w:rsid w:val="00DC0EBD"/>
    <w:rsid w:val="00DC1442"/>
    <w:rsid w:val="00DC165E"/>
    <w:rsid w:val="00DD0832"/>
    <w:rsid w:val="00DD4645"/>
    <w:rsid w:val="00DD5412"/>
    <w:rsid w:val="00DD564F"/>
    <w:rsid w:val="00DD6D95"/>
    <w:rsid w:val="00DE1EDF"/>
    <w:rsid w:val="00DE2897"/>
    <w:rsid w:val="00DE32DE"/>
    <w:rsid w:val="00DE5B8E"/>
    <w:rsid w:val="00DE6323"/>
    <w:rsid w:val="00DE6F9D"/>
    <w:rsid w:val="00DE7800"/>
    <w:rsid w:val="00DF142E"/>
    <w:rsid w:val="00DF1626"/>
    <w:rsid w:val="00DF5349"/>
    <w:rsid w:val="00DF5A2E"/>
    <w:rsid w:val="00DF717F"/>
    <w:rsid w:val="00E006B7"/>
    <w:rsid w:val="00E01491"/>
    <w:rsid w:val="00E02D08"/>
    <w:rsid w:val="00E057F3"/>
    <w:rsid w:val="00E10297"/>
    <w:rsid w:val="00E1180B"/>
    <w:rsid w:val="00E11A26"/>
    <w:rsid w:val="00E11B7B"/>
    <w:rsid w:val="00E12EF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53D87"/>
    <w:rsid w:val="00E63829"/>
    <w:rsid w:val="00E6432B"/>
    <w:rsid w:val="00E666D4"/>
    <w:rsid w:val="00E67989"/>
    <w:rsid w:val="00E67B05"/>
    <w:rsid w:val="00E80096"/>
    <w:rsid w:val="00E80FBD"/>
    <w:rsid w:val="00E82B47"/>
    <w:rsid w:val="00E84D83"/>
    <w:rsid w:val="00E865E4"/>
    <w:rsid w:val="00E86E93"/>
    <w:rsid w:val="00EA3A9D"/>
    <w:rsid w:val="00EA4B76"/>
    <w:rsid w:val="00EA546B"/>
    <w:rsid w:val="00EA6FF9"/>
    <w:rsid w:val="00EB409D"/>
    <w:rsid w:val="00EC4140"/>
    <w:rsid w:val="00EC7E69"/>
    <w:rsid w:val="00ED210B"/>
    <w:rsid w:val="00ED6644"/>
    <w:rsid w:val="00EE1C0C"/>
    <w:rsid w:val="00EE306C"/>
    <w:rsid w:val="00EE3DA7"/>
    <w:rsid w:val="00EE6B1E"/>
    <w:rsid w:val="00EF16F2"/>
    <w:rsid w:val="00EF265E"/>
    <w:rsid w:val="00EF4583"/>
    <w:rsid w:val="00EF69C7"/>
    <w:rsid w:val="00F00C07"/>
    <w:rsid w:val="00F05C8C"/>
    <w:rsid w:val="00F11149"/>
    <w:rsid w:val="00F14A3A"/>
    <w:rsid w:val="00F17D6A"/>
    <w:rsid w:val="00F21FB6"/>
    <w:rsid w:val="00F246AB"/>
    <w:rsid w:val="00F261FA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39CE"/>
    <w:rsid w:val="00F44CB2"/>
    <w:rsid w:val="00F51766"/>
    <w:rsid w:val="00F52221"/>
    <w:rsid w:val="00F522D4"/>
    <w:rsid w:val="00F53AC7"/>
    <w:rsid w:val="00F54DB9"/>
    <w:rsid w:val="00F55F1C"/>
    <w:rsid w:val="00F60BD1"/>
    <w:rsid w:val="00F62D5D"/>
    <w:rsid w:val="00F65184"/>
    <w:rsid w:val="00F71F61"/>
    <w:rsid w:val="00F73681"/>
    <w:rsid w:val="00F8358B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C74A6"/>
    <w:rsid w:val="00FD2B08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eur-lex.europa.eu/legal-content/NL/TXT/?uri=CELEX%3A52022DC0234&amp;qid=1653314968777" TargetMode="Externa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hyperlink" Target="https://eur-lex.europa.eu/legal-content/NL/TXT/?uri=COM%3A2022%3A209%3AFIN&amp;qid=1652452187994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243</ap:Words>
  <ap:Characters>1812</ap:Characters>
  <ap:DocSecurity>4</ap:DocSecurity>
  <ap:Lines>15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2022-05-30T07:32:00.0000000Z</dcterms:created>
  <dcterms:modified xsi:type="dcterms:W3CDTF">2022-05-30T07:32:00.0000000Z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0x010100E533458AA6E2D14A8FF60713B00E1A29</vt:lpwstr>
  </property>
</Properties>
</file>