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1D7D" w:rsidR="00D22C91" w:rsidP="00D22C91" w:rsidRDefault="00D22C91" w14:paraId="78A25B3F" w14:textId="4B2FB26F">
      <w:pPr>
        <w:ind w:firstLine="0"/>
        <w:rPr>
          <w:rFonts w:cs="Arial"/>
          <w:b/>
          <w:szCs w:val="20"/>
          <w:lang w:val="nl-NL"/>
        </w:rPr>
      </w:pPr>
      <w:r w:rsidRPr="00D862D7">
        <w:rPr>
          <w:rFonts w:cs="Arial"/>
          <w:b/>
          <w:szCs w:val="20"/>
          <w:lang w:val="nl-NL"/>
        </w:rPr>
        <w:t xml:space="preserve">Verdrag tussen het Koninkrijk der Nederlanden en de Republiek Chili tot het vermijden van dubbele belasting met betrekking tot belastingen naar het inkomen en </w:t>
      </w:r>
      <w:r w:rsidRPr="00D862D7" w:rsidR="003558C7">
        <w:rPr>
          <w:rFonts w:cs="Arial"/>
          <w:b/>
          <w:szCs w:val="20"/>
          <w:lang w:val="nl-NL"/>
        </w:rPr>
        <w:t xml:space="preserve">naar het vermogen </w:t>
      </w:r>
      <w:r w:rsidRPr="00D862D7" w:rsidR="00F342E2">
        <w:rPr>
          <w:rFonts w:cs="Arial"/>
          <w:b/>
          <w:szCs w:val="20"/>
          <w:lang w:val="nl-NL"/>
        </w:rPr>
        <w:t xml:space="preserve">en </w:t>
      </w:r>
      <w:r w:rsidRPr="00D862D7">
        <w:rPr>
          <w:rFonts w:cs="Arial"/>
          <w:b/>
          <w:szCs w:val="20"/>
          <w:lang w:val="nl-NL"/>
        </w:rPr>
        <w:t xml:space="preserve">het voorkomen van het ontduiken </w:t>
      </w:r>
      <w:r w:rsidRPr="00D862D7" w:rsidR="00F342E2">
        <w:rPr>
          <w:rFonts w:cs="Arial"/>
          <w:b/>
          <w:szCs w:val="20"/>
          <w:lang w:val="nl-NL"/>
        </w:rPr>
        <w:t>en</w:t>
      </w:r>
      <w:r w:rsidRPr="00D862D7">
        <w:rPr>
          <w:rFonts w:cs="Arial"/>
          <w:b/>
          <w:szCs w:val="20"/>
          <w:lang w:val="nl-NL"/>
        </w:rPr>
        <w:t xml:space="preserve"> ontwijken van belasting; </w:t>
      </w:r>
      <w:r w:rsidRPr="00D862D7" w:rsidR="00D61ADB">
        <w:rPr>
          <w:rFonts w:cs="Arial"/>
          <w:b/>
          <w:szCs w:val="20"/>
          <w:lang w:val="nl-NL"/>
        </w:rPr>
        <w:t>Santiago</w:t>
      </w:r>
      <w:r w:rsidR="00F87C2F">
        <w:rPr>
          <w:rFonts w:cs="Arial"/>
          <w:b/>
          <w:szCs w:val="20"/>
          <w:lang w:val="nl-NL"/>
        </w:rPr>
        <w:t xml:space="preserve">, </w:t>
      </w:r>
      <w:r w:rsidRPr="00D862D7" w:rsidR="00EC7B09">
        <w:rPr>
          <w:rFonts w:cs="Arial"/>
          <w:b/>
          <w:szCs w:val="20"/>
          <w:lang w:val="nl-NL"/>
        </w:rPr>
        <w:t>Chil</w:t>
      </w:r>
      <w:r w:rsidR="00F87C2F">
        <w:rPr>
          <w:rFonts w:cs="Arial"/>
          <w:b/>
          <w:szCs w:val="20"/>
          <w:lang w:val="nl-NL"/>
        </w:rPr>
        <w:t>i</w:t>
      </w:r>
      <w:r w:rsidRPr="00D862D7" w:rsidR="00D61ADB">
        <w:rPr>
          <w:rFonts w:cs="Arial"/>
          <w:b/>
          <w:szCs w:val="20"/>
          <w:lang w:val="nl-NL"/>
        </w:rPr>
        <w:t>, 25 januari 2021</w:t>
      </w:r>
      <w:r w:rsidRPr="00D862D7">
        <w:rPr>
          <w:rFonts w:cs="Arial"/>
          <w:b/>
          <w:szCs w:val="20"/>
          <w:lang w:val="nl-NL"/>
        </w:rPr>
        <w:t xml:space="preserve"> (</w:t>
      </w:r>
      <w:proofErr w:type="spellStart"/>
      <w:r w:rsidRPr="00D862D7">
        <w:rPr>
          <w:rFonts w:cs="Arial"/>
          <w:b/>
          <w:i/>
          <w:szCs w:val="20"/>
          <w:lang w:val="nl-NL"/>
        </w:rPr>
        <w:t>Trb</w:t>
      </w:r>
      <w:proofErr w:type="spellEnd"/>
      <w:r w:rsidRPr="00D862D7">
        <w:rPr>
          <w:rFonts w:cs="Arial"/>
          <w:b/>
          <w:szCs w:val="20"/>
          <w:lang w:val="nl-NL"/>
        </w:rPr>
        <w:t xml:space="preserve">. </w:t>
      </w:r>
      <w:r w:rsidRPr="00D862D7" w:rsidR="00EC7B09">
        <w:rPr>
          <w:rFonts w:cs="Arial"/>
          <w:b/>
          <w:szCs w:val="20"/>
          <w:lang w:val="nl-NL"/>
        </w:rPr>
        <w:t xml:space="preserve">2021, </w:t>
      </w:r>
      <w:r w:rsidRPr="00CF1D7D" w:rsidR="00EC7B09">
        <w:rPr>
          <w:rFonts w:cs="Arial"/>
          <w:b/>
          <w:szCs w:val="20"/>
          <w:lang w:val="nl-NL"/>
        </w:rPr>
        <w:t>16</w:t>
      </w:r>
      <w:r w:rsidRPr="00CF1D7D">
        <w:rPr>
          <w:rFonts w:cs="Arial"/>
          <w:b/>
          <w:szCs w:val="20"/>
          <w:lang w:val="nl-NL"/>
        </w:rPr>
        <w:t>)</w:t>
      </w:r>
    </w:p>
    <w:p w:rsidRPr="00CF1D7D" w:rsidR="00D22C91" w:rsidP="00D22C91" w:rsidRDefault="00D22C91" w14:paraId="07937035" w14:textId="77777777">
      <w:pPr>
        <w:rPr>
          <w:rFonts w:cs="Arial"/>
          <w:b/>
          <w:szCs w:val="20"/>
          <w:lang w:val="nl-NL"/>
        </w:rPr>
      </w:pPr>
    </w:p>
    <w:p w:rsidR="00693F84" w:rsidP="00D22C91" w:rsidRDefault="00693F84" w14:paraId="3C8AAECF" w14:textId="77777777">
      <w:pPr>
        <w:ind w:firstLine="0"/>
        <w:rPr>
          <w:rFonts w:cs="Arial"/>
          <w:b/>
          <w:szCs w:val="20"/>
          <w:lang w:val="nl-NL"/>
        </w:rPr>
      </w:pPr>
    </w:p>
    <w:p w:rsidRPr="00CF1D7D" w:rsidR="00D22C91" w:rsidP="00D22C91" w:rsidRDefault="00D22C91" w14:paraId="3E445F85" w14:textId="3A4D24D4">
      <w:pPr>
        <w:ind w:firstLine="0"/>
        <w:rPr>
          <w:rFonts w:cs="Arial"/>
          <w:b/>
          <w:szCs w:val="20"/>
          <w:lang w:val="nl-NL"/>
        </w:rPr>
      </w:pPr>
      <w:r w:rsidRPr="00CF1D7D">
        <w:rPr>
          <w:rFonts w:cs="Arial"/>
          <w:b/>
          <w:szCs w:val="20"/>
          <w:lang w:val="nl-NL"/>
        </w:rPr>
        <w:t>TOELICHTENDE NOTA</w:t>
      </w:r>
    </w:p>
    <w:p w:rsidRPr="00494232" w:rsidR="00D22C91" w:rsidP="00D22C91" w:rsidRDefault="00D22C91" w14:paraId="601148FB" w14:textId="77777777">
      <w:pPr>
        <w:rPr>
          <w:rFonts w:cs="Arial"/>
          <w:b/>
          <w:szCs w:val="20"/>
          <w:lang w:val="nl-NL"/>
        </w:rPr>
      </w:pPr>
    </w:p>
    <w:p w:rsidR="00693F84" w:rsidP="0042093D" w:rsidRDefault="00693F84" w14:paraId="0659C226" w14:textId="77777777">
      <w:pPr>
        <w:pStyle w:val="Heading51"/>
        <w:rPr>
          <w:rFonts w:ascii="Arial" w:hAnsi="Arial" w:cs="Arial"/>
          <w:sz w:val="20"/>
          <w:lang w:val="nl-NL"/>
        </w:rPr>
      </w:pPr>
    </w:p>
    <w:p w:rsidRPr="00DC6540" w:rsidR="000D0CA1" w:rsidP="0042093D" w:rsidRDefault="00D22C91" w14:paraId="2B7DC5E6" w14:textId="0FAD4C6E">
      <w:pPr>
        <w:pStyle w:val="Heading51"/>
        <w:rPr>
          <w:rFonts w:ascii="Arial" w:hAnsi="Arial" w:cs="Arial"/>
          <w:sz w:val="20"/>
          <w:lang w:val="nl-NL"/>
        </w:rPr>
      </w:pPr>
      <w:r w:rsidRPr="00DC6540">
        <w:rPr>
          <w:rFonts w:ascii="Arial" w:hAnsi="Arial" w:cs="Arial"/>
          <w:sz w:val="20"/>
          <w:lang w:val="nl-NL"/>
        </w:rPr>
        <w:t>I. ALGEMEEN</w:t>
      </w:r>
    </w:p>
    <w:p w:rsidRPr="00A805F5" w:rsidR="000D0CA1" w:rsidP="000D0CA1" w:rsidRDefault="000D0CA1" w14:paraId="12838AFB" w14:textId="77777777">
      <w:pPr>
        <w:numPr>
          <w:ilvl w:val="1"/>
          <w:numId w:val="0"/>
        </w:numPr>
        <w:outlineLvl w:val="4"/>
        <w:rPr>
          <w:rFonts w:cs="Arial"/>
          <w:i/>
          <w:iCs/>
          <w:szCs w:val="20"/>
          <w:lang w:val="nl-NL"/>
        </w:rPr>
      </w:pPr>
    </w:p>
    <w:p w:rsidRPr="00A805F5" w:rsidR="0087061D" w:rsidP="008B0707" w:rsidRDefault="00EF185C" w14:paraId="64C31873" w14:textId="1A824451">
      <w:pPr>
        <w:pStyle w:val="Heading2"/>
        <w:rPr>
          <w:rFonts w:cs="Arial"/>
          <w:b w:val="0"/>
          <w:bCs w:val="0"/>
          <w:i/>
          <w:smallCaps w:val="0"/>
          <w:szCs w:val="20"/>
          <w:lang w:val="nl-NL"/>
        </w:rPr>
      </w:pPr>
      <w:r w:rsidRPr="00A805F5">
        <w:rPr>
          <w:rFonts w:cs="Arial"/>
          <w:b w:val="0"/>
          <w:bCs w:val="0"/>
          <w:i/>
          <w:smallCaps w:val="0"/>
          <w:szCs w:val="20"/>
          <w:lang w:val="nl-NL"/>
        </w:rPr>
        <w:t xml:space="preserve">I.1 </w:t>
      </w:r>
      <w:r w:rsidRPr="00A805F5" w:rsidR="00B411D1">
        <w:rPr>
          <w:rFonts w:cs="Arial"/>
          <w:b w:val="0"/>
          <w:bCs w:val="0"/>
          <w:i/>
          <w:smallCaps w:val="0"/>
          <w:szCs w:val="20"/>
          <w:lang w:val="nl-NL"/>
        </w:rPr>
        <w:t xml:space="preserve">Inleiding </w:t>
      </w:r>
    </w:p>
    <w:p w:rsidRPr="00CF1D7D" w:rsidR="00166F0F" w:rsidP="00F51C30" w:rsidRDefault="00166F0F" w14:paraId="2B8DDD81" w14:textId="471E98BA">
      <w:pPr>
        <w:rPr>
          <w:rFonts w:cs="Arial"/>
          <w:szCs w:val="20"/>
          <w:lang w:val="nl-NL"/>
        </w:rPr>
      </w:pPr>
      <w:r w:rsidRPr="00CF1D7D">
        <w:rPr>
          <w:rFonts w:cs="Arial"/>
          <w:szCs w:val="20"/>
          <w:lang w:val="nl-NL"/>
        </w:rPr>
        <w:t xml:space="preserve">Op </w:t>
      </w:r>
      <w:r w:rsidRPr="00CF1D7D" w:rsidR="00D61ADB">
        <w:rPr>
          <w:rFonts w:cs="Arial"/>
          <w:szCs w:val="20"/>
          <w:lang w:val="nl-NL"/>
        </w:rPr>
        <w:t xml:space="preserve">25 januari 2021 </w:t>
      </w:r>
      <w:r w:rsidRPr="00CF1D7D">
        <w:rPr>
          <w:rFonts w:cs="Arial"/>
          <w:szCs w:val="20"/>
          <w:lang w:val="nl-NL"/>
        </w:rPr>
        <w:t xml:space="preserve">is te </w:t>
      </w:r>
      <w:r w:rsidRPr="00CF1D7D" w:rsidR="00D61ADB">
        <w:rPr>
          <w:rFonts w:cs="Arial"/>
          <w:szCs w:val="20"/>
          <w:lang w:val="nl-NL"/>
        </w:rPr>
        <w:t xml:space="preserve">Santiago </w:t>
      </w:r>
      <w:r w:rsidRPr="00CF1D7D" w:rsidR="00D62669">
        <w:rPr>
          <w:rFonts w:cs="Arial"/>
          <w:szCs w:val="20"/>
          <w:lang w:val="nl-NL"/>
        </w:rPr>
        <w:t xml:space="preserve">ondertekend </w:t>
      </w:r>
      <w:r w:rsidRPr="00CF1D7D">
        <w:rPr>
          <w:rFonts w:cs="Arial"/>
          <w:szCs w:val="20"/>
          <w:lang w:val="nl-NL"/>
        </w:rPr>
        <w:t>het Verdrag tussen het Koninkrijk der Nederlanden en</w:t>
      </w:r>
      <w:r w:rsidRPr="00CF1D7D" w:rsidR="005C05A1">
        <w:rPr>
          <w:rFonts w:cs="Arial"/>
          <w:szCs w:val="20"/>
          <w:lang w:val="nl-NL"/>
        </w:rPr>
        <w:t xml:space="preserve"> de Republiek Chili</w:t>
      </w:r>
      <w:r w:rsidRPr="00CF1D7D">
        <w:rPr>
          <w:rFonts w:cs="Arial"/>
          <w:szCs w:val="20"/>
          <w:lang w:val="nl-NL"/>
        </w:rPr>
        <w:t xml:space="preserve"> tot het vermijden van dubbele belasting met betrekking tot belastingen naar het inkomen en het vermogen e</w:t>
      </w:r>
      <w:r w:rsidRPr="00CF1D7D" w:rsidR="00A6555D">
        <w:rPr>
          <w:rFonts w:cs="Arial"/>
          <w:szCs w:val="20"/>
          <w:lang w:val="nl-NL"/>
        </w:rPr>
        <w:t xml:space="preserve">n het voorkomen van het ontduiken </w:t>
      </w:r>
      <w:r w:rsidRPr="00CF1D7D">
        <w:rPr>
          <w:rFonts w:cs="Arial"/>
          <w:szCs w:val="20"/>
          <w:lang w:val="nl-NL"/>
        </w:rPr>
        <w:t xml:space="preserve">en ontwijken van belasting, met Protocol, (hierna: </w:t>
      </w:r>
      <w:r w:rsidRPr="00CF1D7D" w:rsidR="007C5FE1">
        <w:rPr>
          <w:rFonts w:cs="Arial"/>
          <w:szCs w:val="20"/>
          <w:lang w:val="nl-NL"/>
        </w:rPr>
        <w:t>‘</w:t>
      </w:r>
      <w:r w:rsidRPr="00CF1D7D">
        <w:rPr>
          <w:rFonts w:cs="Arial"/>
          <w:szCs w:val="20"/>
          <w:lang w:val="nl-NL"/>
        </w:rPr>
        <w:t>het</w:t>
      </w:r>
      <w:r w:rsidRPr="00CF1D7D" w:rsidR="00AF7689">
        <w:rPr>
          <w:rFonts w:cs="Arial"/>
          <w:szCs w:val="20"/>
          <w:lang w:val="nl-NL"/>
        </w:rPr>
        <w:t xml:space="preserve"> </w:t>
      </w:r>
      <w:r w:rsidRPr="00CF1D7D" w:rsidR="007C5FE1">
        <w:rPr>
          <w:rFonts w:cs="Arial"/>
          <w:szCs w:val="20"/>
          <w:lang w:val="nl-NL"/>
        </w:rPr>
        <w:t>Verdrag’</w:t>
      </w:r>
      <w:r w:rsidRPr="00CF1D7D">
        <w:rPr>
          <w:rFonts w:cs="Arial"/>
          <w:szCs w:val="20"/>
          <w:lang w:val="nl-NL"/>
        </w:rPr>
        <w:t xml:space="preserve"> en </w:t>
      </w:r>
      <w:r w:rsidRPr="00CF1D7D" w:rsidR="007C5FE1">
        <w:rPr>
          <w:rFonts w:cs="Arial"/>
          <w:szCs w:val="20"/>
          <w:lang w:val="nl-NL"/>
        </w:rPr>
        <w:t>‘het Protocol’</w:t>
      </w:r>
      <w:r w:rsidRPr="00CF1D7D">
        <w:rPr>
          <w:rFonts w:cs="Arial"/>
          <w:szCs w:val="20"/>
          <w:lang w:val="nl-NL"/>
        </w:rPr>
        <w:t xml:space="preserve">). </w:t>
      </w:r>
      <w:r w:rsidRPr="00CF1D7D" w:rsidR="00F342E2">
        <w:rPr>
          <w:rFonts w:cs="Arial"/>
          <w:szCs w:val="20"/>
          <w:lang w:val="nl-NL"/>
        </w:rPr>
        <w:t>Het Verdrag bevat regels die aanwijzen welke van de verdragsluitende staten bevoegd is om in overeenstemming met zijn nationale wetgeving belasting te heffen over het inkomen of het vermogen van inwoners van één of van beide staten. Daarnaast is in het Verdrag een juridische basis opgenomen voor onderling overleg</w:t>
      </w:r>
      <w:r w:rsidRPr="00CF1D7D" w:rsidR="00847D2B">
        <w:rPr>
          <w:rFonts w:cs="Arial"/>
          <w:szCs w:val="20"/>
          <w:lang w:val="nl-NL"/>
        </w:rPr>
        <w:t xml:space="preserve">, </w:t>
      </w:r>
      <w:r w:rsidRPr="00CF1D7D" w:rsidR="00E30B9E">
        <w:rPr>
          <w:rFonts w:cs="Arial"/>
          <w:szCs w:val="20"/>
          <w:lang w:val="nl-NL"/>
        </w:rPr>
        <w:t>arbitrage</w:t>
      </w:r>
      <w:r w:rsidRPr="00CF1D7D" w:rsidR="00847D2B">
        <w:rPr>
          <w:rFonts w:cs="Arial"/>
          <w:szCs w:val="20"/>
          <w:lang w:val="nl-NL"/>
        </w:rPr>
        <w:t xml:space="preserve">, </w:t>
      </w:r>
      <w:r w:rsidRPr="00CF1D7D" w:rsidR="00F342E2">
        <w:rPr>
          <w:rFonts w:cs="Arial"/>
          <w:szCs w:val="20"/>
          <w:lang w:val="nl-NL"/>
        </w:rPr>
        <w:t>uitwisseling van gegevens en bijstand bij de invordering van belastingschulden</w:t>
      </w:r>
      <w:r w:rsidRPr="00CF1D7D" w:rsidR="00847D2B">
        <w:rPr>
          <w:rFonts w:cs="Arial"/>
          <w:szCs w:val="20"/>
          <w:lang w:val="nl-NL"/>
        </w:rPr>
        <w:t xml:space="preserve">, onder meer met het oog </w:t>
      </w:r>
      <w:r w:rsidRPr="00CF1D7D" w:rsidR="00A9619A">
        <w:rPr>
          <w:rFonts w:cs="Arial"/>
          <w:szCs w:val="20"/>
          <w:lang w:val="nl-NL"/>
        </w:rPr>
        <w:t>op het voorkomen van het ontduiken</w:t>
      </w:r>
      <w:r w:rsidRPr="00CF1D7D" w:rsidR="00847D2B">
        <w:rPr>
          <w:rFonts w:cs="Arial"/>
          <w:szCs w:val="20"/>
          <w:lang w:val="nl-NL"/>
        </w:rPr>
        <w:t xml:space="preserve"> en ontwijken van belasting</w:t>
      </w:r>
      <w:r w:rsidRPr="00CF1D7D" w:rsidR="00F342E2">
        <w:rPr>
          <w:rFonts w:cs="Arial"/>
          <w:szCs w:val="20"/>
          <w:lang w:val="nl-NL"/>
        </w:rPr>
        <w:t>.</w:t>
      </w:r>
      <w:r w:rsidRPr="00CF1D7D" w:rsidR="006B5999">
        <w:rPr>
          <w:rFonts w:cs="Arial"/>
          <w:szCs w:val="20"/>
          <w:lang w:val="nl-NL"/>
        </w:rPr>
        <w:t xml:space="preserve"> </w:t>
      </w:r>
    </w:p>
    <w:p w:rsidRPr="00CF1D7D" w:rsidR="00C4035D" w:rsidP="00C4035D" w:rsidRDefault="00F342E2" w14:paraId="45DA6E88" w14:textId="6E28E383">
      <w:pPr>
        <w:rPr>
          <w:rFonts w:cs="Arial"/>
          <w:szCs w:val="20"/>
          <w:lang w:val="nl-NL"/>
        </w:rPr>
      </w:pPr>
      <w:r w:rsidRPr="00CF1D7D">
        <w:rPr>
          <w:rFonts w:cs="Arial"/>
          <w:szCs w:val="20"/>
          <w:lang w:val="nl-NL"/>
        </w:rPr>
        <w:t xml:space="preserve">De onderhandelingen voor dit Verdrag zijn </w:t>
      </w:r>
      <w:r w:rsidRPr="00CF1D7D" w:rsidR="00F41BF3">
        <w:rPr>
          <w:rFonts w:cs="Arial"/>
          <w:szCs w:val="20"/>
          <w:lang w:val="nl-NL"/>
        </w:rPr>
        <w:t xml:space="preserve">voor het overgrote deel </w:t>
      </w:r>
      <w:r w:rsidRPr="00CF1D7D">
        <w:rPr>
          <w:rFonts w:cs="Arial"/>
          <w:szCs w:val="20"/>
          <w:lang w:val="nl-NL"/>
        </w:rPr>
        <w:t>gevoerd voordat de Notitie Fiscaal Verdragsbeleid 2020</w:t>
      </w:r>
      <w:r w:rsidRPr="00CF1D7D">
        <w:rPr>
          <w:rStyle w:val="FootnoteReference"/>
          <w:rFonts w:cs="Arial"/>
          <w:szCs w:val="20"/>
          <w:lang w:val="nl-NL"/>
        </w:rPr>
        <w:footnoteReference w:id="1"/>
      </w:r>
      <w:r w:rsidRPr="00CF1D7D" w:rsidR="00523F4E">
        <w:rPr>
          <w:rFonts w:cs="Arial"/>
          <w:szCs w:val="20"/>
          <w:lang w:val="nl-NL"/>
        </w:rPr>
        <w:t xml:space="preserve"> (hierna ‘NFV 2020’</w:t>
      </w:r>
      <w:r w:rsidRPr="00CF1D7D">
        <w:rPr>
          <w:rFonts w:cs="Arial"/>
          <w:szCs w:val="20"/>
          <w:lang w:val="nl-NL"/>
        </w:rPr>
        <w:t>) werd afgerond. Daarom is met name onderhandeld binnen de kaders van de Notitie Fiscaal Verdragsbeleid 2011</w:t>
      </w:r>
      <w:r w:rsidRPr="00CF1D7D">
        <w:rPr>
          <w:rStyle w:val="FootnoteReference"/>
          <w:rFonts w:cs="Arial"/>
          <w:szCs w:val="20"/>
          <w:lang w:val="nl-NL"/>
        </w:rPr>
        <w:footnoteReference w:id="2"/>
      </w:r>
      <w:r w:rsidRPr="00CF1D7D" w:rsidR="00523F4E">
        <w:rPr>
          <w:rFonts w:cs="Arial"/>
          <w:szCs w:val="20"/>
          <w:lang w:val="nl-NL"/>
        </w:rPr>
        <w:t xml:space="preserve"> (hierna: ‘NFV 2011’</w:t>
      </w:r>
      <w:r w:rsidRPr="00CF1D7D">
        <w:rPr>
          <w:rFonts w:cs="Arial"/>
          <w:szCs w:val="20"/>
          <w:lang w:val="nl-NL"/>
        </w:rPr>
        <w:t>). De uitkomst van de onderhandelingen past binnen de uitgangspunten van beide notities. Het Toetsschema Standaardcriteria Fiscaal Verdragsbeleid 2020</w:t>
      </w:r>
      <w:r w:rsidRPr="00CF1D7D" w:rsidR="00BA3964">
        <w:rPr>
          <w:rStyle w:val="FootnoteReference"/>
          <w:rFonts w:cs="Arial"/>
          <w:szCs w:val="20"/>
          <w:lang w:val="nl-NL"/>
        </w:rPr>
        <w:footnoteReference w:id="3"/>
      </w:r>
      <w:r w:rsidRPr="00CF1D7D">
        <w:rPr>
          <w:rFonts w:cs="Arial"/>
          <w:szCs w:val="20"/>
          <w:lang w:val="nl-NL"/>
        </w:rPr>
        <w:t xml:space="preserve"> is in deze toelichtende nota opgenomen. </w:t>
      </w:r>
    </w:p>
    <w:p w:rsidRPr="00CF1D7D" w:rsidR="00C4035D" w:rsidP="00C4035D" w:rsidRDefault="00C4035D" w14:paraId="31AD1C8A" w14:textId="57979534">
      <w:pPr>
        <w:rPr>
          <w:rFonts w:cs="Arial"/>
          <w:szCs w:val="20"/>
          <w:lang w:val="nl-NL"/>
        </w:rPr>
      </w:pPr>
      <w:r w:rsidRPr="00CF1D7D">
        <w:rPr>
          <w:rFonts w:cs="Arial"/>
          <w:szCs w:val="20"/>
          <w:lang w:val="nl-NL"/>
        </w:rPr>
        <w:t>Naar het oordeel van de regering bevatten alle artikelen van het Verdrag en het Protocol, afgezien van de artikelen 27, 31 en 32 van het Verdrag, en artikel I, tweede lid, van het Protocol, eenieder verbindende bepalingen in de zin van de artikelen 93 en 94 van de Grondwet, die aan de burger rechtstreeks rechten toekennen of plichten opleggen.</w:t>
      </w:r>
    </w:p>
    <w:p w:rsidRPr="00A805F5" w:rsidR="004B37ED" w:rsidP="00806900" w:rsidRDefault="003E6313" w14:paraId="15021AC0" w14:textId="72531032">
      <w:pPr>
        <w:pStyle w:val="Heading2"/>
        <w:rPr>
          <w:rFonts w:cs="Arial"/>
          <w:b w:val="0"/>
          <w:bCs w:val="0"/>
          <w:i/>
          <w:smallCaps w:val="0"/>
          <w:szCs w:val="20"/>
          <w:lang w:val="nl-NL"/>
        </w:rPr>
      </w:pPr>
      <w:r w:rsidRPr="00A805F5">
        <w:rPr>
          <w:rFonts w:cs="Arial"/>
          <w:b w:val="0"/>
          <w:bCs w:val="0"/>
          <w:i/>
          <w:smallCaps w:val="0"/>
          <w:szCs w:val="20"/>
          <w:lang w:val="nl-NL"/>
        </w:rPr>
        <w:t xml:space="preserve">I.2 </w:t>
      </w:r>
      <w:r w:rsidRPr="00A805F5" w:rsidR="002D160C">
        <w:rPr>
          <w:rFonts w:cs="Arial"/>
          <w:b w:val="0"/>
          <w:bCs w:val="0"/>
          <w:i/>
          <w:smallCaps w:val="0"/>
          <w:szCs w:val="20"/>
          <w:lang w:val="nl-NL"/>
        </w:rPr>
        <w:t>Aanleiding voor en verloop van de onderhandelingen</w:t>
      </w:r>
    </w:p>
    <w:p w:rsidRPr="00CF1D7D" w:rsidR="002D3FB7" w:rsidP="00E21EB6" w:rsidRDefault="00FA64BE" w14:paraId="3CC338C7" w14:textId="677F1FAA">
      <w:pPr>
        <w:rPr>
          <w:rFonts w:cs="Arial"/>
          <w:szCs w:val="20"/>
          <w:lang w:val="nl-NL"/>
        </w:rPr>
      </w:pPr>
      <w:r w:rsidRPr="00CF1D7D">
        <w:rPr>
          <w:rFonts w:cs="Arial"/>
          <w:szCs w:val="20"/>
          <w:lang w:val="nl-NL"/>
        </w:rPr>
        <w:t>Nederland en Chili hebben onderhandeld over dit Verdrag</w:t>
      </w:r>
      <w:r w:rsidRPr="00CF1D7D" w:rsidR="00F41BF3">
        <w:rPr>
          <w:rFonts w:cs="Arial"/>
          <w:szCs w:val="20"/>
          <w:lang w:val="nl-NL"/>
        </w:rPr>
        <w:t xml:space="preserve"> </w:t>
      </w:r>
      <w:r w:rsidRPr="00CF1D7D" w:rsidR="00C65968">
        <w:rPr>
          <w:rFonts w:cs="Arial"/>
          <w:szCs w:val="20"/>
          <w:lang w:val="nl-NL"/>
        </w:rPr>
        <w:t xml:space="preserve">om </w:t>
      </w:r>
      <w:r w:rsidRPr="00CF1D7D">
        <w:rPr>
          <w:rFonts w:cs="Arial"/>
          <w:szCs w:val="20"/>
          <w:lang w:val="nl-NL"/>
        </w:rPr>
        <w:t xml:space="preserve">daarmee </w:t>
      </w:r>
      <w:r w:rsidRPr="00CF1D7D" w:rsidR="00C65968">
        <w:rPr>
          <w:rFonts w:cs="Arial"/>
          <w:szCs w:val="20"/>
          <w:lang w:val="nl-NL"/>
        </w:rPr>
        <w:t xml:space="preserve">de onderlinge economische betrekkingen </w:t>
      </w:r>
      <w:r w:rsidRPr="00CF1D7D" w:rsidR="00F41BF3">
        <w:rPr>
          <w:rFonts w:cs="Arial"/>
          <w:szCs w:val="20"/>
          <w:lang w:val="nl-NL"/>
        </w:rPr>
        <w:t xml:space="preserve">tussen beide landen </w:t>
      </w:r>
      <w:r w:rsidRPr="00CF1D7D" w:rsidR="00C65968">
        <w:rPr>
          <w:rFonts w:cs="Arial"/>
          <w:szCs w:val="20"/>
          <w:lang w:val="nl-NL"/>
        </w:rPr>
        <w:t xml:space="preserve">verder te ontwikkelen en de samenwerking op het gebied van belastingzaken te verbeteren. </w:t>
      </w:r>
      <w:r w:rsidRPr="00CF1D7D" w:rsidR="00F41BF3">
        <w:rPr>
          <w:rFonts w:cs="Arial"/>
          <w:szCs w:val="20"/>
          <w:lang w:val="nl-NL"/>
        </w:rPr>
        <w:t>Een eerste verkennende bespreking vond plaats</w:t>
      </w:r>
      <w:r w:rsidRPr="00CF1D7D" w:rsidR="00833740">
        <w:rPr>
          <w:rFonts w:cs="Arial"/>
          <w:szCs w:val="20"/>
          <w:lang w:val="nl-NL"/>
        </w:rPr>
        <w:t xml:space="preserve"> </w:t>
      </w:r>
      <w:r w:rsidRPr="00CF1D7D" w:rsidR="00825C55">
        <w:rPr>
          <w:rFonts w:cs="Arial"/>
          <w:szCs w:val="20"/>
          <w:lang w:val="nl-NL"/>
        </w:rPr>
        <w:t>in het begin van de jaren ’90</w:t>
      </w:r>
      <w:r w:rsidRPr="00CF1D7D" w:rsidR="00F41BF3">
        <w:rPr>
          <w:rFonts w:cs="Arial"/>
          <w:szCs w:val="20"/>
          <w:lang w:val="nl-NL"/>
        </w:rPr>
        <w:t xml:space="preserve">. </w:t>
      </w:r>
      <w:r w:rsidRPr="00CF1D7D">
        <w:rPr>
          <w:rFonts w:cs="Arial"/>
          <w:szCs w:val="20"/>
          <w:lang w:val="nl-NL"/>
        </w:rPr>
        <w:t>De</w:t>
      </w:r>
      <w:r w:rsidRPr="00CF1D7D" w:rsidR="00F41BF3">
        <w:rPr>
          <w:rFonts w:cs="Arial"/>
          <w:szCs w:val="20"/>
          <w:lang w:val="nl-NL"/>
        </w:rPr>
        <w:t xml:space="preserve"> onderhandelingen </w:t>
      </w:r>
      <w:r w:rsidRPr="00CF1D7D">
        <w:rPr>
          <w:rFonts w:cs="Arial"/>
          <w:szCs w:val="20"/>
          <w:lang w:val="nl-NL"/>
        </w:rPr>
        <w:t xml:space="preserve">hebben daarna </w:t>
      </w:r>
      <w:r w:rsidRPr="00CF1D7D" w:rsidR="00515C2A">
        <w:rPr>
          <w:rFonts w:cs="Arial"/>
          <w:szCs w:val="20"/>
          <w:lang w:val="nl-NL"/>
        </w:rPr>
        <w:t>verschillende</w:t>
      </w:r>
      <w:r w:rsidRPr="00CF1D7D" w:rsidR="00825C55">
        <w:rPr>
          <w:rFonts w:cs="Arial"/>
          <w:szCs w:val="20"/>
          <w:lang w:val="nl-NL"/>
        </w:rPr>
        <w:t xml:space="preserve"> </w:t>
      </w:r>
      <w:r w:rsidRPr="00CF1D7D">
        <w:rPr>
          <w:rFonts w:cs="Arial"/>
          <w:szCs w:val="20"/>
          <w:lang w:val="nl-NL"/>
        </w:rPr>
        <w:t>keren</w:t>
      </w:r>
      <w:r w:rsidRPr="00CF1D7D" w:rsidR="00825C55">
        <w:rPr>
          <w:rFonts w:cs="Arial"/>
          <w:szCs w:val="20"/>
          <w:lang w:val="nl-NL"/>
        </w:rPr>
        <w:t xml:space="preserve"> stilgelegen. Hierbij speelde onder meer dat</w:t>
      </w:r>
      <w:r w:rsidRPr="00CF1D7D">
        <w:rPr>
          <w:rFonts w:cs="Arial"/>
          <w:szCs w:val="20"/>
          <w:lang w:val="nl-NL"/>
        </w:rPr>
        <w:t xml:space="preserve"> de Chileense regering</w:t>
      </w:r>
      <w:r w:rsidRPr="00CF1D7D" w:rsidR="000D2BC0">
        <w:rPr>
          <w:rFonts w:cs="Arial"/>
          <w:szCs w:val="20"/>
          <w:lang w:val="nl-NL"/>
        </w:rPr>
        <w:t xml:space="preserve"> </w:t>
      </w:r>
      <w:r w:rsidRPr="00CF1D7D">
        <w:rPr>
          <w:rFonts w:cs="Arial"/>
          <w:szCs w:val="20"/>
          <w:lang w:val="nl-NL"/>
        </w:rPr>
        <w:t xml:space="preserve">eerst aanpassingen wilde doorvoeren in de nationale </w:t>
      </w:r>
      <w:r w:rsidRPr="00CF1D7D">
        <w:rPr>
          <w:rFonts w:cs="Arial"/>
          <w:szCs w:val="20"/>
          <w:lang w:val="nl-NL"/>
        </w:rPr>
        <w:lastRenderedPageBreak/>
        <w:t xml:space="preserve">fiscale </w:t>
      </w:r>
      <w:r w:rsidRPr="00CF1D7D" w:rsidR="000D2BC0">
        <w:rPr>
          <w:rFonts w:cs="Arial"/>
          <w:szCs w:val="20"/>
          <w:lang w:val="nl-NL"/>
        </w:rPr>
        <w:t xml:space="preserve">wetgeving </w:t>
      </w:r>
      <w:r w:rsidRPr="00CF1D7D">
        <w:rPr>
          <w:rFonts w:cs="Arial"/>
          <w:szCs w:val="20"/>
          <w:lang w:val="nl-NL"/>
        </w:rPr>
        <w:t>van Chili</w:t>
      </w:r>
      <w:r w:rsidRPr="00CF1D7D" w:rsidR="001B0212">
        <w:rPr>
          <w:rFonts w:cs="Arial"/>
          <w:szCs w:val="20"/>
          <w:lang w:val="nl-NL"/>
        </w:rPr>
        <w:t xml:space="preserve"> en </w:t>
      </w:r>
      <w:r w:rsidRPr="00CF1D7D" w:rsidR="00E927A6">
        <w:rPr>
          <w:rFonts w:cs="Arial"/>
          <w:szCs w:val="20"/>
          <w:lang w:val="nl-NL"/>
        </w:rPr>
        <w:t xml:space="preserve">meerdere landen </w:t>
      </w:r>
      <w:r w:rsidRPr="00CF1D7D" w:rsidR="001B0212">
        <w:rPr>
          <w:rFonts w:cs="Arial"/>
          <w:szCs w:val="20"/>
          <w:lang w:val="nl-NL"/>
        </w:rPr>
        <w:t xml:space="preserve">belangstelling hadden </w:t>
      </w:r>
      <w:r w:rsidRPr="00CF1D7D" w:rsidR="00E927A6">
        <w:rPr>
          <w:rFonts w:cs="Arial"/>
          <w:szCs w:val="20"/>
          <w:lang w:val="nl-NL"/>
        </w:rPr>
        <w:t>een belastingverdrag</w:t>
      </w:r>
      <w:r w:rsidRPr="00CF1D7D" w:rsidR="001B0212">
        <w:rPr>
          <w:rFonts w:cs="Arial"/>
          <w:szCs w:val="20"/>
          <w:lang w:val="nl-NL"/>
        </w:rPr>
        <w:t xml:space="preserve"> </w:t>
      </w:r>
      <w:r w:rsidRPr="00CF1D7D" w:rsidR="00081709">
        <w:rPr>
          <w:rFonts w:cs="Arial"/>
          <w:szCs w:val="20"/>
          <w:lang w:val="nl-NL"/>
        </w:rPr>
        <w:t xml:space="preserve">met Chili </w:t>
      </w:r>
      <w:r w:rsidRPr="00CF1D7D" w:rsidR="001B0212">
        <w:rPr>
          <w:rFonts w:cs="Arial"/>
          <w:szCs w:val="20"/>
          <w:lang w:val="nl-NL"/>
        </w:rPr>
        <w:t>te sluiten</w:t>
      </w:r>
      <w:r w:rsidRPr="00CF1D7D" w:rsidR="00515C2A">
        <w:rPr>
          <w:rFonts w:cs="Arial"/>
          <w:szCs w:val="20"/>
          <w:lang w:val="nl-NL"/>
        </w:rPr>
        <w:t xml:space="preserve">. </w:t>
      </w:r>
    </w:p>
    <w:p w:rsidRPr="00CF1D7D" w:rsidR="001D138B" w:rsidP="001D138B" w:rsidRDefault="002D3FB7" w14:paraId="3AC9242D" w14:textId="12DB67D7">
      <w:pPr>
        <w:rPr>
          <w:rFonts w:cs="Arial"/>
          <w:b/>
          <w:szCs w:val="20"/>
          <w:lang w:val="nl-NL"/>
        </w:rPr>
      </w:pPr>
      <w:r w:rsidRPr="00CF1D7D">
        <w:rPr>
          <w:rFonts w:cs="Arial"/>
          <w:szCs w:val="20"/>
          <w:lang w:val="nl-NL"/>
        </w:rPr>
        <w:t xml:space="preserve">De onderhandelingen zijn geïntensiveerd </w:t>
      </w:r>
      <w:r w:rsidRPr="00CF1D7D" w:rsidR="00515C2A">
        <w:rPr>
          <w:rFonts w:cs="Arial"/>
          <w:szCs w:val="20"/>
          <w:lang w:val="nl-NL"/>
        </w:rPr>
        <w:t xml:space="preserve">vanaf 2012, </w:t>
      </w:r>
      <w:r w:rsidRPr="00CF1D7D">
        <w:rPr>
          <w:rFonts w:cs="Arial"/>
          <w:szCs w:val="20"/>
          <w:lang w:val="nl-NL"/>
        </w:rPr>
        <w:t xml:space="preserve">nadat </w:t>
      </w:r>
      <w:r w:rsidRPr="00CF1D7D" w:rsidR="00BF6223">
        <w:rPr>
          <w:rFonts w:cs="Arial"/>
          <w:szCs w:val="20"/>
          <w:lang w:val="nl-NL"/>
        </w:rPr>
        <w:t>Chili belastingverdragen had gesloten met andere West-Europese OESO-landen en de Verenigde Staten (2010)</w:t>
      </w:r>
      <w:r w:rsidR="00552B62">
        <w:rPr>
          <w:rStyle w:val="FootnoteReference"/>
          <w:rFonts w:cs="Arial"/>
          <w:szCs w:val="20"/>
          <w:lang w:val="nl-NL"/>
        </w:rPr>
        <w:footnoteReference w:id="4"/>
      </w:r>
      <w:r w:rsidRPr="00CF1D7D" w:rsidR="00BF6223">
        <w:rPr>
          <w:rFonts w:cs="Arial"/>
          <w:szCs w:val="20"/>
          <w:lang w:val="nl-NL"/>
        </w:rPr>
        <w:t xml:space="preserve"> en Chili </w:t>
      </w:r>
      <w:r w:rsidRPr="00CF1D7D">
        <w:rPr>
          <w:rFonts w:cs="Arial"/>
          <w:szCs w:val="20"/>
          <w:lang w:val="nl-NL"/>
        </w:rPr>
        <w:t xml:space="preserve">lid </w:t>
      </w:r>
      <w:r w:rsidRPr="00CF1D7D" w:rsidR="00F15CD5">
        <w:rPr>
          <w:rFonts w:cs="Arial"/>
          <w:szCs w:val="20"/>
          <w:lang w:val="nl-NL"/>
        </w:rPr>
        <w:t>was geworden</w:t>
      </w:r>
      <w:r w:rsidRPr="00CF1D7D" w:rsidR="00BF6223">
        <w:rPr>
          <w:rFonts w:cs="Arial"/>
          <w:szCs w:val="20"/>
          <w:lang w:val="nl-NL"/>
        </w:rPr>
        <w:t xml:space="preserve"> van de OESO (2010). </w:t>
      </w:r>
      <w:r w:rsidRPr="00CF1D7D" w:rsidR="00EB35E7">
        <w:rPr>
          <w:rFonts w:cs="Arial"/>
          <w:szCs w:val="20"/>
          <w:lang w:val="nl-NL"/>
        </w:rPr>
        <w:t xml:space="preserve">Voor het verloop van de onderhandelingen was </w:t>
      </w:r>
      <w:r w:rsidRPr="00CF1D7D" w:rsidR="00BB7819">
        <w:rPr>
          <w:rFonts w:cs="Arial"/>
          <w:szCs w:val="20"/>
          <w:lang w:val="nl-NL"/>
        </w:rPr>
        <w:t xml:space="preserve">het </w:t>
      </w:r>
      <w:r w:rsidRPr="00CF1D7D" w:rsidR="00EB35E7">
        <w:rPr>
          <w:rFonts w:cs="Arial"/>
          <w:szCs w:val="20"/>
          <w:lang w:val="nl-NL"/>
        </w:rPr>
        <w:t xml:space="preserve">relevant dat in 2013 het BEPS-project </w:t>
      </w:r>
      <w:r w:rsidRPr="00A805F5" w:rsidR="0081783F">
        <w:rPr>
          <w:rFonts w:cs="Arial"/>
          <w:szCs w:val="20"/>
          <w:lang w:val="nl-NL"/>
        </w:rPr>
        <w:t>tegen grondslaguitholling en winstverschuiving (</w:t>
      </w:r>
      <w:r w:rsidRPr="00A805F5" w:rsidR="0081783F">
        <w:rPr>
          <w:rFonts w:cs="Arial"/>
          <w:i/>
          <w:szCs w:val="20"/>
          <w:lang w:val="nl-NL"/>
        </w:rPr>
        <w:t xml:space="preserve">base </w:t>
      </w:r>
      <w:proofErr w:type="spellStart"/>
      <w:r w:rsidRPr="00A805F5" w:rsidR="0081783F">
        <w:rPr>
          <w:rFonts w:cs="Arial"/>
          <w:i/>
          <w:szCs w:val="20"/>
          <w:lang w:val="nl-NL"/>
        </w:rPr>
        <w:t>erosion</w:t>
      </w:r>
      <w:proofErr w:type="spellEnd"/>
      <w:r w:rsidRPr="00A805F5" w:rsidR="0081783F">
        <w:rPr>
          <w:rFonts w:cs="Arial"/>
          <w:i/>
          <w:szCs w:val="20"/>
          <w:lang w:val="nl-NL"/>
        </w:rPr>
        <w:t xml:space="preserve"> </w:t>
      </w:r>
      <w:proofErr w:type="spellStart"/>
      <w:r w:rsidRPr="00A805F5" w:rsidR="0081783F">
        <w:rPr>
          <w:rFonts w:cs="Arial"/>
          <w:i/>
          <w:szCs w:val="20"/>
          <w:lang w:val="nl-NL"/>
        </w:rPr>
        <w:t>and</w:t>
      </w:r>
      <w:proofErr w:type="spellEnd"/>
      <w:r w:rsidRPr="00A805F5" w:rsidR="0081783F">
        <w:rPr>
          <w:rFonts w:cs="Arial"/>
          <w:i/>
          <w:szCs w:val="20"/>
          <w:lang w:val="nl-NL"/>
        </w:rPr>
        <w:t xml:space="preserve"> </w:t>
      </w:r>
      <w:proofErr w:type="spellStart"/>
      <w:r w:rsidRPr="00A805F5" w:rsidR="0081783F">
        <w:rPr>
          <w:rFonts w:cs="Arial"/>
          <w:i/>
          <w:szCs w:val="20"/>
          <w:lang w:val="nl-NL"/>
        </w:rPr>
        <w:t>profit</w:t>
      </w:r>
      <w:proofErr w:type="spellEnd"/>
      <w:r w:rsidRPr="00A805F5" w:rsidR="0081783F">
        <w:rPr>
          <w:rFonts w:cs="Arial"/>
          <w:i/>
          <w:szCs w:val="20"/>
          <w:lang w:val="nl-NL"/>
        </w:rPr>
        <w:t xml:space="preserve"> </w:t>
      </w:r>
      <w:proofErr w:type="spellStart"/>
      <w:r w:rsidRPr="00A805F5" w:rsidR="0081783F">
        <w:rPr>
          <w:rFonts w:cs="Arial"/>
          <w:i/>
          <w:szCs w:val="20"/>
          <w:lang w:val="nl-NL"/>
        </w:rPr>
        <w:t>shifting</w:t>
      </w:r>
      <w:proofErr w:type="spellEnd"/>
      <w:r w:rsidRPr="00A805F5" w:rsidR="0081783F">
        <w:rPr>
          <w:rFonts w:cs="Arial"/>
          <w:i/>
          <w:szCs w:val="20"/>
          <w:lang w:val="nl-NL"/>
        </w:rPr>
        <w:t xml:space="preserve">) </w:t>
      </w:r>
      <w:r w:rsidRPr="00CF1D7D" w:rsidR="00EB35E7">
        <w:rPr>
          <w:rFonts w:cs="Arial"/>
          <w:szCs w:val="20"/>
          <w:lang w:val="nl-NL"/>
        </w:rPr>
        <w:t xml:space="preserve">was geïnitieerd om belastingontwijking aan te pakken, hetgeen resulteerde in een aanpassing van het OESO-modelverdrag in 2017. </w:t>
      </w:r>
      <w:r w:rsidRPr="00CF1D7D" w:rsidR="00BB7819">
        <w:rPr>
          <w:rFonts w:cs="Arial"/>
          <w:szCs w:val="20"/>
          <w:lang w:val="nl-NL"/>
        </w:rPr>
        <w:t>Naar aanlei</w:t>
      </w:r>
      <w:r w:rsidRPr="00CF1D7D" w:rsidR="00081709">
        <w:rPr>
          <w:rFonts w:cs="Arial"/>
          <w:szCs w:val="20"/>
          <w:lang w:val="nl-NL"/>
        </w:rPr>
        <w:t>ding hiervan zijn d</w:t>
      </w:r>
      <w:r w:rsidRPr="00CF1D7D" w:rsidR="00EB35E7">
        <w:rPr>
          <w:rFonts w:cs="Arial"/>
          <w:szCs w:val="20"/>
          <w:lang w:val="nl-NL"/>
        </w:rPr>
        <w:t xml:space="preserve">e meeste binnen het BEPS-project ontwikkelde verdragsbepalingen ook in dit Verdrag opgenomen. </w:t>
      </w:r>
      <w:r w:rsidRPr="00CF1D7D" w:rsidR="00081709">
        <w:rPr>
          <w:rFonts w:cs="Arial"/>
          <w:szCs w:val="20"/>
          <w:lang w:val="nl-NL"/>
        </w:rPr>
        <w:t xml:space="preserve">Bij de onderhandelingen </w:t>
      </w:r>
      <w:r w:rsidRPr="00CF1D7D" w:rsidR="00AF7689">
        <w:rPr>
          <w:rFonts w:cs="Arial"/>
          <w:szCs w:val="20"/>
          <w:lang w:val="nl-NL"/>
        </w:rPr>
        <w:t>is op diverse punten inhoudelijk aansluiting gezocht bij het belastingverdrag</w:t>
      </w:r>
      <w:r w:rsidRPr="00CF1D7D" w:rsidR="00081709">
        <w:rPr>
          <w:rFonts w:cs="Arial"/>
          <w:szCs w:val="20"/>
          <w:lang w:val="nl-NL"/>
        </w:rPr>
        <w:t xml:space="preserve"> dat </w:t>
      </w:r>
      <w:r w:rsidRPr="00CF1D7D" w:rsidR="00EB35E7">
        <w:rPr>
          <w:rFonts w:cs="Arial"/>
          <w:szCs w:val="20"/>
          <w:lang w:val="nl-NL"/>
        </w:rPr>
        <w:t xml:space="preserve">Chili in 2016 </w:t>
      </w:r>
      <w:r w:rsidRPr="00CF1D7D" w:rsidR="00A47A86">
        <w:rPr>
          <w:rFonts w:cs="Arial"/>
          <w:szCs w:val="20"/>
          <w:lang w:val="nl-NL"/>
        </w:rPr>
        <w:t xml:space="preserve">met Japan </w:t>
      </w:r>
      <w:r w:rsidR="00CB64A7">
        <w:rPr>
          <w:rFonts w:cs="Arial"/>
          <w:szCs w:val="20"/>
          <w:lang w:val="nl-NL"/>
        </w:rPr>
        <w:t>heeft</w:t>
      </w:r>
      <w:r w:rsidRPr="00CF1D7D" w:rsidR="00CB64A7">
        <w:rPr>
          <w:rFonts w:cs="Arial"/>
          <w:szCs w:val="20"/>
          <w:lang w:val="nl-NL"/>
        </w:rPr>
        <w:t xml:space="preserve"> </w:t>
      </w:r>
      <w:r w:rsidRPr="00CF1D7D" w:rsidR="00A47A86">
        <w:rPr>
          <w:rFonts w:cs="Arial"/>
          <w:szCs w:val="20"/>
          <w:lang w:val="nl-NL"/>
        </w:rPr>
        <w:t>geslote</w:t>
      </w:r>
      <w:r w:rsidR="00530117">
        <w:rPr>
          <w:rFonts w:cs="Arial"/>
          <w:szCs w:val="20"/>
          <w:lang w:val="nl-NL"/>
        </w:rPr>
        <w:t>n en</w:t>
      </w:r>
      <w:r w:rsidRPr="00CF1D7D" w:rsidR="00AF7689">
        <w:rPr>
          <w:rFonts w:cs="Arial"/>
          <w:szCs w:val="20"/>
          <w:lang w:val="nl-NL"/>
        </w:rPr>
        <w:t xml:space="preserve"> </w:t>
      </w:r>
      <w:r w:rsidR="005B016E">
        <w:rPr>
          <w:rFonts w:cs="Arial"/>
          <w:szCs w:val="20"/>
          <w:lang w:val="nl-NL"/>
        </w:rPr>
        <w:t xml:space="preserve">bij </w:t>
      </w:r>
      <w:r w:rsidRPr="00CF1D7D" w:rsidR="00AF7689">
        <w:rPr>
          <w:rFonts w:cs="Arial"/>
          <w:szCs w:val="20"/>
          <w:lang w:val="nl-NL"/>
        </w:rPr>
        <w:t xml:space="preserve">het </w:t>
      </w:r>
      <w:r w:rsidR="00CB64A7">
        <w:rPr>
          <w:rFonts w:cs="Arial"/>
          <w:szCs w:val="20"/>
          <w:lang w:val="nl-NL"/>
        </w:rPr>
        <w:t xml:space="preserve">al genoemde </w:t>
      </w:r>
      <w:r w:rsidRPr="00CF1D7D" w:rsidR="00AF7689">
        <w:rPr>
          <w:rFonts w:cs="Arial"/>
          <w:szCs w:val="20"/>
          <w:lang w:val="nl-NL"/>
        </w:rPr>
        <w:t>belastingverdrag tussen Chili en de Verenigde Staten</w:t>
      </w:r>
      <w:r w:rsidRPr="00CF1D7D" w:rsidR="00081709">
        <w:rPr>
          <w:rFonts w:cs="Arial"/>
          <w:szCs w:val="20"/>
          <w:lang w:val="nl-NL"/>
        </w:rPr>
        <w:t xml:space="preserve">. </w:t>
      </w:r>
      <w:r w:rsidRPr="00CF1D7D" w:rsidR="00AF7689">
        <w:rPr>
          <w:rFonts w:cs="Arial"/>
          <w:szCs w:val="20"/>
          <w:lang w:val="nl-NL"/>
        </w:rPr>
        <w:t>Vooral het belastingverdrag tussen Chili en Japan</w:t>
      </w:r>
      <w:r w:rsidRPr="00CF1D7D" w:rsidR="00081709">
        <w:rPr>
          <w:rFonts w:cs="Arial"/>
          <w:szCs w:val="20"/>
          <w:lang w:val="nl-NL"/>
        </w:rPr>
        <w:t xml:space="preserve"> bood een goede basis om op veel punten overeenstemming te bereiken</w:t>
      </w:r>
      <w:r w:rsidRPr="00CF1D7D" w:rsidR="00E8197E">
        <w:rPr>
          <w:rFonts w:cs="Arial"/>
          <w:szCs w:val="20"/>
          <w:lang w:val="nl-NL"/>
        </w:rPr>
        <w:t>.</w:t>
      </w:r>
      <w:r w:rsidRPr="00CF1D7D" w:rsidR="00A47A86">
        <w:rPr>
          <w:rFonts w:cs="Arial"/>
          <w:szCs w:val="20"/>
          <w:lang w:val="nl-NL"/>
        </w:rPr>
        <w:t xml:space="preserve"> </w:t>
      </w:r>
      <w:r w:rsidRPr="00CF1D7D" w:rsidR="00AF7689">
        <w:rPr>
          <w:rFonts w:cs="Arial"/>
          <w:szCs w:val="20"/>
          <w:lang w:val="nl-NL"/>
        </w:rPr>
        <w:t>Hierbij speelde onder meer dat</w:t>
      </w:r>
      <w:r w:rsidRPr="00CF1D7D" w:rsidR="00A47A86">
        <w:rPr>
          <w:rFonts w:cs="Arial"/>
          <w:szCs w:val="20"/>
          <w:lang w:val="nl-NL"/>
        </w:rPr>
        <w:t xml:space="preserve"> </w:t>
      </w:r>
      <w:r w:rsidRPr="00CF1D7D" w:rsidR="00BF6223">
        <w:rPr>
          <w:rFonts w:cs="Arial"/>
          <w:szCs w:val="20"/>
          <w:lang w:val="nl-NL"/>
        </w:rPr>
        <w:t>het Chileense verd</w:t>
      </w:r>
      <w:r w:rsidRPr="00CF1D7D" w:rsidR="00AF5C66">
        <w:rPr>
          <w:rFonts w:cs="Arial"/>
          <w:szCs w:val="20"/>
          <w:lang w:val="nl-NL"/>
        </w:rPr>
        <w:t>ragennetwerk zich</w:t>
      </w:r>
      <w:r w:rsidRPr="00CF1D7D" w:rsidR="00BF6223">
        <w:rPr>
          <w:rFonts w:cs="Arial"/>
          <w:szCs w:val="20"/>
          <w:lang w:val="nl-NL"/>
        </w:rPr>
        <w:t xml:space="preserve"> kenmerkt door</w:t>
      </w:r>
      <w:r w:rsidRPr="00CF1D7D" w:rsidR="00580854">
        <w:rPr>
          <w:rFonts w:cs="Arial"/>
          <w:szCs w:val="20"/>
          <w:lang w:val="nl-NL"/>
        </w:rPr>
        <w:t xml:space="preserve"> </w:t>
      </w:r>
      <w:r w:rsidRPr="00CF1D7D" w:rsidR="00A47A86">
        <w:rPr>
          <w:rFonts w:cs="Arial"/>
          <w:szCs w:val="20"/>
          <w:lang w:val="nl-NL"/>
        </w:rPr>
        <w:t>meestbegunstigings</w:t>
      </w:r>
      <w:r w:rsidRPr="00CF1D7D" w:rsidR="00E57556">
        <w:rPr>
          <w:rFonts w:cs="Arial"/>
          <w:szCs w:val="20"/>
          <w:lang w:val="nl-NL"/>
        </w:rPr>
        <w:t>bepalingen. Hierdoor was</w:t>
      </w:r>
      <w:r w:rsidRPr="00CF1D7D" w:rsidR="009637E6">
        <w:rPr>
          <w:rFonts w:cs="Arial"/>
          <w:szCs w:val="20"/>
          <w:lang w:val="nl-NL"/>
        </w:rPr>
        <w:t xml:space="preserve"> </w:t>
      </w:r>
      <w:r w:rsidRPr="00CF1D7D" w:rsidR="00BF0A3F">
        <w:rPr>
          <w:rFonts w:cs="Arial"/>
          <w:szCs w:val="20"/>
          <w:lang w:val="nl-NL"/>
        </w:rPr>
        <w:t xml:space="preserve">de </w:t>
      </w:r>
      <w:r w:rsidRPr="00CF1D7D" w:rsidR="00AF7689">
        <w:rPr>
          <w:rFonts w:cs="Arial"/>
          <w:szCs w:val="20"/>
          <w:lang w:val="nl-NL"/>
        </w:rPr>
        <w:t>onderhandelings</w:t>
      </w:r>
      <w:r w:rsidRPr="00CF1D7D" w:rsidR="00BF0A3F">
        <w:rPr>
          <w:rFonts w:cs="Arial"/>
          <w:szCs w:val="20"/>
          <w:lang w:val="nl-NL"/>
        </w:rPr>
        <w:t xml:space="preserve">ruimte </w:t>
      </w:r>
      <w:r w:rsidRPr="00CF1D7D" w:rsidR="00AF7689">
        <w:rPr>
          <w:rFonts w:cs="Arial"/>
          <w:szCs w:val="20"/>
          <w:lang w:val="nl-NL"/>
        </w:rPr>
        <w:t xml:space="preserve">van Chili </w:t>
      </w:r>
      <w:r w:rsidRPr="00CF1D7D" w:rsidR="00BF0A3F">
        <w:rPr>
          <w:rFonts w:cs="Arial"/>
          <w:szCs w:val="20"/>
          <w:lang w:val="nl-NL"/>
        </w:rPr>
        <w:t xml:space="preserve">om </w:t>
      </w:r>
      <w:r w:rsidRPr="00CF1D7D" w:rsidR="00E57556">
        <w:rPr>
          <w:rFonts w:cs="Arial"/>
          <w:szCs w:val="20"/>
          <w:lang w:val="nl-NL"/>
        </w:rPr>
        <w:t xml:space="preserve">– in de artikelen over dividenden, interest, royalty’s en vermogenswinsten – </w:t>
      </w:r>
      <w:r w:rsidRPr="00CF1D7D" w:rsidR="00BF0A3F">
        <w:rPr>
          <w:rFonts w:cs="Arial"/>
          <w:szCs w:val="20"/>
          <w:lang w:val="nl-NL"/>
        </w:rPr>
        <w:t>af te wijken van de recent</w:t>
      </w:r>
      <w:r w:rsidRPr="00CF1D7D" w:rsidR="009637E6">
        <w:rPr>
          <w:rFonts w:cs="Arial"/>
          <w:szCs w:val="20"/>
          <w:lang w:val="nl-NL"/>
        </w:rPr>
        <w:t xml:space="preserve"> door Chili </w:t>
      </w:r>
      <w:r w:rsidRPr="00CF1D7D" w:rsidR="00AF5C66">
        <w:rPr>
          <w:rFonts w:cs="Arial"/>
          <w:szCs w:val="20"/>
          <w:lang w:val="nl-NL"/>
        </w:rPr>
        <w:t>gesloten verdragen beperk</w:t>
      </w:r>
      <w:r w:rsidRPr="00CF1D7D" w:rsidR="00E57556">
        <w:rPr>
          <w:rFonts w:cs="Arial"/>
          <w:szCs w:val="20"/>
          <w:lang w:val="nl-NL"/>
        </w:rPr>
        <w:t>t (deze afspraken zouden namelijk doorwerken naar vele andere belastingverdragen van Chili)</w:t>
      </w:r>
      <w:r w:rsidRPr="00CF1D7D" w:rsidR="00AF5C66">
        <w:rPr>
          <w:rFonts w:cs="Arial"/>
          <w:szCs w:val="20"/>
          <w:lang w:val="nl-NL"/>
        </w:rPr>
        <w:t xml:space="preserve">. </w:t>
      </w:r>
      <w:r w:rsidRPr="00CF1D7D" w:rsidR="003B465A">
        <w:rPr>
          <w:rFonts w:cs="Arial"/>
          <w:szCs w:val="20"/>
          <w:lang w:val="nl-NL"/>
        </w:rPr>
        <w:t xml:space="preserve">De behoefte aan </w:t>
      </w:r>
      <w:r w:rsidRPr="00CF1D7D" w:rsidR="00BB7819">
        <w:rPr>
          <w:rFonts w:cs="Arial"/>
          <w:szCs w:val="20"/>
          <w:lang w:val="nl-NL"/>
        </w:rPr>
        <w:t xml:space="preserve">een </w:t>
      </w:r>
      <w:r w:rsidRPr="00CF1D7D" w:rsidR="00E57556">
        <w:rPr>
          <w:rFonts w:cs="Arial"/>
          <w:szCs w:val="20"/>
          <w:lang w:val="nl-NL"/>
        </w:rPr>
        <w:t xml:space="preserve">belastingverdrag werd </w:t>
      </w:r>
      <w:r w:rsidRPr="00CF1D7D" w:rsidR="003B465A">
        <w:rPr>
          <w:rFonts w:cs="Arial"/>
          <w:szCs w:val="20"/>
          <w:lang w:val="nl-NL"/>
        </w:rPr>
        <w:t>vergroot doordat</w:t>
      </w:r>
      <w:r w:rsidRPr="00CF1D7D" w:rsidR="00580854">
        <w:rPr>
          <w:rFonts w:cs="Arial"/>
          <w:szCs w:val="20"/>
          <w:lang w:val="nl-NL"/>
        </w:rPr>
        <w:t xml:space="preserve"> </w:t>
      </w:r>
      <w:r w:rsidRPr="00CF1D7D" w:rsidR="009637E6">
        <w:rPr>
          <w:rFonts w:cs="Arial"/>
          <w:szCs w:val="20"/>
          <w:lang w:val="nl-NL"/>
        </w:rPr>
        <w:t xml:space="preserve">Chili </w:t>
      </w:r>
      <w:r w:rsidRPr="00CF1D7D" w:rsidR="003B465A">
        <w:rPr>
          <w:rFonts w:cs="Arial"/>
          <w:szCs w:val="20"/>
          <w:lang w:val="nl-NL"/>
        </w:rPr>
        <w:t xml:space="preserve">nationale </w:t>
      </w:r>
      <w:r w:rsidRPr="00CF1D7D" w:rsidR="009637E6">
        <w:rPr>
          <w:rFonts w:cs="Arial"/>
          <w:szCs w:val="20"/>
          <w:lang w:val="nl-NL"/>
        </w:rPr>
        <w:t>wetgeving in</w:t>
      </w:r>
      <w:r w:rsidRPr="00CF1D7D" w:rsidR="00580854">
        <w:rPr>
          <w:rFonts w:cs="Arial"/>
          <w:szCs w:val="20"/>
          <w:lang w:val="nl-NL"/>
        </w:rPr>
        <w:t>voerde</w:t>
      </w:r>
      <w:r w:rsidRPr="00CF1D7D" w:rsidR="009637E6">
        <w:rPr>
          <w:rFonts w:cs="Arial"/>
          <w:szCs w:val="20"/>
          <w:lang w:val="nl-NL"/>
        </w:rPr>
        <w:t xml:space="preserve"> </w:t>
      </w:r>
      <w:r w:rsidRPr="00CF1D7D" w:rsidR="00AF7689">
        <w:rPr>
          <w:rFonts w:cs="Arial"/>
          <w:szCs w:val="20"/>
          <w:lang w:val="nl-NL"/>
        </w:rPr>
        <w:t>op grond waarvan</w:t>
      </w:r>
      <w:r w:rsidRPr="00CF1D7D" w:rsidR="009637E6">
        <w:rPr>
          <w:rFonts w:cs="Arial"/>
          <w:szCs w:val="20"/>
          <w:lang w:val="nl-NL"/>
        </w:rPr>
        <w:t xml:space="preserve"> de belastingdruk op (dividend)uitkeringe</w:t>
      </w:r>
      <w:r w:rsidRPr="00CF1D7D" w:rsidR="00AF7689">
        <w:rPr>
          <w:rFonts w:cs="Arial"/>
          <w:szCs w:val="20"/>
          <w:lang w:val="nl-NL"/>
        </w:rPr>
        <w:t>n van in Chili behaalde winst wordt</w:t>
      </w:r>
      <w:r w:rsidRPr="00CF1D7D" w:rsidR="0081783F">
        <w:rPr>
          <w:rFonts w:cs="Arial"/>
          <w:szCs w:val="20"/>
          <w:lang w:val="nl-NL"/>
        </w:rPr>
        <w:t xml:space="preserve"> </w:t>
      </w:r>
      <w:r w:rsidRPr="00CF1D7D" w:rsidR="009637E6">
        <w:rPr>
          <w:rFonts w:cs="Arial"/>
          <w:szCs w:val="20"/>
          <w:lang w:val="nl-NL"/>
        </w:rPr>
        <w:t xml:space="preserve">verlaagd voor aandeelhouders </w:t>
      </w:r>
      <w:r w:rsidRPr="00CF1D7D" w:rsidR="003B465A">
        <w:rPr>
          <w:rFonts w:cs="Arial"/>
          <w:szCs w:val="20"/>
          <w:lang w:val="nl-NL"/>
        </w:rPr>
        <w:t>die gevestigd zijn in</w:t>
      </w:r>
      <w:r w:rsidRPr="00CF1D7D" w:rsidR="00BF0A3F">
        <w:rPr>
          <w:rFonts w:cs="Arial"/>
          <w:szCs w:val="20"/>
          <w:lang w:val="nl-NL"/>
        </w:rPr>
        <w:t xml:space="preserve"> landen</w:t>
      </w:r>
      <w:r w:rsidRPr="00CF1D7D" w:rsidR="009637E6">
        <w:rPr>
          <w:rFonts w:cs="Arial"/>
          <w:szCs w:val="20"/>
          <w:lang w:val="nl-NL"/>
        </w:rPr>
        <w:t xml:space="preserve"> waarmee </w:t>
      </w:r>
      <w:r w:rsidRPr="00CF1D7D" w:rsidR="00BF0A3F">
        <w:rPr>
          <w:rFonts w:cs="Arial"/>
          <w:szCs w:val="20"/>
          <w:lang w:val="nl-NL"/>
        </w:rPr>
        <w:t xml:space="preserve">Chili </w:t>
      </w:r>
      <w:r w:rsidRPr="00CF1D7D" w:rsidR="009637E6">
        <w:rPr>
          <w:rFonts w:cs="Arial"/>
          <w:szCs w:val="20"/>
          <w:lang w:val="nl-NL"/>
        </w:rPr>
        <w:t xml:space="preserve">een belastingverdrag </w:t>
      </w:r>
      <w:r w:rsidRPr="00CF1D7D" w:rsidR="00DF29CC">
        <w:rPr>
          <w:rFonts w:cs="Arial"/>
          <w:szCs w:val="20"/>
          <w:lang w:val="nl-NL"/>
        </w:rPr>
        <w:t>h</w:t>
      </w:r>
      <w:r w:rsidR="00DF29CC">
        <w:rPr>
          <w:rFonts w:cs="Arial"/>
          <w:szCs w:val="20"/>
          <w:lang w:val="nl-NL"/>
        </w:rPr>
        <w:t xml:space="preserve">eeft </w:t>
      </w:r>
      <w:r w:rsidRPr="00CF1D7D" w:rsidR="009637E6">
        <w:rPr>
          <w:rFonts w:cs="Arial"/>
          <w:szCs w:val="20"/>
          <w:lang w:val="nl-NL"/>
        </w:rPr>
        <w:t>gesloten.</w:t>
      </w:r>
    </w:p>
    <w:p w:rsidRPr="00CF1D7D" w:rsidR="00E21EB6" w:rsidP="00E8197E" w:rsidRDefault="009A2B94" w14:paraId="5D14A871" w14:textId="1CBB5937">
      <w:pPr>
        <w:rPr>
          <w:rFonts w:cs="Arial"/>
          <w:szCs w:val="20"/>
          <w:lang w:val="nl-NL"/>
        </w:rPr>
      </w:pPr>
      <w:r w:rsidRPr="00CF1D7D">
        <w:rPr>
          <w:rFonts w:cs="Arial"/>
          <w:szCs w:val="20"/>
          <w:lang w:val="nl-NL"/>
        </w:rPr>
        <w:t xml:space="preserve">In de laatste periode van de onderhandeling is vooral gesproken over de specifieke wensen van Chili en Nederland die afwijken van het belastingverdrag dat Chili met Japan </w:t>
      </w:r>
      <w:r w:rsidRPr="00CF1D7D" w:rsidR="00DF29CC">
        <w:rPr>
          <w:rFonts w:cs="Arial"/>
          <w:szCs w:val="20"/>
          <w:lang w:val="nl-NL"/>
        </w:rPr>
        <w:t>h</w:t>
      </w:r>
      <w:r w:rsidR="00DF29CC">
        <w:rPr>
          <w:rFonts w:cs="Arial"/>
          <w:szCs w:val="20"/>
          <w:lang w:val="nl-NL"/>
        </w:rPr>
        <w:t>eeft</w:t>
      </w:r>
      <w:r w:rsidRPr="00CF1D7D" w:rsidR="00DF29CC">
        <w:rPr>
          <w:rFonts w:cs="Arial"/>
          <w:szCs w:val="20"/>
          <w:lang w:val="nl-NL"/>
        </w:rPr>
        <w:t xml:space="preserve"> </w:t>
      </w:r>
      <w:r w:rsidRPr="00CF1D7D">
        <w:rPr>
          <w:rFonts w:cs="Arial"/>
          <w:szCs w:val="20"/>
          <w:lang w:val="nl-NL"/>
        </w:rPr>
        <w:t xml:space="preserve">gesloten. In </w:t>
      </w:r>
      <w:r w:rsidRPr="00CF1D7D" w:rsidR="00920B65">
        <w:rPr>
          <w:rFonts w:cs="Arial"/>
          <w:szCs w:val="20"/>
          <w:lang w:val="nl-NL"/>
        </w:rPr>
        <w:t>2020</w:t>
      </w:r>
      <w:r w:rsidRPr="00CF1D7D" w:rsidR="00841995">
        <w:rPr>
          <w:rFonts w:cs="Arial"/>
          <w:szCs w:val="20"/>
          <w:lang w:val="nl-NL"/>
        </w:rPr>
        <w:t xml:space="preserve"> werd</w:t>
      </w:r>
      <w:r w:rsidRPr="00CF1D7D" w:rsidR="00920B65">
        <w:rPr>
          <w:rFonts w:cs="Arial"/>
          <w:szCs w:val="20"/>
          <w:lang w:val="nl-NL"/>
        </w:rPr>
        <w:t xml:space="preserve"> </w:t>
      </w:r>
      <w:r w:rsidR="00552B62">
        <w:rPr>
          <w:rFonts w:cs="Arial"/>
          <w:szCs w:val="20"/>
          <w:lang w:val="nl-NL"/>
        </w:rPr>
        <w:t xml:space="preserve">ten slotte </w:t>
      </w:r>
      <w:r w:rsidRPr="00CF1D7D" w:rsidR="00841995">
        <w:rPr>
          <w:rFonts w:cs="Arial"/>
          <w:szCs w:val="20"/>
          <w:lang w:val="nl-NL"/>
        </w:rPr>
        <w:t xml:space="preserve">inhoudelijk </w:t>
      </w:r>
      <w:r w:rsidRPr="00CF1D7D" w:rsidR="00920B65">
        <w:rPr>
          <w:rFonts w:cs="Arial"/>
          <w:szCs w:val="20"/>
          <w:lang w:val="nl-NL"/>
        </w:rPr>
        <w:t xml:space="preserve">overeenstemming bereikt, waarna </w:t>
      </w:r>
      <w:r w:rsidRPr="00CF1D7D" w:rsidR="0081783F">
        <w:rPr>
          <w:rFonts w:cs="Arial"/>
          <w:szCs w:val="20"/>
          <w:lang w:val="nl-NL"/>
        </w:rPr>
        <w:t>de</w:t>
      </w:r>
      <w:r w:rsidRPr="00CF1D7D" w:rsidR="00920B65">
        <w:rPr>
          <w:rFonts w:cs="Arial"/>
          <w:szCs w:val="20"/>
          <w:lang w:val="nl-NL"/>
        </w:rPr>
        <w:t xml:space="preserve"> laatste technische punten telefonisch en via e-mail zijn afge</w:t>
      </w:r>
      <w:r w:rsidRPr="00CF1D7D" w:rsidR="0081783F">
        <w:rPr>
          <w:rFonts w:cs="Arial"/>
          <w:szCs w:val="20"/>
          <w:lang w:val="nl-NL"/>
        </w:rPr>
        <w:t>stemd</w:t>
      </w:r>
      <w:r w:rsidRPr="00CF1D7D" w:rsidR="00920B65">
        <w:rPr>
          <w:rFonts w:cs="Arial"/>
          <w:szCs w:val="20"/>
          <w:lang w:val="nl-NL"/>
        </w:rPr>
        <w:t xml:space="preserve">. </w:t>
      </w:r>
    </w:p>
    <w:p w:rsidRPr="00A805F5" w:rsidR="00806900" w:rsidP="00806900" w:rsidRDefault="008B0707" w14:paraId="7BA1D86E" w14:textId="7BCD6E80">
      <w:pPr>
        <w:pStyle w:val="Heading2"/>
        <w:rPr>
          <w:rFonts w:cs="Arial"/>
          <w:b w:val="0"/>
          <w:bCs w:val="0"/>
          <w:i/>
          <w:smallCaps w:val="0"/>
          <w:szCs w:val="20"/>
          <w:lang w:val="nl-NL"/>
        </w:rPr>
      </w:pPr>
      <w:r w:rsidRPr="00A805F5">
        <w:rPr>
          <w:rFonts w:cs="Arial"/>
          <w:b w:val="0"/>
          <w:bCs w:val="0"/>
          <w:i/>
          <w:smallCaps w:val="0"/>
          <w:szCs w:val="20"/>
          <w:lang w:val="nl-NL"/>
        </w:rPr>
        <w:t xml:space="preserve">I.3 </w:t>
      </w:r>
      <w:r w:rsidRPr="00A805F5" w:rsidR="00806900">
        <w:rPr>
          <w:rFonts w:cs="Arial"/>
          <w:b w:val="0"/>
          <w:bCs w:val="0"/>
          <w:i/>
          <w:smallCaps w:val="0"/>
          <w:szCs w:val="20"/>
          <w:lang w:val="nl-NL"/>
        </w:rPr>
        <w:t xml:space="preserve">Belastingstelsel en verdragennetwerk </w:t>
      </w:r>
      <w:r w:rsidRPr="00A805F5" w:rsidR="00AA32FA">
        <w:rPr>
          <w:rFonts w:cs="Arial"/>
          <w:b w:val="0"/>
          <w:bCs w:val="0"/>
          <w:i/>
          <w:smallCaps w:val="0"/>
          <w:szCs w:val="20"/>
          <w:lang w:val="nl-NL"/>
        </w:rPr>
        <w:t>van Chili</w:t>
      </w:r>
      <w:r w:rsidRPr="00A805F5" w:rsidR="00CB5514">
        <w:rPr>
          <w:rFonts w:cs="Arial"/>
          <w:b w:val="0"/>
          <w:bCs w:val="0"/>
          <w:i/>
          <w:smallCaps w:val="0"/>
          <w:szCs w:val="20"/>
          <w:lang w:val="nl-NL"/>
        </w:rPr>
        <w:t xml:space="preserve"> </w:t>
      </w:r>
    </w:p>
    <w:p w:rsidRPr="00CF1D7D" w:rsidR="00AA32FA" w:rsidP="00AA32FA" w:rsidRDefault="001F6B8C" w14:paraId="1D17BCF2" w14:textId="0B98C27A">
      <w:pPr>
        <w:rPr>
          <w:b/>
          <w:szCs w:val="20"/>
          <w:lang w:val="nl-NL"/>
        </w:rPr>
      </w:pPr>
      <w:r w:rsidRPr="00CF1D7D">
        <w:rPr>
          <w:szCs w:val="20"/>
          <w:lang w:val="nl-NL"/>
        </w:rPr>
        <w:t>Chi</w:t>
      </w:r>
      <w:r w:rsidRPr="00CF1D7D" w:rsidR="00AA72E9">
        <w:rPr>
          <w:szCs w:val="20"/>
          <w:lang w:val="nl-NL"/>
        </w:rPr>
        <w:t xml:space="preserve">li kent een fiscaal stelsel dat net als dat van Nederland bestaat uit een samenstel van directe en indirecte belastingen. De voornaamste indirecte belasting is de </w:t>
      </w:r>
      <w:r w:rsidRPr="00CF1D7D" w:rsidR="002E633A">
        <w:rPr>
          <w:szCs w:val="20"/>
          <w:lang w:val="nl-NL"/>
        </w:rPr>
        <w:t>omzetbelasting</w:t>
      </w:r>
      <w:r w:rsidRPr="00CF1D7D" w:rsidR="007E6534">
        <w:rPr>
          <w:szCs w:val="20"/>
          <w:lang w:val="nl-NL"/>
        </w:rPr>
        <w:t xml:space="preserve"> (met een algemeen tarief van 19%)</w:t>
      </w:r>
      <w:r w:rsidR="00F61B38">
        <w:rPr>
          <w:szCs w:val="20"/>
          <w:lang w:val="nl-NL"/>
        </w:rPr>
        <w:t>. De</w:t>
      </w:r>
      <w:r w:rsidRPr="00CF1D7D" w:rsidR="007E6534">
        <w:rPr>
          <w:szCs w:val="20"/>
          <w:lang w:val="nl-NL"/>
        </w:rPr>
        <w:t xml:space="preserve"> </w:t>
      </w:r>
      <w:r w:rsidRPr="00CF1D7D" w:rsidR="00561774">
        <w:rPr>
          <w:szCs w:val="20"/>
          <w:lang w:val="nl-NL"/>
        </w:rPr>
        <w:t>directe belasting wordt</w:t>
      </w:r>
      <w:r w:rsidRPr="00CF1D7D" w:rsidR="00DE63B4">
        <w:rPr>
          <w:szCs w:val="20"/>
          <w:lang w:val="nl-NL"/>
        </w:rPr>
        <w:t xml:space="preserve"> geheven via de</w:t>
      </w:r>
      <w:r w:rsidRPr="00CF1D7D" w:rsidR="00561774">
        <w:rPr>
          <w:szCs w:val="20"/>
          <w:lang w:val="nl-NL"/>
        </w:rPr>
        <w:t xml:space="preserve"> inkomstenbelasting </w:t>
      </w:r>
      <w:r w:rsidRPr="00CF1D7D" w:rsidR="00561774">
        <w:rPr>
          <w:i/>
          <w:szCs w:val="20"/>
          <w:lang w:val="nl-NL"/>
        </w:rPr>
        <w:t>(</w:t>
      </w:r>
      <w:proofErr w:type="spellStart"/>
      <w:r w:rsidRPr="00CF1D7D" w:rsidR="00561774">
        <w:rPr>
          <w:i/>
          <w:szCs w:val="20"/>
          <w:lang w:val="nl-NL"/>
        </w:rPr>
        <w:t>impuesto</w:t>
      </w:r>
      <w:proofErr w:type="spellEnd"/>
      <w:r w:rsidRPr="00CF1D7D" w:rsidR="00561774">
        <w:rPr>
          <w:i/>
          <w:szCs w:val="20"/>
          <w:lang w:val="nl-NL"/>
        </w:rPr>
        <w:t xml:space="preserve"> </w:t>
      </w:r>
      <w:proofErr w:type="spellStart"/>
      <w:r w:rsidRPr="00CF1D7D" w:rsidR="00561774">
        <w:rPr>
          <w:i/>
          <w:szCs w:val="20"/>
          <w:lang w:val="nl-NL"/>
        </w:rPr>
        <w:t>sobre</w:t>
      </w:r>
      <w:proofErr w:type="spellEnd"/>
      <w:r w:rsidRPr="00CF1D7D" w:rsidR="00561774">
        <w:rPr>
          <w:i/>
          <w:szCs w:val="20"/>
          <w:lang w:val="nl-NL"/>
        </w:rPr>
        <w:t xml:space="preserve"> de la </w:t>
      </w:r>
      <w:proofErr w:type="spellStart"/>
      <w:r w:rsidRPr="00CF1D7D" w:rsidR="00561774">
        <w:rPr>
          <w:i/>
          <w:szCs w:val="20"/>
          <w:lang w:val="nl-NL"/>
        </w:rPr>
        <w:t>renta</w:t>
      </w:r>
      <w:proofErr w:type="spellEnd"/>
      <w:r w:rsidRPr="00CF1D7D" w:rsidR="00561774">
        <w:rPr>
          <w:i/>
          <w:szCs w:val="20"/>
          <w:lang w:val="nl-NL"/>
        </w:rPr>
        <w:t>)</w:t>
      </w:r>
      <w:r w:rsidRPr="00CF1D7D" w:rsidR="00750259">
        <w:rPr>
          <w:szCs w:val="20"/>
          <w:lang w:val="nl-NL"/>
        </w:rPr>
        <w:t xml:space="preserve">, die zowel een belasting van natuurlijke personen </w:t>
      </w:r>
      <w:r w:rsidRPr="00CF1D7D" w:rsidR="003E6313">
        <w:rPr>
          <w:szCs w:val="20"/>
          <w:lang w:val="nl-NL"/>
        </w:rPr>
        <w:t xml:space="preserve">(vergelijkbaar met de Nederlandse inkomstenbelasting) </w:t>
      </w:r>
      <w:r w:rsidRPr="00CF1D7D" w:rsidR="00750259">
        <w:rPr>
          <w:szCs w:val="20"/>
          <w:lang w:val="nl-NL"/>
        </w:rPr>
        <w:t>als van lichamen omvat (vergelijkbaar met de Nederlandse vennootschapsbelasting)</w:t>
      </w:r>
      <w:r w:rsidRPr="00CF1D7D" w:rsidR="008F453D">
        <w:rPr>
          <w:szCs w:val="20"/>
          <w:lang w:val="nl-NL"/>
        </w:rPr>
        <w:t>. Een vermogensbelasting kent Chili op he</w:t>
      </w:r>
      <w:r w:rsidRPr="00CF1D7D" w:rsidR="00561774">
        <w:rPr>
          <w:szCs w:val="20"/>
          <w:lang w:val="nl-NL"/>
        </w:rPr>
        <w:t xml:space="preserve">t moment </w:t>
      </w:r>
      <w:r w:rsidRPr="00CF1D7D" w:rsidR="008F453D">
        <w:rPr>
          <w:szCs w:val="20"/>
          <w:lang w:val="nl-NL"/>
        </w:rPr>
        <w:t>van ond</w:t>
      </w:r>
      <w:r w:rsidRPr="00CF1D7D" w:rsidR="0002215D">
        <w:rPr>
          <w:szCs w:val="20"/>
          <w:lang w:val="nl-NL"/>
        </w:rPr>
        <w:t xml:space="preserve">ertekening van dit Verdrag niet. Wel is – op verzoek van Chili – overeengekomen dat het Verdrag ook </w:t>
      </w:r>
      <w:r w:rsidRPr="00CF1D7D" w:rsidR="008F453D">
        <w:rPr>
          <w:szCs w:val="20"/>
          <w:lang w:val="nl-NL"/>
        </w:rPr>
        <w:t>geldt voor mogelijk toekomstige vermo</w:t>
      </w:r>
      <w:r w:rsidRPr="00CF1D7D" w:rsidR="0002215D">
        <w:rPr>
          <w:szCs w:val="20"/>
          <w:lang w:val="nl-NL"/>
        </w:rPr>
        <w:t>gensbelastingen</w:t>
      </w:r>
      <w:r w:rsidRPr="00CF1D7D" w:rsidR="008F453D">
        <w:rPr>
          <w:szCs w:val="20"/>
          <w:lang w:val="nl-NL"/>
        </w:rPr>
        <w:t xml:space="preserve">. </w:t>
      </w:r>
      <w:r w:rsidRPr="00CF1D7D" w:rsidR="00561774">
        <w:rPr>
          <w:szCs w:val="20"/>
          <w:lang w:val="nl-NL"/>
        </w:rPr>
        <w:t xml:space="preserve">Het Verdrag heeft – behalve voor de uitwisseling van inlichtingen en de bijstand bij invordering – alleen betrekking op </w:t>
      </w:r>
      <w:r w:rsidRPr="00CF1D7D" w:rsidR="00E07CC9">
        <w:rPr>
          <w:szCs w:val="20"/>
          <w:lang w:val="nl-NL"/>
        </w:rPr>
        <w:t>belastingen naar het inkomen en vermogen.</w:t>
      </w:r>
    </w:p>
    <w:p w:rsidRPr="00CF1D7D" w:rsidR="00DD3E83" w:rsidP="00DD3E83" w:rsidRDefault="00DE63B4" w14:paraId="0EB9A23F" w14:textId="6D2507A0">
      <w:pPr>
        <w:rPr>
          <w:szCs w:val="20"/>
          <w:lang w:val="nl-NL"/>
        </w:rPr>
      </w:pPr>
      <w:r w:rsidRPr="00CF1D7D">
        <w:rPr>
          <w:szCs w:val="20"/>
          <w:lang w:val="nl-NL"/>
        </w:rPr>
        <w:t>De inkomstenbelasting wordt in Chili geheven over het wereldinkomen van binnenlands belastingplichtige natuurlijke personen en lichamen. Van buitenlands belastingplichtigen wordt inkomstenbelasting geheven over inkomen uit bronnen in Chili</w:t>
      </w:r>
      <w:r w:rsidRPr="00CF1D7D" w:rsidR="00C77B49">
        <w:rPr>
          <w:szCs w:val="20"/>
          <w:lang w:val="nl-NL"/>
        </w:rPr>
        <w:t>. De belasting</w:t>
      </w:r>
      <w:r w:rsidRPr="00CF1D7D" w:rsidR="005E3B79">
        <w:rPr>
          <w:szCs w:val="20"/>
          <w:lang w:val="nl-NL"/>
        </w:rPr>
        <w:t xml:space="preserve"> </w:t>
      </w:r>
      <w:r w:rsidRPr="00CF1D7D" w:rsidR="00E0343A">
        <w:rPr>
          <w:szCs w:val="20"/>
          <w:lang w:val="nl-NL"/>
        </w:rPr>
        <w:t>is opgedeeld in</w:t>
      </w:r>
      <w:r w:rsidRPr="00CF1D7D" w:rsidR="004A27CA">
        <w:rPr>
          <w:szCs w:val="20"/>
          <w:lang w:val="nl-NL"/>
        </w:rPr>
        <w:t xml:space="preserve"> </w:t>
      </w:r>
      <w:r w:rsidRPr="00CF1D7D" w:rsidR="004A27CA">
        <w:rPr>
          <w:szCs w:val="20"/>
          <w:lang w:val="nl-NL"/>
        </w:rPr>
        <w:lastRenderedPageBreak/>
        <w:t>categorieën inkomen. I</w:t>
      </w:r>
      <w:r w:rsidRPr="00CF1D7D" w:rsidR="006F2E56">
        <w:rPr>
          <w:szCs w:val="20"/>
          <w:lang w:val="nl-NL"/>
        </w:rPr>
        <w:t xml:space="preserve">nkomen </w:t>
      </w:r>
      <w:r w:rsidRPr="00CF1D7D" w:rsidR="004A27CA">
        <w:rPr>
          <w:szCs w:val="20"/>
          <w:lang w:val="nl-NL"/>
        </w:rPr>
        <w:t xml:space="preserve">dat vervolgens </w:t>
      </w:r>
      <w:r w:rsidRPr="00CF1D7D" w:rsidR="006F2E56">
        <w:rPr>
          <w:szCs w:val="20"/>
          <w:lang w:val="nl-NL"/>
        </w:rPr>
        <w:t xml:space="preserve">wordt gerepatrieerd naar het buitenland is </w:t>
      </w:r>
      <w:r w:rsidRPr="00CF1D7D" w:rsidR="004A27CA">
        <w:rPr>
          <w:szCs w:val="20"/>
          <w:lang w:val="nl-NL"/>
        </w:rPr>
        <w:t xml:space="preserve">onderworpen aan </w:t>
      </w:r>
      <w:r w:rsidRPr="00CF1D7D" w:rsidR="006F2E56">
        <w:rPr>
          <w:szCs w:val="20"/>
          <w:lang w:val="nl-NL"/>
        </w:rPr>
        <w:t>zogenoemde aanvullende belasting (</w:t>
      </w:r>
      <w:proofErr w:type="spellStart"/>
      <w:r w:rsidRPr="00CF1D7D" w:rsidR="006F2E56">
        <w:rPr>
          <w:i/>
          <w:szCs w:val="20"/>
          <w:lang w:val="nl-NL"/>
        </w:rPr>
        <w:t>impuesto</w:t>
      </w:r>
      <w:proofErr w:type="spellEnd"/>
      <w:r w:rsidRPr="00CF1D7D" w:rsidR="006F2E56">
        <w:rPr>
          <w:i/>
          <w:szCs w:val="20"/>
          <w:lang w:val="nl-NL"/>
        </w:rPr>
        <w:t xml:space="preserve"> </w:t>
      </w:r>
      <w:proofErr w:type="spellStart"/>
      <w:r w:rsidRPr="00CF1D7D" w:rsidR="006F2E56">
        <w:rPr>
          <w:i/>
          <w:szCs w:val="20"/>
          <w:lang w:val="nl-NL"/>
        </w:rPr>
        <w:t>adicional</w:t>
      </w:r>
      <w:proofErr w:type="spellEnd"/>
      <w:r w:rsidRPr="00CF1D7D" w:rsidR="006F2E56">
        <w:rPr>
          <w:szCs w:val="20"/>
          <w:lang w:val="nl-NL"/>
        </w:rPr>
        <w:t>)</w:t>
      </w:r>
      <w:r w:rsidRPr="00CF1D7D" w:rsidR="007717F3">
        <w:rPr>
          <w:szCs w:val="20"/>
          <w:lang w:val="nl-NL"/>
        </w:rPr>
        <w:t xml:space="preserve"> waarmee onderliggende belasting op ondernemingswinst al dan niet volledig kan worden verrekend</w:t>
      </w:r>
      <w:r w:rsidRPr="00CF1D7D" w:rsidR="004B2B03">
        <w:rPr>
          <w:szCs w:val="20"/>
          <w:lang w:val="nl-NL"/>
        </w:rPr>
        <w:t>. Dit hangt af van de vraag of inkomen wordt gerepatrieerd naar een staat waarmee Chili een belastingverdrag heeft gesloten dat van toepassing is. Deze systematiek kan als volgt worden toegelicht</w:t>
      </w:r>
      <w:r w:rsidRPr="00CF1D7D">
        <w:rPr>
          <w:szCs w:val="20"/>
          <w:lang w:val="nl-NL"/>
        </w:rPr>
        <w:t xml:space="preserve">. </w:t>
      </w:r>
      <w:r w:rsidRPr="00CF1D7D" w:rsidR="006F2E56">
        <w:rPr>
          <w:szCs w:val="20"/>
          <w:lang w:val="nl-NL"/>
        </w:rPr>
        <w:br/>
        <w:t xml:space="preserve"> </w:t>
      </w:r>
      <w:r w:rsidRPr="00CF1D7D" w:rsidR="006F2E56">
        <w:rPr>
          <w:szCs w:val="20"/>
          <w:lang w:val="nl-NL"/>
        </w:rPr>
        <w:tab/>
      </w:r>
      <w:r w:rsidRPr="00CF1D7D" w:rsidR="0093702F">
        <w:rPr>
          <w:szCs w:val="20"/>
          <w:lang w:val="nl-NL"/>
        </w:rPr>
        <w:t xml:space="preserve">De </w:t>
      </w:r>
      <w:r w:rsidRPr="00CF1D7D" w:rsidR="001F5CFD">
        <w:rPr>
          <w:szCs w:val="20"/>
          <w:lang w:val="nl-NL"/>
        </w:rPr>
        <w:t>inkomstenbelasting</w:t>
      </w:r>
      <w:r w:rsidRPr="00CF1D7D" w:rsidR="0093702F">
        <w:rPr>
          <w:szCs w:val="20"/>
          <w:lang w:val="nl-NL"/>
        </w:rPr>
        <w:t xml:space="preserve"> in Chili onderscheid</w:t>
      </w:r>
      <w:r w:rsidRPr="00CF1D7D" w:rsidR="00A0672B">
        <w:rPr>
          <w:szCs w:val="20"/>
          <w:lang w:val="nl-NL"/>
        </w:rPr>
        <w:t>t</w:t>
      </w:r>
      <w:r w:rsidRPr="00CF1D7D" w:rsidR="0093702F">
        <w:rPr>
          <w:szCs w:val="20"/>
          <w:lang w:val="nl-NL"/>
        </w:rPr>
        <w:t xml:space="preserve"> twee categorieën i</w:t>
      </w:r>
      <w:r w:rsidRPr="00CF1D7D" w:rsidR="00EB552F">
        <w:rPr>
          <w:szCs w:val="20"/>
          <w:lang w:val="nl-NL"/>
        </w:rPr>
        <w:t>nkomen: (i) inkomen uit kapitaal en kort gezegd ondernemingswinsten (de eerste categorie), en (ii) inkomen uit arbeid (de tweede categorie).</w:t>
      </w:r>
      <w:r w:rsidRPr="00CF1D7D" w:rsidR="00FC631B">
        <w:rPr>
          <w:szCs w:val="20"/>
          <w:lang w:val="nl-NL"/>
        </w:rPr>
        <w:t xml:space="preserve"> </w:t>
      </w:r>
      <w:r w:rsidRPr="00CF1D7D" w:rsidR="009F2BB6">
        <w:rPr>
          <w:szCs w:val="20"/>
          <w:lang w:val="nl-NL"/>
        </w:rPr>
        <w:t>De eerste categorie inkomen wordt (behalve in specifieke situaties) onderworpen aan een belasting van – kort gezegd – 25% voor MKB-ondernemingen en 27% voor grote ondernemingen. Dit is de belasting van de eerste categorie (</w:t>
      </w:r>
      <w:proofErr w:type="spellStart"/>
      <w:r w:rsidRPr="00CF1D7D" w:rsidR="00750B95">
        <w:rPr>
          <w:i/>
          <w:szCs w:val="20"/>
          <w:lang w:val="nl-NL"/>
        </w:rPr>
        <w:t>i</w:t>
      </w:r>
      <w:r w:rsidRPr="00CF1D7D" w:rsidR="009F2BB6">
        <w:rPr>
          <w:i/>
          <w:szCs w:val="20"/>
          <w:lang w:val="nl-NL"/>
        </w:rPr>
        <w:t>mp</w:t>
      </w:r>
      <w:r w:rsidRPr="00CF1D7D" w:rsidR="00750B95">
        <w:rPr>
          <w:i/>
          <w:szCs w:val="20"/>
          <w:lang w:val="nl-NL"/>
        </w:rPr>
        <w:t>uesto</w:t>
      </w:r>
      <w:proofErr w:type="spellEnd"/>
      <w:r w:rsidRPr="00CF1D7D" w:rsidR="00750B95">
        <w:rPr>
          <w:i/>
          <w:szCs w:val="20"/>
          <w:lang w:val="nl-NL"/>
        </w:rPr>
        <w:t xml:space="preserve"> de </w:t>
      </w:r>
      <w:proofErr w:type="spellStart"/>
      <w:r w:rsidRPr="00CF1D7D" w:rsidR="00750B95">
        <w:rPr>
          <w:i/>
          <w:szCs w:val="20"/>
          <w:lang w:val="nl-NL"/>
        </w:rPr>
        <w:t>p</w:t>
      </w:r>
      <w:r w:rsidRPr="00CF1D7D" w:rsidR="009F2BB6">
        <w:rPr>
          <w:i/>
          <w:szCs w:val="20"/>
          <w:lang w:val="nl-NL"/>
        </w:rPr>
        <w:t>r</w:t>
      </w:r>
      <w:r w:rsidRPr="00CF1D7D" w:rsidR="00750B95">
        <w:rPr>
          <w:i/>
          <w:szCs w:val="20"/>
          <w:lang w:val="nl-NL"/>
        </w:rPr>
        <w:t>imera</w:t>
      </w:r>
      <w:proofErr w:type="spellEnd"/>
      <w:r w:rsidRPr="00CF1D7D" w:rsidR="00750B95">
        <w:rPr>
          <w:i/>
          <w:szCs w:val="20"/>
          <w:lang w:val="nl-NL"/>
        </w:rPr>
        <w:t xml:space="preserve"> </w:t>
      </w:r>
      <w:proofErr w:type="spellStart"/>
      <w:r w:rsidRPr="00CF1D7D" w:rsidR="00750B95">
        <w:rPr>
          <w:i/>
          <w:szCs w:val="20"/>
          <w:lang w:val="nl-NL"/>
        </w:rPr>
        <w:t>c</w:t>
      </w:r>
      <w:r w:rsidRPr="00CF1D7D" w:rsidR="009F2BB6">
        <w:rPr>
          <w:i/>
          <w:szCs w:val="20"/>
          <w:lang w:val="nl-NL"/>
        </w:rPr>
        <w:t>ategoría</w:t>
      </w:r>
      <w:proofErr w:type="spellEnd"/>
      <w:r w:rsidRPr="00CF1D7D" w:rsidR="009F2BB6">
        <w:rPr>
          <w:i/>
          <w:szCs w:val="20"/>
          <w:lang w:val="nl-NL"/>
        </w:rPr>
        <w:t>)</w:t>
      </w:r>
      <w:r w:rsidRPr="00CF1D7D" w:rsidR="009F2BB6">
        <w:rPr>
          <w:szCs w:val="20"/>
          <w:lang w:val="nl-NL"/>
        </w:rPr>
        <w:t xml:space="preserve">. </w:t>
      </w:r>
      <w:r w:rsidRPr="00CF1D7D" w:rsidR="00F11FA8">
        <w:rPr>
          <w:szCs w:val="20"/>
          <w:lang w:val="nl-NL"/>
        </w:rPr>
        <w:t>Voor d</w:t>
      </w:r>
      <w:r w:rsidRPr="00CF1D7D" w:rsidR="009F2BB6">
        <w:rPr>
          <w:szCs w:val="20"/>
          <w:lang w:val="nl-NL"/>
        </w:rPr>
        <w:t>e tweede categorie</w:t>
      </w:r>
      <w:r w:rsidRPr="00CF1D7D" w:rsidR="00F11FA8">
        <w:rPr>
          <w:szCs w:val="20"/>
          <w:lang w:val="nl-NL"/>
        </w:rPr>
        <w:t xml:space="preserve"> inkomen geldt </w:t>
      </w:r>
      <w:r w:rsidRPr="00CF1D7D" w:rsidR="00DD3E83">
        <w:rPr>
          <w:szCs w:val="20"/>
          <w:lang w:val="nl-NL"/>
        </w:rPr>
        <w:t>een</w:t>
      </w:r>
      <w:r w:rsidRPr="00CF1D7D" w:rsidR="00F11FA8">
        <w:rPr>
          <w:szCs w:val="20"/>
          <w:lang w:val="nl-NL"/>
        </w:rPr>
        <w:t xml:space="preserve"> belasting </w:t>
      </w:r>
      <w:r w:rsidRPr="00CF1D7D" w:rsidR="00DD3E83">
        <w:rPr>
          <w:szCs w:val="20"/>
          <w:lang w:val="nl-NL"/>
        </w:rPr>
        <w:t>naar een progressief tarief variërend van 0% tot 40%</w:t>
      </w:r>
      <w:r w:rsidR="00611216">
        <w:rPr>
          <w:szCs w:val="20"/>
          <w:lang w:val="nl-NL"/>
        </w:rPr>
        <w:t>. Dit is</w:t>
      </w:r>
      <w:r w:rsidRPr="00CF1D7D" w:rsidR="00DD3E83">
        <w:rPr>
          <w:szCs w:val="20"/>
          <w:lang w:val="nl-NL"/>
        </w:rPr>
        <w:t xml:space="preserve"> de belasting </w:t>
      </w:r>
      <w:r w:rsidRPr="00CF1D7D" w:rsidR="00F11FA8">
        <w:rPr>
          <w:szCs w:val="20"/>
          <w:lang w:val="nl-NL"/>
        </w:rPr>
        <w:t>van de tweede categorie (</w:t>
      </w:r>
      <w:proofErr w:type="spellStart"/>
      <w:r w:rsidRPr="00CF1D7D" w:rsidR="00750B95">
        <w:rPr>
          <w:i/>
          <w:szCs w:val="20"/>
          <w:lang w:val="nl-NL"/>
        </w:rPr>
        <w:t>i</w:t>
      </w:r>
      <w:r w:rsidRPr="00CF1D7D" w:rsidR="00F11FA8">
        <w:rPr>
          <w:i/>
          <w:szCs w:val="20"/>
          <w:lang w:val="nl-NL"/>
        </w:rPr>
        <w:t>mpuesto</w:t>
      </w:r>
      <w:proofErr w:type="spellEnd"/>
      <w:r w:rsidRPr="00CF1D7D" w:rsidR="00F11FA8">
        <w:rPr>
          <w:i/>
          <w:szCs w:val="20"/>
          <w:lang w:val="nl-NL"/>
        </w:rPr>
        <w:t xml:space="preserve"> de </w:t>
      </w:r>
      <w:proofErr w:type="spellStart"/>
      <w:r w:rsidRPr="00CF1D7D" w:rsidR="00750B95">
        <w:rPr>
          <w:i/>
          <w:szCs w:val="20"/>
          <w:lang w:val="nl-NL"/>
        </w:rPr>
        <w:t>s</w:t>
      </w:r>
      <w:r w:rsidRPr="00CF1D7D" w:rsidR="00F11FA8">
        <w:rPr>
          <w:i/>
          <w:szCs w:val="20"/>
          <w:lang w:val="nl-NL"/>
        </w:rPr>
        <w:t>egund</w:t>
      </w:r>
      <w:r w:rsidRPr="00CF1D7D" w:rsidR="00750B95">
        <w:rPr>
          <w:i/>
          <w:szCs w:val="20"/>
          <w:lang w:val="nl-NL"/>
        </w:rPr>
        <w:t>a</w:t>
      </w:r>
      <w:proofErr w:type="spellEnd"/>
      <w:r w:rsidRPr="00CF1D7D" w:rsidR="00750B95">
        <w:rPr>
          <w:i/>
          <w:szCs w:val="20"/>
          <w:lang w:val="nl-NL"/>
        </w:rPr>
        <w:t xml:space="preserve"> </w:t>
      </w:r>
      <w:proofErr w:type="spellStart"/>
      <w:r w:rsidRPr="00CF1D7D" w:rsidR="00750B95">
        <w:rPr>
          <w:i/>
          <w:szCs w:val="20"/>
          <w:lang w:val="nl-NL"/>
        </w:rPr>
        <w:t>c</w:t>
      </w:r>
      <w:r w:rsidRPr="00CF1D7D" w:rsidR="00F11FA8">
        <w:rPr>
          <w:i/>
          <w:szCs w:val="20"/>
          <w:lang w:val="nl-NL"/>
        </w:rPr>
        <w:t>ategoría</w:t>
      </w:r>
      <w:proofErr w:type="spellEnd"/>
      <w:r w:rsidRPr="00CF1D7D" w:rsidR="00F11FA8">
        <w:rPr>
          <w:i/>
          <w:szCs w:val="20"/>
          <w:lang w:val="nl-NL"/>
        </w:rPr>
        <w:t>)</w:t>
      </w:r>
      <w:r w:rsidRPr="00CF1D7D" w:rsidR="00DD3E83">
        <w:rPr>
          <w:i/>
          <w:szCs w:val="20"/>
          <w:lang w:val="nl-NL"/>
        </w:rPr>
        <w:t>.</w:t>
      </w:r>
    </w:p>
    <w:p w:rsidRPr="00CF1D7D" w:rsidR="00841211" w:rsidP="00543580" w:rsidRDefault="00F11FA8" w14:paraId="089F6FD7" w14:textId="37C2DBFA">
      <w:pPr>
        <w:rPr>
          <w:szCs w:val="20"/>
          <w:lang w:val="nl-NL"/>
        </w:rPr>
      </w:pPr>
      <w:r w:rsidRPr="00CF1D7D">
        <w:rPr>
          <w:szCs w:val="20"/>
          <w:lang w:val="nl-NL"/>
        </w:rPr>
        <w:t>De belastingen van de eerste en tweede categorie kunnen worden verrekend met de finale belastingen naar het inkomen</w:t>
      </w:r>
      <w:r w:rsidRPr="00CF1D7D" w:rsidR="00834968">
        <w:rPr>
          <w:szCs w:val="20"/>
          <w:lang w:val="nl-NL"/>
        </w:rPr>
        <w:t xml:space="preserve"> (imputatiesysteem)</w:t>
      </w:r>
      <w:r w:rsidRPr="00CF1D7D">
        <w:rPr>
          <w:szCs w:val="20"/>
          <w:lang w:val="nl-NL"/>
        </w:rPr>
        <w:t xml:space="preserve">. Voor natuurlijke personen die inwoner van Chili zijn betreft dit een progressieve </w:t>
      </w:r>
      <w:r w:rsidRPr="00CF1D7D" w:rsidR="00AF2EA6">
        <w:rPr>
          <w:szCs w:val="20"/>
          <w:lang w:val="nl-NL"/>
        </w:rPr>
        <w:t>(complementaire)</w:t>
      </w:r>
      <w:r w:rsidRPr="00CF1D7D">
        <w:rPr>
          <w:szCs w:val="20"/>
          <w:lang w:val="nl-NL"/>
        </w:rPr>
        <w:t xml:space="preserve"> belasting </w:t>
      </w:r>
      <w:r w:rsidRPr="00CF1D7D" w:rsidR="00750B95">
        <w:rPr>
          <w:i/>
          <w:szCs w:val="20"/>
          <w:lang w:val="nl-NL"/>
        </w:rPr>
        <w:t>(</w:t>
      </w:r>
      <w:proofErr w:type="spellStart"/>
      <w:r w:rsidRPr="00CF1D7D" w:rsidR="00750B95">
        <w:rPr>
          <w:i/>
          <w:szCs w:val="20"/>
          <w:lang w:val="nl-NL"/>
        </w:rPr>
        <w:t>impuesto</w:t>
      </w:r>
      <w:proofErr w:type="spellEnd"/>
      <w:r w:rsidRPr="00CF1D7D" w:rsidR="00750B95">
        <w:rPr>
          <w:i/>
          <w:szCs w:val="20"/>
          <w:lang w:val="nl-NL"/>
        </w:rPr>
        <w:t xml:space="preserve"> </w:t>
      </w:r>
      <w:proofErr w:type="spellStart"/>
      <w:r w:rsidRPr="00CF1D7D" w:rsidR="00750B95">
        <w:rPr>
          <w:i/>
          <w:szCs w:val="20"/>
          <w:lang w:val="nl-NL"/>
        </w:rPr>
        <w:t>global</w:t>
      </w:r>
      <w:proofErr w:type="spellEnd"/>
      <w:r w:rsidRPr="00CF1D7D" w:rsidR="00750B95">
        <w:rPr>
          <w:i/>
          <w:szCs w:val="20"/>
          <w:lang w:val="nl-NL"/>
        </w:rPr>
        <w:t xml:space="preserve"> </w:t>
      </w:r>
      <w:proofErr w:type="spellStart"/>
      <w:r w:rsidRPr="00CF1D7D" w:rsidR="00750B95">
        <w:rPr>
          <w:i/>
          <w:szCs w:val="20"/>
          <w:lang w:val="nl-NL"/>
        </w:rPr>
        <w:t>c</w:t>
      </w:r>
      <w:r w:rsidRPr="00CF1D7D" w:rsidR="00AF2EA6">
        <w:rPr>
          <w:i/>
          <w:szCs w:val="20"/>
          <w:lang w:val="nl-NL"/>
        </w:rPr>
        <w:t>omplementario</w:t>
      </w:r>
      <w:proofErr w:type="spellEnd"/>
      <w:r w:rsidRPr="00CF1D7D" w:rsidR="00AF2EA6">
        <w:rPr>
          <w:i/>
          <w:szCs w:val="20"/>
          <w:lang w:val="nl-NL"/>
        </w:rPr>
        <w:t xml:space="preserve">) </w:t>
      </w:r>
      <w:r w:rsidRPr="00CF1D7D" w:rsidR="00AF2EA6">
        <w:rPr>
          <w:szCs w:val="20"/>
          <w:lang w:val="nl-NL"/>
        </w:rPr>
        <w:t>variërend van 0% tot 40%</w:t>
      </w:r>
      <w:r w:rsidRPr="00CF1D7D" w:rsidR="00DD3E83">
        <w:rPr>
          <w:szCs w:val="20"/>
          <w:lang w:val="nl-NL"/>
        </w:rPr>
        <w:t xml:space="preserve">. </w:t>
      </w:r>
      <w:r w:rsidRPr="00CF1D7D" w:rsidR="008C6E0D">
        <w:rPr>
          <w:szCs w:val="20"/>
          <w:lang w:val="nl-NL"/>
        </w:rPr>
        <w:t>Voor n</w:t>
      </w:r>
      <w:r w:rsidRPr="00CF1D7D" w:rsidR="00DD3E83">
        <w:rPr>
          <w:szCs w:val="20"/>
          <w:lang w:val="nl-NL"/>
        </w:rPr>
        <w:t xml:space="preserve">atuurlijke personen en lichamen die geen inwoner zijn van </w:t>
      </w:r>
      <w:r w:rsidRPr="00CF1D7D" w:rsidR="00AF2EA6">
        <w:rPr>
          <w:szCs w:val="20"/>
          <w:lang w:val="nl-NL"/>
        </w:rPr>
        <w:t>Chili</w:t>
      </w:r>
      <w:r w:rsidRPr="00CF1D7D" w:rsidR="00DD3E83">
        <w:rPr>
          <w:szCs w:val="20"/>
          <w:lang w:val="nl-NL"/>
        </w:rPr>
        <w:t xml:space="preserve">, maar die wel inkomen uit Chili genieten </w:t>
      </w:r>
      <w:r w:rsidRPr="00CF1D7D" w:rsidR="00F53E2E">
        <w:rPr>
          <w:szCs w:val="20"/>
          <w:lang w:val="nl-NL"/>
        </w:rPr>
        <w:t xml:space="preserve">geldt in het algemeen </w:t>
      </w:r>
      <w:r w:rsidRPr="00CF1D7D" w:rsidR="00AF2EA6">
        <w:rPr>
          <w:szCs w:val="20"/>
          <w:lang w:val="nl-NL"/>
        </w:rPr>
        <w:t xml:space="preserve">de aanvullende belasting </w:t>
      </w:r>
      <w:r w:rsidRPr="00CF1D7D" w:rsidR="002A179A">
        <w:rPr>
          <w:i/>
          <w:szCs w:val="20"/>
          <w:lang w:val="nl-NL"/>
        </w:rPr>
        <w:t>(</w:t>
      </w:r>
      <w:proofErr w:type="spellStart"/>
      <w:r w:rsidRPr="00CF1D7D" w:rsidR="002A179A">
        <w:rPr>
          <w:i/>
          <w:szCs w:val="20"/>
          <w:lang w:val="nl-NL"/>
        </w:rPr>
        <w:t>impuesto</w:t>
      </w:r>
      <w:proofErr w:type="spellEnd"/>
      <w:r w:rsidRPr="00CF1D7D" w:rsidR="002A179A">
        <w:rPr>
          <w:i/>
          <w:szCs w:val="20"/>
          <w:lang w:val="nl-NL"/>
        </w:rPr>
        <w:t xml:space="preserve"> </w:t>
      </w:r>
      <w:proofErr w:type="spellStart"/>
      <w:r w:rsidRPr="00CF1D7D" w:rsidR="002A179A">
        <w:rPr>
          <w:i/>
          <w:szCs w:val="20"/>
          <w:lang w:val="nl-NL"/>
        </w:rPr>
        <w:t>a</w:t>
      </w:r>
      <w:r w:rsidRPr="00CF1D7D" w:rsidR="00AF2EA6">
        <w:rPr>
          <w:i/>
          <w:szCs w:val="20"/>
          <w:lang w:val="nl-NL"/>
        </w:rPr>
        <w:t>dicio</w:t>
      </w:r>
      <w:r w:rsidRPr="00CF1D7D" w:rsidR="00DD3E83">
        <w:rPr>
          <w:i/>
          <w:szCs w:val="20"/>
          <w:lang w:val="nl-NL"/>
        </w:rPr>
        <w:t>n</w:t>
      </w:r>
      <w:r w:rsidRPr="00CF1D7D" w:rsidR="00AF2EA6">
        <w:rPr>
          <w:i/>
          <w:szCs w:val="20"/>
          <w:lang w:val="nl-NL"/>
        </w:rPr>
        <w:t>al</w:t>
      </w:r>
      <w:proofErr w:type="spellEnd"/>
      <w:r w:rsidRPr="00CF1D7D" w:rsidR="00DD3E83">
        <w:rPr>
          <w:i/>
          <w:szCs w:val="20"/>
          <w:lang w:val="nl-NL"/>
        </w:rPr>
        <w:t>)</w:t>
      </w:r>
      <w:r w:rsidRPr="00CF1D7D" w:rsidR="00DD3E83">
        <w:rPr>
          <w:szCs w:val="20"/>
          <w:lang w:val="nl-NL"/>
        </w:rPr>
        <w:t xml:space="preserve"> </w:t>
      </w:r>
      <w:r w:rsidRPr="00CF1D7D" w:rsidR="00F53E2E">
        <w:rPr>
          <w:szCs w:val="20"/>
          <w:lang w:val="nl-NL"/>
        </w:rPr>
        <w:t>als finale belasting. Deze bedraagt – behalve voor</w:t>
      </w:r>
      <w:r w:rsidRPr="00CF1D7D" w:rsidR="00E2076E">
        <w:rPr>
          <w:szCs w:val="20"/>
          <w:lang w:val="nl-NL"/>
        </w:rPr>
        <w:t xml:space="preserve"> specifieke soorten inkomen </w:t>
      </w:r>
      <w:r w:rsidRPr="00CF1D7D" w:rsidR="006D2309">
        <w:rPr>
          <w:szCs w:val="20"/>
          <w:lang w:val="nl-NL"/>
        </w:rPr>
        <w:t xml:space="preserve">en behoudens vrijstellingen </w:t>
      </w:r>
      <w:r w:rsidRPr="00CF1D7D" w:rsidR="00E2076E">
        <w:rPr>
          <w:szCs w:val="20"/>
          <w:lang w:val="nl-NL"/>
        </w:rPr>
        <w:t xml:space="preserve">– </w:t>
      </w:r>
      <w:r w:rsidRPr="00CF1D7D" w:rsidR="00B10CA9">
        <w:rPr>
          <w:szCs w:val="20"/>
          <w:lang w:val="nl-NL"/>
        </w:rPr>
        <w:t>35%</w:t>
      </w:r>
      <w:r w:rsidRPr="00CF1D7D" w:rsidR="006D2309">
        <w:rPr>
          <w:szCs w:val="20"/>
          <w:lang w:val="nl-NL"/>
        </w:rPr>
        <w:t xml:space="preserve"> en wordt in het algeme</w:t>
      </w:r>
      <w:r w:rsidRPr="00CF1D7D" w:rsidR="00841211">
        <w:rPr>
          <w:szCs w:val="20"/>
          <w:lang w:val="nl-NL"/>
        </w:rPr>
        <w:t>en geheven over geldstromen die Chili verlaten</w:t>
      </w:r>
      <w:r w:rsidRPr="00CF1D7D" w:rsidR="00B10CA9">
        <w:rPr>
          <w:szCs w:val="20"/>
          <w:lang w:val="nl-NL"/>
        </w:rPr>
        <w:t xml:space="preserve">. </w:t>
      </w:r>
    </w:p>
    <w:p w:rsidRPr="00CF1D7D" w:rsidR="00CE549C" w:rsidP="00543580" w:rsidRDefault="00631C9B" w14:paraId="19E13FBA" w14:textId="40A2687B">
      <w:pPr>
        <w:rPr>
          <w:szCs w:val="20"/>
          <w:lang w:val="nl-NL"/>
        </w:rPr>
      </w:pPr>
      <w:r w:rsidRPr="00CF1D7D">
        <w:rPr>
          <w:szCs w:val="20"/>
          <w:lang w:val="nl-NL"/>
        </w:rPr>
        <w:t xml:space="preserve">Voor het Nederlandse bedrijfsleven met activiteiten in Chili is het sluiten van een belastingverdrag met Chili onder meer belangrijk vanwege deze aanvullende belasting. </w:t>
      </w:r>
      <w:r w:rsidRPr="00CF1D7D" w:rsidR="00E2076E">
        <w:rPr>
          <w:szCs w:val="20"/>
          <w:lang w:val="nl-NL"/>
        </w:rPr>
        <w:t xml:space="preserve">Voor </w:t>
      </w:r>
      <w:r w:rsidRPr="00CF1D7D" w:rsidR="004B50E2">
        <w:rPr>
          <w:szCs w:val="20"/>
          <w:lang w:val="nl-NL"/>
        </w:rPr>
        <w:t>dividenden of</w:t>
      </w:r>
      <w:r w:rsidRPr="00CF1D7D" w:rsidR="00207793">
        <w:rPr>
          <w:b/>
          <w:szCs w:val="20"/>
          <w:lang w:val="nl-NL"/>
        </w:rPr>
        <w:t xml:space="preserve"> </w:t>
      </w:r>
      <w:r w:rsidRPr="00CF1D7D" w:rsidR="00931F68">
        <w:rPr>
          <w:szCs w:val="20"/>
          <w:lang w:val="nl-NL"/>
        </w:rPr>
        <w:t xml:space="preserve">winstovermakingen uit vaste inrichtingen geldt </w:t>
      </w:r>
      <w:r w:rsidRPr="00CF1D7D">
        <w:rPr>
          <w:szCs w:val="20"/>
          <w:lang w:val="nl-NL"/>
        </w:rPr>
        <w:t xml:space="preserve">namelijk </w:t>
      </w:r>
      <w:r w:rsidRPr="00CF1D7D" w:rsidR="00931F68">
        <w:rPr>
          <w:szCs w:val="20"/>
          <w:lang w:val="nl-NL"/>
        </w:rPr>
        <w:t>dat a</w:t>
      </w:r>
      <w:r w:rsidRPr="00CF1D7D" w:rsidR="00DD3E83">
        <w:rPr>
          <w:szCs w:val="20"/>
          <w:lang w:val="nl-NL"/>
        </w:rPr>
        <w:t>lleen inwoners van landen waar</w:t>
      </w:r>
      <w:r w:rsidRPr="00CF1D7D" w:rsidR="00E57DDF">
        <w:rPr>
          <w:szCs w:val="20"/>
          <w:lang w:val="nl-NL"/>
        </w:rPr>
        <w:t>mee Chili</w:t>
      </w:r>
      <w:r w:rsidRPr="00CF1D7D" w:rsidR="00DD3E83">
        <w:rPr>
          <w:szCs w:val="20"/>
          <w:lang w:val="nl-NL"/>
        </w:rPr>
        <w:t xml:space="preserve"> een belastingverdrag </w:t>
      </w:r>
      <w:r w:rsidRPr="00CF1D7D" w:rsidR="00E57DDF">
        <w:rPr>
          <w:szCs w:val="20"/>
          <w:lang w:val="nl-NL"/>
        </w:rPr>
        <w:t>heeft gesloten de belasting van de eerste categorie (</w:t>
      </w:r>
      <w:proofErr w:type="spellStart"/>
      <w:r w:rsidRPr="00CF1D7D" w:rsidR="00022842">
        <w:rPr>
          <w:i/>
          <w:szCs w:val="20"/>
          <w:lang w:val="nl-NL"/>
        </w:rPr>
        <w:t>impuesto</w:t>
      </w:r>
      <w:proofErr w:type="spellEnd"/>
      <w:r w:rsidRPr="00CF1D7D" w:rsidR="00022842">
        <w:rPr>
          <w:i/>
          <w:szCs w:val="20"/>
          <w:lang w:val="nl-NL"/>
        </w:rPr>
        <w:t xml:space="preserve"> de </w:t>
      </w:r>
      <w:proofErr w:type="spellStart"/>
      <w:r w:rsidRPr="00CF1D7D" w:rsidR="00022842">
        <w:rPr>
          <w:i/>
          <w:szCs w:val="20"/>
          <w:lang w:val="nl-NL"/>
        </w:rPr>
        <w:t>primera</w:t>
      </w:r>
      <w:proofErr w:type="spellEnd"/>
      <w:r w:rsidRPr="00CF1D7D" w:rsidR="00022842">
        <w:rPr>
          <w:i/>
          <w:szCs w:val="20"/>
          <w:lang w:val="nl-NL"/>
        </w:rPr>
        <w:t xml:space="preserve"> </w:t>
      </w:r>
      <w:proofErr w:type="spellStart"/>
      <w:r w:rsidRPr="00CF1D7D" w:rsidR="00022842">
        <w:rPr>
          <w:i/>
          <w:szCs w:val="20"/>
          <w:lang w:val="nl-NL"/>
        </w:rPr>
        <w:t>c</w:t>
      </w:r>
      <w:r w:rsidRPr="00CF1D7D" w:rsidR="00E57DDF">
        <w:rPr>
          <w:i/>
          <w:szCs w:val="20"/>
          <w:lang w:val="nl-NL"/>
        </w:rPr>
        <w:t>ategoría</w:t>
      </w:r>
      <w:proofErr w:type="spellEnd"/>
      <w:r w:rsidRPr="00CF1D7D" w:rsidR="00E57DDF">
        <w:rPr>
          <w:i/>
          <w:szCs w:val="20"/>
          <w:lang w:val="nl-NL"/>
        </w:rPr>
        <w:t>)</w:t>
      </w:r>
      <w:r w:rsidRPr="00CF1D7D" w:rsidR="00E57DDF">
        <w:rPr>
          <w:szCs w:val="20"/>
          <w:lang w:val="nl-NL"/>
        </w:rPr>
        <w:t xml:space="preserve"> volledig </w:t>
      </w:r>
      <w:r w:rsidRPr="00CF1D7D">
        <w:rPr>
          <w:szCs w:val="20"/>
          <w:lang w:val="nl-NL"/>
        </w:rPr>
        <w:t xml:space="preserve">mogen </w:t>
      </w:r>
      <w:r w:rsidRPr="00CF1D7D" w:rsidR="00E57DDF">
        <w:rPr>
          <w:szCs w:val="20"/>
          <w:lang w:val="nl-NL"/>
        </w:rPr>
        <w:t xml:space="preserve">verrekenen met de aanvullende belasting </w:t>
      </w:r>
      <w:r w:rsidRPr="00CF1D7D" w:rsidR="00022842">
        <w:rPr>
          <w:i/>
          <w:szCs w:val="20"/>
          <w:lang w:val="nl-NL"/>
        </w:rPr>
        <w:t>(</w:t>
      </w:r>
      <w:proofErr w:type="spellStart"/>
      <w:r w:rsidRPr="00CF1D7D" w:rsidR="00022842">
        <w:rPr>
          <w:i/>
          <w:szCs w:val="20"/>
          <w:lang w:val="nl-NL"/>
        </w:rPr>
        <w:t>impuesto</w:t>
      </w:r>
      <w:proofErr w:type="spellEnd"/>
      <w:r w:rsidRPr="00CF1D7D" w:rsidR="00022842">
        <w:rPr>
          <w:i/>
          <w:szCs w:val="20"/>
          <w:lang w:val="nl-NL"/>
        </w:rPr>
        <w:t xml:space="preserve"> </w:t>
      </w:r>
      <w:proofErr w:type="spellStart"/>
      <w:r w:rsidRPr="00CF1D7D" w:rsidR="00022842">
        <w:rPr>
          <w:i/>
          <w:szCs w:val="20"/>
          <w:lang w:val="nl-NL"/>
        </w:rPr>
        <w:t>a</w:t>
      </w:r>
      <w:r w:rsidRPr="00CF1D7D" w:rsidR="00E57DDF">
        <w:rPr>
          <w:i/>
          <w:szCs w:val="20"/>
          <w:lang w:val="nl-NL"/>
        </w:rPr>
        <w:t>dicional</w:t>
      </w:r>
      <w:proofErr w:type="spellEnd"/>
      <w:r w:rsidRPr="00CF1D7D" w:rsidR="00E57DDF">
        <w:rPr>
          <w:i/>
          <w:szCs w:val="20"/>
          <w:lang w:val="nl-NL"/>
        </w:rPr>
        <w:t>)</w:t>
      </w:r>
      <w:r w:rsidRPr="00CF1D7D">
        <w:rPr>
          <w:szCs w:val="20"/>
          <w:lang w:val="nl-NL"/>
        </w:rPr>
        <w:t xml:space="preserve">, </w:t>
      </w:r>
      <w:r w:rsidRPr="00CF1D7D" w:rsidR="00E57DDF">
        <w:rPr>
          <w:szCs w:val="20"/>
          <w:lang w:val="nl-NL"/>
        </w:rPr>
        <w:t xml:space="preserve">resulterend in een belastingdruk van 35%. </w:t>
      </w:r>
      <w:r w:rsidRPr="00CF1D7D" w:rsidR="00D015AF">
        <w:rPr>
          <w:szCs w:val="20"/>
          <w:lang w:val="nl-NL"/>
        </w:rPr>
        <w:t>Voor i</w:t>
      </w:r>
      <w:r w:rsidRPr="00CF1D7D" w:rsidR="00E57DDF">
        <w:rPr>
          <w:szCs w:val="20"/>
          <w:lang w:val="nl-NL"/>
        </w:rPr>
        <w:t>nwoners va</w:t>
      </w:r>
      <w:r w:rsidRPr="00CF1D7D" w:rsidR="009B438A">
        <w:rPr>
          <w:szCs w:val="20"/>
          <w:lang w:val="nl-NL"/>
        </w:rPr>
        <w:t xml:space="preserve">n landen waarvoor nog geen belastingverdrag geldt </w:t>
      </w:r>
      <w:r w:rsidRPr="00CF1D7D" w:rsidR="00D015AF">
        <w:rPr>
          <w:szCs w:val="20"/>
          <w:lang w:val="nl-NL"/>
        </w:rPr>
        <w:t>is de belastingdruk op uitgekeerde winsten aanzienlijk hoger</w:t>
      </w:r>
      <w:r w:rsidRPr="00CF1D7D" w:rsidR="002E633A">
        <w:rPr>
          <w:szCs w:val="20"/>
          <w:lang w:val="nl-NL"/>
        </w:rPr>
        <w:t>. In dat geval is</w:t>
      </w:r>
      <w:r w:rsidRPr="00CF1D7D" w:rsidR="00D015AF">
        <w:rPr>
          <w:szCs w:val="20"/>
          <w:lang w:val="nl-NL"/>
        </w:rPr>
        <w:t xml:space="preserve"> de verrekening van de eerste categorie belasting </w:t>
      </w:r>
      <w:r w:rsidRPr="00CF1D7D" w:rsidR="002E633A">
        <w:rPr>
          <w:szCs w:val="20"/>
          <w:lang w:val="nl-NL"/>
        </w:rPr>
        <w:t>namelijk zelf</w:t>
      </w:r>
      <w:r w:rsidRPr="00CF1D7D" w:rsidR="00D015AF">
        <w:rPr>
          <w:szCs w:val="20"/>
          <w:lang w:val="nl-NL"/>
        </w:rPr>
        <w:t xml:space="preserve"> onderworpen aan de aanvullende belasting </w:t>
      </w:r>
      <w:r w:rsidRPr="00CF1D7D" w:rsidR="002E633A">
        <w:rPr>
          <w:szCs w:val="20"/>
          <w:lang w:val="nl-NL"/>
        </w:rPr>
        <w:t xml:space="preserve">en </w:t>
      </w:r>
      <w:r w:rsidRPr="00CF1D7D" w:rsidR="00D015AF">
        <w:rPr>
          <w:szCs w:val="20"/>
          <w:lang w:val="nl-NL"/>
        </w:rPr>
        <w:t>bedraagt de</w:t>
      </w:r>
      <w:r w:rsidRPr="00CF1D7D" w:rsidR="002E633A">
        <w:rPr>
          <w:szCs w:val="20"/>
          <w:lang w:val="nl-NL"/>
        </w:rPr>
        <w:t xml:space="preserve"> </w:t>
      </w:r>
      <w:r w:rsidRPr="00CF1D7D" w:rsidR="00D015AF">
        <w:rPr>
          <w:szCs w:val="20"/>
          <w:lang w:val="nl-NL"/>
        </w:rPr>
        <w:t xml:space="preserve">belastingdruk </w:t>
      </w:r>
      <w:r w:rsidRPr="00CF1D7D" w:rsidR="002E633A">
        <w:rPr>
          <w:szCs w:val="20"/>
          <w:lang w:val="nl-NL"/>
        </w:rPr>
        <w:t xml:space="preserve">daardoor </w:t>
      </w:r>
      <w:r w:rsidRPr="00CF1D7D" w:rsidR="00D015AF">
        <w:rPr>
          <w:szCs w:val="20"/>
          <w:lang w:val="nl-NL"/>
        </w:rPr>
        <w:t>in het algemeen</w:t>
      </w:r>
      <w:r w:rsidRPr="00CF1D7D" w:rsidR="00AB365A">
        <w:rPr>
          <w:szCs w:val="20"/>
          <w:lang w:val="nl-NL"/>
        </w:rPr>
        <w:t xml:space="preserve"> 44,45% (</w:t>
      </w:r>
      <w:r w:rsidRPr="00CF1D7D" w:rsidR="002E633A">
        <w:rPr>
          <w:szCs w:val="20"/>
          <w:lang w:val="nl-NL"/>
        </w:rPr>
        <w:t xml:space="preserve">= </w:t>
      </w:r>
      <w:r w:rsidRPr="00CF1D7D" w:rsidR="00AB365A">
        <w:rPr>
          <w:szCs w:val="20"/>
          <w:lang w:val="nl-NL"/>
        </w:rPr>
        <w:t>35% +</w:t>
      </w:r>
      <w:r w:rsidRPr="00CF1D7D" w:rsidR="00093C52">
        <w:rPr>
          <w:szCs w:val="20"/>
          <w:lang w:val="nl-NL"/>
        </w:rPr>
        <w:t xml:space="preserve"> </w:t>
      </w:r>
      <w:r w:rsidRPr="00CF1D7D" w:rsidR="00AB365A">
        <w:rPr>
          <w:szCs w:val="20"/>
          <w:lang w:val="nl-NL"/>
        </w:rPr>
        <w:t>(35%*27%)</w:t>
      </w:r>
      <w:r w:rsidRPr="00CF1D7D" w:rsidR="002E633A">
        <w:rPr>
          <w:szCs w:val="20"/>
          <w:lang w:val="nl-NL"/>
        </w:rPr>
        <w:t>)</w:t>
      </w:r>
      <w:r w:rsidRPr="00CF1D7D" w:rsidR="00AB365A">
        <w:rPr>
          <w:szCs w:val="20"/>
          <w:lang w:val="nl-NL"/>
        </w:rPr>
        <w:t xml:space="preserve">. </w:t>
      </w:r>
      <w:r w:rsidRPr="00CF1D7D" w:rsidR="0047029F">
        <w:rPr>
          <w:szCs w:val="20"/>
          <w:lang w:val="nl-NL"/>
        </w:rPr>
        <w:t xml:space="preserve"> </w:t>
      </w:r>
      <w:r w:rsidRPr="00CF1D7D" w:rsidR="001223F5">
        <w:rPr>
          <w:szCs w:val="20"/>
          <w:lang w:val="nl-NL"/>
        </w:rPr>
        <w:t xml:space="preserve">Voor ondernemingswinsten die vanuit Chili </w:t>
      </w:r>
      <w:r w:rsidRPr="00CF1D7D" w:rsidR="002E633A">
        <w:rPr>
          <w:szCs w:val="20"/>
          <w:lang w:val="nl-NL"/>
        </w:rPr>
        <w:t xml:space="preserve">worden </w:t>
      </w:r>
      <w:r w:rsidRPr="00CF1D7D" w:rsidR="00A0672B">
        <w:rPr>
          <w:szCs w:val="20"/>
          <w:lang w:val="nl-NL"/>
        </w:rPr>
        <w:t>gerepatrieerd</w:t>
      </w:r>
      <w:r w:rsidRPr="00CF1D7D" w:rsidR="001223F5">
        <w:rPr>
          <w:szCs w:val="20"/>
          <w:lang w:val="nl-NL"/>
        </w:rPr>
        <w:t xml:space="preserve"> naar Nederland neemt dit Verdrag </w:t>
      </w:r>
      <w:r w:rsidRPr="00CF1D7D" w:rsidR="00A25842">
        <w:rPr>
          <w:szCs w:val="20"/>
          <w:lang w:val="nl-NL"/>
        </w:rPr>
        <w:t xml:space="preserve">daarom </w:t>
      </w:r>
      <w:r w:rsidRPr="00CF1D7D" w:rsidR="001223F5">
        <w:rPr>
          <w:szCs w:val="20"/>
          <w:lang w:val="nl-NL"/>
        </w:rPr>
        <w:t xml:space="preserve">een belangrijke economische hindernis weg. </w:t>
      </w:r>
    </w:p>
    <w:p w:rsidRPr="00CF1D7D" w:rsidR="00CD2ADF" w:rsidP="00093C52" w:rsidRDefault="00A25842" w14:paraId="5F5E5BF5" w14:textId="64160882">
      <w:pPr>
        <w:rPr>
          <w:b/>
          <w:szCs w:val="20"/>
          <w:lang w:val="nl-NL"/>
        </w:rPr>
      </w:pPr>
      <w:r w:rsidRPr="00CF1D7D">
        <w:rPr>
          <w:szCs w:val="20"/>
          <w:lang w:val="nl-NL"/>
        </w:rPr>
        <w:t>Voor een algemeen beeld van het Chileense belastingstelsel op het moment van</w:t>
      </w:r>
      <w:r w:rsidRPr="00CF1D7D" w:rsidR="00BD711A">
        <w:rPr>
          <w:szCs w:val="20"/>
          <w:lang w:val="nl-NL"/>
        </w:rPr>
        <w:t xml:space="preserve"> ondertekening van dit Verdrag is het volgende van belang</w:t>
      </w:r>
      <w:r w:rsidRPr="00CF1D7D" w:rsidR="00543580">
        <w:rPr>
          <w:szCs w:val="20"/>
          <w:lang w:val="nl-NL"/>
        </w:rPr>
        <w:t>:</w:t>
      </w:r>
      <w:r w:rsidRPr="00CF1D7D" w:rsidR="00FE0157">
        <w:rPr>
          <w:szCs w:val="20"/>
          <w:lang w:val="nl-NL"/>
        </w:rPr>
        <w:t xml:space="preserve"> </w:t>
      </w:r>
    </w:p>
    <w:p w:rsidRPr="00CF1D7D" w:rsidR="00C73D1A" w:rsidP="00093C52" w:rsidRDefault="00B76642" w14:paraId="7B5773BF" w14:textId="20F0E0A2">
      <w:pPr>
        <w:pStyle w:val="ListParagraph"/>
        <w:numPr>
          <w:ilvl w:val="0"/>
          <w:numId w:val="37"/>
        </w:numPr>
        <w:spacing w:line="360" w:lineRule="auto"/>
        <w:ind w:left="357" w:hanging="357"/>
        <w:rPr>
          <w:rFonts w:ascii="Arial" w:hAnsi="Arial"/>
          <w:sz w:val="20"/>
          <w:szCs w:val="20"/>
        </w:rPr>
      </w:pPr>
      <w:r w:rsidRPr="00CF1D7D">
        <w:rPr>
          <w:rFonts w:ascii="Arial" w:hAnsi="Arial"/>
          <w:sz w:val="20"/>
          <w:szCs w:val="20"/>
        </w:rPr>
        <w:t>Voor i</w:t>
      </w:r>
      <w:r w:rsidRPr="00CF1D7D" w:rsidR="00967FE7">
        <w:rPr>
          <w:rFonts w:ascii="Arial" w:hAnsi="Arial"/>
          <w:sz w:val="20"/>
          <w:szCs w:val="20"/>
        </w:rPr>
        <w:t xml:space="preserve">nterest die </w:t>
      </w:r>
      <w:r w:rsidRPr="00CF1D7D" w:rsidR="0095734E">
        <w:rPr>
          <w:rFonts w:ascii="Arial" w:hAnsi="Arial"/>
          <w:sz w:val="20"/>
          <w:szCs w:val="20"/>
        </w:rPr>
        <w:t xml:space="preserve">vanuit Chili wordt betaald </w:t>
      </w:r>
      <w:r w:rsidRPr="00CF1D7D" w:rsidR="00967FE7">
        <w:rPr>
          <w:rFonts w:ascii="Arial" w:hAnsi="Arial"/>
          <w:sz w:val="20"/>
          <w:szCs w:val="20"/>
        </w:rPr>
        <w:t>aan niet-inwoners</w:t>
      </w:r>
      <w:r w:rsidRPr="00CF1D7D">
        <w:rPr>
          <w:rFonts w:ascii="Arial" w:hAnsi="Arial"/>
          <w:sz w:val="20"/>
          <w:szCs w:val="20"/>
        </w:rPr>
        <w:t xml:space="preserve"> geldt</w:t>
      </w:r>
      <w:r w:rsidRPr="00CF1D7D" w:rsidR="00967FE7">
        <w:rPr>
          <w:rFonts w:ascii="Arial" w:hAnsi="Arial"/>
          <w:sz w:val="20"/>
          <w:szCs w:val="20"/>
        </w:rPr>
        <w:t xml:space="preserve"> in het algemeen </w:t>
      </w:r>
      <w:r w:rsidRPr="00CF1D7D" w:rsidR="00E517D7">
        <w:rPr>
          <w:rFonts w:ascii="Arial" w:hAnsi="Arial"/>
          <w:sz w:val="20"/>
          <w:szCs w:val="20"/>
        </w:rPr>
        <w:t xml:space="preserve">een bronheffing </w:t>
      </w:r>
      <w:r w:rsidRPr="00CF1D7D" w:rsidR="00734CC0">
        <w:rPr>
          <w:rFonts w:ascii="Arial" w:hAnsi="Arial"/>
          <w:sz w:val="20"/>
          <w:szCs w:val="20"/>
        </w:rPr>
        <w:t>naar een tarief van</w:t>
      </w:r>
      <w:r w:rsidRPr="00CF1D7D" w:rsidR="00E517D7">
        <w:rPr>
          <w:rFonts w:ascii="Arial" w:hAnsi="Arial"/>
          <w:sz w:val="20"/>
          <w:szCs w:val="20"/>
        </w:rPr>
        <w:t xml:space="preserve"> 35%</w:t>
      </w:r>
      <w:r w:rsidRPr="00CF1D7D" w:rsidR="00734CC0">
        <w:rPr>
          <w:rFonts w:ascii="Arial" w:hAnsi="Arial"/>
          <w:sz w:val="20"/>
          <w:szCs w:val="20"/>
        </w:rPr>
        <w:t xml:space="preserve">. </w:t>
      </w:r>
      <w:r w:rsidRPr="00CF1D7D" w:rsidR="00BB2958">
        <w:rPr>
          <w:rFonts w:ascii="Arial" w:hAnsi="Arial"/>
          <w:sz w:val="20"/>
          <w:szCs w:val="20"/>
        </w:rPr>
        <w:t>O</w:t>
      </w:r>
      <w:r w:rsidRPr="00CF1D7D" w:rsidR="00C73D1A">
        <w:rPr>
          <w:rFonts w:ascii="Arial" w:hAnsi="Arial"/>
          <w:sz w:val="20"/>
          <w:szCs w:val="20"/>
        </w:rPr>
        <w:t xml:space="preserve">nder bepaalde omstandigheden geldt een tarief van 4% </w:t>
      </w:r>
      <w:r w:rsidRPr="00CF1D7D" w:rsidR="00523904">
        <w:rPr>
          <w:rFonts w:ascii="Arial" w:hAnsi="Arial"/>
          <w:sz w:val="20"/>
          <w:szCs w:val="20"/>
        </w:rPr>
        <w:t xml:space="preserve">(onder meer voor kort gezegd interest betaald aan buitenlandse of internationale banken of (andere) financiële instellingen) </w:t>
      </w:r>
      <w:r w:rsidRPr="00CF1D7D" w:rsidR="00C73D1A">
        <w:rPr>
          <w:rFonts w:ascii="Arial" w:hAnsi="Arial"/>
          <w:sz w:val="20"/>
          <w:szCs w:val="20"/>
        </w:rPr>
        <w:t xml:space="preserve">of is geen bronstaatheffing verschuldigd. </w:t>
      </w:r>
    </w:p>
    <w:p w:rsidRPr="00CF1D7D" w:rsidR="00E513B0" w:rsidP="00093C52" w:rsidRDefault="008903CF" w14:paraId="108E218E" w14:textId="318F0B21">
      <w:pPr>
        <w:pStyle w:val="ListParagraph"/>
        <w:numPr>
          <w:ilvl w:val="0"/>
          <w:numId w:val="37"/>
        </w:numPr>
        <w:spacing w:line="360" w:lineRule="auto"/>
        <w:ind w:left="357" w:hanging="357"/>
        <w:rPr>
          <w:rFonts w:ascii="Arial" w:hAnsi="Arial"/>
          <w:sz w:val="20"/>
          <w:szCs w:val="20"/>
        </w:rPr>
      </w:pPr>
      <w:r w:rsidRPr="00CF1D7D">
        <w:rPr>
          <w:rFonts w:ascii="Arial" w:hAnsi="Arial"/>
          <w:sz w:val="20"/>
          <w:szCs w:val="20"/>
        </w:rPr>
        <w:t>Voor r</w:t>
      </w:r>
      <w:r w:rsidRPr="00CF1D7D" w:rsidR="00E513B0">
        <w:rPr>
          <w:rFonts w:ascii="Arial" w:hAnsi="Arial"/>
          <w:sz w:val="20"/>
          <w:szCs w:val="20"/>
        </w:rPr>
        <w:t>oyalt</w:t>
      </w:r>
      <w:r w:rsidR="00611216">
        <w:rPr>
          <w:rFonts w:ascii="Arial" w:hAnsi="Arial"/>
          <w:sz w:val="20"/>
          <w:szCs w:val="20"/>
        </w:rPr>
        <w:t>y’</w:t>
      </w:r>
      <w:r w:rsidRPr="00CF1D7D" w:rsidR="00E513B0">
        <w:rPr>
          <w:rFonts w:ascii="Arial" w:hAnsi="Arial"/>
          <w:sz w:val="20"/>
          <w:szCs w:val="20"/>
        </w:rPr>
        <w:t>s</w:t>
      </w:r>
      <w:r w:rsidRPr="00CF1D7D" w:rsidR="00BB2958">
        <w:rPr>
          <w:rFonts w:ascii="Arial" w:hAnsi="Arial"/>
          <w:sz w:val="20"/>
          <w:szCs w:val="20"/>
        </w:rPr>
        <w:t xml:space="preserve"> die vanuit Chili worden betaald aan niet-inwoners geldt in het algemeen een bronheffing naar een tarief van 30%. </w:t>
      </w:r>
      <w:r w:rsidRPr="00CF1D7D" w:rsidR="009A3056">
        <w:rPr>
          <w:rFonts w:ascii="Arial" w:hAnsi="Arial"/>
          <w:sz w:val="20"/>
          <w:szCs w:val="20"/>
        </w:rPr>
        <w:t>Hierop</w:t>
      </w:r>
      <w:r w:rsidRPr="00CF1D7D" w:rsidR="00BB2958">
        <w:rPr>
          <w:rFonts w:ascii="Arial" w:hAnsi="Arial"/>
          <w:sz w:val="20"/>
          <w:szCs w:val="20"/>
        </w:rPr>
        <w:t xml:space="preserve"> gelden </w:t>
      </w:r>
      <w:r w:rsidRPr="00CF1D7D" w:rsidR="009A3056">
        <w:rPr>
          <w:rFonts w:ascii="Arial" w:hAnsi="Arial"/>
          <w:sz w:val="20"/>
          <w:szCs w:val="20"/>
        </w:rPr>
        <w:t xml:space="preserve">diverse </w:t>
      </w:r>
      <w:r w:rsidRPr="00CF1D7D" w:rsidR="00BB2958">
        <w:rPr>
          <w:rFonts w:ascii="Arial" w:hAnsi="Arial"/>
          <w:sz w:val="20"/>
          <w:szCs w:val="20"/>
        </w:rPr>
        <w:t>uitzonderingen</w:t>
      </w:r>
      <w:r w:rsidRPr="00CF1D7D" w:rsidR="009A3056">
        <w:rPr>
          <w:rFonts w:ascii="Arial" w:hAnsi="Arial"/>
          <w:sz w:val="20"/>
          <w:szCs w:val="20"/>
        </w:rPr>
        <w:t xml:space="preserve">, </w:t>
      </w:r>
      <w:r w:rsidRPr="00CF1D7D" w:rsidR="00503BDE">
        <w:rPr>
          <w:rFonts w:ascii="Arial" w:hAnsi="Arial"/>
          <w:sz w:val="20"/>
          <w:szCs w:val="20"/>
        </w:rPr>
        <w:t xml:space="preserve">onder meer </w:t>
      </w:r>
      <w:r w:rsidRPr="00CF1D7D" w:rsidR="009A3056">
        <w:rPr>
          <w:rFonts w:ascii="Arial" w:hAnsi="Arial"/>
          <w:sz w:val="20"/>
          <w:szCs w:val="20"/>
        </w:rPr>
        <w:t xml:space="preserve">bij </w:t>
      </w:r>
      <w:r w:rsidRPr="00CF1D7D" w:rsidR="00503BDE">
        <w:rPr>
          <w:rFonts w:ascii="Arial" w:hAnsi="Arial"/>
          <w:sz w:val="20"/>
          <w:szCs w:val="20"/>
        </w:rPr>
        <w:t>betalingen voor het gebruik van patenten op</w:t>
      </w:r>
      <w:r w:rsidRPr="00CF1D7D" w:rsidR="00D8657E">
        <w:rPr>
          <w:rFonts w:ascii="Arial" w:hAnsi="Arial"/>
          <w:sz w:val="20"/>
          <w:szCs w:val="20"/>
        </w:rPr>
        <w:t xml:space="preserve"> ontdekkingen</w:t>
      </w:r>
      <w:r w:rsidRPr="00CF1D7D" w:rsidR="00503BDE">
        <w:rPr>
          <w:rFonts w:ascii="Arial" w:hAnsi="Arial"/>
          <w:sz w:val="20"/>
          <w:szCs w:val="20"/>
        </w:rPr>
        <w:t xml:space="preserve">, gebruiksmodellen of </w:t>
      </w:r>
      <w:proofErr w:type="spellStart"/>
      <w:r w:rsidRPr="00CF1D7D" w:rsidR="00503BDE">
        <w:rPr>
          <w:rFonts w:ascii="Arial" w:hAnsi="Arial"/>
          <w:sz w:val="20"/>
          <w:szCs w:val="20"/>
        </w:rPr>
        <w:t>industriele</w:t>
      </w:r>
      <w:proofErr w:type="spellEnd"/>
      <w:r w:rsidRPr="00CF1D7D" w:rsidR="00503BDE">
        <w:rPr>
          <w:rFonts w:ascii="Arial" w:hAnsi="Arial"/>
          <w:sz w:val="20"/>
          <w:szCs w:val="20"/>
        </w:rPr>
        <w:t xml:space="preserve"> ontwerpen of gebruiksrechten of exploitatie van software (15%). </w:t>
      </w:r>
    </w:p>
    <w:p w:rsidRPr="00CF1D7D" w:rsidR="00320F31" w:rsidP="00093C52" w:rsidRDefault="00320F31" w14:paraId="6D650F34" w14:textId="58C51134">
      <w:pPr>
        <w:pStyle w:val="ListParagraph"/>
        <w:numPr>
          <w:ilvl w:val="0"/>
          <w:numId w:val="37"/>
        </w:numPr>
        <w:spacing w:line="360" w:lineRule="auto"/>
        <w:ind w:left="357" w:hanging="357"/>
        <w:rPr>
          <w:rFonts w:ascii="Arial" w:hAnsi="Arial"/>
          <w:sz w:val="20"/>
          <w:szCs w:val="20"/>
        </w:rPr>
      </w:pPr>
      <w:r w:rsidRPr="00CF1D7D">
        <w:rPr>
          <w:rFonts w:ascii="Arial" w:hAnsi="Arial"/>
          <w:sz w:val="20"/>
          <w:szCs w:val="20"/>
        </w:rPr>
        <w:lastRenderedPageBreak/>
        <w:t xml:space="preserve">Voor vervreemdingswinsten op aandelen die </w:t>
      </w:r>
      <w:r w:rsidRPr="00CF1D7D" w:rsidR="00CB6FE1">
        <w:rPr>
          <w:rFonts w:ascii="Arial" w:hAnsi="Arial"/>
          <w:sz w:val="20"/>
          <w:szCs w:val="20"/>
        </w:rPr>
        <w:t>voor een bepaald gedeelte hun waarde ontlenen aan een vennootschap gevestigd in Chili, een vaste inrichting in Chili of goederen in Chili geldt nationaal een bronstaatheffing van in het algemeen 35%</w:t>
      </w:r>
      <w:r w:rsidRPr="00CF1D7D" w:rsidR="00AD3C9F">
        <w:rPr>
          <w:rFonts w:ascii="Arial" w:hAnsi="Arial"/>
          <w:sz w:val="20"/>
          <w:szCs w:val="20"/>
        </w:rPr>
        <w:t xml:space="preserve">. Hierop bestaan verschillende uitzonderingen (onder andere voor aan de aandelenbeurs verhandelde </w:t>
      </w:r>
      <w:r w:rsidR="000456AE">
        <w:rPr>
          <w:rFonts w:ascii="Arial" w:hAnsi="Arial"/>
          <w:sz w:val="20"/>
          <w:szCs w:val="20"/>
        </w:rPr>
        <w:t>a</w:t>
      </w:r>
      <w:r w:rsidRPr="00CF1D7D" w:rsidR="00AD3C9F">
        <w:rPr>
          <w:rFonts w:ascii="Arial" w:hAnsi="Arial"/>
          <w:sz w:val="20"/>
          <w:szCs w:val="20"/>
        </w:rPr>
        <w:t>andelen</w:t>
      </w:r>
      <w:r w:rsidRPr="00CF1D7D" w:rsidR="00F62EFA">
        <w:rPr>
          <w:rFonts w:ascii="Arial" w:hAnsi="Arial"/>
          <w:sz w:val="20"/>
          <w:szCs w:val="20"/>
        </w:rPr>
        <w:t xml:space="preserve"> onder bepaalde voorwaarden</w:t>
      </w:r>
      <w:r w:rsidRPr="00CF1D7D" w:rsidR="00AD3C9F">
        <w:rPr>
          <w:rFonts w:ascii="Arial" w:hAnsi="Arial"/>
          <w:sz w:val="20"/>
          <w:szCs w:val="20"/>
        </w:rPr>
        <w:t>).</w:t>
      </w:r>
      <w:r w:rsidRPr="00CF1D7D" w:rsidR="00D463FA">
        <w:rPr>
          <w:rFonts w:ascii="Arial" w:hAnsi="Arial"/>
          <w:sz w:val="20"/>
          <w:szCs w:val="20"/>
        </w:rPr>
        <w:t xml:space="preserve"> </w:t>
      </w:r>
    </w:p>
    <w:p w:rsidRPr="00CF1D7D" w:rsidR="00CE549C" w:rsidP="00093C52" w:rsidRDefault="00BD711A" w14:paraId="326C5EE3" w14:textId="7E6985AD">
      <w:pPr>
        <w:pStyle w:val="ListParagraph"/>
        <w:numPr>
          <w:ilvl w:val="0"/>
          <w:numId w:val="37"/>
        </w:numPr>
        <w:spacing w:line="360" w:lineRule="auto"/>
        <w:ind w:left="357" w:hanging="357"/>
        <w:rPr>
          <w:rFonts w:ascii="Arial" w:hAnsi="Arial"/>
          <w:sz w:val="20"/>
          <w:szCs w:val="20"/>
        </w:rPr>
      </w:pPr>
      <w:r w:rsidRPr="00CF1D7D">
        <w:rPr>
          <w:rFonts w:ascii="Arial" w:hAnsi="Arial"/>
          <w:sz w:val="20"/>
          <w:szCs w:val="20"/>
        </w:rPr>
        <w:t xml:space="preserve">Chili </w:t>
      </w:r>
      <w:r w:rsidRPr="00CF1D7D" w:rsidR="009A3056">
        <w:rPr>
          <w:rFonts w:ascii="Arial" w:hAnsi="Arial"/>
          <w:sz w:val="20"/>
          <w:szCs w:val="20"/>
        </w:rPr>
        <w:t>kent verder bronheffingen</w:t>
      </w:r>
      <w:r w:rsidRPr="00CF1D7D">
        <w:rPr>
          <w:rFonts w:ascii="Arial" w:hAnsi="Arial"/>
          <w:sz w:val="20"/>
          <w:szCs w:val="20"/>
        </w:rPr>
        <w:t xml:space="preserve"> </w:t>
      </w:r>
      <w:r w:rsidRPr="00CF1D7D" w:rsidR="00F02EE8">
        <w:rPr>
          <w:rFonts w:ascii="Arial" w:hAnsi="Arial"/>
          <w:sz w:val="20"/>
          <w:szCs w:val="20"/>
        </w:rPr>
        <w:t>over</w:t>
      </w:r>
      <w:r w:rsidRPr="00CF1D7D">
        <w:rPr>
          <w:rFonts w:ascii="Arial" w:hAnsi="Arial"/>
          <w:sz w:val="20"/>
          <w:szCs w:val="20"/>
        </w:rPr>
        <w:t xml:space="preserve"> </w:t>
      </w:r>
      <w:r w:rsidRPr="00CF1D7D" w:rsidR="009A3056">
        <w:rPr>
          <w:rFonts w:ascii="Arial" w:hAnsi="Arial"/>
          <w:sz w:val="20"/>
          <w:szCs w:val="20"/>
        </w:rPr>
        <w:t xml:space="preserve">onder andere </w:t>
      </w:r>
      <w:r w:rsidRPr="00CF1D7D" w:rsidR="00F02EE8">
        <w:rPr>
          <w:rFonts w:ascii="Arial" w:hAnsi="Arial"/>
          <w:sz w:val="20"/>
          <w:szCs w:val="20"/>
        </w:rPr>
        <w:t xml:space="preserve">betalingen voor </w:t>
      </w:r>
      <w:r w:rsidRPr="00CF1D7D" w:rsidR="009A3056">
        <w:rPr>
          <w:rFonts w:ascii="Arial" w:hAnsi="Arial"/>
          <w:sz w:val="20"/>
          <w:szCs w:val="20"/>
        </w:rPr>
        <w:t xml:space="preserve">kort gezegd </w:t>
      </w:r>
      <w:r w:rsidRPr="00CF1D7D" w:rsidR="007C4465">
        <w:rPr>
          <w:rFonts w:ascii="Arial" w:hAnsi="Arial"/>
          <w:sz w:val="20"/>
          <w:szCs w:val="20"/>
        </w:rPr>
        <w:t xml:space="preserve">technische diensten (bronheffing van </w:t>
      </w:r>
      <w:r w:rsidRPr="00CF1D7D" w:rsidR="0020241A">
        <w:rPr>
          <w:rFonts w:ascii="Arial" w:hAnsi="Arial"/>
          <w:sz w:val="20"/>
          <w:szCs w:val="20"/>
        </w:rPr>
        <w:t xml:space="preserve">15%), </w:t>
      </w:r>
      <w:r w:rsidRPr="00CF1D7D" w:rsidR="009A3056">
        <w:rPr>
          <w:rFonts w:ascii="Arial" w:hAnsi="Arial"/>
          <w:sz w:val="20"/>
          <w:szCs w:val="20"/>
        </w:rPr>
        <w:t xml:space="preserve">premies voor verzekeringen </w:t>
      </w:r>
      <w:r w:rsidRPr="00CF1D7D" w:rsidR="00FD5591">
        <w:rPr>
          <w:rFonts w:ascii="Arial" w:hAnsi="Arial"/>
          <w:sz w:val="20"/>
          <w:szCs w:val="20"/>
        </w:rPr>
        <w:t xml:space="preserve">die betrekking hebben op onder meer goederen </w:t>
      </w:r>
      <w:r w:rsidRPr="00CF1D7D" w:rsidR="00F02EE8">
        <w:rPr>
          <w:rFonts w:ascii="Arial" w:hAnsi="Arial"/>
          <w:sz w:val="20"/>
          <w:szCs w:val="20"/>
        </w:rPr>
        <w:t xml:space="preserve">gelegen in </w:t>
      </w:r>
      <w:r w:rsidRPr="00CF1D7D" w:rsidR="00FD5591">
        <w:rPr>
          <w:rFonts w:ascii="Arial" w:hAnsi="Arial"/>
          <w:sz w:val="20"/>
          <w:szCs w:val="20"/>
        </w:rPr>
        <w:t>Chili (bronheffing van 22%, bij herverzekering geldt een tarief van 2%</w:t>
      </w:r>
      <w:r w:rsidRPr="00CF1D7D" w:rsidR="00F02EE8">
        <w:rPr>
          <w:rFonts w:ascii="Arial" w:hAnsi="Arial"/>
          <w:sz w:val="20"/>
          <w:szCs w:val="20"/>
        </w:rPr>
        <w:t xml:space="preserve"> en bepaalde verzekeringen zijn vrijgesteld</w:t>
      </w:r>
      <w:r w:rsidRPr="00CF1D7D" w:rsidR="00FD5591">
        <w:rPr>
          <w:rFonts w:ascii="Arial" w:hAnsi="Arial"/>
          <w:sz w:val="20"/>
          <w:szCs w:val="20"/>
        </w:rPr>
        <w:t xml:space="preserve">), </w:t>
      </w:r>
      <w:r w:rsidRPr="00CF1D7D" w:rsidR="00FB5219">
        <w:rPr>
          <w:rFonts w:ascii="Arial" w:hAnsi="Arial"/>
          <w:sz w:val="20"/>
          <w:szCs w:val="20"/>
        </w:rPr>
        <w:t xml:space="preserve">maritiem vervoer van of naar Chileense havens (bronheffing van 5%, </w:t>
      </w:r>
      <w:r w:rsidRPr="00CF1D7D" w:rsidR="00D95118">
        <w:rPr>
          <w:rFonts w:ascii="Arial" w:hAnsi="Arial"/>
          <w:sz w:val="20"/>
          <w:szCs w:val="20"/>
        </w:rPr>
        <w:t>behoudens</w:t>
      </w:r>
      <w:r w:rsidRPr="00CF1D7D" w:rsidR="00FB5219">
        <w:rPr>
          <w:rFonts w:ascii="Arial" w:hAnsi="Arial"/>
          <w:sz w:val="20"/>
          <w:szCs w:val="20"/>
        </w:rPr>
        <w:t xml:space="preserve"> uitzonderingen), </w:t>
      </w:r>
      <w:r w:rsidRPr="00CF1D7D" w:rsidR="00D95118">
        <w:rPr>
          <w:rFonts w:ascii="Arial" w:hAnsi="Arial"/>
          <w:sz w:val="20"/>
          <w:szCs w:val="20"/>
        </w:rPr>
        <w:t xml:space="preserve">betalingen voor de huur of chartering van buitenlandse schepen </w:t>
      </w:r>
      <w:r w:rsidRPr="00CF1D7D" w:rsidR="00FC53A8">
        <w:rPr>
          <w:rFonts w:ascii="Arial" w:hAnsi="Arial"/>
          <w:sz w:val="20"/>
          <w:szCs w:val="20"/>
        </w:rPr>
        <w:t>die</w:t>
      </w:r>
      <w:r w:rsidRPr="00CF1D7D" w:rsidR="00D95118">
        <w:rPr>
          <w:rFonts w:ascii="Arial" w:hAnsi="Arial"/>
          <w:sz w:val="20"/>
          <w:szCs w:val="20"/>
        </w:rPr>
        <w:t xml:space="preserve"> gebruikt worden voor </w:t>
      </w:r>
      <w:r w:rsidRPr="00CF1D7D" w:rsidR="00FC53A8">
        <w:rPr>
          <w:rFonts w:ascii="Arial" w:hAnsi="Arial"/>
          <w:sz w:val="20"/>
          <w:szCs w:val="20"/>
        </w:rPr>
        <w:t>cabotage</w:t>
      </w:r>
      <w:r w:rsidRPr="00CF1D7D" w:rsidR="00D95118">
        <w:rPr>
          <w:rFonts w:ascii="Arial" w:hAnsi="Arial"/>
          <w:sz w:val="20"/>
          <w:szCs w:val="20"/>
        </w:rPr>
        <w:t xml:space="preserve"> </w:t>
      </w:r>
      <w:r w:rsidRPr="00CF1D7D" w:rsidR="00FC53A8">
        <w:rPr>
          <w:rFonts w:ascii="Arial" w:hAnsi="Arial"/>
          <w:sz w:val="20"/>
          <w:szCs w:val="20"/>
        </w:rPr>
        <w:t>(bronheffing van 20%)</w:t>
      </w:r>
      <w:r w:rsidRPr="00CF1D7D" w:rsidR="00E14086">
        <w:rPr>
          <w:rFonts w:ascii="Arial" w:hAnsi="Arial"/>
          <w:sz w:val="20"/>
          <w:szCs w:val="20"/>
        </w:rPr>
        <w:t>.</w:t>
      </w:r>
    </w:p>
    <w:p w:rsidRPr="00CF1D7D" w:rsidR="00320F31" w:rsidP="00093C52" w:rsidRDefault="00F85D8B" w14:paraId="7B421A92" w14:textId="450BDC21">
      <w:pPr>
        <w:pStyle w:val="ListParagraph"/>
        <w:numPr>
          <w:ilvl w:val="0"/>
          <w:numId w:val="37"/>
        </w:numPr>
        <w:spacing w:line="360" w:lineRule="auto"/>
        <w:rPr>
          <w:rFonts w:ascii="Arial" w:hAnsi="Arial"/>
          <w:sz w:val="20"/>
          <w:szCs w:val="20"/>
        </w:rPr>
      </w:pPr>
      <w:r w:rsidRPr="00CF1D7D">
        <w:rPr>
          <w:rFonts w:ascii="Arial" w:hAnsi="Arial"/>
          <w:sz w:val="20"/>
          <w:szCs w:val="20"/>
        </w:rPr>
        <w:t>Chili kent een specifieke belasting voor mijnactiviteiten (</w:t>
      </w:r>
      <w:proofErr w:type="spellStart"/>
      <w:r w:rsidRPr="00CF1D7D">
        <w:rPr>
          <w:rFonts w:ascii="Arial" w:hAnsi="Arial"/>
          <w:i/>
          <w:sz w:val="20"/>
          <w:szCs w:val="20"/>
        </w:rPr>
        <w:t>impuesto</w:t>
      </w:r>
      <w:proofErr w:type="spellEnd"/>
      <w:r w:rsidRPr="00CF1D7D">
        <w:rPr>
          <w:rFonts w:ascii="Arial" w:hAnsi="Arial"/>
          <w:i/>
          <w:sz w:val="20"/>
          <w:szCs w:val="20"/>
        </w:rPr>
        <w:t xml:space="preserve"> </w:t>
      </w:r>
      <w:proofErr w:type="spellStart"/>
      <w:r w:rsidRPr="00CF1D7D">
        <w:rPr>
          <w:rFonts w:ascii="Arial" w:hAnsi="Arial"/>
          <w:i/>
          <w:sz w:val="20"/>
          <w:szCs w:val="20"/>
        </w:rPr>
        <w:t>específico</w:t>
      </w:r>
      <w:proofErr w:type="spellEnd"/>
      <w:r w:rsidRPr="00CF1D7D">
        <w:rPr>
          <w:rFonts w:ascii="Arial" w:hAnsi="Arial"/>
          <w:i/>
          <w:sz w:val="20"/>
          <w:szCs w:val="20"/>
        </w:rPr>
        <w:t xml:space="preserve"> a la </w:t>
      </w:r>
      <w:proofErr w:type="spellStart"/>
      <w:r w:rsidRPr="00CF1D7D">
        <w:rPr>
          <w:rFonts w:ascii="Arial" w:hAnsi="Arial"/>
          <w:i/>
          <w:sz w:val="20"/>
          <w:szCs w:val="20"/>
        </w:rPr>
        <w:t>actividad</w:t>
      </w:r>
      <w:proofErr w:type="spellEnd"/>
      <w:r w:rsidRPr="00CF1D7D">
        <w:rPr>
          <w:rFonts w:ascii="Arial" w:hAnsi="Arial"/>
          <w:i/>
          <w:sz w:val="20"/>
          <w:szCs w:val="20"/>
        </w:rPr>
        <w:t xml:space="preserve"> </w:t>
      </w:r>
      <w:proofErr w:type="spellStart"/>
      <w:r w:rsidRPr="00CF1D7D">
        <w:rPr>
          <w:rFonts w:ascii="Arial" w:hAnsi="Arial"/>
          <w:i/>
          <w:sz w:val="20"/>
          <w:szCs w:val="20"/>
        </w:rPr>
        <w:t>minera</w:t>
      </w:r>
      <w:proofErr w:type="spellEnd"/>
      <w:r w:rsidRPr="00CF1D7D">
        <w:rPr>
          <w:rFonts w:ascii="Arial" w:hAnsi="Arial"/>
          <w:sz w:val="20"/>
          <w:szCs w:val="20"/>
        </w:rPr>
        <w:t xml:space="preserve">) </w:t>
      </w:r>
      <w:r w:rsidRPr="00CF1D7D" w:rsidR="004B3B07">
        <w:rPr>
          <w:rFonts w:ascii="Arial" w:hAnsi="Arial"/>
          <w:sz w:val="20"/>
          <w:szCs w:val="20"/>
        </w:rPr>
        <w:t>die in beginsel in aftrek kan worden gebracht op de inkomstenbelasting in Chili.</w:t>
      </w:r>
    </w:p>
    <w:p w:rsidRPr="00CF1D7D" w:rsidR="00E14086" w:rsidP="00E14086" w:rsidRDefault="00574048" w14:paraId="01DA32B7" w14:textId="57AABFA9">
      <w:pPr>
        <w:ind w:firstLine="0"/>
        <w:rPr>
          <w:szCs w:val="20"/>
          <w:lang w:val="nl-NL"/>
        </w:rPr>
      </w:pPr>
      <w:r w:rsidRPr="00CF1D7D">
        <w:rPr>
          <w:szCs w:val="20"/>
          <w:lang w:val="nl-NL"/>
        </w:rPr>
        <w:t xml:space="preserve">Het </w:t>
      </w:r>
      <w:r w:rsidRPr="00CF1D7D" w:rsidR="00A040A1">
        <w:rPr>
          <w:szCs w:val="20"/>
          <w:lang w:val="nl-NL"/>
        </w:rPr>
        <w:t xml:space="preserve">verdragennetwerk van Chili bestaat – op </w:t>
      </w:r>
      <w:r w:rsidRPr="00CF1D7D" w:rsidR="00C865AE">
        <w:rPr>
          <w:szCs w:val="20"/>
          <w:lang w:val="nl-NL"/>
        </w:rPr>
        <w:t xml:space="preserve">het moment van ondertekening van dit Verdrag </w:t>
      </w:r>
      <w:r w:rsidRPr="00CF1D7D" w:rsidR="00A040A1">
        <w:rPr>
          <w:szCs w:val="20"/>
          <w:lang w:val="nl-NL"/>
        </w:rPr>
        <w:t xml:space="preserve">– uit ruim dertig </w:t>
      </w:r>
      <w:r w:rsidRPr="00CF1D7D">
        <w:rPr>
          <w:szCs w:val="20"/>
          <w:lang w:val="nl-NL"/>
        </w:rPr>
        <w:t xml:space="preserve">in werking getreden </w:t>
      </w:r>
      <w:r w:rsidRPr="00CF1D7D" w:rsidR="00A040A1">
        <w:rPr>
          <w:szCs w:val="20"/>
          <w:lang w:val="nl-NL"/>
        </w:rPr>
        <w:t>belastingverdragen</w:t>
      </w:r>
      <w:r w:rsidRPr="00CF1D7D" w:rsidR="00B56902">
        <w:rPr>
          <w:szCs w:val="20"/>
          <w:lang w:val="nl-NL"/>
        </w:rPr>
        <w:t>, waaronder verdragen met het Verenigd Koninkrijk (ondertekend in 2003), Frankrijk (ondertekend in 2004), Ierla</w:t>
      </w:r>
      <w:r w:rsidRPr="00CF1D7D" w:rsidR="00522D0F">
        <w:rPr>
          <w:szCs w:val="20"/>
          <w:lang w:val="nl-NL"/>
        </w:rPr>
        <w:t>nd (ondertekend in 2005), Belgi</w:t>
      </w:r>
      <w:r w:rsidRPr="00CF1D7D" w:rsidR="00522D0F">
        <w:rPr>
          <w:rFonts w:cs="Arial"/>
          <w:szCs w:val="20"/>
          <w:lang w:val="nl-NL"/>
        </w:rPr>
        <w:t>ë</w:t>
      </w:r>
      <w:r w:rsidRPr="00CF1D7D" w:rsidR="00B56902">
        <w:rPr>
          <w:szCs w:val="20"/>
          <w:lang w:val="nl-NL"/>
        </w:rPr>
        <w:t xml:space="preserve"> (ondertekend in 2007) en Zwitserland (ondertekend in 2008)</w:t>
      </w:r>
      <w:r w:rsidRPr="00CF1D7D" w:rsidR="00A040A1">
        <w:rPr>
          <w:szCs w:val="20"/>
          <w:lang w:val="nl-NL"/>
        </w:rPr>
        <w:t>.</w:t>
      </w:r>
      <w:r w:rsidRPr="00CF1D7D" w:rsidR="00D93827">
        <w:rPr>
          <w:rStyle w:val="FootnoteReference"/>
          <w:szCs w:val="20"/>
          <w:lang w:val="nl-NL"/>
        </w:rPr>
        <w:footnoteReference w:id="5"/>
      </w:r>
      <w:r w:rsidRPr="00CF1D7D" w:rsidR="00F171A4">
        <w:rPr>
          <w:szCs w:val="20"/>
          <w:lang w:val="nl-NL"/>
        </w:rPr>
        <w:t xml:space="preserve"> Kenmerkend voor deze belastingverdragen is dat Chili zijn systeem van de aanvullende belasting (</w:t>
      </w:r>
      <w:proofErr w:type="spellStart"/>
      <w:r w:rsidRPr="00CF1D7D" w:rsidR="00F171A4">
        <w:rPr>
          <w:i/>
          <w:szCs w:val="20"/>
          <w:lang w:val="nl-NL"/>
        </w:rPr>
        <w:t>impuesto</w:t>
      </w:r>
      <w:proofErr w:type="spellEnd"/>
      <w:r w:rsidRPr="00CF1D7D" w:rsidR="00F171A4">
        <w:rPr>
          <w:i/>
          <w:szCs w:val="20"/>
          <w:lang w:val="nl-NL"/>
        </w:rPr>
        <w:t xml:space="preserve"> </w:t>
      </w:r>
      <w:proofErr w:type="spellStart"/>
      <w:r w:rsidRPr="00CF1D7D" w:rsidR="00F171A4">
        <w:rPr>
          <w:i/>
          <w:szCs w:val="20"/>
          <w:lang w:val="nl-NL"/>
        </w:rPr>
        <w:t>adicional</w:t>
      </w:r>
      <w:proofErr w:type="spellEnd"/>
      <w:r w:rsidRPr="00CF1D7D" w:rsidR="00F171A4">
        <w:rPr>
          <w:i/>
          <w:szCs w:val="20"/>
          <w:lang w:val="nl-NL"/>
        </w:rPr>
        <w:t>)</w:t>
      </w:r>
      <w:r w:rsidRPr="00CF1D7D" w:rsidR="00F171A4">
        <w:rPr>
          <w:szCs w:val="20"/>
          <w:lang w:val="nl-NL"/>
        </w:rPr>
        <w:t xml:space="preserve"> heeft uitgesloten van de toepassing van het dividendartikel</w:t>
      </w:r>
      <w:r w:rsidRPr="00CF1D7D" w:rsidR="00B30DC3">
        <w:rPr>
          <w:szCs w:val="20"/>
          <w:lang w:val="nl-NL"/>
        </w:rPr>
        <w:t xml:space="preserve">. Daarnaast bevat het verdragennetwerk van Chili meestbegunstigingsbepalingen waardoor latere afspraken met nieuwe verdragspartners over de verdeling van heffingsrechten invloed kunnen hebben op eerder gesloten verdragen met Chili. </w:t>
      </w:r>
      <w:r w:rsidRPr="00CF1D7D" w:rsidR="00B35A80">
        <w:rPr>
          <w:szCs w:val="20"/>
          <w:lang w:val="nl-NL"/>
        </w:rPr>
        <w:t>Mede daar</w:t>
      </w:r>
      <w:r w:rsidRPr="00CF1D7D" w:rsidR="00A0672B">
        <w:rPr>
          <w:szCs w:val="20"/>
          <w:lang w:val="nl-NL"/>
        </w:rPr>
        <w:t>om</w:t>
      </w:r>
      <w:r w:rsidRPr="00CF1D7D" w:rsidR="00B35A80">
        <w:rPr>
          <w:szCs w:val="20"/>
          <w:lang w:val="nl-NL"/>
        </w:rPr>
        <w:t xml:space="preserve"> is op veel punten aansluiting gezocht </w:t>
      </w:r>
      <w:r w:rsidRPr="00CF1D7D" w:rsidR="005B10DC">
        <w:rPr>
          <w:szCs w:val="20"/>
          <w:lang w:val="nl-NL"/>
        </w:rPr>
        <w:t xml:space="preserve">bij </w:t>
      </w:r>
      <w:r w:rsidRPr="00CF1D7D" w:rsidR="005B10DC">
        <w:rPr>
          <w:rFonts w:cs="Arial"/>
          <w:szCs w:val="20"/>
          <w:lang w:val="nl-NL"/>
        </w:rPr>
        <w:t>h</w:t>
      </w:r>
      <w:r w:rsidRPr="00CF1D7D" w:rsidR="00B30DC3">
        <w:rPr>
          <w:rFonts w:cs="Arial"/>
          <w:szCs w:val="20"/>
          <w:lang w:val="nl-NL"/>
        </w:rPr>
        <w:t xml:space="preserve">et </w:t>
      </w:r>
      <w:r w:rsidRPr="00CF1D7D" w:rsidR="005B10DC">
        <w:rPr>
          <w:rFonts w:cs="Arial"/>
          <w:szCs w:val="20"/>
          <w:lang w:val="nl-NL"/>
        </w:rPr>
        <w:t xml:space="preserve">recente </w:t>
      </w:r>
      <w:r w:rsidRPr="00CF1D7D" w:rsidR="00B30DC3">
        <w:rPr>
          <w:rFonts w:cs="Arial"/>
          <w:szCs w:val="20"/>
          <w:lang w:val="nl-NL"/>
        </w:rPr>
        <w:t xml:space="preserve">belastingverdrag </w:t>
      </w:r>
      <w:r w:rsidRPr="00CF1D7D" w:rsidR="00B35A80">
        <w:rPr>
          <w:rFonts w:cs="Arial"/>
          <w:szCs w:val="20"/>
          <w:lang w:val="nl-NL"/>
        </w:rPr>
        <w:t>tussen Chili en</w:t>
      </w:r>
      <w:r w:rsidRPr="00CF1D7D" w:rsidR="00B30DC3">
        <w:rPr>
          <w:rFonts w:cs="Arial"/>
          <w:szCs w:val="20"/>
          <w:lang w:val="nl-NL"/>
        </w:rPr>
        <w:t xml:space="preserve"> Japan</w:t>
      </w:r>
      <w:r w:rsidRPr="00CF1D7D" w:rsidR="00B35A80">
        <w:rPr>
          <w:rFonts w:cs="Arial"/>
          <w:szCs w:val="20"/>
          <w:lang w:val="nl-NL"/>
        </w:rPr>
        <w:t xml:space="preserve"> (ondertekend in 2016)</w:t>
      </w:r>
      <w:r w:rsidRPr="00CF1D7D" w:rsidR="005B10DC">
        <w:rPr>
          <w:rFonts w:cs="Arial"/>
          <w:szCs w:val="20"/>
          <w:lang w:val="nl-NL"/>
        </w:rPr>
        <w:t xml:space="preserve">. </w:t>
      </w:r>
    </w:p>
    <w:p w:rsidRPr="00A805F5" w:rsidR="00C73FCF" w:rsidP="00806900" w:rsidRDefault="008B0707" w14:paraId="05B81D50" w14:textId="425B3B00">
      <w:pPr>
        <w:pStyle w:val="Heading2"/>
        <w:rPr>
          <w:rFonts w:cs="Arial"/>
          <w:b w:val="0"/>
          <w:bCs w:val="0"/>
          <w:i/>
          <w:smallCaps w:val="0"/>
          <w:szCs w:val="20"/>
          <w:lang w:val="nl-NL"/>
        </w:rPr>
      </w:pPr>
      <w:r w:rsidRPr="00A805F5">
        <w:rPr>
          <w:rFonts w:cs="Arial"/>
          <w:b w:val="0"/>
          <w:bCs w:val="0"/>
          <w:i/>
          <w:smallCaps w:val="0"/>
          <w:szCs w:val="20"/>
          <w:lang w:val="nl-NL"/>
        </w:rPr>
        <w:t xml:space="preserve">I.4 </w:t>
      </w:r>
      <w:r w:rsidRPr="00A805F5" w:rsidR="00C73FCF">
        <w:rPr>
          <w:rFonts w:cs="Arial"/>
          <w:b w:val="0"/>
          <w:bCs w:val="0"/>
          <w:i/>
          <w:smallCaps w:val="0"/>
          <w:szCs w:val="20"/>
          <w:lang w:val="nl-NL"/>
        </w:rPr>
        <w:t>Inbreng van derden</w:t>
      </w:r>
    </w:p>
    <w:p w:rsidRPr="00395C1E" w:rsidR="002022A4" w:rsidP="00347F99" w:rsidRDefault="00842C64" w14:paraId="0349320D" w14:textId="16153DA9">
      <w:pPr>
        <w:rPr>
          <w:rFonts w:cs="Arial"/>
          <w:szCs w:val="20"/>
          <w:lang w:val="nl-NL"/>
        </w:rPr>
      </w:pPr>
      <w:r w:rsidRPr="004B0296">
        <w:rPr>
          <w:rFonts w:cs="Arial"/>
          <w:szCs w:val="20"/>
          <w:lang w:val="nl-NL"/>
        </w:rPr>
        <w:t xml:space="preserve">Het </w:t>
      </w:r>
      <w:r w:rsidRPr="004B0296" w:rsidR="00B42F64">
        <w:rPr>
          <w:rFonts w:cs="Arial"/>
          <w:szCs w:val="20"/>
          <w:lang w:val="nl-NL"/>
        </w:rPr>
        <w:t>M</w:t>
      </w:r>
      <w:r w:rsidRPr="004B0296">
        <w:rPr>
          <w:rFonts w:cs="Arial"/>
          <w:szCs w:val="20"/>
          <w:lang w:val="nl-NL"/>
        </w:rPr>
        <w:t xml:space="preserve">inisterie van Financiën heeft via </w:t>
      </w:r>
      <w:r w:rsidRPr="004B0296" w:rsidR="0064755F">
        <w:rPr>
          <w:rFonts w:cs="Arial"/>
          <w:szCs w:val="20"/>
          <w:lang w:val="nl-NL"/>
        </w:rPr>
        <w:t>de gebruikelijke nieuwsberichten</w:t>
      </w:r>
      <w:r w:rsidRPr="004B0296">
        <w:rPr>
          <w:rFonts w:cs="Arial"/>
          <w:szCs w:val="20"/>
          <w:lang w:val="nl-NL"/>
        </w:rPr>
        <w:t xml:space="preserve"> de onderhandelingen met </w:t>
      </w:r>
      <w:r w:rsidRPr="004B0296" w:rsidR="00E1294A">
        <w:rPr>
          <w:rFonts w:cs="Arial"/>
          <w:szCs w:val="20"/>
          <w:lang w:val="nl-NL"/>
        </w:rPr>
        <w:t xml:space="preserve">Chili </w:t>
      </w:r>
      <w:r w:rsidRPr="004B0296" w:rsidR="00B604DD">
        <w:rPr>
          <w:rFonts w:cs="Arial"/>
          <w:szCs w:val="20"/>
          <w:lang w:val="nl-NL"/>
        </w:rPr>
        <w:t>o</w:t>
      </w:r>
      <w:r w:rsidRPr="004B0296">
        <w:rPr>
          <w:rFonts w:cs="Arial"/>
          <w:szCs w:val="20"/>
          <w:lang w:val="nl-NL"/>
        </w:rPr>
        <w:t xml:space="preserve">nder de aandacht gebracht en belanghebbenden verzocht de voor hen van belang zijnde aangelegenheden kenbaar te maken. </w:t>
      </w:r>
      <w:r w:rsidR="008B4411">
        <w:rPr>
          <w:rFonts w:cs="Arial"/>
          <w:szCs w:val="20"/>
          <w:lang w:val="nl-NL"/>
        </w:rPr>
        <w:t>V</w:t>
      </w:r>
      <w:r w:rsidRPr="008B4411" w:rsidR="008B4411">
        <w:rPr>
          <w:rFonts w:cs="Arial"/>
          <w:szCs w:val="20"/>
          <w:lang w:val="nl-NL"/>
        </w:rPr>
        <w:t xml:space="preserve">an de zijde van het Nederlands bedrijfsleven </w:t>
      </w:r>
      <w:r w:rsidR="008B4411">
        <w:rPr>
          <w:rFonts w:cs="Arial"/>
          <w:szCs w:val="20"/>
          <w:lang w:val="nl-NL"/>
        </w:rPr>
        <w:t xml:space="preserve">is </w:t>
      </w:r>
      <w:r w:rsidRPr="008B4411" w:rsidR="008B4411">
        <w:rPr>
          <w:rFonts w:cs="Arial"/>
          <w:szCs w:val="20"/>
          <w:lang w:val="nl-NL"/>
        </w:rPr>
        <w:t xml:space="preserve">het belang bij de totstandkoming van een belastingverdrag met </w:t>
      </w:r>
      <w:r w:rsidR="008B4411">
        <w:rPr>
          <w:rFonts w:cs="Arial"/>
          <w:szCs w:val="20"/>
          <w:lang w:val="nl-NL"/>
        </w:rPr>
        <w:t>Chili</w:t>
      </w:r>
      <w:r w:rsidRPr="008B4411" w:rsidR="008B4411">
        <w:rPr>
          <w:rFonts w:cs="Arial"/>
          <w:szCs w:val="20"/>
          <w:lang w:val="nl-NL"/>
        </w:rPr>
        <w:t xml:space="preserve"> kenbaar gemaakt</w:t>
      </w:r>
      <w:r w:rsidR="008B4411">
        <w:rPr>
          <w:rFonts w:cs="Arial"/>
          <w:szCs w:val="20"/>
          <w:lang w:val="nl-NL"/>
        </w:rPr>
        <w:t xml:space="preserve">. </w:t>
      </w:r>
    </w:p>
    <w:p w:rsidRPr="00A805F5" w:rsidR="0054326D" w:rsidP="0054326D" w:rsidRDefault="007C5FE1" w14:paraId="2A11C1BD" w14:textId="66F90FD0">
      <w:pPr>
        <w:pStyle w:val="Heading2"/>
        <w:rPr>
          <w:rFonts w:cs="Arial"/>
          <w:b w:val="0"/>
          <w:bCs w:val="0"/>
          <w:i/>
          <w:smallCaps w:val="0"/>
          <w:szCs w:val="20"/>
          <w:lang w:val="nl-NL"/>
        </w:rPr>
      </w:pPr>
      <w:r w:rsidRPr="00A805F5">
        <w:rPr>
          <w:rFonts w:cs="Arial"/>
          <w:b w:val="0"/>
          <w:bCs w:val="0"/>
          <w:i/>
          <w:smallCaps w:val="0"/>
          <w:szCs w:val="20"/>
          <w:lang w:val="nl-NL"/>
        </w:rPr>
        <w:t>I.</w:t>
      </w:r>
      <w:r w:rsidRPr="00A805F5" w:rsidR="008B0707">
        <w:rPr>
          <w:rFonts w:cs="Arial"/>
          <w:b w:val="0"/>
          <w:bCs w:val="0"/>
          <w:i/>
          <w:smallCaps w:val="0"/>
          <w:szCs w:val="20"/>
          <w:lang w:val="nl-NL"/>
        </w:rPr>
        <w:t xml:space="preserve">5 </w:t>
      </w:r>
      <w:r w:rsidRPr="00A805F5" w:rsidR="0054326D">
        <w:rPr>
          <w:rFonts w:cs="Arial"/>
          <w:b w:val="0"/>
          <w:bCs w:val="0"/>
          <w:i/>
          <w:smallCaps w:val="0"/>
          <w:szCs w:val="20"/>
          <w:lang w:val="nl-NL"/>
        </w:rPr>
        <w:t>Opzet en korte samenvatting van het Verdrag</w:t>
      </w:r>
    </w:p>
    <w:p w:rsidRPr="00472C30" w:rsidR="009F2E30" w:rsidP="00347F99" w:rsidRDefault="0054326D" w14:paraId="0F1716FA" w14:textId="4C87ABF5">
      <w:pPr>
        <w:rPr>
          <w:rFonts w:cs="Arial"/>
          <w:szCs w:val="20"/>
          <w:lang w:val="nl-NL"/>
        </w:rPr>
      </w:pPr>
      <w:r w:rsidRPr="00472C30">
        <w:rPr>
          <w:rFonts w:cs="Arial"/>
          <w:szCs w:val="20"/>
          <w:lang w:val="nl-NL"/>
        </w:rPr>
        <w:t xml:space="preserve">De Nederlandse inzet bij de onderhandelingen </w:t>
      </w:r>
      <w:r w:rsidRPr="00472C30" w:rsidR="007B6BB3">
        <w:rPr>
          <w:rFonts w:cs="Arial"/>
          <w:szCs w:val="20"/>
          <w:lang w:val="nl-NL"/>
        </w:rPr>
        <w:t xml:space="preserve">was </w:t>
      </w:r>
      <w:r w:rsidRPr="00472C30">
        <w:rPr>
          <w:rFonts w:cs="Arial"/>
          <w:szCs w:val="20"/>
          <w:lang w:val="nl-NL"/>
        </w:rPr>
        <w:t xml:space="preserve">gebaseerd op het verdragsbeleid zoals </w:t>
      </w:r>
      <w:r w:rsidRPr="00472C30" w:rsidR="007B6BB3">
        <w:rPr>
          <w:rFonts w:cs="Arial"/>
          <w:szCs w:val="20"/>
          <w:lang w:val="nl-NL"/>
        </w:rPr>
        <w:t>beschreven</w:t>
      </w:r>
      <w:r w:rsidRPr="00472C30">
        <w:rPr>
          <w:rFonts w:cs="Arial"/>
          <w:szCs w:val="20"/>
          <w:lang w:val="nl-NL"/>
        </w:rPr>
        <w:t xml:space="preserve"> in de </w:t>
      </w:r>
      <w:r w:rsidRPr="00472C30" w:rsidR="00901A1F">
        <w:rPr>
          <w:rFonts w:cs="Arial"/>
          <w:szCs w:val="20"/>
          <w:lang w:val="nl-NL"/>
        </w:rPr>
        <w:t>NFV</w:t>
      </w:r>
      <w:r w:rsidRPr="00472C30">
        <w:rPr>
          <w:rFonts w:cs="Arial"/>
          <w:szCs w:val="20"/>
          <w:lang w:val="nl-NL"/>
        </w:rPr>
        <w:t xml:space="preserve"> 2011</w:t>
      </w:r>
      <w:r w:rsidRPr="00472C30" w:rsidR="007B6BB3">
        <w:rPr>
          <w:rStyle w:val="FootnoteReference"/>
          <w:rFonts w:cs="Arial"/>
          <w:szCs w:val="20"/>
          <w:lang w:val="nl-NL"/>
        </w:rPr>
        <w:footnoteReference w:id="6"/>
      </w:r>
      <w:r w:rsidRPr="00472C30">
        <w:rPr>
          <w:rFonts w:cs="Arial"/>
          <w:szCs w:val="20"/>
          <w:lang w:val="nl-NL"/>
        </w:rPr>
        <w:t xml:space="preserve"> en de </w:t>
      </w:r>
      <w:r w:rsidRPr="00472C30" w:rsidR="00901A1F">
        <w:rPr>
          <w:rFonts w:cs="Arial"/>
          <w:szCs w:val="20"/>
          <w:lang w:val="nl-NL"/>
        </w:rPr>
        <w:t>NFV</w:t>
      </w:r>
      <w:r w:rsidRPr="00472C30">
        <w:rPr>
          <w:rFonts w:cs="Arial"/>
          <w:szCs w:val="20"/>
          <w:lang w:val="nl-NL"/>
        </w:rPr>
        <w:t xml:space="preserve"> 2020</w:t>
      </w:r>
      <w:r w:rsidRPr="00472C30">
        <w:rPr>
          <w:rFonts w:cs="Arial"/>
          <w:szCs w:val="20"/>
          <w:vertAlign w:val="superscript"/>
        </w:rPr>
        <w:footnoteReference w:id="7"/>
      </w:r>
      <w:r w:rsidRPr="00472C30" w:rsidR="00901A1F">
        <w:rPr>
          <w:rFonts w:cs="Arial"/>
          <w:szCs w:val="20"/>
          <w:lang w:val="nl-NL"/>
        </w:rPr>
        <w:t xml:space="preserve">. </w:t>
      </w:r>
      <w:r w:rsidRPr="00472C30" w:rsidR="00437C88">
        <w:rPr>
          <w:rFonts w:cs="Arial"/>
          <w:szCs w:val="20"/>
          <w:lang w:val="nl-NL"/>
        </w:rPr>
        <w:t xml:space="preserve">Wat betreft het tegengaan van belastingontwijking was de Nederlandse inzet vóór de publicatie van de NFV 2020 </w:t>
      </w:r>
      <w:r w:rsidRPr="00472C30" w:rsidR="00735239">
        <w:rPr>
          <w:rFonts w:cs="Arial"/>
          <w:szCs w:val="20"/>
          <w:lang w:val="nl-NL"/>
        </w:rPr>
        <w:t xml:space="preserve">nader </w:t>
      </w:r>
      <w:r w:rsidRPr="00472C30" w:rsidR="00437C88">
        <w:rPr>
          <w:rFonts w:cs="Arial"/>
          <w:szCs w:val="20"/>
          <w:lang w:val="nl-NL"/>
        </w:rPr>
        <w:t xml:space="preserve">verwoord </w:t>
      </w:r>
      <w:r w:rsidRPr="00472C30" w:rsidR="00735239">
        <w:rPr>
          <w:rFonts w:cs="Arial"/>
          <w:szCs w:val="20"/>
          <w:lang w:val="nl-NL"/>
        </w:rPr>
        <w:t xml:space="preserve">in de </w:t>
      </w:r>
      <w:r w:rsidRPr="00A805F5" w:rsidR="00735239">
        <w:rPr>
          <w:rFonts w:cs="Arial"/>
          <w:szCs w:val="20"/>
          <w:lang w:val="nl-NL"/>
        </w:rPr>
        <w:t>kabinetsappreciatie van de actierapporten van het BEPS-project</w:t>
      </w:r>
      <w:r w:rsidRPr="00A805F5" w:rsidR="00735239">
        <w:rPr>
          <w:rFonts w:cs="Arial"/>
          <w:szCs w:val="20"/>
          <w:vertAlign w:val="superscript"/>
          <w:lang w:val="nl-NL"/>
        </w:rPr>
        <w:footnoteReference w:id="8"/>
      </w:r>
      <w:r w:rsidRPr="00A805F5" w:rsidR="00735239">
        <w:rPr>
          <w:rFonts w:cs="Arial"/>
          <w:szCs w:val="20"/>
          <w:lang w:val="nl-NL"/>
        </w:rPr>
        <w:t xml:space="preserve"> en de in de brief van 28 oktober 2016</w:t>
      </w:r>
      <w:r w:rsidRPr="00A805F5" w:rsidR="00735239">
        <w:rPr>
          <w:rFonts w:cs="Arial"/>
          <w:szCs w:val="20"/>
          <w:vertAlign w:val="superscript"/>
          <w:lang w:val="nl-NL"/>
        </w:rPr>
        <w:footnoteReference w:id="9"/>
      </w:r>
      <w:r w:rsidRPr="00A805F5" w:rsidR="00735239">
        <w:rPr>
          <w:rFonts w:cs="Arial"/>
          <w:szCs w:val="20"/>
          <w:lang w:val="nl-NL"/>
        </w:rPr>
        <w:t xml:space="preserve"> gegeven reactie op het uiteindelijk op 24 november 2016 te Parijs tot stand gekomen </w:t>
      </w:r>
      <w:r w:rsidRPr="00A805F5" w:rsidR="00735239">
        <w:rPr>
          <w:rFonts w:cs="Arial"/>
          <w:szCs w:val="20"/>
          <w:lang w:val="nl-NL"/>
        </w:rPr>
        <w:lastRenderedPageBreak/>
        <w:t>Multilateraal Verdrag ter implementatie van aan belastingverdragen gerelateerde maatregelen ter voorkoming van grondslaguitholling en winstverschuiving</w:t>
      </w:r>
      <w:r w:rsidRPr="00A805F5" w:rsidDel="00392D2D" w:rsidR="00735239">
        <w:rPr>
          <w:rFonts w:cs="Arial"/>
          <w:szCs w:val="20"/>
          <w:lang w:val="nl-NL"/>
        </w:rPr>
        <w:t xml:space="preserve"> </w:t>
      </w:r>
      <w:r w:rsidRPr="00A805F5" w:rsidR="00735239">
        <w:rPr>
          <w:rFonts w:cs="Arial"/>
          <w:szCs w:val="20"/>
          <w:lang w:val="nl-NL"/>
        </w:rPr>
        <w:t>(</w:t>
      </w:r>
      <w:proofErr w:type="spellStart"/>
      <w:r w:rsidRPr="00A805F5" w:rsidR="00735239">
        <w:rPr>
          <w:rFonts w:cs="Arial"/>
          <w:i/>
          <w:szCs w:val="20"/>
          <w:lang w:val="nl-NL"/>
        </w:rPr>
        <w:t>Trb</w:t>
      </w:r>
      <w:proofErr w:type="spellEnd"/>
      <w:r w:rsidRPr="00A805F5" w:rsidR="00735239">
        <w:rPr>
          <w:rFonts w:cs="Arial"/>
          <w:szCs w:val="20"/>
          <w:lang w:val="nl-NL"/>
        </w:rPr>
        <w:t xml:space="preserve">. 2017, 86) (hierna: </w:t>
      </w:r>
      <w:r w:rsidRPr="00A805F5" w:rsidR="00901A1F">
        <w:rPr>
          <w:rFonts w:cs="Arial"/>
          <w:szCs w:val="20"/>
          <w:lang w:val="nl-NL"/>
        </w:rPr>
        <w:t>‘</w:t>
      </w:r>
      <w:r w:rsidRPr="00A805F5" w:rsidR="00735239">
        <w:rPr>
          <w:rFonts w:cs="Arial"/>
          <w:szCs w:val="20"/>
          <w:lang w:val="nl-NL"/>
        </w:rPr>
        <w:t>het MLI</w:t>
      </w:r>
      <w:r w:rsidRPr="00A805F5" w:rsidR="00901A1F">
        <w:rPr>
          <w:rFonts w:cs="Arial"/>
          <w:szCs w:val="20"/>
          <w:lang w:val="nl-NL"/>
        </w:rPr>
        <w:t>’</w:t>
      </w:r>
      <w:r w:rsidRPr="00A805F5" w:rsidR="00D94223">
        <w:rPr>
          <w:rFonts w:cs="Arial"/>
          <w:szCs w:val="20"/>
          <w:lang w:val="nl-NL"/>
        </w:rPr>
        <w:t>)</w:t>
      </w:r>
      <w:r w:rsidRPr="00A805F5" w:rsidR="00735239">
        <w:rPr>
          <w:rFonts w:cs="Arial"/>
          <w:szCs w:val="20"/>
          <w:lang w:val="nl-NL"/>
        </w:rPr>
        <w:t xml:space="preserve">. </w:t>
      </w:r>
      <w:r w:rsidRPr="00472C30" w:rsidR="00197BF1">
        <w:rPr>
          <w:rFonts w:cs="Arial"/>
          <w:szCs w:val="20"/>
          <w:lang w:val="nl-NL"/>
        </w:rPr>
        <w:t>Bij de Nederlandse onderhandelingsinzet is v</w:t>
      </w:r>
      <w:r w:rsidRPr="00472C30" w:rsidR="007B6BB3">
        <w:rPr>
          <w:rFonts w:cs="Arial"/>
          <w:szCs w:val="20"/>
          <w:lang w:val="nl-NL"/>
        </w:rPr>
        <w:t xml:space="preserve">oor het instrumentarium </w:t>
      </w:r>
      <w:r w:rsidRPr="00472C30" w:rsidR="0082138E">
        <w:rPr>
          <w:rFonts w:cs="Arial"/>
          <w:szCs w:val="20"/>
          <w:lang w:val="nl-NL"/>
        </w:rPr>
        <w:t>zoveel mogelijk aangesloten bij de bepalingen van het OESO-modelverdrag</w:t>
      </w:r>
      <w:r w:rsidRPr="00472C30" w:rsidR="00BC15FF">
        <w:rPr>
          <w:rFonts w:cs="Arial"/>
          <w:szCs w:val="20"/>
          <w:lang w:val="nl-NL"/>
        </w:rPr>
        <w:t>,</w:t>
      </w:r>
      <w:r w:rsidRPr="00472C30" w:rsidR="002C3DD5">
        <w:rPr>
          <w:rFonts w:cs="Arial"/>
          <w:szCs w:val="20"/>
          <w:lang w:val="nl-NL"/>
        </w:rPr>
        <w:t xml:space="preserve"> inclusief commentaar,</w:t>
      </w:r>
      <w:r w:rsidRPr="00472C30" w:rsidR="00BC15FF">
        <w:rPr>
          <w:rFonts w:cs="Arial"/>
          <w:szCs w:val="20"/>
          <w:lang w:val="nl-NL"/>
        </w:rPr>
        <w:t xml:space="preserve"> volgens de teksteditie van 21 november 2017 (hierna</w:t>
      </w:r>
      <w:r w:rsidRPr="00472C30" w:rsidR="00901A1F">
        <w:rPr>
          <w:rFonts w:cs="Arial"/>
          <w:szCs w:val="20"/>
          <w:lang w:val="nl-NL"/>
        </w:rPr>
        <w:t xml:space="preserve"> ‘het OESO-modelverdrag’</w:t>
      </w:r>
      <w:r w:rsidRPr="00472C30" w:rsidR="002C3DD5">
        <w:rPr>
          <w:rFonts w:cs="Arial"/>
          <w:szCs w:val="20"/>
          <w:lang w:val="nl-NL"/>
        </w:rPr>
        <w:t>).</w:t>
      </w:r>
      <w:r w:rsidRPr="00472C30" w:rsidR="009A2E5A">
        <w:rPr>
          <w:rFonts w:cs="Arial"/>
          <w:b/>
          <w:szCs w:val="20"/>
          <w:lang w:val="nl-NL"/>
        </w:rPr>
        <w:t xml:space="preserve"> </w:t>
      </w:r>
      <w:r w:rsidRPr="00472C30" w:rsidR="00197BF1">
        <w:rPr>
          <w:rFonts w:cs="Arial"/>
          <w:szCs w:val="20"/>
          <w:lang w:val="nl-NL"/>
        </w:rPr>
        <w:t>De inzet van Chili – dat sinds 2010 lid is van de OESO – was eveneens mede gebaseerd op het OESO-modelverdrag. Op enige punten heeft Chili echter ingezet op aansluiting bij het door de Verenigde Naties ontwikkelde modelverdrag voor belastingverdragen tussen ontwikkelde en ontwikkelingslanden</w:t>
      </w:r>
      <w:r w:rsidRPr="00472C30" w:rsidR="009F2E30">
        <w:rPr>
          <w:rFonts w:cs="Arial"/>
          <w:szCs w:val="20"/>
          <w:lang w:val="nl-NL"/>
        </w:rPr>
        <w:t>, naar de tekstversie van 2017</w:t>
      </w:r>
      <w:r w:rsidRPr="00472C30" w:rsidR="00901A1F">
        <w:rPr>
          <w:rFonts w:cs="Arial"/>
          <w:szCs w:val="20"/>
          <w:lang w:val="nl-NL"/>
        </w:rPr>
        <w:t xml:space="preserve"> (hierna: het ‘VN-modelverdrag’</w:t>
      </w:r>
      <w:r w:rsidRPr="00472C30" w:rsidR="00197BF1">
        <w:rPr>
          <w:rFonts w:cs="Arial"/>
          <w:szCs w:val="20"/>
          <w:lang w:val="nl-NL"/>
        </w:rPr>
        <w:t>). Hoewel het OESO-modelverdrag en het VN-modelverdrag grotendeels overeenkomen, wordt in deze toelichting alleen verwez</w:t>
      </w:r>
      <w:r w:rsidRPr="00472C30" w:rsidR="009F2E30">
        <w:rPr>
          <w:rFonts w:cs="Arial"/>
          <w:szCs w:val="20"/>
          <w:lang w:val="nl-NL"/>
        </w:rPr>
        <w:t>en naar het VN-modelverdrag bij bepalingen die afwijken van het OESO-modelverdrag en waarbij (inhoudelijk) aansluiting is gezocht bij het VN-modelverdrag.</w:t>
      </w:r>
    </w:p>
    <w:p w:rsidRPr="00472C30" w:rsidR="00415C30" w:rsidP="00347F99" w:rsidRDefault="009F2E30" w14:paraId="15781E21" w14:textId="2F6FDB70">
      <w:pPr>
        <w:rPr>
          <w:rFonts w:cs="Arial"/>
          <w:szCs w:val="20"/>
          <w:lang w:val="nl-NL"/>
        </w:rPr>
      </w:pPr>
      <w:r w:rsidRPr="00472C30">
        <w:rPr>
          <w:rFonts w:cs="Arial"/>
          <w:szCs w:val="20"/>
          <w:lang w:val="nl-NL"/>
        </w:rPr>
        <w:t xml:space="preserve">Met het Verdrag hebben Chili en Nederland beoogd </w:t>
      </w:r>
      <w:r w:rsidR="00952FF1">
        <w:rPr>
          <w:rFonts w:cs="Arial"/>
          <w:szCs w:val="20"/>
          <w:lang w:val="nl-NL"/>
        </w:rPr>
        <w:t xml:space="preserve">aan te sluiten bij </w:t>
      </w:r>
      <w:r w:rsidRPr="00472C30">
        <w:rPr>
          <w:rFonts w:cs="Arial"/>
          <w:szCs w:val="20"/>
          <w:lang w:val="nl-NL"/>
        </w:rPr>
        <w:t>de (minimum</w:t>
      </w:r>
      <w:r w:rsidR="00952FF1">
        <w:rPr>
          <w:rFonts w:cs="Arial"/>
          <w:szCs w:val="20"/>
          <w:lang w:val="nl-NL"/>
        </w:rPr>
        <w:t>)</w:t>
      </w:r>
      <w:r w:rsidRPr="00472C30">
        <w:rPr>
          <w:rFonts w:cs="Arial"/>
          <w:szCs w:val="20"/>
          <w:lang w:val="nl-NL"/>
        </w:rPr>
        <w:t xml:space="preserve">standaarden die voortvloeien uit het BEPS-project. </w:t>
      </w:r>
      <w:r w:rsidRPr="00472C30" w:rsidR="00064422">
        <w:rPr>
          <w:rFonts w:cs="Arial"/>
          <w:szCs w:val="20"/>
          <w:lang w:val="nl-NL"/>
        </w:rPr>
        <w:t>De minimumstandaard van</w:t>
      </w:r>
      <w:r w:rsidRPr="00472C30">
        <w:rPr>
          <w:rFonts w:cs="Arial"/>
          <w:szCs w:val="20"/>
          <w:lang w:val="nl-NL"/>
        </w:rPr>
        <w:t xml:space="preserve"> BEPS-actie 6 – tegen verdragsmisbruik – </w:t>
      </w:r>
      <w:r w:rsidRPr="00472C30" w:rsidR="00064422">
        <w:rPr>
          <w:rFonts w:cs="Arial"/>
          <w:szCs w:val="20"/>
          <w:lang w:val="nl-NL"/>
        </w:rPr>
        <w:t>komt</w:t>
      </w:r>
      <w:r w:rsidRPr="00472C30">
        <w:rPr>
          <w:rFonts w:cs="Arial"/>
          <w:szCs w:val="20"/>
          <w:lang w:val="nl-NL"/>
        </w:rPr>
        <w:t xml:space="preserve"> tot uitdrukking i</w:t>
      </w:r>
      <w:r w:rsidRPr="00472C30" w:rsidR="00064422">
        <w:rPr>
          <w:rFonts w:cs="Arial"/>
          <w:szCs w:val="20"/>
          <w:lang w:val="nl-NL"/>
        </w:rPr>
        <w:t>n (i) de titel en preambule die duidelijk maken dat het voorkomen van het ontduiken en ontwijken van belasting ook een doel van het Verdrag is, en (ii) in artikel 28 van het Verdrag, waarin een combinatie is opgenomen van een ‘</w:t>
      </w:r>
      <w:proofErr w:type="spellStart"/>
      <w:r w:rsidRPr="00472C30" w:rsidR="00064422">
        <w:rPr>
          <w:rFonts w:cs="Arial"/>
          <w:szCs w:val="20"/>
          <w:lang w:val="nl-NL"/>
        </w:rPr>
        <w:t>limination</w:t>
      </w:r>
      <w:proofErr w:type="spellEnd"/>
      <w:r w:rsidRPr="00472C30" w:rsidR="00064422">
        <w:rPr>
          <w:rFonts w:cs="Arial"/>
          <w:szCs w:val="20"/>
          <w:lang w:val="nl-NL"/>
        </w:rPr>
        <w:t>-on-benefits’-bepaling</w:t>
      </w:r>
      <w:r w:rsidRPr="00472C30" w:rsidR="00415C30">
        <w:rPr>
          <w:rFonts w:cs="Arial"/>
          <w:szCs w:val="20"/>
          <w:lang w:val="nl-NL"/>
        </w:rPr>
        <w:t xml:space="preserve"> (op verzoek van Chili)</w:t>
      </w:r>
      <w:r w:rsidRPr="00472C30" w:rsidR="00064422">
        <w:rPr>
          <w:rFonts w:cs="Arial"/>
          <w:szCs w:val="20"/>
          <w:lang w:val="nl-NL"/>
        </w:rPr>
        <w:t xml:space="preserve"> en de zogenoemde ‘</w:t>
      </w:r>
      <w:proofErr w:type="spellStart"/>
      <w:r w:rsidRPr="00472C30" w:rsidR="00064422">
        <w:rPr>
          <w:rFonts w:cs="Arial"/>
          <w:i/>
          <w:szCs w:val="20"/>
          <w:lang w:val="nl-NL"/>
        </w:rPr>
        <w:t>principal</w:t>
      </w:r>
      <w:proofErr w:type="spellEnd"/>
      <w:r w:rsidRPr="00472C30" w:rsidR="00064422">
        <w:rPr>
          <w:rFonts w:cs="Arial"/>
          <w:i/>
          <w:szCs w:val="20"/>
          <w:lang w:val="nl-NL"/>
        </w:rPr>
        <w:t xml:space="preserve"> </w:t>
      </w:r>
      <w:proofErr w:type="spellStart"/>
      <w:r w:rsidRPr="00472C30" w:rsidR="00064422">
        <w:rPr>
          <w:rFonts w:cs="Arial"/>
          <w:i/>
          <w:szCs w:val="20"/>
          <w:lang w:val="nl-NL"/>
        </w:rPr>
        <w:t>purposes</w:t>
      </w:r>
      <w:proofErr w:type="spellEnd"/>
      <w:r w:rsidRPr="00472C30" w:rsidR="00064422">
        <w:rPr>
          <w:rFonts w:cs="Arial"/>
          <w:i/>
          <w:szCs w:val="20"/>
          <w:lang w:val="nl-NL"/>
        </w:rPr>
        <w:t xml:space="preserve"> test’. </w:t>
      </w:r>
      <w:r w:rsidR="004E3847">
        <w:rPr>
          <w:rFonts w:cs="Arial"/>
          <w:szCs w:val="20"/>
          <w:lang w:val="nl-NL"/>
        </w:rPr>
        <w:t>Artikel 25 van het Verdrag gaat over de onderlinge overlegprocedure en bevat elementen afkomstig uit d</w:t>
      </w:r>
      <w:r w:rsidRPr="00472C30" w:rsidR="00064422">
        <w:rPr>
          <w:rFonts w:cs="Arial"/>
          <w:szCs w:val="20"/>
          <w:lang w:val="nl-NL"/>
        </w:rPr>
        <w:t>e minimumstandaard van BEPS-actie 14 om geschillenbeslechting effectiever te maken</w:t>
      </w:r>
      <w:r w:rsidRPr="00472C30" w:rsidR="00415C30">
        <w:rPr>
          <w:rFonts w:cs="Arial"/>
          <w:szCs w:val="20"/>
          <w:lang w:val="nl-NL"/>
        </w:rPr>
        <w:t>.</w:t>
      </w:r>
      <w:r w:rsidR="001007A2">
        <w:rPr>
          <w:rFonts w:cs="Arial"/>
          <w:szCs w:val="20"/>
          <w:lang w:val="nl-NL"/>
        </w:rPr>
        <w:t xml:space="preserve"> Naar aanleiding van een ontstane discussie over de </w:t>
      </w:r>
      <w:proofErr w:type="spellStart"/>
      <w:r w:rsidR="001007A2">
        <w:rPr>
          <w:rFonts w:cs="Arial"/>
          <w:szCs w:val="20"/>
          <w:lang w:val="nl-NL"/>
        </w:rPr>
        <w:t>miminumstandaard</w:t>
      </w:r>
      <w:proofErr w:type="spellEnd"/>
      <w:r w:rsidR="001007A2">
        <w:rPr>
          <w:rFonts w:cs="Arial"/>
          <w:szCs w:val="20"/>
          <w:lang w:val="nl-NL"/>
        </w:rPr>
        <w:t xml:space="preserve"> van BEPS-actie 14 hebben Nederland en Chili besloten om via een wijzigingsprotocol artikel 25, tweede lid, van het Verdrag aan te passen en tegelijk met het Verdrag aan het parlement aan te bieden.</w:t>
      </w:r>
    </w:p>
    <w:p w:rsidRPr="00472C30" w:rsidR="00517378" w:rsidP="00347F99" w:rsidRDefault="00517378" w14:paraId="5454E247" w14:textId="00007A37">
      <w:pPr>
        <w:rPr>
          <w:rFonts w:cs="Arial"/>
          <w:szCs w:val="20"/>
          <w:lang w:val="nl-NL"/>
        </w:rPr>
      </w:pPr>
      <w:r w:rsidRPr="00472C30">
        <w:rPr>
          <w:rFonts w:cs="Arial"/>
          <w:szCs w:val="20"/>
          <w:lang w:val="nl-NL"/>
        </w:rPr>
        <w:t xml:space="preserve">Het Verdrag bevat daarnaast </w:t>
      </w:r>
      <w:r w:rsidRPr="00472C30" w:rsidR="00D95D9E">
        <w:rPr>
          <w:rFonts w:cs="Arial"/>
          <w:szCs w:val="20"/>
          <w:lang w:val="nl-NL"/>
        </w:rPr>
        <w:t>diverse</w:t>
      </w:r>
      <w:r w:rsidRPr="00472C30">
        <w:rPr>
          <w:rFonts w:cs="Arial"/>
          <w:szCs w:val="20"/>
          <w:lang w:val="nl-NL"/>
        </w:rPr>
        <w:t xml:space="preserve"> verdragsbepalingen die </w:t>
      </w:r>
      <w:r w:rsidRPr="00472C30" w:rsidR="00DA14EC">
        <w:rPr>
          <w:rFonts w:cs="Arial"/>
          <w:szCs w:val="20"/>
          <w:lang w:val="nl-NL"/>
        </w:rPr>
        <w:t>(inhoudelijk) zijn ontleend aan</w:t>
      </w:r>
      <w:r w:rsidRPr="00472C30">
        <w:rPr>
          <w:rFonts w:cs="Arial"/>
          <w:szCs w:val="20"/>
          <w:lang w:val="nl-NL"/>
        </w:rPr>
        <w:t xml:space="preserve"> het BEPS-project, maar die geen deel uitmaken van de minimumstandaarden. Het betreft</w:t>
      </w:r>
      <w:r w:rsidRPr="00472C30" w:rsidR="00D95D9E">
        <w:rPr>
          <w:rFonts w:cs="Arial"/>
          <w:szCs w:val="20"/>
          <w:lang w:val="nl-NL"/>
        </w:rPr>
        <w:t xml:space="preserve"> bepalingen over</w:t>
      </w:r>
      <w:r w:rsidRPr="00472C30">
        <w:rPr>
          <w:rFonts w:cs="Arial"/>
          <w:szCs w:val="20"/>
          <w:lang w:val="nl-NL"/>
        </w:rPr>
        <w:t>:</w:t>
      </w:r>
    </w:p>
    <w:p w:rsidRPr="00A805F5" w:rsidR="00D95D9E" w:rsidP="00D95D9E" w:rsidRDefault="00D95D9E" w14:paraId="6E7DCDB1" w14:textId="07856462">
      <w:pPr>
        <w:numPr>
          <w:ilvl w:val="0"/>
          <w:numId w:val="42"/>
        </w:numPr>
        <w:rPr>
          <w:rFonts w:cs="Arial"/>
          <w:szCs w:val="20"/>
          <w:lang w:val="nl-NL"/>
        </w:rPr>
      </w:pPr>
      <w:r w:rsidRPr="00A805F5">
        <w:rPr>
          <w:rFonts w:cs="Arial"/>
          <w:szCs w:val="20"/>
          <w:lang w:val="nl-NL"/>
        </w:rPr>
        <w:t>verdragstoepassing bij hybride entiteiten (artikel 1)</w:t>
      </w:r>
      <w:r w:rsidRPr="00A805F5" w:rsidR="00D95F01">
        <w:rPr>
          <w:rFonts w:cs="Arial"/>
          <w:szCs w:val="20"/>
          <w:lang w:val="nl-NL"/>
        </w:rPr>
        <w:t xml:space="preserve"> (BEPS-actie 2)</w:t>
      </w:r>
      <w:r w:rsidRPr="00A805F5">
        <w:rPr>
          <w:rFonts w:cs="Arial"/>
          <w:szCs w:val="20"/>
          <w:lang w:val="nl-NL"/>
        </w:rPr>
        <w:t>;</w:t>
      </w:r>
    </w:p>
    <w:p w:rsidRPr="00A805F5" w:rsidR="00D95D9E" w:rsidP="00D95D9E" w:rsidRDefault="00832ED1" w14:paraId="6FB0CF42" w14:textId="2D5D3FF0">
      <w:pPr>
        <w:numPr>
          <w:ilvl w:val="0"/>
          <w:numId w:val="42"/>
        </w:numPr>
        <w:rPr>
          <w:rFonts w:cs="Arial"/>
          <w:szCs w:val="20"/>
          <w:lang w:val="nl-NL"/>
        </w:rPr>
      </w:pPr>
      <w:r w:rsidRPr="00A805F5">
        <w:rPr>
          <w:rFonts w:cs="Arial"/>
          <w:szCs w:val="20"/>
          <w:lang w:val="nl-NL"/>
        </w:rPr>
        <w:t xml:space="preserve">uitzonderingen op </w:t>
      </w:r>
      <w:r w:rsidRPr="00A805F5" w:rsidR="001072AE">
        <w:rPr>
          <w:rFonts w:cs="Arial"/>
          <w:szCs w:val="20"/>
          <w:lang w:val="nl-NL"/>
        </w:rPr>
        <w:t xml:space="preserve">de </w:t>
      </w:r>
      <w:r w:rsidRPr="00A805F5">
        <w:rPr>
          <w:rFonts w:cs="Arial"/>
          <w:szCs w:val="20"/>
          <w:lang w:val="nl-NL"/>
        </w:rPr>
        <w:t>onbeperkte bevoegdheid tot</w:t>
      </w:r>
      <w:r w:rsidRPr="00A805F5" w:rsidR="00D95D9E">
        <w:rPr>
          <w:rFonts w:cs="Arial"/>
          <w:szCs w:val="20"/>
          <w:lang w:val="nl-NL"/>
        </w:rPr>
        <w:t xml:space="preserve"> belastingheffing van eigen inwoners (</w:t>
      </w:r>
      <w:proofErr w:type="spellStart"/>
      <w:r w:rsidRPr="00A805F5" w:rsidR="00D95D9E">
        <w:rPr>
          <w:rFonts w:cs="Arial"/>
          <w:szCs w:val="20"/>
          <w:lang w:val="nl-NL"/>
        </w:rPr>
        <w:t>saving</w:t>
      </w:r>
      <w:proofErr w:type="spellEnd"/>
      <w:r w:rsidRPr="00A805F5" w:rsidR="00D95D9E">
        <w:rPr>
          <w:rFonts w:cs="Arial"/>
          <w:szCs w:val="20"/>
          <w:lang w:val="nl-NL"/>
        </w:rPr>
        <w:t xml:space="preserve"> clause) (artikel 1)</w:t>
      </w:r>
      <w:r w:rsidRPr="00A805F5" w:rsidR="002D0114">
        <w:rPr>
          <w:rFonts w:cs="Arial"/>
          <w:szCs w:val="20"/>
          <w:lang w:val="nl-NL"/>
        </w:rPr>
        <w:t xml:space="preserve"> (BEPS-actie 6)</w:t>
      </w:r>
      <w:r w:rsidRPr="00A805F5" w:rsidR="00D95D9E">
        <w:rPr>
          <w:rFonts w:cs="Arial"/>
          <w:szCs w:val="20"/>
          <w:lang w:val="nl-NL"/>
        </w:rPr>
        <w:t>;</w:t>
      </w:r>
    </w:p>
    <w:p w:rsidRPr="00A805F5" w:rsidR="00D95D9E" w:rsidP="00D95D9E" w:rsidRDefault="00832ED1" w14:paraId="40AB8E8B" w14:textId="6D6A9741">
      <w:pPr>
        <w:numPr>
          <w:ilvl w:val="0"/>
          <w:numId w:val="42"/>
        </w:numPr>
        <w:rPr>
          <w:rFonts w:cs="Arial"/>
          <w:szCs w:val="20"/>
          <w:lang w:val="nl-NL"/>
        </w:rPr>
      </w:pPr>
      <w:r w:rsidRPr="00A805F5">
        <w:rPr>
          <w:rFonts w:cs="Arial"/>
          <w:szCs w:val="20"/>
          <w:lang w:val="nl-NL"/>
        </w:rPr>
        <w:t>een oplossing op basis van een onderlinge overlegprocedure (MAP-</w:t>
      </w:r>
      <w:proofErr w:type="spellStart"/>
      <w:r w:rsidRPr="00A805F5">
        <w:rPr>
          <w:rFonts w:cs="Arial"/>
          <w:szCs w:val="20"/>
          <w:lang w:val="nl-NL"/>
        </w:rPr>
        <w:t>tiebreaker</w:t>
      </w:r>
      <w:proofErr w:type="spellEnd"/>
      <w:r w:rsidRPr="00A805F5">
        <w:rPr>
          <w:rFonts w:cs="Arial"/>
          <w:szCs w:val="20"/>
          <w:lang w:val="nl-NL"/>
        </w:rPr>
        <w:t xml:space="preserve">) voor </w:t>
      </w:r>
      <w:r w:rsidRPr="00A805F5" w:rsidR="00D95D9E">
        <w:rPr>
          <w:rFonts w:cs="Arial"/>
          <w:szCs w:val="20"/>
          <w:lang w:val="nl-NL"/>
        </w:rPr>
        <w:t>een dubbele woonplaats van niet-natuurlijke personen (artikel 4)</w:t>
      </w:r>
      <w:r w:rsidRPr="00A805F5" w:rsidR="002D0114">
        <w:rPr>
          <w:rFonts w:cs="Arial"/>
          <w:szCs w:val="20"/>
          <w:lang w:val="nl-NL"/>
        </w:rPr>
        <w:t xml:space="preserve"> (BEPS-actie 2 en 6)</w:t>
      </w:r>
      <w:r w:rsidRPr="00A805F5" w:rsidR="00D95D9E">
        <w:rPr>
          <w:rFonts w:cs="Arial"/>
          <w:szCs w:val="20"/>
          <w:lang w:val="nl-NL"/>
        </w:rPr>
        <w:t>;</w:t>
      </w:r>
    </w:p>
    <w:p w:rsidRPr="00A805F5" w:rsidR="00D95D9E" w:rsidP="00D95D9E" w:rsidRDefault="00D95D9E" w14:paraId="69EF1013" w14:textId="75B0EC30">
      <w:pPr>
        <w:numPr>
          <w:ilvl w:val="0"/>
          <w:numId w:val="42"/>
        </w:numPr>
        <w:rPr>
          <w:rFonts w:cs="Arial"/>
          <w:szCs w:val="20"/>
          <w:lang w:val="nl-NL"/>
        </w:rPr>
      </w:pPr>
      <w:r w:rsidRPr="00A805F5">
        <w:rPr>
          <w:rFonts w:cs="Arial"/>
          <w:szCs w:val="20"/>
          <w:lang w:val="nl-NL"/>
        </w:rPr>
        <w:t xml:space="preserve">maatregelen tegen </w:t>
      </w:r>
      <w:r w:rsidRPr="00A805F5" w:rsidR="002D0114">
        <w:rPr>
          <w:rFonts w:cs="Arial"/>
          <w:szCs w:val="20"/>
          <w:lang w:val="nl-NL"/>
        </w:rPr>
        <w:t xml:space="preserve">het </w:t>
      </w:r>
      <w:r w:rsidRPr="00A805F5">
        <w:rPr>
          <w:rFonts w:cs="Arial"/>
          <w:szCs w:val="20"/>
          <w:lang w:val="nl-NL"/>
        </w:rPr>
        <w:t>kunstmatig ontgaan van vaste inrichting</w:t>
      </w:r>
      <w:r w:rsidRPr="00A805F5" w:rsidR="002D0114">
        <w:rPr>
          <w:rFonts w:cs="Arial"/>
          <w:szCs w:val="20"/>
          <w:lang w:val="nl-NL"/>
        </w:rPr>
        <w:t>en</w:t>
      </w:r>
      <w:r w:rsidRPr="00A805F5" w:rsidR="00224E6D">
        <w:rPr>
          <w:rFonts w:cs="Arial"/>
          <w:szCs w:val="20"/>
          <w:lang w:val="nl-NL"/>
        </w:rPr>
        <w:t xml:space="preserve"> </w:t>
      </w:r>
      <w:r w:rsidRPr="00A805F5" w:rsidR="002D0114">
        <w:rPr>
          <w:rFonts w:cs="Arial"/>
          <w:szCs w:val="20"/>
          <w:lang w:val="nl-NL"/>
        </w:rPr>
        <w:t>(</w:t>
      </w:r>
      <w:r w:rsidRPr="00A805F5" w:rsidR="00224E6D">
        <w:rPr>
          <w:rFonts w:cs="Arial"/>
          <w:szCs w:val="20"/>
          <w:lang w:val="nl-NL"/>
        </w:rPr>
        <w:t>artikel 5)</w:t>
      </w:r>
      <w:r w:rsidRPr="00A805F5" w:rsidR="002D0114">
        <w:rPr>
          <w:rFonts w:cs="Arial"/>
          <w:szCs w:val="20"/>
          <w:lang w:val="nl-NL"/>
        </w:rPr>
        <w:t xml:space="preserve"> (BEPS-actie 7)</w:t>
      </w:r>
      <w:r w:rsidRPr="00A805F5">
        <w:rPr>
          <w:rFonts w:cs="Arial"/>
          <w:szCs w:val="20"/>
          <w:lang w:val="nl-NL"/>
        </w:rPr>
        <w:t>;</w:t>
      </w:r>
    </w:p>
    <w:p w:rsidRPr="00A805F5" w:rsidR="002D0114" w:rsidP="002D0114" w:rsidRDefault="006B4E84" w14:paraId="6854E6F1" w14:textId="61719D7E">
      <w:pPr>
        <w:numPr>
          <w:ilvl w:val="0"/>
          <w:numId w:val="42"/>
        </w:numPr>
        <w:rPr>
          <w:rFonts w:cs="Arial"/>
          <w:szCs w:val="20"/>
          <w:lang w:val="nl-NL"/>
        </w:rPr>
      </w:pPr>
      <w:r w:rsidRPr="00A805F5">
        <w:rPr>
          <w:rFonts w:cs="Arial"/>
          <w:szCs w:val="20"/>
          <w:lang w:val="nl-NL"/>
        </w:rPr>
        <w:t>het</w:t>
      </w:r>
      <w:r w:rsidRPr="00A805F5" w:rsidR="002D0114">
        <w:rPr>
          <w:rFonts w:cs="Arial"/>
          <w:szCs w:val="20"/>
          <w:lang w:val="nl-NL"/>
        </w:rPr>
        <w:t xml:space="preserve"> over en weer rekening houden met (winst)correcties die bij ondernemingen worden aangebracht in overeenstemming met het arm’s-length-beginsel </w:t>
      </w:r>
      <w:r w:rsidRPr="00A805F5">
        <w:rPr>
          <w:rFonts w:cs="Arial"/>
          <w:szCs w:val="20"/>
          <w:lang w:val="nl-NL"/>
        </w:rPr>
        <w:t>(BEPS-actie 14) (artikelen 7, 9 en 25)</w:t>
      </w:r>
      <w:r w:rsidRPr="00A805F5" w:rsidR="002D0114">
        <w:rPr>
          <w:rFonts w:cs="Arial"/>
          <w:szCs w:val="20"/>
          <w:lang w:val="nl-NL"/>
        </w:rPr>
        <w:t>;</w:t>
      </w:r>
    </w:p>
    <w:p w:rsidRPr="00A805F5" w:rsidR="00D95D9E" w:rsidP="002F7386" w:rsidRDefault="00D95D9E" w14:paraId="13489793" w14:textId="2883520C">
      <w:pPr>
        <w:numPr>
          <w:ilvl w:val="0"/>
          <w:numId w:val="42"/>
        </w:numPr>
        <w:rPr>
          <w:rFonts w:cs="Arial"/>
          <w:szCs w:val="20"/>
          <w:lang w:val="nl-NL"/>
        </w:rPr>
      </w:pPr>
      <w:r w:rsidRPr="00A805F5">
        <w:rPr>
          <w:rFonts w:cs="Arial"/>
          <w:szCs w:val="20"/>
          <w:lang w:val="nl-NL"/>
        </w:rPr>
        <w:t xml:space="preserve">een bezitsperiode van ten minste 365 dagen voordat aanspraak kan worden gemaakt op het verlaagde bronheffingstarief voor deelnemingsdividenden </w:t>
      </w:r>
      <w:r w:rsidRPr="00A805F5" w:rsidR="002F7386">
        <w:rPr>
          <w:rFonts w:cs="Arial"/>
          <w:szCs w:val="20"/>
          <w:lang w:val="nl-NL"/>
        </w:rPr>
        <w:t>(BEPS-actie 6) (artikel 10)</w:t>
      </w:r>
      <w:r w:rsidRPr="00A805F5">
        <w:rPr>
          <w:rFonts w:cs="Arial"/>
          <w:szCs w:val="20"/>
          <w:lang w:val="nl-NL"/>
        </w:rPr>
        <w:t>;</w:t>
      </w:r>
    </w:p>
    <w:p w:rsidRPr="00A805F5" w:rsidR="00D95D9E" w:rsidP="00D95D9E" w:rsidRDefault="002F7386" w14:paraId="62EBA0BE" w14:textId="54BD93A9">
      <w:pPr>
        <w:numPr>
          <w:ilvl w:val="0"/>
          <w:numId w:val="42"/>
        </w:numPr>
        <w:rPr>
          <w:rFonts w:cs="Arial"/>
          <w:szCs w:val="20"/>
          <w:lang w:val="nl-NL"/>
        </w:rPr>
      </w:pPr>
      <w:r w:rsidRPr="00A805F5">
        <w:rPr>
          <w:rFonts w:cs="Arial"/>
          <w:szCs w:val="20"/>
          <w:lang w:val="nl-NL"/>
        </w:rPr>
        <w:t>een terugkijkperiode van 365 dagen om</w:t>
      </w:r>
      <w:r w:rsidRPr="00A805F5" w:rsidR="00D95D9E">
        <w:rPr>
          <w:rFonts w:cs="Arial"/>
          <w:szCs w:val="20"/>
          <w:lang w:val="nl-NL"/>
        </w:rPr>
        <w:t xml:space="preserve"> te beoordelen of sprake is van een zogenoemd onroerendezaak</w:t>
      </w:r>
      <w:r w:rsidRPr="00A805F5">
        <w:rPr>
          <w:rFonts w:cs="Arial"/>
          <w:szCs w:val="20"/>
          <w:lang w:val="nl-NL"/>
        </w:rPr>
        <w:t xml:space="preserve">lichaam, waarbij </w:t>
      </w:r>
      <w:r w:rsidRPr="00A805F5" w:rsidR="00D94223">
        <w:rPr>
          <w:rFonts w:cs="Arial"/>
          <w:szCs w:val="20"/>
          <w:lang w:val="nl-NL"/>
        </w:rPr>
        <w:t xml:space="preserve">niet alleen </w:t>
      </w:r>
      <w:r w:rsidRPr="00A805F5">
        <w:rPr>
          <w:rFonts w:cs="Arial"/>
          <w:szCs w:val="20"/>
          <w:lang w:val="nl-NL"/>
        </w:rPr>
        <w:t>aandelen relevant zijn (BEPS-actie 6) (artikel 13)</w:t>
      </w:r>
      <w:r w:rsidRPr="00A805F5" w:rsidR="00D95D9E">
        <w:rPr>
          <w:rFonts w:cs="Arial"/>
          <w:szCs w:val="20"/>
          <w:lang w:val="nl-NL"/>
        </w:rPr>
        <w:t>;</w:t>
      </w:r>
    </w:p>
    <w:p w:rsidRPr="00A805F5" w:rsidR="002F7386" w:rsidP="00D95D9E" w:rsidRDefault="002F7386" w14:paraId="442B2E73" w14:textId="42FA987B">
      <w:pPr>
        <w:numPr>
          <w:ilvl w:val="0"/>
          <w:numId w:val="42"/>
        </w:numPr>
        <w:rPr>
          <w:rFonts w:cs="Arial"/>
          <w:szCs w:val="20"/>
          <w:lang w:val="nl-NL"/>
        </w:rPr>
      </w:pPr>
      <w:r w:rsidRPr="00A805F5">
        <w:rPr>
          <w:rFonts w:cs="Arial"/>
          <w:szCs w:val="20"/>
          <w:lang w:val="nl-NL"/>
        </w:rPr>
        <w:t>maatregelen om te voorkomen dat de voorkomingsmethode om dubbele belasting te vermijden onbedoeld tot dubbele niet-heffing leidt (BEPS-actie 2 en 6)</w:t>
      </w:r>
      <w:r w:rsidRPr="00A805F5" w:rsidR="00DA14EC">
        <w:rPr>
          <w:rFonts w:cs="Arial"/>
          <w:szCs w:val="20"/>
          <w:lang w:val="nl-NL"/>
        </w:rPr>
        <w:t xml:space="preserve"> (artikel 23);</w:t>
      </w:r>
    </w:p>
    <w:p w:rsidRPr="00A805F5" w:rsidR="00D95D9E" w:rsidP="00DA14EC" w:rsidRDefault="00DA14EC" w14:paraId="31B12EE5" w14:textId="35A0E20C">
      <w:pPr>
        <w:numPr>
          <w:ilvl w:val="0"/>
          <w:numId w:val="42"/>
        </w:numPr>
        <w:rPr>
          <w:rFonts w:cs="Arial"/>
          <w:szCs w:val="20"/>
          <w:lang w:val="nl-NL"/>
        </w:rPr>
      </w:pPr>
      <w:r w:rsidRPr="00A805F5">
        <w:rPr>
          <w:rFonts w:cs="Arial"/>
          <w:szCs w:val="20"/>
          <w:lang w:val="nl-NL"/>
        </w:rPr>
        <w:lastRenderedPageBreak/>
        <w:t xml:space="preserve">het voorkomen dat verdragsvoordelen kunnen worden geclaimd voor inkomen dat wordt toegerekend aan een vaste inrichting in een derde jurisdictie </w:t>
      </w:r>
      <w:r w:rsidR="005F7771">
        <w:rPr>
          <w:rFonts w:cs="Arial"/>
          <w:szCs w:val="20"/>
          <w:lang w:val="nl-NL"/>
        </w:rPr>
        <w:t xml:space="preserve">en </w:t>
      </w:r>
      <w:r w:rsidRPr="00A805F5">
        <w:rPr>
          <w:rFonts w:cs="Arial"/>
          <w:szCs w:val="20"/>
          <w:lang w:val="nl-NL"/>
        </w:rPr>
        <w:t xml:space="preserve">dat resulteert in een lage belasting (BEPS-actie 6) (artikel 28). </w:t>
      </w:r>
    </w:p>
    <w:p w:rsidRPr="00A805F5" w:rsidR="00DA14EC" w:rsidP="00DA14EC" w:rsidRDefault="00DA14EC" w14:paraId="7A2945EB" w14:textId="77777777">
      <w:pPr>
        <w:ind w:left="720" w:firstLine="0"/>
        <w:rPr>
          <w:rFonts w:cs="Arial"/>
          <w:szCs w:val="20"/>
          <w:highlight w:val="lightGray"/>
          <w:lang w:val="nl-NL"/>
        </w:rPr>
      </w:pPr>
    </w:p>
    <w:p w:rsidRPr="00A805F5" w:rsidR="00D95D9E" w:rsidP="00D95D9E" w:rsidRDefault="00D95D9E" w14:paraId="7560D7BD" w14:textId="557DAD01">
      <w:pPr>
        <w:rPr>
          <w:rFonts w:cs="Arial"/>
          <w:szCs w:val="20"/>
          <w:lang w:val="nl-NL"/>
        </w:rPr>
      </w:pPr>
      <w:r w:rsidRPr="00A805F5">
        <w:rPr>
          <w:rFonts w:cs="Arial"/>
          <w:szCs w:val="20"/>
          <w:lang w:val="nl-NL"/>
        </w:rPr>
        <w:t xml:space="preserve">Een in het algemeen door Nederland gewenste exclusieve woonstaatheffing voor deelnemingsdividenden, interest, royalty’s en vervreemdingswinst op aandelen (niet zijnde aandelen in een onroerendezaaklichaam) was </w:t>
      </w:r>
      <w:r w:rsidRPr="00A805F5" w:rsidR="00D94223">
        <w:rPr>
          <w:rFonts w:cs="Arial"/>
          <w:szCs w:val="20"/>
          <w:lang w:val="nl-NL"/>
        </w:rPr>
        <w:t xml:space="preserve">geen haalbaar resultaat, mede gelet op </w:t>
      </w:r>
      <w:r w:rsidRPr="00A805F5" w:rsidR="00DA14EC">
        <w:rPr>
          <w:rFonts w:cs="Arial"/>
          <w:szCs w:val="20"/>
          <w:lang w:val="nl-NL"/>
        </w:rPr>
        <w:t>de meestbegunstigingsbepalingen in het Chileense verdragennetwerk</w:t>
      </w:r>
      <w:r w:rsidRPr="00A805F5" w:rsidR="00D94223">
        <w:rPr>
          <w:rFonts w:cs="Arial"/>
          <w:szCs w:val="20"/>
          <w:lang w:val="nl-NL"/>
        </w:rPr>
        <w:t xml:space="preserve"> waardoor d</w:t>
      </w:r>
      <w:r w:rsidRPr="00A805F5" w:rsidR="00DA14EC">
        <w:rPr>
          <w:rFonts w:cs="Arial"/>
          <w:szCs w:val="20"/>
          <w:lang w:val="nl-NL"/>
        </w:rPr>
        <w:t xml:space="preserve">ergelijke </w:t>
      </w:r>
      <w:r w:rsidRPr="00A805F5" w:rsidR="00227985">
        <w:rPr>
          <w:rFonts w:cs="Arial"/>
          <w:szCs w:val="20"/>
          <w:lang w:val="nl-NL"/>
        </w:rPr>
        <w:t>afspraken zouden doorwerken naar andere verdragen van Chili</w:t>
      </w:r>
      <w:r w:rsidRPr="00A805F5">
        <w:rPr>
          <w:rFonts w:cs="Arial"/>
          <w:szCs w:val="20"/>
          <w:lang w:val="nl-NL"/>
        </w:rPr>
        <w:t>. In het kader van een totaalcompromis is met betrekking tot deze inkomensbestanddelen het volgende afgesproken:</w:t>
      </w:r>
    </w:p>
    <w:p w:rsidRPr="00A805F5" w:rsidR="00D95D9E" w:rsidP="00D95D9E" w:rsidRDefault="00D95D9E" w14:paraId="1F41519E" w14:textId="2D3981AA">
      <w:pPr>
        <w:numPr>
          <w:ilvl w:val="0"/>
          <w:numId w:val="42"/>
        </w:numPr>
        <w:rPr>
          <w:rFonts w:cs="Arial"/>
          <w:szCs w:val="20"/>
          <w:lang w:val="nl-NL"/>
        </w:rPr>
      </w:pPr>
      <w:r w:rsidRPr="00A805F5">
        <w:rPr>
          <w:rFonts w:cs="Arial"/>
          <w:szCs w:val="20"/>
          <w:lang w:val="nl-NL"/>
        </w:rPr>
        <w:t xml:space="preserve">In artikel 10 van het Verdrag is een exclusieve woonstaatheffing overeengekomen voor dividenden betaald aan een vrijgesteld pensioenfonds, een bronstaatheffing van 5% </w:t>
      </w:r>
      <w:r w:rsidRPr="00A805F5" w:rsidR="00107A02">
        <w:rPr>
          <w:rFonts w:cs="Arial"/>
          <w:szCs w:val="20"/>
          <w:lang w:val="nl-NL"/>
        </w:rPr>
        <w:t xml:space="preserve">van het brutodividend </w:t>
      </w:r>
      <w:r w:rsidRPr="00A805F5">
        <w:rPr>
          <w:rFonts w:cs="Arial"/>
          <w:szCs w:val="20"/>
          <w:lang w:val="nl-NL"/>
        </w:rPr>
        <w:t xml:space="preserve">voor deelnemingsdividenden en een bronstaatheffing van 15% </w:t>
      </w:r>
      <w:r w:rsidRPr="00A805F5" w:rsidR="00107A02">
        <w:rPr>
          <w:rFonts w:cs="Arial"/>
          <w:szCs w:val="20"/>
          <w:lang w:val="nl-NL"/>
        </w:rPr>
        <w:t xml:space="preserve">van het brutodividend </w:t>
      </w:r>
      <w:r w:rsidRPr="00A805F5">
        <w:rPr>
          <w:rFonts w:cs="Arial"/>
          <w:szCs w:val="20"/>
          <w:lang w:val="nl-NL"/>
        </w:rPr>
        <w:t>voor</w:t>
      </w:r>
      <w:r w:rsidRPr="00A805F5" w:rsidR="00227985">
        <w:rPr>
          <w:rFonts w:cs="Arial"/>
          <w:szCs w:val="20"/>
          <w:lang w:val="nl-NL"/>
        </w:rPr>
        <w:t xml:space="preserve"> overige dividenden, waarbij het Chileense gelaagde systeem van belastingheffing – onder voorwaarden – niet wordt aangetast en Chili dus niet beperkt wordt in de heffing van de ‘aanvullende belasting’</w:t>
      </w:r>
      <w:r w:rsidRPr="00A805F5" w:rsidR="00832ED1">
        <w:rPr>
          <w:rFonts w:cs="Arial"/>
          <w:szCs w:val="20"/>
          <w:lang w:val="nl-NL"/>
        </w:rPr>
        <w:t xml:space="preserve"> (</w:t>
      </w:r>
      <w:proofErr w:type="spellStart"/>
      <w:r w:rsidRPr="00A805F5" w:rsidR="006F2E56">
        <w:rPr>
          <w:rFonts w:cs="Arial"/>
          <w:i/>
          <w:szCs w:val="20"/>
          <w:lang w:val="nl-NL"/>
        </w:rPr>
        <w:t>i</w:t>
      </w:r>
      <w:r w:rsidRPr="00A805F5" w:rsidR="00832ED1">
        <w:rPr>
          <w:rFonts w:cs="Arial"/>
          <w:i/>
          <w:szCs w:val="20"/>
          <w:lang w:val="nl-NL"/>
        </w:rPr>
        <w:t>mpuesto</w:t>
      </w:r>
      <w:proofErr w:type="spellEnd"/>
      <w:r w:rsidRPr="00A805F5" w:rsidR="00832ED1">
        <w:rPr>
          <w:rFonts w:cs="Arial"/>
          <w:i/>
          <w:szCs w:val="20"/>
          <w:lang w:val="nl-NL"/>
        </w:rPr>
        <w:t xml:space="preserve"> </w:t>
      </w:r>
      <w:proofErr w:type="spellStart"/>
      <w:r w:rsidRPr="00A805F5" w:rsidR="00832ED1">
        <w:rPr>
          <w:rFonts w:cs="Arial"/>
          <w:i/>
          <w:szCs w:val="20"/>
          <w:lang w:val="nl-NL"/>
        </w:rPr>
        <w:t>adicional</w:t>
      </w:r>
      <w:proofErr w:type="spellEnd"/>
      <w:r w:rsidRPr="00A805F5" w:rsidR="00832ED1">
        <w:rPr>
          <w:rFonts w:cs="Arial"/>
          <w:szCs w:val="20"/>
          <w:lang w:val="nl-NL"/>
        </w:rPr>
        <w:t>)</w:t>
      </w:r>
      <w:r w:rsidRPr="00A805F5" w:rsidR="00227985">
        <w:rPr>
          <w:rFonts w:cs="Arial"/>
          <w:szCs w:val="20"/>
          <w:lang w:val="nl-NL"/>
        </w:rPr>
        <w:t>.</w:t>
      </w:r>
      <w:r w:rsidRPr="00A805F5" w:rsidR="00444CBC">
        <w:rPr>
          <w:rFonts w:cs="Arial"/>
          <w:szCs w:val="20"/>
          <w:lang w:val="nl-NL"/>
        </w:rPr>
        <w:t xml:space="preserve"> </w:t>
      </w:r>
      <w:r w:rsidRPr="00A805F5" w:rsidR="009D613F">
        <w:rPr>
          <w:rFonts w:cs="Arial"/>
          <w:szCs w:val="20"/>
          <w:lang w:val="nl-NL"/>
        </w:rPr>
        <w:br/>
      </w:r>
      <w:r w:rsidRPr="00A805F5" w:rsidR="00444CBC">
        <w:rPr>
          <w:rFonts w:cs="Arial"/>
          <w:szCs w:val="20"/>
          <w:lang w:val="nl-NL"/>
        </w:rPr>
        <w:t xml:space="preserve">Artikel III van het Protocol bevat een meestbegunstigingsbepaling op grond waarvan Chili en Nederland overleggen over een wijziging van het Verdrag als Chili de ‘aanvullende belasting’ in een </w:t>
      </w:r>
      <w:r w:rsidRPr="00A805F5" w:rsidR="005510F0">
        <w:rPr>
          <w:rFonts w:cs="Arial"/>
          <w:szCs w:val="20"/>
          <w:lang w:val="nl-NL"/>
        </w:rPr>
        <w:t xml:space="preserve">ander </w:t>
      </w:r>
      <w:r w:rsidRPr="00A805F5" w:rsidR="00444CBC">
        <w:rPr>
          <w:rFonts w:cs="Arial"/>
          <w:szCs w:val="20"/>
          <w:lang w:val="nl-NL"/>
        </w:rPr>
        <w:t xml:space="preserve">belastingverdrag wel zou beperken. </w:t>
      </w:r>
      <w:r w:rsidRPr="00A805F5" w:rsidR="005510F0">
        <w:rPr>
          <w:rFonts w:cs="Arial"/>
          <w:szCs w:val="20"/>
          <w:lang w:val="nl-NL"/>
        </w:rPr>
        <w:t>Al</w:t>
      </w:r>
      <w:r w:rsidRPr="00A805F5" w:rsidR="00444CBC">
        <w:rPr>
          <w:rFonts w:cs="Arial"/>
          <w:szCs w:val="20"/>
          <w:lang w:val="nl-NL"/>
        </w:rPr>
        <w:t xml:space="preserve">s de aanvullende belasting 35% overschrijdt of als de belasting van de eerste categorie </w:t>
      </w:r>
      <w:r w:rsidRPr="00A805F5" w:rsidR="005510F0">
        <w:rPr>
          <w:rFonts w:cs="Arial"/>
          <w:szCs w:val="20"/>
          <w:lang w:val="nl-NL"/>
        </w:rPr>
        <w:t xml:space="preserve">hiermee </w:t>
      </w:r>
      <w:r w:rsidRPr="00A805F5" w:rsidR="00444CBC">
        <w:rPr>
          <w:rFonts w:cs="Arial"/>
          <w:szCs w:val="20"/>
          <w:lang w:val="nl-NL"/>
        </w:rPr>
        <w:t>niet meer volledig verreken</w:t>
      </w:r>
      <w:r w:rsidRPr="00A805F5" w:rsidR="005510F0">
        <w:rPr>
          <w:rFonts w:cs="Arial"/>
          <w:szCs w:val="20"/>
          <w:lang w:val="nl-NL"/>
        </w:rPr>
        <w:t>baar is</w:t>
      </w:r>
      <w:r w:rsidRPr="00A805F5" w:rsidR="00444CBC">
        <w:rPr>
          <w:rFonts w:cs="Arial"/>
          <w:szCs w:val="20"/>
          <w:lang w:val="nl-NL"/>
        </w:rPr>
        <w:t xml:space="preserve">, </w:t>
      </w:r>
      <w:r w:rsidRPr="00A805F5" w:rsidR="005510F0">
        <w:rPr>
          <w:rFonts w:cs="Arial"/>
          <w:szCs w:val="20"/>
          <w:lang w:val="nl-NL"/>
        </w:rPr>
        <w:t xml:space="preserve">wordt </w:t>
      </w:r>
      <w:r w:rsidRPr="00A805F5" w:rsidR="00444CBC">
        <w:rPr>
          <w:rFonts w:cs="Arial"/>
          <w:szCs w:val="20"/>
          <w:lang w:val="nl-NL"/>
        </w:rPr>
        <w:t xml:space="preserve">de aanvullende belasting wel </w:t>
      </w:r>
      <w:r w:rsidRPr="00A805F5" w:rsidR="005510F0">
        <w:rPr>
          <w:rFonts w:cs="Arial"/>
          <w:szCs w:val="20"/>
          <w:lang w:val="nl-NL"/>
        </w:rPr>
        <w:t>beperkt door artikel 10 en geldt een maximale bronstaatheffing van 20%.</w:t>
      </w:r>
    </w:p>
    <w:p w:rsidRPr="00A805F5" w:rsidR="00D95D9E" w:rsidP="00D95D9E" w:rsidRDefault="00D95D9E" w14:paraId="27E4D9DD" w14:textId="7F7B221B">
      <w:pPr>
        <w:numPr>
          <w:ilvl w:val="0"/>
          <w:numId w:val="42"/>
        </w:numPr>
        <w:rPr>
          <w:rFonts w:cs="Arial"/>
          <w:szCs w:val="20"/>
          <w:lang w:val="nl-NL"/>
        </w:rPr>
      </w:pPr>
      <w:r w:rsidRPr="00A805F5">
        <w:rPr>
          <w:rFonts w:cs="Arial"/>
          <w:szCs w:val="20"/>
          <w:lang w:val="nl-NL"/>
        </w:rPr>
        <w:t xml:space="preserve">In artikel 11 van het Verdrag is </w:t>
      </w:r>
      <w:r w:rsidRPr="00A805F5" w:rsidR="00A26D00">
        <w:rPr>
          <w:rFonts w:cs="Arial"/>
          <w:szCs w:val="20"/>
          <w:lang w:val="nl-NL"/>
        </w:rPr>
        <w:t xml:space="preserve">voor interest een beperkte </w:t>
      </w:r>
      <w:r w:rsidRPr="00A805F5" w:rsidR="00227985">
        <w:rPr>
          <w:rFonts w:cs="Arial"/>
          <w:szCs w:val="20"/>
          <w:lang w:val="nl-NL"/>
        </w:rPr>
        <w:t>bronstaatheffing</w:t>
      </w:r>
      <w:r w:rsidRPr="00A805F5">
        <w:rPr>
          <w:rFonts w:cs="Arial"/>
          <w:szCs w:val="20"/>
          <w:lang w:val="nl-NL"/>
        </w:rPr>
        <w:t xml:space="preserve"> overeengekomen </w:t>
      </w:r>
      <w:r w:rsidRPr="00A805F5" w:rsidR="00A26D00">
        <w:rPr>
          <w:rFonts w:cs="Arial"/>
          <w:szCs w:val="20"/>
          <w:lang w:val="nl-NL"/>
        </w:rPr>
        <w:t xml:space="preserve">van ten hoogste 4% </w:t>
      </w:r>
      <w:r w:rsidRPr="00A805F5" w:rsidR="00107A02">
        <w:rPr>
          <w:rFonts w:cs="Arial"/>
          <w:szCs w:val="20"/>
          <w:lang w:val="nl-NL"/>
        </w:rPr>
        <w:t xml:space="preserve">van de bruto-interest </w:t>
      </w:r>
      <w:r w:rsidRPr="00A805F5" w:rsidR="00A26D00">
        <w:rPr>
          <w:rFonts w:cs="Arial"/>
          <w:szCs w:val="20"/>
          <w:lang w:val="nl-NL"/>
        </w:rPr>
        <w:t xml:space="preserve">voor interestbetalingen die toekomen </w:t>
      </w:r>
      <w:r w:rsidRPr="00A805F5" w:rsidR="00832ED1">
        <w:rPr>
          <w:rFonts w:cs="Arial"/>
          <w:szCs w:val="20"/>
          <w:lang w:val="nl-NL"/>
        </w:rPr>
        <w:t xml:space="preserve">aan </w:t>
      </w:r>
      <w:r w:rsidRPr="00A805F5" w:rsidR="006C5356">
        <w:rPr>
          <w:rFonts w:cs="Arial"/>
          <w:szCs w:val="20"/>
          <w:lang w:val="nl-NL"/>
        </w:rPr>
        <w:t xml:space="preserve">onder meer banken of verzekeringsmaatschappijen of voor leverancierskrediet op de levering van machines of uitrusting. Voor overige gevallen is een maximaal tarief van 10% </w:t>
      </w:r>
      <w:r w:rsidRPr="00A805F5" w:rsidR="00107A02">
        <w:rPr>
          <w:rFonts w:cs="Arial"/>
          <w:szCs w:val="20"/>
          <w:lang w:val="nl-NL"/>
        </w:rPr>
        <w:t xml:space="preserve">van de bruto-interest </w:t>
      </w:r>
      <w:r w:rsidRPr="00A805F5" w:rsidR="006C5356">
        <w:rPr>
          <w:rFonts w:cs="Arial"/>
          <w:szCs w:val="20"/>
          <w:lang w:val="nl-NL"/>
        </w:rPr>
        <w:t xml:space="preserve">overeengekomen. </w:t>
      </w:r>
    </w:p>
    <w:p w:rsidRPr="00A805F5" w:rsidR="00D95D9E" w:rsidP="00D95D9E" w:rsidRDefault="00D95D9E" w14:paraId="1186C75C" w14:textId="39D2DB71">
      <w:pPr>
        <w:numPr>
          <w:ilvl w:val="0"/>
          <w:numId w:val="42"/>
        </w:numPr>
        <w:rPr>
          <w:rFonts w:cs="Arial"/>
          <w:szCs w:val="20"/>
          <w:lang w:val="nl-NL"/>
        </w:rPr>
      </w:pPr>
      <w:r w:rsidRPr="00A805F5">
        <w:rPr>
          <w:rFonts w:cs="Arial"/>
          <w:szCs w:val="20"/>
          <w:lang w:val="nl-NL"/>
        </w:rPr>
        <w:t>In artikel 12 van het Verdrag is een bronstaat</w:t>
      </w:r>
      <w:r w:rsidRPr="00A805F5" w:rsidR="00107A02">
        <w:rPr>
          <w:rFonts w:cs="Arial"/>
          <w:szCs w:val="20"/>
          <w:lang w:val="nl-NL"/>
        </w:rPr>
        <w:t>heffing van 2</w:t>
      </w:r>
      <w:r w:rsidRPr="00A805F5">
        <w:rPr>
          <w:rFonts w:cs="Arial"/>
          <w:szCs w:val="20"/>
          <w:lang w:val="nl-NL"/>
        </w:rPr>
        <w:t xml:space="preserve">% </w:t>
      </w:r>
      <w:r w:rsidRPr="00A805F5" w:rsidR="00107A02">
        <w:rPr>
          <w:rFonts w:cs="Arial"/>
          <w:szCs w:val="20"/>
          <w:lang w:val="nl-NL"/>
        </w:rPr>
        <w:t xml:space="preserve">van het brutobedrag van de royalty’s </w:t>
      </w:r>
      <w:r w:rsidRPr="00A805F5">
        <w:rPr>
          <w:rFonts w:cs="Arial"/>
          <w:szCs w:val="20"/>
          <w:lang w:val="nl-NL"/>
        </w:rPr>
        <w:t>overeengekomen voor betalingen voor het (recht van) gebruik van industriële</w:t>
      </w:r>
      <w:r w:rsidRPr="00A805F5" w:rsidR="00107A02">
        <w:rPr>
          <w:rFonts w:cs="Arial"/>
          <w:szCs w:val="20"/>
          <w:lang w:val="nl-NL"/>
        </w:rPr>
        <w:t>, commerciële</w:t>
      </w:r>
      <w:r w:rsidRPr="00A805F5">
        <w:rPr>
          <w:rFonts w:cs="Arial"/>
          <w:szCs w:val="20"/>
          <w:lang w:val="nl-NL"/>
        </w:rPr>
        <w:t xml:space="preserve"> en wetenschappelijke uitrusting en 10% voor (overige) </w:t>
      </w:r>
      <w:r w:rsidRPr="00A805F5" w:rsidR="00107A02">
        <w:rPr>
          <w:rFonts w:cs="Arial"/>
          <w:szCs w:val="20"/>
          <w:lang w:val="nl-NL"/>
        </w:rPr>
        <w:t>royalty-</w:t>
      </w:r>
      <w:r w:rsidRPr="00A805F5">
        <w:rPr>
          <w:rFonts w:cs="Arial"/>
          <w:szCs w:val="20"/>
          <w:lang w:val="nl-NL"/>
        </w:rPr>
        <w:t>betalingen.</w:t>
      </w:r>
    </w:p>
    <w:p w:rsidRPr="00A805F5" w:rsidR="00841CED" w:rsidP="00841CED" w:rsidRDefault="00D95D9E" w14:paraId="4AED79FC" w14:textId="123023B6">
      <w:pPr>
        <w:numPr>
          <w:ilvl w:val="0"/>
          <w:numId w:val="42"/>
        </w:numPr>
        <w:rPr>
          <w:rFonts w:cs="Arial"/>
          <w:szCs w:val="20"/>
          <w:lang w:val="nl-NL"/>
        </w:rPr>
      </w:pPr>
      <w:r w:rsidRPr="00A805F5">
        <w:rPr>
          <w:rFonts w:cs="Arial"/>
          <w:szCs w:val="20"/>
          <w:lang w:val="nl-NL"/>
        </w:rPr>
        <w:t>Artikel 13 geeft de bronstaat</w:t>
      </w:r>
      <w:r w:rsidRPr="00A805F5" w:rsidR="00D94223">
        <w:rPr>
          <w:rFonts w:cs="Arial"/>
          <w:szCs w:val="20"/>
          <w:lang w:val="nl-NL"/>
        </w:rPr>
        <w:t xml:space="preserve"> het recht om </w:t>
      </w:r>
      <w:r w:rsidRPr="00A805F5">
        <w:rPr>
          <w:rFonts w:cs="Arial"/>
          <w:szCs w:val="20"/>
          <w:lang w:val="nl-NL"/>
        </w:rPr>
        <w:t xml:space="preserve">belasting </w:t>
      </w:r>
      <w:r w:rsidRPr="00A805F5" w:rsidR="00D94223">
        <w:rPr>
          <w:rFonts w:cs="Arial"/>
          <w:szCs w:val="20"/>
          <w:lang w:val="nl-NL"/>
        </w:rPr>
        <w:t xml:space="preserve">te heffen </w:t>
      </w:r>
      <w:r w:rsidRPr="00A805F5">
        <w:rPr>
          <w:rFonts w:cs="Arial"/>
          <w:szCs w:val="20"/>
          <w:lang w:val="nl-NL"/>
        </w:rPr>
        <w:t xml:space="preserve">over de vermogenswinst behaald met de vervreemding van aandelen </w:t>
      </w:r>
      <w:r w:rsidRPr="00A805F5" w:rsidR="00AE2AB7">
        <w:rPr>
          <w:rFonts w:cs="Arial"/>
          <w:szCs w:val="20"/>
          <w:lang w:val="nl-NL"/>
        </w:rPr>
        <w:t xml:space="preserve">die ten minste 20% vertegenwoordigen van het kapitaal van een </w:t>
      </w:r>
      <w:r w:rsidRPr="00A805F5">
        <w:rPr>
          <w:rFonts w:cs="Arial"/>
          <w:szCs w:val="20"/>
          <w:lang w:val="nl-NL"/>
        </w:rPr>
        <w:t>in de bronstaat gevestigd lichaam</w:t>
      </w:r>
      <w:r w:rsidRPr="00A805F5" w:rsidR="00AE2AB7">
        <w:rPr>
          <w:rFonts w:cs="Arial"/>
          <w:szCs w:val="20"/>
          <w:lang w:val="nl-NL"/>
        </w:rPr>
        <w:t xml:space="preserve">, of die ten minste 50% van hun waarde ontlenen aan onroerende zaken in de bronstaat. Voor overige vermogenswinsten op aandelen in een lichaam dat inwoner is van de bronstaat is de bronstaatheffing gemaximeerd op 16% van de voordelen. Deze bronstaatheffing geldt niet voor erkende (vrijgestelde) pensioenfondsen. </w:t>
      </w:r>
    </w:p>
    <w:p w:rsidRPr="00A805F5" w:rsidR="009D613F" w:rsidP="00841CED" w:rsidRDefault="00841CED" w14:paraId="253F05DB" w14:textId="59EAD3B6">
      <w:pPr>
        <w:numPr>
          <w:ilvl w:val="0"/>
          <w:numId w:val="42"/>
        </w:numPr>
        <w:rPr>
          <w:rFonts w:cs="Arial"/>
          <w:szCs w:val="20"/>
          <w:lang w:val="nl-NL"/>
        </w:rPr>
      </w:pPr>
      <w:r w:rsidRPr="00A805F5">
        <w:rPr>
          <w:rFonts w:cs="Arial"/>
          <w:szCs w:val="20"/>
          <w:lang w:val="nl-NL"/>
        </w:rPr>
        <w:t xml:space="preserve">Artikel V van het Protocol bevat een meestbegunstigingsbepaling die inhoudt dat als Chili in latere belastingverdragen lagere bronheffingstarieven overeenkomt bij interest (artikel 11) of royalty’s (artikel 12), of als betalingen voor industriële, commerciële of wetenschappelijke uitrusting niet als royalty’s worden behandeld dan wel de voorwaarden voor een bronstaatheffing over </w:t>
      </w:r>
      <w:proofErr w:type="spellStart"/>
      <w:r w:rsidRPr="00A805F5">
        <w:rPr>
          <w:rFonts w:cs="Arial"/>
          <w:szCs w:val="20"/>
          <w:lang w:val="nl-NL"/>
        </w:rPr>
        <w:t>vermogenwinsten</w:t>
      </w:r>
      <w:proofErr w:type="spellEnd"/>
      <w:r w:rsidRPr="00A805F5">
        <w:rPr>
          <w:rFonts w:cs="Arial"/>
          <w:szCs w:val="20"/>
          <w:lang w:val="nl-NL"/>
        </w:rPr>
        <w:t xml:space="preserve"> (artikel 13) verder worden beperkt, Chili en Nederland </w:t>
      </w:r>
      <w:r w:rsidRPr="00A805F5">
        <w:rPr>
          <w:rFonts w:cs="Arial"/>
          <w:szCs w:val="20"/>
          <w:lang w:val="nl-NL"/>
        </w:rPr>
        <w:lastRenderedPageBreak/>
        <w:t xml:space="preserve">– op verzoek van Nederland – overleg plegen om deze lagere tarieven of beperkende voorwaarden in het Verdrag op te nemen. </w:t>
      </w:r>
    </w:p>
    <w:p w:rsidRPr="00A805F5" w:rsidR="00AE2AB7" w:rsidP="00AE2AB7" w:rsidRDefault="00AE2AB7" w14:paraId="6F1B4CF8" w14:textId="77777777">
      <w:pPr>
        <w:rPr>
          <w:rFonts w:cs="Arial"/>
          <w:szCs w:val="20"/>
          <w:lang w:val="nl-NL"/>
        </w:rPr>
      </w:pPr>
    </w:p>
    <w:p w:rsidRPr="00A805F5" w:rsidR="0068055F" w:rsidP="0068055F" w:rsidRDefault="00D95D9E" w14:paraId="787447E5" w14:textId="53F25ABE">
      <w:pPr>
        <w:rPr>
          <w:rFonts w:cs="Arial"/>
          <w:szCs w:val="20"/>
          <w:lang w:val="nl-NL"/>
        </w:rPr>
      </w:pPr>
      <w:r w:rsidRPr="00A805F5">
        <w:rPr>
          <w:rFonts w:cs="Arial"/>
          <w:szCs w:val="20"/>
          <w:lang w:val="nl-NL"/>
        </w:rPr>
        <w:t xml:space="preserve">In </w:t>
      </w:r>
      <w:r w:rsidRPr="00A805F5" w:rsidR="004D219C">
        <w:rPr>
          <w:rFonts w:cs="Arial"/>
          <w:szCs w:val="20"/>
          <w:lang w:val="nl-NL"/>
        </w:rPr>
        <w:t xml:space="preserve">lijn met de Nederlandse onderhandelingsinzet zijn in </w:t>
      </w:r>
      <w:r w:rsidRPr="00A805F5">
        <w:rPr>
          <w:rFonts w:cs="Arial"/>
          <w:szCs w:val="20"/>
          <w:lang w:val="nl-NL"/>
        </w:rPr>
        <w:t>het totaalcompromis de volgende elementen opgenomen:</w:t>
      </w:r>
    </w:p>
    <w:p w:rsidRPr="00A805F5" w:rsidR="0068055F" w:rsidP="0068055F" w:rsidRDefault="0068055F" w14:paraId="26A79B18" w14:textId="714218A6">
      <w:pPr>
        <w:pStyle w:val="ListParagraph"/>
        <w:numPr>
          <w:ilvl w:val="0"/>
          <w:numId w:val="45"/>
        </w:numPr>
        <w:spacing w:line="360" w:lineRule="auto"/>
        <w:ind w:hanging="357"/>
        <w:rPr>
          <w:rFonts w:ascii="Arial" w:hAnsi="Arial" w:cs="Arial"/>
          <w:sz w:val="20"/>
          <w:szCs w:val="20"/>
        </w:rPr>
      </w:pPr>
      <w:r w:rsidRPr="00A805F5">
        <w:rPr>
          <w:rFonts w:ascii="Arial" w:hAnsi="Arial" w:cs="Arial"/>
          <w:sz w:val="20"/>
          <w:szCs w:val="20"/>
        </w:rPr>
        <w:t xml:space="preserve">Een bepaling om werkzaamheden (buitengaats) te kunnen belasten als </w:t>
      </w:r>
      <w:r w:rsidRPr="00A805F5" w:rsidR="00D94223">
        <w:rPr>
          <w:rFonts w:ascii="Arial" w:hAnsi="Arial" w:cs="Arial"/>
          <w:sz w:val="20"/>
          <w:szCs w:val="20"/>
        </w:rPr>
        <w:t xml:space="preserve">deze </w:t>
      </w:r>
      <w:r w:rsidRPr="00A805F5">
        <w:rPr>
          <w:rFonts w:ascii="Arial" w:hAnsi="Arial" w:cs="Arial"/>
          <w:sz w:val="20"/>
          <w:szCs w:val="20"/>
        </w:rPr>
        <w:t>in een periode van 12 maanden 30</w:t>
      </w:r>
      <w:r w:rsidR="0053721E">
        <w:rPr>
          <w:rFonts w:ascii="Arial" w:hAnsi="Arial" w:cs="Arial"/>
          <w:sz w:val="20"/>
          <w:szCs w:val="20"/>
        </w:rPr>
        <w:t xml:space="preserve"> </w:t>
      </w:r>
      <w:r w:rsidRPr="00A805F5">
        <w:rPr>
          <w:rFonts w:ascii="Arial" w:hAnsi="Arial" w:cs="Arial"/>
          <w:sz w:val="20"/>
          <w:szCs w:val="20"/>
        </w:rPr>
        <w:t xml:space="preserve">dagen </w:t>
      </w:r>
      <w:r w:rsidRPr="00A805F5" w:rsidR="006B0F52">
        <w:rPr>
          <w:rFonts w:ascii="Arial" w:hAnsi="Arial" w:cs="Arial"/>
          <w:sz w:val="20"/>
          <w:szCs w:val="20"/>
        </w:rPr>
        <w:t>of meer duren</w:t>
      </w:r>
      <w:r w:rsidRPr="00A805F5">
        <w:rPr>
          <w:rFonts w:ascii="Arial" w:hAnsi="Arial" w:cs="Arial"/>
          <w:sz w:val="20"/>
          <w:szCs w:val="20"/>
        </w:rPr>
        <w:t xml:space="preserve">. Op verzoek van Chili is deze bepaling uitgebreid naar andere </w:t>
      </w:r>
      <w:r w:rsidRPr="00A805F5" w:rsidR="008E4772">
        <w:rPr>
          <w:rFonts w:ascii="Arial" w:hAnsi="Arial" w:cs="Arial"/>
          <w:sz w:val="20"/>
          <w:szCs w:val="20"/>
        </w:rPr>
        <w:t>exploratie- of exploitatie-</w:t>
      </w:r>
      <w:r w:rsidRPr="00A805F5">
        <w:rPr>
          <w:rFonts w:ascii="Arial" w:hAnsi="Arial" w:cs="Arial"/>
          <w:sz w:val="20"/>
          <w:szCs w:val="20"/>
        </w:rPr>
        <w:t xml:space="preserve">activiteiten die verband houden met </w:t>
      </w:r>
      <w:r w:rsidRPr="00A805F5" w:rsidR="008E4772">
        <w:rPr>
          <w:rFonts w:ascii="Arial" w:hAnsi="Arial" w:cs="Arial"/>
          <w:sz w:val="20"/>
          <w:szCs w:val="20"/>
        </w:rPr>
        <w:t>natuurlijke rijkdommen (dus ook als deze niet buitengaats plaatsvinden).</w:t>
      </w:r>
    </w:p>
    <w:p w:rsidRPr="00A805F5" w:rsidR="00D95D9E" w:rsidP="0068055F" w:rsidRDefault="00D95D9E" w14:paraId="117C1D9E" w14:textId="2D223D31">
      <w:pPr>
        <w:pStyle w:val="ListParagraph"/>
        <w:numPr>
          <w:ilvl w:val="0"/>
          <w:numId w:val="45"/>
        </w:numPr>
        <w:spacing w:line="360" w:lineRule="auto"/>
        <w:ind w:hanging="357"/>
        <w:rPr>
          <w:rFonts w:ascii="Arial" w:hAnsi="Arial" w:cs="Arial"/>
          <w:sz w:val="20"/>
          <w:szCs w:val="20"/>
        </w:rPr>
      </w:pPr>
      <w:r w:rsidRPr="00A805F5">
        <w:rPr>
          <w:rFonts w:ascii="Arial" w:hAnsi="Arial" w:cs="Arial"/>
          <w:sz w:val="20"/>
          <w:szCs w:val="20"/>
        </w:rPr>
        <w:t xml:space="preserve">De artikelen 10 en 13 van het Verdrag bevatten een regeling </w:t>
      </w:r>
      <w:r w:rsidRPr="00A805F5" w:rsidR="0068055F">
        <w:rPr>
          <w:rFonts w:ascii="Arial" w:hAnsi="Arial" w:cs="Arial"/>
          <w:sz w:val="20"/>
          <w:szCs w:val="20"/>
        </w:rPr>
        <w:t>over de belastingclaim</w:t>
      </w:r>
      <w:r w:rsidRPr="00A805F5">
        <w:rPr>
          <w:rFonts w:ascii="Arial" w:hAnsi="Arial" w:cs="Arial"/>
          <w:sz w:val="20"/>
          <w:szCs w:val="20"/>
        </w:rPr>
        <w:t xml:space="preserve"> bij emigratie van een aanmerkelijkbelanghouder naar de andere verdragsluitende staat.</w:t>
      </w:r>
    </w:p>
    <w:p w:rsidRPr="00A805F5" w:rsidR="008E4772" w:rsidP="0068055F" w:rsidRDefault="008E4772" w14:paraId="15925672" w14:textId="21E2F8E9">
      <w:pPr>
        <w:pStyle w:val="ListParagraph"/>
        <w:numPr>
          <w:ilvl w:val="0"/>
          <w:numId w:val="45"/>
        </w:numPr>
        <w:spacing w:line="360" w:lineRule="auto"/>
        <w:ind w:hanging="357"/>
        <w:rPr>
          <w:rFonts w:ascii="Arial" w:hAnsi="Arial" w:cs="Arial"/>
          <w:sz w:val="20"/>
          <w:szCs w:val="20"/>
        </w:rPr>
      </w:pPr>
      <w:r w:rsidRPr="00A805F5">
        <w:rPr>
          <w:rFonts w:ascii="Arial" w:hAnsi="Arial" w:cs="Arial"/>
          <w:sz w:val="20"/>
          <w:szCs w:val="20"/>
        </w:rPr>
        <w:t>Artikel 18 bevat een bronstaatheffing voor pensioenen, lijfrenten en sociale zekerheidsuitkeringen.</w:t>
      </w:r>
    </w:p>
    <w:p w:rsidRPr="00A805F5" w:rsidR="00D95D9E" w:rsidP="00D95D9E" w:rsidRDefault="00D95D9E" w14:paraId="5AC93BD5" w14:textId="49DD9CA9">
      <w:pPr>
        <w:rPr>
          <w:rFonts w:cs="Arial"/>
          <w:szCs w:val="20"/>
          <w:lang w:val="nl-NL"/>
        </w:rPr>
      </w:pPr>
      <w:r w:rsidRPr="00A805F5">
        <w:rPr>
          <w:rFonts w:cs="Arial"/>
          <w:szCs w:val="20"/>
          <w:lang w:val="nl-NL"/>
        </w:rPr>
        <w:t>Verder bevat het Verdrag de volgende noemenswaardige afspraken:</w:t>
      </w:r>
    </w:p>
    <w:p w:rsidRPr="00A805F5" w:rsidR="008E4772" w:rsidP="008E4772" w:rsidRDefault="00264372" w14:paraId="55CFDF74" w14:textId="4F6CC5DC">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In artikel 5 van het Verdrag is opgenomen dat bi</w:t>
      </w:r>
      <w:r w:rsidRPr="00A805F5" w:rsidR="008E4772">
        <w:rPr>
          <w:rFonts w:ascii="Arial" w:hAnsi="Arial" w:cs="Arial"/>
          <w:sz w:val="20"/>
          <w:szCs w:val="20"/>
        </w:rPr>
        <w:t xml:space="preserve">j bouwplaatsen en constructie- of installatieprojecten een vaste inrichting </w:t>
      </w:r>
      <w:r w:rsidRPr="00A805F5" w:rsidR="000C28E9">
        <w:rPr>
          <w:rFonts w:ascii="Arial" w:hAnsi="Arial" w:cs="Arial"/>
          <w:sz w:val="20"/>
          <w:szCs w:val="20"/>
        </w:rPr>
        <w:t xml:space="preserve">wordt </w:t>
      </w:r>
      <w:r w:rsidRPr="00A805F5" w:rsidR="008E4772">
        <w:rPr>
          <w:rFonts w:ascii="Arial" w:hAnsi="Arial" w:cs="Arial"/>
          <w:sz w:val="20"/>
          <w:szCs w:val="20"/>
        </w:rPr>
        <w:t>aangenomen als een termijn van zes maanden wordt overschreven. Dit geldt ook voor toezichthoudende activiteiten.</w:t>
      </w:r>
    </w:p>
    <w:p w:rsidRPr="00A805F5" w:rsidR="008E4772" w:rsidP="008E4772" w:rsidRDefault="00264372" w14:paraId="1384D5D2" w14:textId="0FB884A7">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 xml:space="preserve">Artikel 5 van het Verdrag bevat een bepaling op grond waarvan een vaste inrichting wordt aangenomen bij </w:t>
      </w:r>
      <w:r w:rsidRPr="00A805F5" w:rsidR="008E4772">
        <w:rPr>
          <w:rFonts w:ascii="Arial" w:hAnsi="Arial" w:cs="Arial"/>
          <w:sz w:val="20"/>
          <w:szCs w:val="20"/>
        </w:rPr>
        <w:t xml:space="preserve">diensten die een onderneming verricht door middel van </w:t>
      </w:r>
      <w:r w:rsidRPr="00A805F5" w:rsidR="005619ED">
        <w:rPr>
          <w:rFonts w:ascii="Arial" w:hAnsi="Arial" w:cs="Arial"/>
          <w:sz w:val="20"/>
          <w:szCs w:val="20"/>
        </w:rPr>
        <w:t xml:space="preserve">daartoe aangestelde </w:t>
      </w:r>
      <w:r w:rsidRPr="00A805F5" w:rsidR="008E4772">
        <w:rPr>
          <w:rFonts w:ascii="Arial" w:hAnsi="Arial" w:cs="Arial"/>
          <w:sz w:val="20"/>
          <w:szCs w:val="20"/>
        </w:rPr>
        <w:t>werknemers of natuurlijke personen als deze werkzaamheden in de (bron)staat worden verricht en</w:t>
      </w:r>
      <w:r w:rsidRPr="00A805F5">
        <w:rPr>
          <w:rFonts w:ascii="Arial" w:hAnsi="Arial" w:cs="Arial"/>
          <w:sz w:val="20"/>
          <w:szCs w:val="20"/>
        </w:rPr>
        <w:t xml:space="preserve"> </w:t>
      </w:r>
      <w:r w:rsidRPr="00A805F5" w:rsidR="00A3773E">
        <w:rPr>
          <w:rFonts w:ascii="Arial" w:hAnsi="Arial" w:cs="Arial"/>
          <w:sz w:val="20"/>
          <w:szCs w:val="20"/>
        </w:rPr>
        <w:t>in een periode van</w:t>
      </w:r>
      <w:r w:rsidRPr="00A805F5" w:rsidDel="00A3773E" w:rsidR="00A3773E">
        <w:rPr>
          <w:rFonts w:ascii="Arial" w:hAnsi="Arial" w:cs="Arial"/>
          <w:sz w:val="20"/>
          <w:szCs w:val="20"/>
        </w:rPr>
        <w:t xml:space="preserve"> </w:t>
      </w:r>
      <w:r w:rsidRPr="00A805F5" w:rsidR="005619ED">
        <w:rPr>
          <w:rFonts w:ascii="Arial" w:hAnsi="Arial" w:cs="Arial"/>
          <w:sz w:val="20"/>
          <w:szCs w:val="20"/>
        </w:rPr>
        <w:t xml:space="preserve">12 maanden meer dan </w:t>
      </w:r>
      <w:r w:rsidRPr="00A805F5" w:rsidR="008E4772">
        <w:rPr>
          <w:rFonts w:ascii="Arial" w:hAnsi="Arial" w:cs="Arial"/>
          <w:sz w:val="20"/>
          <w:szCs w:val="20"/>
        </w:rPr>
        <w:t xml:space="preserve">183 dagen </w:t>
      </w:r>
      <w:r w:rsidRPr="00A805F5" w:rsidR="005619ED">
        <w:rPr>
          <w:rFonts w:ascii="Arial" w:hAnsi="Arial" w:cs="Arial"/>
          <w:sz w:val="20"/>
          <w:szCs w:val="20"/>
        </w:rPr>
        <w:t>voortduren.</w:t>
      </w:r>
    </w:p>
    <w:p w:rsidRPr="00A805F5" w:rsidR="00264372" w:rsidP="008E4772" w:rsidRDefault="00264372" w14:paraId="36148500" w14:textId="2F26859D">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Verzekeringspremies mogen tot ten hoogste 5% van het brutobedrag worden belast in de woonstaat van de</w:t>
      </w:r>
      <w:r w:rsidRPr="00A805F5" w:rsidR="004D219C">
        <w:rPr>
          <w:rFonts w:ascii="Arial" w:hAnsi="Arial" w:cs="Arial"/>
          <w:sz w:val="20"/>
          <w:szCs w:val="20"/>
        </w:rPr>
        <w:t>gene</w:t>
      </w:r>
      <w:r w:rsidRPr="00A805F5">
        <w:rPr>
          <w:rFonts w:ascii="Arial" w:hAnsi="Arial" w:cs="Arial"/>
          <w:sz w:val="20"/>
          <w:szCs w:val="20"/>
        </w:rPr>
        <w:t xml:space="preserve"> die deze premies verschuldigd is</w:t>
      </w:r>
      <w:r w:rsidR="00D36B4E">
        <w:rPr>
          <w:rFonts w:ascii="Arial" w:hAnsi="Arial" w:cs="Arial"/>
          <w:sz w:val="20"/>
          <w:szCs w:val="20"/>
        </w:rPr>
        <w:t>;</w:t>
      </w:r>
      <w:r w:rsidRPr="00A805F5">
        <w:rPr>
          <w:rFonts w:ascii="Arial" w:hAnsi="Arial" w:cs="Arial"/>
          <w:sz w:val="20"/>
          <w:szCs w:val="20"/>
        </w:rPr>
        <w:t xml:space="preserve"> voor herverzekeringspremies geldt een maximaal tarief van 2%.</w:t>
      </w:r>
    </w:p>
    <w:p w:rsidRPr="00A805F5" w:rsidR="00062E57" w:rsidP="00062E57" w:rsidRDefault="00062E57" w14:paraId="5739041A" w14:textId="6621105D">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 xml:space="preserve">In artikel 9 van het Verdrag is een termijn gesteld op het corrigeren </w:t>
      </w:r>
      <w:r w:rsidRPr="00A805F5" w:rsidR="004D219C">
        <w:rPr>
          <w:rFonts w:ascii="Arial" w:hAnsi="Arial" w:cs="Arial"/>
          <w:sz w:val="20"/>
          <w:szCs w:val="20"/>
        </w:rPr>
        <w:t xml:space="preserve">op basis van het arm’s-length-beginsel </w:t>
      </w:r>
      <w:r w:rsidRPr="00A805F5">
        <w:rPr>
          <w:rFonts w:ascii="Arial" w:hAnsi="Arial" w:cs="Arial"/>
          <w:sz w:val="20"/>
          <w:szCs w:val="20"/>
        </w:rPr>
        <w:t>van winsten van een onderneming</w:t>
      </w:r>
      <w:r w:rsidR="00D36B4E">
        <w:rPr>
          <w:rFonts w:ascii="Arial" w:hAnsi="Arial" w:cs="Arial"/>
          <w:sz w:val="20"/>
          <w:szCs w:val="20"/>
        </w:rPr>
        <w:t xml:space="preserve"> </w:t>
      </w:r>
      <w:r w:rsidRPr="00A805F5" w:rsidR="004D219C">
        <w:rPr>
          <w:rFonts w:ascii="Arial" w:hAnsi="Arial" w:cs="Arial"/>
          <w:sz w:val="20"/>
          <w:szCs w:val="20"/>
        </w:rPr>
        <w:t xml:space="preserve">uit transacties met een verbonden lichaam in de andere </w:t>
      </w:r>
      <w:r w:rsidRPr="00A805F5" w:rsidR="00DE7CFA">
        <w:rPr>
          <w:rFonts w:ascii="Arial" w:hAnsi="Arial" w:cs="Arial"/>
          <w:sz w:val="20"/>
          <w:szCs w:val="20"/>
        </w:rPr>
        <w:t>s</w:t>
      </w:r>
      <w:r w:rsidRPr="00A805F5" w:rsidR="004D219C">
        <w:rPr>
          <w:rFonts w:ascii="Arial" w:hAnsi="Arial" w:cs="Arial"/>
          <w:sz w:val="20"/>
          <w:szCs w:val="20"/>
        </w:rPr>
        <w:t>taat</w:t>
      </w:r>
      <w:r w:rsidR="00C73CAB">
        <w:rPr>
          <w:rFonts w:ascii="Arial" w:hAnsi="Arial" w:cs="Arial"/>
          <w:sz w:val="20"/>
          <w:szCs w:val="20"/>
        </w:rPr>
        <w:t>;</w:t>
      </w:r>
      <w:r w:rsidRPr="00A805F5">
        <w:rPr>
          <w:rFonts w:ascii="Arial" w:hAnsi="Arial" w:cs="Arial"/>
          <w:sz w:val="20"/>
          <w:szCs w:val="20"/>
        </w:rPr>
        <w:t xml:space="preserve"> de zogenoemde </w:t>
      </w:r>
      <w:proofErr w:type="spellStart"/>
      <w:r w:rsidRPr="00A805F5">
        <w:rPr>
          <w:rFonts w:ascii="Arial" w:hAnsi="Arial" w:cs="Arial"/>
          <w:i/>
          <w:sz w:val="20"/>
          <w:szCs w:val="20"/>
        </w:rPr>
        <w:t>primary</w:t>
      </w:r>
      <w:proofErr w:type="spellEnd"/>
      <w:r w:rsidRPr="00A805F5">
        <w:rPr>
          <w:rFonts w:ascii="Arial" w:hAnsi="Arial" w:cs="Arial"/>
          <w:i/>
          <w:sz w:val="20"/>
          <w:szCs w:val="20"/>
        </w:rPr>
        <w:t xml:space="preserve"> </w:t>
      </w:r>
      <w:proofErr w:type="spellStart"/>
      <w:r w:rsidRPr="00A805F5">
        <w:rPr>
          <w:rFonts w:ascii="Arial" w:hAnsi="Arial" w:cs="Arial"/>
          <w:i/>
          <w:sz w:val="20"/>
          <w:szCs w:val="20"/>
        </w:rPr>
        <w:t>adjustment</w:t>
      </w:r>
      <w:proofErr w:type="spellEnd"/>
      <w:r w:rsidRPr="00A805F5">
        <w:rPr>
          <w:rFonts w:ascii="Arial" w:hAnsi="Arial" w:cs="Arial"/>
          <w:sz w:val="20"/>
          <w:szCs w:val="20"/>
        </w:rPr>
        <w:t xml:space="preserve"> wordt niet later opgelegd dan zes jaar na het einde van het betreffende belastingjaar.</w:t>
      </w:r>
    </w:p>
    <w:p w:rsidRPr="00A805F5" w:rsidR="00693978" w:rsidP="00693978" w:rsidRDefault="00062E57" w14:paraId="4EAB8FC7" w14:textId="3C881267">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 xml:space="preserve">In artikel 17 van het Verdrag is </w:t>
      </w:r>
      <w:r w:rsidRPr="00A805F5" w:rsidR="00D95D9E">
        <w:rPr>
          <w:rFonts w:ascii="Arial" w:hAnsi="Arial" w:cs="Arial"/>
          <w:sz w:val="20"/>
          <w:szCs w:val="20"/>
        </w:rPr>
        <w:t>voor inkomen van s</w:t>
      </w:r>
      <w:r w:rsidRPr="00A805F5" w:rsidR="00264372">
        <w:rPr>
          <w:rFonts w:ascii="Arial" w:hAnsi="Arial" w:cs="Arial"/>
          <w:sz w:val="20"/>
          <w:szCs w:val="20"/>
        </w:rPr>
        <w:t xml:space="preserve">porters en artiesten </w:t>
      </w:r>
      <w:r w:rsidRPr="00A805F5" w:rsidR="004D219C">
        <w:rPr>
          <w:rFonts w:ascii="Arial" w:hAnsi="Arial" w:cs="Arial"/>
          <w:sz w:val="20"/>
          <w:szCs w:val="20"/>
        </w:rPr>
        <w:t xml:space="preserve">een bronstaatheffing </w:t>
      </w:r>
      <w:r w:rsidRPr="00A805F5">
        <w:rPr>
          <w:rFonts w:ascii="Arial" w:hAnsi="Arial" w:cs="Arial"/>
          <w:sz w:val="20"/>
          <w:szCs w:val="20"/>
        </w:rPr>
        <w:t xml:space="preserve">opgenomen (met een </w:t>
      </w:r>
      <w:r w:rsidRPr="00A805F5" w:rsidR="00693978">
        <w:rPr>
          <w:rFonts w:ascii="Arial" w:hAnsi="Arial" w:cs="Arial"/>
          <w:sz w:val="20"/>
          <w:szCs w:val="20"/>
        </w:rPr>
        <w:t>drempelbedrag en een uitzondering voor bepaalde met publieke middelen gefinancierde activiteiten)</w:t>
      </w:r>
      <w:r w:rsidRPr="00A805F5" w:rsidR="00D95D9E">
        <w:rPr>
          <w:rFonts w:ascii="Arial" w:hAnsi="Arial" w:cs="Arial"/>
          <w:sz w:val="20"/>
          <w:szCs w:val="20"/>
        </w:rPr>
        <w:t>.</w:t>
      </w:r>
    </w:p>
    <w:p w:rsidRPr="00A805F5" w:rsidR="00693978" w:rsidP="00693978" w:rsidRDefault="00693978" w14:paraId="31E88FDC" w14:textId="44082E81">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In artikel 21 van het Verdrag is e</w:t>
      </w:r>
      <w:r w:rsidRPr="00A805F5" w:rsidR="00D95D9E">
        <w:rPr>
          <w:rFonts w:ascii="Arial" w:hAnsi="Arial" w:cs="Arial"/>
          <w:sz w:val="20"/>
          <w:szCs w:val="20"/>
        </w:rPr>
        <w:t xml:space="preserve">en heffingsrecht </w:t>
      </w:r>
      <w:r w:rsidRPr="00A805F5">
        <w:rPr>
          <w:rFonts w:ascii="Arial" w:hAnsi="Arial" w:cs="Arial"/>
          <w:sz w:val="20"/>
          <w:szCs w:val="20"/>
        </w:rPr>
        <w:t xml:space="preserve">opgenomen </w:t>
      </w:r>
      <w:r w:rsidRPr="00A805F5" w:rsidR="00D95D9E">
        <w:rPr>
          <w:rFonts w:ascii="Arial" w:hAnsi="Arial" w:cs="Arial"/>
          <w:sz w:val="20"/>
          <w:szCs w:val="20"/>
        </w:rPr>
        <w:t>voor de bronstaat voor overige inkom</w:t>
      </w:r>
      <w:r w:rsidRPr="00A805F5" w:rsidR="00D82174">
        <w:rPr>
          <w:rFonts w:ascii="Arial" w:hAnsi="Arial" w:cs="Arial"/>
          <w:sz w:val="20"/>
          <w:szCs w:val="20"/>
        </w:rPr>
        <w:t xml:space="preserve">ensbestanddelen </w:t>
      </w:r>
      <w:r w:rsidRPr="00A805F5" w:rsidR="00D95D9E">
        <w:rPr>
          <w:rFonts w:ascii="Arial" w:hAnsi="Arial" w:cs="Arial"/>
          <w:sz w:val="20"/>
          <w:szCs w:val="20"/>
        </w:rPr>
        <w:t>die opkomen in de bronstaat.</w:t>
      </w:r>
    </w:p>
    <w:p w:rsidRPr="00A805F5" w:rsidR="00001FA0" w:rsidP="00693978" w:rsidRDefault="00001FA0" w14:paraId="02F32111" w14:textId="4175925C">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Artikel 25 maakt het mogelijk geschillen over de interpretatie of toepassing van het Verdrag die niet binnen twee jaar zijn opgelost in een onderlinge overlegprocedure, op verzoek van de belastingplichtige en met instemming van de bevoegd</w:t>
      </w:r>
      <w:r w:rsidRPr="00A805F5" w:rsidR="002156B3">
        <w:rPr>
          <w:rFonts w:ascii="Arial" w:hAnsi="Arial" w:cs="Arial"/>
          <w:sz w:val="20"/>
          <w:szCs w:val="20"/>
        </w:rPr>
        <w:t>e</w:t>
      </w:r>
      <w:r w:rsidRPr="00A805F5">
        <w:rPr>
          <w:rFonts w:ascii="Arial" w:hAnsi="Arial" w:cs="Arial"/>
          <w:sz w:val="20"/>
          <w:szCs w:val="20"/>
        </w:rPr>
        <w:t xml:space="preserve"> autoriteiten van beide verdragsluitende staten, voor te leggen voor</w:t>
      </w:r>
      <w:r w:rsidRPr="00A805F5" w:rsidR="004D219C">
        <w:rPr>
          <w:rFonts w:ascii="Arial" w:hAnsi="Arial" w:cs="Arial"/>
          <w:sz w:val="20"/>
          <w:szCs w:val="20"/>
        </w:rPr>
        <w:t xml:space="preserve"> bindende</w:t>
      </w:r>
      <w:r w:rsidRPr="00A805F5">
        <w:rPr>
          <w:rFonts w:ascii="Arial" w:hAnsi="Arial" w:cs="Arial"/>
          <w:sz w:val="20"/>
          <w:szCs w:val="20"/>
        </w:rPr>
        <w:t xml:space="preserve"> arbitrage.</w:t>
      </w:r>
    </w:p>
    <w:p w:rsidRPr="00A805F5" w:rsidR="00B76E3B" w:rsidP="00763C76" w:rsidRDefault="00693978" w14:paraId="07182659" w14:textId="626945E9">
      <w:pPr>
        <w:pStyle w:val="ListParagraph"/>
        <w:numPr>
          <w:ilvl w:val="0"/>
          <w:numId w:val="46"/>
        </w:numPr>
        <w:spacing w:line="360" w:lineRule="auto"/>
        <w:ind w:left="714" w:hanging="357"/>
        <w:rPr>
          <w:rFonts w:ascii="Arial" w:hAnsi="Arial" w:cs="Arial"/>
          <w:sz w:val="20"/>
          <w:szCs w:val="20"/>
        </w:rPr>
      </w:pPr>
      <w:r w:rsidRPr="00A805F5">
        <w:rPr>
          <w:rFonts w:ascii="Arial" w:hAnsi="Arial" w:cs="Arial"/>
          <w:sz w:val="20"/>
          <w:szCs w:val="20"/>
        </w:rPr>
        <w:t>De artikelen 26 en 27 bevatten e</w:t>
      </w:r>
      <w:r w:rsidRPr="00A805F5" w:rsidR="00D95D9E">
        <w:rPr>
          <w:rFonts w:ascii="Arial" w:hAnsi="Arial" w:cs="Arial"/>
          <w:sz w:val="20"/>
          <w:szCs w:val="20"/>
        </w:rPr>
        <w:t xml:space="preserve">en regeling voor inlichtingenuitwisseling en </w:t>
      </w:r>
      <w:r w:rsidRPr="00A805F5">
        <w:rPr>
          <w:rFonts w:ascii="Arial" w:hAnsi="Arial" w:cs="Arial"/>
          <w:sz w:val="20"/>
          <w:szCs w:val="20"/>
        </w:rPr>
        <w:t xml:space="preserve">een (later van toepassing wordende regeling voor) </w:t>
      </w:r>
      <w:r w:rsidRPr="00A805F5" w:rsidR="00D95D9E">
        <w:rPr>
          <w:rFonts w:ascii="Arial" w:hAnsi="Arial" w:cs="Arial"/>
          <w:sz w:val="20"/>
          <w:szCs w:val="20"/>
        </w:rPr>
        <w:t>wederzijdse bijstand bij invordering van belastingschulden.</w:t>
      </w:r>
    </w:p>
    <w:p w:rsidRPr="00472C30" w:rsidR="0054326D" w:rsidP="00001FA0" w:rsidRDefault="00D95D9E" w14:paraId="182125C3" w14:textId="3CEA4ED2">
      <w:pPr>
        <w:rPr>
          <w:rFonts w:cs="Arial"/>
          <w:szCs w:val="20"/>
          <w:lang w:val="nl-NL"/>
        </w:rPr>
      </w:pPr>
      <w:r w:rsidRPr="00A805F5">
        <w:rPr>
          <w:rFonts w:cs="Arial"/>
          <w:szCs w:val="20"/>
          <w:lang w:val="nl-NL"/>
        </w:rPr>
        <w:lastRenderedPageBreak/>
        <w:t>De in het Verdrag neergelegde regelingen weerspiegelen een resultaat dat in het licht van de over en weer naar voren gebrachte wensen en met het oog op de gerechtvaardigde</w:t>
      </w:r>
      <w:r w:rsidRPr="00A805F5" w:rsidR="00001FA0">
        <w:rPr>
          <w:rFonts w:cs="Arial"/>
          <w:szCs w:val="20"/>
          <w:lang w:val="nl-NL"/>
        </w:rPr>
        <w:t xml:space="preserve"> (</w:t>
      </w:r>
      <w:proofErr w:type="spellStart"/>
      <w:r w:rsidRPr="00A805F5" w:rsidR="00001FA0">
        <w:rPr>
          <w:rFonts w:cs="Arial"/>
          <w:szCs w:val="20"/>
          <w:lang w:val="nl-NL"/>
        </w:rPr>
        <w:t>heffings</w:t>
      </w:r>
      <w:proofErr w:type="spellEnd"/>
      <w:r w:rsidRPr="00A805F5" w:rsidR="00001FA0">
        <w:rPr>
          <w:rFonts w:cs="Arial"/>
          <w:szCs w:val="20"/>
          <w:lang w:val="nl-NL"/>
        </w:rPr>
        <w:t>)belangen van Chili en Nederland</w:t>
      </w:r>
      <w:r w:rsidRPr="00A805F5" w:rsidR="007C5FE1">
        <w:rPr>
          <w:rFonts w:cs="Arial"/>
          <w:szCs w:val="20"/>
          <w:lang w:val="nl-NL"/>
        </w:rPr>
        <w:t xml:space="preserve"> </w:t>
      </w:r>
      <w:r w:rsidRPr="00A805F5">
        <w:rPr>
          <w:rFonts w:cs="Arial"/>
          <w:szCs w:val="20"/>
          <w:lang w:val="nl-NL"/>
        </w:rPr>
        <w:t>als evenwichtig kan worden beschouwd.</w:t>
      </w:r>
      <w:r w:rsidRPr="00472C30" w:rsidR="00001FA0">
        <w:rPr>
          <w:rFonts w:cs="Arial"/>
          <w:szCs w:val="20"/>
          <w:lang w:val="nl-NL"/>
        </w:rPr>
        <w:t xml:space="preserve"> </w:t>
      </w:r>
    </w:p>
    <w:p w:rsidRPr="00A805F5" w:rsidR="0054326D" w:rsidP="0054326D" w:rsidRDefault="007C5FE1" w14:paraId="4AB26B8D" w14:textId="0F3E47A0">
      <w:pPr>
        <w:pStyle w:val="Heading2"/>
        <w:rPr>
          <w:rFonts w:cs="Arial"/>
          <w:b w:val="0"/>
          <w:bCs w:val="0"/>
          <w:i/>
          <w:smallCaps w:val="0"/>
          <w:szCs w:val="20"/>
          <w:lang w:val="nl-NL"/>
        </w:rPr>
      </w:pPr>
      <w:r w:rsidRPr="00A805F5">
        <w:rPr>
          <w:rFonts w:cs="Arial"/>
          <w:b w:val="0"/>
          <w:bCs w:val="0"/>
          <w:i/>
          <w:smallCaps w:val="0"/>
          <w:szCs w:val="20"/>
          <w:lang w:val="nl-NL"/>
        </w:rPr>
        <w:t xml:space="preserve">I.6 </w:t>
      </w:r>
      <w:r w:rsidRPr="00A805F5" w:rsidR="0054326D">
        <w:rPr>
          <w:rFonts w:cs="Arial"/>
          <w:b w:val="0"/>
          <w:bCs w:val="0"/>
          <w:i/>
          <w:smallCaps w:val="0"/>
          <w:szCs w:val="20"/>
          <w:lang w:val="nl-NL"/>
        </w:rPr>
        <w:t>Koninkrijkspositie</w:t>
      </w:r>
    </w:p>
    <w:p w:rsidRPr="00415C30" w:rsidR="0054326D" w:rsidP="00415C30" w:rsidRDefault="0054326D" w14:paraId="377635B3" w14:textId="0298E119">
      <w:pPr>
        <w:rPr>
          <w:rFonts w:cs="Arial"/>
          <w:szCs w:val="20"/>
          <w:lang w:val="nl-NL"/>
        </w:rPr>
      </w:pPr>
      <w:r w:rsidRPr="00415C30">
        <w:rPr>
          <w:rFonts w:cs="Arial"/>
          <w:szCs w:val="20"/>
          <w:lang w:val="nl-NL"/>
        </w:rPr>
        <w:t xml:space="preserve">Het Verdrag zal voor wat het Koninkrijk der Nederlanden betreft gelden voor het Europese deel </w:t>
      </w:r>
      <w:r w:rsidRPr="00415C30" w:rsidR="00F46CA6">
        <w:rPr>
          <w:rFonts w:cs="Arial"/>
          <w:szCs w:val="20"/>
          <w:lang w:val="nl-NL"/>
        </w:rPr>
        <w:t>van</w:t>
      </w:r>
      <w:r w:rsidRPr="00415C30" w:rsidR="00C3757C">
        <w:rPr>
          <w:rFonts w:cs="Arial"/>
          <w:szCs w:val="20"/>
          <w:lang w:val="nl-NL"/>
        </w:rPr>
        <w:t xml:space="preserve"> </w:t>
      </w:r>
      <w:r w:rsidRPr="00415C30">
        <w:rPr>
          <w:rFonts w:cs="Arial"/>
          <w:szCs w:val="20"/>
          <w:lang w:val="nl-NL"/>
        </w:rPr>
        <w:t xml:space="preserve">Nederland. </w:t>
      </w:r>
      <w:r w:rsidRPr="00415C30" w:rsidR="00415C30">
        <w:rPr>
          <w:rFonts w:cs="Arial"/>
          <w:szCs w:val="20"/>
          <w:lang w:val="nl-NL"/>
        </w:rPr>
        <w:t xml:space="preserve">Chili </w:t>
      </w:r>
      <w:r w:rsidRPr="00415C30">
        <w:rPr>
          <w:rFonts w:cs="Arial"/>
          <w:szCs w:val="20"/>
          <w:lang w:val="nl-NL"/>
        </w:rPr>
        <w:t xml:space="preserve">was niet bereid het Verdrag mede van toepassing te laten zijn op het Caribische deel </w:t>
      </w:r>
      <w:r w:rsidRPr="00A42BE9">
        <w:rPr>
          <w:rFonts w:cs="Arial"/>
          <w:szCs w:val="20"/>
          <w:lang w:val="nl-NL"/>
        </w:rPr>
        <w:t>(Bonaire, Sint Eustatius en Saba) van het land Nederland</w:t>
      </w:r>
      <w:r w:rsidRPr="00A42BE9" w:rsidR="00415C30">
        <w:rPr>
          <w:rFonts w:cs="Arial"/>
          <w:szCs w:val="20"/>
          <w:lang w:val="nl-NL"/>
        </w:rPr>
        <w:t>.</w:t>
      </w:r>
      <w:r w:rsidR="00A42BE9">
        <w:rPr>
          <w:rFonts w:cs="Arial"/>
          <w:szCs w:val="20"/>
          <w:lang w:val="nl-NL"/>
        </w:rPr>
        <w:t xml:space="preserve"> </w:t>
      </w:r>
      <w:r w:rsidRPr="00A42BE9">
        <w:rPr>
          <w:rFonts w:cs="Arial"/>
          <w:szCs w:val="20"/>
          <w:lang w:val="nl-NL"/>
        </w:rPr>
        <w:t xml:space="preserve">Dit houdt verband met het feit dat het </w:t>
      </w:r>
      <w:r w:rsidRPr="00A42BE9" w:rsidR="00A42BE9">
        <w:rPr>
          <w:rFonts w:cs="Arial"/>
          <w:szCs w:val="20"/>
          <w:lang w:val="nl-NL"/>
        </w:rPr>
        <w:t xml:space="preserve">Caribische deel van Nederland een van het Europese deel van Nederland afwijkend fiscaal stelsel kent en </w:t>
      </w:r>
      <w:r w:rsidR="00A42BE9">
        <w:rPr>
          <w:rFonts w:cs="Arial"/>
          <w:szCs w:val="20"/>
          <w:lang w:val="nl-NL"/>
        </w:rPr>
        <w:t xml:space="preserve">Chili ten tijde van de onderhandelingen hiermee geen praktische ervaring had. </w:t>
      </w:r>
    </w:p>
    <w:p w:rsidRPr="00763C76" w:rsidR="0054326D" w:rsidP="00347F99" w:rsidRDefault="0054326D" w14:paraId="4CF6DCB5" w14:textId="227C67A9">
      <w:pPr>
        <w:rPr>
          <w:rFonts w:cs="Arial"/>
          <w:szCs w:val="20"/>
          <w:lang w:val="nl-NL"/>
        </w:rPr>
      </w:pPr>
      <w:r w:rsidRPr="00FF28CD">
        <w:rPr>
          <w:rFonts w:cs="Arial"/>
          <w:szCs w:val="20"/>
          <w:lang w:val="nl-NL"/>
        </w:rPr>
        <w:t xml:space="preserve">De Caribische landen van het Koninkrijk (Aruba, Curaçao en Sint Maarten) zijn fiscaal autonoom en kunnen zelfstandig besluiten al dan niet in onderhandeling te treden met </w:t>
      </w:r>
      <w:r w:rsidRPr="00FF28CD" w:rsidR="00A42BE9">
        <w:rPr>
          <w:rFonts w:cs="Arial"/>
          <w:szCs w:val="20"/>
          <w:lang w:val="nl-NL"/>
        </w:rPr>
        <w:t xml:space="preserve">Chili </w:t>
      </w:r>
      <w:r w:rsidRPr="00FF28CD">
        <w:rPr>
          <w:rFonts w:cs="Arial"/>
          <w:szCs w:val="20"/>
          <w:lang w:val="nl-NL"/>
        </w:rPr>
        <w:t xml:space="preserve">over een belastingverdrag. </w:t>
      </w:r>
      <w:r w:rsidRPr="00763C76" w:rsidR="00185ED9">
        <w:rPr>
          <w:rFonts w:cs="Arial"/>
          <w:szCs w:val="20"/>
          <w:lang w:val="nl-NL"/>
        </w:rPr>
        <w:t xml:space="preserve">In artikel I, tweede lid, van het Protocol, is opgenomen dat </w:t>
      </w:r>
      <w:r w:rsidRPr="00763C76" w:rsidR="00763C76">
        <w:rPr>
          <w:rFonts w:cs="Arial"/>
          <w:szCs w:val="20"/>
          <w:lang w:val="nl-NL"/>
        </w:rPr>
        <w:t xml:space="preserve">de verdragsluitende staten kunnen besluiten het Verdrag geheel of met aanpassingen </w:t>
      </w:r>
      <w:r w:rsidR="00C73CAB">
        <w:rPr>
          <w:rFonts w:cs="Arial"/>
          <w:szCs w:val="20"/>
          <w:lang w:val="nl-NL"/>
        </w:rPr>
        <w:t>uit te breiden tot</w:t>
      </w:r>
      <w:r w:rsidRPr="00763C76" w:rsidR="00763C76">
        <w:rPr>
          <w:rFonts w:cs="Arial"/>
          <w:szCs w:val="20"/>
          <w:lang w:val="nl-NL"/>
        </w:rPr>
        <w:t xml:space="preserve"> Aruba, Curaçao of </w:t>
      </w:r>
      <w:r w:rsidRPr="00763C76" w:rsidR="00185ED9">
        <w:rPr>
          <w:rFonts w:cs="Arial"/>
          <w:szCs w:val="20"/>
          <w:lang w:val="nl-NL"/>
        </w:rPr>
        <w:t xml:space="preserve">Sint Maarten, </w:t>
      </w:r>
      <w:r w:rsidRPr="00763C76" w:rsidR="00763C76">
        <w:rPr>
          <w:rFonts w:cs="Arial"/>
          <w:szCs w:val="20"/>
          <w:lang w:val="nl-NL"/>
        </w:rPr>
        <w:t xml:space="preserve">als de verdragsluitende staten het eens zijn dat deze delen van het Koninkrijk der </w:t>
      </w:r>
      <w:r w:rsidR="00763C76">
        <w:rPr>
          <w:rFonts w:cs="Arial"/>
          <w:szCs w:val="20"/>
          <w:lang w:val="nl-NL"/>
        </w:rPr>
        <w:t>Nederlanden belastingen heffen die kort gezegd (voldoende) gelijksoortig zijn aan de belastingen waarop dit Verdrag van toepassing is.</w:t>
      </w:r>
      <w:r w:rsidRPr="0035795B" w:rsidR="00A3773E">
        <w:rPr>
          <w:lang w:val="nl-NL"/>
        </w:rPr>
        <w:t xml:space="preserve"> </w:t>
      </w:r>
      <w:r w:rsidRPr="00A3773E" w:rsidR="00A3773E">
        <w:rPr>
          <w:rFonts w:cs="Arial"/>
          <w:szCs w:val="20"/>
          <w:lang w:val="nl-NL"/>
        </w:rPr>
        <w:t xml:space="preserve">De Caribische landen van het Koninkrijk, die fiscaal autonoom zijn, kunnen overigens ook zelfstandig besluiten om in onderhandeling te treden met </w:t>
      </w:r>
      <w:r w:rsidR="00A3773E">
        <w:rPr>
          <w:rFonts w:cs="Arial"/>
          <w:szCs w:val="20"/>
          <w:lang w:val="nl-NL"/>
        </w:rPr>
        <w:t>Chili</w:t>
      </w:r>
      <w:r w:rsidRPr="00A3773E" w:rsidR="00A3773E">
        <w:rPr>
          <w:rFonts w:cs="Arial"/>
          <w:szCs w:val="20"/>
          <w:lang w:val="nl-NL"/>
        </w:rPr>
        <w:t xml:space="preserve"> over een belastingverdrag.</w:t>
      </w:r>
      <w:r w:rsidRPr="00C73CAB" w:rsidR="00C73CAB">
        <w:rPr>
          <w:rFonts w:cs="Arial"/>
          <w:szCs w:val="20"/>
          <w:lang w:val="nl-NL"/>
        </w:rPr>
        <w:t xml:space="preserve"> Indien tot uitbreiding wordt overgegaan, behoeft dit een afzonderlijk verdrag dat door het Koninkrijk met Chili wordt aangegaan ten behoeve van het betreffende Caribische land van het Koninkrijk (Aruba, Curaçao of Sint Maarten).</w:t>
      </w:r>
      <w:r w:rsidR="001007A2">
        <w:rPr>
          <w:rFonts w:cs="Arial"/>
          <w:szCs w:val="20"/>
          <w:lang w:val="nl-NL"/>
        </w:rPr>
        <w:t xml:space="preserve"> </w:t>
      </w:r>
      <w:r w:rsidR="00A341D9">
        <w:rPr>
          <w:rFonts w:cs="Arial"/>
          <w:szCs w:val="20"/>
          <w:lang w:val="nl-NL"/>
        </w:rPr>
        <w:t>Indien Chili en Nederland besluiten het geografische toepassingsbereik van het Verdrag uit te breiden naar het Caribische deel van het land Nederland kan dit gebeuren door een wijziging van dit Verdrag.</w:t>
      </w:r>
    </w:p>
    <w:p w:rsidRPr="00A805F5" w:rsidR="00A927AA" w:rsidP="0054326D" w:rsidRDefault="007C5FE1" w14:paraId="357DECF0" w14:textId="21154B59">
      <w:pPr>
        <w:pStyle w:val="Heading2"/>
        <w:rPr>
          <w:rFonts w:cs="Arial"/>
          <w:b w:val="0"/>
          <w:bCs w:val="0"/>
          <w:i/>
          <w:smallCaps w:val="0"/>
          <w:szCs w:val="20"/>
          <w:lang w:val="nl-NL"/>
        </w:rPr>
      </w:pPr>
      <w:r w:rsidRPr="00A805F5">
        <w:rPr>
          <w:rFonts w:cs="Arial"/>
          <w:b w:val="0"/>
          <w:bCs w:val="0"/>
          <w:i/>
          <w:smallCaps w:val="0"/>
          <w:szCs w:val="20"/>
          <w:lang w:val="nl-NL"/>
        </w:rPr>
        <w:t xml:space="preserve">I.7 </w:t>
      </w:r>
      <w:r w:rsidRPr="00A805F5" w:rsidR="00A927AA">
        <w:rPr>
          <w:rFonts w:cs="Arial"/>
          <w:b w:val="0"/>
          <w:bCs w:val="0"/>
          <w:i/>
          <w:smallCaps w:val="0"/>
          <w:szCs w:val="20"/>
          <w:lang w:val="nl-NL"/>
        </w:rPr>
        <w:t>Budgettaire aspecten</w:t>
      </w:r>
    </w:p>
    <w:p w:rsidRPr="00395C1E" w:rsidR="00E06DFA" w:rsidP="00FF28CD" w:rsidRDefault="00A927AA" w14:paraId="438B9281" w14:textId="08470252">
      <w:pPr>
        <w:rPr>
          <w:rFonts w:cs="Arial"/>
          <w:szCs w:val="20"/>
          <w:lang w:val="nl-NL"/>
        </w:rPr>
      </w:pPr>
      <w:r w:rsidRPr="00395C1E">
        <w:rPr>
          <w:rFonts w:cs="Arial"/>
          <w:szCs w:val="20"/>
          <w:lang w:val="nl-NL"/>
        </w:rPr>
        <w:t>De budgettaire gevolgen van het Verdrag z</w:t>
      </w:r>
      <w:r w:rsidR="006D0874">
        <w:rPr>
          <w:rFonts w:cs="Arial"/>
          <w:szCs w:val="20"/>
          <w:lang w:val="nl-NL"/>
        </w:rPr>
        <w:t>ijn</w:t>
      </w:r>
      <w:r w:rsidRPr="00395C1E">
        <w:rPr>
          <w:rFonts w:cs="Arial"/>
          <w:szCs w:val="20"/>
          <w:lang w:val="nl-NL"/>
        </w:rPr>
        <w:t xml:space="preserve"> naar verwachting per saldo </w:t>
      </w:r>
      <w:r w:rsidR="006D0874">
        <w:rPr>
          <w:rFonts w:cs="Arial"/>
          <w:szCs w:val="20"/>
          <w:lang w:val="nl-NL"/>
        </w:rPr>
        <w:t>verwaarloosbaar</w:t>
      </w:r>
      <w:r w:rsidRPr="00395C1E">
        <w:rPr>
          <w:rFonts w:cs="Arial"/>
          <w:szCs w:val="20"/>
          <w:lang w:val="nl-NL"/>
        </w:rPr>
        <w:t>.</w:t>
      </w:r>
      <w:r w:rsidR="006D0874">
        <w:rPr>
          <w:rFonts w:cs="Arial"/>
          <w:szCs w:val="20"/>
          <w:lang w:val="nl-NL"/>
        </w:rPr>
        <w:t xml:space="preserve"> Op grond van het Verdrag zal Nederland verrekening geven van Chileense bronbelasting op onder meer vanuit Chili ontvangen interest en royalty’s. Daar staat tegenover dat de </w:t>
      </w:r>
      <w:r w:rsidR="00763C76">
        <w:rPr>
          <w:rFonts w:cs="Arial"/>
          <w:szCs w:val="20"/>
          <w:lang w:val="nl-NL"/>
        </w:rPr>
        <w:t xml:space="preserve">Nederlandse </w:t>
      </w:r>
      <w:r w:rsidR="006D0874">
        <w:rPr>
          <w:rFonts w:cs="Arial"/>
          <w:szCs w:val="20"/>
          <w:lang w:val="nl-NL"/>
        </w:rPr>
        <w:t xml:space="preserve">kostenaftrek </w:t>
      </w:r>
      <w:r w:rsidRPr="006D0874" w:rsidR="006D0874">
        <w:rPr>
          <w:rFonts w:cs="Arial"/>
          <w:szCs w:val="20"/>
          <w:lang w:val="nl-NL"/>
        </w:rPr>
        <w:t xml:space="preserve">van deze </w:t>
      </w:r>
      <w:r w:rsidR="00763C76">
        <w:rPr>
          <w:rFonts w:cs="Arial"/>
          <w:szCs w:val="20"/>
          <w:lang w:val="nl-NL"/>
        </w:rPr>
        <w:t xml:space="preserve">Chileense </w:t>
      </w:r>
      <w:r w:rsidRPr="006D0874" w:rsidR="006D0874">
        <w:rPr>
          <w:rFonts w:cs="Arial"/>
          <w:szCs w:val="20"/>
          <w:lang w:val="nl-NL"/>
        </w:rPr>
        <w:t>belastingen in de belastbare winst</w:t>
      </w:r>
      <w:r w:rsidR="00436FFF">
        <w:rPr>
          <w:rFonts w:cs="Arial"/>
          <w:szCs w:val="20"/>
          <w:lang w:val="nl-NL"/>
        </w:rPr>
        <w:t>,</w:t>
      </w:r>
      <w:r w:rsidRPr="006D0874" w:rsidR="006D0874">
        <w:rPr>
          <w:rFonts w:cs="Arial"/>
          <w:szCs w:val="20"/>
          <w:lang w:val="nl-NL"/>
        </w:rPr>
        <w:t xml:space="preserve"> wegvalt. </w:t>
      </w:r>
      <w:r w:rsidR="0058452E">
        <w:rPr>
          <w:rFonts w:cs="Arial"/>
          <w:szCs w:val="20"/>
          <w:lang w:val="nl-NL"/>
        </w:rPr>
        <w:t>Doordat m</w:t>
      </w:r>
      <w:r w:rsidR="006D0874">
        <w:rPr>
          <w:rFonts w:cs="Arial"/>
          <w:szCs w:val="20"/>
          <w:lang w:val="nl-NL"/>
        </w:rPr>
        <w:t xml:space="preserve">et het Verdrag de </w:t>
      </w:r>
      <w:r w:rsidRPr="006D0874" w:rsidR="006D0874">
        <w:rPr>
          <w:rFonts w:cs="Arial"/>
          <w:szCs w:val="20"/>
          <w:lang w:val="nl-NL"/>
        </w:rPr>
        <w:t xml:space="preserve">maximale </w:t>
      </w:r>
      <w:r w:rsidR="00763C76">
        <w:rPr>
          <w:rFonts w:cs="Arial"/>
          <w:szCs w:val="20"/>
          <w:lang w:val="nl-NL"/>
        </w:rPr>
        <w:t xml:space="preserve">Chileense </w:t>
      </w:r>
      <w:r w:rsidR="006D0874">
        <w:rPr>
          <w:rFonts w:cs="Arial"/>
          <w:szCs w:val="20"/>
          <w:lang w:val="nl-NL"/>
        </w:rPr>
        <w:t>bronbelasting</w:t>
      </w:r>
      <w:r w:rsidRPr="006D0874" w:rsidR="006D0874">
        <w:rPr>
          <w:rFonts w:cs="Arial"/>
          <w:szCs w:val="20"/>
          <w:lang w:val="nl-NL"/>
        </w:rPr>
        <w:t xml:space="preserve">tarieven </w:t>
      </w:r>
      <w:r w:rsidR="006D0874">
        <w:rPr>
          <w:rFonts w:cs="Arial"/>
          <w:szCs w:val="20"/>
          <w:lang w:val="nl-NL"/>
        </w:rPr>
        <w:t>lager</w:t>
      </w:r>
      <w:r w:rsidR="0058452E">
        <w:rPr>
          <w:rFonts w:cs="Arial"/>
          <w:szCs w:val="20"/>
          <w:lang w:val="nl-NL"/>
        </w:rPr>
        <w:t xml:space="preserve"> worden, leiden b</w:t>
      </w:r>
      <w:r w:rsidRPr="006D0874" w:rsidR="006D0874">
        <w:rPr>
          <w:rFonts w:cs="Arial"/>
          <w:szCs w:val="20"/>
          <w:lang w:val="nl-NL"/>
        </w:rPr>
        <w:t xml:space="preserve">eide </w:t>
      </w:r>
      <w:r w:rsidR="005A6763">
        <w:rPr>
          <w:rFonts w:cs="Arial"/>
          <w:szCs w:val="20"/>
          <w:lang w:val="nl-NL"/>
        </w:rPr>
        <w:t>effecten per saldo tot verwaarloosbare budgettaire gevolgen.</w:t>
      </w:r>
      <w:r w:rsidRPr="00395C1E">
        <w:rPr>
          <w:rFonts w:cs="Arial"/>
          <w:szCs w:val="20"/>
          <w:lang w:val="nl-NL"/>
        </w:rPr>
        <w:t xml:space="preserve"> </w:t>
      </w:r>
    </w:p>
    <w:p w:rsidRPr="00A805F5" w:rsidR="0060329A" w:rsidP="00517378" w:rsidRDefault="003431B3" w14:paraId="3C0F59F4" w14:textId="094018B7">
      <w:pPr>
        <w:pStyle w:val="Heading2"/>
        <w:rPr>
          <w:rFonts w:cs="Arial"/>
          <w:b w:val="0"/>
          <w:bCs w:val="0"/>
          <w:i/>
          <w:smallCaps w:val="0"/>
          <w:szCs w:val="20"/>
          <w:lang w:val="nl-NL"/>
        </w:rPr>
      </w:pPr>
      <w:r w:rsidRPr="00A805F5">
        <w:rPr>
          <w:rFonts w:cs="Arial"/>
          <w:b w:val="0"/>
          <w:bCs w:val="0"/>
          <w:i/>
          <w:smallCaps w:val="0"/>
          <w:szCs w:val="20"/>
          <w:lang w:val="nl-NL"/>
        </w:rPr>
        <w:t>I.8</w:t>
      </w:r>
      <w:r w:rsidRPr="00A805F5" w:rsidR="007C5FE1">
        <w:rPr>
          <w:rFonts w:cs="Arial"/>
          <w:b w:val="0"/>
          <w:bCs w:val="0"/>
          <w:i/>
          <w:smallCaps w:val="0"/>
          <w:szCs w:val="20"/>
          <w:lang w:val="nl-NL"/>
        </w:rPr>
        <w:t xml:space="preserve"> </w:t>
      </w:r>
      <w:r w:rsidRPr="00A805F5" w:rsidR="00F32208">
        <w:rPr>
          <w:rFonts w:cs="Arial"/>
          <w:b w:val="0"/>
          <w:bCs w:val="0"/>
          <w:i/>
          <w:smallCaps w:val="0"/>
          <w:szCs w:val="20"/>
          <w:lang w:val="nl-NL"/>
        </w:rPr>
        <w:t>Toetsschema Fiscaal Verdragsbeleid</w:t>
      </w:r>
      <w:r w:rsidRPr="00A805F5" w:rsidR="00081C6F">
        <w:rPr>
          <w:rFonts w:cs="Arial"/>
          <w:b w:val="0"/>
          <w:bCs w:val="0"/>
          <w:i/>
          <w:smallCaps w:val="0"/>
          <w:szCs w:val="20"/>
          <w:lang w:val="nl-NL"/>
        </w:rPr>
        <w:t xml:space="preserve"> </w:t>
      </w:r>
    </w:p>
    <w:p w:rsidRPr="00596EDA" w:rsidR="00A42AC9" w:rsidP="005011B2" w:rsidRDefault="00F32208" w14:paraId="15FD5091" w14:textId="027C2249">
      <w:pPr>
        <w:rPr>
          <w:rFonts w:cs="Arial"/>
          <w:szCs w:val="20"/>
          <w:lang w:val="nl-NL"/>
        </w:rPr>
      </w:pPr>
      <w:r w:rsidRPr="00FF28CD">
        <w:rPr>
          <w:rFonts w:cs="Arial"/>
          <w:szCs w:val="20"/>
          <w:lang w:val="nl-NL"/>
        </w:rPr>
        <w:t xml:space="preserve">Het Toetsschema Fiscaal Verdragsbeleid </w:t>
      </w:r>
      <w:r w:rsidR="00FF28CD">
        <w:rPr>
          <w:rFonts w:cs="Arial"/>
          <w:szCs w:val="20"/>
          <w:lang w:val="nl-NL"/>
        </w:rPr>
        <w:t>2020</w:t>
      </w:r>
      <w:r w:rsidRPr="00FF28CD">
        <w:rPr>
          <w:rFonts w:cs="Arial"/>
          <w:szCs w:val="20"/>
          <w:lang w:val="nl-NL"/>
        </w:rPr>
        <w:t xml:space="preserve"> is </w:t>
      </w:r>
      <w:r w:rsidRPr="00FF28CD" w:rsidR="00CD077B">
        <w:rPr>
          <w:rFonts w:cs="Arial"/>
          <w:szCs w:val="20"/>
          <w:lang w:val="nl-NL"/>
        </w:rPr>
        <w:t xml:space="preserve">hierna </w:t>
      </w:r>
      <w:r w:rsidRPr="00FF28CD">
        <w:rPr>
          <w:rFonts w:cs="Arial"/>
          <w:szCs w:val="20"/>
          <w:lang w:val="nl-NL"/>
        </w:rPr>
        <w:t xml:space="preserve">opgenomen. In de rechterkolom van het toetsschema zijn de </w:t>
      </w:r>
      <w:r w:rsidR="00307FDB">
        <w:rPr>
          <w:rFonts w:cs="Arial"/>
          <w:szCs w:val="20"/>
          <w:lang w:val="nl-NL"/>
        </w:rPr>
        <w:t>artikelen en leden daarvan</w:t>
      </w:r>
      <w:r w:rsidRPr="00FF28CD">
        <w:rPr>
          <w:rFonts w:cs="Arial"/>
          <w:szCs w:val="20"/>
          <w:lang w:val="nl-NL"/>
        </w:rPr>
        <w:t xml:space="preserve"> opgenomen die corresponderen met de desbetreffende onderdelen van het schema. </w:t>
      </w:r>
      <w:r w:rsidRPr="00A805F5" w:rsidR="00A42AC9">
        <w:rPr>
          <w:rFonts w:cs="Arial"/>
          <w:szCs w:val="20"/>
          <w:lang w:val="nl-NL"/>
        </w:rPr>
        <w:br/>
      </w:r>
    </w:p>
    <w:tbl>
      <w:tblPr>
        <w:tblW w:w="0" w:type="auto"/>
        <w:tblCellMar>
          <w:left w:w="70" w:type="dxa"/>
          <w:right w:w="70" w:type="dxa"/>
        </w:tblCellMar>
        <w:tblLook w:val="04A0" w:firstRow="1" w:lastRow="0" w:firstColumn="1" w:lastColumn="0" w:noHBand="0" w:noVBand="1"/>
      </w:tblPr>
      <w:tblGrid>
        <w:gridCol w:w="729"/>
        <w:gridCol w:w="376"/>
        <w:gridCol w:w="3421"/>
        <w:gridCol w:w="510"/>
        <w:gridCol w:w="914"/>
        <w:gridCol w:w="814"/>
        <w:gridCol w:w="830"/>
        <w:gridCol w:w="1454"/>
        <w:gridCol w:w="9"/>
      </w:tblGrid>
      <w:tr w:rsidRPr="00596EDA" w:rsidR="00026FCC" w:rsidTr="00026FCC" w14:paraId="30A821E2" w14:textId="77777777">
        <w:trPr>
          <w:gridAfter w:val="1"/>
          <w:wAfter w:w="9" w:type="dxa"/>
          <w:trHeight w:val="315"/>
        </w:trPr>
        <w:tc>
          <w:tcPr>
            <w:tcW w:w="729" w:type="dxa"/>
            <w:tcBorders>
              <w:top w:val="single" w:color="FFFFFF" w:sz="8" w:space="0"/>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3208857F" w14:textId="77777777">
            <w:pPr>
              <w:spacing w:line="240" w:lineRule="auto"/>
              <w:ind w:firstLine="0"/>
              <w:rPr>
                <w:rFonts w:cs="Arial"/>
                <w:b/>
                <w:bCs/>
                <w:color w:val="000000"/>
                <w:szCs w:val="20"/>
                <w:lang w:val="nl-NL"/>
              </w:rPr>
            </w:pPr>
            <w:r w:rsidRPr="00A805F5">
              <w:rPr>
                <w:rFonts w:cs="Arial"/>
                <w:b/>
                <w:bCs/>
                <w:color w:val="000000"/>
                <w:szCs w:val="20"/>
                <w:lang w:val="nl-NL"/>
              </w:rPr>
              <w:t>NFV 2020</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0BF62EAC" w14:textId="77777777">
            <w:pPr>
              <w:spacing w:line="240" w:lineRule="auto"/>
              <w:ind w:firstLine="0"/>
              <w:rPr>
                <w:rFonts w:cs="Arial"/>
                <w:b/>
                <w:bCs/>
                <w:color w:val="000000"/>
                <w:szCs w:val="20"/>
                <w:lang w:val="nl-NL"/>
              </w:rPr>
            </w:pPr>
            <w:r w:rsidRPr="00A805F5">
              <w:rPr>
                <w:rFonts w:cs="Arial"/>
                <w:b/>
                <w:bCs/>
                <w:color w:val="000000"/>
                <w:szCs w:val="20"/>
                <w:lang w:val="nl-NL"/>
              </w:rPr>
              <w:t> </w:t>
            </w:r>
          </w:p>
        </w:tc>
        <w:tc>
          <w:tcPr>
            <w:tcW w:w="510" w:type="dxa"/>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7E6929ED" w14:textId="77777777">
            <w:pPr>
              <w:spacing w:line="240" w:lineRule="auto"/>
              <w:ind w:firstLine="0"/>
              <w:jc w:val="center"/>
              <w:rPr>
                <w:rFonts w:cs="Arial"/>
                <w:b/>
                <w:bCs/>
                <w:color w:val="000000"/>
                <w:szCs w:val="20"/>
                <w:lang w:val="nl-NL"/>
              </w:rPr>
            </w:pPr>
            <w:r w:rsidRPr="00A805F5">
              <w:rPr>
                <w:rFonts w:cs="Arial"/>
                <w:b/>
                <w:bCs/>
                <w:color w:val="000000"/>
                <w:szCs w:val="20"/>
                <w:lang w:val="nl-NL"/>
              </w:rPr>
              <w:t xml:space="preserve">Ja </w:t>
            </w:r>
          </w:p>
        </w:tc>
        <w:tc>
          <w:tcPr>
            <w:tcW w:w="914" w:type="dxa"/>
            <w:tcBorders>
              <w:top w:val="single" w:color="FFFFFF" w:sz="8" w:space="0"/>
              <w:left w:val="nil"/>
              <w:bottom w:val="single" w:color="FFFFFF" w:sz="8" w:space="0"/>
              <w:right w:val="single" w:color="FFFFFF" w:sz="4" w:space="0"/>
            </w:tcBorders>
            <w:shd w:val="clear" w:color="000000" w:fill="F2F2F2"/>
            <w:hideMark/>
          </w:tcPr>
          <w:p w:rsidRPr="00A805F5" w:rsidR="00A42AC9" w:rsidP="00CB0097" w:rsidRDefault="00A42AC9" w14:paraId="237A5C74" w14:textId="77777777">
            <w:pPr>
              <w:spacing w:line="240" w:lineRule="auto"/>
              <w:ind w:firstLine="0"/>
              <w:jc w:val="center"/>
              <w:rPr>
                <w:rFonts w:cs="Arial"/>
                <w:b/>
                <w:bCs/>
                <w:color w:val="000000"/>
                <w:szCs w:val="20"/>
                <w:lang w:val="nl-NL"/>
              </w:rPr>
            </w:pPr>
            <w:r w:rsidRPr="00A805F5">
              <w:rPr>
                <w:rFonts w:cs="Arial"/>
                <w:b/>
                <w:bCs/>
                <w:color w:val="000000"/>
                <w:szCs w:val="20"/>
                <w:lang w:val="nl-NL"/>
              </w:rPr>
              <w:t>Nee</w:t>
            </w:r>
          </w:p>
        </w:tc>
        <w:tc>
          <w:tcPr>
            <w:tcW w:w="814" w:type="dxa"/>
            <w:tcBorders>
              <w:top w:val="single" w:color="FFFFFF" w:sz="8" w:space="0"/>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83986DD" w14:textId="77777777">
            <w:pPr>
              <w:spacing w:line="240" w:lineRule="auto"/>
              <w:ind w:left="52" w:firstLine="0"/>
              <w:jc w:val="center"/>
              <w:rPr>
                <w:rFonts w:cs="Arial"/>
                <w:b/>
                <w:bCs/>
                <w:color w:val="000000"/>
                <w:szCs w:val="20"/>
                <w:lang w:val="nl-NL"/>
              </w:rPr>
            </w:pPr>
            <w:r w:rsidRPr="00A805F5">
              <w:rPr>
                <w:rFonts w:cs="Arial"/>
                <w:b/>
                <w:bCs/>
                <w:color w:val="000000"/>
                <w:szCs w:val="20"/>
                <w:lang w:val="nl-NL"/>
              </w:rPr>
              <w:t>Deels</w:t>
            </w:r>
          </w:p>
        </w:tc>
        <w:tc>
          <w:tcPr>
            <w:tcW w:w="830" w:type="dxa"/>
            <w:tcBorders>
              <w:top w:val="single" w:color="FFFFFF" w:sz="8" w:space="0"/>
              <w:left w:val="nil"/>
              <w:bottom w:val="single" w:color="FFFFFF" w:sz="8" w:space="0"/>
              <w:right w:val="single" w:color="FFFFFF" w:sz="4" w:space="0"/>
            </w:tcBorders>
            <w:shd w:val="clear" w:color="000000" w:fill="F2F2F2"/>
            <w:hideMark/>
          </w:tcPr>
          <w:p w:rsidRPr="00A805F5" w:rsidR="00A42AC9" w:rsidP="00CB0097" w:rsidRDefault="00A42AC9" w14:paraId="41F79305" w14:textId="77777777">
            <w:pPr>
              <w:spacing w:line="240" w:lineRule="auto"/>
              <w:ind w:firstLine="0"/>
              <w:jc w:val="center"/>
              <w:rPr>
                <w:rFonts w:cs="Arial"/>
                <w:b/>
                <w:bCs/>
                <w:color w:val="000000"/>
                <w:szCs w:val="20"/>
                <w:lang w:val="nl-NL"/>
              </w:rPr>
            </w:pPr>
            <w:r w:rsidRPr="00A805F5">
              <w:rPr>
                <w:rFonts w:cs="Arial"/>
                <w:b/>
                <w:bCs/>
                <w:color w:val="000000"/>
                <w:szCs w:val="20"/>
                <w:lang w:val="nl-NL"/>
              </w:rPr>
              <w:t>N.v.t.</w:t>
            </w:r>
          </w:p>
        </w:tc>
        <w:tc>
          <w:tcPr>
            <w:tcW w:w="1454" w:type="dxa"/>
            <w:tcBorders>
              <w:top w:val="single" w:color="FFFFFF" w:sz="8" w:space="0"/>
              <w:left w:val="single" w:color="FFFFFF" w:sz="8" w:space="0"/>
              <w:bottom w:val="single" w:color="FFFFFF" w:sz="8" w:space="0"/>
              <w:right w:val="single" w:color="FFFFFF" w:sz="4" w:space="0"/>
            </w:tcBorders>
            <w:shd w:val="clear" w:color="000000" w:fill="F2F2F2"/>
            <w:hideMark/>
          </w:tcPr>
          <w:p w:rsidRPr="00A805F5" w:rsidR="00A42AC9" w:rsidP="00CB0097" w:rsidRDefault="00185ED9" w14:paraId="51CFEC46" w14:textId="051D7930">
            <w:pPr>
              <w:spacing w:line="240" w:lineRule="auto"/>
              <w:ind w:firstLine="0"/>
              <w:jc w:val="center"/>
              <w:rPr>
                <w:rFonts w:cs="Arial"/>
                <w:b/>
                <w:bCs/>
                <w:color w:val="000000"/>
                <w:szCs w:val="20"/>
                <w:lang w:val="nl-NL"/>
              </w:rPr>
            </w:pPr>
            <w:r w:rsidRPr="00A805F5">
              <w:rPr>
                <w:rFonts w:cs="Arial"/>
                <w:b/>
                <w:bCs/>
                <w:color w:val="000000"/>
                <w:szCs w:val="20"/>
                <w:lang w:val="nl-NL"/>
              </w:rPr>
              <w:t>Toelichting bij</w:t>
            </w:r>
          </w:p>
        </w:tc>
      </w:tr>
      <w:tr w:rsidRPr="009813B4" w:rsidR="00026FCC" w:rsidTr="00026FCC" w14:paraId="74C12564" w14:textId="77777777">
        <w:trPr>
          <w:gridAfter w:val="1"/>
          <w:wAfter w:w="9" w:type="dxa"/>
          <w:trHeight w:val="555"/>
        </w:trPr>
        <w:tc>
          <w:tcPr>
            <w:tcW w:w="729" w:type="dxa"/>
            <w:tcBorders>
              <w:top w:val="nil"/>
              <w:left w:val="single" w:color="FFFFFF" w:sz="4" w:space="0"/>
              <w:bottom w:val="single" w:color="FFFFFF" w:sz="8" w:space="0"/>
              <w:right w:val="single" w:color="FFFFFF" w:sz="8" w:space="0"/>
            </w:tcBorders>
            <w:shd w:val="clear" w:color="000000" w:fill="8EA9DB"/>
            <w:hideMark/>
          </w:tcPr>
          <w:p w:rsidRPr="00A805F5" w:rsidR="00A42AC9" w:rsidP="00CB0097" w:rsidRDefault="00A42AC9" w14:paraId="3D289685" w14:textId="77777777">
            <w:pPr>
              <w:spacing w:line="240" w:lineRule="auto"/>
              <w:ind w:firstLine="0"/>
              <w:rPr>
                <w:rFonts w:cs="Arial"/>
                <w:b/>
                <w:bCs/>
                <w:szCs w:val="20"/>
                <w:lang w:val="nl-NL"/>
              </w:rPr>
            </w:pPr>
            <w:r w:rsidRPr="00A805F5">
              <w:rPr>
                <w:rFonts w:cs="Arial"/>
                <w:b/>
                <w:bCs/>
                <w:szCs w:val="20"/>
                <w:lang w:val="nl-NL"/>
              </w:rPr>
              <w:t>I</w:t>
            </w:r>
          </w:p>
        </w:tc>
        <w:tc>
          <w:tcPr>
            <w:tcW w:w="3797" w:type="dxa"/>
            <w:gridSpan w:val="2"/>
            <w:tcBorders>
              <w:top w:val="single" w:color="FFFFFF" w:sz="8" w:space="0"/>
              <w:left w:val="nil"/>
              <w:bottom w:val="single" w:color="FFFFFF" w:sz="8" w:space="0"/>
              <w:right w:val="single" w:color="FFFFFF" w:sz="8" w:space="0"/>
            </w:tcBorders>
            <w:shd w:val="clear" w:color="000000" w:fill="8EA9DB"/>
            <w:vAlign w:val="bottom"/>
            <w:hideMark/>
          </w:tcPr>
          <w:p w:rsidRPr="00A805F5" w:rsidR="00A42AC9" w:rsidP="00CB0097" w:rsidRDefault="00A42AC9" w14:paraId="592347BA" w14:textId="77777777">
            <w:pPr>
              <w:spacing w:line="240" w:lineRule="auto"/>
              <w:ind w:firstLine="0"/>
              <w:rPr>
                <w:rFonts w:cs="Arial"/>
                <w:b/>
                <w:bCs/>
                <w:szCs w:val="20"/>
                <w:lang w:val="nl-NL"/>
              </w:rPr>
            </w:pPr>
            <w:r w:rsidRPr="00A805F5">
              <w:rPr>
                <w:rFonts w:cs="Arial"/>
                <w:b/>
                <w:bCs/>
                <w:szCs w:val="20"/>
                <w:lang w:val="nl-NL"/>
              </w:rPr>
              <w:t>Voorkoming dubbele heffing - bepalingen in afwijking of ter aanvulling op het OESO-</w:t>
            </w:r>
            <w:r w:rsidRPr="00A805F5">
              <w:rPr>
                <w:rFonts w:cs="Arial"/>
                <w:b/>
                <w:bCs/>
                <w:szCs w:val="20"/>
                <w:lang w:val="nl-NL"/>
              </w:rPr>
              <w:lastRenderedPageBreak/>
              <w:t>modelverdrag volgens het Nederlands verdragsbeleid</w:t>
            </w:r>
          </w:p>
        </w:tc>
        <w:tc>
          <w:tcPr>
            <w:tcW w:w="510"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39839B7D" w14:textId="77777777">
            <w:pPr>
              <w:spacing w:line="240" w:lineRule="auto"/>
              <w:ind w:firstLine="0"/>
              <w:jc w:val="center"/>
              <w:rPr>
                <w:rFonts w:cs="Arial"/>
                <w:szCs w:val="20"/>
                <w:lang w:val="nl-NL"/>
              </w:rPr>
            </w:pPr>
            <w:r w:rsidRPr="00A805F5">
              <w:rPr>
                <w:rFonts w:cs="Arial"/>
                <w:szCs w:val="20"/>
                <w:lang w:val="nl-NL"/>
              </w:rPr>
              <w:lastRenderedPageBreak/>
              <w:t> </w:t>
            </w:r>
          </w:p>
        </w:tc>
        <w:tc>
          <w:tcPr>
            <w:tcW w:w="914"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08F0D9FD"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1AE76EA4"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3B8C581B"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8EA9DB"/>
            <w:hideMark/>
          </w:tcPr>
          <w:p w:rsidRPr="00A805F5" w:rsidR="00A42AC9" w:rsidP="00CB0097" w:rsidRDefault="00A42AC9" w14:paraId="121CC513"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6BE9E2F3" w14:textId="77777777">
        <w:trPr>
          <w:gridAfter w:val="1"/>
          <w:wAfter w:w="9" w:type="dxa"/>
          <w:trHeight w:val="585"/>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30C47613"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7BF27D68" w14:textId="77777777">
            <w:pPr>
              <w:spacing w:line="240" w:lineRule="auto"/>
              <w:ind w:firstLine="0"/>
              <w:rPr>
                <w:rFonts w:cs="Arial"/>
                <w:b/>
                <w:bCs/>
                <w:i/>
                <w:iCs/>
                <w:szCs w:val="20"/>
                <w:lang w:val="nl-NL"/>
              </w:rPr>
            </w:pPr>
            <w:r w:rsidRPr="00A805F5">
              <w:rPr>
                <w:rFonts w:cs="Arial"/>
                <w:b/>
                <w:bCs/>
                <w:i/>
                <w:iCs/>
                <w:szCs w:val="20"/>
                <w:lang w:val="nl-NL"/>
              </w:rPr>
              <w:t>Algemeen</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20C1FC10" w14:textId="77777777">
            <w:pPr>
              <w:spacing w:line="240" w:lineRule="auto"/>
              <w:ind w:firstLine="0"/>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4CEFC043" w14:textId="77777777">
            <w:pPr>
              <w:spacing w:line="240" w:lineRule="auto"/>
              <w:ind w:firstLine="0"/>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24AFAB00" w14:textId="77777777">
            <w:pPr>
              <w:spacing w:line="240" w:lineRule="auto"/>
              <w:ind w:firstLine="0"/>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23FDE9E" w14:textId="77777777">
            <w:pPr>
              <w:spacing w:line="240" w:lineRule="auto"/>
              <w:ind w:firstLine="0"/>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674C0F0A" w14:textId="77777777">
            <w:pPr>
              <w:spacing w:line="240" w:lineRule="auto"/>
              <w:ind w:firstLine="0"/>
              <w:rPr>
                <w:rFonts w:cs="Arial"/>
                <w:szCs w:val="20"/>
                <w:lang w:val="nl-NL"/>
              </w:rPr>
            </w:pPr>
            <w:r w:rsidRPr="00A805F5">
              <w:rPr>
                <w:rFonts w:cs="Arial"/>
                <w:szCs w:val="20"/>
                <w:lang w:val="nl-NL"/>
              </w:rPr>
              <w:t> </w:t>
            </w:r>
          </w:p>
        </w:tc>
      </w:tr>
      <w:tr w:rsidRPr="00596EDA" w:rsidR="00026FCC" w:rsidTr="00026FCC" w14:paraId="596CBF4A" w14:textId="77777777">
        <w:trPr>
          <w:gridAfter w:val="1"/>
          <w:wAfter w:w="9" w:type="dxa"/>
          <w:trHeight w:val="55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6B47FD7" w14:textId="77777777">
            <w:pPr>
              <w:spacing w:line="240" w:lineRule="auto"/>
              <w:ind w:firstLine="0"/>
              <w:rPr>
                <w:rFonts w:cs="Arial"/>
                <w:color w:val="000000"/>
                <w:szCs w:val="20"/>
                <w:lang w:val="nl-NL"/>
              </w:rPr>
            </w:pPr>
            <w:r w:rsidRPr="00A805F5">
              <w:rPr>
                <w:rFonts w:cs="Arial"/>
                <w:color w:val="000000"/>
                <w:szCs w:val="20"/>
                <w:lang w:val="nl-NL"/>
              </w:rPr>
              <w:t>4.2</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5598FC73"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waarmee het </w:t>
            </w:r>
            <w:r w:rsidRPr="00A805F5">
              <w:rPr>
                <w:rFonts w:cs="Arial"/>
                <w:b/>
                <w:bCs/>
                <w:color w:val="000000"/>
                <w:szCs w:val="20"/>
                <w:lang w:val="nl-NL"/>
              </w:rPr>
              <w:t>inwonerschapscriterium</w:t>
            </w:r>
            <w:r w:rsidRPr="00A805F5">
              <w:rPr>
                <w:rFonts w:cs="Arial"/>
                <w:color w:val="000000"/>
                <w:szCs w:val="20"/>
                <w:lang w:val="nl-NL"/>
              </w:rPr>
              <w:t xml:space="preserve"> nader wordt ingevuld</w:t>
            </w:r>
          </w:p>
        </w:tc>
        <w:tc>
          <w:tcPr>
            <w:tcW w:w="510" w:type="dxa"/>
            <w:tcBorders>
              <w:top w:val="nil"/>
              <w:left w:val="nil"/>
              <w:bottom w:val="single" w:color="FFFFFF" w:sz="8" w:space="0"/>
              <w:right w:val="nil"/>
            </w:tcBorders>
            <w:shd w:val="clear" w:color="000000" w:fill="F2F2F2"/>
            <w:hideMark/>
          </w:tcPr>
          <w:p w:rsidRPr="00A805F5" w:rsidR="00A42AC9" w:rsidP="00CB0097" w:rsidRDefault="00A42AC9" w14:paraId="69199B18"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165FE753"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783A1B7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683B920B"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1ECC" w:rsidRDefault="00A42AC9" w14:paraId="505EA1A9" w14:textId="6C2696A9">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CB1ECC">
              <w:rPr>
                <w:rFonts w:cs="Arial"/>
                <w:color w:val="000000"/>
                <w:szCs w:val="20"/>
                <w:lang w:val="nl-NL"/>
              </w:rPr>
              <w:t>.</w:t>
            </w:r>
            <w:r w:rsidRPr="00A805F5">
              <w:rPr>
                <w:rFonts w:cs="Arial"/>
                <w:color w:val="000000"/>
                <w:szCs w:val="20"/>
                <w:lang w:val="nl-NL"/>
              </w:rPr>
              <w:t xml:space="preserve"> 4</w:t>
            </w:r>
            <w:r w:rsidRPr="00A805F5" w:rsidR="00A57288">
              <w:rPr>
                <w:rFonts w:cs="Arial"/>
                <w:color w:val="000000"/>
                <w:szCs w:val="20"/>
                <w:lang w:val="nl-NL"/>
              </w:rPr>
              <w:t>(1)</w:t>
            </w:r>
          </w:p>
        </w:tc>
      </w:tr>
      <w:tr w:rsidRPr="00596EDA" w:rsidR="00026FCC" w:rsidTr="00026FCC" w14:paraId="127988DF" w14:textId="77777777">
        <w:trPr>
          <w:gridAfter w:val="1"/>
          <w:wAfter w:w="9" w:type="dxa"/>
          <w:trHeight w:val="58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3BF34D21" w14:textId="77777777">
            <w:pPr>
              <w:spacing w:line="240" w:lineRule="auto"/>
              <w:ind w:firstLine="0"/>
              <w:rPr>
                <w:rFonts w:cs="Arial"/>
                <w:color w:val="000000"/>
                <w:szCs w:val="20"/>
                <w:lang w:val="nl-NL"/>
              </w:rPr>
            </w:pPr>
            <w:r w:rsidRPr="00A805F5">
              <w:rPr>
                <w:rFonts w:cs="Arial"/>
                <w:color w:val="000000"/>
                <w:szCs w:val="20"/>
                <w:lang w:val="nl-NL"/>
              </w:rPr>
              <w:t>4.3</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7FE2BD42"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waarmee </w:t>
            </w:r>
            <w:r w:rsidRPr="00A805F5">
              <w:rPr>
                <w:rFonts w:cs="Arial"/>
                <w:b/>
                <w:bCs/>
                <w:color w:val="000000"/>
                <w:szCs w:val="20"/>
                <w:lang w:val="nl-NL"/>
              </w:rPr>
              <w:t>VBI’s</w:t>
            </w:r>
            <w:r w:rsidRPr="00A805F5">
              <w:rPr>
                <w:rFonts w:cs="Arial"/>
                <w:color w:val="000000"/>
                <w:szCs w:val="20"/>
                <w:lang w:val="nl-NL"/>
              </w:rPr>
              <w:t xml:space="preserve"> en entiteiten die vallen onder vergelijkbare speciale regimes voor (sommige) verdragsvoordelen worden uitgesloten</w:t>
            </w:r>
          </w:p>
        </w:tc>
        <w:tc>
          <w:tcPr>
            <w:tcW w:w="51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388377C0" w14:textId="1032AFD6">
            <w:pPr>
              <w:spacing w:line="240" w:lineRule="auto"/>
              <w:ind w:firstLine="0"/>
              <w:jc w:val="center"/>
              <w:rPr>
                <w:rFonts w:cs="Arial"/>
                <w:color w:val="000000"/>
                <w:szCs w:val="20"/>
                <w:lang w:val="nl-NL"/>
              </w:rPr>
            </w:pPr>
          </w:p>
        </w:tc>
        <w:tc>
          <w:tcPr>
            <w:tcW w:w="9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185ED9" w14:paraId="2695D472" w14:textId="03905899">
            <w:pPr>
              <w:spacing w:line="240" w:lineRule="auto"/>
              <w:ind w:firstLine="0"/>
              <w:jc w:val="center"/>
              <w:rPr>
                <w:rFonts w:cs="Arial"/>
                <w:color w:val="000000"/>
                <w:szCs w:val="20"/>
                <w:lang w:val="nl-NL"/>
              </w:rPr>
            </w:pPr>
            <w:r w:rsidRPr="00A805F5">
              <w:rPr>
                <w:rFonts w:cs="Arial"/>
                <w:color w:val="000000"/>
                <w:szCs w:val="20"/>
                <w:lang w:val="nl-NL"/>
              </w:rPr>
              <w:t>X</w:t>
            </w:r>
            <w:r w:rsidRPr="00A805F5" w:rsidR="00A42AC9">
              <w:rPr>
                <w:rFonts w:cs="Arial"/>
                <w:color w:val="000000"/>
                <w:szCs w:val="20"/>
                <w:lang w:val="nl-NL"/>
              </w:rPr>
              <w:t> </w:t>
            </w:r>
          </w:p>
        </w:tc>
        <w:tc>
          <w:tcPr>
            <w:tcW w:w="8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5D03EF21"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7AF9BD65"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59E3C7EC" w14:textId="3248E9B5">
            <w:pPr>
              <w:spacing w:line="240" w:lineRule="auto"/>
              <w:ind w:firstLine="0"/>
              <w:jc w:val="center"/>
              <w:rPr>
                <w:rFonts w:cs="Arial"/>
                <w:color w:val="000000"/>
                <w:szCs w:val="20"/>
                <w:lang w:val="nl-NL"/>
              </w:rPr>
            </w:pPr>
          </w:p>
        </w:tc>
      </w:tr>
      <w:tr w:rsidRPr="00596EDA" w:rsidR="00026FCC" w:rsidTr="00026FCC" w14:paraId="433851E4" w14:textId="77777777">
        <w:trPr>
          <w:gridAfter w:val="1"/>
          <w:wAfter w:w="9" w:type="dxa"/>
          <w:trHeight w:val="615"/>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5B848836"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066A581D" w14:textId="77777777">
            <w:pPr>
              <w:spacing w:line="240" w:lineRule="auto"/>
              <w:ind w:firstLine="0"/>
              <w:rPr>
                <w:rFonts w:cs="Arial"/>
                <w:b/>
                <w:bCs/>
                <w:i/>
                <w:iCs/>
                <w:szCs w:val="20"/>
                <w:lang w:val="nl-NL"/>
              </w:rPr>
            </w:pPr>
            <w:r w:rsidRPr="00A805F5">
              <w:rPr>
                <w:rFonts w:cs="Arial"/>
                <w:b/>
                <w:bCs/>
                <w:i/>
                <w:iCs/>
                <w:szCs w:val="20"/>
                <w:lang w:val="nl-NL"/>
              </w:rPr>
              <w:t>Vermogensinkomsten en -winsten</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38C2F181" w14:textId="77777777">
            <w:pPr>
              <w:spacing w:line="240" w:lineRule="auto"/>
              <w:ind w:firstLine="0"/>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29B7B8B5" w14:textId="77777777">
            <w:pPr>
              <w:spacing w:line="240" w:lineRule="auto"/>
              <w:ind w:firstLine="0"/>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835BF3D" w14:textId="77777777">
            <w:pPr>
              <w:spacing w:line="240" w:lineRule="auto"/>
              <w:ind w:firstLine="0"/>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10F64594" w14:textId="77777777">
            <w:pPr>
              <w:spacing w:line="240" w:lineRule="auto"/>
              <w:ind w:firstLine="0"/>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52D7FE01" w14:textId="77777777">
            <w:pPr>
              <w:spacing w:line="240" w:lineRule="auto"/>
              <w:ind w:firstLine="0"/>
              <w:rPr>
                <w:rFonts w:cs="Arial"/>
                <w:szCs w:val="20"/>
                <w:lang w:val="nl-NL"/>
              </w:rPr>
            </w:pPr>
            <w:r w:rsidRPr="00A805F5">
              <w:rPr>
                <w:rFonts w:cs="Arial"/>
                <w:szCs w:val="20"/>
                <w:lang w:val="nl-NL"/>
              </w:rPr>
              <w:t> </w:t>
            </w:r>
          </w:p>
        </w:tc>
      </w:tr>
      <w:tr w:rsidRPr="00596EDA" w:rsidR="00026FCC" w:rsidTr="00026FCC" w14:paraId="2DF06D8E" w14:textId="77777777">
        <w:trPr>
          <w:gridAfter w:val="1"/>
          <w:wAfter w:w="9" w:type="dxa"/>
          <w:trHeight w:val="57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2AA7663" w14:textId="77777777">
            <w:pPr>
              <w:spacing w:line="240" w:lineRule="auto"/>
              <w:ind w:firstLine="0"/>
              <w:rPr>
                <w:rFonts w:cs="Arial"/>
                <w:color w:val="000000"/>
                <w:szCs w:val="20"/>
                <w:lang w:val="nl-NL"/>
              </w:rPr>
            </w:pPr>
            <w:r w:rsidRPr="00A805F5">
              <w:rPr>
                <w:rFonts w:cs="Arial"/>
                <w:color w:val="000000"/>
                <w:szCs w:val="20"/>
                <w:lang w:val="nl-NL"/>
              </w:rPr>
              <w:t>4.4</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408C96A5" w14:textId="77777777">
            <w:pPr>
              <w:spacing w:line="240" w:lineRule="auto"/>
              <w:ind w:firstLine="0"/>
              <w:rPr>
                <w:rFonts w:cs="Arial"/>
                <w:color w:val="000000"/>
                <w:szCs w:val="20"/>
                <w:lang w:val="nl-NL"/>
              </w:rPr>
            </w:pPr>
            <w:r w:rsidRPr="00A805F5">
              <w:rPr>
                <w:rFonts w:cs="Arial"/>
                <w:color w:val="000000"/>
                <w:szCs w:val="20"/>
                <w:lang w:val="nl-NL"/>
              </w:rPr>
              <w:t>Opname van een bepaling op grond waarvan Nederland eerder een heffingsrecht heeft over de winst behaald met werkzaamheden buitengaats (</w:t>
            </w:r>
            <w:r w:rsidRPr="00A805F5">
              <w:rPr>
                <w:rFonts w:cs="Arial"/>
                <w:b/>
                <w:bCs/>
                <w:color w:val="000000"/>
                <w:szCs w:val="20"/>
                <w:lang w:val="nl-NL"/>
              </w:rPr>
              <w:t>offshore-vaste inrichting</w:t>
            </w:r>
            <w:r w:rsidRPr="00A805F5">
              <w:rPr>
                <w:rFonts w:cs="Arial"/>
                <w:color w:val="000000"/>
                <w:szCs w:val="20"/>
                <w:lang w:val="nl-NL"/>
              </w:rPr>
              <w:t>)</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6C7C1A3F"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7007C8B6"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75ABE89F"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5F081B5D"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1ECC" w:rsidRDefault="00D762B3" w14:paraId="550EA583" w14:textId="7964F83A">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CB1ECC">
              <w:rPr>
                <w:rFonts w:cs="Arial"/>
                <w:color w:val="000000"/>
                <w:szCs w:val="20"/>
                <w:lang w:val="nl-NL"/>
              </w:rPr>
              <w:t>.</w:t>
            </w:r>
            <w:r w:rsidRPr="00A805F5">
              <w:rPr>
                <w:rFonts w:cs="Arial"/>
                <w:color w:val="000000"/>
                <w:szCs w:val="20"/>
                <w:lang w:val="nl-NL"/>
              </w:rPr>
              <w:t xml:space="preserve"> 5(3</w:t>
            </w:r>
            <w:r w:rsidRPr="00A805F5" w:rsidR="00A42AC9">
              <w:rPr>
                <w:rFonts w:cs="Arial"/>
                <w:color w:val="000000"/>
                <w:szCs w:val="20"/>
                <w:lang w:val="nl-NL"/>
              </w:rPr>
              <w:t>)</w:t>
            </w:r>
          </w:p>
        </w:tc>
      </w:tr>
      <w:tr w:rsidRPr="00596EDA" w:rsidR="00026FCC" w:rsidTr="00026FCC" w14:paraId="1F6B3C93" w14:textId="77777777">
        <w:trPr>
          <w:gridAfter w:val="1"/>
          <w:wAfter w:w="9" w:type="dxa"/>
          <w:trHeight w:val="6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7BA7A7B1" w14:textId="77777777">
            <w:pPr>
              <w:spacing w:line="240" w:lineRule="auto"/>
              <w:ind w:firstLine="0"/>
              <w:rPr>
                <w:rFonts w:cs="Arial"/>
                <w:color w:val="000000"/>
                <w:szCs w:val="20"/>
                <w:lang w:val="nl-NL"/>
              </w:rPr>
            </w:pPr>
            <w:r w:rsidRPr="00A805F5">
              <w:rPr>
                <w:rFonts w:cs="Arial"/>
                <w:color w:val="000000"/>
                <w:szCs w:val="20"/>
                <w:lang w:val="nl-NL"/>
              </w:rPr>
              <w:t>4.5</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69D91999" w14:textId="77777777">
            <w:pPr>
              <w:spacing w:line="240" w:lineRule="auto"/>
              <w:ind w:firstLine="0"/>
              <w:rPr>
                <w:rFonts w:cs="Arial"/>
                <w:color w:val="000000"/>
                <w:szCs w:val="20"/>
                <w:lang w:val="nl-NL"/>
              </w:rPr>
            </w:pPr>
            <w:r w:rsidRPr="00A805F5">
              <w:rPr>
                <w:rFonts w:cs="Arial"/>
                <w:color w:val="000000"/>
                <w:szCs w:val="20"/>
                <w:lang w:val="nl-NL"/>
              </w:rPr>
              <w:t xml:space="preserve">Opname uitsluitende woonstaatheffing voor </w:t>
            </w:r>
            <w:r w:rsidRPr="00A805F5">
              <w:rPr>
                <w:rFonts w:cs="Arial"/>
                <w:b/>
                <w:bCs/>
                <w:color w:val="000000"/>
                <w:szCs w:val="20"/>
                <w:lang w:val="nl-NL"/>
              </w:rPr>
              <w:t xml:space="preserve">deelnemingsdividenden, interest en royalty's </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48B7FCCA"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5569B509"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53530A7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33C4414E"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0B0A2648"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596EDA" w:rsidR="00A42AC9" w:rsidTr="00026FCC" w14:paraId="710D69C9" w14:textId="77777777">
        <w:trPr>
          <w:trHeight w:val="6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FFF9184"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3A7E650C"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1DF74D03" w14:textId="77777777">
            <w:pPr>
              <w:spacing w:line="240" w:lineRule="auto"/>
              <w:ind w:firstLine="0"/>
              <w:rPr>
                <w:rFonts w:cs="Arial"/>
                <w:color w:val="000000"/>
                <w:szCs w:val="20"/>
                <w:lang w:val="nl-NL"/>
              </w:rPr>
            </w:pPr>
            <w:r w:rsidRPr="00A805F5">
              <w:rPr>
                <w:rFonts w:cs="Arial"/>
                <w:color w:val="000000"/>
                <w:szCs w:val="20"/>
                <w:lang w:val="nl-NL"/>
              </w:rPr>
              <w:t>Zo nee, het betreft de volgende percentages:</w:t>
            </w:r>
          </w:p>
        </w:tc>
        <w:tc>
          <w:tcPr>
            <w:tcW w:w="4531" w:type="dxa"/>
            <w:gridSpan w:val="6"/>
            <w:tcBorders>
              <w:top w:val="single" w:color="FFFFFF" w:sz="8" w:space="0"/>
              <w:left w:val="nil"/>
              <w:bottom w:val="nil"/>
              <w:right w:val="nil"/>
            </w:tcBorders>
            <w:shd w:val="clear" w:color="auto" w:fill="F2F2F2"/>
            <w:noWrap/>
            <w:hideMark/>
          </w:tcPr>
          <w:p w:rsidRPr="00A805F5" w:rsidR="00A42AC9" w:rsidP="003431B3" w:rsidRDefault="00A42AC9" w14:paraId="335222CA" w14:textId="33CC70AE">
            <w:pPr>
              <w:spacing w:line="240" w:lineRule="auto"/>
              <w:ind w:firstLine="0"/>
              <w:jc w:val="center"/>
              <w:rPr>
                <w:rFonts w:cs="Arial"/>
                <w:i/>
                <w:color w:val="000000"/>
                <w:szCs w:val="20"/>
                <w:lang w:val="nl-NL"/>
              </w:rPr>
            </w:pPr>
            <w:r w:rsidRPr="00A805F5">
              <w:rPr>
                <w:rFonts w:cs="Arial"/>
                <w:color w:val="000000"/>
                <w:szCs w:val="20"/>
                <w:lang w:val="nl-NL"/>
              </w:rPr>
              <w:t>5%</w:t>
            </w:r>
            <w:r w:rsidRPr="00A805F5" w:rsidR="00CB1ECC">
              <w:rPr>
                <w:rFonts w:cs="Arial"/>
                <w:color w:val="000000"/>
                <w:szCs w:val="20"/>
                <w:lang w:val="nl-NL"/>
              </w:rPr>
              <w:t>*</w:t>
            </w:r>
            <w:r w:rsidRPr="00A805F5">
              <w:rPr>
                <w:rFonts w:cs="Arial"/>
                <w:color w:val="000000"/>
                <w:szCs w:val="20"/>
                <w:lang w:val="nl-NL"/>
              </w:rPr>
              <w:t>/</w:t>
            </w:r>
            <w:r w:rsidRPr="00A805F5" w:rsidR="00CB1ECC">
              <w:rPr>
                <w:rFonts w:cs="Arial"/>
                <w:color w:val="000000"/>
                <w:szCs w:val="20"/>
                <w:lang w:val="nl-NL"/>
              </w:rPr>
              <w:t>/</w:t>
            </w:r>
            <w:r w:rsidRPr="00A805F5">
              <w:rPr>
                <w:rFonts w:cs="Arial"/>
                <w:color w:val="000000"/>
                <w:szCs w:val="20"/>
                <w:lang w:val="nl-NL"/>
              </w:rPr>
              <w:t xml:space="preserve"> </w:t>
            </w:r>
            <w:r w:rsidRPr="00A805F5" w:rsidR="00CB1ECC">
              <w:rPr>
                <w:rFonts w:cs="Arial"/>
                <w:color w:val="000000"/>
                <w:szCs w:val="20"/>
                <w:lang w:val="nl-NL"/>
              </w:rPr>
              <w:t xml:space="preserve">4%, </w:t>
            </w:r>
            <w:r w:rsidRPr="00A805F5">
              <w:rPr>
                <w:rFonts w:cs="Arial"/>
                <w:color w:val="000000"/>
                <w:szCs w:val="20"/>
                <w:lang w:val="nl-NL"/>
              </w:rPr>
              <w:t>10% /</w:t>
            </w:r>
            <w:r w:rsidRPr="00A805F5" w:rsidR="00CB1ECC">
              <w:rPr>
                <w:rFonts w:cs="Arial"/>
                <w:color w:val="000000"/>
                <w:szCs w:val="20"/>
                <w:lang w:val="nl-NL"/>
              </w:rPr>
              <w:t>/</w:t>
            </w:r>
            <w:r w:rsidRPr="00A805F5">
              <w:rPr>
                <w:rFonts w:cs="Arial"/>
                <w:color w:val="000000"/>
                <w:szCs w:val="20"/>
                <w:lang w:val="nl-NL"/>
              </w:rPr>
              <w:t xml:space="preserve"> </w:t>
            </w:r>
            <w:r w:rsidRPr="00A805F5" w:rsidR="00CB1ECC">
              <w:rPr>
                <w:rFonts w:cs="Arial"/>
                <w:color w:val="000000"/>
                <w:szCs w:val="20"/>
                <w:lang w:val="nl-NL"/>
              </w:rPr>
              <w:t xml:space="preserve">2%, </w:t>
            </w:r>
            <w:r w:rsidRPr="00A805F5">
              <w:rPr>
                <w:rFonts w:cs="Arial"/>
                <w:color w:val="000000"/>
                <w:szCs w:val="20"/>
                <w:lang w:val="nl-NL"/>
              </w:rPr>
              <w:t>10%</w:t>
            </w:r>
            <w:r w:rsidRPr="00A805F5" w:rsidR="00CB1ECC">
              <w:rPr>
                <w:rFonts w:cs="Arial"/>
                <w:color w:val="000000"/>
                <w:szCs w:val="20"/>
                <w:lang w:val="nl-NL"/>
              </w:rPr>
              <w:br/>
              <w:t xml:space="preserve">* </w:t>
            </w:r>
            <w:r w:rsidRPr="00A805F5" w:rsidR="00CB1ECC">
              <w:rPr>
                <w:rFonts w:cs="Arial"/>
                <w:i/>
                <w:color w:val="000000"/>
                <w:szCs w:val="20"/>
                <w:lang w:val="nl-NL"/>
              </w:rPr>
              <w:t>Chileense ‘</w:t>
            </w:r>
            <w:r w:rsidRPr="00A805F5" w:rsidR="003431B3">
              <w:rPr>
                <w:rFonts w:cs="Arial"/>
                <w:i/>
                <w:color w:val="000000"/>
                <w:szCs w:val="20"/>
                <w:lang w:val="nl-NL"/>
              </w:rPr>
              <w:t xml:space="preserve">aanvullende belasting’ </w:t>
            </w:r>
            <w:r w:rsidRPr="00A805F5" w:rsidR="00CB1ECC">
              <w:rPr>
                <w:rFonts w:cs="Arial"/>
                <w:i/>
                <w:color w:val="000000"/>
                <w:szCs w:val="20"/>
                <w:lang w:val="nl-NL"/>
              </w:rPr>
              <w:t>uitgezonderd</w:t>
            </w:r>
          </w:p>
        </w:tc>
      </w:tr>
      <w:tr w:rsidRPr="00596EDA" w:rsidR="00026FCC" w:rsidTr="00026FCC" w14:paraId="1242EAB3" w14:textId="77777777">
        <w:trPr>
          <w:gridAfter w:val="1"/>
          <w:wAfter w:w="9" w:type="dxa"/>
          <w:trHeight w:val="6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AA02C06"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5DC59A26"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0B797F3" w14:textId="77777777">
            <w:pPr>
              <w:spacing w:line="240" w:lineRule="auto"/>
              <w:ind w:firstLine="0"/>
              <w:rPr>
                <w:rFonts w:cs="Arial"/>
                <w:color w:val="000000"/>
                <w:szCs w:val="20"/>
                <w:lang w:val="nl-NL"/>
              </w:rPr>
            </w:pPr>
            <w:r w:rsidRPr="00A805F5">
              <w:rPr>
                <w:rFonts w:cs="Arial"/>
                <w:color w:val="000000"/>
                <w:szCs w:val="20"/>
                <w:lang w:val="nl-NL"/>
              </w:rPr>
              <w:t xml:space="preserve">Zo nee, opname uitzondering </w:t>
            </w:r>
            <w:r w:rsidRPr="00A805F5">
              <w:rPr>
                <w:rFonts w:cs="Arial"/>
                <w:b/>
                <w:bCs/>
                <w:color w:val="000000"/>
                <w:szCs w:val="20"/>
                <w:lang w:val="nl-NL"/>
              </w:rPr>
              <w:t>pensioenfondsen</w:t>
            </w:r>
          </w:p>
        </w:tc>
        <w:tc>
          <w:tcPr>
            <w:tcW w:w="510" w:type="dxa"/>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1E4CE739"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single" w:color="FFFFFF" w:sz="8" w:space="0"/>
              <w:left w:val="nil"/>
              <w:bottom w:val="single" w:color="FFFFFF" w:sz="8" w:space="0"/>
              <w:right w:val="single" w:color="FFFFFF" w:sz="4" w:space="0"/>
            </w:tcBorders>
            <w:shd w:val="clear" w:color="000000" w:fill="F2F2F2"/>
            <w:hideMark/>
          </w:tcPr>
          <w:p w:rsidRPr="00A805F5" w:rsidR="00A42AC9" w:rsidP="00CB0097" w:rsidRDefault="00A42AC9" w14:paraId="074F340D"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single" w:color="FFFFFF" w:sz="8" w:space="0"/>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48C9A8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single" w:color="FFFFFF" w:sz="8" w:space="0"/>
              <w:left w:val="nil"/>
              <w:bottom w:val="single" w:color="FFFFFF" w:sz="8" w:space="0"/>
              <w:right w:val="single" w:color="FFFFFF" w:sz="4" w:space="0"/>
            </w:tcBorders>
            <w:shd w:val="clear" w:color="000000" w:fill="F2F2F2"/>
            <w:hideMark/>
          </w:tcPr>
          <w:p w:rsidRPr="00A805F5" w:rsidR="00A42AC9" w:rsidP="00CB0097" w:rsidRDefault="00A42AC9" w14:paraId="210FCC13"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single" w:color="FFFFFF" w:sz="8" w:space="0"/>
              <w:left w:val="single" w:color="FFFFFF" w:sz="8" w:space="0"/>
              <w:bottom w:val="single" w:color="FFFFFF" w:sz="8" w:space="0"/>
              <w:right w:val="single" w:color="FFFFFF" w:sz="4" w:space="0"/>
            </w:tcBorders>
            <w:shd w:val="clear" w:color="000000" w:fill="F2F2F2"/>
            <w:hideMark/>
          </w:tcPr>
          <w:p w:rsidRPr="00A805F5" w:rsidR="00A42AC9" w:rsidP="00CB1ECC" w:rsidRDefault="00A42AC9" w14:paraId="7614AD22" w14:textId="6F3BE9E9">
            <w:pPr>
              <w:spacing w:line="240" w:lineRule="auto"/>
              <w:ind w:firstLine="0"/>
              <w:jc w:val="center"/>
              <w:rPr>
                <w:rFonts w:cs="Arial"/>
                <w:color w:val="000000"/>
                <w:szCs w:val="20"/>
                <w:lang w:val="nl-NL"/>
              </w:rPr>
            </w:pPr>
            <w:r w:rsidRPr="00A805F5">
              <w:rPr>
                <w:rFonts w:cs="Arial"/>
                <w:color w:val="000000"/>
                <w:szCs w:val="20"/>
                <w:lang w:val="nl-NL"/>
              </w:rPr>
              <w:t>Ar</w:t>
            </w:r>
            <w:r w:rsidRPr="00A805F5" w:rsidR="00CB1ECC">
              <w:rPr>
                <w:rFonts w:cs="Arial"/>
                <w:color w:val="000000"/>
                <w:szCs w:val="20"/>
                <w:lang w:val="nl-NL"/>
              </w:rPr>
              <w:t>t.</w:t>
            </w:r>
            <w:r w:rsidRPr="00A805F5">
              <w:rPr>
                <w:rFonts w:cs="Arial"/>
                <w:color w:val="000000"/>
                <w:szCs w:val="20"/>
                <w:lang w:val="nl-NL"/>
              </w:rPr>
              <w:t xml:space="preserve"> 10(</w:t>
            </w:r>
            <w:r w:rsidRPr="00A805F5" w:rsidR="00CB1ECC">
              <w:rPr>
                <w:rFonts w:cs="Arial"/>
                <w:color w:val="000000"/>
                <w:szCs w:val="20"/>
                <w:lang w:val="nl-NL"/>
              </w:rPr>
              <w:t>3</w:t>
            </w:r>
            <w:r w:rsidRPr="00A805F5" w:rsidR="003431B3">
              <w:rPr>
                <w:rFonts w:cs="Arial"/>
                <w:color w:val="000000"/>
                <w:szCs w:val="20"/>
                <w:lang w:val="nl-NL"/>
              </w:rPr>
              <w:t>)</w:t>
            </w:r>
            <w:r w:rsidRPr="00A805F5">
              <w:rPr>
                <w:rFonts w:cs="Arial"/>
                <w:color w:val="000000"/>
                <w:szCs w:val="20"/>
                <w:lang w:val="nl-NL"/>
              </w:rPr>
              <w:t xml:space="preserve"> </w:t>
            </w:r>
          </w:p>
        </w:tc>
      </w:tr>
      <w:tr w:rsidRPr="00596EDA" w:rsidR="00026FCC" w:rsidTr="00026FCC" w14:paraId="42A632B0" w14:textId="77777777">
        <w:trPr>
          <w:gridAfter w:val="1"/>
          <w:wAfter w:w="9" w:type="dxa"/>
          <w:trHeight w:val="55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C32A221" w14:textId="77777777">
            <w:pPr>
              <w:spacing w:line="240" w:lineRule="auto"/>
              <w:ind w:firstLine="0"/>
              <w:rPr>
                <w:rFonts w:cs="Arial"/>
                <w:color w:val="000000"/>
                <w:szCs w:val="20"/>
                <w:lang w:val="nl-NL"/>
              </w:rPr>
            </w:pPr>
            <w:r w:rsidRPr="00A805F5">
              <w:rPr>
                <w:rFonts w:cs="Arial"/>
                <w:color w:val="000000"/>
                <w:szCs w:val="20"/>
                <w:lang w:val="nl-NL"/>
              </w:rPr>
              <w:t>4.3</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2D82A24F" w14:textId="77777777">
            <w:pPr>
              <w:spacing w:line="240" w:lineRule="auto"/>
              <w:ind w:firstLine="0"/>
              <w:rPr>
                <w:rFonts w:cs="Arial"/>
                <w:color w:val="000000"/>
                <w:szCs w:val="20"/>
                <w:lang w:val="nl-NL"/>
              </w:rPr>
            </w:pPr>
            <w:r w:rsidRPr="00A805F5">
              <w:rPr>
                <w:rFonts w:cs="Arial"/>
                <w:color w:val="000000"/>
                <w:szCs w:val="20"/>
                <w:lang w:val="nl-NL"/>
              </w:rPr>
              <w:t xml:space="preserve">Opname van het </w:t>
            </w:r>
            <w:r w:rsidRPr="00A805F5">
              <w:rPr>
                <w:rFonts w:cs="Arial"/>
                <w:b/>
                <w:bCs/>
                <w:color w:val="000000"/>
                <w:szCs w:val="20"/>
                <w:lang w:val="nl-NL"/>
              </w:rPr>
              <w:t xml:space="preserve">portfoliotarief van 15% </w:t>
            </w:r>
            <w:r w:rsidRPr="00A805F5">
              <w:rPr>
                <w:rFonts w:cs="Arial"/>
                <w:color w:val="000000"/>
                <w:szCs w:val="20"/>
                <w:lang w:val="nl-NL"/>
              </w:rPr>
              <w:t xml:space="preserve">voor dividenden uitgekeerd door of uitgekeerd aan een </w:t>
            </w:r>
            <w:r w:rsidRPr="00A805F5">
              <w:rPr>
                <w:rFonts w:cs="Arial"/>
                <w:b/>
                <w:bCs/>
                <w:color w:val="000000"/>
                <w:szCs w:val="20"/>
                <w:lang w:val="nl-NL"/>
              </w:rPr>
              <w:t>FBI</w:t>
            </w:r>
            <w:r w:rsidRPr="00A805F5">
              <w:rPr>
                <w:rFonts w:cs="Arial"/>
                <w:color w:val="000000"/>
                <w:szCs w:val="20"/>
                <w:lang w:val="nl-NL"/>
              </w:rPr>
              <w:t xml:space="preserve"> of soortgelijke instellingen in het andere verdragsland</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07996DC5" w14:textId="634D01D6">
            <w:pPr>
              <w:spacing w:line="240" w:lineRule="auto"/>
              <w:ind w:firstLine="0"/>
              <w:jc w:val="center"/>
              <w:rPr>
                <w:rFonts w:cs="Arial"/>
                <w:color w:val="000000"/>
                <w:szCs w:val="20"/>
                <w:lang w:val="nl-NL"/>
              </w:rPr>
            </w:pP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CB1ECC" w14:paraId="2414D378" w14:textId="1C4C5014">
            <w:pPr>
              <w:spacing w:line="240" w:lineRule="auto"/>
              <w:ind w:firstLine="0"/>
              <w:jc w:val="center"/>
              <w:rPr>
                <w:rFonts w:cs="Arial"/>
                <w:color w:val="000000"/>
                <w:szCs w:val="20"/>
                <w:lang w:val="nl-NL"/>
              </w:rPr>
            </w:pPr>
            <w:r w:rsidRPr="00A805F5">
              <w:rPr>
                <w:rFonts w:cs="Arial"/>
                <w:color w:val="000000"/>
                <w:szCs w:val="20"/>
                <w:lang w:val="nl-NL"/>
              </w:rPr>
              <w:t>X</w:t>
            </w:r>
            <w:r w:rsidRPr="00A805F5" w:rsidR="00A42AC9">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4E015F36"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25AE726F"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3068E1AB" w14:textId="01305FD2">
            <w:pPr>
              <w:spacing w:line="240" w:lineRule="auto"/>
              <w:ind w:firstLine="0"/>
              <w:jc w:val="center"/>
              <w:rPr>
                <w:rFonts w:cs="Arial"/>
                <w:color w:val="000000"/>
                <w:szCs w:val="20"/>
                <w:lang w:val="nl-NL"/>
              </w:rPr>
            </w:pPr>
          </w:p>
        </w:tc>
      </w:tr>
      <w:tr w:rsidRPr="00596EDA" w:rsidR="00026FCC" w:rsidTr="00026FCC" w14:paraId="0FC9BAAA" w14:textId="77777777">
        <w:trPr>
          <w:gridAfter w:val="1"/>
          <w:wAfter w:w="9" w:type="dxa"/>
          <w:trHeight w:val="52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7CF37468" w14:textId="77777777">
            <w:pPr>
              <w:spacing w:line="240" w:lineRule="auto"/>
              <w:ind w:firstLine="0"/>
              <w:rPr>
                <w:rFonts w:cs="Arial"/>
                <w:color w:val="000000"/>
                <w:szCs w:val="20"/>
                <w:lang w:val="nl-NL"/>
              </w:rPr>
            </w:pPr>
            <w:r w:rsidRPr="00A805F5">
              <w:rPr>
                <w:rFonts w:cs="Arial"/>
                <w:color w:val="000000"/>
                <w:szCs w:val="20"/>
                <w:lang w:val="nl-NL"/>
              </w:rPr>
              <w:t>4.6</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22C5BE42" w14:textId="77777777">
            <w:pPr>
              <w:spacing w:line="240" w:lineRule="auto"/>
              <w:ind w:firstLine="0"/>
              <w:rPr>
                <w:rFonts w:cs="Arial"/>
                <w:color w:val="000000"/>
                <w:szCs w:val="20"/>
                <w:lang w:val="nl-NL"/>
              </w:rPr>
            </w:pPr>
            <w:r w:rsidRPr="00A805F5">
              <w:rPr>
                <w:rFonts w:cs="Arial"/>
                <w:color w:val="000000"/>
                <w:szCs w:val="20"/>
                <w:lang w:val="nl-NL"/>
              </w:rPr>
              <w:t xml:space="preserve">Opname van een </w:t>
            </w:r>
            <w:r w:rsidRPr="00A805F5">
              <w:rPr>
                <w:rFonts w:cs="Arial"/>
                <w:b/>
                <w:bCs/>
                <w:color w:val="000000"/>
                <w:szCs w:val="20"/>
                <w:lang w:val="nl-NL"/>
              </w:rPr>
              <w:t>aanmerkelijkbelangvoorbehoud</w:t>
            </w:r>
            <w:r w:rsidRPr="00A805F5">
              <w:rPr>
                <w:rFonts w:cs="Arial"/>
                <w:color w:val="000000"/>
                <w:szCs w:val="20"/>
                <w:lang w:val="nl-NL"/>
              </w:rPr>
              <w:t xml:space="preserve"> in het vermogenswinstartikel en het dividendartikel</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1720A2DA"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5A14338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54089914"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68E57D76"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1ECC" w:rsidRDefault="00CB1ECC" w14:paraId="470B18F8" w14:textId="00FE7979">
            <w:pPr>
              <w:spacing w:line="240" w:lineRule="auto"/>
              <w:ind w:firstLine="0"/>
              <w:jc w:val="center"/>
              <w:rPr>
                <w:rFonts w:cs="Arial"/>
                <w:color w:val="000000"/>
                <w:szCs w:val="20"/>
                <w:lang w:val="nl-NL"/>
              </w:rPr>
            </w:pPr>
            <w:r w:rsidRPr="00A805F5">
              <w:rPr>
                <w:rFonts w:cs="Arial"/>
                <w:color w:val="000000"/>
                <w:szCs w:val="20"/>
                <w:lang w:val="nl-NL"/>
              </w:rPr>
              <w:t>Art. 10(9</w:t>
            </w:r>
            <w:r w:rsidRPr="00A805F5" w:rsidR="00A42AC9">
              <w:rPr>
                <w:rFonts w:cs="Arial"/>
                <w:color w:val="000000"/>
                <w:szCs w:val="20"/>
                <w:lang w:val="nl-NL"/>
              </w:rPr>
              <w:t>), Ar</w:t>
            </w:r>
            <w:r w:rsidRPr="00A805F5">
              <w:rPr>
                <w:rFonts w:cs="Arial"/>
                <w:color w:val="000000"/>
                <w:szCs w:val="20"/>
                <w:lang w:val="nl-NL"/>
              </w:rPr>
              <w:t>t.</w:t>
            </w:r>
            <w:r w:rsidRPr="00A805F5" w:rsidR="00A42AC9">
              <w:rPr>
                <w:rFonts w:cs="Arial"/>
                <w:color w:val="000000"/>
                <w:szCs w:val="20"/>
                <w:lang w:val="nl-NL"/>
              </w:rPr>
              <w:t xml:space="preserve"> 13(</w:t>
            </w:r>
            <w:r w:rsidRPr="00A805F5">
              <w:rPr>
                <w:rFonts w:cs="Arial"/>
                <w:color w:val="000000"/>
                <w:szCs w:val="20"/>
                <w:lang w:val="nl-NL"/>
              </w:rPr>
              <w:t>6</w:t>
            </w:r>
            <w:r w:rsidRPr="00A805F5" w:rsidR="00A42AC9">
              <w:rPr>
                <w:rFonts w:cs="Arial"/>
                <w:color w:val="000000"/>
                <w:szCs w:val="20"/>
                <w:lang w:val="nl-NL"/>
              </w:rPr>
              <w:t>)</w:t>
            </w:r>
          </w:p>
        </w:tc>
      </w:tr>
      <w:tr w:rsidRPr="00596EDA" w:rsidR="00026FCC" w:rsidTr="00026FCC" w14:paraId="3B675B2C" w14:textId="77777777">
        <w:trPr>
          <w:gridAfter w:val="1"/>
          <w:wAfter w:w="9" w:type="dxa"/>
          <w:trHeight w:val="57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490AB3B2" w14:textId="77777777">
            <w:pPr>
              <w:spacing w:line="240" w:lineRule="auto"/>
              <w:ind w:firstLine="0"/>
              <w:rPr>
                <w:rFonts w:cs="Arial"/>
                <w:color w:val="000000"/>
                <w:szCs w:val="20"/>
                <w:lang w:val="nl-NL"/>
              </w:rPr>
            </w:pPr>
            <w:r w:rsidRPr="00A805F5">
              <w:rPr>
                <w:rFonts w:cs="Arial"/>
                <w:color w:val="000000"/>
                <w:szCs w:val="20"/>
                <w:lang w:val="nl-NL"/>
              </w:rPr>
              <w:t>4.7</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3A9C8663"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waarin is vastgelegd dat inkomsten genoten bij de </w:t>
            </w:r>
            <w:r w:rsidRPr="00A805F5">
              <w:rPr>
                <w:rFonts w:cs="Arial"/>
                <w:b/>
                <w:bCs/>
                <w:color w:val="000000"/>
                <w:szCs w:val="20"/>
                <w:lang w:val="nl-NL"/>
              </w:rPr>
              <w:t>inkoop van aandelen of bij liquidatie</w:t>
            </w:r>
            <w:r w:rsidRPr="00A805F5">
              <w:rPr>
                <w:rFonts w:cs="Arial"/>
                <w:color w:val="000000"/>
                <w:szCs w:val="20"/>
                <w:lang w:val="nl-NL"/>
              </w:rPr>
              <w:t xml:space="preserve"> worden beheerst door het dividendartikel</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21DC4BD3"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1B55988C"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3DCA03DB"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0A02CFF7"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026FCC" w:rsidRDefault="00A42AC9" w14:paraId="28F0DD52" w14:textId="64432AED">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026FCC">
              <w:rPr>
                <w:rFonts w:cs="Arial"/>
                <w:color w:val="000000"/>
                <w:szCs w:val="20"/>
                <w:lang w:val="nl-NL"/>
              </w:rPr>
              <w:t>.</w:t>
            </w:r>
            <w:r w:rsidRPr="00A805F5">
              <w:rPr>
                <w:rFonts w:cs="Arial"/>
                <w:color w:val="000000"/>
                <w:szCs w:val="20"/>
                <w:lang w:val="nl-NL"/>
              </w:rPr>
              <w:t xml:space="preserve"> </w:t>
            </w:r>
            <w:r w:rsidRPr="00A805F5" w:rsidR="00CB1ECC">
              <w:rPr>
                <w:rFonts w:cs="Arial"/>
                <w:color w:val="000000"/>
                <w:szCs w:val="20"/>
                <w:lang w:val="nl-NL"/>
              </w:rPr>
              <w:t>VI</w:t>
            </w:r>
            <w:r w:rsidRPr="00A805F5">
              <w:rPr>
                <w:rFonts w:cs="Arial"/>
                <w:color w:val="000000"/>
                <w:szCs w:val="20"/>
                <w:lang w:val="nl-NL"/>
              </w:rPr>
              <w:t xml:space="preserve"> Protocol</w:t>
            </w:r>
          </w:p>
        </w:tc>
      </w:tr>
      <w:tr w:rsidRPr="00596EDA" w:rsidR="00026FCC" w:rsidTr="00026FCC" w14:paraId="2429C6C9" w14:textId="77777777">
        <w:trPr>
          <w:gridAfter w:val="1"/>
          <w:wAfter w:w="9" w:type="dxa"/>
          <w:trHeight w:val="54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7216C4C" w14:textId="77777777">
            <w:pPr>
              <w:spacing w:line="240" w:lineRule="auto"/>
              <w:ind w:firstLine="0"/>
              <w:rPr>
                <w:rFonts w:cs="Arial"/>
                <w:color w:val="000000"/>
                <w:szCs w:val="20"/>
                <w:lang w:val="nl-NL"/>
              </w:rPr>
            </w:pPr>
            <w:r w:rsidRPr="00A805F5">
              <w:rPr>
                <w:rFonts w:cs="Arial"/>
                <w:color w:val="000000"/>
                <w:szCs w:val="20"/>
                <w:lang w:val="nl-NL"/>
              </w:rPr>
              <w:t>4.8</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284453C3" w14:textId="77777777">
            <w:pPr>
              <w:spacing w:line="240" w:lineRule="auto"/>
              <w:ind w:firstLine="0"/>
              <w:rPr>
                <w:rFonts w:cs="Arial"/>
                <w:color w:val="000000"/>
                <w:szCs w:val="20"/>
                <w:lang w:val="nl-NL"/>
              </w:rPr>
            </w:pPr>
            <w:r w:rsidRPr="00A805F5">
              <w:rPr>
                <w:rFonts w:cs="Arial"/>
                <w:color w:val="000000"/>
                <w:szCs w:val="20"/>
                <w:lang w:val="nl-NL"/>
              </w:rPr>
              <w:t xml:space="preserve">Opname van een woonstaatheffing voor vermogenswinsten behaald met de verkoop van </w:t>
            </w:r>
            <w:r w:rsidRPr="00A805F5">
              <w:rPr>
                <w:rFonts w:cs="Arial"/>
                <w:b/>
                <w:bCs/>
                <w:color w:val="000000"/>
                <w:szCs w:val="20"/>
                <w:lang w:val="nl-NL"/>
              </w:rPr>
              <w:t xml:space="preserve">aandelen in onroerendezaakvennootschappen, </w:t>
            </w:r>
            <w:r w:rsidRPr="00A805F5">
              <w:rPr>
                <w:rFonts w:cs="Arial"/>
                <w:color w:val="000000"/>
                <w:szCs w:val="20"/>
                <w:lang w:val="nl-NL"/>
              </w:rPr>
              <w:t>tenzij er sprake is van verdragsmisbruik</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604E238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sz="8" w:space="0"/>
              <w:right w:val="single" w:color="FFFFFF" w:sz="4" w:space="0"/>
            </w:tcBorders>
            <w:shd w:val="clear" w:color="auto" w:fill="F2F2F2"/>
            <w:hideMark/>
          </w:tcPr>
          <w:p w:rsidRPr="00A805F5" w:rsidR="00A42AC9" w:rsidP="00CB0097" w:rsidRDefault="00A42AC9" w14:paraId="30B4C02A"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13CDCDB"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36F18FFB"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026FCC" w:rsidRDefault="00A42AC9" w14:paraId="6C2D6287" w14:textId="770E002D">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026FCC">
              <w:rPr>
                <w:rFonts w:cs="Arial"/>
                <w:color w:val="000000"/>
                <w:szCs w:val="20"/>
                <w:lang w:val="nl-NL"/>
              </w:rPr>
              <w:t>. 13</w:t>
            </w:r>
            <w:r w:rsidRPr="00A805F5">
              <w:rPr>
                <w:rFonts w:cs="Arial"/>
                <w:color w:val="000000"/>
                <w:szCs w:val="20"/>
                <w:lang w:val="nl-NL"/>
              </w:rPr>
              <w:t>(4)</w:t>
            </w:r>
          </w:p>
        </w:tc>
      </w:tr>
      <w:tr w:rsidRPr="00596EDA" w:rsidR="00026FCC" w:rsidTr="00026FCC" w14:paraId="0510A9CD" w14:textId="77777777">
        <w:trPr>
          <w:gridAfter w:val="1"/>
          <w:wAfter w:w="9" w:type="dxa"/>
          <w:trHeight w:val="600"/>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71BBDCAA"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4F0D692E" w14:textId="77777777">
            <w:pPr>
              <w:spacing w:line="240" w:lineRule="auto"/>
              <w:ind w:firstLine="0"/>
              <w:rPr>
                <w:rFonts w:cs="Arial"/>
                <w:b/>
                <w:bCs/>
                <w:i/>
                <w:iCs/>
                <w:szCs w:val="20"/>
                <w:lang w:val="nl-NL"/>
              </w:rPr>
            </w:pPr>
            <w:r w:rsidRPr="00A805F5">
              <w:rPr>
                <w:rFonts w:cs="Arial"/>
                <w:b/>
                <w:bCs/>
                <w:i/>
                <w:iCs/>
                <w:szCs w:val="20"/>
                <w:lang w:val="nl-NL"/>
              </w:rPr>
              <w:t>Arbeid</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5088FAA1"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3203C210"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5538B5E7"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7BA753CE"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5D46ED76"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58756454" w14:textId="77777777">
        <w:trPr>
          <w:gridAfter w:val="1"/>
          <w:wAfter w:w="9" w:type="dxa"/>
          <w:trHeight w:val="54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B4EE075" w14:textId="77777777">
            <w:pPr>
              <w:spacing w:line="240" w:lineRule="auto"/>
              <w:ind w:firstLine="0"/>
              <w:rPr>
                <w:rFonts w:cs="Arial"/>
                <w:color w:val="000000"/>
                <w:szCs w:val="20"/>
                <w:lang w:val="nl-NL"/>
              </w:rPr>
            </w:pPr>
            <w:r w:rsidRPr="00A805F5">
              <w:rPr>
                <w:rFonts w:cs="Arial"/>
                <w:color w:val="000000"/>
                <w:szCs w:val="20"/>
                <w:lang w:val="nl-NL"/>
              </w:rPr>
              <w:t>4.10</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4C05D12E" w14:textId="77777777">
            <w:pPr>
              <w:spacing w:line="240" w:lineRule="auto"/>
              <w:ind w:firstLine="0"/>
              <w:rPr>
                <w:rFonts w:cs="Arial"/>
                <w:color w:val="000000"/>
                <w:szCs w:val="20"/>
                <w:lang w:val="nl-NL"/>
              </w:rPr>
            </w:pPr>
            <w:r w:rsidRPr="00A805F5">
              <w:rPr>
                <w:rFonts w:cs="Arial"/>
                <w:color w:val="000000"/>
                <w:szCs w:val="20"/>
                <w:lang w:val="nl-NL"/>
              </w:rPr>
              <w:t xml:space="preserve">Opname van een bronstaatheffing voor gefacilieerd opgebouwde </w:t>
            </w:r>
            <w:r w:rsidRPr="00A805F5">
              <w:rPr>
                <w:rFonts w:cs="Arial"/>
                <w:b/>
                <w:bCs/>
                <w:color w:val="000000"/>
                <w:szCs w:val="20"/>
                <w:lang w:val="nl-NL"/>
              </w:rPr>
              <w:t xml:space="preserve">pensioenen </w:t>
            </w:r>
            <w:r w:rsidRPr="00A805F5">
              <w:rPr>
                <w:rFonts w:cs="Arial"/>
                <w:color w:val="000000"/>
                <w:szCs w:val="20"/>
                <w:lang w:val="nl-NL"/>
              </w:rPr>
              <w:t>en</w:t>
            </w:r>
            <w:r w:rsidRPr="00A805F5">
              <w:rPr>
                <w:rFonts w:cs="Arial"/>
                <w:b/>
                <w:bCs/>
                <w:color w:val="000000"/>
                <w:szCs w:val="20"/>
                <w:lang w:val="nl-NL"/>
              </w:rPr>
              <w:t xml:space="preserve"> </w:t>
            </w:r>
            <w:r w:rsidRPr="00A805F5">
              <w:rPr>
                <w:rFonts w:cs="Arial"/>
                <w:color w:val="000000"/>
                <w:szCs w:val="20"/>
                <w:lang w:val="nl-NL"/>
              </w:rPr>
              <w:t>voor</w:t>
            </w:r>
            <w:r w:rsidRPr="00A805F5">
              <w:rPr>
                <w:rFonts w:cs="Arial"/>
                <w:b/>
                <w:bCs/>
                <w:color w:val="000000"/>
                <w:szCs w:val="20"/>
                <w:lang w:val="nl-NL"/>
              </w:rPr>
              <w:t xml:space="preserve"> socialezekerheidsuitkeringen</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1636A21D"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48F5E23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1BF3395C"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5CEC43CE"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7E7583" w:rsidRDefault="007E7583" w14:paraId="6EF21751" w14:textId="3D86CB68">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A42AC9">
              <w:rPr>
                <w:rFonts w:cs="Arial"/>
                <w:color w:val="000000"/>
                <w:szCs w:val="20"/>
                <w:lang w:val="nl-NL"/>
              </w:rPr>
              <w:t>1</w:t>
            </w:r>
            <w:r w:rsidRPr="00A805F5">
              <w:rPr>
                <w:rFonts w:cs="Arial"/>
                <w:color w:val="000000"/>
                <w:szCs w:val="20"/>
                <w:lang w:val="nl-NL"/>
              </w:rPr>
              <w:t>8</w:t>
            </w:r>
            <w:r w:rsidRPr="00A805F5" w:rsidR="00A42AC9">
              <w:rPr>
                <w:rFonts w:cs="Arial"/>
                <w:color w:val="000000"/>
                <w:szCs w:val="20"/>
                <w:lang w:val="nl-NL"/>
              </w:rPr>
              <w:t>(1 en 2)</w:t>
            </w:r>
          </w:p>
        </w:tc>
      </w:tr>
      <w:tr w:rsidRPr="00596EDA" w:rsidR="00026FCC" w:rsidTr="00026FCC" w14:paraId="57020402" w14:textId="77777777">
        <w:trPr>
          <w:gridAfter w:val="1"/>
          <w:wAfter w:w="9" w:type="dxa"/>
          <w:trHeight w:val="52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A96C58E" w14:textId="77777777">
            <w:pPr>
              <w:spacing w:line="240" w:lineRule="auto"/>
              <w:ind w:firstLine="0"/>
              <w:rPr>
                <w:rFonts w:cs="Arial"/>
                <w:color w:val="000000"/>
                <w:szCs w:val="20"/>
                <w:lang w:val="nl-NL"/>
              </w:rPr>
            </w:pPr>
            <w:r w:rsidRPr="00A805F5">
              <w:rPr>
                <w:rFonts w:cs="Arial"/>
                <w:color w:val="000000"/>
                <w:szCs w:val="20"/>
                <w:lang w:val="nl-NL"/>
              </w:rPr>
              <w:t>4.9</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7525A6A9" w14:textId="77777777">
            <w:pPr>
              <w:spacing w:line="240" w:lineRule="auto"/>
              <w:ind w:firstLine="0"/>
              <w:rPr>
                <w:rFonts w:cs="Arial"/>
                <w:color w:val="000000"/>
                <w:szCs w:val="20"/>
                <w:lang w:val="nl-NL"/>
              </w:rPr>
            </w:pPr>
            <w:r w:rsidRPr="00A805F5">
              <w:rPr>
                <w:rFonts w:cs="Arial"/>
                <w:color w:val="000000"/>
                <w:szCs w:val="20"/>
                <w:lang w:val="nl-NL"/>
              </w:rPr>
              <w:t>Opname van een (beperkte) bronstaatheffing voor</w:t>
            </w:r>
            <w:r w:rsidRPr="00A805F5">
              <w:rPr>
                <w:rFonts w:cs="Arial"/>
                <w:b/>
                <w:bCs/>
                <w:color w:val="000000"/>
                <w:szCs w:val="20"/>
                <w:lang w:val="nl-NL"/>
              </w:rPr>
              <w:t xml:space="preserve"> inkomsten van sporters- en artiesten</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40778593"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444C2CB2"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395B8FC4"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08A729A6"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54459C" w:rsidRDefault="00A42AC9" w14:paraId="0FF577CF" w14:textId="5387DC6E">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54459C">
              <w:rPr>
                <w:rFonts w:cs="Arial"/>
                <w:color w:val="000000"/>
                <w:szCs w:val="20"/>
                <w:lang w:val="nl-NL"/>
              </w:rPr>
              <w:t xml:space="preserve">. </w:t>
            </w:r>
            <w:r w:rsidRPr="00A805F5">
              <w:rPr>
                <w:rFonts w:cs="Arial"/>
                <w:color w:val="000000"/>
                <w:szCs w:val="20"/>
                <w:lang w:val="nl-NL"/>
              </w:rPr>
              <w:t>1</w:t>
            </w:r>
            <w:r w:rsidRPr="00A805F5" w:rsidR="0054459C">
              <w:rPr>
                <w:rFonts w:cs="Arial"/>
                <w:color w:val="000000"/>
                <w:szCs w:val="20"/>
                <w:lang w:val="nl-NL"/>
              </w:rPr>
              <w:t>7</w:t>
            </w:r>
            <w:r w:rsidRPr="00A805F5">
              <w:rPr>
                <w:rFonts w:cs="Arial"/>
                <w:color w:val="000000"/>
                <w:szCs w:val="20"/>
                <w:lang w:val="nl-NL"/>
              </w:rPr>
              <w:t xml:space="preserve"> </w:t>
            </w:r>
          </w:p>
        </w:tc>
      </w:tr>
      <w:tr w:rsidRPr="00596EDA" w:rsidR="00026FCC" w:rsidTr="00026FCC" w14:paraId="351FAC27" w14:textId="77777777">
        <w:trPr>
          <w:gridAfter w:val="1"/>
          <w:wAfter w:w="9" w:type="dxa"/>
          <w:trHeight w:val="600"/>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0360A955"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2E4CC4DF" w14:textId="77777777">
            <w:pPr>
              <w:spacing w:line="240" w:lineRule="auto"/>
              <w:ind w:firstLine="0"/>
              <w:rPr>
                <w:rFonts w:cs="Arial"/>
                <w:b/>
                <w:bCs/>
                <w:i/>
                <w:iCs/>
                <w:szCs w:val="20"/>
                <w:lang w:val="nl-NL"/>
              </w:rPr>
            </w:pPr>
            <w:r w:rsidRPr="00A805F5">
              <w:rPr>
                <w:rFonts w:cs="Arial"/>
                <w:b/>
                <w:bCs/>
                <w:i/>
                <w:iCs/>
                <w:szCs w:val="20"/>
                <w:lang w:val="nl-NL"/>
              </w:rPr>
              <w:t>Overig</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5229722E"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1B0E4061"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CC891C6"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58D05D1"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0E24CED6"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425D811A" w14:textId="77777777">
        <w:trPr>
          <w:gridAfter w:val="1"/>
          <w:wAfter w:w="9" w:type="dxa"/>
          <w:trHeight w:val="379"/>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1B1C27CA" w14:textId="77777777">
            <w:pPr>
              <w:spacing w:line="240" w:lineRule="auto"/>
              <w:ind w:firstLine="0"/>
              <w:rPr>
                <w:rFonts w:cs="Arial"/>
                <w:color w:val="000000"/>
                <w:szCs w:val="20"/>
                <w:lang w:val="nl-NL"/>
              </w:rPr>
            </w:pPr>
            <w:r w:rsidRPr="00A805F5">
              <w:rPr>
                <w:rFonts w:cs="Arial"/>
                <w:color w:val="000000"/>
                <w:szCs w:val="20"/>
                <w:lang w:val="nl-NL"/>
              </w:rPr>
              <w:t>2.8</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222F3F22" w14:textId="77777777">
            <w:pPr>
              <w:spacing w:line="240" w:lineRule="auto"/>
              <w:ind w:firstLine="0"/>
              <w:rPr>
                <w:rFonts w:cs="Arial"/>
                <w:color w:val="000000"/>
                <w:szCs w:val="20"/>
                <w:lang w:val="nl-NL"/>
              </w:rPr>
            </w:pPr>
            <w:r w:rsidRPr="00A805F5">
              <w:rPr>
                <w:rFonts w:cs="Arial"/>
                <w:color w:val="000000"/>
                <w:szCs w:val="20"/>
                <w:lang w:val="nl-NL"/>
              </w:rPr>
              <w:t xml:space="preserve">Toepassing van het verdrag ook richting de </w:t>
            </w:r>
            <w:r w:rsidRPr="00A805F5">
              <w:rPr>
                <w:rFonts w:cs="Arial"/>
                <w:b/>
                <w:bCs/>
                <w:color w:val="000000"/>
                <w:szCs w:val="20"/>
                <w:lang w:val="nl-NL"/>
              </w:rPr>
              <w:t>BES-eilanden</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0995D186"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sz="8" w:space="0"/>
              <w:right w:val="nil"/>
            </w:tcBorders>
            <w:shd w:val="clear" w:color="000000" w:fill="F2F2F2"/>
            <w:hideMark/>
          </w:tcPr>
          <w:p w:rsidRPr="00A805F5" w:rsidR="00A42AC9" w:rsidP="00CB0097" w:rsidRDefault="00A42AC9" w14:paraId="5393B0CF"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3F2D8B4"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nil"/>
            </w:tcBorders>
            <w:shd w:val="clear" w:color="000000" w:fill="F2F2F2"/>
            <w:hideMark/>
          </w:tcPr>
          <w:p w:rsidRPr="00A805F5" w:rsidR="00A42AC9" w:rsidP="00CB0097" w:rsidRDefault="00A42AC9" w14:paraId="7670539E"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54459C" w:rsidRDefault="00A42AC9" w14:paraId="4E44D99F" w14:textId="77363450">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54459C">
              <w:rPr>
                <w:rFonts w:cs="Arial"/>
                <w:color w:val="000000"/>
                <w:szCs w:val="20"/>
                <w:lang w:val="nl-NL"/>
              </w:rPr>
              <w:t>.3(1)(b</w:t>
            </w:r>
            <w:r w:rsidRPr="00A805F5">
              <w:rPr>
                <w:rFonts w:cs="Arial"/>
                <w:color w:val="000000"/>
                <w:szCs w:val="20"/>
                <w:lang w:val="nl-NL"/>
              </w:rPr>
              <w:t xml:space="preserve">) </w:t>
            </w:r>
          </w:p>
        </w:tc>
      </w:tr>
      <w:tr w:rsidRPr="00596EDA" w:rsidR="00026FCC" w:rsidTr="00026FCC" w14:paraId="13E0B71B" w14:textId="77777777">
        <w:trPr>
          <w:gridAfter w:val="1"/>
          <w:wAfter w:w="9" w:type="dxa"/>
          <w:trHeight w:val="54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182EA235" w14:textId="77777777">
            <w:pPr>
              <w:spacing w:line="240" w:lineRule="auto"/>
              <w:ind w:firstLine="0"/>
              <w:rPr>
                <w:rFonts w:cs="Arial"/>
                <w:color w:val="000000"/>
                <w:szCs w:val="20"/>
                <w:lang w:val="nl-NL"/>
              </w:rPr>
            </w:pPr>
            <w:r w:rsidRPr="00A805F5">
              <w:rPr>
                <w:rFonts w:cs="Arial"/>
                <w:color w:val="000000"/>
                <w:szCs w:val="20"/>
                <w:lang w:val="nl-NL"/>
              </w:rPr>
              <w:lastRenderedPageBreak/>
              <w:t>2.6</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501183F9"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waarin is vastgelegd dat voor de uitleg van het verdrag aansluiting wordt gezocht bij het </w:t>
            </w:r>
            <w:r w:rsidRPr="00A805F5">
              <w:rPr>
                <w:rFonts w:cs="Arial"/>
                <w:b/>
                <w:bCs/>
                <w:color w:val="000000"/>
                <w:szCs w:val="20"/>
                <w:lang w:val="nl-NL"/>
              </w:rPr>
              <w:t>Commentaar van het OESO-modelverdrag</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4B00D48D"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79E7110B"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3085BB73"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1574E659"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nil"/>
              <w:bottom w:val="single" w:color="FFFFFF" w:sz="8" w:space="0"/>
              <w:right w:val="single" w:color="FFFFFF" w:sz="8" w:space="0"/>
            </w:tcBorders>
            <w:shd w:val="clear" w:color="000000" w:fill="F2F2F2"/>
            <w:hideMark/>
          </w:tcPr>
          <w:p w:rsidRPr="00A805F5" w:rsidR="00A42AC9" w:rsidP="0054459C" w:rsidRDefault="00A42AC9" w14:paraId="40B5A751" w14:textId="7BF45A15">
            <w:pPr>
              <w:spacing w:line="240" w:lineRule="auto"/>
              <w:ind w:firstLine="0"/>
              <w:jc w:val="center"/>
              <w:rPr>
                <w:rFonts w:cs="Arial"/>
                <w:color w:val="000000"/>
                <w:szCs w:val="20"/>
                <w:lang w:val="nl-NL"/>
              </w:rPr>
            </w:pPr>
            <w:r w:rsidRPr="00A805F5">
              <w:rPr>
                <w:rFonts w:cs="Arial"/>
                <w:color w:val="000000"/>
                <w:szCs w:val="20"/>
                <w:lang w:val="nl-NL"/>
              </w:rPr>
              <w:t>Art</w:t>
            </w:r>
            <w:r w:rsidRPr="00A805F5" w:rsidR="0054459C">
              <w:rPr>
                <w:rFonts w:cs="Arial"/>
                <w:color w:val="000000"/>
                <w:szCs w:val="20"/>
                <w:lang w:val="nl-NL"/>
              </w:rPr>
              <w:t>.</w:t>
            </w:r>
            <w:r w:rsidRPr="00A805F5">
              <w:rPr>
                <w:rFonts w:cs="Arial"/>
                <w:color w:val="000000"/>
                <w:szCs w:val="20"/>
                <w:lang w:val="nl-NL"/>
              </w:rPr>
              <w:t xml:space="preserve"> I Protocol</w:t>
            </w:r>
          </w:p>
        </w:tc>
      </w:tr>
      <w:tr w:rsidRPr="00596EDA" w:rsidR="00026FCC" w:rsidTr="00026FCC" w14:paraId="1D0D61E7" w14:textId="77777777">
        <w:trPr>
          <w:gridAfter w:val="1"/>
          <w:wAfter w:w="9" w:type="dxa"/>
          <w:trHeight w:val="78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EDD30C5" w14:textId="77777777">
            <w:pPr>
              <w:spacing w:line="240" w:lineRule="auto"/>
              <w:ind w:firstLine="0"/>
              <w:rPr>
                <w:rFonts w:cs="Arial"/>
                <w:color w:val="000000"/>
                <w:szCs w:val="20"/>
                <w:lang w:val="nl-NL"/>
              </w:rPr>
            </w:pPr>
            <w:r w:rsidRPr="00A805F5">
              <w:rPr>
                <w:rFonts w:cs="Arial"/>
                <w:color w:val="000000"/>
                <w:szCs w:val="20"/>
                <w:lang w:val="nl-NL"/>
              </w:rPr>
              <w:t>3.3.10</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76A4C49D"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op basis waarvan bevoegde autoriteiten afspraken kunnen maken om belastingplichtigen bij </w:t>
            </w:r>
            <w:r w:rsidRPr="00A805F5">
              <w:rPr>
                <w:rFonts w:cs="Arial"/>
                <w:b/>
                <w:bCs/>
                <w:color w:val="000000"/>
                <w:szCs w:val="20"/>
                <w:lang w:val="nl-NL"/>
              </w:rPr>
              <w:t>onderlinge overlegprocedures</w:t>
            </w:r>
            <w:r w:rsidRPr="00A805F5">
              <w:rPr>
                <w:rFonts w:cs="Arial"/>
                <w:color w:val="000000"/>
                <w:szCs w:val="20"/>
                <w:lang w:val="nl-NL"/>
              </w:rPr>
              <w:t xml:space="preserve"> geen interest, boetes en kosten in rekening te brengen</w:t>
            </w:r>
          </w:p>
        </w:tc>
        <w:tc>
          <w:tcPr>
            <w:tcW w:w="510"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2A17AD14" w14:textId="3BA665A1">
            <w:pPr>
              <w:spacing w:line="240" w:lineRule="auto"/>
              <w:ind w:firstLine="0"/>
              <w:jc w:val="center"/>
              <w:rPr>
                <w:rFonts w:cs="Arial"/>
                <w:color w:val="000000"/>
                <w:szCs w:val="20"/>
                <w:lang w:val="nl-NL"/>
              </w:rPr>
            </w:pPr>
          </w:p>
        </w:tc>
        <w:tc>
          <w:tcPr>
            <w:tcW w:w="914"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54459C" w14:paraId="69579D6C" w14:textId="79959957">
            <w:pPr>
              <w:spacing w:line="240" w:lineRule="auto"/>
              <w:ind w:firstLine="0"/>
              <w:jc w:val="center"/>
              <w:rPr>
                <w:rFonts w:cs="Arial"/>
                <w:color w:val="000000"/>
                <w:szCs w:val="20"/>
                <w:lang w:val="nl-NL"/>
              </w:rPr>
            </w:pPr>
            <w:r w:rsidRPr="00A805F5">
              <w:rPr>
                <w:rFonts w:cs="Arial"/>
                <w:color w:val="000000"/>
                <w:szCs w:val="20"/>
                <w:lang w:val="nl-NL"/>
              </w:rPr>
              <w:t>X</w:t>
            </w:r>
            <w:r w:rsidRPr="00A805F5" w:rsidR="00A42AC9">
              <w:rPr>
                <w:rFonts w:cs="Arial"/>
                <w:color w:val="000000"/>
                <w:szCs w:val="20"/>
                <w:lang w:val="nl-NL"/>
              </w:rPr>
              <w:t> </w:t>
            </w:r>
          </w:p>
        </w:tc>
        <w:tc>
          <w:tcPr>
            <w:tcW w:w="814"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613F2B2C"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4F68294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6A035629" w14:textId="5EAEF7C3">
            <w:pPr>
              <w:spacing w:line="240" w:lineRule="auto"/>
              <w:ind w:firstLine="0"/>
              <w:jc w:val="center"/>
              <w:rPr>
                <w:rFonts w:cs="Arial"/>
                <w:color w:val="000000"/>
                <w:szCs w:val="20"/>
                <w:lang w:val="nl-NL"/>
              </w:rPr>
            </w:pPr>
          </w:p>
        </w:tc>
      </w:tr>
      <w:tr w:rsidRPr="00596EDA" w:rsidR="00026FCC" w:rsidTr="00026FCC" w14:paraId="3266CED1" w14:textId="77777777">
        <w:trPr>
          <w:gridAfter w:val="1"/>
          <w:wAfter w:w="9" w:type="dxa"/>
          <w:trHeight w:val="825"/>
        </w:trPr>
        <w:tc>
          <w:tcPr>
            <w:tcW w:w="729"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257189D3" w14:textId="77777777">
            <w:pPr>
              <w:spacing w:line="240" w:lineRule="auto"/>
              <w:ind w:firstLine="0"/>
              <w:rPr>
                <w:rFonts w:cs="Arial"/>
                <w:color w:val="000000"/>
                <w:szCs w:val="20"/>
                <w:lang w:val="nl-NL"/>
              </w:rPr>
            </w:pPr>
            <w:r w:rsidRPr="00A805F5">
              <w:rPr>
                <w:rFonts w:cs="Arial"/>
                <w:color w:val="000000"/>
                <w:szCs w:val="20"/>
                <w:lang w:val="nl-NL"/>
              </w:rPr>
              <w:t>4.12</w:t>
            </w:r>
          </w:p>
        </w:tc>
        <w:tc>
          <w:tcPr>
            <w:tcW w:w="3797" w:type="dxa"/>
            <w:gridSpan w:val="2"/>
            <w:tcBorders>
              <w:top w:val="single" w:color="FFFFFF" w:sz="8" w:space="0"/>
              <w:left w:val="nil"/>
              <w:bottom w:val="single" w:color="FFFFFF" w:sz="8" w:space="0"/>
              <w:right w:val="single" w:color="FFFFFF" w:themeColor="background1" w:sz="4" w:space="0"/>
            </w:tcBorders>
            <w:shd w:val="clear" w:color="000000" w:fill="F2F2F2"/>
            <w:hideMark/>
          </w:tcPr>
          <w:p w:rsidRPr="00A805F5" w:rsidR="00A42AC9" w:rsidP="00CB0097" w:rsidRDefault="00A42AC9" w14:paraId="0FC13241"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op basis waarvan de bepalingen over de uitwisseling van informatie en bijstand bij de invordering van belastingen eveneens van toepassing zijn op de Nederlandse inkomensafhankelijke regelingen </w:t>
            </w:r>
            <w:r w:rsidRPr="00A805F5">
              <w:rPr>
                <w:rFonts w:cs="Arial"/>
                <w:b/>
                <w:bCs/>
                <w:color w:val="000000"/>
                <w:szCs w:val="20"/>
                <w:lang w:val="nl-NL"/>
              </w:rPr>
              <w:t>(toeslagen)</w:t>
            </w:r>
          </w:p>
        </w:tc>
        <w:tc>
          <w:tcPr>
            <w:tcW w:w="5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01B1AFD9" w14:textId="688E3FEE">
            <w:pPr>
              <w:spacing w:line="240" w:lineRule="auto"/>
              <w:ind w:firstLine="0"/>
              <w:jc w:val="center"/>
              <w:rPr>
                <w:rFonts w:cs="Arial"/>
                <w:color w:val="000000"/>
                <w:szCs w:val="20"/>
                <w:lang w:val="nl-NL"/>
              </w:rPr>
            </w:pPr>
            <w:r w:rsidRPr="00A805F5">
              <w:rPr>
                <w:rFonts w:cs="Arial"/>
                <w:color w:val="000000"/>
                <w:szCs w:val="20"/>
                <w:lang w:val="nl-NL"/>
              </w:rPr>
              <w:t> </w:t>
            </w:r>
            <w:r w:rsidRPr="00A805F5" w:rsidR="0054459C">
              <w:rPr>
                <w:rFonts w:cs="Arial"/>
                <w:color w:val="000000"/>
                <w:szCs w:val="20"/>
                <w:lang w:val="nl-NL"/>
              </w:rPr>
              <w:t>X</w:t>
            </w:r>
          </w:p>
        </w:tc>
        <w:tc>
          <w:tcPr>
            <w:tcW w:w="9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18B3CF35"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4520E0A6" w14:textId="30E8A853">
            <w:pPr>
              <w:spacing w:line="240" w:lineRule="auto"/>
              <w:ind w:firstLine="0"/>
              <w:rPr>
                <w:rFonts w:cs="Arial"/>
                <w:color w:val="000000"/>
                <w:szCs w:val="20"/>
                <w:lang w:val="nl-NL"/>
              </w:rPr>
            </w:pPr>
          </w:p>
        </w:tc>
        <w:tc>
          <w:tcPr>
            <w:tcW w:w="8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19571A39"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54459C" w14:paraId="3D95AEFC" w14:textId="7542D9E8">
            <w:pPr>
              <w:spacing w:line="240" w:lineRule="auto"/>
              <w:ind w:firstLine="0"/>
              <w:jc w:val="center"/>
              <w:rPr>
                <w:rFonts w:cs="Arial"/>
                <w:color w:val="000000"/>
                <w:szCs w:val="20"/>
                <w:lang w:val="nl-NL"/>
              </w:rPr>
            </w:pPr>
            <w:r w:rsidRPr="00A805F5">
              <w:rPr>
                <w:rFonts w:cs="Arial"/>
                <w:color w:val="000000"/>
                <w:szCs w:val="20"/>
                <w:lang w:val="nl-NL"/>
              </w:rPr>
              <w:t>Art. VIII Protocol</w:t>
            </w:r>
          </w:p>
        </w:tc>
      </w:tr>
      <w:tr w:rsidRPr="00596EDA" w:rsidR="00026FCC" w:rsidTr="00026FCC" w14:paraId="7D9FE5E8" w14:textId="77777777">
        <w:trPr>
          <w:gridAfter w:val="1"/>
          <w:wAfter w:w="9" w:type="dxa"/>
          <w:trHeight w:val="585"/>
        </w:trPr>
        <w:tc>
          <w:tcPr>
            <w:tcW w:w="729"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2D18F687" w14:textId="77777777">
            <w:pPr>
              <w:spacing w:line="240" w:lineRule="auto"/>
              <w:ind w:firstLine="0"/>
              <w:rPr>
                <w:rFonts w:cs="Arial"/>
                <w:color w:val="000000"/>
                <w:szCs w:val="20"/>
                <w:lang w:val="nl-NL"/>
              </w:rPr>
            </w:pPr>
            <w:r w:rsidRPr="00A805F5">
              <w:rPr>
                <w:rFonts w:cs="Arial"/>
                <w:color w:val="000000"/>
                <w:szCs w:val="20"/>
                <w:lang w:val="nl-NL"/>
              </w:rPr>
              <w:t>4.13</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31B66146" w14:textId="77777777">
            <w:pPr>
              <w:spacing w:line="240" w:lineRule="auto"/>
              <w:ind w:firstLine="0"/>
              <w:rPr>
                <w:rFonts w:cs="Arial"/>
                <w:color w:val="000000"/>
                <w:szCs w:val="20"/>
                <w:lang w:val="nl-NL"/>
              </w:rPr>
            </w:pPr>
            <w:r w:rsidRPr="00A805F5">
              <w:rPr>
                <w:rFonts w:cs="Arial"/>
                <w:color w:val="000000"/>
                <w:szCs w:val="20"/>
                <w:lang w:val="nl-NL"/>
              </w:rPr>
              <w:t xml:space="preserve">Opname van een bepaling waar in relevante verdragssituaties is vastgelegd dat </w:t>
            </w:r>
            <w:r w:rsidRPr="00A805F5">
              <w:rPr>
                <w:rFonts w:cs="Arial"/>
                <w:b/>
                <w:bCs/>
                <w:color w:val="000000"/>
                <w:szCs w:val="20"/>
                <w:lang w:val="nl-NL"/>
              </w:rPr>
              <w:t>ficties of fictieachtige regelingen</w:t>
            </w:r>
            <w:r w:rsidRPr="00A805F5">
              <w:rPr>
                <w:rFonts w:cs="Arial"/>
                <w:color w:val="000000"/>
                <w:szCs w:val="20"/>
                <w:lang w:val="nl-NL"/>
              </w:rPr>
              <w:t xml:space="preserve"> in de nationale wet doorwerken naar het belastingverdrag</w:t>
            </w:r>
          </w:p>
        </w:tc>
        <w:tc>
          <w:tcPr>
            <w:tcW w:w="510" w:type="dxa"/>
            <w:tcBorders>
              <w:top w:val="single" w:color="FFFFFF" w:themeColor="background1" w:sz="4" w:space="0"/>
              <w:left w:val="nil"/>
              <w:bottom w:val="single" w:color="FFFFFF" w:sz="8" w:space="0"/>
              <w:right w:val="single" w:color="FFFFFF" w:sz="8" w:space="0"/>
            </w:tcBorders>
            <w:shd w:val="clear" w:color="000000" w:fill="F2F2F2"/>
            <w:hideMark/>
          </w:tcPr>
          <w:p w:rsidRPr="00A805F5" w:rsidR="00A42AC9" w:rsidP="00CB0097" w:rsidRDefault="00A42AC9" w14:paraId="3CBE982A"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single" w:color="FFFFFF" w:themeColor="background1" w:sz="4" w:space="0"/>
              <w:left w:val="nil"/>
              <w:bottom w:val="single" w:color="FFFFFF" w:sz="8" w:space="0"/>
              <w:right w:val="single" w:color="FFFFFF" w:sz="4" w:space="0"/>
            </w:tcBorders>
            <w:shd w:val="clear" w:color="000000" w:fill="F2F2F2"/>
            <w:hideMark/>
          </w:tcPr>
          <w:p w:rsidRPr="00A805F5" w:rsidR="00A42AC9" w:rsidP="00CB0097" w:rsidRDefault="00A42AC9" w14:paraId="76E06603"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814" w:type="dxa"/>
            <w:tcBorders>
              <w:top w:val="single" w:color="FFFFFF" w:themeColor="background1" w:sz="4" w:space="0"/>
              <w:left w:val="nil"/>
              <w:bottom w:val="single" w:color="FFFFFF" w:sz="8" w:space="0"/>
              <w:right w:val="single" w:color="FFFFFF" w:sz="8" w:space="0"/>
            </w:tcBorders>
            <w:shd w:val="clear" w:color="000000" w:fill="F2F2F2"/>
            <w:hideMark/>
          </w:tcPr>
          <w:p w:rsidRPr="00A805F5" w:rsidR="00A42AC9" w:rsidP="00CB0097" w:rsidRDefault="00A42AC9" w14:paraId="19B66A5E" w14:textId="77777777">
            <w:pPr>
              <w:spacing w:line="240" w:lineRule="auto"/>
              <w:ind w:firstLine="0"/>
              <w:rPr>
                <w:rFonts w:cs="Arial"/>
                <w:color w:val="000000"/>
                <w:szCs w:val="20"/>
                <w:lang w:val="nl-NL"/>
              </w:rPr>
            </w:pPr>
            <w:r w:rsidRPr="00A805F5">
              <w:rPr>
                <w:rFonts w:cs="Arial"/>
                <w:color w:val="000000"/>
                <w:szCs w:val="20"/>
                <w:lang w:val="nl-NL"/>
              </w:rPr>
              <w:t> </w:t>
            </w:r>
          </w:p>
        </w:tc>
        <w:tc>
          <w:tcPr>
            <w:tcW w:w="830" w:type="dxa"/>
            <w:tcBorders>
              <w:top w:val="single" w:color="FFFFFF" w:themeColor="background1" w:sz="4" w:space="0"/>
              <w:left w:val="nil"/>
              <w:bottom w:val="single" w:color="FFFFFF" w:sz="8" w:space="0"/>
              <w:right w:val="single" w:color="FFFFFF" w:sz="8" w:space="0"/>
            </w:tcBorders>
            <w:shd w:val="clear" w:color="000000" w:fill="F2F2F2"/>
            <w:hideMark/>
          </w:tcPr>
          <w:p w:rsidRPr="00A805F5" w:rsidR="00A42AC9" w:rsidP="00CB0097" w:rsidRDefault="00A42AC9" w14:paraId="061B5392"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single" w:color="FFFFFF" w:themeColor="background1" w:sz="4" w:space="0"/>
              <w:left w:val="nil"/>
              <w:bottom w:val="single" w:color="FFFFFF" w:sz="8" w:space="0"/>
              <w:right w:val="single" w:color="FFFFFF" w:sz="8" w:space="0"/>
            </w:tcBorders>
            <w:shd w:val="clear" w:color="000000" w:fill="F2F2F2"/>
            <w:hideMark/>
          </w:tcPr>
          <w:p w:rsidRPr="00A805F5" w:rsidR="00A42AC9" w:rsidP="00CB0097" w:rsidRDefault="00A42AC9" w14:paraId="6161BD16"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9813B4" w:rsidR="00026FCC" w:rsidTr="00026FCC" w14:paraId="0770CD55" w14:textId="77777777">
        <w:trPr>
          <w:gridAfter w:val="1"/>
          <w:wAfter w:w="9" w:type="dxa"/>
          <w:trHeight w:val="555"/>
        </w:trPr>
        <w:tc>
          <w:tcPr>
            <w:tcW w:w="729" w:type="dxa"/>
            <w:tcBorders>
              <w:top w:val="nil"/>
              <w:left w:val="single" w:color="FFFFFF" w:sz="4" w:space="0"/>
              <w:bottom w:val="single" w:color="FFFFFF" w:sz="8" w:space="0"/>
              <w:right w:val="single" w:color="FFFFFF" w:sz="8" w:space="0"/>
            </w:tcBorders>
            <w:shd w:val="clear" w:color="000000" w:fill="8EA9DB"/>
            <w:hideMark/>
          </w:tcPr>
          <w:p w:rsidRPr="00A805F5" w:rsidR="00A42AC9" w:rsidP="00CB0097" w:rsidRDefault="00A42AC9" w14:paraId="7A43EB37" w14:textId="77777777">
            <w:pPr>
              <w:spacing w:line="240" w:lineRule="auto"/>
              <w:ind w:firstLine="0"/>
              <w:rPr>
                <w:rFonts w:cs="Arial"/>
                <w:b/>
                <w:bCs/>
                <w:szCs w:val="20"/>
                <w:lang w:val="nl-NL"/>
              </w:rPr>
            </w:pPr>
            <w:r w:rsidRPr="00A805F5">
              <w:rPr>
                <w:rFonts w:cs="Arial"/>
                <w:b/>
                <w:bCs/>
                <w:szCs w:val="20"/>
                <w:lang w:val="nl-NL"/>
              </w:rPr>
              <w:t>II</w:t>
            </w:r>
          </w:p>
        </w:tc>
        <w:tc>
          <w:tcPr>
            <w:tcW w:w="3797" w:type="dxa"/>
            <w:gridSpan w:val="2"/>
            <w:tcBorders>
              <w:top w:val="single" w:color="FFFFFF" w:sz="8" w:space="0"/>
              <w:left w:val="nil"/>
              <w:bottom w:val="single" w:color="FFFFFF" w:sz="8" w:space="0"/>
              <w:right w:val="single" w:color="FFFFFF" w:sz="8" w:space="0"/>
            </w:tcBorders>
            <w:shd w:val="clear" w:color="000000" w:fill="8EA9DB"/>
            <w:vAlign w:val="bottom"/>
            <w:hideMark/>
          </w:tcPr>
          <w:p w:rsidRPr="00A805F5" w:rsidR="00A42AC9" w:rsidP="00CB0097" w:rsidRDefault="00A42AC9" w14:paraId="1AA39997" w14:textId="77777777">
            <w:pPr>
              <w:spacing w:line="240" w:lineRule="auto"/>
              <w:ind w:firstLine="0"/>
              <w:rPr>
                <w:rFonts w:cs="Arial"/>
                <w:b/>
                <w:bCs/>
                <w:szCs w:val="20"/>
                <w:lang w:val="nl-NL"/>
              </w:rPr>
            </w:pPr>
            <w:r w:rsidRPr="00A805F5">
              <w:rPr>
                <w:rFonts w:cs="Arial"/>
                <w:b/>
                <w:bCs/>
                <w:szCs w:val="20"/>
                <w:lang w:val="nl-NL"/>
              </w:rPr>
              <w:t>Voorkoming dubbele heffing - bepalingen in overeenstemming met het OESO MV volgens het Nederlands verdragsbeleid</w:t>
            </w:r>
          </w:p>
        </w:tc>
        <w:tc>
          <w:tcPr>
            <w:tcW w:w="510"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1147EC08"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0F36AEE6"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3FE065AD"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8EA9DB"/>
            <w:hideMark/>
          </w:tcPr>
          <w:p w:rsidRPr="00A805F5" w:rsidR="00A42AC9" w:rsidP="00CB0097" w:rsidRDefault="00A42AC9" w14:paraId="1EA97990"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8EA9DB"/>
            <w:hideMark/>
          </w:tcPr>
          <w:p w:rsidRPr="00A805F5" w:rsidR="00A42AC9" w:rsidP="00CB0097" w:rsidRDefault="00A42AC9" w14:paraId="66A94960"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0145232F" w14:textId="77777777">
        <w:trPr>
          <w:gridAfter w:val="1"/>
          <w:wAfter w:w="9" w:type="dxa"/>
          <w:trHeight w:val="600"/>
        </w:trPr>
        <w:tc>
          <w:tcPr>
            <w:tcW w:w="729"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0D81E71C" w14:textId="77777777">
            <w:pPr>
              <w:spacing w:line="240" w:lineRule="auto"/>
              <w:ind w:firstLine="0"/>
              <w:rPr>
                <w:rFonts w:cs="Arial"/>
                <w:color w:val="000000"/>
                <w:szCs w:val="20"/>
                <w:lang w:val="nl-NL"/>
              </w:rPr>
            </w:pPr>
            <w:r w:rsidRPr="00A805F5">
              <w:rPr>
                <w:rFonts w:cs="Arial"/>
                <w:color w:val="000000"/>
                <w:szCs w:val="20"/>
                <w:lang w:val="nl-NL"/>
              </w:rPr>
              <w:t>4.1</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4B8BDD9C" w14:textId="77777777">
            <w:pPr>
              <w:spacing w:line="240" w:lineRule="auto"/>
              <w:ind w:firstLine="0"/>
              <w:rPr>
                <w:rFonts w:cs="Arial"/>
                <w:color w:val="000000"/>
                <w:szCs w:val="20"/>
                <w:lang w:val="nl-NL"/>
              </w:rPr>
            </w:pPr>
            <w:r w:rsidRPr="00A805F5">
              <w:rPr>
                <w:rFonts w:cs="Arial"/>
                <w:color w:val="000000"/>
                <w:szCs w:val="20"/>
                <w:lang w:val="nl-NL"/>
              </w:rPr>
              <w:t xml:space="preserve">Bepalingen die niet hierboven (in onderdeel I) zijn vermeld zijn </w:t>
            </w:r>
            <w:r w:rsidRPr="00A805F5">
              <w:rPr>
                <w:rFonts w:cs="Arial"/>
                <w:b/>
                <w:bCs/>
                <w:color w:val="000000"/>
                <w:szCs w:val="20"/>
                <w:lang w:val="nl-NL"/>
              </w:rPr>
              <w:t>in overeenstemming met het OESO-modelverdrag</w:t>
            </w:r>
          </w:p>
        </w:tc>
        <w:tc>
          <w:tcPr>
            <w:tcW w:w="510"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4FC18B9A"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themeColor="background1" w:sz="4" w:space="0"/>
              <w:right w:val="single" w:color="FFFFFF" w:sz="4" w:space="0"/>
            </w:tcBorders>
            <w:shd w:val="clear" w:color="000000" w:fill="F2F2F2"/>
            <w:hideMark/>
          </w:tcPr>
          <w:p w:rsidRPr="00A805F5" w:rsidR="00A42AC9" w:rsidP="00CB0097" w:rsidRDefault="00A42AC9" w14:paraId="4F157C4B" w14:textId="22B0738F">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themeColor="background1" w:sz="4" w:space="0"/>
              <w:right w:val="single" w:color="FFFFFF" w:sz="8" w:space="0"/>
            </w:tcBorders>
            <w:shd w:val="clear" w:color="000000" w:fill="F2F2F2"/>
            <w:hideMark/>
          </w:tcPr>
          <w:p w:rsidRPr="00A805F5" w:rsidR="00A42AC9" w:rsidP="00CB0097" w:rsidRDefault="005171B0" w14:paraId="064E31ED" w14:textId="664DE700">
            <w:pPr>
              <w:spacing w:line="240" w:lineRule="auto"/>
              <w:ind w:firstLine="0"/>
              <w:jc w:val="center"/>
              <w:rPr>
                <w:rFonts w:cs="Arial"/>
                <w:color w:val="000000"/>
                <w:szCs w:val="20"/>
                <w:lang w:val="nl-NL"/>
              </w:rPr>
            </w:pPr>
            <w:r w:rsidRPr="00A805F5">
              <w:rPr>
                <w:rFonts w:cs="Arial"/>
                <w:color w:val="000000"/>
                <w:szCs w:val="20"/>
                <w:lang w:val="nl-NL"/>
              </w:rPr>
              <w:t>X</w:t>
            </w:r>
          </w:p>
        </w:tc>
        <w:tc>
          <w:tcPr>
            <w:tcW w:w="830" w:type="dxa"/>
            <w:tcBorders>
              <w:top w:val="nil"/>
              <w:left w:val="nil"/>
              <w:bottom w:val="single" w:color="FFFFFF" w:themeColor="background1" w:sz="4" w:space="0"/>
              <w:right w:val="single" w:color="FFFFFF" w:sz="4" w:space="0"/>
            </w:tcBorders>
            <w:shd w:val="clear" w:color="000000" w:fill="F2F2F2"/>
            <w:hideMark/>
          </w:tcPr>
          <w:p w:rsidRPr="00A805F5" w:rsidR="00A42AC9" w:rsidP="00CB0097" w:rsidRDefault="00A42AC9" w14:paraId="00DDFB1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themeColor="background1" w:sz="4" w:space="0"/>
              <w:right w:val="single" w:color="FFFFFF" w:sz="4" w:space="0"/>
            </w:tcBorders>
            <w:shd w:val="clear" w:color="000000" w:fill="F2F2F2"/>
            <w:hideMark/>
          </w:tcPr>
          <w:p w:rsidRPr="00A805F5" w:rsidR="00A42AC9" w:rsidP="00CB0097" w:rsidRDefault="00A42AC9" w14:paraId="5EF53D7F"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596EDA" w:rsidR="00A42AC9" w:rsidTr="00026FCC" w14:paraId="657F21F5" w14:textId="77777777">
        <w:trPr>
          <w:trHeight w:val="315"/>
        </w:trPr>
        <w:tc>
          <w:tcPr>
            <w:tcW w:w="729"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54636C2F"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053A2411"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themeColor="background1" w:sz="4" w:space="0"/>
            </w:tcBorders>
            <w:shd w:val="clear" w:color="000000" w:fill="F2F2F2"/>
            <w:hideMark/>
          </w:tcPr>
          <w:p w:rsidRPr="00A805F5" w:rsidR="00A42AC9" w:rsidP="00CB0097" w:rsidRDefault="00A42AC9" w14:paraId="228648B7" w14:textId="77777777">
            <w:pPr>
              <w:spacing w:line="240" w:lineRule="auto"/>
              <w:ind w:firstLine="0"/>
              <w:rPr>
                <w:rFonts w:cs="Arial"/>
                <w:color w:val="000000"/>
                <w:szCs w:val="20"/>
                <w:lang w:val="nl-NL"/>
              </w:rPr>
            </w:pPr>
            <w:r w:rsidRPr="00A805F5">
              <w:rPr>
                <w:rFonts w:cs="Arial"/>
                <w:color w:val="000000"/>
                <w:szCs w:val="20"/>
                <w:lang w:val="nl-NL"/>
              </w:rPr>
              <w:t xml:space="preserve">Zo nee, het betreft de volgende bepalingen </w:t>
            </w:r>
          </w:p>
        </w:tc>
        <w:tc>
          <w:tcPr>
            <w:tcW w:w="4531" w:type="dxa"/>
            <w:gridSpan w:val="6"/>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A805F5" w:rsidR="00A42AC9" w:rsidP="00CB0097" w:rsidRDefault="005171B0" w14:paraId="14A05239" w14:textId="487E1451">
            <w:pPr>
              <w:spacing w:line="240" w:lineRule="auto"/>
              <w:ind w:firstLine="0"/>
              <w:jc w:val="center"/>
              <w:rPr>
                <w:rFonts w:cs="Arial"/>
                <w:color w:val="000000"/>
                <w:szCs w:val="20"/>
                <w:lang w:val="nl-NL"/>
              </w:rPr>
            </w:pPr>
            <w:r w:rsidRPr="00A805F5">
              <w:rPr>
                <w:rFonts w:cs="Arial"/>
                <w:color w:val="000000"/>
                <w:szCs w:val="20"/>
                <w:lang w:val="nl-NL"/>
              </w:rPr>
              <w:t xml:space="preserve">Art. </w:t>
            </w:r>
            <w:r w:rsidR="007A2EA3">
              <w:rPr>
                <w:rFonts w:cs="Arial"/>
                <w:color w:val="000000"/>
                <w:szCs w:val="20"/>
                <w:lang w:val="nl-NL"/>
              </w:rPr>
              <w:t xml:space="preserve">7, 14, </w:t>
            </w:r>
            <w:r w:rsidRPr="00A805F5">
              <w:rPr>
                <w:rFonts w:cs="Arial"/>
                <w:color w:val="000000"/>
                <w:szCs w:val="20"/>
                <w:lang w:val="nl-NL"/>
              </w:rPr>
              <w:t>21 en 30</w:t>
            </w:r>
          </w:p>
        </w:tc>
      </w:tr>
      <w:tr w:rsidRPr="00596EDA" w:rsidR="00A42AC9" w:rsidTr="00026FCC" w14:paraId="6654F468" w14:textId="77777777">
        <w:trPr>
          <w:trHeight w:val="315"/>
        </w:trPr>
        <w:tc>
          <w:tcPr>
            <w:tcW w:w="729"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59469842"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044BF72B"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nil"/>
              <w:bottom w:val="single" w:color="FFFFFF" w:sz="8" w:space="0"/>
              <w:right w:val="single" w:color="FFFFFF" w:themeColor="background1" w:sz="4" w:space="0"/>
            </w:tcBorders>
            <w:shd w:val="clear" w:color="000000" w:fill="F2F2F2"/>
            <w:hideMark/>
          </w:tcPr>
          <w:p w:rsidRPr="00A805F5" w:rsidR="00A42AC9" w:rsidP="00CB0097" w:rsidRDefault="00A42AC9" w14:paraId="7155E244" w14:textId="77777777">
            <w:pPr>
              <w:spacing w:line="240" w:lineRule="auto"/>
              <w:ind w:firstLine="0"/>
              <w:rPr>
                <w:rFonts w:cs="Arial"/>
                <w:color w:val="000000"/>
                <w:szCs w:val="20"/>
                <w:lang w:val="nl-NL"/>
              </w:rPr>
            </w:pPr>
            <w:r w:rsidRPr="00A805F5">
              <w:rPr>
                <w:rFonts w:cs="Arial"/>
                <w:color w:val="000000"/>
                <w:szCs w:val="20"/>
                <w:lang w:val="nl-NL"/>
              </w:rPr>
              <w:t> </w:t>
            </w:r>
          </w:p>
        </w:tc>
        <w:tc>
          <w:tcPr>
            <w:tcW w:w="4531" w:type="dxa"/>
            <w:gridSpan w:val="6"/>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vAlign w:val="center"/>
            <w:hideMark/>
          </w:tcPr>
          <w:p w:rsidRPr="00A805F5" w:rsidR="00A42AC9" w:rsidP="00CB0097" w:rsidRDefault="00A42AC9" w14:paraId="06D64D02" w14:textId="77777777">
            <w:pPr>
              <w:spacing w:line="240" w:lineRule="auto"/>
              <w:ind w:firstLine="0"/>
              <w:rPr>
                <w:rFonts w:cs="Arial"/>
                <w:color w:val="000000"/>
                <w:szCs w:val="20"/>
                <w:lang w:val="nl-NL"/>
              </w:rPr>
            </w:pPr>
          </w:p>
        </w:tc>
      </w:tr>
      <w:tr w:rsidRPr="009813B4" w:rsidR="00026FCC" w:rsidTr="00026FCC" w14:paraId="539CCAF0" w14:textId="77777777">
        <w:trPr>
          <w:gridAfter w:val="1"/>
          <w:wAfter w:w="9" w:type="dxa"/>
          <w:trHeight w:val="555"/>
        </w:trPr>
        <w:tc>
          <w:tcPr>
            <w:tcW w:w="729" w:type="dxa"/>
            <w:tcBorders>
              <w:top w:val="nil"/>
              <w:left w:val="single" w:color="FFFFFF" w:sz="4" w:space="0"/>
              <w:bottom w:val="single" w:color="FFFFFF" w:sz="8" w:space="0"/>
              <w:right w:val="single" w:color="FFFFFF" w:sz="8" w:space="0"/>
            </w:tcBorders>
            <w:shd w:val="clear" w:color="000000" w:fill="8EA9DB"/>
            <w:hideMark/>
          </w:tcPr>
          <w:p w:rsidRPr="00A805F5" w:rsidR="00A42AC9" w:rsidP="00CB0097" w:rsidRDefault="00A42AC9" w14:paraId="643119D6" w14:textId="77777777">
            <w:pPr>
              <w:spacing w:line="240" w:lineRule="auto"/>
              <w:ind w:firstLine="0"/>
              <w:rPr>
                <w:rFonts w:cs="Arial"/>
                <w:b/>
                <w:bCs/>
                <w:szCs w:val="20"/>
                <w:lang w:val="nl-NL"/>
              </w:rPr>
            </w:pPr>
            <w:r w:rsidRPr="00A805F5">
              <w:rPr>
                <w:rFonts w:cs="Arial"/>
                <w:b/>
                <w:bCs/>
                <w:szCs w:val="20"/>
                <w:lang w:val="nl-NL"/>
              </w:rPr>
              <w:t>III</w:t>
            </w:r>
          </w:p>
        </w:tc>
        <w:tc>
          <w:tcPr>
            <w:tcW w:w="3797" w:type="dxa"/>
            <w:gridSpan w:val="2"/>
            <w:tcBorders>
              <w:top w:val="single" w:color="FFFFFF" w:sz="8" w:space="0"/>
              <w:left w:val="nil"/>
              <w:bottom w:val="single" w:color="FFFFFF" w:sz="8" w:space="0"/>
              <w:right w:val="single" w:color="FFFFFF" w:sz="8" w:space="0"/>
            </w:tcBorders>
            <w:shd w:val="clear" w:color="000000" w:fill="8EA9DB"/>
            <w:vAlign w:val="bottom"/>
            <w:hideMark/>
          </w:tcPr>
          <w:p w:rsidRPr="00A805F5" w:rsidR="00A42AC9" w:rsidP="00CB0097" w:rsidRDefault="00A42AC9" w14:paraId="4AB921B3" w14:textId="77777777">
            <w:pPr>
              <w:spacing w:line="240" w:lineRule="auto"/>
              <w:ind w:firstLine="0"/>
              <w:rPr>
                <w:rFonts w:cs="Arial"/>
                <w:b/>
                <w:bCs/>
                <w:szCs w:val="20"/>
                <w:lang w:val="nl-NL"/>
              </w:rPr>
            </w:pPr>
            <w:r w:rsidRPr="00A805F5">
              <w:rPr>
                <w:rFonts w:cs="Arial"/>
                <w:b/>
                <w:bCs/>
                <w:szCs w:val="20"/>
                <w:lang w:val="nl-NL"/>
              </w:rPr>
              <w:t>Tegengaan verdragsmisbruik - bepalingen in overeenstemming met het BEPS-project</w:t>
            </w:r>
          </w:p>
        </w:tc>
        <w:tc>
          <w:tcPr>
            <w:tcW w:w="510" w:type="dxa"/>
            <w:tcBorders>
              <w:top w:val="single" w:color="FFFFFF" w:themeColor="background1" w:sz="4" w:space="0"/>
              <w:left w:val="nil"/>
              <w:bottom w:val="single" w:color="FFFFFF" w:sz="8" w:space="0"/>
              <w:right w:val="single" w:color="FFFFFF" w:sz="8" w:space="0"/>
            </w:tcBorders>
            <w:shd w:val="clear" w:color="000000" w:fill="8EA9DB"/>
            <w:hideMark/>
          </w:tcPr>
          <w:p w:rsidRPr="00A805F5" w:rsidR="00A42AC9" w:rsidP="00CB0097" w:rsidRDefault="00A42AC9" w14:paraId="3B4EACA4"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single" w:color="FFFFFF" w:themeColor="background1" w:sz="4" w:space="0"/>
              <w:left w:val="nil"/>
              <w:bottom w:val="single" w:color="FFFFFF" w:sz="8" w:space="0"/>
              <w:right w:val="single" w:color="FFFFFF" w:sz="8" w:space="0"/>
            </w:tcBorders>
            <w:shd w:val="clear" w:color="000000" w:fill="8EA9DB"/>
            <w:hideMark/>
          </w:tcPr>
          <w:p w:rsidRPr="00A805F5" w:rsidR="00A42AC9" w:rsidP="00CB0097" w:rsidRDefault="00A42AC9" w14:paraId="5441D689"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single" w:color="FFFFFF" w:themeColor="background1" w:sz="4" w:space="0"/>
              <w:left w:val="nil"/>
              <w:bottom w:val="single" w:color="FFFFFF" w:sz="8" w:space="0"/>
              <w:right w:val="single" w:color="FFFFFF" w:sz="8" w:space="0"/>
            </w:tcBorders>
            <w:shd w:val="clear" w:color="000000" w:fill="8EA9DB"/>
            <w:hideMark/>
          </w:tcPr>
          <w:p w:rsidRPr="00A805F5" w:rsidR="00A42AC9" w:rsidP="00CB0097" w:rsidRDefault="00A42AC9" w14:paraId="7CD02021"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single" w:color="FFFFFF" w:themeColor="background1" w:sz="4" w:space="0"/>
              <w:left w:val="nil"/>
              <w:bottom w:val="single" w:color="FFFFFF" w:sz="8" w:space="0"/>
              <w:right w:val="single" w:color="FFFFFF" w:sz="8" w:space="0"/>
            </w:tcBorders>
            <w:shd w:val="clear" w:color="000000" w:fill="8EA9DB"/>
            <w:hideMark/>
          </w:tcPr>
          <w:p w:rsidRPr="00A805F5" w:rsidR="00A42AC9" w:rsidP="00CB0097" w:rsidRDefault="00A42AC9" w14:paraId="576D9470"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single" w:color="FFFFFF" w:themeColor="background1" w:sz="4" w:space="0"/>
              <w:left w:val="nil"/>
              <w:bottom w:val="single" w:color="FFFFFF" w:sz="8" w:space="0"/>
              <w:right w:val="single" w:color="FFFFFF" w:sz="4" w:space="0"/>
            </w:tcBorders>
            <w:shd w:val="clear" w:color="000000" w:fill="8EA9DB"/>
            <w:hideMark/>
          </w:tcPr>
          <w:p w:rsidRPr="00A805F5" w:rsidR="00A42AC9" w:rsidP="00CB0097" w:rsidRDefault="00A42AC9" w14:paraId="21E46FAC"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3897687C" w14:textId="77777777">
        <w:trPr>
          <w:gridAfter w:val="1"/>
          <w:wAfter w:w="9" w:type="dxa"/>
          <w:trHeight w:val="600"/>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41222E88"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575FECF9" w14:textId="77777777">
            <w:pPr>
              <w:spacing w:line="240" w:lineRule="auto"/>
              <w:ind w:firstLine="0"/>
              <w:rPr>
                <w:rFonts w:cs="Arial"/>
                <w:b/>
                <w:bCs/>
                <w:i/>
                <w:iCs/>
                <w:szCs w:val="20"/>
                <w:lang w:val="nl-NL"/>
              </w:rPr>
            </w:pPr>
            <w:r w:rsidRPr="00A805F5">
              <w:rPr>
                <w:rFonts w:cs="Arial"/>
                <w:b/>
                <w:bCs/>
                <w:i/>
                <w:iCs/>
                <w:szCs w:val="20"/>
                <w:lang w:val="nl-NL"/>
              </w:rPr>
              <w:t>Minimumstandaarden</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1612F6EF"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7097E691"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E754E47"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4548A82C"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0F688A89"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1ECD35AA" w14:textId="77777777">
        <w:trPr>
          <w:gridAfter w:val="1"/>
          <w:wAfter w:w="9" w:type="dxa"/>
          <w:trHeight w:val="395"/>
        </w:trPr>
        <w:tc>
          <w:tcPr>
            <w:tcW w:w="729"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23903829" w14:textId="77777777">
            <w:pPr>
              <w:spacing w:line="240" w:lineRule="auto"/>
              <w:ind w:firstLine="0"/>
              <w:rPr>
                <w:rFonts w:cs="Arial"/>
                <w:color w:val="000000"/>
                <w:szCs w:val="20"/>
                <w:lang w:val="nl-NL"/>
              </w:rPr>
            </w:pPr>
            <w:r w:rsidRPr="00A805F5">
              <w:rPr>
                <w:rFonts w:cs="Arial"/>
                <w:color w:val="000000"/>
                <w:szCs w:val="20"/>
                <w:lang w:val="nl-NL"/>
              </w:rPr>
              <w:t>3.2</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6EC751F0" w14:textId="77777777">
            <w:pPr>
              <w:spacing w:line="240" w:lineRule="auto"/>
              <w:ind w:firstLine="0"/>
              <w:rPr>
                <w:rFonts w:cs="Arial"/>
                <w:color w:val="000000"/>
                <w:szCs w:val="20"/>
                <w:lang w:val="nl-NL"/>
              </w:rPr>
            </w:pPr>
            <w:r w:rsidRPr="00A805F5">
              <w:rPr>
                <w:rFonts w:cs="Arial"/>
                <w:color w:val="000000"/>
                <w:szCs w:val="20"/>
                <w:lang w:val="nl-NL"/>
              </w:rPr>
              <w:t xml:space="preserve">Opname van de </w:t>
            </w:r>
            <w:r w:rsidRPr="00A805F5">
              <w:rPr>
                <w:rFonts w:cs="Arial"/>
                <w:b/>
                <w:bCs/>
                <w:color w:val="000000"/>
                <w:szCs w:val="20"/>
                <w:lang w:val="nl-NL"/>
              </w:rPr>
              <w:t>minimumstandaarden</w:t>
            </w:r>
            <w:r w:rsidRPr="00A805F5">
              <w:rPr>
                <w:rFonts w:cs="Arial"/>
                <w:color w:val="000000"/>
                <w:szCs w:val="20"/>
                <w:lang w:val="nl-NL"/>
              </w:rPr>
              <w:t xml:space="preserve"> van het BEPS-project</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6F9F443E"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4C09F9A1"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35BA801D"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4ED19E38"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5AAFA156"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596EDA" w:rsidR="00026FCC" w:rsidTr="00026FCC" w14:paraId="15020DA3" w14:textId="77777777">
        <w:trPr>
          <w:gridAfter w:val="1"/>
          <w:wAfter w:w="9" w:type="dxa"/>
          <w:trHeight w:val="555"/>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419070EE"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5D4940D0" w14:textId="77777777">
            <w:pPr>
              <w:spacing w:line="240" w:lineRule="auto"/>
              <w:ind w:firstLine="0"/>
              <w:rPr>
                <w:rFonts w:cs="Arial"/>
                <w:b/>
                <w:bCs/>
                <w:i/>
                <w:iCs/>
                <w:szCs w:val="20"/>
                <w:lang w:val="nl-NL"/>
              </w:rPr>
            </w:pPr>
            <w:r w:rsidRPr="00A805F5">
              <w:rPr>
                <w:rFonts w:cs="Arial"/>
                <w:b/>
                <w:bCs/>
                <w:i/>
                <w:iCs/>
                <w:szCs w:val="20"/>
                <w:lang w:val="nl-NL"/>
              </w:rPr>
              <w:t>Overige maatregelen BEPS-project</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5E484A0C"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164D8A13"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37B6BAF8"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782F7B2E"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509591AA"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20236D79" w14:textId="77777777">
        <w:trPr>
          <w:gridAfter w:val="1"/>
          <w:wAfter w:w="9" w:type="dxa"/>
          <w:trHeight w:val="3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AD1E8C1" w14:textId="77777777">
            <w:pPr>
              <w:spacing w:line="240" w:lineRule="auto"/>
              <w:ind w:firstLine="0"/>
              <w:rPr>
                <w:rFonts w:cs="Arial"/>
                <w:color w:val="000000"/>
                <w:szCs w:val="20"/>
                <w:lang w:val="nl-NL"/>
              </w:rPr>
            </w:pPr>
            <w:r w:rsidRPr="00A805F5">
              <w:rPr>
                <w:rFonts w:cs="Arial"/>
                <w:color w:val="000000"/>
                <w:szCs w:val="20"/>
                <w:lang w:val="nl-NL"/>
              </w:rPr>
              <w:t>3.3</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31DAF2FB" w14:textId="77777777">
            <w:pPr>
              <w:spacing w:line="240" w:lineRule="auto"/>
              <w:ind w:firstLine="0"/>
              <w:rPr>
                <w:rFonts w:cs="Arial"/>
                <w:color w:val="000000"/>
                <w:szCs w:val="20"/>
                <w:lang w:val="nl-NL"/>
              </w:rPr>
            </w:pPr>
            <w:r w:rsidRPr="00A805F5">
              <w:rPr>
                <w:rFonts w:cs="Arial"/>
                <w:color w:val="000000"/>
                <w:szCs w:val="20"/>
                <w:lang w:val="nl-NL"/>
              </w:rPr>
              <w:t>Opname van de</w:t>
            </w:r>
            <w:r w:rsidRPr="00A805F5">
              <w:rPr>
                <w:rFonts w:cs="Arial"/>
                <w:b/>
                <w:bCs/>
                <w:color w:val="000000"/>
                <w:szCs w:val="20"/>
                <w:lang w:val="nl-NL"/>
              </w:rPr>
              <w:t xml:space="preserve"> overige aanvullende maatregelen</w:t>
            </w:r>
            <w:r w:rsidRPr="00A805F5">
              <w:rPr>
                <w:rFonts w:cs="Arial"/>
                <w:color w:val="000000"/>
                <w:szCs w:val="20"/>
                <w:lang w:val="nl-NL"/>
              </w:rPr>
              <w:t xml:space="preserve"> van het BEPS-project</w:t>
            </w:r>
          </w:p>
        </w:tc>
        <w:tc>
          <w:tcPr>
            <w:tcW w:w="510"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37A849DF"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914" w:type="dxa"/>
            <w:tcBorders>
              <w:top w:val="nil"/>
              <w:left w:val="nil"/>
              <w:bottom w:val="single" w:color="FFFFFF" w:themeColor="background1" w:sz="4" w:space="0"/>
              <w:right w:val="single" w:color="FFFFFF" w:sz="4" w:space="0"/>
            </w:tcBorders>
            <w:shd w:val="clear" w:color="000000" w:fill="F2F2F2"/>
            <w:hideMark/>
          </w:tcPr>
          <w:p w:rsidRPr="00A805F5" w:rsidR="00A42AC9" w:rsidP="00CB0097" w:rsidRDefault="00A42AC9" w14:paraId="4E26BCD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themeColor="background1" w:sz="4" w:space="0"/>
              <w:right w:val="single" w:color="FFFFFF" w:sz="8" w:space="0"/>
            </w:tcBorders>
            <w:shd w:val="clear" w:color="000000" w:fill="F2F2F2"/>
            <w:hideMark/>
          </w:tcPr>
          <w:p w:rsidRPr="00A805F5" w:rsidR="00A42AC9" w:rsidP="00CB0097" w:rsidRDefault="00A42AC9" w14:paraId="3F26585F"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themeColor="background1" w:sz="4" w:space="0"/>
              <w:right w:val="single" w:color="FFFFFF" w:sz="4" w:space="0"/>
            </w:tcBorders>
            <w:shd w:val="clear" w:color="000000" w:fill="F2F2F2"/>
            <w:hideMark/>
          </w:tcPr>
          <w:p w:rsidRPr="00A805F5" w:rsidR="00A42AC9" w:rsidP="00CB0097" w:rsidRDefault="00A42AC9" w14:paraId="3D19021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1454" w:type="dxa"/>
            <w:tcBorders>
              <w:top w:val="nil"/>
              <w:left w:val="single" w:color="FFFFFF" w:sz="8" w:space="0"/>
              <w:bottom w:val="single" w:color="FFFFFF" w:themeColor="background1" w:sz="4" w:space="0"/>
              <w:right w:val="single" w:color="FFFFFF" w:sz="4" w:space="0"/>
            </w:tcBorders>
            <w:shd w:val="clear" w:color="000000" w:fill="F2F2F2"/>
            <w:hideMark/>
          </w:tcPr>
          <w:p w:rsidRPr="00A805F5" w:rsidR="00A42AC9" w:rsidP="00CB0097" w:rsidRDefault="00A42AC9" w14:paraId="0370F995"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9813B4" w:rsidR="00A42AC9" w:rsidTr="00026FCC" w14:paraId="19615967" w14:textId="77777777">
        <w:trPr>
          <w:trHeight w:val="6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A2B721C"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3FC543A9"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themeColor="background1" w:sz="4" w:space="0"/>
            </w:tcBorders>
            <w:shd w:val="clear" w:color="000000" w:fill="F2F2F2"/>
            <w:hideMark/>
          </w:tcPr>
          <w:p w:rsidRPr="00A805F5" w:rsidR="00A42AC9" w:rsidP="00CB0097" w:rsidRDefault="00A42AC9" w14:paraId="0DC179AC" w14:textId="77777777">
            <w:pPr>
              <w:spacing w:line="240" w:lineRule="auto"/>
              <w:ind w:firstLine="0"/>
              <w:rPr>
                <w:rFonts w:cs="Arial"/>
                <w:color w:val="000000"/>
                <w:szCs w:val="20"/>
                <w:lang w:val="nl-NL"/>
              </w:rPr>
            </w:pPr>
            <w:r w:rsidRPr="00A805F5">
              <w:rPr>
                <w:rFonts w:cs="Arial"/>
                <w:color w:val="000000"/>
                <w:szCs w:val="20"/>
                <w:lang w:val="nl-NL"/>
              </w:rPr>
              <w:t>Zo ja, het betreft de volgende overige maatregelen van het BEPS-project:</w:t>
            </w:r>
          </w:p>
        </w:tc>
        <w:tc>
          <w:tcPr>
            <w:tcW w:w="453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A805F5" w:rsidR="00A42AC9" w:rsidP="00CB0097" w:rsidRDefault="00A42AC9" w14:paraId="526575B4" w14:textId="5BACC524">
            <w:pPr>
              <w:spacing w:line="240" w:lineRule="auto"/>
              <w:ind w:firstLine="0"/>
              <w:rPr>
                <w:rFonts w:cs="Arial"/>
                <w:color w:val="000000"/>
                <w:szCs w:val="20"/>
                <w:lang w:val="nl-NL"/>
              </w:rPr>
            </w:pPr>
            <w:r w:rsidRPr="00A805F5">
              <w:rPr>
                <w:rFonts w:cs="Arial"/>
                <w:color w:val="000000"/>
                <w:szCs w:val="20"/>
                <w:lang w:val="nl-NL"/>
              </w:rPr>
              <w:t>Zie paragraaf 'Opzet en korte samenvatting</w:t>
            </w:r>
            <w:r w:rsidRPr="00A805F5" w:rsidR="00FB767B">
              <w:rPr>
                <w:rFonts w:cs="Arial"/>
                <w:color w:val="000000"/>
                <w:szCs w:val="20"/>
                <w:lang w:val="nl-NL"/>
              </w:rPr>
              <w:t xml:space="preserve"> van het Verdrag</w:t>
            </w:r>
            <w:r w:rsidRPr="00A805F5">
              <w:rPr>
                <w:rFonts w:cs="Arial"/>
                <w:color w:val="000000"/>
                <w:szCs w:val="20"/>
                <w:lang w:val="nl-NL"/>
              </w:rPr>
              <w:t>'</w:t>
            </w:r>
          </w:p>
        </w:tc>
      </w:tr>
      <w:tr w:rsidRPr="009813B4" w:rsidR="00026FCC" w:rsidTr="00026FCC" w14:paraId="7025DF78" w14:textId="77777777">
        <w:trPr>
          <w:gridAfter w:val="1"/>
          <w:wAfter w:w="9" w:type="dxa"/>
          <w:trHeight w:val="330"/>
        </w:trPr>
        <w:tc>
          <w:tcPr>
            <w:tcW w:w="729" w:type="dxa"/>
            <w:tcBorders>
              <w:top w:val="nil"/>
              <w:left w:val="single" w:color="FFFFFF" w:sz="4" w:space="0"/>
              <w:bottom w:val="single" w:color="FFFFFF" w:sz="8" w:space="0"/>
              <w:right w:val="single" w:color="FFFFFF" w:sz="8" w:space="0"/>
            </w:tcBorders>
            <w:shd w:val="clear" w:color="000000" w:fill="8EA9DB"/>
            <w:vAlign w:val="bottom"/>
            <w:hideMark/>
          </w:tcPr>
          <w:p w:rsidRPr="00A805F5" w:rsidR="00A42AC9" w:rsidP="00CB0097" w:rsidRDefault="00A42AC9" w14:paraId="46AF842F" w14:textId="77777777">
            <w:pPr>
              <w:spacing w:line="240" w:lineRule="auto"/>
              <w:ind w:firstLine="0"/>
              <w:rPr>
                <w:rFonts w:cs="Arial"/>
                <w:b/>
                <w:bCs/>
                <w:szCs w:val="20"/>
                <w:lang w:val="nl-NL"/>
              </w:rPr>
            </w:pPr>
            <w:r w:rsidRPr="00A805F5">
              <w:rPr>
                <w:rFonts w:cs="Arial"/>
                <w:b/>
                <w:bCs/>
                <w:szCs w:val="20"/>
                <w:lang w:val="nl-NL"/>
              </w:rPr>
              <w:t>IV</w:t>
            </w:r>
          </w:p>
        </w:tc>
        <w:tc>
          <w:tcPr>
            <w:tcW w:w="3797" w:type="dxa"/>
            <w:gridSpan w:val="2"/>
            <w:tcBorders>
              <w:top w:val="single" w:color="FFFFFF" w:sz="8" w:space="0"/>
              <w:left w:val="nil"/>
              <w:bottom w:val="single" w:color="FFFFFF" w:sz="8" w:space="0"/>
              <w:right w:val="single" w:color="FFFFFF" w:sz="8" w:space="0"/>
            </w:tcBorders>
            <w:shd w:val="clear" w:color="000000" w:fill="8EA9DB"/>
            <w:vAlign w:val="bottom"/>
            <w:hideMark/>
          </w:tcPr>
          <w:p w:rsidRPr="00A805F5" w:rsidR="00A42AC9" w:rsidP="00CB0097" w:rsidRDefault="00A42AC9" w14:paraId="566EC8A7" w14:textId="77777777">
            <w:pPr>
              <w:spacing w:line="240" w:lineRule="auto"/>
              <w:ind w:firstLine="0"/>
              <w:rPr>
                <w:rFonts w:cs="Arial"/>
                <w:b/>
                <w:bCs/>
                <w:szCs w:val="20"/>
                <w:lang w:val="nl-NL"/>
              </w:rPr>
            </w:pPr>
            <w:r w:rsidRPr="00A805F5">
              <w:rPr>
                <w:rFonts w:cs="Arial"/>
                <w:b/>
                <w:bCs/>
                <w:szCs w:val="20"/>
                <w:lang w:val="nl-NL"/>
              </w:rPr>
              <w:t>Verdragen met specifieke categorieën landen</w:t>
            </w:r>
          </w:p>
        </w:tc>
        <w:tc>
          <w:tcPr>
            <w:tcW w:w="510" w:type="dxa"/>
            <w:tcBorders>
              <w:top w:val="single" w:color="FFFFFF" w:sz="8" w:space="0"/>
              <w:left w:val="nil"/>
              <w:bottom w:val="single" w:color="FFFFFF" w:sz="8" w:space="0"/>
              <w:right w:val="single" w:color="FFFFFF" w:sz="8" w:space="0"/>
            </w:tcBorders>
            <w:shd w:val="clear" w:color="000000" w:fill="8EA9DB"/>
            <w:hideMark/>
          </w:tcPr>
          <w:p w:rsidRPr="00A805F5" w:rsidR="00A42AC9" w:rsidP="00CB0097" w:rsidRDefault="00A42AC9" w14:paraId="731496BE"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single" w:color="FFFFFF" w:sz="8" w:space="0"/>
              <w:left w:val="nil"/>
              <w:bottom w:val="single" w:color="FFFFFF" w:sz="8" w:space="0"/>
              <w:right w:val="single" w:color="FFFFFF" w:sz="8" w:space="0"/>
            </w:tcBorders>
            <w:shd w:val="clear" w:color="000000" w:fill="8EA9DB"/>
            <w:hideMark/>
          </w:tcPr>
          <w:p w:rsidRPr="00A805F5" w:rsidR="00A42AC9" w:rsidP="00CB0097" w:rsidRDefault="00A42AC9" w14:paraId="77E7DC53"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single" w:color="FFFFFF" w:sz="8" w:space="0"/>
              <w:left w:val="nil"/>
              <w:bottom w:val="single" w:color="FFFFFF" w:sz="8" w:space="0"/>
              <w:right w:val="single" w:color="FFFFFF" w:sz="8" w:space="0"/>
            </w:tcBorders>
            <w:shd w:val="clear" w:color="000000" w:fill="8EA9DB"/>
            <w:hideMark/>
          </w:tcPr>
          <w:p w:rsidRPr="00A805F5" w:rsidR="00A42AC9" w:rsidP="00CB0097" w:rsidRDefault="00A42AC9" w14:paraId="14FC4C2C"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single" w:color="FFFFFF" w:sz="8" w:space="0"/>
              <w:left w:val="nil"/>
              <w:bottom w:val="single" w:color="FFFFFF" w:sz="8" w:space="0"/>
              <w:right w:val="single" w:color="FFFFFF" w:sz="8" w:space="0"/>
            </w:tcBorders>
            <w:shd w:val="clear" w:color="000000" w:fill="8EA9DB"/>
            <w:hideMark/>
          </w:tcPr>
          <w:p w:rsidRPr="00A805F5" w:rsidR="00A42AC9" w:rsidP="00CB0097" w:rsidRDefault="00A42AC9" w14:paraId="2E02FCBE"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single" w:color="FFFFFF" w:sz="8" w:space="0"/>
              <w:left w:val="nil"/>
              <w:bottom w:val="single" w:color="FFFFFF" w:sz="8" w:space="0"/>
              <w:right w:val="single" w:color="FFFFFF" w:sz="4" w:space="0"/>
            </w:tcBorders>
            <w:shd w:val="clear" w:color="000000" w:fill="8EA9DB"/>
            <w:hideMark/>
          </w:tcPr>
          <w:p w:rsidRPr="00A805F5" w:rsidR="00A42AC9" w:rsidP="00CB0097" w:rsidRDefault="00A42AC9" w14:paraId="43A6C6D0" w14:textId="77777777">
            <w:pPr>
              <w:spacing w:line="240" w:lineRule="auto"/>
              <w:ind w:firstLine="0"/>
              <w:jc w:val="center"/>
              <w:rPr>
                <w:rFonts w:cs="Arial"/>
                <w:szCs w:val="20"/>
                <w:lang w:val="nl-NL"/>
              </w:rPr>
            </w:pPr>
            <w:r w:rsidRPr="00A805F5">
              <w:rPr>
                <w:rFonts w:cs="Arial"/>
                <w:szCs w:val="20"/>
                <w:lang w:val="nl-NL"/>
              </w:rPr>
              <w:t> </w:t>
            </w:r>
          </w:p>
        </w:tc>
      </w:tr>
      <w:tr w:rsidRPr="009813B4" w:rsidR="00026FCC" w:rsidTr="00026FCC" w14:paraId="11971442" w14:textId="77777777">
        <w:trPr>
          <w:gridAfter w:val="1"/>
          <w:wAfter w:w="9" w:type="dxa"/>
          <w:trHeight w:val="675"/>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77FAEA7D"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7002ACD3" w14:textId="77777777">
            <w:pPr>
              <w:spacing w:line="240" w:lineRule="auto"/>
              <w:ind w:firstLine="0"/>
              <w:rPr>
                <w:rFonts w:cs="Arial"/>
                <w:b/>
                <w:bCs/>
                <w:i/>
                <w:iCs/>
                <w:szCs w:val="20"/>
                <w:lang w:val="nl-NL"/>
              </w:rPr>
            </w:pPr>
            <w:r w:rsidRPr="00A805F5">
              <w:rPr>
                <w:rFonts w:cs="Arial"/>
                <w:b/>
                <w:bCs/>
                <w:i/>
                <w:iCs/>
                <w:szCs w:val="20"/>
                <w:lang w:val="nl-NL"/>
              </w:rPr>
              <w:t>Verdragen met buurlanden voor grensarbeiders</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31AD1EC1"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59818E94"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5A47B402"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BD18E51"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014D67E3"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6AC6C1AF" w14:textId="77777777">
        <w:trPr>
          <w:gridAfter w:val="1"/>
          <w:wAfter w:w="9" w:type="dxa"/>
          <w:trHeight w:val="383"/>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BF0E292" w14:textId="77777777">
            <w:pPr>
              <w:spacing w:line="240" w:lineRule="auto"/>
              <w:ind w:firstLine="0"/>
              <w:rPr>
                <w:rFonts w:cs="Arial"/>
                <w:color w:val="000000"/>
                <w:szCs w:val="20"/>
                <w:lang w:val="nl-NL"/>
              </w:rPr>
            </w:pPr>
            <w:r w:rsidRPr="00A805F5">
              <w:rPr>
                <w:rFonts w:cs="Arial"/>
                <w:color w:val="000000"/>
                <w:szCs w:val="20"/>
                <w:lang w:val="nl-NL"/>
              </w:rPr>
              <w:t>5.1</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1330E208" w14:textId="77777777">
            <w:pPr>
              <w:spacing w:line="240" w:lineRule="auto"/>
              <w:ind w:firstLine="0"/>
              <w:rPr>
                <w:rFonts w:cs="Arial"/>
                <w:color w:val="000000"/>
                <w:szCs w:val="20"/>
                <w:lang w:val="nl-NL"/>
              </w:rPr>
            </w:pPr>
            <w:r w:rsidRPr="00A805F5">
              <w:rPr>
                <w:rFonts w:cs="Arial"/>
                <w:color w:val="000000"/>
                <w:szCs w:val="20"/>
                <w:lang w:val="nl-NL"/>
              </w:rPr>
              <w:t>Opname bepalingen voor</w:t>
            </w:r>
            <w:r w:rsidRPr="00A805F5">
              <w:rPr>
                <w:rFonts w:cs="Arial"/>
                <w:b/>
                <w:bCs/>
                <w:color w:val="000000"/>
                <w:szCs w:val="20"/>
                <w:lang w:val="nl-NL"/>
              </w:rPr>
              <w:t xml:space="preserve"> 'gelijkheid op de werkvloer'</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555C06D3"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467EB627"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61EC66C"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65AEBEF3"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7BE06670"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596EDA" w:rsidR="00026FCC" w:rsidTr="00026FCC" w14:paraId="3B5B5176" w14:textId="77777777">
        <w:trPr>
          <w:gridAfter w:val="1"/>
          <w:wAfter w:w="9" w:type="dxa"/>
          <w:trHeight w:val="477"/>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6013F19" w14:textId="77777777">
            <w:pPr>
              <w:spacing w:line="240" w:lineRule="auto"/>
              <w:ind w:firstLine="0"/>
              <w:rPr>
                <w:rFonts w:cs="Arial"/>
                <w:color w:val="000000"/>
                <w:szCs w:val="20"/>
                <w:lang w:val="nl-NL"/>
              </w:rPr>
            </w:pPr>
            <w:r w:rsidRPr="00A805F5">
              <w:rPr>
                <w:rFonts w:cs="Arial"/>
                <w:color w:val="000000"/>
                <w:szCs w:val="20"/>
                <w:lang w:val="nl-NL"/>
              </w:rPr>
              <w:t>5.1</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58DE8AE8" w14:textId="77777777">
            <w:pPr>
              <w:spacing w:line="240" w:lineRule="auto"/>
              <w:ind w:firstLine="0"/>
              <w:rPr>
                <w:rFonts w:cs="Arial"/>
                <w:color w:val="000000"/>
                <w:szCs w:val="20"/>
                <w:lang w:val="nl-NL"/>
              </w:rPr>
            </w:pPr>
            <w:r w:rsidRPr="00A805F5">
              <w:rPr>
                <w:rFonts w:cs="Arial"/>
                <w:color w:val="000000"/>
                <w:szCs w:val="20"/>
                <w:lang w:val="nl-NL"/>
              </w:rPr>
              <w:t xml:space="preserve">Opname bepalingen voor </w:t>
            </w:r>
            <w:r w:rsidRPr="00A805F5">
              <w:rPr>
                <w:rFonts w:cs="Arial"/>
                <w:b/>
                <w:bCs/>
                <w:color w:val="000000"/>
                <w:szCs w:val="20"/>
                <w:lang w:val="nl-NL"/>
              </w:rPr>
              <w:t xml:space="preserve">'gelijkheid in de straat' </w:t>
            </w:r>
          </w:p>
        </w:tc>
        <w:tc>
          <w:tcPr>
            <w:tcW w:w="510" w:type="dxa"/>
            <w:tcBorders>
              <w:top w:val="nil"/>
              <w:left w:val="nil"/>
              <w:bottom w:val="single" w:color="FFFFFF" w:sz="8" w:space="0"/>
              <w:right w:val="single" w:color="FFFFFF" w:sz="8" w:space="0"/>
            </w:tcBorders>
            <w:shd w:val="clear" w:color="000000" w:fill="F2F2F2"/>
            <w:hideMark/>
          </w:tcPr>
          <w:p w:rsidRPr="00A805F5" w:rsidR="00A42AC9" w:rsidP="00CB0097" w:rsidRDefault="00A42AC9" w14:paraId="6C83C48A"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1617CF4E"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A78AFD7"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sz="8" w:space="0"/>
              <w:right w:val="single" w:color="FFFFFF" w:sz="4" w:space="0"/>
            </w:tcBorders>
            <w:shd w:val="clear" w:color="000000" w:fill="F2F2F2"/>
            <w:hideMark/>
          </w:tcPr>
          <w:p w:rsidRPr="00A805F5" w:rsidR="00A42AC9" w:rsidP="00CB0097" w:rsidRDefault="00A42AC9" w14:paraId="72FE9009"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1454" w:type="dxa"/>
            <w:tcBorders>
              <w:top w:val="nil"/>
              <w:left w:val="single" w:color="FFFFFF" w:sz="8" w:space="0"/>
              <w:bottom w:val="single" w:color="FFFFFF" w:sz="8" w:space="0"/>
              <w:right w:val="single" w:color="FFFFFF" w:sz="4" w:space="0"/>
            </w:tcBorders>
            <w:shd w:val="clear" w:color="000000" w:fill="F2F2F2"/>
            <w:hideMark/>
          </w:tcPr>
          <w:p w:rsidRPr="00A805F5" w:rsidR="00A42AC9" w:rsidP="00CB0097" w:rsidRDefault="00A42AC9" w14:paraId="2AE8ADAB"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596EDA" w:rsidR="00026FCC" w:rsidTr="00026FCC" w14:paraId="0E09DD63" w14:textId="77777777">
        <w:trPr>
          <w:gridAfter w:val="1"/>
          <w:wAfter w:w="9" w:type="dxa"/>
          <w:trHeight w:val="570"/>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3950FBA0" w14:textId="77777777">
            <w:pPr>
              <w:spacing w:line="240" w:lineRule="auto"/>
              <w:ind w:firstLine="0"/>
              <w:rPr>
                <w:rFonts w:cs="Arial"/>
                <w:i/>
                <w:iCs/>
                <w:szCs w:val="20"/>
                <w:lang w:val="nl-NL"/>
              </w:rPr>
            </w:pPr>
            <w:r w:rsidRPr="00A805F5">
              <w:rPr>
                <w:rFonts w:cs="Arial"/>
                <w:i/>
                <w:iCs/>
                <w:szCs w:val="20"/>
                <w:lang w:val="nl-NL"/>
              </w:rPr>
              <w:lastRenderedPageBreak/>
              <w:t> </w:t>
            </w:r>
          </w:p>
        </w:tc>
        <w:tc>
          <w:tcPr>
            <w:tcW w:w="3797" w:type="dxa"/>
            <w:gridSpan w:val="2"/>
            <w:tcBorders>
              <w:top w:val="nil"/>
              <w:left w:val="nil"/>
              <w:bottom w:val="nil"/>
              <w:right w:val="nil"/>
            </w:tcBorders>
            <w:shd w:val="clear" w:color="000000" w:fill="DDEBF7"/>
            <w:vAlign w:val="bottom"/>
            <w:hideMark/>
          </w:tcPr>
          <w:p w:rsidRPr="00A805F5" w:rsidR="00A42AC9" w:rsidP="00CB0097" w:rsidRDefault="00A42AC9" w14:paraId="72D20835" w14:textId="77777777">
            <w:pPr>
              <w:spacing w:line="240" w:lineRule="auto"/>
              <w:ind w:firstLine="0"/>
              <w:rPr>
                <w:rFonts w:cs="Arial"/>
                <w:b/>
                <w:bCs/>
                <w:i/>
                <w:iCs/>
                <w:szCs w:val="20"/>
                <w:lang w:val="nl-NL"/>
              </w:rPr>
            </w:pPr>
            <w:r w:rsidRPr="00A805F5">
              <w:rPr>
                <w:rFonts w:cs="Arial"/>
                <w:b/>
                <w:bCs/>
                <w:i/>
                <w:iCs/>
                <w:szCs w:val="20"/>
                <w:lang w:val="nl-NL"/>
              </w:rPr>
              <w:t>Verdragen met ontwikkelingslanden</w:t>
            </w:r>
          </w:p>
        </w:tc>
        <w:tc>
          <w:tcPr>
            <w:tcW w:w="510" w:type="dxa"/>
            <w:tcBorders>
              <w:top w:val="nil"/>
              <w:left w:val="single" w:color="FFFFFF" w:sz="8" w:space="0"/>
              <w:bottom w:val="single" w:color="FFFFFF" w:sz="8" w:space="0"/>
              <w:right w:val="single" w:color="FFFFFF" w:sz="8" w:space="0"/>
            </w:tcBorders>
            <w:shd w:val="clear" w:color="000000" w:fill="DDEBF7"/>
            <w:hideMark/>
          </w:tcPr>
          <w:p w:rsidRPr="00A805F5" w:rsidR="00A42AC9" w:rsidP="00CB0097" w:rsidRDefault="00A42AC9" w14:paraId="7E91C659"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39733028"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130B30B2"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nil"/>
              <w:left w:val="nil"/>
              <w:bottom w:val="single" w:color="FFFFFF" w:sz="8" w:space="0"/>
              <w:right w:val="single" w:color="FFFFFF" w:sz="8" w:space="0"/>
            </w:tcBorders>
            <w:shd w:val="clear" w:color="000000" w:fill="DDEBF7"/>
            <w:hideMark/>
          </w:tcPr>
          <w:p w:rsidRPr="00A805F5" w:rsidR="00A42AC9" w:rsidP="00CB0097" w:rsidRDefault="00A42AC9" w14:paraId="2F57DF0D"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nil"/>
              <w:left w:val="nil"/>
              <w:bottom w:val="single" w:color="FFFFFF" w:sz="8" w:space="0"/>
              <w:right w:val="single" w:color="FFFFFF" w:sz="4" w:space="0"/>
            </w:tcBorders>
            <w:shd w:val="clear" w:color="000000" w:fill="DDEBF7"/>
            <w:hideMark/>
          </w:tcPr>
          <w:p w:rsidRPr="00A805F5" w:rsidR="00A42AC9" w:rsidP="00CB0097" w:rsidRDefault="00A42AC9" w14:paraId="5914CD03"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6C8405E6" w14:textId="77777777">
        <w:trPr>
          <w:gridAfter w:val="1"/>
          <w:wAfter w:w="9" w:type="dxa"/>
          <w:trHeight w:val="52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2B7EC4A8" w14:textId="77777777">
            <w:pPr>
              <w:spacing w:line="240" w:lineRule="auto"/>
              <w:ind w:firstLine="0"/>
              <w:rPr>
                <w:rFonts w:cs="Arial"/>
                <w:color w:val="000000"/>
                <w:szCs w:val="20"/>
                <w:lang w:val="nl-NL"/>
              </w:rPr>
            </w:pPr>
            <w:r w:rsidRPr="00A805F5">
              <w:rPr>
                <w:rFonts w:cs="Arial"/>
                <w:color w:val="000000"/>
                <w:szCs w:val="20"/>
                <w:lang w:val="nl-NL"/>
              </w:rPr>
              <w:t>5.2</w:t>
            </w:r>
          </w:p>
        </w:tc>
        <w:tc>
          <w:tcPr>
            <w:tcW w:w="3797" w:type="dxa"/>
            <w:gridSpan w:val="2"/>
            <w:tcBorders>
              <w:top w:val="single" w:color="FFFFFF" w:sz="8" w:space="0"/>
              <w:left w:val="nil"/>
              <w:bottom w:val="single" w:color="FFFFFF" w:sz="8" w:space="0"/>
              <w:right w:val="single" w:color="FFFFFF" w:sz="8" w:space="0"/>
            </w:tcBorders>
            <w:shd w:val="clear" w:color="000000" w:fill="F2F2F2"/>
            <w:hideMark/>
          </w:tcPr>
          <w:p w:rsidRPr="00A805F5" w:rsidR="00A42AC9" w:rsidP="00CB0097" w:rsidRDefault="00A42AC9" w14:paraId="394B2285" w14:textId="77777777">
            <w:pPr>
              <w:spacing w:line="240" w:lineRule="auto"/>
              <w:ind w:firstLine="0"/>
              <w:rPr>
                <w:rFonts w:cs="Arial"/>
                <w:color w:val="000000"/>
                <w:szCs w:val="20"/>
                <w:lang w:val="nl-NL"/>
              </w:rPr>
            </w:pPr>
            <w:r w:rsidRPr="00A805F5">
              <w:rPr>
                <w:rFonts w:cs="Arial"/>
                <w:color w:val="000000"/>
                <w:szCs w:val="20"/>
                <w:lang w:val="nl-NL"/>
              </w:rPr>
              <w:t xml:space="preserve">Opname van een bronstaatheffing op </w:t>
            </w:r>
            <w:r w:rsidRPr="00A805F5">
              <w:rPr>
                <w:rFonts w:cs="Arial"/>
                <w:b/>
                <w:bCs/>
                <w:color w:val="000000"/>
                <w:szCs w:val="20"/>
                <w:lang w:val="nl-NL"/>
              </w:rPr>
              <w:t xml:space="preserve">deelnemingsdividenden, interest en royalty's </w:t>
            </w:r>
          </w:p>
        </w:tc>
        <w:tc>
          <w:tcPr>
            <w:tcW w:w="510" w:type="dxa"/>
            <w:tcBorders>
              <w:top w:val="nil"/>
              <w:left w:val="nil"/>
              <w:bottom w:val="single" w:color="FFFFFF" w:themeColor="background1" w:sz="4" w:space="0"/>
              <w:right w:val="single" w:color="FFFFFF" w:sz="8" w:space="0"/>
            </w:tcBorders>
            <w:shd w:val="clear" w:color="000000" w:fill="F2F2F2"/>
            <w:hideMark/>
          </w:tcPr>
          <w:p w:rsidRPr="00A805F5" w:rsidR="00A42AC9" w:rsidP="00CB0097" w:rsidRDefault="00A42AC9" w14:paraId="127818B8"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nil"/>
              <w:left w:val="nil"/>
              <w:bottom w:val="single" w:color="FFFFFF" w:themeColor="background1" w:sz="4" w:space="0"/>
              <w:right w:val="single" w:color="FFFFFF" w:sz="4" w:space="0"/>
            </w:tcBorders>
            <w:shd w:val="clear" w:color="000000" w:fill="F2F2F2"/>
            <w:hideMark/>
          </w:tcPr>
          <w:p w:rsidRPr="00A805F5" w:rsidR="00A42AC9" w:rsidP="00CB0097" w:rsidRDefault="00A42AC9" w14:paraId="2458FA8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nil"/>
              <w:left w:val="single" w:color="FFFFFF" w:sz="8" w:space="0"/>
              <w:bottom w:val="single" w:color="FFFFFF" w:themeColor="background1" w:sz="4" w:space="0"/>
              <w:right w:val="single" w:color="FFFFFF" w:sz="8" w:space="0"/>
            </w:tcBorders>
            <w:shd w:val="clear" w:color="000000" w:fill="F2F2F2"/>
            <w:hideMark/>
          </w:tcPr>
          <w:p w:rsidRPr="00A805F5" w:rsidR="00A42AC9" w:rsidP="00CB0097" w:rsidRDefault="00A42AC9" w14:paraId="048EC80F"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nil"/>
              <w:left w:val="nil"/>
              <w:bottom w:val="single" w:color="FFFFFF" w:themeColor="background1" w:sz="4" w:space="0"/>
              <w:right w:val="single" w:color="FFFFFF" w:sz="4" w:space="0"/>
            </w:tcBorders>
            <w:shd w:val="clear" w:color="000000" w:fill="F2F2F2"/>
            <w:hideMark/>
          </w:tcPr>
          <w:p w:rsidRPr="00A805F5" w:rsidR="00A42AC9" w:rsidP="00CB0097" w:rsidRDefault="00A42AC9" w14:paraId="749DACD4"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1454" w:type="dxa"/>
            <w:tcBorders>
              <w:top w:val="nil"/>
              <w:left w:val="single" w:color="FFFFFF" w:sz="8" w:space="0"/>
              <w:bottom w:val="single" w:color="FFFFFF" w:themeColor="background1" w:sz="4" w:space="0"/>
              <w:right w:val="single" w:color="FFFFFF" w:sz="4" w:space="0"/>
            </w:tcBorders>
            <w:shd w:val="clear" w:color="000000" w:fill="F2F2F2"/>
            <w:hideMark/>
          </w:tcPr>
          <w:p w:rsidRPr="00A805F5" w:rsidR="00A42AC9" w:rsidP="00CB0097" w:rsidRDefault="00A42AC9" w14:paraId="5FFC48DC"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9813B4" w:rsidR="00A42AC9" w:rsidTr="00026FCC" w14:paraId="5535B960" w14:textId="77777777">
        <w:trPr>
          <w:trHeight w:val="480"/>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1FE32A90"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68E4A044"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themeColor="background1" w:sz="4" w:space="0"/>
            </w:tcBorders>
            <w:shd w:val="clear" w:color="000000" w:fill="F2F2F2"/>
            <w:hideMark/>
          </w:tcPr>
          <w:p w:rsidRPr="00A805F5" w:rsidR="00A42AC9" w:rsidP="00CB0097" w:rsidRDefault="00A42AC9" w14:paraId="25E53542" w14:textId="77777777">
            <w:pPr>
              <w:spacing w:line="240" w:lineRule="auto"/>
              <w:ind w:firstLine="0"/>
              <w:rPr>
                <w:rFonts w:cs="Arial"/>
                <w:color w:val="000000"/>
                <w:szCs w:val="20"/>
                <w:lang w:val="nl-NL"/>
              </w:rPr>
            </w:pPr>
            <w:r w:rsidRPr="00A805F5">
              <w:rPr>
                <w:rFonts w:cs="Arial"/>
                <w:color w:val="000000"/>
                <w:szCs w:val="20"/>
                <w:lang w:val="nl-NL"/>
              </w:rPr>
              <w:t>Zo ja, het betreft de volgende percentages:</w:t>
            </w:r>
          </w:p>
        </w:tc>
        <w:tc>
          <w:tcPr>
            <w:tcW w:w="453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A805F5" w:rsidR="00A42AC9" w:rsidP="00CB0097" w:rsidRDefault="00A42AC9" w14:paraId="6538F5AC" w14:textId="77777777">
            <w:pPr>
              <w:spacing w:line="240" w:lineRule="auto"/>
              <w:ind w:firstLine="0"/>
              <w:rPr>
                <w:rFonts w:cs="Arial"/>
                <w:color w:val="000000"/>
                <w:szCs w:val="20"/>
                <w:lang w:val="nl-NL"/>
              </w:rPr>
            </w:pPr>
            <w:r w:rsidRPr="00A805F5">
              <w:rPr>
                <w:rFonts w:cs="Arial"/>
                <w:color w:val="000000"/>
                <w:szCs w:val="20"/>
                <w:lang w:val="nl-NL"/>
              </w:rPr>
              <w:t> </w:t>
            </w:r>
          </w:p>
        </w:tc>
      </w:tr>
      <w:tr w:rsidRPr="00596EDA" w:rsidR="00026FCC" w:rsidTr="00026FCC" w14:paraId="743A66B9" w14:textId="77777777">
        <w:trPr>
          <w:gridAfter w:val="1"/>
          <w:wAfter w:w="9" w:type="dxa"/>
          <w:trHeight w:val="3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09157550" w14:textId="77777777">
            <w:pPr>
              <w:spacing w:line="240" w:lineRule="auto"/>
              <w:ind w:firstLine="0"/>
              <w:rPr>
                <w:rFonts w:cs="Arial"/>
                <w:color w:val="000000"/>
                <w:szCs w:val="20"/>
                <w:lang w:val="nl-NL"/>
              </w:rPr>
            </w:pPr>
            <w:r w:rsidRPr="00A805F5">
              <w:rPr>
                <w:rFonts w:cs="Arial"/>
                <w:color w:val="000000"/>
                <w:szCs w:val="20"/>
                <w:lang w:val="nl-NL"/>
              </w:rPr>
              <w:t>5.2</w:t>
            </w:r>
          </w:p>
        </w:tc>
        <w:tc>
          <w:tcPr>
            <w:tcW w:w="3797" w:type="dxa"/>
            <w:gridSpan w:val="2"/>
            <w:tcBorders>
              <w:top w:val="single" w:color="FFFFFF" w:sz="8" w:space="0"/>
              <w:left w:val="nil"/>
              <w:bottom w:val="single" w:color="FFFFFF" w:sz="8" w:space="0"/>
              <w:right w:val="single" w:color="FFFFFF" w:themeColor="background1" w:sz="4" w:space="0"/>
            </w:tcBorders>
            <w:shd w:val="clear" w:color="000000" w:fill="F2F2F2"/>
            <w:hideMark/>
          </w:tcPr>
          <w:p w:rsidRPr="00A805F5" w:rsidR="00A42AC9" w:rsidP="00CB0097" w:rsidRDefault="00A42AC9" w14:paraId="174244F3" w14:textId="77777777">
            <w:pPr>
              <w:spacing w:line="240" w:lineRule="auto"/>
              <w:ind w:firstLine="0"/>
              <w:rPr>
                <w:rFonts w:cs="Arial"/>
                <w:color w:val="000000"/>
                <w:szCs w:val="20"/>
                <w:lang w:val="nl-NL"/>
              </w:rPr>
            </w:pPr>
            <w:r w:rsidRPr="00A805F5">
              <w:rPr>
                <w:rFonts w:cs="Arial"/>
                <w:color w:val="000000"/>
                <w:szCs w:val="20"/>
                <w:lang w:val="nl-NL"/>
              </w:rPr>
              <w:t xml:space="preserve">Opname van </w:t>
            </w:r>
            <w:r w:rsidRPr="00A805F5">
              <w:rPr>
                <w:rFonts w:cs="Arial"/>
                <w:b/>
                <w:bCs/>
                <w:color w:val="000000"/>
                <w:szCs w:val="20"/>
                <w:lang w:val="nl-NL"/>
              </w:rPr>
              <w:t>andere bepalingen van het VN-modelverdrag</w:t>
            </w:r>
            <w:r w:rsidRPr="00A805F5">
              <w:rPr>
                <w:rFonts w:cs="Arial"/>
                <w:color w:val="000000"/>
                <w:szCs w:val="20"/>
                <w:lang w:val="nl-NL"/>
              </w:rPr>
              <w:t xml:space="preserve"> ter ondersteuning van het beleid van ontwikkelingslanden</w:t>
            </w:r>
          </w:p>
        </w:tc>
        <w:tc>
          <w:tcPr>
            <w:tcW w:w="5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645BCB4F"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309375E9"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241F27D0"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5A472AEE"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145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7746DA87"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9813B4" w:rsidR="00A42AC9" w:rsidTr="00026FCC" w14:paraId="7654396E" w14:textId="77777777">
        <w:trPr>
          <w:trHeight w:val="31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7F83C6CE"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7D6ED9EC"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themeColor="background1" w:sz="4" w:space="0"/>
            </w:tcBorders>
            <w:shd w:val="clear" w:color="000000" w:fill="F2F2F2"/>
            <w:hideMark/>
          </w:tcPr>
          <w:p w:rsidRPr="00A805F5" w:rsidR="00A42AC9" w:rsidP="00CB0097" w:rsidRDefault="00A42AC9" w14:paraId="20AB3423" w14:textId="77777777">
            <w:pPr>
              <w:spacing w:line="240" w:lineRule="auto"/>
              <w:ind w:firstLine="0"/>
              <w:rPr>
                <w:rFonts w:cs="Arial"/>
                <w:color w:val="000000"/>
                <w:szCs w:val="20"/>
                <w:lang w:val="nl-NL"/>
              </w:rPr>
            </w:pPr>
            <w:r w:rsidRPr="00A805F5">
              <w:rPr>
                <w:rFonts w:cs="Arial"/>
                <w:color w:val="000000"/>
                <w:szCs w:val="20"/>
                <w:lang w:val="nl-NL"/>
              </w:rPr>
              <w:t>Zo ja, het betreft de volgende bepalingen uit het VN-modelverdrag:</w:t>
            </w:r>
          </w:p>
        </w:tc>
        <w:tc>
          <w:tcPr>
            <w:tcW w:w="453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A805F5" w:rsidR="00A42AC9" w:rsidP="00CB0097" w:rsidRDefault="00A42AC9" w14:paraId="62FBF0DD" w14:textId="77777777">
            <w:pPr>
              <w:spacing w:line="240" w:lineRule="auto"/>
              <w:ind w:firstLine="0"/>
              <w:rPr>
                <w:rFonts w:cs="Arial"/>
                <w:color w:val="000000"/>
                <w:szCs w:val="20"/>
                <w:lang w:val="nl-NL"/>
              </w:rPr>
            </w:pPr>
            <w:r w:rsidRPr="00A805F5">
              <w:rPr>
                <w:rFonts w:cs="Arial"/>
                <w:color w:val="000000"/>
                <w:szCs w:val="20"/>
                <w:lang w:val="nl-NL"/>
              </w:rPr>
              <w:t> </w:t>
            </w:r>
          </w:p>
        </w:tc>
      </w:tr>
      <w:tr w:rsidRPr="009813B4" w:rsidR="00026FCC" w:rsidTr="00026FCC" w14:paraId="282D2BF3" w14:textId="77777777">
        <w:trPr>
          <w:gridAfter w:val="1"/>
          <w:wAfter w:w="9" w:type="dxa"/>
          <w:trHeight w:val="630"/>
        </w:trPr>
        <w:tc>
          <w:tcPr>
            <w:tcW w:w="729" w:type="dxa"/>
            <w:tcBorders>
              <w:top w:val="nil"/>
              <w:left w:val="single" w:color="FFFFFF" w:sz="4" w:space="0"/>
              <w:bottom w:val="single" w:color="FFFFFF" w:sz="8" w:space="0"/>
              <w:right w:val="single" w:color="FFFFFF" w:sz="8" w:space="0"/>
            </w:tcBorders>
            <w:shd w:val="clear" w:color="000000" w:fill="DDEBF7"/>
            <w:vAlign w:val="bottom"/>
            <w:hideMark/>
          </w:tcPr>
          <w:p w:rsidRPr="00A805F5" w:rsidR="00A42AC9" w:rsidP="00CB0097" w:rsidRDefault="00A42AC9" w14:paraId="182C276D" w14:textId="77777777">
            <w:pPr>
              <w:spacing w:line="240" w:lineRule="auto"/>
              <w:ind w:firstLine="0"/>
              <w:rPr>
                <w:rFonts w:cs="Arial"/>
                <w:i/>
                <w:iCs/>
                <w:szCs w:val="20"/>
                <w:lang w:val="nl-NL"/>
              </w:rPr>
            </w:pPr>
            <w:r w:rsidRPr="00A805F5">
              <w:rPr>
                <w:rFonts w:cs="Arial"/>
                <w:i/>
                <w:iCs/>
                <w:szCs w:val="20"/>
                <w:lang w:val="nl-NL"/>
              </w:rPr>
              <w:t> </w:t>
            </w:r>
          </w:p>
        </w:tc>
        <w:tc>
          <w:tcPr>
            <w:tcW w:w="3797" w:type="dxa"/>
            <w:gridSpan w:val="2"/>
            <w:tcBorders>
              <w:top w:val="nil"/>
              <w:left w:val="nil"/>
              <w:bottom w:val="nil"/>
              <w:right w:val="single" w:color="FFFFFF" w:themeColor="background1" w:sz="4" w:space="0"/>
            </w:tcBorders>
            <w:shd w:val="clear" w:color="000000" w:fill="DDEBF7"/>
            <w:vAlign w:val="bottom"/>
            <w:hideMark/>
          </w:tcPr>
          <w:p w:rsidRPr="00A805F5" w:rsidR="00A42AC9" w:rsidP="00CB0097" w:rsidRDefault="00A42AC9" w14:paraId="70F13AD0" w14:textId="77777777">
            <w:pPr>
              <w:spacing w:line="240" w:lineRule="auto"/>
              <w:ind w:firstLine="0"/>
              <w:rPr>
                <w:rFonts w:cs="Arial"/>
                <w:b/>
                <w:bCs/>
                <w:i/>
                <w:iCs/>
                <w:szCs w:val="20"/>
                <w:lang w:val="nl-NL"/>
              </w:rPr>
            </w:pPr>
            <w:r w:rsidRPr="00A805F5">
              <w:rPr>
                <w:rFonts w:cs="Arial"/>
                <w:b/>
                <w:bCs/>
                <w:i/>
                <w:iCs/>
                <w:szCs w:val="20"/>
                <w:lang w:val="nl-NL"/>
              </w:rPr>
              <w:t xml:space="preserve">Verdragen met laagbelaste jurisdicties niet-coöperatieve en </w:t>
            </w:r>
            <w:proofErr w:type="spellStart"/>
            <w:r w:rsidRPr="00A805F5">
              <w:rPr>
                <w:rFonts w:cs="Arial"/>
                <w:b/>
                <w:bCs/>
                <w:i/>
                <w:iCs/>
                <w:szCs w:val="20"/>
                <w:lang w:val="nl-NL"/>
              </w:rPr>
              <w:t>laagbelastende</w:t>
            </w:r>
            <w:proofErr w:type="spellEnd"/>
            <w:r w:rsidRPr="00A805F5">
              <w:rPr>
                <w:rFonts w:cs="Arial"/>
                <w:b/>
                <w:bCs/>
                <w:i/>
                <w:iCs/>
                <w:szCs w:val="20"/>
                <w:lang w:val="nl-NL"/>
              </w:rPr>
              <w:t xml:space="preserve"> staten</w:t>
            </w:r>
          </w:p>
        </w:tc>
        <w:tc>
          <w:tcPr>
            <w:tcW w:w="5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A805F5" w:rsidR="00A42AC9" w:rsidP="00CB0097" w:rsidRDefault="00A42AC9" w14:paraId="716A42EF" w14:textId="77777777">
            <w:pPr>
              <w:spacing w:line="240" w:lineRule="auto"/>
              <w:ind w:firstLine="0"/>
              <w:jc w:val="center"/>
              <w:rPr>
                <w:rFonts w:cs="Arial"/>
                <w:szCs w:val="20"/>
                <w:lang w:val="nl-NL"/>
              </w:rPr>
            </w:pPr>
            <w:r w:rsidRPr="00A805F5">
              <w:rPr>
                <w:rFonts w:cs="Arial"/>
                <w:szCs w:val="20"/>
                <w:lang w:val="nl-NL"/>
              </w:rPr>
              <w:t> </w:t>
            </w:r>
          </w:p>
        </w:tc>
        <w:tc>
          <w:tcPr>
            <w:tcW w:w="9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A805F5" w:rsidR="00A42AC9" w:rsidP="00CB0097" w:rsidRDefault="00A42AC9" w14:paraId="1496B0F4" w14:textId="77777777">
            <w:pPr>
              <w:spacing w:line="240" w:lineRule="auto"/>
              <w:ind w:firstLine="0"/>
              <w:jc w:val="center"/>
              <w:rPr>
                <w:rFonts w:cs="Arial"/>
                <w:szCs w:val="20"/>
                <w:lang w:val="nl-NL"/>
              </w:rPr>
            </w:pPr>
            <w:r w:rsidRPr="00A805F5">
              <w:rPr>
                <w:rFonts w:cs="Arial"/>
                <w:szCs w:val="20"/>
                <w:lang w:val="nl-NL"/>
              </w:rPr>
              <w:t> </w:t>
            </w:r>
          </w:p>
        </w:tc>
        <w:tc>
          <w:tcPr>
            <w:tcW w:w="8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A805F5" w:rsidR="00A42AC9" w:rsidP="00CB0097" w:rsidRDefault="00A42AC9" w14:paraId="740F4A4B" w14:textId="77777777">
            <w:pPr>
              <w:spacing w:line="240" w:lineRule="auto"/>
              <w:ind w:firstLine="0"/>
              <w:jc w:val="center"/>
              <w:rPr>
                <w:rFonts w:cs="Arial"/>
                <w:szCs w:val="20"/>
                <w:lang w:val="nl-NL"/>
              </w:rPr>
            </w:pPr>
            <w:r w:rsidRPr="00A805F5">
              <w:rPr>
                <w:rFonts w:cs="Arial"/>
                <w:szCs w:val="20"/>
                <w:lang w:val="nl-NL"/>
              </w:rPr>
              <w:t> </w:t>
            </w:r>
          </w:p>
        </w:tc>
        <w:tc>
          <w:tcPr>
            <w:tcW w:w="8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A805F5" w:rsidR="00A42AC9" w:rsidP="00CB0097" w:rsidRDefault="00A42AC9" w14:paraId="09A20E4B" w14:textId="77777777">
            <w:pPr>
              <w:spacing w:line="240" w:lineRule="auto"/>
              <w:ind w:firstLine="0"/>
              <w:jc w:val="center"/>
              <w:rPr>
                <w:rFonts w:cs="Arial"/>
                <w:szCs w:val="20"/>
                <w:lang w:val="nl-NL"/>
              </w:rPr>
            </w:pPr>
            <w:r w:rsidRPr="00A805F5">
              <w:rPr>
                <w:rFonts w:cs="Arial"/>
                <w:szCs w:val="20"/>
                <w:lang w:val="nl-NL"/>
              </w:rPr>
              <w:t> </w:t>
            </w:r>
          </w:p>
        </w:tc>
        <w:tc>
          <w:tcPr>
            <w:tcW w:w="145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A805F5" w:rsidR="00A42AC9" w:rsidP="00CB0097" w:rsidRDefault="00A42AC9" w14:paraId="290B0E37" w14:textId="77777777">
            <w:pPr>
              <w:spacing w:line="240" w:lineRule="auto"/>
              <w:ind w:firstLine="0"/>
              <w:jc w:val="center"/>
              <w:rPr>
                <w:rFonts w:cs="Arial"/>
                <w:szCs w:val="20"/>
                <w:lang w:val="nl-NL"/>
              </w:rPr>
            </w:pPr>
            <w:r w:rsidRPr="00A805F5">
              <w:rPr>
                <w:rFonts w:cs="Arial"/>
                <w:szCs w:val="20"/>
                <w:lang w:val="nl-NL"/>
              </w:rPr>
              <w:t> </w:t>
            </w:r>
          </w:p>
        </w:tc>
      </w:tr>
      <w:tr w:rsidRPr="00596EDA" w:rsidR="00026FCC" w:rsidTr="00026FCC" w14:paraId="4C0D54A0" w14:textId="77777777">
        <w:trPr>
          <w:gridAfter w:val="1"/>
          <w:wAfter w:w="9" w:type="dxa"/>
          <w:trHeight w:val="555"/>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67FBC631" w14:textId="77777777">
            <w:pPr>
              <w:spacing w:line="240" w:lineRule="auto"/>
              <w:ind w:firstLine="0"/>
              <w:rPr>
                <w:rFonts w:cs="Arial"/>
                <w:color w:val="000000"/>
                <w:szCs w:val="20"/>
                <w:lang w:val="nl-NL"/>
              </w:rPr>
            </w:pPr>
            <w:r w:rsidRPr="00A805F5">
              <w:rPr>
                <w:rFonts w:cs="Arial"/>
                <w:color w:val="000000"/>
                <w:szCs w:val="20"/>
                <w:lang w:val="nl-NL"/>
              </w:rPr>
              <w:t>5.3</w:t>
            </w:r>
          </w:p>
        </w:tc>
        <w:tc>
          <w:tcPr>
            <w:tcW w:w="3797" w:type="dxa"/>
            <w:gridSpan w:val="2"/>
            <w:tcBorders>
              <w:top w:val="single" w:color="FFFFFF" w:sz="8" w:space="0"/>
              <w:left w:val="nil"/>
              <w:bottom w:val="single" w:color="FFFFFF" w:sz="8" w:space="0"/>
              <w:right w:val="single" w:color="FFFFFF" w:themeColor="background1" w:sz="4" w:space="0"/>
            </w:tcBorders>
            <w:shd w:val="clear" w:color="000000" w:fill="F2F2F2"/>
            <w:hideMark/>
          </w:tcPr>
          <w:p w:rsidRPr="00A805F5" w:rsidR="00A42AC9" w:rsidP="00CB0097" w:rsidRDefault="00A42AC9" w14:paraId="40EF397E" w14:textId="77777777">
            <w:pPr>
              <w:spacing w:line="240" w:lineRule="auto"/>
              <w:ind w:firstLine="0"/>
              <w:rPr>
                <w:rFonts w:cs="Arial"/>
                <w:color w:val="000000"/>
                <w:szCs w:val="20"/>
                <w:lang w:val="nl-NL"/>
              </w:rPr>
            </w:pPr>
            <w:r w:rsidRPr="00A805F5">
              <w:rPr>
                <w:rFonts w:cs="Arial"/>
                <w:color w:val="000000"/>
                <w:szCs w:val="20"/>
                <w:lang w:val="nl-NL"/>
              </w:rPr>
              <w:t xml:space="preserve">Opname van een bronstaatheffing op </w:t>
            </w:r>
            <w:r w:rsidRPr="00A805F5">
              <w:rPr>
                <w:rFonts w:cs="Arial"/>
                <w:b/>
                <w:bCs/>
                <w:color w:val="000000"/>
                <w:szCs w:val="20"/>
                <w:lang w:val="nl-NL"/>
              </w:rPr>
              <w:t xml:space="preserve">deelnemingsdividenden, interest en royalty's </w:t>
            </w:r>
          </w:p>
        </w:tc>
        <w:tc>
          <w:tcPr>
            <w:tcW w:w="5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347D5BA2"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9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48312CEB"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21950FC3" w14:textId="77777777">
            <w:pPr>
              <w:spacing w:line="240" w:lineRule="auto"/>
              <w:ind w:firstLine="0"/>
              <w:jc w:val="center"/>
              <w:rPr>
                <w:rFonts w:cs="Arial"/>
                <w:color w:val="000000"/>
                <w:szCs w:val="20"/>
                <w:lang w:val="nl-NL"/>
              </w:rPr>
            </w:pPr>
            <w:r w:rsidRPr="00A805F5">
              <w:rPr>
                <w:rFonts w:cs="Arial"/>
                <w:color w:val="000000"/>
                <w:szCs w:val="20"/>
                <w:lang w:val="nl-NL"/>
              </w:rPr>
              <w:t> </w:t>
            </w:r>
          </w:p>
        </w:tc>
        <w:tc>
          <w:tcPr>
            <w:tcW w:w="8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6E8A5DE4" w14:textId="77777777">
            <w:pPr>
              <w:spacing w:line="240" w:lineRule="auto"/>
              <w:ind w:firstLine="0"/>
              <w:jc w:val="center"/>
              <w:rPr>
                <w:rFonts w:cs="Arial"/>
                <w:color w:val="000000"/>
                <w:szCs w:val="20"/>
                <w:lang w:val="nl-NL"/>
              </w:rPr>
            </w:pPr>
            <w:r w:rsidRPr="00A805F5">
              <w:rPr>
                <w:rFonts w:cs="Arial"/>
                <w:color w:val="000000"/>
                <w:szCs w:val="20"/>
                <w:lang w:val="nl-NL"/>
              </w:rPr>
              <w:t>X</w:t>
            </w:r>
          </w:p>
        </w:tc>
        <w:tc>
          <w:tcPr>
            <w:tcW w:w="145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A805F5" w:rsidR="00A42AC9" w:rsidP="00CB0097" w:rsidRDefault="00A42AC9" w14:paraId="4D40DA8E" w14:textId="77777777">
            <w:pPr>
              <w:spacing w:line="240" w:lineRule="auto"/>
              <w:ind w:firstLine="0"/>
              <w:jc w:val="center"/>
              <w:rPr>
                <w:rFonts w:cs="Arial"/>
                <w:color w:val="000000"/>
                <w:szCs w:val="20"/>
                <w:lang w:val="nl-NL"/>
              </w:rPr>
            </w:pPr>
            <w:r w:rsidRPr="00A805F5">
              <w:rPr>
                <w:rFonts w:cs="Arial"/>
                <w:color w:val="000000"/>
                <w:szCs w:val="20"/>
                <w:lang w:val="nl-NL"/>
              </w:rPr>
              <w:t> </w:t>
            </w:r>
          </w:p>
        </w:tc>
      </w:tr>
      <w:tr w:rsidRPr="009813B4" w:rsidR="00A42AC9" w:rsidTr="00026FCC" w14:paraId="76706B6A" w14:textId="77777777">
        <w:trPr>
          <w:trHeight w:val="402"/>
        </w:trPr>
        <w:tc>
          <w:tcPr>
            <w:tcW w:w="729" w:type="dxa"/>
            <w:tcBorders>
              <w:top w:val="nil"/>
              <w:left w:val="single" w:color="FFFFFF" w:sz="8" w:space="0"/>
              <w:bottom w:val="single" w:color="FFFFFF" w:sz="8" w:space="0"/>
              <w:right w:val="single" w:color="FFFFFF" w:sz="8" w:space="0"/>
            </w:tcBorders>
            <w:shd w:val="clear" w:color="000000" w:fill="F2F2F2"/>
            <w:hideMark/>
          </w:tcPr>
          <w:p w:rsidRPr="00A805F5" w:rsidR="00A42AC9" w:rsidP="00CB0097" w:rsidRDefault="00A42AC9" w14:paraId="36744C34" w14:textId="77777777">
            <w:pPr>
              <w:spacing w:line="240" w:lineRule="auto"/>
              <w:ind w:firstLine="0"/>
              <w:rPr>
                <w:rFonts w:cs="Arial"/>
                <w:color w:val="000000"/>
                <w:szCs w:val="20"/>
                <w:lang w:val="nl-NL"/>
              </w:rPr>
            </w:pPr>
            <w:r w:rsidRPr="00A805F5">
              <w:rPr>
                <w:rFonts w:cs="Arial"/>
                <w:color w:val="000000"/>
                <w:szCs w:val="20"/>
                <w:lang w:val="nl-NL"/>
              </w:rPr>
              <w:t> </w:t>
            </w:r>
          </w:p>
        </w:tc>
        <w:tc>
          <w:tcPr>
            <w:tcW w:w="376" w:type="dxa"/>
            <w:tcBorders>
              <w:top w:val="nil"/>
              <w:left w:val="nil"/>
              <w:bottom w:val="single" w:color="FFFFFF" w:sz="8" w:space="0"/>
              <w:right w:val="nil"/>
            </w:tcBorders>
            <w:shd w:val="clear" w:color="000000" w:fill="F2F2F2"/>
            <w:hideMark/>
          </w:tcPr>
          <w:p w:rsidRPr="00A805F5" w:rsidR="00A42AC9" w:rsidP="00CB0097" w:rsidRDefault="00A42AC9" w14:paraId="269C24B5" w14:textId="77777777">
            <w:pPr>
              <w:spacing w:line="240" w:lineRule="auto"/>
              <w:ind w:firstLine="0"/>
              <w:rPr>
                <w:rFonts w:cs="Arial"/>
                <w:color w:val="000000"/>
                <w:szCs w:val="20"/>
                <w:lang w:val="nl-NL"/>
              </w:rPr>
            </w:pPr>
            <w:r w:rsidRPr="00A805F5">
              <w:rPr>
                <w:rFonts w:cs="Arial"/>
                <w:color w:val="000000"/>
                <w:szCs w:val="20"/>
                <w:lang w:val="nl-NL"/>
              </w:rPr>
              <w:t> </w:t>
            </w:r>
          </w:p>
        </w:tc>
        <w:tc>
          <w:tcPr>
            <w:tcW w:w="3421" w:type="dxa"/>
            <w:tcBorders>
              <w:top w:val="nil"/>
              <w:left w:val="single" w:color="FFFFFF" w:sz="8" w:space="0"/>
              <w:bottom w:val="single" w:color="FFFFFF" w:sz="8" w:space="0"/>
              <w:right w:val="single" w:color="FFFFFF" w:themeColor="background1" w:sz="4" w:space="0"/>
            </w:tcBorders>
            <w:shd w:val="clear" w:color="000000" w:fill="F2F2F2"/>
            <w:hideMark/>
          </w:tcPr>
          <w:p w:rsidRPr="00A805F5" w:rsidR="00A42AC9" w:rsidP="00CB0097" w:rsidRDefault="00A42AC9" w14:paraId="4F3907F9" w14:textId="77777777">
            <w:pPr>
              <w:spacing w:line="240" w:lineRule="auto"/>
              <w:ind w:firstLine="0"/>
              <w:rPr>
                <w:rFonts w:cs="Arial"/>
                <w:color w:val="000000"/>
                <w:szCs w:val="20"/>
                <w:lang w:val="nl-NL"/>
              </w:rPr>
            </w:pPr>
            <w:r w:rsidRPr="00A805F5">
              <w:rPr>
                <w:rFonts w:cs="Arial"/>
                <w:color w:val="000000"/>
                <w:szCs w:val="20"/>
                <w:lang w:val="nl-NL"/>
              </w:rPr>
              <w:t>Zo ja, het betreft de volgende percentages:</w:t>
            </w:r>
          </w:p>
        </w:tc>
        <w:tc>
          <w:tcPr>
            <w:tcW w:w="453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A805F5" w:rsidR="00A42AC9" w:rsidP="00CB0097" w:rsidRDefault="00A42AC9" w14:paraId="59F3BB97" w14:textId="77777777">
            <w:pPr>
              <w:spacing w:line="240" w:lineRule="auto"/>
              <w:ind w:firstLine="0"/>
              <w:rPr>
                <w:rFonts w:cs="Arial"/>
                <w:color w:val="000000"/>
                <w:szCs w:val="20"/>
                <w:lang w:val="nl-NL"/>
              </w:rPr>
            </w:pPr>
            <w:r w:rsidRPr="00A805F5">
              <w:rPr>
                <w:rFonts w:cs="Arial"/>
                <w:color w:val="000000"/>
                <w:szCs w:val="20"/>
                <w:lang w:val="nl-NL"/>
              </w:rPr>
              <w:t> </w:t>
            </w:r>
          </w:p>
        </w:tc>
      </w:tr>
    </w:tbl>
    <w:p w:rsidRPr="00A805F5" w:rsidR="00701870" w:rsidP="00A805F5" w:rsidRDefault="00701870" w14:paraId="0AB334EF" w14:textId="77777777">
      <w:pPr>
        <w:rPr>
          <w:rFonts w:cs="Arial"/>
          <w:b/>
          <w:szCs w:val="20"/>
          <w:lang w:val="nl-NL"/>
        </w:rPr>
      </w:pPr>
    </w:p>
    <w:p w:rsidRPr="00A805F5" w:rsidR="00596EDA" w:rsidP="00A805F5" w:rsidRDefault="00596EDA" w14:paraId="0C3D66E6" w14:textId="77777777">
      <w:pPr>
        <w:rPr>
          <w:rFonts w:cs="Arial"/>
          <w:b/>
          <w:szCs w:val="20"/>
          <w:lang w:val="nl-NL"/>
        </w:rPr>
      </w:pPr>
    </w:p>
    <w:p w:rsidRPr="00DC6540" w:rsidR="00F915C8" w:rsidP="00494232" w:rsidRDefault="003431B3" w14:paraId="2E95F690" w14:textId="7B79D716">
      <w:pPr>
        <w:pStyle w:val="Heading51"/>
        <w:rPr>
          <w:rFonts w:ascii="Arial" w:hAnsi="Arial" w:cs="Arial"/>
          <w:sz w:val="20"/>
          <w:lang w:val="nl-NL"/>
        </w:rPr>
      </w:pPr>
      <w:r w:rsidRPr="00DC6540">
        <w:rPr>
          <w:rFonts w:ascii="Arial" w:hAnsi="Arial" w:cs="Arial"/>
          <w:sz w:val="20"/>
          <w:lang w:val="nl-NL"/>
        </w:rPr>
        <w:t xml:space="preserve">II. </w:t>
      </w:r>
      <w:r w:rsidRPr="00DC6540" w:rsidR="00F915C8">
        <w:rPr>
          <w:rFonts w:ascii="Arial" w:hAnsi="Arial" w:cs="Arial"/>
          <w:sz w:val="20"/>
          <w:lang w:val="nl-NL"/>
        </w:rPr>
        <w:t xml:space="preserve">ARTIKELSGEWIJZE TOELICHTING </w:t>
      </w:r>
    </w:p>
    <w:p w:rsidRPr="00395C1E" w:rsidR="002A2E29" w:rsidP="00ED2881" w:rsidRDefault="002A2E29" w14:paraId="4A20B0A7" w14:textId="77777777">
      <w:pPr>
        <w:ind w:left="709" w:firstLine="0"/>
        <w:rPr>
          <w:rFonts w:cs="Arial"/>
          <w:szCs w:val="20"/>
          <w:lang w:val="nl-NL"/>
        </w:rPr>
      </w:pPr>
    </w:p>
    <w:p w:rsidRPr="00A805F5" w:rsidR="00F915C8" w:rsidP="008321B7" w:rsidRDefault="00221732" w14:paraId="6325D54D" w14:textId="1E65151B">
      <w:pPr>
        <w:pStyle w:val="Heading2"/>
        <w:rPr>
          <w:rFonts w:cs="Arial"/>
          <w:b w:val="0"/>
          <w:bCs w:val="0"/>
          <w:i/>
          <w:smallCaps w:val="0"/>
          <w:szCs w:val="20"/>
          <w:lang w:val="nl-NL"/>
        </w:rPr>
      </w:pPr>
      <w:r w:rsidRPr="00A805F5">
        <w:rPr>
          <w:rFonts w:cs="Arial"/>
          <w:b w:val="0"/>
          <w:bCs w:val="0"/>
          <w:i/>
          <w:smallCaps w:val="0"/>
          <w:szCs w:val="20"/>
          <w:lang w:val="nl-NL"/>
        </w:rPr>
        <w:t xml:space="preserve">II.0 </w:t>
      </w:r>
      <w:r w:rsidRPr="00A805F5" w:rsidR="002D160C">
        <w:rPr>
          <w:rFonts w:cs="Arial"/>
          <w:b w:val="0"/>
          <w:bCs w:val="0"/>
          <w:i/>
          <w:smallCaps w:val="0"/>
          <w:szCs w:val="20"/>
          <w:lang w:val="nl-NL"/>
        </w:rPr>
        <w:t>Titel en preambule</w:t>
      </w:r>
    </w:p>
    <w:p w:rsidRPr="00494232" w:rsidR="00D72C9C" w:rsidP="001F1CC1" w:rsidRDefault="003558C7" w14:paraId="3D74D49F" w14:textId="120AC6B2">
      <w:pPr>
        <w:rPr>
          <w:rFonts w:cs="Arial"/>
          <w:szCs w:val="20"/>
          <w:lang w:val="nl-NL"/>
        </w:rPr>
      </w:pPr>
      <w:r w:rsidRPr="00494232">
        <w:rPr>
          <w:rFonts w:cs="Arial"/>
          <w:szCs w:val="20"/>
          <w:lang w:val="nl-NL"/>
        </w:rPr>
        <w:t xml:space="preserve">De titel en preambule van het Verdrag zijn </w:t>
      </w:r>
      <w:r w:rsidRPr="00494232" w:rsidR="006365FB">
        <w:rPr>
          <w:rFonts w:cs="Arial"/>
          <w:szCs w:val="20"/>
          <w:lang w:val="nl-NL"/>
        </w:rPr>
        <w:t>gebaseerd</w:t>
      </w:r>
      <w:r w:rsidRPr="00494232" w:rsidR="00221732">
        <w:rPr>
          <w:rFonts w:cs="Arial"/>
          <w:szCs w:val="20"/>
          <w:lang w:val="nl-NL"/>
        </w:rPr>
        <w:t xml:space="preserve"> op het OESO-modelverdra</w:t>
      </w:r>
      <w:r w:rsidRPr="00494232" w:rsidR="006365FB">
        <w:rPr>
          <w:rFonts w:cs="Arial"/>
          <w:szCs w:val="20"/>
          <w:lang w:val="nl-NL"/>
        </w:rPr>
        <w:t>g</w:t>
      </w:r>
      <w:r w:rsidRPr="00494232" w:rsidR="00221732">
        <w:rPr>
          <w:rFonts w:cs="Arial"/>
          <w:szCs w:val="20"/>
          <w:lang w:val="nl-NL"/>
        </w:rPr>
        <w:t xml:space="preserve"> en </w:t>
      </w:r>
      <w:r w:rsidR="0067014F">
        <w:rPr>
          <w:rFonts w:cs="Arial"/>
          <w:szCs w:val="20"/>
          <w:lang w:val="nl-NL"/>
        </w:rPr>
        <w:t>zijn conform</w:t>
      </w:r>
      <w:r w:rsidRPr="00494232" w:rsidR="00221732">
        <w:rPr>
          <w:rFonts w:cs="Arial"/>
          <w:szCs w:val="20"/>
          <w:lang w:val="nl-NL"/>
        </w:rPr>
        <w:t xml:space="preserve"> </w:t>
      </w:r>
      <w:r w:rsidRPr="00494232">
        <w:rPr>
          <w:rFonts w:cs="Arial"/>
          <w:szCs w:val="20"/>
          <w:lang w:val="nl-NL"/>
        </w:rPr>
        <w:t xml:space="preserve">de minimumstandaard uit het rapport </w:t>
      </w:r>
      <w:r w:rsidRPr="00494232" w:rsidR="00DC1C6E">
        <w:rPr>
          <w:rFonts w:cs="Arial"/>
          <w:szCs w:val="20"/>
          <w:lang w:val="nl-NL"/>
        </w:rPr>
        <w:t>bij BEPS-actie 6 (</w:t>
      </w:r>
      <w:r w:rsidRPr="00494232">
        <w:rPr>
          <w:rFonts w:cs="Arial"/>
          <w:szCs w:val="20"/>
          <w:lang w:val="nl-NL"/>
        </w:rPr>
        <w:t>‘</w:t>
      </w:r>
      <w:proofErr w:type="spellStart"/>
      <w:r w:rsidRPr="00494232">
        <w:rPr>
          <w:rFonts w:cs="Arial"/>
          <w:i/>
          <w:szCs w:val="20"/>
          <w:lang w:val="nl-NL"/>
        </w:rPr>
        <w:t>Preventing</w:t>
      </w:r>
      <w:proofErr w:type="spellEnd"/>
      <w:r w:rsidRPr="00494232">
        <w:rPr>
          <w:rFonts w:cs="Arial"/>
          <w:i/>
          <w:szCs w:val="20"/>
          <w:lang w:val="nl-NL"/>
        </w:rPr>
        <w:t xml:space="preserve"> </w:t>
      </w:r>
      <w:proofErr w:type="spellStart"/>
      <w:r w:rsidRPr="00494232">
        <w:rPr>
          <w:rFonts w:cs="Arial"/>
          <w:i/>
          <w:szCs w:val="20"/>
          <w:lang w:val="nl-NL"/>
        </w:rPr>
        <w:t>the</w:t>
      </w:r>
      <w:proofErr w:type="spellEnd"/>
      <w:r w:rsidRPr="00494232">
        <w:rPr>
          <w:rFonts w:cs="Arial"/>
          <w:i/>
          <w:szCs w:val="20"/>
          <w:lang w:val="nl-NL"/>
        </w:rPr>
        <w:t xml:space="preserve"> </w:t>
      </w:r>
      <w:proofErr w:type="spellStart"/>
      <w:r w:rsidRPr="00494232">
        <w:rPr>
          <w:rFonts w:cs="Arial"/>
          <w:i/>
          <w:szCs w:val="20"/>
          <w:lang w:val="nl-NL"/>
        </w:rPr>
        <w:t>Granting</w:t>
      </w:r>
      <w:proofErr w:type="spellEnd"/>
      <w:r w:rsidRPr="00494232">
        <w:rPr>
          <w:rFonts w:cs="Arial"/>
          <w:i/>
          <w:szCs w:val="20"/>
          <w:lang w:val="nl-NL"/>
        </w:rPr>
        <w:t xml:space="preserve"> of </w:t>
      </w:r>
      <w:proofErr w:type="spellStart"/>
      <w:r w:rsidRPr="00494232">
        <w:rPr>
          <w:rFonts w:cs="Arial"/>
          <w:i/>
          <w:szCs w:val="20"/>
          <w:lang w:val="nl-NL"/>
        </w:rPr>
        <w:t>Treaty</w:t>
      </w:r>
      <w:proofErr w:type="spellEnd"/>
      <w:r w:rsidRPr="00494232">
        <w:rPr>
          <w:rFonts w:cs="Arial"/>
          <w:i/>
          <w:szCs w:val="20"/>
          <w:lang w:val="nl-NL"/>
        </w:rPr>
        <w:t xml:space="preserve"> Benefits in </w:t>
      </w:r>
      <w:proofErr w:type="spellStart"/>
      <w:r w:rsidRPr="00494232">
        <w:rPr>
          <w:rFonts w:cs="Arial"/>
          <w:i/>
          <w:szCs w:val="20"/>
          <w:lang w:val="nl-NL"/>
        </w:rPr>
        <w:t>Inappropriate</w:t>
      </w:r>
      <w:proofErr w:type="spellEnd"/>
      <w:r w:rsidRPr="00494232">
        <w:rPr>
          <w:rFonts w:cs="Arial"/>
          <w:i/>
          <w:szCs w:val="20"/>
          <w:lang w:val="nl-NL"/>
        </w:rPr>
        <w:t xml:space="preserve"> </w:t>
      </w:r>
      <w:proofErr w:type="spellStart"/>
      <w:r w:rsidRPr="00494232">
        <w:rPr>
          <w:rFonts w:cs="Arial"/>
          <w:i/>
          <w:szCs w:val="20"/>
          <w:lang w:val="nl-NL"/>
        </w:rPr>
        <w:t>Circumstances</w:t>
      </w:r>
      <w:proofErr w:type="spellEnd"/>
      <w:r w:rsidRPr="00494232">
        <w:rPr>
          <w:rFonts w:cs="Arial"/>
          <w:szCs w:val="20"/>
          <w:lang w:val="nl-NL"/>
        </w:rPr>
        <w:t>’</w:t>
      </w:r>
      <w:r w:rsidRPr="00494232" w:rsidR="00221732">
        <w:rPr>
          <w:rFonts w:cs="Arial"/>
          <w:szCs w:val="20"/>
          <w:lang w:val="nl-NL"/>
        </w:rPr>
        <w:t>).</w:t>
      </w:r>
      <w:r w:rsidRPr="00494232">
        <w:rPr>
          <w:rFonts w:cs="Arial"/>
          <w:szCs w:val="20"/>
          <w:vertAlign w:val="superscript"/>
          <w:lang w:val="nl-NL"/>
        </w:rPr>
        <w:footnoteReference w:id="10"/>
      </w:r>
      <w:r w:rsidRPr="00494232">
        <w:rPr>
          <w:rFonts w:cs="Arial"/>
          <w:szCs w:val="20"/>
          <w:lang w:val="nl-NL"/>
        </w:rPr>
        <w:t xml:space="preserve"> </w:t>
      </w:r>
      <w:r w:rsidRPr="00494232" w:rsidR="006365FB">
        <w:rPr>
          <w:rFonts w:cs="Arial"/>
          <w:szCs w:val="20"/>
          <w:lang w:val="nl-NL"/>
        </w:rPr>
        <w:t xml:space="preserve">De </w:t>
      </w:r>
      <w:r w:rsidRPr="00494232">
        <w:rPr>
          <w:rFonts w:cs="Arial"/>
          <w:szCs w:val="20"/>
          <w:lang w:val="nl-NL"/>
        </w:rPr>
        <w:t xml:space="preserve">titel en de preambule van het Verdrag </w:t>
      </w:r>
      <w:r w:rsidRPr="00494232" w:rsidR="006365FB">
        <w:rPr>
          <w:rFonts w:cs="Arial"/>
          <w:szCs w:val="20"/>
          <w:lang w:val="nl-NL"/>
        </w:rPr>
        <w:t xml:space="preserve">maken </w:t>
      </w:r>
      <w:r w:rsidRPr="00494232">
        <w:rPr>
          <w:rFonts w:cs="Arial"/>
          <w:szCs w:val="20"/>
          <w:lang w:val="nl-NL"/>
        </w:rPr>
        <w:t xml:space="preserve">duidelijk dat het Verdrag bedoeld is om dubbele belasting te vermijden, zonder daarmee mogelijkheden te creëren voor dubbele niet-heffing of verlaagde heffing door belastingontduiking of belastingontwijking. Daarbij wordt expliciet verwezen naar zogenoemde </w:t>
      </w:r>
      <w:proofErr w:type="spellStart"/>
      <w:r w:rsidRPr="00494232">
        <w:rPr>
          <w:rFonts w:cs="Arial"/>
          <w:szCs w:val="20"/>
          <w:lang w:val="nl-NL"/>
        </w:rPr>
        <w:t>treaty</w:t>
      </w:r>
      <w:proofErr w:type="spellEnd"/>
      <w:r w:rsidRPr="00494232">
        <w:rPr>
          <w:rFonts w:cs="Arial"/>
          <w:szCs w:val="20"/>
          <w:lang w:val="nl-NL"/>
        </w:rPr>
        <w:t>-shopping-</w:t>
      </w:r>
      <w:r w:rsidRPr="00494232" w:rsidR="00DF3591">
        <w:rPr>
          <w:rFonts w:cs="Arial"/>
          <w:szCs w:val="20"/>
          <w:lang w:val="nl-NL"/>
        </w:rPr>
        <w:t>structuren</w:t>
      </w:r>
      <w:r w:rsidRPr="00494232">
        <w:rPr>
          <w:rFonts w:cs="Arial"/>
          <w:szCs w:val="20"/>
          <w:lang w:val="nl-NL"/>
        </w:rPr>
        <w:t xml:space="preserve">. Dit zijn situaties waarbij </w:t>
      </w:r>
      <w:r w:rsidRPr="00494232" w:rsidR="00BB55A0">
        <w:rPr>
          <w:rFonts w:cs="Arial"/>
          <w:szCs w:val="20"/>
          <w:lang w:val="nl-NL"/>
        </w:rPr>
        <w:t>op</w:t>
      </w:r>
      <w:r w:rsidRPr="00494232">
        <w:rPr>
          <w:rFonts w:cs="Arial"/>
          <w:szCs w:val="20"/>
          <w:lang w:val="nl-NL"/>
        </w:rPr>
        <w:t xml:space="preserve"> kunstmatig </w:t>
      </w:r>
      <w:r w:rsidRPr="00494232" w:rsidR="00BB55A0">
        <w:rPr>
          <w:rFonts w:cs="Arial"/>
          <w:szCs w:val="20"/>
          <w:lang w:val="nl-NL"/>
        </w:rPr>
        <w:t xml:space="preserve">wijze </w:t>
      </w:r>
      <w:r w:rsidRPr="00494232">
        <w:rPr>
          <w:rFonts w:cs="Arial"/>
          <w:szCs w:val="20"/>
          <w:lang w:val="nl-NL"/>
        </w:rPr>
        <w:t xml:space="preserve">verdragsvoordelen </w:t>
      </w:r>
      <w:r w:rsidRPr="00494232" w:rsidR="00BB55A0">
        <w:rPr>
          <w:rFonts w:cs="Arial"/>
          <w:szCs w:val="20"/>
          <w:lang w:val="nl-NL"/>
        </w:rPr>
        <w:t xml:space="preserve">worden geclaimd, </w:t>
      </w:r>
      <w:r w:rsidRPr="00494232">
        <w:rPr>
          <w:rFonts w:cs="Arial"/>
          <w:szCs w:val="20"/>
          <w:lang w:val="nl-NL"/>
        </w:rPr>
        <w:t xml:space="preserve">terwijl de oorspronkelijk gerechtigde tot </w:t>
      </w:r>
      <w:r w:rsidRPr="00494232" w:rsidR="00BB55A0">
        <w:rPr>
          <w:rFonts w:cs="Arial"/>
          <w:szCs w:val="20"/>
          <w:lang w:val="nl-NL"/>
        </w:rPr>
        <w:t>het betreffende</w:t>
      </w:r>
      <w:r w:rsidRPr="00494232">
        <w:rPr>
          <w:rFonts w:cs="Arial"/>
          <w:szCs w:val="20"/>
          <w:lang w:val="nl-NL"/>
        </w:rPr>
        <w:t xml:space="preserve"> inkomen </w:t>
      </w:r>
      <w:r w:rsidRPr="00494232" w:rsidR="00BB55A0">
        <w:rPr>
          <w:rFonts w:cs="Arial"/>
          <w:szCs w:val="20"/>
          <w:lang w:val="nl-NL"/>
        </w:rPr>
        <w:t xml:space="preserve">of vermogen </w:t>
      </w:r>
      <w:r w:rsidRPr="00494232">
        <w:rPr>
          <w:rFonts w:cs="Arial"/>
          <w:szCs w:val="20"/>
          <w:lang w:val="nl-NL"/>
        </w:rPr>
        <w:t>geen verdragsvoordelen zou hebben. De formulering van de titel en preambule is van belang met het oog op de uitleg en toepassing van het Verdrag.</w:t>
      </w:r>
      <w:r w:rsidRPr="00494232" w:rsidR="00D72C9C">
        <w:rPr>
          <w:rFonts w:cs="Arial"/>
          <w:szCs w:val="20"/>
          <w:lang w:val="nl-NL"/>
        </w:rPr>
        <w:t xml:space="preserve"> </w:t>
      </w:r>
    </w:p>
    <w:p w:rsidRPr="00494232" w:rsidR="00957A28" w:rsidP="001F1CC1" w:rsidRDefault="001F1CC1" w14:paraId="460DB5F2" w14:textId="77777777">
      <w:pPr>
        <w:rPr>
          <w:rFonts w:cs="Arial"/>
          <w:szCs w:val="20"/>
          <w:lang w:val="nl-NL"/>
        </w:rPr>
      </w:pPr>
      <w:r w:rsidRPr="00494232">
        <w:rPr>
          <w:rFonts w:cs="Arial"/>
          <w:szCs w:val="20"/>
          <w:lang w:val="nl-NL"/>
        </w:rPr>
        <w:t xml:space="preserve">De afspraken uit het Verdrag gelden </w:t>
      </w:r>
      <w:r w:rsidRPr="00494232" w:rsidR="006740F3">
        <w:rPr>
          <w:rFonts w:cs="Arial"/>
          <w:szCs w:val="20"/>
          <w:lang w:val="nl-NL"/>
        </w:rPr>
        <w:t xml:space="preserve">op verzoek van Chili </w:t>
      </w:r>
      <w:r w:rsidRPr="00494232">
        <w:rPr>
          <w:rFonts w:cs="Arial"/>
          <w:szCs w:val="20"/>
          <w:lang w:val="nl-NL"/>
        </w:rPr>
        <w:t>ook voor vermogensbelasting</w:t>
      </w:r>
      <w:r w:rsidRPr="00494232" w:rsidR="005F2A74">
        <w:rPr>
          <w:rFonts w:cs="Arial"/>
          <w:szCs w:val="20"/>
          <w:lang w:val="nl-NL"/>
        </w:rPr>
        <w:t>en</w:t>
      </w:r>
      <w:r w:rsidRPr="00494232">
        <w:rPr>
          <w:rFonts w:cs="Arial"/>
          <w:szCs w:val="20"/>
          <w:lang w:val="nl-NL"/>
        </w:rPr>
        <w:t xml:space="preserve">, hoewel Nederland een dergelijke belasting op het moment van het sluiten van het Verdrag </w:t>
      </w:r>
      <w:r w:rsidRPr="00494232" w:rsidR="005F2A74">
        <w:rPr>
          <w:rFonts w:cs="Arial"/>
          <w:szCs w:val="20"/>
          <w:lang w:val="nl-NL"/>
        </w:rPr>
        <w:t xml:space="preserve">niet kent. </w:t>
      </w:r>
    </w:p>
    <w:p w:rsidRPr="00A805F5" w:rsidR="005B496E" w:rsidP="006365FB" w:rsidRDefault="006365FB" w14:paraId="406A2F5E" w14:textId="26E53B8C">
      <w:pPr>
        <w:pStyle w:val="Heading2"/>
        <w:rPr>
          <w:rFonts w:cs="Arial"/>
          <w:b w:val="0"/>
          <w:bCs w:val="0"/>
          <w:i/>
          <w:smallCaps w:val="0"/>
          <w:szCs w:val="20"/>
          <w:lang w:val="nl-NL"/>
        </w:rPr>
      </w:pPr>
      <w:r w:rsidRPr="00A805F5">
        <w:rPr>
          <w:rFonts w:cs="Arial"/>
          <w:b w:val="0"/>
          <w:bCs w:val="0"/>
          <w:i/>
          <w:smallCaps w:val="0"/>
          <w:szCs w:val="20"/>
          <w:lang w:val="nl-NL"/>
        </w:rPr>
        <w:t xml:space="preserve">II.1 </w:t>
      </w:r>
      <w:r w:rsidRPr="00A805F5" w:rsidR="001F1AE5">
        <w:rPr>
          <w:rFonts w:cs="Arial"/>
          <w:b w:val="0"/>
          <w:bCs w:val="0"/>
          <w:i/>
          <w:smallCaps w:val="0"/>
          <w:szCs w:val="20"/>
          <w:lang w:val="nl-NL"/>
        </w:rPr>
        <w:t>Personen op wie het verdrag van toepassing is</w:t>
      </w:r>
      <w:r w:rsidRPr="00A805F5">
        <w:rPr>
          <w:rFonts w:cs="Arial"/>
          <w:b w:val="0"/>
          <w:bCs w:val="0"/>
          <w:i/>
          <w:smallCaps w:val="0"/>
          <w:szCs w:val="20"/>
          <w:lang w:val="nl-NL"/>
        </w:rPr>
        <w:t xml:space="preserve"> (Artikel 1 van het Verdrag)</w:t>
      </w:r>
    </w:p>
    <w:p w:rsidRPr="00494232" w:rsidR="001D522F" w:rsidP="001D522F" w:rsidRDefault="00D272B3" w14:paraId="44A80EFA" w14:textId="79735528">
      <w:pPr>
        <w:rPr>
          <w:rFonts w:cs="Arial"/>
          <w:szCs w:val="20"/>
          <w:lang w:val="nl-NL"/>
        </w:rPr>
      </w:pPr>
      <w:r w:rsidRPr="00494232">
        <w:rPr>
          <w:rFonts w:cs="Arial"/>
          <w:szCs w:val="20"/>
          <w:lang w:val="nl-NL"/>
        </w:rPr>
        <w:t xml:space="preserve">Artikel 1 van het Verdrag </w:t>
      </w:r>
      <w:r w:rsidRPr="00494232" w:rsidR="00165AC0">
        <w:rPr>
          <w:rFonts w:cs="Arial"/>
          <w:szCs w:val="20"/>
          <w:lang w:val="nl-NL"/>
        </w:rPr>
        <w:t xml:space="preserve">is gebaseerd op het OESO-modelverdrag en </w:t>
      </w:r>
      <w:r w:rsidRPr="00494232">
        <w:rPr>
          <w:rFonts w:cs="Arial"/>
          <w:szCs w:val="20"/>
          <w:lang w:val="nl-NL"/>
        </w:rPr>
        <w:t xml:space="preserve">regelt op welke personen </w:t>
      </w:r>
      <w:r w:rsidRPr="00494232" w:rsidR="00EF0CBB">
        <w:rPr>
          <w:rFonts w:cs="Arial"/>
          <w:szCs w:val="20"/>
          <w:lang w:val="nl-NL"/>
        </w:rPr>
        <w:t>het Verdrag van toepassing is</w:t>
      </w:r>
      <w:r w:rsidRPr="00494232" w:rsidR="006740F3">
        <w:rPr>
          <w:rFonts w:cs="Arial"/>
          <w:szCs w:val="20"/>
          <w:lang w:val="nl-NL"/>
        </w:rPr>
        <w:t>.</w:t>
      </w:r>
      <w:r w:rsidRPr="00494232">
        <w:rPr>
          <w:rFonts w:cs="Arial"/>
          <w:szCs w:val="20"/>
          <w:lang w:val="nl-NL"/>
        </w:rPr>
        <w:t xml:space="preserve"> H</w:t>
      </w:r>
      <w:r w:rsidRPr="00494232" w:rsidR="006740F3">
        <w:rPr>
          <w:rFonts w:cs="Arial"/>
          <w:szCs w:val="20"/>
          <w:lang w:val="nl-NL"/>
        </w:rPr>
        <w:t xml:space="preserve">et tweede lid </w:t>
      </w:r>
      <w:r w:rsidRPr="00494232">
        <w:rPr>
          <w:rFonts w:cs="Arial"/>
          <w:szCs w:val="20"/>
          <w:lang w:val="nl-NL"/>
        </w:rPr>
        <w:t xml:space="preserve">bevat </w:t>
      </w:r>
      <w:r w:rsidRPr="00494232" w:rsidR="006740F3">
        <w:rPr>
          <w:rFonts w:cs="Arial"/>
          <w:szCs w:val="20"/>
          <w:lang w:val="nl-NL"/>
        </w:rPr>
        <w:t xml:space="preserve">een verduidelijking </w:t>
      </w:r>
      <w:r w:rsidRPr="00494232">
        <w:rPr>
          <w:rFonts w:cs="Arial"/>
          <w:szCs w:val="20"/>
          <w:lang w:val="nl-NL"/>
        </w:rPr>
        <w:t>ontleend aan</w:t>
      </w:r>
      <w:r w:rsidRPr="00494232" w:rsidR="006740F3">
        <w:rPr>
          <w:rFonts w:cs="Arial"/>
          <w:szCs w:val="20"/>
          <w:lang w:val="nl-NL"/>
        </w:rPr>
        <w:t xml:space="preserve"> het OESO-commentaar</w:t>
      </w:r>
      <w:r w:rsidRPr="00494232" w:rsidR="001F1AE5">
        <w:rPr>
          <w:rFonts w:cs="Arial"/>
          <w:szCs w:val="20"/>
          <w:lang w:val="nl-NL"/>
        </w:rPr>
        <w:t>. H</w:t>
      </w:r>
      <w:r w:rsidRPr="00494232">
        <w:rPr>
          <w:rFonts w:cs="Arial"/>
          <w:szCs w:val="20"/>
          <w:lang w:val="nl-NL"/>
        </w:rPr>
        <w:t xml:space="preserve">et derde lid wijkt </w:t>
      </w:r>
      <w:r w:rsidRPr="00494232" w:rsidR="00EF0CBB">
        <w:rPr>
          <w:rFonts w:cs="Arial"/>
          <w:szCs w:val="20"/>
          <w:lang w:val="nl-NL"/>
        </w:rPr>
        <w:t xml:space="preserve">op enkele punten </w:t>
      </w:r>
      <w:r w:rsidRPr="00494232">
        <w:rPr>
          <w:rFonts w:cs="Arial"/>
          <w:szCs w:val="20"/>
          <w:lang w:val="nl-NL"/>
        </w:rPr>
        <w:t>van het OESO-modelverdrag</w:t>
      </w:r>
      <w:r w:rsidRPr="00494232" w:rsidR="00EF0CBB">
        <w:rPr>
          <w:rFonts w:cs="Arial"/>
          <w:szCs w:val="20"/>
          <w:lang w:val="nl-NL"/>
        </w:rPr>
        <w:t xml:space="preserve"> af</w:t>
      </w:r>
      <w:r w:rsidRPr="00494232">
        <w:rPr>
          <w:rFonts w:cs="Arial"/>
          <w:szCs w:val="20"/>
          <w:lang w:val="nl-NL"/>
        </w:rPr>
        <w:t xml:space="preserve">. </w:t>
      </w:r>
    </w:p>
    <w:p w:rsidRPr="00494232" w:rsidR="004156E0" w:rsidP="0036383B" w:rsidRDefault="001D522F" w14:paraId="0ECCD38D" w14:textId="31733463">
      <w:pPr>
        <w:rPr>
          <w:rFonts w:cs="Arial"/>
          <w:szCs w:val="20"/>
          <w:lang w:val="nl-NL"/>
        </w:rPr>
      </w:pPr>
      <w:r w:rsidRPr="00494232">
        <w:rPr>
          <w:rFonts w:cs="Arial"/>
          <w:szCs w:val="20"/>
          <w:lang w:val="nl-NL"/>
        </w:rPr>
        <w:t xml:space="preserve">Het eerste lid regelt dat het Verdrag van toepassing is op personen die inwoner zijn van één van de verdragsluitende staten (of van beide verdragsluitende staten). </w:t>
      </w:r>
      <w:r w:rsidRPr="00494232" w:rsidR="00EE0ED9">
        <w:rPr>
          <w:rFonts w:cs="Arial"/>
          <w:szCs w:val="20"/>
          <w:lang w:val="nl-NL"/>
        </w:rPr>
        <w:t xml:space="preserve">De uitdrukkingen </w:t>
      </w:r>
      <w:r w:rsidRPr="00494232" w:rsidR="00EE0ED9">
        <w:rPr>
          <w:rFonts w:cs="Arial"/>
          <w:szCs w:val="20"/>
          <w:lang w:val="nl-NL"/>
        </w:rPr>
        <w:lastRenderedPageBreak/>
        <w:t>‘verdragsluitende staat</w:t>
      </w:r>
      <w:r w:rsidRPr="00494232" w:rsidR="004156E0">
        <w:rPr>
          <w:rFonts w:cs="Arial"/>
          <w:szCs w:val="20"/>
          <w:lang w:val="nl-NL"/>
        </w:rPr>
        <w:t>’</w:t>
      </w:r>
      <w:r w:rsidRPr="00494232" w:rsidR="00EE0ED9">
        <w:rPr>
          <w:rFonts w:cs="Arial"/>
          <w:szCs w:val="20"/>
          <w:lang w:val="nl-NL"/>
        </w:rPr>
        <w:t xml:space="preserve"> en ‘persoon’ zijn omschreven in artikel </w:t>
      </w:r>
      <w:r w:rsidRPr="00494232" w:rsidR="00A40780">
        <w:rPr>
          <w:rFonts w:cs="Arial"/>
          <w:szCs w:val="20"/>
          <w:lang w:val="nl-NL"/>
        </w:rPr>
        <w:t xml:space="preserve">3, </w:t>
      </w:r>
      <w:r w:rsidRPr="00494232" w:rsidR="00165AC0">
        <w:rPr>
          <w:rFonts w:cs="Arial"/>
          <w:szCs w:val="20"/>
          <w:lang w:val="nl-NL"/>
        </w:rPr>
        <w:t>eerste lid</w:t>
      </w:r>
      <w:r w:rsidRPr="00494232" w:rsidR="00A40780">
        <w:rPr>
          <w:rFonts w:cs="Arial"/>
          <w:szCs w:val="20"/>
          <w:lang w:val="nl-NL"/>
        </w:rPr>
        <w:t xml:space="preserve">, onderdeel a en d van het Verdrag. </w:t>
      </w:r>
      <w:r w:rsidRPr="00494232" w:rsidR="00EF0CBB">
        <w:rPr>
          <w:rFonts w:cs="Arial"/>
          <w:szCs w:val="20"/>
          <w:lang w:val="nl-NL"/>
        </w:rPr>
        <w:t xml:space="preserve">Artikel 4 van het Verdrag beschrijft welke personen als ‘inwoner’ worden aangemerkt. </w:t>
      </w:r>
    </w:p>
    <w:p w:rsidRPr="00494232" w:rsidR="000A6F02" w:rsidP="0036383B" w:rsidRDefault="000A6F02" w14:paraId="7E5360E3" w14:textId="3D58F98F">
      <w:pPr>
        <w:rPr>
          <w:rFonts w:cs="Arial"/>
          <w:szCs w:val="20"/>
          <w:lang w:val="nl-NL"/>
        </w:rPr>
      </w:pPr>
      <w:r w:rsidRPr="00494232">
        <w:rPr>
          <w:rFonts w:cs="Arial"/>
          <w:szCs w:val="20"/>
          <w:lang w:val="nl-NL"/>
        </w:rPr>
        <w:t xml:space="preserve">De toepassing van het Verdrag is overigens niet </w:t>
      </w:r>
      <w:r w:rsidRPr="00494232" w:rsidR="004156E0">
        <w:rPr>
          <w:rFonts w:cs="Arial"/>
          <w:szCs w:val="20"/>
          <w:lang w:val="nl-NL"/>
        </w:rPr>
        <w:t>in alle artikelen</w:t>
      </w:r>
      <w:r w:rsidR="003549CD">
        <w:rPr>
          <w:rFonts w:cs="Arial"/>
          <w:szCs w:val="20"/>
          <w:lang w:val="nl-NL"/>
        </w:rPr>
        <w:t xml:space="preserve"> </w:t>
      </w:r>
      <w:r w:rsidRPr="00494232">
        <w:rPr>
          <w:rFonts w:cs="Arial"/>
          <w:szCs w:val="20"/>
          <w:lang w:val="nl-NL"/>
        </w:rPr>
        <w:t>beperkt tot inwoners van de verdragsluitende staten. Zo heeft het non-discriminatieartikel (artikel 24) ook betrekking op personen die kwalificeren als onderdaan, zoals gedefinieerd in artikel 3, eerste lid, onderdeel i, van het Verdrag. Ook zijn de bepalingen over informatie-uitwisseling (artikel 26) en bijstand bij de invordering van belastingen (artikel 27) niet beperkt tot belastingheffing en toeslagen van inwoners van de verdragsluitende staten.</w:t>
      </w:r>
    </w:p>
    <w:p w:rsidRPr="00494232" w:rsidR="001D522F" w:rsidP="00656345" w:rsidRDefault="001D522F" w14:paraId="5FB8DD06" w14:textId="1BF95ED3">
      <w:pPr>
        <w:rPr>
          <w:rFonts w:cs="Arial"/>
          <w:szCs w:val="20"/>
          <w:lang w:val="nl-NL"/>
        </w:rPr>
      </w:pPr>
      <w:r w:rsidRPr="00494232">
        <w:rPr>
          <w:rFonts w:cs="Arial"/>
          <w:szCs w:val="20"/>
          <w:lang w:val="nl-NL"/>
        </w:rPr>
        <w:t>Het tweede lid regelt de verdragstoepassing bij inkomen ontvangen door of door middel van een hybride entiteit. Daarvan is sprake wanneer de ene staat het inkomen toerekent aan de achterliggende deelnemers (</w:t>
      </w:r>
      <w:r w:rsidRPr="00494232" w:rsidR="00165AC0">
        <w:rPr>
          <w:rFonts w:cs="Arial"/>
          <w:szCs w:val="20"/>
          <w:lang w:val="nl-NL"/>
        </w:rPr>
        <w:t xml:space="preserve">waarbij </w:t>
      </w:r>
      <w:r w:rsidRPr="00494232">
        <w:rPr>
          <w:rFonts w:cs="Arial"/>
          <w:szCs w:val="20"/>
          <w:lang w:val="nl-NL"/>
        </w:rPr>
        <w:t xml:space="preserve">de entiteit </w:t>
      </w:r>
      <w:r w:rsidRPr="00494232" w:rsidR="00165AC0">
        <w:rPr>
          <w:rFonts w:cs="Arial"/>
          <w:szCs w:val="20"/>
          <w:lang w:val="nl-NL"/>
        </w:rPr>
        <w:t xml:space="preserve">dus </w:t>
      </w:r>
      <w:r w:rsidRPr="00494232" w:rsidR="00CE312D">
        <w:rPr>
          <w:rFonts w:cs="Arial"/>
          <w:szCs w:val="20"/>
          <w:lang w:val="nl-NL"/>
        </w:rPr>
        <w:t xml:space="preserve">als </w:t>
      </w:r>
      <w:r w:rsidRPr="00494232">
        <w:rPr>
          <w:rFonts w:cs="Arial"/>
          <w:szCs w:val="20"/>
          <w:lang w:val="nl-NL"/>
        </w:rPr>
        <w:t xml:space="preserve">‘transparant’ </w:t>
      </w:r>
      <w:r w:rsidRPr="00494232" w:rsidR="00165AC0">
        <w:rPr>
          <w:rFonts w:cs="Arial"/>
          <w:szCs w:val="20"/>
          <w:lang w:val="nl-NL"/>
        </w:rPr>
        <w:t xml:space="preserve">wordt </w:t>
      </w:r>
      <w:r w:rsidRPr="00494232" w:rsidR="002854DE">
        <w:rPr>
          <w:rFonts w:cs="Arial"/>
          <w:szCs w:val="20"/>
          <w:lang w:val="nl-NL"/>
        </w:rPr>
        <w:t>gezien</w:t>
      </w:r>
      <w:r w:rsidRPr="00494232">
        <w:rPr>
          <w:rFonts w:cs="Arial"/>
          <w:szCs w:val="20"/>
          <w:lang w:val="nl-NL"/>
        </w:rPr>
        <w:t xml:space="preserve">), terwijl de andere verdragsluitende staat het inkomen toerekent aan de entiteit en deze als belastingplichtige beschouwt. Omdat de verdragsluitende staten fiscaal niet dezelfde personen aanmerken als ‘inwoner’ </w:t>
      </w:r>
      <w:r w:rsidRPr="00494232" w:rsidR="00165AC0">
        <w:rPr>
          <w:rFonts w:cs="Arial"/>
          <w:szCs w:val="20"/>
          <w:lang w:val="nl-NL"/>
        </w:rPr>
        <w:t>die het inkomen ontvangt, kan di</w:t>
      </w:r>
      <w:r w:rsidRPr="00494232">
        <w:rPr>
          <w:rFonts w:cs="Arial"/>
          <w:szCs w:val="20"/>
          <w:lang w:val="nl-NL"/>
        </w:rPr>
        <w:t>t verschil in kwalificatie leiden tot vragen over verdragsgerechtigheid en tot dubbele niet-belasting of dubbele belasting. Dit wordt opgelost door voor de verdragstoepassing aan te sluiten bij de vraag of het inkomen in het ontvangstland wordt behandeld als inkomen van een inwoner</w:t>
      </w:r>
      <w:r w:rsidRPr="00494232" w:rsidR="00F93F85">
        <w:rPr>
          <w:rFonts w:cs="Arial"/>
          <w:szCs w:val="20"/>
          <w:lang w:val="nl-NL"/>
        </w:rPr>
        <w:t>, in lijn met het OESO-modelverdrag en het rapport bij BEPS-actie 2 over hybride mismatches.</w:t>
      </w:r>
      <w:r w:rsidRPr="00494232" w:rsidR="00F93F85">
        <w:rPr>
          <w:rStyle w:val="FootnoteReference"/>
          <w:rFonts w:cs="Arial"/>
          <w:szCs w:val="20"/>
          <w:lang w:val="nl-NL"/>
        </w:rPr>
        <w:footnoteReference w:id="11"/>
      </w:r>
      <w:r w:rsidRPr="00494232">
        <w:rPr>
          <w:rFonts w:cs="Arial"/>
          <w:szCs w:val="20"/>
          <w:lang w:val="nl-NL"/>
        </w:rPr>
        <w:t xml:space="preserve"> </w:t>
      </w:r>
      <w:r w:rsidRPr="00494232" w:rsidR="009B34C9">
        <w:rPr>
          <w:rFonts w:cs="Arial"/>
          <w:szCs w:val="20"/>
          <w:lang w:val="nl-NL"/>
        </w:rPr>
        <w:t xml:space="preserve">Artikel 1, tweede lid, van het Verdrag bevat – in aanvulling op artikel 1, tweede lid, van het OESO-modelverdrag – </w:t>
      </w:r>
      <w:r w:rsidR="003549CD">
        <w:rPr>
          <w:rFonts w:cs="Arial"/>
          <w:szCs w:val="20"/>
          <w:lang w:val="nl-NL"/>
        </w:rPr>
        <w:t xml:space="preserve">in de tweede zin </w:t>
      </w:r>
      <w:r w:rsidRPr="00494232" w:rsidR="009B34C9">
        <w:rPr>
          <w:rFonts w:cs="Arial"/>
          <w:szCs w:val="20"/>
          <w:lang w:val="nl-NL"/>
        </w:rPr>
        <w:t xml:space="preserve">een </w:t>
      </w:r>
      <w:r w:rsidRPr="00494232" w:rsidR="00D84B32">
        <w:rPr>
          <w:rFonts w:cs="Arial"/>
          <w:szCs w:val="20"/>
          <w:lang w:val="nl-NL"/>
        </w:rPr>
        <w:t xml:space="preserve">omschrijving </w:t>
      </w:r>
      <w:r w:rsidR="00DE548E">
        <w:rPr>
          <w:rFonts w:cs="Arial"/>
          <w:szCs w:val="20"/>
          <w:lang w:val="nl-NL"/>
        </w:rPr>
        <w:t xml:space="preserve">van </w:t>
      </w:r>
      <w:r w:rsidRPr="00494232" w:rsidR="00D84B32">
        <w:rPr>
          <w:rFonts w:cs="Arial"/>
          <w:szCs w:val="20"/>
          <w:lang w:val="nl-NL"/>
        </w:rPr>
        <w:t xml:space="preserve">wat voor de toepassing van dit lid onder ‘fiscaal transparant’ wordt verstaan. Deze omschrijving is inhoudelijk ontleend aan paragraaf 9 van het OESO-commentaar op artikel 1, tweede lid, van het OESO-modelverdrag. Daarin is beschreven dat staten de uitdrukking ‘fiscaal transparant’ desgewenst kunnen verduidelijken in bilaterale verdragen aan de hand van de uitleg die in </w:t>
      </w:r>
      <w:r w:rsidRPr="00494232" w:rsidR="00DF6060">
        <w:rPr>
          <w:rFonts w:cs="Arial"/>
          <w:szCs w:val="20"/>
          <w:lang w:val="nl-NL"/>
        </w:rPr>
        <w:t>de betreffende paragraaf uit het OESO-commentaar is gegeven.</w:t>
      </w:r>
      <w:r w:rsidRPr="00494232" w:rsidR="000319E7">
        <w:rPr>
          <w:rFonts w:cs="Arial"/>
          <w:szCs w:val="20"/>
          <w:lang w:val="nl-NL"/>
        </w:rPr>
        <w:t xml:space="preserve"> Chili heeft om een dergelijke verduidelijking verzocht.</w:t>
      </w:r>
    </w:p>
    <w:p w:rsidRPr="00494232" w:rsidR="0082147E" w:rsidP="0082147E" w:rsidRDefault="000319E7" w14:paraId="5204130F" w14:textId="03EC25E0">
      <w:pPr>
        <w:rPr>
          <w:rFonts w:cs="Arial"/>
          <w:szCs w:val="20"/>
          <w:lang w:val="nl-NL"/>
        </w:rPr>
      </w:pPr>
      <w:r w:rsidRPr="00494232">
        <w:rPr>
          <w:rFonts w:cs="Arial"/>
          <w:szCs w:val="20"/>
          <w:lang w:val="nl-NL"/>
        </w:rPr>
        <w:t>Artikel 1, derde lid, van het Verdrag is voor een groot deel gebaseerd op artikel 1, derde lid van het OESO-</w:t>
      </w:r>
      <w:proofErr w:type="spellStart"/>
      <w:r w:rsidRPr="00494232">
        <w:rPr>
          <w:rFonts w:cs="Arial"/>
          <w:szCs w:val="20"/>
          <w:lang w:val="nl-NL"/>
        </w:rPr>
        <w:t>modelverdag</w:t>
      </w:r>
      <w:proofErr w:type="spellEnd"/>
      <w:r w:rsidRPr="00494232">
        <w:rPr>
          <w:rFonts w:cs="Arial"/>
          <w:szCs w:val="20"/>
          <w:lang w:val="nl-NL"/>
        </w:rPr>
        <w:t>.</w:t>
      </w:r>
      <w:r w:rsidRPr="00494232" w:rsidR="00AD6720">
        <w:rPr>
          <w:rFonts w:cs="Arial"/>
          <w:szCs w:val="20"/>
          <w:lang w:val="nl-NL"/>
        </w:rPr>
        <w:t xml:space="preserve"> </w:t>
      </w:r>
      <w:r w:rsidRPr="00494232" w:rsidR="00356A69">
        <w:rPr>
          <w:rFonts w:cs="Arial"/>
          <w:szCs w:val="20"/>
          <w:lang w:val="nl-NL"/>
        </w:rPr>
        <w:t>De bepaling – die zijn oorsprong vindt in het verdragsbeleid van de Verenigde Staten en sinds 2017 is opgenomen in het OESO-modelverdrag – wordt in de literatuur ook wel aangeduid als ‘</w:t>
      </w:r>
      <w:proofErr w:type="spellStart"/>
      <w:r w:rsidRPr="00494232" w:rsidR="00356A69">
        <w:rPr>
          <w:rFonts w:cs="Arial"/>
          <w:szCs w:val="20"/>
          <w:lang w:val="nl-NL"/>
        </w:rPr>
        <w:t>saving</w:t>
      </w:r>
      <w:proofErr w:type="spellEnd"/>
      <w:r w:rsidRPr="00494232" w:rsidR="00356A69">
        <w:rPr>
          <w:rFonts w:cs="Arial"/>
          <w:szCs w:val="20"/>
          <w:lang w:val="nl-NL"/>
        </w:rPr>
        <w:t xml:space="preserve"> clause’. Hiermee</w:t>
      </w:r>
      <w:r w:rsidRPr="00494232" w:rsidR="00AD6720">
        <w:rPr>
          <w:rFonts w:cs="Arial"/>
          <w:szCs w:val="20"/>
          <w:lang w:val="nl-NL"/>
        </w:rPr>
        <w:t xml:space="preserve"> is beoogd om het principe te bevestigen dat landen vrij zijn hun eigen inwoners </w:t>
      </w:r>
      <w:r w:rsidRPr="00494232" w:rsidR="00987ADE">
        <w:rPr>
          <w:rFonts w:cs="Arial"/>
          <w:szCs w:val="20"/>
          <w:lang w:val="nl-NL"/>
        </w:rPr>
        <w:t xml:space="preserve">(en voor de Verenigde Staten: hun onderdanen) </w:t>
      </w:r>
      <w:r w:rsidRPr="00494232" w:rsidR="00AD6720">
        <w:rPr>
          <w:rFonts w:cs="Arial"/>
          <w:szCs w:val="20"/>
          <w:lang w:val="nl-NL"/>
        </w:rPr>
        <w:t>te belasten, tenzij bepaalde verdragsverplichtingen hieraan in de weg</w:t>
      </w:r>
      <w:r w:rsidRPr="00494232" w:rsidR="00EA654A">
        <w:rPr>
          <w:rFonts w:cs="Arial"/>
          <w:szCs w:val="20"/>
          <w:lang w:val="nl-NL"/>
        </w:rPr>
        <w:t xml:space="preserve"> </w:t>
      </w:r>
      <w:r w:rsidRPr="00494232" w:rsidR="00AD6720">
        <w:rPr>
          <w:rFonts w:cs="Arial"/>
          <w:szCs w:val="20"/>
          <w:lang w:val="nl-NL"/>
        </w:rPr>
        <w:t xml:space="preserve">staan. </w:t>
      </w:r>
      <w:r w:rsidRPr="00494232" w:rsidR="00356A69">
        <w:rPr>
          <w:rFonts w:cs="Arial"/>
          <w:szCs w:val="20"/>
          <w:lang w:val="nl-NL"/>
        </w:rPr>
        <w:t xml:space="preserve">Chili hechtte eraan dat een dergelijke bepaling in het Verdrag zou worden opgenomen. </w:t>
      </w:r>
      <w:r w:rsidRPr="00494232" w:rsidR="001B0E82">
        <w:rPr>
          <w:rFonts w:cs="Arial"/>
          <w:szCs w:val="20"/>
          <w:lang w:val="nl-NL"/>
        </w:rPr>
        <w:t xml:space="preserve">Nederland heeft bij </w:t>
      </w:r>
      <w:r w:rsidRPr="00494232" w:rsidR="0072584C">
        <w:rPr>
          <w:rFonts w:cs="Arial"/>
          <w:szCs w:val="20"/>
          <w:lang w:val="nl-NL"/>
        </w:rPr>
        <w:t xml:space="preserve">de onderhandelingen aangegeven </w:t>
      </w:r>
      <w:r w:rsidRPr="00494232" w:rsidR="00687FE2">
        <w:rPr>
          <w:rFonts w:cs="Arial"/>
          <w:szCs w:val="20"/>
          <w:lang w:val="nl-NL"/>
        </w:rPr>
        <w:t xml:space="preserve">een dergelijke bepaling vooral </w:t>
      </w:r>
      <w:r w:rsidRPr="00494232" w:rsidR="0072584C">
        <w:rPr>
          <w:rFonts w:cs="Arial"/>
          <w:szCs w:val="20"/>
          <w:lang w:val="nl-NL"/>
        </w:rPr>
        <w:t xml:space="preserve">nuttig te achten om </w:t>
      </w:r>
      <w:r w:rsidRPr="00494232" w:rsidR="005607EF">
        <w:rPr>
          <w:rFonts w:cs="Arial"/>
          <w:szCs w:val="20"/>
          <w:lang w:val="nl-NL"/>
        </w:rPr>
        <w:t>te bevestigen dat</w:t>
      </w:r>
      <w:r w:rsidRPr="00494232" w:rsidR="0090680F">
        <w:rPr>
          <w:rFonts w:cs="Arial"/>
          <w:szCs w:val="20"/>
          <w:lang w:val="nl-NL"/>
        </w:rPr>
        <w:t xml:space="preserve"> </w:t>
      </w:r>
      <w:r w:rsidRPr="00494232" w:rsidR="0072584C">
        <w:rPr>
          <w:rFonts w:cs="Arial"/>
          <w:szCs w:val="20"/>
          <w:lang w:val="nl-NL"/>
        </w:rPr>
        <w:t>de hybride entiteitenbepaling</w:t>
      </w:r>
      <w:r w:rsidRPr="00494232" w:rsidR="0090680F">
        <w:rPr>
          <w:rFonts w:cs="Arial"/>
          <w:szCs w:val="20"/>
          <w:lang w:val="nl-NL"/>
        </w:rPr>
        <w:t xml:space="preserve"> </w:t>
      </w:r>
      <w:r w:rsidRPr="00494232" w:rsidR="001B0E82">
        <w:rPr>
          <w:rFonts w:cs="Arial"/>
          <w:szCs w:val="20"/>
          <w:lang w:val="nl-NL"/>
        </w:rPr>
        <w:t>(</w:t>
      </w:r>
      <w:r w:rsidRPr="00494232" w:rsidR="005607EF">
        <w:rPr>
          <w:rFonts w:cs="Arial"/>
          <w:szCs w:val="20"/>
          <w:lang w:val="nl-NL"/>
        </w:rPr>
        <w:t xml:space="preserve">van </w:t>
      </w:r>
      <w:r w:rsidRPr="00494232" w:rsidR="001B0E82">
        <w:rPr>
          <w:rFonts w:cs="Arial"/>
          <w:szCs w:val="20"/>
          <w:lang w:val="nl-NL"/>
        </w:rPr>
        <w:t>artikel 1, tweede lid, van het Verdrag)</w:t>
      </w:r>
      <w:r w:rsidRPr="00494232" w:rsidR="005607EF">
        <w:rPr>
          <w:rFonts w:cs="Arial"/>
          <w:szCs w:val="20"/>
          <w:lang w:val="nl-NL"/>
        </w:rPr>
        <w:t xml:space="preserve"> niet </w:t>
      </w:r>
      <w:r w:rsidRPr="00494232" w:rsidR="0072584C">
        <w:rPr>
          <w:rFonts w:cs="Arial"/>
          <w:szCs w:val="20"/>
          <w:lang w:val="nl-NL"/>
        </w:rPr>
        <w:t>de</w:t>
      </w:r>
      <w:r w:rsidRPr="00494232" w:rsidR="00E40021">
        <w:rPr>
          <w:rFonts w:cs="Arial"/>
          <w:szCs w:val="20"/>
          <w:lang w:val="nl-NL"/>
        </w:rPr>
        <w:t xml:space="preserve"> belastingheffing van </w:t>
      </w:r>
      <w:r w:rsidRPr="00494232" w:rsidR="00823282">
        <w:rPr>
          <w:rFonts w:cs="Arial"/>
          <w:szCs w:val="20"/>
          <w:lang w:val="nl-NL"/>
        </w:rPr>
        <w:t>een</w:t>
      </w:r>
      <w:r w:rsidRPr="00494232" w:rsidR="00E40021">
        <w:rPr>
          <w:rFonts w:cs="Arial"/>
          <w:szCs w:val="20"/>
          <w:lang w:val="nl-NL"/>
        </w:rPr>
        <w:t xml:space="preserve"> </w:t>
      </w:r>
      <w:r w:rsidRPr="00494232" w:rsidR="00987ADE">
        <w:rPr>
          <w:rFonts w:cs="Arial"/>
          <w:szCs w:val="20"/>
          <w:lang w:val="nl-NL"/>
        </w:rPr>
        <w:t xml:space="preserve">eigen </w:t>
      </w:r>
      <w:r w:rsidRPr="00494232" w:rsidR="00E40021">
        <w:rPr>
          <w:rFonts w:cs="Arial"/>
          <w:szCs w:val="20"/>
          <w:lang w:val="nl-NL"/>
        </w:rPr>
        <w:t xml:space="preserve">inwoner </w:t>
      </w:r>
      <w:r w:rsidRPr="00494232" w:rsidR="00823282">
        <w:rPr>
          <w:rFonts w:cs="Arial"/>
          <w:szCs w:val="20"/>
          <w:lang w:val="nl-NL"/>
        </w:rPr>
        <w:t xml:space="preserve">(entiteit) </w:t>
      </w:r>
      <w:r w:rsidRPr="00494232" w:rsidR="005607EF">
        <w:rPr>
          <w:rFonts w:cs="Arial"/>
          <w:szCs w:val="20"/>
          <w:lang w:val="nl-NL"/>
        </w:rPr>
        <w:t>belemmert als</w:t>
      </w:r>
      <w:r w:rsidRPr="00494232" w:rsidR="00823282">
        <w:rPr>
          <w:rFonts w:cs="Arial"/>
          <w:szCs w:val="20"/>
          <w:lang w:val="nl-NL"/>
        </w:rPr>
        <w:t xml:space="preserve"> de andere verdragsluitende staat d</w:t>
      </w:r>
      <w:r w:rsidRPr="00494232" w:rsidR="00987ADE">
        <w:rPr>
          <w:rFonts w:cs="Arial"/>
          <w:szCs w:val="20"/>
          <w:lang w:val="nl-NL"/>
        </w:rPr>
        <w:t>i</w:t>
      </w:r>
      <w:r w:rsidRPr="00494232" w:rsidR="00823282">
        <w:rPr>
          <w:rFonts w:cs="Arial"/>
          <w:szCs w:val="20"/>
          <w:lang w:val="nl-NL"/>
        </w:rPr>
        <w:t xml:space="preserve">e entiteit </w:t>
      </w:r>
      <w:r w:rsidRPr="00494232" w:rsidR="00E40021">
        <w:rPr>
          <w:rFonts w:cs="Arial"/>
          <w:szCs w:val="20"/>
          <w:lang w:val="nl-NL"/>
        </w:rPr>
        <w:t xml:space="preserve">als transparant </w:t>
      </w:r>
      <w:r w:rsidRPr="00494232" w:rsidR="00823282">
        <w:rPr>
          <w:rFonts w:cs="Arial"/>
          <w:szCs w:val="20"/>
          <w:lang w:val="nl-NL"/>
        </w:rPr>
        <w:t>beschouwt</w:t>
      </w:r>
      <w:r w:rsidRPr="00494232" w:rsidR="00E40021">
        <w:rPr>
          <w:rFonts w:cs="Arial"/>
          <w:szCs w:val="20"/>
          <w:lang w:val="nl-NL"/>
        </w:rPr>
        <w:t xml:space="preserve">. </w:t>
      </w:r>
      <w:r w:rsidRPr="00494232" w:rsidR="00823282">
        <w:rPr>
          <w:rFonts w:cs="Arial"/>
          <w:szCs w:val="20"/>
          <w:lang w:val="nl-NL"/>
        </w:rPr>
        <w:t>Hoewel een dergelijk niet-beoogd</w:t>
      </w:r>
      <w:r w:rsidRPr="00494232" w:rsidR="002E4EFD">
        <w:rPr>
          <w:rFonts w:cs="Arial"/>
          <w:szCs w:val="20"/>
          <w:lang w:val="nl-NL"/>
        </w:rPr>
        <w:t>e uitleg</w:t>
      </w:r>
      <w:r w:rsidRPr="00494232" w:rsidR="00823282">
        <w:rPr>
          <w:rFonts w:cs="Arial"/>
          <w:szCs w:val="20"/>
          <w:lang w:val="nl-NL"/>
        </w:rPr>
        <w:t xml:space="preserve"> ook voorkomen had kunnen worden door een bepaling met een beperktere reikwijdte (zoals artikel 3, derde lid, van het M</w:t>
      </w:r>
      <w:r w:rsidRPr="00494232" w:rsidR="00165AC0">
        <w:rPr>
          <w:rFonts w:cs="Arial"/>
          <w:szCs w:val="20"/>
          <w:lang w:val="nl-NL"/>
        </w:rPr>
        <w:t>LI</w:t>
      </w:r>
      <w:r w:rsidRPr="00494232" w:rsidR="00823282">
        <w:rPr>
          <w:rFonts w:cs="Arial"/>
          <w:szCs w:val="20"/>
          <w:lang w:val="nl-NL"/>
        </w:rPr>
        <w:t>)</w:t>
      </w:r>
      <w:r w:rsidRPr="00494232" w:rsidR="00687FE2">
        <w:rPr>
          <w:rFonts w:cs="Arial"/>
          <w:szCs w:val="20"/>
          <w:lang w:val="nl-NL"/>
        </w:rPr>
        <w:t>,</w:t>
      </w:r>
      <w:r w:rsidRPr="00494232" w:rsidR="00823282">
        <w:rPr>
          <w:rFonts w:cs="Arial"/>
          <w:szCs w:val="20"/>
          <w:lang w:val="nl-NL"/>
        </w:rPr>
        <w:t xml:space="preserve"> heeft Nederland ingestemd met een bepaling </w:t>
      </w:r>
      <w:r w:rsidRPr="00494232" w:rsidR="00687FE2">
        <w:rPr>
          <w:rFonts w:cs="Arial"/>
          <w:szCs w:val="20"/>
          <w:lang w:val="nl-NL"/>
        </w:rPr>
        <w:t>die betrekking heeft op het gehele Verdrag</w:t>
      </w:r>
      <w:r w:rsidRPr="00494232" w:rsidR="005607EF">
        <w:rPr>
          <w:rFonts w:cs="Arial"/>
          <w:szCs w:val="20"/>
          <w:lang w:val="nl-NL"/>
        </w:rPr>
        <w:t xml:space="preserve"> waarbij vervolgens de </w:t>
      </w:r>
      <w:r w:rsidRPr="00494232" w:rsidR="00687FE2">
        <w:rPr>
          <w:rFonts w:cs="Arial"/>
          <w:szCs w:val="20"/>
          <w:lang w:val="nl-NL"/>
        </w:rPr>
        <w:t>uitzondering</w:t>
      </w:r>
      <w:r w:rsidRPr="00494232" w:rsidR="005607EF">
        <w:rPr>
          <w:rFonts w:cs="Arial"/>
          <w:szCs w:val="20"/>
          <w:lang w:val="nl-NL"/>
        </w:rPr>
        <w:t>en</w:t>
      </w:r>
      <w:r w:rsidRPr="00494232" w:rsidR="00687FE2">
        <w:rPr>
          <w:rFonts w:cs="Arial"/>
          <w:szCs w:val="20"/>
          <w:lang w:val="nl-NL"/>
        </w:rPr>
        <w:t xml:space="preserve"> </w:t>
      </w:r>
      <w:r w:rsidRPr="00494232" w:rsidR="005607EF">
        <w:rPr>
          <w:rFonts w:cs="Arial"/>
          <w:szCs w:val="20"/>
          <w:lang w:val="nl-NL"/>
        </w:rPr>
        <w:t xml:space="preserve">zijn opgesomd </w:t>
      </w:r>
      <w:r w:rsidRPr="00494232" w:rsidR="00B8514B">
        <w:rPr>
          <w:rFonts w:cs="Arial"/>
          <w:szCs w:val="20"/>
          <w:lang w:val="nl-NL"/>
        </w:rPr>
        <w:t>op het beginsel dat een staat zijn eigen inwoners mag belasten</w:t>
      </w:r>
      <w:r w:rsidRPr="00494232" w:rsidR="00687FE2">
        <w:rPr>
          <w:rFonts w:cs="Arial"/>
          <w:szCs w:val="20"/>
          <w:lang w:val="nl-NL"/>
        </w:rPr>
        <w:t xml:space="preserve">. </w:t>
      </w:r>
      <w:r w:rsidRPr="00494232" w:rsidR="005607EF">
        <w:rPr>
          <w:rFonts w:cs="Arial"/>
          <w:szCs w:val="20"/>
          <w:lang w:val="nl-NL"/>
        </w:rPr>
        <w:t>Deze uitzonderingen betreffen</w:t>
      </w:r>
      <w:r w:rsidRPr="00494232" w:rsidR="00687FE2">
        <w:rPr>
          <w:rFonts w:cs="Arial"/>
          <w:szCs w:val="20"/>
          <w:lang w:val="nl-NL"/>
        </w:rPr>
        <w:t xml:space="preserve"> bepalingen </w:t>
      </w:r>
      <w:r w:rsidRPr="00494232" w:rsidR="005607EF">
        <w:rPr>
          <w:rFonts w:cs="Arial"/>
          <w:szCs w:val="20"/>
          <w:lang w:val="nl-NL"/>
        </w:rPr>
        <w:t>op grond waarvan</w:t>
      </w:r>
      <w:r w:rsidRPr="00494232" w:rsidR="00B8514B">
        <w:rPr>
          <w:rFonts w:cs="Arial"/>
          <w:szCs w:val="20"/>
          <w:lang w:val="nl-NL"/>
        </w:rPr>
        <w:t xml:space="preserve"> </w:t>
      </w:r>
      <w:r w:rsidRPr="00494232" w:rsidR="00136985">
        <w:rPr>
          <w:rFonts w:cs="Arial"/>
          <w:szCs w:val="20"/>
          <w:lang w:val="nl-NL"/>
        </w:rPr>
        <w:t xml:space="preserve">de woonstaat </w:t>
      </w:r>
      <w:r w:rsidRPr="00494232" w:rsidR="0082147E">
        <w:rPr>
          <w:rFonts w:cs="Arial"/>
          <w:szCs w:val="20"/>
          <w:lang w:val="nl-NL"/>
        </w:rPr>
        <w:t xml:space="preserve">– in lijn met het doel en </w:t>
      </w:r>
      <w:r w:rsidR="00DE548E">
        <w:rPr>
          <w:rFonts w:cs="Arial"/>
          <w:szCs w:val="20"/>
          <w:lang w:val="nl-NL"/>
        </w:rPr>
        <w:t xml:space="preserve">de </w:t>
      </w:r>
      <w:r w:rsidRPr="00494232" w:rsidR="0082147E">
        <w:rPr>
          <w:rFonts w:cs="Arial"/>
          <w:szCs w:val="20"/>
          <w:lang w:val="nl-NL"/>
        </w:rPr>
        <w:t xml:space="preserve">strekking van het </w:t>
      </w:r>
      <w:r w:rsidRPr="00494232" w:rsidR="0082147E">
        <w:rPr>
          <w:rFonts w:cs="Arial"/>
          <w:szCs w:val="20"/>
          <w:lang w:val="nl-NL"/>
        </w:rPr>
        <w:lastRenderedPageBreak/>
        <w:t>Verdrag –</w:t>
      </w:r>
      <w:r w:rsidRPr="00494232" w:rsidR="0070038F">
        <w:rPr>
          <w:rFonts w:cs="Arial"/>
          <w:szCs w:val="20"/>
          <w:lang w:val="nl-NL"/>
        </w:rPr>
        <w:t xml:space="preserve"> </w:t>
      </w:r>
      <w:r w:rsidRPr="00494232" w:rsidR="0082147E">
        <w:rPr>
          <w:rFonts w:cs="Arial"/>
          <w:szCs w:val="20"/>
          <w:lang w:val="nl-NL"/>
        </w:rPr>
        <w:t xml:space="preserve">afziet van heffing, of </w:t>
      </w:r>
      <w:r w:rsidRPr="00494232" w:rsidR="005607EF">
        <w:rPr>
          <w:rFonts w:cs="Arial"/>
          <w:szCs w:val="20"/>
          <w:lang w:val="nl-NL"/>
        </w:rPr>
        <w:t xml:space="preserve">de </w:t>
      </w:r>
      <w:r w:rsidRPr="00494232" w:rsidR="00136985">
        <w:rPr>
          <w:rFonts w:cs="Arial"/>
          <w:szCs w:val="20"/>
          <w:lang w:val="nl-NL"/>
        </w:rPr>
        <w:t>heffing</w:t>
      </w:r>
      <w:r w:rsidRPr="00494232" w:rsidR="0082147E">
        <w:rPr>
          <w:rFonts w:cs="Arial"/>
          <w:szCs w:val="20"/>
          <w:lang w:val="nl-NL"/>
        </w:rPr>
        <w:t xml:space="preserve"> </w:t>
      </w:r>
      <w:r w:rsidRPr="00494232" w:rsidR="005607EF">
        <w:rPr>
          <w:rFonts w:cs="Arial"/>
          <w:szCs w:val="20"/>
          <w:lang w:val="nl-NL"/>
        </w:rPr>
        <w:t>vermindert</w:t>
      </w:r>
      <w:r w:rsidRPr="00494232" w:rsidR="00136985">
        <w:rPr>
          <w:rFonts w:cs="Arial"/>
          <w:szCs w:val="20"/>
          <w:lang w:val="nl-NL"/>
        </w:rPr>
        <w:t>,</w:t>
      </w:r>
      <w:r w:rsidRPr="00494232" w:rsidR="005607EF">
        <w:rPr>
          <w:rFonts w:cs="Arial"/>
          <w:szCs w:val="20"/>
          <w:lang w:val="nl-NL"/>
        </w:rPr>
        <w:t xml:space="preserve"> </w:t>
      </w:r>
      <w:r w:rsidRPr="00494232" w:rsidR="0082147E">
        <w:rPr>
          <w:rFonts w:cs="Arial"/>
          <w:szCs w:val="20"/>
          <w:lang w:val="nl-NL"/>
        </w:rPr>
        <w:t xml:space="preserve">om dubbele belasting </w:t>
      </w:r>
      <w:r w:rsidRPr="00494232" w:rsidR="00877221">
        <w:rPr>
          <w:rFonts w:cs="Arial"/>
          <w:szCs w:val="20"/>
          <w:lang w:val="nl-NL"/>
        </w:rPr>
        <w:t xml:space="preserve">(of volgens het Verdrag ongeoorloofde discriminatie) </w:t>
      </w:r>
      <w:r w:rsidRPr="00494232" w:rsidR="0082147E">
        <w:rPr>
          <w:rFonts w:cs="Arial"/>
          <w:szCs w:val="20"/>
          <w:lang w:val="nl-NL"/>
        </w:rPr>
        <w:t xml:space="preserve">te voorkomen. </w:t>
      </w:r>
    </w:p>
    <w:p w:rsidRPr="00494232" w:rsidR="00756ED1" w:rsidP="00756ED1" w:rsidRDefault="00136985" w14:paraId="015C052A" w14:textId="6DBA3256">
      <w:pPr>
        <w:rPr>
          <w:rFonts w:cs="Arial"/>
          <w:szCs w:val="20"/>
          <w:lang w:val="nl-NL"/>
        </w:rPr>
      </w:pPr>
      <w:r w:rsidRPr="00494232">
        <w:rPr>
          <w:rFonts w:cs="Arial"/>
          <w:szCs w:val="20"/>
          <w:lang w:val="nl-NL"/>
        </w:rPr>
        <w:t>I</w:t>
      </w:r>
      <w:r w:rsidRPr="00494232" w:rsidR="00655BB0">
        <w:rPr>
          <w:rFonts w:cs="Arial"/>
          <w:szCs w:val="20"/>
          <w:lang w:val="nl-NL"/>
        </w:rPr>
        <w:t xml:space="preserve">n artikel 1, derde lid, van het Verdrag is – in </w:t>
      </w:r>
      <w:r w:rsidRPr="00494232" w:rsidR="00B8514B">
        <w:rPr>
          <w:rFonts w:cs="Arial"/>
          <w:szCs w:val="20"/>
          <w:lang w:val="nl-NL"/>
        </w:rPr>
        <w:t xml:space="preserve">afwijking van het OESO-modelverdrag </w:t>
      </w:r>
      <w:r w:rsidRPr="00494232" w:rsidR="00655BB0">
        <w:rPr>
          <w:rFonts w:cs="Arial"/>
          <w:szCs w:val="20"/>
          <w:lang w:val="nl-NL"/>
        </w:rPr>
        <w:t xml:space="preserve">– </w:t>
      </w:r>
      <w:r w:rsidRPr="00494232" w:rsidR="00B8514B">
        <w:rPr>
          <w:rFonts w:cs="Arial"/>
          <w:szCs w:val="20"/>
          <w:lang w:val="nl-NL"/>
        </w:rPr>
        <w:t xml:space="preserve">ook artikel 9, eerste lid, van het Verdrag </w:t>
      </w:r>
      <w:r w:rsidRPr="00494232" w:rsidR="00655BB0">
        <w:rPr>
          <w:rFonts w:cs="Arial"/>
          <w:szCs w:val="20"/>
          <w:lang w:val="nl-NL"/>
        </w:rPr>
        <w:t>vermeld</w:t>
      </w:r>
      <w:r w:rsidRPr="00494232" w:rsidR="00B8514B">
        <w:rPr>
          <w:rFonts w:cs="Arial"/>
          <w:szCs w:val="20"/>
          <w:lang w:val="nl-NL"/>
        </w:rPr>
        <w:t xml:space="preserve">. </w:t>
      </w:r>
      <w:r w:rsidRPr="00494232">
        <w:rPr>
          <w:rFonts w:cs="Arial"/>
          <w:szCs w:val="20"/>
          <w:lang w:val="nl-NL"/>
        </w:rPr>
        <w:t>Hiermee</w:t>
      </w:r>
      <w:r w:rsidRPr="00494232" w:rsidR="00807317">
        <w:rPr>
          <w:rFonts w:cs="Arial"/>
          <w:szCs w:val="20"/>
          <w:lang w:val="nl-NL"/>
        </w:rPr>
        <w:t xml:space="preserve"> wordt verduidelijkt</w:t>
      </w:r>
      <w:r w:rsidRPr="00494232" w:rsidR="00655BB0">
        <w:rPr>
          <w:rFonts w:cs="Arial"/>
          <w:szCs w:val="20"/>
          <w:lang w:val="nl-NL"/>
        </w:rPr>
        <w:t xml:space="preserve"> </w:t>
      </w:r>
      <w:r w:rsidRPr="00494232" w:rsidR="00B8514B">
        <w:rPr>
          <w:rFonts w:cs="Arial"/>
          <w:szCs w:val="20"/>
          <w:lang w:val="nl-NL"/>
        </w:rPr>
        <w:t xml:space="preserve">dat </w:t>
      </w:r>
      <w:r w:rsidRPr="00494232">
        <w:rPr>
          <w:rFonts w:cs="Arial"/>
          <w:szCs w:val="20"/>
          <w:lang w:val="nl-NL"/>
        </w:rPr>
        <w:t xml:space="preserve">bij de belastingheffing </w:t>
      </w:r>
      <w:r w:rsidR="00F74B16">
        <w:rPr>
          <w:rFonts w:cs="Arial"/>
          <w:szCs w:val="20"/>
          <w:lang w:val="nl-NL"/>
        </w:rPr>
        <w:t>over</w:t>
      </w:r>
      <w:r w:rsidRPr="00494232" w:rsidR="00F74B16">
        <w:rPr>
          <w:rFonts w:cs="Arial"/>
          <w:szCs w:val="20"/>
          <w:lang w:val="nl-NL"/>
        </w:rPr>
        <w:t xml:space="preserve"> </w:t>
      </w:r>
      <w:r w:rsidRPr="00494232">
        <w:rPr>
          <w:rFonts w:cs="Arial"/>
          <w:szCs w:val="20"/>
          <w:lang w:val="nl-NL"/>
        </w:rPr>
        <w:t xml:space="preserve">ondernemingswinsten </w:t>
      </w:r>
      <w:r w:rsidRPr="00494232" w:rsidR="00770F86">
        <w:rPr>
          <w:rFonts w:cs="Arial"/>
          <w:szCs w:val="20"/>
          <w:lang w:val="nl-NL"/>
        </w:rPr>
        <w:t xml:space="preserve">uit transacties met inwoners van de andere </w:t>
      </w:r>
      <w:r w:rsidRPr="00494232" w:rsidR="007544F8">
        <w:rPr>
          <w:rFonts w:cs="Arial"/>
          <w:szCs w:val="20"/>
          <w:lang w:val="nl-NL"/>
        </w:rPr>
        <w:t>verdragsluitende s</w:t>
      </w:r>
      <w:r w:rsidRPr="00494232" w:rsidR="00770F86">
        <w:rPr>
          <w:rFonts w:cs="Arial"/>
          <w:szCs w:val="20"/>
          <w:lang w:val="nl-NL"/>
        </w:rPr>
        <w:t>taat</w:t>
      </w:r>
      <w:r w:rsidRPr="00494232">
        <w:rPr>
          <w:rFonts w:cs="Arial"/>
          <w:szCs w:val="20"/>
          <w:lang w:val="nl-NL"/>
        </w:rPr>
        <w:t xml:space="preserve"> beide </w:t>
      </w:r>
      <w:r w:rsidR="00F74B16">
        <w:rPr>
          <w:rFonts w:cs="Arial"/>
          <w:szCs w:val="20"/>
          <w:lang w:val="nl-NL"/>
        </w:rPr>
        <w:t>verdragsluitende staten</w:t>
      </w:r>
      <w:r w:rsidRPr="00494232" w:rsidR="00F74B16">
        <w:rPr>
          <w:rFonts w:cs="Arial"/>
          <w:szCs w:val="20"/>
          <w:lang w:val="nl-NL"/>
        </w:rPr>
        <w:t xml:space="preserve"> </w:t>
      </w:r>
      <w:r w:rsidRPr="00494232">
        <w:rPr>
          <w:rFonts w:cs="Arial"/>
          <w:szCs w:val="20"/>
          <w:lang w:val="nl-NL"/>
        </w:rPr>
        <w:t xml:space="preserve">zijn overeengekomen om </w:t>
      </w:r>
      <w:r w:rsidRPr="00494232" w:rsidR="00DB5553">
        <w:rPr>
          <w:rFonts w:cs="Arial"/>
          <w:szCs w:val="20"/>
          <w:lang w:val="nl-NL"/>
        </w:rPr>
        <w:t>het arm’s-</w:t>
      </w:r>
      <w:r w:rsidRPr="00494232" w:rsidR="00807317">
        <w:rPr>
          <w:rFonts w:cs="Arial"/>
          <w:szCs w:val="20"/>
          <w:lang w:val="nl-NL"/>
        </w:rPr>
        <w:t xml:space="preserve">length-beginsel toe te passen </w:t>
      </w:r>
      <w:r w:rsidRPr="00494232">
        <w:rPr>
          <w:rFonts w:cs="Arial"/>
          <w:szCs w:val="20"/>
          <w:lang w:val="nl-NL"/>
        </w:rPr>
        <w:t>(zoals nader toegelicht bij artikel 9)</w:t>
      </w:r>
      <w:r w:rsidRPr="00494232" w:rsidR="00756ED1">
        <w:rPr>
          <w:rFonts w:cs="Arial"/>
          <w:szCs w:val="20"/>
          <w:lang w:val="nl-NL"/>
        </w:rPr>
        <w:t xml:space="preserve">. </w:t>
      </w:r>
      <w:r w:rsidRPr="00494232" w:rsidR="00B76147">
        <w:rPr>
          <w:rFonts w:cs="Arial"/>
          <w:szCs w:val="20"/>
          <w:lang w:val="nl-NL"/>
        </w:rPr>
        <w:t xml:space="preserve">Ook is in afwijking van het OESO-modelverdrag een verwijzing opgenomen naar </w:t>
      </w:r>
      <w:r w:rsidRPr="00494232" w:rsidR="00366EBD">
        <w:rPr>
          <w:rFonts w:cs="Arial"/>
          <w:szCs w:val="20"/>
          <w:lang w:val="nl-NL"/>
        </w:rPr>
        <w:t>artikel 13, zesde lid</w:t>
      </w:r>
      <w:r w:rsidRPr="00494232" w:rsidR="0070038F">
        <w:rPr>
          <w:rFonts w:cs="Arial"/>
          <w:szCs w:val="20"/>
          <w:lang w:val="nl-NL"/>
        </w:rPr>
        <w:t>,</w:t>
      </w:r>
      <w:r w:rsidRPr="00494232" w:rsidR="00366EBD">
        <w:rPr>
          <w:rFonts w:cs="Arial"/>
          <w:szCs w:val="20"/>
          <w:lang w:val="nl-NL"/>
        </w:rPr>
        <w:t xml:space="preserve"> van het Verdrag</w:t>
      </w:r>
      <w:r w:rsidRPr="00494232" w:rsidR="00DE379C">
        <w:rPr>
          <w:rFonts w:cs="Arial"/>
          <w:szCs w:val="20"/>
          <w:lang w:val="nl-NL"/>
        </w:rPr>
        <w:t xml:space="preserve"> dat onder meer relevant is bij geëmigreerde aanmerkelijkbelanghouders (zie </w:t>
      </w:r>
      <w:r w:rsidRPr="00494232" w:rsidR="007544F8">
        <w:rPr>
          <w:rFonts w:cs="Arial"/>
          <w:szCs w:val="20"/>
          <w:lang w:val="nl-NL"/>
        </w:rPr>
        <w:t xml:space="preserve">de </w:t>
      </w:r>
      <w:r w:rsidRPr="00494232" w:rsidR="00DE379C">
        <w:rPr>
          <w:rFonts w:cs="Arial"/>
          <w:szCs w:val="20"/>
          <w:lang w:val="nl-NL"/>
        </w:rPr>
        <w:t>toelichting bij artikel 13, zesde lid, van het Verdrag)</w:t>
      </w:r>
      <w:r w:rsidRPr="00494232" w:rsidR="00366EBD">
        <w:rPr>
          <w:rFonts w:cs="Arial"/>
          <w:szCs w:val="20"/>
          <w:lang w:val="nl-NL"/>
        </w:rPr>
        <w:t xml:space="preserve">. </w:t>
      </w:r>
    </w:p>
    <w:p w:rsidRPr="00A805F5" w:rsidR="005B496E" w:rsidP="0025631E" w:rsidRDefault="0025631E" w14:paraId="423EC026" w14:textId="3140BE23">
      <w:pPr>
        <w:pStyle w:val="Heading2"/>
        <w:rPr>
          <w:rFonts w:cs="Arial"/>
          <w:b w:val="0"/>
          <w:bCs w:val="0"/>
          <w:i/>
          <w:smallCaps w:val="0"/>
          <w:szCs w:val="20"/>
          <w:lang w:val="nl-NL"/>
        </w:rPr>
      </w:pPr>
      <w:r w:rsidRPr="00A805F5">
        <w:rPr>
          <w:rFonts w:cs="Arial"/>
          <w:b w:val="0"/>
          <w:bCs w:val="0"/>
          <w:i/>
          <w:smallCaps w:val="0"/>
          <w:szCs w:val="20"/>
          <w:lang w:val="nl-NL"/>
        </w:rPr>
        <w:t xml:space="preserve">II.2 </w:t>
      </w:r>
      <w:r w:rsidRPr="00A805F5" w:rsidR="00BB43EF">
        <w:rPr>
          <w:rFonts w:cs="Arial"/>
          <w:b w:val="0"/>
          <w:bCs w:val="0"/>
          <w:i/>
          <w:smallCaps w:val="0"/>
          <w:szCs w:val="20"/>
          <w:lang w:val="nl-NL"/>
        </w:rPr>
        <w:t>Belastingen waarop het verdrag van toepassing is (Artikel 2 van het Verdrag</w:t>
      </w:r>
      <w:r w:rsidRPr="00A805F5" w:rsidR="00A30FFE">
        <w:rPr>
          <w:rFonts w:cs="Arial"/>
          <w:b w:val="0"/>
          <w:bCs w:val="0"/>
          <w:i/>
          <w:smallCaps w:val="0"/>
          <w:szCs w:val="20"/>
          <w:lang w:val="nl-NL"/>
        </w:rPr>
        <w:t>)</w:t>
      </w:r>
      <w:r w:rsidRPr="00A805F5" w:rsidR="005B496E">
        <w:rPr>
          <w:rFonts w:cs="Arial"/>
          <w:b w:val="0"/>
          <w:bCs w:val="0"/>
          <w:i/>
          <w:smallCaps w:val="0"/>
          <w:szCs w:val="20"/>
          <w:lang w:val="nl-NL"/>
        </w:rPr>
        <w:t xml:space="preserve"> </w:t>
      </w:r>
    </w:p>
    <w:p w:rsidRPr="00494232" w:rsidR="002E22BE" w:rsidP="002E22BE" w:rsidRDefault="00AE59DD" w14:paraId="7C5E4BDE" w14:textId="50A5ADE9">
      <w:pPr>
        <w:rPr>
          <w:rFonts w:cs="Arial"/>
          <w:szCs w:val="20"/>
          <w:lang w:val="nl-NL"/>
        </w:rPr>
      </w:pPr>
      <w:r w:rsidRPr="00494232">
        <w:rPr>
          <w:rFonts w:cs="Arial"/>
          <w:szCs w:val="20"/>
          <w:lang w:val="nl-NL"/>
        </w:rPr>
        <w:t>A</w:t>
      </w:r>
      <w:r w:rsidRPr="00494232" w:rsidR="002E22BE">
        <w:rPr>
          <w:rFonts w:cs="Arial"/>
          <w:szCs w:val="20"/>
          <w:lang w:val="nl-NL"/>
        </w:rPr>
        <w:t xml:space="preserve">rtikel 2 van het Verdrag </w:t>
      </w:r>
      <w:r w:rsidRPr="00494232">
        <w:rPr>
          <w:rFonts w:cs="Arial"/>
          <w:szCs w:val="20"/>
          <w:lang w:val="nl-NL"/>
        </w:rPr>
        <w:t>betreft de</w:t>
      </w:r>
      <w:r w:rsidRPr="00494232" w:rsidR="002E22BE">
        <w:rPr>
          <w:rFonts w:cs="Arial"/>
          <w:szCs w:val="20"/>
          <w:lang w:val="nl-NL"/>
        </w:rPr>
        <w:t xml:space="preserve"> belastingen </w:t>
      </w:r>
      <w:r w:rsidRPr="00494232">
        <w:rPr>
          <w:rFonts w:cs="Arial"/>
          <w:szCs w:val="20"/>
          <w:lang w:val="nl-NL"/>
        </w:rPr>
        <w:t xml:space="preserve">waar </w:t>
      </w:r>
      <w:r w:rsidRPr="00494232" w:rsidR="002E22BE">
        <w:rPr>
          <w:rFonts w:cs="Arial"/>
          <w:szCs w:val="20"/>
          <w:lang w:val="nl-NL"/>
        </w:rPr>
        <w:t>het Verdrag</w:t>
      </w:r>
      <w:r w:rsidRPr="00494232">
        <w:rPr>
          <w:rFonts w:cs="Arial"/>
          <w:szCs w:val="20"/>
          <w:lang w:val="nl-NL"/>
        </w:rPr>
        <w:t xml:space="preserve"> op</w:t>
      </w:r>
      <w:r w:rsidRPr="00494232" w:rsidR="002E22BE">
        <w:rPr>
          <w:rFonts w:cs="Arial"/>
          <w:szCs w:val="20"/>
          <w:lang w:val="nl-NL"/>
        </w:rPr>
        <w:t xml:space="preserve"> ziet. Het eerste, tweede en vierde lid van dit artikel </w:t>
      </w:r>
      <w:r w:rsidRPr="00494232" w:rsidR="00BB43EF">
        <w:rPr>
          <w:rFonts w:cs="Arial"/>
          <w:szCs w:val="20"/>
          <w:lang w:val="nl-NL"/>
        </w:rPr>
        <w:t xml:space="preserve">zijn in overeenstemming met artikel 2, </w:t>
      </w:r>
      <w:r w:rsidRPr="00494232" w:rsidR="002E22BE">
        <w:rPr>
          <w:rFonts w:cs="Arial"/>
          <w:szCs w:val="20"/>
          <w:lang w:val="nl-NL"/>
        </w:rPr>
        <w:t>eerste, tweede en vierde lid</w:t>
      </w:r>
      <w:r w:rsidRPr="00494232" w:rsidR="00BB43EF">
        <w:rPr>
          <w:rFonts w:cs="Arial"/>
          <w:szCs w:val="20"/>
          <w:lang w:val="nl-NL"/>
        </w:rPr>
        <w:t>,</w:t>
      </w:r>
      <w:r w:rsidRPr="00494232" w:rsidR="002E22BE">
        <w:rPr>
          <w:rFonts w:cs="Arial"/>
          <w:szCs w:val="20"/>
          <w:lang w:val="nl-NL"/>
        </w:rPr>
        <w:t xml:space="preserve"> van </w:t>
      </w:r>
      <w:proofErr w:type="spellStart"/>
      <w:r w:rsidRPr="00494232" w:rsidR="002E22BE">
        <w:rPr>
          <w:rFonts w:cs="Arial"/>
          <w:szCs w:val="20"/>
          <w:lang w:val="nl-NL"/>
        </w:rPr>
        <w:t>van</w:t>
      </w:r>
      <w:proofErr w:type="spellEnd"/>
      <w:r w:rsidRPr="00494232" w:rsidR="002E22BE">
        <w:rPr>
          <w:rFonts w:cs="Arial"/>
          <w:szCs w:val="20"/>
          <w:lang w:val="nl-NL"/>
        </w:rPr>
        <w:t xml:space="preserve"> het OESO-modelverdrag.</w:t>
      </w:r>
    </w:p>
    <w:p w:rsidRPr="00494232" w:rsidR="002E22BE" w:rsidP="002E22BE" w:rsidRDefault="002E22BE" w14:paraId="489175B0" w14:textId="00405E0A">
      <w:pPr>
        <w:rPr>
          <w:rFonts w:cs="Arial"/>
          <w:szCs w:val="20"/>
          <w:lang w:val="nl-NL"/>
        </w:rPr>
      </w:pPr>
      <w:r w:rsidRPr="00494232">
        <w:rPr>
          <w:rFonts w:cs="Arial"/>
          <w:szCs w:val="20"/>
          <w:lang w:val="nl-NL"/>
        </w:rPr>
        <w:t xml:space="preserve">Het derde lid bevat een opsomming van de Chileense en Nederlandse belastingen waarop het Verdrag </w:t>
      </w:r>
      <w:r w:rsidRPr="00494232" w:rsidR="00AE59DD">
        <w:rPr>
          <w:rFonts w:cs="Arial"/>
          <w:szCs w:val="20"/>
          <w:lang w:val="nl-NL"/>
        </w:rPr>
        <w:t>met name betrekking heeft</w:t>
      </w:r>
      <w:r w:rsidRPr="00494232">
        <w:rPr>
          <w:rFonts w:cs="Arial"/>
          <w:szCs w:val="20"/>
          <w:lang w:val="nl-NL"/>
        </w:rPr>
        <w:t xml:space="preserve">. Voor Nederland zijn uitsluitend de belastingen naar het inkomen opgenomen die van toepassing zijn in het Europese deel van Nederland en de belastingen op winstaandelen zoals bedoeld in de Mijnbouwwet. </w:t>
      </w:r>
    </w:p>
    <w:p w:rsidRPr="00494232" w:rsidR="00B039C7" w:rsidP="002E22BE" w:rsidRDefault="002E22BE" w14:paraId="0F5CCC77" w14:textId="05F8F157">
      <w:pPr>
        <w:rPr>
          <w:rFonts w:cs="Arial"/>
          <w:szCs w:val="20"/>
          <w:lang w:val="nl-NL"/>
        </w:rPr>
      </w:pPr>
      <w:r w:rsidRPr="00494232">
        <w:rPr>
          <w:rFonts w:cs="Arial"/>
          <w:szCs w:val="20"/>
          <w:lang w:val="nl-NL"/>
        </w:rPr>
        <w:t>In overeenstemming met artikel 2 van het OESO-modelverdrag bepaalt het vierde lid dat het Verdrag ook van toepassing is op alle gelijke of in wezen gelijksoortige belast</w:t>
      </w:r>
      <w:r w:rsidRPr="00494232" w:rsidR="00CA1C5B">
        <w:rPr>
          <w:rFonts w:cs="Arial"/>
          <w:szCs w:val="20"/>
          <w:lang w:val="nl-NL"/>
        </w:rPr>
        <w:t>ingen die na de datum van onder</w:t>
      </w:r>
      <w:r w:rsidRPr="00494232">
        <w:rPr>
          <w:rFonts w:cs="Arial"/>
          <w:szCs w:val="20"/>
          <w:lang w:val="nl-NL"/>
        </w:rPr>
        <w:t>tekening van het Verdrag naast of in de plaats van de in het tweede lid bedoelde en in het derde lid opgesomde belastingen worden geheven. De bevoegde autoriteiten van de verdragsluitende staten zijn gehouden om elkaar te informeren over alle wezenlijke wijzigingen in hun nationale belastingwetgeving.</w:t>
      </w:r>
    </w:p>
    <w:p w:rsidRPr="00494232" w:rsidR="00361A39" w:rsidP="004B37CD" w:rsidRDefault="00361A39" w14:paraId="3A4F5459" w14:textId="6CC249FB">
      <w:pPr>
        <w:rPr>
          <w:rFonts w:cs="Arial"/>
          <w:szCs w:val="20"/>
          <w:lang w:val="nl-NL"/>
        </w:rPr>
      </w:pPr>
      <w:r w:rsidRPr="00494232">
        <w:rPr>
          <w:rFonts w:cs="Arial"/>
          <w:szCs w:val="20"/>
          <w:lang w:val="nl-NL"/>
        </w:rPr>
        <w:t xml:space="preserve">De bepalingen in het Verdrag die zien op de voorkoming van dubbele belasting gelden uitsluitend voor belastingen naar het inkomen of het vermogen. De bepalingen over informatie-uitwisseling en bijstand bij invordering gelden ook voor andere belastingen en toeslagen. </w:t>
      </w:r>
    </w:p>
    <w:p w:rsidRPr="00494232" w:rsidR="006811CC" w:rsidP="00BB43EF" w:rsidRDefault="00BB43EF" w14:paraId="761C9771" w14:textId="0F53D68D">
      <w:pPr>
        <w:pStyle w:val="Heading2"/>
        <w:rPr>
          <w:rFonts w:cs="Arial"/>
          <w:szCs w:val="20"/>
          <w:lang w:val="nl-NL"/>
        </w:rPr>
      </w:pPr>
      <w:r w:rsidRPr="00A805F5">
        <w:rPr>
          <w:rFonts w:cs="Arial"/>
          <w:b w:val="0"/>
          <w:bCs w:val="0"/>
          <w:i/>
          <w:smallCaps w:val="0"/>
          <w:szCs w:val="20"/>
          <w:lang w:val="nl-NL"/>
        </w:rPr>
        <w:t>II.3 Algemene begripsbepalingen (</w:t>
      </w:r>
      <w:r w:rsidRPr="00A805F5" w:rsidR="00A30FFE">
        <w:rPr>
          <w:rFonts w:cs="Arial"/>
          <w:b w:val="0"/>
          <w:bCs w:val="0"/>
          <w:i/>
          <w:smallCaps w:val="0"/>
          <w:szCs w:val="20"/>
          <w:lang w:val="nl-NL"/>
        </w:rPr>
        <w:t>Artikel 3 van het Verdrag</w:t>
      </w:r>
      <w:r w:rsidRPr="00A805F5">
        <w:rPr>
          <w:rFonts w:cs="Arial"/>
          <w:b w:val="0"/>
          <w:bCs w:val="0"/>
          <w:i/>
          <w:smallCaps w:val="0"/>
          <w:szCs w:val="20"/>
          <w:lang w:val="nl-NL"/>
        </w:rPr>
        <w:t xml:space="preserve"> en artikel I van het Protocol</w:t>
      </w:r>
      <w:r w:rsidRPr="00A805F5" w:rsidR="00A30FFE">
        <w:rPr>
          <w:rFonts w:cs="Arial"/>
          <w:b w:val="0"/>
          <w:bCs w:val="0"/>
          <w:i/>
          <w:smallCaps w:val="0"/>
          <w:szCs w:val="20"/>
          <w:lang w:val="nl-NL"/>
        </w:rPr>
        <w:t>)</w:t>
      </w:r>
    </w:p>
    <w:p w:rsidRPr="00494232" w:rsidR="008200D8" w:rsidP="00215B99" w:rsidRDefault="00500251" w14:paraId="41EABC51" w14:textId="1B2A0F65">
      <w:pPr>
        <w:rPr>
          <w:rFonts w:cs="Arial"/>
          <w:szCs w:val="20"/>
          <w:lang w:val="nl-NL"/>
        </w:rPr>
      </w:pPr>
      <w:r w:rsidRPr="00494232">
        <w:rPr>
          <w:rFonts w:cs="Arial"/>
          <w:szCs w:val="20"/>
          <w:lang w:val="nl-NL"/>
        </w:rPr>
        <w:t>Artikel 3</w:t>
      </w:r>
      <w:r w:rsidRPr="00494232" w:rsidR="0053260E">
        <w:rPr>
          <w:rFonts w:cs="Arial"/>
          <w:szCs w:val="20"/>
          <w:lang w:val="nl-NL"/>
        </w:rPr>
        <w:t xml:space="preserve"> van het Verdrag</w:t>
      </w:r>
      <w:r w:rsidRPr="00494232">
        <w:rPr>
          <w:rFonts w:cs="Arial"/>
          <w:szCs w:val="20"/>
          <w:lang w:val="nl-NL"/>
        </w:rPr>
        <w:t xml:space="preserve"> bevat definities voor uitdrukkingen die in het Verdrag voorkomen.</w:t>
      </w:r>
      <w:r w:rsidRPr="00494232" w:rsidR="004662C3">
        <w:rPr>
          <w:rFonts w:cs="Arial"/>
          <w:szCs w:val="20"/>
          <w:lang w:val="nl-NL"/>
        </w:rPr>
        <w:t xml:space="preserve"> Deze definities zijn </w:t>
      </w:r>
      <w:r w:rsidRPr="00494232" w:rsidR="008200D8">
        <w:rPr>
          <w:rFonts w:cs="Arial"/>
          <w:szCs w:val="20"/>
          <w:lang w:val="nl-NL"/>
        </w:rPr>
        <w:t>gebaseerd op</w:t>
      </w:r>
      <w:r w:rsidRPr="00494232" w:rsidR="00F06044">
        <w:rPr>
          <w:rFonts w:cs="Arial"/>
          <w:szCs w:val="20"/>
          <w:lang w:val="nl-NL"/>
        </w:rPr>
        <w:t xml:space="preserve"> artikel 3 </w:t>
      </w:r>
      <w:r w:rsidRPr="00494232" w:rsidR="00BB43EF">
        <w:rPr>
          <w:rFonts w:cs="Arial"/>
          <w:szCs w:val="20"/>
          <w:lang w:val="nl-NL"/>
        </w:rPr>
        <w:t>van</w:t>
      </w:r>
      <w:r w:rsidRPr="00494232" w:rsidR="00F06044">
        <w:rPr>
          <w:rFonts w:cs="Arial"/>
          <w:szCs w:val="20"/>
          <w:lang w:val="nl-NL"/>
        </w:rPr>
        <w:t xml:space="preserve"> zowel het OESO- als het VN-m</w:t>
      </w:r>
      <w:r w:rsidRPr="00494232" w:rsidR="004662C3">
        <w:rPr>
          <w:rFonts w:cs="Arial"/>
          <w:szCs w:val="20"/>
          <w:lang w:val="nl-NL"/>
        </w:rPr>
        <w:t xml:space="preserve">odelverdrag. </w:t>
      </w:r>
      <w:r w:rsidRPr="00494232" w:rsidR="008200D8">
        <w:rPr>
          <w:rFonts w:cs="Arial"/>
          <w:szCs w:val="20"/>
          <w:lang w:val="nl-NL"/>
        </w:rPr>
        <w:t xml:space="preserve">In lijn met het VN-modelverdrag zijn </w:t>
      </w:r>
      <w:r w:rsidRPr="00494232" w:rsidR="00BB43EF">
        <w:rPr>
          <w:rFonts w:cs="Arial"/>
          <w:szCs w:val="20"/>
          <w:lang w:val="nl-NL"/>
        </w:rPr>
        <w:t xml:space="preserve">– in afwijking van het OESO-modelverdrag – </w:t>
      </w:r>
      <w:r w:rsidRPr="00494232" w:rsidR="008200D8">
        <w:rPr>
          <w:rFonts w:cs="Arial"/>
          <w:szCs w:val="20"/>
          <w:lang w:val="nl-NL"/>
        </w:rPr>
        <w:t>geen definities opgenomen van de uitdrukkingen ‘onderneming’ en ‘bedrijfsuitoefening’</w:t>
      </w:r>
      <w:r w:rsidRPr="00494232" w:rsidR="00C25020">
        <w:rPr>
          <w:rFonts w:cs="Arial"/>
          <w:szCs w:val="20"/>
          <w:lang w:val="nl-NL"/>
        </w:rPr>
        <w:t xml:space="preserve">. </w:t>
      </w:r>
      <w:r w:rsidRPr="00494232" w:rsidR="00187405">
        <w:rPr>
          <w:rFonts w:cs="Arial"/>
          <w:szCs w:val="20"/>
          <w:lang w:val="nl-NL"/>
        </w:rPr>
        <w:t xml:space="preserve">De </w:t>
      </w:r>
      <w:r w:rsidRPr="00494232" w:rsidR="00194B02">
        <w:rPr>
          <w:rFonts w:cs="Arial"/>
          <w:szCs w:val="20"/>
          <w:lang w:val="nl-NL"/>
        </w:rPr>
        <w:t>definities van deze uitdrukk</w:t>
      </w:r>
      <w:r w:rsidRPr="00494232" w:rsidR="00187405">
        <w:rPr>
          <w:rFonts w:cs="Arial"/>
          <w:szCs w:val="20"/>
          <w:lang w:val="nl-NL"/>
        </w:rPr>
        <w:t>ingen</w:t>
      </w:r>
      <w:r w:rsidRPr="00494232" w:rsidR="00194B02">
        <w:rPr>
          <w:rFonts w:cs="Arial"/>
          <w:szCs w:val="20"/>
          <w:lang w:val="nl-NL"/>
        </w:rPr>
        <w:t xml:space="preserve"> in het OESO-modelverdrag </w:t>
      </w:r>
      <w:r w:rsidRPr="00494232" w:rsidR="00187405">
        <w:rPr>
          <w:rFonts w:cs="Arial"/>
          <w:szCs w:val="20"/>
          <w:lang w:val="nl-NL"/>
        </w:rPr>
        <w:t xml:space="preserve">omvatten namelijk ook zelfstandige arbeid, terwijl Chili </w:t>
      </w:r>
      <w:r w:rsidRPr="00494232" w:rsidR="004B37CD">
        <w:rPr>
          <w:rFonts w:cs="Arial"/>
          <w:szCs w:val="20"/>
          <w:lang w:val="nl-NL"/>
        </w:rPr>
        <w:t xml:space="preserve">– </w:t>
      </w:r>
      <w:r w:rsidRPr="00494232" w:rsidR="00187405">
        <w:rPr>
          <w:rFonts w:cs="Arial"/>
          <w:szCs w:val="20"/>
          <w:lang w:val="nl-NL"/>
        </w:rPr>
        <w:t>in lijn met het VN-modelverdrag – de voorkeur had voor</w:t>
      </w:r>
      <w:r w:rsidRPr="00494232" w:rsidR="0012679B">
        <w:rPr>
          <w:rFonts w:cs="Arial"/>
          <w:szCs w:val="20"/>
          <w:lang w:val="nl-NL"/>
        </w:rPr>
        <w:t xml:space="preserve"> opname van een </w:t>
      </w:r>
      <w:r w:rsidRPr="00494232" w:rsidR="00187405">
        <w:rPr>
          <w:rFonts w:cs="Arial"/>
          <w:szCs w:val="20"/>
          <w:lang w:val="nl-NL"/>
        </w:rPr>
        <w:t xml:space="preserve">separaat </w:t>
      </w:r>
      <w:r w:rsidRPr="00494232" w:rsidR="0012679B">
        <w:rPr>
          <w:rFonts w:cs="Arial"/>
          <w:szCs w:val="20"/>
          <w:lang w:val="nl-NL"/>
        </w:rPr>
        <w:t>artikel over zelfstandige arbeid (artikel 14 van het Verdrag).</w:t>
      </w:r>
    </w:p>
    <w:p w:rsidRPr="003F5466" w:rsidR="00B72615" w:rsidP="00B72615" w:rsidRDefault="00B72615" w14:paraId="09078EF9" w14:textId="7A553201">
      <w:pPr>
        <w:rPr>
          <w:rFonts w:cs="Arial"/>
          <w:szCs w:val="20"/>
          <w:lang w:val="nl-NL"/>
        </w:rPr>
      </w:pPr>
      <w:r w:rsidRPr="00030D4B">
        <w:rPr>
          <w:rFonts w:cs="Arial"/>
          <w:szCs w:val="20"/>
          <w:lang w:val="nl-NL"/>
        </w:rPr>
        <w:t xml:space="preserve">Volgens het eerste lid, onderdeel a, wordt onder de uitdrukkingen ‘een verdragsluitende staat’ en </w:t>
      </w:r>
      <w:r w:rsidRPr="00F718B7">
        <w:rPr>
          <w:rFonts w:cs="Arial"/>
          <w:szCs w:val="20"/>
          <w:lang w:val="nl-NL"/>
        </w:rPr>
        <w:t>‘de andere verdragsluitende staat’ afhankelijk van de context, het Koninkrijk der Nederlanden, met betrekking tot Nederland, of de Republiek Chili verstaan. In het eerste lid, onderdelen b en c worden vervolgens de</w:t>
      </w:r>
      <w:r w:rsidRPr="00A86C96">
        <w:rPr>
          <w:rFonts w:cs="Arial"/>
          <w:szCs w:val="20"/>
          <w:lang w:val="nl-NL"/>
        </w:rPr>
        <w:t xml:space="preserve"> begrippen ‘Nederland</w:t>
      </w:r>
      <w:r w:rsidRPr="00F944EE">
        <w:rPr>
          <w:rFonts w:cs="Arial"/>
          <w:szCs w:val="20"/>
          <w:lang w:val="nl-NL"/>
        </w:rPr>
        <w:t xml:space="preserve">’ en ‘Chili’ voor de toepassing van het Verdrag gedefinieerd. </w:t>
      </w:r>
      <w:r w:rsidR="009D76EF">
        <w:rPr>
          <w:rFonts w:cs="Arial"/>
          <w:szCs w:val="20"/>
          <w:lang w:val="nl-NL"/>
        </w:rPr>
        <w:lastRenderedPageBreak/>
        <w:t>Hieruit volgt dat in</w:t>
      </w:r>
      <w:r w:rsidRPr="00F944EE">
        <w:rPr>
          <w:rFonts w:cs="Arial"/>
          <w:szCs w:val="20"/>
          <w:lang w:val="nl-NL"/>
        </w:rPr>
        <w:t xml:space="preserve"> het Verdrag onder de uitdrukking ‘Nederland</w:t>
      </w:r>
      <w:r w:rsidRPr="004610D9">
        <w:rPr>
          <w:rFonts w:cs="Arial"/>
          <w:szCs w:val="20"/>
          <w:lang w:val="nl-NL"/>
        </w:rPr>
        <w:t>’</w:t>
      </w:r>
      <w:r w:rsidRPr="003F5466">
        <w:rPr>
          <w:rFonts w:cs="Arial"/>
          <w:szCs w:val="20"/>
          <w:lang w:val="nl-NL"/>
        </w:rPr>
        <w:t xml:space="preserve"> alleen het in Europa gelegen deel van het Koninkrijk </w:t>
      </w:r>
      <w:r w:rsidR="009D76EF">
        <w:rPr>
          <w:rFonts w:cs="Arial"/>
          <w:szCs w:val="20"/>
          <w:lang w:val="nl-NL"/>
        </w:rPr>
        <w:t xml:space="preserve">wordt </w:t>
      </w:r>
      <w:r w:rsidRPr="003F5466">
        <w:rPr>
          <w:rFonts w:cs="Arial"/>
          <w:szCs w:val="20"/>
          <w:lang w:val="nl-NL"/>
        </w:rPr>
        <w:t xml:space="preserve">verstaan. </w:t>
      </w:r>
    </w:p>
    <w:p w:rsidRPr="00494232" w:rsidR="00621CA0" w:rsidP="00621CA0" w:rsidRDefault="00621CA0" w14:paraId="6547496A" w14:textId="713F0024">
      <w:pPr>
        <w:rPr>
          <w:rFonts w:cs="Arial"/>
          <w:szCs w:val="20"/>
          <w:lang w:val="nl-NL"/>
        </w:rPr>
      </w:pPr>
      <w:r w:rsidRPr="00494232">
        <w:rPr>
          <w:rFonts w:cs="Arial"/>
          <w:szCs w:val="20"/>
          <w:lang w:val="nl-NL"/>
        </w:rPr>
        <w:t>Voor wat betreft de andere landen van het Koninkrijk, Aruba, Curaçao en Sint Maarten is relevant dat in artikel I, tweede lid, van het Protocol is bepaald dat de verdragsluitende staten kunnen overeenkomen het Verdrag (met eventuele noodzakelijke wijzigingen) uit te breiden tot Aruba, Curaçao of Sint Maarten, als overeenstemming bestaat dat deze delen van het Koninkrijk der Nederlanden belastingen heffen die in wezen of wat betreft tarieven gelijksoortig of voldoende gelijksoortig zijn aan de belastingen waarop het Verdrag van toepassing is.</w:t>
      </w:r>
    </w:p>
    <w:p w:rsidRPr="00494232" w:rsidR="00215B99" w:rsidP="00215B99" w:rsidRDefault="001A560E" w14:paraId="7AD8471D" w14:textId="49FFE395">
      <w:pPr>
        <w:rPr>
          <w:rFonts w:cs="Arial"/>
          <w:szCs w:val="20"/>
          <w:lang w:val="nl-NL"/>
        </w:rPr>
      </w:pPr>
      <w:r>
        <w:rPr>
          <w:rFonts w:cs="Arial"/>
          <w:szCs w:val="20"/>
          <w:lang w:val="nl-NL"/>
        </w:rPr>
        <w:t>Artikel 3, eerste lid</w:t>
      </w:r>
      <w:r w:rsidRPr="00494232" w:rsidR="00734C9D">
        <w:rPr>
          <w:rFonts w:cs="Arial"/>
          <w:szCs w:val="20"/>
          <w:lang w:val="nl-NL"/>
        </w:rPr>
        <w:t>, onderdeel d</w:t>
      </w:r>
      <w:r w:rsidRPr="00494232" w:rsidR="00E262B8">
        <w:rPr>
          <w:rFonts w:cs="Arial"/>
          <w:szCs w:val="20"/>
          <w:lang w:val="nl-NL"/>
        </w:rPr>
        <w:t xml:space="preserve">, </w:t>
      </w:r>
      <w:r w:rsidRPr="00494232" w:rsidR="00734C9D">
        <w:rPr>
          <w:rFonts w:cs="Arial"/>
          <w:szCs w:val="20"/>
          <w:lang w:val="nl-NL"/>
        </w:rPr>
        <w:t xml:space="preserve">beschrijft wat bij de toepassing van het Verdrag onder ‘persoon’ wordt verstaan. Op verzoek van Chili is uitdrukkelijk opgenomen dat ook een erkend pensioenfonds als een persoon wordt </w:t>
      </w:r>
      <w:r w:rsidRPr="00494232" w:rsidR="00DA3606">
        <w:rPr>
          <w:rFonts w:cs="Arial"/>
          <w:szCs w:val="20"/>
          <w:lang w:val="nl-NL"/>
        </w:rPr>
        <w:t>aangemerkt</w:t>
      </w:r>
      <w:r w:rsidRPr="00494232" w:rsidR="002D727D">
        <w:rPr>
          <w:rFonts w:cs="Arial"/>
          <w:szCs w:val="20"/>
          <w:lang w:val="nl-NL"/>
        </w:rPr>
        <w:t xml:space="preserve">. Dit hangt samen met de vormgeving van het Chileense pensioensysteem waarbij pensioenkapitaal </w:t>
      </w:r>
      <w:r w:rsidRPr="00494232" w:rsidR="00F430A6">
        <w:rPr>
          <w:rFonts w:cs="Arial"/>
          <w:szCs w:val="20"/>
          <w:lang w:val="nl-NL"/>
        </w:rPr>
        <w:t xml:space="preserve">normaliter </w:t>
      </w:r>
      <w:r w:rsidRPr="00494232" w:rsidR="002D727D">
        <w:rPr>
          <w:rFonts w:cs="Arial"/>
          <w:szCs w:val="20"/>
          <w:lang w:val="nl-NL"/>
        </w:rPr>
        <w:t>juridisch wordt beschouwd als eigendom (</w:t>
      </w:r>
      <w:proofErr w:type="spellStart"/>
      <w:r w:rsidRPr="00494232" w:rsidR="002D727D">
        <w:rPr>
          <w:rFonts w:cs="Arial"/>
          <w:i/>
          <w:szCs w:val="20"/>
          <w:lang w:val="nl-NL"/>
        </w:rPr>
        <w:t>patrimoni</w:t>
      </w:r>
      <w:r w:rsidRPr="00494232" w:rsidR="00433279">
        <w:rPr>
          <w:rFonts w:cs="Arial"/>
          <w:i/>
          <w:szCs w:val="20"/>
          <w:lang w:val="nl-NL"/>
        </w:rPr>
        <w:t>o</w:t>
      </w:r>
      <w:proofErr w:type="spellEnd"/>
      <w:r w:rsidRPr="00494232" w:rsidR="002D727D">
        <w:rPr>
          <w:rFonts w:cs="Arial"/>
          <w:szCs w:val="20"/>
          <w:lang w:val="nl-NL"/>
        </w:rPr>
        <w:t xml:space="preserve">) van de pensioengerechtigde, dat wordt </w:t>
      </w:r>
      <w:r w:rsidRPr="00494232" w:rsidR="00DA3606">
        <w:rPr>
          <w:rFonts w:cs="Arial"/>
          <w:szCs w:val="20"/>
          <w:lang w:val="nl-NL"/>
        </w:rPr>
        <w:t>beheerd d</w:t>
      </w:r>
      <w:r w:rsidRPr="00494232" w:rsidR="00F430A6">
        <w:rPr>
          <w:rFonts w:cs="Arial"/>
          <w:szCs w:val="20"/>
          <w:lang w:val="nl-NL"/>
        </w:rPr>
        <w:t>oor specifieke entiteiten (</w:t>
      </w:r>
      <w:proofErr w:type="spellStart"/>
      <w:r w:rsidRPr="00494232" w:rsidR="00F430A6">
        <w:rPr>
          <w:rFonts w:cs="Arial"/>
          <w:i/>
          <w:szCs w:val="20"/>
          <w:lang w:val="nl-NL"/>
        </w:rPr>
        <w:t>Administradoras</w:t>
      </w:r>
      <w:proofErr w:type="spellEnd"/>
      <w:r w:rsidRPr="00494232" w:rsidR="00F430A6">
        <w:rPr>
          <w:rFonts w:cs="Arial"/>
          <w:i/>
          <w:szCs w:val="20"/>
          <w:lang w:val="nl-NL"/>
        </w:rPr>
        <w:t xml:space="preserve"> de </w:t>
      </w:r>
      <w:proofErr w:type="spellStart"/>
      <w:r w:rsidRPr="00494232" w:rsidR="00F430A6">
        <w:rPr>
          <w:rFonts w:cs="Arial"/>
          <w:i/>
          <w:szCs w:val="20"/>
          <w:lang w:val="nl-NL"/>
        </w:rPr>
        <w:t>Fondos</w:t>
      </w:r>
      <w:proofErr w:type="spellEnd"/>
      <w:r w:rsidRPr="00494232" w:rsidR="00F430A6">
        <w:rPr>
          <w:rFonts w:cs="Arial"/>
          <w:i/>
          <w:szCs w:val="20"/>
          <w:lang w:val="nl-NL"/>
        </w:rPr>
        <w:t xml:space="preserve"> de </w:t>
      </w:r>
      <w:proofErr w:type="spellStart"/>
      <w:r w:rsidRPr="00494232" w:rsidR="00F430A6">
        <w:rPr>
          <w:rFonts w:cs="Arial"/>
          <w:i/>
          <w:szCs w:val="20"/>
          <w:lang w:val="nl-NL"/>
        </w:rPr>
        <w:t>Pensiones</w:t>
      </w:r>
      <w:proofErr w:type="spellEnd"/>
      <w:r w:rsidRPr="00494232" w:rsidR="00F430A6">
        <w:rPr>
          <w:rFonts w:cs="Arial"/>
          <w:szCs w:val="20"/>
          <w:lang w:val="nl-NL"/>
        </w:rPr>
        <w:t>)</w:t>
      </w:r>
      <w:r w:rsidRPr="00494232" w:rsidR="00DA3606">
        <w:rPr>
          <w:rFonts w:cs="Arial"/>
          <w:szCs w:val="20"/>
          <w:lang w:val="nl-NL"/>
        </w:rPr>
        <w:t>.</w:t>
      </w:r>
      <w:r w:rsidRPr="00494232" w:rsidR="00F430A6">
        <w:rPr>
          <w:rFonts w:cs="Arial"/>
          <w:szCs w:val="20"/>
          <w:lang w:val="nl-NL"/>
        </w:rPr>
        <w:t xml:space="preserve"> Een pensioenfonds wordt in Chili juridisch daarom niet als aparte persoon aangemerkt; het pensioenfonds is wel vrijgesteld van </w:t>
      </w:r>
      <w:r w:rsidRPr="00494232" w:rsidR="003729F4">
        <w:rPr>
          <w:rFonts w:cs="Arial"/>
          <w:szCs w:val="20"/>
          <w:lang w:val="nl-NL"/>
        </w:rPr>
        <w:t>(winst-/inkomsten)</w:t>
      </w:r>
      <w:r w:rsidRPr="00494232" w:rsidR="00F430A6">
        <w:rPr>
          <w:rFonts w:cs="Arial"/>
          <w:szCs w:val="20"/>
          <w:lang w:val="nl-NL"/>
        </w:rPr>
        <w:t>belasting.</w:t>
      </w:r>
    </w:p>
    <w:p w:rsidRPr="00494232" w:rsidR="00F430A6" w:rsidP="00215B99" w:rsidRDefault="00FC1877" w14:paraId="562D1B0B" w14:textId="77C7FA77">
      <w:pPr>
        <w:rPr>
          <w:rFonts w:cs="Arial"/>
          <w:szCs w:val="20"/>
          <w:lang w:val="nl-NL"/>
        </w:rPr>
      </w:pPr>
      <w:r w:rsidRPr="00494232">
        <w:rPr>
          <w:rFonts w:cs="Arial"/>
          <w:szCs w:val="20"/>
          <w:lang w:val="nl-NL"/>
        </w:rPr>
        <w:t>Met d</w:t>
      </w:r>
      <w:r w:rsidRPr="00494232" w:rsidR="003729F4">
        <w:rPr>
          <w:rFonts w:cs="Arial"/>
          <w:szCs w:val="20"/>
          <w:lang w:val="nl-NL"/>
        </w:rPr>
        <w:t xml:space="preserve">e definitie van </w:t>
      </w:r>
      <w:r w:rsidRPr="00494232" w:rsidR="00A4325F">
        <w:rPr>
          <w:rFonts w:cs="Arial"/>
          <w:szCs w:val="20"/>
          <w:lang w:val="nl-NL"/>
        </w:rPr>
        <w:t>‘</w:t>
      </w:r>
      <w:r w:rsidRPr="00494232" w:rsidR="003729F4">
        <w:rPr>
          <w:rFonts w:cs="Arial"/>
          <w:szCs w:val="20"/>
          <w:lang w:val="nl-NL"/>
        </w:rPr>
        <w:t>internationaal verkeer</w:t>
      </w:r>
      <w:r w:rsidRPr="00494232" w:rsidR="00A4325F">
        <w:rPr>
          <w:rFonts w:cs="Arial"/>
          <w:szCs w:val="20"/>
          <w:lang w:val="nl-NL"/>
        </w:rPr>
        <w:t>’</w:t>
      </w:r>
      <w:r w:rsidRPr="00494232" w:rsidR="003729F4">
        <w:rPr>
          <w:rFonts w:cs="Arial"/>
          <w:szCs w:val="20"/>
          <w:lang w:val="nl-NL"/>
        </w:rPr>
        <w:t xml:space="preserve"> in </w:t>
      </w:r>
      <w:r w:rsidRPr="00494232" w:rsidR="00E262B8">
        <w:rPr>
          <w:rFonts w:cs="Arial"/>
          <w:szCs w:val="20"/>
          <w:lang w:val="nl-NL"/>
        </w:rPr>
        <w:t>het</w:t>
      </w:r>
      <w:r w:rsidRPr="00494232" w:rsidR="003729F4">
        <w:rPr>
          <w:rFonts w:cs="Arial"/>
          <w:szCs w:val="20"/>
          <w:lang w:val="nl-NL"/>
        </w:rPr>
        <w:t xml:space="preserve"> eerste lid, onderdeel g</w:t>
      </w:r>
      <w:r w:rsidRPr="00494232">
        <w:rPr>
          <w:rFonts w:cs="Arial"/>
          <w:szCs w:val="20"/>
          <w:lang w:val="nl-NL"/>
        </w:rPr>
        <w:t xml:space="preserve">, is inhoudelijk beoogd aan te sluiten bij de definitie uit het OESO-modelverdrag. De afwijkingen ten opzichte van het OESO-modelverdrag (een verwijzing naar </w:t>
      </w:r>
      <w:r w:rsidRPr="00494232" w:rsidR="00A4325F">
        <w:rPr>
          <w:rFonts w:cs="Arial"/>
          <w:szCs w:val="20"/>
          <w:lang w:val="nl-NL"/>
        </w:rPr>
        <w:t>‘</w:t>
      </w:r>
      <w:r w:rsidRPr="00494232">
        <w:rPr>
          <w:rFonts w:cs="Arial"/>
          <w:szCs w:val="20"/>
          <w:lang w:val="nl-NL"/>
        </w:rPr>
        <w:t>dergelijk vervoer</w:t>
      </w:r>
      <w:r w:rsidRPr="00494232" w:rsidR="00A4325F">
        <w:rPr>
          <w:rFonts w:cs="Arial"/>
          <w:szCs w:val="20"/>
          <w:lang w:val="nl-NL"/>
        </w:rPr>
        <w:t>’</w:t>
      </w:r>
      <w:r w:rsidRPr="00494232">
        <w:rPr>
          <w:rFonts w:cs="Arial"/>
          <w:szCs w:val="20"/>
          <w:lang w:val="nl-NL"/>
        </w:rPr>
        <w:t xml:space="preserve">, respectievelijk </w:t>
      </w:r>
      <w:r w:rsidRPr="00494232" w:rsidR="00A4325F">
        <w:rPr>
          <w:rFonts w:cs="Arial"/>
          <w:szCs w:val="20"/>
          <w:lang w:val="nl-NL"/>
        </w:rPr>
        <w:t>‘</w:t>
      </w:r>
      <w:r w:rsidRPr="00494232" w:rsidR="007331B0">
        <w:rPr>
          <w:rFonts w:cs="Arial"/>
          <w:szCs w:val="20"/>
          <w:lang w:val="nl-NL"/>
        </w:rPr>
        <w:t xml:space="preserve">het </w:t>
      </w:r>
      <w:r w:rsidRPr="00494232">
        <w:rPr>
          <w:rFonts w:cs="Arial"/>
          <w:szCs w:val="20"/>
          <w:lang w:val="nl-NL"/>
        </w:rPr>
        <w:t>vervoer</w:t>
      </w:r>
      <w:r w:rsidRPr="00494232" w:rsidR="00A4325F">
        <w:rPr>
          <w:rFonts w:cs="Arial"/>
          <w:szCs w:val="20"/>
          <w:lang w:val="nl-NL"/>
        </w:rPr>
        <w:t>’</w:t>
      </w:r>
      <w:r w:rsidRPr="00494232">
        <w:rPr>
          <w:rFonts w:cs="Arial"/>
          <w:szCs w:val="20"/>
          <w:lang w:val="nl-NL"/>
        </w:rPr>
        <w:t xml:space="preserve"> in plaats van een verwijzing naar </w:t>
      </w:r>
      <w:r w:rsidRPr="00494232" w:rsidR="00A4325F">
        <w:rPr>
          <w:rFonts w:cs="Arial"/>
          <w:szCs w:val="20"/>
          <w:lang w:val="nl-NL"/>
        </w:rPr>
        <w:t>‘</w:t>
      </w:r>
      <w:r w:rsidRPr="00494232">
        <w:rPr>
          <w:rFonts w:cs="Arial"/>
          <w:szCs w:val="20"/>
          <w:lang w:val="nl-NL"/>
        </w:rPr>
        <w:t>het schip of luchtvaartuig</w:t>
      </w:r>
      <w:r w:rsidRPr="00494232" w:rsidR="00A4325F">
        <w:rPr>
          <w:rFonts w:cs="Arial"/>
          <w:szCs w:val="20"/>
          <w:lang w:val="nl-NL"/>
        </w:rPr>
        <w:t>’</w:t>
      </w:r>
      <w:r w:rsidRPr="00494232">
        <w:rPr>
          <w:rFonts w:cs="Arial"/>
          <w:szCs w:val="20"/>
          <w:lang w:val="nl-NL"/>
        </w:rPr>
        <w:t xml:space="preserve">) zijn niet </w:t>
      </w:r>
      <w:r w:rsidRPr="00494232" w:rsidR="007331B0">
        <w:rPr>
          <w:rFonts w:cs="Arial"/>
          <w:szCs w:val="20"/>
          <w:lang w:val="nl-NL"/>
        </w:rPr>
        <w:t>inhoudelijk van</w:t>
      </w:r>
      <w:r w:rsidRPr="00494232">
        <w:rPr>
          <w:rFonts w:cs="Arial"/>
          <w:szCs w:val="20"/>
          <w:lang w:val="nl-NL"/>
        </w:rPr>
        <w:t xml:space="preserve"> aard.</w:t>
      </w:r>
    </w:p>
    <w:p w:rsidRPr="00494232" w:rsidR="007331B0" w:rsidP="00215B99" w:rsidRDefault="00DE0721" w14:paraId="1B736A69" w14:textId="1296DCE9">
      <w:pPr>
        <w:rPr>
          <w:rFonts w:cs="Arial"/>
          <w:szCs w:val="20"/>
          <w:lang w:val="nl-NL"/>
        </w:rPr>
      </w:pPr>
      <w:r w:rsidRPr="00494232">
        <w:rPr>
          <w:rFonts w:cs="Arial"/>
          <w:szCs w:val="20"/>
          <w:lang w:val="nl-NL"/>
        </w:rPr>
        <w:t xml:space="preserve">Bij de definitie van </w:t>
      </w:r>
      <w:r w:rsidRPr="00494232" w:rsidR="00A4325F">
        <w:rPr>
          <w:rFonts w:cs="Arial"/>
          <w:szCs w:val="20"/>
          <w:lang w:val="nl-NL"/>
        </w:rPr>
        <w:t>‘</w:t>
      </w:r>
      <w:r w:rsidRPr="00494232">
        <w:rPr>
          <w:rFonts w:cs="Arial"/>
          <w:szCs w:val="20"/>
          <w:lang w:val="nl-NL"/>
        </w:rPr>
        <w:t>onderdaan</w:t>
      </w:r>
      <w:r w:rsidRPr="00494232" w:rsidR="00A4325F">
        <w:rPr>
          <w:rFonts w:cs="Arial"/>
          <w:szCs w:val="20"/>
          <w:lang w:val="nl-NL"/>
        </w:rPr>
        <w:t>’</w:t>
      </w:r>
      <w:r w:rsidRPr="00494232">
        <w:rPr>
          <w:rFonts w:cs="Arial"/>
          <w:szCs w:val="20"/>
          <w:lang w:val="nl-NL"/>
        </w:rPr>
        <w:t xml:space="preserve"> in </w:t>
      </w:r>
      <w:r w:rsidRPr="00494232" w:rsidR="00E262B8">
        <w:rPr>
          <w:rFonts w:cs="Arial"/>
          <w:szCs w:val="20"/>
          <w:lang w:val="nl-NL"/>
        </w:rPr>
        <w:t>het</w:t>
      </w:r>
      <w:r w:rsidRPr="00494232">
        <w:rPr>
          <w:rFonts w:cs="Arial"/>
          <w:szCs w:val="20"/>
          <w:lang w:val="nl-NL"/>
        </w:rPr>
        <w:t xml:space="preserve"> eerste lid, onderdeel i, zijn separate definities opgenomen voor Nederland en Chili. In de definitie van </w:t>
      </w:r>
      <w:r w:rsidRPr="00494232" w:rsidR="00A4325F">
        <w:rPr>
          <w:rFonts w:cs="Arial"/>
          <w:szCs w:val="20"/>
          <w:lang w:val="nl-NL"/>
        </w:rPr>
        <w:t>‘</w:t>
      </w:r>
      <w:r w:rsidRPr="00494232">
        <w:rPr>
          <w:rFonts w:cs="Arial"/>
          <w:szCs w:val="20"/>
          <w:lang w:val="nl-NL"/>
        </w:rPr>
        <w:t>onderdaan</w:t>
      </w:r>
      <w:r w:rsidRPr="00494232" w:rsidR="00A4325F">
        <w:rPr>
          <w:rFonts w:cs="Arial"/>
          <w:szCs w:val="20"/>
          <w:lang w:val="nl-NL"/>
        </w:rPr>
        <w:t>’</w:t>
      </w:r>
      <w:r w:rsidRPr="00494232">
        <w:rPr>
          <w:rFonts w:cs="Arial"/>
          <w:szCs w:val="20"/>
          <w:lang w:val="nl-NL"/>
        </w:rPr>
        <w:t xml:space="preserve"> wat betreft Chili ontbreekt – in afwijking van het OESO-modelverdrag – een verwijzing naar een samenwerkingsverband. </w:t>
      </w:r>
    </w:p>
    <w:p w:rsidRPr="00494232" w:rsidR="009D208D" w:rsidP="009D208D" w:rsidRDefault="00DE0721" w14:paraId="35C609D3" w14:textId="2AF56A52">
      <w:pPr>
        <w:rPr>
          <w:rFonts w:cs="Arial"/>
          <w:szCs w:val="20"/>
          <w:lang w:val="nl-NL"/>
        </w:rPr>
      </w:pPr>
      <w:r w:rsidRPr="00494232">
        <w:rPr>
          <w:rFonts w:cs="Arial"/>
          <w:szCs w:val="20"/>
          <w:lang w:val="nl-NL"/>
        </w:rPr>
        <w:t xml:space="preserve">In </w:t>
      </w:r>
      <w:r w:rsidRPr="00494232" w:rsidR="00E262B8">
        <w:rPr>
          <w:rFonts w:cs="Arial"/>
          <w:szCs w:val="20"/>
          <w:lang w:val="nl-NL"/>
        </w:rPr>
        <w:t xml:space="preserve">het eerste lid, onderdeel j, </w:t>
      </w:r>
      <w:r w:rsidRPr="00494232">
        <w:rPr>
          <w:rFonts w:cs="Arial"/>
          <w:szCs w:val="20"/>
          <w:lang w:val="nl-NL"/>
        </w:rPr>
        <w:t>wordt bepaald wat moet worden verstaan onder een ‘erkend pensioenfonds’. Belangrijkste criteria</w:t>
      </w:r>
      <w:r w:rsidRPr="00494232" w:rsidR="009D208D">
        <w:rPr>
          <w:rFonts w:cs="Arial"/>
          <w:szCs w:val="20"/>
          <w:lang w:val="nl-NL"/>
        </w:rPr>
        <w:t xml:space="preserve"> </w:t>
      </w:r>
      <w:r w:rsidRPr="00494232">
        <w:rPr>
          <w:rFonts w:cs="Arial"/>
          <w:szCs w:val="20"/>
          <w:lang w:val="nl-NL"/>
        </w:rPr>
        <w:t xml:space="preserve">daarin </w:t>
      </w:r>
      <w:r w:rsidRPr="00494232" w:rsidR="009D208D">
        <w:rPr>
          <w:rFonts w:cs="Arial"/>
          <w:szCs w:val="20"/>
          <w:lang w:val="nl-NL"/>
        </w:rPr>
        <w:t xml:space="preserve">(onder ii) </w:t>
      </w:r>
      <w:r w:rsidRPr="00494232">
        <w:rPr>
          <w:rFonts w:cs="Arial"/>
          <w:szCs w:val="20"/>
          <w:lang w:val="nl-NL"/>
        </w:rPr>
        <w:t xml:space="preserve">zijn </w:t>
      </w:r>
      <w:r w:rsidRPr="00494232" w:rsidR="009D208D">
        <w:rPr>
          <w:rFonts w:cs="Arial"/>
          <w:szCs w:val="20"/>
          <w:lang w:val="nl-NL"/>
        </w:rPr>
        <w:t xml:space="preserve">het </w:t>
      </w:r>
      <w:r w:rsidRPr="00494232" w:rsidR="00D870A4">
        <w:rPr>
          <w:rFonts w:cs="Arial"/>
          <w:szCs w:val="20"/>
          <w:lang w:val="nl-NL"/>
        </w:rPr>
        <w:t xml:space="preserve">zich </w:t>
      </w:r>
      <w:r w:rsidRPr="00494232">
        <w:rPr>
          <w:rFonts w:cs="Arial"/>
          <w:szCs w:val="20"/>
          <w:lang w:val="nl-NL"/>
        </w:rPr>
        <w:t>(</w:t>
      </w:r>
      <w:r w:rsidRPr="00494232" w:rsidR="00425D9C">
        <w:rPr>
          <w:rFonts w:cs="Arial"/>
          <w:szCs w:val="20"/>
          <w:lang w:val="nl-NL"/>
        </w:rPr>
        <w:t>nagenoeg</w:t>
      </w:r>
      <w:r w:rsidRPr="00494232">
        <w:rPr>
          <w:rFonts w:cs="Arial"/>
          <w:szCs w:val="20"/>
          <w:lang w:val="nl-NL"/>
        </w:rPr>
        <w:t xml:space="preserve">) uitsluitend </w:t>
      </w:r>
      <w:r w:rsidRPr="00494232" w:rsidR="009D208D">
        <w:rPr>
          <w:rFonts w:cs="Arial"/>
          <w:szCs w:val="20"/>
          <w:lang w:val="nl-NL"/>
        </w:rPr>
        <w:t>bezighouden</w:t>
      </w:r>
      <w:r w:rsidRPr="00494232">
        <w:rPr>
          <w:rFonts w:cs="Arial"/>
          <w:szCs w:val="20"/>
          <w:lang w:val="nl-NL"/>
        </w:rPr>
        <w:t xml:space="preserve"> met de uitvoering van pensioenregelingen en </w:t>
      </w:r>
      <w:r w:rsidRPr="00494232" w:rsidR="009D208D">
        <w:rPr>
          <w:rFonts w:cs="Arial"/>
          <w:szCs w:val="20"/>
          <w:lang w:val="nl-NL"/>
        </w:rPr>
        <w:t>de regulering</w:t>
      </w:r>
      <w:r w:rsidRPr="00494232">
        <w:rPr>
          <w:rFonts w:cs="Arial"/>
          <w:szCs w:val="20"/>
          <w:lang w:val="nl-NL"/>
        </w:rPr>
        <w:t xml:space="preserve"> door de overheid. </w:t>
      </w:r>
      <w:r w:rsidRPr="00494232" w:rsidR="009D208D">
        <w:rPr>
          <w:rFonts w:cs="Arial"/>
          <w:szCs w:val="20"/>
          <w:lang w:val="nl-NL"/>
        </w:rPr>
        <w:t xml:space="preserve">Ook kan sprake zijn van een ‘erkend pensioenfonds’ als </w:t>
      </w:r>
      <w:r w:rsidRPr="00494232" w:rsidR="00425D9C">
        <w:rPr>
          <w:rFonts w:cs="Arial"/>
          <w:szCs w:val="20"/>
          <w:lang w:val="nl-NL"/>
        </w:rPr>
        <w:t xml:space="preserve">(onder iii) </w:t>
      </w:r>
      <w:r w:rsidRPr="00494232" w:rsidR="009D208D">
        <w:rPr>
          <w:rFonts w:cs="Arial"/>
          <w:szCs w:val="20"/>
          <w:lang w:val="nl-NL"/>
        </w:rPr>
        <w:t>(</w:t>
      </w:r>
      <w:r w:rsidRPr="00494232" w:rsidR="00425D9C">
        <w:rPr>
          <w:rFonts w:cs="Arial"/>
          <w:szCs w:val="20"/>
          <w:lang w:val="nl-NL"/>
        </w:rPr>
        <w:t>nagenoeg</w:t>
      </w:r>
      <w:r w:rsidRPr="00494232" w:rsidR="009D208D">
        <w:rPr>
          <w:rFonts w:cs="Arial"/>
          <w:szCs w:val="20"/>
          <w:lang w:val="nl-NL"/>
        </w:rPr>
        <w:t xml:space="preserve">) </w:t>
      </w:r>
      <w:r w:rsidRPr="00494232">
        <w:rPr>
          <w:rFonts w:cs="Arial"/>
          <w:szCs w:val="20"/>
          <w:lang w:val="nl-NL"/>
        </w:rPr>
        <w:t xml:space="preserve">uitsluitend </w:t>
      </w:r>
      <w:r w:rsidRPr="00494232" w:rsidR="009D208D">
        <w:rPr>
          <w:rFonts w:cs="Arial"/>
          <w:szCs w:val="20"/>
          <w:lang w:val="nl-NL"/>
        </w:rPr>
        <w:t xml:space="preserve">wordt belegd </w:t>
      </w:r>
      <w:r w:rsidRPr="00494232">
        <w:rPr>
          <w:rFonts w:cs="Arial"/>
          <w:szCs w:val="20"/>
          <w:lang w:val="nl-NL"/>
        </w:rPr>
        <w:t xml:space="preserve">ten behoeve van </w:t>
      </w:r>
      <w:r w:rsidRPr="00494232" w:rsidR="009D208D">
        <w:rPr>
          <w:rFonts w:cs="Arial"/>
          <w:szCs w:val="20"/>
          <w:lang w:val="nl-NL"/>
        </w:rPr>
        <w:t>pensioenfondsen waarnaar verwezen wordt onder ii</w:t>
      </w:r>
      <w:r w:rsidRPr="00494232">
        <w:rPr>
          <w:rFonts w:cs="Arial"/>
          <w:szCs w:val="20"/>
          <w:lang w:val="nl-NL"/>
        </w:rPr>
        <w:t xml:space="preserve">. In de definitie van het OESO-modelverdrag is niet vereist dat een </w:t>
      </w:r>
      <w:r w:rsidRPr="00494232" w:rsidR="009D208D">
        <w:rPr>
          <w:rFonts w:cs="Arial"/>
          <w:szCs w:val="20"/>
          <w:lang w:val="nl-NL"/>
        </w:rPr>
        <w:t>erkend</w:t>
      </w:r>
      <w:r w:rsidRPr="00494232">
        <w:rPr>
          <w:rFonts w:cs="Arial"/>
          <w:szCs w:val="20"/>
          <w:lang w:val="nl-NL"/>
        </w:rPr>
        <w:t xml:space="preserve"> pensioenfonds vrijgesteld moet zijn voor de vennootschapsbelasting. Op verzoek van Nederland is dit vereiste hier wel opgenomen</w:t>
      </w:r>
      <w:r w:rsidRPr="00494232" w:rsidR="00425D9C">
        <w:rPr>
          <w:rFonts w:cs="Arial"/>
          <w:szCs w:val="20"/>
          <w:lang w:val="nl-NL"/>
        </w:rPr>
        <w:t xml:space="preserve"> (onder i)</w:t>
      </w:r>
      <w:r w:rsidRPr="00494232">
        <w:rPr>
          <w:rFonts w:cs="Arial"/>
          <w:szCs w:val="20"/>
          <w:lang w:val="nl-NL"/>
        </w:rPr>
        <w:t xml:space="preserve">. </w:t>
      </w:r>
      <w:r w:rsidRPr="00494232" w:rsidR="009D208D">
        <w:rPr>
          <w:rFonts w:cs="Arial"/>
          <w:szCs w:val="20"/>
          <w:lang w:val="nl-NL"/>
        </w:rPr>
        <w:t xml:space="preserve">In verband met het Chileense pensioensysteem, bevat de definitie van ‘erkend pensioenfonds’ geen verwijzing naar een separate persoon. </w:t>
      </w:r>
    </w:p>
    <w:p w:rsidRPr="00494232" w:rsidR="00500251" w:rsidP="00215B99" w:rsidRDefault="00B3228A" w14:paraId="0973A8AA" w14:textId="1D7E650F">
      <w:pPr>
        <w:rPr>
          <w:rFonts w:cs="Arial"/>
          <w:szCs w:val="20"/>
          <w:lang w:val="nl-NL"/>
        </w:rPr>
      </w:pPr>
      <w:r w:rsidRPr="00494232">
        <w:rPr>
          <w:rFonts w:cs="Arial"/>
          <w:szCs w:val="20"/>
          <w:lang w:val="nl-NL"/>
        </w:rPr>
        <w:t>Het</w:t>
      </w:r>
      <w:r w:rsidRPr="00494232" w:rsidR="008A11D5">
        <w:rPr>
          <w:rFonts w:cs="Arial"/>
          <w:szCs w:val="20"/>
          <w:lang w:val="nl-NL"/>
        </w:rPr>
        <w:t xml:space="preserve"> </w:t>
      </w:r>
      <w:r w:rsidRPr="00494232" w:rsidR="00500251">
        <w:rPr>
          <w:rFonts w:cs="Arial"/>
          <w:szCs w:val="20"/>
          <w:lang w:val="nl-NL"/>
        </w:rPr>
        <w:t>tweede lid</w:t>
      </w:r>
      <w:r w:rsidRPr="00494232">
        <w:rPr>
          <w:rFonts w:cs="Arial"/>
          <w:szCs w:val="20"/>
          <w:lang w:val="nl-NL"/>
        </w:rPr>
        <w:t xml:space="preserve"> </w:t>
      </w:r>
      <w:r w:rsidRPr="00494232" w:rsidR="00500251">
        <w:rPr>
          <w:rFonts w:cs="Arial"/>
          <w:szCs w:val="20"/>
          <w:lang w:val="nl-NL"/>
        </w:rPr>
        <w:t>bevat een algemene regel voor de uitleg van uitdrukkingen die niet in het Verdrag zijn omschreven. Aan die uitdrukkingen wordt de betekenis toegekend die</w:t>
      </w:r>
      <w:r w:rsidRPr="00494232" w:rsidR="003567B4">
        <w:rPr>
          <w:rFonts w:cs="Arial"/>
          <w:szCs w:val="20"/>
          <w:lang w:val="nl-NL"/>
        </w:rPr>
        <w:t xml:space="preserve"> zij hebben volgens de </w:t>
      </w:r>
      <w:r w:rsidRPr="00494232" w:rsidR="00500251">
        <w:rPr>
          <w:rFonts w:cs="Arial"/>
          <w:szCs w:val="20"/>
          <w:lang w:val="nl-NL"/>
        </w:rPr>
        <w:t xml:space="preserve">wetgeving van de </w:t>
      </w:r>
      <w:r w:rsidRPr="00494232" w:rsidR="0021450B">
        <w:rPr>
          <w:rFonts w:cs="Arial"/>
          <w:szCs w:val="20"/>
          <w:lang w:val="nl-NL"/>
        </w:rPr>
        <w:t>verdragsluitende staat</w:t>
      </w:r>
      <w:r w:rsidRPr="00494232" w:rsidR="00500251">
        <w:rPr>
          <w:rFonts w:cs="Arial"/>
          <w:szCs w:val="20"/>
          <w:lang w:val="nl-NL"/>
        </w:rPr>
        <w:t xml:space="preserve"> die het Verdrag toepast, tenzij de context</w:t>
      </w:r>
      <w:r w:rsidRPr="00494232" w:rsidR="003567B4">
        <w:rPr>
          <w:rFonts w:cs="Arial"/>
          <w:szCs w:val="20"/>
          <w:lang w:val="nl-NL"/>
        </w:rPr>
        <w:t xml:space="preserve"> van het Verdrag anders vereist. Daarbij gaat </w:t>
      </w:r>
      <w:r w:rsidRPr="00494232" w:rsidR="00500251">
        <w:rPr>
          <w:rFonts w:cs="Arial"/>
          <w:szCs w:val="20"/>
          <w:lang w:val="nl-NL"/>
        </w:rPr>
        <w:t>de betekenis in de belastingwetgeving</w:t>
      </w:r>
      <w:r w:rsidRPr="00494232" w:rsidR="003567B4">
        <w:rPr>
          <w:rFonts w:cs="Arial"/>
          <w:szCs w:val="20"/>
          <w:lang w:val="nl-NL"/>
        </w:rPr>
        <w:t xml:space="preserve"> van een </w:t>
      </w:r>
      <w:r w:rsidRPr="00494232" w:rsidR="0021450B">
        <w:rPr>
          <w:rFonts w:cs="Arial"/>
          <w:szCs w:val="20"/>
          <w:lang w:val="nl-NL"/>
        </w:rPr>
        <w:t>verdragsluitende staat</w:t>
      </w:r>
      <w:r w:rsidRPr="00494232" w:rsidR="00500251">
        <w:rPr>
          <w:rFonts w:cs="Arial"/>
          <w:szCs w:val="20"/>
          <w:lang w:val="nl-NL"/>
        </w:rPr>
        <w:t xml:space="preserve"> voor op de betekenis in andere wetgeving.</w:t>
      </w:r>
      <w:r w:rsidRPr="00494232" w:rsidR="00D91694">
        <w:rPr>
          <w:rFonts w:cs="Arial"/>
          <w:szCs w:val="20"/>
          <w:lang w:val="nl-NL"/>
        </w:rPr>
        <w:t xml:space="preserve"> </w:t>
      </w:r>
    </w:p>
    <w:p w:rsidRPr="00494232" w:rsidR="00EE6610" w:rsidP="00215B99" w:rsidRDefault="00970498" w14:paraId="351A4066" w14:textId="7D412021">
      <w:pPr>
        <w:rPr>
          <w:rFonts w:cs="Arial"/>
          <w:szCs w:val="20"/>
          <w:lang w:val="nl-NL"/>
        </w:rPr>
      </w:pPr>
      <w:r w:rsidRPr="00494232">
        <w:rPr>
          <w:rFonts w:cs="Arial"/>
          <w:szCs w:val="20"/>
          <w:lang w:val="nl-NL"/>
        </w:rPr>
        <w:t xml:space="preserve">In aanvulling hierop bevat artikel </w:t>
      </w:r>
      <w:r w:rsidRPr="00494232" w:rsidR="0047539C">
        <w:rPr>
          <w:rFonts w:cs="Arial"/>
          <w:szCs w:val="20"/>
          <w:lang w:val="nl-NL"/>
        </w:rPr>
        <w:t>I, eerste lid,</w:t>
      </w:r>
      <w:r w:rsidRPr="00494232">
        <w:rPr>
          <w:rFonts w:cs="Arial"/>
          <w:szCs w:val="20"/>
          <w:lang w:val="nl-NL"/>
        </w:rPr>
        <w:t xml:space="preserve"> van het Protocol een nadere bepaling over de uitleg van de bepalingen </w:t>
      </w:r>
      <w:r w:rsidRPr="00494232" w:rsidR="00550545">
        <w:rPr>
          <w:rFonts w:cs="Arial"/>
          <w:szCs w:val="20"/>
          <w:lang w:val="nl-NL"/>
        </w:rPr>
        <w:t>van</w:t>
      </w:r>
      <w:r w:rsidRPr="00494232">
        <w:rPr>
          <w:rFonts w:cs="Arial"/>
          <w:szCs w:val="20"/>
          <w:lang w:val="nl-NL"/>
        </w:rPr>
        <w:t xml:space="preserve"> het Verdrag. </w:t>
      </w:r>
      <w:r w:rsidRPr="00494232" w:rsidR="00BB78B9">
        <w:rPr>
          <w:rFonts w:cs="Arial"/>
          <w:szCs w:val="20"/>
          <w:lang w:val="nl-NL"/>
        </w:rPr>
        <w:t>D</w:t>
      </w:r>
      <w:r w:rsidRPr="00494232" w:rsidR="00550545">
        <w:rPr>
          <w:rFonts w:cs="Arial"/>
          <w:szCs w:val="20"/>
          <w:lang w:val="nl-NL"/>
        </w:rPr>
        <w:t>eze Protocolbepaling</w:t>
      </w:r>
      <w:r w:rsidRPr="00494232" w:rsidR="00BB78B9">
        <w:rPr>
          <w:rFonts w:cs="Arial"/>
          <w:szCs w:val="20"/>
          <w:lang w:val="nl-NL"/>
        </w:rPr>
        <w:t xml:space="preserve"> verduidelijkt dat het commentaar bij het OESO-modelverdrag en het commentaar bij het VN-modelverdrag relevant zijn voor de interpretatie </w:t>
      </w:r>
      <w:r w:rsidRPr="00494232" w:rsidR="00550545">
        <w:rPr>
          <w:rFonts w:cs="Arial"/>
          <w:szCs w:val="20"/>
          <w:lang w:val="nl-NL"/>
        </w:rPr>
        <w:t xml:space="preserve">van bepalingen </w:t>
      </w:r>
      <w:r w:rsidR="00BE2E31">
        <w:rPr>
          <w:rFonts w:cs="Arial"/>
          <w:szCs w:val="20"/>
          <w:lang w:val="nl-NL"/>
        </w:rPr>
        <w:t xml:space="preserve">van </w:t>
      </w:r>
      <w:r w:rsidRPr="00494232" w:rsidR="00BB78B9">
        <w:rPr>
          <w:rFonts w:cs="Arial"/>
          <w:szCs w:val="20"/>
          <w:lang w:val="nl-NL"/>
        </w:rPr>
        <w:t>het Verdrag</w:t>
      </w:r>
      <w:r w:rsidRPr="00494232" w:rsidR="00550545">
        <w:rPr>
          <w:rFonts w:cs="Arial"/>
          <w:szCs w:val="20"/>
          <w:lang w:val="nl-NL"/>
        </w:rPr>
        <w:t xml:space="preserve"> voor zover deze overeenkomen met </w:t>
      </w:r>
      <w:r w:rsidR="00BE2E31">
        <w:rPr>
          <w:rFonts w:cs="Arial"/>
          <w:szCs w:val="20"/>
          <w:lang w:val="nl-NL"/>
        </w:rPr>
        <w:t xml:space="preserve">de betreffende bepalingen uit </w:t>
      </w:r>
      <w:r w:rsidRPr="00494232" w:rsidR="0015234B">
        <w:rPr>
          <w:rFonts w:cs="Arial"/>
          <w:szCs w:val="20"/>
          <w:lang w:val="nl-NL"/>
        </w:rPr>
        <w:t xml:space="preserve">het </w:t>
      </w:r>
      <w:r w:rsidRPr="00494232" w:rsidR="00F14A80">
        <w:rPr>
          <w:rFonts w:cs="Arial"/>
          <w:szCs w:val="20"/>
          <w:lang w:val="nl-NL"/>
        </w:rPr>
        <w:t xml:space="preserve">OESO- of </w:t>
      </w:r>
      <w:r w:rsidR="00BE2E31">
        <w:rPr>
          <w:rFonts w:cs="Arial"/>
          <w:szCs w:val="20"/>
          <w:lang w:val="nl-NL"/>
        </w:rPr>
        <w:t xml:space="preserve">het </w:t>
      </w:r>
      <w:r w:rsidRPr="00494232" w:rsidR="00F14A80">
        <w:rPr>
          <w:rFonts w:cs="Arial"/>
          <w:szCs w:val="20"/>
          <w:lang w:val="nl-NL"/>
        </w:rPr>
        <w:t xml:space="preserve">VN-modelverdrag (tenzij bijvoorbeeld uit een voorbehoud of </w:t>
      </w:r>
      <w:r w:rsidRPr="00494232" w:rsidR="00F14A80">
        <w:rPr>
          <w:rFonts w:cs="Arial"/>
          <w:szCs w:val="20"/>
          <w:lang w:val="nl-NL"/>
        </w:rPr>
        <w:lastRenderedPageBreak/>
        <w:t>observatie</w:t>
      </w:r>
      <w:r w:rsidRPr="00494232" w:rsidR="005824D6">
        <w:rPr>
          <w:rFonts w:cs="Arial"/>
          <w:szCs w:val="20"/>
          <w:lang w:val="nl-NL"/>
        </w:rPr>
        <w:t xml:space="preserve"> blijkt dat éé</w:t>
      </w:r>
      <w:r w:rsidRPr="00494232" w:rsidR="0015042E">
        <w:rPr>
          <w:rFonts w:cs="Arial"/>
          <w:szCs w:val="20"/>
          <w:lang w:val="nl-NL"/>
        </w:rPr>
        <w:t>n van de verdrags</w:t>
      </w:r>
      <w:r w:rsidRPr="00494232" w:rsidR="00F14A80">
        <w:rPr>
          <w:rFonts w:cs="Arial"/>
          <w:szCs w:val="20"/>
          <w:lang w:val="nl-NL"/>
        </w:rPr>
        <w:t xml:space="preserve">luitende staten zich niet aan dit commentaar heeft </w:t>
      </w:r>
      <w:proofErr w:type="spellStart"/>
      <w:r w:rsidRPr="00494232" w:rsidR="00F14A80">
        <w:rPr>
          <w:rFonts w:cs="Arial"/>
          <w:szCs w:val="20"/>
          <w:lang w:val="nl-NL"/>
        </w:rPr>
        <w:t>gecommiteerd</w:t>
      </w:r>
      <w:proofErr w:type="spellEnd"/>
      <w:r w:rsidRPr="00494232" w:rsidR="00F14A80">
        <w:rPr>
          <w:rFonts w:cs="Arial"/>
          <w:szCs w:val="20"/>
          <w:lang w:val="nl-NL"/>
        </w:rPr>
        <w:t>)</w:t>
      </w:r>
      <w:r w:rsidRPr="00494232" w:rsidR="00BB78B9">
        <w:rPr>
          <w:rFonts w:cs="Arial"/>
          <w:szCs w:val="20"/>
          <w:lang w:val="nl-NL"/>
        </w:rPr>
        <w:t xml:space="preserve">. </w:t>
      </w:r>
      <w:r w:rsidRPr="00494232" w:rsidR="00F14A80">
        <w:rPr>
          <w:rFonts w:cs="Arial"/>
          <w:szCs w:val="20"/>
          <w:lang w:val="nl-NL"/>
        </w:rPr>
        <w:t xml:space="preserve">De Protocolbepaling </w:t>
      </w:r>
      <w:r w:rsidRPr="00494232" w:rsidR="00BB78B9">
        <w:rPr>
          <w:rFonts w:cs="Arial"/>
          <w:szCs w:val="20"/>
          <w:lang w:val="nl-NL"/>
        </w:rPr>
        <w:t xml:space="preserve">verduidelijkt </w:t>
      </w:r>
      <w:r w:rsidRPr="00494232" w:rsidR="00F14A80">
        <w:rPr>
          <w:rFonts w:cs="Arial"/>
          <w:szCs w:val="20"/>
          <w:lang w:val="nl-NL"/>
        </w:rPr>
        <w:t xml:space="preserve">bovendien </w:t>
      </w:r>
      <w:r w:rsidRPr="00494232" w:rsidR="00BB78B9">
        <w:rPr>
          <w:rFonts w:cs="Arial"/>
          <w:szCs w:val="20"/>
          <w:lang w:val="nl-NL"/>
        </w:rPr>
        <w:t xml:space="preserve">dat het </w:t>
      </w:r>
      <w:r w:rsidRPr="00494232" w:rsidR="00F14A80">
        <w:rPr>
          <w:rFonts w:cs="Arial"/>
          <w:szCs w:val="20"/>
          <w:lang w:val="nl-NL"/>
        </w:rPr>
        <w:t>OESO- of VN-</w:t>
      </w:r>
      <w:r w:rsidRPr="00494232" w:rsidR="00BB78B9">
        <w:rPr>
          <w:rFonts w:cs="Arial"/>
          <w:szCs w:val="20"/>
          <w:lang w:val="nl-NL"/>
        </w:rPr>
        <w:t>commentaar</w:t>
      </w:r>
      <w:r w:rsidRPr="00494232" w:rsidR="00D870A4">
        <w:rPr>
          <w:rFonts w:cs="Arial"/>
          <w:szCs w:val="20"/>
          <w:lang w:val="nl-NL"/>
        </w:rPr>
        <w:t xml:space="preserve"> </w:t>
      </w:r>
      <w:r w:rsidRPr="00494232" w:rsidR="00F14A80">
        <w:rPr>
          <w:rFonts w:cs="Arial"/>
          <w:szCs w:val="20"/>
          <w:lang w:val="nl-NL"/>
        </w:rPr>
        <w:t xml:space="preserve">van belang is </w:t>
      </w:r>
      <w:r w:rsidRPr="00494232" w:rsidR="00BB78B9">
        <w:rPr>
          <w:rFonts w:cs="Arial"/>
          <w:szCs w:val="20"/>
          <w:lang w:val="nl-NL"/>
        </w:rPr>
        <w:t>zoals dat luidt op het moment van toepassing van het V</w:t>
      </w:r>
      <w:r w:rsidRPr="00494232" w:rsidR="00854C81">
        <w:rPr>
          <w:rFonts w:cs="Arial"/>
          <w:szCs w:val="20"/>
          <w:lang w:val="nl-NL"/>
        </w:rPr>
        <w:t xml:space="preserve">erdrag </w:t>
      </w:r>
      <w:r w:rsidRPr="00494232" w:rsidR="00F14A80">
        <w:rPr>
          <w:rFonts w:cs="Arial"/>
          <w:szCs w:val="20"/>
          <w:lang w:val="nl-NL"/>
        </w:rPr>
        <w:t>en dus niet (uitsluitend) zoals dat commentaar</w:t>
      </w:r>
      <w:r w:rsidRPr="00494232" w:rsidR="00BB78B9">
        <w:rPr>
          <w:rFonts w:cs="Arial"/>
          <w:szCs w:val="20"/>
          <w:lang w:val="nl-NL"/>
        </w:rPr>
        <w:t xml:space="preserve"> luidde ten t</w:t>
      </w:r>
      <w:r w:rsidRPr="00494232" w:rsidR="0047539C">
        <w:rPr>
          <w:rFonts w:cs="Arial"/>
          <w:szCs w:val="20"/>
          <w:lang w:val="nl-NL"/>
        </w:rPr>
        <w:t xml:space="preserve">ijde van </w:t>
      </w:r>
      <w:r w:rsidRPr="00494232" w:rsidR="00F14A80">
        <w:rPr>
          <w:rFonts w:cs="Arial"/>
          <w:szCs w:val="20"/>
          <w:lang w:val="nl-NL"/>
        </w:rPr>
        <w:t xml:space="preserve">de ondertekening </w:t>
      </w:r>
      <w:r w:rsidRPr="00494232" w:rsidR="0047539C">
        <w:rPr>
          <w:rFonts w:cs="Arial"/>
          <w:szCs w:val="20"/>
          <w:lang w:val="nl-NL"/>
        </w:rPr>
        <w:t>van het V</w:t>
      </w:r>
      <w:r w:rsidRPr="00494232" w:rsidR="00BB78B9">
        <w:rPr>
          <w:rFonts w:cs="Arial"/>
          <w:szCs w:val="20"/>
          <w:lang w:val="nl-NL"/>
        </w:rPr>
        <w:t>erdrag.</w:t>
      </w:r>
    </w:p>
    <w:p w:rsidRPr="00A805F5" w:rsidR="0010137F" w:rsidP="00B672A9" w:rsidRDefault="00B672A9" w14:paraId="4B255D33" w14:textId="73553CDD">
      <w:pPr>
        <w:pStyle w:val="Heading2"/>
        <w:rPr>
          <w:rFonts w:cs="Arial"/>
          <w:b w:val="0"/>
          <w:bCs w:val="0"/>
          <w:i/>
          <w:smallCaps w:val="0"/>
          <w:szCs w:val="20"/>
          <w:lang w:val="nl-NL"/>
        </w:rPr>
      </w:pPr>
      <w:r w:rsidRPr="00A805F5">
        <w:rPr>
          <w:rFonts w:cs="Arial"/>
          <w:b w:val="0"/>
          <w:bCs w:val="0"/>
          <w:i/>
          <w:smallCaps w:val="0"/>
          <w:szCs w:val="20"/>
          <w:lang w:val="nl-NL"/>
        </w:rPr>
        <w:t>II.4 Inwoner (</w:t>
      </w:r>
      <w:r w:rsidRPr="00A805F5" w:rsidR="0010137F">
        <w:rPr>
          <w:rFonts w:cs="Arial"/>
          <w:b w:val="0"/>
          <w:bCs w:val="0"/>
          <w:i/>
          <w:smallCaps w:val="0"/>
          <w:szCs w:val="20"/>
          <w:lang w:val="nl-NL"/>
        </w:rPr>
        <w:t xml:space="preserve">Artikel 4 </w:t>
      </w:r>
      <w:r w:rsidRPr="00A805F5" w:rsidR="00E00283">
        <w:rPr>
          <w:rFonts w:cs="Arial"/>
          <w:b w:val="0"/>
          <w:bCs w:val="0"/>
          <w:i/>
          <w:smallCaps w:val="0"/>
          <w:szCs w:val="20"/>
          <w:lang w:val="nl-NL"/>
        </w:rPr>
        <w:t>van het Verdrag</w:t>
      </w:r>
      <w:r w:rsidRPr="00A805F5">
        <w:rPr>
          <w:rFonts w:cs="Arial"/>
          <w:b w:val="0"/>
          <w:bCs w:val="0"/>
          <w:i/>
          <w:smallCaps w:val="0"/>
          <w:szCs w:val="20"/>
          <w:lang w:val="nl-NL"/>
        </w:rPr>
        <w:t>)</w:t>
      </w:r>
    </w:p>
    <w:p w:rsidRPr="00494232" w:rsidR="00C709EE" w:rsidP="00C709EE" w:rsidRDefault="00C07E1E" w14:paraId="737546B0" w14:textId="77777777">
      <w:pPr>
        <w:rPr>
          <w:rFonts w:cs="Arial"/>
          <w:szCs w:val="20"/>
          <w:highlight w:val="lightGray"/>
          <w:lang w:val="nl-NL"/>
        </w:rPr>
      </w:pPr>
      <w:r w:rsidRPr="00A805F5">
        <w:rPr>
          <w:rFonts w:cs="Arial"/>
          <w:szCs w:val="20"/>
          <w:lang w:val="nl-NL"/>
        </w:rPr>
        <w:t>Artikel 4 van het Verdrag geeft invulling aan het begrip ‘inwoner’. Het artikel sluit (vrijwel geheel) aan bij de tekst van artikel 4 van het OESO-modelverdrag</w:t>
      </w:r>
    </w:p>
    <w:p w:rsidRPr="00A805F5" w:rsidR="00C07E1E" w:rsidP="00C07E1E" w:rsidRDefault="002E6518" w14:paraId="7525D3FB" w14:textId="32B03D71">
      <w:pPr>
        <w:ind w:firstLine="720"/>
        <w:rPr>
          <w:rFonts w:cs="Arial"/>
          <w:szCs w:val="20"/>
          <w:lang w:val="nl-NL"/>
        </w:rPr>
      </w:pPr>
      <w:r w:rsidRPr="00A805F5">
        <w:rPr>
          <w:rFonts w:cs="Arial"/>
          <w:szCs w:val="20"/>
          <w:lang w:val="nl-NL"/>
        </w:rPr>
        <w:t>Het eerste lid</w:t>
      </w:r>
      <w:r w:rsidRPr="00A805F5" w:rsidR="00C07E1E">
        <w:rPr>
          <w:rFonts w:cs="Arial"/>
          <w:szCs w:val="20"/>
          <w:lang w:val="nl-NL"/>
        </w:rPr>
        <w:t xml:space="preserve"> omschrijft wie voor de toepassing van het Verdrag geacht wordt inwoner te zijn van een verdragsluitende staat. Een persoon is inwoner van een verdragsluitende staat indien hij daar onderworpen is aan belastingheffing op grond van woonplaats, verblijf, plaats van oprichting, plaats van leiding of enige andere soortgelijke omstandigheid. De plaats van oprichting is – in afwijking van artikel 4, eerste lid, van het OESO-modelverdrag – in de tekst opgenomen op verzoek van Chili. Nederland kon hiermee akkoord gaan, aangezien de plaats van oprichting ook zonder expliciete vermelding in de tekst onder de reikwijdte van de bepaling zou vallen, namelijk als ‘enige andere soortgelijke omstandigheid’. </w:t>
      </w:r>
    </w:p>
    <w:p w:rsidRPr="00494232" w:rsidR="00C07E1E" w:rsidP="00C07E1E" w:rsidRDefault="002E6518" w14:paraId="474242BD" w14:textId="6092DA6B">
      <w:pPr>
        <w:rPr>
          <w:rFonts w:cs="Arial"/>
          <w:szCs w:val="20"/>
          <w:lang w:val="nl-NL"/>
        </w:rPr>
      </w:pPr>
      <w:r w:rsidRPr="00494232">
        <w:rPr>
          <w:rFonts w:cs="Arial"/>
          <w:szCs w:val="20"/>
          <w:lang w:val="nl-NL"/>
        </w:rPr>
        <w:t>Het tweede lid</w:t>
      </w:r>
      <w:r w:rsidRPr="00494232" w:rsidR="00693F74">
        <w:rPr>
          <w:rFonts w:cs="Arial"/>
          <w:szCs w:val="20"/>
          <w:lang w:val="nl-NL"/>
        </w:rPr>
        <w:t xml:space="preserve"> </w:t>
      </w:r>
      <w:r w:rsidRPr="00494232" w:rsidR="00C07E1E">
        <w:rPr>
          <w:rFonts w:cs="Arial"/>
          <w:szCs w:val="20"/>
          <w:lang w:val="nl-NL"/>
        </w:rPr>
        <w:t xml:space="preserve">bevat regels om te bepalen van welke verdragsluitende staat een natuurlijke persoon geacht wordt inwoner te zijn voor de toepassing van het Verdrag wanneer hij volgens de criteria uit het eerste lid van beide staten inwoner is. </w:t>
      </w:r>
      <w:r w:rsidRPr="00A805F5" w:rsidR="00A25CBC">
        <w:rPr>
          <w:rFonts w:cs="Arial"/>
          <w:szCs w:val="20"/>
          <w:lang w:val="nl-NL"/>
        </w:rPr>
        <w:t>Om een dergelijke situatie van dubbel inwonerschap op te lossen</w:t>
      </w:r>
      <w:r w:rsidRPr="00A805F5" w:rsidR="00C07E1E">
        <w:rPr>
          <w:rFonts w:cs="Arial"/>
          <w:szCs w:val="20"/>
          <w:lang w:val="nl-NL"/>
        </w:rPr>
        <w:t xml:space="preserve"> wordt achtereenvolgens </w:t>
      </w:r>
      <w:r w:rsidRPr="00A805F5" w:rsidR="00A25CBC">
        <w:rPr>
          <w:rFonts w:cs="Arial"/>
          <w:szCs w:val="20"/>
          <w:lang w:val="nl-NL"/>
        </w:rPr>
        <w:t xml:space="preserve">aangesloten </w:t>
      </w:r>
      <w:r w:rsidRPr="00A805F5" w:rsidR="00C07E1E">
        <w:rPr>
          <w:rFonts w:cs="Arial"/>
          <w:szCs w:val="20"/>
          <w:lang w:val="nl-NL"/>
        </w:rPr>
        <w:t xml:space="preserve">bij de beschikbaarheid van een duurzaam tehuis, het middelpunt van de levensbelangen, het gewoonlijk verblijf en de nationaliteit. Indien op grond van deze factoren de woonplaats niet kan worden vastgesteld, zullen de bevoegde autoriteiten in onderling overleg bepalen van welke verdragsluitende staat een persoon inwoner is. </w:t>
      </w:r>
    </w:p>
    <w:p w:rsidRPr="00494232" w:rsidR="00693F74" w:rsidP="00693F74" w:rsidRDefault="002E6518" w14:paraId="54071E8E" w14:textId="658F6768">
      <w:pPr>
        <w:rPr>
          <w:rFonts w:cs="Arial"/>
          <w:szCs w:val="20"/>
          <w:lang w:val="nl-NL"/>
        </w:rPr>
      </w:pPr>
      <w:r w:rsidRPr="00494232">
        <w:rPr>
          <w:rFonts w:cs="Arial"/>
          <w:szCs w:val="20"/>
          <w:lang w:val="nl-NL"/>
        </w:rPr>
        <w:t>Het derde lid</w:t>
      </w:r>
      <w:r w:rsidRPr="00494232" w:rsidR="00693F74">
        <w:rPr>
          <w:rFonts w:cs="Arial"/>
          <w:szCs w:val="20"/>
          <w:lang w:val="nl-NL"/>
        </w:rPr>
        <w:t xml:space="preserve"> bevat een met het tweede lid vergelijkbare bepaling voor niet-natuurlijke persone</w:t>
      </w:r>
      <w:r w:rsidRPr="00494232">
        <w:rPr>
          <w:rFonts w:cs="Arial"/>
          <w:szCs w:val="20"/>
          <w:lang w:val="nl-NL"/>
        </w:rPr>
        <w:t>n</w:t>
      </w:r>
      <w:r w:rsidRPr="00494232" w:rsidR="00693F74">
        <w:rPr>
          <w:rFonts w:cs="Arial"/>
          <w:szCs w:val="20"/>
          <w:lang w:val="nl-NL"/>
        </w:rPr>
        <w:t xml:space="preserve">. Op basis van deze bepaling zullen de bevoegde autoriteiten van de verdragsluitende staten in onderling overleg </w:t>
      </w:r>
      <w:r w:rsidRPr="00494232" w:rsidR="007433AF">
        <w:rPr>
          <w:rFonts w:cs="Arial"/>
          <w:szCs w:val="20"/>
          <w:lang w:val="nl-NL"/>
        </w:rPr>
        <w:t xml:space="preserve">er naar streven </w:t>
      </w:r>
      <w:r w:rsidRPr="00494232" w:rsidR="00693F74">
        <w:rPr>
          <w:rFonts w:cs="Arial"/>
          <w:szCs w:val="20"/>
          <w:lang w:val="nl-NL"/>
        </w:rPr>
        <w:t xml:space="preserve">een beslissing </w:t>
      </w:r>
      <w:r w:rsidRPr="00494232" w:rsidR="007433AF">
        <w:rPr>
          <w:rFonts w:cs="Arial"/>
          <w:szCs w:val="20"/>
          <w:lang w:val="nl-NL"/>
        </w:rPr>
        <w:t xml:space="preserve">te </w:t>
      </w:r>
      <w:r w:rsidRPr="00494232" w:rsidR="00693F74">
        <w:rPr>
          <w:rFonts w:cs="Arial"/>
          <w:szCs w:val="20"/>
          <w:lang w:val="nl-NL"/>
        </w:rPr>
        <w:t>nemen</w:t>
      </w:r>
      <w:r w:rsidRPr="00494232" w:rsidR="006240E4">
        <w:rPr>
          <w:rFonts w:cs="Arial"/>
          <w:szCs w:val="20"/>
          <w:lang w:val="nl-NL"/>
        </w:rPr>
        <w:t xml:space="preserve"> (de zogenoemde ‘MAP-</w:t>
      </w:r>
      <w:proofErr w:type="spellStart"/>
      <w:r w:rsidRPr="00494232" w:rsidR="006240E4">
        <w:rPr>
          <w:rFonts w:cs="Arial"/>
          <w:szCs w:val="20"/>
          <w:lang w:val="nl-NL"/>
        </w:rPr>
        <w:t>tiebreaker</w:t>
      </w:r>
      <w:proofErr w:type="spellEnd"/>
      <w:r w:rsidRPr="00494232" w:rsidR="006240E4">
        <w:rPr>
          <w:rFonts w:cs="Arial"/>
          <w:szCs w:val="20"/>
          <w:lang w:val="nl-NL"/>
        </w:rPr>
        <w:t>’)</w:t>
      </w:r>
      <w:r w:rsidRPr="00494232" w:rsidR="00693F74">
        <w:rPr>
          <w:rFonts w:cs="Arial"/>
          <w:szCs w:val="20"/>
          <w:lang w:val="nl-NL"/>
        </w:rPr>
        <w:t>. Bij het maken van die beslissing worden de plaats van de feitelijke leiding, de oprichtingsplaats en andere relevante factoren meegewogen. Zolang geen beslissing is genomen heeft het lichaam geen recht op verdragsvoordelen</w:t>
      </w:r>
      <w:r w:rsidRPr="00494232" w:rsidR="006240E4">
        <w:rPr>
          <w:rFonts w:cs="Arial"/>
          <w:szCs w:val="20"/>
          <w:lang w:val="nl-NL"/>
        </w:rPr>
        <w:t>,</w:t>
      </w:r>
      <w:r w:rsidRPr="00494232" w:rsidR="00693F74">
        <w:rPr>
          <w:rFonts w:cs="Arial"/>
          <w:szCs w:val="20"/>
          <w:lang w:val="nl-NL"/>
        </w:rPr>
        <w:t xml:space="preserve"> tenzij de bevoegde autoriteiten anders afspreken.</w:t>
      </w:r>
    </w:p>
    <w:p w:rsidRPr="00A805F5" w:rsidR="0010137F" w:rsidP="002E6518" w:rsidRDefault="002E6518" w14:paraId="302C1BE2" w14:textId="2A88E9F7">
      <w:pPr>
        <w:pStyle w:val="Heading2"/>
        <w:rPr>
          <w:rFonts w:cs="Arial"/>
          <w:b w:val="0"/>
          <w:bCs w:val="0"/>
          <w:i/>
          <w:smallCaps w:val="0"/>
          <w:szCs w:val="20"/>
          <w:lang w:val="nl-NL"/>
        </w:rPr>
      </w:pPr>
      <w:r w:rsidRPr="00A805F5">
        <w:rPr>
          <w:rFonts w:cs="Arial"/>
          <w:b w:val="0"/>
          <w:bCs w:val="0"/>
          <w:i/>
          <w:smallCaps w:val="0"/>
          <w:szCs w:val="20"/>
          <w:lang w:val="nl-NL"/>
        </w:rPr>
        <w:t>II.5 Vaste inrichting (</w:t>
      </w:r>
      <w:r w:rsidRPr="00A805F5" w:rsidR="0010137F">
        <w:rPr>
          <w:rFonts w:cs="Arial"/>
          <w:b w:val="0"/>
          <w:bCs w:val="0"/>
          <w:i/>
          <w:smallCaps w:val="0"/>
          <w:szCs w:val="20"/>
          <w:lang w:val="nl-NL"/>
        </w:rPr>
        <w:t xml:space="preserve">Artikel 5 </w:t>
      </w:r>
      <w:r w:rsidRPr="00A805F5" w:rsidR="00531F09">
        <w:rPr>
          <w:rFonts w:cs="Arial"/>
          <w:b w:val="0"/>
          <w:bCs w:val="0"/>
          <w:i/>
          <w:smallCaps w:val="0"/>
          <w:szCs w:val="20"/>
          <w:lang w:val="nl-NL"/>
        </w:rPr>
        <w:t xml:space="preserve">van het Verdrag </w:t>
      </w:r>
      <w:r w:rsidRPr="00A805F5">
        <w:rPr>
          <w:rFonts w:cs="Arial"/>
          <w:b w:val="0"/>
          <w:bCs w:val="0"/>
          <w:i/>
          <w:smallCaps w:val="0"/>
          <w:szCs w:val="20"/>
          <w:lang w:val="nl-NL"/>
        </w:rPr>
        <w:t>en artikel II van het Protocol</w:t>
      </w:r>
      <w:r w:rsidRPr="00A805F5" w:rsidR="00531F09">
        <w:rPr>
          <w:rFonts w:cs="Arial"/>
          <w:b w:val="0"/>
          <w:bCs w:val="0"/>
          <w:i/>
          <w:smallCaps w:val="0"/>
          <w:szCs w:val="20"/>
          <w:lang w:val="nl-NL"/>
        </w:rPr>
        <w:t>)</w:t>
      </w:r>
    </w:p>
    <w:p w:rsidRPr="00A805F5" w:rsidR="004E13C4" w:rsidP="004E13C4" w:rsidRDefault="004E13C4" w14:paraId="27366EF7" w14:textId="497EF8D1">
      <w:pPr>
        <w:ind w:firstLine="720"/>
        <w:rPr>
          <w:rFonts w:cs="Arial"/>
          <w:szCs w:val="20"/>
          <w:lang w:val="nl-NL"/>
        </w:rPr>
      </w:pPr>
      <w:r w:rsidRPr="00A805F5">
        <w:rPr>
          <w:rFonts w:cs="Arial"/>
          <w:szCs w:val="20"/>
          <w:lang w:val="nl-NL"/>
        </w:rPr>
        <w:t>Artikel 5 van het Verdrag definieert het begrip ‘vaste inrichting’. Daarbij is artikel 5 van het OESO-modelverdrag als uitgangspunt genomen</w:t>
      </w:r>
      <w:r w:rsidRPr="00A805F5" w:rsidR="00DF6AF9">
        <w:rPr>
          <w:rFonts w:cs="Arial"/>
          <w:szCs w:val="20"/>
          <w:lang w:val="nl-NL"/>
        </w:rPr>
        <w:t xml:space="preserve">. Op verzoek van Chili is </w:t>
      </w:r>
      <w:r w:rsidRPr="00A805F5" w:rsidR="00696C8C">
        <w:rPr>
          <w:rFonts w:cs="Arial"/>
          <w:szCs w:val="20"/>
          <w:lang w:val="nl-NL"/>
        </w:rPr>
        <w:t xml:space="preserve">op onderdelen aansluiting gezocht bij het VN-modelverdrag. Dit betreft </w:t>
      </w:r>
      <w:r w:rsidRPr="00A805F5" w:rsidR="00DF6AF9">
        <w:rPr>
          <w:rFonts w:cs="Arial"/>
          <w:szCs w:val="20"/>
          <w:lang w:val="nl-NL"/>
        </w:rPr>
        <w:t>het derde lid, onderde</w:t>
      </w:r>
      <w:r w:rsidRPr="00A805F5" w:rsidR="00696C8C">
        <w:rPr>
          <w:rFonts w:cs="Arial"/>
          <w:szCs w:val="20"/>
          <w:lang w:val="nl-NL"/>
        </w:rPr>
        <w:t>el</w:t>
      </w:r>
      <w:r w:rsidRPr="00A805F5" w:rsidR="00DF6AF9">
        <w:rPr>
          <w:rFonts w:cs="Arial"/>
          <w:szCs w:val="20"/>
          <w:lang w:val="nl-NL"/>
        </w:rPr>
        <w:t xml:space="preserve"> a (over onder meer bouw- en constructiewerkzaamheden) en </w:t>
      </w:r>
      <w:r w:rsidRPr="00A805F5" w:rsidR="00696C8C">
        <w:rPr>
          <w:rFonts w:cs="Arial"/>
          <w:szCs w:val="20"/>
          <w:lang w:val="nl-NL"/>
        </w:rPr>
        <w:t xml:space="preserve">onderdeel </w:t>
      </w:r>
      <w:r w:rsidRPr="00A805F5" w:rsidR="005D336B">
        <w:rPr>
          <w:rFonts w:cs="Arial"/>
          <w:szCs w:val="20"/>
          <w:lang w:val="nl-NL"/>
        </w:rPr>
        <w:t>c</w:t>
      </w:r>
      <w:r w:rsidRPr="00A805F5" w:rsidR="00DF6AF9">
        <w:rPr>
          <w:rFonts w:cs="Arial"/>
          <w:szCs w:val="20"/>
          <w:lang w:val="nl-NL"/>
        </w:rPr>
        <w:t xml:space="preserve"> (over </w:t>
      </w:r>
      <w:r w:rsidRPr="00A805F5" w:rsidR="00696C8C">
        <w:rPr>
          <w:rFonts w:cs="Arial"/>
          <w:szCs w:val="20"/>
          <w:lang w:val="nl-NL"/>
        </w:rPr>
        <w:t xml:space="preserve">het aannemen van een vaste inrichting bij het verrichten van diensten). Het artikel is aangevuld met een bepaling over de aanwezigheid van een vaste inrichting bij werkzaamheden die betrekking hebben op natuurlijke rijkdommen </w:t>
      </w:r>
      <w:r w:rsidRPr="00A805F5" w:rsidR="002E6518">
        <w:rPr>
          <w:rFonts w:cs="Arial"/>
          <w:szCs w:val="20"/>
          <w:lang w:val="nl-NL"/>
        </w:rPr>
        <w:t>die</w:t>
      </w:r>
      <w:r w:rsidRPr="00A805F5" w:rsidR="00696C8C">
        <w:rPr>
          <w:rFonts w:cs="Arial"/>
          <w:szCs w:val="20"/>
          <w:lang w:val="nl-NL"/>
        </w:rPr>
        <w:t xml:space="preserve"> al dan niet buitengaats worden verricht (zoals geregeld in het derde lid, onderdeel b). </w:t>
      </w:r>
    </w:p>
    <w:p w:rsidRPr="00A805F5" w:rsidR="004E13C4" w:rsidP="004E13C4" w:rsidRDefault="004E13C4" w14:paraId="6E4BC69B" w14:textId="77777777">
      <w:pPr>
        <w:rPr>
          <w:rFonts w:cs="Arial"/>
          <w:szCs w:val="20"/>
          <w:lang w:val="nl-NL"/>
        </w:rPr>
      </w:pPr>
      <w:r w:rsidRPr="00A805F5">
        <w:rPr>
          <w:rFonts w:cs="Arial"/>
          <w:szCs w:val="20"/>
          <w:lang w:val="nl-NL"/>
        </w:rPr>
        <w:t xml:space="preserve">Volgens het eerste lid betekent de uitdrukking ‘vaste inrichting’ voor de toepassing van het Verdrag een vaste bedrijfsinrichting met behulp waarvan de werkzaamheden van een onderneming geheel of gedeeltelijk worden uitgeoefend. </w:t>
      </w:r>
    </w:p>
    <w:p w:rsidRPr="00A805F5" w:rsidR="0071427B" w:rsidP="004E13C4" w:rsidRDefault="004E13C4" w14:paraId="6C0F1015" w14:textId="039F5FEC">
      <w:pPr>
        <w:ind w:firstLine="360"/>
        <w:rPr>
          <w:rFonts w:cs="Arial"/>
          <w:szCs w:val="20"/>
          <w:lang w:val="nl-NL"/>
        </w:rPr>
      </w:pPr>
      <w:r w:rsidRPr="00A805F5">
        <w:rPr>
          <w:rFonts w:cs="Arial"/>
          <w:szCs w:val="20"/>
          <w:lang w:val="nl-NL"/>
        </w:rPr>
        <w:lastRenderedPageBreak/>
        <w:t xml:space="preserve">Het tweede lid bepaalt vervolgens dat de uitdrukking ‘vaste inrichting’ in het bijzonder omvat een plaats waar leiding wordt gegeven, een filiaal, een kantoor, een fabriek, een werkplaats, een mijn, olie- of gasbron, </w:t>
      </w:r>
      <w:r w:rsidR="0083293A">
        <w:rPr>
          <w:rFonts w:cs="Arial"/>
          <w:szCs w:val="20"/>
          <w:lang w:val="nl-NL"/>
        </w:rPr>
        <w:t xml:space="preserve">een </w:t>
      </w:r>
      <w:r w:rsidRPr="00A805F5">
        <w:rPr>
          <w:rFonts w:cs="Arial"/>
          <w:szCs w:val="20"/>
          <w:lang w:val="nl-NL"/>
        </w:rPr>
        <w:t>(steen)groeve of enige andere plaats waar natuurlijke rijkdommen worden gewonnen.</w:t>
      </w:r>
    </w:p>
    <w:p w:rsidRPr="00A805F5" w:rsidR="00696C8C" w:rsidP="004E13C4" w:rsidRDefault="009E764B" w14:paraId="18E8E580" w14:textId="00668882">
      <w:pPr>
        <w:ind w:firstLine="360"/>
        <w:rPr>
          <w:rFonts w:cs="Arial"/>
          <w:szCs w:val="20"/>
          <w:lang w:val="nl-NL"/>
        </w:rPr>
      </w:pPr>
      <w:r w:rsidRPr="00A805F5">
        <w:rPr>
          <w:rFonts w:cs="Arial"/>
          <w:szCs w:val="20"/>
          <w:lang w:val="nl-NL"/>
        </w:rPr>
        <w:t>In het derde lid, onderdeel a, is bepaald dat een plaats van uitvoering van een bouwwerk of van constructie</w:t>
      </w:r>
      <w:r w:rsidRPr="00A805F5" w:rsidR="00B62221">
        <w:rPr>
          <w:rFonts w:cs="Arial"/>
          <w:szCs w:val="20"/>
          <w:lang w:val="nl-NL"/>
        </w:rPr>
        <w:t xml:space="preserve">- </w:t>
      </w:r>
      <w:r w:rsidRPr="00A805F5">
        <w:rPr>
          <w:rFonts w:cs="Arial"/>
          <w:szCs w:val="20"/>
          <w:lang w:val="nl-NL"/>
        </w:rPr>
        <w:t xml:space="preserve">of installatiewerkzaamheden, of toezichthoudende werkzaamheden in verband daarmee, alleen dan een vaste inrichting vormen als deze werkzaamheden langer duren dan zes maanden. Met deze zesmaandentermijn en met het in de bepaling opnemen van toezichthoudende werkzaamheden is aangesloten bij het VN-modelverdrag. Het gevolg hiervan is dat eerder en met betrekking tot meer activiteiten sprake kan zijn van een vaste inrichting en dus van een heffingsrecht voor de staat waarin de vaste inrichting is gelegen dan het geval zou zijn als op dit punt zou zijn aangesloten bij het OESO-modelverdrag. </w:t>
      </w:r>
      <w:r w:rsidRPr="00A805F5" w:rsidR="00157E91">
        <w:rPr>
          <w:rFonts w:cs="Arial"/>
          <w:szCs w:val="20"/>
          <w:lang w:val="nl-NL"/>
        </w:rPr>
        <w:t xml:space="preserve">Inhoudelijk komt de bepaling onder andere overeen met het in 2016 gesloten belastingverdrag tussen Chili en Japan. Nederland is in de verdragen met Argentinië </w:t>
      </w:r>
      <w:r w:rsidRPr="00F718B7" w:rsidR="004A430C">
        <w:rPr>
          <w:rFonts w:cs="Arial"/>
          <w:szCs w:val="20"/>
          <w:lang w:val="nl-NL"/>
        </w:rPr>
        <w:t>(</w:t>
      </w:r>
      <w:proofErr w:type="spellStart"/>
      <w:r w:rsidRPr="00F718B7" w:rsidR="004A430C">
        <w:rPr>
          <w:rFonts w:cs="Arial"/>
          <w:i/>
          <w:szCs w:val="20"/>
          <w:lang w:val="nl-NL"/>
        </w:rPr>
        <w:t>Trb</w:t>
      </w:r>
      <w:proofErr w:type="spellEnd"/>
      <w:r w:rsidRPr="00F718B7" w:rsidR="004A430C">
        <w:rPr>
          <w:rFonts w:cs="Arial"/>
          <w:szCs w:val="20"/>
          <w:lang w:val="nl-NL"/>
        </w:rPr>
        <w:t>. 1997, 63), Ethiopië (</w:t>
      </w:r>
      <w:proofErr w:type="spellStart"/>
      <w:r w:rsidRPr="00A86C96" w:rsidR="004A430C">
        <w:rPr>
          <w:rFonts w:cs="Arial"/>
          <w:i/>
          <w:szCs w:val="20"/>
          <w:lang w:val="nl-NL"/>
        </w:rPr>
        <w:t>Trb</w:t>
      </w:r>
      <w:proofErr w:type="spellEnd"/>
      <w:r w:rsidRPr="00A86C96" w:rsidR="004A430C">
        <w:rPr>
          <w:rFonts w:cs="Arial"/>
          <w:szCs w:val="20"/>
          <w:lang w:val="nl-NL"/>
        </w:rPr>
        <w:t xml:space="preserve">. 2012, 179 en </w:t>
      </w:r>
      <w:proofErr w:type="spellStart"/>
      <w:r w:rsidRPr="00F944EE" w:rsidR="004A430C">
        <w:rPr>
          <w:rFonts w:cs="Arial"/>
          <w:i/>
          <w:szCs w:val="20"/>
          <w:lang w:val="nl-NL"/>
        </w:rPr>
        <w:t>Trb</w:t>
      </w:r>
      <w:proofErr w:type="spellEnd"/>
      <w:r w:rsidRPr="00F944EE" w:rsidR="004A430C">
        <w:rPr>
          <w:rFonts w:cs="Arial"/>
          <w:szCs w:val="20"/>
          <w:lang w:val="nl-NL"/>
        </w:rPr>
        <w:t>. 2014, 178), Hongkong (</w:t>
      </w:r>
      <w:proofErr w:type="spellStart"/>
      <w:r w:rsidRPr="00F944EE" w:rsidR="004A430C">
        <w:rPr>
          <w:rFonts w:cs="Arial"/>
          <w:i/>
          <w:szCs w:val="20"/>
          <w:lang w:val="nl-NL"/>
        </w:rPr>
        <w:t>Trb</w:t>
      </w:r>
      <w:proofErr w:type="spellEnd"/>
      <w:r w:rsidRPr="00F944EE" w:rsidR="004A430C">
        <w:rPr>
          <w:rFonts w:cs="Arial"/>
          <w:szCs w:val="20"/>
          <w:lang w:val="nl-NL"/>
        </w:rPr>
        <w:t>. 2010, 198), Irak (</w:t>
      </w:r>
      <w:proofErr w:type="spellStart"/>
      <w:r w:rsidRPr="00F944EE" w:rsidR="004A430C">
        <w:rPr>
          <w:rFonts w:cs="Arial"/>
          <w:i/>
          <w:szCs w:val="20"/>
          <w:lang w:val="nl-NL"/>
        </w:rPr>
        <w:t>Trb</w:t>
      </w:r>
      <w:proofErr w:type="spellEnd"/>
      <w:r w:rsidRPr="00F944EE" w:rsidR="004A430C">
        <w:rPr>
          <w:rFonts w:cs="Arial"/>
          <w:szCs w:val="20"/>
          <w:lang w:val="nl-NL"/>
        </w:rPr>
        <w:t>. 2019, 103), Koeweit (</w:t>
      </w:r>
      <w:proofErr w:type="spellStart"/>
      <w:r w:rsidRPr="00F944EE" w:rsidR="004A430C">
        <w:rPr>
          <w:rFonts w:cs="Arial"/>
          <w:i/>
          <w:szCs w:val="20"/>
          <w:lang w:val="nl-NL"/>
        </w:rPr>
        <w:t>Trb</w:t>
      </w:r>
      <w:proofErr w:type="spellEnd"/>
      <w:r w:rsidRPr="00F944EE" w:rsidR="004A430C">
        <w:rPr>
          <w:rFonts w:cs="Arial"/>
          <w:szCs w:val="20"/>
          <w:lang w:val="nl-NL"/>
        </w:rPr>
        <w:t>. 2001, 126), Malawi (</w:t>
      </w:r>
      <w:proofErr w:type="spellStart"/>
      <w:r w:rsidRPr="00F944EE" w:rsidR="004A430C">
        <w:rPr>
          <w:rFonts w:cs="Arial"/>
          <w:i/>
          <w:szCs w:val="20"/>
          <w:lang w:val="nl-NL"/>
        </w:rPr>
        <w:t>Trb</w:t>
      </w:r>
      <w:proofErr w:type="spellEnd"/>
      <w:r w:rsidRPr="00F944EE" w:rsidR="004A430C">
        <w:rPr>
          <w:rFonts w:cs="Arial"/>
          <w:szCs w:val="20"/>
          <w:lang w:val="nl-NL"/>
        </w:rPr>
        <w:t>. 2015, 75), Nigeria (</w:t>
      </w:r>
      <w:proofErr w:type="spellStart"/>
      <w:r w:rsidRPr="00F944EE" w:rsidR="004A430C">
        <w:rPr>
          <w:rFonts w:cs="Arial"/>
          <w:i/>
          <w:szCs w:val="20"/>
          <w:lang w:val="nl-NL"/>
        </w:rPr>
        <w:t>Trb</w:t>
      </w:r>
      <w:proofErr w:type="spellEnd"/>
      <w:r w:rsidRPr="00F944EE" w:rsidR="004A430C">
        <w:rPr>
          <w:rFonts w:cs="Arial"/>
          <w:szCs w:val="20"/>
          <w:lang w:val="nl-NL"/>
        </w:rPr>
        <w:t>. 1992, 12), Oeganda (</w:t>
      </w:r>
      <w:proofErr w:type="spellStart"/>
      <w:r w:rsidRPr="00F944EE" w:rsidR="004A430C">
        <w:rPr>
          <w:rFonts w:cs="Arial"/>
          <w:i/>
          <w:szCs w:val="20"/>
          <w:lang w:val="nl-NL"/>
        </w:rPr>
        <w:t>Trb</w:t>
      </w:r>
      <w:proofErr w:type="spellEnd"/>
      <w:r w:rsidRPr="00F944EE" w:rsidR="004A430C">
        <w:rPr>
          <w:rFonts w:cs="Arial"/>
          <w:szCs w:val="20"/>
          <w:lang w:val="nl-NL"/>
        </w:rPr>
        <w:t>. 2004, 262), Panama (</w:t>
      </w:r>
      <w:proofErr w:type="spellStart"/>
      <w:r w:rsidRPr="004610D9" w:rsidR="004A430C">
        <w:rPr>
          <w:rFonts w:cs="Arial"/>
          <w:i/>
          <w:szCs w:val="20"/>
          <w:lang w:val="nl-NL"/>
        </w:rPr>
        <w:t>Trb</w:t>
      </w:r>
      <w:proofErr w:type="spellEnd"/>
      <w:r w:rsidRPr="003F5466" w:rsidR="004A430C">
        <w:rPr>
          <w:rFonts w:cs="Arial"/>
          <w:szCs w:val="20"/>
          <w:lang w:val="nl-NL"/>
        </w:rPr>
        <w:t>. 2011, 11), Portugal (</w:t>
      </w:r>
      <w:proofErr w:type="spellStart"/>
      <w:r w:rsidRPr="002C5EB2" w:rsidR="004A430C">
        <w:rPr>
          <w:rFonts w:cs="Arial"/>
          <w:i/>
          <w:szCs w:val="20"/>
          <w:lang w:val="nl-NL"/>
        </w:rPr>
        <w:t>Trb</w:t>
      </w:r>
      <w:proofErr w:type="spellEnd"/>
      <w:r w:rsidRPr="002C5EB2" w:rsidR="004A430C">
        <w:rPr>
          <w:rFonts w:cs="Arial"/>
          <w:szCs w:val="20"/>
          <w:lang w:val="nl-NL"/>
        </w:rPr>
        <w:t>. 1999, 180), Vietnam (</w:t>
      </w:r>
      <w:proofErr w:type="spellStart"/>
      <w:r w:rsidRPr="009E5252" w:rsidR="004A430C">
        <w:rPr>
          <w:rFonts w:cs="Arial"/>
          <w:i/>
          <w:szCs w:val="20"/>
          <w:lang w:val="nl-NL"/>
        </w:rPr>
        <w:t>Trb</w:t>
      </w:r>
      <w:proofErr w:type="spellEnd"/>
      <w:r w:rsidRPr="001E78F7" w:rsidR="004A430C">
        <w:rPr>
          <w:rFonts w:cs="Arial"/>
          <w:szCs w:val="20"/>
          <w:lang w:val="nl-NL"/>
        </w:rPr>
        <w:t>. 1995, 61) en Zambia (</w:t>
      </w:r>
      <w:proofErr w:type="spellStart"/>
      <w:r w:rsidRPr="001E78F7" w:rsidR="004A430C">
        <w:rPr>
          <w:rFonts w:cs="Arial"/>
          <w:i/>
          <w:szCs w:val="20"/>
          <w:lang w:val="nl-NL"/>
        </w:rPr>
        <w:t>Trb</w:t>
      </w:r>
      <w:proofErr w:type="spellEnd"/>
      <w:r w:rsidRPr="001E78F7" w:rsidR="004A430C">
        <w:rPr>
          <w:rFonts w:cs="Arial"/>
          <w:szCs w:val="20"/>
          <w:lang w:val="nl-NL"/>
        </w:rPr>
        <w:t>. 2015, 113)</w:t>
      </w:r>
      <w:r w:rsidRPr="004A430C" w:rsidDel="004A430C" w:rsidR="004A430C">
        <w:rPr>
          <w:rFonts w:cs="Arial"/>
          <w:szCs w:val="20"/>
          <w:lang w:val="nl-NL"/>
        </w:rPr>
        <w:t xml:space="preserve"> </w:t>
      </w:r>
      <w:r w:rsidRPr="00A805F5" w:rsidR="00157E91">
        <w:rPr>
          <w:rFonts w:cs="Arial"/>
          <w:szCs w:val="20"/>
          <w:lang w:val="nl-NL"/>
        </w:rPr>
        <w:t xml:space="preserve">eerder al een dergelijke zesmaandentermijn overeengekomen. Nederland heeft met de opname van toezichthoudende werkzaamheden in deze bepaling eerder onder meer ingestemd in de hierboven genoemde verdragen met Argentinië, </w:t>
      </w:r>
      <w:r w:rsidRPr="00A805F5" w:rsidR="000A3EEF">
        <w:rPr>
          <w:rFonts w:cs="Arial"/>
          <w:szCs w:val="20"/>
          <w:lang w:val="nl-NL"/>
        </w:rPr>
        <w:t xml:space="preserve">Irak, </w:t>
      </w:r>
      <w:r w:rsidRPr="00A805F5" w:rsidR="00157E91">
        <w:rPr>
          <w:rFonts w:cs="Arial"/>
          <w:szCs w:val="20"/>
          <w:lang w:val="nl-NL"/>
        </w:rPr>
        <w:t>Koeweit, Malawi, Oeganda, Vietnam en Zambia</w:t>
      </w:r>
      <w:r w:rsidR="004A430C">
        <w:rPr>
          <w:rFonts w:cs="Arial"/>
          <w:szCs w:val="20"/>
          <w:lang w:val="nl-NL"/>
        </w:rPr>
        <w:t xml:space="preserve"> als ook </w:t>
      </w:r>
      <w:r w:rsidRPr="00A805F5" w:rsidR="000A3EEF">
        <w:rPr>
          <w:rFonts w:cs="Arial"/>
          <w:szCs w:val="20"/>
          <w:lang w:val="nl-NL"/>
        </w:rPr>
        <w:t xml:space="preserve">in de </w:t>
      </w:r>
      <w:r w:rsidRPr="00A805F5" w:rsidR="00157E91">
        <w:rPr>
          <w:rFonts w:cs="Arial"/>
          <w:szCs w:val="20"/>
          <w:lang w:val="nl-NL"/>
        </w:rPr>
        <w:t xml:space="preserve">verdragen met Ghana </w:t>
      </w:r>
      <w:r w:rsidRPr="00287DF4" w:rsidR="004A430C">
        <w:rPr>
          <w:rFonts w:cs="Arial"/>
          <w:szCs w:val="20"/>
          <w:lang w:val="nl-NL"/>
        </w:rPr>
        <w:t>(</w:t>
      </w:r>
      <w:proofErr w:type="spellStart"/>
      <w:r w:rsidRPr="00287DF4" w:rsidR="004A430C">
        <w:rPr>
          <w:rFonts w:cs="Arial"/>
          <w:i/>
          <w:szCs w:val="20"/>
          <w:lang w:val="nl-NL"/>
        </w:rPr>
        <w:t>Trb</w:t>
      </w:r>
      <w:proofErr w:type="spellEnd"/>
      <w:r w:rsidRPr="00287DF4" w:rsidR="004A430C">
        <w:rPr>
          <w:rFonts w:cs="Arial"/>
          <w:szCs w:val="20"/>
          <w:lang w:val="nl-NL"/>
        </w:rPr>
        <w:t>. 2008, 109)</w:t>
      </w:r>
      <w:r w:rsidR="004A430C">
        <w:rPr>
          <w:rFonts w:cs="Arial"/>
          <w:szCs w:val="20"/>
          <w:lang w:val="nl-NL"/>
        </w:rPr>
        <w:t xml:space="preserve"> en</w:t>
      </w:r>
      <w:r w:rsidRPr="00287DF4" w:rsidR="004A430C">
        <w:rPr>
          <w:rFonts w:cs="Arial"/>
          <w:szCs w:val="20"/>
          <w:lang w:val="nl-NL"/>
        </w:rPr>
        <w:t xml:space="preserve"> Zuid-Afrika (</w:t>
      </w:r>
      <w:proofErr w:type="spellStart"/>
      <w:r w:rsidRPr="00287DF4" w:rsidR="004A430C">
        <w:rPr>
          <w:rFonts w:cs="Arial"/>
          <w:i/>
          <w:szCs w:val="20"/>
          <w:lang w:val="nl-NL"/>
        </w:rPr>
        <w:t>Trb</w:t>
      </w:r>
      <w:proofErr w:type="spellEnd"/>
      <w:r w:rsidRPr="00287DF4" w:rsidR="004A430C">
        <w:rPr>
          <w:rFonts w:cs="Arial"/>
          <w:szCs w:val="20"/>
          <w:lang w:val="nl-NL"/>
        </w:rPr>
        <w:t xml:space="preserve">. 2006, 6 en </w:t>
      </w:r>
      <w:proofErr w:type="spellStart"/>
      <w:r w:rsidRPr="00287DF4" w:rsidR="004A430C">
        <w:rPr>
          <w:rFonts w:cs="Arial"/>
          <w:i/>
          <w:szCs w:val="20"/>
          <w:lang w:val="nl-NL"/>
        </w:rPr>
        <w:t>Trb</w:t>
      </w:r>
      <w:proofErr w:type="spellEnd"/>
      <w:r w:rsidRPr="00287DF4" w:rsidR="004A430C">
        <w:rPr>
          <w:rFonts w:cs="Arial"/>
          <w:szCs w:val="20"/>
          <w:lang w:val="nl-NL"/>
        </w:rPr>
        <w:t>. 2008, 147)</w:t>
      </w:r>
      <w:r w:rsidRPr="00A805F5" w:rsidR="000A3EEF">
        <w:rPr>
          <w:rFonts w:cs="Arial"/>
          <w:szCs w:val="20"/>
          <w:lang w:val="nl-NL"/>
        </w:rPr>
        <w:t>.</w:t>
      </w:r>
    </w:p>
    <w:p w:rsidRPr="00A805F5" w:rsidR="0049387B" w:rsidP="0049387B" w:rsidRDefault="000A3EEF" w14:paraId="39B91A52" w14:textId="19A19431">
      <w:pPr>
        <w:ind w:firstLine="360"/>
        <w:rPr>
          <w:rFonts w:cs="Arial"/>
          <w:szCs w:val="20"/>
          <w:lang w:val="nl-NL"/>
        </w:rPr>
      </w:pPr>
      <w:r w:rsidRPr="00A805F5">
        <w:rPr>
          <w:rFonts w:cs="Arial"/>
          <w:szCs w:val="20"/>
          <w:lang w:val="nl-NL"/>
        </w:rPr>
        <w:t xml:space="preserve">Het derde lid, onderdeel </w:t>
      </w:r>
      <w:r w:rsidRPr="00A805F5" w:rsidR="0049387B">
        <w:rPr>
          <w:rFonts w:cs="Arial"/>
          <w:szCs w:val="20"/>
          <w:lang w:val="nl-NL"/>
        </w:rPr>
        <w:t>b</w:t>
      </w:r>
      <w:r w:rsidRPr="00A805F5">
        <w:rPr>
          <w:rFonts w:cs="Arial"/>
          <w:szCs w:val="20"/>
          <w:lang w:val="nl-NL"/>
        </w:rPr>
        <w:t xml:space="preserve">, bevat een bepaling die betrekking heeft op de exploratie en andere activiteiten, die door een onderneming van een verdragsluitende staat worden verricht in verband met de winning </w:t>
      </w:r>
      <w:r w:rsidR="004A430C">
        <w:rPr>
          <w:rFonts w:cs="Arial"/>
          <w:szCs w:val="20"/>
          <w:lang w:val="nl-NL"/>
        </w:rPr>
        <w:t xml:space="preserve">of exploitatie </w:t>
      </w:r>
      <w:r w:rsidRPr="00A805F5">
        <w:rPr>
          <w:rFonts w:cs="Arial"/>
          <w:szCs w:val="20"/>
          <w:lang w:val="nl-NL"/>
        </w:rPr>
        <w:t xml:space="preserve">van natuurlijke rijkdommen </w:t>
      </w:r>
      <w:r w:rsidR="004A430C">
        <w:rPr>
          <w:rFonts w:cs="Arial"/>
          <w:szCs w:val="20"/>
          <w:lang w:val="nl-NL"/>
        </w:rPr>
        <w:t>i</w:t>
      </w:r>
      <w:r w:rsidRPr="00A805F5" w:rsidR="004A430C">
        <w:rPr>
          <w:rFonts w:cs="Arial"/>
          <w:szCs w:val="20"/>
          <w:lang w:val="nl-NL"/>
        </w:rPr>
        <w:t xml:space="preserve">n </w:t>
      </w:r>
      <w:r w:rsidRPr="00A805F5">
        <w:rPr>
          <w:rFonts w:cs="Arial"/>
          <w:szCs w:val="20"/>
          <w:lang w:val="nl-NL"/>
        </w:rPr>
        <w:t>de andere verdragsluitende staat. Ter zake van die activiteiten wordt een vaste i</w:t>
      </w:r>
      <w:r w:rsidRPr="00A805F5" w:rsidR="0049387B">
        <w:rPr>
          <w:rFonts w:cs="Arial"/>
          <w:szCs w:val="20"/>
          <w:lang w:val="nl-NL"/>
        </w:rPr>
        <w:t>nrichting aanwezig geacht als d</w:t>
      </w:r>
      <w:r w:rsidRPr="00A805F5">
        <w:rPr>
          <w:rFonts w:cs="Arial"/>
          <w:szCs w:val="20"/>
          <w:lang w:val="nl-NL"/>
        </w:rPr>
        <w:t xml:space="preserve">e </w:t>
      </w:r>
      <w:r w:rsidRPr="00A805F5" w:rsidR="0049387B">
        <w:rPr>
          <w:rFonts w:cs="Arial"/>
          <w:szCs w:val="20"/>
          <w:lang w:val="nl-NL"/>
        </w:rPr>
        <w:t>in het derde lid, onderdeel b, omschreven activiteiten</w:t>
      </w:r>
      <w:r w:rsidRPr="00A805F5" w:rsidR="007433AF">
        <w:rPr>
          <w:rFonts w:cs="Arial"/>
          <w:szCs w:val="20"/>
          <w:lang w:val="nl-NL"/>
        </w:rPr>
        <w:t xml:space="preserve"> </w:t>
      </w:r>
      <w:r w:rsidRPr="00A805F5">
        <w:rPr>
          <w:rFonts w:cs="Arial"/>
          <w:szCs w:val="20"/>
          <w:lang w:val="nl-NL"/>
        </w:rPr>
        <w:t xml:space="preserve">in totaal </w:t>
      </w:r>
      <w:r w:rsidRPr="00A805F5" w:rsidR="0049387B">
        <w:rPr>
          <w:rFonts w:cs="Arial"/>
          <w:szCs w:val="20"/>
          <w:lang w:val="nl-NL"/>
        </w:rPr>
        <w:t>30</w:t>
      </w:r>
      <w:r w:rsidRPr="00A805F5">
        <w:rPr>
          <w:rFonts w:cs="Arial"/>
          <w:szCs w:val="20"/>
          <w:lang w:val="nl-NL"/>
        </w:rPr>
        <w:t xml:space="preserve"> dagen of meer </w:t>
      </w:r>
      <w:r w:rsidRPr="00A805F5" w:rsidR="0049387B">
        <w:rPr>
          <w:rFonts w:cs="Arial"/>
          <w:szCs w:val="20"/>
          <w:lang w:val="nl-NL"/>
        </w:rPr>
        <w:t>(in een periode van twaalf maanden)</w:t>
      </w:r>
      <w:r w:rsidRPr="00A805F5">
        <w:rPr>
          <w:rFonts w:cs="Arial"/>
          <w:szCs w:val="20"/>
          <w:lang w:val="nl-NL"/>
        </w:rPr>
        <w:t xml:space="preserve"> in die andere staat worden verricht. Niet vereist is dat die activiteiten worden verricht in een </w:t>
      </w:r>
      <w:r w:rsidRPr="00A805F5">
        <w:rPr>
          <w:rFonts w:cs="Arial"/>
          <w:i/>
          <w:szCs w:val="20"/>
          <w:lang w:val="nl-NL"/>
        </w:rPr>
        <w:t xml:space="preserve">aaneengesloten </w:t>
      </w:r>
      <w:r w:rsidRPr="00A805F5">
        <w:rPr>
          <w:rFonts w:cs="Arial"/>
          <w:szCs w:val="20"/>
          <w:lang w:val="nl-NL"/>
        </w:rPr>
        <w:t xml:space="preserve">periode van 30 dagen of meer. Anders dan gebruikelijk is in de Nederlandse belastingverdragen heeft deze bepaling niet alleen betrekking op activiteiten op zee, maar vallen daar op verzoek van </w:t>
      </w:r>
      <w:r w:rsidRPr="00A805F5" w:rsidR="0049387B">
        <w:rPr>
          <w:rFonts w:cs="Arial"/>
          <w:szCs w:val="20"/>
          <w:lang w:val="nl-NL"/>
        </w:rPr>
        <w:t>Chili</w:t>
      </w:r>
      <w:r w:rsidRPr="00A805F5">
        <w:rPr>
          <w:rFonts w:cs="Arial"/>
          <w:szCs w:val="20"/>
          <w:lang w:val="nl-NL"/>
        </w:rPr>
        <w:t xml:space="preserve"> ook activiteiten onder op het land en </w:t>
      </w:r>
      <w:r w:rsidRPr="00A805F5" w:rsidR="0049387B">
        <w:rPr>
          <w:rFonts w:cs="Arial"/>
          <w:szCs w:val="20"/>
          <w:lang w:val="nl-NL"/>
        </w:rPr>
        <w:t xml:space="preserve">op de </w:t>
      </w:r>
      <w:r w:rsidRPr="00A805F5">
        <w:rPr>
          <w:rFonts w:cs="Arial"/>
          <w:szCs w:val="20"/>
          <w:lang w:val="nl-NL"/>
        </w:rPr>
        <w:t>binnenwateren</w:t>
      </w:r>
      <w:r w:rsidRPr="00A805F5" w:rsidR="00732E12">
        <w:rPr>
          <w:rFonts w:cs="Arial"/>
          <w:szCs w:val="20"/>
          <w:lang w:val="nl-NL"/>
        </w:rPr>
        <w:t xml:space="preserve">. De termijn van 30 dagen is korter dan hetgeen Chili in vergelijkbare bepalingen in andere belastingverdragen is overeengekomen; zo is Chili met de Verenigde Staten een termijn van 3 maanden overeengekomen wat betreft exploratieactiviteiten door middel van een installatie op het land (artikel 5, </w:t>
      </w:r>
      <w:r w:rsidR="00996AF3">
        <w:rPr>
          <w:rFonts w:cs="Arial"/>
          <w:szCs w:val="20"/>
          <w:lang w:val="nl-NL"/>
        </w:rPr>
        <w:t xml:space="preserve">derde </w:t>
      </w:r>
      <w:r w:rsidRPr="00A805F5" w:rsidR="00732E12">
        <w:rPr>
          <w:rFonts w:cs="Arial"/>
          <w:szCs w:val="20"/>
          <w:lang w:val="nl-NL"/>
        </w:rPr>
        <w:t>lid, onderdeel a, van het belastingverdrag tussen Chili en de Verenigde Staten)</w:t>
      </w:r>
      <w:r w:rsidRPr="00A805F5">
        <w:rPr>
          <w:rFonts w:cs="Arial"/>
          <w:szCs w:val="20"/>
          <w:lang w:val="nl-NL"/>
        </w:rPr>
        <w:t>.</w:t>
      </w:r>
      <w:r w:rsidRPr="00A805F5" w:rsidR="0063399A">
        <w:rPr>
          <w:rFonts w:cs="Arial"/>
          <w:szCs w:val="20"/>
          <w:lang w:val="nl-NL"/>
        </w:rPr>
        <w:t xml:space="preserve"> Tijdens de onderhandelingen hebben Chili en Nederland besproken wat onder de exploitatie van ‘natuurlijke rijkdommen’ moet worden verstaan. Daarbij bleek overeenstemming te zijn dat hieronder ook onder valt de exploitatie van wind-, zonne-, of getijdenenergie.</w:t>
      </w:r>
      <w:r w:rsidRPr="00A805F5" w:rsidR="00B60536">
        <w:rPr>
          <w:rFonts w:cs="Arial"/>
          <w:szCs w:val="20"/>
          <w:lang w:val="nl-NL"/>
        </w:rPr>
        <w:t xml:space="preserve"> De bepaling heeft daarom ook betrekking op activiteiten die verband houden met de exploitatie van dergelijke natuurlijke rijkdommen.</w:t>
      </w:r>
    </w:p>
    <w:p w:rsidRPr="00A805F5" w:rsidR="0054381E" w:rsidP="005C6DB7" w:rsidRDefault="0054381E" w14:paraId="204C6718" w14:textId="387B63F5">
      <w:pPr>
        <w:ind w:firstLine="360"/>
        <w:rPr>
          <w:rFonts w:cs="Arial"/>
          <w:szCs w:val="20"/>
          <w:lang w:val="nl-NL"/>
        </w:rPr>
      </w:pPr>
      <w:r w:rsidRPr="00A805F5">
        <w:rPr>
          <w:rFonts w:cs="Arial"/>
          <w:szCs w:val="20"/>
          <w:lang w:val="nl-NL"/>
        </w:rPr>
        <w:t xml:space="preserve">Artikel II van het Protocol bepaalt dat exploratie- en exploitatierechten ter zake van natuurlijke rijkdommen </w:t>
      </w:r>
      <w:r w:rsidR="00D348CA">
        <w:rPr>
          <w:rFonts w:cs="Arial"/>
          <w:szCs w:val="20"/>
          <w:lang w:val="nl-NL"/>
        </w:rPr>
        <w:t>va</w:t>
      </w:r>
      <w:r w:rsidRPr="00A805F5">
        <w:rPr>
          <w:rFonts w:cs="Arial"/>
          <w:szCs w:val="20"/>
          <w:lang w:val="nl-NL"/>
        </w:rPr>
        <w:t xml:space="preserve">n een verdragsluitende staat, met inbegrip van een belang bij dergelijke rechten, worden aangemerkt als onroerende zaken in die staat en geacht worden te behoren tot de activa van een vaste inrichting in die staat. Hiermee wordt zeker gesteld dat inkomsten die uit dergelijke rechten </w:t>
      </w:r>
      <w:r w:rsidRPr="00A805F5">
        <w:rPr>
          <w:rFonts w:cs="Arial"/>
          <w:szCs w:val="20"/>
          <w:lang w:val="nl-NL"/>
        </w:rPr>
        <w:lastRenderedPageBreak/>
        <w:t>worden verkregen en winst die wordt behaald met de vervreemding van dergelijke rechten, ter belastingheffing toekomen aan de staat waarin de natuurlijke rijkdommen zijn gelegen.</w:t>
      </w:r>
    </w:p>
    <w:p w:rsidRPr="00494232" w:rsidR="00E331AB" w:rsidP="0049387B" w:rsidRDefault="00E331AB" w14:paraId="0D3385D2" w14:textId="363D4209">
      <w:pPr>
        <w:ind w:firstLine="360"/>
        <w:rPr>
          <w:rFonts w:cs="Arial"/>
          <w:szCs w:val="20"/>
          <w:lang w:val="nl-NL"/>
        </w:rPr>
      </w:pPr>
      <w:r w:rsidRPr="00A805F5">
        <w:rPr>
          <w:rFonts w:cs="Arial"/>
          <w:szCs w:val="20"/>
          <w:lang w:val="nl-NL"/>
        </w:rPr>
        <w:t xml:space="preserve">In </w:t>
      </w:r>
      <w:r w:rsidRPr="00A805F5" w:rsidR="00D331A7">
        <w:rPr>
          <w:rFonts w:cs="Arial"/>
          <w:szCs w:val="20"/>
          <w:lang w:val="nl-NL"/>
        </w:rPr>
        <w:t xml:space="preserve">artikel 5, </w:t>
      </w:r>
      <w:r w:rsidRPr="00A805F5">
        <w:rPr>
          <w:rFonts w:cs="Arial"/>
          <w:szCs w:val="20"/>
          <w:lang w:val="nl-NL"/>
        </w:rPr>
        <w:t>derde lid, onderdeel c</w:t>
      </w:r>
      <w:r w:rsidRPr="00A805F5" w:rsidR="00D331A7">
        <w:rPr>
          <w:rFonts w:cs="Arial"/>
          <w:szCs w:val="20"/>
          <w:lang w:val="nl-NL"/>
        </w:rPr>
        <w:t>, van het Verdrag</w:t>
      </w:r>
      <w:r w:rsidRPr="00A805F5">
        <w:rPr>
          <w:rFonts w:cs="Arial"/>
          <w:szCs w:val="20"/>
          <w:lang w:val="nl-NL"/>
        </w:rPr>
        <w:t xml:space="preserve"> is op verzoek van Chili bepaald dat het verlenen van diensten door werknemers van een onderneming van de ene verdragsluitende staat in de andere verdragsluitende staat gedurende meer dan zes maanden (in enige periode van twaalf maanden) </w:t>
      </w:r>
      <w:r w:rsidRPr="00494232">
        <w:rPr>
          <w:rFonts w:cs="Arial"/>
          <w:szCs w:val="20"/>
          <w:lang w:val="nl-NL"/>
        </w:rPr>
        <w:t xml:space="preserve">leidt tot een vaste inrichting. Met deze bepaling is aansluiting gezocht bij artikel 5, derde lid, onderdeel b, van het VN-modelverdrag. </w:t>
      </w:r>
      <w:r w:rsidRPr="00494232" w:rsidR="009F75F3">
        <w:rPr>
          <w:rFonts w:cs="Arial"/>
          <w:szCs w:val="20"/>
          <w:lang w:val="nl-NL"/>
        </w:rPr>
        <w:t xml:space="preserve">In onder meer het belastingverdrag tussen Chili en Japan (2016) is eveneens een dergelijke bepaling opgenomen. </w:t>
      </w:r>
      <w:r w:rsidRPr="00494232">
        <w:rPr>
          <w:rFonts w:cs="Arial"/>
          <w:szCs w:val="20"/>
          <w:lang w:val="nl-NL"/>
        </w:rPr>
        <w:t xml:space="preserve">Soortgelijke bepalingen zijn door Nederland </w:t>
      </w:r>
      <w:r w:rsidRPr="00494232" w:rsidR="009F75F3">
        <w:rPr>
          <w:rFonts w:cs="Arial"/>
          <w:szCs w:val="20"/>
          <w:lang w:val="nl-NL"/>
        </w:rPr>
        <w:t>onder meer</w:t>
      </w:r>
      <w:r w:rsidRPr="00494232">
        <w:rPr>
          <w:rFonts w:cs="Arial"/>
          <w:szCs w:val="20"/>
          <w:lang w:val="nl-NL"/>
        </w:rPr>
        <w:t xml:space="preserve"> ook overeengekomen met Argentinië </w:t>
      </w:r>
      <w:r w:rsidRPr="002F0BD4" w:rsidR="00D348CA">
        <w:rPr>
          <w:rFonts w:cs="Arial"/>
          <w:szCs w:val="20"/>
          <w:lang w:val="nl-NL"/>
        </w:rPr>
        <w:t>(</w:t>
      </w:r>
      <w:proofErr w:type="spellStart"/>
      <w:r w:rsidRPr="002F0BD4" w:rsidR="00D348CA">
        <w:rPr>
          <w:rFonts w:cs="Arial"/>
          <w:i/>
          <w:szCs w:val="20"/>
          <w:lang w:val="nl-NL"/>
        </w:rPr>
        <w:t>Trb</w:t>
      </w:r>
      <w:proofErr w:type="spellEnd"/>
      <w:r w:rsidRPr="002F0BD4" w:rsidR="00D348CA">
        <w:rPr>
          <w:rFonts w:cs="Arial"/>
          <w:szCs w:val="20"/>
          <w:lang w:val="nl-NL"/>
        </w:rPr>
        <w:t>. 1997, 63), China (</w:t>
      </w:r>
      <w:proofErr w:type="spellStart"/>
      <w:r w:rsidRPr="002F0BD4" w:rsidR="00D348CA">
        <w:rPr>
          <w:rFonts w:cs="Arial"/>
          <w:i/>
          <w:szCs w:val="20"/>
          <w:lang w:val="nl-NL"/>
        </w:rPr>
        <w:t>Trb</w:t>
      </w:r>
      <w:proofErr w:type="spellEnd"/>
      <w:r w:rsidRPr="002F0BD4" w:rsidR="00D348CA">
        <w:rPr>
          <w:rFonts w:cs="Arial"/>
          <w:szCs w:val="20"/>
          <w:lang w:val="nl-NL"/>
        </w:rPr>
        <w:t>. 2013, 104), Irak (</w:t>
      </w:r>
      <w:proofErr w:type="spellStart"/>
      <w:r w:rsidRPr="002F0BD4" w:rsidR="00D348CA">
        <w:rPr>
          <w:rFonts w:cs="Arial"/>
          <w:i/>
          <w:szCs w:val="20"/>
          <w:lang w:val="nl-NL"/>
        </w:rPr>
        <w:t>Trb</w:t>
      </w:r>
      <w:proofErr w:type="spellEnd"/>
      <w:r w:rsidRPr="002F0BD4" w:rsidR="00D348CA">
        <w:rPr>
          <w:rFonts w:cs="Arial"/>
          <w:szCs w:val="20"/>
          <w:lang w:val="nl-NL"/>
        </w:rPr>
        <w:t xml:space="preserve">. 2019, 103), </w:t>
      </w:r>
      <w:r w:rsidRPr="00373709" w:rsidR="00D348CA">
        <w:rPr>
          <w:rFonts w:cs="Arial"/>
          <w:szCs w:val="20"/>
          <w:lang w:val="nl-NL"/>
        </w:rPr>
        <w:t>Koeweit (</w:t>
      </w:r>
      <w:proofErr w:type="spellStart"/>
      <w:r w:rsidRPr="00373709" w:rsidR="00D348CA">
        <w:rPr>
          <w:rFonts w:cs="Arial"/>
          <w:i/>
          <w:szCs w:val="20"/>
          <w:lang w:val="nl-NL"/>
        </w:rPr>
        <w:t>Trb</w:t>
      </w:r>
      <w:proofErr w:type="spellEnd"/>
      <w:r w:rsidRPr="00186530" w:rsidR="00D348CA">
        <w:rPr>
          <w:rFonts w:cs="Arial"/>
          <w:szCs w:val="20"/>
          <w:lang w:val="nl-NL"/>
        </w:rPr>
        <w:t>. 2001, 126), Malawi (</w:t>
      </w:r>
      <w:proofErr w:type="spellStart"/>
      <w:r w:rsidRPr="00186530" w:rsidR="00D348CA">
        <w:rPr>
          <w:rFonts w:cs="Arial"/>
          <w:i/>
          <w:szCs w:val="20"/>
          <w:lang w:val="nl-NL"/>
        </w:rPr>
        <w:t>Trb</w:t>
      </w:r>
      <w:proofErr w:type="spellEnd"/>
      <w:r w:rsidRPr="00186530" w:rsidR="00D348CA">
        <w:rPr>
          <w:rFonts w:cs="Arial"/>
          <w:szCs w:val="20"/>
          <w:lang w:val="nl-NL"/>
        </w:rPr>
        <w:t>. 2015, 75), Panama (</w:t>
      </w:r>
      <w:proofErr w:type="spellStart"/>
      <w:r w:rsidRPr="00186530" w:rsidR="00D348CA">
        <w:rPr>
          <w:rFonts w:cs="Arial"/>
          <w:i/>
          <w:szCs w:val="20"/>
          <w:lang w:val="nl-NL"/>
        </w:rPr>
        <w:t>Trb</w:t>
      </w:r>
      <w:proofErr w:type="spellEnd"/>
      <w:r w:rsidRPr="00902AA5" w:rsidR="00D348CA">
        <w:rPr>
          <w:rFonts w:cs="Arial"/>
          <w:szCs w:val="20"/>
          <w:lang w:val="nl-NL"/>
        </w:rPr>
        <w:t>. 2011, 11), Portugal (</w:t>
      </w:r>
      <w:proofErr w:type="spellStart"/>
      <w:r w:rsidRPr="00902AA5" w:rsidR="00D348CA">
        <w:rPr>
          <w:rFonts w:cs="Arial"/>
          <w:i/>
          <w:szCs w:val="20"/>
          <w:lang w:val="nl-NL"/>
        </w:rPr>
        <w:t>Trb</w:t>
      </w:r>
      <w:proofErr w:type="spellEnd"/>
      <w:r w:rsidRPr="00902AA5" w:rsidR="00D348CA">
        <w:rPr>
          <w:rFonts w:cs="Arial"/>
          <w:szCs w:val="20"/>
          <w:lang w:val="nl-NL"/>
        </w:rPr>
        <w:t>. 1999, 180), Vietnam (</w:t>
      </w:r>
      <w:proofErr w:type="spellStart"/>
      <w:r w:rsidRPr="00902AA5" w:rsidR="00D348CA">
        <w:rPr>
          <w:rFonts w:cs="Arial"/>
          <w:i/>
          <w:szCs w:val="20"/>
          <w:lang w:val="nl-NL"/>
        </w:rPr>
        <w:t>Trb</w:t>
      </w:r>
      <w:proofErr w:type="spellEnd"/>
      <w:r w:rsidRPr="00902AA5" w:rsidR="00D348CA">
        <w:rPr>
          <w:rFonts w:cs="Arial"/>
          <w:szCs w:val="20"/>
          <w:lang w:val="nl-NL"/>
        </w:rPr>
        <w:t>. 1995, 61) en Zambia (</w:t>
      </w:r>
      <w:proofErr w:type="spellStart"/>
      <w:r w:rsidRPr="00902AA5" w:rsidR="00D348CA">
        <w:rPr>
          <w:rFonts w:cs="Arial"/>
          <w:i/>
          <w:szCs w:val="20"/>
          <w:lang w:val="nl-NL"/>
        </w:rPr>
        <w:t>Trb</w:t>
      </w:r>
      <w:proofErr w:type="spellEnd"/>
      <w:r w:rsidRPr="00902AA5" w:rsidR="00D348CA">
        <w:rPr>
          <w:rFonts w:cs="Arial"/>
          <w:szCs w:val="20"/>
          <w:lang w:val="nl-NL"/>
        </w:rPr>
        <w:t>. 2015, 113)</w:t>
      </w:r>
      <w:r w:rsidRPr="00494232">
        <w:rPr>
          <w:rFonts w:cs="Arial"/>
          <w:szCs w:val="20"/>
          <w:lang w:val="nl-NL"/>
        </w:rPr>
        <w:t xml:space="preserve">. </w:t>
      </w:r>
    </w:p>
    <w:p w:rsidRPr="00A805F5" w:rsidR="00DD6F14" w:rsidP="00DD6F14" w:rsidRDefault="00DD6F14" w14:paraId="0CA18E74" w14:textId="7D9DF796">
      <w:pPr>
        <w:rPr>
          <w:rFonts w:cs="Arial"/>
          <w:szCs w:val="20"/>
          <w:highlight w:val="lightGray"/>
          <w:lang w:val="nl-NL"/>
        </w:rPr>
      </w:pPr>
      <w:r w:rsidRPr="00494232">
        <w:rPr>
          <w:rFonts w:cs="Arial"/>
          <w:szCs w:val="20"/>
          <w:lang w:val="nl-NL"/>
        </w:rPr>
        <w:t xml:space="preserve">Ingevolge </w:t>
      </w:r>
      <w:r w:rsidRPr="00494232" w:rsidR="003A799D">
        <w:rPr>
          <w:rFonts w:cs="Arial"/>
          <w:szCs w:val="20"/>
          <w:lang w:val="nl-NL"/>
        </w:rPr>
        <w:t xml:space="preserve">de </w:t>
      </w:r>
      <w:r w:rsidRPr="00494232">
        <w:rPr>
          <w:rFonts w:cs="Arial"/>
          <w:szCs w:val="20"/>
          <w:lang w:val="nl-NL"/>
        </w:rPr>
        <w:t xml:space="preserve">laatste twee zinnen van het derde lid </w:t>
      </w:r>
      <w:r w:rsidRPr="00A805F5">
        <w:rPr>
          <w:rFonts w:cs="Arial"/>
          <w:szCs w:val="20"/>
          <w:lang w:val="nl-NL"/>
        </w:rPr>
        <w:t>worden bij elkaar behorende activiteiten van nauw met elkaar verbonden ondernemingen samengeteld om te bepalen of de tijdsdrempel van de onderdelen a, b en c van het derde lid, zijn overschreden.</w:t>
      </w:r>
    </w:p>
    <w:p w:rsidRPr="00A805F5" w:rsidR="00DD6F14" w:rsidP="00200605" w:rsidRDefault="00DD6F14" w14:paraId="2CE29E5B" w14:textId="64882C76">
      <w:pPr>
        <w:ind w:firstLine="720"/>
        <w:rPr>
          <w:rFonts w:cs="Arial"/>
          <w:b/>
          <w:szCs w:val="20"/>
          <w:highlight w:val="yellow"/>
          <w:lang w:val="nl-NL"/>
        </w:rPr>
      </w:pPr>
      <w:r w:rsidRPr="00A805F5">
        <w:rPr>
          <w:rFonts w:cs="Arial"/>
          <w:szCs w:val="20"/>
          <w:lang w:val="nl-NL"/>
        </w:rPr>
        <w:t xml:space="preserve">Het </w:t>
      </w:r>
      <w:r w:rsidRPr="00A805F5" w:rsidR="00A65159">
        <w:rPr>
          <w:rFonts w:cs="Arial"/>
          <w:szCs w:val="20"/>
          <w:lang w:val="nl-NL"/>
        </w:rPr>
        <w:t>vierde</w:t>
      </w:r>
      <w:r w:rsidRPr="00A805F5">
        <w:rPr>
          <w:rFonts w:cs="Arial"/>
          <w:szCs w:val="20"/>
          <w:lang w:val="nl-NL"/>
        </w:rPr>
        <w:t xml:space="preserve"> lid omschrijft een aantal situaties waarin geen vaste inrichting aanwezig wordt geacht. </w:t>
      </w:r>
      <w:r w:rsidRPr="00A805F5" w:rsidR="008A7649">
        <w:rPr>
          <w:rFonts w:cs="Arial"/>
          <w:szCs w:val="20"/>
          <w:lang w:val="nl-NL"/>
        </w:rPr>
        <w:t xml:space="preserve">Op verzoek van Chili heeft onderdeel e, in afwijking van het OESO-modelverdrag, alleen betrekking op het aanhouden van een vaste bedrijfsinrichting (uitsluitend) voor reclame, </w:t>
      </w:r>
      <w:r w:rsidR="00A37C3C">
        <w:rPr>
          <w:rFonts w:cs="Arial"/>
          <w:szCs w:val="20"/>
          <w:lang w:val="nl-NL"/>
        </w:rPr>
        <w:t xml:space="preserve">voor </w:t>
      </w:r>
      <w:r w:rsidRPr="00A805F5" w:rsidR="008A7649">
        <w:rPr>
          <w:rFonts w:cs="Arial"/>
          <w:szCs w:val="20"/>
          <w:lang w:val="nl-NL"/>
        </w:rPr>
        <w:t>het verstrekken van informatie of voor het uitvoeren van wetenschappelijk onderzoek, en niet –</w:t>
      </w:r>
      <w:r w:rsidRPr="00A805F5" w:rsidR="005C6DB7">
        <w:rPr>
          <w:rFonts w:cs="Arial"/>
          <w:szCs w:val="20"/>
          <w:lang w:val="nl-NL"/>
        </w:rPr>
        <w:t xml:space="preserve"> </w:t>
      </w:r>
      <w:r w:rsidRPr="00A805F5" w:rsidR="008A7649">
        <w:rPr>
          <w:rFonts w:cs="Arial"/>
          <w:szCs w:val="20"/>
          <w:lang w:val="nl-NL"/>
        </w:rPr>
        <w:t xml:space="preserve">zoals artikel 5, vierde lid, onderdeel e, van het OESO-modelverdrag – op een andere activiteit dan die in de voorgaande onderdelen zijn genoemd. Ook is </w:t>
      </w:r>
      <w:r w:rsidRPr="00A805F5" w:rsidR="00200605">
        <w:rPr>
          <w:rFonts w:cs="Arial"/>
          <w:szCs w:val="20"/>
          <w:lang w:val="nl-NL"/>
        </w:rPr>
        <w:t xml:space="preserve">op verzoek van Chili </w:t>
      </w:r>
      <w:r w:rsidRPr="00A805F5" w:rsidR="008A7649">
        <w:rPr>
          <w:rFonts w:cs="Arial"/>
          <w:szCs w:val="20"/>
          <w:lang w:val="nl-NL"/>
        </w:rPr>
        <w:t>geen bepaling opgenomen die overeenkomt met artikel 5, vierde lid, onderdeel f, van het OESO-modelverdrag</w:t>
      </w:r>
      <w:r w:rsidRPr="00A805F5" w:rsidR="006D0B07">
        <w:rPr>
          <w:rFonts w:cs="Arial"/>
          <w:szCs w:val="20"/>
          <w:lang w:val="nl-NL"/>
        </w:rPr>
        <w:t xml:space="preserve">, dat betrekking heeft op een combinatie van de activiteiten die in de eerder genoemde onderdelen zijn vermeld. </w:t>
      </w:r>
      <w:r w:rsidRPr="00A805F5" w:rsidR="00200605">
        <w:rPr>
          <w:rFonts w:cs="Arial"/>
          <w:szCs w:val="20"/>
          <w:lang w:val="nl-NL"/>
        </w:rPr>
        <w:t xml:space="preserve">Wel is </w:t>
      </w:r>
      <w:r w:rsidRPr="00A805F5" w:rsidR="00F014AB">
        <w:rPr>
          <w:rFonts w:cs="Arial"/>
          <w:szCs w:val="20"/>
          <w:lang w:val="nl-NL"/>
        </w:rPr>
        <w:t xml:space="preserve">– in </w:t>
      </w:r>
      <w:r w:rsidRPr="00A805F5">
        <w:rPr>
          <w:rFonts w:cs="Arial"/>
          <w:szCs w:val="20"/>
          <w:lang w:val="nl-NL"/>
        </w:rPr>
        <w:t xml:space="preserve">overeenstemming met het </w:t>
      </w:r>
      <w:r w:rsidRPr="00A805F5" w:rsidR="00200605">
        <w:rPr>
          <w:rFonts w:cs="Arial"/>
          <w:szCs w:val="20"/>
          <w:lang w:val="nl-NL"/>
        </w:rPr>
        <w:t xml:space="preserve">OESO-modelverdrag </w:t>
      </w:r>
      <w:r w:rsidRPr="00A805F5" w:rsidR="00F014AB">
        <w:rPr>
          <w:rFonts w:cs="Arial"/>
          <w:szCs w:val="20"/>
          <w:lang w:val="nl-NL"/>
        </w:rPr>
        <w:t xml:space="preserve">– </w:t>
      </w:r>
      <w:r w:rsidRPr="00A805F5">
        <w:rPr>
          <w:rFonts w:cs="Arial"/>
          <w:szCs w:val="20"/>
          <w:lang w:val="nl-NL"/>
        </w:rPr>
        <w:t>vereist dat de</w:t>
      </w:r>
      <w:r w:rsidRPr="00A805F5" w:rsidR="00200605">
        <w:rPr>
          <w:rFonts w:cs="Arial"/>
          <w:szCs w:val="20"/>
          <w:lang w:val="nl-NL"/>
        </w:rPr>
        <w:t xml:space="preserve"> in het vierde lid genoemde</w:t>
      </w:r>
      <w:r w:rsidRPr="00A805F5">
        <w:rPr>
          <w:rFonts w:cs="Arial"/>
          <w:szCs w:val="20"/>
          <w:lang w:val="nl-NL"/>
        </w:rPr>
        <w:t xml:space="preserve"> activiteiten van voorbereidende aard zijn of het karakter van hulpactiviteit hebben</w:t>
      </w:r>
      <w:r w:rsidRPr="00A805F5" w:rsidR="00F014AB">
        <w:rPr>
          <w:rFonts w:cs="Arial"/>
          <w:szCs w:val="20"/>
          <w:lang w:val="nl-NL"/>
        </w:rPr>
        <w:t xml:space="preserve">, in overeenstemming met </w:t>
      </w:r>
      <w:r w:rsidRPr="00A805F5" w:rsidR="00E952A0">
        <w:rPr>
          <w:rFonts w:cs="Arial"/>
          <w:szCs w:val="20"/>
          <w:lang w:val="nl-NL"/>
        </w:rPr>
        <w:t xml:space="preserve">het rapport bij </w:t>
      </w:r>
      <w:r w:rsidRPr="00A805F5" w:rsidR="00F014AB">
        <w:rPr>
          <w:rFonts w:cs="Arial"/>
          <w:szCs w:val="20"/>
          <w:lang w:val="nl-NL"/>
        </w:rPr>
        <w:t>BEPS-actie 7 tegen het kunstmatig ontgaan van vaste inrichtingen</w:t>
      </w:r>
      <w:r w:rsidRPr="00A805F5" w:rsidR="00E952A0">
        <w:rPr>
          <w:rStyle w:val="FootnoteReference"/>
          <w:rFonts w:cs="Arial"/>
          <w:szCs w:val="20"/>
          <w:lang w:val="nl-NL"/>
        </w:rPr>
        <w:footnoteReference w:id="12"/>
      </w:r>
      <w:r w:rsidRPr="00A805F5">
        <w:rPr>
          <w:rFonts w:cs="Arial"/>
          <w:szCs w:val="20"/>
          <w:lang w:val="nl-NL"/>
        </w:rPr>
        <w:t xml:space="preserve">. </w:t>
      </w:r>
      <w:r w:rsidRPr="00A805F5" w:rsidR="00312A0C">
        <w:rPr>
          <w:rFonts w:cs="Arial"/>
          <w:szCs w:val="20"/>
          <w:lang w:val="nl-NL"/>
        </w:rPr>
        <w:t>Vóór de wijziging van het OESO-modelverdrag in 2017 werd het voorbereidende en ondersteunende karakter in feite verondersteld, terwijl dit karakter in de meest recente versie van het OESO-modelverdrag dus – in lijn met BEPS-actie 7 – een vereiste is.</w:t>
      </w:r>
    </w:p>
    <w:p w:rsidRPr="00A805F5" w:rsidR="00DD6F14" w:rsidP="00DD6F14" w:rsidRDefault="00DD6F14" w14:paraId="0CE1D4F7" w14:textId="45C47217">
      <w:pPr>
        <w:ind w:firstLine="720"/>
        <w:rPr>
          <w:rFonts w:cs="Arial"/>
          <w:szCs w:val="20"/>
          <w:lang w:val="nl-NL"/>
        </w:rPr>
      </w:pPr>
      <w:r w:rsidRPr="00A805F5">
        <w:rPr>
          <w:rFonts w:cs="Arial"/>
          <w:szCs w:val="20"/>
          <w:lang w:val="nl-NL"/>
        </w:rPr>
        <w:t xml:space="preserve">Het </w:t>
      </w:r>
      <w:r w:rsidRPr="00A805F5" w:rsidR="009F75F3">
        <w:rPr>
          <w:rFonts w:cs="Arial"/>
          <w:szCs w:val="20"/>
          <w:lang w:val="nl-NL"/>
        </w:rPr>
        <w:t>vijfde</w:t>
      </w:r>
      <w:r w:rsidRPr="00A805F5">
        <w:rPr>
          <w:rFonts w:cs="Arial"/>
          <w:szCs w:val="20"/>
          <w:lang w:val="nl-NL"/>
        </w:rPr>
        <w:t xml:space="preserve"> lid </w:t>
      </w:r>
      <w:r w:rsidRPr="00A805F5" w:rsidR="009F75F3">
        <w:rPr>
          <w:rFonts w:cs="Arial"/>
          <w:szCs w:val="20"/>
          <w:lang w:val="nl-NL"/>
        </w:rPr>
        <w:t xml:space="preserve">komt overeen met artikel 5, lid 4.1, van het OESO-modelverdrag. Dit betreft </w:t>
      </w:r>
      <w:r w:rsidRPr="00A805F5">
        <w:rPr>
          <w:rFonts w:cs="Arial"/>
          <w:szCs w:val="20"/>
          <w:lang w:val="nl-NL"/>
        </w:rPr>
        <w:t xml:space="preserve">een bepaling om te voorkomen dat activiteiten op kunstmatige wijze worden verspreid over nauw verbonden ondernemingen om daarmee te bereiken dat deze activiteiten onder een van de uitzonderingen van het </w:t>
      </w:r>
      <w:r w:rsidRPr="00A805F5" w:rsidR="009F75F3">
        <w:rPr>
          <w:rFonts w:cs="Arial"/>
          <w:szCs w:val="20"/>
          <w:lang w:val="nl-NL"/>
        </w:rPr>
        <w:t>vierde</w:t>
      </w:r>
      <w:r w:rsidRPr="00A805F5">
        <w:rPr>
          <w:rFonts w:cs="Arial"/>
          <w:szCs w:val="20"/>
          <w:lang w:val="nl-NL"/>
        </w:rPr>
        <w:t xml:space="preserve"> lid vallen. </w:t>
      </w:r>
      <w:r w:rsidRPr="00A805F5" w:rsidR="007B6828">
        <w:rPr>
          <w:rFonts w:cs="Arial"/>
          <w:szCs w:val="20"/>
          <w:lang w:val="nl-NL"/>
        </w:rPr>
        <w:t xml:space="preserve">Ook deze </w:t>
      </w:r>
      <w:r w:rsidRPr="00A805F5" w:rsidR="005C6DB7">
        <w:rPr>
          <w:rFonts w:cs="Arial"/>
          <w:szCs w:val="20"/>
          <w:lang w:val="nl-NL"/>
        </w:rPr>
        <w:t>(‘antifragmentatie’-)</w:t>
      </w:r>
      <w:r w:rsidRPr="00A805F5" w:rsidR="007B6828">
        <w:rPr>
          <w:rFonts w:cs="Arial"/>
          <w:szCs w:val="20"/>
          <w:lang w:val="nl-NL"/>
        </w:rPr>
        <w:t>bepaling vindt zijn achtergrond in het rapport bij BEPS-actie 7.</w:t>
      </w:r>
    </w:p>
    <w:p w:rsidRPr="00A805F5" w:rsidR="008B6E73" w:rsidP="00612F66" w:rsidRDefault="008B6E73" w14:paraId="4EB3BB48" w14:textId="4C992826">
      <w:pPr>
        <w:pStyle w:val="FootnoteText"/>
        <w:rPr>
          <w:rFonts w:cs="Arial"/>
          <w:szCs w:val="20"/>
          <w:lang w:val="nl-NL"/>
        </w:rPr>
      </w:pPr>
      <w:r w:rsidRPr="00A805F5">
        <w:rPr>
          <w:rFonts w:cs="Arial"/>
          <w:szCs w:val="20"/>
          <w:lang w:val="nl-NL"/>
        </w:rPr>
        <w:t xml:space="preserve">Het zesde en zevende lid hebben betrekking op </w:t>
      </w:r>
      <w:r w:rsidRPr="00A805F5" w:rsidR="00FF3E29">
        <w:rPr>
          <w:rFonts w:cs="Arial"/>
          <w:szCs w:val="20"/>
          <w:lang w:val="nl-NL"/>
        </w:rPr>
        <w:t xml:space="preserve">het (niet) </w:t>
      </w:r>
      <w:r w:rsidRPr="00A805F5">
        <w:rPr>
          <w:rFonts w:cs="Arial"/>
          <w:szCs w:val="20"/>
          <w:lang w:val="nl-NL"/>
        </w:rPr>
        <w:t xml:space="preserve">aannemen van een vaste inrichting bij situaties </w:t>
      </w:r>
      <w:r w:rsidRPr="00A805F5" w:rsidR="00FF3E29">
        <w:rPr>
          <w:rFonts w:cs="Arial"/>
          <w:szCs w:val="20"/>
          <w:lang w:val="nl-NL"/>
        </w:rPr>
        <w:t>van (on)afhankelijke vertegenwoordiging</w:t>
      </w:r>
      <w:r w:rsidRPr="00A805F5">
        <w:rPr>
          <w:rFonts w:cs="Arial"/>
          <w:szCs w:val="20"/>
          <w:lang w:val="nl-NL"/>
        </w:rPr>
        <w:t xml:space="preserve">. In het </w:t>
      </w:r>
      <w:r w:rsidRPr="00A805F5" w:rsidR="00FF3E29">
        <w:rPr>
          <w:rFonts w:cs="Arial"/>
          <w:szCs w:val="20"/>
          <w:lang w:val="nl-NL"/>
        </w:rPr>
        <w:t>zesd</w:t>
      </w:r>
      <w:r w:rsidRPr="00A805F5">
        <w:rPr>
          <w:rFonts w:cs="Arial"/>
          <w:szCs w:val="20"/>
          <w:lang w:val="nl-NL"/>
        </w:rPr>
        <w:t xml:space="preserve">e lid is overeengekomen dat van een vaste inrichting sprake is indien een persoon </w:t>
      </w:r>
      <w:r w:rsidRPr="00A805F5" w:rsidR="003A799D">
        <w:rPr>
          <w:rFonts w:cs="Arial"/>
          <w:szCs w:val="20"/>
          <w:lang w:val="nl-NL"/>
        </w:rPr>
        <w:t xml:space="preserve">voor rekening van een onderneming van de andere </w:t>
      </w:r>
      <w:r w:rsidRPr="00A805F5" w:rsidR="00D57C05">
        <w:rPr>
          <w:rFonts w:cs="Arial"/>
          <w:szCs w:val="20"/>
          <w:lang w:val="nl-NL"/>
        </w:rPr>
        <w:t>verdragsluitende s</w:t>
      </w:r>
      <w:r w:rsidRPr="00A805F5" w:rsidR="003A799D">
        <w:rPr>
          <w:rFonts w:cs="Arial"/>
          <w:szCs w:val="20"/>
          <w:lang w:val="nl-NL"/>
        </w:rPr>
        <w:t xml:space="preserve">taat </w:t>
      </w:r>
      <w:r w:rsidRPr="00A805F5">
        <w:rPr>
          <w:rFonts w:cs="Arial"/>
          <w:szCs w:val="20"/>
          <w:lang w:val="nl-NL"/>
        </w:rPr>
        <w:t>overeenkomsten sluit, of gewoonlijk de belangrijkste rol vervult die leidt tot het sluiten van die overeenkomsten en deze routinematig worden gesloten door de onderneming. Het gaat daarbij uitsluitend om overeenkomsten die op naam van de onderneming worden gesloten</w:t>
      </w:r>
      <w:r w:rsidRPr="00A805F5" w:rsidR="00B669AA">
        <w:rPr>
          <w:rFonts w:cs="Arial"/>
          <w:szCs w:val="20"/>
          <w:lang w:val="nl-NL"/>
        </w:rPr>
        <w:t xml:space="preserve"> </w:t>
      </w:r>
      <w:r w:rsidRPr="00A805F5" w:rsidR="00B669AA">
        <w:rPr>
          <w:rFonts w:cs="Arial"/>
          <w:szCs w:val="20"/>
          <w:lang w:val="nl-NL"/>
        </w:rPr>
        <w:lastRenderedPageBreak/>
        <w:t>(onderdeel a)</w:t>
      </w:r>
      <w:r w:rsidRPr="00A805F5">
        <w:rPr>
          <w:rFonts w:cs="Arial"/>
          <w:szCs w:val="20"/>
          <w:lang w:val="nl-NL"/>
        </w:rPr>
        <w:t xml:space="preserve">, die leiden tot de overdracht van goederen door die onderneming </w:t>
      </w:r>
      <w:r w:rsidRPr="00A805F5" w:rsidR="00D7038F">
        <w:rPr>
          <w:rFonts w:cs="Arial"/>
          <w:szCs w:val="20"/>
          <w:lang w:val="nl-NL"/>
        </w:rPr>
        <w:t xml:space="preserve">(of het verlenen van een gebruiksrecht op die goederen) </w:t>
      </w:r>
      <w:r w:rsidRPr="00A805F5" w:rsidR="00B669AA">
        <w:rPr>
          <w:rFonts w:cs="Arial"/>
          <w:szCs w:val="20"/>
          <w:lang w:val="nl-NL"/>
        </w:rPr>
        <w:t xml:space="preserve">(onderdeel b) </w:t>
      </w:r>
      <w:r w:rsidRPr="00A805F5">
        <w:rPr>
          <w:rFonts w:cs="Arial"/>
          <w:szCs w:val="20"/>
          <w:lang w:val="nl-NL"/>
        </w:rPr>
        <w:t>of die zien op het verlenen van diensten door die onderneming</w:t>
      </w:r>
      <w:r w:rsidRPr="00A805F5" w:rsidR="00B669AA">
        <w:rPr>
          <w:rFonts w:cs="Arial"/>
          <w:szCs w:val="20"/>
          <w:lang w:val="nl-NL"/>
        </w:rPr>
        <w:t xml:space="preserve"> (onderdeel c)</w:t>
      </w:r>
      <w:r w:rsidRPr="00A805F5">
        <w:rPr>
          <w:rFonts w:cs="Arial"/>
          <w:szCs w:val="20"/>
          <w:lang w:val="nl-NL"/>
        </w:rPr>
        <w:t xml:space="preserve">. </w:t>
      </w:r>
      <w:r w:rsidRPr="00A805F5" w:rsidR="00010367">
        <w:rPr>
          <w:rFonts w:cs="Arial"/>
          <w:szCs w:val="20"/>
          <w:lang w:val="nl-NL"/>
        </w:rPr>
        <w:t>Vanwege die laatste twee elementen</w:t>
      </w:r>
      <w:r w:rsidRPr="00A805F5" w:rsidR="00FF3E29">
        <w:rPr>
          <w:rFonts w:cs="Arial"/>
          <w:szCs w:val="20"/>
          <w:lang w:val="nl-NL"/>
        </w:rPr>
        <w:t xml:space="preserve"> </w:t>
      </w:r>
      <w:r w:rsidRPr="00A805F5" w:rsidR="00D7038F">
        <w:rPr>
          <w:rFonts w:cs="Arial"/>
          <w:szCs w:val="20"/>
          <w:lang w:val="nl-NL"/>
        </w:rPr>
        <w:t xml:space="preserve">kunnen </w:t>
      </w:r>
      <w:r w:rsidRPr="00A805F5" w:rsidR="00010367">
        <w:rPr>
          <w:rFonts w:cs="Arial"/>
          <w:szCs w:val="20"/>
          <w:lang w:val="nl-NL"/>
        </w:rPr>
        <w:t xml:space="preserve">hier </w:t>
      </w:r>
      <w:r w:rsidRPr="00A805F5" w:rsidR="00D7038F">
        <w:rPr>
          <w:rFonts w:cs="Arial"/>
          <w:szCs w:val="20"/>
          <w:lang w:val="nl-NL"/>
        </w:rPr>
        <w:t>dus ook</w:t>
      </w:r>
      <w:r w:rsidRPr="00A805F5" w:rsidR="00FF3E29">
        <w:rPr>
          <w:rFonts w:cs="Arial"/>
          <w:szCs w:val="20"/>
          <w:lang w:val="nl-NL"/>
        </w:rPr>
        <w:t xml:space="preserve"> commissionairsstructuren</w:t>
      </w:r>
      <w:r w:rsidRPr="00A805F5" w:rsidR="00D7038F">
        <w:rPr>
          <w:rFonts w:cs="Arial"/>
          <w:szCs w:val="20"/>
          <w:lang w:val="nl-NL"/>
        </w:rPr>
        <w:t xml:space="preserve"> onder vallen, waarbij de vertegenwoordiger op eigen naam overeenkomsten sluit</w:t>
      </w:r>
      <w:r w:rsidRPr="00A805F5" w:rsidR="00FF3E29">
        <w:rPr>
          <w:rFonts w:cs="Arial"/>
          <w:szCs w:val="20"/>
          <w:lang w:val="nl-NL"/>
        </w:rPr>
        <w:t>.</w:t>
      </w:r>
      <w:r w:rsidRPr="00A805F5" w:rsidR="00CA0B60">
        <w:rPr>
          <w:rFonts w:cs="Arial"/>
          <w:szCs w:val="20"/>
          <w:lang w:val="nl-NL"/>
        </w:rPr>
        <w:t xml:space="preserve"> </w:t>
      </w:r>
    </w:p>
    <w:p w:rsidRPr="00A805F5" w:rsidR="008B6E73" w:rsidP="008B6E73" w:rsidRDefault="008B6E73" w14:paraId="602491CB" w14:textId="51945146">
      <w:pPr>
        <w:rPr>
          <w:rFonts w:cs="Arial"/>
          <w:szCs w:val="20"/>
          <w:lang w:val="nl-NL"/>
        </w:rPr>
      </w:pPr>
      <w:r w:rsidRPr="00A805F5">
        <w:rPr>
          <w:rFonts w:cs="Arial"/>
          <w:szCs w:val="20"/>
          <w:lang w:val="nl-NL"/>
        </w:rPr>
        <w:t xml:space="preserve">Het </w:t>
      </w:r>
      <w:r w:rsidRPr="00A805F5" w:rsidR="00FF3E29">
        <w:rPr>
          <w:rFonts w:cs="Arial"/>
          <w:szCs w:val="20"/>
          <w:lang w:val="nl-NL"/>
        </w:rPr>
        <w:t>zevend</w:t>
      </w:r>
      <w:r w:rsidRPr="00A805F5">
        <w:rPr>
          <w:rFonts w:cs="Arial"/>
          <w:szCs w:val="20"/>
          <w:lang w:val="nl-NL"/>
        </w:rPr>
        <w:t xml:space="preserve">e lid bevat een uitzondering op de bepaling in het </w:t>
      </w:r>
      <w:r w:rsidRPr="00A805F5" w:rsidR="00FF3E29">
        <w:rPr>
          <w:rFonts w:cs="Arial"/>
          <w:szCs w:val="20"/>
          <w:lang w:val="nl-NL"/>
        </w:rPr>
        <w:t>zesd</w:t>
      </w:r>
      <w:r w:rsidRPr="00A805F5">
        <w:rPr>
          <w:rFonts w:cs="Arial"/>
          <w:szCs w:val="20"/>
          <w:lang w:val="nl-NL"/>
        </w:rPr>
        <w:t xml:space="preserve">e </w:t>
      </w:r>
      <w:r w:rsidRPr="00A805F5" w:rsidR="00FF3E29">
        <w:rPr>
          <w:rFonts w:cs="Arial"/>
          <w:szCs w:val="20"/>
          <w:lang w:val="nl-NL"/>
        </w:rPr>
        <w:t xml:space="preserve">lid </w:t>
      </w:r>
      <w:r w:rsidRPr="00A805F5">
        <w:rPr>
          <w:rFonts w:cs="Arial"/>
          <w:szCs w:val="20"/>
          <w:lang w:val="nl-NL"/>
        </w:rPr>
        <w:t xml:space="preserve">voor gevallen waarin de persoon in de andere staat een bedrijf </w:t>
      </w:r>
      <w:r w:rsidRPr="00A805F5" w:rsidR="00681DEC">
        <w:rPr>
          <w:rFonts w:cs="Arial"/>
          <w:szCs w:val="20"/>
          <w:lang w:val="nl-NL"/>
        </w:rPr>
        <w:t xml:space="preserve">uitoefent </w:t>
      </w:r>
      <w:r w:rsidRPr="00A805F5">
        <w:rPr>
          <w:rFonts w:cs="Arial"/>
          <w:szCs w:val="20"/>
          <w:lang w:val="nl-NL"/>
        </w:rPr>
        <w:t xml:space="preserve">als onafhankelijke agent en handelt in de context van dat bedrijf. Van een onafhankelijke agent is geen sprake wanneer deze uitsluitend of vrijwel uitsluitend optreedt voor een nauw verbonden </w:t>
      </w:r>
      <w:r w:rsidRPr="00A805F5" w:rsidR="00FF3E29">
        <w:rPr>
          <w:rFonts w:cs="Arial"/>
          <w:szCs w:val="20"/>
          <w:lang w:val="nl-NL"/>
        </w:rPr>
        <w:t>onderneming</w:t>
      </w:r>
      <w:r w:rsidRPr="00A805F5">
        <w:rPr>
          <w:rFonts w:cs="Arial"/>
          <w:szCs w:val="20"/>
          <w:lang w:val="nl-NL"/>
        </w:rPr>
        <w:t xml:space="preserve">. </w:t>
      </w:r>
    </w:p>
    <w:p w:rsidRPr="00A805F5" w:rsidR="00612F66" w:rsidP="008B6E73" w:rsidRDefault="00612F66" w14:paraId="75FA1460" w14:textId="41FED08F">
      <w:pPr>
        <w:rPr>
          <w:rFonts w:cs="Arial"/>
          <w:szCs w:val="20"/>
          <w:lang w:val="nl-NL"/>
        </w:rPr>
      </w:pPr>
      <w:r w:rsidRPr="00A805F5">
        <w:rPr>
          <w:rFonts w:cs="Arial"/>
          <w:szCs w:val="20"/>
          <w:lang w:val="nl-NL"/>
        </w:rPr>
        <w:t>Chili hechtte een groot belang aan opname van het zesde en zevende lid, in overeenstemming met artikel 5, vijfde en zesde lid, van het OESO-modelverdrag</w:t>
      </w:r>
      <w:r w:rsidRPr="00A805F5" w:rsidR="007B6828">
        <w:rPr>
          <w:rFonts w:cs="Arial"/>
          <w:szCs w:val="20"/>
          <w:lang w:val="nl-NL"/>
        </w:rPr>
        <w:t xml:space="preserve"> en gebaseerd op het rapport bij BEPS-actie 7</w:t>
      </w:r>
      <w:r w:rsidRPr="00A805F5">
        <w:rPr>
          <w:rFonts w:cs="Arial"/>
          <w:szCs w:val="20"/>
          <w:lang w:val="nl-NL"/>
        </w:rPr>
        <w:t>. Nederland heeft hiermee ing</w:t>
      </w:r>
      <w:r w:rsidRPr="00A805F5" w:rsidR="007B6828">
        <w:rPr>
          <w:rFonts w:cs="Arial"/>
          <w:szCs w:val="20"/>
          <w:lang w:val="nl-NL"/>
        </w:rPr>
        <w:t xml:space="preserve">estemd, mede omdat het Verdrag </w:t>
      </w:r>
      <w:r w:rsidRPr="00A805F5">
        <w:rPr>
          <w:rFonts w:cs="Arial"/>
          <w:szCs w:val="20"/>
          <w:lang w:val="nl-NL"/>
        </w:rPr>
        <w:t xml:space="preserve">een </w:t>
      </w:r>
      <w:r w:rsidRPr="00A805F5" w:rsidR="003D480E">
        <w:rPr>
          <w:rFonts w:cs="Arial"/>
          <w:szCs w:val="20"/>
          <w:lang w:val="nl-NL"/>
        </w:rPr>
        <w:t xml:space="preserve">voldoende </w:t>
      </w:r>
      <w:r w:rsidRPr="00A805F5">
        <w:rPr>
          <w:rFonts w:cs="Arial"/>
          <w:szCs w:val="20"/>
          <w:lang w:val="nl-NL"/>
        </w:rPr>
        <w:t xml:space="preserve">effectieve geschilbeslechtingsprocedure bevat in de vorm van arbitrage (artikel 25, </w:t>
      </w:r>
      <w:r w:rsidRPr="00A805F5" w:rsidR="00835604">
        <w:rPr>
          <w:rFonts w:cs="Arial"/>
          <w:szCs w:val="20"/>
          <w:lang w:val="nl-NL"/>
        </w:rPr>
        <w:t>vijfde lid</w:t>
      </w:r>
      <w:r w:rsidRPr="00A805F5">
        <w:rPr>
          <w:rFonts w:cs="Arial"/>
          <w:szCs w:val="20"/>
          <w:lang w:val="nl-NL"/>
        </w:rPr>
        <w:t xml:space="preserve">, van het Verdrag). Hierbij is rekening gehouden met het amendement Lodders – Slootweg op de goedkeuringswet bij het MLI dat ruimte laat </w:t>
      </w:r>
      <w:r w:rsidRPr="00A805F5" w:rsidR="009703B0">
        <w:rPr>
          <w:rFonts w:cs="Arial"/>
          <w:szCs w:val="20"/>
          <w:lang w:val="nl-NL"/>
        </w:rPr>
        <w:t xml:space="preserve">bepalingen overeenkomstig </w:t>
      </w:r>
      <w:r w:rsidRPr="00A805F5">
        <w:rPr>
          <w:rFonts w:cs="Arial"/>
          <w:szCs w:val="20"/>
          <w:lang w:val="nl-NL"/>
        </w:rPr>
        <w:t>artikel 5, vijfde en zesde lid, van het OESO-modelverdrag bilateraal overeen te komen als er een effectieve vorm van geschilbeslechting is.</w:t>
      </w:r>
      <w:r w:rsidRPr="00A805F5">
        <w:rPr>
          <w:rStyle w:val="FootnoteReference"/>
          <w:rFonts w:cs="Arial"/>
          <w:szCs w:val="20"/>
          <w:lang w:val="nl-NL"/>
        </w:rPr>
        <w:footnoteReference w:id="13"/>
      </w:r>
    </w:p>
    <w:p w:rsidRPr="00A805F5" w:rsidR="00DD6F14" w:rsidP="00DD6F14" w:rsidRDefault="00DD6F14" w14:paraId="15EC9BD7" w14:textId="154E007A">
      <w:pPr>
        <w:ind w:firstLine="720"/>
        <w:rPr>
          <w:rFonts w:cs="Arial"/>
          <w:szCs w:val="20"/>
          <w:lang w:val="nl-NL"/>
        </w:rPr>
      </w:pPr>
      <w:r w:rsidRPr="00A805F5">
        <w:rPr>
          <w:rFonts w:cs="Arial"/>
          <w:szCs w:val="20"/>
          <w:lang w:val="nl-NL"/>
        </w:rPr>
        <w:t xml:space="preserve">Het </w:t>
      </w:r>
      <w:r w:rsidRPr="00A805F5" w:rsidR="00FF3E29">
        <w:rPr>
          <w:rFonts w:cs="Arial"/>
          <w:szCs w:val="20"/>
          <w:lang w:val="nl-NL"/>
        </w:rPr>
        <w:t xml:space="preserve">achtste </w:t>
      </w:r>
      <w:r w:rsidRPr="00A805F5">
        <w:rPr>
          <w:rFonts w:cs="Arial"/>
          <w:szCs w:val="20"/>
          <w:lang w:val="nl-NL"/>
        </w:rPr>
        <w:t xml:space="preserve">lid bevat een definitie van ‘nauw met een onderneming verbonden persoon of onderneming’. Deze definitie is van belang bij de uitleg van het </w:t>
      </w:r>
      <w:r w:rsidRPr="00A805F5" w:rsidR="009703B0">
        <w:rPr>
          <w:rFonts w:cs="Arial"/>
          <w:szCs w:val="20"/>
          <w:lang w:val="nl-NL"/>
        </w:rPr>
        <w:t xml:space="preserve">derde, vijfde en zevende </w:t>
      </w:r>
      <w:r w:rsidRPr="00A805F5">
        <w:rPr>
          <w:rFonts w:cs="Arial"/>
          <w:szCs w:val="20"/>
          <w:lang w:val="nl-NL"/>
        </w:rPr>
        <w:t>lid van dit artikel</w:t>
      </w:r>
      <w:r w:rsidRPr="00A805F5" w:rsidR="004E702F">
        <w:rPr>
          <w:rFonts w:cs="Arial"/>
          <w:szCs w:val="20"/>
          <w:lang w:val="nl-NL"/>
        </w:rPr>
        <w:t xml:space="preserve"> en is eveneens ontleend aan het OESO-modelverdrag en het rapport bij BEPS-actie 7</w:t>
      </w:r>
      <w:r w:rsidRPr="00A805F5">
        <w:rPr>
          <w:rFonts w:cs="Arial"/>
          <w:szCs w:val="20"/>
          <w:lang w:val="nl-NL"/>
        </w:rPr>
        <w:t>.</w:t>
      </w:r>
    </w:p>
    <w:p w:rsidRPr="00A805F5" w:rsidR="00DD6F14" w:rsidP="00DD6F14" w:rsidRDefault="00DD6F14" w14:paraId="31234F6A" w14:textId="77777777">
      <w:pPr>
        <w:ind w:firstLine="720"/>
        <w:rPr>
          <w:rFonts w:cs="Arial"/>
          <w:szCs w:val="20"/>
          <w:lang w:val="nl-NL"/>
        </w:rPr>
      </w:pPr>
      <w:r w:rsidRPr="00A805F5">
        <w:rPr>
          <w:rFonts w:cs="Arial"/>
          <w:szCs w:val="20"/>
          <w:lang w:val="nl-NL"/>
        </w:rPr>
        <w:t xml:space="preserve">Het </w:t>
      </w:r>
      <w:r w:rsidRPr="00A805F5" w:rsidR="00113D5C">
        <w:rPr>
          <w:rFonts w:cs="Arial"/>
          <w:szCs w:val="20"/>
          <w:lang w:val="nl-NL"/>
        </w:rPr>
        <w:t>negende</w:t>
      </w:r>
      <w:r w:rsidRPr="00A805F5">
        <w:rPr>
          <w:rFonts w:cs="Arial"/>
          <w:szCs w:val="20"/>
          <w:lang w:val="nl-NL"/>
        </w:rPr>
        <w:t xml:space="preserve"> lid bepaalt dat de enkele omstandigheid dat een lichaam dat inwoner is van een verdragsluitende staat, een lichaam beheerst dat in de andere verdragsluitende staat is gevestigd, dan wel in die andere staat door middel van een vaste inrichting of anderszins zaken doet, niet meebrengt dat een van deze lichamen een vaste inrichting vormt van het andere lichaam. </w:t>
      </w:r>
    </w:p>
    <w:p w:rsidRPr="00A805F5" w:rsidR="0010137F" w:rsidP="004E702F" w:rsidRDefault="004E702F" w14:paraId="2B4FE0E2" w14:textId="6656F0A3">
      <w:pPr>
        <w:pStyle w:val="Heading2"/>
        <w:rPr>
          <w:rFonts w:cs="Arial"/>
          <w:b w:val="0"/>
          <w:bCs w:val="0"/>
          <w:i/>
          <w:smallCaps w:val="0"/>
          <w:szCs w:val="20"/>
          <w:lang w:val="nl-NL"/>
        </w:rPr>
      </w:pPr>
      <w:r w:rsidRPr="00A805F5">
        <w:rPr>
          <w:rFonts w:cs="Arial"/>
          <w:b w:val="0"/>
          <w:bCs w:val="0"/>
          <w:i/>
          <w:smallCaps w:val="0"/>
          <w:szCs w:val="20"/>
          <w:lang w:val="nl-NL"/>
        </w:rPr>
        <w:t xml:space="preserve">II.6. </w:t>
      </w:r>
      <w:r w:rsidRPr="00A805F5" w:rsidR="002C301D">
        <w:rPr>
          <w:rFonts w:cs="Arial"/>
          <w:b w:val="0"/>
          <w:bCs w:val="0"/>
          <w:i/>
          <w:smallCaps w:val="0"/>
          <w:szCs w:val="20"/>
          <w:lang w:val="nl-NL"/>
        </w:rPr>
        <w:t>Inkomen uit onroerende zaken (</w:t>
      </w:r>
      <w:r w:rsidRPr="00A805F5">
        <w:rPr>
          <w:rFonts w:cs="Arial"/>
          <w:b w:val="0"/>
          <w:bCs w:val="0"/>
          <w:i/>
          <w:smallCaps w:val="0"/>
          <w:szCs w:val="20"/>
          <w:lang w:val="nl-NL"/>
        </w:rPr>
        <w:t>A</w:t>
      </w:r>
      <w:r w:rsidRPr="00A805F5" w:rsidR="0010137F">
        <w:rPr>
          <w:rFonts w:cs="Arial"/>
          <w:b w:val="0"/>
          <w:bCs w:val="0"/>
          <w:i/>
          <w:smallCaps w:val="0"/>
          <w:szCs w:val="20"/>
          <w:lang w:val="nl-NL"/>
        </w:rPr>
        <w:t xml:space="preserve">rtikel 6 </w:t>
      </w:r>
      <w:r w:rsidRPr="00A805F5" w:rsidR="00B56CB6">
        <w:rPr>
          <w:rFonts w:cs="Arial"/>
          <w:b w:val="0"/>
          <w:bCs w:val="0"/>
          <w:i/>
          <w:smallCaps w:val="0"/>
          <w:szCs w:val="20"/>
          <w:lang w:val="nl-NL"/>
        </w:rPr>
        <w:t xml:space="preserve">van het Verdrag </w:t>
      </w:r>
      <w:r w:rsidRPr="00A805F5" w:rsidR="002C301D">
        <w:rPr>
          <w:rFonts w:cs="Arial"/>
          <w:b w:val="0"/>
          <w:bCs w:val="0"/>
          <w:i/>
          <w:smallCaps w:val="0"/>
          <w:szCs w:val="20"/>
          <w:lang w:val="nl-NL"/>
        </w:rPr>
        <w:t>en artikel II van het Protocol</w:t>
      </w:r>
      <w:r w:rsidRPr="00A805F5" w:rsidR="00B56CB6">
        <w:rPr>
          <w:rFonts w:cs="Arial"/>
          <w:b w:val="0"/>
          <w:bCs w:val="0"/>
          <w:i/>
          <w:smallCaps w:val="0"/>
          <w:szCs w:val="20"/>
          <w:lang w:val="nl-NL"/>
        </w:rPr>
        <w:t>)</w:t>
      </w:r>
    </w:p>
    <w:p w:rsidRPr="00A805F5" w:rsidR="00743A6B" w:rsidP="00743A6B" w:rsidRDefault="00743A6B" w14:paraId="3272F5ED" w14:textId="7164DE02">
      <w:pPr>
        <w:rPr>
          <w:rFonts w:cs="Arial"/>
          <w:szCs w:val="20"/>
          <w:lang w:val="nl-NL"/>
        </w:rPr>
      </w:pPr>
      <w:r w:rsidRPr="00A805F5">
        <w:rPr>
          <w:rFonts w:cs="Arial"/>
          <w:szCs w:val="20"/>
          <w:lang w:val="nl-NL"/>
        </w:rPr>
        <w:t>Artikel 6 verdeelt</w:t>
      </w:r>
      <w:r w:rsidRPr="00A805F5" w:rsidR="00D82174">
        <w:rPr>
          <w:rFonts w:cs="Arial"/>
          <w:szCs w:val="20"/>
          <w:lang w:val="nl-NL"/>
        </w:rPr>
        <w:t xml:space="preserve"> de heffingsrechten over inkom</w:t>
      </w:r>
      <w:r w:rsidRPr="00A805F5">
        <w:rPr>
          <w:rFonts w:cs="Arial"/>
          <w:szCs w:val="20"/>
          <w:lang w:val="nl-NL"/>
        </w:rPr>
        <w:t>en uit onroerende zaken. Het artikel komt vrijwel geheel over</w:t>
      </w:r>
      <w:r w:rsidRPr="00A805F5" w:rsidR="004E702F">
        <w:rPr>
          <w:rFonts w:cs="Arial"/>
          <w:szCs w:val="20"/>
          <w:lang w:val="nl-NL"/>
        </w:rPr>
        <w:t>een met artikel 6 van het OESO</w:t>
      </w:r>
      <w:r w:rsidRPr="00A805F5">
        <w:rPr>
          <w:rFonts w:cs="Arial"/>
          <w:szCs w:val="20"/>
          <w:lang w:val="nl-NL"/>
        </w:rPr>
        <w:t>-modelverdrag. Het wijst de heffing</w:t>
      </w:r>
      <w:r w:rsidRPr="00A805F5" w:rsidR="004E702F">
        <w:rPr>
          <w:rFonts w:cs="Arial"/>
          <w:szCs w:val="20"/>
          <w:lang w:val="nl-NL"/>
        </w:rPr>
        <w:t>srechten toe aan de verdragsluitende s</w:t>
      </w:r>
      <w:r w:rsidRPr="00A805F5">
        <w:rPr>
          <w:rFonts w:cs="Arial"/>
          <w:szCs w:val="20"/>
          <w:lang w:val="nl-NL"/>
        </w:rPr>
        <w:t>taat waarin de onroerende zaken</w:t>
      </w:r>
      <w:r w:rsidRPr="00A805F5" w:rsidR="004E702F">
        <w:rPr>
          <w:rFonts w:cs="Arial"/>
          <w:szCs w:val="20"/>
          <w:lang w:val="nl-NL"/>
        </w:rPr>
        <w:t xml:space="preserve"> zijn gelegen</w:t>
      </w:r>
      <w:r w:rsidRPr="00A805F5">
        <w:rPr>
          <w:rFonts w:cs="Arial"/>
          <w:szCs w:val="20"/>
          <w:lang w:val="nl-NL"/>
        </w:rPr>
        <w:t xml:space="preserve">. </w:t>
      </w:r>
    </w:p>
    <w:p w:rsidRPr="00A805F5" w:rsidR="00743A6B" w:rsidP="00743A6B" w:rsidRDefault="00743A6B" w14:paraId="7F5144EF" w14:textId="32BB0576">
      <w:pPr>
        <w:rPr>
          <w:rFonts w:cs="Arial"/>
          <w:szCs w:val="20"/>
          <w:lang w:val="nl-NL"/>
        </w:rPr>
      </w:pPr>
      <w:r w:rsidRPr="00A805F5">
        <w:rPr>
          <w:rFonts w:cs="Arial"/>
          <w:szCs w:val="20"/>
          <w:lang w:val="nl-NL"/>
        </w:rPr>
        <w:t>Het eerste lid bepaalt dat inkom</w:t>
      </w:r>
      <w:r w:rsidRPr="00A805F5" w:rsidR="00D82174">
        <w:rPr>
          <w:rFonts w:cs="Arial"/>
          <w:szCs w:val="20"/>
          <w:lang w:val="nl-NL"/>
        </w:rPr>
        <w:t xml:space="preserve">en dat </w:t>
      </w:r>
      <w:r w:rsidRPr="00A805F5">
        <w:rPr>
          <w:rFonts w:cs="Arial"/>
          <w:szCs w:val="20"/>
          <w:lang w:val="nl-NL"/>
        </w:rPr>
        <w:t xml:space="preserve">een inwoner van een verdragsluitende staat </w:t>
      </w:r>
      <w:r w:rsidRPr="00A805F5" w:rsidR="004E702F">
        <w:rPr>
          <w:rFonts w:cs="Arial"/>
          <w:szCs w:val="20"/>
          <w:lang w:val="nl-NL"/>
        </w:rPr>
        <w:t>ver</w:t>
      </w:r>
      <w:r w:rsidRPr="00A805F5">
        <w:rPr>
          <w:rFonts w:cs="Arial"/>
          <w:szCs w:val="20"/>
          <w:lang w:val="nl-NL"/>
        </w:rPr>
        <w:t>krijgt uit onroerende zaken (</w:t>
      </w:r>
      <w:r w:rsidRPr="00A805F5" w:rsidR="002C301D">
        <w:rPr>
          <w:rFonts w:cs="Arial"/>
          <w:szCs w:val="20"/>
          <w:lang w:val="nl-NL"/>
        </w:rPr>
        <w:t xml:space="preserve">waaronder </w:t>
      </w:r>
      <w:r w:rsidRPr="00A805F5">
        <w:rPr>
          <w:rFonts w:cs="Arial"/>
          <w:szCs w:val="20"/>
          <w:lang w:val="nl-NL"/>
        </w:rPr>
        <w:t xml:space="preserve">inkomsten uit landbouw- of bosbedrijven) gelegen in de andere verdragsluitende staat, in die andere staat </w:t>
      </w:r>
      <w:r w:rsidR="00DE45B9">
        <w:rPr>
          <w:rFonts w:cs="Arial"/>
          <w:szCs w:val="20"/>
          <w:lang w:val="nl-NL"/>
        </w:rPr>
        <w:t>mag</w:t>
      </w:r>
      <w:r w:rsidRPr="00A805F5">
        <w:rPr>
          <w:rFonts w:cs="Arial"/>
          <w:szCs w:val="20"/>
          <w:lang w:val="nl-NL"/>
        </w:rPr>
        <w:t xml:space="preserve"> worden belast. </w:t>
      </w:r>
    </w:p>
    <w:p w:rsidRPr="00494232" w:rsidR="00743A6B" w:rsidP="00743A6B" w:rsidRDefault="002C301D" w14:paraId="6BCE7BBC" w14:textId="2144141D">
      <w:pPr>
        <w:rPr>
          <w:rFonts w:cs="Arial"/>
          <w:szCs w:val="20"/>
          <w:lang w:val="nl-NL"/>
        </w:rPr>
      </w:pPr>
      <w:r w:rsidRPr="00A805F5">
        <w:rPr>
          <w:rFonts w:cs="Arial"/>
          <w:szCs w:val="20"/>
          <w:lang w:val="nl-NL"/>
        </w:rPr>
        <w:t>H</w:t>
      </w:r>
      <w:r w:rsidRPr="00A805F5" w:rsidR="00743A6B">
        <w:rPr>
          <w:rFonts w:cs="Arial"/>
          <w:szCs w:val="20"/>
          <w:lang w:val="nl-NL"/>
        </w:rPr>
        <w:t xml:space="preserve">et tweede lid </w:t>
      </w:r>
      <w:r w:rsidRPr="00A805F5">
        <w:rPr>
          <w:rFonts w:cs="Arial"/>
          <w:szCs w:val="20"/>
          <w:lang w:val="nl-NL"/>
        </w:rPr>
        <w:t xml:space="preserve">verwijst voor de betekenis van </w:t>
      </w:r>
      <w:r w:rsidRPr="00A805F5" w:rsidR="00743A6B">
        <w:rPr>
          <w:rFonts w:cs="Arial"/>
          <w:szCs w:val="20"/>
          <w:lang w:val="nl-NL"/>
        </w:rPr>
        <w:t xml:space="preserve">de uitdrukking ‘onroerende zaken’ </w:t>
      </w:r>
      <w:r w:rsidRPr="00A805F5">
        <w:rPr>
          <w:rFonts w:cs="Arial"/>
          <w:szCs w:val="20"/>
          <w:lang w:val="nl-NL"/>
        </w:rPr>
        <w:t>naar</w:t>
      </w:r>
      <w:r w:rsidRPr="00A805F5" w:rsidR="00743A6B">
        <w:rPr>
          <w:rFonts w:cs="Arial"/>
          <w:szCs w:val="20"/>
          <w:lang w:val="nl-NL"/>
        </w:rPr>
        <w:t xml:space="preserve"> het </w:t>
      </w:r>
      <w:r w:rsidR="00442AEB">
        <w:rPr>
          <w:rFonts w:cs="Arial"/>
          <w:szCs w:val="20"/>
          <w:lang w:val="nl-NL"/>
        </w:rPr>
        <w:t xml:space="preserve">nationale </w:t>
      </w:r>
      <w:r w:rsidRPr="00A805F5" w:rsidR="00743A6B">
        <w:rPr>
          <w:rFonts w:cs="Arial"/>
          <w:szCs w:val="20"/>
          <w:lang w:val="nl-NL"/>
        </w:rPr>
        <w:t>recht van de verdragsluitende staat waar</w:t>
      </w:r>
      <w:r w:rsidR="000A0A88">
        <w:rPr>
          <w:rFonts w:cs="Arial"/>
          <w:szCs w:val="20"/>
          <w:lang w:val="nl-NL"/>
        </w:rPr>
        <w:t>in</w:t>
      </w:r>
      <w:r w:rsidRPr="00A805F5" w:rsidR="00743A6B">
        <w:rPr>
          <w:rFonts w:cs="Arial"/>
          <w:szCs w:val="20"/>
          <w:lang w:val="nl-NL"/>
        </w:rPr>
        <w:t xml:space="preserve"> de onroerende zaken zijn gelegen. Het tweede lid bevat verder een opsomming van hetgeen in ieder geval tot de onroerende zaken behoort en enkele zaken die nadrukkelijk niet als onroerende zaken worden beschouwd. </w:t>
      </w:r>
    </w:p>
    <w:p w:rsidRPr="00494232" w:rsidR="00743A6B" w:rsidP="00743A6B" w:rsidRDefault="008C321D" w14:paraId="6B6DBF53" w14:textId="41FD55CC">
      <w:pPr>
        <w:rPr>
          <w:rFonts w:cs="Arial"/>
          <w:szCs w:val="20"/>
          <w:lang w:val="nl-NL"/>
        </w:rPr>
      </w:pPr>
      <w:r w:rsidRPr="00494232">
        <w:rPr>
          <w:rFonts w:cs="Arial"/>
          <w:szCs w:val="20"/>
          <w:lang w:val="nl-NL"/>
        </w:rPr>
        <w:t>H</w:t>
      </w:r>
      <w:r w:rsidRPr="00494232" w:rsidR="00743A6B">
        <w:rPr>
          <w:rFonts w:cs="Arial"/>
          <w:szCs w:val="20"/>
          <w:lang w:val="nl-NL"/>
        </w:rPr>
        <w:t xml:space="preserve">et derde lid </w:t>
      </w:r>
      <w:r w:rsidRPr="00494232">
        <w:rPr>
          <w:rFonts w:cs="Arial"/>
          <w:szCs w:val="20"/>
          <w:lang w:val="nl-NL"/>
        </w:rPr>
        <w:t xml:space="preserve">bepaalt dat </w:t>
      </w:r>
      <w:r w:rsidRPr="00494232" w:rsidR="00743A6B">
        <w:rPr>
          <w:rFonts w:cs="Arial"/>
          <w:szCs w:val="20"/>
          <w:lang w:val="nl-NL"/>
        </w:rPr>
        <w:t xml:space="preserve">de bepalingen van het eerste lid van overeenkomstige toepassing </w:t>
      </w:r>
      <w:r w:rsidRPr="00494232">
        <w:rPr>
          <w:rFonts w:cs="Arial"/>
          <w:szCs w:val="20"/>
          <w:lang w:val="nl-NL"/>
        </w:rPr>
        <w:t>zijn op inkom</w:t>
      </w:r>
      <w:r w:rsidRPr="00494232" w:rsidR="00743A6B">
        <w:rPr>
          <w:rFonts w:cs="Arial"/>
          <w:szCs w:val="20"/>
          <w:lang w:val="nl-NL"/>
        </w:rPr>
        <w:t xml:space="preserve">en </w:t>
      </w:r>
      <w:r w:rsidRPr="00494232">
        <w:rPr>
          <w:rFonts w:cs="Arial"/>
          <w:szCs w:val="20"/>
          <w:lang w:val="nl-NL"/>
        </w:rPr>
        <w:t xml:space="preserve">dat is </w:t>
      </w:r>
      <w:r w:rsidRPr="00494232" w:rsidR="00743A6B">
        <w:rPr>
          <w:rFonts w:cs="Arial"/>
          <w:szCs w:val="20"/>
          <w:lang w:val="nl-NL"/>
        </w:rPr>
        <w:t>verkregen uit de rechtstreekse exploitatie, het verhuren of verpachten en elke andere vorm van exploitatie van onroerende zaken.</w:t>
      </w:r>
    </w:p>
    <w:p w:rsidRPr="00494232" w:rsidR="00743A6B" w:rsidP="00743A6B" w:rsidRDefault="00743A6B" w14:paraId="6C51BFDF" w14:textId="7508607C">
      <w:pPr>
        <w:rPr>
          <w:rFonts w:cs="Arial"/>
          <w:szCs w:val="20"/>
          <w:lang w:val="nl-NL"/>
        </w:rPr>
      </w:pPr>
      <w:r w:rsidRPr="00494232">
        <w:rPr>
          <w:rFonts w:cs="Arial"/>
          <w:szCs w:val="20"/>
          <w:lang w:val="nl-NL"/>
        </w:rPr>
        <w:lastRenderedPageBreak/>
        <w:t>Ingevolge het vierde lid zijn de bepalingen van het eerste en derde lid ook van toepassing op inkomen uit onroerende zaken</w:t>
      </w:r>
      <w:r w:rsidRPr="00494232" w:rsidR="00B56CB6">
        <w:rPr>
          <w:rFonts w:cs="Arial"/>
          <w:szCs w:val="20"/>
          <w:lang w:val="nl-NL"/>
        </w:rPr>
        <w:t xml:space="preserve"> van een onderneming en inkomen uit onroerende zaken die worden gebruikt voor het verrichten van zelfstandige arbeid. De laatste toevoeging is ontleend aan artikel 6, vierde lid, van het VN-modelverdrag en hangt samen met artikel 14 van het Verdrag dat – evenals het VN-modelverdrag, maar in afwijking van het OESO-modelverdrag – separaat de verdeling van heffingsrechten regelt bij </w:t>
      </w:r>
      <w:r w:rsidRPr="00494232" w:rsidR="00273D0A">
        <w:rPr>
          <w:rFonts w:cs="Arial"/>
          <w:szCs w:val="20"/>
          <w:lang w:val="nl-NL"/>
        </w:rPr>
        <w:t xml:space="preserve">inkomsten uit </w:t>
      </w:r>
      <w:r w:rsidRPr="00494232" w:rsidR="00B56CB6">
        <w:rPr>
          <w:rFonts w:cs="Arial"/>
          <w:szCs w:val="20"/>
          <w:lang w:val="nl-NL"/>
        </w:rPr>
        <w:t xml:space="preserve">zelfstandige arbeid. </w:t>
      </w:r>
    </w:p>
    <w:p w:rsidRPr="00494232" w:rsidR="00743A6B" w:rsidP="00743A6B" w:rsidRDefault="00B56CB6" w14:paraId="173ABD6F" w14:textId="594BDC8C">
      <w:pPr>
        <w:rPr>
          <w:rFonts w:cs="Arial"/>
          <w:szCs w:val="20"/>
          <w:lang w:val="nl-NL"/>
        </w:rPr>
      </w:pPr>
      <w:r w:rsidRPr="00494232">
        <w:rPr>
          <w:rFonts w:cs="Arial"/>
          <w:szCs w:val="20"/>
          <w:lang w:val="nl-NL"/>
        </w:rPr>
        <w:t>Voor de toelichting op artikel II</w:t>
      </w:r>
      <w:r w:rsidRPr="00494232" w:rsidR="00743A6B">
        <w:rPr>
          <w:rFonts w:cs="Arial"/>
          <w:szCs w:val="20"/>
          <w:lang w:val="nl-NL"/>
        </w:rPr>
        <w:t xml:space="preserve"> van het Protocol wordt verwezen naar </w:t>
      </w:r>
      <w:r w:rsidR="00022829">
        <w:rPr>
          <w:rFonts w:cs="Arial"/>
          <w:szCs w:val="20"/>
          <w:lang w:val="nl-NL"/>
        </w:rPr>
        <w:t>onderdeel II.5 van deze toelichtende nota</w:t>
      </w:r>
      <w:r w:rsidRPr="00494232" w:rsidR="00743A6B">
        <w:rPr>
          <w:rFonts w:cs="Arial"/>
          <w:szCs w:val="20"/>
          <w:lang w:val="nl-NL"/>
        </w:rPr>
        <w:t>.</w:t>
      </w:r>
    </w:p>
    <w:p w:rsidRPr="00A805F5" w:rsidR="0010137F" w:rsidP="002C301D" w:rsidRDefault="002C301D" w14:paraId="438202B2" w14:textId="4526CF3E">
      <w:pPr>
        <w:pStyle w:val="Heading2"/>
        <w:rPr>
          <w:rFonts w:cs="Arial"/>
          <w:b w:val="0"/>
          <w:bCs w:val="0"/>
          <w:i/>
          <w:smallCaps w:val="0"/>
          <w:szCs w:val="20"/>
          <w:lang w:val="nl-NL"/>
        </w:rPr>
      </w:pPr>
      <w:r w:rsidRPr="00A805F5">
        <w:rPr>
          <w:rFonts w:cs="Arial"/>
          <w:b w:val="0"/>
          <w:bCs w:val="0"/>
          <w:i/>
          <w:smallCaps w:val="0"/>
          <w:szCs w:val="20"/>
          <w:lang w:val="nl-NL"/>
        </w:rPr>
        <w:t xml:space="preserve">II.7 </w:t>
      </w:r>
      <w:r w:rsidRPr="00A805F5" w:rsidR="00D82174">
        <w:rPr>
          <w:rFonts w:cs="Arial"/>
          <w:b w:val="0"/>
          <w:bCs w:val="0"/>
          <w:i/>
          <w:smallCaps w:val="0"/>
          <w:szCs w:val="20"/>
          <w:lang w:val="nl-NL"/>
        </w:rPr>
        <w:t>Winst uit onderneming</w:t>
      </w:r>
      <w:r w:rsidRPr="00A805F5">
        <w:rPr>
          <w:rFonts w:cs="Arial"/>
          <w:bCs w:val="0"/>
          <w:i/>
          <w:smallCaps w:val="0"/>
          <w:szCs w:val="20"/>
          <w:lang w:val="nl-NL"/>
        </w:rPr>
        <w:t xml:space="preserve"> </w:t>
      </w:r>
      <w:r w:rsidRPr="00A805F5" w:rsidR="00D82174">
        <w:rPr>
          <w:rFonts w:cs="Arial"/>
          <w:b w:val="0"/>
          <w:bCs w:val="0"/>
          <w:i/>
          <w:smallCaps w:val="0"/>
          <w:szCs w:val="20"/>
          <w:lang w:val="nl-NL"/>
        </w:rPr>
        <w:t>(</w:t>
      </w:r>
      <w:r w:rsidRPr="00A805F5" w:rsidR="0010137F">
        <w:rPr>
          <w:rFonts w:cs="Arial"/>
          <w:b w:val="0"/>
          <w:bCs w:val="0"/>
          <w:i/>
          <w:smallCaps w:val="0"/>
          <w:szCs w:val="20"/>
          <w:lang w:val="nl-NL"/>
        </w:rPr>
        <w:t xml:space="preserve">Artikel 7 </w:t>
      </w:r>
      <w:r w:rsidRPr="00A805F5" w:rsidR="00E72F26">
        <w:rPr>
          <w:rFonts w:cs="Arial"/>
          <w:b w:val="0"/>
          <w:bCs w:val="0"/>
          <w:i/>
          <w:smallCaps w:val="0"/>
          <w:szCs w:val="20"/>
          <w:lang w:val="nl-NL"/>
        </w:rPr>
        <w:t xml:space="preserve">van het Verdrag </w:t>
      </w:r>
      <w:r w:rsidRPr="00A805F5" w:rsidR="00D82174">
        <w:rPr>
          <w:rFonts w:cs="Arial"/>
          <w:b w:val="0"/>
          <w:bCs w:val="0"/>
          <w:i/>
          <w:smallCaps w:val="0"/>
          <w:szCs w:val="20"/>
          <w:lang w:val="nl-NL"/>
        </w:rPr>
        <w:t>en artikel II van het Protocol</w:t>
      </w:r>
      <w:r w:rsidRPr="00A805F5" w:rsidR="00E72F26">
        <w:rPr>
          <w:rFonts w:cs="Arial"/>
          <w:b w:val="0"/>
          <w:bCs w:val="0"/>
          <w:i/>
          <w:smallCaps w:val="0"/>
          <w:szCs w:val="20"/>
          <w:lang w:val="nl-NL"/>
        </w:rPr>
        <w:t>)</w:t>
      </w:r>
    </w:p>
    <w:p w:rsidRPr="00A805F5" w:rsidR="00786372" w:rsidP="00786372" w:rsidRDefault="00786372" w14:paraId="6DAE496B" w14:textId="36AA1939">
      <w:pPr>
        <w:ind w:firstLine="720"/>
        <w:rPr>
          <w:rFonts w:cs="Arial"/>
          <w:szCs w:val="20"/>
          <w:highlight w:val="lightGray"/>
          <w:lang w:val="nl-NL"/>
        </w:rPr>
      </w:pPr>
      <w:r w:rsidRPr="00A805F5">
        <w:rPr>
          <w:rFonts w:cs="Arial"/>
          <w:szCs w:val="20"/>
          <w:lang w:val="nl-NL"/>
        </w:rPr>
        <w:t xml:space="preserve">Artikel 7 van het Verdrag betreft de verdeling van heffingsrechten over de winsten van een onderneming van een verdragsluitende staat. Het uitgangspunt hierbij is dat de winsten van een onderneming van een verdragsluitende staat slechts in de andere verdragsluitende staat mogen worden belast, voor zover die winsten aan een vaste inrichting in die andere staat zijn toe te rekenen. </w:t>
      </w:r>
      <w:r w:rsidRPr="00A805F5" w:rsidR="003F787B">
        <w:rPr>
          <w:rFonts w:cs="Arial"/>
          <w:szCs w:val="20"/>
          <w:lang w:val="nl-NL"/>
        </w:rPr>
        <w:t>Dit wordt bepaald op basis</w:t>
      </w:r>
      <w:r w:rsidRPr="00A805F5" w:rsidR="002C01F9">
        <w:rPr>
          <w:rFonts w:cs="Arial"/>
          <w:szCs w:val="20"/>
          <w:lang w:val="nl-NL"/>
        </w:rPr>
        <w:t xml:space="preserve"> van het </w:t>
      </w:r>
      <w:proofErr w:type="spellStart"/>
      <w:r w:rsidRPr="00A805F5" w:rsidR="002C01F9">
        <w:rPr>
          <w:rFonts w:cs="Arial"/>
          <w:szCs w:val="20"/>
          <w:lang w:val="nl-NL"/>
        </w:rPr>
        <w:t>arm’s</w:t>
      </w:r>
      <w:proofErr w:type="spellEnd"/>
      <w:r w:rsidRPr="00A805F5" w:rsidR="002C01F9">
        <w:rPr>
          <w:rFonts w:cs="Arial"/>
          <w:szCs w:val="20"/>
          <w:lang w:val="nl-NL"/>
        </w:rPr>
        <w:t xml:space="preserve"> </w:t>
      </w:r>
      <w:proofErr w:type="spellStart"/>
      <w:r w:rsidRPr="00A805F5" w:rsidR="002C01F9">
        <w:rPr>
          <w:rFonts w:cs="Arial"/>
          <w:szCs w:val="20"/>
          <w:lang w:val="nl-NL"/>
        </w:rPr>
        <w:t>length</w:t>
      </w:r>
      <w:proofErr w:type="spellEnd"/>
      <w:r w:rsidRPr="00A805F5" w:rsidR="002C01F9">
        <w:rPr>
          <w:rFonts w:cs="Arial"/>
          <w:szCs w:val="20"/>
          <w:lang w:val="nl-NL"/>
        </w:rPr>
        <w:t xml:space="preserve">-beginsel, </w:t>
      </w:r>
      <w:r w:rsidRPr="00A805F5" w:rsidR="00C25C4F">
        <w:rPr>
          <w:rFonts w:cs="Arial"/>
          <w:szCs w:val="20"/>
          <w:lang w:val="nl-NL"/>
        </w:rPr>
        <w:t xml:space="preserve">dat ook geldt voor winst(correcties) tussen gelieerde ondernemingen onder artikel 9 van het Verdrag. Onder artikel 7 wordt </w:t>
      </w:r>
      <w:r w:rsidRPr="00A805F5" w:rsidR="00B60CC0">
        <w:rPr>
          <w:rFonts w:cs="Arial"/>
          <w:szCs w:val="20"/>
          <w:lang w:val="nl-NL"/>
        </w:rPr>
        <w:t>de winst aan de vaste inrichting toegerekend alsof het zou gaan om een zelfstandige onderneming die dezelfde of soortgelijke werkzaamheden zou uitoefenen onder dezelfde of soortgelijke omstandigheden en die geheel onafhankelijk transacties zou aangaan met de onderneming waarvan zij een vaste inrichting is.</w:t>
      </w:r>
      <w:r w:rsidRPr="00A805F5" w:rsidR="002C01F9">
        <w:rPr>
          <w:rFonts w:cs="Arial"/>
          <w:b/>
          <w:szCs w:val="20"/>
          <w:lang w:val="nl-NL"/>
        </w:rPr>
        <w:t xml:space="preserve"> </w:t>
      </w:r>
      <w:r w:rsidRPr="00A805F5" w:rsidR="00E52017">
        <w:rPr>
          <w:rFonts w:cs="Arial"/>
          <w:szCs w:val="20"/>
          <w:lang w:val="nl-NL"/>
        </w:rPr>
        <w:t xml:space="preserve">De eerste vijf leden zijn ontleend aan artikel 7 van het OESO-modelverdrag zoals dat luidde voorafgaand aan de update van 22 juli 2010. </w:t>
      </w:r>
      <w:r w:rsidRPr="00A805F5" w:rsidR="00644774">
        <w:rPr>
          <w:rFonts w:cs="Arial"/>
          <w:szCs w:val="20"/>
          <w:lang w:val="nl-NL"/>
        </w:rPr>
        <w:t>A</w:t>
      </w:r>
      <w:r w:rsidRPr="00A805F5" w:rsidR="00E52017">
        <w:rPr>
          <w:rFonts w:cs="Arial"/>
          <w:szCs w:val="20"/>
          <w:lang w:val="nl-NL"/>
        </w:rPr>
        <w:t xml:space="preserve">rtikel 7, vierde en vijfde lid, van het OESO-modelverdrag zoals dat luidde voorafgaand aan 22 juli 2010 </w:t>
      </w:r>
      <w:r w:rsidRPr="00A805F5" w:rsidR="00644774">
        <w:rPr>
          <w:rFonts w:cs="Arial"/>
          <w:szCs w:val="20"/>
          <w:lang w:val="nl-NL"/>
        </w:rPr>
        <w:t xml:space="preserve">is </w:t>
      </w:r>
      <w:r w:rsidRPr="00A805F5" w:rsidR="00E52017">
        <w:rPr>
          <w:rFonts w:cs="Arial"/>
          <w:szCs w:val="20"/>
          <w:lang w:val="nl-NL"/>
        </w:rPr>
        <w:t>niet overgenomen in het Verdrag. De bepaling van artikel 7, zesde lid, van het Verdrag betreft de verdeling van heffingsrechten over (her)verzekeringspremies en wijkt af van het OESO-modelverdrag.</w:t>
      </w:r>
    </w:p>
    <w:p w:rsidRPr="00A805F5" w:rsidR="004C2578" w:rsidP="001C6955" w:rsidRDefault="00786372" w14:paraId="47BAECEA" w14:textId="168F77D0">
      <w:pPr>
        <w:ind w:firstLine="720"/>
        <w:rPr>
          <w:rFonts w:cs="Arial"/>
          <w:szCs w:val="20"/>
          <w:lang w:val="nl-NL"/>
        </w:rPr>
      </w:pPr>
      <w:r w:rsidRPr="00A805F5">
        <w:rPr>
          <w:rFonts w:cs="Arial"/>
          <w:szCs w:val="20"/>
          <w:lang w:val="nl-NL"/>
        </w:rPr>
        <w:t xml:space="preserve">Tijdens de onderhandelingen heeft Nederland, in lijn met het verdragsbeleid, ingezet op de </w:t>
      </w:r>
      <w:r w:rsidRPr="00A805F5" w:rsidR="001F4412">
        <w:rPr>
          <w:rFonts w:cs="Arial"/>
          <w:szCs w:val="20"/>
          <w:lang w:val="nl-NL"/>
        </w:rPr>
        <w:t xml:space="preserve">meest recente </w:t>
      </w:r>
      <w:r w:rsidRPr="00A805F5">
        <w:rPr>
          <w:rFonts w:cs="Arial"/>
          <w:szCs w:val="20"/>
          <w:lang w:val="nl-NL"/>
        </w:rPr>
        <w:t xml:space="preserve">versie van artikel 7 van het OESO-modelverdrag. </w:t>
      </w:r>
      <w:r w:rsidRPr="00A805F5" w:rsidR="0087359A">
        <w:rPr>
          <w:rFonts w:cs="Arial"/>
          <w:szCs w:val="20"/>
          <w:lang w:val="nl-NL"/>
        </w:rPr>
        <w:t xml:space="preserve">Deze versie bevat enige verduidelijkingen over de toepassing van het </w:t>
      </w:r>
      <w:proofErr w:type="spellStart"/>
      <w:r w:rsidRPr="00A805F5" w:rsidR="0087359A">
        <w:rPr>
          <w:rFonts w:cs="Arial"/>
          <w:szCs w:val="20"/>
          <w:lang w:val="nl-NL"/>
        </w:rPr>
        <w:t>arm’s</w:t>
      </w:r>
      <w:proofErr w:type="spellEnd"/>
      <w:r w:rsidRPr="00A805F5" w:rsidR="0087359A">
        <w:rPr>
          <w:rFonts w:cs="Arial"/>
          <w:szCs w:val="20"/>
          <w:lang w:val="nl-NL"/>
        </w:rPr>
        <w:t xml:space="preserve"> </w:t>
      </w:r>
      <w:proofErr w:type="spellStart"/>
      <w:r w:rsidRPr="00A805F5" w:rsidR="0087359A">
        <w:rPr>
          <w:rFonts w:cs="Arial"/>
          <w:szCs w:val="20"/>
          <w:lang w:val="nl-NL"/>
        </w:rPr>
        <w:t>length</w:t>
      </w:r>
      <w:proofErr w:type="spellEnd"/>
      <w:r w:rsidRPr="00A805F5" w:rsidR="0087359A">
        <w:rPr>
          <w:rFonts w:cs="Arial"/>
          <w:szCs w:val="20"/>
          <w:lang w:val="nl-NL"/>
        </w:rPr>
        <w:t>-beginsel</w:t>
      </w:r>
      <w:r w:rsidRPr="00A805F5" w:rsidR="001F4412">
        <w:rPr>
          <w:rFonts w:cs="Arial"/>
          <w:szCs w:val="20"/>
          <w:lang w:val="nl-NL"/>
        </w:rPr>
        <w:t xml:space="preserve"> ten opzichte van de versie van vóór 22 juli 2010</w:t>
      </w:r>
      <w:r w:rsidRPr="00A805F5" w:rsidR="00026F19">
        <w:rPr>
          <w:rFonts w:cs="Arial"/>
          <w:szCs w:val="20"/>
          <w:lang w:val="nl-NL"/>
        </w:rPr>
        <w:t>. I</w:t>
      </w:r>
      <w:r w:rsidRPr="00A805F5" w:rsidR="00FC6024">
        <w:rPr>
          <w:rFonts w:cs="Arial"/>
          <w:szCs w:val="20"/>
          <w:lang w:val="nl-NL"/>
        </w:rPr>
        <w:t xml:space="preserve">n lijn met andere </w:t>
      </w:r>
      <w:r w:rsidRPr="00A805F5" w:rsidR="00FC5296">
        <w:rPr>
          <w:rFonts w:cs="Arial"/>
          <w:szCs w:val="20"/>
          <w:lang w:val="nl-NL"/>
        </w:rPr>
        <w:t xml:space="preserve">recente </w:t>
      </w:r>
      <w:r w:rsidRPr="00A805F5" w:rsidR="00FC6024">
        <w:rPr>
          <w:rFonts w:cs="Arial"/>
          <w:szCs w:val="20"/>
          <w:lang w:val="nl-NL"/>
        </w:rPr>
        <w:t>Chileense belastingverdragen</w:t>
      </w:r>
      <w:r w:rsidRPr="00A805F5" w:rsidR="00026F19">
        <w:rPr>
          <w:rFonts w:cs="Arial"/>
          <w:szCs w:val="20"/>
          <w:lang w:val="nl-NL"/>
        </w:rPr>
        <w:t>, wilde Chili artikel 7 van het OESO-modelverdrag als uitgangspunt nemen</w:t>
      </w:r>
      <w:r w:rsidRPr="00A805F5" w:rsidR="003E7D14">
        <w:rPr>
          <w:rFonts w:cs="Arial"/>
          <w:szCs w:val="20"/>
          <w:lang w:val="nl-NL"/>
        </w:rPr>
        <w:t xml:space="preserve"> in de versie </w:t>
      </w:r>
      <w:r w:rsidRPr="00A805F5" w:rsidR="00026F19">
        <w:rPr>
          <w:rFonts w:cs="Arial"/>
          <w:szCs w:val="20"/>
          <w:lang w:val="nl-NL"/>
        </w:rPr>
        <w:t xml:space="preserve">voorafgaand aan de </w:t>
      </w:r>
      <w:r w:rsidRPr="00A805F5" w:rsidR="00F74A27">
        <w:rPr>
          <w:rFonts w:cs="Arial"/>
          <w:szCs w:val="20"/>
          <w:lang w:val="nl-NL"/>
        </w:rPr>
        <w:t xml:space="preserve">tekstuele </w:t>
      </w:r>
      <w:r w:rsidRPr="00A805F5" w:rsidR="00026F19">
        <w:rPr>
          <w:rFonts w:cs="Arial"/>
          <w:szCs w:val="20"/>
          <w:lang w:val="nl-NL"/>
        </w:rPr>
        <w:t>wijziging</w:t>
      </w:r>
      <w:r w:rsidRPr="00A805F5" w:rsidR="003E7D14">
        <w:rPr>
          <w:rFonts w:cs="Arial"/>
          <w:szCs w:val="20"/>
          <w:lang w:val="nl-NL"/>
        </w:rPr>
        <w:t>en</w:t>
      </w:r>
      <w:r w:rsidRPr="00A805F5" w:rsidR="00026F19">
        <w:rPr>
          <w:rFonts w:cs="Arial"/>
          <w:szCs w:val="20"/>
          <w:lang w:val="nl-NL"/>
        </w:rPr>
        <w:t xml:space="preserve"> van 22 juli 2010</w:t>
      </w:r>
      <w:r w:rsidRPr="00A805F5" w:rsidR="00FC6024">
        <w:rPr>
          <w:rFonts w:cs="Arial"/>
          <w:szCs w:val="20"/>
          <w:lang w:val="nl-NL"/>
        </w:rPr>
        <w:t xml:space="preserve">. </w:t>
      </w:r>
      <w:r w:rsidRPr="00A805F5" w:rsidR="00BD2444">
        <w:rPr>
          <w:rFonts w:cs="Arial"/>
          <w:szCs w:val="20"/>
          <w:lang w:val="nl-NL"/>
        </w:rPr>
        <w:t xml:space="preserve">Nederland is hiermee akkoord gegaan, omdat </w:t>
      </w:r>
      <w:r w:rsidRPr="00A805F5" w:rsidR="00C25C4F">
        <w:rPr>
          <w:rFonts w:cs="Arial"/>
          <w:szCs w:val="20"/>
          <w:lang w:val="nl-NL"/>
        </w:rPr>
        <w:t xml:space="preserve">beide </w:t>
      </w:r>
      <w:r w:rsidRPr="00A805F5" w:rsidR="00F74A27">
        <w:rPr>
          <w:rFonts w:cs="Arial"/>
          <w:szCs w:val="20"/>
          <w:lang w:val="nl-NL"/>
        </w:rPr>
        <w:t>tekstversie</w:t>
      </w:r>
      <w:r w:rsidRPr="00A805F5" w:rsidR="00C25C4F">
        <w:rPr>
          <w:rFonts w:cs="Arial"/>
          <w:szCs w:val="20"/>
          <w:lang w:val="nl-NL"/>
        </w:rPr>
        <w:t>s van</w:t>
      </w:r>
      <w:r w:rsidRPr="00A805F5" w:rsidR="003E7D14">
        <w:rPr>
          <w:rFonts w:cs="Arial"/>
          <w:szCs w:val="20"/>
          <w:lang w:val="nl-NL"/>
        </w:rPr>
        <w:t xml:space="preserve"> het OESO-modelverdrag </w:t>
      </w:r>
      <w:r w:rsidRPr="00A805F5" w:rsidR="00C25C4F">
        <w:rPr>
          <w:rFonts w:cs="Arial"/>
          <w:szCs w:val="20"/>
          <w:lang w:val="nl-NL"/>
        </w:rPr>
        <w:t xml:space="preserve">(de tekstversie </w:t>
      </w:r>
      <w:r w:rsidRPr="00A805F5" w:rsidR="00F74A27">
        <w:rPr>
          <w:rFonts w:cs="Arial"/>
          <w:szCs w:val="20"/>
          <w:lang w:val="nl-NL"/>
        </w:rPr>
        <w:t>van vóór 22 juli 2010</w:t>
      </w:r>
      <w:r w:rsidRPr="00A805F5" w:rsidR="00C25C4F">
        <w:rPr>
          <w:rFonts w:cs="Arial"/>
          <w:szCs w:val="20"/>
          <w:lang w:val="nl-NL"/>
        </w:rPr>
        <w:t xml:space="preserve"> en </w:t>
      </w:r>
      <w:r w:rsidRPr="00A805F5" w:rsidR="003F787B">
        <w:rPr>
          <w:rFonts w:cs="Arial"/>
          <w:szCs w:val="20"/>
          <w:lang w:val="nl-NL"/>
        </w:rPr>
        <w:t xml:space="preserve">die van </w:t>
      </w:r>
      <w:r w:rsidRPr="00A805F5" w:rsidR="00C25C4F">
        <w:rPr>
          <w:rFonts w:cs="Arial"/>
          <w:szCs w:val="20"/>
          <w:lang w:val="nl-NL"/>
        </w:rPr>
        <w:t xml:space="preserve">daarna) uitgaan van het </w:t>
      </w:r>
      <w:proofErr w:type="spellStart"/>
      <w:r w:rsidRPr="00A805F5" w:rsidR="00C25C4F">
        <w:rPr>
          <w:rFonts w:cs="Arial"/>
          <w:szCs w:val="20"/>
          <w:lang w:val="nl-NL"/>
        </w:rPr>
        <w:t>arm’s</w:t>
      </w:r>
      <w:proofErr w:type="spellEnd"/>
      <w:r w:rsidRPr="00A805F5" w:rsidR="00C25C4F">
        <w:rPr>
          <w:rFonts w:cs="Arial"/>
          <w:szCs w:val="20"/>
          <w:lang w:val="nl-NL"/>
        </w:rPr>
        <w:t xml:space="preserve"> </w:t>
      </w:r>
      <w:proofErr w:type="spellStart"/>
      <w:r w:rsidRPr="00A805F5" w:rsidR="00C25C4F">
        <w:rPr>
          <w:rFonts w:cs="Arial"/>
          <w:szCs w:val="20"/>
          <w:lang w:val="nl-NL"/>
        </w:rPr>
        <w:t>length</w:t>
      </w:r>
      <w:proofErr w:type="spellEnd"/>
      <w:r w:rsidRPr="00A805F5" w:rsidR="00C25C4F">
        <w:rPr>
          <w:rFonts w:cs="Arial"/>
          <w:szCs w:val="20"/>
          <w:lang w:val="nl-NL"/>
        </w:rPr>
        <w:t>-begins</w:t>
      </w:r>
      <w:r w:rsidRPr="00A805F5" w:rsidR="003F787B">
        <w:rPr>
          <w:rFonts w:cs="Arial"/>
          <w:szCs w:val="20"/>
          <w:lang w:val="nl-NL"/>
        </w:rPr>
        <w:t xml:space="preserve">el, </w:t>
      </w:r>
      <w:r w:rsidRPr="00A805F5" w:rsidR="0070604B">
        <w:rPr>
          <w:rFonts w:cs="Arial"/>
          <w:szCs w:val="20"/>
          <w:lang w:val="nl-NL"/>
        </w:rPr>
        <w:t xml:space="preserve">zoals </w:t>
      </w:r>
      <w:r w:rsidRPr="00A805F5" w:rsidR="003F787B">
        <w:rPr>
          <w:rFonts w:cs="Arial"/>
          <w:szCs w:val="20"/>
          <w:lang w:val="nl-NL"/>
        </w:rPr>
        <w:t xml:space="preserve">voor Nederland </w:t>
      </w:r>
      <w:r w:rsidRPr="00A805F5" w:rsidR="0070604B">
        <w:rPr>
          <w:rFonts w:cs="Arial"/>
          <w:szCs w:val="20"/>
          <w:lang w:val="nl-NL"/>
        </w:rPr>
        <w:t xml:space="preserve">ook </w:t>
      </w:r>
      <w:r w:rsidRPr="00A805F5" w:rsidR="003F787B">
        <w:rPr>
          <w:rFonts w:cs="Arial"/>
          <w:szCs w:val="20"/>
          <w:lang w:val="nl-NL"/>
        </w:rPr>
        <w:t xml:space="preserve">is </w:t>
      </w:r>
      <w:r w:rsidRPr="00A805F5" w:rsidR="0070604B">
        <w:rPr>
          <w:rFonts w:cs="Arial"/>
          <w:szCs w:val="20"/>
          <w:lang w:val="nl-NL"/>
        </w:rPr>
        <w:t xml:space="preserve">toegelicht </w:t>
      </w:r>
      <w:r w:rsidRPr="00A805F5" w:rsidR="001C6955">
        <w:rPr>
          <w:rFonts w:cs="Arial"/>
          <w:szCs w:val="20"/>
          <w:lang w:val="nl-NL"/>
        </w:rPr>
        <w:t>in h</w:t>
      </w:r>
      <w:r w:rsidRPr="00A805F5" w:rsidR="0070604B">
        <w:rPr>
          <w:rFonts w:cs="Arial"/>
          <w:szCs w:val="20"/>
          <w:lang w:val="nl-NL"/>
        </w:rPr>
        <w:t xml:space="preserve">et beleidsbesluit </w:t>
      </w:r>
      <w:r w:rsidRPr="00A805F5" w:rsidR="0070604B">
        <w:rPr>
          <w:rFonts w:cs="Arial"/>
          <w:i/>
          <w:szCs w:val="20"/>
          <w:lang w:val="nl-NL"/>
        </w:rPr>
        <w:t>Winstallocatie Vaste Inrichtingen</w:t>
      </w:r>
      <w:r w:rsidRPr="00A805F5" w:rsidR="0070604B">
        <w:rPr>
          <w:rFonts w:cs="Arial"/>
          <w:szCs w:val="20"/>
          <w:lang w:val="nl-NL"/>
        </w:rPr>
        <w:t xml:space="preserve"> van </w:t>
      </w:r>
      <w:r w:rsidRPr="00A805F5" w:rsidR="001F4412">
        <w:rPr>
          <w:rFonts w:cs="Arial"/>
          <w:szCs w:val="20"/>
          <w:lang w:val="nl-NL"/>
        </w:rPr>
        <w:t>11 januari 2011</w:t>
      </w:r>
      <w:r w:rsidRPr="00A805F5" w:rsidR="003F787B">
        <w:rPr>
          <w:rFonts w:cs="Arial"/>
          <w:szCs w:val="20"/>
          <w:lang w:val="nl-NL"/>
        </w:rPr>
        <w:t>, nr. IFZ2010/457M</w:t>
      </w:r>
      <w:r w:rsidRPr="00A805F5" w:rsidR="001F4412">
        <w:rPr>
          <w:rFonts w:cs="Arial"/>
          <w:szCs w:val="20"/>
          <w:lang w:val="nl-NL"/>
        </w:rPr>
        <w:t xml:space="preserve"> (</w:t>
      </w:r>
      <w:proofErr w:type="spellStart"/>
      <w:r w:rsidRPr="00A805F5" w:rsidR="001F4412">
        <w:rPr>
          <w:rFonts w:cs="Arial"/>
          <w:i/>
          <w:szCs w:val="20"/>
          <w:lang w:val="nl-NL"/>
        </w:rPr>
        <w:t>Stcrt</w:t>
      </w:r>
      <w:proofErr w:type="spellEnd"/>
      <w:r w:rsidRPr="00A805F5" w:rsidR="001F4412">
        <w:rPr>
          <w:rFonts w:cs="Arial"/>
          <w:i/>
          <w:szCs w:val="20"/>
          <w:lang w:val="nl-NL"/>
        </w:rPr>
        <w:t>.</w:t>
      </w:r>
      <w:r w:rsidRPr="00A805F5" w:rsidR="001F4412">
        <w:rPr>
          <w:rFonts w:cs="Arial"/>
          <w:szCs w:val="20"/>
          <w:lang w:val="nl-NL"/>
        </w:rPr>
        <w:t xml:space="preserve"> 2011, 1375)</w:t>
      </w:r>
      <w:r w:rsidRPr="00A805F5" w:rsidR="00C25C4F">
        <w:rPr>
          <w:rFonts w:cs="Arial"/>
          <w:szCs w:val="20"/>
          <w:lang w:val="nl-NL"/>
        </w:rPr>
        <w:t>.</w:t>
      </w:r>
      <w:r w:rsidRPr="00A805F5" w:rsidR="00F74A27">
        <w:rPr>
          <w:rFonts w:cs="Arial"/>
          <w:szCs w:val="20"/>
          <w:lang w:val="nl-NL"/>
        </w:rPr>
        <w:t xml:space="preserve"> Daarnaast </w:t>
      </w:r>
      <w:r w:rsidRPr="00A805F5" w:rsidR="003F787B">
        <w:rPr>
          <w:rFonts w:cs="Arial"/>
          <w:szCs w:val="20"/>
          <w:lang w:val="nl-NL"/>
        </w:rPr>
        <w:t>is</w:t>
      </w:r>
      <w:r w:rsidRPr="00A805F5" w:rsidR="00F74A27">
        <w:rPr>
          <w:rFonts w:cs="Arial"/>
          <w:szCs w:val="20"/>
          <w:lang w:val="nl-NL"/>
        </w:rPr>
        <w:t xml:space="preserve"> </w:t>
      </w:r>
      <w:r w:rsidRPr="00A805F5" w:rsidR="00BD2444">
        <w:rPr>
          <w:rFonts w:cs="Arial"/>
          <w:szCs w:val="20"/>
          <w:lang w:val="nl-NL"/>
        </w:rPr>
        <w:t xml:space="preserve">Chili ook niet met andere landen de </w:t>
      </w:r>
      <w:r w:rsidRPr="00A805F5" w:rsidR="003F787B">
        <w:rPr>
          <w:rFonts w:cs="Arial"/>
          <w:szCs w:val="20"/>
          <w:lang w:val="nl-NL"/>
        </w:rPr>
        <w:t xml:space="preserve">meest recente </w:t>
      </w:r>
      <w:r w:rsidRPr="00A805F5" w:rsidR="00BD2444">
        <w:rPr>
          <w:rFonts w:cs="Arial"/>
          <w:szCs w:val="20"/>
          <w:lang w:val="nl-NL"/>
        </w:rPr>
        <w:t xml:space="preserve">versie van artikel 7 van het OESO-modelverdrag </w:t>
      </w:r>
      <w:r w:rsidRPr="00A805F5" w:rsidR="003F787B">
        <w:rPr>
          <w:rFonts w:cs="Arial"/>
          <w:szCs w:val="20"/>
          <w:lang w:val="nl-NL"/>
        </w:rPr>
        <w:t>overeengekomen</w:t>
      </w:r>
      <w:r w:rsidRPr="00A805F5" w:rsidR="00BD2444">
        <w:rPr>
          <w:rFonts w:cs="Arial"/>
          <w:szCs w:val="20"/>
          <w:lang w:val="nl-NL"/>
        </w:rPr>
        <w:t xml:space="preserve">. </w:t>
      </w:r>
      <w:r w:rsidRPr="00A805F5" w:rsidR="003F787B">
        <w:rPr>
          <w:rFonts w:cs="Arial"/>
          <w:szCs w:val="20"/>
          <w:lang w:val="nl-NL"/>
        </w:rPr>
        <w:t>A</w:t>
      </w:r>
      <w:r w:rsidRPr="00A805F5" w:rsidR="00FC5296">
        <w:rPr>
          <w:rFonts w:cs="Arial"/>
          <w:szCs w:val="20"/>
          <w:lang w:val="nl-NL"/>
        </w:rPr>
        <w:t>rtikel 7, eerste tot en met vijfde lid</w:t>
      </w:r>
      <w:r w:rsidRPr="00A805F5" w:rsidR="00BD2444">
        <w:rPr>
          <w:rFonts w:cs="Arial"/>
          <w:szCs w:val="20"/>
          <w:lang w:val="nl-NL"/>
        </w:rPr>
        <w:t xml:space="preserve">, van het Verdrag </w:t>
      </w:r>
      <w:r w:rsidRPr="00A805F5" w:rsidR="003F787B">
        <w:rPr>
          <w:rFonts w:cs="Arial"/>
          <w:szCs w:val="20"/>
          <w:lang w:val="nl-NL"/>
        </w:rPr>
        <w:t xml:space="preserve">komt ook </w:t>
      </w:r>
      <w:r w:rsidRPr="00A805F5" w:rsidR="00BD2444">
        <w:rPr>
          <w:rFonts w:cs="Arial"/>
          <w:szCs w:val="20"/>
          <w:lang w:val="nl-NL"/>
        </w:rPr>
        <w:t xml:space="preserve">inhoudelijk overeen met hetgeen Chili in 2016 is overeengekomen in artikel 7 van het belastingverdrag met Japan. Nederland </w:t>
      </w:r>
      <w:r w:rsidRPr="00A805F5" w:rsidR="003F787B">
        <w:rPr>
          <w:rFonts w:cs="Arial"/>
          <w:szCs w:val="20"/>
          <w:lang w:val="nl-NL"/>
        </w:rPr>
        <w:t xml:space="preserve">is </w:t>
      </w:r>
      <w:r w:rsidRPr="00A805F5" w:rsidR="0097516D">
        <w:rPr>
          <w:rFonts w:cs="Arial"/>
          <w:szCs w:val="20"/>
          <w:lang w:val="nl-NL"/>
        </w:rPr>
        <w:t xml:space="preserve">hiermee </w:t>
      </w:r>
      <w:r w:rsidRPr="00A805F5" w:rsidR="003F787B">
        <w:rPr>
          <w:rFonts w:cs="Arial"/>
          <w:szCs w:val="20"/>
          <w:lang w:val="nl-NL"/>
        </w:rPr>
        <w:t xml:space="preserve">ook </w:t>
      </w:r>
      <w:r w:rsidRPr="00A805F5" w:rsidR="00BD2444">
        <w:rPr>
          <w:rFonts w:cs="Arial"/>
          <w:szCs w:val="20"/>
          <w:lang w:val="nl-NL"/>
        </w:rPr>
        <w:t>akkoord gegaan, omdat Chili zich door artikel I van het Protocol wel heeft gecommitteerd aan het relevante OESO-commentaar op artikel 7 van het OESO-modelverdrag</w:t>
      </w:r>
      <w:r w:rsidRPr="00A805F5" w:rsidR="001C6955">
        <w:rPr>
          <w:rFonts w:cs="Arial"/>
          <w:szCs w:val="20"/>
          <w:lang w:val="nl-NL"/>
        </w:rPr>
        <w:t xml:space="preserve">, zoals dat is gewijzigd </w:t>
      </w:r>
      <w:r w:rsidRPr="00A805F5" w:rsidR="00541074">
        <w:rPr>
          <w:rFonts w:cs="Arial"/>
          <w:szCs w:val="20"/>
          <w:lang w:val="nl-NL"/>
        </w:rPr>
        <w:t>naar aanleiding van</w:t>
      </w:r>
      <w:r w:rsidRPr="00A805F5" w:rsidR="001C6955">
        <w:rPr>
          <w:rFonts w:cs="Arial"/>
          <w:szCs w:val="20"/>
          <w:lang w:val="nl-NL"/>
        </w:rPr>
        <w:t xml:space="preserve"> </w:t>
      </w:r>
      <w:r w:rsidRPr="00A805F5" w:rsidR="0097516D">
        <w:rPr>
          <w:rFonts w:cs="Arial"/>
          <w:szCs w:val="20"/>
          <w:lang w:val="nl-NL"/>
        </w:rPr>
        <w:t>he</w:t>
      </w:r>
      <w:r w:rsidRPr="00A805F5" w:rsidR="00541074">
        <w:rPr>
          <w:rFonts w:cs="Arial"/>
          <w:szCs w:val="20"/>
          <w:lang w:val="nl-NL"/>
        </w:rPr>
        <w:t>t in 2008 verschenen OESO-</w:t>
      </w:r>
      <w:r w:rsidRPr="00A805F5" w:rsidR="001C6955">
        <w:rPr>
          <w:rFonts w:cs="Arial"/>
          <w:szCs w:val="20"/>
          <w:lang w:val="nl-NL"/>
        </w:rPr>
        <w:t xml:space="preserve">rapport </w:t>
      </w:r>
      <w:r w:rsidRPr="00A805F5" w:rsidR="00541074">
        <w:rPr>
          <w:rFonts w:cs="Arial"/>
          <w:i/>
          <w:szCs w:val="20"/>
          <w:lang w:val="nl-NL"/>
        </w:rPr>
        <w:t xml:space="preserve">Report on </w:t>
      </w:r>
      <w:proofErr w:type="spellStart"/>
      <w:r w:rsidRPr="00A805F5" w:rsidR="00541074">
        <w:rPr>
          <w:rFonts w:cs="Arial"/>
          <w:i/>
          <w:szCs w:val="20"/>
          <w:lang w:val="nl-NL"/>
        </w:rPr>
        <w:t>the</w:t>
      </w:r>
      <w:proofErr w:type="spellEnd"/>
      <w:r w:rsidRPr="00A805F5" w:rsidR="00541074">
        <w:rPr>
          <w:rFonts w:cs="Arial"/>
          <w:i/>
          <w:szCs w:val="20"/>
          <w:lang w:val="nl-NL"/>
        </w:rPr>
        <w:t xml:space="preserve"> </w:t>
      </w:r>
      <w:proofErr w:type="spellStart"/>
      <w:r w:rsidRPr="00A805F5" w:rsidR="00541074">
        <w:rPr>
          <w:rFonts w:cs="Arial"/>
          <w:i/>
          <w:szCs w:val="20"/>
          <w:lang w:val="nl-NL"/>
        </w:rPr>
        <w:t>Attribution</w:t>
      </w:r>
      <w:proofErr w:type="spellEnd"/>
      <w:r w:rsidRPr="00A805F5" w:rsidR="00541074">
        <w:rPr>
          <w:rFonts w:cs="Arial"/>
          <w:i/>
          <w:szCs w:val="20"/>
          <w:lang w:val="nl-NL"/>
        </w:rPr>
        <w:t xml:space="preserve"> of </w:t>
      </w:r>
      <w:proofErr w:type="spellStart"/>
      <w:r w:rsidRPr="00A805F5" w:rsidR="00541074">
        <w:rPr>
          <w:rFonts w:cs="Arial"/>
          <w:i/>
          <w:szCs w:val="20"/>
          <w:lang w:val="nl-NL"/>
        </w:rPr>
        <w:t>Profits</w:t>
      </w:r>
      <w:proofErr w:type="spellEnd"/>
      <w:r w:rsidRPr="00A805F5" w:rsidR="00541074">
        <w:rPr>
          <w:rFonts w:cs="Arial"/>
          <w:i/>
          <w:szCs w:val="20"/>
          <w:lang w:val="nl-NL"/>
        </w:rPr>
        <w:t xml:space="preserve"> </w:t>
      </w:r>
      <w:proofErr w:type="spellStart"/>
      <w:r w:rsidRPr="00A805F5" w:rsidR="00541074">
        <w:rPr>
          <w:rFonts w:cs="Arial"/>
          <w:i/>
          <w:szCs w:val="20"/>
          <w:lang w:val="nl-NL"/>
        </w:rPr>
        <w:t>to</w:t>
      </w:r>
      <w:proofErr w:type="spellEnd"/>
      <w:r w:rsidRPr="00A805F5" w:rsidR="00541074">
        <w:rPr>
          <w:rFonts w:cs="Arial"/>
          <w:i/>
          <w:szCs w:val="20"/>
          <w:lang w:val="nl-NL"/>
        </w:rPr>
        <w:t xml:space="preserve"> Permanent </w:t>
      </w:r>
      <w:proofErr w:type="spellStart"/>
      <w:r w:rsidRPr="00A805F5" w:rsidR="00541074">
        <w:rPr>
          <w:rFonts w:cs="Arial"/>
          <w:i/>
          <w:szCs w:val="20"/>
          <w:lang w:val="nl-NL"/>
        </w:rPr>
        <w:t>Establishments</w:t>
      </w:r>
      <w:proofErr w:type="spellEnd"/>
      <w:r w:rsidRPr="00A805F5" w:rsidR="00541074">
        <w:rPr>
          <w:rFonts w:cs="Arial"/>
          <w:szCs w:val="20"/>
          <w:lang w:val="nl-NL"/>
        </w:rPr>
        <w:t xml:space="preserve"> </w:t>
      </w:r>
      <w:r w:rsidRPr="00A805F5" w:rsidR="00BD2444">
        <w:rPr>
          <w:rFonts w:cs="Arial"/>
          <w:szCs w:val="20"/>
          <w:lang w:val="nl-NL"/>
        </w:rPr>
        <w:t>.</w:t>
      </w:r>
    </w:p>
    <w:p w:rsidRPr="00A805F5" w:rsidR="000870FF" w:rsidP="000870FF" w:rsidRDefault="008A5147" w14:paraId="013EA83A" w14:textId="410309E3">
      <w:pPr>
        <w:ind w:firstLine="720"/>
        <w:rPr>
          <w:rFonts w:cs="Arial"/>
          <w:szCs w:val="20"/>
          <w:lang w:val="nl-NL"/>
        </w:rPr>
      </w:pPr>
      <w:r w:rsidRPr="00A805F5">
        <w:rPr>
          <w:rFonts w:cs="Arial"/>
          <w:szCs w:val="20"/>
          <w:lang w:val="nl-NL"/>
        </w:rPr>
        <w:lastRenderedPageBreak/>
        <w:t xml:space="preserve">Het zesde lid </w:t>
      </w:r>
      <w:r w:rsidRPr="00A805F5" w:rsidR="00644774">
        <w:rPr>
          <w:rFonts w:cs="Arial"/>
          <w:szCs w:val="20"/>
          <w:lang w:val="nl-NL"/>
        </w:rPr>
        <w:t xml:space="preserve">geeft de (bron)staat van waaruit een inwoner </w:t>
      </w:r>
      <w:r w:rsidRPr="00A805F5">
        <w:rPr>
          <w:rFonts w:cs="Arial"/>
          <w:szCs w:val="20"/>
          <w:lang w:val="nl-NL"/>
        </w:rPr>
        <w:t>(her)verzekeringspremies</w:t>
      </w:r>
      <w:r w:rsidRPr="00A805F5" w:rsidR="00644774">
        <w:rPr>
          <w:rFonts w:cs="Arial"/>
          <w:szCs w:val="20"/>
          <w:lang w:val="nl-NL"/>
        </w:rPr>
        <w:t xml:space="preserve"> betaalt een (beperkt) heffingsrecht over deze premies. Tenzij de premies toerekenbaar zijn aan een vaste inrichting in die bronstaat, is dit heffingsrecht gemaximeerd op 2</w:t>
      </w:r>
      <w:r w:rsidR="000A0A88">
        <w:rPr>
          <w:rFonts w:cs="Arial"/>
          <w:szCs w:val="20"/>
          <w:lang w:val="nl-NL"/>
        </w:rPr>
        <w:t>%</w:t>
      </w:r>
      <w:r w:rsidRPr="00A805F5" w:rsidR="00644774">
        <w:rPr>
          <w:rFonts w:cs="Arial"/>
          <w:szCs w:val="20"/>
          <w:lang w:val="nl-NL"/>
        </w:rPr>
        <w:t xml:space="preserve"> van de </w:t>
      </w:r>
      <w:proofErr w:type="spellStart"/>
      <w:r w:rsidRPr="00A805F5" w:rsidR="00644774">
        <w:rPr>
          <w:rFonts w:cs="Arial"/>
          <w:szCs w:val="20"/>
          <w:lang w:val="nl-NL"/>
        </w:rPr>
        <w:t>brutopremies</w:t>
      </w:r>
      <w:proofErr w:type="spellEnd"/>
      <w:r w:rsidRPr="00A805F5" w:rsidR="00644774">
        <w:rPr>
          <w:rFonts w:cs="Arial"/>
          <w:szCs w:val="20"/>
          <w:lang w:val="nl-NL"/>
        </w:rPr>
        <w:t xml:space="preserve"> ingeval van herverzekering en 5</w:t>
      </w:r>
      <w:r w:rsidR="000A0A88">
        <w:rPr>
          <w:rFonts w:cs="Arial"/>
          <w:szCs w:val="20"/>
          <w:lang w:val="nl-NL"/>
        </w:rPr>
        <w:t>%</w:t>
      </w:r>
      <w:r w:rsidRPr="00A805F5" w:rsidR="00644774">
        <w:rPr>
          <w:rFonts w:cs="Arial"/>
          <w:szCs w:val="20"/>
          <w:lang w:val="nl-NL"/>
        </w:rPr>
        <w:t xml:space="preserve"> van de </w:t>
      </w:r>
      <w:proofErr w:type="spellStart"/>
      <w:r w:rsidRPr="00A805F5" w:rsidR="00644774">
        <w:rPr>
          <w:rFonts w:cs="Arial"/>
          <w:szCs w:val="20"/>
          <w:lang w:val="nl-NL"/>
        </w:rPr>
        <w:t>brutopremies</w:t>
      </w:r>
      <w:proofErr w:type="spellEnd"/>
      <w:r w:rsidRPr="00A805F5" w:rsidR="00644774">
        <w:rPr>
          <w:rFonts w:cs="Arial"/>
          <w:szCs w:val="20"/>
          <w:lang w:val="nl-NL"/>
        </w:rPr>
        <w:t xml:space="preserve"> bij overige verzekeringen. De percentages in deze bepaling </w:t>
      </w:r>
      <w:r w:rsidRPr="00A805F5" w:rsidR="004F6221">
        <w:rPr>
          <w:rFonts w:cs="Arial"/>
          <w:szCs w:val="20"/>
          <w:lang w:val="nl-NL"/>
        </w:rPr>
        <w:t>komen overeen met die in</w:t>
      </w:r>
      <w:r w:rsidRPr="00A805F5" w:rsidR="00644774">
        <w:rPr>
          <w:rFonts w:cs="Arial"/>
          <w:szCs w:val="20"/>
          <w:lang w:val="nl-NL"/>
        </w:rPr>
        <w:t xml:space="preserve"> artikel 7, achtste lid, van het ondertekende maar vooralsnog niet geratificeerde belastingverdrag tussen Chili en de Verenigde Staten. Nederland is </w:t>
      </w:r>
      <w:r w:rsidRPr="00A805F5" w:rsidR="00732E12">
        <w:rPr>
          <w:rFonts w:cs="Arial"/>
          <w:szCs w:val="20"/>
          <w:lang w:val="nl-NL"/>
        </w:rPr>
        <w:t xml:space="preserve">in het kader van het bereiken van een finaal compromis </w:t>
      </w:r>
      <w:r w:rsidRPr="00A805F5" w:rsidR="00644774">
        <w:rPr>
          <w:rFonts w:cs="Arial"/>
          <w:szCs w:val="20"/>
          <w:lang w:val="nl-NL"/>
        </w:rPr>
        <w:t>akkoord gegaan met deze bronstaatheffing voor (her)verzekeringspremies</w:t>
      </w:r>
      <w:r w:rsidRPr="00A805F5" w:rsidR="00732E12">
        <w:rPr>
          <w:rFonts w:cs="Arial"/>
          <w:szCs w:val="20"/>
          <w:lang w:val="nl-NL"/>
        </w:rPr>
        <w:t xml:space="preserve">. Een vergelijkbare bepaling is Nederland overeengekomen </w:t>
      </w:r>
      <w:r w:rsidRPr="00A805F5" w:rsidR="004107E4">
        <w:rPr>
          <w:rFonts w:cs="Arial"/>
          <w:szCs w:val="20"/>
          <w:lang w:val="nl-NL"/>
        </w:rPr>
        <w:t>met Argentinië (</w:t>
      </w:r>
      <w:proofErr w:type="spellStart"/>
      <w:r w:rsidRPr="00A805F5" w:rsidR="004107E4">
        <w:rPr>
          <w:rFonts w:cs="Arial"/>
          <w:i/>
          <w:szCs w:val="20"/>
          <w:lang w:val="nl-NL"/>
        </w:rPr>
        <w:t>Trb</w:t>
      </w:r>
      <w:proofErr w:type="spellEnd"/>
      <w:r w:rsidRPr="00A805F5" w:rsidR="004107E4">
        <w:rPr>
          <w:rFonts w:cs="Arial"/>
          <w:i/>
          <w:szCs w:val="20"/>
          <w:lang w:val="nl-NL"/>
        </w:rPr>
        <w:t>.</w:t>
      </w:r>
      <w:r w:rsidRPr="00A805F5" w:rsidR="004107E4">
        <w:rPr>
          <w:rFonts w:cs="Arial"/>
          <w:szCs w:val="20"/>
          <w:lang w:val="nl-NL"/>
        </w:rPr>
        <w:t xml:space="preserve"> 1997, 63)</w:t>
      </w:r>
      <w:r w:rsidRPr="00A805F5" w:rsidR="00434B51">
        <w:rPr>
          <w:rFonts w:cs="Arial"/>
          <w:szCs w:val="20"/>
          <w:lang w:val="nl-NL"/>
        </w:rPr>
        <w:t xml:space="preserve">. Ook is Nederland eerder in diverse verdragen overeengekomen dat het innen van verzekeringspremies via een afhankelijke agent in het land van de verdragspartners kan leiden tot een vaste inrichting ter zake waarvan dat land kan heffen (zie onder meer de belastingverdragen met Azerbeidzjan </w:t>
      </w:r>
      <w:r w:rsidRPr="00A805F5" w:rsidR="006464A0">
        <w:rPr>
          <w:rFonts w:cs="Arial"/>
          <w:szCs w:val="20"/>
          <w:lang w:val="nl-NL"/>
        </w:rPr>
        <w:t>(</w:t>
      </w:r>
      <w:proofErr w:type="spellStart"/>
      <w:r w:rsidRPr="00A805F5" w:rsidR="006464A0">
        <w:rPr>
          <w:rFonts w:cs="Arial"/>
          <w:i/>
          <w:szCs w:val="20"/>
          <w:lang w:val="nl-NL"/>
        </w:rPr>
        <w:t>Trb</w:t>
      </w:r>
      <w:proofErr w:type="spellEnd"/>
      <w:r w:rsidRPr="00A805F5" w:rsidR="006464A0">
        <w:rPr>
          <w:rFonts w:cs="Arial"/>
          <w:szCs w:val="20"/>
          <w:lang w:val="nl-NL"/>
        </w:rPr>
        <w:t>. 2008, 202), Indonesië (</w:t>
      </w:r>
      <w:proofErr w:type="spellStart"/>
      <w:r w:rsidRPr="00A805F5" w:rsidR="006464A0">
        <w:rPr>
          <w:rFonts w:cs="Arial"/>
          <w:i/>
          <w:szCs w:val="20"/>
          <w:lang w:val="nl-NL"/>
        </w:rPr>
        <w:t>Trb</w:t>
      </w:r>
      <w:proofErr w:type="spellEnd"/>
      <w:r w:rsidRPr="00A805F5" w:rsidR="006464A0">
        <w:rPr>
          <w:rFonts w:cs="Arial"/>
          <w:szCs w:val="20"/>
          <w:lang w:val="nl-NL"/>
        </w:rPr>
        <w:t>. 2002, 33), Kenia (</w:t>
      </w:r>
      <w:proofErr w:type="spellStart"/>
      <w:r w:rsidRPr="00A805F5" w:rsidR="006464A0">
        <w:rPr>
          <w:rFonts w:cs="Arial"/>
          <w:i/>
          <w:szCs w:val="20"/>
          <w:lang w:val="nl-NL"/>
        </w:rPr>
        <w:t>Trb</w:t>
      </w:r>
      <w:proofErr w:type="spellEnd"/>
      <w:r w:rsidRPr="00A805F5" w:rsidR="006464A0">
        <w:rPr>
          <w:rFonts w:cs="Arial"/>
          <w:szCs w:val="20"/>
          <w:lang w:val="nl-NL"/>
        </w:rPr>
        <w:t>. 2015, 114), Mexico (</w:t>
      </w:r>
      <w:proofErr w:type="spellStart"/>
      <w:r w:rsidRPr="00A805F5" w:rsidR="006464A0">
        <w:rPr>
          <w:rFonts w:cs="Arial"/>
          <w:i/>
          <w:szCs w:val="20"/>
          <w:lang w:val="nl-NL"/>
        </w:rPr>
        <w:t>Trb</w:t>
      </w:r>
      <w:proofErr w:type="spellEnd"/>
      <w:r w:rsidRPr="00A805F5" w:rsidR="006464A0">
        <w:rPr>
          <w:rFonts w:cs="Arial"/>
          <w:szCs w:val="20"/>
          <w:lang w:val="nl-NL"/>
        </w:rPr>
        <w:t>. 1993, 160) en Qatar (</w:t>
      </w:r>
      <w:proofErr w:type="spellStart"/>
      <w:r w:rsidRPr="00A805F5" w:rsidR="006464A0">
        <w:rPr>
          <w:rFonts w:cs="Arial"/>
          <w:i/>
          <w:szCs w:val="20"/>
          <w:lang w:val="nl-NL"/>
        </w:rPr>
        <w:t>Trb</w:t>
      </w:r>
      <w:proofErr w:type="spellEnd"/>
      <w:r w:rsidRPr="00A805F5" w:rsidR="006464A0">
        <w:rPr>
          <w:rFonts w:cs="Arial"/>
          <w:szCs w:val="20"/>
          <w:lang w:val="nl-NL"/>
        </w:rPr>
        <w:t>. 2008, 112)</w:t>
      </w:r>
      <w:r w:rsidRPr="00A805F5" w:rsidR="000870FF">
        <w:rPr>
          <w:rFonts w:cs="Arial"/>
          <w:szCs w:val="20"/>
          <w:lang w:val="nl-NL"/>
        </w:rPr>
        <w:t xml:space="preserve">. </w:t>
      </w:r>
    </w:p>
    <w:p w:rsidRPr="00A805F5" w:rsidR="00786372" w:rsidP="00786372" w:rsidRDefault="000870FF" w14:paraId="5BC86E1E" w14:textId="7B198489">
      <w:pPr>
        <w:ind w:firstLine="720"/>
        <w:rPr>
          <w:rFonts w:cs="Arial"/>
          <w:szCs w:val="20"/>
          <w:lang w:val="nl-NL"/>
        </w:rPr>
      </w:pPr>
      <w:r w:rsidRPr="00A805F5">
        <w:rPr>
          <w:rFonts w:cs="Arial"/>
          <w:szCs w:val="20"/>
          <w:lang w:val="nl-NL"/>
        </w:rPr>
        <w:t>Voor de toelichting op artikel II</w:t>
      </w:r>
      <w:r w:rsidRPr="00A805F5" w:rsidR="00786372">
        <w:rPr>
          <w:rFonts w:cs="Arial"/>
          <w:szCs w:val="20"/>
          <w:lang w:val="nl-NL"/>
        </w:rPr>
        <w:t xml:space="preserve"> van het Protocol wordt verwezen naar </w:t>
      </w:r>
      <w:r w:rsidR="00914B05">
        <w:rPr>
          <w:rFonts w:cs="Arial"/>
          <w:szCs w:val="20"/>
          <w:lang w:val="nl-NL"/>
        </w:rPr>
        <w:t>onderdeel II.5 van deze toelichtende nota.</w:t>
      </w:r>
    </w:p>
    <w:p w:rsidRPr="00A805F5" w:rsidR="0010137F" w:rsidP="00DB5553" w:rsidRDefault="00DB5553" w14:paraId="333565D1" w14:textId="2D7A27B9">
      <w:pPr>
        <w:pStyle w:val="Heading2"/>
        <w:rPr>
          <w:rFonts w:cs="Arial"/>
          <w:b w:val="0"/>
          <w:bCs w:val="0"/>
          <w:i/>
          <w:smallCaps w:val="0"/>
          <w:szCs w:val="20"/>
          <w:lang w:val="nl-NL"/>
        </w:rPr>
      </w:pPr>
      <w:r w:rsidRPr="00A805F5">
        <w:rPr>
          <w:rFonts w:cs="Arial"/>
          <w:b w:val="0"/>
          <w:bCs w:val="0"/>
          <w:i/>
          <w:smallCaps w:val="0"/>
          <w:szCs w:val="20"/>
          <w:lang w:val="nl-NL"/>
        </w:rPr>
        <w:t>II.8 Scheep- en luchtvaart (</w:t>
      </w:r>
      <w:r w:rsidRPr="00A805F5" w:rsidR="0010137F">
        <w:rPr>
          <w:rFonts w:cs="Arial"/>
          <w:b w:val="0"/>
          <w:bCs w:val="0"/>
          <w:i/>
          <w:smallCaps w:val="0"/>
          <w:szCs w:val="20"/>
          <w:lang w:val="nl-NL"/>
        </w:rPr>
        <w:t xml:space="preserve">Artikel 8 </w:t>
      </w:r>
      <w:r w:rsidRPr="00A805F5">
        <w:rPr>
          <w:rFonts w:cs="Arial"/>
          <w:b w:val="0"/>
          <w:bCs w:val="0"/>
          <w:i/>
          <w:smallCaps w:val="0"/>
          <w:szCs w:val="20"/>
          <w:lang w:val="nl-NL"/>
        </w:rPr>
        <w:t>van het Verdrag</w:t>
      </w:r>
      <w:r w:rsidRPr="00A805F5" w:rsidR="00637B10">
        <w:rPr>
          <w:rFonts w:cs="Arial"/>
          <w:b w:val="0"/>
          <w:bCs w:val="0"/>
          <w:i/>
          <w:smallCaps w:val="0"/>
          <w:szCs w:val="20"/>
          <w:lang w:val="nl-NL"/>
        </w:rPr>
        <w:t>)</w:t>
      </w:r>
    </w:p>
    <w:p w:rsidRPr="00A805F5" w:rsidR="00560118" w:rsidP="00560118" w:rsidRDefault="00560118" w14:paraId="228FDDF7" w14:textId="5755B299">
      <w:pPr>
        <w:rPr>
          <w:rFonts w:cs="Arial"/>
          <w:szCs w:val="20"/>
          <w:lang w:val="nl-NL"/>
        </w:rPr>
      </w:pPr>
      <w:r w:rsidRPr="00A805F5">
        <w:rPr>
          <w:rFonts w:cs="Arial"/>
          <w:szCs w:val="20"/>
          <w:lang w:val="nl-NL"/>
        </w:rPr>
        <w:t xml:space="preserve">Artikel 8, eerste en derde lid, van het Verdrag komt overeen met </w:t>
      </w:r>
      <w:r w:rsidRPr="00A805F5" w:rsidR="00637B10">
        <w:rPr>
          <w:rFonts w:cs="Arial"/>
          <w:szCs w:val="20"/>
          <w:lang w:val="nl-NL"/>
        </w:rPr>
        <w:t xml:space="preserve">artikel 8 van </w:t>
      </w:r>
      <w:r w:rsidRPr="00A805F5">
        <w:rPr>
          <w:rFonts w:cs="Arial"/>
          <w:szCs w:val="20"/>
          <w:lang w:val="nl-NL"/>
        </w:rPr>
        <w:t>het OESO-modelverdrag. Het tweede lid bevat een verduidelijking waarmee geen inhoudelijke afwijking is beoogd van het OESO-modelverdrag en het OESO-commentaar daarop.</w:t>
      </w:r>
    </w:p>
    <w:p w:rsidRPr="00A805F5" w:rsidR="00560118" w:rsidP="00560118" w:rsidRDefault="00DB5553" w14:paraId="04431ACF" w14:textId="57F86BC6">
      <w:pPr>
        <w:rPr>
          <w:rFonts w:cs="Arial"/>
          <w:szCs w:val="20"/>
          <w:lang w:val="nl-NL"/>
        </w:rPr>
      </w:pPr>
      <w:r w:rsidRPr="00A805F5">
        <w:rPr>
          <w:rFonts w:cs="Arial"/>
          <w:szCs w:val="20"/>
          <w:lang w:val="nl-NL"/>
        </w:rPr>
        <w:t>Het eerste lid</w:t>
      </w:r>
      <w:r w:rsidRPr="00A805F5" w:rsidR="00560118">
        <w:rPr>
          <w:rFonts w:cs="Arial"/>
          <w:szCs w:val="20"/>
          <w:lang w:val="nl-NL"/>
        </w:rPr>
        <w:t xml:space="preserve"> wijst het heffingsrecht over winst van lucht- en scheepvaartondernemingen in het internationale verkeer toe aan de staat waar</w:t>
      </w:r>
      <w:r w:rsidRPr="00A805F5" w:rsidR="00637B10">
        <w:rPr>
          <w:rFonts w:cs="Arial"/>
          <w:szCs w:val="20"/>
          <w:lang w:val="nl-NL"/>
        </w:rPr>
        <w:t>van</w:t>
      </w:r>
      <w:r w:rsidRPr="00A805F5" w:rsidR="00560118">
        <w:rPr>
          <w:rFonts w:cs="Arial"/>
          <w:szCs w:val="20"/>
          <w:lang w:val="nl-NL"/>
        </w:rPr>
        <w:t xml:space="preserve"> de onderneming inwoner is. </w:t>
      </w:r>
    </w:p>
    <w:p w:rsidRPr="00A805F5" w:rsidR="00560118" w:rsidP="00560118" w:rsidRDefault="00560118" w14:paraId="1D683504" w14:textId="5BAFB2BF">
      <w:pPr>
        <w:rPr>
          <w:rFonts w:cs="Arial"/>
          <w:szCs w:val="20"/>
          <w:lang w:val="nl-NL"/>
        </w:rPr>
      </w:pPr>
      <w:r w:rsidRPr="00A805F5">
        <w:rPr>
          <w:rFonts w:cs="Arial"/>
          <w:szCs w:val="20"/>
          <w:lang w:val="nl-NL"/>
        </w:rPr>
        <w:t>Het tweede lid is op verzoek van de Chileense delegatie opgenomen als een verduidelijking van het eerste lid</w:t>
      </w:r>
      <w:r w:rsidRPr="00A805F5" w:rsidR="00DB5553">
        <w:rPr>
          <w:rFonts w:cs="Arial"/>
          <w:szCs w:val="20"/>
          <w:lang w:val="nl-NL"/>
        </w:rPr>
        <w:t>,</w:t>
      </w:r>
      <w:r w:rsidRPr="00A805F5" w:rsidR="00504B0D">
        <w:rPr>
          <w:rFonts w:cs="Arial"/>
          <w:szCs w:val="20"/>
          <w:lang w:val="nl-NL"/>
        </w:rPr>
        <w:t xml:space="preserve"> in lijn met het OESO-commentaar op artikel 8 van het OESO-modelverdrag</w:t>
      </w:r>
      <w:r w:rsidRPr="00A805F5">
        <w:rPr>
          <w:rFonts w:cs="Arial"/>
          <w:szCs w:val="20"/>
          <w:lang w:val="nl-NL"/>
        </w:rPr>
        <w:t xml:space="preserve">. </w:t>
      </w:r>
      <w:r w:rsidRPr="00A805F5" w:rsidR="00CF04CD">
        <w:rPr>
          <w:rFonts w:cs="Arial"/>
          <w:szCs w:val="20"/>
          <w:lang w:val="nl-NL"/>
        </w:rPr>
        <w:t xml:space="preserve">Onderdeel a geeft </w:t>
      </w:r>
      <w:r w:rsidRPr="00A805F5" w:rsidR="004F6221">
        <w:rPr>
          <w:rFonts w:cs="Arial"/>
          <w:szCs w:val="20"/>
          <w:lang w:val="nl-NL"/>
        </w:rPr>
        <w:t xml:space="preserve">aan wat onderdeel uitmaakt van de </w:t>
      </w:r>
      <w:r w:rsidRPr="00A805F5" w:rsidR="008C23DE">
        <w:rPr>
          <w:rFonts w:cs="Arial"/>
          <w:szCs w:val="20"/>
          <w:lang w:val="nl-NL"/>
        </w:rPr>
        <w:t>‘</w:t>
      </w:r>
      <w:r w:rsidRPr="00A805F5" w:rsidR="00CF04CD">
        <w:rPr>
          <w:rFonts w:cs="Arial"/>
          <w:szCs w:val="20"/>
          <w:lang w:val="nl-NL"/>
        </w:rPr>
        <w:t>winst</w:t>
      </w:r>
      <w:r w:rsidRPr="00A805F5" w:rsidR="008C23DE">
        <w:rPr>
          <w:rFonts w:cs="Arial"/>
          <w:szCs w:val="20"/>
          <w:lang w:val="nl-NL"/>
        </w:rPr>
        <w:t>’</w:t>
      </w:r>
      <w:r w:rsidRPr="00A805F5" w:rsidR="00CF04CD">
        <w:rPr>
          <w:rFonts w:cs="Arial"/>
          <w:szCs w:val="20"/>
          <w:lang w:val="nl-NL"/>
        </w:rPr>
        <w:t>. Het gaat hierbij niet alleen om de bruto-</w:t>
      </w:r>
      <w:proofErr w:type="spellStart"/>
      <w:r w:rsidRPr="00A805F5" w:rsidR="00CF04CD">
        <w:rPr>
          <w:rFonts w:cs="Arial"/>
          <w:szCs w:val="20"/>
          <w:lang w:val="nl-NL"/>
        </w:rPr>
        <w:t>onvangsten</w:t>
      </w:r>
      <w:proofErr w:type="spellEnd"/>
      <w:r w:rsidRPr="00A805F5" w:rsidR="00CF04CD">
        <w:rPr>
          <w:rFonts w:cs="Arial"/>
          <w:szCs w:val="20"/>
          <w:lang w:val="nl-NL"/>
        </w:rPr>
        <w:t xml:space="preserve"> die direct worden verkr</w:t>
      </w:r>
      <w:r w:rsidRPr="00A805F5" w:rsidR="00637B10">
        <w:rPr>
          <w:rFonts w:cs="Arial"/>
          <w:szCs w:val="20"/>
          <w:lang w:val="nl-NL"/>
        </w:rPr>
        <w:t>e</w:t>
      </w:r>
      <w:r w:rsidRPr="00A805F5" w:rsidR="00CF04CD">
        <w:rPr>
          <w:rFonts w:cs="Arial"/>
          <w:szCs w:val="20"/>
          <w:lang w:val="nl-NL"/>
        </w:rPr>
        <w:t>gen uit de exploitatie van schepen en luchtvaartuigen in internationaal verkeer (onderdeel i), maar ook om interest over de bedragen die direct worden ver</w:t>
      </w:r>
      <w:r w:rsidRPr="00A805F5" w:rsidR="009141E9">
        <w:rPr>
          <w:rFonts w:cs="Arial"/>
          <w:szCs w:val="20"/>
          <w:lang w:val="nl-NL"/>
        </w:rPr>
        <w:t xml:space="preserve">kregen uit de exploitatie van schepen of luchtvaartuigen in internationaal verkeer, mits dergelijke interest </w:t>
      </w:r>
      <w:r w:rsidRPr="00A805F5" w:rsidR="009141E9">
        <w:rPr>
          <w:rFonts w:cs="Arial"/>
          <w:i/>
          <w:szCs w:val="20"/>
          <w:lang w:val="nl-NL"/>
        </w:rPr>
        <w:t>bijkomstig</w:t>
      </w:r>
      <w:r w:rsidRPr="00A805F5" w:rsidR="00637B10">
        <w:rPr>
          <w:rFonts w:cs="Arial"/>
          <w:i/>
          <w:szCs w:val="20"/>
          <w:lang w:val="nl-NL"/>
        </w:rPr>
        <w:t xml:space="preserve"> </w:t>
      </w:r>
      <w:r w:rsidRPr="00A805F5" w:rsidR="00637B10">
        <w:rPr>
          <w:rFonts w:cs="Arial"/>
          <w:szCs w:val="20"/>
          <w:lang w:val="nl-NL"/>
        </w:rPr>
        <w:t>(</w:t>
      </w:r>
      <w:r w:rsidRPr="00A805F5" w:rsidR="00637B10">
        <w:rPr>
          <w:rFonts w:cs="Arial"/>
          <w:i/>
          <w:szCs w:val="20"/>
          <w:lang w:val="nl-NL"/>
        </w:rPr>
        <w:t>‘</w:t>
      </w:r>
      <w:proofErr w:type="spellStart"/>
      <w:r w:rsidRPr="00A805F5" w:rsidR="00637B10">
        <w:rPr>
          <w:rFonts w:cs="Arial"/>
          <w:i/>
          <w:szCs w:val="20"/>
          <w:lang w:val="nl-NL"/>
        </w:rPr>
        <w:t>incidental</w:t>
      </w:r>
      <w:proofErr w:type="spellEnd"/>
      <w:r w:rsidRPr="00A805F5" w:rsidR="00637B10">
        <w:rPr>
          <w:rFonts w:cs="Arial"/>
          <w:i/>
          <w:szCs w:val="20"/>
          <w:lang w:val="nl-NL"/>
        </w:rPr>
        <w:t>’</w:t>
      </w:r>
      <w:r w:rsidRPr="00A805F5" w:rsidR="00637B10">
        <w:rPr>
          <w:rFonts w:cs="Arial"/>
          <w:szCs w:val="20"/>
          <w:lang w:val="nl-NL"/>
        </w:rPr>
        <w:t>)</w:t>
      </w:r>
      <w:r w:rsidRPr="00A805F5" w:rsidR="009141E9">
        <w:rPr>
          <w:rFonts w:cs="Arial"/>
          <w:i/>
          <w:szCs w:val="20"/>
          <w:lang w:val="nl-NL"/>
        </w:rPr>
        <w:t xml:space="preserve"> </w:t>
      </w:r>
      <w:r w:rsidRPr="00A805F5" w:rsidR="009141E9">
        <w:rPr>
          <w:rFonts w:cs="Arial"/>
          <w:szCs w:val="20"/>
          <w:lang w:val="nl-NL"/>
        </w:rPr>
        <w:t>is aan die exploitatie. In onderdeel b</w:t>
      </w:r>
      <w:r w:rsidRPr="00A805F5">
        <w:rPr>
          <w:rFonts w:cs="Arial"/>
          <w:szCs w:val="20"/>
          <w:lang w:val="nl-NL"/>
        </w:rPr>
        <w:t xml:space="preserve"> wordt bepaald dat de voordelen uit </w:t>
      </w:r>
      <w:r w:rsidRPr="00A805F5" w:rsidR="009141E9">
        <w:rPr>
          <w:rFonts w:cs="Arial"/>
          <w:szCs w:val="20"/>
          <w:lang w:val="nl-NL"/>
        </w:rPr>
        <w:t>het charteren of de verhuur van schepen en luchtvaartuigen</w:t>
      </w:r>
      <w:r w:rsidRPr="00A805F5" w:rsidR="00637B10">
        <w:rPr>
          <w:rFonts w:cs="Arial"/>
          <w:szCs w:val="20"/>
          <w:lang w:val="nl-NL"/>
        </w:rPr>
        <w:t xml:space="preserve"> (onderdeel i)</w:t>
      </w:r>
      <w:r w:rsidRPr="00A805F5" w:rsidR="009141E9">
        <w:rPr>
          <w:rFonts w:cs="Arial"/>
          <w:szCs w:val="20"/>
          <w:lang w:val="nl-NL"/>
        </w:rPr>
        <w:t xml:space="preserve"> en de verhu</w:t>
      </w:r>
      <w:r w:rsidRPr="00A805F5" w:rsidR="00504B0D">
        <w:rPr>
          <w:rFonts w:cs="Arial"/>
          <w:szCs w:val="20"/>
          <w:lang w:val="nl-NL"/>
        </w:rPr>
        <w:t>u</w:t>
      </w:r>
      <w:r w:rsidRPr="00A805F5" w:rsidR="009141E9">
        <w:rPr>
          <w:rFonts w:cs="Arial"/>
          <w:szCs w:val="20"/>
          <w:lang w:val="nl-NL"/>
        </w:rPr>
        <w:t xml:space="preserve">r van </w:t>
      </w:r>
      <w:r w:rsidRPr="00A805F5">
        <w:rPr>
          <w:rFonts w:cs="Arial"/>
          <w:szCs w:val="20"/>
          <w:lang w:val="nl-NL"/>
        </w:rPr>
        <w:t xml:space="preserve">containers </w:t>
      </w:r>
      <w:r w:rsidRPr="00A805F5" w:rsidR="00637B10">
        <w:rPr>
          <w:rFonts w:cs="Arial"/>
          <w:szCs w:val="20"/>
          <w:lang w:val="nl-NL"/>
        </w:rPr>
        <w:t xml:space="preserve">(onderdeel ii) </w:t>
      </w:r>
      <w:r w:rsidRPr="00A805F5">
        <w:rPr>
          <w:rFonts w:cs="Arial"/>
          <w:szCs w:val="20"/>
          <w:lang w:val="nl-NL"/>
        </w:rPr>
        <w:t xml:space="preserve">eveneens onder de werking van artikel 8 vallen (en </w:t>
      </w:r>
      <w:r w:rsidRPr="00A805F5" w:rsidR="00637B10">
        <w:rPr>
          <w:rFonts w:cs="Arial"/>
          <w:szCs w:val="20"/>
          <w:lang w:val="nl-NL"/>
        </w:rPr>
        <w:t>niet onder artikel 7)</w:t>
      </w:r>
      <w:r w:rsidRPr="00A805F5" w:rsidR="00DB5553">
        <w:rPr>
          <w:rFonts w:cs="Arial"/>
          <w:szCs w:val="20"/>
          <w:lang w:val="nl-NL"/>
        </w:rPr>
        <w:t>,</w:t>
      </w:r>
      <w:r w:rsidRPr="00A805F5">
        <w:rPr>
          <w:rFonts w:cs="Arial"/>
          <w:szCs w:val="20"/>
          <w:lang w:val="nl-NL"/>
        </w:rPr>
        <w:t xml:space="preserve"> voor zover </w:t>
      </w:r>
      <w:r w:rsidRPr="00A805F5" w:rsidR="009141E9">
        <w:rPr>
          <w:rFonts w:cs="Arial"/>
          <w:szCs w:val="20"/>
          <w:lang w:val="nl-NL"/>
        </w:rPr>
        <w:t xml:space="preserve">dit charteren of deze verhuur bijkomstig is </w:t>
      </w:r>
      <w:r w:rsidRPr="00A805F5">
        <w:rPr>
          <w:rFonts w:cs="Arial"/>
          <w:szCs w:val="20"/>
          <w:lang w:val="nl-NL"/>
        </w:rPr>
        <w:t xml:space="preserve">aan </w:t>
      </w:r>
      <w:r w:rsidRPr="00A805F5" w:rsidR="009141E9">
        <w:rPr>
          <w:rFonts w:cs="Arial"/>
          <w:szCs w:val="20"/>
          <w:lang w:val="nl-NL"/>
        </w:rPr>
        <w:t>de exploitatie van schepen of luchtvaartuigen in internationaal verkeer door de onderneming.</w:t>
      </w:r>
    </w:p>
    <w:p w:rsidRPr="00A805F5" w:rsidR="00560118" w:rsidP="00560118" w:rsidRDefault="00637B10" w14:paraId="41C6AEAC" w14:textId="7E6942FF">
      <w:pPr>
        <w:rPr>
          <w:rFonts w:cs="Arial"/>
          <w:szCs w:val="20"/>
          <w:lang w:val="nl-NL"/>
        </w:rPr>
      </w:pPr>
      <w:r w:rsidRPr="00A805F5">
        <w:rPr>
          <w:rFonts w:cs="Arial"/>
          <w:szCs w:val="20"/>
          <w:lang w:val="nl-NL"/>
        </w:rPr>
        <w:t xml:space="preserve">De verdeling van heffingsrechten van het eerste lid is ingevolge het derde lid ook van toepassing op in dat lid benoemde vormen van samenwerking. </w:t>
      </w:r>
      <w:r w:rsidRPr="00A805F5" w:rsidR="00560118">
        <w:rPr>
          <w:rFonts w:cs="Arial"/>
          <w:szCs w:val="20"/>
          <w:lang w:val="nl-NL"/>
        </w:rPr>
        <w:t>C</w:t>
      </w:r>
      <w:r w:rsidRPr="00A805F5" w:rsidR="009141E9">
        <w:rPr>
          <w:rFonts w:cs="Arial"/>
          <w:szCs w:val="20"/>
          <w:lang w:val="nl-NL"/>
        </w:rPr>
        <w:t>hili</w:t>
      </w:r>
      <w:r w:rsidRPr="00A805F5" w:rsidR="00560118">
        <w:rPr>
          <w:rFonts w:cs="Arial"/>
          <w:szCs w:val="20"/>
          <w:lang w:val="nl-NL"/>
        </w:rPr>
        <w:t xml:space="preserve"> heeft geen beroep gedaan op de </w:t>
      </w:r>
      <w:r w:rsidRPr="00A805F5" w:rsidR="009141E9">
        <w:rPr>
          <w:rFonts w:cs="Arial"/>
          <w:szCs w:val="20"/>
          <w:lang w:val="nl-NL"/>
        </w:rPr>
        <w:t>alternatieve bepaling in het VN-</w:t>
      </w:r>
      <w:r w:rsidRPr="00A805F5" w:rsidR="00560118">
        <w:rPr>
          <w:rFonts w:cs="Arial"/>
          <w:szCs w:val="20"/>
          <w:lang w:val="nl-NL"/>
        </w:rPr>
        <w:t xml:space="preserve">model om de heffing over de winst uit internationale scheepvaart gedeeltelijk toe te wijzen aan het land waarin die activiteiten plaatsvinden.  </w:t>
      </w:r>
    </w:p>
    <w:p w:rsidRPr="00A805F5" w:rsidR="0010137F" w:rsidP="00DB5553" w:rsidRDefault="00DB5553" w14:paraId="7E27DC9D" w14:textId="308ADF60">
      <w:pPr>
        <w:pStyle w:val="Heading2"/>
        <w:rPr>
          <w:rFonts w:cs="Arial"/>
          <w:b w:val="0"/>
          <w:bCs w:val="0"/>
          <w:i/>
          <w:smallCaps w:val="0"/>
          <w:szCs w:val="20"/>
          <w:lang w:val="nl-NL"/>
        </w:rPr>
      </w:pPr>
      <w:r w:rsidRPr="00A805F5">
        <w:rPr>
          <w:rFonts w:cs="Arial"/>
          <w:b w:val="0"/>
          <w:bCs w:val="0"/>
          <w:i/>
          <w:smallCaps w:val="0"/>
          <w:szCs w:val="20"/>
          <w:lang w:val="nl-NL"/>
        </w:rPr>
        <w:lastRenderedPageBreak/>
        <w:t>II.9 Gelieerde ondernemingen (</w:t>
      </w:r>
      <w:r w:rsidRPr="00A805F5" w:rsidR="0010137F">
        <w:rPr>
          <w:rFonts w:cs="Arial"/>
          <w:b w:val="0"/>
          <w:bCs w:val="0"/>
          <w:i/>
          <w:smallCaps w:val="0"/>
          <w:szCs w:val="20"/>
          <w:lang w:val="nl-NL"/>
        </w:rPr>
        <w:t xml:space="preserve">Artikel 9 </w:t>
      </w:r>
      <w:r w:rsidRPr="00A805F5">
        <w:rPr>
          <w:rFonts w:cs="Arial"/>
          <w:b w:val="0"/>
          <w:bCs w:val="0"/>
          <w:i/>
          <w:smallCaps w:val="0"/>
          <w:szCs w:val="20"/>
          <w:lang w:val="nl-NL"/>
        </w:rPr>
        <w:t>van het Verdrag</w:t>
      </w:r>
      <w:r w:rsidRPr="00A805F5" w:rsidR="00637B10">
        <w:rPr>
          <w:rFonts w:cs="Arial"/>
          <w:b w:val="0"/>
          <w:bCs w:val="0"/>
          <w:i/>
          <w:smallCaps w:val="0"/>
          <w:szCs w:val="20"/>
          <w:lang w:val="nl-NL"/>
        </w:rPr>
        <w:t xml:space="preserve">) </w:t>
      </w:r>
    </w:p>
    <w:p w:rsidRPr="00A805F5" w:rsidR="00C41D48" w:rsidP="00C41D48" w:rsidRDefault="00C41D48" w14:paraId="5A4774F6" w14:textId="77777777">
      <w:pPr>
        <w:ind w:firstLine="720"/>
        <w:rPr>
          <w:rFonts w:cs="Arial"/>
          <w:szCs w:val="20"/>
          <w:lang w:val="nl-NL"/>
        </w:rPr>
      </w:pPr>
      <w:r w:rsidRPr="00A805F5">
        <w:rPr>
          <w:rFonts w:cs="Arial"/>
          <w:szCs w:val="20"/>
          <w:lang w:val="nl-NL"/>
        </w:rPr>
        <w:t>Artikel 9, eerste en tweede lid, van het Verdrag komt (vrijwel geheel) overeen met artikel 9 van het OESO-modelverdrag. Artikel 9, derde lid, van het Verdrag is ontleend aan het OESO-commentaar op artikel 9 van het OESO-modelverdrag.</w:t>
      </w:r>
    </w:p>
    <w:p w:rsidRPr="00A805F5" w:rsidR="00C41D48" w:rsidP="00C41D48" w:rsidRDefault="00C41D48" w14:paraId="025EDA03" w14:textId="77777777">
      <w:pPr>
        <w:ind w:firstLine="720"/>
        <w:rPr>
          <w:rFonts w:cs="Arial"/>
          <w:szCs w:val="20"/>
          <w:lang w:val="nl-NL"/>
        </w:rPr>
      </w:pPr>
      <w:r w:rsidRPr="00A805F5">
        <w:rPr>
          <w:rFonts w:cs="Arial"/>
          <w:szCs w:val="20"/>
          <w:lang w:val="nl-NL"/>
        </w:rPr>
        <w:t xml:space="preserve">Artikel 9 van het Verdrag bevat het zogenoemde arm’s-length-beginsel voor grensoverschrijdende transacties tussen gelieerde ondernemingen. Het arm’s-length-beginsel houdt in dat gelieerde ondernemingen voor fiscale doeleinden geacht worden transacties aan te gaan onder dezelfde voorwaarden als niet-gelieerde ondernemingen zouden zijn aangegaan. Bij de vaststelling of sprake is van zakelijke voorwaarden, gelden de door de OESO opgestelde </w:t>
      </w:r>
      <w:r w:rsidRPr="00A805F5">
        <w:rPr>
          <w:rFonts w:cs="Arial"/>
          <w:i/>
          <w:szCs w:val="20"/>
          <w:lang w:val="nl-NL"/>
        </w:rPr>
        <w:t xml:space="preserve">‘Transfer pricing </w:t>
      </w:r>
      <w:proofErr w:type="spellStart"/>
      <w:r w:rsidRPr="00A805F5">
        <w:rPr>
          <w:rFonts w:cs="Arial"/>
          <w:i/>
          <w:szCs w:val="20"/>
          <w:lang w:val="nl-NL"/>
        </w:rPr>
        <w:t>guidelines</w:t>
      </w:r>
      <w:proofErr w:type="spellEnd"/>
      <w:r w:rsidRPr="00A805F5">
        <w:rPr>
          <w:rFonts w:cs="Arial"/>
          <w:i/>
          <w:szCs w:val="20"/>
          <w:lang w:val="nl-NL"/>
        </w:rPr>
        <w:t xml:space="preserve"> </w:t>
      </w:r>
      <w:proofErr w:type="spellStart"/>
      <w:r w:rsidRPr="00A805F5">
        <w:rPr>
          <w:rFonts w:cs="Arial"/>
          <w:i/>
          <w:szCs w:val="20"/>
          <w:lang w:val="nl-NL"/>
        </w:rPr>
        <w:t>for</w:t>
      </w:r>
      <w:proofErr w:type="spellEnd"/>
      <w:r w:rsidRPr="00A805F5">
        <w:rPr>
          <w:rFonts w:cs="Arial"/>
          <w:i/>
          <w:szCs w:val="20"/>
          <w:lang w:val="nl-NL"/>
        </w:rPr>
        <w:t xml:space="preserve"> multinational </w:t>
      </w:r>
      <w:proofErr w:type="spellStart"/>
      <w:r w:rsidRPr="00A805F5">
        <w:rPr>
          <w:rFonts w:cs="Arial"/>
          <w:i/>
          <w:szCs w:val="20"/>
          <w:lang w:val="nl-NL"/>
        </w:rPr>
        <w:t>enterprises</w:t>
      </w:r>
      <w:proofErr w:type="spellEnd"/>
      <w:r w:rsidRPr="00A805F5">
        <w:rPr>
          <w:rFonts w:cs="Arial"/>
          <w:i/>
          <w:szCs w:val="20"/>
          <w:lang w:val="nl-NL"/>
        </w:rPr>
        <w:t xml:space="preserve"> </w:t>
      </w:r>
      <w:proofErr w:type="spellStart"/>
      <w:r w:rsidRPr="00A805F5">
        <w:rPr>
          <w:rFonts w:cs="Arial"/>
          <w:i/>
          <w:szCs w:val="20"/>
          <w:lang w:val="nl-NL"/>
        </w:rPr>
        <w:t>and</w:t>
      </w:r>
      <w:proofErr w:type="spellEnd"/>
      <w:r w:rsidRPr="00A805F5">
        <w:rPr>
          <w:rFonts w:cs="Arial"/>
          <w:i/>
          <w:szCs w:val="20"/>
          <w:lang w:val="nl-NL"/>
        </w:rPr>
        <w:t xml:space="preserve"> </w:t>
      </w:r>
      <w:proofErr w:type="spellStart"/>
      <w:r w:rsidRPr="00A805F5">
        <w:rPr>
          <w:rFonts w:cs="Arial"/>
          <w:i/>
          <w:szCs w:val="20"/>
          <w:lang w:val="nl-NL"/>
        </w:rPr>
        <w:t>tax</w:t>
      </w:r>
      <w:proofErr w:type="spellEnd"/>
      <w:r w:rsidRPr="00A805F5">
        <w:rPr>
          <w:rFonts w:cs="Arial"/>
          <w:i/>
          <w:szCs w:val="20"/>
          <w:lang w:val="nl-NL"/>
        </w:rPr>
        <w:t xml:space="preserve"> </w:t>
      </w:r>
      <w:proofErr w:type="spellStart"/>
      <w:r w:rsidRPr="00A805F5">
        <w:rPr>
          <w:rFonts w:cs="Arial"/>
          <w:i/>
          <w:szCs w:val="20"/>
          <w:lang w:val="nl-NL"/>
        </w:rPr>
        <w:t>administrations</w:t>
      </w:r>
      <w:proofErr w:type="spellEnd"/>
      <w:r w:rsidRPr="00A805F5">
        <w:rPr>
          <w:rFonts w:cs="Arial"/>
          <w:i/>
          <w:szCs w:val="20"/>
          <w:lang w:val="nl-NL"/>
        </w:rPr>
        <w:t xml:space="preserve">’ </w:t>
      </w:r>
      <w:r w:rsidRPr="00A805F5">
        <w:rPr>
          <w:rFonts w:cs="Arial"/>
          <w:szCs w:val="20"/>
          <w:lang w:val="nl-NL"/>
        </w:rPr>
        <w:t>als leidraad</w:t>
      </w:r>
      <w:r w:rsidRPr="00A805F5">
        <w:rPr>
          <w:rFonts w:cs="Arial"/>
          <w:szCs w:val="20"/>
          <w:bdr w:val="none" w:color="auto" w:sz="0" w:space="0" w:frame="1"/>
          <w:lang w:val="nl-NL"/>
        </w:rPr>
        <w:t xml:space="preserve">. </w:t>
      </w:r>
      <w:r w:rsidRPr="00A805F5">
        <w:rPr>
          <w:rFonts w:cs="Arial"/>
          <w:szCs w:val="20"/>
          <w:lang w:val="nl-NL"/>
        </w:rPr>
        <w:t xml:space="preserve">Deze OESO-richtlijnen vormen een uitwerking van het arm’s-length-beginsel dat is neergelegd in artikel 9 van het OESO-modelverdrag en dat nader wordt toegelicht in het commentaar op dat artikel. </w:t>
      </w:r>
    </w:p>
    <w:p w:rsidRPr="00A805F5" w:rsidR="00C41D48" w:rsidP="00C41D48" w:rsidRDefault="00C41D48" w14:paraId="0BDE5400" w14:textId="4DCF775B">
      <w:pPr>
        <w:ind w:firstLine="720"/>
        <w:rPr>
          <w:rFonts w:cs="Arial"/>
          <w:szCs w:val="20"/>
          <w:lang w:val="nl-NL"/>
        </w:rPr>
      </w:pPr>
      <w:r w:rsidRPr="00A805F5">
        <w:rPr>
          <w:rFonts w:cs="Arial"/>
          <w:szCs w:val="20"/>
          <w:lang w:val="nl-NL"/>
        </w:rPr>
        <w:t xml:space="preserve">Het eerste lid bevat de hoofdregel. </w:t>
      </w:r>
      <w:r w:rsidRPr="00A805F5" w:rsidR="00CA7781">
        <w:rPr>
          <w:rFonts w:cs="Arial"/>
          <w:szCs w:val="20"/>
          <w:lang w:val="nl-NL"/>
        </w:rPr>
        <w:t>Als</w:t>
      </w:r>
      <w:r w:rsidRPr="00A805F5">
        <w:rPr>
          <w:rFonts w:cs="Arial"/>
          <w:szCs w:val="20"/>
          <w:lang w:val="nl-NL"/>
        </w:rPr>
        <w:t xml:space="preserve"> tussen gelieerde ondernemingen in hun handelsbetrekkingen of financiële betrekkingen voorwaarden worden overeengekomen die afwijken van die welke tussen niet-gelieerde ondernemingen zouden worden overeengekomen, mag de winst die één van de gelieerde ondernemingen als gevolg van die afwijkende voorwaarden niet heeft behaald in de winst van die onderneming worden begrepen en dienovereenkomstig worden belast. Ingeval een verdragsluitende staat de winst aldus corrigeert wordt wel gesproken van een ‘</w:t>
      </w:r>
      <w:proofErr w:type="spellStart"/>
      <w:r w:rsidRPr="00A805F5">
        <w:rPr>
          <w:rFonts w:cs="Arial"/>
          <w:i/>
          <w:szCs w:val="20"/>
          <w:lang w:val="nl-NL"/>
        </w:rPr>
        <w:t>primary</w:t>
      </w:r>
      <w:proofErr w:type="spellEnd"/>
      <w:r w:rsidRPr="00A805F5">
        <w:rPr>
          <w:rFonts w:cs="Arial"/>
          <w:i/>
          <w:szCs w:val="20"/>
          <w:lang w:val="nl-NL"/>
        </w:rPr>
        <w:t xml:space="preserve"> </w:t>
      </w:r>
      <w:proofErr w:type="spellStart"/>
      <w:r w:rsidRPr="00A805F5">
        <w:rPr>
          <w:rFonts w:cs="Arial"/>
          <w:i/>
          <w:szCs w:val="20"/>
          <w:lang w:val="nl-NL"/>
        </w:rPr>
        <w:t>adjustment</w:t>
      </w:r>
      <w:proofErr w:type="spellEnd"/>
      <w:r w:rsidRPr="00A805F5">
        <w:rPr>
          <w:rFonts w:cs="Arial"/>
          <w:i/>
          <w:szCs w:val="20"/>
          <w:lang w:val="nl-NL"/>
        </w:rPr>
        <w:t>’.</w:t>
      </w:r>
    </w:p>
    <w:p w:rsidRPr="00A805F5" w:rsidR="00504B0D" w:rsidP="00C41D48" w:rsidRDefault="00C41D48" w14:paraId="6B492C3D" w14:textId="273C19EA">
      <w:pPr>
        <w:rPr>
          <w:rFonts w:cs="Arial"/>
          <w:szCs w:val="20"/>
          <w:lang w:val="nl-NL"/>
        </w:rPr>
      </w:pPr>
      <w:r w:rsidRPr="00A805F5">
        <w:rPr>
          <w:rFonts w:cs="Arial"/>
          <w:szCs w:val="20"/>
          <w:lang w:val="nl-NL"/>
        </w:rPr>
        <w:t>Op grond van het tweede lid dient een verdragsluitende staat, indien een transactie tussen verbonden ondernemingen leidt tot belastingheffing in de andere verdragsluitende staat over een winstcorrectie, in beginsel op passende wijze de belastingheffing te herzien. Een dergelijke herziening wordt wel aangeduid als de ‘</w:t>
      </w:r>
      <w:proofErr w:type="spellStart"/>
      <w:r w:rsidRPr="00A805F5">
        <w:rPr>
          <w:rFonts w:cs="Arial"/>
          <w:i/>
          <w:szCs w:val="20"/>
          <w:lang w:val="nl-NL"/>
        </w:rPr>
        <w:t>corresponding</w:t>
      </w:r>
      <w:proofErr w:type="spellEnd"/>
      <w:r w:rsidRPr="00A805F5">
        <w:rPr>
          <w:rFonts w:cs="Arial"/>
          <w:i/>
          <w:szCs w:val="20"/>
          <w:lang w:val="nl-NL"/>
        </w:rPr>
        <w:t xml:space="preserve"> </w:t>
      </w:r>
      <w:proofErr w:type="spellStart"/>
      <w:r w:rsidRPr="00A805F5">
        <w:rPr>
          <w:rFonts w:cs="Arial"/>
          <w:i/>
          <w:szCs w:val="20"/>
          <w:lang w:val="nl-NL"/>
        </w:rPr>
        <w:t>adjustment</w:t>
      </w:r>
      <w:proofErr w:type="spellEnd"/>
      <w:r w:rsidRPr="00A805F5">
        <w:rPr>
          <w:rFonts w:cs="Arial"/>
          <w:szCs w:val="20"/>
          <w:lang w:val="nl-NL"/>
        </w:rPr>
        <w:t>’.</w:t>
      </w:r>
      <w:r w:rsidRPr="00A805F5" w:rsidR="00F279A3">
        <w:rPr>
          <w:rFonts w:cs="Arial"/>
          <w:szCs w:val="20"/>
          <w:lang w:val="nl-NL"/>
        </w:rPr>
        <w:t xml:space="preserve"> </w:t>
      </w:r>
      <w:r w:rsidRPr="00A805F5">
        <w:rPr>
          <w:rFonts w:cs="Arial"/>
          <w:szCs w:val="20"/>
          <w:lang w:val="nl-NL"/>
        </w:rPr>
        <w:t xml:space="preserve">Op verzoek van Chili is hierbij – in lijn met </w:t>
      </w:r>
      <w:r w:rsidRPr="00A805F5" w:rsidR="006D7A7A">
        <w:rPr>
          <w:rFonts w:cs="Arial"/>
          <w:szCs w:val="20"/>
          <w:lang w:val="nl-NL"/>
        </w:rPr>
        <w:t>paragraaf 6 van het OESO-commentaar op artikel 9 van het OESO-modelverdrag – verduidelijkt dat een verdragsluitende staat alleen gehouden is de belasting te herzien bij wijze van ‘</w:t>
      </w:r>
      <w:proofErr w:type="spellStart"/>
      <w:r w:rsidRPr="00A805F5" w:rsidR="006D7A7A">
        <w:rPr>
          <w:rFonts w:cs="Arial"/>
          <w:szCs w:val="20"/>
          <w:lang w:val="nl-NL"/>
        </w:rPr>
        <w:t>corresponding</w:t>
      </w:r>
      <w:proofErr w:type="spellEnd"/>
      <w:r w:rsidRPr="00A805F5" w:rsidR="006D7A7A">
        <w:rPr>
          <w:rFonts w:cs="Arial"/>
          <w:szCs w:val="20"/>
          <w:lang w:val="nl-NL"/>
        </w:rPr>
        <w:t xml:space="preserve"> </w:t>
      </w:r>
      <w:proofErr w:type="spellStart"/>
      <w:r w:rsidRPr="00A805F5" w:rsidR="006D7A7A">
        <w:rPr>
          <w:rFonts w:cs="Arial"/>
          <w:szCs w:val="20"/>
          <w:lang w:val="nl-NL"/>
        </w:rPr>
        <w:t>adjustment</w:t>
      </w:r>
      <w:proofErr w:type="spellEnd"/>
      <w:r w:rsidRPr="00A805F5" w:rsidR="006D7A7A">
        <w:rPr>
          <w:rFonts w:cs="Arial"/>
          <w:szCs w:val="20"/>
          <w:lang w:val="nl-NL"/>
        </w:rPr>
        <w:t xml:space="preserve">’ indien deze staat ermee instemt dat de aanpassing gedaan door de eerstbedoelde staat (de </w:t>
      </w:r>
      <w:r w:rsidRPr="00A805F5" w:rsidR="006D7A7A">
        <w:rPr>
          <w:rFonts w:cs="Arial"/>
          <w:i/>
          <w:szCs w:val="20"/>
          <w:lang w:val="nl-NL"/>
        </w:rPr>
        <w:t>‘</w:t>
      </w:r>
      <w:proofErr w:type="spellStart"/>
      <w:r w:rsidRPr="00A805F5" w:rsidR="006D7A7A">
        <w:rPr>
          <w:rFonts w:cs="Arial"/>
          <w:i/>
          <w:szCs w:val="20"/>
          <w:lang w:val="nl-NL"/>
        </w:rPr>
        <w:t>primary</w:t>
      </w:r>
      <w:proofErr w:type="spellEnd"/>
      <w:r w:rsidRPr="00A805F5" w:rsidR="006D7A7A">
        <w:rPr>
          <w:rFonts w:cs="Arial"/>
          <w:i/>
          <w:szCs w:val="20"/>
          <w:lang w:val="nl-NL"/>
        </w:rPr>
        <w:t xml:space="preserve"> </w:t>
      </w:r>
      <w:proofErr w:type="spellStart"/>
      <w:r w:rsidRPr="00A805F5" w:rsidR="006D7A7A">
        <w:rPr>
          <w:rFonts w:cs="Arial"/>
          <w:i/>
          <w:szCs w:val="20"/>
          <w:lang w:val="nl-NL"/>
        </w:rPr>
        <w:t>adjustment</w:t>
      </w:r>
      <w:proofErr w:type="spellEnd"/>
      <w:r w:rsidRPr="00A805F5" w:rsidR="006D7A7A">
        <w:rPr>
          <w:rFonts w:cs="Arial"/>
          <w:i/>
          <w:szCs w:val="20"/>
          <w:lang w:val="nl-NL"/>
        </w:rPr>
        <w:t>’</w:t>
      </w:r>
      <w:r w:rsidRPr="00A805F5" w:rsidR="006D7A7A">
        <w:rPr>
          <w:rFonts w:cs="Arial"/>
          <w:szCs w:val="20"/>
          <w:lang w:val="nl-NL"/>
        </w:rPr>
        <w:t xml:space="preserve">) gerechtvaardigd is, zowel in principe als </w:t>
      </w:r>
      <w:r w:rsidRPr="00A805F5" w:rsidR="004F6221">
        <w:rPr>
          <w:rFonts w:cs="Arial"/>
          <w:szCs w:val="20"/>
          <w:lang w:val="nl-NL"/>
        </w:rPr>
        <w:t>in omvang</w:t>
      </w:r>
      <w:r w:rsidRPr="00A805F5" w:rsidR="006D7A7A">
        <w:rPr>
          <w:rFonts w:cs="Arial"/>
          <w:szCs w:val="20"/>
          <w:lang w:val="nl-NL"/>
        </w:rPr>
        <w:t>.</w:t>
      </w:r>
    </w:p>
    <w:p w:rsidRPr="00A805F5" w:rsidR="001C293C" w:rsidP="00101152" w:rsidRDefault="006D7A7A" w14:paraId="7132FF62" w14:textId="1A7782D6">
      <w:pPr>
        <w:rPr>
          <w:rFonts w:cs="Arial"/>
          <w:szCs w:val="20"/>
          <w:lang w:val="nl-NL"/>
        </w:rPr>
      </w:pPr>
      <w:r w:rsidRPr="00A805F5">
        <w:rPr>
          <w:rFonts w:cs="Arial"/>
          <w:szCs w:val="20"/>
          <w:lang w:val="nl-NL"/>
        </w:rPr>
        <w:t>Het derde lid is ontleend aan paragraaf 10 van het OESO-commentaar op artikel 9 van het OESO-modelverdrag. Dit lid bevat een tijdslimiet voor het corrigeren van de belastingheffing zoals d</w:t>
      </w:r>
      <w:r w:rsidRPr="00A805F5" w:rsidR="002F3E9F">
        <w:rPr>
          <w:rFonts w:cs="Arial"/>
          <w:szCs w:val="20"/>
          <w:lang w:val="nl-NL"/>
        </w:rPr>
        <w:t>at</w:t>
      </w:r>
      <w:r w:rsidRPr="00A805F5">
        <w:rPr>
          <w:rFonts w:cs="Arial"/>
          <w:szCs w:val="20"/>
          <w:lang w:val="nl-NL"/>
        </w:rPr>
        <w:t xml:space="preserve"> is toegestaan op grond van artikel 9, eerste lid, van het Verdrag (de </w:t>
      </w:r>
      <w:r w:rsidRPr="00A805F5">
        <w:rPr>
          <w:rFonts w:cs="Arial"/>
          <w:i/>
          <w:szCs w:val="20"/>
          <w:lang w:val="nl-NL"/>
        </w:rPr>
        <w:t>‘</w:t>
      </w:r>
      <w:proofErr w:type="spellStart"/>
      <w:r w:rsidRPr="00A805F5">
        <w:rPr>
          <w:rFonts w:cs="Arial"/>
          <w:i/>
          <w:szCs w:val="20"/>
          <w:lang w:val="nl-NL"/>
        </w:rPr>
        <w:t>primary</w:t>
      </w:r>
      <w:proofErr w:type="spellEnd"/>
      <w:r w:rsidRPr="00A805F5">
        <w:rPr>
          <w:rFonts w:cs="Arial"/>
          <w:i/>
          <w:szCs w:val="20"/>
          <w:lang w:val="nl-NL"/>
        </w:rPr>
        <w:t xml:space="preserve"> </w:t>
      </w:r>
      <w:proofErr w:type="spellStart"/>
      <w:r w:rsidRPr="00A805F5">
        <w:rPr>
          <w:rFonts w:cs="Arial"/>
          <w:i/>
          <w:szCs w:val="20"/>
          <w:lang w:val="nl-NL"/>
        </w:rPr>
        <w:t>adjustment</w:t>
      </w:r>
      <w:proofErr w:type="spellEnd"/>
      <w:r w:rsidRPr="00A805F5">
        <w:rPr>
          <w:rFonts w:cs="Arial"/>
          <w:i/>
          <w:szCs w:val="20"/>
          <w:lang w:val="nl-NL"/>
        </w:rPr>
        <w:t>’</w:t>
      </w:r>
      <w:r w:rsidRPr="00A805F5">
        <w:rPr>
          <w:rFonts w:cs="Arial"/>
          <w:szCs w:val="20"/>
          <w:lang w:val="nl-NL"/>
        </w:rPr>
        <w:t xml:space="preserve">). </w:t>
      </w:r>
      <w:r w:rsidRPr="00A805F5" w:rsidR="002F3E9F">
        <w:rPr>
          <w:rFonts w:cs="Arial"/>
          <w:szCs w:val="20"/>
          <w:lang w:val="nl-NL"/>
        </w:rPr>
        <w:t xml:space="preserve">Deze bepaling is op verzoek van Chili opgenomen vanuit het oogpunt van uitvoerbaarheid </w:t>
      </w:r>
      <w:r w:rsidRPr="00A805F5" w:rsidR="004F6221">
        <w:rPr>
          <w:rFonts w:cs="Arial"/>
          <w:szCs w:val="20"/>
          <w:lang w:val="nl-NL"/>
        </w:rPr>
        <w:t xml:space="preserve">door </w:t>
      </w:r>
      <w:r w:rsidRPr="00A805F5" w:rsidR="002F3E9F">
        <w:rPr>
          <w:rFonts w:cs="Arial"/>
          <w:szCs w:val="20"/>
          <w:lang w:val="nl-NL"/>
        </w:rPr>
        <w:t xml:space="preserve">de belastingdiensten </w:t>
      </w:r>
      <w:r w:rsidRPr="00A805F5" w:rsidR="00101152">
        <w:rPr>
          <w:rFonts w:cs="Arial"/>
          <w:szCs w:val="20"/>
          <w:lang w:val="nl-NL"/>
        </w:rPr>
        <w:t>van de verdragsluitende sta</w:t>
      </w:r>
      <w:r w:rsidRPr="00A805F5" w:rsidR="004F6221">
        <w:rPr>
          <w:rFonts w:cs="Arial"/>
          <w:szCs w:val="20"/>
          <w:lang w:val="nl-NL"/>
        </w:rPr>
        <w:t xml:space="preserve">at die de </w:t>
      </w:r>
      <w:proofErr w:type="spellStart"/>
      <w:r w:rsidRPr="00A805F5" w:rsidR="004F6221">
        <w:rPr>
          <w:rFonts w:cs="Arial"/>
          <w:szCs w:val="20"/>
          <w:lang w:val="nl-NL"/>
        </w:rPr>
        <w:t>corresponding</w:t>
      </w:r>
      <w:proofErr w:type="spellEnd"/>
      <w:r w:rsidRPr="00A805F5" w:rsidR="004F6221">
        <w:rPr>
          <w:rFonts w:cs="Arial"/>
          <w:szCs w:val="20"/>
          <w:lang w:val="nl-NL"/>
        </w:rPr>
        <w:t xml:space="preserve"> </w:t>
      </w:r>
      <w:proofErr w:type="spellStart"/>
      <w:r w:rsidRPr="00A805F5" w:rsidR="004F6221">
        <w:rPr>
          <w:rFonts w:cs="Arial"/>
          <w:szCs w:val="20"/>
          <w:lang w:val="nl-NL"/>
        </w:rPr>
        <w:t>adjustment</w:t>
      </w:r>
      <w:proofErr w:type="spellEnd"/>
      <w:r w:rsidRPr="00A805F5" w:rsidR="004F6221">
        <w:rPr>
          <w:rFonts w:cs="Arial"/>
          <w:szCs w:val="20"/>
          <w:lang w:val="nl-NL"/>
        </w:rPr>
        <w:t xml:space="preserve"> aan moet brengen</w:t>
      </w:r>
      <w:r w:rsidRPr="00A805F5" w:rsidR="00101152">
        <w:rPr>
          <w:rFonts w:cs="Arial"/>
          <w:szCs w:val="20"/>
          <w:lang w:val="nl-NL"/>
        </w:rPr>
        <w:t>.</w:t>
      </w:r>
      <w:r w:rsidRPr="00A805F5" w:rsidR="00101152">
        <w:rPr>
          <w:rStyle w:val="CommentReference"/>
          <w:rFonts w:cs="Arial"/>
          <w:sz w:val="20"/>
          <w:szCs w:val="20"/>
          <w:lang w:val="nl-NL"/>
        </w:rPr>
        <w:t xml:space="preserve"> </w:t>
      </w:r>
      <w:r w:rsidRPr="00A805F5" w:rsidR="00101152">
        <w:rPr>
          <w:rFonts w:cs="Arial"/>
          <w:szCs w:val="20"/>
          <w:lang w:val="nl-NL"/>
        </w:rPr>
        <w:t xml:space="preserve">Een </w:t>
      </w:r>
      <w:r w:rsidRPr="00A805F5" w:rsidR="00940DED">
        <w:rPr>
          <w:rFonts w:cs="Arial"/>
          <w:szCs w:val="20"/>
          <w:lang w:val="nl-NL"/>
        </w:rPr>
        <w:t>vergelijkbare</w:t>
      </w:r>
      <w:r w:rsidRPr="00A805F5" w:rsidR="00A941A4">
        <w:rPr>
          <w:rFonts w:cs="Arial"/>
          <w:szCs w:val="20"/>
          <w:lang w:val="nl-NL"/>
        </w:rPr>
        <w:t xml:space="preserve"> bepaling is Nederland onder </w:t>
      </w:r>
      <w:r w:rsidRPr="00A805F5" w:rsidR="00940DED">
        <w:rPr>
          <w:rFonts w:cs="Arial"/>
          <w:szCs w:val="20"/>
          <w:lang w:val="nl-NL"/>
        </w:rPr>
        <w:t>meer</w:t>
      </w:r>
      <w:r w:rsidRPr="00A805F5" w:rsidR="00A941A4">
        <w:rPr>
          <w:rFonts w:cs="Arial"/>
          <w:szCs w:val="20"/>
          <w:lang w:val="nl-NL"/>
        </w:rPr>
        <w:t xml:space="preserve"> overeengekomen in de belastingverdragen met Argentinië </w:t>
      </w:r>
      <w:r w:rsidRPr="00A805F5" w:rsidR="00154AB7">
        <w:rPr>
          <w:rFonts w:cs="Arial"/>
          <w:szCs w:val="20"/>
          <w:lang w:val="nl-NL"/>
        </w:rPr>
        <w:t>(</w:t>
      </w:r>
      <w:proofErr w:type="spellStart"/>
      <w:r w:rsidRPr="00A805F5" w:rsidR="00154AB7">
        <w:rPr>
          <w:rFonts w:cs="Arial"/>
          <w:i/>
          <w:szCs w:val="20"/>
          <w:lang w:val="nl-NL"/>
        </w:rPr>
        <w:t>Trb</w:t>
      </w:r>
      <w:proofErr w:type="spellEnd"/>
      <w:r w:rsidRPr="00A805F5" w:rsidR="00154AB7">
        <w:rPr>
          <w:rFonts w:cs="Arial"/>
          <w:szCs w:val="20"/>
          <w:lang w:val="nl-NL"/>
        </w:rPr>
        <w:t>. 1997, 63), Canada (</w:t>
      </w:r>
      <w:proofErr w:type="spellStart"/>
      <w:r w:rsidRPr="00A805F5" w:rsidR="00154AB7">
        <w:rPr>
          <w:rFonts w:cs="Arial"/>
          <w:i/>
          <w:szCs w:val="20"/>
          <w:lang w:val="nl-NL"/>
        </w:rPr>
        <w:t>Trb</w:t>
      </w:r>
      <w:proofErr w:type="spellEnd"/>
      <w:r w:rsidRPr="00A805F5" w:rsidR="00154AB7">
        <w:rPr>
          <w:rFonts w:cs="Arial"/>
          <w:szCs w:val="20"/>
          <w:lang w:val="nl-NL"/>
        </w:rPr>
        <w:t>. 1986, 65) en Japan (</w:t>
      </w:r>
      <w:proofErr w:type="spellStart"/>
      <w:r w:rsidRPr="00A805F5" w:rsidR="00154AB7">
        <w:rPr>
          <w:rFonts w:cs="Arial"/>
          <w:i/>
          <w:szCs w:val="20"/>
          <w:lang w:val="nl-NL"/>
        </w:rPr>
        <w:t>Trb</w:t>
      </w:r>
      <w:proofErr w:type="spellEnd"/>
      <w:r w:rsidRPr="00A805F5" w:rsidR="00154AB7">
        <w:rPr>
          <w:rFonts w:cs="Arial"/>
          <w:szCs w:val="20"/>
          <w:lang w:val="nl-NL"/>
        </w:rPr>
        <w:t>. 2011, 84)</w:t>
      </w:r>
      <w:r w:rsidRPr="00154AB7" w:rsidDel="00154AB7" w:rsidR="00154AB7">
        <w:rPr>
          <w:rFonts w:cs="Arial"/>
          <w:szCs w:val="20"/>
          <w:lang w:val="nl-NL"/>
        </w:rPr>
        <w:t xml:space="preserve"> </w:t>
      </w:r>
      <w:r w:rsidRPr="00A805F5" w:rsidR="00101152">
        <w:rPr>
          <w:rFonts w:cs="Arial"/>
          <w:szCs w:val="20"/>
          <w:lang w:val="nl-NL"/>
        </w:rPr>
        <w:t xml:space="preserve">. </w:t>
      </w:r>
    </w:p>
    <w:p w:rsidRPr="00A805F5" w:rsidR="0010137F" w:rsidP="00F279A3" w:rsidRDefault="00F279A3" w14:paraId="4C7C3E6C" w14:textId="7DB50D29">
      <w:pPr>
        <w:pStyle w:val="Heading2"/>
        <w:rPr>
          <w:rFonts w:cs="Arial"/>
          <w:b w:val="0"/>
          <w:bCs w:val="0"/>
          <w:i/>
          <w:smallCaps w:val="0"/>
          <w:szCs w:val="20"/>
          <w:lang w:val="nl-NL"/>
        </w:rPr>
      </w:pPr>
      <w:r w:rsidRPr="00A805F5">
        <w:rPr>
          <w:rFonts w:cs="Arial"/>
          <w:b w:val="0"/>
          <w:bCs w:val="0"/>
          <w:i/>
          <w:smallCaps w:val="0"/>
          <w:szCs w:val="20"/>
          <w:lang w:val="nl-NL"/>
        </w:rPr>
        <w:t xml:space="preserve">II.10 Dividenden </w:t>
      </w:r>
      <w:r w:rsidRPr="00A805F5" w:rsidR="00C43F56">
        <w:rPr>
          <w:rFonts w:cs="Arial"/>
          <w:b w:val="0"/>
          <w:bCs w:val="0"/>
          <w:i/>
          <w:smallCaps w:val="0"/>
          <w:szCs w:val="20"/>
          <w:lang w:val="nl-NL"/>
        </w:rPr>
        <w:t>(</w:t>
      </w:r>
      <w:r w:rsidRPr="00A805F5" w:rsidR="0010137F">
        <w:rPr>
          <w:rFonts w:cs="Arial"/>
          <w:b w:val="0"/>
          <w:bCs w:val="0"/>
          <w:i/>
          <w:smallCaps w:val="0"/>
          <w:szCs w:val="20"/>
          <w:lang w:val="nl-NL"/>
        </w:rPr>
        <w:t xml:space="preserve">Artikel 10 </w:t>
      </w:r>
      <w:r w:rsidRPr="00A805F5" w:rsidR="00E775D0">
        <w:rPr>
          <w:rFonts w:cs="Arial"/>
          <w:b w:val="0"/>
          <w:bCs w:val="0"/>
          <w:i/>
          <w:smallCaps w:val="0"/>
          <w:szCs w:val="20"/>
          <w:lang w:val="nl-NL"/>
        </w:rPr>
        <w:t>van het Verdrag en de artikelen III, IV en VI van het Protoco</w:t>
      </w:r>
      <w:r w:rsidRPr="00A805F5">
        <w:rPr>
          <w:rFonts w:cs="Arial"/>
          <w:b w:val="0"/>
          <w:bCs w:val="0"/>
          <w:i/>
          <w:smallCaps w:val="0"/>
          <w:szCs w:val="20"/>
          <w:lang w:val="nl-NL"/>
        </w:rPr>
        <w:t>l</w:t>
      </w:r>
      <w:r w:rsidRPr="00A805F5" w:rsidR="00E775D0">
        <w:rPr>
          <w:rFonts w:cs="Arial"/>
          <w:b w:val="0"/>
          <w:bCs w:val="0"/>
          <w:i/>
          <w:smallCaps w:val="0"/>
          <w:szCs w:val="20"/>
          <w:lang w:val="nl-NL"/>
        </w:rPr>
        <w:t>)</w:t>
      </w:r>
    </w:p>
    <w:p w:rsidRPr="00A805F5" w:rsidR="00B7639E" w:rsidP="00B7639E" w:rsidRDefault="00A70481" w14:paraId="55739DC2" w14:textId="2C9F29D3">
      <w:pPr>
        <w:ind w:firstLine="0"/>
        <w:rPr>
          <w:rFonts w:cs="Arial"/>
          <w:b/>
          <w:szCs w:val="20"/>
          <w:lang w:val="nl-NL"/>
        </w:rPr>
      </w:pPr>
      <w:r w:rsidRPr="00494232">
        <w:rPr>
          <w:rFonts w:cs="Arial"/>
          <w:szCs w:val="20"/>
          <w:lang w:val="nl-NL"/>
        </w:rPr>
        <w:tab/>
      </w:r>
      <w:r w:rsidRPr="00A805F5" w:rsidR="00B7639E">
        <w:rPr>
          <w:rFonts w:cs="Arial"/>
          <w:szCs w:val="20"/>
          <w:lang w:val="nl-NL"/>
        </w:rPr>
        <w:t xml:space="preserve">Artikel 10 </w:t>
      </w:r>
      <w:r w:rsidRPr="00A805F5" w:rsidR="000C423D">
        <w:rPr>
          <w:rFonts w:cs="Arial"/>
          <w:szCs w:val="20"/>
          <w:lang w:val="nl-NL"/>
        </w:rPr>
        <w:t xml:space="preserve">gaat over </w:t>
      </w:r>
      <w:r w:rsidRPr="00A805F5" w:rsidR="00B7639E">
        <w:rPr>
          <w:rFonts w:cs="Arial"/>
          <w:szCs w:val="20"/>
          <w:lang w:val="nl-NL"/>
        </w:rPr>
        <w:t xml:space="preserve">de verdeling van heffingsrechten over dividenden. Deze bepaling is gebaseerd op artikel 10 van het OESO-modelverdrag, maar wijkt op onderdelen daarvan inhoudelijk af (dit betreft het derde, vierde en negende lid). </w:t>
      </w:r>
      <w:r w:rsidRPr="00A805F5" w:rsidR="00E54078">
        <w:rPr>
          <w:rFonts w:cs="Arial"/>
          <w:szCs w:val="20"/>
          <w:lang w:val="nl-NL"/>
        </w:rPr>
        <w:t>H</w:t>
      </w:r>
      <w:r w:rsidRPr="00A805F5" w:rsidR="00ED2CD9">
        <w:rPr>
          <w:rFonts w:cs="Arial"/>
          <w:szCs w:val="20"/>
          <w:lang w:val="nl-NL"/>
        </w:rPr>
        <w:t xml:space="preserve">et vierde lid </w:t>
      </w:r>
      <w:r w:rsidRPr="00A805F5" w:rsidR="00E54078">
        <w:rPr>
          <w:rFonts w:cs="Arial"/>
          <w:szCs w:val="20"/>
          <w:lang w:val="nl-NL"/>
        </w:rPr>
        <w:t xml:space="preserve">bewerkstelligt dat Chili het </w:t>
      </w:r>
      <w:r w:rsidRPr="00A805F5" w:rsidR="00C24CEB">
        <w:rPr>
          <w:rFonts w:cs="Arial"/>
          <w:szCs w:val="20"/>
          <w:lang w:val="nl-NL"/>
        </w:rPr>
        <w:t xml:space="preserve">– in het algemeen deel toegelichte – </w:t>
      </w:r>
      <w:r w:rsidRPr="00A805F5" w:rsidR="00ED2CD9">
        <w:rPr>
          <w:rFonts w:cs="Arial"/>
          <w:szCs w:val="20"/>
          <w:lang w:val="nl-NL"/>
        </w:rPr>
        <w:t xml:space="preserve">Chileense </w:t>
      </w:r>
      <w:r w:rsidRPr="00A805F5" w:rsidR="00F5181B">
        <w:rPr>
          <w:rFonts w:cs="Arial"/>
          <w:szCs w:val="20"/>
          <w:lang w:val="nl-NL"/>
        </w:rPr>
        <w:t xml:space="preserve">fiscale </w:t>
      </w:r>
      <w:r w:rsidRPr="00A805F5" w:rsidR="00ED2CD9">
        <w:rPr>
          <w:rFonts w:cs="Arial"/>
          <w:szCs w:val="20"/>
          <w:lang w:val="nl-NL"/>
        </w:rPr>
        <w:t>imputatiesysteem</w:t>
      </w:r>
      <w:r w:rsidRPr="00A805F5" w:rsidR="00E54078">
        <w:rPr>
          <w:rFonts w:cs="Arial"/>
          <w:szCs w:val="20"/>
          <w:lang w:val="nl-NL"/>
        </w:rPr>
        <w:t xml:space="preserve"> op uitgekeerde dividenden kan toepassen (waarbij een aanvullende belasting wordt geheven waar de belasting van de eerste </w:t>
      </w:r>
      <w:r w:rsidRPr="00A805F5" w:rsidR="00E54078">
        <w:rPr>
          <w:rFonts w:cs="Arial"/>
          <w:szCs w:val="20"/>
          <w:lang w:val="nl-NL"/>
        </w:rPr>
        <w:lastRenderedPageBreak/>
        <w:t xml:space="preserve">categorie mee verrekend mag worden). Hierdoor </w:t>
      </w:r>
      <w:r w:rsidRPr="00A805F5" w:rsidR="00ED2CD9">
        <w:rPr>
          <w:rFonts w:cs="Arial"/>
          <w:szCs w:val="20"/>
          <w:lang w:val="nl-NL"/>
        </w:rPr>
        <w:t>heeft de op grond van dit artikel toegestane bronstaatheffing vooral betekenis voor dividenden betaald vanuit een lichaam dat inwoner is van Nederland</w:t>
      </w:r>
      <w:r w:rsidRPr="00A805F5" w:rsidR="00E54078">
        <w:rPr>
          <w:rFonts w:cs="Arial"/>
          <w:szCs w:val="20"/>
          <w:lang w:val="nl-NL"/>
        </w:rPr>
        <w:t xml:space="preserve"> aan een aandeelhouder die inwoner is van Chili</w:t>
      </w:r>
      <w:r w:rsidRPr="00A805F5" w:rsidR="00ED2CD9">
        <w:rPr>
          <w:rFonts w:cs="Arial"/>
          <w:szCs w:val="20"/>
          <w:lang w:val="nl-NL"/>
        </w:rPr>
        <w:t xml:space="preserve">. </w:t>
      </w:r>
      <w:r w:rsidRPr="00A805F5" w:rsidR="00F50F94">
        <w:rPr>
          <w:rFonts w:cs="Arial"/>
          <w:szCs w:val="20"/>
          <w:lang w:val="nl-NL"/>
        </w:rPr>
        <w:t xml:space="preserve">Het Verdrag heeft </w:t>
      </w:r>
      <w:r w:rsidRPr="00A805F5" w:rsidR="001F4013">
        <w:rPr>
          <w:rFonts w:cs="Arial"/>
          <w:szCs w:val="20"/>
          <w:lang w:val="nl-NL"/>
        </w:rPr>
        <w:t xml:space="preserve">echter </w:t>
      </w:r>
      <w:r w:rsidRPr="00A805F5" w:rsidR="001C6955">
        <w:rPr>
          <w:rFonts w:cs="Arial"/>
          <w:szCs w:val="20"/>
          <w:lang w:val="nl-NL"/>
        </w:rPr>
        <w:t xml:space="preserve">ook </w:t>
      </w:r>
      <w:r w:rsidRPr="00A805F5" w:rsidR="00F50F94">
        <w:rPr>
          <w:rFonts w:cs="Arial"/>
          <w:szCs w:val="20"/>
          <w:lang w:val="nl-NL"/>
        </w:rPr>
        <w:t xml:space="preserve">betekenis voor </w:t>
      </w:r>
      <w:r w:rsidRPr="00A805F5" w:rsidR="001F4013">
        <w:rPr>
          <w:rFonts w:cs="Arial"/>
          <w:szCs w:val="20"/>
          <w:lang w:val="nl-NL"/>
        </w:rPr>
        <w:t>de omgekeerde situatie</w:t>
      </w:r>
      <w:r w:rsidRPr="00A805F5" w:rsidR="00F50F94">
        <w:rPr>
          <w:rFonts w:cs="Arial"/>
          <w:szCs w:val="20"/>
          <w:lang w:val="nl-NL"/>
        </w:rPr>
        <w:t>.</w:t>
      </w:r>
      <w:r w:rsidRPr="00A805F5" w:rsidR="001F4013">
        <w:rPr>
          <w:rFonts w:cs="Arial"/>
          <w:szCs w:val="20"/>
          <w:lang w:val="nl-NL"/>
        </w:rPr>
        <w:t xml:space="preserve"> </w:t>
      </w:r>
      <w:r w:rsidRPr="00A805F5" w:rsidR="00746AB9">
        <w:rPr>
          <w:rFonts w:cs="Arial"/>
          <w:szCs w:val="20"/>
          <w:lang w:val="nl-NL"/>
        </w:rPr>
        <w:t>I</w:t>
      </w:r>
      <w:r w:rsidRPr="00A805F5" w:rsidR="001F4013">
        <w:rPr>
          <w:rFonts w:cs="Arial"/>
          <w:szCs w:val="20"/>
          <w:lang w:val="nl-NL"/>
        </w:rPr>
        <w:t xml:space="preserve">nwoners van </w:t>
      </w:r>
      <w:r w:rsidRPr="00A805F5" w:rsidR="00746AB9">
        <w:rPr>
          <w:rFonts w:cs="Arial"/>
          <w:szCs w:val="20"/>
          <w:lang w:val="nl-NL"/>
        </w:rPr>
        <w:t xml:space="preserve">Nederland </w:t>
      </w:r>
      <w:r w:rsidRPr="00A805F5" w:rsidR="006332C2">
        <w:rPr>
          <w:rFonts w:cs="Arial"/>
          <w:szCs w:val="20"/>
          <w:lang w:val="nl-NL"/>
        </w:rPr>
        <w:t>kunnen</w:t>
      </w:r>
      <w:r w:rsidRPr="00A805F5" w:rsidR="00746AB9">
        <w:rPr>
          <w:rFonts w:cs="Arial"/>
          <w:szCs w:val="20"/>
          <w:lang w:val="nl-NL"/>
        </w:rPr>
        <w:t xml:space="preserve"> op grond van Chileens nationaal recht (geldend op het moment van ondertekening van dit Verdrag) na</w:t>
      </w:r>
      <w:r w:rsidRPr="00A805F5" w:rsidR="001F4013">
        <w:rPr>
          <w:rFonts w:cs="Arial"/>
          <w:szCs w:val="20"/>
          <w:lang w:val="nl-NL"/>
        </w:rPr>
        <w:t xml:space="preserve"> inwerking</w:t>
      </w:r>
      <w:r w:rsidRPr="00A805F5" w:rsidR="00746AB9">
        <w:rPr>
          <w:rFonts w:cs="Arial"/>
          <w:szCs w:val="20"/>
          <w:lang w:val="nl-NL"/>
        </w:rPr>
        <w:t xml:space="preserve">treding van dit Verdrag </w:t>
      </w:r>
      <w:r w:rsidRPr="00A805F5" w:rsidR="008C4A48">
        <w:rPr>
          <w:rFonts w:cs="Arial"/>
          <w:szCs w:val="20"/>
          <w:lang w:val="nl-NL"/>
        </w:rPr>
        <w:t>de onderliggende belasting over de winst, de belasting van de eerste categorie (</w:t>
      </w:r>
      <w:proofErr w:type="spellStart"/>
      <w:r w:rsidRPr="00A805F5" w:rsidR="008C4A48">
        <w:rPr>
          <w:rFonts w:cs="Arial"/>
          <w:i/>
          <w:szCs w:val="20"/>
          <w:lang w:val="nl-NL"/>
        </w:rPr>
        <w:t>impuesto</w:t>
      </w:r>
      <w:proofErr w:type="spellEnd"/>
      <w:r w:rsidRPr="00A805F5" w:rsidR="008C4A48">
        <w:rPr>
          <w:rFonts w:cs="Arial"/>
          <w:i/>
          <w:szCs w:val="20"/>
          <w:lang w:val="nl-NL"/>
        </w:rPr>
        <w:t xml:space="preserve"> de </w:t>
      </w:r>
      <w:proofErr w:type="spellStart"/>
      <w:r w:rsidRPr="00A805F5" w:rsidR="008C4A48">
        <w:rPr>
          <w:rFonts w:cs="Arial"/>
          <w:i/>
          <w:szCs w:val="20"/>
          <w:lang w:val="nl-NL"/>
        </w:rPr>
        <w:t>primera</w:t>
      </w:r>
      <w:proofErr w:type="spellEnd"/>
      <w:r w:rsidRPr="00A805F5" w:rsidR="008C4A48">
        <w:rPr>
          <w:rFonts w:cs="Arial"/>
          <w:i/>
          <w:szCs w:val="20"/>
          <w:lang w:val="nl-NL"/>
        </w:rPr>
        <w:t xml:space="preserve"> </w:t>
      </w:r>
      <w:proofErr w:type="spellStart"/>
      <w:r w:rsidRPr="00A805F5" w:rsidR="008C4A48">
        <w:rPr>
          <w:rFonts w:cs="Arial"/>
          <w:i/>
          <w:szCs w:val="20"/>
          <w:lang w:val="nl-NL"/>
        </w:rPr>
        <w:t>categoría</w:t>
      </w:r>
      <w:proofErr w:type="spellEnd"/>
      <w:r w:rsidRPr="00A805F5" w:rsidR="008C4A48">
        <w:rPr>
          <w:rFonts w:cs="Arial"/>
          <w:i/>
          <w:szCs w:val="20"/>
          <w:lang w:val="nl-NL"/>
        </w:rPr>
        <w:t>)</w:t>
      </w:r>
      <w:r w:rsidRPr="00A805F5" w:rsidR="008C4A48">
        <w:rPr>
          <w:rFonts w:cs="Arial"/>
          <w:szCs w:val="20"/>
          <w:lang w:val="nl-NL"/>
        </w:rPr>
        <w:t>, volledig verrekenen met</w:t>
      </w:r>
      <w:r w:rsidRPr="00A805F5" w:rsidR="00746AB9">
        <w:rPr>
          <w:rFonts w:cs="Arial"/>
          <w:szCs w:val="20"/>
          <w:lang w:val="nl-NL"/>
        </w:rPr>
        <w:t xml:space="preserve"> de aanvullende belasting </w:t>
      </w:r>
      <w:r w:rsidRPr="00A805F5" w:rsidR="006332C2">
        <w:rPr>
          <w:rFonts w:cs="Arial"/>
          <w:i/>
          <w:szCs w:val="20"/>
          <w:lang w:val="nl-NL"/>
        </w:rPr>
        <w:t>(</w:t>
      </w:r>
      <w:proofErr w:type="spellStart"/>
      <w:r w:rsidRPr="00A805F5" w:rsidR="006332C2">
        <w:rPr>
          <w:rFonts w:cs="Arial"/>
          <w:i/>
          <w:szCs w:val="20"/>
          <w:lang w:val="nl-NL"/>
        </w:rPr>
        <w:t>impuesto</w:t>
      </w:r>
      <w:proofErr w:type="spellEnd"/>
      <w:r w:rsidRPr="00A805F5" w:rsidR="006332C2">
        <w:rPr>
          <w:rFonts w:cs="Arial"/>
          <w:i/>
          <w:szCs w:val="20"/>
          <w:lang w:val="nl-NL"/>
        </w:rPr>
        <w:t xml:space="preserve"> </w:t>
      </w:r>
      <w:proofErr w:type="spellStart"/>
      <w:r w:rsidRPr="00A805F5" w:rsidR="006332C2">
        <w:rPr>
          <w:rFonts w:cs="Arial"/>
          <w:i/>
          <w:szCs w:val="20"/>
          <w:lang w:val="nl-NL"/>
        </w:rPr>
        <w:t>adicional</w:t>
      </w:r>
      <w:proofErr w:type="spellEnd"/>
      <w:r w:rsidRPr="00A805F5" w:rsidR="006332C2">
        <w:rPr>
          <w:rFonts w:cs="Arial"/>
          <w:i/>
          <w:szCs w:val="20"/>
          <w:lang w:val="nl-NL"/>
        </w:rPr>
        <w:t>)</w:t>
      </w:r>
      <w:r w:rsidRPr="00A805F5" w:rsidR="006332C2">
        <w:rPr>
          <w:rFonts w:cs="Arial"/>
          <w:szCs w:val="20"/>
          <w:lang w:val="nl-NL"/>
        </w:rPr>
        <w:t xml:space="preserve"> </w:t>
      </w:r>
      <w:r w:rsidRPr="00A805F5" w:rsidR="00746AB9">
        <w:rPr>
          <w:rFonts w:cs="Arial"/>
          <w:szCs w:val="20"/>
          <w:lang w:val="nl-NL"/>
        </w:rPr>
        <w:t xml:space="preserve">over de </w:t>
      </w:r>
      <w:r w:rsidRPr="00A805F5" w:rsidR="006332C2">
        <w:rPr>
          <w:rFonts w:cs="Arial"/>
          <w:szCs w:val="20"/>
          <w:lang w:val="nl-NL"/>
        </w:rPr>
        <w:t xml:space="preserve">vanuit Chili uitgekeerde </w:t>
      </w:r>
      <w:r w:rsidRPr="00A805F5" w:rsidR="00746AB9">
        <w:rPr>
          <w:rFonts w:cs="Arial"/>
          <w:szCs w:val="20"/>
          <w:lang w:val="nl-NL"/>
        </w:rPr>
        <w:t>dividenden</w:t>
      </w:r>
      <w:r w:rsidRPr="00A805F5" w:rsidR="00746AB9">
        <w:rPr>
          <w:rFonts w:cs="Arial"/>
          <w:i/>
          <w:szCs w:val="20"/>
          <w:lang w:val="nl-NL"/>
        </w:rPr>
        <w:t>.</w:t>
      </w:r>
      <w:r w:rsidRPr="00A805F5" w:rsidR="00746AB9">
        <w:rPr>
          <w:rFonts w:cs="Arial"/>
          <w:szCs w:val="20"/>
          <w:lang w:val="nl-NL"/>
        </w:rPr>
        <w:t xml:space="preserve"> </w:t>
      </w:r>
      <w:r w:rsidRPr="00A805F5" w:rsidR="006332C2">
        <w:rPr>
          <w:rFonts w:cs="Arial"/>
          <w:szCs w:val="20"/>
          <w:lang w:val="nl-NL"/>
        </w:rPr>
        <w:t>Bij de hierna opgenomen toelichting op artikel 10, vierde lid, van het Verdrag en artikel III van het Protocol wordt hier nader op ingegaan.</w:t>
      </w:r>
    </w:p>
    <w:p w:rsidRPr="00A805F5" w:rsidR="00B7639E" w:rsidP="00B7639E" w:rsidRDefault="00B7639E" w14:paraId="4F78043A" w14:textId="74356505">
      <w:pPr>
        <w:ind w:firstLine="720"/>
        <w:rPr>
          <w:rFonts w:cs="Arial"/>
          <w:szCs w:val="20"/>
          <w:lang w:val="nl-NL"/>
        </w:rPr>
      </w:pPr>
      <w:r w:rsidRPr="00A805F5">
        <w:rPr>
          <w:rFonts w:cs="Arial"/>
          <w:szCs w:val="20"/>
          <w:lang w:val="nl-NL"/>
        </w:rPr>
        <w:t>Ingevolge het eerste lid mogen dividenden die worden betaald door een lichaam dat inwoner is van één van beide verdragsluitende staten aan een inwoner van de andere staat, in die andere staat worden belast</w:t>
      </w:r>
      <w:r w:rsidRPr="00A805F5" w:rsidR="00191DB4">
        <w:rPr>
          <w:rFonts w:cs="Arial"/>
          <w:szCs w:val="20"/>
          <w:lang w:val="nl-NL"/>
        </w:rPr>
        <w:t xml:space="preserve"> (de ‘woonstaat’</w:t>
      </w:r>
      <w:r w:rsidRPr="00A805F5" w:rsidR="00E3120B">
        <w:rPr>
          <w:rFonts w:cs="Arial"/>
          <w:szCs w:val="20"/>
          <w:lang w:val="nl-NL"/>
        </w:rPr>
        <w:t>)</w:t>
      </w:r>
      <w:r w:rsidRPr="00A805F5">
        <w:rPr>
          <w:rFonts w:cs="Arial"/>
          <w:szCs w:val="20"/>
          <w:lang w:val="nl-NL"/>
        </w:rPr>
        <w:t xml:space="preserve">. </w:t>
      </w:r>
    </w:p>
    <w:p w:rsidRPr="00A805F5" w:rsidR="00B7639E" w:rsidP="00B7639E" w:rsidRDefault="00B7639E" w14:paraId="4A46FC5D" w14:textId="7261A913">
      <w:pPr>
        <w:ind w:firstLine="720"/>
        <w:rPr>
          <w:rFonts w:cs="Arial"/>
          <w:szCs w:val="20"/>
          <w:lang w:val="nl-NL"/>
        </w:rPr>
      </w:pPr>
      <w:r w:rsidRPr="00A805F5">
        <w:rPr>
          <w:rFonts w:cs="Arial"/>
          <w:szCs w:val="20"/>
          <w:lang w:val="nl-NL"/>
        </w:rPr>
        <w:t xml:space="preserve">Het tweede lid wijst echter ook een heffingsrecht </w:t>
      </w:r>
      <w:r w:rsidRPr="00A805F5" w:rsidR="00E3120B">
        <w:rPr>
          <w:rFonts w:cs="Arial"/>
          <w:szCs w:val="20"/>
          <w:lang w:val="nl-NL"/>
        </w:rPr>
        <w:t xml:space="preserve">toe aan de vestigingsstaat </w:t>
      </w:r>
      <w:r w:rsidRPr="00A805F5">
        <w:rPr>
          <w:rFonts w:cs="Arial"/>
          <w:szCs w:val="20"/>
          <w:lang w:val="nl-NL"/>
        </w:rPr>
        <w:t>van het dividenduitkerende lichaam</w:t>
      </w:r>
      <w:r w:rsidRPr="00A805F5" w:rsidR="00191DB4">
        <w:rPr>
          <w:rFonts w:cs="Arial"/>
          <w:szCs w:val="20"/>
          <w:lang w:val="nl-NL"/>
        </w:rPr>
        <w:t xml:space="preserve"> (de ‘bronstaat’</w:t>
      </w:r>
      <w:r w:rsidRPr="00A805F5" w:rsidR="00E3120B">
        <w:rPr>
          <w:rFonts w:cs="Arial"/>
          <w:szCs w:val="20"/>
          <w:lang w:val="nl-NL"/>
        </w:rPr>
        <w:t>)</w:t>
      </w:r>
      <w:r w:rsidRPr="00A805F5">
        <w:rPr>
          <w:rFonts w:cs="Arial"/>
          <w:szCs w:val="20"/>
          <w:lang w:val="nl-NL"/>
        </w:rPr>
        <w:t xml:space="preserve">. </w:t>
      </w:r>
      <w:r w:rsidRPr="00A805F5" w:rsidR="00E3120B">
        <w:rPr>
          <w:rFonts w:cs="Arial"/>
          <w:szCs w:val="20"/>
          <w:lang w:val="nl-NL"/>
        </w:rPr>
        <w:t xml:space="preserve">In overeenstemming met het OESO-modelverdrag is dit heffingsrecht </w:t>
      </w:r>
      <w:r w:rsidRPr="00A805F5" w:rsidR="00B77285">
        <w:rPr>
          <w:rFonts w:cs="Arial"/>
          <w:szCs w:val="20"/>
          <w:lang w:val="nl-NL"/>
        </w:rPr>
        <w:t xml:space="preserve">voor deelnemingsdividenden (onderdeel a) </w:t>
      </w:r>
      <w:r w:rsidRPr="00A805F5" w:rsidR="00E3120B">
        <w:rPr>
          <w:rFonts w:cs="Arial"/>
          <w:szCs w:val="20"/>
          <w:lang w:val="nl-NL"/>
        </w:rPr>
        <w:t>beperkt tot 5</w:t>
      </w:r>
      <w:r w:rsidR="000A0A88">
        <w:rPr>
          <w:rFonts w:cs="Arial"/>
          <w:szCs w:val="20"/>
          <w:lang w:val="nl-NL"/>
        </w:rPr>
        <w:t>%</w:t>
      </w:r>
      <w:r w:rsidRPr="00A805F5" w:rsidR="00E3120B">
        <w:rPr>
          <w:rFonts w:cs="Arial"/>
          <w:szCs w:val="20"/>
          <w:lang w:val="nl-NL"/>
        </w:rPr>
        <w:t xml:space="preserve"> van het brutodividend indien de uiteindelijk gerechtigde een in de andere staat gevestigd lichaam is dat</w:t>
      </w:r>
      <w:r w:rsidRPr="00A805F5" w:rsidR="00B77285">
        <w:rPr>
          <w:rFonts w:cs="Arial"/>
          <w:szCs w:val="20"/>
          <w:lang w:val="nl-NL"/>
        </w:rPr>
        <w:t xml:space="preserve"> direct minimaal 25</w:t>
      </w:r>
      <w:r w:rsidR="0096704D">
        <w:rPr>
          <w:rFonts w:cs="Arial"/>
          <w:szCs w:val="20"/>
          <w:lang w:val="nl-NL"/>
        </w:rPr>
        <w:t>%</w:t>
      </w:r>
      <w:r w:rsidRPr="00A805F5" w:rsidR="00E3120B">
        <w:rPr>
          <w:rFonts w:cs="Arial"/>
          <w:szCs w:val="20"/>
          <w:lang w:val="nl-NL"/>
        </w:rPr>
        <w:t xml:space="preserve">van het kapitaal van het dividenduitkerende lichaam bezit. Verder is </w:t>
      </w:r>
      <w:r w:rsidRPr="00A805F5" w:rsidR="00191DB4">
        <w:rPr>
          <w:rFonts w:cs="Arial"/>
          <w:szCs w:val="20"/>
          <w:lang w:val="nl-NL"/>
        </w:rPr>
        <w:t xml:space="preserve">– in lijn met het rapport bij BEPS-actie 6 (verdragsmisbruik) – </w:t>
      </w:r>
      <w:r w:rsidRPr="00A805F5" w:rsidR="00E3120B">
        <w:rPr>
          <w:rFonts w:cs="Arial"/>
          <w:szCs w:val="20"/>
          <w:lang w:val="nl-NL"/>
        </w:rPr>
        <w:t xml:space="preserve">als voorwaarde opgenomen dat ten minste 365 dagen aan het vereiste bezitspercentage </w:t>
      </w:r>
      <w:r w:rsidRPr="00A805F5" w:rsidR="00BD57F8">
        <w:rPr>
          <w:rFonts w:cs="Arial"/>
          <w:szCs w:val="20"/>
          <w:lang w:val="nl-NL"/>
        </w:rPr>
        <w:t xml:space="preserve">moet worden </w:t>
      </w:r>
      <w:r w:rsidRPr="00A805F5" w:rsidR="00E3120B">
        <w:rPr>
          <w:rFonts w:cs="Arial"/>
          <w:szCs w:val="20"/>
          <w:lang w:val="nl-NL"/>
        </w:rPr>
        <w:t>voldaan</w:t>
      </w:r>
      <w:r w:rsidRPr="00A805F5" w:rsidR="00DD1830">
        <w:rPr>
          <w:rFonts w:cs="Arial"/>
          <w:szCs w:val="20"/>
          <w:lang w:val="nl-NL"/>
        </w:rPr>
        <w:t xml:space="preserve"> (waarbij geen rekening wordt gehouden met vennootschappelijke reorganisaties)</w:t>
      </w:r>
      <w:r w:rsidRPr="00A805F5" w:rsidR="00E3120B">
        <w:rPr>
          <w:rFonts w:cs="Arial"/>
          <w:szCs w:val="20"/>
          <w:lang w:val="nl-NL"/>
        </w:rPr>
        <w:t xml:space="preserve">. </w:t>
      </w:r>
      <w:r w:rsidRPr="00A805F5">
        <w:rPr>
          <w:rFonts w:cs="Arial"/>
          <w:szCs w:val="20"/>
          <w:lang w:val="nl-NL"/>
        </w:rPr>
        <w:t xml:space="preserve">Het heffingsrecht voor de bronstaat is </w:t>
      </w:r>
      <w:r w:rsidRPr="00A805F5" w:rsidR="00DD1830">
        <w:rPr>
          <w:rFonts w:cs="Arial"/>
          <w:szCs w:val="20"/>
          <w:lang w:val="nl-NL"/>
        </w:rPr>
        <w:t>voor overige (portfolio)dividenden</w:t>
      </w:r>
      <w:r w:rsidRPr="00A805F5" w:rsidR="00140B9E">
        <w:rPr>
          <w:rFonts w:cs="Arial"/>
          <w:szCs w:val="20"/>
          <w:lang w:val="nl-NL"/>
        </w:rPr>
        <w:t xml:space="preserve"> (onderdeel b)</w:t>
      </w:r>
      <w:r w:rsidRPr="00A805F5" w:rsidR="00DD1830">
        <w:rPr>
          <w:rFonts w:cs="Arial"/>
          <w:szCs w:val="20"/>
          <w:lang w:val="nl-NL"/>
        </w:rPr>
        <w:t xml:space="preserve"> </w:t>
      </w:r>
      <w:r w:rsidRPr="00A805F5">
        <w:rPr>
          <w:rFonts w:cs="Arial"/>
          <w:szCs w:val="20"/>
          <w:lang w:val="nl-NL"/>
        </w:rPr>
        <w:t>beperkt tot 15</w:t>
      </w:r>
      <w:r w:rsidR="000A0A88">
        <w:rPr>
          <w:rFonts w:cs="Arial"/>
          <w:szCs w:val="20"/>
          <w:lang w:val="nl-NL"/>
        </w:rPr>
        <w:t>%</w:t>
      </w:r>
      <w:r w:rsidRPr="00A805F5">
        <w:rPr>
          <w:rFonts w:cs="Arial"/>
          <w:szCs w:val="20"/>
          <w:lang w:val="nl-NL"/>
        </w:rPr>
        <w:t xml:space="preserve"> van het brutodividend indien de uiteindelijk gerechtigde tot het dividend inwoner is van de andere verdragsluitende staat. </w:t>
      </w:r>
    </w:p>
    <w:p w:rsidRPr="00A805F5" w:rsidR="00B7639E" w:rsidP="00B7639E" w:rsidRDefault="00B7639E" w14:paraId="204C46B7" w14:textId="77777777">
      <w:pPr>
        <w:rPr>
          <w:rFonts w:cs="Arial"/>
          <w:szCs w:val="20"/>
          <w:lang w:val="nl-NL"/>
        </w:rPr>
      </w:pPr>
      <w:r w:rsidRPr="00A805F5">
        <w:rPr>
          <w:rFonts w:cs="Arial"/>
          <w:szCs w:val="20"/>
          <w:lang w:val="nl-NL"/>
        </w:rPr>
        <w:t xml:space="preserve">Op verzoek van Nederland geldt in afwijking van het OESO-modelverdrag ingevolge het derde lid een uitsluitende woonstaatheffing voor dividenden betaald aan </w:t>
      </w:r>
      <w:r w:rsidRPr="00A805F5" w:rsidR="00140B9E">
        <w:rPr>
          <w:rFonts w:cs="Arial"/>
          <w:szCs w:val="20"/>
          <w:lang w:val="nl-NL"/>
        </w:rPr>
        <w:t>een erkend pensioenfonds</w:t>
      </w:r>
      <w:r w:rsidRPr="00A805F5" w:rsidR="0085477F">
        <w:rPr>
          <w:rFonts w:cs="Arial"/>
          <w:szCs w:val="20"/>
          <w:lang w:val="nl-NL"/>
        </w:rPr>
        <w:t xml:space="preserve">. Aangezien een dergelijk pensioenfonds in het algemeen is vrijgesteld van belastingen naar het inkomen in de ‘woonstaat’ (artikel 3, eerste lid, onderdeel j, onder i, van het Verdrag) zou een bronstaatheffing niet verrekenbaar zijn en daardoor </w:t>
      </w:r>
      <w:r w:rsidRPr="00A805F5" w:rsidR="004E5CC0">
        <w:rPr>
          <w:rFonts w:cs="Arial"/>
          <w:szCs w:val="20"/>
          <w:lang w:val="nl-NL"/>
        </w:rPr>
        <w:t xml:space="preserve">economisch </w:t>
      </w:r>
      <w:r w:rsidRPr="00A805F5" w:rsidR="0085477F">
        <w:rPr>
          <w:rFonts w:cs="Arial"/>
          <w:szCs w:val="20"/>
          <w:lang w:val="nl-NL"/>
        </w:rPr>
        <w:t xml:space="preserve">verstorend werken. Met de uitsluitende woonstaatheffing sluit het Verdrag aan bij het Nederlandse verdragsbeleid en de </w:t>
      </w:r>
      <w:r w:rsidRPr="00A805F5" w:rsidR="004E5CC0">
        <w:rPr>
          <w:rFonts w:cs="Arial"/>
          <w:szCs w:val="20"/>
          <w:lang w:val="nl-NL"/>
        </w:rPr>
        <w:t>mogelijkheden die in het OESO-commentaar voor een dergelijke situatie zijn benoemd</w:t>
      </w:r>
      <w:r w:rsidRPr="00A805F5">
        <w:rPr>
          <w:rFonts w:cs="Arial"/>
          <w:szCs w:val="20"/>
          <w:lang w:val="nl-NL"/>
        </w:rPr>
        <w:t>.</w:t>
      </w:r>
    </w:p>
    <w:p w:rsidRPr="00A805F5" w:rsidR="00536EDA" w:rsidP="0065704D" w:rsidRDefault="004E5CC0" w14:paraId="2941A689" w14:textId="135CC057">
      <w:pPr>
        <w:ind w:firstLine="720"/>
        <w:rPr>
          <w:rFonts w:cs="Arial"/>
          <w:szCs w:val="20"/>
          <w:lang w:val="nl-NL"/>
        </w:rPr>
      </w:pPr>
      <w:r w:rsidRPr="00A805F5">
        <w:rPr>
          <w:rFonts w:cs="Arial"/>
          <w:szCs w:val="20"/>
          <w:lang w:val="nl-NL"/>
        </w:rPr>
        <w:t xml:space="preserve">Het vierde lid </w:t>
      </w:r>
      <w:r w:rsidRPr="00A805F5" w:rsidR="00536EDA">
        <w:rPr>
          <w:rFonts w:cs="Arial"/>
          <w:szCs w:val="20"/>
          <w:lang w:val="nl-NL"/>
        </w:rPr>
        <w:t xml:space="preserve">hangt samen met het in het algemeen deel omschreven Chileense </w:t>
      </w:r>
      <w:r w:rsidRPr="00A805F5" w:rsidR="00066832">
        <w:rPr>
          <w:rFonts w:cs="Arial"/>
          <w:szCs w:val="20"/>
          <w:lang w:val="nl-NL"/>
        </w:rPr>
        <w:t xml:space="preserve">fiscale </w:t>
      </w:r>
      <w:r w:rsidRPr="00A805F5" w:rsidR="00191DB4">
        <w:rPr>
          <w:rFonts w:cs="Arial"/>
          <w:szCs w:val="20"/>
          <w:lang w:val="nl-NL"/>
        </w:rPr>
        <w:t>(</w:t>
      </w:r>
      <w:r w:rsidRPr="00A805F5" w:rsidR="00066832">
        <w:rPr>
          <w:rFonts w:cs="Arial"/>
          <w:szCs w:val="20"/>
          <w:lang w:val="nl-NL"/>
        </w:rPr>
        <w:t>imputatie</w:t>
      </w:r>
      <w:r w:rsidRPr="00A805F5" w:rsidR="00191DB4">
        <w:rPr>
          <w:rFonts w:cs="Arial"/>
          <w:szCs w:val="20"/>
          <w:lang w:val="nl-NL"/>
        </w:rPr>
        <w:t>)s</w:t>
      </w:r>
      <w:r w:rsidRPr="00A805F5" w:rsidR="0065704D">
        <w:rPr>
          <w:rFonts w:cs="Arial"/>
          <w:szCs w:val="20"/>
          <w:lang w:val="nl-NL"/>
        </w:rPr>
        <w:t xml:space="preserve">ysteem. </w:t>
      </w:r>
      <w:r w:rsidRPr="00A805F5" w:rsidR="00F44337">
        <w:rPr>
          <w:rFonts w:cs="Arial"/>
          <w:szCs w:val="20"/>
          <w:lang w:val="nl-NL"/>
        </w:rPr>
        <w:t>Binnen dit systeem zijn dividenden verkregen door niet-inwoners onderworpen aan een aanvullende belasting (</w:t>
      </w:r>
      <w:proofErr w:type="spellStart"/>
      <w:r w:rsidRPr="00A805F5" w:rsidR="00F44337">
        <w:rPr>
          <w:rFonts w:cs="Arial"/>
          <w:i/>
          <w:szCs w:val="20"/>
          <w:lang w:val="nl-NL"/>
        </w:rPr>
        <w:t>impuesto</w:t>
      </w:r>
      <w:proofErr w:type="spellEnd"/>
      <w:r w:rsidRPr="00A805F5" w:rsidR="00F44337">
        <w:rPr>
          <w:rFonts w:cs="Arial"/>
          <w:i/>
          <w:szCs w:val="20"/>
          <w:lang w:val="nl-NL"/>
        </w:rPr>
        <w:t xml:space="preserve"> </w:t>
      </w:r>
      <w:proofErr w:type="spellStart"/>
      <w:r w:rsidRPr="00A805F5" w:rsidR="00F44337">
        <w:rPr>
          <w:rFonts w:cs="Arial"/>
          <w:i/>
          <w:szCs w:val="20"/>
          <w:lang w:val="nl-NL"/>
        </w:rPr>
        <w:t>adicional</w:t>
      </w:r>
      <w:proofErr w:type="spellEnd"/>
      <w:r w:rsidRPr="00A805F5" w:rsidR="00F44337">
        <w:rPr>
          <w:rFonts w:cs="Arial"/>
          <w:i/>
          <w:szCs w:val="20"/>
          <w:lang w:val="nl-NL"/>
        </w:rPr>
        <w:t xml:space="preserve">) </w:t>
      </w:r>
      <w:r w:rsidRPr="00A805F5" w:rsidR="00F44337">
        <w:rPr>
          <w:rFonts w:cs="Arial"/>
          <w:szCs w:val="20"/>
          <w:lang w:val="nl-NL"/>
        </w:rPr>
        <w:t xml:space="preserve">van 35%. </w:t>
      </w:r>
      <w:r w:rsidRPr="00A805F5" w:rsidR="00C947F9">
        <w:rPr>
          <w:rFonts w:cs="Arial"/>
          <w:szCs w:val="20"/>
          <w:lang w:val="nl-NL"/>
        </w:rPr>
        <w:t>De door de uitkerende vennootschap betaalde eerste catego</w:t>
      </w:r>
      <w:r w:rsidRPr="00A805F5" w:rsidR="0065198C">
        <w:rPr>
          <w:rFonts w:cs="Arial"/>
          <w:szCs w:val="20"/>
          <w:lang w:val="nl-NL"/>
        </w:rPr>
        <w:t>r</w:t>
      </w:r>
      <w:r w:rsidRPr="00A805F5" w:rsidR="00C947F9">
        <w:rPr>
          <w:rFonts w:cs="Arial"/>
          <w:szCs w:val="20"/>
          <w:lang w:val="nl-NL"/>
        </w:rPr>
        <w:t>ie belasting (</w:t>
      </w:r>
      <w:proofErr w:type="spellStart"/>
      <w:r w:rsidRPr="00A805F5" w:rsidR="00C947F9">
        <w:rPr>
          <w:rFonts w:cs="Arial"/>
          <w:i/>
          <w:szCs w:val="20"/>
          <w:lang w:val="nl-NL"/>
        </w:rPr>
        <w:t>impuesto</w:t>
      </w:r>
      <w:proofErr w:type="spellEnd"/>
      <w:r w:rsidRPr="00A805F5" w:rsidR="00C947F9">
        <w:rPr>
          <w:rFonts w:cs="Arial"/>
          <w:i/>
          <w:szCs w:val="20"/>
          <w:lang w:val="nl-NL"/>
        </w:rPr>
        <w:t xml:space="preserve"> de </w:t>
      </w:r>
      <w:proofErr w:type="spellStart"/>
      <w:r w:rsidRPr="00A805F5" w:rsidR="00C947F9">
        <w:rPr>
          <w:rFonts w:cs="Arial"/>
          <w:i/>
          <w:szCs w:val="20"/>
          <w:lang w:val="nl-NL"/>
        </w:rPr>
        <w:t>primera</w:t>
      </w:r>
      <w:proofErr w:type="spellEnd"/>
      <w:r w:rsidRPr="00A805F5" w:rsidR="00C947F9">
        <w:rPr>
          <w:rFonts w:cs="Arial"/>
          <w:i/>
          <w:szCs w:val="20"/>
          <w:lang w:val="nl-NL"/>
        </w:rPr>
        <w:t xml:space="preserve"> </w:t>
      </w:r>
      <w:proofErr w:type="spellStart"/>
      <w:r w:rsidRPr="00A805F5" w:rsidR="00C947F9">
        <w:rPr>
          <w:rFonts w:cs="Arial"/>
          <w:i/>
          <w:szCs w:val="20"/>
          <w:lang w:val="nl-NL"/>
        </w:rPr>
        <w:t>categor</w:t>
      </w:r>
      <w:r w:rsidRPr="00A805F5" w:rsidR="0065198C">
        <w:rPr>
          <w:rFonts w:cs="Arial"/>
          <w:i/>
          <w:szCs w:val="20"/>
          <w:lang w:val="nl-NL"/>
        </w:rPr>
        <w:t>ía</w:t>
      </w:r>
      <w:proofErr w:type="spellEnd"/>
      <w:r w:rsidRPr="00A805F5" w:rsidR="00C947F9">
        <w:rPr>
          <w:rFonts w:cs="Arial"/>
          <w:szCs w:val="20"/>
          <w:lang w:val="nl-NL"/>
        </w:rPr>
        <w:t xml:space="preserve">) wordt </w:t>
      </w:r>
      <w:r w:rsidRPr="00A805F5" w:rsidR="00604D3D">
        <w:rPr>
          <w:rFonts w:cs="Arial"/>
          <w:szCs w:val="20"/>
          <w:lang w:val="nl-NL"/>
        </w:rPr>
        <w:t xml:space="preserve">daarbij </w:t>
      </w:r>
      <w:r w:rsidRPr="00A805F5" w:rsidR="00C947F9">
        <w:rPr>
          <w:rFonts w:cs="Arial"/>
          <w:szCs w:val="20"/>
          <w:lang w:val="nl-NL"/>
        </w:rPr>
        <w:t xml:space="preserve">verrekend met de door de niet-inwoner verschuldigde belasting. </w:t>
      </w:r>
      <w:r w:rsidRPr="00A805F5" w:rsidR="00604D3D">
        <w:rPr>
          <w:rFonts w:cs="Arial"/>
          <w:szCs w:val="20"/>
          <w:lang w:val="nl-NL"/>
        </w:rPr>
        <w:t xml:space="preserve">Artikel 10, vierde lid, van het Verdrag bepaalt </w:t>
      </w:r>
      <w:r w:rsidRPr="00A805F5" w:rsidR="0023495E">
        <w:rPr>
          <w:rFonts w:cs="Arial"/>
          <w:szCs w:val="20"/>
          <w:lang w:val="nl-NL"/>
        </w:rPr>
        <w:t xml:space="preserve">op verzoek van Chili </w:t>
      </w:r>
      <w:r w:rsidRPr="00A805F5" w:rsidR="00604D3D">
        <w:rPr>
          <w:rFonts w:cs="Arial"/>
          <w:szCs w:val="20"/>
          <w:lang w:val="nl-NL"/>
        </w:rPr>
        <w:t xml:space="preserve">dat dit systeem niet wordt beperkt door </w:t>
      </w:r>
      <w:r w:rsidRPr="00A805F5" w:rsidR="005B479D">
        <w:rPr>
          <w:rFonts w:cs="Arial"/>
          <w:szCs w:val="20"/>
          <w:lang w:val="nl-NL"/>
        </w:rPr>
        <w:t xml:space="preserve">het tweede of derde lid, mits </w:t>
      </w:r>
      <w:r w:rsidRPr="00A805F5" w:rsidR="00536EDA">
        <w:rPr>
          <w:rFonts w:cs="Arial"/>
          <w:szCs w:val="20"/>
          <w:lang w:val="nl-NL"/>
        </w:rPr>
        <w:t xml:space="preserve">de </w:t>
      </w:r>
      <w:r w:rsidRPr="00A805F5" w:rsidR="005B479D">
        <w:rPr>
          <w:rFonts w:cs="Arial"/>
          <w:szCs w:val="20"/>
          <w:lang w:val="nl-NL"/>
        </w:rPr>
        <w:t xml:space="preserve">eerste categorie belasting </w:t>
      </w:r>
      <w:r w:rsidRPr="00A805F5" w:rsidR="00536EDA">
        <w:rPr>
          <w:rFonts w:cs="Arial"/>
          <w:szCs w:val="20"/>
          <w:lang w:val="nl-NL"/>
        </w:rPr>
        <w:t>verrekenbaar is bij de berekening van de aanvullende belasting.</w:t>
      </w:r>
      <w:r w:rsidRPr="00A805F5" w:rsidR="0023495E">
        <w:rPr>
          <w:rFonts w:cs="Arial"/>
          <w:szCs w:val="20"/>
          <w:lang w:val="nl-NL"/>
        </w:rPr>
        <w:t xml:space="preserve"> Een dergelijke bepaling is Chili eveneens overeengekomen in zijn andere belastingverdragen. Nederland is hiermee akkoord gegaan, maar heeft daar wel </w:t>
      </w:r>
      <w:r w:rsidRPr="00A805F5" w:rsidR="00191DB4">
        <w:rPr>
          <w:rFonts w:cs="Arial"/>
          <w:szCs w:val="20"/>
          <w:lang w:val="nl-NL"/>
        </w:rPr>
        <w:t xml:space="preserve">voorwaarden aan gesteld (waaronder een meestbegunstigingsclause) </w:t>
      </w:r>
      <w:r w:rsidRPr="00A805F5" w:rsidR="0023495E">
        <w:rPr>
          <w:rFonts w:cs="Arial"/>
          <w:szCs w:val="20"/>
          <w:lang w:val="nl-NL"/>
        </w:rPr>
        <w:t xml:space="preserve">die </w:t>
      </w:r>
      <w:r w:rsidRPr="00A805F5" w:rsidR="00191DB4">
        <w:rPr>
          <w:rFonts w:cs="Arial"/>
          <w:szCs w:val="20"/>
          <w:lang w:val="nl-NL"/>
        </w:rPr>
        <w:t xml:space="preserve">inhoudelijk </w:t>
      </w:r>
      <w:r w:rsidRPr="00A805F5" w:rsidR="0023495E">
        <w:rPr>
          <w:rFonts w:cs="Arial"/>
          <w:szCs w:val="20"/>
          <w:lang w:val="nl-NL"/>
        </w:rPr>
        <w:t xml:space="preserve">overeenkomen met de </w:t>
      </w:r>
      <w:r w:rsidRPr="00A805F5" w:rsidR="00857955">
        <w:rPr>
          <w:rFonts w:cs="Arial"/>
          <w:szCs w:val="20"/>
          <w:lang w:val="nl-NL"/>
        </w:rPr>
        <w:t>voorwaarden</w:t>
      </w:r>
      <w:r w:rsidRPr="00A805F5" w:rsidR="0023495E">
        <w:rPr>
          <w:rFonts w:cs="Arial"/>
          <w:szCs w:val="20"/>
          <w:lang w:val="nl-NL"/>
        </w:rPr>
        <w:t xml:space="preserve"> die Chili in 2016 met Japan is overeengekomen.</w:t>
      </w:r>
    </w:p>
    <w:p w:rsidRPr="00A805F5" w:rsidR="00DA5A1E" w:rsidP="008A6836" w:rsidRDefault="00DA5A1E" w14:paraId="569E9741" w14:textId="4399E0E4">
      <w:pPr>
        <w:ind w:firstLine="720"/>
        <w:rPr>
          <w:rFonts w:cs="Arial"/>
          <w:szCs w:val="20"/>
          <w:lang w:val="nl-NL"/>
        </w:rPr>
      </w:pPr>
      <w:r w:rsidRPr="00A805F5">
        <w:rPr>
          <w:rFonts w:cs="Arial"/>
          <w:szCs w:val="20"/>
          <w:lang w:val="nl-NL"/>
        </w:rPr>
        <w:lastRenderedPageBreak/>
        <w:t>Artikel III van het Protoco</w:t>
      </w:r>
      <w:r w:rsidRPr="00A805F5" w:rsidR="00CD7699">
        <w:rPr>
          <w:rFonts w:cs="Arial"/>
          <w:szCs w:val="20"/>
          <w:lang w:val="nl-NL"/>
        </w:rPr>
        <w:t>l</w:t>
      </w:r>
      <w:r w:rsidRPr="00A805F5" w:rsidR="00857955">
        <w:rPr>
          <w:rFonts w:cs="Arial"/>
          <w:szCs w:val="20"/>
          <w:lang w:val="nl-NL"/>
        </w:rPr>
        <w:t xml:space="preserve"> bevat deze voorwaarden</w:t>
      </w:r>
      <w:r w:rsidRPr="00A805F5" w:rsidR="00CD7699">
        <w:rPr>
          <w:rFonts w:cs="Arial"/>
          <w:szCs w:val="20"/>
          <w:lang w:val="nl-NL"/>
        </w:rPr>
        <w:t xml:space="preserve">. Onderdeel a van dit artikel </w:t>
      </w:r>
      <w:r w:rsidRPr="00A805F5" w:rsidR="00857955">
        <w:rPr>
          <w:rFonts w:cs="Arial"/>
          <w:szCs w:val="20"/>
          <w:lang w:val="nl-NL"/>
        </w:rPr>
        <w:t xml:space="preserve">bevat de meestbegunstigingsclausule en </w:t>
      </w:r>
      <w:r w:rsidRPr="00A805F5" w:rsidR="00CD7699">
        <w:rPr>
          <w:rFonts w:cs="Arial"/>
          <w:szCs w:val="20"/>
          <w:lang w:val="nl-NL"/>
        </w:rPr>
        <w:t xml:space="preserve">bepaalt </w:t>
      </w:r>
      <w:r w:rsidRPr="00A805F5" w:rsidR="00857955">
        <w:rPr>
          <w:rFonts w:cs="Arial"/>
          <w:szCs w:val="20"/>
          <w:lang w:val="nl-NL"/>
        </w:rPr>
        <w:t xml:space="preserve">dat </w:t>
      </w:r>
      <w:r w:rsidRPr="00A805F5" w:rsidR="00CD7699">
        <w:rPr>
          <w:rFonts w:cs="Arial"/>
          <w:szCs w:val="20"/>
          <w:lang w:val="nl-NL"/>
        </w:rPr>
        <w:t xml:space="preserve">indien Chili in een </w:t>
      </w:r>
      <w:r w:rsidRPr="00A805F5" w:rsidR="004F6221">
        <w:rPr>
          <w:rFonts w:cs="Arial"/>
          <w:szCs w:val="20"/>
          <w:lang w:val="nl-NL"/>
        </w:rPr>
        <w:t xml:space="preserve">later </w:t>
      </w:r>
      <w:r w:rsidRPr="00A805F5" w:rsidR="00CD7699">
        <w:rPr>
          <w:rFonts w:cs="Arial"/>
          <w:szCs w:val="20"/>
          <w:lang w:val="nl-NL"/>
        </w:rPr>
        <w:t xml:space="preserve">verdrag instemt met een beperking van de aanvullende belasting, </w:t>
      </w:r>
      <w:r w:rsidRPr="00A805F5" w:rsidR="00F5181B">
        <w:rPr>
          <w:rFonts w:cs="Arial"/>
          <w:szCs w:val="20"/>
          <w:lang w:val="nl-NL"/>
        </w:rPr>
        <w:t xml:space="preserve">de verdragsluitende staten met elkaar </w:t>
      </w:r>
      <w:r w:rsidRPr="00A805F5" w:rsidR="004A2F34">
        <w:rPr>
          <w:rFonts w:cs="Arial"/>
          <w:szCs w:val="20"/>
          <w:lang w:val="nl-NL"/>
        </w:rPr>
        <w:t xml:space="preserve">in overleg </w:t>
      </w:r>
      <w:r w:rsidRPr="00A805F5" w:rsidR="00F5181B">
        <w:rPr>
          <w:rFonts w:cs="Arial"/>
          <w:szCs w:val="20"/>
          <w:lang w:val="nl-NL"/>
        </w:rPr>
        <w:t>treden</w:t>
      </w:r>
      <w:r w:rsidRPr="00A805F5" w:rsidR="00CD7699">
        <w:rPr>
          <w:rFonts w:cs="Arial"/>
          <w:szCs w:val="20"/>
          <w:lang w:val="nl-NL"/>
        </w:rPr>
        <w:t xml:space="preserve"> om het onderhavige Verdrag aan te passen om</w:t>
      </w:r>
      <w:r w:rsidRPr="00A805F5" w:rsidR="00F5181B">
        <w:rPr>
          <w:rFonts w:cs="Arial"/>
          <w:szCs w:val="20"/>
          <w:lang w:val="nl-NL"/>
        </w:rPr>
        <w:t xml:space="preserve"> het bereikte evenwicht </w:t>
      </w:r>
      <w:r w:rsidRPr="00A805F5" w:rsidR="00CD7699">
        <w:rPr>
          <w:rFonts w:cs="Arial"/>
          <w:szCs w:val="20"/>
          <w:lang w:val="nl-NL"/>
        </w:rPr>
        <w:t xml:space="preserve">in de verdragsvoordelen </w:t>
      </w:r>
      <w:r w:rsidRPr="00A805F5" w:rsidR="00F5181B">
        <w:rPr>
          <w:rFonts w:cs="Arial"/>
          <w:szCs w:val="20"/>
          <w:lang w:val="nl-NL"/>
        </w:rPr>
        <w:t>te herstellen</w:t>
      </w:r>
      <w:r w:rsidRPr="00A805F5" w:rsidR="00CD7699">
        <w:rPr>
          <w:rFonts w:cs="Arial"/>
          <w:szCs w:val="20"/>
          <w:lang w:val="nl-NL"/>
        </w:rPr>
        <w:t xml:space="preserve">. Onderdeel b bepaalt dat artikel 10, vierde lid, van het Verdrag niet van toepassing is, indien </w:t>
      </w:r>
      <w:r w:rsidRPr="00A805F5" w:rsidR="0006502C">
        <w:rPr>
          <w:rFonts w:cs="Arial"/>
          <w:szCs w:val="20"/>
          <w:lang w:val="nl-NL"/>
        </w:rPr>
        <w:t>het tarief van de Chileense aanvullende belasting het tarief van 35</w:t>
      </w:r>
      <w:r w:rsidR="000A0A88">
        <w:rPr>
          <w:rFonts w:cs="Arial"/>
          <w:szCs w:val="20"/>
          <w:lang w:val="nl-NL"/>
        </w:rPr>
        <w:t>%</w:t>
      </w:r>
      <w:r w:rsidRPr="00A805F5" w:rsidR="0006502C">
        <w:rPr>
          <w:rFonts w:cs="Arial"/>
          <w:szCs w:val="20"/>
          <w:lang w:val="nl-NL"/>
        </w:rPr>
        <w:t xml:space="preserve"> overschrijdt of de Chileense eerste categorie belasting niet langer volledig verrekenbaar is bij </w:t>
      </w:r>
      <w:r w:rsidR="00154AB7">
        <w:rPr>
          <w:rFonts w:cs="Arial"/>
          <w:szCs w:val="20"/>
          <w:lang w:val="nl-NL"/>
        </w:rPr>
        <w:t>het bepalen</w:t>
      </w:r>
      <w:r w:rsidRPr="00A805F5" w:rsidR="0006502C">
        <w:rPr>
          <w:rFonts w:cs="Arial"/>
          <w:szCs w:val="20"/>
          <w:lang w:val="nl-NL"/>
        </w:rPr>
        <w:t xml:space="preserve"> van de te betalen aanvullende belasting. In dat geval </w:t>
      </w:r>
      <w:r w:rsidRPr="00A805F5" w:rsidR="008A6836">
        <w:rPr>
          <w:rFonts w:cs="Arial"/>
          <w:szCs w:val="20"/>
          <w:lang w:val="nl-NL"/>
        </w:rPr>
        <w:t>is de bronstaatheffing van artikel 10, tweede lid, onderdelen a en b, van het Verdrag gemaximeerd op 20</w:t>
      </w:r>
      <w:r w:rsidR="0002515C">
        <w:rPr>
          <w:rFonts w:cs="Arial"/>
          <w:szCs w:val="20"/>
          <w:lang w:val="nl-NL"/>
        </w:rPr>
        <w:t>%</w:t>
      </w:r>
      <w:r w:rsidRPr="00A805F5" w:rsidR="008A6836">
        <w:rPr>
          <w:rFonts w:cs="Arial"/>
          <w:szCs w:val="20"/>
          <w:lang w:val="nl-NL"/>
        </w:rPr>
        <w:t xml:space="preserve">. Ook voor dat geval is overeengekomen dat de verdragsluitende staten met elkaar in overleg treden om het bereikte evenwicht in verdragsvoordelen te herstellen. </w:t>
      </w:r>
    </w:p>
    <w:p w:rsidRPr="00A805F5" w:rsidR="00D30373" w:rsidP="008A6836" w:rsidRDefault="00D30373" w14:paraId="1D1D8F61" w14:textId="77777777">
      <w:pPr>
        <w:ind w:firstLine="720"/>
        <w:rPr>
          <w:rFonts w:cs="Arial"/>
          <w:szCs w:val="20"/>
          <w:lang w:val="nl-NL"/>
        </w:rPr>
      </w:pPr>
      <w:r w:rsidRPr="00A805F5">
        <w:rPr>
          <w:rFonts w:cs="Arial"/>
          <w:szCs w:val="20"/>
          <w:lang w:val="nl-NL"/>
        </w:rPr>
        <w:t xml:space="preserve">Artikel 10, vijfde lid, van het Verdrag is ontleend aan de laatste zin van artikel 10, tweede lid, van het OESO-modelverdrag. </w:t>
      </w:r>
    </w:p>
    <w:p w:rsidRPr="00A805F5" w:rsidR="00B7639E" w:rsidP="00B7639E" w:rsidRDefault="00D30373" w14:paraId="12122BE5" w14:textId="432F0F5D">
      <w:pPr>
        <w:ind w:firstLine="720"/>
        <w:rPr>
          <w:rFonts w:cs="Arial"/>
          <w:szCs w:val="20"/>
          <w:lang w:val="nl-NL"/>
        </w:rPr>
      </w:pPr>
      <w:r w:rsidRPr="00A805F5">
        <w:rPr>
          <w:rFonts w:cs="Arial"/>
          <w:szCs w:val="20"/>
          <w:lang w:val="nl-NL"/>
        </w:rPr>
        <w:t xml:space="preserve">Artikel 10, zesde lid, van het Verdrag bevat een definitie van de </w:t>
      </w:r>
      <w:proofErr w:type="spellStart"/>
      <w:r w:rsidRPr="00A805F5">
        <w:rPr>
          <w:rFonts w:cs="Arial"/>
          <w:szCs w:val="20"/>
          <w:lang w:val="nl-NL"/>
        </w:rPr>
        <w:t>uidrukking</w:t>
      </w:r>
      <w:proofErr w:type="spellEnd"/>
      <w:r w:rsidRPr="00A805F5">
        <w:rPr>
          <w:rFonts w:cs="Arial"/>
          <w:szCs w:val="20"/>
          <w:lang w:val="nl-NL"/>
        </w:rPr>
        <w:t xml:space="preserve"> </w:t>
      </w:r>
      <w:r w:rsidRPr="00A805F5" w:rsidR="0017699A">
        <w:rPr>
          <w:rFonts w:cs="Arial"/>
          <w:szCs w:val="20"/>
          <w:lang w:val="nl-NL"/>
        </w:rPr>
        <w:t>‘</w:t>
      </w:r>
      <w:r w:rsidRPr="00A805F5">
        <w:rPr>
          <w:rFonts w:cs="Arial"/>
          <w:szCs w:val="20"/>
          <w:lang w:val="nl-NL"/>
        </w:rPr>
        <w:t>dividenden</w:t>
      </w:r>
      <w:r w:rsidRPr="00A805F5" w:rsidR="0017699A">
        <w:rPr>
          <w:rFonts w:cs="Arial"/>
          <w:szCs w:val="20"/>
          <w:lang w:val="nl-NL"/>
        </w:rPr>
        <w:t>’</w:t>
      </w:r>
      <w:r w:rsidRPr="00A805F5">
        <w:rPr>
          <w:rFonts w:cs="Arial"/>
          <w:szCs w:val="20"/>
          <w:lang w:val="nl-NL"/>
        </w:rPr>
        <w:t xml:space="preserve"> die in beperkte mate afwijkt van de definitie die is opgenomen in het OESO-modelverdrag. D</w:t>
      </w:r>
      <w:r w:rsidRPr="00A805F5" w:rsidR="00B7639E">
        <w:rPr>
          <w:rFonts w:cs="Arial"/>
          <w:szCs w:val="20"/>
          <w:lang w:val="nl-NL"/>
        </w:rPr>
        <w:t xml:space="preserve">e begrippen </w:t>
      </w:r>
      <w:r w:rsidRPr="00A805F5" w:rsidR="0017699A">
        <w:rPr>
          <w:rFonts w:cs="Arial"/>
          <w:i/>
          <w:szCs w:val="20"/>
          <w:lang w:val="nl-NL"/>
        </w:rPr>
        <w:t>‘</w:t>
      </w:r>
      <w:proofErr w:type="spellStart"/>
      <w:r w:rsidRPr="00A805F5" w:rsidR="00B7639E">
        <w:rPr>
          <w:rFonts w:cs="Arial"/>
          <w:i/>
          <w:szCs w:val="20"/>
          <w:lang w:val="nl-NL"/>
        </w:rPr>
        <w:t>jouissance</w:t>
      </w:r>
      <w:proofErr w:type="spellEnd"/>
      <w:r w:rsidRPr="00A805F5" w:rsidR="0017699A">
        <w:rPr>
          <w:rFonts w:cs="Arial"/>
          <w:i/>
          <w:szCs w:val="20"/>
          <w:lang w:val="nl-NL"/>
        </w:rPr>
        <w:t>’</w:t>
      </w:r>
      <w:r w:rsidRPr="00A805F5" w:rsidR="00B7639E">
        <w:rPr>
          <w:rFonts w:cs="Arial"/>
          <w:i/>
          <w:szCs w:val="20"/>
          <w:lang w:val="nl-NL"/>
        </w:rPr>
        <w:t xml:space="preserve"> shares or </w:t>
      </w:r>
      <w:r w:rsidRPr="00A805F5" w:rsidR="0017699A">
        <w:rPr>
          <w:rFonts w:cs="Arial"/>
          <w:i/>
          <w:szCs w:val="20"/>
          <w:lang w:val="nl-NL"/>
        </w:rPr>
        <w:t>‘</w:t>
      </w:r>
      <w:proofErr w:type="spellStart"/>
      <w:r w:rsidRPr="00A805F5" w:rsidR="00B7639E">
        <w:rPr>
          <w:rFonts w:cs="Arial"/>
          <w:i/>
          <w:szCs w:val="20"/>
          <w:lang w:val="nl-NL"/>
        </w:rPr>
        <w:t>jouissance</w:t>
      </w:r>
      <w:proofErr w:type="spellEnd"/>
      <w:r w:rsidRPr="00A805F5" w:rsidR="0017699A">
        <w:rPr>
          <w:rFonts w:cs="Arial"/>
          <w:i/>
          <w:szCs w:val="20"/>
          <w:lang w:val="nl-NL"/>
        </w:rPr>
        <w:t>’</w:t>
      </w:r>
      <w:r w:rsidRPr="00A805F5" w:rsidR="00B7639E">
        <w:rPr>
          <w:rFonts w:cs="Arial"/>
          <w:i/>
          <w:szCs w:val="20"/>
          <w:lang w:val="nl-NL"/>
        </w:rPr>
        <w:t xml:space="preserve"> </w:t>
      </w:r>
      <w:proofErr w:type="spellStart"/>
      <w:r w:rsidRPr="00A805F5" w:rsidR="00B7639E">
        <w:rPr>
          <w:rFonts w:cs="Arial"/>
          <w:i/>
          <w:szCs w:val="20"/>
          <w:lang w:val="nl-NL"/>
        </w:rPr>
        <w:t>rights</w:t>
      </w:r>
      <w:proofErr w:type="spellEnd"/>
      <w:r w:rsidRPr="00A805F5" w:rsidR="00B7639E">
        <w:rPr>
          <w:rFonts w:cs="Arial"/>
          <w:szCs w:val="20"/>
          <w:lang w:val="nl-NL"/>
        </w:rPr>
        <w:t xml:space="preserve">, </w:t>
      </w:r>
      <w:proofErr w:type="spellStart"/>
      <w:r w:rsidRPr="00A805F5" w:rsidR="00B7639E">
        <w:rPr>
          <w:rFonts w:cs="Arial"/>
          <w:i/>
          <w:szCs w:val="20"/>
          <w:lang w:val="nl-NL"/>
        </w:rPr>
        <w:t>mining</w:t>
      </w:r>
      <w:proofErr w:type="spellEnd"/>
      <w:r w:rsidRPr="00A805F5" w:rsidR="00B7639E">
        <w:rPr>
          <w:rFonts w:cs="Arial"/>
          <w:i/>
          <w:szCs w:val="20"/>
          <w:lang w:val="nl-NL"/>
        </w:rPr>
        <w:t xml:space="preserve"> shares</w:t>
      </w:r>
      <w:r w:rsidRPr="00A805F5" w:rsidR="00B7639E">
        <w:rPr>
          <w:rFonts w:cs="Arial"/>
          <w:szCs w:val="20"/>
          <w:lang w:val="nl-NL"/>
        </w:rPr>
        <w:t xml:space="preserve"> en </w:t>
      </w:r>
      <w:proofErr w:type="spellStart"/>
      <w:r w:rsidRPr="00A805F5" w:rsidR="00B7639E">
        <w:rPr>
          <w:rFonts w:cs="Arial"/>
          <w:i/>
          <w:szCs w:val="20"/>
          <w:lang w:val="nl-NL"/>
        </w:rPr>
        <w:t>founders</w:t>
      </w:r>
      <w:proofErr w:type="spellEnd"/>
      <w:r w:rsidRPr="00A805F5" w:rsidR="00B7639E">
        <w:rPr>
          <w:rFonts w:cs="Arial"/>
          <w:i/>
          <w:szCs w:val="20"/>
          <w:lang w:val="nl-NL"/>
        </w:rPr>
        <w:t>’ shares</w:t>
      </w:r>
      <w:r w:rsidRPr="00A805F5" w:rsidR="00B7639E">
        <w:rPr>
          <w:rFonts w:cs="Arial"/>
          <w:szCs w:val="20"/>
          <w:lang w:val="nl-NL"/>
        </w:rPr>
        <w:t xml:space="preserve"> </w:t>
      </w:r>
      <w:r w:rsidRPr="00A805F5" w:rsidR="00015868">
        <w:rPr>
          <w:rFonts w:cs="Arial"/>
          <w:szCs w:val="20"/>
          <w:lang w:val="nl-NL"/>
        </w:rPr>
        <w:t xml:space="preserve">zijn </w:t>
      </w:r>
      <w:r w:rsidRPr="00A805F5">
        <w:rPr>
          <w:rFonts w:cs="Arial"/>
          <w:szCs w:val="20"/>
          <w:lang w:val="nl-NL"/>
        </w:rPr>
        <w:t xml:space="preserve">op verzoek van Chili </w:t>
      </w:r>
      <w:r w:rsidRPr="00A805F5" w:rsidR="00B7639E">
        <w:rPr>
          <w:rFonts w:cs="Arial"/>
          <w:szCs w:val="20"/>
          <w:lang w:val="nl-NL"/>
        </w:rPr>
        <w:t xml:space="preserve">achterwege gelaten. </w:t>
      </w:r>
      <w:r w:rsidRPr="00A805F5" w:rsidR="007869F2">
        <w:rPr>
          <w:rFonts w:cs="Arial"/>
          <w:szCs w:val="20"/>
          <w:lang w:val="nl-NL"/>
        </w:rPr>
        <w:t xml:space="preserve">Ook verwijst de definitie – in afwijking van het OESO-modelverdrag </w:t>
      </w:r>
      <w:r w:rsidRPr="00A805F5" w:rsidR="00ED3FF4">
        <w:rPr>
          <w:rFonts w:cs="Arial"/>
          <w:szCs w:val="20"/>
          <w:lang w:val="nl-NL"/>
        </w:rPr>
        <w:t xml:space="preserve">– </w:t>
      </w:r>
      <w:r w:rsidRPr="00A805F5" w:rsidR="007869F2">
        <w:rPr>
          <w:rFonts w:cs="Arial"/>
          <w:szCs w:val="20"/>
          <w:lang w:val="nl-NL"/>
        </w:rPr>
        <w:t>niet naar</w:t>
      </w:r>
      <w:r w:rsidRPr="00A805F5" w:rsidR="00B7639E">
        <w:rPr>
          <w:rFonts w:cs="Arial"/>
          <w:szCs w:val="20"/>
          <w:lang w:val="nl-NL"/>
        </w:rPr>
        <w:t xml:space="preserve"> </w:t>
      </w:r>
      <w:r w:rsidR="00A53CFF">
        <w:rPr>
          <w:rFonts w:cs="Arial"/>
          <w:szCs w:val="20"/>
          <w:lang w:val="nl-NL"/>
        </w:rPr>
        <w:t>‘</w:t>
      </w:r>
      <w:r w:rsidRPr="00A805F5" w:rsidR="007869F2">
        <w:rPr>
          <w:rFonts w:cs="Arial"/>
          <w:szCs w:val="20"/>
          <w:lang w:val="nl-NL"/>
        </w:rPr>
        <w:t>andere vennootschappelijke rechten</w:t>
      </w:r>
      <w:r w:rsidR="00A53CFF">
        <w:rPr>
          <w:rFonts w:cs="Arial"/>
          <w:i/>
          <w:szCs w:val="20"/>
          <w:lang w:val="nl-NL"/>
        </w:rPr>
        <w:t>’</w:t>
      </w:r>
      <w:r w:rsidRPr="00A805F5" w:rsidR="007869F2">
        <w:rPr>
          <w:rFonts w:cs="Arial"/>
          <w:i/>
          <w:szCs w:val="20"/>
          <w:lang w:val="nl-NL"/>
        </w:rPr>
        <w:t xml:space="preserve"> </w:t>
      </w:r>
      <w:r w:rsidRPr="00A805F5" w:rsidR="007869F2">
        <w:rPr>
          <w:rFonts w:cs="Arial"/>
          <w:szCs w:val="20"/>
          <w:lang w:val="nl-NL"/>
        </w:rPr>
        <w:t xml:space="preserve">maar naar </w:t>
      </w:r>
      <w:r w:rsidR="00A53CFF">
        <w:rPr>
          <w:rFonts w:cs="Arial"/>
          <w:szCs w:val="20"/>
          <w:lang w:val="nl-NL"/>
        </w:rPr>
        <w:t>‘</w:t>
      </w:r>
      <w:r w:rsidRPr="00A805F5" w:rsidR="007869F2">
        <w:rPr>
          <w:rFonts w:cs="Arial"/>
          <w:szCs w:val="20"/>
          <w:lang w:val="nl-NL"/>
        </w:rPr>
        <w:t>andere rechten</w:t>
      </w:r>
      <w:r w:rsidR="00A53CFF">
        <w:rPr>
          <w:rFonts w:cs="Arial"/>
          <w:i/>
          <w:szCs w:val="20"/>
          <w:lang w:val="nl-NL"/>
        </w:rPr>
        <w:t>’</w:t>
      </w:r>
      <w:r w:rsidRPr="00A805F5" w:rsidR="007869F2">
        <w:rPr>
          <w:rFonts w:cs="Arial"/>
          <w:i/>
          <w:szCs w:val="20"/>
          <w:lang w:val="nl-NL"/>
        </w:rPr>
        <w:t xml:space="preserve"> </w:t>
      </w:r>
      <w:r w:rsidRPr="00A805F5" w:rsidR="00B7639E">
        <w:rPr>
          <w:rFonts w:cs="Arial"/>
          <w:szCs w:val="20"/>
          <w:lang w:val="nl-NL"/>
        </w:rPr>
        <w:t xml:space="preserve">waarmee zeker is gesteld dat ook de onder de Wet op de dividendbelasting 1965 vallende vergoedingen op winstbewijzen en hybride leningen onder de definitie blijven vallen. </w:t>
      </w:r>
    </w:p>
    <w:p w:rsidRPr="00A805F5" w:rsidR="007869F2" w:rsidP="00B7639E" w:rsidRDefault="007869F2" w14:paraId="5E2AB7BF" w14:textId="76412709">
      <w:pPr>
        <w:ind w:firstLine="720"/>
        <w:rPr>
          <w:rFonts w:cs="Arial"/>
          <w:szCs w:val="20"/>
          <w:lang w:val="nl-NL"/>
        </w:rPr>
      </w:pPr>
      <w:r w:rsidRPr="00A805F5">
        <w:rPr>
          <w:rFonts w:cs="Arial"/>
          <w:szCs w:val="20"/>
          <w:lang w:val="nl-NL"/>
        </w:rPr>
        <w:t xml:space="preserve">Artikel 10, zevende lid, van het Verdrag is ontleend aan artikel 10, vierde lid, van het OESO-modelverdrag. </w:t>
      </w:r>
      <w:r w:rsidRPr="00A805F5" w:rsidR="001740BC">
        <w:rPr>
          <w:rFonts w:cs="Arial"/>
          <w:szCs w:val="20"/>
          <w:lang w:val="nl-NL"/>
        </w:rPr>
        <w:t>I</w:t>
      </w:r>
      <w:r w:rsidRPr="00A805F5">
        <w:rPr>
          <w:rFonts w:cs="Arial"/>
          <w:szCs w:val="20"/>
          <w:lang w:val="nl-NL"/>
        </w:rPr>
        <w:t>n afwijking van het OESO-modelv</w:t>
      </w:r>
      <w:r w:rsidRPr="00A805F5" w:rsidR="001740BC">
        <w:rPr>
          <w:rFonts w:cs="Arial"/>
          <w:szCs w:val="20"/>
          <w:lang w:val="nl-NL"/>
        </w:rPr>
        <w:t xml:space="preserve">erdrag, en in overeenstemming met het VN-modelverdrag, zijn verwijzingen opgenomen naar artikel 14 van het Verdrag dat gaat over de belastingheffing </w:t>
      </w:r>
      <w:r w:rsidR="00213C73">
        <w:rPr>
          <w:rFonts w:cs="Arial"/>
          <w:szCs w:val="20"/>
          <w:lang w:val="nl-NL"/>
        </w:rPr>
        <w:t>over inkomen uit</w:t>
      </w:r>
      <w:r w:rsidRPr="00A805F5" w:rsidR="00213C73">
        <w:rPr>
          <w:rFonts w:cs="Arial"/>
          <w:szCs w:val="20"/>
          <w:lang w:val="nl-NL"/>
        </w:rPr>
        <w:t xml:space="preserve"> </w:t>
      </w:r>
      <w:r w:rsidRPr="00A805F5" w:rsidR="001740BC">
        <w:rPr>
          <w:rFonts w:cs="Arial"/>
          <w:szCs w:val="20"/>
          <w:lang w:val="nl-NL"/>
        </w:rPr>
        <w:t>zelfstandige arbeid.</w:t>
      </w:r>
      <w:r w:rsidRPr="00A805F5" w:rsidR="00D45AEE">
        <w:rPr>
          <w:rFonts w:cs="Arial"/>
          <w:szCs w:val="20"/>
          <w:lang w:val="nl-NL"/>
        </w:rPr>
        <w:t xml:space="preserve"> </w:t>
      </w:r>
      <w:r w:rsidRPr="00A805F5" w:rsidR="005C3569">
        <w:rPr>
          <w:rFonts w:cs="Arial"/>
          <w:szCs w:val="20"/>
          <w:lang w:val="nl-NL"/>
        </w:rPr>
        <w:t xml:space="preserve">Het </w:t>
      </w:r>
      <w:r w:rsidRPr="00A805F5" w:rsidR="00D45AEE">
        <w:rPr>
          <w:rFonts w:cs="Arial"/>
          <w:szCs w:val="20"/>
          <w:lang w:val="nl-NL"/>
        </w:rPr>
        <w:t xml:space="preserve">zevende lid </w:t>
      </w:r>
      <w:r w:rsidRPr="00A805F5" w:rsidR="005C3569">
        <w:rPr>
          <w:rFonts w:cs="Arial"/>
          <w:szCs w:val="20"/>
          <w:lang w:val="nl-NL"/>
        </w:rPr>
        <w:t>bepaal</w:t>
      </w:r>
      <w:r w:rsidRPr="00A805F5" w:rsidR="00D45AEE">
        <w:rPr>
          <w:rFonts w:cs="Arial"/>
          <w:szCs w:val="20"/>
          <w:lang w:val="nl-NL"/>
        </w:rPr>
        <w:t xml:space="preserve">t dat </w:t>
      </w:r>
      <w:r w:rsidRPr="00A805F5" w:rsidR="00616E30">
        <w:rPr>
          <w:rFonts w:cs="Arial"/>
          <w:szCs w:val="20"/>
          <w:lang w:val="nl-NL"/>
        </w:rPr>
        <w:t xml:space="preserve">niet het eerste en tweede lid, maar </w:t>
      </w:r>
      <w:r w:rsidRPr="00A805F5" w:rsidR="00D45AEE">
        <w:rPr>
          <w:rFonts w:cs="Arial"/>
          <w:szCs w:val="20"/>
          <w:lang w:val="nl-NL"/>
        </w:rPr>
        <w:t>artikel 7</w:t>
      </w:r>
      <w:r w:rsidRPr="00A805F5" w:rsidR="00C9247F">
        <w:rPr>
          <w:rFonts w:cs="Arial"/>
          <w:szCs w:val="20"/>
          <w:lang w:val="nl-NL"/>
        </w:rPr>
        <w:t xml:space="preserve"> (ondernemingswinst)</w:t>
      </w:r>
      <w:r w:rsidRPr="00A805F5" w:rsidR="00D45AEE">
        <w:rPr>
          <w:rFonts w:cs="Arial"/>
          <w:szCs w:val="20"/>
          <w:lang w:val="nl-NL"/>
        </w:rPr>
        <w:t>, respectievelijk 14</w:t>
      </w:r>
      <w:r w:rsidRPr="00A805F5" w:rsidR="00C9247F">
        <w:rPr>
          <w:rFonts w:cs="Arial"/>
          <w:szCs w:val="20"/>
          <w:lang w:val="nl-NL"/>
        </w:rPr>
        <w:t xml:space="preserve"> (zelfstandige arbeid)</w:t>
      </w:r>
      <w:r w:rsidRPr="00A805F5" w:rsidR="00D45AEE">
        <w:rPr>
          <w:rFonts w:cs="Arial"/>
          <w:szCs w:val="20"/>
          <w:lang w:val="nl-NL"/>
        </w:rPr>
        <w:t xml:space="preserve">, van toepassing zijn </w:t>
      </w:r>
      <w:r w:rsidRPr="00A805F5" w:rsidR="005C3569">
        <w:rPr>
          <w:rFonts w:cs="Arial"/>
          <w:szCs w:val="20"/>
          <w:lang w:val="nl-NL"/>
        </w:rPr>
        <w:t xml:space="preserve">op dividenden die worden betaald op aandelen en andere belangen die </w:t>
      </w:r>
      <w:r w:rsidRPr="00A805F5" w:rsidR="004F6221">
        <w:rPr>
          <w:rFonts w:cs="Arial"/>
          <w:szCs w:val="20"/>
          <w:lang w:val="nl-NL"/>
        </w:rPr>
        <w:t xml:space="preserve">worden toegerekend aan </w:t>
      </w:r>
      <w:r w:rsidRPr="00A805F5" w:rsidR="005C3569">
        <w:rPr>
          <w:rFonts w:cs="Arial"/>
          <w:szCs w:val="20"/>
          <w:lang w:val="nl-NL"/>
        </w:rPr>
        <w:t xml:space="preserve">een vaste inrichting of vast middelpunt, van de uiteindelijk gerechtigde tot de dividenden, gelegen in de verdragsluitende staat waarvan het lichaam dat de dividenden betaalt inwoner is. </w:t>
      </w:r>
    </w:p>
    <w:p w:rsidRPr="00A805F5" w:rsidR="00B7639E" w:rsidP="005C3569" w:rsidRDefault="005C3569" w14:paraId="27D80623" w14:textId="1ED3558B">
      <w:pPr>
        <w:ind w:firstLine="720"/>
        <w:rPr>
          <w:rFonts w:cs="Arial"/>
          <w:szCs w:val="20"/>
          <w:highlight w:val="lightGray"/>
          <w:lang w:val="nl-NL"/>
        </w:rPr>
      </w:pPr>
      <w:r w:rsidRPr="00A805F5">
        <w:rPr>
          <w:rFonts w:cs="Arial"/>
          <w:szCs w:val="20"/>
          <w:lang w:val="nl-NL"/>
        </w:rPr>
        <w:t xml:space="preserve">Artikel 10, achtste lid, bevat </w:t>
      </w:r>
      <w:r w:rsidRPr="00A805F5" w:rsidR="00B7639E">
        <w:rPr>
          <w:rFonts w:cs="Arial"/>
          <w:szCs w:val="20"/>
          <w:lang w:val="nl-NL"/>
        </w:rPr>
        <w:t xml:space="preserve">het verbod op extraterritoriale belastingheffing. Dit houdt in dat een verdragsluitende staat geen belasting mag heffen over winsten uitgekeerd door een in de andere staat gevestigd lichaam, ook al bestaan deze winsten uit voordelen of inkomsten die uit de eerstbedoelde staat afkomstig zijn, behoudens als die dividenden zijn toe te rekenen aan een vaste inrichting </w:t>
      </w:r>
      <w:r w:rsidRPr="00A805F5">
        <w:rPr>
          <w:rFonts w:cs="Arial"/>
          <w:szCs w:val="20"/>
          <w:lang w:val="nl-NL"/>
        </w:rPr>
        <w:t xml:space="preserve">of vast middelpunt </w:t>
      </w:r>
      <w:r w:rsidRPr="00A805F5" w:rsidR="00B7639E">
        <w:rPr>
          <w:rFonts w:cs="Arial"/>
          <w:szCs w:val="20"/>
          <w:lang w:val="nl-NL"/>
        </w:rPr>
        <w:t>in die staat of worden ontvang</w:t>
      </w:r>
      <w:r w:rsidRPr="00A805F5">
        <w:rPr>
          <w:rFonts w:cs="Arial"/>
          <w:szCs w:val="20"/>
          <w:lang w:val="nl-NL"/>
        </w:rPr>
        <w:t>en door inwoners van die staat. Deze bepaling is ontleend aan artikel 10, vijfde lid, van het OESO</w:t>
      </w:r>
      <w:r w:rsidRPr="00A805F5" w:rsidR="00551C83">
        <w:rPr>
          <w:rFonts w:cs="Arial"/>
          <w:szCs w:val="20"/>
          <w:lang w:val="nl-NL"/>
        </w:rPr>
        <w:t>-</w:t>
      </w:r>
      <w:r w:rsidRPr="00A805F5">
        <w:rPr>
          <w:rFonts w:cs="Arial"/>
          <w:szCs w:val="20"/>
          <w:lang w:val="nl-NL"/>
        </w:rPr>
        <w:t>modelverdrag</w:t>
      </w:r>
      <w:r w:rsidR="00C938BB">
        <w:rPr>
          <w:rFonts w:cs="Arial"/>
          <w:szCs w:val="20"/>
          <w:lang w:val="nl-NL"/>
        </w:rPr>
        <w:t>.</w:t>
      </w:r>
    </w:p>
    <w:p w:rsidRPr="00A805F5" w:rsidR="00B7639E" w:rsidP="00B7639E" w:rsidRDefault="005C3569" w14:paraId="257027D6" w14:textId="58648975">
      <w:pPr>
        <w:rPr>
          <w:rFonts w:cs="Arial"/>
          <w:szCs w:val="20"/>
          <w:lang w:val="nl-NL"/>
        </w:rPr>
      </w:pPr>
      <w:r w:rsidRPr="00A805F5">
        <w:rPr>
          <w:rFonts w:cs="Arial"/>
          <w:szCs w:val="20"/>
          <w:lang w:val="nl-NL"/>
        </w:rPr>
        <w:t xml:space="preserve">Het negende lid </w:t>
      </w:r>
      <w:r w:rsidRPr="00A805F5" w:rsidR="00B7639E">
        <w:rPr>
          <w:rFonts w:cs="Arial"/>
          <w:szCs w:val="20"/>
          <w:lang w:val="nl-NL"/>
        </w:rPr>
        <w:t xml:space="preserve">bevat op verzoek van Nederland een bepaling </w:t>
      </w:r>
      <w:r w:rsidRPr="00A805F5" w:rsidR="004C374B">
        <w:rPr>
          <w:rFonts w:cs="Arial"/>
          <w:szCs w:val="20"/>
          <w:lang w:val="nl-NL"/>
        </w:rPr>
        <w:t>over</w:t>
      </w:r>
      <w:r w:rsidRPr="00A805F5" w:rsidR="00B7639E">
        <w:rPr>
          <w:rFonts w:cs="Arial"/>
          <w:szCs w:val="20"/>
          <w:lang w:val="nl-NL"/>
        </w:rPr>
        <w:t xml:space="preserve"> dividenden ontvangen door geëmigreerde aanmerkelijkbelanghouders. </w:t>
      </w:r>
      <w:r w:rsidRPr="00A805F5" w:rsidR="00EB78B2">
        <w:rPr>
          <w:rFonts w:cs="Arial"/>
          <w:szCs w:val="20"/>
          <w:lang w:val="nl-NL"/>
        </w:rPr>
        <w:t xml:space="preserve">Uit </w:t>
      </w:r>
      <w:r w:rsidRPr="00A805F5" w:rsidR="00B7639E">
        <w:rPr>
          <w:rFonts w:cs="Arial"/>
          <w:szCs w:val="20"/>
          <w:lang w:val="nl-NL"/>
        </w:rPr>
        <w:t xml:space="preserve">dit, wederzijds geredigeerde, </w:t>
      </w:r>
      <w:r w:rsidRPr="00A805F5" w:rsidR="004C374B">
        <w:rPr>
          <w:rFonts w:cs="Arial"/>
          <w:szCs w:val="20"/>
          <w:lang w:val="nl-NL"/>
        </w:rPr>
        <w:t>negen</w:t>
      </w:r>
      <w:r w:rsidRPr="00A805F5" w:rsidR="00B7639E">
        <w:rPr>
          <w:rFonts w:cs="Arial"/>
          <w:szCs w:val="20"/>
          <w:lang w:val="nl-NL"/>
        </w:rPr>
        <w:t xml:space="preserve">de lid </w:t>
      </w:r>
      <w:r w:rsidRPr="00A805F5" w:rsidR="00EB78B2">
        <w:rPr>
          <w:rFonts w:cs="Arial"/>
          <w:szCs w:val="20"/>
          <w:lang w:val="nl-NL"/>
        </w:rPr>
        <w:t xml:space="preserve">volgt dat </w:t>
      </w:r>
      <w:r w:rsidRPr="00A805F5" w:rsidR="00B7639E">
        <w:rPr>
          <w:rFonts w:cs="Arial"/>
          <w:szCs w:val="20"/>
          <w:lang w:val="nl-NL"/>
        </w:rPr>
        <w:t xml:space="preserve">een verdragsluitende staat van waaruit een natuurlijke persoon is geëmigreerd belasting </w:t>
      </w:r>
      <w:r w:rsidRPr="00A805F5" w:rsidR="00EB78B2">
        <w:rPr>
          <w:rFonts w:cs="Arial"/>
          <w:szCs w:val="20"/>
          <w:lang w:val="nl-NL"/>
        </w:rPr>
        <w:t xml:space="preserve">mag </w:t>
      </w:r>
      <w:r w:rsidRPr="00A805F5" w:rsidR="00B7639E">
        <w:rPr>
          <w:rFonts w:cs="Arial"/>
          <w:szCs w:val="20"/>
          <w:lang w:val="nl-NL"/>
        </w:rPr>
        <w:t xml:space="preserve">heffen over dividenden die worden betaald door lichamen die volgens de nationale wetgeving inwoner zijn van die staat, voor zover </w:t>
      </w:r>
      <w:r w:rsidRPr="00A805F5" w:rsidR="004C374B">
        <w:rPr>
          <w:rFonts w:cs="Arial"/>
          <w:szCs w:val="20"/>
          <w:lang w:val="nl-NL"/>
        </w:rPr>
        <w:t xml:space="preserve">bij de natuurlijke persoon die de dividenden ontvangt nog </w:t>
      </w:r>
      <w:r w:rsidRPr="00A805F5" w:rsidR="00B7639E">
        <w:rPr>
          <w:rFonts w:cs="Arial"/>
          <w:szCs w:val="20"/>
          <w:lang w:val="nl-NL"/>
        </w:rPr>
        <w:t>een aanslag openstaat</w:t>
      </w:r>
      <w:r w:rsidRPr="00A805F5" w:rsidR="004C374B">
        <w:rPr>
          <w:rFonts w:cs="Arial"/>
          <w:szCs w:val="20"/>
          <w:lang w:val="nl-NL"/>
        </w:rPr>
        <w:t xml:space="preserve"> </w:t>
      </w:r>
      <w:proofErr w:type="spellStart"/>
      <w:r w:rsidRPr="00A805F5" w:rsidR="004C374B">
        <w:rPr>
          <w:rFonts w:cs="Arial"/>
          <w:szCs w:val="20"/>
          <w:lang w:val="nl-NL"/>
        </w:rPr>
        <w:t>terzake</w:t>
      </w:r>
      <w:proofErr w:type="spellEnd"/>
      <w:r w:rsidRPr="00A805F5" w:rsidR="004C374B">
        <w:rPr>
          <w:rFonts w:cs="Arial"/>
          <w:szCs w:val="20"/>
          <w:lang w:val="nl-NL"/>
        </w:rPr>
        <w:t xml:space="preserve"> van de waardeaangroei van de aandelen in de periode dat hij inwoner was van zijn </w:t>
      </w:r>
      <w:r w:rsidRPr="00A805F5" w:rsidR="004C374B">
        <w:rPr>
          <w:rFonts w:cs="Arial"/>
          <w:szCs w:val="20"/>
          <w:lang w:val="nl-NL"/>
        </w:rPr>
        <w:lastRenderedPageBreak/>
        <w:t>voormalige woonland. Deze bepaling komt overeen met de Nederlandse verdragsinzet zoals beschreven in onderdeel 4.6.2 van de N</w:t>
      </w:r>
      <w:r w:rsidR="00213C73">
        <w:rPr>
          <w:rFonts w:cs="Arial"/>
          <w:szCs w:val="20"/>
          <w:lang w:val="nl-NL"/>
        </w:rPr>
        <w:t xml:space="preserve">FV </w:t>
      </w:r>
      <w:r w:rsidRPr="00A805F5" w:rsidR="004C374B">
        <w:rPr>
          <w:rFonts w:cs="Arial"/>
          <w:szCs w:val="20"/>
          <w:lang w:val="nl-NL"/>
        </w:rPr>
        <w:t>2020.</w:t>
      </w:r>
    </w:p>
    <w:p w:rsidRPr="00A805F5" w:rsidR="00150CFA" w:rsidP="0009578C" w:rsidRDefault="00150CFA" w14:paraId="5AB4FC48" w14:textId="23FA2A6B">
      <w:pPr>
        <w:rPr>
          <w:rFonts w:cs="Arial"/>
          <w:szCs w:val="20"/>
          <w:lang w:val="nl-NL"/>
        </w:rPr>
      </w:pPr>
      <w:r w:rsidRPr="00A805F5">
        <w:rPr>
          <w:rFonts w:cs="Arial"/>
          <w:szCs w:val="20"/>
          <w:lang w:val="nl-NL"/>
        </w:rPr>
        <w:t xml:space="preserve">In aanvulling op de artikelen 10, 11 en 12 </w:t>
      </w:r>
      <w:r w:rsidRPr="00A805F5" w:rsidR="0009578C">
        <w:rPr>
          <w:rFonts w:cs="Arial"/>
          <w:szCs w:val="20"/>
          <w:lang w:val="nl-NL"/>
        </w:rPr>
        <w:t>bepaal</w:t>
      </w:r>
      <w:r w:rsidRPr="00A805F5" w:rsidR="004F6221">
        <w:rPr>
          <w:rFonts w:cs="Arial"/>
          <w:szCs w:val="20"/>
          <w:lang w:val="nl-NL"/>
        </w:rPr>
        <w:t>t</w:t>
      </w:r>
      <w:r w:rsidRPr="00A805F5">
        <w:rPr>
          <w:rFonts w:cs="Arial"/>
          <w:szCs w:val="20"/>
          <w:lang w:val="nl-NL"/>
        </w:rPr>
        <w:t xml:space="preserve"> artikel IV van het Protocol dat verzoeken</w:t>
      </w:r>
      <w:r w:rsidRPr="00A805F5" w:rsidR="0009578C">
        <w:rPr>
          <w:rFonts w:cs="Arial"/>
          <w:szCs w:val="20"/>
          <w:lang w:val="nl-NL"/>
        </w:rPr>
        <w:t xml:space="preserve"> </w:t>
      </w:r>
      <w:r w:rsidRPr="00A805F5">
        <w:rPr>
          <w:rFonts w:cs="Arial"/>
          <w:szCs w:val="20"/>
          <w:lang w:val="nl-NL"/>
        </w:rPr>
        <w:t>om teruggaaf van te veel geheven bronbelasting moeten worden ingediend binnen drie jaar na afloop van het kalenderjaar waarin de bronbelasting is geheven.</w:t>
      </w:r>
      <w:r w:rsidRPr="00A805F5" w:rsidR="0009578C">
        <w:rPr>
          <w:rFonts w:cs="Arial"/>
          <w:szCs w:val="20"/>
          <w:lang w:val="nl-NL"/>
        </w:rPr>
        <w:t xml:space="preserve"> De termijn van drie jaar is om uitvoeringstechnische redenen op verzoek van Chili</w:t>
      </w:r>
      <w:r w:rsidRPr="00A805F5">
        <w:rPr>
          <w:rFonts w:cs="Arial"/>
          <w:szCs w:val="20"/>
          <w:lang w:val="nl-NL"/>
        </w:rPr>
        <w:t xml:space="preserve"> </w:t>
      </w:r>
      <w:r w:rsidRPr="00A805F5" w:rsidR="0009578C">
        <w:rPr>
          <w:rFonts w:cs="Arial"/>
          <w:szCs w:val="20"/>
          <w:lang w:val="nl-NL"/>
        </w:rPr>
        <w:t>opgenomen.</w:t>
      </w:r>
    </w:p>
    <w:p w:rsidRPr="00A805F5" w:rsidR="0009578C" w:rsidP="0009578C" w:rsidRDefault="00AD3AC8" w14:paraId="6C3F3131" w14:textId="0C2553AD">
      <w:pPr>
        <w:rPr>
          <w:rFonts w:cs="Arial"/>
          <w:szCs w:val="20"/>
          <w:lang w:val="nl-NL"/>
        </w:rPr>
      </w:pPr>
      <w:r w:rsidRPr="00A805F5">
        <w:rPr>
          <w:rFonts w:cs="Arial"/>
          <w:szCs w:val="20"/>
          <w:lang w:val="nl-NL"/>
        </w:rPr>
        <w:t>In artikel VI van het Protocol is bepaald dat</w:t>
      </w:r>
      <w:r w:rsidRPr="00A805F5" w:rsidR="00551C83">
        <w:rPr>
          <w:rFonts w:cs="Arial"/>
          <w:szCs w:val="20"/>
          <w:lang w:val="nl-NL"/>
        </w:rPr>
        <w:t xml:space="preserve"> inkomen dat wordt</w:t>
      </w:r>
      <w:r w:rsidRPr="00A805F5">
        <w:rPr>
          <w:rFonts w:cs="Arial"/>
          <w:szCs w:val="20"/>
          <w:lang w:val="nl-NL"/>
        </w:rPr>
        <w:t xml:space="preserve"> ontvangen uit de (gedeeltelijke) liquidatie van een lichaam of uit de inkoop van eigen aandelen door een lichaam, voor de toepassing van het Verdrag worden aangemerkt als dividend en</w:t>
      </w:r>
      <w:r w:rsidRPr="00A805F5" w:rsidR="00551C83">
        <w:rPr>
          <w:rFonts w:cs="Arial"/>
          <w:szCs w:val="20"/>
          <w:lang w:val="nl-NL"/>
        </w:rPr>
        <w:t xml:space="preserve"> niet als vermogenswinst</w:t>
      </w:r>
      <w:r w:rsidRPr="00A805F5">
        <w:rPr>
          <w:rFonts w:cs="Arial"/>
          <w:szCs w:val="20"/>
          <w:lang w:val="nl-NL"/>
        </w:rPr>
        <w:t>. Dit sluit aan bij het verdragsbeleid</w:t>
      </w:r>
      <w:r w:rsidR="00406146">
        <w:rPr>
          <w:rFonts w:cs="Arial"/>
          <w:szCs w:val="20"/>
          <w:lang w:val="nl-NL"/>
        </w:rPr>
        <w:t>, zoals beschreven in</w:t>
      </w:r>
      <w:r w:rsidRPr="00A805F5">
        <w:rPr>
          <w:rFonts w:cs="Arial"/>
          <w:szCs w:val="20"/>
          <w:lang w:val="nl-NL"/>
        </w:rPr>
        <w:t xml:space="preserve"> onderdeel 4.7 van de </w:t>
      </w:r>
      <w:r w:rsidR="00406146">
        <w:rPr>
          <w:rFonts w:cs="Arial"/>
          <w:szCs w:val="20"/>
          <w:lang w:val="nl-NL"/>
        </w:rPr>
        <w:t>NFV</w:t>
      </w:r>
      <w:r w:rsidRPr="00A805F5">
        <w:rPr>
          <w:rFonts w:cs="Arial"/>
          <w:szCs w:val="20"/>
          <w:lang w:val="nl-NL"/>
        </w:rPr>
        <w:t xml:space="preserve"> 2020.</w:t>
      </w:r>
    </w:p>
    <w:p w:rsidRPr="00A805F5" w:rsidR="0010137F" w:rsidP="00C43F56" w:rsidRDefault="00C43F56" w14:paraId="4F4F193D" w14:textId="06D6339E">
      <w:pPr>
        <w:pStyle w:val="Heading2"/>
        <w:rPr>
          <w:rFonts w:cs="Arial"/>
          <w:b w:val="0"/>
          <w:bCs w:val="0"/>
          <w:i/>
          <w:smallCaps w:val="0"/>
          <w:szCs w:val="20"/>
          <w:lang w:val="nl-NL"/>
        </w:rPr>
      </w:pPr>
      <w:r w:rsidRPr="00A805F5">
        <w:rPr>
          <w:rFonts w:cs="Arial"/>
          <w:b w:val="0"/>
          <w:bCs w:val="0"/>
          <w:i/>
          <w:smallCaps w:val="0"/>
          <w:szCs w:val="20"/>
          <w:lang w:val="nl-NL"/>
        </w:rPr>
        <w:t>II.11 Interest (</w:t>
      </w:r>
      <w:r w:rsidRPr="00A805F5" w:rsidR="0010137F">
        <w:rPr>
          <w:rFonts w:cs="Arial"/>
          <w:b w:val="0"/>
          <w:bCs w:val="0"/>
          <w:i/>
          <w:smallCaps w:val="0"/>
          <w:szCs w:val="20"/>
          <w:lang w:val="nl-NL"/>
        </w:rPr>
        <w:t xml:space="preserve">Artikel 11 </w:t>
      </w:r>
      <w:r w:rsidRPr="00A805F5" w:rsidR="006E24FE">
        <w:rPr>
          <w:rFonts w:cs="Arial"/>
          <w:b w:val="0"/>
          <w:bCs w:val="0"/>
          <w:i/>
          <w:smallCaps w:val="0"/>
          <w:szCs w:val="20"/>
          <w:lang w:val="nl-NL"/>
        </w:rPr>
        <w:t xml:space="preserve">van het Verdrag en </w:t>
      </w:r>
      <w:r w:rsidR="000A0A88">
        <w:rPr>
          <w:rFonts w:cs="Arial"/>
          <w:b w:val="0"/>
          <w:bCs w:val="0"/>
          <w:i/>
          <w:smallCaps w:val="0"/>
          <w:szCs w:val="20"/>
          <w:lang w:val="nl-NL"/>
        </w:rPr>
        <w:t xml:space="preserve">de </w:t>
      </w:r>
      <w:r w:rsidRPr="00A805F5" w:rsidR="006E24FE">
        <w:rPr>
          <w:rFonts w:cs="Arial"/>
          <w:b w:val="0"/>
          <w:bCs w:val="0"/>
          <w:i/>
          <w:smallCaps w:val="0"/>
          <w:szCs w:val="20"/>
          <w:lang w:val="nl-NL"/>
        </w:rPr>
        <w:t xml:space="preserve">artikelen IV en V van het Protocol) </w:t>
      </w:r>
    </w:p>
    <w:p w:rsidRPr="00A805F5" w:rsidR="006E24FE" w:rsidP="006E24FE" w:rsidRDefault="006E24FE" w14:paraId="28881D7E" w14:textId="0F07C702">
      <w:pPr>
        <w:ind w:firstLine="720"/>
        <w:rPr>
          <w:rFonts w:cs="Arial"/>
          <w:szCs w:val="20"/>
          <w:highlight w:val="lightGray"/>
          <w:lang w:val="nl-NL"/>
        </w:rPr>
      </w:pPr>
      <w:r w:rsidRPr="00A805F5">
        <w:rPr>
          <w:rFonts w:cs="Arial"/>
          <w:szCs w:val="20"/>
          <w:lang w:val="nl-NL"/>
        </w:rPr>
        <w:t xml:space="preserve">Artikel 11 </w:t>
      </w:r>
      <w:r w:rsidRPr="00A805F5" w:rsidR="000C423D">
        <w:rPr>
          <w:rFonts w:cs="Arial"/>
          <w:szCs w:val="20"/>
          <w:lang w:val="nl-NL"/>
        </w:rPr>
        <w:t xml:space="preserve">regelt </w:t>
      </w:r>
      <w:r w:rsidRPr="00A805F5">
        <w:rPr>
          <w:rFonts w:cs="Arial"/>
          <w:szCs w:val="20"/>
          <w:lang w:val="nl-NL"/>
        </w:rPr>
        <w:t>de verdeling va</w:t>
      </w:r>
      <w:r w:rsidRPr="00A805F5" w:rsidR="00B4619E">
        <w:rPr>
          <w:rFonts w:cs="Arial"/>
          <w:szCs w:val="20"/>
          <w:lang w:val="nl-NL"/>
        </w:rPr>
        <w:t>n heffingsrechten over interest</w:t>
      </w:r>
      <w:r w:rsidRPr="00A805F5">
        <w:rPr>
          <w:rFonts w:cs="Arial"/>
          <w:szCs w:val="20"/>
          <w:lang w:val="nl-NL"/>
        </w:rPr>
        <w:t xml:space="preserve"> </w:t>
      </w:r>
      <w:r w:rsidRPr="00A805F5" w:rsidR="00B4619E">
        <w:rPr>
          <w:rFonts w:cs="Arial"/>
          <w:szCs w:val="20"/>
          <w:lang w:val="nl-NL"/>
        </w:rPr>
        <w:t>en is in hoofdzaak gebaseerd op artikel 11 van het OESO-modelverdrag. Op enkele onderdelen wijkt dit artikel daarvan af, met name bij het tweede lid.</w:t>
      </w:r>
      <w:r w:rsidRPr="00A805F5">
        <w:rPr>
          <w:rFonts w:cs="Arial"/>
          <w:szCs w:val="20"/>
          <w:highlight w:val="lightGray"/>
          <w:lang w:val="nl-NL"/>
        </w:rPr>
        <w:t xml:space="preserve"> </w:t>
      </w:r>
    </w:p>
    <w:p w:rsidRPr="00A805F5" w:rsidR="00AF2805" w:rsidP="00AF2805" w:rsidRDefault="00AF2805" w14:paraId="08E02692" w14:textId="77777777">
      <w:pPr>
        <w:ind w:firstLine="720"/>
        <w:rPr>
          <w:rFonts w:cs="Arial"/>
          <w:szCs w:val="20"/>
          <w:lang w:val="nl-NL"/>
        </w:rPr>
      </w:pPr>
      <w:r w:rsidRPr="00A805F5">
        <w:rPr>
          <w:rFonts w:cs="Arial"/>
          <w:szCs w:val="20"/>
          <w:lang w:val="nl-NL"/>
        </w:rPr>
        <w:t>Het eerste lid bepaalt dat interest die</w:t>
      </w:r>
      <w:r w:rsidRPr="00A805F5" w:rsidR="006E24FE">
        <w:rPr>
          <w:rFonts w:cs="Arial"/>
          <w:szCs w:val="20"/>
          <w:lang w:val="nl-NL"/>
        </w:rPr>
        <w:t xml:space="preserve"> opkomt in één van beide verdragsluitende staten en wordt betaald aan een inwoner van de andere staat, in die andere staat </w:t>
      </w:r>
      <w:r w:rsidRPr="00A805F5">
        <w:rPr>
          <w:rFonts w:cs="Arial"/>
          <w:szCs w:val="20"/>
          <w:lang w:val="nl-NL"/>
        </w:rPr>
        <w:t xml:space="preserve">mag </w:t>
      </w:r>
      <w:r w:rsidRPr="00A805F5" w:rsidR="006E24FE">
        <w:rPr>
          <w:rFonts w:cs="Arial"/>
          <w:szCs w:val="20"/>
          <w:lang w:val="nl-NL"/>
        </w:rPr>
        <w:t xml:space="preserve">worden belast. </w:t>
      </w:r>
    </w:p>
    <w:p w:rsidRPr="00A805F5" w:rsidR="006E24FE" w:rsidP="006E24FE" w:rsidRDefault="00AF2805" w14:paraId="1A346092" w14:textId="211A8D62">
      <w:pPr>
        <w:ind w:firstLine="720"/>
        <w:rPr>
          <w:rFonts w:cs="Arial"/>
          <w:szCs w:val="20"/>
          <w:lang w:val="nl-NL"/>
        </w:rPr>
      </w:pPr>
      <w:r w:rsidRPr="00A805F5">
        <w:rPr>
          <w:rFonts w:cs="Arial"/>
          <w:szCs w:val="20"/>
          <w:lang w:val="nl-NL"/>
        </w:rPr>
        <w:t xml:space="preserve">Op grond van het </w:t>
      </w:r>
      <w:r w:rsidRPr="00A805F5" w:rsidR="006E24FE">
        <w:rPr>
          <w:rFonts w:cs="Arial"/>
          <w:szCs w:val="20"/>
          <w:lang w:val="nl-NL"/>
        </w:rPr>
        <w:t xml:space="preserve">tweede lid </w:t>
      </w:r>
      <w:r w:rsidRPr="00A805F5">
        <w:rPr>
          <w:rFonts w:cs="Arial"/>
          <w:szCs w:val="20"/>
          <w:lang w:val="nl-NL"/>
        </w:rPr>
        <w:t>mag de interest ook worden belast in de</w:t>
      </w:r>
      <w:r w:rsidRPr="00A805F5" w:rsidR="006E24FE">
        <w:rPr>
          <w:rFonts w:cs="Arial"/>
          <w:szCs w:val="20"/>
          <w:lang w:val="nl-NL"/>
        </w:rPr>
        <w:t xml:space="preserve"> staat waaruit de interest afkomstig is</w:t>
      </w:r>
      <w:r w:rsidRPr="00A805F5">
        <w:rPr>
          <w:rFonts w:cs="Arial"/>
          <w:szCs w:val="20"/>
          <w:lang w:val="nl-NL"/>
        </w:rPr>
        <w:t xml:space="preserve"> (de bronstaat), mits de heffing blijft binnen de daarin opgenomen maxima. </w:t>
      </w:r>
      <w:r w:rsidRPr="00A805F5" w:rsidR="007C493A">
        <w:rPr>
          <w:rFonts w:cs="Arial"/>
          <w:szCs w:val="20"/>
          <w:lang w:val="nl-NL"/>
        </w:rPr>
        <w:t>Op grond van onderdeel a geldt een maximale heffing van</w:t>
      </w:r>
      <w:r w:rsidRPr="00A805F5">
        <w:rPr>
          <w:rFonts w:cs="Arial"/>
          <w:szCs w:val="20"/>
          <w:lang w:val="nl-NL"/>
        </w:rPr>
        <w:t xml:space="preserve"> 4</w:t>
      </w:r>
      <w:r w:rsidR="000A0A88">
        <w:rPr>
          <w:rFonts w:cs="Arial"/>
          <w:szCs w:val="20"/>
          <w:lang w:val="nl-NL"/>
        </w:rPr>
        <w:t>%</w:t>
      </w:r>
      <w:r w:rsidRPr="00A805F5">
        <w:rPr>
          <w:rFonts w:cs="Arial"/>
          <w:szCs w:val="20"/>
          <w:lang w:val="nl-NL"/>
        </w:rPr>
        <w:t xml:space="preserve"> van de bruto-interest ingeval </w:t>
      </w:r>
      <w:r w:rsidRPr="00A805F5" w:rsidR="007C493A">
        <w:rPr>
          <w:rFonts w:cs="Arial"/>
          <w:szCs w:val="20"/>
          <w:lang w:val="nl-NL"/>
        </w:rPr>
        <w:t>de uiteindelijk gerecht</w:t>
      </w:r>
      <w:r w:rsidRPr="00A805F5" w:rsidR="002A532A">
        <w:rPr>
          <w:rFonts w:cs="Arial"/>
          <w:szCs w:val="20"/>
          <w:lang w:val="nl-NL"/>
        </w:rPr>
        <w:t xml:space="preserve">igde van de interest een inwoner van de andere verdragsluitende staat is </w:t>
      </w:r>
      <w:r w:rsidRPr="00A805F5" w:rsidR="00E709C9">
        <w:rPr>
          <w:rFonts w:cs="Arial"/>
          <w:szCs w:val="20"/>
          <w:lang w:val="nl-NL"/>
        </w:rPr>
        <w:t>en dit</w:t>
      </w:r>
      <w:r w:rsidRPr="00A805F5" w:rsidR="002A532A">
        <w:rPr>
          <w:rFonts w:cs="Arial"/>
          <w:szCs w:val="20"/>
          <w:lang w:val="nl-NL"/>
        </w:rPr>
        <w:t xml:space="preserve"> </w:t>
      </w:r>
      <w:r w:rsidRPr="00A805F5" w:rsidR="007C493A">
        <w:rPr>
          <w:rFonts w:cs="Arial"/>
          <w:szCs w:val="20"/>
          <w:lang w:val="nl-NL"/>
        </w:rPr>
        <w:t>een bank- of verzekeringsmaatschappij</w:t>
      </w:r>
      <w:r w:rsidRPr="00A805F5" w:rsidR="00E709C9">
        <w:rPr>
          <w:rFonts w:cs="Arial"/>
          <w:szCs w:val="20"/>
          <w:lang w:val="nl-NL"/>
        </w:rPr>
        <w:t xml:space="preserve"> is</w:t>
      </w:r>
      <w:r w:rsidRPr="00A805F5" w:rsidR="007C493A">
        <w:rPr>
          <w:rFonts w:cs="Arial"/>
          <w:szCs w:val="20"/>
          <w:lang w:val="nl-NL"/>
        </w:rPr>
        <w:t xml:space="preserve"> (onderdeel a, onder i), een onderneming </w:t>
      </w:r>
      <w:r w:rsidRPr="00A805F5" w:rsidR="002A532A">
        <w:rPr>
          <w:rFonts w:cs="Arial"/>
          <w:szCs w:val="20"/>
          <w:lang w:val="nl-NL"/>
        </w:rPr>
        <w:t xml:space="preserve">is </w:t>
      </w:r>
      <w:r w:rsidRPr="00A805F5" w:rsidR="007C493A">
        <w:rPr>
          <w:rFonts w:cs="Arial"/>
          <w:szCs w:val="20"/>
          <w:lang w:val="nl-NL"/>
        </w:rPr>
        <w:t>die grotendeels haar bruto-inkomsten ontleen</w:t>
      </w:r>
      <w:r w:rsidRPr="00A805F5" w:rsidR="00E709C9">
        <w:rPr>
          <w:rFonts w:cs="Arial"/>
          <w:szCs w:val="20"/>
          <w:lang w:val="nl-NL"/>
        </w:rPr>
        <w:t>t</w:t>
      </w:r>
      <w:r w:rsidRPr="00A805F5" w:rsidR="007C493A">
        <w:rPr>
          <w:rFonts w:cs="Arial"/>
          <w:szCs w:val="20"/>
          <w:lang w:val="nl-NL"/>
        </w:rPr>
        <w:t xml:space="preserve"> aan </w:t>
      </w:r>
      <w:r w:rsidRPr="00A805F5" w:rsidR="002A532A">
        <w:rPr>
          <w:rFonts w:cs="Arial"/>
          <w:szCs w:val="20"/>
          <w:lang w:val="nl-NL"/>
        </w:rPr>
        <w:t>het lenen of financieren van niet gerelateerde partijen (onderdeel a, onder ii) of als het interest betreft die verband houdt met de verkoop op afbetaling van machines of uitrusting (onderdeel a, onder iii). In overige gevallen geldt een maximum van 10</w:t>
      </w:r>
      <w:r w:rsidR="000A0A88">
        <w:rPr>
          <w:rFonts w:cs="Arial"/>
          <w:szCs w:val="20"/>
          <w:lang w:val="nl-NL"/>
        </w:rPr>
        <w:t>%</w:t>
      </w:r>
      <w:r w:rsidRPr="00A805F5" w:rsidR="002A532A">
        <w:rPr>
          <w:rFonts w:cs="Arial"/>
          <w:szCs w:val="20"/>
          <w:lang w:val="nl-NL"/>
        </w:rPr>
        <w:t xml:space="preserve"> van de bruto-interest.</w:t>
      </w:r>
      <w:r w:rsidRPr="00A805F5" w:rsidR="00E74767">
        <w:rPr>
          <w:rFonts w:cs="Arial"/>
          <w:szCs w:val="20"/>
          <w:lang w:val="nl-NL"/>
        </w:rPr>
        <w:t xml:space="preserve"> In tegenstelling tot onder meer het belastingverdrag dat Chili in 2016 met Japan heeft</w:t>
      </w:r>
      <w:r w:rsidRPr="00A805F5" w:rsidR="002A532A">
        <w:rPr>
          <w:rFonts w:cs="Arial"/>
          <w:szCs w:val="20"/>
          <w:lang w:val="nl-NL"/>
        </w:rPr>
        <w:t xml:space="preserve"> </w:t>
      </w:r>
      <w:r w:rsidRPr="00A805F5" w:rsidR="00E74767">
        <w:rPr>
          <w:rFonts w:cs="Arial"/>
          <w:szCs w:val="20"/>
          <w:lang w:val="nl-NL"/>
        </w:rPr>
        <w:t xml:space="preserve">gesloten, geldt er geen overgangstermijn voor de in het tweede lid overeengekomen tarieven. </w:t>
      </w:r>
    </w:p>
    <w:p w:rsidRPr="00A805F5" w:rsidR="00E74767" w:rsidP="006E24FE" w:rsidRDefault="00E74767" w14:paraId="666976FC" w14:textId="77777777">
      <w:pPr>
        <w:ind w:firstLine="720"/>
        <w:rPr>
          <w:rFonts w:cs="Arial"/>
          <w:szCs w:val="20"/>
          <w:lang w:val="nl-NL"/>
        </w:rPr>
      </w:pPr>
      <w:r w:rsidRPr="00A805F5">
        <w:rPr>
          <w:rFonts w:cs="Arial"/>
          <w:szCs w:val="20"/>
          <w:lang w:val="nl-NL"/>
        </w:rPr>
        <w:t xml:space="preserve">In artikel V van het Protocol is </w:t>
      </w:r>
      <w:r w:rsidRPr="00A805F5" w:rsidR="00143378">
        <w:rPr>
          <w:rFonts w:cs="Arial"/>
          <w:szCs w:val="20"/>
          <w:lang w:val="nl-NL"/>
        </w:rPr>
        <w:t xml:space="preserve">op verzoek van Nederland </w:t>
      </w:r>
      <w:r w:rsidRPr="00A805F5">
        <w:rPr>
          <w:rFonts w:cs="Arial"/>
          <w:szCs w:val="20"/>
          <w:lang w:val="nl-NL"/>
        </w:rPr>
        <w:t>een meestbegunstigingsclausule opgenomen</w:t>
      </w:r>
      <w:r w:rsidRPr="00A805F5" w:rsidR="00B763F5">
        <w:rPr>
          <w:rFonts w:cs="Arial"/>
          <w:szCs w:val="20"/>
          <w:lang w:val="nl-NL"/>
        </w:rPr>
        <w:t xml:space="preserve"> die onder meer betrekking heeft op artikel 11, tweede lid, van het Verdrag</w:t>
      </w:r>
      <w:r w:rsidRPr="00A805F5">
        <w:rPr>
          <w:rFonts w:cs="Arial"/>
          <w:szCs w:val="20"/>
          <w:lang w:val="nl-NL"/>
        </w:rPr>
        <w:t xml:space="preserve">. </w:t>
      </w:r>
      <w:r w:rsidRPr="00A805F5" w:rsidR="003D127A">
        <w:rPr>
          <w:rFonts w:cs="Arial"/>
          <w:szCs w:val="20"/>
          <w:lang w:val="nl-NL"/>
        </w:rPr>
        <w:t>D</w:t>
      </w:r>
      <w:r w:rsidRPr="00A805F5">
        <w:rPr>
          <w:rFonts w:cs="Arial"/>
          <w:szCs w:val="20"/>
          <w:lang w:val="nl-NL"/>
        </w:rPr>
        <w:t xml:space="preserve">eze </w:t>
      </w:r>
      <w:r w:rsidRPr="00A805F5" w:rsidR="00B763F5">
        <w:rPr>
          <w:rFonts w:cs="Arial"/>
          <w:szCs w:val="20"/>
          <w:lang w:val="nl-NL"/>
        </w:rPr>
        <w:t>protocol</w:t>
      </w:r>
      <w:r w:rsidRPr="00A805F5">
        <w:rPr>
          <w:rFonts w:cs="Arial"/>
          <w:szCs w:val="20"/>
          <w:lang w:val="nl-NL"/>
        </w:rPr>
        <w:t xml:space="preserve">bepaling </w:t>
      </w:r>
      <w:r w:rsidRPr="00A805F5" w:rsidR="003D127A">
        <w:rPr>
          <w:rFonts w:cs="Arial"/>
          <w:szCs w:val="20"/>
          <w:lang w:val="nl-NL"/>
        </w:rPr>
        <w:t xml:space="preserve">bepaalt dat </w:t>
      </w:r>
      <w:r w:rsidRPr="00A805F5">
        <w:rPr>
          <w:rFonts w:cs="Arial"/>
          <w:szCs w:val="20"/>
          <w:lang w:val="nl-NL"/>
        </w:rPr>
        <w:t>de verdragsluitende staten</w:t>
      </w:r>
      <w:r w:rsidRPr="00A805F5" w:rsidR="00B763F5">
        <w:rPr>
          <w:rFonts w:cs="Arial"/>
          <w:szCs w:val="20"/>
          <w:lang w:val="nl-NL"/>
        </w:rPr>
        <w:t>, op verzoek van Nederland,</w:t>
      </w:r>
      <w:r w:rsidRPr="00A805F5">
        <w:rPr>
          <w:rFonts w:cs="Arial"/>
          <w:szCs w:val="20"/>
          <w:lang w:val="nl-NL"/>
        </w:rPr>
        <w:t xml:space="preserve"> met elkaar overleg </w:t>
      </w:r>
      <w:r w:rsidRPr="00A805F5" w:rsidR="003D127A">
        <w:rPr>
          <w:rFonts w:cs="Arial"/>
          <w:szCs w:val="20"/>
          <w:lang w:val="nl-NL"/>
        </w:rPr>
        <w:t xml:space="preserve">plegen </w:t>
      </w:r>
      <w:r w:rsidRPr="00A805F5" w:rsidR="00B763F5">
        <w:rPr>
          <w:rFonts w:cs="Arial"/>
          <w:szCs w:val="20"/>
          <w:lang w:val="nl-NL"/>
        </w:rPr>
        <w:t xml:space="preserve">om een lagere (bron)belasting </w:t>
      </w:r>
      <w:r w:rsidRPr="00A805F5" w:rsidR="003D127A">
        <w:rPr>
          <w:rFonts w:cs="Arial"/>
          <w:szCs w:val="20"/>
          <w:lang w:val="nl-NL"/>
        </w:rPr>
        <w:t xml:space="preserve">op interest </w:t>
      </w:r>
      <w:r w:rsidRPr="00A805F5" w:rsidR="00B763F5">
        <w:rPr>
          <w:rFonts w:cs="Arial"/>
          <w:szCs w:val="20"/>
          <w:lang w:val="nl-NL"/>
        </w:rPr>
        <w:t xml:space="preserve">in het Verdrag op te nemen indien Chili </w:t>
      </w:r>
      <w:r w:rsidRPr="00A805F5" w:rsidR="003D127A">
        <w:rPr>
          <w:rFonts w:cs="Arial"/>
          <w:szCs w:val="20"/>
          <w:lang w:val="nl-NL"/>
        </w:rPr>
        <w:t xml:space="preserve">een </w:t>
      </w:r>
      <w:r w:rsidRPr="00A805F5" w:rsidR="00B763F5">
        <w:rPr>
          <w:rFonts w:cs="Arial"/>
          <w:szCs w:val="20"/>
          <w:lang w:val="nl-NL"/>
        </w:rPr>
        <w:t xml:space="preserve">dergelijke lagere </w:t>
      </w:r>
      <w:r w:rsidRPr="00A805F5" w:rsidR="00143378">
        <w:rPr>
          <w:rFonts w:cs="Arial"/>
          <w:szCs w:val="20"/>
          <w:lang w:val="nl-NL"/>
        </w:rPr>
        <w:t>(bron)</w:t>
      </w:r>
      <w:r w:rsidRPr="00A805F5" w:rsidR="00B763F5">
        <w:rPr>
          <w:rFonts w:cs="Arial"/>
          <w:szCs w:val="20"/>
          <w:lang w:val="nl-NL"/>
        </w:rPr>
        <w:t xml:space="preserve">belasting overeenkomt in een belastingverdrag dat in werking treedt na dit Verdrag. </w:t>
      </w:r>
    </w:p>
    <w:p w:rsidRPr="00A805F5" w:rsidR="00240F6C" w:rsidP="006E24FE" w:rsidRDefault="00C43F56" w14:paraId="7706995B" w14:textId="7586E7B5">
      <w:pPr>
        <w:ind w:firstLine="720"/>
        <w:rPr>
          <w:rFonts w:cs="Arial"/>
          <w:szCs w:val="20"/>
          <w:lang w:val="nl-NL"/>
        </w:rPr>
      </w:pPr>
      <w:r w:rsidRPr="00A805F5">
        <w:rPr>
          <w:rFonts w:cs="Arial"/>
          <w:szCs w:val="20"/>
          <w:lang w:val="nl-NL"/>
        </w:rPr>
        <w:t>Het derde lid van artikel 11</w:t>
      </w:r>
      <w:r w:rsidRPr="00A805F5" w:rsidR="00240F6C">
        <w:rPr>
          <w:rFonts w:cs="Arial"/>
          <w:szCs w:val="20"/>
          <w:lang w:val="nl-NL"/>
        </w:rPr>
        <w:t xml:space="preserve"> van het Verdrag bevat een definitie van de uitdrukking </w:t>
      </w:r>
      <w:r w:rsidRPr="00A805F5" w:rsidR="0017699A">
        <w:rPr>
          <w:rFonts w:cs="Arial"/>
          <w:szCs w:val="20"/>
          <w:lang w:val="nl-NL"/>
        </w:rPr>
        <w:t>‘</w:t>
      </w:r>
      <w:r w:rsidRPr="00A805F5" w:rsidR="00240F6C">
        <w:rPr>
          <w:rFonts w:cs="Arial"/>
          <w:szCs w:val="20"/>
          <w:lang w:val="nl-NL"/>
        </w:rPr>
        <w:t>interest</w:t>
      </w:r>
      <w:r w:rsidRPr="00A805F5" w:rsidR="0017699A">
        <w:rPr>
          <w:rFonts w:cs="Arial"/>
          <w:szCs w:val="20"/>
          <w:lang w:val="nl-NL"/>
        </w:rPr>
        <w:t>’</w:t>
      </w:r>
      <w:r w:rsidRPr="00A805F5" w:rsidR="00240F6C">
        <w:rPr>
          <w:rFonts w:cs="Arial"/>
          <w:szCs w:val="20"/>
          <w:lang w:val="nl-NL"/>
        </w:rPr>
        <w:t xml:space="preserve"> die </w:t>
      </w:r>
      <w:r w:rsidRPr="00A805F5" w:rsidR="00D46BF5">
        <w:rPr>
          <w:rFonts w:cs="Arial"/>
          <w:szCs w:val="20"/>
          <w:lang w:val="nl-NL"/>
        </w:rPr>
        <w:t>inhoudelijk vrijwel geheel overeenkomt met</w:t>
      </w:r>
      <w:r w:rsidRPr="00A805F5" w:rsidR="00240F6C">
        <w:rPr>
          <w:rFonts w:cs="Arial"/>
          <w:szCs w:val="20"/>
          <w:lang w:val="nl-NL"/>
        </w:rPr>
        <w:t xml:space="preserve"> het OESO-modelverdrag maar op onderdelen </w:t>
      </w:r>
      <w:r w:rsidRPr="00A805F5" w:rsidR="00D46BF5">
        <w:rPr>
          <w:rFonts w:cs="Arial"/>
          <w:szCs w:val="20"/>
          <w:lang w:val="nl-NL"/>
        </w:rPr>
        <w:t xml:space="preserve">tekstueel </w:t>
      </w:r>
      <w:r w:rsidRPr="00A805F5" w:rsidR="00240F6C">
        <w:rPr>
          <w:rFonts w:cs="Arial"/>
          <w:szCs w:val="20"/>
          <w:lang w:val="nl-NL"/>
        </w:rPr>
        <w:t>daarvan afwijkt. Zo is op verzoek van Chili geen verwijzing opgenomen</w:t>
      </w:r>
      <w:r w:rsidRPr="00A805F5" w:rsidR="00D46BF5">
        <w:rPr>
          <w:rFonts w:cs="Arial"/>
          <w:szCs w:val="20"/>
          <w:lang w:val="nl-NL"/>
        </w:rPr>
        <w:t xml:space="preserve"> naar </w:t>
      </w:r>
      <w:r w:rsidRPr="00A805F5" w:rsidR="00E709C9">
        <w:rPr>
          <w:rFonts w:cs="Arial"/>
          <w:szCs w:val="20"/>
          <w:lang w:val="nl-NL"/>
        </w:rPr>
        <w:t xml:space="preserve">het </w:t>
      </w:r>
      <w:r w:rsidRPr="00A805F5" w:rsidR="00D46BF5">
        <w:rPr>
          <w:rFonts w:cs="Arial"/>
          <w:szCs w:val="20"/>
          <w:lang w:val="nl-NL"/>
        </w:rPr>
        <w:t xml:space="preserve">al dan niet </w:t>
      </w:r>
      <w:r w:rsidRPr="00A805F5" w:rsidR="00240F6C">
        <w:rPr>
          <w:rFonts w:cs="Arial"/>
          <w:szCs w:val="20"/>
          <w:lang w:val="nl-NL"/>
        </w:rPr>
        <w:t>w</w:t>
      </w:r>
      <w:r w:rsidRPr="00A805F5" w:rsidR="00D46BF5">
        <w:rPr>
          <w:rFonts w:cs="Arial"/>
          <w:szCs w:val="20"/>
          <w:lang w:val="nl-NL"/>
        </w:rPr>
        <w:t>instdelend zijn</w:t>
      </w:r>
      <w:r w:rsidRPr="00A805F5" w:rsidR="00E709C9">
        <w:rPr>
          <w:rFonts w:cs="Arial"/>
          <w:szCs w:val="20"/>
          <w:lang w:val="nl-NL"/>
        </w:rPr>
        <w:t xml:space="preserve"> van de lening</w:t>
      </w:r>
      <w:r w:rsidRPr="00A805F5" w:rsidR="00D46BF5">
        <w:rPr>
          <w:rFonts w:cs="Arial"/>
          <w:szCs w:val="20"/>
          <w:lang w:val="nl-NL"/>
        </w:rPr>
        <w:t>, en is opgenomen dat inkomen dat onder de nationale wetgeving van de bronstaat op dezelfde wijze wordt behandeld als interest ook onder deze uitdrukking valt. Ook is expliciet opgenomen dat inkomen dat behandeld wordt in artikel 10 (dividenden) niet onder artikel 11 van het Verdrag valt</w:t>
      </w:r>
      <w:r w:rsidRPr="00A805F5" w:rsidR="00781789">
        <w:rPr>
          <w:rFonts w:cs="Arial"/>
          <w:szCs w:val="20"/>
          <w:lang w:val="nl-NL"/>
        </w:rPr>
        <w:t>.</w:t>
      </w:r>
    </w:p>
    <w:p w:rsidRPr="00A805F5" w:rsidR="00AA68F2" w:rsidP="00AA68F2" w:rsidRDefault="00C43F56" w14:paraId="533622E8" w14:textId="5D9C79B2">
      <w:pPr>
        <w:ind w:firstLine="720"/>
        <w:rPr>
          <w:rFonts w:cs="Arial"/>
          <w:szCs w:val="20"/>
          <w:lang w:val="nl-NL"/>
        </w:rPr>
      </w:pPr>
      <w:r w:rsidRPr="00A805F5">
        <w:rPr>
          <w:rFonts w:cs="Arial"/>
          <w:szCs w:val="20"/>
          <w:lang w:val="nl-NL"/>
        </w:rPr>
        <w:lastRenderedPageBreak/>
        <w:t>Het vierde lid</w:t>
      </w:r>
      <w:r w:rsidRPr="00A805F5" w:rsidR="00AA68F2">
        <w:rPr>
          <w:rFonts w:cs="Arial"/>
          <w:szCs w:val="20"/>
          <w:lang w:val="nl-NL"/>
        </w:rPr>
        <w:t xml:space="preserve"> is ontleend aan artikel 11, vierde lid, van het OESO-modelverdrag. In afwijking van het OESO-modelverdrag, en in overeenstemming met het VN-modelverdrag, zijn verwijzingen opgenomen naar artikel 14 van het Verdrag dat gaat over de belastingheffing </w:t>
      </w:r>
      <w:r w:rsidR="005D61A9">
        <w:rPr>
          <w:rFonts w:cs="Arial"/>
          <w:szCs w:val="20"/>
          <w:lang w:val="nl-NL"/>
        </w:rPr>
        <w:t>over inkomen uit</w:t>
      </w:r>
      <w:r w:rsidRPr="00A805F5" w:rsidR="00AA68F2">
        <w:rPr>
          <w:rFonts w:cs="Arial"/>
          <w:szCs w:val="20"/>
          <w:lang w:val="nl-NL"/>
        </w:rPr>
        <w:t xml:space="preserve"> zelfstandige arbeid. Het vierde lid bepaalt dat niet het eerste en tweede lid, maar artikel 7 (ondernemingswinst), respectievelijk 14 (zelfstandige arbeid), van toepassing zijn op interest die </w:t>
      </w:r>
      <w:r w:rsidRPr="00A805F5" w:rsidR="000F11EE">
        <w:rPr>
          <w:rFonts w:cs="Arial"/>
          <w:szCs w:val="20"/>
          <w:lang w:val="nl-NL"/>
        </w:rPr>
        <w:t>word</w:t>
      </w:r>
      <w:r w:rsidR="000F11EE">
        <w:rPr>
          <w:rFonts w:cs="Arial"/>
          <w:szCs w:val="20"/>
          <w:lang w:val="nl-NL"/>
        </w:rPr>
        <w:t>t</w:t>
      </w:r>
      <w:r w:rsidRPr="00A805F5" w:rsidR="000F11EE">
        <w:rPr>
          <w:rFonts w:cs="Arial"/>
          <w:szCs w:val="20"/>
          <w:lang w:val="nl-NL"/>
        </w:rPr>
        <w:t xml:space="preserve"> </w:t>
      </w:r>
      <w:r w:rsidRPr="00A805F5" w:rsidR="00AA68F2">
        <w:rPr>
          <w:rFonts w:cs="Arial"/>
          <w:szCs w:val="20"/>
          <w:lang w:val="nl-NL"/>
        </w:rPr>
        <w:t xml:space="preserve">betaald op schuldvorderingen die </w:t>
      </w:r>
      <w:r w:rsidRPr="00A805F5" w:rsidR="00E52CFF">
        <w:rPr>
          <w:rFonts w:cs="Arial"/>
          <w:szCs w:val="20"/>
          <w:lang w:val="nl-NL"/>
        </w:rPr>
        <w:t>worden toegerekend aan</w:t>
      </w:r>
      <w:r w:rsidRPr="00A805F5" w:rsidR="00AA68F2">
        <w:rPr>
          <w:rFonts w:cs="Arial"/>
          <w:szCs w:val="20"/>
          <w:lang w:val="nl-NL"/>
        </w:rPr>
        <w:t xml:space="preserve"> een vaste inrichting of vast middelpunt waarover de uiteindelijk gerechtigde (tot die interest) beschikt in de verdragsluitende staat van waaruit de interest afkomstig is. </w:t>
      </w:r>
    </w:p>
    <w:p w:rsidRPr="00A805F5" w:rsidR="006E24FE" w:rsidP="006E24FE" w:rsidRDefault="00AA68F2" w14:paraId="5EE5F905" w14:textId="30F4D43C">
      <w:pPr>
        <w:ind w:firstLine="720"/>
        <w:rPr>
          <w:rFonts w:cs="Arial"/>
          <w:szCs w:val="20"/>
          <w:lang w:val="nl-NL"/>
        </w:rPr>
      </w:pPr>
      <w:r w:rsidRPr="00A805F5">
        <w:rPr>
          <w:rFonts w:cs="Arial"/>
          <w:szCs w:val="20"/>
          <w:lang w:val="nl-NL"/>
        </w:rPr>
        <w:t>Het vijfde lid</w:t>
      </w:r>
      <w:r w:rsidRPr="00A805F5" w:rsidR="006E24FE">
        <w:rPr>
          <w:rFonts w:cs="Arial"/>
          <w:szCs w:val="20"/>
          <w:lang w:val="nl-NL"/>
        </w:rPr>
        <w:t xml:space="preserve"> </w:t>
      </w:r>
      <w:r w:rsidRPr="00A805F5">
        <w:rPr>
          <w:rFonts w:cs="Arial"/>
          <w:szCs w:val="20"/>
          <w:lang w:val="nl-NL"/>
        </w:rPr>
        <w:t xml:space="preserve">is ontleend aan artikel 11, vijfde lid van het OESO-modelverdrag. Deze bepaling </w:t>
      </w:r>
      <w:r w:rsidRPr="00A805F5" w:rsidR="006E24FE">
        <w:rPr>
          <w:rFonts w:cs="Arial"/>
          <w:szCs w:val="20"/>
          <w:lang w:val="nl-NL"/>
        </w:rPr>
        <w:t>geeft aan uit welke verdragsluitende staat interest geacht wordt afkomstig te zijn. In beginsel is dat de staat waarvan de betaler van de interest inwoner is. V</w:t>
      </w:r>
      <w:r w:rsidRPr="00A805F5">
        <w:rPr>
          <w:rFonts w:cs="Arial"/>
          <w:szCs w:val="20"/>
          <w:lang w:val="nl-NL"/>
        </w:rPr>
        <w:t>erder</w:t>
      </w:r>
      <w:r w:rsidRPr="00A805F5" w:rsidR="006E24FE">
        <w:rPr>
          <w:rFonts w:cs="Arial"/>
          <w:szCs w:val="20"/>
          <w:lang w:val="nl-NL"/>
        </w:rPr>
        <w:t xml:space="preserve"> wordt de interest geacht afkomstig te zijn uit de staat waarin een vaste inrichting </w:t>
      </w:r>
      <w:r w:rsidRPr="00A805F5">
        <w:rPr>
          <w:rFonts w:cs="Arial"/>
          <w:szCs w:val="20"/>
          <w:lang w:val="nl-NL"/>
        </w:rPr>
        <w:t xml:space="preserve">of vast middelpunt </w:t>
      </w:r>
      <w:r w:rsidRPr="00A805F5" w:rsidR="006E24FE">
        <w:rPr>
          <w:rFonts w:cs="Arial"/>
          <w:szCs w:val="20"/>
          <w:lang w:val="nl-NL"/>
        </w:rPr>
        <w:t xml:space="preserve">is gelegen waaraan de geldlening waarover de interest wordt betaald, kan worden toegerekend, ongeacht of de persoon die </w:t>
      </w:r>
      <w:r w:rsidRPr="00A805F5">
        <w:rPr>
          <w:rFonts w:cs="Arial"/>
          <w:szCs w:val="20"/>
          <w:lang w:val="nl-NL"/>
        </w:rPr>
        <w:t xml:space="preserve">over </w:t>
      </w:r>
      <w:r w:rsidRPr="00A805F5" w:rsidR="006E24FE">
        <w:rPr>
          <w:rFonts w:cs="Arial"/>
          <w:szCs w:val="20"/>
          <w:lang w:val="nl-NL"/>
        </w:rPr>
        <w:t xml:space="preserve">de vaste inrichting </w:t>
      </w:r>
      <w:r w:rsidRPr="00A805F5">
        <w:rPr>
          <w:rFonts w:cs="Arial"/>
          <w:szCs w:val="20"/>
          <w:lang w:val="nl-NL"/>
        </w:rPr>
        <w:t xml:space="preserve">of het vast middelpunt beschikt </w:t>
      </w:r>
      <w:r w:rsidRPr="00A805F5" w:rsidR="006E24FE">
        <w:rPr>
          <w:rFonts w:cs="Arial"/>
          <w:szCs w:val="20"/>
          <w:lang w:val="nl-NL"/>
        </w:rPr>
        <w:t>inwoner is van een verdragsluitende staat.</w:t>
      </w:r>
    </w:p>
    <w:p w:rsidRPr="00A805F5" w:rsidR="0017699A" w:rsidP="006E24FE" w:rsidRDefault="0017699A" w14:paraId="3B7EE23B" w14:textId="365A71F4">
      <w:pPr>
        <w:ind w:firstLine="720"/>
        <w:rPr>
          <w:rFonts w:cs="Arial"/>
          <w:szCs w:val="20"/>
          <w:lang w:val="nl-NL"/>
        </w:rPr>
      </w:pPr>
      <w:r w:rsidRPr="00A805F5">
        <w:rPr>
          <w:rFonts w:cs="Arial"/>
          <w:szCs w:val="20"/>
          <w:lang w:val="nl-NL"/>
        </w:rPr>
        <w:t xml:space="preserve">Uit het zesde lid </w:t>
      </w:r>
      <w:r w:rsidRPr="00A805F5" w:rsidR="000D2FF0">
        <w:rPr>
          <w:rFonts w:cs="Arial"/>
          <w:szCs w:val="20"/>
          <w:lang w:val="nl-NL"/>
        </w:rPr>
        <w:t xml:space="preserve">– dat is ontleend aan artikel 11, zesde lid van het OESO-modelverdrag – </w:t>
      </w:r>
      <w:r w:rsidRPr="00A805F5">
        <w:rPr>
          <w:rFonts w:cs="Arial"/>
          <w:szCs w:val="20"/>
          <w:lang w:val="nl-NL"/>
        </w:rPr>
        <w:t xml:space="preserve">volgt dat de bepalingen van artikel 11 slechts van toepassing zijn voor zover de op een schuldvordering betaalde interest overeenkomt met de interest die tussen onafhankelijke partijen </w:t>
      </w:r>
      <w:r w:rsidRPr="00A805F5" w:rsidR="000D2FF0">
        <w:rPr>
          <w:rFonts w:cs="Arial"/>
          <w:szCs w:val="20"/>
          <w:lang w:val="nl-NL"/>
        </w:rPr>
        <w:t>overeengekomen zou zijn. Ook is in dit lid aangegeven dat een bovenmatig gedeelte van de interest in het voorkomende geval, rekening houdend met de overige bepalingen van het Verdrag, belastbaar is overeenkomstig de nationale wetgeving van ieder van de verdragsluitende staten.</w:t>
      </w:r>
    </w:p>
    <w:p w:rsidRPr="00A805F5" w:rsidR="006E24FE" w:rsidP="006E24FE" w:rsidRDefault="006E24FE" w14:paraId="378F0D62" w14:textId="2219FAD7">
      <w:pPr>
        <w:ind w:firstLine="720"/>
        <w:rPr>
          <w:rFonts w:cs="Arial"/>
          <w:szCs w:val="20"/>
          <w:lang w:val="nl-NL"/>
        </w:rPr>
      </w:pPr>
      <w:r w:rsidRPr="00A805F5">
        <w:rPr>
          <w:rFonts w:cs="Arial"/>
          <w:szCs w:val="20"/>
          <w:lang w:val="nl-NL"/>
        </w:rPr>
        <w:t xml:space="preserve">Voor de toelichting op </w:t>
      </w:r>
      <w:r w:rsidRPr="00A805F5" w:rsidR="00D54F99">
        <w:rPr>
          <w:rFonts w:cs="Arial"/>
          <w:szCs w:val="20"/>
          <w:lang w:val="nl-NL"/>
        </w:rPr>
        <w:t>artikel IV</w:t>
      </w:r>
      <w:r w:rsidRPr="00A805F5">
        <w:rPr>
          <w:rFonts w:cs="Arial"/>
          <w:szCs w:val="20"/>
          <w:lang w:val="nl-NL"/>
        </w:rPr>
        <w:t xml:space="preserve"> van het Protocol wordt verwezen naar </w:t>
      </w:r>
      <w:r w:rsidRPr="00746466" w:rsidR="00746466">
        <w:rPr>
          <w:rFonts w:cs="Arial"/>
          <w:szCs w:val="20"/>
          <w:lang w:val="nl-NL"/>
        </w:rPr>
        <w:t>onderdeel II.10 van deze toelichtende nota</w:t>
      </w:r>
      <w:r w:rsidRPr="00A805F5" w:rsidR="00D54F99">
        <w:rPr>
          <w:rFonts w:cs="Arial"/>
          <w:szCs w:val="20"/>
          <w:lang w:val="nl-NL"/>
        </w:rPr>
        <w:t xml:space="preserve">. </w:t>
      </w:r>
    </w:p>
    <w:p w:rsidRPr="00A805F5" w:rsidR="0010137F" w:rsidP="00C43F56" w:rsidRDefault="00C43F56" w14:paraId="060136E8" w14:textId="01D1B140">
      <w:pPr>
        <w:pStyle w:val="Heading2"/>
        <w:rPr>
          <w:rFonts w:cs="Arial"/>
          <w:b w:val="0"/>
          <w:bCs w:val="0"/>
          <w:i/>
          <w:smallCaps w:val="0"/>
          <w:szCs w:val="20"/>
          <w:lang w:val="nl-NL"/>
        </w:rPr>
      </w:pPr>
      <w:r w:rsidRPr="00A805F5">
        <w:rPr>
          <w:rFonts w:cs="Arial"/>
          <w:b w:val="0"/>
          <w:bCs w:val="0"/>
          <w:i/>
          <w:smallCaps w:val="0"/>
          <w:szCs w:val="20"/>
          <w:lang w:val="nl-NL"/>
        </w:rPr>
        <w:t>II.12 Royalty’s (</w:t>
      </w:r>
      <w:r w:rsidRPr="00A805F5" w:rsidR="0010137F">
        <w:rPr>
          <w:rFonts w:cs="Arial"/>
          <w:b w:val="0"/>
          <w:bCs w:val="0"/>
          <w:i/>
          <w:smallCaps w:val="0"/>
          <w:szCs w:val="20"/>
          <w:lang w:val="nl-NL"/>
        </w:rPr>
        <w:t xml:space="preserve">Artikel 12 </w:t>
      </w:r>
      <w:r w:rsidRPr="00A805F5" w:rsidR="00B33413">
        <w:rPr>
          <w:rFonts w:cs="Arial"/>
          <w:b w:val="0"/>
          <w:bCs w:val="0"/>
          <w:i/>
          <w:smallCaps w:val="0"/>
          <w:szCs w:val="20"/>
          <w:lang w:val="nl-NL"/>
        </w:rPr>
        <w:t>van het Verdrag en arti</w:t>
      </w:r>
      <w:r w:rsidRPr="00A805F5">
        <w:rPr>
          <w:rFonts w:cs="Arial"/>
          <w:b w:val="0"/>
          <w:bCs w:val="0"/>
          <w:i/>
          <w:smallCaps w:val="0"/>
          <w:szCs w:val="20"/>
          <w:lang w:val="nl-NL"/>
        </w:rPr>
        <w:t>kelen IV en V van het Protocol</w:t>
      </w:r>
      <w:r w:rsidRPr="00A805F5" w:rsidR="00B33413">
        <w:rPr>
          <w:rFonts w:cs="Arial"/>
          <w:b w:val="0"/>
          <w:bCs w:val="0"/>
          <w:i/>
          <w:smallCaps w:val="0"/>
          <w:szCs w:val="20"/>
          <w:lang w:val="nl-NL"/>
        </w:rPr>
        <w:t>)</w:t>
      </w:r>
    </w:p>
    <w:p w:rsidRPr="00A805F5" w:rsidR="00332538" w:rsidP="00B33413" w:rsidRDefault="00B33413" w14:paraId="77A40EA3" w14:textId="218F94CF">
      <w:pPr>
        <w:ind w:firstLine="720"/>
        <w:rPr>
          <w:rFonts w:cs="Arial"/>
          <w:szCs w:val="20"/>
          <w:lang w:val="nl-NL"/>
        </w:rPr>
      </w:pPr>
      <w:r w:rsidRPr="00A805F5">
        <w:rPr>
          <w:rFonts w:cs="Arial"/>
          <w:szCs w:val="20"/>
          <w:lang w:val="nl-NL"/>
        </w:rPr>
        <w:t xml:space="preserve">Artikel 12 </w:t>
      </w:r>
      <w:r w:rsidRPr="00A805F5" w:rsidR="000C423D">
        <w:rPr>
          <w:rFonts w:cs="Arial"/>
          <w:szCs w:val="20"/>
          <w:lang w:val="nl-NL"/>
        </w:rPr>
        <w:t xml:space="preserve">ziet op </w:t>
      </w:r>
      <w:r w:rsidRPr="00A805F5">
        <w:rPr>
          <w:rFonts w:cs="Arial"/>
          <w:szCs w:val="20"/>
          <w:lang w:val="nl-NL"/>
        </w:rPr>
        <w:t xml:space="preserve">de verdeling van heffingsrechten over royalty’s. </w:t>
      </w:r>
      <w:r w:rsidRPr="00A805F5" w:rsidR="00332538">
        <w:rPr>
          <w:rFonts w:cs="Arial"/>
          <w:szCs w:val="20"/>
          <w:lang w:val="nl-NL"/>
        </w:rPr>
        <w:t xml:space="preserve">Dit artikel is hoofdzakelijk ontleend aan het OESO-modelverdrag, maar bevat in afwijking daarvan en in overeenstemming met het VN-modelverdrag een </w:t>
      </w:r>
      <w:r w:rsidRPr="00A805F5">
        <w:rPr>
          <w:rFonts w:cs="Arial"/>
          <w:szCs w:val="20"/>
          <w:lang w:val="nl-NL"/>
        </w:rPr>
        <w:t>beperkt heffingsrecht voor het land waaruit betaalde royalty’s afkomstig zijn (bronstaat).</w:t>
      </w:r>
      <w:r w:rsidRPr="00A805F5" w:rsidR="00332538">
        <w:rPr>
          <w:rFonts w:cs="Arial"/>
          <w:szCs w:val="20"/>
          <w:lang w:val="nl-NL"/>
        </w:rPr>
        <w:t xml:space="preserve"> Het tweede lid wijkt af van beide modelverdragen en komt inhoudelijk overeen met de hiermee corresponderende bepaling </w:t>
      </w:r>
      <w:r w:rsidR="00746466">
        <w:rPr>
          <w:rFonts w:cs="Arial"/>
          <w:szCs w:val="20"/>
          <w:lang w:val="nl-NL"/>
        </w:rPr>
        <w:t>van</w:t>
      </w:r>
      <w:r w:rsidRPr="00A805F5" w:rsidR="00746466">
        <w:rPr>
          <w:rFonts w:cs="Arial"/>
          <w:szCs w:val="20"/>
          <w:lang w:val="nl-NL"/>
        </w:rPr>
        <w:t xml:space="preserve"> </w:t>
      </w:r>
      <w:r w:rsidRPr="00A805F5" w:rsidR="00332538">
        <w:rPr>
          <w:rFonts w:cs="Arial"/>
          <w:szCs w:val="20"/>
          <w:lang w:val="nl-NL"/>
        </w:rPr>
        <w:t>het belastingverdrag tussen Chili en Japan.</w:t>
      </w:r>
    </w:p>
    <w:p w:rsidRPr="00A805F5" w:rsidR="00B33413" w:rsidP="00B33413" w:rsidRDefault="00495FC2" w14:paraId="6BD2716F" w14:textId="77777777">
      <w:pPr>
        <w:ind w:firstLine="720"/>
        <w:rPr>
          <w:rFonts w:cs="Arial"/>
          <w:szCs w:val="20"/>
          <w:lang w:val="nl-NL"/>
        </w:rPr>
      </w:pPr>
      <w:r w:rsidRPr="00A805F5">
        <w:rPr>
          <w:rFonts w:cs="Arial"/>
          <w:szCs w:val="20"/>
          <w:lang w:val="nl-NL"/>
        </w:rPr>
        <w:t>Op grond van</w:t>
      </w:r>
      <w:r w:rsidRPr="00A805F5" w:rsidR="00B33413">
        <w:rPr>
          <w:rFonts w:cs="Arial"/>
          <w:szCs w:val="20"/>
          <w:lang w:val="nl-NL"/>
        </w:rPr>
        <w:t xml:space="preserve"> het eerste lid mogen royalty’s die afkomstig zijn uit één van beide verdragsluitende staten en die worden betaald aan een inwoner van de andere verdragsluitende staat, in die andere staat worden belast.</w:t>
      </w:r>
    </w:p>
    <w:p w:rsidRPr="00A805F5" w:rsidR="00B33413" w:rsidP="00B33413" w:rsidRDefault="00B33413" w14:paraId="035690A9" w14:textId="69730387">
      <w:pPr>
        <w:ind w:firstLine="720"/>
        <w:rPr>
          <w:rFonts w:cs="Arial"/>
          <w:szCs w:val="20"/>
          <w:lang w:val="nl-NL"/>
        </w:rPr>
      </w:pPr>
      <w:r w:rsidRPr="00A805F5">
        <w:rPr>
          <w:rFonts w:cs="Arial"/>
          <w:szCs w:val="20"/>
          <w:lang w:val="nl-NL"/>
        </w:rPr>
        <w:t xml:space="preserve">Het tweede lid wijst ook een </w:t>
      </w:r>
      <w:r w:rsidRPr="00A805F5" w:rsidR="004D5E02">
        <w:rPr>
          <w:rFonts w:cs="Arial"/>
          <w:szCs w:val="20"/>
          <w:lang w:val="nl-NL"/>
        </w:rPr>
        <w:t xml:space="preserve">beperkt </w:t>
      </w:r>
      <w:r w:rsidRPr="00A805F5">
        <w:rPr>
          <w:rFonts w:cs="Arial"/>
          <w:szCs w:val="20"/>
          <w:lang w:val="nl-NL"/>
        </w:rPr>
        <w:t>heffingsrecht toe aan de staat waaruit de royalty’s afkomstig zijn (bronstaat)</w:t>
      </w:r>
      <w:r w:rsidRPr="00A805F5" w:rsidR="004D5E02">
        <w:rPr>
          <w:rFonts w:cs="Arial"/>
          <w:szCs w:val="20"/>
          <w:lang w:val="nl-NL"/>
        </w:rPr>
        <w:t>. De bronstaatheffing is gemaximeerd op 2</w:t>
      </w:r>
      <w:r w:rsidR="000A0A88">
        <w:rPr>
          <w:rFonts w:cs="Arial"/>
          <w:szCs w:val="20"/>
          <w:lang w:val="nl-NL"/>
        </w:rPr>
        <w:t>%</w:t>
      </w:r>
      <w:r w:rsidRPr="00A805F5" w:rsidR="004D5E02">
        <w:rPr>
          <w:rFonts w:cs="Arial"/>
          <w:szCs w:val="20"/>
          <w:lang w:val="nl-NL"/>
        </w:rPr>
        <w:t xml:space="preserve"> van het brutobedrag van de </w:t>
      </w:r>
      <w:r w:rsidRPr="00A805F5" w:rsidR="005B016E">
        <w:rPr>
          <w:rFonts w:cs="Arial"/>
          <w:szCs w:val="20"/>
          <w:lang w:val="nl-NL"/>
        </w:rPr>
        <w:t xml:space="preserve">royalty’s </w:t>
      </w:r>
      <w:r w:rsidRPr="00A805F5" w:rsidR="004D5E02">
        <w:rPr>
          <w:rFonts w:cs="Arial"/>
          <w:szCs w:val="20"/>
          <w:lang w:val="nl-NL"/>
        </w:rPr>
        <w:t xml:space="preserve">voor het gebruik van of het recht van gebruik van industriële, commerciële of wetenschappelijke uitrusting (onderdeel a). Ter verduidelijking is opgenomen dat het niet gaat om </w:t>
      </w:r>
      <w:r w:rsidRPr="00A805F5" w:rsidR="00C41C7F">
        <w:rPr>
          <w:rFonts w:cs="Arial"/>
          <w:szCs w:val="20"/>
          <w:lang w:val="nl-NL"/>
        </w:rPr>
        <w:t xml:space="preserve">vergoedingen voor het </w:t>
      </w:r>
      <w:r w:rsidRPr="00A805F5" w:rsidR="009F616E">
        <w:rPr>
          <w:rFonts w:cs="Arial"/>
          <w:szCs w:val="20"/>
          <w:lang w:val="nl-NL"/>
        </w:rPr>
        <w:t xml:space="preserve">(recht van) </w:t>
      </w:r>
      <w:r w:rsidRPr="00A805F5" w:rsidR="00C41C7F">
        <w:rPr>
          <w:rFonts w:cs="Arial"/>
          <w:szCs w:val="20"/>
          <w:lang w:val="nl-NL"/>
        </w:rPr>
        <w:t xml:space="preserve">gebruik van </w:t>
      </w:r>
      <w:r w:rsidRPr="00A805F5" w:rsidR="004D5E02">
        <w:rPr>
          <w:rFonts w:cs="Arial"/>
          <w:szCs w:val="20"/>
          <w:lang w:val="nl-NL"/>
        </w:rPr>
        <w:t xml:space="preserve">schepen, luchtvaartuigen of containers </w:t>
      </w:r>
      <w:r w:rsidRPr="00A805F5" w:rsidR="00C41C7F">
        <w:rPr>
          <w:rFonts w:cs="Arial"/>
          <w:szCs w:val="20"/>
          <w:lang w:val="nl-NL"/>
        </w:rPr>
        <w:t>waarop</w:t>
      </w:r>
      <w:r w:rsidRPr="00A805F5" w:rsidR="004D5E02">
        <w:rPr>
          <w:rFonts w:cs="Arial"/>
          <w:szCs w:val="20"/>
          <w:lang w:val="nl-NL"/>
        </w:rPr>
        <w:t xml:space="preserve"> artikel 8</w:t>
      </w:r>
      <w:r w:rsidRPr="00A805F5" w:rsidR="00C41C7F">
        <w:rPr>
          <w:rFonts w:cs="Arial"/>
          <w:szCs w:val="20"/>
          <w:lang w:val="nl-NL"/>
        </w:rPr>
        <w:t xml:space="preserve"> van het Verdrag van toepassing is</w:t>
      </w:r>
      <w:r w:rsidRPr="00A805F5" w:rsidR="004D5E02">
        <w:rPr>
          <w:rFonts w:cs="Arial"/>
          <w:szCs w:val="20"/>
          <w:lang w:val="nl-NL"/>
        </w:rPr>
        <w:t>. Voor overige royalty</w:t>
      </w:r>
      <w:r w:rsidRPr="00A805F5" w:rsidR="009F616E">
        <w:rPr>
          <w:rFonts w:cs="Arial"/>
          <w:szCs w:val="20"/>
          <w:lang w:val="nl-NL"/>
        </w:rPr>
        <w:t>’</w:t>
      </w:r>
      <w:r w:rsidRPr="00A805F5" w:rsidR="004D5E02">
        <w:rPr>
          <w:rFonts w:cs="Arial"/>
          <w:szCs w:val="20"/>
          <w:lang w:val="nl-NL"/>
        </w:rPr>
        <w:t xml:space="preserve">s </w:t>
      </w:r>
      <w:r w:rsidRPr="00A805F5" w:rsidR="009F616E">
        <w:rPr>
          <w:rFonts w:cs="Arial"/>
          <w:szCs w:val="20"/>
          <w:lang w:val="nl-NL"/>
        </w:rPr>
        <w:t>geldt een maximale</w:t>
      </w:r>
      <w:r w:rsidRPr="00A805F5" w:rsidR="004D5E02">
        <w:rPr>
          <w:rFonts w:cs="Arial"/>
          <w:szCs w:val="20"/>
          <w:lang w:val="nl-NL"/>
        </w:rPr>
        <w:t xml:space="preserve"> bronstaatheffing </w:t>
      </w:r>
      <w:r w:rsidRPr="00A805F5" w:rsidR="009F616E">
        <w:rPr>
          <w:rFonts w:cs="Arial"/>
          <w:szCs w:val="20"/>
          <w:lang w:val="nl-NL"/>
        </w:rPr>
        <w:t>van</w:t>
      </w:r>
      <w:r w:rsidRPr="00A805F5" w:rsidR="004D5E02">
        <w:rPr>
          <w:rFonts w:cs="Arial"/>
          <w:szCs w:val="20"/>
          <w:lang w:val="nl-NL"/>
        </w:rPr>
        <w:t xml:space="preserve"> 10</w:t>
      </w:r>
      <w:r w:rsidR="000A0A88">
        <w:rPr>
          <w:rFonts w:cs="Arial"/>
          <w:szCs w:val="20"/>
          <w:lang w:val="nl-NL"/>
        </w:rPr>
        <w:t>%</w:t>
      </w:r>
      <w:r w:rsidRPr="00A805F5" w:rsidR="004D5E02">
        <w:rPr>
          <w:rFonts w:cs="Arial"/>
          <w:szCs w:val="20"/>
          <w:lang w:val="nl-NL"/>
        </w:rPr>
        <w:t xml:space="preserve"> van het brutobedrag van deze royalty’s</w:t>
      </w:r>
      <w:r w:rsidRPr="00A805F5" w:rsidR="00C41C7F">
        <w:rPr>
          <w:rFonts w:cs="Arial"/>
          <w:szCs w:val="20"/>
          <w:lang w:val="nl-NL"/>
        </w:rPr>
        <w:t xml:space="preserve"> (onderdeel b)</w:t>
      </w:r>
      <w:r w:rsidRPr="00A805F5" w:rsidR="004D5E02">
        <w:rPr>
          <w:rFonts w:cs="Arial"/>
          <w:szCs w:val="20"/>
          <w:lang w:val="nl-NL"/>
        </w:rPr>
        <w:t xml:space="preserve">. </w:t>
      </w:r>
    </w:p>
    <w:p w:rsidRPr="00A805F5" w:rsidR="00022ABA" w:rsidP="00022ABA" w:rsidRDefault="00022ABA" w14:paraId="2AF85513" w14:textId="212D6C25">
      <w:pPr>
        <w:ind w:firstLine="720"/>
        <w:rPr>
          <w:rFonts w:cs="Arial"/>
          <w:szCs w:val="20"/>
          <w:lang w:val="nl-NL"/>
        </w:rPr>
      </w:pPr>
      <w:r w:rsidRPr="00A805F5">
        <w:rPr>
          <w:rFonts w:cs="Arial"/>
          <w:szCs w:val="20"/>
          <w:lang w:val="nl-NL"/>
        </w:rPr>
        <w:t xml:space="preserve">In artikel V van het Protocol is op verzoek van Nederland een meestbegunstigingsclausule opgenomen die onder meer betrekking heeft op artikel 12, tweede lid, van het Verdrag. Deze </w:t>
      </w:r>
      <w:r w:rsidRPr="00A805F5">
        <w:rPr>
          <w:rFonts w:cs="Arial"/>
          <w:szCs w:val="20"/>
          <w:lang w:val="nl-NL"/>
        </w:rPr>
        <w:lastRenderedPageBreak/>
        <w:t>protocolbepaling bepaalt dat de verdragsluitende staten, op verzoek van Nederland, met elkaar overleg plegen om een lagere (bron)belasting op royalty</w:t>
      </w:r>
      <w:r w:rsidRPr="00A805F5" w:rsidR="003F612D">
        <w:rPr>
          <w:rFonts w:cs="Arial"/>
          <w:szCs w:val="20"/>
          <w:lang w:val="nl-NL"/>
        </w:rPr>
        <w:t>’</w:t>
      </w:r>
      <w:r w:rsidRPr="00A805F5">
        <w:rPr>
          <w:rFonts w:cs="Arial"/>
          <w:szCs w:val="20"/>
          <w:lang w:val="nl-NL"/>
        </w:rPr>
        <w:t xml:space="preserve">s </w:t>
      </w:r>
      <w:r w:rsidRPr="00A805F5" w:rsidR="003F612D">
        <w:rPr>
          <w:rFonts w:cs="Arial"/>
          <w:szCs w:val="20"/>
          <w:lang w:val="nl-NL"/>
        </w:rPr>
        <w:t xml:space="preserve">of beperkende voorwaarden </w:t>
      </w:r>
      <w:r w:rsidRPr="00A805F5">
        <w:rPr>
          <w:rFonts w:cs="Arial"/>
          <w:szCs w:val="20"/>
          <w:lang w:val="nl-NL"/>
        </w:rPr>
        <w:t xml:space="preserve">in het Verdrag op te nemen indien Chili in een belastingverdrag dat in werking treedt na dit Verdrag een dergelijke lagere </w:t>
      </w:r>
      <w:r w:rsidRPr="00A805F5" w:rsidR="003F612D">
        <w:rPr>
          <w:rFonts w:cs="Arial"/>
          <w:szCs w:val="20"/>
          <w:lang w:val="nl-NL"/>
        </w:rPr>
        <w:t xml:space="preserve">maximale </w:t>
      </w:r>
      <w:r w:rsidRPr="00A805F5">
        <w:rPr>
          <w:rFonts w:cs="Arial"/>
          <w:szCs w:val="20"/>
          <w:lang w:val="nl-NL"/>
        </w:rPr>
        <w:t xml:space="preserve">(bron)belasting </w:t>
      </w:r>
      <w:r w:rsidRPr="00A805F5" w:rsidR="003F612D">
        <w:rPr>
          <w:rFonts w:cs="Arial"/>
          <w:szCs w:val="20"/>
          <w:lang w:val="nl-NL"/>
        </w:rPr>
        <w:t xml:space="preserve">op royalty’s overeenkomt (onderdeel b) </w:t>
      </w:r>
      <w:r w:rsidRPr="00A805F5">
        <w:rPr>
          <w:rFonts w:cs="Arial"/>
          <w:szCs w:val="20"/>
          <w:lang w:val="nl-NL"/>
        </w:rPr>
        <w:t xml:space="preserve">of betalingen voor industriële, commerciële of wetenschappelijke uitrusting </w:t>
      </w:r>
      <w:r w:rsidRPr="00A805F5" w:rsidR="003F612D">
        <w:rPr>
          <w:rFonts w:cs="Arial"/>
          <w:szCs w:val="20"/>
          <w:lang w:val="nl-NL"/>
        </w:rPr>
        <w:t xml:space="preserve">voor de verdragstoepassing </w:t>
      </w:r>
      <w:r w:rsidRPr="00A805F5">
        <w:rPr>
          <w:rFonts w:cs="Arial"/>
          <w:szCs w:val="20"/>
          <w:lang w:val="nl-NL"/>
        </w:rPr>
        <w:t>niet als royalty's behandel</w:t>
      </w:r>
      <w:r w:rsidRPr="00A805F5" w:rsidR="00E52CFF">
        <w:rPr>
          <w:rFonts w:cs="Arial"/>
          <w:szCs w:val="20"/>
          <w:lang w:val="nl-NL"/>
        </w:rPr>
        <w:t>t</w:t>
      </w:r>
      <w:r w:rsidRPr="00A805F5" w:rsidR="003F612D">
        <w:rPr>
          <w:rFonts w:cs="Arial"/>
          <w:szCs w:val="20"/>
          <w:lang w:val="nl-NL"/>
        </w:rPr>
        <w:t xml:space="preserve"> (onderdeel c)</w:t>
      </w:r>
      <w:r w:rsidRPr="00A805F5">
        <w:rPr>
          <w:rFonts w:cs="Arial"/>
          <w:szCs w:val="20"/>
          <w:lang w:val="nl-NL"/>
        </w:rPr>
        <w:t xml:space="preserve">. </w:t>
      </w:r>
    </w:p>
    <w:p w:rsidRPr="00A805F5" w:rsidR="0036518A" w:rsidP="00B33413" w:rsidRDefault="003F612D" w14:paraId="13E47DCA" w14:textId="59CA390A">
      <w:pPr>
        <w:ind w:firstLine="720"/>
        <w:rPr>
          <w:rFonts w:cs="Arial"/>
          <w:szCs w:val="20"/>
          <w:highlight w:val="lightGray"/>
          <w:lang w:val="nl-NL"/>
        </w:rPr>
      </w:pPr>
      <w:r w:rsidRPr="00A805F5">
        <w:rPr>
          <w:rFonts w:cs="Arial"/>
          <w:szCs w:val="20"/>
          <w:lang w:val="nl-NL"/>
        </w:rPr>
        <w:t>Artikel 12, derde</w:t>
      </w:r>
      <w:r w:rsidRPr="00A805F5" w:rsidR="00F21683">
        <w:rPr>
          <w:rFonts w:cs="Arial"/>
          <w:szCs w:val="20"/>
          <w:lang w:val="nl-NL"/>
        </w:rPr>
        <w:t xml:space="preserve"> lid</w:t>
      </w:r>
      <w:r w:rsidRPr="00A805F5">
        <w:rPr>
          <w:rFonts w:cs="Arial"/>
          <w:szCs w:val="20"/>
          <w:lang w:val="nl-NL"/>
        </w:rPr>
        <w:t>, van het Verdrag</w:t>
      </w:r>
      <w:r w:rsidRPr="00A805F5" w:rsidR="00F21683">
        <w:rPr>
          <w:rFonts w:cs="Arial"/>
          <w:szCs w:val="20"/>
          <w:lang w:val="nl-NL"/>
        </w:rPr>
        <w:t xml:space="preserve"> bevat een definitie van het begrip </w:t>
      </w:r>
      <w:r w:rsidRPr="00A805F5" w:rsidR="00260C96">
        <w:rPr>
          <w:rFonts w:cs="Arial"/>
          <w:szCs w:val="20"/>
          <w:lang w:val="nl-NL"/>
        </w:rPr>
        <w:t>‘</w:t>
      </w:r>
      <w:r w:rsidRPr="00A805F5" w:rsidR="00F21683">
        <w:rPr>
          <w:rFonts w:cs="Arial"/>
          <w:szCs w:val="20"/>
          <w:lang w:val="nl-NL"/>
        </w:rPr>
        <w:t>royalty’s</w:t>
      </w:r>
      <w:r w:rsidRPr="00A805F5" w:rsidR="00260C96">
        <w:rPr>
          <w:rFonts w:cs="Arial"/>
          <w:szCs w:val="20"/>
          <w:lang w:val="nl-NL"/>
        </w:rPr>
        <w:t>’</w:t>
      </w:r>
      <w:r w:rsidRPr="00A805F5" w:rsidR="00F21683">
        <w:rPr>
          <w:rFonts w:cs="Arial"/>
          <w:szCs w:val="20"/>
          <w:lang w:val="nl-NL"/>
        </w:rPr>
        <w:t xml:space="preserve"> die </w:t>
      </w:r>
      <w:r w:rsidRPr="00A805F5" w:rsidR="009F616E">
        <w:rPr>
          <w:rFonts w:cs="Arial"/>
          <w:szCs w:val="20"/>
          <w:lang w:val="nl-NL"/>
        </w:rPr>
        <w:t>enigszins</w:t>
      </w:r>
      <w:r w:rsidRPr="00A805F5" w:rsidR="00F21683">
        <w:rPr>
          <w:rFonts w:cs="Arial"/>
          <w:szCs w:val="20"/>
          <w:lang w:val="nl-NL"/>
        </w:rPr>
        <w:t xml:space="preserve"> afwijkt van het OESO-modelverdrag. </w:t>
      </w:r>
      <w:r w:rsidRPr="00A805F5" w:rsidR="00260C96">
        <w:rPr>
          <w:rFonts w:cs="Arial"/>
          <w:szCs w:val="20"/>
          <w:lang w:val="nl-NL"/>
        </w:rPr>
        <w:t>Onder de toepassing van het Verdrag vallen onder dit begrip vergoedingen van welke aard ook voor (recht van) het gebruik van, een auteursrecht op een werk op het gebied van letterkunde, kunst of wetenschap (inclusief bioscoopfilms, of films, banden en andere middelen voor de reproductie van beeld of geluid), een octrooi, een fabrieks- of handelsmerk, een tekening of model, een plan, een geheim recept of een geheime werkwijze, of ander soortgelijk immaterieel eigendom, of voor het gebruik van, of voor het recht van gebruik van, van industriële, commerciële of wetenschappelijke uitrusting, of voor informatie omtrent ervaringen op het gebied van nijverheid, handel of wetenschap. De</w:t>
      </w:r>
      <w:r w:rsidRPr="00A805F5" w:rsidR="009F616E">
        <w:rPr>
          <w:rFonts w:cs="Arial"/>
          <w:szCs w:val="20"/>
          <w:lang w:val="nl-NL"/>
        </w:rPr>
        <w:t xml:space="preserve"> toevoeg</w:t>
      </w:r>
      <w:r w:rsidRPr="00A805F5" w:rsidR="00260C96">
        <w:rPr>
          <w:rFonts w:cs="Arial"/>
          <w:szCs w:val="20"/>
          <w:lang w:val="nl-NL"/>
        </w:rPr>
        <w:t>ing</w:t>
      </w:r>
      <w:r w:rsidRPr="00A805F5" w:rsidR="009F616E">
        <w:rPr>
          <w:rFonts w:cs="Arial"/>
          <w:szCs w:val="20"/>
          <w:lang w:val="nl-NL"/>
        </w:rPr>
        <w:t xml:space="preserve"> dat ook </w:t>
      </w:r>
      <w:r w:rsidRPr="00A805F5" w:rsidR="0036518A">
        <w:rPr>
          <w:rFonts w:cs="Arial"/>
          <w:szCs w:val="20"/>
          <w:lang w:val="nl-NL"/>
        </w:rPr>
        <w:t xml:space="preserve">vergoedingen voor </w:t>
      </w:r>
      <w:r w:rsidRPr="00A805F5" w:rsidR="00260C96">
        <w:rPr>
          <w:rFonts w:cs="Arial"/>
          <w:szCs w:val="20"/>
          <w:lang w:val="nl-NL"/>
        </w:rPr>
        <w:t>‘</w:t>
      </w:r>
      <w:r w:rsidRPr="00A805F5" w:rsidR="0036518A">
        <w:rPr>
          <w:rFonts w:cs="Arial"/>
          <w:szCs w:val="20"/>
          <w:lang w:val="nl-NL"/>
        </w:rPr>
        <w:t>ander soortgelijk immaterieel eigendom</w:t>
      </w:r>
      <w:r w:rsidRPr="00A805F5" w:rsidR="00260C96">
        <w:rPr>
          <w:rFonts w:cs="Arial"/>
          <w:szCs w:val="20"/>
          <w:lang w:val="nl-NL"/>
        </w:rPr>
        <w:t>’</w:t>
      </w:r>
      <w:r w:rsidRPr="00A805F5" w:rsidR="0036518A">
        <w:rPr>
          <w:rFonts w:cs="Arial"/>
          <w:szCs w:val="20"/>
          <w:lang w:val="nl-NL"/>
        </w:rPr>
        <w:t xml:space="preserve"> onder de royalty-definitie vallen, evenals vergoedingen voor het </w:t>
      </w:r>
      <w:r w:rsidRPr="00A805F5">
        <w:rPr>
          <w:rFonts w:cs="Arial"/>
          <w:szCs w:val="20"/>
          <w:lang w:val="nl-NL"/>
        </w:rPr>
        <w:t xml:space="preserve">(recht van) </w:t>
      </w:r>
      <w:r w:rsidRPr="00A805F5" w:rsidR="0036518A">
        <w:rPr>
          <w:rFonts w:cs="Arial"/>
          <w:szCs w:val="20"/>
          <w:lang w:val="nl-NL"/>
        </w:rPr>
        <w:t>gebruik</w:t>
      </w:r>
      <w:r w:rsidRPr="00A805F5">
        <w:rPr>
          <w:rFonts w:cs="Arial"/>
          <w:szCs w:val="20"/>
          <w:lang w:val="nl-NL"/>
        </w:rPr>
        <w:t xml:space="preserve"> </w:t>
      </w:r>
      <w:r w:rsidRPr="00A805F5" w:rsidR="0036518A">
        <w:rPr>
          <w:rFonts w:cs="Arial"/>
          <w:szCs w:val="20"/>
          <w:lang w:val="nl-NL"/>
        </w:rPr>
        <w:t>van industriële, commerciële of wetenschappelijke uitrusting (overeenkomstig het VN-modelverdrag)</w:t>
      </w:r>
      <w:r w:rsidRPr="00A805F5" w:rsidR="00930903">
        <w:rPr>
          <w:rFonts w:cs="Arial"/>
          <w:szCs w:val="20"/>
          <w:lang w:val="nl-NL"/>
        </w:rPr>
        <w:t xml:space="preserve"> zijn niet opgenomen in het OESO-modelverdrag</w:t>
      </w:r>
      <w:r w:rsidRPr="00A805F5" w:rsidR="0036518A">
        <w:rPr>
          <w:rFonts w:cs="Arial"/>
          <w:szCs w:val="20"/>
          <w:lang w:val="nl-NL"/>
        </w:rPr>
        <w:t xml:space="preserve">. </w:t>
      </w:r>
      <w:r w:rsidRPr="00A805F5">
        <w:rPr>
          <w:rFonts w:cs="Arial"/>
          <w:szCs w:val="20"/>
          <w:lang w:val="nl-NL"/>
        </w:rPr>
        <w:t>Het derde lid komt inhoudelijk overeen met de</w:t>
      </w:r>
      <w:r w:rsidRPr="00A805F5" w:rsidR="0036518A">
        <w:rPr>
          <w:rFonts w:cs="Arial"/>
          <w:szCs w:val="20"/>
          <w:lang w:val="nl-NL"/>
        </w:rPr>
        <w:t xml:space="preserve"> royalty-definitie </w:t>
      </w:r>
      <w:r w:rsidRPr="00A805F5">
        <w:rPr>
          <w:rFonts w:cs="Arial"/>
          <w:szCs w:val="20"/>
          <w:lang w:val="nl-NL"/>
        </w:rPr>
        <w:t xml:space="preserve">uit </w:t>
      </w:r>
      <w:r w:rsidRPr="00A805F5" w:rsidR="0036518A">
        <w:rPr>
          <w:rFonts w:cs="Arial"/>
          <w:szCs w:val="20"/>
          <w:lang w:val="nl-NL"/>
        </w:rPr>
        <w:t>het belastingverdrag tussen Chili en Japan.</w:t>
      </w:r>
    </w:p>
    <w:p w:rsidRPr="00A805F5" w:rsidR="00B33413" w:rsidP="00B33413" w:rsidRDefault="0036518A" w14:paraId="3FBA7797" w14:textId="653E746B">
      <w:pPr>
        <w:ind w:firstLine="720"/>
        <w:rPr>
          <w:rFonts w:cs="Arial"/>
          <w:szCs w:val="20"/>
          <w:highlight w:val="lightGray"/>
          <w:lang w:val="nl-NL"/>
        </w:rPr>
      </w:pPr>
      <w:r w:rsidRPr="00A805F5">
        <w:rPr>
          <w:rFonts w:cs="Arial"/>
          <w:szCs w:val="20"/>
          <w:lang w:val="nl-NL"/>
        </w:rPr>
        <w:t>Het vierde lid</w:t>
      </w:r>
      <w:r w:rsidRPr="00A805F5" w:rsidR="0058584C">
        <w:rPr>
          <w:rFonts w:cs="Arial"/>
          <w:szCs w:val="20"/>
          <w:lang w:val="nl-NL"/>
        </w:rPr>
        <w:t xml:space="preserve"> is ontleend aan artikel 12</w:t>
      </w:r>
      <w:r w:rsidRPr="00A805F5">
        <w:rPr>
          <w:rFonts w:cs="Arial"/>
          <w:szCs w:val="20"/>
          <w:lang w:val="nl-NL"/>
        </w:rPr>
        <w:t xml:space="preserve">, </w:t>
      </w:r>
      <w:r w:rsidRPr="00A805F5" w:rsidR="0058584C">
        <w:rPr>
          <w:rFonts w:cs="Arial"/>
          <w:szCs w:val="20"/>
          <w:lang w:val="nl-NL"/>
        </w:rPr>
        <w:t>de</w:t>
      </w:r>
      <w:r w:rsidRPr="00A805F5">
        <w:rPr>
          <w:rFonts w:cs="Arial"/>
          <w:szCs w:val="20"/>
          <w:lang w:val="nl-NL"/>
        </w:rPr>
        <w:t xml:space="preserve">rde lid, van het OESO-modelverdrag. In afwijking van het OESO-modelverdrag, en in overeenstemming met het VN-modelverdrag, zijn verwijzingen opgenomen naar artikel 14 van het Verdrag dat gaat over de belastingheffing </w:t>
      </w:r>
      <w:r w:rsidR="00F61600">
        <w:rPr>
          <w:rFonts w:cs="Arial"/>
          <w:szCs w:val="20"/>
          <w:lang w:val="nl-NL"/>
        </w:rPr>
        <w:t>over</w:t>
      </w:r>
      <w:r w:rsidRPr="00A805F5">
        <w:rPr>
          <w:rFonts w:cs="Arial"/>
          <w:szCs w:val="20"/>
          <w:lang w:val="nl-NL"/>
        </w:rPr>
        <w:t xml:space="preserve"> </w:t>
      </w:r>
      <w:r w:rsidR="00F61600">
        <w:rPr>
          <w:rFonts w:cs="Arial"/>
          <w:szCs w:val="20"/>
          <w:lang w:val="nl-NL"/>
        </w:rPr>
        <w:t xml:space="preserve">inkomen uit </w:t>
      </w:r>
      <w:r w:rsidRPr="00A805F5">
        <w:rPr>
          <w:rFonts w:cs="Arial"/>
          <w:szCs w:val="20"/>
          <w:lang w:val="nl-NL"/>
        </w:rPr>
        <w:t xml:space="preserve">zelfstandige arbeid. Het vierde lid bepaalt dat niet het eerste en tweede lid, maar artikel 7 (ondernemingswinst), respectievelijk 14 (zelfstandige arbeid), van toepassing zijn op </w:t>
      </w:r>
      <w:r w:rsidRPr="00A805F5" w:rsidR="00B33413">
        <w:rPr>
          <w:rFonts w:cs="Arial"/>
          <w:szCs w:val="20"/>
          <w:lang w:val="nl-NL"/>
        </w:rPr>
        <w:t>royalty’s die verband houden met rechten of zaken die behoren tot het vermogen van een vaste inrichting</w:t>
      </w:r>
      <w:r w:rsidRPr="00A805F5" w:rsidR="004D3D8F">
        <w:rPr>
          <w:rFonts w:cs="Arial"/>
          <w:szCs w:val="20"/>
          <w:lang w:val="nl-NL"/>
        </w:rPr>
        <w:t xml:space="preserve"> of vast middelpunt</w:t>
      </w:r>
      <w:r w:rsidRPr="00A805F5" w:rsidR="00B33413">
        <w:rPr>
          <w:rFonts w:cs="Arial"/>
          <w:szCs w:val="20"/>
          <w:lang w:val="nl-NL"/>
        </w:rPr>
        <w:t xml:space="preserve"> waarover de uiteindelijk gerechtigde tot de royalty’s beschikt in de verdragsluitende staat waaruit de royalty’s afkomstig zijn. </w:t>
      </w:r>
    </w:p>
    <w:p w:rsidRPr="00A805F5" w:rsidR="00B33413" w:rsidP="00B33413" w:rsidRDefault="00B33413" w14:paraId="6F8AA116" w14:textId="77777777">
      <w:pPr>
        <w:ind w:firstLine="720"/>
        <w:rPr>
          <w:rFonts w:cs="Arial"/>
          <w:szCs w:val="20"/>
          <w:lang w:val="nl-NL"/>
        </w:rPr>
      </w:pPr>
      <w:r w:rsidRPr="00A805F5">
        <w:rPr>
          <w:rFonts w:cs="Arial"/>
          <w:szCs w:val="20"/>
          <w:lang w:val="nl-NL"/>
        </w:rPr>
        <w:t>Het vijfde lid</w:t>
      </w:r>
      <w:r w:rsidRPr="00A805F5" w:rsidR="006F3538">
        <w:rPr>
          <w:rFonts w:cs="Arial"/>
          <w:szCs w:val="20"/>
          <w:lang w:val="nl-NL"/>
        </w:rPr>
        <w:t xml:space="preserve"> is ontleend is aan het VN-modelverdrag. De bepaling</w:t>
      </w:r>
      <w:r w:rsidRPr="00A805F5">
        <w:rPr>
          <w:rFonts w:cs="Arial"/>
          <w:szCs w:val="20"/>
          <w:lang w:val="nl-NL"/>
        </w:rPr>
        <w:t xml:space="preserve"> geeft aan uit welke verdragsluitende staat royalty’s geacht worden afkomstig te zijn. In beginsel is dat de verdragsluitende staat waarvan de betaler van de royalty’s inwoner is. Als echter de betaler van de royalty’s, ongeacht of hij inwoner is van een verdragsluitende staat, een vaste inrichting </w:t>
      </w:r>
      <w:r w:rsidRPr="00A805F5" w:rsidR="006F3538">
        <w:rPr>
          <w:rFonts w:cs="Arial"/>
          <w:szCs w:val="20"/>
          <w:lang w:val="nl-NL"/>
        </w:rPr>
        <w:t xml:space="preserve">of een vast middelpunt </w:t>
      </w:r>
      <w:r w:rsidRPr="00A805F5">
        <w:rPr>
          <w:rFonts w:cs="Arial"/>
          <w:szCs w:val="20"/>
          <w:lang w:val="nl-NL"/>
        </w:rPr>
        <w:t>heeft in een verdragsluitende staat waaraan het recht of de zaak uit hoofde waarvan de royaltybetaling</w:t>
      </w:r>
      <w:r w:rsidRPr="00A805F5" w:rsidR="006F3538">
        <w:rPr>
          <w:rFonts w:cs="Arial"/>
          <w:szCs w:val="20"/>
          <w:lang w:val="nl-NL"/>
        </w:rPr>
        <w:t xml:space="preserve"> wordt gedaan</w:t>
      </w:r>
      <w:r w:rsidRPr="00A805F5">
        <w:rPr>
          <w:rFonts w:cs="Arial"/>
          <w:szCs w:val="20"/>
          <w:lang w:val="nl-NL"/>
        </w:rPr>
        <w:t xml:space="preserve"> kan worden toegerekend, worden de royalty’s geacht afkomstig te zijn uit de staat waarin de vaste inrichting </w:t>
      </w:r>
      <w:r w:rsidRPr="00A805F5" w:rsidR="006F3538">
        <w:rPr>
          <w:rFonts w:cs="Arial"/>
          <w:szCs w:val="20"/>
          <w:lang w:val="nl-NL"/>
        </w:rPr>
        <w:t xml:space="preserve">of het vaste middelpunt </w:t>
      </w:r>
      <w:r w:rsidRPr="00A805F5">
        <w:rPr>
          <w:rFonts w:cs="Arial"/>
          <w:szCs w:val="20"/>
          <w:lang w:val="nl-NL"/>
        </w:rPr>
        <w:t>is gelegen.</w:t>
      </w:r>
    </w:p>
    <w:p w:rsidRPr="00A805F5" w:rsidR="00B33413" w:rsidP="00B33413" w:rsidRDefault="00B33413" w14:paraId="3452C2E7" w14:textId="77777777">
      <w:pPr>
        <w:ind w:firstLine="720"/>
        <w:rPr>
          <w:rFonts w:cs="Arial"/>
          <w:szCs w:val="20"/>
          <w:lang w:val="nl-NL"/>
        </w:rPr>
      </w:pPr>
      <w:r w:rsidRPr="00A805F5">
        <w:rPr>
          <w:rFonts w:cs="Arial"/>
          <w:szCs w:val="20"/>
          <w:lang w:val="nl-NL"/>
        </w:rPr>
        <w:t>Ten slotte bepaalt het zesde lid</w:t>
      </w:r>
      <w:r w:rsidRPr="00A805F5" w:rsidR="006F3538">
        <w:rPr>
          <w:rFonts w:cs="Arial"/>
          <w:szCs w:val="20"/>
          <w:lang w:val="nl-NL"/>
        </w:rPr>
        <w:t>, dat is ontleend aan het OESO-</w:t>
      </w:r>
      <w:proofErr w:type="spellStart"/>
      <w:r w:rsidRPr="00A805F5" w:rsidR="006F3538">
        <w:rPr>
          <w:rFonts w:cs="Arial"/>
          <w:szCs w:val="20"/>
          <w:lang w:val="nl-NL"/>
        </w:rPr>
        <w:t>modelverdag</w:t>
      </w:r>
      <w:proofErr w:type="spellEnd"/>
      <w:r w:rsidRPr="00A805F5" w:rsidR="006F3538">
        <w:rPr>
          <w:rFonts w:cs="Arial"/>
          <w:szCs w:val="20"/>
          <w:lang w:val="nl-NL"/>
        </w:rPr>
        <w:t>,</w:t>
      </w:r>
      <w:r w:rsidRPr="00A805F5">
        <w:rPr>
          <w:rFonts w:cs="Arial"/>
          <w:szCs w:val="20"/>
          <w:lang w:val="nl-NL"/>
        </w:rPr>
        <w:t xml:space="preserve"> dat de bepalingen van artikel 12 slechts van toepassing zijn voor zover de royaltybetaling overeenkomt met een royaltybetaling die tussen onafhankelijke partijen overeengekomen zou zijn, </w:t>
      </w:r>
      <w:r w:rsidRPr="00A805F5" w:rsidR="006F3538">
        <w:rPr>
          <w:rFonts w:cs="Arial"/>
          <w:szCs w:val="20"/>
          <w:lang w:val="nl-NL"/>
        </w:rPr>
        <w:t>en</w:t>
      </w:r>
      <w:r w:rsidRPr="00A805F5">
        <w:rPr>
          <w:rFonts w:cs="Arial"/>
          <w:szCs w:val="20"/>
          <w:lang w:val="nl-NL"/>
        </w:rPr>
        <w:t xml:space="preserve"> dat een </w:t>
      </w:r>
      <w:r w:rsidRPr="00A805F5" w:rsidR="006F3538">
        <w:rPr>
          <w:rFonts w:cs="Arial"/>
          <w:szCs w:val="20"/>
          <w:lang w:val="nl-NL"/>
        </w:rPr>
        <w:t xml:space="preserve">eventueel </w:t>
      </w:r>
      <w:r w:rsidRPr="00A805F5">
        <w:rPr>
          <w:rFonts w:cs="Arial"/>
          <w:szCs w:val="20"/>
          <w:lang w:val="nl-NL"/>
        </w:rPr>
        <w:t>bovenmatig gedeelte van een royaltybetaling</w:t>
      </w:r>
      <w:r w:rsidRPr="00A805F5" w:rsidR="006F3538">
        <w:rPr>
          <w:rFonts w:cs="Arial"/>
          <w:szCs w:val="20"/>
          <w:lang w:val="nl-NL"/>
        </w:rPr>
        <w:t>, rekening houdend</w:t>
      </w:r>
      <w:r w:rsidRPr="00A805F5">
        <w:rPr>
          <w:rFonts w:cs="Arial"/>
          <w:szCs w:val="20"/>
          <w:lang w:val="nl-NL"/>
        </w:rPr>
        <w:t xml:space="preserve"> met de overige </w:t>
      </w:r>
      <w:proofErr w:type="spellStart"/>
      <w:r w:rsidRPr="00A805F5" w:rsidR="006F3538">
        <w:rPr>
          <w:rFonts w:cs="Arial"/>
          <w:szCs w:val="20"/>
          <w:lang w:val="nl-NL"/>
        </w:rPr>
        <w:t>verdags</w:t>
      </w:r>
      <w:r w:rsidRPr="00A805F5">
        <w:rPr>
          <w:rFonts w:cs="Arial"/>
          <w:szCs w:val="20"/>
          <w:lang w:val="nl-NL"/>
        </w:rPr>
        <w:t>bepalingen</w:t>
      </w:r>
      <w:proofErr w:type="spellEnd"/>
      <w:r w:rsidRPr="00A805F5">
        <w:rPr>
          <w:rFonts w:cs="Arial"/>
          <w:szCs w:val="20"/>
          <w:lang w:val="nl-NL"/>
        </w:rPr>
        <w:t xml:space="preserve">, belastbaar is overeenkomstig de nationale wetgeving van ieder van de verdragsluitende staten. </w:t>
      </w:r>
    </w:p>
    <w:p w:rsidRPr="00A805F5" w:rsidR="003F612D" w:rsidP="003F612D" w:rsidRDefault="003F612D" w14:paraId="660BDFC6" w14:textId="280514F3">
      <w:pPr>
        <w:rPr>
          <w:rFonts w:cs="Arial"/>
          <w:szCs w:val="20"/>
          <w:lang w:val="nl-NL"/>
        </w:rPr>
      </w:pPr>
      <w:r w:rsidRPr="00A805F5">
        <w:rPr>
          <w:rFonts w:cs="Arial"/>
          <w:szCs w:val="20"/>
          <w:lang w:val="nl-NL"/>
        </w:rPr>
        <w:t xml:space="preserve">Voor de toelichting op artikel IV van het Protocol wordt verwezen naar </w:t>
      </w:r>
      <w:r w:rsidR="003C3809">
        <w:rPr>
          <w:rFonts w:cs="Arial"/>
          <w:szCs w:val="20"/>
          <w:lang w:val="nl-NL"/>
        </w:rPr>
        <w:t xml:space="preserve">onderdeel II.10 van </w:t>
      </w:r>
      <w:r w:rsidRPr="00CA6632" w:rsidR="003C3809">
        <w:rPr>
          <w:rFonts w:cs="Arial"/>
          <w:szCs w:val="20"/>
          <w:lang w:val="nl-NL"/>
        </w:rPr>
        <w:t>de</w:t>
      </w:r>
      <w:r w:rsidR="003C3809">
        <w:rPr>
          <w:rFonts w:cs="Arial"/>
          <w:szCs w:val="20"/>
          <w:lang w:val="nl-NL"/>
        </w:rPr>
        <w:t>ze</w:t>
      </w:r>
      <w:r w:rsidRPr="00CA6632" w:rsidR="003C3809">
        <w:rPr>
          <w:rFonts w:cs="Arial"/>
          <w:szCs w:val="20"/>
          <w:lang w:val="nl-NL"/>
        </w:rPr>
        <w:t xml:space="preserve"> </w:t>
      </w:r>
      <w:r w:rsidR="003C3809">
        <w:rPr>
          <w:rFonts w:cs="Arial"/>
          <w:szCs w:val="20"/>
          <w:lang w:val="nl-NL"/>
        </w:rPr>
        <w:t>toelichtende nota</w:t>
      </w:r>
      <w:r w:rsidRPr="00A805F5">
        <w:rPr>
          <w:rFonts w:cs="Arial"/>
          <w:szCs w:val="20"/>
          <w:lang w:val="nl-NL"/>
        </w:rPr>
        <w:t xml:space="preserve">. </w:t>
      </w:r>
    </w:p>
    <w:p w:rsidRPr="00A805F5" w:rsidR="0010137F" w:rsidP="0054368D" w:rsidRDefault="0054368D" w14:paraId="7094902F" w14:textId="29DF5A75">
      <w:pPr>
        <w:pStyle w:val="Heading2"/>
        <w:rPr>
          <w:rFonts w:cs="Arial"/>
          <w:b w:val="0"/>
          <w:bCs w:val="0"/>
          <w:i/>
          <w:smallCaps w:val="0"/>
          <w:szCs w:val="20"/>
          <w:lang w:val="nl-NL"/>
        </w:rPr>
      </w:pPr>
      <w:r w:rsidRPr="00A805F5">
        <w:rPr>
          <w:rFonts w:cs="Arial"/>
          <w:b w:val="0"/>
          <w:bCs w:val="0"/>
          <w:i/>
          <w:smallCaps w:val="0"/>
          <w:szCs w:val="20"/>
          <w:lang w:val="nl-NL"/>
        </w:rPr>
        <w:lastRenderedPageBreak/>
        <w:t>II.13 Vermogenswinsten (</w:t>
      </w:r>
      <w:r w:rsidRPr="00A805F5" w:rsidR="0010137F">
        <w:rPr>
          <w:rFonts w:cs="Arial"/>
          <w:b w:val="0"/>
          <w:bCs w:val="0"/>
          <w:i/>
          <w:smallCaps w:val="0"/>
          <w:szCs w:val="20"/>
          <w:lang w:val="nl-NL"/>
        </w:rPr>
        <w:t xml:space="preserve">Artikel 13 </w:t>
      </w:r>
      <w:r w:rsidRPr="00A805F5" w:rsidR="00F05AF0">
        <w:rPr>
          <w:rFonts w:cs="Arial"/>
          <w:b w:val="0"/>
          <w:bCs w:val="0"/>
          <w:i/>
          <w:smallCaps w:val="0"/>
          <w:szCs w:val="20"/>
          <w:lang w:val="nl-NL"/>
        </w:rPr>
        <w:t xml:space="preserve">van het Verdrag en artikelen </w:t>
      </w:r>
      <w:r w:rsidRPr="00A805F5" w:rsidR="00075AA3">
        <w:rPr>
          <w:rFonts w:cs="Arial"/>
          <w:b w:val="0"/>
          <w:bCs w:val="0"/>
          <w:i/>
          <w:smallCaps w:val="0"/>
          <w:szCs w:val="20"/>
          <w:lang w:val="nl-NL"/>
        </w:rPr>
        <w:t>II, V en VI van het Protocol)</w:t>
      </w:r>
    </w:p>
    <w:p w:rsidRPr="00A805F5" w:rsidR="000B5F56" w:rsidP="000B5F56" w:rsidRDefault="000B5F56" w14:paraId="0E6C5270" w14:textId="77777777">
      <w:pPr>
        <w:rPr>
          <w:rFonts w:cs="Arial"/>
          <w:szCs w:val="20"/>
          <w:lang w:val="nl-NL"/>
        </w:rPr>
      </w:pPr>
      <w:r w:rsidRPr="00A805F5">
        <w:rPr>
          <w:rFonts w:cs="Arial"/>
          <w:szCs w:val="20"/>
          <w:lang w:val="nl-NL"/>
        </w:rPr>
        <w:t>Artikel 13 van het Verdrag betreft de verdeling van heffingsrechten over vermogenswinsten. Het artikel is inhoudelijk gebaseerd op artikel 13 van het OESO-modelverdrag, m</w:t>
      </w:r>
      <w:r w:rsidRPr="00A805F5" w:rsidR="00156A53">
        <w:rPr>
          <w:rFonts w:cs="Arial"/>
          <w:szCs w:val="20"/>
          <w:lang w:val="nl-NL"/>
        </w:rPr>
        <w:t xml:space="preserve">aar wijkt in het vierde en zesde lid daarvan af. Het vierde lid is gebaseerd op Chileens verdragsbeleid (een geclausuleerde bronstaatheffing bij vervreemding van aandelen), terwijl het zesde lid is gebaseerd op Nederlands verdragsbeleid (aanmerkelijkbelangvoorbehoud in het vermogenswinstartikel). </w:t>
      </w:r>
    </w:p>
    <w:p w:rsidRPr="00A805F5" w:rsidR="006F2108" w:rsidP="006F2108" w:rsidRDefault="006F2108" w14:paraId="6CA353CC" w14:textId="77777777">
      <w:pPr>
        <w:ind w:firstLine="720"/>
        <w:rPr>
          <w:rFonts w:cs="Arial"/>
          <w:szCs w:val="20"/>
          <w:lang w:val="nl-NL"/>
        </w:rPr>
      </w:pPr>
      <w:r w:rsidRPr="00A805F5">
        <w:rPr>
          <w:rFonts w:cs="Arial"/>
          <w:szCs w:val="20"/>
          <w:lang w:val="nl-NL"/>
        </w:rPr>
        <w:t>Het eerste lid wijst het heffingsrecht over de voordelen die een inwoner van een verdragsluitende staat behaalt met de vervreemding van onroerende za</w:t>
      </w:r>
      <w:r w:rsidRPr="00A805F5" w:rsidR="00F67AB4">
        <w:rPr>
          <w:rFonts w:cs="Arial"/>
          <w:szCs w:val="20"/>
          <w:lang w:val="nl-NL"/>
        </w:rPr>
        <w:t>ken</w:t>
      </w:r>
      <w:r w:rsidRPr="00A805F5">
        <w:rPr>
          <w:rFonts w:cs="Arial"/>
          <w:szCs w:val="20"/>
          <w:lang w:val="nl-NL"/>
        </w:rPr>
        <w:t xml:space="preserve"> gelegen in de andere verdragsluitende staat, toe aan die andere staat. </w:t>
      </w:r>
      <w:r w:rsidRPr="00A805F5" w:rsidR="00833F11">
        <w:rPr>
          <w:rFonts w:cs="Arial"/>
          <w:szCs w:val="20"/>
          <w:lang w:val="nl-NL"/>
        </w:rPr>
        <w:t xml:space="preserve">Het begrip “onroerende zaak” is voor de verdragstoepassing gedefinieerd in artikel 6 van het Verdrag. </w:t>
      </w:r>
    </w:p>
    <w:p w:rsidRPr="00A805F5" w:rsidR="006F2108" w:rsidP="006F2108" w:rsidRDefault="006F2108" w14:paraId="50D2B364" w14:textId="41692143">
      <w:pPr>
        <w:ind w:firstLine="720"/>
        <w:rPr>
          <w:rFonts w:cs="Arial"/>
          <w:szCs w:val="20"/>
          <w:lang w:val="nl-NL"/>
        </w:rPr>
      </w:pPr>
      <w:r w:rsidRPr="00A805F5">
        <w:rPr>
          <w:rFonts w:cs="Arial"/>
          <w:szCs w:val="20"/>
          <w:lang w:val="nl-NL"/>
        </w:rPr>
        <w:t xml:space="preserve">Het tweede lid bepaalt dat voordelen </w:t>
      </w:r>
      <w:r w:rsidRPr="00A805F5" w:rsidR="00F3421B">
        <w:rPr>
          <w:rFonts w:cs="Arial"/>
          <w:szCs w:val="20"/>
          <w:lang w:val="nl-NL"/>
        </w:rPr>
        <w:t xml:space="preserve">verkregen door een onderneming of inwoner van een verdragsluitende staat </w:t>
      </w:r>
      <w:r w:rsidRPr="00A805F5">
        <w:rPr>
          <w:rFonts w:cs="Arial"/>
          <w:szCs w:val="20"/>
          <w:lang w:val="nl-NL"/>
        </w:rPr>
        <w:t xml:space="preserve">uit de vervreemding van roerende zaken die behoren tot het vermogen van een vaste inrichting </w:t>
      </w:r>
      <w:r w:rsidRPr="00A805F5" w:rsidR="00F3421B">
        <w:rPr>
          <w:rFonts w:cs="Arial"/>
          <w:szCs w:val="20"/>
          <w:lang w:val="nl-NL"/>
        </w:rPr>
        <w:t xml:space="preserve">of vast middelpunt </w:t>
      </w:r>
      <w:r w:rsidRPr="00A805F5">
        <w:rPr>
          <w:rFonts w:cs="Arial"/>
          <w:szCs w:val="20"/>
          <w:lang w:val="nl-NL"/>
        </w:rPr>
        <w:t xml:space="preserve">in de andere verdragsluitende staat, mogen worden belast in de staat waarin de vaste inrichting </w:t>
      </w:r>
      <w:r w:rsidRPr="00A805F5" w:rsidR="00F3421B">
        <w:rPr>
          <w:rFonts w:cs="Arial"/>
          <w:szCs w:val="20"/>
          <w:lang w:val="nl-NL"/>
        </w:rPr>
        <w:t xml:space="preserve">of dat vaste middelpunt </w:t>
      </w:r>
      <w:r w:rsidRPr="00A805F5">
        <w:rPr>
          <w:rFonts w:cs="Arial"/>
          <w:szCs w:val="20"/>
          <w:lang w:val="nl-NL"/>
        </w:rPr>
        <w:t xml:space="preserve">is gelegen. </w:t>
      </w:r>
      <w:r w:rsidRPr="00A805F5" w:rsidR="00F3421B">
        <w:rPr>
          <w:rFonts w:cs="Arial"/>
          <w:szCs w:val="20"/>
          <w:lang w:val="nl-NL"/>
        </w:rPr>
        <w:t>Dit geldt ook voor voordelen uit de vervreemding van de vaste inrichting of dat vaste middelpunt.</w:t>
      </w:r>
      <w:r w:rsidR="003E553B">
        <w:rPr>
          <w:rFonts w:cs="Arial"/>
          <w:szCs w:val="20"/>
          <w:lang w:val="nl-NL"/>
        </w:rPr>
        <w:t xml:space="preserve"> </w:t>
      </w:r>
    </w:p>
    <w:p w:rsidRPr="00A805F5" w:rsidR="006F2108" w:rsidP="006F2108" w:rsidRDefault="00A66190" w14:paraId="3E38EDF4" w14:textId="77777777">
      <w:pPr>
        <w:ind w:firstLine="720"/>
        <w:rPr>
          <w:rFonts w:cs="Arial"/>
          <w:szCs w:val="20"/>
          <w:lang w:val="nl-NL"/>
        </w:rPr>
      </w:pPr>
      <w:r w:rsidRPr="00A805F5">
        <w:rPr>
          <w:rFonts w:cs="Arial"/>
          <w:szCs w:val="20"/>
          <w:lang w:val="nl-NL"/>
        </w:rPr>
        <w:t xml:space="preserve">Op grond van </w:t>
      </w:r>
      <w:r w:rsidRPr="00A805F5" w:rsidR="006F2108">
        <w:rPr>
          <w:rFonts w:cs="Arial"/>
          <w:szCs w:val="20"/>
          <w:lang w:val="nl-NL"/>
        </w:rPr>
        <w:t>het derde lid zijn, in lijn met artikel 8 van het Verdrag (internationaal verkeer), de voordelen uit de vervreemding</w:t>
      </w:r>
      <w:r w:rsidRPr="00A805F5" w:rsidR="005C6F14">
        <w:rPr>
          <w:rFonts w:cs="Arial"/>
          <w:szCs w:val="20"/>
          <w:lang w:val="nl-NL"/>
        </w:rPr>
        <w:t xml:space="preserve"> van schepen of</w:t>
      </w:r>
      <w:r w:rsidRPr="00A805F5" w:rsidR="006F2108">
        <w:rPr>
          <w:rFonts w:cs="Arial"/>
          <w:szCs w:val="20"/>
          <w:lang w:val="nl-NL"/>
        </w:rPr>
        <w:t xml:space="preserve"> luchtvaartuigen die in het internationale verkeer worden geëxploiteerd</w:t>
      </w:r>
      <w:r w:rsidRPr="00A805F5" w:rsidR="005C6F14">
        <w:rPr>
          <w:rFonts w:cs="Arial"/>
          <w:szCs w:val="20"/>
          <w:lang w:val="nl-NL"/>
        </w:rPr>
        <w:t xml:space="preserve"> of</w:t>
      </w:r>
      <w:r w:rsidRPr="00A805F5" w:rsidR="006F2108">
        <w:rPr>
          <w:rFonts w:cs="Arial"/>
          <w:szCs w:val="20"/>
          <w:lang w:val="nl-NL"/>
        </w:rPr>
        <w:t xml:space="preserve"> van roerende zaken die bij die exploitatie worden gebruikt, toegewezen aan de verdragsluitende staat waarvan de</w:t>
      </w:r>
      <w:r w:rsidRPr="00A805F5" w:rsidR="005C6F14">
        <w:rPr>
          <w:rFonts w:cs="Arial"/>
          <w:szCs w:val="20"/>
          <w:lang w:val="nl-NL"/>
        </w:rPr>
        <w:t xml:space="preserve"> vervreemder</w:t>
      </w:r>
      <w:r w:rsidRPr="00A805F5" w:rsidR="006F2108">
        <w:rPr>
          <w:rFonts w:cs="Arial"/>
          <w:szCs w:val="20"/>
          <w:lang w:val="nl-NL"/>
        </w:rPr>
        <w:t xml:space="preserve"> inwoner is.</w:t>
      </w:r>
    </w:p>
    <w:p w:rsidRPr="00A805F5" w:rsidR="00387B4A" w:rsidP="00387B4A" w:rsidRDefault="00F071D3" w14:paraId="290D6F53" w14:textId="5FC7C6FF">
      <w:pPr>
        <w:ind w:firstLine="720"/>
        <w:rPr>
          <w:rFonts w:cs="Arial"/>
          <w:szCs w:val="20"/>
          <w:lang w:val="nl-NL"/>
        </w:rPr>
      </w:pPr>
      <w:r w:rsidRPr="00A805F5">
        <w:rPr>
          <w:rFonts w:cs="Arial"/>
          <w:szCs w:val="20"/>
          <w:lang w:val="nl-NL"/>
        </w:rPr>
        <w:t xml:space="preserve">Het vierde lid betreft de belastingheffing over </w:t>
      </w:r>
      <w:r w:rsidRPr="00A805F5" w:rsidR="009A5730">
        <w:rPr>
          <w:rFonts w:cs="Arial"/>
          <w:szCs w:val="20"/>
          <w:lang w:val="nl-NL"/>
        </w:rPr>
        <w:t>de winst die</w:t>
      </w:r>
      <w:r w:rsidRPr="00A805F5">
        <w:rPr>
          <w:rFonts w:cs="Arial"/>
          <w:szCs w:val="20"/>
          <w:lang w:val="nl-NL"/>
        </w:rPr>
        <w:t xml:space="preserve"> een inwoner van een verdragsluitende staat </w:t>
      </w:r>
      <w:r w:rsidRPr="00A805F5" w:rsidR="009A5730">
        <w:rPr>
          <w:rFonts w:cs="Arial"/>
          <w:szCs w:val="20"/>
          <w:lang w:val="nl-NL"/>
        </w:rPr>
        <w:t xml:space="preserve">(de woonstaat) behaalt bij de vervreemding van aandelen (of – kort gezegd – daarmee </w:t>
      </w:r>
      <w:r w:rsidRPr="00A805F5" w:rsidR="00D26140">
        <w:rPr>
          <w:rFonts w:cs="Arial"/>
          <w:szCs w:val="20"/>
          <w:lang w:val="nl-NL"/>
        </w:rPr>
        <w:t>vergelijkbare belangen</w:t>
      </w:r>
      <w:r w:rsidRPr="00A805F5" w:rsidR="009A5730">
        <w:rPr>
          <w:rFonts w:cs="Arial"/>
          <w:szCs w:val="20"/>
          <w:lang w:val="nl-NL"/>
        </w:rPr>
        <w:t>)</w:t>
      </w:r>
      <w:r w:rsidRPr="00A805F5" w:rsidR="00D26140">
        <w:rPr>
          <w:rFonts w:cs="Arial"/>
          <w:szCs w:val="20"/>
          <w:lang w:val="nl-NL"/>
        </w:rPr>
        <w:t xml:space="preserve"> die direct of indirect het kapitaal vertegenwoordigen van een lichaam</w:t>
      </w:r>
      <w:r w:rsidRPr="00A805F5" w:rsidR="009A5730">
        <w:rPr>
          <w:rFonts w:cs="Arial"/>
          <w:szCs w:val="20"/>
          <w:lang w:val="nl-NL"/>
        </w:rPr>
        <w:t xml:space="preserve"> dat inwoner is van de andere verdragsluitende staat </w:t>
      </w:r>
      <w:r w:rsidRPr="00A805F5" w:rsidR="001D4C03">
        <w:rPr>
          <w:rFonts w:cs="Arial"/>
          <w:szCs w:val="20"/>
          <w:lang w:val="nl-NL"/>
        </w:rPr>
        <w:t xml:space="preserve">of </w:t>
      </w:r>
      <w:r w:rsidRPr="00A805F5" w:rsidR="009A5730">
        <w:rPr>
          <w:rFonts w:cs="Arial"/>
          <w:szCs w:val="20"/>
          <w:lang w:val="nl-NL"/>
        </w:rPr>
        <w:t xml:space="preserve">die </w:t>
      </w:r>
      <w:r w:rsidRPr="00A805F5" w:rsidR="00B152BC">
        <w:rPr>
          <w:rFonts w:cs="Arial"/>
          <w:szCs w:val="20"/>
          <w:lang w:val="nl-NL"/>
        </w:rPr>
        <w:t xml:space="preserve">hun waarde hoofdzakelijk ontlenen aan </w:t>
      </w:r>
      <w:r w:rsidRPr="00A805F5" w:rsidR="001D4C03">
        <w:rPr>
          <w:rFonts w:cs="Arial"/>
          <w:szCs w:val="20"/>
          <w:lang w:val="nl-NL"/>
        </w:rPr>
        <w:t xml:space="preserve">onroerende zaken </w:t>
      </w:r>
      <w:r w:rsidRPr="00A805F5" w:rsidR="00D26140">
        <w:rPr>
          <w:rFonts w:cs="Arial"/>
          <w:szCs w:val="20"/>
          <w:lang w:val="nl-NL"/>
        </w:rPr>
        <w:t>in</w:t>
      </w:r>
      <w:r w:rsidRPr="00A805F5" w:rsidR="009A5730">
        <w:rPr>
          <w:rFonts w:cs="Arial"/>
          <w:szCs w:val="20"/>
          <w:lang w:val="nl-NL"/>
        </w:rPr>
        <w:t xml:space="preserve"> de andere verdragsluitende staat</w:t>
      </w:r>
      <w:r w:rsidRPr="00A805F5" w:rsidR="00D26140">
        <w:rPr>
          <w:rFonts w:cs="Arial"/>
          <w:szCs w:val="20"/>
          <w:lang w:val="nl-NL"/>
        </w:rPr>
        <w:t xml:space="preserve">. </w:t>
      </w:r>
      <w:r w:rsidRPr="00A805F5" w:rsidR="003A37FA">
        <w:rPr>
          <w:rFonts w:cs="Arial"/>
          <w:szCs w:val="20"/>
          <w:lang w:val="nl-NL"/>
        </w:rPr>
        <w:t xml:space="preserve">Dit lid </w:t>
      </w:r>
      <w:r w:rsidRPr="00A805F5" w:rsidR="00B152BC">
        <w:rPr>
          <w:rFonts w:cs="Arial"/>
          <w:szCs w:val="20"/>
          <w:lang w:val="nl-NL"/>
        </w:rPr>
        <w:t xml:space="preserve">wijst het heffingsrecht onder voorwaarden toe aan de laatstgenoemde staat. Dit </w:t>
      </w:r>
      <w:r w:rsidRPr="00A805F5" w:rsidR="003A37FA">
        <w:rPr>
          <w:rFonts w:cs="Arial"/>
          <w:szCs w:val="20"/>
          <w:lang w:val="nl-NL"/>
        </w:rPr>
        <w:t>hangt samen met het Chileense belastingsysteem</w:t>
      </w:r>
      <w:r w:rsidRPr="00A805F5" w:rsidR="00B152BC">
        <w:rPr>
          <w:rFonts w:cs="Arial"/>
          <w:szCs w:val="20"/>
          <w:lang w:val="nl-NL"/>
        </w:rPr>
        <w:t xml:space="preserve">. Hoewel het lid wederzijds is geformuleerd, hechtte </w:t>
      </w:r>
      <w:r w:rsidRPr="00A805F5" w:rsidR="009C51E1">
        <w:rPr>
          <w:rFonts w:cs="Arial"/>
          <w:szCs w:val="20"/>
          <w:lang w:val="nl-NL"/>
        </w:rPr>
        <w:t xml:space="preserve">vooral </w:t>
      </w:r>
      <w:r w:rsidRPr="00A805F5" w:rsidR="00B152BC">
        <w:rPr>
          <w:rFonts w:cs="Arial"/>
          <w:szCs w:val="20"/>
          <w:lang w:val="nl-NL"/>
        </w:rPr>
        <w:t xml:space="preserve">de Chileense delegatie groot belang aan </w:t>
      </w:r>
      <w:r w:rsidRPr="00A805F5" w:rsidR="009C51E1">
        <w:rPr>
          <w:rFonts w:cs="Arial"/>
          <w:szCs w:val="20"/>
          <w:lang w:val="nl-NL"/>
        </w:rPr>
        <w:t>deze bepaling omdat die</w:t>
      </w:r>
      <w:r w:rsidRPr="00A805F5" w:rsidR="00B152BC">
        <w:rPr>
          <w:rFonts w:cs="Arial"/>
          <w:szCs w:val="20"/>
          <w:lang w:val="nl-NL"/>
        </w:rPr>
        <w:t xml:space="preserve"> </w:t>
      </w:r>
      <w:r w:rsidRPr="00A805F5" w:rsidR="003A37FA">
        <w:rPr>
          <w:rFonts w:cs="Arial"/>
          <w:szCs w:val="20"/>
          <w:lang w:val="nl-NL"/>
        </w:rPr>
        <w:t>voorkom</w:t>
      </w:r>
      <w:r w:rsidRPr="00A805F5" w:rsidR="009C51E1">
        <w:rPr>
          <w:rFonts w:cs="Arial"/>
          <w:szCs w:val="20"/>
          <w:lang w:val="nl-NL"/>
        </w:rPr>
        <w:t>t</w:t>
      </w:r>
      <w:r w:rsidRPr="00A805F5" w:rsidR="003A37FA">
        <w:rPr>
          <w:rFonts w:cs="Arial"/>
          <w:szCs w:val="20"/>
          <w:lang w:val="nl-NL"/>
        </w:rPr>
        <w:t xml:space="preserve"> dat de aanvullende belasting (</w:t>
      </w:r>
      <w:proofErr w:type="spellStart"/>
      <w:r w:rsidRPr="00A805F5" w:rsidR="003A37FA">
        <w:rPr>
          <w:rFonts w:cs="Arial"/>
          <w:i/>
          <w:szCs w:val="20"/>
          <w:lang w:val="nl-NL"/>
        </w:rPr>
        <w:t>impuesto</w:t>
      </w:r>
      <w:proofErr w:type="spellEnd"/>
      <w:r w:rsidRPr="00A805F5" w:rsidR="003A37FA">
        <w:rPr>
          <w:rFonts w:cs="Arial"/>
          <w:i/>
          <w:szCs w:val="20"/>
          <w:lang w:val="nl-NL"/>
        </w:rPr>
        <w:t xml:space="preserve"> </w:t>
      </w:r>
      <w:proofErr w:type="spellStart"/>
      <w:r w:rsidRPr="00A805F5" w:rsidR="003A37FA">
        <w:rPr>
          <w:rFonts w:cs="Arial"/>
          <w:i/>
          <w:szCs w:val="20"/>
          <w:lang w:val="nl-NL"/>
        </w:rPr>
        <w:t>adicional</w:t>
      </w:r>
      <w:proofErr w:type="spellEnd"/>
      <w:r w:rsidRPr="00A805F5" w:rsidR="003A37FA">
        <w:rPr>
          <w:rFonts w:cs="Arial"/>
          <w:i/>
          <w:szCs w:val="20"/>
          <w:lang w:val="nl-NL"/>
        </w:rPr>
        <w:t xml:space="preserve">) </w:t>
      </w:r>
      <w:r w:rsidRPr="00A805F5" w:rsidR="003A37FA">
        <w:rPr>
          <w:rFonts w:cs="Arial"/>
          <w:szCs w:val="20"/>
          <w:lang w:val="nl-NL"/>
        </w:rPr>
        <w:t xml:space="preserve">zou kunnen worden omzeild </w:t>
      </w:r>
      <w:r w:rsidRPr="00A805F5" w:rsidR="00DA3281">
        <w:rPr>
          <w:rFonts w:cs="Arial"/>
          <w:szCs w:val="20"/>
          <w:lang w:val="nl-NL"/>
        </w:rPr>
        <w:t xml:space="preserve">of uitgesteld </w:t>
      </w:r>
      <w:r w:rsidRPr="00A805F5" w:rsidR="003A37FA">
        <w:rPr>
          <w:rFonts w:cs="Arial"/>
          <w:szCs w:val="20"/>
          <w:lang w:val="nl-NL"/>
        </w:rPr>
        <w:t xml:space="preserve">door middel van een vervreemding van aandelen waarover Chili </w:t>
      </w:r>
      <w:r w:rsidRPr="00A805F5" w:rsidR="00B152BC">
        <w:rPr>
          <w:rFonts w:cs="Arial"/>
          <w:szCs w:val="20"/>
          <w:lang w:val="nl-NL"/>
        </w:rPr>
        <w:t xml:space="preserve">geen heffingsrecht zou hebben </w:t>
      </w:r>
      <w:r w:rsidRPr="00A805F5" w:rsidR="003A37FA">
        <w:rPr>
          <w:rFonts w:cs="Arial"/>
          <w:szCs w:val="20"/>
          <w:lang w:val="nl-NL"/>
        </w:rPr>
        <w:t xml:space="preserve">onder zijn belastingverdragen. Het Chileense verdragsbeleid is daarom gericht op een bronstaatheffing op vervreemdingswinsten bij </w:t>
      </w:r>
      <w:r w:rsidRPr="00A805F5" w:rsidR="001D4C03">
        <w:rPr>
          <w:rFonts w:cs="Arial"/>
          <w:szCs w:val="20"/>
          <w:lang w:val="nl-NL"/>
        </w:rPr>
        <w:t xml:space="preserve">dergelijke </w:t>
      </w:r>
      <w:r w:rsidRPr="00A805F5" w:rsidR="003A37FA">
        <w:rPr>
          <w:rFonts w:cs="Arial"/>
          <w:szCs w:val="20"/>
          <w:lang w:val="nl-NL"/>
        </w:rPr>
        <w:t xml:space="preserve">aandelen. </w:t>
      </w:r>
    </w:p>
    <w:p w:rsidRPr="00A805F5" w:rsidR="00F071D3" w:rsidP="00387B4A" w:rsidRDefault="00D26140" w14:paraId="03749A26" w14:textId="7F41DB64">
      <w:pPr>
        <w:ind w:firstLine="720"/>
        <w:rPr>
          <w:rFonts w:cs="Arial"/>
          <w:szCs w:val="20"/>
          <w:lang w:val="nl-NL"/>
        </w:rPr>
      </w:pPr>
      <w:r w:rsidRPr="00A805F5">
        <w:rPr>
          <w:rFonts w:cs="Arial"/>
          <w:szCs w:val="20"/>
          <w:lang w:val="nl-NL"/>
        </w:rPr>
        <w:t>Op grond van onderdeel a</w:t>
      </w:r>
      <w:r w:rsidRPr="00A805F5" w:rsidR="00B02F54">
        <w:rPr>
          <w:rFonts w:cs="Arial"/>
          <w:szCs w:val="20"/>
          <w:lang w:val="nl-NL"/>
        </w:rPr>
        <w:t>, onder i,</w:t>
      </w:r>
      <w:r w:rsidRPr="00A805F5">
        <w:rPr>
          <w:rFonts w:cs="Arial"/>
          <w:szCs w:val="20"/>
          <w:lang w:val="nl-NL"/>
        </w:rPr>
        <w:t xml:space="preserve"> mogen vervreemdingswinsten </w:t>
      </w:r>
      <w:r w:rsidRPr="00A805F5" w:rsidR="00B02F54">
        <w:rPr>
          <w:rFonts w:cs="Arial"/>
          <w:szCs w:val="20"/>
          <w:lang w:val="nl-NL"/>
        </w:rPr>
        <w:t xml:space="preserve">van een inwoner van een verdragsluitende staat van aandelen, vergelijkbare belangen of andere rechten die direct of indirect het kapitaal vertegenwoordigen van een lichaam in de andere verdragsluitende staat </w:t>
      </w:r>
      <w:r w:rsidRPr="00A805F5">
        <w:rPr>
          <w:rFonts w:cs="Arial"/>
          <w:szCs w:val="20"/>
          <w:lang w:val="nl-NL"/>
        </w:rPr>
        <w:t>in de laatstgenoemde staat worden belast</w:t>
      </w:r>
      <w:r w:rsidRPr="00A805F5" w:rsidR="006A2F4A">
        <w:rPr>
          <w:rFonts w:cs="Arial"/>
          <w:szCs w:val="20"/>
          <w:lang w:val="nl-NL"/>
        </w:rPr>
        <w:t>,</w:t>
      </w:r>
      <w:r w:rsidRPr="00A805F5">
        <w:rPr>
          <w:rFonts w:cs="Arial"/>
          <w:szCs w:val="20"/>
          <w:lang w:val="nl-NL"/>
        </w:rPr>
        <w:t xml:space="preserve"> indien </w:t>
      </w:r>
      <w:r w:rsidRPr="00A805F5" w:rsidR="00F071D3">
        <w:rPr>
          <w:rFonts w:cs="Arial"/>
          <w:szCs w:val="20"/>
          <w:lang w:val="nl-NL"/>
        </w:rPr>
        <w:t xml:space="preserve">de vervreemder op enig tijdstip </w:t>
      </w:r>
      <w:r w:rsidRPr="00A805F5">
        <w:rPr>
          <w:rFonts w:cs="Arial"/>
          <w:szCs w:val="20"/>
          <w:lang w:val="nl-NL"/>
        </w:rPr>
        <w:t xml:space="preserve">gedurende 365 dagen voorafgaand aan de vervreemding direct of indirect </w:t>
      </w:r>
      <w:r w:rsidRPr="00A805F5" w:rsidR="00F071D3">
        <w:rPr>
          <w:rFonts w:cs="Arial"/>
          <w:szCs w:val="20"/>
          <w:lang w:val="nl-NL"/>
        </w:rPr>
        <w:t>aandelen</w:t>
      </w:r>
      <w:r w:rsidRPr="00A805F5">
        <w:rPr>
          <w:rFonts w:cs="Arial"/>
          <w:szCs w:val="20"/>
          <w:lang w:val="nl-NL"/>
        </w:rPr>
        <w:t xml:space="preserve">, </w:t>
      </w:r>
      <w:r w:rsidRPr="00A805F5" w:rsidR="001F2A89">
        <w:rPr>
          <w:rFonts w:cs="Arial"/>
          <w:szCs w:val="20"/>
          <w:lang w:val="nl-NL"/>
        </w:rPr>
        <w:t>vergelijkbare</w:t>
      </w:r>
      <w:r w:rsidRPr="00A805F5">
        <w:rPr>
          <w:rFonts w:cs="Arial"/>
          <w:szCs w:val="20"/>
          <w:lang w:val="nl-NL"/>
        </w:rPr>
        <w:t xml:space="preserve"> belangen</w:t>
      </w:r>
      <w:r w:rsidRPr="00A805F5" w:rsidR="00F071D3">
        <w:rPr>
          <w:rFonts w:cs="Arial"/>
          <w:szCs w:val="20"/>
          <w:lang w:val="nl-NL"/>
        </w:rPr>
        <w:t xml:space="preserve"> of</w:t>
      </w:r>
      <w:r w:rsidRPr="00A805F5">
        <w:rPr>
          <w:rFonts w:cs="Arial"/>
          <w:szCs w:val="20"/>
          <w:lang w:val="nl-NL"/>
        </w:rPr>
        <w:t xml:space="preserve"> </w:t>
      </w:r>
      <w:r w:rsidRPr="00A805F5" w:rsidR="00F071D3">
        <w:rPr>
          <w:rFonts w:cs="Arial"/>
          <w:szCs w:val="20"/>
          <w:lang w:val="nl-NL"/>
        </w:rPr>
        <w:t>andere rechten bezat die ten minste 20% vertegenwoordigen</w:t>
      </w:r>
      <w:r w:rsidRPr="00A805F5">
        <w:rPr>
          <w:rFonts w:cs="Arial"/>
          <w:szCs w:val="20"/>
          <w:lang w:val="nl-NL"/>
        </w:rPr>
        <w:t xml:space="preserve"> </w:t>
      </w:r>
      <w:r w:rsidRPr="00A805F5" w:rsidR="00F071D3">
        <w:rPr>
          <w:rFonts w:cs="Arial"/>
          <w:szCs w:val="20"/>
          <w:lang w:val="nl-NL"/>
        </w:rPr>
        <w:t xml:space="preserve">van het kapitaal van </w:t>
      </w:r>
      <w:r w:rsidRPr="00A805F5">
        <w:rPr>
          <w:rFonts w:cs="Arial"/>
          <w:szCs w:val="20"/>
          <w:lang w:val="nl-NL"/>
        </w:rPr>
        <w:t>het lichaam</w:t>
      </w:r>
      <w:r w:rsidRPr="00A805F5" w:rsidR="00B02F54">
        <w:rPr>
          <w:rFonts w:cs="Arial"/>
          <w:szCs w:val="20"/>
          <w:lang w:val="nl-NL"/>
        </w:rPr>
        <w:t xml:space="preserve">. Onderdeel a, onder ii, komt inhoudelijk overeen met artikel 13, vierde lid, van het OESO-modelverdrag. Op grond van deze bepaling valt het heffingsrecht over vervreemdingswinsten toe aan de verdragsluitende staat waar onroerende zaken zijn gelegen </w:t>
      </w:r>
      <w:r w:rsidRPr="00A805F5" w:rsidR="006A2F4A">
        <w:rPr>
          <w:rFonts w:cs="Arial"/>
          <w:szCs w:val="20"/>
          <w:lang w:val="nl-NL"/>
        </w:rPr>
        <w:t xml:space="preserve">indien de aandelen, soortgelijke belangen of andere rechten </w:t>
      </w:r>
      <w:proofErr w:type="spellStart"/>
      <w:r w:rsidRPr="00A805F5" w:rsidR="00B02F54">
        <w:rPr>
          <w:rFonts w:cs="Arial"/>
          <w:szCs w:val="20"/>
          <w:lang w:val="nl-NL"/>
        </w:rPr>
        <w:t>terzake</w:t>
      </w:r>
      <w:proofErr w:type="spellEnd"/>
      <w:r w:rsidRPr="00A805F5" w:rsidR="00B02F54">
        <w:rPr>
          <w:rFonts w:cs="Arial"/>
          <w:szCs w:val="20"/>
          <w:lang w:val="nl-NL"/>
        </w:rPr>
        <w:t xml:space="preserve"> waarvan de vervreemdingswinst wordt behaald </w:t>
      </w:r>
      <w:r w:rsidRPr="00A805F5" w:rsidR="006A2F4A">
        <w:rPr>
          <w:rFonts w:cs="Arial"/>
          <w:szCs w:val="20"/>
          <w:lang w:val="nl-NL"/>
        </w:rPr>
        <w:t xml:space="preserve">op enig tijdstip gedurende 365 dagen </w:t>
      </w:r>
      <w:r w:rsidRPr="00A805F5" w:rsidR="006A2F4A">
        <w:rPr>
          <w:rFonts w:cs="Arial"/>
          <w:szCs w:val="20"/>
          <w:lang w:val="nl-NL"/>
        </w:rPr>
        <w:lastRenderedPageBreak/>
        <w:t>voorafgaand aan de vervreemding meer dan 50% van hun</w:t>
      </w:r>
      <w:r w:rsidRPr="00A805F5" w:rsidR="00F071D3">
        <w:rPr>
          <w:rFonts w:cs="Arial"/>
          <w:szCs w:val="20"/>
          <w:lang w:val="nl-NL"/>
        </w:rPr>
        <w:t xml:space="preserve"> waarde </w:t>
      </w:r>
      <w:r w:rsidRPr="00A805F5" w:rsidR="006A2F4A">
        <w:rPr>
          <w:rFonts w:cs="Arial"/>
          <w:szCs w:val="20"/>
          <w:lang w:val="nl-NL"/>
        </w:rPr>
        <w:t xml:space="preserve">direct of indirect ontlenen aan </w:t>
      </w:r>
      <w:r w:rsidRPr="00A805F5" w:rsidR="00B02F54">
        <w:rPr>
          <w:rFonts w:cs="Arial"/>
          <w:szCs w:val="20"/>
          <w:lang w:val="nl-NL"/>
        </w:rPr>
        <w:t xml:space="preserve">die </w:t>
      </w:r>
      <w:r w:rsidRPr="00A805F5" w:rsidR="00F071D3">
        <w:rPr>
          <w:rFonts w:cs="Arial"/>
          <w:szCs w:val="20"/>
          <w:lang w:val="nl-NL"/>
        </w:rPr>
        <w:t>onroerende</w:t>
      </w:r>
      <w:r w:rsidRPr="00A805F5" w:rsidR="006A2F4A">
        <w:rPr>
          <w:rFonts w:cs="Arial"/>
          <w:szCs w:val="20"/>
          <w:lang w:val="nl-NL"/>
        </w:rPr>
        <w:t xml:space="preserve"> zaken. </w:t>
      </w:r>
    </w:p>
    <w:p w:rsidRPr="00A805F5" w:rsidR="001F2A89" w:rsidP="00387B4A" w:rsidRDefault="00387B4A" w14:paraId="2B4A52DC" w14:textId="18C9717B">
      <w:pPr>
        <w:ind w:firstLine="720"/>
        <w:rPr>
          <w:rFonts w:cs="Arial"/>
          <w:szCs w:val="20"/>
          <w:lang w:val="nl-NL"/>
        </w:rPr>
      </w:pPr>
      <w:r w:rsidRPr="00A805F5">
        <w:rPr>
          <w:rFonts w:cs="Arial"/>
          <w:szCs w:val="20"/>
          <w:lang w:val="nl-NL"/>
        </w:rPr>
        <w:t xml:space="preserve">Op grond </w:t>
      </w:r>
      <w:r w:rsidR="00C6380E">
        <w:rPr>
          <w:rFonts w:cs="Arial"/>
          <w:szCs w:val="20"/>
          <w:lang w:val="nl-NL"/>
        </w:rPr>
        <w:t xml:space="preserve">van </w:t>
      </w:r>
      <w:r w:rsidRPr="00A805F5">
        <w:rPr>
          <w:rFonts w:cs="Arial"/>
          <w:szCs w:val="20"/>
          <w:lang w:val="nl-NL"/>
        </w:rPr>
        <w:t>onderdeel b,</w:t>
      </w:r>
      <w:r w:rsidRPr="00A805F5" w:rsidR="00FA7351">
        <w:rPr>
          <w:rFonts w:cs="Arial"/>
          <w:szCs w:val="20"/>
          <w:lang w:val="nl-NL"/>
        </w:rPr>
        <w:t xml:space="preserve"> mogen </w:t>
      </w:r>
      <w:r w:rsidRPr="00A805F5" w:rsidR="001F2A89">
        <w:rPr>
          <w:rFonts w:cs="Arial"/>
          <w:szCs w:val="20"/>
          <w:lang w:val="nl-NL"/>
        </w:rPr>
        <w:t xml:space="preserve">andere vervreemdingsvoordelen op aandelen, vergelijkbare belangen of andere rechten die het kapitaal vertegenwoordigen van een lichaam dat inwoner is van een andere staat ook in die staat worden belast, maar deze belasting mag 16% van de vervreemdingsvoordelen niet overschrijden. </w:t>
      </w:r>
    </w:p>
    <w:p w:rsidRPr="00A805F5" w:rsidR="00387B4A" w:rsidP="00387B4A" w:rsidRDefault="007C34E2" w14:paraId="5D599E75" w14:textId="07B92D5F">
      <w:pPr>
        <w:ind w:firstLine="720"/>
        <w:rPr>
          <w:rFonts w:cs="Arial"/>
          <w:szCs w:val="20"/>
          <w:lang w:val="nl-NL"/>
        </w:rPr>
      </w:pPr>
      <w:r w:rsidRPr="00A805F5">
        <w:rPr>
          <w:rFonts w:cs="Arial"/>
          <w:szCs w:val="20"/>
          <w:lang w:val="nl-NL"/>
        </w:rPr>
        <w:t>Het vierde lid, o</w:t>
      </w:r>
      <w:r w:rsidRPr="00A805F5" w:rsidR="001F2A89">
        <w:rPr>
          <w:rFonts w:cs="Arial"/>
          <w:szCs w:val="20"/>
          <w:lang w:val="nl-NL"/>
        </w:rPr>
        <w:t>nd</w:t>
      </w:r>
      <w:r w:rsidRPr="00A805F5">
        <w:rPr>
          <w:rFonts w:cs="Arial"/>
          <w:szCs w:val="20"/>
          <w:lang w:val="nl-NL"/>
        </w:rPr>
        <w:t xml:space="preserve">erdeel c, bepaalt dat het heffingsrecht over vervreemdingswinsten die erkende pensioenfondsen verkrijgen </w:t>
      </w:r>
      <w:proofErr w:type="spellStart"/>
      <w:r w:rsidRPr="00A805F5">
        <w:rPr>
          <w:rFonts w:cs="Arial"/>
          <w:szCs w:val="20"/>
          <w:lang w:val="nl-NL"/>
        </w:rPr>
        <w:t>terzake</w:t>
      </w:r>
      <w:proofErr w:type="spellEnd"/>
      <w:r w:rsidRPr="00A805F5">
        <w:rPr>
          <w:rFonts w:cs="Arial"/>
          <w:szCs w:val="20"/>
          <w:lang w:val="nl-NL"/>
        </w:rPr>
        <w:t xml:space="preserve"> van aandelen, vergelijkbare belangen of andere rechten exclusief aan de woonstaat toevalt. Deze bepaling heeft echter geen betrekking op het vierde lid, onderdeel a, onder ii, dat </w:t>
      </w:r>
      <w:r w:rsidRPr="00A805F5" w:rsidR="00220D1D">
        <w:rPr>
          <w:rFonts w:cs="Arial"/>
          <w:szCs w:val="20"/>
          <w:lang w:val="nl-NL"/>
        </w:rPr>
        <w:t xml:space="preserve">handelt </w:t>
      </w:r>
      <w:r w:rsidRPr="00A805F5">
        <w:rPr>
          <w:rFonts w:cs="Arial"/>
          <w:szCs w:val="20"/>
          <w:lang w:val="nl-NL"/>
        </w:rPr>
        <w:t xml:space="preserve">over </w:t>
      </w:r>
      <w:r w:rsidRPr="00A805F5" w:rsidR="00220D1D">
        <w:rPr>
          <w:rFonts w:cs="Arial"/>
          <w:szCs w:val="20"/>
          <w:lang w:val="nl-NL"/>
        </w:rPr>
        <w:t xml:space="preserve">het heffingsrecht van de verdragsluitende staat waarin onroerende zaken zijn gelegen waaraan de </w:t>
      </w:r>
      <w:r w:rsidRPr="00A805F5">
        <w:rPr>
          <w:rFonts w:cs="Arial"/>
          <w:szCs w:val="20"/>
          <w:lang w:val="nl-NL"/>
        </w:rPr>
        <w:t xml:space="preserve">aandelen, vergelijkbare belangen en andere rechten </w:t>
      </w:r>
      <w:r w:rsidRPr="00A805F5" w:rsidR="005D1BEE">
        <w:rPr>
          <w:rFonts w:cs="Arial"/>
          <w:szCs w:val="20"/>
          <w:lang w:val="nl-NL"/>
        </w:rPr>
        <w:t>hoofdzakelijk</w:t>
      </w:r>
      <w:r w:rsidRPr="00A805F5" w:rsidDel="005D1BEE" w:rsidR="005D1BEE">
        <w:rPr>
          <w:rFonts w:cs="Arial"/>
          <w:szCs w:val="20"/>
          <w:lang w:val="nl-NL"/>
        </w:rPr>
        <w:t xml:space="preserve"> </w:t>
      </w:r>
      <w:r w:rsidRPr="00A805F5">
        <w:rPr>
          <w:rFonts w:cs="Arial"/>
          <w:szCs w:val="20"/>
          <w:lang w:val="nl-NL"/>
        </w:rPr>
        <w:t xml:space="preserve">hun waarde ontlenen. </w:t>
      </w:r>
    </w:p>
    <w:p w:rsidRPr="00A805F5" w:rsidR="00F071D3" w:rsidP="006F2BB8" w:rsidRDefault="00B152BC" w14:paraId="5220D4DB" w14:textId="2A7AAF0A">
      <w:pPr>
        <w:ind w:firstLine="720"/>
        <w:rPr>
          <w:rFonts w:cs="Arial"/>
          <w:szCs w:val="20"/>
          <w:lang w:val="nl-NL"/>
        </w:rPr>
      </w:pPr>
      <w:r w:rsidRPr="00A805F5">
        <w:rPr>
          <w:rFonts w:cs="Arial"/>
          <w:szCs w:val="20"/>
          <w:lang w:val="nl-NL"/>
        </w:rPr>
        <w:t>A</w:t>
      </w:r>
      <w:r w:rsidRPr="00A805F5" w:rsidR="009630A5">
        <w:rPr>
          <w:rFonts w:cs="Arial"/>
          <w:szCs w:val="20"/>
          <w:lang w:val="nl-NL"/>
        </w:rPr>
        <w:t xml:space="preserve">rtikel V van het Protocol bevat op verzoek van Nederland een meestbegunstigingsclausule die onder meer betrekking heeft op artikel 13 van het Verdrag. </w:t>
      </w:r>
      <w:r w:rsidRPr="00A805F5">
        <w:rPr>
          <w:rFonts w:cs="Arial"/>
          <w:szCs w:val="20"/>
          <w:lang w:val="nl-NL"/>
        </w:rPr>
        <w:t>Deze protocolbepaling bepaalt dat indien Chili in een belastingverdrag dat in werking treedt na dit Verdrag voorwaarden overeenkomt die het recht van Chili om belasting te heffen op vervreemdingswinsten uit hoofde van artikel 13 van dit Verdrag verder beperken</w:t>
      </w:r>
      <w:r w:rsidR="002A6EBE">
        <w:rPr>
          <w:rFonts w:cs="Arial"/>
          <w:szCs w:val="20"/>
          <w:lang w:val="nl-NL"/>
        </w:rPr>
        <w:t>,</w:t>
      </w:r>
      <w:r w:rsidRPr="00A805F5">
        <w:rPr>
          <w:rFonts w:cs="Arial"/>
          <w:szCs w:val="20"/>
          <w:lang w:val="nl-NL"/>
        </w:rPr>
        <w:t xml:space="preserve"> de verdragsluitende staten, op verzoek van Nederland, met elkaar overleg plegen om dergelijke beperkende voorwaarden ook in het Verdrag op te nemen. Hiermee is </w:t>
      </w:r>
      <w:r w:rsidR="00DE45B9">
        <w:rPr>
          <w:rFonts w:cs="Arial"/>
          <w:szCs w:val="20"/>
          <w:lang w:val="nl-NL"/>
        </w:rPr>
        <w:t xml:space="preserve">een </w:t>
      </w:r>
      <w:r w:rsidR="002A6EBE">
        <w:rPr>
          <w:rFonts w:cs="Arial"/>
          <w:szCs w:val="20"/>
          <w:lang w:val="nl-NL"/>
        </w:rPr>
        <w:t>gelijk speelveld</w:t>
      </w:r>
      <w:r w:rsidRPr="00A805F5">
        <w:rPr>
          <w:rFonts w:cs="Arial"/>
          <w:szCs w:val="20"/>
          <w:lang w:val="nl-NL"/>
        </w:rPr>
        <w:t xml:space="preserve"> gewaarborgd van Nederlandse inwoners en ondernemingen ten opzichte van inwoners en </w:t>
      </w:r>
      <w:proofErr w:type="spellStart"/>
      <w:r w:rsidRPr="00A805F5">
        <w:rPr>
          <w:rFonts w:cs="Arial"/>
          <w:szCs w:val="20"/>
          <w:lang w:val="nl-NL"/>
        </w:rPr>
        <w:t>ondermingen</w:t>
      </w:r>
      <w:proofErr w:type="spellEnd"/>
      <w:r w:rsidRPr="00A805F5">
        <w:rPr>
          <w:rFonts w:cs="Arial"/>
          <w:szCs w:val="20"/>
          <w:lang w:val="nl-NL"/>
        </w:rPr>
        <w:t xml:space="preserve"> in landen waarmee Chili in de toekomst belastingverdragen sluit.</w:t>
      </w:r>
      <w:r w:rsidRPr="00A805F5" w:rsidR="006F2BB8">
        <w:rPr>
          <w:rFonts w:cs="Arial"/>
          <w:szCs w:val="20"/>
          <w:lang w:val="nl-NL"/>
        </w:rPr>
        <w:t xml:space="preserve"> </w:t>
      </w:r>
    </w:p>
    <w:p w:rsidRPr="00A805F5" w:rsidR="006F2108" w:rsidP="006F2108" w:rsidRDefault="00660430" w14:paraId="5092B40B" w14:textId="1AAA8FCB">
      <w:pPr>
        <w:ind w:firstLine="720"/>
        <w:rPr>
          <w:rFonts w:cs="Arial"/>
          <w:szCs w:val="20"/>
          <w:lang w:val="nl-NL"/>
        </w:rPr>
      </w:pPr>
      <w:r w:rsidRPr="00A805F5">
        <w:rPr>
          <w:rFonts w:cs="Arial"/>
          <w:szCs w:val="20"/>
          <w:lang w:val="nl-NL"/>
        </w:rPr>
        <w:t>Artikel 13,</w:t>
      </w:r>
      <w:r w:rsidRPr="00A805F5" w:rsidR="006F2108">
        <w:rPr>
          <w:rFonts w:cs="Arial"/>
          <w:szCs w:val="20"/>
          <w:lang w:val="nl-NL"/>
        </w:rPr>
        <w:t xml:space="preserve"> vijfde lid</w:t>
      </w:r>
      <w:r w:rsidRPr="00A805F5">
        <w:rPr>
          <w:rFonts w:cs="Arial"/>
          <w:szCs w:val="20"/>
          <w:lang w:val="nl-NL"/>
        </w:rPr>
        <w:t>, van het Verdrag komt inhoudelijk overeen met artikel 13, vijfde lid, van het OESO-modelverdrag. Op grond van deze bepaling</w:t>
      </w:r>
      <w:r w:rsidRPr="00A805F5" w:rsidR="006F2108">
        <w:rPr>
          <w:rFonts w:cs="Arial"/>
          <w:szCs w:val="20"/>
          <w:lang w:val="nl-NL"/>
        </w:rPr>
        <w:t xml:space="preserve"> zijn de vervreemdingswinsten </w:t>
      </w:r>
      <w:r w:rsidRPr="00A805F5" w:rsidR="009C51E1">
        <w:rPr>
          <w:rFonts w:cs="Arial"/>
          <w:szCs w:val="20"/>
          <w:lang w:val="nl-NL"/>
        </w:rPr>
        <w:t xml:space="preserve">op zaken </w:t>
      </w:r>
      <w:r w:rsidRPr="00A805F5" w:rsidR="006F2108">
        <w:rPr>
          <w:rFonts w:cs="Arial"/>
          <w:szCs w:val="20"/>
          <w:lang w:val="nl-NL"/>
        </w:rPr>
        <w:t xml:space="preserve">die niet zijn genoemd in het eerste tot en met het vierde lid van dit artikel, ter heffing toegewezen aan de verdragsluitende staat waarvan de vervreemder inwoner is. </w:t>
      </w:r>
    </w:p>
    <w:p w:rsidRPr="00A805F5" w:rsidR="006F2108" w:rsidP="006F2108" w:rsidRDefault="006F2108" w14:paraId="2711E5B6" w14:textId="4B161A79">
      <w:pPr>
        <w:ind w:firstLine="720"/>
        <w:rPr>
          <w:rFonts w:cs="Arial"/>
          <w:szCs w:val="20"/>
          <w:lang w:val="nl-NL"/>
        </w:rPr>
      </w:pPr>
      <w:r w:rsidRPr="00A805F5">
        <w:rPr>
          <w:rFonts w:cs="Arial"/>
          <w:szCs w:val="20"/>
          <w:lang w:val="nl-NL"/>
        </w:rPr>
        <w:t>Ten slotte bevat het zesde lid op verzoek van Nederland een bepaling voor vervreemdingswinsten genoten door geëmigreerde aanmerkelijkbelanghouders</w:t>
      </w:r>
      <w:r w:rsidRPr="00A805F5" w:rsidR="00660430">
        <w:rPr>
          <w:rFonts w:cs="Arial"/>
          <w:szCs w:val="20"/>
          <w:lang w:val="nl-NL"/>
        </w:rPr>
        <w:t xml:space="preserve"> (het aanmerkelijkbelangvoorbehoud in het vermogenswinstartikel)</w:t>
      </w:r>
      <w:r w:rsidRPr="00A805F5">
        <w:rPr>
          <w:rFonts w:cs="Arial"/>
          <w:szCs w:val="20"/>
          <w:lang w:val="nl-NL"/>
        </w:rPr>
        <w:t xml:space="preserve">, zoals toegelicht in onderdeel </w:t>
      </w:r>
      <w:r w:rsidRPr="00A805F5" w:rsidR="00660430">
        <w:rPr>
          <w:rFonts w:cs="Arial"/>
          <w:szCs w:val="20"/>
          <w:lang w:val="nl-NL"/>
        </w:rPr>
        <w:t>4.6.2 van de N</w:t>
      </w:r>
      <w:r w:rsidR="00DA118B">
        <w:rPr>
          <w:rFonts w:cs="Arial"/>
          <w:szCs w:val="20"/>
          <w:lang w:val="nl-NL"/>
        </w:rPr>
        <w:t xml:space="preserve">FV </w:t>
      </w:r>
      <w:r w:rsidRPr="00A805F5" w:rsidR="00660430">
        <w:rPr>
          <w:rFonts w:cs="Arial"/>
          <w:szCs w:val="20"/>
          <w:lang w:val="nl-NL"/>
        </w:rPr>
        <w:t xml:space="preserve">2020. Op verzoek van Chili is uitdrukkelijk opgenomen dat de nieuwe woonstaat van de betreffende geëmigreerde aanmerkelijkbelanghouder niet gehouden is een verlies in aanmerking te nemen. Ook beperkt dit lid niet de heffingsrechten van de nieuwe woonstaat van de geëmigreerde aanmerkelijk belanghouder met betrekking tot zaken gelegen in  die nieuwe woonstaat. </w:t>
      </w:r>
    </w:p>
    <w:p w:rsidRPr="00A805F5" w:rsidR="006F2108" w:rsidP="006F2108" w:rsidRDefault="006F2108" w14:paraId="74A6372E" w14:textId="792DDE07">
      <w:pPr>
        <w:ind w:firstLine="720"/>
        <w:rPr>
          <w:rFonts w:cs="Arial"/>
          <w:szCs w:val="20"/>
          <w:lang w:val="nl-NL"/>
        </w:rPr>
      </w:pPr>
      <w:r w:rsidRPr="00A805F5">
        <w:rPr>
          <w:rFonts w:cs="Arial"/>
          <w:szCs w:val="20"/>
          <w:lang w:val="nl-NL"/>
        </w:rPr>
        <w:t>Voor de toelichting op de artikelen</w:t>
      </w:r>
      <w:r w:rsidRPr="00A805F5" w:rsidR="00660430">
        <w:rPr>
          <w:rFonts w:cs="Arial"/>
          <w:szCs w:val="20"/>
          <w:lang w:val="nl-NL"/>
        </w:rPr>
        <w:t xml:space="preserve"> IV en</w:t>
      </w:r>
      <w:r w:rsidRPr="00A805F5">
        <w:rPr>
          <w:rFonts w:cs="Arial"/>
          <w:szCs w:val="20"/>
          <w:lang w:val="nl-NL"/>
        </w:rPr>
        <w:t xml:space="preserve"> VI van het Protocol wordt verwezen naar </w:t>
      </w:r>
      <w:r w:rsidR="00DA118B">
        <w:rPr>
          <w:rFonts w:cs="Arial"/>
          <w:szCs w:val="20"/>
          <w:lang w:val="nl-NL"/>
        </w:rPr>
        <w:t xml:space="preserve">onderdeel II.10 van </w:t>
      </w:r>
      <w:r w:rsidRPr="00CA6632" w:rsidR="00DA118B">
        <w:rPr>
          <w:rFonts w:cs="Arial"/>
          <w:szCs w:val="20"/>
          <w:lang w:val="nl-NL"/>
        </w:rPr>
        <w:t>de</w:t>
      </w:r>
      <w:r w:rsidR="00DA118B">
        <w:rPr>
          <w:rFonts w:cs="Arial"/>
          <w:szCs w:val="20"/>
          <w:lang w:val="nl-NL"/>
        </w:rPr>
        <w:t>ze</w:t>
      </w:r>
      <w:r w:rsidRPr="00CA6632" w:rsidR="00DA118B">
        <w:rPr>
          <w:rFonts w:cs="Arial"/>
          <w:szCs w:val="20"/>
          <w:lang w:val="nl-NL"/>
        </w:rPr>
        <w:t xml:space="preserve"> </w:t>
      </w:r>
      <w:r w:rsidR="00DA118B">
        <w:rPr>
          <w:rFonts w:cs="Arial"/>
          <w:szCs w:val="20"/>
          <w:lang w:val="nl-NL"/>
        </w:rPr>
        <w:t>toelichtende nota</w:t>
      </w:r>
      <w:r w:rsidRPr="00A805F5">
        <w:rPr>
          <w:rFonts w:cs="Arial"/>
          <w:szCs w:val="20"/>
          <w:lang w:val="nl-NL"/>
        </w:rPr>
        <w:t>.</w:t>
      </w:r>
    </w:p>
    <w:p w:rsidRPr="00A805F5" w:rsidR="00B6190C" w:rsidP="000F1A24" w:rsidRDefault="000F1A24" w14:paraId="3FE599D1" w14:textId="6B11B8E3">
      <w:pPr>
        <w:pStyle w:val="Heading2"/>
        <w:rPr>
          <w:rFonts w:cs="Arial"/>
          <w:b w:val="0"/>
          <w:bCs w:val="0"/>
          <w:i/>
          <w:smallCaps w:val="0"/>
          <w:szCs w:val="20"/>
          <w:lang w:val="nl-NL"/>
        </w:rPr>
      </w:pPr>
      <w:r w:rsidRPr="00A805F5">
        <w:rPr>
          <w:rFonts w:cs="Arial"/>
          <w:b w:val="0"/>
          <w:bCs w:val="0"/>
          <w:i/>
          <w:smallCaps w:val="0"/>
          <w:szCs w:val="20"/>
          <w:lang w:val="nl-NL"/>
        </w:rPr>
        <w:t xml:space="preserve">II.14 </w:t>
      </w:r>
      <w:r w:rsidRPr="00A805F5" w:rsidR="00981BCD">
        <w:rPr>
          <w:rFonts w:cs="Arial"/>
          <w:b w:val="0"/>
          <w:bCs w:val="0"/>
          <w:i/>
          <w:smallCaps w:val="0"/>
          <w:szCs w:val="20"/>
          <w:lang w:val="nl-NL"/>
        </w:rPr>
        <w:t>Zelfstandige arbeid (Artikel 14 van het Verdrag)</w:t>
      </w:r>
    </w:p>
    <w:p w:rsidR="00BC33F1" w:rsidP="00981BCD" w:rsidRDefault="00B6190C" w14:paraId="3654C939" w14:textId="6FABB8D0">
      <w:pPr>
        <w:rPr>
          <w:rFonts w:cs="Arial"/>
          <w:szCs w:val="20"/>
          <w:lang w:val="nl-NL"/>
        </w:rPr>
      </w:pPr>
      <w:r w:rsidRPr="00A805F5">
        <w:rPr>
          <w:rFonts w:cs="Arial"/>
          <w:szCs w:val="20"/>
          <w:lang w:val="nl-NL"/>
        </w:rPr>
        <w:t>Artikel 14</w:t>
      </w:r>
      <w:r w:rsidRPr="00A805F5" w:rsidR="00D73654">
        <w:rPr>
          <w:rFonts w:cs="Arial"/>
          <w:szCs w:val="20"/>
          <w:lang w:val="nl-NL"/>
        </w:rPr>
        <w:t xml:space="preserve"> </w:t>
      </w:r>
      <w:r w:rsidRPr="00A805F5" w:rsidR="000A62CA">
        <w:rPr>
          <w:rFonts w:cs="Arial"/>
          <w:szCs w:val="20"/>
          <w:lang w:val="nl-NL"/>
        </w:rPr>
        <w:t>ziet op</w:t>
      </w:r>
      <w:r w:rsidRPr="00A805F5" w:rsidR="00394A88">
        <w:rPr>
          <w:rFonts w:cs="Arial"/>
          <w:szCs w:val="20"/>
          <w:lang w:val="nl-NL"/>
        </w:rPr>
        <w:t xml:space="preserve"> de verdeling van </w:t>
      </w:r>
      <w:r w:rsidRPr="00A805F5">
        <w:rPr>
          <w:rFonts w:cs="Arial"/>
          <w:szCs w:val="20"/>
          <w:lang w:val="nl-NL"/>
        </w:rPr>
        <w:t xml:space="preserve">heffingsrechten over </w:t>
      </w:r>
      <w:r w:rsidRPr="00A805F5" w:rsidR="00394A88">
        <w:rPr>
          <w:rFonts w:cs="Arial"/>
          <w:szCs w:val="20"/>
          <w:lang w:val="nl-NL"/>
        </w:rPr>
        <w:t>inkomen</w:t>
      </w:r>
      <w:r w:rsidRPr="00A805F5">
        <w:rPr>
          <w:rFonts w:cs="Arial"/>
          <w:szCs w:val="20"/>
          <w:lang w:val="nl-NL"/>
        </w:rPr>
        <w:t xml:space="preserve"> </w:t>
      </w:r>
      <w:r w:rsidRPr="00A805F5" w:rsidR="00394A88">
        <w:rPr>
          <w:rFonts w:cs="Arial"/>
          <w:szCs w:val="20"/>
          <w:lang w:val="nl-NL"/>
        </w:rPr>
        <w:t xml:space="preserve">van een natuurlijke persoon </w:t>
      </w:r>
      <w:r w:rsidRPr="00A805F5">
        <w:rPr>
          <w:rFonts w:cs="Arial"/>
          <w:szCs w:val="20"/>
          <w:lang w:val="nl-NL"/>
        </w:rPr>
        <w:t xml:space="preserve">uit de uitoefening van een vrij beroep of </w:t>
      </w:r>
      <w:r w:rsidR="00DA118B">
        <w:rPr>
          <w:rFonts w:cs="Arial"/>
          <w:szCs w:val="20"/>
          <w:lang w:val="nl-NL"/>
        </w:rPr>
        <w:t>uit</w:t>
      </w:r>
      <w:r w:rsidRPr="00A805F5" w:rsidR="00DA118B">
        <w:rPr>
          <w:rFonts w:cs="Arial"/>
          <w:szCs w:val="20"/>
          <w:lang w:val="nl-NL"/>
        </w:rPr>
        <w:t xml:space="preserve"> </w:t>
      </w:r>
      <w:r w:rsidRPr="00A805F5">
        <w:rPr>
          <w:rFonts w:cs="Arial"/>
          <w:szCs w:val="20"/>
          <w:lang w:val="nl-NL"/>
        </w:rPr>
        <w:t xml:space="preserve">andere werkzaamheden van zelfstandige aard. </w:t>
      </w:r>
      <w:r w:rsidRPr="00A805F5" w:rsidR="00394A88">
        <w:rPr>
          <w:rFonts w:cs="Arial"/>
          <w:szCs w:val="20"/>
          <w:lang w:val="nl-NL"/>
        </w:rPr>
        <w:t xml:space="preserve">Het </w:t>
      </w:r>
      <w:proofErr w:type="spellStart"/>
      <w:r w:rsidRPr="00A805F5" w:rsidR="00394A88">
        <w:rPr>
          <w:rFonts w:cs="Arial"/>
          <w:szCs w:val="20"/>
          <w:lang w:val="nl-NL"/>
        </w:rPr>
        <w:t>artikelis</w:t>
      </w:r>
      <w:proofErr w:type="spellEnd"/>
      <w:r w:rsidRPr="00A805F5" w:rsidR="00394A88">
        <w:rPr>
          <w:rFonts w:cs="Arial"/>
          <w:szCs w:val="20"/>
          <w:lang w:val="nl-NL"/>
        </w:rPr>
        <w:t xml:space="preserve"> op verzoek van Chili opgenomen en komt inhoudelijk overeen</w:t>
      </w:r>
      <w:r w:rsidRPr="00A805F5">
        <w:rPr>
          <w:rFonts w:cs="Arial"/>
          <w:szCs w:val="20"/>
          <w:lang w:val="nl-NL"/>
        </w:rPr>
        <w:t xml:space="preserve"> met </w:t>
      </w:r>
      <w:r w:rsidR="00D41EC2">
        <w:rPr>
          <w:rFonts w:cs="Arial"/>
          <w:szCs w:val="20"/>
          <w:lang w:val="nl-NL"/>
        </w:rPr>
        <w:t xml:space="preserve">artikel 14 van het </w:t>
      </w:r>
      <w:r w:rsidRPr="00A805F5">
        <w:rPr>
          <w:rFonts w:cs="Arial"/>
          <w:szCs w:val="20"/>
          <w:lang w:val="nl-NL"/>
        </w:rPr>
        <w:t>VN-modelverdrag</w:t>
      </w:r>
      <w:r w:rsidRPr="00A805F5" w:rsidR="00394A88">
        <w:rPr>
          <w:rFonts w:cs="Arial"/>
          <w:szCs w:val="20"/>
          <w:lang w:val="nl-NL"/>
        </w:rPr>
        <w:t xml:space="preserve">. In afwijking van de letterlijke tekst van het VN-modelverdrag is </w:t>
      </w:r>
      <w:r w:rsidRPr="00A805F5" w:rsidR="003A4D0E">
        <w:rPr>
          <w:rFonts w:cs="Arial"/>
          <w:szCs w:val="20"/>
          <w:lang w:val="nl-NL"/>
        </w:rPr>
        <w:t>uitdrukkelijk</w:t>
      </w:r>
      <w:r w:rsidRPr="00A805F5" w:rsidR="00394A88">
        <w:rPr>
          <w:rFonts w:cs="Arial"/>
          <w:szCs w:val="20"/>
          <w:lang w:val="nl-NL"/>
        </w:rPr>
        <w:t xml:space="preserve"> weergegeven dat het artikel betrekking heeft op natuurlijke personen. </w:t>
      </w:r>
      <w:r w:rsidRPr="00A805F5">
        <w:rPr>
          <w:rFonts w:cs="Arial"/>
          <w:szCs w:val="20"/>
          <w:lang w:val="nl-NL"/>
        </w:rPr>
        <w:tab/>
      </w:r>
      <w:r w:rsidRPr="00A805F5" w:rsidR="00EB212F">
        <w:rPr>
          <w:rFonts w:cs="Arial"/>
          <w:szCs w:val="20"/>
          <w:lang w:val="nl-NL"/>
        </w:rPr>
        <w:br/>
        <w:t xml:space="preserve"> </w:t>
      </w:r>
      <w:r w:rsidRPr="00A805F5" w:rsidR="00EB212F">
        <w:rPr>
          <w:rFonts w:cs="Arial"/>
          <w:szCs w:val="20"/>
          <w:lang w:val="nl-NL"/>
        </w:rPr>
        <w:tab/>
        <w:t>Op grond van</w:t>
      </w:r>
      <w:r w:rsidRPr="00A805F5">
        <w:rPr>
          <w:rFonts w:cs="Arial"/>
          <w:szCs w:val="20"/>
          <w:lang w:val="nl-NL"/>
        </w:rPr>
        <w:t xml:space="preserve"> het eerste lid komt het heffingsrecht over de inkomsten uit </w:t>
      </w:r>
      <w:r w:rsidRPr="00A805F5" w:rsidR="00EB212F">
        <w:rPr>
          <w:rFonts w:cs="Arial"/>
          <w:szCs w:val="20"/>
          <w:lang w:val="nl-NL"/>
        </w:rPr>
        <w:t xml:space="preserve">de </w:t>
      </w:r>
      <w:r w:rsidRPr="00A805F5">
        <w:rPr>
          <w:rFonts w:cs="Arial"/>
          <w:szCs w:val="20"/>
          <w:lang w:val="nl-NL"/>
        </w:rPr>
        <w:t xml:space="preserve">zelfstandige </w:t>
      </w:r>
      <w:r w:rsidRPr="00A805F5">
        <w:rPr>
          <w:rFonts w:cs="Arial"/>
          <w:szCs w:val="20"/>
          <w:lang w:val="nl-NL"/>
        </w:rPr>
        <w:lastRenderedPageBreak/>
        <w:t xml:space="preserve">werkzaamheden toe aan de woonstaat van de belastingplichtige. </w:t>
      </w:r>
      <w:r w:rsidRPr="00A805F5" w:rsidR="00EB212F">
        <w:rPr>
          <w:rFonts w:cs="Arial"/>
          <w:szCs w:val="20"/>
          <w:lang w:val="nl-NL"/>
        </w:rPr>
        <w:t>O</w:t>
      </w:r>
      <w:r w:rsidRPr="00A805F5">
        <w:rPr>
          <w:rFonts w:cs="Arial"/>
          <w:szCs w:val="20"/>
          <w:lang w:val="nl-NL"/>
        </w:rPr>
        <w:t xml:space="preserve">nderdeel a </w:t>
      </w:r>
      <w:r w:rsidRPr="00A805F5" w:rsidR="00EB212F">
        <w:rPr>
          <w:rFonts w:cs="Arial"/>
          <w:szCs w:val="20"/>
          <w:lang w:val="nl-NL"/>
        </w:rPr>
        <w:t xml:space="preserve">bepaalt dat ook </w:t>
      </w:r>
      <w:r w:rsidRPr="00A805F5">
        <w:rPr>
          <w:rFonts w:cs="Arial"/>
          <w:szCs w:val="20"/>
          <w:lang w:val="nl-NL"/>
        </w:rPr>
        <w:t xml:space="preserve">de andere verdragsluitende </w:t>
      </w:r>
      <w:r w:rsidR="00C30739">
        <w:rPr>
          <w:rFonts w:cs="Arial"/>
          <w:szCs w:val="20"/>
          <w:lang w:val="nl-NL"/>
        </w:rPr>
        <w:t xml:space="preserve">staat </w:t>
      </w:r>
      <w:r w:rsidRPr="00A805F5">
        <w:rPr>
          <w:rFonts w:cs="Arial"/>
          <w:szCs w:val="20"/>
          <w:lang w:val="nl-NL"/>
        </w:rPr>
        <w:t>een heffingsrecht toe</w:t>
      </w:r>
      <w:r w:rsidRPr="00A805F5" w:rsidR="00EB212F">
        <w:rPr>
          <w:rFonts w:cs="Arial"/>
          <w:szCs w:val="20"/>
          <w:lang w:val="nl-NL"/>
        </w:rPr>
        <w:t>komt</w:t>
      </w:r>
      <w:r w:rsidRPr="00A805F5">
        <w:rPr>
          <w:rFonts w:cs="Arial"/>
          <w:szCs w:val="20"/>
          <w:lang w:val="nl-NL"/>
        </w:rPr>
        <w:t xml:space="preserve"> </w:t>
      </w:r>
      <w:r w:rsidRPr="00A805F5" w:rsidR="00E7283F">
        <w:rPr>
          <w:rFonts w:cs="Arial"/>
          <w:szCs w:val="20"/>
          <w:lang w:val="nl-NL"/>
        </w:rPr>
        <w:t xml:space="preserve">indien </w:t>
      </w:r>
      <w:r w:rsidRPr="00A805F5">
        <w:rPr>
          <w:rFonts w:cs="Arial"/>
          <w:szCs w:val="20"/>
          <w:lang w:val="nl-NL"/>
        </w:rPr>
        <w:t xml:space="preserve">de belastingplichtige over een vast middelpunt </w:t>
      </w:r>
      <w:r w:rsidRPr="00A805F5" w:rsidR="00EB212F">
        <w:rPr>
          <w:rFonts w:cs="Arial"/>
          <w:szCs w:val="20"/>
          <w:lang w:val="nl-NL"/>
        </w:rPr>
        <w:t xml:space="preserve">beschikt </w:t>
      </w:r>
      <w:r w:rsidRPr="00A805F5">
        <w:rPr>
          <w:rFonts w:cs="Arial"/>
          <w:szCs w:val="20"/>
          <w:lang w:val="nl-NL"/>
        </w:rPr>
        <w:t xml:space="preserve">in die andere staat. </w:t>
      </w:r>
      <w:r w:rsidR="00BC33F1">
        <w:rPr>
          <w:rFonts w:cs="Arial"/>
          <w:szCs w:val="20"/>
          <w:lang w:val="nl-NL"/>
        </w:rPr>
        <w:t xml:space="preserve">Dit heffingsrecht geldt uitsluitend voor zover het inkomen aan het vaste middelpunt kan worden toegerekend. </w:t>
      </w:r>
      <w:r w:rsidRPr="00A805F5" w:rsidR="00EB212F">
        <w:rPr>
          <w:rFonts w:cs="Arial"/>
          <w:szCs w:val="20"/>
          <w:lang w:val="nl-NL"/>
        </w:rPr>
        <w:t>O</w:t>
      </w:r>
      <w:r w:rsidRPr="00A805F5">
        <w:rPr>
          <w:rFonts w:cs="Arial"/>
          <w:szCs w:val="20"/>
          <w:lang w:val="nl-NL"/>
        </w:rPr>
        <w:t>nderdeel b</w:t>
      </w:r>
      <w:r w:rsidRPr="00A805F5" w:rsidR="00EB212F">
        <w:rPr>
          <w:rFonts w:cs="Arial"/>
          <w:szCs w:val="20"/>
          <w:lang w:val="nl-NL"/>
        </w:rPr>
        <w:t xml:space="preserve"> bepaalt dat de andere verdragsluitende staat </w:t>
      </w:r>
      <w:r w:rsidR="00D9775A">
        <w:rPr>
          <w:rFonts w:cs="Arial"/>
          <w:szCs w:val="20"/>
          <w:lang w:val="nl-NL"/>
        </w:rPr>
        <w:t xml:space="preserve">eveneens </w:t>
      </w:r>
      <w:r w:rsidRPr="00A805F5">
        <w:rPr>
          <w:rFonts w:cs="Arial"/>
          <w:szCs w:val="20"/>
          <w:lang w:val="nl-NL"/>
        </w:rPr>
        <w:t>een heffingsrecht toe</w:t>
      </w:r>
      <w:r w:rsidRPr="00A805F5" w:rsidR="00EB212F">
        <w:rPr>
          <w:rFonts w:cs="Arial"/>
          <w:szCs w:val="20"/>
          <w:lang w:val="nl-NL"/>
        </w:rPr>
        <w:t>komt</w:t>
      </w:r>
      <w:r w:rsidRPr="00A805F5">
        <w:rPr>
          <w:rFonts w:cs="Arial"/>
          <w:szCs w:val="20"/>
          <w:lang w:val="nl-NL"/>
        </w:rPr>
        <w:t xml:space="preserve"> als de belastingplichtige (zonder te beschikken over een vast middelpunt) in die staat verblijft gedurende in totaal ten minste 183 dagen in een tijdvak van twaalf maanden</w:t>
      </w:r>
      <w:r w:rsidRPr="00A805F5" w:rsidR="00E7283F">
        <w:rPr>
          <w:rFonts w:cs="Arial"/>
          <w:szCs w:val="20"/>
          <w:lang w:val="nl-NL"/>
        </w:rPr>
        <w:t xml:space="preserve">. </w:t>
      </w:r>
      <w:r w:rsidR="00BC33F1">
        <w:rPr>
          <w:rFonts w:cs="Arial"/>
          <w:szCs w:val="20"/>
          <w:lang w:val="nl-NL"/>
        </w:rPr>
        <w:t xml:space="preserve">In dat geval geldt dit heffingsrecht uitsluitend voor zover het inkomen is verkregen met werkzaamheden die in de betreffende staat zijn verricht. </w:t>
      </w:r>
      <w:r w:rsidRPr="00A805F5">
        <w:rPr>
          <w:rFonts w:cs="Arial"/>
          <w:szCs w:val="20"/>
          <w:lang w:val="nl-NL"/>
        </w:rPr>
        <w:tab/>
      </w:r>
    </w:p>
    <w:p w:rsidR="001B1F42" w:rsidP="00981BCD" w:rsidRDefault="00B6190C" w14:paraId="54153260" w14:textId="63A09C3A">
      <w:pPr>
        <w:rPr>
          <w:rFonts w:cs="Arial"/>
          <w:szCs w:val="20"/>
          <w:lang w:val="nl-NL"/>
        </w:rPr>
      </w:pPr>
      <w:r w:rsidRPr="00A805F5">
        <w:rPr>
          <w:rFonts w:cs="Arial"/>
          <w:szCs w:val="20"/>
          <w:lang w:val="nl-NL"/>
        </w:rPr>
        <w:t>In het tweede lid zijn voorbeelden opge</w:t>
      </w:r>
      <w:r w:rsidRPr="00A805F5" w:rsidR="00981BCD">
        <w:rPr>
          <w:rFonts w:cs="Arial"/>
          <w:szCs w:val="20"/>
          <w:lang w:val="nl-NL"/>
        </w:rPr>
        <w:t xml:space="preserve">nomen van wat onder het begrip </w:t>
      </w:r>
      <w:r w:rsidRPr="00A805F5" w:rsidR="00BA1746">
        <w:rPr>
          <w:rFonts w:cs="Arial"/>
          <w:szCs w:val="20"/>
          <w:lang w:val="nl-NL"/>
        </w:rPr>
        <w:t>‘</w:t>
      </w:r>
      <w:r w:rsidRPr="00A805F5" w:rsidR="00981BCD">
        <w:rPr>
          <w:rFonts w:cs="Arial"/>
          <w:szCs w:val="20"/>
          <w:lang w:val="nl-NL"/>
        </w:rPr>
        <w:t>vrij beroep</w:t>
      </w:r>
      <w:r w:rsidRPr="00A805F5" w:rsidR="00BA1746">
        <w:rPr>
          <w:rFonts w:cs="Arial"/>
          <w:szCs w:val="20"/>
          <w:lang w:val="nl-NL"/>
        </w:rPr>
        <w:t>’</w:t>
      </w:r>
      <w:r w:rsidRPr="00A805F5">
        <w:rPr>
          <w:rFonts w:cs="Arial"/>
          <w:szCs w:val="20"/>
          <w:lang w:val="nl-NL"/>
        </w:rPr>
        <w:t xml:space="preserve"> wordt verstaan.</w:t>
      </w:r>
    </w:p>
    <w:p w:rsidRPr="00A805F5" w:rsidR="00996AF3" w:rsidP="00981BCD" w:rsidRDefault="00996AF3" w14:paraId="23963BB5" w14:textId="6387B260">
      <w:pPr>
        <w:rPr>
          <w:rFonts w:cs="Arial"/>
          <w:szCs w:val="20"/>
          <w:lang w:val="nl-NL"/>
        </w:rPr>
      </w:pPr>
      <w:r>
        <w:rPr>
          <w:rFonts w:cs="Arial"/>
          <w:szCs w:val="20"/>
          <w:lang w:val="nl-NL"/>
        </w:rPr>
        <w:t xml:space="preserve">Sinds 2000 bevat het OESO-modelverdrag geen artikel meer over inkomen uit zelfstandige arbeid. Daarmee kent het OESO-modelverdrag </w:t>
      </w:r>
      <w:r w:rsidR="00044EDA">
        <w:rPr>
          <w:rFonts w:cs="Arial"/>
          <w:szCs w:val="20"/>
          <w:lang w:val="nl-NL"/>
        </w:rPr>
        <w:t xml:space="preserve">sinds 2000 </w:t>
      </w:r>
      <w:r>
        <w:rPr>
          <w:rFonts w:cs="Arial"/>
          <w:szCs w:val="20"/>
          <w:lang w:val="nl-NL"/>
        </w:rPr>
        <w:t>ook geen verwijzingen meer, in andere artikelen, naar het begrip “vast middelpunt”. Op deze punten wijkt het onderhavige Verdrag derhalve af van het OESO-modelverdrag.</w:t>
      </w:r>
    </w:p>
    <w:p w:rsidRPr="00A805F5" w:rsidR="0010137F" w:rsidP="00981BCD" w:rsidRDefault="00981BCD" w14:paraId="4C3A6690" w14:textId="03431EE6">
      <w:pPr>
        <w:pStyle w:val="Heading2"/>
        <w:rPr>
          <w:rFonts w:cs="Arial"/>
          <w:b w:val="0"/>
          <w:bCs w:val="0"/>
          <w:i/>
          <w:smallCaps w:val="0"/>
          <w:szCs w:val="20"/>
          <w:lang w:val="nl-NL"/>
        </w:rPr>
      </w:pPr>
      <w:r w:rsidRPr="00A805F5">
        <w:rPr>
          <w:rFonts w:cs="Arial"/>
          <w:b w:val="0"/>
          <w:bCs w:val="0"/>
          <w:i/>
          <w:smallCaps w:val="0"/>
          <w:szCs w:val="20"/>
          <w:lang w:val="nl-NL"/>
        </w:rPr>
        <w:t>II.15 Inkomen uit dienstbetrekking (</w:t>
      </w:r>
      <w:r w:rsidRPr="00A805F5" w:rsidR="0010137F">
        <w:rPr>
          <w:rFonts w:cs="Arial"/>
          <w:b w:val="0"/>
          <w:bCs w:val="0"/>
          <w:i/>
          <w:smallCaps w:val="0"/>
          <w:szCs w:val="20"/>
          <w:lang w:val="nl-NL"/>
        </w:rPr>
        <w:t xml:space="preserve">Artikel 15 </w:t>
      </w:r>
      <w:r w:rsidRPr="00A805F5">
        <w:rPr>
          <w:rFonts w:cs="Arial"/>
          <w:b w:val="0"/>
          <w:bCs w:val="0"/>
          <w:i/>
          <w:smallCaps w:val="0"/>
          <w:szCs w:val="20"/>
          <w:lang w:val="nl-NL"/>
        </w:rPr>
        <w:t>van het Verdrag)</w:t>
      </w:r>
    </w:p>
    <w:p w:rsidRPr="00A805F5" w:rsidR="003A4D0E" w:rsidP="003A4D0E" w:rsidRDefault="008B5DFC" w14:paraId="30A9FA97" w14:textId="0F3BD29A">
      <w:pPr>
        <w:rPr>
          <w:rFonts w:cs="Arial"/>
          <w:szCs w:val="20"/>
          <w:lang w:val="nl-NL"/>
        </w:rPr>
      </w:pPr>
      <w:r w:rsidRPr="00A805F5">
        <w:rPr>
          <w:rFonts w:cs="Arial"/>
          <w:szCs w:val="20"/>
          <w:lang w:val="nl-NL"/>
        </w:rPr>
        <w:t xml:space="preserve">Artikel 15 van het Verdrag verdeelt de heffingsrechten over inkomen uit dienstbetrekking en volgt de benadering die ook in (artikel 15 van) het OESO-modelverdrag wordt gebruikt. </w:t>
      </w:r>
    </w:p>
    <w:p w:rsidRPr="00A805F5" w:rsidR="00E17266" w:rsidP="00E17266" w:rsidRDefault="00E17266" w14:paraId="30E6B827" w14:textId="5F9C20CB">
      <w:pPr>
        <w:rPr>
          <w:rFonts w:cs="Arial"/>
          <w:szCs w:val="20"/>
          <w:lang w:val="nl-NL"/>
        </w:rPr>
      </w:pPr>
      <w:r w:rsidRPr="00A805F5">
        <w:rPr>
          <w:rFonts w:cs="Arial"/>
          <w:szCs w:val="20"/>
          <w:lang w:val="nl-NL"/>
        </w:rPr>
        <w:t>Het eerste lid maakt in de eerste plaats duidelijk dat de bepalingen in de artikelen 16 (</w:t>
      </w:r>
      <w:r w:rsidRPr="00A805F5" w:rsidR="00B67070">
        <w:rPr>
          <w:rFonts w:cs="Arial"/>
          <w:szCs w:val="20"/>
          <w:lang w:val="nl-NL"/>
        </w:rPr>
        <w:t>Directeursbeloningen</w:t>
      </w:r>
      <w:r w:rsidRPr="00A805F5">
        <w:rPr>
          <w:rFonts w:cs="Arial"/>
          <w:szCs w:val="20"/>
          <w:lang w:val="nl-NL"/>
        </w:rPr>
        <w:t>), 18 (</w:t>
      </w:r>
      <w:r w:rsidRPr="00A805F5" w:rsidR="00B67070">
        <w:rPr>
          <w:rFonts w:cs="Arial"/>
          <w:szCs w:val="20"/>
          <w:lang w:val="nl-NL"/>
        </w:rPr>
        <w:t>Pensioenen, lijfrenten en socialezekerheidsuitkeringen</w:t>
      </w:r>
      <w:r w:rsidRPr="00A805F5">
        <w:rPr>
          <w:rFonts w:cs="Arial"/>
          <w:szCs w:val="20"/>
          <w:lang w:val="nl-NL"/>
        </w:rPr>
        <w:t>) en 19 (</w:t>
      </w:r>
      <w:r w:rsidRPr="00A805F5" w:rsidR="00B67070">
        <w:rPr>
          <w:rFonts w:cs="Arial"/>
          <w:szCs w:val="20"/>
          <w:lang w:val="nl-NL"/>
        </w:rPr>
        <w:t>Overheidsfuncties</w:t>
      </w:r>
      <w:r w:rsidRPr="00A805F5">
        <w:rPr>
          <w:rFonts w:cs="Arial"/>
          <w:szCs w:val="20"/>
          <w:lang w:val="nl-NL"/>
        </w:rPr>
        <w:t>) voorrang hebben boven de bepalingen in dit artikel. Dat geldt overigens ook voor artikel 17 (</w:t>
      </w:r>
      <w:r w:rsidRPr="00A805F5" w:rsidR="00B67070">
        <w:rPr>
          <w:rFonts w:cs="Arial"/>
          <w:szCs w:val="20"/>
          <w:lang w:val="nl-NL"/>
        </w:rPr>
        <w:t>Artiesten en sportbeoefenaars</w:t>
      </w:r>
      <w:r w:rsidRPr="00A805F5">
        <w:rPr>
          <w:rFonts w:cs="Arial"/>
          <w:szCs w:val="20"/>
          <w:lang w:val="nl-NL"/>
        </w:rPr>
        <w:t xml:space="preserve">), maar voor die categorie is dit geregeld in artikel 17 van </w:t>
      </w:r>
      <w:r w:rsidR="0063395A">
        <w:rPr>
          <w:rFonts w:cs="Arial"/>
          <w:szCs w:val="20"/>
          <w:lang w:val="nl-NL"/>
        </w:rPr>
        <w:t>he</w:t>
      </w:r>
      <w:r w:rsidRPr="00A805F5" w:rsidR="0063395A">
        <w:rPr>
          <w:rFonts w:cs="Arial"/>
          <w:szCs w:val="20"/>
          <w:lang w:val="nl-NL"/>
        </w:rPr>
        <w:t xml:space="preserve">t </w:t>
      </w:r>
      <w:r w:rsidRPr="00A805F5">
        <w:rPr>
          <w:rFonts w:cs="Arial"/>
          <w:szCs w:val="20"/>
          <w:lang w:val="nl-NL"/>
        </w:rPr>
        <w:t xml:space="preserve">Verdrag. Vervolgens bepaalt het eerste lid dat inkomen uit dienstbetrekking belast mag worden in het land waar de werknemer woont. De kern van de bepaling zit echter in het laatste deel van de eerste zin en in de tweede zin. Hierin is namelijk bepaald dat de verdragsluitende staat waarin de niet-zelfstandige werkzaamheden worden verricht (de werkstaat) het daaruit genoten inkomen ook mag belasten. </w:t>
      </w:r>
    </w:p>
    <w:p w:rsidRPr="00A805F5" w:rsidR="00E17266" w:rsidP="00E17266" w:rsidRDefault="00E17266" w14:paraId="1E337C99" w14:textId="77777777">
      <w:pPr>
        <w:rPr>
          <w:rFonts w:cs="Arial"/>
          <w:szCs w:val="20"/>
          <w:lang w:val="nl-NL"/>
        </w:rPr>
      </w:pPr>
      <w:r w:rsidRPr="00A805F5">
        <w:rPr>
          <w:rFonts w:cs="Arial"/>
          <w:szCs w:val="20"/>
          <w:lang w:val="nl-NL"/>
        </w:rPr>
        <w:t>Het tweede lid wijst dat recht weer exclusief toe aan de woonstaat als wordt voldaan aan drie (cumulatieve) voorwaarden:</w:t>
      </w:r>
    </w:p>
    <w:p w:rsidRPr="00A805F5" w:rsidR="003A4D0E" w:rsidP="003A4D0E" w:rsidRDefault="003A4D0E" w14:paraId="2A37A43B" w14:textId="77777777">
      <w:pPr>
        <w:pStyle w:val="ListParagraph"/>
        <w:numPr>
          <w:ilvl w:val="0"/>
          <w:numId w:val="2"/>
        </w:numPr>
        <w:spacing w:after="0" w:line="360" w:lineRule="auto"/>
        <w:rPr>
          <w:rFonts w:ascii="Arial" w:hAnsi="Arial" w:cs="Arial"/>
          <w:sz w:val="20"/>
          <w:szCs w:val="20"/>
        </w:rPr>
      </w:pPr>
      <w:r w:rsidRPr="00A805F5">
        <w:rPr>
          <w:rFonts w:ascii="Arial" w:hAnsi="Arial" w:cs="Arial"/>
          <w:sz w:val="20"/>
          <w:szCs w:val="20"/>
        </w:rPr>
        <w:t xml:space="preserve">het verblijf van de werknemer in de werkstaat is in totaal niet langer dan 183 dagen in een twaalfmaandsperiode die begint of eindigt in het betrokken belastingjaar; </w:t>
      </w:r>
    </w:p>
    <w:p w:rsidRPr="00A805F5" w:rsidR="003A4D0E" w:rsidP="003A4D0E" w:rsidRDefault="003A4D0E" w14:paraId="33A4407A" w14:textId="77777777">
      <w:pPr>
        <w:pStyle w:val="ListParagraph"/>
        <w:numPr>
          <w:ilvl w:val="0"/>
          <w:numId w:val="2"/>
        </w:numPr>
        <w:spacing w:after="0" w:line="360" w:lineRule="auto"/>
        <w:rPr>
          <w:rFonts w:ascii="Arial" w:hAnsi="Arial" w:cs="Arial"/>
          <w:sz w:val="20"/>
          <w:szCs w:val="20"/>
        </w:rPr>
      </w:pPr>
      <w:r w:rsidRPr="00A805F5">
        <w:rPr>
          <w:rFonts w:ascii="Arial" w:hAnsi="Arial" w:cs="Arial"/>
          <w:sz w:val="20"/>
          <w:szCs w:val="20"/>
        </w:rPr>
        <w:t xml:space="preserve">de beloning wordt betaald door of namens een werkgever die geen inwoner is van de werkstaat; en </w:t>
      </w:r>
    </w:p>
    <w:p w:rsidRPr="00A805F5" w:rsidR="003A4D0E" w:rsidP="003A4D0E" w:rsidRDefault="003A4D0E" w14:paraId="3F4A6861" w14:textId="77777777">
      <w:pPr>
        <w:pStyle w:val="ListParagraph"/>
        <w:numPr>
          <w:ilvl w:val="0"/>
          <w:numId w:val="2"/>
        </w:numPr>
        <w:spacing w:after="0" w:line="360" w:lineRule="auto"/>
        <w:rPr>
          <w:rFonts w:ascii="Arial" w:hAnsi="Arial" w:cs="Arial"/>
          <w:sz w:val="20"/>
          <w:szCs w:val="20"/>
        </w:rPr>
      </w:pPr>
      <w:r w:rsidRPr="00A805F5">
        <w:rPr>
          <w:rFonts w:ascii="Arial" w:hAnsi="Arial" w:cs="Arial"/>
          <w:sz w:val="20"/>
          <w:szCs w:val="20"/>
        </w:rPr>
        <w:t>de beloning komt niet ten laste van een vaste inrichting of vast middelpunt van de werkgever in de werkstaat.</w:t>
      </w:r>
    </w:p>
    <w:p w:rsidRPr="00A805F5" w:rsidR="003A4D0E" w:rsidP="003A4D0E" w:rsidRDefault="003A4D0E" w14:paraId="249325D6" w14:textId="56288B08">
      <w:pPr>
        <w:ind w:firstLine="708"/>
        <w:rPr>
          <w:rFonts w:cs="Arial"/>
          <w:szCs w:val="20"/>
          <w:lang w:val="nl-NL"/>
        </w:rPr>
      </w:pPr>
      <w:r w:rsidRPr="00A805F5">
        <w:rPr>
          <w:rFonts w:cs="Arial"/>
          <w:szCs w:val="20"/>
          <w:lang w:val="nl-NL"/>
        </w:rPr>
        <w:t xml:space="preserve">Als aan één of meer van deze drie voorwaarden niet wordt voldaan, mag de werkstaat </w:t>
      </w:r>
      <w:r w:rsidRPr="00A805F5" w:rsidR="00E17266">
        <w:rPr>
          <w:rFonts w:cs="Arial"/>
          <w:szCs w:val="20"/>
          <w:lang w:val="nl-NL"/>
        </w:rPr>
        <w:t xml:space="preserve">(ook) over het inkomen heffen en dient de woonstaat vermijding van dubbele belasting te verlenen volgens de regels van artikel </w:t>
      </w:r>
      <w:r w:rsidRPr="00A805F5" w:rsidR="00B67070">
        <w:rPr>
          <w:rFonts w:cs="Arial"/>
          <w:szCs w:val="20"/>
          <w:lang w:val="nl-NL"/>
        </w:rPr>
        <w:t>23 van het V</w:t>
      </w:r>
      <w:r w:rsidRPr="00A805F5" w:rsidR="00E17266">
        <w:rPr>
          <w:rFonts w:cs="Arial"/>
          <w:szCs w:val="20"/>
          <w:lang w:val="nl-NL"/>
        </w:rPr>
        <w:t xml:space="preserve">erdrag. </w:t>
      </w:r>
      <w:r w:rsidRPr="00A805F5">
        <w:rPr>
          <w:rFonts w:cs="Arial"/>
          <w:szCs w:val="20"/>
          <w:lang w:val="nl-NL"/>
        </w:rPr>
        <w:t xml:space="preserve">Het doel van deze bepaling is om de fiscale positie van werknemers die voor een beperkte periode werkzaam zijn in een ander land dan het woonland niet te veranderen en de werknemer en werkgever extra administratieve lasten te besparen die zouden voortvloeien uit een belastingplicht in de werkstaat. </w:t>
      </w:r>
    </w:p>
    <w:p w:rsidRPr="00494232" w:rsidR="00882F46" w:rsidP="00B67070" w:rsidRDefault="003A4D0E" w14:paraId="23A56833" w14:textId="03A2E2E4">
      <w:pPr>
        <w:ind w:firstLine="708"/>
        <w:rPr>
          <w:rFonts w:cs="Arial"/>
          <w:i/>
          <w:szCs w:val="20"/>
          <w:lang w:val="nl-NL"/>
        </w:rPr>
      </w:pPr>
      <w:r w:rsidRPr="00A805F5">
        <w:rPr>
          <w:rFonts w:cs="Arial"/>
          <w:szCs w:val="20"/>
          <w:lang w:val="nl-NL"/>
        </w:rPr>
        <w:lastRenderedPageBreak/>
        <w:t>Op grond van het derde lid is de beloning van werknemers die hun dienstbetrekking uitoefenen aan boord van een schip</w:t>
      </w:r>
      <w:r w:rsidRPr="00A805F5" w:rsidR="00B67070">
        <w:rPr>
          <w:rFonts w:cs="Arial"/>
          <w:szCs w:val="20"/>
          <w:lang w:val="nl-NL"/>
        </w:rPr>
        <w:t xml:space="preserve"> of </w:t>
      </w:r>
      <w:r w:rsidRPr="00A805F5">
        <w:rPr>
          <w:rFonts w:cs="Arial"/>
          <w:szCs w:val="20"/>
          <w:lang w:val="nl-NL"/>
        </w:rPr>
        <w:t xml:space="preserve">een luchtvaartuig </w:t>
      </w:r>
      <w:r w:rsidRPr="00A805F5" w:rsidR="00B67070">
        <w:rPr>
          <w:rFonts w:cs="Arial"/>
          <w:szCs w:val="20"/>
          <w:lang w:val="nl-NL"/>
        </w:rPr>
        <w:t>dat wordt ge</w:t>
      </w:r>
      <w:r w:rsidR="0062288D">
        <w:rPr>
          <w:rFonts w:cs="Arial"/>
          <w:szCs w:val="20"/>
          <w:lang w:val="nl-NL"/>
        </w:rPr>
        <w:t>ë</w:t>
      </w:r>
      <w:r w:rsidRPr="00A805F5" w:rsidR="00B67070">
        <w:rPr>
          <w:rFonts w:cs="Arial"/>
          <w:szCs w:val="20"/>
          <w:lang w:val="nl-NL"/>
        </w:rPr>
        <w:t xml:space="preserve">xploiteerd </w:t>
      </w:r>
      <w:r w:rsidRPr="00A805F5">
        <w:rPr>
          <w:rFonts w:cs="Arial"/>
          <w:szCs w:val="20"/>
          <w:lang w:val="nl-NL"/>
        </w:rPr>
        <w:t xml:space="preserve">in het internationale verkeer, </w:t>
      </w:r>
      <w:r w:rsidRPr="00A805F5" w:rsidR="00B67070">
        <w:rPr>
          <w:rFonts w:cs="Arial"/>
          <w:szCs w:val="20"/>
          <w:lang w:val="nl-NL"/>
        </w:rPr>
        <w:t xml:space="preserve">anders dan aan boord van een schip of luchtvaartuig dat </w:t>
      </w:r>
      <w:r w:rsidRPr="00A805F5" w:rsidR="00B67070">
        <w:rPr>
          <w:rFonts w:cs="Arial"/>
          <w:i/>
          <w:szCs w:val="20"/>
          <w:lang w:val="nl-NL"/>
        </w:rPr>
        <w:t>uitsluitend</w:t>
      </w:r>
      <w:r w:rsidRPr="00A805F5" w:rsidR="00B67070">
        <w:rPr>
          <w:rFonts w:cs="Arial"/>
          <w:szCs w:val="20"/>
          <w:lang w:val="nl-NL"/>
        </w:rPr>
        <w:t xml:space="preserve"> wordt geëxploiteerd in de andere verdragsluitende staat</w:t>
      </w:r>
      <w:r w:rsidRPr="00A805F5">
        <w:rPr>
          <w:rFonts w:cs="Arial"/>
          <w:szCs w:val="20"/>
          <w:lang w:val="nl-NL"/>
        </w:rPr>
        <w:t xml:space="preserve">, </w:t>
      </w:r>
      <w:r w:rsidRPr="00A805F5" w:rsidR="00B67070">
        <w:rPr>
          <w:rFonts w:cs="Arial"/>
          <w:szCs w:val="20"/>
          <w:lang w:val="nl-NL"/>
        </w:rPr>
        <w:t>slechts</w:t>
      </w:r>
      <w:r w:rsidRPr="00A805F5">
        <w:rPr>
          <w:rFonts w:cs="Arial"/>
          <w:szCs w:val="20"/>
          <w:lang w:val="nl-NL"/>
        </w:rPr>
        <w:t xml:space="preserve"> belastbaar in de woonstaat van de werknemer. </w:t>
      </w:r>
    </w:p>
    <w:p w:rsidRPr="00A805F5" w:rsidR="0010137F" w:rsidP="008B5DFC" w:rsidRDefault="008B5DFC" w14:paraId="268079C7" w14:textId="50FA0F9A">
      <w:pPr>
        <w:pStyle w:val="Heading2"/>
        <w:rPr>
          <w:rFonts w:cs="Arial"/>
          <w:b w:val="0"/>
          <w:bCs w:val="0"/>
          <w:i/>
          <w:smallCaps w:val="0"/>
          <w:szCs w:val="20"/>
          <w:lang w:val="nl-NL"/>
        </w:rPr>
      </w:pPr>
      <w:r w:rsidRPr="00A805F5">
        <w:rPr>
          <w:rFonts w:cs="Arial"/>
          <w:b w:val="0"/>
          <w:bCs w:val="0"/>
          <w:i/>
          <w:smallCaps w:val="0"/>
          <w:szCs w:val="20"/>
          <w:lang w:val="nl-NL"/>
        </w:rPr>
        <w:t>II.16 Directeursbeloningen (</w:t>
      </w:r>
      <w:r w:rsidRPr="00A805F5" w:rsidR="0010137F">
        <w:rPr>
          <w:rFonts w:cs="Arial"/>
          <w:b w:val="0"/>
          <w:bCs w:val="0"/>
          <w:i/>
          <w:smallCaps w:val="0"/>
          <w:szCs w:val="20"/>
          <w:lang w:val="nl-NL"/>
        </w:rPr>
        <w:t xml:space="preserve">Artikel 16 </w:t>
      </w:r>
      <w:r w:rsidRPr="00A805F5">
        <w:rPr>
          <w:rFonts w:cs="Arial"/>
          <w:b w:val="0"/>
          <w:bCs w:val="0"/>
          <w:i/>
          <w:smallCaps w:val="0"/>
          <w:szCs w:val="20"/>
          <w:lang w:val="nl-NL"/>
        </w:rPr>
        <w:t>van het Verdrag)</w:t>
      </w:r>
    </w:p>
    <w:p w:rsidRPr="00A805F5" w:rsidR="00E13380" w:rsidP="00E13380" w:rsidRDefault="00E13380" w14:paraId="3044C984" w14:textId="77777777">
      <w:pPr>
        <w:rPr>
          <w:rFonts w:cs="Arial"/>
          <w:szCs w:val="20"/>
          <w:lang w:val="nl-NL"/>
        </w:rPr>
      </w:pPr>
      <w:r w:rsidRPr="00A805F5">
        <w:rPr>
          <w:rFonts w:cs="Arial"/>
          <w:szCs w:val="20"/>
          <w:lang w:val="nl-NL"/>
        </w:rPr>
        <w:t xml:space="preserve">Artikel 16 van het Verdrag verdeelt de heffingsrechten over directeursbeloningen. Het artikel is inhoudelijk gebaseerd op artikel 16 van het OESO-modelverdrag. </w:t>
      </w:r>
    </w:p>
    <w:p w:rsidRPr="00A805F5" w:rsidR="00E13380" w:rsidP="00E13380" w:rsidRDefault="00E13380" w14:paraId="1D5AEEAB" w14:textId="779FA03A">
      <w:pPr>
        <w:rPr>
          <w:rFonts w:cs="Arial"/>
          <w:szCs w:val="20"/>
          <w:lang w:val="nl-NL"/>
        </w:rPr>
      </w:pPr>
      <w:r w:rsidRPr="00A805F5">
        <w:rPr>
          <w:rFonts w:cs="Arial"/>
          <w:szCs w:val="20"/>
          <w:lang w:val="nl-NL"/>
        </w:rPr>
        <w:t xml:space="preserve">Het eerste lid bepaalt dat directeursbeloningen en andere vergoedingen en soortgelijke betalingen verkregen door een inwoner van een verdragsluitende staat in de hoedanigheid van lid van de raad van </w:t>
      </w:r>
      <w:r w:rsidRPr="00A805F5" w:rsidR="00DE386D">
        <w:rPr>
          <w:rFonts w:cs="Arial"/>
          <w:szCs w:val="20"/>
          <w:lang w:val="nl-NL"/>
        </w:rPr>
        <w:t>bestuur</w:t>
      </w:r>
      <w:r w:rsidRPr="00A805F5">
        <w:rPr>
          <w:rFonts w:cs="Arial"/>
          <w:szCs w:val="20"/>
          <w:lang w:val="nl-NL"/>
        </w:rPr>
        <w:t xml:space="preserve"> van een lichaam worden belast in het land waarvan het lichaam inwoner is. Directeursbeloningen en andere vergoedingen en soortgelijke betalingen verkregen door een inwoner van een verdragsluitende staat in zijn hoedanigheid van lid van de raad van </w:t>
      </w:r>
      <w:r w:rsidR="00B02D9F">
        <w:rPr>
          <w:rFonts w:cs="Arial"/>
          <w:szCs w:val="20"/>
          <w:lang w:val="nl-NL"/>
        </w:rPr>
        <w:t>bestuur</w:t>
      </w:r>
      <w:r w:rsidRPr="00A805F5" w:rsidR="00B02D9F">
        <w:rPr>
          <w:rFonts w:cs="Arial"/>
          <w:szCs w:val="20"/>
          <w:lang w:val="nl-NL"/>
        </w:rPr>
        <w:t xml:space="preserve"> </w:t>
      </w:r>
      <w:r w:rsidRPr="00A805F5">
        <w:rPr>
          <w:rFonts w:cs="Arial"/>
          <w:szCs w:val="20"/>
          <w:lang w:val="nl-NL"/>
        </w:rPr>
        <w:t>van een lichaam dat inwoner is van de andere verdragsluitende staat, mogen in die andere staat worden belast. Door het gebruik van de term "andere beloningen" in afwijking van het OESO-modelverdrag is, op verzoek van Nederland, buiten twijfel gesteld dat ook vergoedingen in natura en aandelenopties onder deze bepaling vallen.</w:t>
      </w:r>
    </w:p>
    <w:p w:rsidRPr="00A805F5" w:rsidR="00E13380" w:rsidP="00E13380" w:rsidRDefault="00DA7456" w14:paraId="173C5F60" w14:textId="23B56A71">
      <w:pPr>
        <w:rPr>
          <w:rFonts w:cs="Arial"/>
          <w:szCs w:val="20"/>
          <w:lang w:val="nl-NL"/>
        </w:rPr>
      </w:pPr>
      <w:r w:rsidRPr="00A805F5">
        <w:rPr>
          <w:rFonts w:cs="Arial"/>
          <w:szCs w:val="20"/>
          <w:lang w:val="nl-NL"/>
        </w:rPr>
        <w:t xml:space="preserve">In het tweede lid is, in afwijking van het OESO-modelverdrag, </w:t>
      </w:r>
      <w:r w:rsidR="00A767BB">
        <w:rPr>
          <w:rFonts w:cs="Arial"/>
          <w:szCs w:val="20"/>
          <w:lang w:val="nl-NL"/>
        </w:rPr>
        <w:t xml:space="preserve">expliciet </w:t>
      </w:r>
      <w:r w:rsidR="00B02D9F">
        <w:rPr>
          <w:rFonts w:cs="Arial"/>
          <w:szCs w:val="20"/>
          <w:lang w:val="nl-NL"/>
        </w:rPr>
        <w:t>tot</w:t>
      </w:r>
      <w:r w:rsidRPr="00A805F5">
        <w:rPr>
          <w:rFonts w:cs="Arial"/>
          <w:szCs w:val="20"/>
          <w:lang w:val="nl-NL"/>
        </w:rPr>
        <w:t xml:space="preserve"> uitdrukking </w:t>
      </w:r>
      <w:r w:rsidR="00B02D9F">
        <w:rPr>
          <w:rFonts w:cs="Arial"/>
          <w:szCs w:val="20"/>
          <w:lang w:val="nl-NL"/>
        </w:rPr>
        <w:t xml:space="preserve">gebracht dat </w:t>
      </w:r>
      <w:r w:rsidRPr="00A805F5">
        <w:rPr>
          <w:rFonts w:cs="Arial"/>
          <w:szCs w:val="20"/>
          <w:lang w:val="nl-NL"/>
        </w:rPr>
        <w:t>zowel personen die belast zijn met de algemene leiding van het lichaam als personen die zijn belast met het toezicht daarop</w:t>
      </w:r>
      <w:r w:rsidR="00B02D9F">
        <w:rPr>
          <w:rFonts w:cs="Arial"/>
          <w:szCs w:val="20"/>
          <w:lang w:val="nl-NL"/>
        </w:rPr>
        <w:t xml:space="preserve"> onder het artikel vallen</w:t>
      </w:r>
      <w:r w:rsidRPr="00A805F5">
        <w:rPr>
          <w:rFonts w:cs="Arial"/>
          <w:szCs w:val="20"/>
          <w:lang w:val="nl-NL"/>
        </w:rPr>
        <w:t xml:space="preserve">. Leden van de </w:t>
      </w:r>
      <w:r w:rsidR="00B02D9F">
        <w:rPr>
          <w:rFonts w:cs="Arial"/>
          <w:szCs w:val="20"/>
          <w:lang w:val="nl-NL"/>
        </w:rPr>
        <w:t>r</w:t>
      </w:r>
      <w:r w:rsidRPr="00A805F5">
        <w:rPr>
          <w:rFonts w:cs="Arial"/>
          <w:szCs w:val="20"/>
          <w:lang w:val="nl-NL"/>
        </w:rPr>
        <w:t xml:space="preserve">aad van </w:t>
      </w:r>
      <w:r w:rsidR="00B02D9F">
        <w:rPr>
          <w:rFonts w:cs="Arial"/>
          <w:szCs w:val="20"/>
          <w:lang w:val="nl-NL"/>
        </w:rPr>
        <w:t>c</w:t>
      </w:r>
      <w:r w:rsidRPr="00A805F5">
        <w:rPr>
          <w:rFonts w:cs="Arial"/>
          <w:szCs w:val="20"/>
          <w:lang w:val="nl-NL"/>
        </w:rPr>
        <w:t xml:space="preserve">ommissarissen vallen </w:t>
      </w:r>
      <w:r w:rsidR="00B02D9F">
        <w:rPr>
          <w:rFonts w:cs="Arial"/>
          <w:szCs w:val="20"/>
          <w:lang w:val="nl-NL"/>
        </w:rPr>
        <w:t xml:space="preserve">hier dus </w:t>
      </w:r>
      <w:r w:rsidRPr="00A805F5">
        <w:rPr>
          <w:rFonts w:cs="Arial"/>
          <w:szCs w:val="20"/>
          <w:lang w:val="nl-NL"/>
        </w:rPr>
        <w:t>ook onder.</w:t>
      </w:r>
    </w:p>
    <w:p w:rsidRPr="00A805F5" w:rsidR="0010137F" w:rsidP="008B5DFC" w:rsidRDefault="008B5DFC" w14:paraId="2876FC3C" w14:textId="704B2F97">
      <w:pPr>
        <w:pStyle w:val="Heading2"/>
        <w:rPr>
          <w:rFonts w:cs="Arial"/>
          <w:b w:val="0"/>
          <w:bCs w:val="0"/>
          <w:i/>
          <w:smallCaps w:val="0"/>
          <w:szCs w:val="20"/>
          <w:lang w:val="nl-NL"/>
        </w:rPr>
      </w:pPr>
      <w:r w:rsidRPr="00A805F5">
        <w:rPr>
          <w:rFonts w:cs="Arial"/>
          <w:b w:val="0"/>
          <w:bCs w:val="0"/>
          <w:i/>
          <w:smallCaps w:val="0"/>
          <w:szCs w:val="20"/>
          <w:lang w:val="nl-NL"/>
        </w:rPr>
        <w:t>II.17 Artiesten en sportbeoefenaars (</w:t>
      </w:r>
      <w:r w:rsidRPr="00A805F5" w:rsidR="0010137F">
        <w:rPr>
          <w:rFonts w:cs="Arial"/>
          <w:b w:val="0"/>
          <w:bCs w:val="0"/>
          <w:i/>
          <w:smallCaps w:val="0"/>
          <w:szCs w:val="20"/>
          <w:lang w:val="nl-NL"/>
        </w:rPr>
        <w:t xml:space="preserve">Artikel 17 </w:t>
      </w:r>
      <w:r w:rsidRPr="00A805F5">
        <w:rPr>
          <w:rFonts w:cs="Arial"/>
          <w:b w:val="0"/>
          <w:bCs w:val="0"/>
          <w:i/>
          <w:smallCaps w:val="0"/>
          <w:szCs w:val="20"/>
          <w:lang w:val="nl-NL"/>
        </w:rPr>
        <w:t>van het Verdrag)</w:t>
      </w:r>
    </w:p>
    <w:p w:rsidRPr="00494232" w:rsidR="00A919F0" w:rsidP="00A919F0" w:rsidRDefault="00A919F0" w14:paraId="4590FEBC" w14:textId="6D941352">
      <w:pPr>
        <w:ind w:firstLine="0"/>
        <w:rPr>
          <w:rFonts w:cs="Arial"/>
          <w:szCs w:val="20"/>
          <w:lang w:val="nl-NL"/>
        </w:rPr>
      </w:pPr>
      <w:r w:rsidRPr="00494232">
        <w:rPr>
          <w:rFonts w:cs="Arial"/>
          <w:szCs w:val="20"/>
          <w:lang w:val="nl-NL"/>
        </w:rPr>
        <w:t xml:space="preserve"> </w:t>
      </w:r>
      <w:r w:rsidRPr="00494232">
        <w:rPr>
          <w:rFonts w:cs="Arial"/>
          <w:szCs w:val="20"/>
          <w:lang w:val="nl-NL"/>
        </w:rPr>
        <w:tab/>
      </w:r>
      <w:r w:rsidRPr="00A805F5" w:rsidR="00D60023">
        <w:rPr>
          <w:rFonts w:cs="Arial"/>
          <w:szCs w:val="20"/>
          <w:lang w:val="nl-NL"/>
        </w:rPr>
        <w:t>Artikel 17 betreft</w:t>
      </w:r>
      <w:r w:rsidRPr="00A805F5" w:rsidR="00375C50">
        <w:rPr>
          <w:rFonts w:cs="Arial"/>
          <w:szCs w:val="20"/>
          <w:lang w:val="nl-NL"/>
        </w:rPr>
        <w:t xml:space="preserve"> het </w:t>
      </w:r>
      <w:r w:rsidRPr="00A805F5" w:rsidR="00D332AA">
        <w:rPr>
          <w:rFonts w:cs="Arial"/>
          <w:szCs w:val="20"/>
          <w:lang w:val="nl-NL"/>
        </w:rPr>
        <w:t>inkom</w:t>
      </w:r>
      <w:r w:rsidRPr="00A805F5" w:rsidR="00D60023">
        <w:rPr>
          <w:rFonts w:cs="Arial"/>
          <w:szCs w:val="20"/>
          <w:lang w:val="nl-NL"/>
        </w:rPr>
        <w:t>en van artiesten en sportbeoefenaars</w:t>
      </w:r>
      <w:r w:rsidRPr="00494232">
        <w:rPr>
          <w:rFonts w:cs="Arial"/>
          <w:szCs w:val="20"/>
          <w:lang w:val="nl-NL"/>
        </w:rPr>
        <w:t xml:space="preserve">. </w:t>
      </w:r>
      <w:r w:rsidRPr="00494232" w:rsidR="00D332AA">
        <w:rPr>
          <w:rFonts w:cs="Arial"/>
          <w:szCs w:val="20"/>
          <w:lang w:val="nl-NL"/>
        </w:rPr>
        <w:t>Hoewel</w:t>
      </w:r>
      <w:r w:rsidRPr="00494232">
        <w:rPr>
          <w:rFonts w:cs="Arial"/>
          <w:szCs w:val="20"/>
          <w:lang w:val="nl-NL"/>
        </w:rPr>
        <w:t xml:space="preserve"> Nederland geen voorstander </w:t>
      </w:r>
      <w:r w:rsidRPr="00494232" w:rsidR="00D332AA">
        <w:rPr>
          <w:rFonts w:cs="Arial"/>
          <w:szCs w:val="20"/>
          <w:lang w:val="nl-NL"/>
        </w:rPr>
        <w:t xml:space="preserve">is </w:t>
      </w:r>
      <w:r w:rsidRPr="00494232">
        <w:rPr>
          <w:rFonts w:cs="Arial"/>
          <w:szCs w:val="20"/>
          <w:lang w:val="nl-NL"/>
        </w:rPr>
        <w:t xml:space="preserve">van een </w:t>
      </w:r>
      <w:r w:rsidRPr="00494232" w:rsidR="00D332AA">
        <w:rPr>
          <w:rFonts w:cs="Arial"/>
          <w:szCs w:val="20"/>
          <w:lang w:val="nl-NL"/>
        </w:rPr>
        <w:t xml:space="preserve">separaat artikel </w:t>
      </w:r>
      <w:r w:rsidRPr="00494232" w:rsidR="00375C50">
        <w:rPr>
          <w:rFonts w:cs="Arial"/>
          <w:szCs w:val="20"/>
          <w:lang w:val="nl-NL"/>
        </w:rPr>
        <w:t xml:space="preserve">over </w:t>
      </w:r>
      <w:r w:rsidRPr="00A805F5" w:rsidR="00375C50">
        <w:rPr>
          <w:rFonts w:cs="Arial"/>
          <w:szCs w:val="20"/>
          <w:lang w:val="nl-NL"/>
        </w:rPr>
        <w:t>het inkomen van artiesten en sportbeoefenaars</w:t>
      </w:r>
      <w:r w:rsidRPr="00494232" w:rsidR="00375C50">
        <w:rPr>
          <w:rFonts w:cs="Arial"/>
          <w:szCs w:val="20"/>
          <w:lang w:val="nl-NL"/>
        </w:rPr>
        <w:t xml:space="preserve"> </w:t>
      </w:r>
      <w:r w:rsidRPr="00494232">
        <w:rPr>
          <w:rFonts w:cs="Arial"/>
          <w:szCs w:val="20"/>
          <w:lang w:val="nl-NL"/>
        </w:rPr>
        <w:t xml:space="preserve">blijkt die inzet </w:t>
      </w:r>
      <w:r w:rsidRPr="00494232" w:rsidR="00D332AA">
        <w:rPr>
          <w:rFonts w:cs="Arial"/>
          <w:szCs w:val="20"/>
          <w:lang w:val="nl-NL"/>
        </w:rPr>
        <w:t>vaak</w:t>
      </w:r>
      <w:r w:rsidRPr="00494232">
        <w:rPr>
          <w:rFonts w:cs="Arial"/>
          <w:szCs w:val="20"/>
          <w:lang w:val="nl-NL"/>
        </w:rPr>
        <w:t xml:space="preserve"> moeilijk te realiseren</w:t>
      </w:r>
      <w:r w:rsidRPr="00494232" w:rsidR="00D332AA">
        <w:rPr>
          <w:rFonts w:cs="Arial"/>
          <w:szCs w:val="20"/>
          <w:lang w:val="nl-NL"/>
        </w:rPr>
        <w:t xml:space="preserve"> (zie de </w:t>
      </w:r>
      <w:r w:rsidRPr="00494232" w:rsidR="00D65B7A">
        <w:rPr>
          <w:rFonts w:cs="Arial"/>
          <w:szCs w:val="20"/>
          <w:lang w:val="nl-NL"/>
        </w:rPr>
        <w:t>NFV</w:t>
      </w:r>
      <w:r w:rsidRPr="00494232" w:rsidR="00D332AA">
        <w:rPr>
          <w:rFonts w:cs="Arial"/>
          <w:szCs w:val="20"/>
          <w:lang w:val="nl-NL"/>
        </w:rPr>
        <w:t xml:space="preserve"> 2020)</w:t>
      </w:r>
      <w:r w:rsidRPr="00494232">
        <w:rPr>
          <w:rFonts w:cs="Arial"/>
          <w:szCs w:val="20"/>
          <w:lang w:val="nl-NL"/>
        </w:rPr>
        <w:t>.</w:t>
      </w:r>
      <w:r w:rsidRPr="00494232" w:rsidR="00D60023">
        <w:rPr>
          <w:rFonts w:cs="Arial"/>
          <w:szCs w:val="20"/>
          <w:lang w:val="nl-NL"/>
        </w:rPr>
        <w:t xml:space="preserve"> </w:t>
      </w:r>
      <w:r w:rsidRPr="00494232" w:rsidR="00D332AA">
        <w:rPr>
          <w:rFonts w:cs="Arial"/>
          <w:szCs w:val="20"/>
          <w:lang w:val="nl-NL"/>
        </w:rPr>
        <w:t xml:space="preserve">Ook Chili hechtte aan opname van </w:t>
      </w:r>
      <w:r w:rsidRPr="00494232" w:rsidR="00375C50">
        <w:rPr>
          <w:rFonts w:cs="Arial"/>
          <w:szCs w:val="20"/>
          <w:lang w:val="nl-NL"/>
        </w:rPr>
        <w:t>een separaat</w:t>
      </w:r>
      <w:r w:rsidRPr="00494232" w:rsidR="00D332AA">
        <w:rPr>
          <w:rFonts w:cs="Arial"/>
          <w:szCs w:val="20"/>
          <w:lang w:val="nl-NL"/>
        </w:rPr>
        <w:t xml:space="preserve"> artikel over artiesten en sportbeoefenaars</w:t>
      </w:r>
      <w:r w:rsidRPr="00494232" w:rsidR="006D4A76">
        <w:rPr>
          <w:rFonts w:cs="Arial"/>
          <w:szCs w:val="20"/>
          <w:lang w:val="nl-NL"/>
        </w:rPr>
        <w:t xml:space="preserve"> en daar heeft Nederland mee ingestemd</w:t>
      </w:r>
      <w:r w:rsidRPr="00494232" w:rsidR="00375C50">
        <w:rPr>
          <w:rFonts w:cs="Arial"/>
          <w:szCs w:val="20"/>
          <w:lang w:val="nl-NL"/>
        </w:rPr>
        <w:t>.</w:t>
      </w:r>
      <w:r w:rsidRPr="00494232" w:rsidR="006D4A76">
        <w:rPr>
          <w:rFonts w:cs="Arial"/>
          <w:szCs w:val="20"/>
          <w:lang w:val="nl-NL"/>
        </w:rPr>
        <w:t xml:space="preserve"> Chili kon wel instemmen met een </w:t>
      </w:r>
      <w:r w:rsidRPr="00494232" w:rsidR="00CF1A75">
        <w:rPr>
          <w:rFonts w:cs="Arial"/>
          <w:szCs w:val="20"/>
          <w:lang w:val="nl-NL"/>
        </w:rPr>
        <w:t>d</w:t>
      </w:r>
      <w:r w:rsidRPr="00494232" w:rsidR="006D4A76">
        <w:rPr>
          <w:rFonts w:cs="Arial"/>
          <w:szCs w:val="20"/>
          <w:lang w:val="nl-NL"/>
        </w:rPr>
        <w:t xml:space="preserve">rempelbedrag </w:t>
      </w:r>
      <w:r w:rsidRPr="00494232" w:rsidR="00CF1A75">
        <w:rPr>
          <w:rFonts w:cs="Arial"/>
          <w:szCs w:val="20"/>
          <w:lang w:val="nl-NL"/>
        </w:rPr>
        <w:t xml:space="preserve">(eerste lid) </w:t>
      </w:r>
      <w:r w:rsidRPr="00494232" w:rsidR="006D4A76">
        <w:rPr>
          <w:rFonts w:cs="Arial"/>
          <w:szCs w:val="20"/>
          <w:lang w:val="nl-NL"/>
        </w:rPr>
        <w:t xml:space="preserve">en </w:t>
      </w:r>
      <w:r w:rsidRPr="00494232" w:rsidR="00CF1A75">
        <w:rPr>
          <w:rFonts w:cs="Arial"/>
          <w:szCs w:val="20"/>
          <w:lang w:val="nl-NL"/>
        </w:rPr>
        <w:t xml:space="preserve">een uitzondering voor </w:t>
      </w:r>
      <w:r w:rsidRPr="00494232" w:rsidR="006D4A76">
        <w:rPr>
          <w:rFonts w:cs="Arial"/>
          <w:szCs w:val="20"/>
          <w:lang w:val="nl-NL"/>
        </w:rPr>
        <w:t>activiteiten die grotendeels zijn gefinancierd door publieke middelen van de woonstaa</w:t>
      </w:r>
      <w:r w:rsidRPr="00494232" w:rsidR="00CF1A75">
        <w:rPr>
          <w:rFonts w:cs="Arial"/>
          <w:szCs w:val="20"/>
          <w:lang w:val="nl-NL"/>
        </w:rPr>
        <w:t>t (derde lid)</w:t>
      </w:r>
      <w:r w:rsidRPr="00494232" w:rsidR="006D4A76">
        <w:rPr>
          <w:rFonts w:cs="Arial"/>
          <w:szCs w:val="20"/>
          <w:lang w:val="nl-NL"/>
        </w:rPr>
        <w:t>.</w:t>
      </w:r>
      <w:r w:rsidRPr="00494232" w:rsidR="00CF1A75">
        <w:rPr>
          <w:rFonts w:cs="Arial"/>
          <w:szCs w:val="20"/>
          <w:lang w:val="nl-NL"/>
        </w:rPr>
        <w:t xml:space="preserve"> </w:t>
      </w:r>
      <w:r w:rsidRPr="00494232" w:rsidR="00BB5ACA">
        <w:rPr>
          <w:rFonts w:cs="Arial"/>
          <w:szCs w:val="20"/>
          <w:lang w:val="nl-NL"/>
        </w:rPr>
        <w:t xml:space="preserve">Deze beperkingen op de reikwijdte van het artikel </w:t>
      </w:r>
      <w:r w:rsidRPr="00494232" w:rsidR="00CF1A75">
        <w:rPr>
          <w:rFonts w:cs="Arial"/>
          <w:szCs w:val="20"/>
          <w:lang w:val="nl-NL"/>
        </w:rPr>
        <w:t>zijn inhoudelijk ontleend aan alternatieve bepalingen uit het OESO-commentaar</w:t>
      </w:r>
      <w:r w:rsidRPr="00494232" w:rsidR="00BB5ACA">
        <w:rPr>
          <w:rFonts w:cs="Arial"/>
          <w:szCs w:val="20"/>
          <w:lang w:val="nl-NL"/>
        </w:rPr>
        <w:t>. H</w:t>
      </w:r>
      <w:r w:rsidRPr="00494232" w:rsidR="00CF1A75">
        <w:rPr>
          <w:rFonts w:cs="Arial"/>
          <w:szCs w:val="20"/>
          <w:lang w:val="nl-NL"/>
        </w:rPr>
        <w:t xml:space="preserve">et tweede lid </w:t>
      </w:r>
      <w:r w:rsidRPr="00494232" w:rsidR="00BB5ACA">
        <w:rPr>
          <w:rFonts w:cs="Arial"/>
          <w:szCs w:val="20"/>
          <w:lang w:val="nl-NL"/>
        </w:rPr>
        <w:t xml:space="preserve">komt inhoudelijk overeen met artikel 17, </w:t>
      </w:r>
      <w:r w:rsidRPr="00494232" w:rsidR="00CF1A75">
        <w:rPr>
          <w:rFonts w:cs="Arial"/>
          <w:szCs w:val="20"/>
          <w:lang w:val="nl-NL"/>
        </w:rPr>
        <w:t>tweede lid, van het OESO-modelverdrag.</w:t>
      </w:r>
    </w:p>
    <w:p w:rsidRPr="00494232" w:rsidR="00BB5ACA" w:rsidP="00A919F0" w:rsidRDefault="00BB5ACA" w14:paraId="21960141" w14:textId="0CC43E19">
      <w:pPr>
        <w:ind w:firstLine="0"/>
        <w:rPr>
          <w:rFonts w:cs="Arial"/>
          <w:color w:val="333333"/>
          <w:szCs w:val="20"/>
          <w:shd w:val="clear" w:color="auto" w:fill="FFFFFF"/>
          <w:lang w:val="nl-NL"/>
        </w:rPr>
      </w:pPr>
      <w:r w:rsidRPr="00494232">
        <w:rPr>
          <w:rFonts w:cs="Arial"/>
          <w:szCs w:val="20"/>
          <w:lang w:val="nl-NL"/>
        </w:rPr>
        <w:t xml:space="preserve"> </w:t>
      </w:r>
      <w:r w:rsidRPr="00494232">
        <w:rPr>
          <w:rFonts w:cs="Arial"/>
          <w:szCs w:val="20"/>
          <w:lang w:val="nl-NL"/>
        </w:rPr>
        <w:tab/>
        <w:t xml:space="preserve">Het eerste lid wijst het heffingsrecht over het inkomen toe aan de verdragsluitende staat waarin de artiesten en sportbeoefenaars hun activiteiten ontplooien, </w:t>
      </w:r>
      <w:r w:rsidRPr="00494232">
        <w:rPr>
          <w:rFonts w:cs="Arial"/>
          <w:color w:val="333333"/>
          <w:szCs w:val="20"/>
          <w:shd w:val="clear" w:color="auto" w:fill="FFFFFF"/>
          <w:lang w:val="nl-NL"/>
        </w:rPr>
        <w:t xml:space="preserve">tenzij de bruto-ontvangsten, met inbegrip van onkosten, uit de betreffende werkzaamheden jaarlijks het bedrag van </w:t>
      </w:r>
      <w:r w:rsidR="00C42132">
        <w:rPr>
          <w:rFonts w:cs="Arial"/>
          <w:color w:val="333333"/>
          <w:szCs w:val="20"/>
          <w:shd w:val="clear" w:color="auto" w:fill="FFFFFF"/>
          <w:lang w:val="nl-NL"/>
        </w:rPr>
        <w:t>vijfduizend euro</w:t>
      </w:r>
      <w:r w:rsidRPr="00494232">
        <w:rPr>
          <w:rFonts w:cs="Arial"/>
          <w:color w:val="333333"/>
          <w:szCs w:val="20"/>
          <w:shd w:val="clear" w:color="auto" w:fill="FFFFFF"/>
          <w:lang w:val="nl-NL"/>
        </w:rPr>
        <w:t xml:space="preserve"> of de tegenwaarde daarvan in Chileense peso voor het desbetreffende belastingjaar niet overschrijden.</w:t>
      </w:r>
      <w:r w:rsidRPr="00494232" w:rsidR="00CE7D7C">
        <w:rPr>
          <w:rFonts w:cs="Arial"/>
          <w:color w:val="333333"/>
          <w:szCs w:val="20"/>
          <w:shd w:val="clear" w:color="auto" w:fill="FFFFFF"/>
          <w:lang w:val="nl-NL"/>
        </w:rPr>
        <w:t xml:space="preserve"> Deze bepaling is inhoudelijk ontleend aan paragraaf 10.1 van het OESO-Commentaar op artikel 17 van het OESO-modelverdrag.</w:t>
      </w:r>
    </w:p>
    <w:p w:rsidRPr="00494232" w:rsidR="00985A39" w:rsidP="00A919F0" w:rsidRDefault="00CE7D7C" w14:paraId="049EC06A" w14:textId="77777777">
      <w:pPr>
        <w:ind w:firstLine="0"/>
        <w:rPr>
          <w:rFonts w:cs="Arial"/>
          <w:color w:val="333333"/>
          <w:szCs w:val="20"/>
          <w:shd w:val="clear" w:color="auto" w:fill="FFFFFF"/>
          <w:lang w:val="nl-NL"/>
        </w:rPr>
      </w:pPr>
      <w:r w:rsidRPr="00494232">
        <w:rPr>
          <w:rFonts w:cs="Arial"/>
          <w:color w:val="333333"/>
          <w:szCs w:val="20"/>
          <w:shd w:val="clear" w:color="auto" w:fill="FFFFFF"/>
          <w:lang w:val="nl-NL"/>
        </w:rPr>
        <w:t xml:space="preserve"> </w:t>
      </w:r>
      <w:r w:rsidRPr="00494232">
        <w:rPr>
          <w:rFonts w:cs="Arial"/>
          <w:color w:val="333333"/>
          <w:szCs w:val="20"/>
          <w:shd w:val="clear" w:color="auto" w:fill="FFFFFF"/>
          <w:lang w:val="nl-NL"/>
        </w:rPr>
        <w:tab/>
        <w:t xml:space="preserve">Het tweede lid heeft betrekking op de situatie waarin het inkomen voor de persoonlijke werkzaamheden van artiesten en sportbeoefenaars als zodanig niet aan henzelf toekomt maar aan een andere persoon. De beloning mag in dat geval ook worden belast door de verdragsluitende staat </w:t>
      </w:r>
      <w:r w:rsidRPr="00494232">
        <w:rPr>
          <w:rFonts w:cs="Arial"/>
          <w:color w:val="333333"/>
          <w:szCs w:val="20"/>
          <w:shd w:val="clear" w:color="auto" w:fill="FFFFFF"/>
          <w:lang w:val="nl-NL"/>
        </w:rPr>
        <w:lastRenderedPageBreak/>
        <w:t>waarin de werkzaamheden worden verricht. Deze bepaling heeft betrekking op bijvoorbeeld betalingen aan management- of artiestenvennootschappen (zogenoemde ‘star-companies’) of aan gezelschappen.</w:t>
      </w:r>
      <w:r w:rsidRPr="00494232" w:rsidR="00985A39">
        <w:rPr>
          <w:rFonts w:cs="Arial"/>
          <w:color w:val="333333"/>
          <w:szCs w:val="20"/>
          <w:shd w:val="clear" w:color="auto" w:fill="FFFFFF"/>
          <w:lang w:val="nl-NL"/>
        </w:rPr>
        <w:t xml:space="preserve"> </w:t>
      </w:r>
    </w:p>
    <w:p w:rsidRPr="00494232" w:rsidR="00985A39" w:rsidP="00A919F0" w:rsidRDefault="00985A39" w14:paraId="28BB6D43" w14:textId="2FACBAA2">
      <w:pPr>
        <w:ind w:firstLine="0"/>
        <w:rPr>
          <w:rFonts w:cs="Arial"/>
          <w:color w:val="333333"/>
          <w:szCs w:val="20"/>
          <w:shd w:val="clear" w:color="auto" w:fill="FFFFFF"/>
          <w:lang w:val="nl-NL"/>
        </w:rPr>
      </w:pPr>
      <w:r w:rsidRPr="00494232">
        <w:rPr>
          <w:rFonts w:cs="Arial"/>
          <w:color w:val="333333"/>
          <w:szCs w:val="20"/>
          <w:shd w:val="clear" w:color="auto" w:fill="FFFFFF"/>
          <w:lang w:val="nl-NL"/>
        </w:rPr>
        <w:t xml:space="preserve"> </w:t>
      </w:r>
      <w:r w:rsidRPr="00494232">
        <w:rPr>
          <w:rFonts w:cs="Arial"/>
          <w:color w:val="333333"/>
          <w:szCs w:val="20"/>
          <w:shd w:val="clear" w:color="auto" w:fill="FFFFFF"/>
          <w:lang w:val="nl-NL"/>
        </w:rPr>
        <w:tab/>
      </w:r>
      <w:r w:rsidRPr="00494232" w:rsidR="00534C00">
        <w:rPr>
          <w:rFonts w:cs="Arial"/>
          <w:color w:val="333333"/>
          <w:szCs w:val="20"/>
          <w:shd w:val="clear" w:color="auto" w:fill="FFFFFF"/>
          <w:lang w:val="nl-NL"/>
        </w:rPr>
        <w:t xml:space="preserve">Het derde lid stelt dat de in het eerste en tweede lid beschreven verdeling van heffingsrechten niet geldt </w:t>
      </w:r>
      <w:r w:rsidRPr="00494232">
        <w:rPr>
          <w:rFonts w:cs="Arial"/>
          <w:szCs w:val="20"/>
          <w:lang w:val="nl-NL"/>
        </w:rPr>
        <w:t xml:space="preserve">indien </w:t>
      </w:r>
      <w:r w:rsidRPr="00494232">
        <w:rPr>
          <w:rFonts w:cs="Arial"/>
          <w:color w:val="333333"/>
          <w:szCs w:val="20"/>
          <w:shd w:val="clear" w:color="auto" w:fill="FFFFFF"/>
          <w:lang w:val="nl-NL"/>
        </w:rPr>
        <w:t>het inkomen afkomstig is van het verrichten van werkzaamheden door artiesten of sportbeoefenaars in een verdragsluitende staat en het bezoek aan die (werk)staat geheel of grotendeels – dat wil zeggen voor meer dan 50% - wordt bekostigd uit de openbare middelen van de woonstaat, en het inkomen is verkregen uit de openbare middelen betaald door de woonstaat.</w:t>
      </w:r>
      <w:r w:rsidRPr="00494232">
        <w:rPr>
          <w:rFonts w:cs="Arial"/>
          <w:szCs w:val="20"/>
          <w:lang w:val="nl-NL"/>
        </w:rPr>
        <w:t xml:space="preserve"> </w:t>
      </w:r>
    </w:p>
    <w:p w:rsidRPr="00A805F5" w:rsidR="00A705A7" w:rsidP="008B5DFC" w:rsidRDefault="008B5DFC" w14:paraId="2B3EE50D" w14:textId="76945792">
      <w:pPr>
        <w:pStyle w:val="Heading2"/>
        <w:rPr>
          <w:rFonts w:cs="Arial"/>
          <w:b w:val="0"/>
          <w:bCs w:val="0"/>
          <w:i/>
          <w:smallCaps w:val="0"/>
          <w:szCs w:val="20"/>
          <w:lang w:val="nl-NL"/>
        </w:rPr>
      </w:pPr>
      <w:r w:rsidRPr="00A805F5">
        <w:rPr>
          <w:rFonts w:cs="Arial"/>
          <w:b w:val="0"/>
          <w:bCs w:val="0"/>
          <w:i/>
          <w:smallCaps w:val="0"/>
          <w:szCs w:val="20"/>
          <w:lang w:val="nl-NL"/>
        </w:rPr>
        <w:t xml:space="preserve">II.18 </w:t>
      </w:r>
      <w:r w:rsidRPr="00A805F5" w:rsidR="0010137F">
        <w:rPr>
          <w:rFonts w:cs="Arial"/>
          <w:b w:val="0"/>
          <w:bCs w:val="0"/>
          <w:i/>
          <w:smallCaps w:val="0"/>
          <w:szCs w:val="20"/>
          <w:lang w:val="nl-NL"/>
        </w:rPr>
        <w:t>Pensioenen</w:t>
      </w:r>
      <w:r w:rsidRPr="00A805F5" w:rsidR="00CB0097">
        <w:rPr>
          <w:rFonts w:cs="Arial"/>
          <w:b w:val="0"/>
          <w:bCs w:val="0"/>
          <w:i/>
          <w:smallCaps w:val="0"/>
          <w:szCs w:val="20"/>
          <w:lang w:val="nl-NL"/>
        </w:rPr>
        <w:t>, lijfrenten en s</w:t>
      </w:r>
      <w:r w:rsidRPr="00A805F5" w:rsidR="00472CD1">
        <w:rPr>
          <w:rFonts w:cs="Arial"/>
          <w:b w:val="0"/>
          <w:bCs w:val="0"/>
          <w:i/>
          <w:smallCaps w:val="0"/>
          <w:szCs w:val="20"/>
          <w:lang w:val="nl-NL"/>
        </w:rPr>
        <w:t>ociale</w:t>
      </w:r>
      <w:r w:rsidRPr="00A805F5" w:rsidR="00CB0097">
        <w:rPr>
          <w:rFonts w:cs="Arial"/>
          <w:b w:val="0"/>
          <w:bCs w:val="0"/>
          <w:i/>
          <w:smallCaps w:val="0"/>
          <w:szCs w:val="20"/>
          <w:lang w:val="nl-NL"/>
        </w:rPr>
        <w:t>zekerheidsuitkeringen</w:t>
      </w:r>
      <w:r w:rsidRPr="00A805F5">
        <w:rPr>
          <w:rFonts w:cs="Arial"/>
          <w:b w:val="0"/>
          <w:bCs w:val="0"/>
          <w:i/>
          <w:smallCaps w:val="0"/>
          <w:szCs w:val="20"/>
          <w:lang w:val="nl-NL"/>
        </w:rPr>
        <w:t xml:space="preserve"> (Artikel 18 van het Verdrag</w:t>
      </w:r>
      <w:r w:rsidRPr="00A805F5" w:rsidR="00CB0097">
        <w:rPr>
          <w:rFonts w:cs="Arial"/>
          <w:b w:val="0"/>
          <w:bCs w:val="0"/>
          <w:i/>
          <w:smallCaps w:val="0"/>
          <w:szCs w:val="20"/>
          <w:lang w:val="nl-NL"/>
        </w:rPr>
        <w:t>)</w:t>
      </w:r>
    </w:p>
    <w:p w:rsidRPr="00494232" w:rsidR="00A40168" w:rsidP="007F727A" w:rsidRDefault="00DC5130" w14:paraId="2250D3E2" w14:textId="2D63EC80">
      <w:pPr>
        <w:rPr>
          <w:rFonts w:cs="Arial"/>
          <w:szCs w:val="20"/>
          <w:lang w:val="nl-NL"/>
        </w:rPr>
      </w:pPr>
      <w:r w:rsidRPr="00494232">
        <w:rPr>
          <w:rFonts w:cs="Arial"/>
          <w:szCs w:val="20"/>
          <w:lang w:val="nl-NL"/>
        </w:rPr>
        <w:t>In lijn met het Nederlandse verdragsbeleid heeft Nederland, in afwijking van het OESO-modelverdrag, ingezet op een onbeperkte bronstaatheffing voor pensioenen, lijfrenten en socialezekerheidsuitkeringen. Chili kon hiermee instemmen</w:t>
      </w:r>
      <w:r w:rsidRPr="00494232" w:rsidR="007F727A">
        <w:rPr>
          <w:rFonts w:cs="Arial"/>
          <w:szCs w:val="20"/>
          <w:lang w:val="nl-NL"/>
        </w:rPr>
        <w:t xml:space="preserve">. Tijdens de onderhandelingen gaf de Chileense delegatie aan dat pensioenen en soortgelijke </w:t>
      </w:r>
      <w:proofErr w:type="spellStart"/>
      <w:r w:rsidRPr="00494232" w:rsidR="007F727A">
        <w:rPr>
          <w:rFonts w:cs="Arial"/>
          <w:szCs w:val="20"/>
          <w:lang w:val="nl-NL"/>
        </w:rPr>
        <w:t>oudedagsbeloningen</w:t>
      </w:r>
      <w:proofErr w:type="spellEnd"/>
      <w:r w:rsidRPr="00494232" w:rsidR="007F727A">
        <w:rPr>
          <w:rFonts w:cs="Arial"/>
          <w:szCs w:val="20"/>
          <w:lang w:val="nl-NL"/>
        </w:rPr>
        <w:t xml:space="preserve"> uit buitenlandse (niet Chileense) bron in Chili zouden zijn vrijgesteld. </w:t>
      </w:r>
      <w:r w:rsidRPr="00A805F5" w:rsidR="007F727A">
        <w:rPr>
          <w:rFonts w:cs="Arial"/>
          <w:szCs w:val="20"/>
          <w:lang w:val="nl-NL"/>
        </w:rPr>
        <w:t>Omdat een algemeen heffingsrecht voor pensioenen is overeengekomen, wordt in het Verdrag geen onderscheid gemaakt wat betreft de toewijzing van het heffingsrecht tussen pensioenen</w:t>
      </w:r>
      <w:r w:rsidRPr="00A805F5" w:rsidR="00434A86">
        <w:rPr>
          <w:rFonts w:cs="Arial"/>
          <w:szCs w:val="20"/>
          <w:lang w:val="nl-NL"/>
        </w:rPr>
        <w:t xml:space="preserve"> opgebouwd in de private sector of in overheidsdienst</w:t>
      </w:r>
      <w:r w:rsidRPr="00A805F5" w:rsidR="007F727A">
        <w:rPr>
          <w:rFonts w:cs="Arial"/>
          <w:szCs w:val="20"/>
          <w:lang w:val="nl-NL"/>
        </w:rPr>
        <w:t xml:space="preserve">. </w:t>
      </w:r>
      <w:r w:rsidRPr="00494232" w:rsidR="007F727A">
        <w:rPr>
          <w:rFonts w:cs="Arial"/>
          <w:szCs w:val="20"/>
          <w:lang w:val="nl-NL"/>
        </w:rPr>
        <w:t xml:space="preserve">De tekst van artikel 18 is op verzoek van Chili op enige punten aangepast. </w:t>
      </w:r>
    </w:p>
    <w:p w:rsidRPr="00494232" w:rsidR="00ED7996" w:rsidP="0098328A" w:rsidRDefault="007F727A" w14:paraId="1F8A7D43" w14:textId="0DAB378D">
      <w:pPr>
        <w:rPr>
          <w:rFonts w:cs="Arial"/>
          <w:szCs w:val="20"/>
          <w:lang w:val="nl-NL"/>
        </w:rPr>
      </w:pPr>
      <w:r w:rsidRPr="00494232">
        <w:rPr>
          <w:rFonts w:cs="Arial"/>
          <w:szCs w:val="20"/>
          <w:lang w:val="nl-NL"/>
        </w:rPr>
        <w:t xml:space="preserve">Het eerste lid bepaalt dat pensioenen en andere soortgelijke </w:t>
      </w:r>
      <w:proofErr w:type="spellStart"/>
      <w:r w:rsidRPr="00494232">
        <w:rPr>
          <w:rFonts w:cs="Arial"/>
          <w:szCs w:val="20"/>
          <w:lang w:val="nl-NL"/>
        </w:rPr>
        <w:t>oudedagsbeloningen</w:t>
      </w:r>
      <w:proofErr w:type="spellEnd"/>
      <w:r w:rsidRPr="00494232">
        <w:rPr>
          <w:rFonts w:cs="Arial"/>
          <w:szCs w:val="20"/>
          <w:lang w:val="nl-NL"/>
        </w:rPr>
        <w:t xml:space="preserve"> (met inbegrip van </w:t>
      </w:r>
      <w:proofErr w:type="spellStart"/>
      <w:r w:rsidRPr="00494232">
        <w:rPr>
          <w:rFonts w:cs="Arial"/>
          <w:szCs w:val="20"/>
          <w:lang w:val="nl-NL"/>
        </w:rPr>
        <w:t>oudedagslijfrenten</w:t>
      </w:r>
      <w:proofErr w:type="spellEnd"/>
      <w:r w:rsidRPr="00494232">
        <w:rPr>
          <w:rFonts w:cs="Arial"/>
          <w:szCs w:val="20"/>
          <w:lang w:val="nl-NL"/>
        </w:rPr>
        <w:t xml:space="preserve">) mogen worden belast in de bronstaat. </w:t>
      </w:r>
      <w:r w:rsidRPr="00494232" w:rsidR="00C217CD">
        <w:rPr>
          <w:rFonts w:cs="Arial"/>
          <w:szCs w:val="20"/>
          <w:lang w:val="nl-NL"/>
        </w:rPr>
        <w:t>C</w:t>
      </w:r>
      <w:r w:rsidRPr="00494232" w:rsidR="0098328A">
        <w:rPr>
          <w:rFonts w:cs="Arial"/>
          <w:szCs w:val="20"/>
          <w:lang w:val="nl-NL"/>
        </w:rPr>
        <w:t xml:space="preserve">hili hechtte eraan dat bij de terminologie </w:t>
      </w:r>
      <w:r w:rsidRPr="00494232" w:rsidR="00C217CD">
        <w:rPr>
          <w:rFonts w:cs="Arial"/>
          <w:szCs w:val="20"/>
          <w:lang w:val="nl-NL"/>
        </w:rPr>
        <w:t xml:space="preserve">‘soortgelijke beloning’ </w:t>
      </w:r>
      <w:r w:rsidRPr="00494232" w:rsidR="0098328A">
        <w:rPr>
          <w:rFonts w:cs="Arial"/>
          <w:szCs w:val="20"/>
          <w:lang w:val="nl-NL"/>
        </w:rPr>
        <w:t>en</w:t>
      </w:r>
      <w:r w:rsidRPr="00494232" w:rsidR="00C217CD">
        <w:rPr>
          <w:rFonts w:cs="Arial"/>
          <w:szCs w:val="20"/>
          <w:lang w:val="nl-NL"/>
        </w:rPr>
        <w:t xml:space="preserve"> ‘lijfrente’ </w:t>
      </w:r>
      <w:r w:rsidR="00EA3459">
        <w:rPr>
          <w:rFonts w:cs="Arial"/>
          <w:szCs w:val="20"/>
          <w:lang w:val="nl-NL"/>
        </w:rPr>
        <w:t>vastgelegd</w:t>
      </w:r>
      <w:r w:rsidRPr="00494232" w:rsidR="0098328A">
        <w:rPr>
          <w:rFonts w:cs="Arial"/>
          <w:szCs w:val="20"/>
          <w:lang w:val="nl-NL"/>
        </w:rPr>
        <w:t xml:space="preserve"> </w:t>
      </w:r>
      <w:r w:rsidRPr="00494232" w:rsidR="00C217CD">
        <w:rPr>
          <w:rFonts w:cs="Arial"/>
          <w:szCs w:val="20"/>
          <w:lang w:val="nl-NL"/>
        </w:rPr>
        <w:t xml:space="preserve">zou worden dat het gaat om </w:t>
      </w:r>
      <w:r w:rsidRPr="00494232" w:rsidR="0098328A">
        <w:rPr>
          <w:rFonts w:cs="Arial"/>
          <w:szCs w:val="20"/>
          <w:lang w:val="nl-NL"/>
        </w:rPr>
        <w:t xml:space="preserve">uitkeringen die bedoeld zijn voor de </w:t>
      </w:r>
      <w:proofErr w:type="spellStart"/>
      <w:r w:rsidRPr="00494232" w:rsidR="0098328A">
        <w:rPr>
          <w:rFonts w:cs="Arial"/>
          <w:szCs w:val="20"/>
          <w:lang w:val="nl-NL"/>
        </w:rPr>
        <w:t>oudedag</w:t>
      </w:r>
      <w:proofErr w:type="spellEnd"/>
      <w:r w:rsidRPr="00494232" w:rsidR="0098328A">
        <w:rPr>
          <w:rFonts w:cs="Arial"/>
          <w:szCs w:val="20"/>
          <w:lang w:val="nl-NL"/>
        </w:rPr>
        <w:t xml:space="preserve"> (‘</w:t>
      </w:r>
      <w:proofErr w:type="spellStart"/>
      <w:r w:rsidRPr="00494232" w:rsidR="0098328A">
        <w:rPr>
          <w:rFonts w:cs="Arial"/>
          <w:szCs w:val="20"/>
          <w:lang w:val="nl-NL"/>
        </w:rPr>
        <w:t>retirement</w:t>
      </w:r>
      <w:proofErr w:type="spellEnd"/>
      <w:r w:rsidRPr="00494232" w:rsidR="0098328A">
        <w:rPr>
          <w:rFonts w:cs="Arial"/>
          <w:szCs w:val="20"/>
          <w:lang w:val="nl-NL"/>
        </w:rPr>
        <w:t xml:space="preserve">’ in de Engelse tekst). </w:t>
      </w:r>
      <w:r w:rsidRPr="00494232" w:rsidR="00B5013D">
        <w:rPr>
          <w:rFonts w:cs="Arial"/>
          <w:szCs w:val="20"/>
          <w:lang w:val="nl-NL"/>
        </w:rPr>
        <w:t>Nederland heeft dit geaccepteerd. Deze toevoeging komt ook tot uitdrukking in het vijfde lid.</w:t>
      </w:r>
    </w:p>
    <w:p w:rsidRPr="00A805F5" w:rsidR="00FA601D" w:rsidP="00FA601D" w:rsidRDefault="00FA601D" w14:paraId="6206B307" w14:textId="2AA1F838">
      <w:pPr>
        <w:ind w:firstLine="720"/>
        <w:rPr>
          <w:rFonts w:cs="Arial"/>
          <w:szCs w:val="20"/>
          <w:lang w:val="nl-NL"/>
        </w:rPr>
      </w:pPr>
      <w:r w:rsidRPr="00494232">
        <w:rPr>
          <w:rFonts w:cs="Arial"/>
          <w:szCs w:val="20"/>
          <w:lang w:val="nl-NL"/>
        </w:rPr>
        <w:t xml:space="preserve">Op grond van het tweede lid geldt eveneens een bronstaatheffing voor </w:t>
      </w:r>
      <w:r w:rsidRPr="00A805F5">
        <w:rPr>
          <w:rFonts w:cs="Arial"/>
          <w:szCs w:val="20"/>
          <w:lang w:val="nl-NL"/>
        </w:rPr>
        <w:t>pensioenen en andere uitkeringen die zijn betaald krachtens de bepalingen van de socialezekerheidswetgeving van een verdragsluitende staat.</w:t>
      </w:r>
    </w:p>
    <w:p w:rsidRPr="00A805F5" w:rsidR="00D151F6" w:rsidP="00D151F6" w:rsidRDefault="00D151F6" w14:paraId="72D618CE" w14:textId="40E8A978">
      <w:pPr>
        <w:rPr>
          <w:rFonts w:cs="Arial"/>
          <w:szCs w:val="20"/>
          <w:lang w:val="nl-NL"/>
        </w:rPr>
      </w:pPr>
      <w:r w:rsidRPr="00A805F5">
        <w:rPr>
          <w:rFonts w:cs="Arial"/>
          <w:szCs w:val="20"/>
          <w:lang w:val="nl-NL"/>
        </w:rPr>
        <w:t xml:space="preserve">Het derde lid regelt welke </w:t>
      </w:r>
      <w:r w:rsidRPr="00A805F5" w:rsidR="00FE5445">
        <w:rPr>
          <w:rFonts w:cs="Arial"/>
          <w:szCs w:val="20"/>
          <w:lang w:val="nl-NL"/>
        </w:rPr>
        <w:t>staat</w:t>
      </w:r>
      <w:r w:rsidRPr="00A805F5">
        <w:rPr>
          <w:rFonts w:cs="Arial"/>
          <w:szCs w:val="20"/>
          <w:lang w:val="nl-NL"/>
        </w:rPr>
        <w:t xml:space="preserve"> kan worden aangemerkt als de bronstaat van een pensioen of andere soortgelijke </w:t>
      </w:r>
      <w:proofErr w:type="spellStart"/>
      <w:r w:rsidRPr="00A805F5">
        <w:rPr>
          <w:rFonts w:cs="Arial"/>
          <w:szCs w:val="20"/>
          <w:lang w:val="nl-NL"/>
        </w:rPr>
        <w:t>oudedagsbeloning</w:t>
      </w:r>
      <w:proofErr w:type="spellEnd"/>
      <w:r w:rsidRPr="00A805F5">
        <w:rPr>
          <w:rFonts w:cs="Arial"/>
          <w:szCs w:val="20"/>
          <w:lang w:val="nl-NL"/>
        </w:rPr>
        <w:t xml:space="preserve"> (waaronder een </w:t>
      </w:r>
      <w:proofErr w:type="spellStart"/>
      <w:r w:rsidRPr="00A805F5" w:rsidR="003B1FF2">
        <w:rPr>
          <w:rFonts w:cs="Arial"/>
          <w:szCs w:val="20"/>
          <w:lang w:val="nl-NL"/>
        </w:rPr>
        <w:t>oudedags</w:t>
      </w:r>
      <w:r w:rsidRPr="00A805F5">
        <w:rPr>
          <w:rFonts w:cs="Arial"/>
          <w:szCs w:val="20"/>
          <w:lang w:val="nl-NL"/>
        </w:rPr>
        <w:t>lijfrente</w:t>
      </w:r>
      <w:proofErr w:type="spellEnd"/>
      <w:r w:rsidRPr="00A805F5" w:rsidR="003B1FF2">
        <w:rPr>
          <w:rFonts w:cs="Arial"/>
          <w:szCs w:val="20"/>
          <w:lang w:val="nl-NL"/>
        </w:rPr>
        <w:t>)</w:t>
      </w:r>
      <w:r w:rsidRPr="00A805F5">
        <w:rPr>
          <w:rFonts w:cs="Arial"/>
          <w:szCs w:val="20"/>
          <w:lang w:val="nl-NL"/>
        </w:rPr>
        <w:t xml:space="preserve">. De bronstaat is de verdragsluitende staat waar de opbouw van </w:t>
      </w:r>
      <w:r w:rsidR="0046156E">
        <w:rPr>
          <w:rFonts w:cs="Arial"/>
          <w:szCs w:val="20"/>
          <w:lang w:val="nl-NL"/>
        </w:rPr>
        <w:t>de</w:t>
      </w:r>
      <w:r w:rsidRPr="00A805F5" w:rsidR="0046156E">
        <w:rPr>
          <w:rFonts w:cs="Arial"/>
          <w:szCs w:val="20"/>
          <w:lang w:val="nl-NL"/>
        </w:rPr>
        <w:t xml:space="preserve"> </w:t>
      </w:r>
      <w:r w:rsidRPr="00A805F5">
        <w:rPr>
          <w:rFonts w:cs="Arial"/>
          <w:szCs w:val="20"/>
          <w:lang w:val="nl-NL"/>
        </w:rPr>
        <w:t>desbetreffende pensioen</w:t>
      </w:r>
      <w:r w:rsidRPr="00A805F5" w:rsidR="000661EC">
        <w:rPr>
          <w:rFonts w:cs="Arial"/>
          <w:szCs w:val="20"/>
          <w:lang w:val="nl-NL"/>
        </w:rPr>
        <w:t xml:space="preserve">en of </w:t>
      </w:r>
      <w:r w:rsidRPr="00A805F5">
        <w:rPr>
          <w:rFonts w:cs="Arial"/>
          <w:szCs w:val="20"/>
          <w:lang w:val="nl-NL"/>
        </w:rPr>
        <w:t xml:space="preserve">andere soortgelijke </w:t>
      </w:r>
      <w:proofErr w:type="spellStart"/>
      <w:r w:rsidRPr="00A805F5" w:rsidR="003B1FF2">
        <w:rPr>
          <w:rFonts w:cs="Arial"/>
          <w:szCs w:val="20"/>
          <w:lang w:val="nl-NL"/>
        </w:rPr>
        <w:t>oudedags</w:t>
      </w:r>
      <w:r w:rsidRPr="00A805F5">
        <w:rPr>
          <w:rFonts w:cs="Arial"/>
          <w:szCs w:val="20"/>
          <w:lang w:val="nl-NL"/>
        </w:rPr>
        <w:t>beloning</w:t>
      </w:r>
      <w:r w:rsidRPr="00A805F5" w:rsidR="000661EC">
        <w:rPr>
          <w:rFonts w:cs="Arial"/>
          <w:szCs w:val="20"/>
          <w:lang w:val="nl-NL"/>
        </w:rPr>
        <w:t>en</w:t>
      </w:r>
      <w:proofErr w:type="spellEnd"/>
      <w:r w:rsidRPr="00A805F5">
        <w:rPr>
          <w:rFonts w:cs="Arial"/>
          <w:szCs w:val="20"/>
          <w:lang w:val="nl-NL"/>
        </w:rPr>
        <w:t xml:space="preserve"> </w:t>
      </w:r>
      <w:r w:rsidRPr="00A805F5" w:rsidR="003B1FF2">
        <w:rPr>
          <w:rFonts w:cs="Arial"/>
          <w:szCs w:val="20"/>
          <w:lang w:val="nl-NL"/>
        </w:rPr>
        <w:t xml:space="preserve">in aanmerking </w:t>
      </w:r>
      <w:r w:rsidRPr="00A805F5" w:rsidR="000661EC">
        <w:rPr>
          <w:rFonts w:cs="Arial"/>
          <w:szCs w:val="20"/>
          <w:lang w:val="nl-NL"/>
        </w:rPr>
        <w:t>zijn</w:t>
      </w:r>
      <w:r w:rsidRPr="00A805F5">
        <w:rPr>
          <w:rFonts w:cs="Arial"/>
          <w:szCs w:val="20"/>
          <w:lang w:val="nl-NL"/>
        </w:rPr>
        <w:t xml:space="preserve"> gekomen voor fiscale faciliteiten, dat wil zeggen </w:t>
      </w:r>
      <w:r w:rsidRPr="00A805F5" w:rsidR="00660512">
        <w:rPr>
          <w:rFonts w:cs="Arial"/>
          <w:szCs w:val="20"/>
          <w:lang w:val="nl-NL"/>
        </w:rPr>
        <w:t xml:space="preserve">een </w:t>
      </w:r>
      <w:r w:rsidRPr="00A805F5">
        <w:rPr>
          <w:rFonts w:cs="Arial"/>
          <w:szCs w:val="20"/>
          <w:lang w:val="nl-NL"/>
        </w:rPr>
        <w:t>aftrek</w:t>
      </w:r>
      <w:r w:rsidRPr="00A805F5" w:rsidR="00E7283F">
        <w:rPr>
          <w:rFonts w:cs="Arial"/>
          <w:szCs w:val="20"/>
          <w:lang w:val="nl-NL"/>
        </w:rPr>
        <w:t xml:space="preserve"> voor door de </w:t>
      </w:r>
      <w:r w:rsidRPr="00A805F5" w:rsidR="00A44C35">
        <w:rPr>
          <w:rFonts w:cs="Arial"/>
          <w:szCs w:val="20"/>
          <w:lang w:val="nl-NL"/>
        </w:rPr>
        <w:t>belastingplichtige</w:t>
      </w:r>
      <w:r w:rsidRPr="00A805F5" w:rsidR="00E7283F">
        <w:rPr>
          <w:rFonts w:cs="Arial"/>
          <w:szCs w:val="20"/>
          <w:lang w:val="nl-NL"/>
        </w:rPr>
        <w:t xml:space="preserve"> betaalde premie, </w:t>
      </w:r>
      <w:r w:rsidRPr="00A805F5" w:rsidR="00660512">
        <w:rPr>
          <w:rFonts w:cs="Arial"/>
          <w:szCs w:val="20"/>
          <w:lang w:val="nl-NL"/>
        </w:rPr>
        <w:t xml:space="preserve">het </w:t>
      </w:r>
      <w:r w:rsidRPr="00A805F5" w:rsidR="003B1FF2">
        <w:rPr>
          <w:rFonts w:cs="Arial"/>
          <w:szCs w:val="20"/>
          <w:lang w:val="nl-NL"/>
        </w:rPr>
        <w:t xml:space="preserve">niet belasten van </w:t>
      </w:r>
      <w:r w:rsidRPr="00A805F5" w:rsidR="00E7283F">
        <w:rPr>
          <w:rFonts w:cs="Arial"/>
          <w:szCs w:val="20"/>
          <w:lang w:val="nl-NL"/>
        </w:rPr>
        <w:t xml:space="preserve"> </w:t>
      </w:r>
      <w:r w:rsidRPr="00A805F5" w:rsidR="003B1FF2">
        <w:rPr>
          <w:rFonts w:cs="Arial"/>
          <w:szCs w:val="20"/>
          <w:lang w:val="nl-NL"/>
        </w:rPr>
        <w:t>de</w:t>
      </w:r>
      <w:r w:rsidRPr="00A805F5" w:rsidR="00E7283F">
        <w:rPr>
          <w:rFonts w:cs="Arial"/>
          <w:szCs w:val="20"/>
          <w:lang w:val="nl-NL"/>
        </w:rPr>
        <w:t xml:space="preserve"> door </w:t>
      </w:r>
      <w:r w:rsidRPr="00A805F5" w:rsidR="00A44C35">
        <w:rPr>
          <w:rFonts w:cs="Arial"/>
          <w:szCs w:val="20"/>
          <w:lang w:val="nl-NL"/>
        </w:rPr>
        <w:t>zijn</w:t>
      </w:r>
      <w:r w:rsidRPr="00A805F5" w:rsidR="00E7283F">
        <w:rPr>
          <w:rFonts w:cs="Arial"/>
          <w:szCs w:val="20"/>
          <w:lang w:val="nl-NL"/>
        </w:rPr>
        <w:t xml:space="preserve"> werkgever betaalde premie</w:t>
      </w:r>
      <w:r w:rsidRPr="00A805F5">
        <w:rPr>
          <w:rFonts w:cs="Arial"/>
          <w:szCs w:val="20"/>
          <w:lang w:val="nl-NL"/>
        </w:rPr>
        <w:t xml:space="preserve"> of een vrijstelling voor </w:t>
      </w:r>
      <w:r w:rsidRPr="00A805F5" w:rsidR="00E7283F">
        <w:rPr>
          <w:rFonts w:cs="Arial"/>
          <w:szCs w:val="20"/>
          <w:lang w:val="nl-NL"/>
        </w:rPr>
        <w:t xml:space="preserve">toegekende </w:t>
      </w:r>
      <w:r w:rsidRPr="00A805F5">
        <w:rPr>
          <w:rFonts w:cs="Arial"/>
          <w:szCs w:val="20"/>
          <w:lang w:val="nl-NL"/>
        </w:rPr>
        <w:t xml:space="preserve">pensioenaanspraken. </w:t>
      </w:r>
    </w:p>
    <w:p w:rsidRPr="00A805F5" w:rsidR="00FF58D2" w:rsidP="00FF58D2" w:rsidRDefault="00FF58D2" w14:paraId="21CF45F5" w14:textId="005A9DE8">
      <w:pPr>
        <w:rPr>
          <w:rFonts w:cs="Arial"/>
          <w:szCs w:val="20"/>
          <w:lang w:val="nl-NL"/>
        </w:rPr>
      </w:pPr>
      <w:r w:rsidRPr="00A805F5">
        <w:rPr>
          <w:rFonts w:cs="Arial"/>
          <w:szCs w:val="20"/>
          <w:lang w:val="nl-NL"/>
        </w:rPr>
        <w:t xml:space="preserve">Het vierde lid bevestigt </w:t>
      </w:r>
      <w:r w:rsidRPr="00A805F5" w:rsidR="000C312C">
        <w:rPr>
          <w:rFonts w:cs="Arial"/>
          <w:szCs w:val="20"/>
          <w:lang w:val="nl-NL"/>
        </w:rPr>
        <w:t>uitdrukkelijk</w:t>
      </w:r>
      <w:r w:rsidRPr="00A805F5">
        <w:rPr>
          <w:rFonts w:cs="Arial"/>
          <w:szCs w:val="20"/>
          <w:lang w:val="nl-NL"/>
        </w:rPr>
        <w:t xml:space="preserve"> dat ook afkoopsommen van pensioenen en andere soortgelijke </w:t>
      </w:r>
      <w:proofErr w:type="spellStart"/>
      <w:r w:rsidRPr="00A805F5">
        <w:rPr>
          <w:rFonts w:cs="Arial"/>
          <w:szCs w:val="20"/>
          <w:lang w:val="nl-NL"/>
        </w:rPr>
        <w:t>oudedagsbeloningen</w:t>
      </w:r>
      <w:proofErr w:type="spellEnd"/>
      <w:r w:rsidRPr="00A805F5">
        <w:rPr>
          <w:rFonts w:cs="Arial"/>
          <w:szCs w:val="20"/>
          <w:lang w:val="nl-NL"/>
        </w:rPr>
        <w:t xml:space="preserve"> </w:t>
      </w:r>
      <w:r w:rsidRPr="00A805F5" w:rsidR="000661EC">
        <w:rPr>
          <w:rFonts w:cs="Arial"/>
          <w:szCs w:val="20"/>
          <w:lang w:val="nl-NL"/>
        </w:rPr>
        <w:t xml:space="preserve">(waaronder </w:t>
      </w:r>
      <w:proofErr w:type="spellStart"/>
      <w:r w:rsidRPr="00A805F5" w:rsidR="000661EC">
        <w:rPr>
          <w:rFonts w:cs="Arial"/>
          <w:szCs w:val="20"/>
          <w:lang w:val="nl-NL"/>
        </w:rPr>
        <w:t>ouderdagslijfrenten</w:t>
      </w:r>
      <w:proofErr w:type="spellEnd"/>
      <w:r w:rsidRPr="00A805F5" w:rsidR="000661EC">
        <w:rPr>
          <w:rFonts w:cs="Arial"/>
          <w:szCs w:val="20"/>
          <w:lang w:val="nl-NL"/>
        </w:rPr>
        <w:t xml:space="preserve">) in de bronstaat </w:t>
      </w:r>
      <w:r w:rsidRPr="00A805F5">
        <w:rPr>
          <w:rFonts w:cs="Arial"/>
          <w:szCs w:val="20"/>
          <w:lang w:val="nl-NL"/>
        </w:rPr>
        <w:t xml:space="preserve">mogen worden belast. </w:t>
      </w:r>
    </w:p>
    <w:p w:rsidRPr="00A805F5" w:rsidR="00B5013D" w:rsidP="00FF58D2" w:rsidRDefault="00B5013D" w14:paraId="17DE561C" w14:textId="5A974F0C">
      <w:pPr>
        <w:rPr>
          <w:rFonts w:cs="Arial"/>
          <w:szCs w:val="20"/>
          <w:lang w:val="nl-NL"/>
        </w:rPr>
      </w:pPr>
      <w:r w:rsidRPr="00A805F5">
        <w:rPr>
          <w:rFonts w:cs="Arial"/>
          <w:szCs w:val="20"/>
          <w:lang w:val="nl-NL"/>
        </w:rPr>
        <w:t xml:space="preserve">Het vijfde lid bevat een definitie van de uitdrukking </w:t>
      </w:r>
      <w:r w:rsidR="00BD00F9">
        <w:rPr>
          <w:rFonts w:cs="Arial"/>
          <w:szCs w:val="20"/>
          <w:lang w:val="nl-NL"/>
        </w:rPr>
        <w:t>‘</w:t>
      </w:r>
      <w:proofErr w:type="spellStart"/>
      <w:r w:rsidRPr="00A805F5">
        <w:rPr>
          <w:rFonts w:cs="Arial"/>
          <w:szCs w:val="20"/>
          <w:lang w:val="nl-NL"/>
        </w:rPr>
        <w:t>oudedagslijfrente</w:t>
      </w:r>
      <w:proofErr w:type="spellEnd"/>
      <w:r w:rsidR="00BD00F9">
        <w:rPr>
          <w:rFonts w:cs="Arial"/>
          <w:szCs w:val="20"/>
          <w:lang w:val="nl-NL"/>
        </w:rPr>
        <w:t>’</w:t>
      </w:r>
      <w:r w:rsidRPr="00A805F5" w:rsidR="00660512">
        <w:rPr>
          <w:rFonts w:cs="Arial"/>
          <w:szCs w:val="20"/>
          <w:lang w:val="nl-NL"/>
        </w:rPr>
        <w:t xml:space="preserve">, </w:t>
      </w:r>
      <w:r w:rsidRPr="00A805F5">
        <w:rPr>
          <w:rFonts w:cs="Arial"/>
          <w:szCs w:val="20"/>
          <w:lang w:val="nl-NL"/>
        </w:rPr>
        <w:t xml:space="preserve">waarbij expliciet is verduidelijkt dat hieronder ook spaarregelingen voor de </w:t>
      </w:r>
      <w:proofErr w:type="spellStart"/>
      <w:r w:rsidRPr="00A805F5">
        <w:rPr>
          <w:rFonts w:cs="Arial"/>
          <w:szCs w:val="20"/>
          <w:lang w:val="nl-NL"/>
        </w:rPr>
        <w:t>oudedag</w:t>
      </w:r>
      <w:proofErr w:type="spellEnd"/>
      <w:r w:rsidRPr="00A805F5">
        <w:rPr>
          <w:rFonts w:cs="Arial"/>
          <w:szCs w:val="20"/>
          <w:lang w:val="nl-NL"/>
        </w:rPr>
        <w:t xml:space="preserve"> </w:t>
      </w:r>
      <w:r w:rsidRPr="00A805F5" w:rsidR="00660512">
        <w:rPr>
          <w:rFonts w:cs="Arial"/>
          <w:szCs w:val="20"/>
          <w:lang w:val="nl-NL"/>
        </w:rPr>
        <w:t xml:space="preserve">kunnen </w:t>
      </w:r>
      <w:r w:rsidRPr="00A805F5">
        <w:rPr>
          <w:rFonts w:cs="Arial"/>
          <w:szCs w:val="20"/>
          <w:lang w:val="nl-NL"/>
        </w:rPr>
        <w:t xml:space="preserve">worden verstaan. </w:t>
      </w:r>
    </w:p>
    <w:p w:rsidRPr="00A805F5" w:rsidR="000E5C51" w:rsidP="00A862DF" w:rsidRDefault="000E5C51" w14:paraId="06FBB7CE" w14:textId="4263690F">
      <w:pPr>
        <w:ind w:firstLine="720"/>
        <w:rPr>
          <w:rFonts w:cs="Arial"/>
          <w:szCs w:val="20"/>
          <w:lang w:val="nl-NL"/>
        </w:rPr>
      </w:pPr>
      <w:r w:rsidRPr="00A805F5">
        <w:rPr>
          <w:rFonts w:cs="Arial"/>
          <w:szCs w:val="20"/>
          <w:lang w:val="nl-NL"/>
        </w:rPr>
        <w:t xml:space="preserve">Op voorstel van Nederland is </w:t>
      </w:r>
      <w:r w:rsidR="00BD00F9">
        <w:rPr>
          <w:rFonts w:cs="Arial"/>
          <w:szCs w:val="20"/>
          <w:lang w:val="nl-NL"/>
        </w:rPr>
        <w:t>het</w:t>
      </w:r>
      <w:r w:rsidRPr="00A805F5" w:rsidR="00BD00F9">
        <w:rPr>
          <w:rFonts w:cs="Arial"/>
          <w:szCs w:val="20"/>
          <w:lang w:val="nl-NL"/>
        </w:rPr>
        <w:t xml:space="preserve"> </w:t>
      </w:r>
      <w:r w:rsidRPr="00A805F5">
        <w:rPr>
          <w:rFonts w:cs="Arial"/>
          <w:szCs w:val="20"/>
          <w:lang w:val="nl-NL"/>
        </w:rPr>
        <w:t>zesde lid opgenomen</w:t>
      </w:r>
      <w:r w:rsidRPr="00A805F5" w:rsidR="00E7283F">
        <w:rPr>
          <w:rFonts w:cs="Arial"/>
          <w:szCs w:val="20"/>
          <w:lang w:val="nl-NL"/>
        </w:rPr>
        <w:t>.</w:t>
      </w:r>
      <w:r w:rsidRPr="00A805F5">
        <w:rPr>
          <w:rFonts w:cs="Arial"/>
          <w:szCs w:val="20"/>
          <w:lang w:val="nl-NL"/>
        </w:rPr>
        <w:t xml:space="preserve"> </w:t>
      </w:r>
      <w:r w:rsidRPr="00A805F5" w:rsidR="00E7283F">
        <w:rPr>
          <w:rFonts w:cs="Arial"/>
          <w:szCs w:val="20"/>
          <w:lang w:val="nl-NL"/>
        </w:rPr>
        <w:t>Deze bepaling is primair opgenomen om een voortgezette pensioenopbouw mogelijk te maken voor werknemers die in concernverband gedurende enkele jaren naar het buitenland worden uitgezonden (‘</w:t>
      </w:r>
      <w:proofErr w:type="spellStart"/>
      <w:r w:rsidRPr="00A805F5" w:rsidR="00E7283F">
        <w:rPr>
          <w:rFonts w:cs="Arial"/>
          <w:i/>
          <w:szCs w:val="20"/>
          <w:lang w:val="nl-NL"/>
        </w:rPr>
        <w:t>expatriates</w:t>
      </w:r>
      <w:proofErr w:type="spellEnd"/>
      <w:r w:rsidRPr="00A805F5" w:rsidR="00E7283F">
        <w:rPr>
          <w:rFonts w:cs="Arial"/>
          <w:szCs w:val="20"/>
          <w:lang w:val="nl-NL"/>
        </w:rPr>
        <w:t xml:space="preserve">’ of ‘expats’). Een voortgezette pensioenopbouw tijdens de periode van uitzending voorkomt voor de werknemer </w:t>
      </w:r>
      <w:r w:rsidRPr="00A805F5" w:rsidR="00E7283F">
        <w:rPr>
          <w:rFonts w:cs="Arial"/>
          <w:szCs w:val="20"/>
          <w:lang w:val="nl-NL"/>
        </w:rPr>
        <w:lastRenderedPageBreak/>
        <w:t>nadelige pensioenbreuken.</w:t>
      </w:r>
      <w:r w:rsidRPr="00A805F5">
        <w:rPr>
          <w:rFonts w:cs="Arial"/>
          <w:szCs w:val="20"/>
          <w:lang w:val="nl-NL"/>
        </w:rPr>
        <w:t xml:space="preserve"> </w:t>
      </w:r>
      <w:r w:rsidRPr="00A805F5" w:rsidR="009C2595">
        <w:rPr>
          <w:rFonts w:cs="Arial"/>
          <w:szCs w:val="20"/>
          <w:lang w:val="nl-NL"/>
        </w:rPr>
        <w:t xml:space="preserve">De bepaling </w:t>
      </w:r>
      <w:r w:rsidRPr="00A805F5">
        <w:rPr>
          <w:rFonts w:cs="Arial"/>
          <w:szCs w:val="20"/>
          <w:lang w:val="nl-NL"/>
        </w:rPr>
        <w:t xml:space="preserve">is </w:t>
      </w:r>
      <w:r w:rsidRPr="00A805F5" w:rsidR="00DD1844">
        <w:rPr>
          <w:rFonts w:cs="Arial"/>
          <w:szCs w:val="20"/>
          <w:lang w:val="nl-NL"/>
        </w:rPr>
        <w:t xml:space="preserve">bedoeld om </w:t>
      </w:r>
      <w:r w:rsidRPr="00A805F5">
        <w:rPr>
          <w:rFonts w:cs="Arial"/>
          <w:szCs w:val="20"/>
          <w:lang w:val="nl-NL"/>
        </w:rPr>
        <w:t xml:space="preserve">pensioenpremies </w:t>
      </w:r>
      <w:r w:rsidRPr="006E06D2" w:rsidR="00D43149">
        <w:rPr>
          <w:rFonts w:cs="Arial"/>
          <w:szCs w:val="20"/>
          <w:lang w:val="nl-NL"/>
        </w:rPr>
        <w:t xml:space="preserve">die </w:t>
      </w:r>
      <w:r w:rsidR="003F5AC0">
        <w:rPr>
          <w:rFonts w:cs="Arial"/>
          <w:szCs w:val="20"/>
          <w:lang w:val="nl-NL"/>
        </w:rPr>
        <w:t xml:space="preserve">een belastingplichtige betaalt </w:t>
      </w:r>
      <w:r w:rsidRPr="006E06D2" w:rsidR="00D43149">
        <w:rPr>
          <w:rFonts w:cs="Arial"/>
          <w:szCs w:val="20"/>
          <w:lang w:val="nl-NL"/>
        </w:rPr>
        <w:t xml:space="preserve">vanuit de werkstaat (waar </w:t>
      </w:r>
      <w:r w:rsidR="003F5AC0">
        <w:rPr>
          <w:rFonts w:cs="Arial"/>
          <w:szCs w:val="20"/>
          <w:lang w:val="nl-NL"/>
        </w:rPr>
        <w:t xml:space="preserve">hij </w:t>
      </w:r>
      <w:r w:rsidRPr="006E06D2" w:rsidR="00D43149">
        <w:rPr>
          <w:rFonts w:cs="Arial"/>
          <w:szCs w:val="20"/>
          <w:lang w:val="nl-NL"/>
        </w:rPr>
        <w:t xml:space="preserve">een dienstbetrekking </w:t>
      </w:r>
      <w:r w:rsidR="003F5AC0">
        <w:rPr>
          <w:rFonts w:cs="Arial"/>
          <w:szCs w:val="20"/>
          <w:lang w:val="nl-NL"/>
        </w:rPr>
        <w:t>uit</w:t>
      </w:r>
      <w:r w:rsidRPr="006E06D2" w:rsidR="00D43149">
        <w:rPr>
          <w:rFonts w:cs="Arial"/>
          <w:szCs w:val="20"/>
          <w:lang w:val="nl-NL"/>
        </w:rPr>
        <w:t>oefen</w:t>
      </w:r>
      <w:r w:rsidR="003F5AC0">
        <w:rPr>
          <w:rFonts w:cs="Arial"/>
          <w:szCs w:val="20"/>
          <w:lang w:val="nl-NL"/>
        </w:rPr>
        <w:t>t</w:t>
      </w:r>
      <w:r w:rsidRPr="006E06D2" w:rsidR="00D43149">
        <w:rPr>
          <w:rFonts w:cs="Arial"/>
          <w:szCs w:val="20"/>
          <w:lang w:val="nl-NL"/>
        </w:rPr>
        <w:t xml:space="preserve"> of waar als </w:t>
      </w:r>
      <w:r w:rsidR="003F5AC0">
        <w:rPr>
          <w:rFonts w:cs="Arial"/>
          <w:szCs w:val="20"/>
          <w:lang w:val="nl-NL"/>
        </w:rPr>
        <w:t xml:space="preserve">hij als </w:t>
      </w:r>
      <w:r w:rsidRPr="006E06D2" w:rsidR="00D43149">
        <w:rPr>
          <w:rFonts w:cs="Arial"/>
          <w:szCs w:val="20"/>
          <w:lang w:val="nl-NL"/>
        </w:rPr>
        <w:t xml:space="preserve">zelfstandige </w:t>
      </w:r>
      <w:r w:rsidR="003F5AC0">
        <w:rPr>
          <w:rFonts w:cs="Arial"/>
          <w:szCs w:val="20"/>
          <w:lang w:val="nl-NL"/>
        </w:rPr>
        <w:t>werkt</w:t>
      </w:r>
      <w:r w:rsidRPr="006E06D2" w:rsidR="00D43149">
        <w:rPr>
          <w:rFonts w:cs="Arial"/>
          <w:szCs w:val="20"/>
          <w:lang w:val="nl-NL"/>
        </w:rPr>
        <w:t xml:space="preserve">) </w:t>
      </w:r>
      <w:r w:rsidRPr="00A805F5" w:rsidR="00C00866">
        <w:rPr>
          <w:rFonts w:cs="Arial"/>
          <w:szCs w:val="20"/>
          <w:lang w:val="nl-NL"/>
        </w:rPr>
        <w:t xml:space="preserve">aan een pensioenfonds dat </w:t>
      </w:r>
      <w:r w:rsidRPr="00A805F5" w:rsidR="00DD1844">
        <w:rPr>
          <w:rFonts w:cs="Arial"/>
          <w:szCs w:val="20"/>
          <w:lang w:val="nl-NL"/>
        </w:rPr>
        <w:t xml:space="preserve">erkend </w:t>
      </w:r>
      <w:r w:rsidR="005110D5">
        <w:rPr>
          <w:rFonts w:cs="Arial"/>
          <w:szCs w:val="20"/>
          <w:lang w:val="nl-NL"/>
        </w:rPr>
        <w:t xml:space="preserve">is </w:t>
      </w:r>
      <w:r w:rsidRPr="00A805F5" w:rsidR="00C00866">
        <w:rPr>
          <w:rFonts w:cs="Arial"/>
          <w:szCs w:val="20"/>
          <w:lang w:val="nl-NL"/>
        </w:rPr>
        <w:t xml:space="preserve">voor </w:t>
      </w:r>
      <w:r w:rsidR="00D3357E">
        <w:rPr>
          <w:rFonts w:cs="Arial"/>
          <w:szCs w:val="20"/>
          <w:lang w:val="nl-NL"/>
        </w:rPr>
        <w:t>belastingdoeleinden in</w:t>
      </w:r>
      <w:r w:rsidR="005110D5">
        <w:rPr>
          <w:rFonts w:cs="Arial"/>
          <w:szCs w:val="20"/>
          <w:lang w:val="nl-NL"/>
        </w:rPr>
        <w:t xml:space="preserve"> d</w:t>
      </w:r>
      <w:r w:rsidRPr="00A805F5" w:rsidR="00DD1844">
        <w:rPr>
          <w:rFonts w:cs="Arial"/>
          <w:szCs w:val="20"/>
          <w:lang w:val="nl-NL"/>
        </w:rPr>
        <w:t>e andere verdragsluitende staat</w:t>
      </w:r>
      <w:r w:rsidR="00573073">
        <w:rPr>
          <w:rFonts w:cs="Arial"/>
          <w:szCs w:val="20"/>
          <w:lang w:val="nl-NL"/>
        </w:rPr>
        <w:t>,</w:t>
      </w:r>
      <w:r w:rsidRPr="00A805F5" w:rsidR="00DD1844">
        <w:rPr>
          <w:rFonts w:cs="Arial"/>
          <w:szCs w:val="20"/>
          <w:lang w:val="nl-NL"/>
        </w:rPr>
        <w:t xml:space="preserve"> </w:t>
      </w:r>
      <w:r w:rsidRPr="006E06D2" w:rsidR="00D43149">
        <w:rPr>
          <w:rFonts w:cs="Arial"/>
          <w:szCs w:val="20"/>
          <w:lang w:val="nl-NL"/>
        </w:rPr>
        <w:t xml:space="preserve">fiscaal gelijk te behandelen </w:t>
      </w:r>
      <w:r w:rsidR="00573073">
        <w:rPr>
          <w:rFonts w:cs="Arial"/>
          <w:szCs w:val="20"/>
          <w:lang w:val="nl-NL"/>
        </w:rPr>
        <w:t>met</w:t>
      </w:r>
      <w:r w:rsidRPr="006E06D2" w:rsidR="00D43149">
        <w:rPr>
          <w:rFonts w:cs="Arial"/>
          <w:szCs w:val="20"/>
          <w:lang w:val="nl-NL"/>
        </w:rPr>
        <w:t xml:space="preserve"> pensioenpremies die </w:t>
      </w:r>
      <w:r w:rsidRPr="00A805F5" w:rsidR="006E06D2">
        <w:rPr>
          <w:rFonts w:cs="Arial"/>
          <w:szCs w:val="20"/>
          <w:lang w:val="nl-NL"/>
        </w:rPr>
        <w:t xml:space="preserve">zouden </w:t>
      </w:r>
      <w:r w:rsidRPr="006E06D2" w:rsidR="00D43149">
        <w:rPr>
          <w:rFonts w:cs="Arial"/>
          <w:szCs w:val="20"/>
          <w:lang w:val="nl-NL"/>
        </w:rPr>
        <w:t xml:space="preserve">worden betaald aan een pensioenfonds dat fiscaal is erkend in de werkstaat. </w:t>
      </w:r>
      <w:r w:rsidRPr="00A805F5" w:rsidR="006E06D2">
        <w:rPr>
          <w:rFonts w:cs="Arial"/>
          <w:szCs w:val="20"/>
          <w:lang w:val="nl-NL"/>
        </w:rPr>
        <w:t>De voorwaarden hierbij zijn onder meer dat de belastingp</w:t>
      </w:r>
      <w:r w:rsidR="00A27894">
        <w:rPr>
          <w:rFonts w:cs="Arial"/>
          <w:szCs w:val="20"/>
          <w:lang w:val="nl-NL"/>
        </w:rPr>
        <w:t>lichti</w:t>
      </w:r>
      <w:r w:rsidRPr="00A805F5" w:rsidR="006E06D2">
        <w:rPr>
          <w:rFonts w:cs="Arial"/>
          <w:szCs w:val="20"/>
          <w:lang w:val="nl-NL"/>
        </w:rPr>
        <w:t>ge ook al</w:t>
      </w:r>
      <w:r w:rsidRPr="00A805F5">
        <w:rPr>
          <w:rFonts w:cs="Arial"/>
          <w:szCs w:val="20"/>
          <w:lang w:val="nl-NL"/>
        </w:rPr>
        <w:t xml:space="preserve"> </w:t>
      </w:r>
      <w:r w:rsidRPr="00A805F5" w:rsidR="00DD1844">
        <w:rPr>
          <w:rFonts w:cs="Arial"/>
          <w:szCs w:val="20"/>
          <w:lang w:val="nl-NL"/>
        </w:rPr>
        <w:t xml:space="preserve">aan </w:t>
      </w:r>
      <w:r w:rsidRPr="00A805F5" w:rsidR="006E06D2">
        <w:rPr>
          <w:rFonts w:cs="Arial"/>
          <w:szCs w:val="20"/>
          <w:lang w:val="nl-NL"/>
        </w:rPr>
        <w:t>he</w:t>
      </w:r>
      <w:r w:rsidRPr="00A805F5" w:rsidR="00DD1844">
        <w:rPr>
          <w:rFonts w:cs="Arial"/>
          <w:szCs w:val="20"/>
          <w:lang w:val="nl-NL"/>
        </w:rPr>
        <w:t xml:space="preserve">t </w:t>
      </w:r>
      <w:r w:rsidRPr="00A805F5" w:rsidR="006E06D2">
        <w:rPr>
          <w:rFonts w:cs="Arial"/>
          <w:szCs w:val="20"/>
          <w:lang w:val="nl-NL"/>
        </w:rPr>
        <w:t xml:space="preserve">betreffende </w:t>
      </w:r>
      <w:r w:rsidRPr="00A805F5" w:rsidR="00DD1844">
        <w:rPr>
          <w:rFonts w:cs="Arial"/>
          <w:szCs w:val="20"/>
          <w:lang w:val="nl-NL"/>
        </w:rPr>
        <w:t xml:space="preserve">pensioenfonds </w:t>
      </w:r>
      <w:r w:rsidRPr="00A805F5">
        <w:rPr>
          <w:rFonts w:cs="Arial"/>
          <w:szCs w:val="20"/>
          <w:lang w:val="nl-NL"/>
        </w:rPr>
        <w:t xml:space="preserve">bijdroeg voordat hij inwoner </w:t>
      </w:r>
      <w:r w:rsidRPr="00A805F5" w:rsidR="00DD1844">
        <w:rPr>
          <w:rFonts w:cs="Arial"/>
          <w:szCs w:val="20"/>
          <w:lang w:val="nl-NL"/>
        </w:rPr>
        <w:t xml:space="preserve">was </w:t>
      </w:r>
      <w:r w:rsidRPr="00A805F5" w:rsidR="000471E1">
        <w:rPr>
          <w:rFonts w:cs="Arial"/>
          <w:szCs w:val="20"/>
          <w:lang w:val="nl-NL"/>
        </w:rPr>
        <w:t xml:space="preserve">van </w:t>
      </w:r>
      <w:r w:rsidRPr="00A805F5" w:rsidR="00DD1844">
        <w:rPr>
          <w:rFonts w:cs="Arial"/>
          <w:szCs w:val="20"/>
          <w:lang w:val="nl-NL"/>
        </w:rPr>
        <w:t>of aanwezig was in de werkstaat</w:t>
      </w:r>
      <w:r w:rsidRPr="00A805F5" w:rsidR="006E06D2">
        <w:rPr>
          <w:rFonts w:cs="Arial"/>
          <w:szCs w:val="20"/>
          <w:lang w:val="nl-NL"/>
        </w:rPr>
        <w:t>. Ook wordt geëist dat</w:t>
      </w:r>
      <w:r w:rsidRPr="00A805F5" w:rsidR="00DD1844">
        <w:rPr>
          <w:rFonts w:cs="Arial"/>
          <w:szCs w:val="20"/>
          <w:lang w:val="nl-NL"/>
        </w:rPr>
        <w:t xml:space="preserve"> de bevoegde autoriteit van de werkstaat </w:t>
      </w:r>
      <w:r w:rsidRPr="00A805F5" w:rsidR="000471E1">
        <w:rPr>
          <w:rFonts w:cs="Arial"/>
          <w:szCs w:val="20"/>
          <w:lang w:val="nl-NL"/>
        </w:rPr>
        <w:t xml:space="preserve">ermee </w:t>
      </w:r>
      <w:r w:rsidRPr="00A805F5" w:rsidR="002E1419">
        <w:rPr>
          <w:rFonts w:cs="Arial"/>
          <w:szCs w:val="20"/>
          <w:lang w:val="nl-NL"/>
        </w:rPr>
        <w:t>instem</w:t>
      </w:r>
      <w:r w:rsidR="002E1419">
        <w:rPr>
          <w:rFonts w:cs="Arial"/>
          <w:szCs w:val="20"/>
          <w:lang w:val="nl-NL"/>
        </w:rPr>
        <w:t>t</w:t>
      </w:r>
      <w:r w:rsidRPr="00A805F5" w:rsidR="002E1419">
        <w:rPr>
          <w:rFonts w:cs="Arial"/>
          <w:szCs w:val="20"/>
          <w:lang w:val="nl-NL"/>
        </w:rPr>
        <w:t xml:space="preserve"> </w:t>
      </w:r>
      <w:r w:rsidRPr="00A805F5" w:rsidR="00DD1844">
        <w:rPr>
          <w:rFonts w:cs="Arial"/>
          <w:szCs w:val="20"/>
          <w:lang w:val="nl-NL"/>
        </w:rPr>
        <w:t xml:space="preserve">dat het pensioenfonds in het algemeen overeenkomt met een pensioenfonds dat in de werkstaat fiscaal wordt erkend. </w:t>
      </w:r>
      <w:r w:rsidRPr="00A805F5">
        <w:rPr>
          <w:rFonts w:cs="Arial"/>
          <w:szCs w:val="20"/>
          <w:lang w:val="nl-NL"/>
        </w:rPr>
        <w:t>De gelijke fiscale behandeling van pensioenpremies houdt in dat dezelfde fiscale faciliteiten worden verleend als wanneer deze pensioenpremies waren betaald aan een pensioenfonds in de w</w:t>
      </w:r>
      <w:r w:rsidRPr="00A805F5" w:rsidR="00DD1844">
        <w:rPr>
          <w:rFonts w:cs="Arial"/>
          <w:szCs w:val="20"/>
          <w:lang w:val="nl-NL"/>
        </w:rPr>
        <w:t>erkstaat</w:t>
      </w:r>
      <w:r w:rsidRPr="00A805F5">
        <w:rPr>
          <w:rFonts w:cs="Arial"/>
          <w:szCs w:val="20"/>
          <w:lang w:val="nl-NL"/>
        </w:rPr>
        <w:t xml:space="preserve"> van de premiebetaler. </w:t>
      </w:r>
      <w:r w:rsidRPr="00A805F5" w:rsidR="000471E1">
        <w:rPr>
          <w:rFonts w:cs="Arial"/>
          <w:szCs w:val="20"/>
          <w:lang w:val="nl-NL"/>
        </w:rPr>
        <w:t xml:space="preserve">Op verzoek van Chili is </w:t>
      </w:r>
      <w:r w:rsidRPr="00A805F5" w:rsidR="00FE6385">
        <w:rPr>
          <w:rFonts w:cs="Arial"/>
          <w:szCs w:val="20"/>
          <w:lang w:val="nl-NL"/>
        </w:rPr>
        <w:t xml:space="preserve">in </w:t>
      </w:r>
      <w:r w:rsidRPr="00A805F5" w:rsidR="000471E1">
        <w:rPr>
          <w:rFonts w:cs="Arial"/>
          <w:szCs w:val="20"/>
          <w:lang w:val="nl-NL"/>
        </w:rPr>
        <w:t xml:space="preserve">de bepaling </w:t>
      </w:r>
      <w:r w:rsidR="006E06D2">
        <w:rPr>
          <w:rFonts w:cs="Arial"/>
          <w:szCs w:val="20"/>
          <w:lang w:val="nl-NL"/>
        </w:rPr>
        <w:t xml:space="preserve">verder </w:t>
      </w:r>
      <w:r w:rsidR="002E1419">
        <w:rPr>
          <w:rFonts w:cs="Arial"/>
          <w:szCs w:val="20"/>
          <w:lang w:val="nl-NL"/>
        </w:rPr>
        <w:t>vastgelegd</w:t>
      </w:r>
      <w:r w:rsidRPr="00A805F5" w:rsidR="000471E1">
        <w:rPr>
          <w:rFonts w:cs="Arial"/>
          <w:szCs w:val="20"/>
          <w:lang w:val="nl-NL"/>
        </w:rPr>
        <w:t xml:space="preserve"> dat deze geldt voor een tijdvak van in totaal niet meer dan </w:t>
      </w:r>
      <w:r w:rsidR="002E1419">
        <w:rPr>
          <w:rFonts w:cs="Arial"/>
          <w:szCs w:val="20"/>
          <w:lang w:val="nl-NL"/>
        </w:rPr>
        <w:t>zestig</w:t>
      </w:r>
      <w:r w:rsidRPr="00A805F5" w:rsidR="002E1419">
        <w:rPr>
          <w:rFonts w:cs="Arial"/>
          <w:szCs w:val="20"/>
          <w:lang w:val="nl-NL"/>
        </w:rPr>
        <w:t xml:space="preserve"> </w:t>
      </w:r>
      <w:r w:rsidRPr="00A805F5" w:rsidR="000471E1">
        <w:rPr>
          <w:rFonts w:cs="Arial"/>
          <w:szCs w:val="20"/>
          <w:lang w:val="nl-NL"/>
        </w:rPr>
        <w:t>maanden (</w:t>
      </w:r>
      <w:r w:rsidR="002E1419">
        <w:rPr>
          <w:rFonts w:cs="Arial"/>
          <w:szCs w:val="20"/>
          <w:lang w:val="nl-NL"/>
        </w:rPr>
        <w:t>vijf</w:t>
      </w:r>
      <w:r w:rsidRPr="00A805F5" w:rsidR="002E1419">
        <w:rPr>
          <w:rFonts w:cs="Arial"/>
          <w:szCs w:val="20"/>
          <w:lang w:val="nl-NL"/>
        </w:rPr>
        <w:t xml:space="preserve"> </w:t>
      </w:r>
      <w:r w:rsidRPr="00A805F5" w:rsidR="000471E1">
        <w:rPr>
          <w:rFonts w:cs="Arial"/>
          <w:szCs w:val="20"/>
          <w:lang w:val="nl-NL"/>
        </w:rPr>
        <w:t xml:space="preserve">jaar). Daarbij is opgenomen dat het moet gaan om bijdragen </w:t>
      </w:r>
      <w:r w:rsidRPr="00A805F5" w:rsidR="00A862DF">
        <w:rPr>
          <w:rFonts w:cs="Arial"/>
          <w:szCs w:val="20"/>
          <w:lang w:val="nl-NL"/>
        </w:rPr>
        <w:t xml:space="preserve">in een jaar </w:t>
      </w:r>
      <w:r w:rsidRPr="00A805F5" w:rsidR="000471E1">
        <w:rPr>
          <w:rFonts w:cs="Arial"/>
          <w:szCs w:val="20"/>
          <w:lang w:val="nl-NL"/>
        </w:rPr>
        <w:t xml:space="preserve">voor diensten die zijn verricht </w:t>
      </w:r>
      <w:r w:rsidRPr="00A805F5" w:rsidR="00A862DF">
        <w:rPr>
          <w:rFonts w:cs="Arial"/>
          <w:szCs w:val="20"/>
          <w:lang w:val="nl-NL"/>
        </w:rPr>
        <w:t>in</w:t>
      </w:r>
      <w:r w:rsidRPr="00A805F5" w:rsidR="000471E1">
        <w:rPr>
          <w:rFonts w:cs="Arial"/>
          <w:szCs w:val="20"/>
          <w:lang w:val="nl-NL"/>
        </w:rPr>
        <w:t xml:space="preserve"> dat jaar. </w:t>
      </w:r>
      <w:r w:rsidRPr="00A805F5" w:rsidR="00A862DF">
        <w:rPr>
          <w:rFonts w:cs="Arial"/>
          <w:szCs w:val="20"/>
          <w:lang w:val="nl-NL"/>
        </w:rPr>
        <w:t xml:space="preserve">Ook is op verzoek van Chili expliciet tot uitdrukking gebracht dat het om pensioenpremies </w:t>
      </w:r>
      <w:r w:rsidR="009F70D0">
        <w:rPr>
          <w:rFonts w:cs="Arial"/>
          <w:szCs w:val="20"/>
          <w:lang w:val="nl-NL"/>
        </w:rPr>
        <w:t xml:space="preserve">gaat </w:t>
      </w:r>
      <w:r w:rsidRPr="00A805F5" w:rsidR="00A862DF">
        <w:rPr>
          <w:rFonts w:cs="Arial"/>
          <w:szCs w:val="20"/>
          <w:lang w:val="nl-NL"/>
        </w:rPr>
        <w:t xml:space="preserve">waaraan op </w:t>
      </w:r>
      <w:r w:rsidRPr="00A805F5" w:rsidR="00A862DF">
        <w:rPr>
          <w:rFonts w:cs="Arial"/>
          <w:i/>
          <w:szCs w:val="20"/>
          <w:lang w:val="nl-NL"/>
        </w:rPr>
        <w:t xml:space="preserve">reguliere </w:t>
      </w:r>
      <w:r w:rsidRPr="00494232" w:rsidR="00A862DF">
        <w:rPr>
          <w:rFonts w:cs="Arial"/>
          <w:i/>
          <w:szCs w:val="20"/>
          <w:lang w:val="nl-NL"/>
        </w:rPr>
        <w:t>basis</w:t>
      </w:r>
      <w:r w:rsidRPr="00494232" w:rsidR="00A862DF">
        <w:rPr>
          <w:rFonts w:cs="Arial"/>
          <w:szCs w:val="20"/>
          <w:lang w:val="nl-NL"/>
        </w:rPr>
        <w:t xml:space="preserve"> werd bijgedragen voordat de natuurlijke persoon inwoner werd van de werkstaat of daar tijdelijk verbleef. </w:t>
      </w:r>
      <w:r w:rsidRPr="00A805F5" w:rsidR="00A862DF">
        <w:rPr>
          <w:rFonts w:cs="Arial"/>
          <w:szCs w:val="20"/>
          <w:lang w:val="nl-NL"/>
        </w:rPr>
        <w:t xml:space="preserve">Onder </w:t>
      </w:r>
      <w:r w:rsidRPr="00A805F5">
        <w:rPr>
          <w:rFonts w:cs="Arial"/>
          <w:szCs w:val="20"/>
          <w:lang w:val="nl-NL"/>
        </w:rPr>
        <w:t xml:space="preserve">het begrip ‘pensioenfonds’ </w:t>
      </w:r>
      <w:r w:rsidRPr="00A805F5" w:rsidR="00A862DF">
        <w:rPr>
          <w:rFonts w:cs="Arial"/>
          <w:szCs w:val="20"/>
          <w:lang w:val="nl-NL"/>
        </w:rPr>
        <w:t xml:space="preserve">wordt ook verstaan </w:t>
      </w:r>
      <w:r w:rsidRPr="00A805F5">
        <w:rPr>
          <w:rFonts w:cs="Arial"/>
          <w:szCs w:val="20"/>
          <w:lang w:val="nl-NL"/>
        </w:rPr>
        <w:t xml:space="preserve">een pensioenregeling </w:t>
      </w:r>
      <w:r w:rsidRPr="00A805F5" w:rsidR="00A862DF">
        <w:rPr>
          <w:rFonts w:cs="Arial"/>
          <w:szCs w:val="20"/>
          <w:lang w:val="nl-NL"/>
        </w:rPr>
        <w:t>die is gecreëerd op basis van</w:t>
      </w:r>
      <w:r w:rsidRPr="00A805F5">
        <w:rPr>
          <w:rFonts w:cs="Arial"/>
          <w:szCs w:val="20"/>
          <w:lang w:val="nl-NL"/>
        </w:rPr>
        <w:t xml:space="preserve"> het socialezekerheidsstelsel. </w:t>
      </w:r>
    </w:p>
    <w:p w:rsidRPr="00A805F5" w:rsidR="009C2595" w:rsidP="00A862DF" w:rsidRDefault="00EC3108" w14:paraId="54FF1BA3" w14:textId="12A086E7">
      <w:pPr>
        <w:ind w:firstLine="720"/>
        <w:rPr>
          <w:rFonts w:cs="Arial"/>
          <w:szCs w:val="20"/>
          <w:lang w:val="nl-NL"/>
        </w:rPr>
      </w:pPr>
      <w:r w:rsidRPr="00A805F5">
        <w:rPr>
          <w:rFonts w:cs="Arial"/>
          <w:szCs w:val="20"/>
          <w:lang w:val="nl-NL"/>
        </w:rPr>
        <w:t xml:space="preserve">Het zevende lid regelt kort gezegd dat het heffingsrecht over alimentatie en andere onderhoudsuitkeringen toekomt aan de verdragsluitende staat waarvan de ontvanger inwoner is, behalve voor zover de woonstaat van de betaler </w:t>
      </w:r>
      <w:r w:rsidRPr="00A805F5" w:rsidR="00FE6385">
        <w:rPr>
          <w:rFonts w:cs="Arial"/>
          <w:szCs w:val="20"/>
          <w:lang w:val="nl-NL"/>
        </w:rPr>
        <w:t xml:space="preserve">hem </w:t>
      </w:r>
      <w:r w:rsidRPr="00A805F5" w:rsidR="00083C13">
        <w:rPr>
          <w:rFonts w:cs="Arial"/>
          <w:szCs w:val="20"/>
          <w:lang w:val="nl-NL"/>
        </w:rPr>
        <w:t xml:space="preserve">hiervoor geen </w:t>
      </w:r>
      <w:r w:rsidRPr="00A805F5" w:rsidR="00FE6385">
        <w:rPr>
          <w:rFonts w:cs="Arial"/>
          <w:szCs w:val="20"/>
          <w:lang w:val="nl-NL"/>
        </w:rPr>
        <w:t>aftrek</w:t>
      </w:r>
      <w:r w:rsidRPr="00A805F5" w:rsidR="00083C13">
        <w:rPr>
          <w:rFonts w:cs="Arial"/>
          <w:szCs w:val="20"/>
          <w:lang w:val="nl-NL"/>
        </w:rPr>
        <w:t xml:space="preserve"> verleent. In dat geval komt het heffingsrecht toe aan het woonland van de betaler.</w:t>
      </w:r>
    </w:p>
    <w:p w:rsidRPr="00A805F5" w:rsidR="00083C13" w:rsidP="00A862DF" w:rsidRDefault="00083C13" w14:paraId="7B6EC423" w14:textId="6EFF4658">
      <w:pPr>
        <w:ind w:firstLine="720"/>
        <w:rPr>
          <w:rFonts w:cs="Arial"/>
          <w:szCs w:val="20"/>
          <w:lang w:val="nl-NL"/>
        </w:rPr>
      </w:pPr>
      <w:r w:rsidRPr="00A805F5">
        <w:rPr>
          <w:rFonts w:cs="Arial"/>
          <w:szCs w:val="20"/>
          <w:lang w:val="nl-NL"/>
        </w:rPr>
        <w:t xml:space="preserve">Het achtste lid is </w:t>
      </w:r>
      <w:r w:rsidRPr="00A805F5" w:rsidR="002806FF">
        <w:rPr>
          <w:rFonts w:cs="Arial"/>
          <w:szCs w:val="20"/>
          <w:lang w:val="nl-NL"/>
        </w:rPr>
        <w:t xml:space="preserve">op verzoek van Chili opgenomen. </w:t>
      </w:r>
      <w:r w:rsidR="00D90A31">
        <w:rPr>
          <w:rFonts w:cs="Arial"/>
          <w:szCs w:val="20"/>
          <w:lang w:val="nl-NL"/>
        </w:rPr>
        <w:t xml:space="preserve">Het doel </w:t>
      </w:r>
      <w:r w:rsidRPr="00A805F5" w:rsidR="002806FF">
        <w:rPr>
          <w:rFonts w:cs="Arial"/>
          <w:szCs w:val="20"/>
          <w:lang w:val="nl-NL"/>
        </w:rPr>
        <w:t xml:space="preserve">van deze bepaling is te voorkomen dat de bronstaat de (pensioen)uitkeringen </w:t>
      </w:r>
      <w:r w:rsidR="00567E96">
        <w:rPr>
          <w:rFonts w:cs="Arial"/>
          <w:szCs w:val="20"/>
          <w:lang w:val="nl-NL"/>
        </w:rPr>
        <w:t xml:space="preserve">die deze staat op grond van </w:t>
      </w:r>
      <w:r w:rsidRPr="00A805F5" w:rsidR="002806FF">
        <w:rPr>
          <w:rFonts w:cs="Arial"/>
          <w:szCs w:val="20"/>
          <w:lang w:val="nl-NL"/>
        </w:rPr>
        <w:t xml:space="preserve">het eerste en tweede lid </w:t>
      </w:r>
      <w:r w:rsidR="00567E96">
        <w:rPr>
          <w:rFonts w:cs="Arial"/>
          <w:szCs w:val="20"/>
          <w:lang w:val="nl-NL"/>
        </w:rPr>
        <w:t>mag belasten</w:t>
      </w:r>
      <w:r w:rsidRPr="00A805F5" w:rsidR="002806FF">
        <w:rPr>
          <w:rFonts w:cs="Arial"/>
          <w:szCs w:val="20"/>
          <w:lang w:val="nl-NL"/>
        </w:rPr>
        <w:t xml:space="preserve"> aan hogere (statutaire) tarieven zou onderwerpen dan het geval zou zijn bij inwoners van de bronstaat. De bronstaat mag echter bij de berekening van het toepasselijke belastingtarief wel rekening houden met ander (belastbaar) inkomen uit de bronstaat</w:t>
      </w:r>
      <w:r w:rsidR="00FD5870">
        <w:rPr>
          <w:rFonts w:cs="Arial"/>
          <w:szCs w:val="20"/>
          <w:lang w:val="nl-NL"/>
        </w:rPr>
        <w:t xml:space="preserve"> (als dit andere inkomen bijvoorbeeld tot een hoger tarief leidt)</w:t>
      </w:r>
      <w:r w:rsidRPr="00A805F5" w:rsidR="002806FF">
        <w:rPr>
          <w:rFonts w:cs="Arial"/>
          <w:szCs w:val="20"/>
          <w:lang w:val="nl-NL"/>
        </w:rPr>
        <w:t xml:space="preserve"> en persoonlijk</w:t>
      </w:r>
      <w:r w:rsidRPr="00A805F5" w:rsidR="00FE6385">
        <w:rPr>
          <w:rFonts w:cs="Arial"/>
          <w:szCs w:val="20"/>
          <w:lang w:val="nl-NL"/>
        </w:rPr>
        <w:t xml:space="preserve">e tegemoetkomingen </w:t>
      </w:r>
      <w:r w:rsidRPr="00A805F5" w:rsidR="002806FF">
        <w:rPr>
          <w:rFonts w:cs="Arial"/>
          <w:szCs w:val="20"/>
          <w:lang w:val="nl-NL"/>
        </w:rPr>
        <w:t>of andere aftrek</w:t>
      </w:r>
      <w:r w:rsidRPr="00A805F5" w:rsidR="00FE6385">
        <w:rPr>
          <w:rFonts w:cs="Arial"/>
          <w:szCs w:val="20"/>
          <w:lang w:val="nl-NL"/>
        </w:rPr>
        <w:t>rechten</w:t>
      </w:r>
      <w:r w:rsidRPr="00A805F5" w:rsidR="002806FF">
        <w:rPr>
          <w:rFonts w:cs="Arial"/>
          <w:szCs w:val="20"/>
          <w:lang w:val="nl-NL"/>
        </w:rPr>
        <w:t xml:space="preserve"> of vrijstellingen </w:t>
      </w:r>
      <w:r w:rsidRPr="00A805F5" w:rsidR="00FE6385">
        <w:rPr>
          <w:rFonts w:cs="Arial"/>
          <w:szCs w:val="20"/>
          <w:lang w:val="nl-NL"/>
        </w:rPr>
        <w:t>weigeren</w:t>
      </w:r>
      <w:r w:rsidR="00FD5870">
        <w:rPr>
          <w:rFonts w:cs="Arial"/>
          <w:szCs w:val="20"/>
          <w:lang w:val="nl-NL"/>
        </w:rPr>
        <w:t xml:space="preserve"> (als deze bijvoorbeeld in beginsel alleen toekomen aan eigen inwoners)</w:t>
      </w:r>
      <w:r w:rsidRPr="00A805F5" w:rsidR="002806FF">
        <w:rPr>
          <w:rFonts w:cs="Arial"/>
          <w:szCs w:val="20"/>
          <w:lang w:val="nl-NL"/>
        </w:rPr>
        <w:t>. Aangezien Nederland geëmigreerde gepensioneerden niet onderwerpt aan hoger</w:t>
      </w:r>
      <w:r w:rsidRPr="00A805F5" w:rsidR="00B46848">
        <w:rPr>
          <w:rFonts w:cs="Arial"/>
          <w:szCs w:val="20"/>
          <w:lang w:val="nl-NL"/>
        </w:rPr>
        <w:t>e belastingtarieven</w:t>
      </w:r>
      <w:r w:rsidRPr="00A805F5" w:rsidR="002806FF">
        <w:rPr>
          <w:rFonts w:cs="Arial"/>
          <w:szCs w:val="20"/>
          <w:lang w:val="nl-NL"/>
        </w:rPr>
        <w:t xml:space="preserve"> dan het geval zou </w:t>
      </w:r>
      <w:r w:rsidRPr="00A805F5" w:rsidR="00B46848">
        <w:rPr>
          <w:rFonts w:cs="Arial"/>
          <w:szCs w:val="20"/>
          <w:lang w:val="nl-NL"/>
        </w:rPr>
        <w:t>zijn als zij nog inwoner van Nederland waren gebleven, heeft Nederland opname van deze bepaling geaccepteerd.</w:t>
      </w:r>
    </w:p>
    <w:p w:rsidRPr="00A805F5" w:rsidR="0010137F" w:rsidP="008666CA" w:rsidRDefault="008666CA" w14:paraId="79194B3B" w14:textId="3111E8ED">
      <w:pPr>
        <w:pStyle w:val="Heading2"/>
        <w:rPr>
          <w:rFonts w:cs="Arial"/>
          <w:b w:val="0"/>
          <w:bCs w:val="0"/>
          <w:i/>
          <w:smallCaps w:val="0"/>
          <w:szCs w:val="20"/>
          <w:lang w:val="nl-NL"/>
        </w:rPr>
      </w:pPr>
      <w:r w:rsidRPr="00A805F5">
        <w:rPr>
          <w:rFonts w:cs="Arial"/>
          <w:b w:val="0"/>
          <w:bCs w:val="0"/>
          <w:i/>
          <w:smallCaps w:val="0"/>
          <w:szCs w:val="20"/>
          <w:lang w:val="nl-NL"/>
        </w:rPr>
        <w:t>II.19 Overheidsfuncties (</w:t>
      </w:r>
      <w:r w:rsidRPr="00A805F5" w:rsidR="0010137F">
        <w:rPr>
          <w:rFonts w:cs="Arial"/>
          <w:b w:val="0"/>
          <w:bCs w:val="0"/>
          <w:i/>
          <w:smallCaps w:val="0"/>
          <w:szCs w:val="20"/>
          <w:lang w:val="nl-NL"/>
        </w:rPr>
        <w:t>Artikel 19</w:t>
      </w:r>
      <w:r w:rsidRPr="00A805F5">
        <w:rPr>
          <w:rFonts w:cs="Arial"/>
          <w:b w:val="0"/>
          <w:bCs w:val="0"/>
          <w:i/>
          <w:smallCaps w:val="0"/>
          <w:szCs w:val="20"/>
          <w:lang w:val="nl-NL"/>
        </w:rPr>
        <w:t xml:space="preserve"> van het Verdrag)</w:t>
      </w:r>
      <w:r w:rsidRPr="00A805F5" w:rsidR="0010137F">
        <w:rPr>
          <w:rFonts w:cs="Arial"/>
          <w:b w:val="0"/>
          <w:bCs w:val="0"/>
          <w:i/>
          <w:smallCaps w:val="0"/>
          <w:szCs w:val="20"/>
          <w:lang w:val="nl-NL"/>
        </w:rPr>
        <w:t xml:space="preserve"> </w:t>
      </w:r>
    </w:p>
    <w:p w:rsidRPr="00A805F5" w:rsidR="00434A86" w:rsidP="002F5CB0" w:rsidRDefault="00434A86" w14:paraId="3EEB3573" w14:textId="26F4EA24">
      <w:pPr>
        <w:ind w:firstLine="720"/>
        <w:rPr>
          <w:rFonts w:cs="Arial"/>
          <w:szCs w:val="20"/>
          <w:lang w:val="nl-NL"/>
        </w:rPr>
      </w:pPr>
      <w:r w:rsidRPr="00A805F5">
        <w:rPr>
          <w:rFonts w:cs="Arial"/>
          <w:szCs w:val="20"/>
          <w:lang w:val="nl-NL"/>
        </w:rPr>
        <w:t>Deze bepaling is gebaseerd op  artikel 19 van het OESO-modelverdrag en regelt de toewijzing van het heffingsrecht over het inkomen die een natuurlijk persoon ontvangt vanwege werkzaamheden die (in dienstverband) voor de overheid zijn verricht. In afwijking van het OESO-modelverdrag is geen verwijzing opgen</w:t>
      </w:r>
      <w:r w:rsidRPr="00A805F5" w:rsidR="006965BF">
        <w:rPr>
          <w:rFonts w:cs="Arial"/>
          <w:szCs w:val="20"/>
          <w:lang w:val="nl-NL"/>
        </w:rPr>
        <w:t>omen naar pensioenen, omdat hiervoor al een bronstaatheffing is opgenomen in artikel 18 van het Verdrag.</w:t>
      </w:r>
      <w:r w:rsidRPr="00A805F5">
        <w:rPr>
          <w:rFonts w:cs="Arial"/>
          <w:szCs w:val="20"/>
          <w:lang w:val="nl-NL"/>
        </w:rPr>
        <w:t xml:space="preserve"> </w:t>
      </w:r>
    </w:p>
    <w:p w:rsidRPr="00A805F5" w:rsidR="006965BF" w:rsidP="002F5CB0" w:rsidRDefault="006965BF" w14:paraId="1CC71D67" w14:textId="590A4522">
      <w:pPr>
        <w:ind w:firstLine="720"/>
        <w:rPr>
          <w:rFonts w:cs="Arial"/>
          <w:szCs w:val="20"/>
          <w:lang w:val="nl-NL"/>
        </w:rPr>
      </w:pPr>
      <w:r w:rsidRPr="00A805F5">
        <w:rPr>
          <w:rFonts w:cs="Arial"/>
          <w:szCs w:val="20"/>
          <w:lang w:val="nl-NL"/>
        </w:rPr>
        <w:t>Volgens het eerste lid, onderdeel a, mogen deze inkomsten worden belast in de verdragsluitende staat die deze beloningen betaalt (de zogenoemde kasstaat).</w:t>
      </w:r>
    </w:p>
    <w:p w:rsidRPr="00A805F5" w:rsidR="006965BF" w:rsidP="006965BF" w:rsidRDefault="006965BF" w14:paraId="5CE48421" w14:textId="77777777">
      <w:pPr>
        <w:ind w:firstLine="720"/>
        <w:rPr>
          <w:rFonts w:cs="Arial"/>
          <w:szCs w:val="20"/>
          <w:lang w:val="nl-NL"/>
        </w:rPr>
      </w:pPr>
      <w:r w:rsidRPr="00A805F5">
        <w:rPr>
          <w:rFonts w:cs="Arial"/>
          <w:szCs w:val="20"/>
          <w:lang w:val="nl-NL"/>
        </w:rPr>
        <w:lastRenderedPageBreak/>
        <w:t xml:space="preserve">Het eerste lid, onderdeel b, maakt op deze kasstaatheffing een uitzondering. De staat waarin de werkzaamheden daadwerkelijk worden verricht (werkstaat) heeft het heffingsrecht indien de werknemer inwoner is van de werkstaat en tevens de nationaliteit heeft van die staat, of niet alleen inwoner van die staat is geworden om daar werk te verrichten voor de overheid van de andere staat. Deze uitzondering strekt ertoe lokaal aangeworven medewerkers van bijvoorbeeld een ambassade enkel in hun woonstaat belastingplichtig te laten zijn in plaats van ook in de staat bij wiens ambassade zij werkzaam zijn. </w:t>
      </w:r>
    </w:p>
    <w:p w:rsidRPr="00494232" w:rsidR="00CB0097" w:rsidP="002B401A" w:rsidRDefault="002B401A" w14:paraId="755CB82E" w14:textId="3F0E2F87">
      <w:pPr>
        <w:ind w:firstLine="0"/>
        <w:rPr>
          <w:rFonts w:cs="Arial"/>
          <w:b/>
          <w:szCs w:val="20"/>
          <w:lang w:val="nl-NL"/>
        </w:rPr>
      </w:pPr>
      <w:r w:rsidRPr="00A805F5">
        <w:rPr>
          <w:rFonts w:cs="Arial"/>
          <w:szCs w:val="20"/>
          <w:lang w:val="nl-NL"/>
        </w:rPr>
        <w:t xml:space="preserve"> </w:t>
      </w:r>
      <w:r w:rsidRPr="00A805F5">
        <w:rPr>
          <w:rFonts w:cs="Arial"/>
          <w:szCs w:val="20"/>
          <w:lang w:val="nl-NL"/>
        </w:rPr>
        <w:tab/>
      </w:r>
      <w:r w:rsidRPr="00A805F5" w:rsidR="006965BF">
        <w:rPr>
          <w:rFonts w:cs="Arial"/>
          <w:szCs w:val="20"/>
          <w:lang w:val="nl-NL"/>
        </w:rPr>
        <w:t>Op grond van</w:t>
      </w:r>
      <w:r w:rsidRPr="00A805F5" w:rsidR="002F5CB0">
        <w:rPr>
          <w:rFonts w:cs="Arial"/>
          <w:szCs w:val="20"/>
          <w:lang w:val="nl-NL"/>
        </w:rPr>
        <w:t xml:space="preserve"> het tweede lid geldt de in het eerste lid opgenomen heffings</w:t>
      </w:r>
      <w:r w:rsidRPr="00A805F5" w:rsidR="006965BF">
        <w:rPr>
          <w:rFonts w:cs="Arial"/>
          <w:szCs w:val="20"/>
          <w:lang w:val="nl-NL"/>
        </w:rPr>
        <w:t>rechtverdeling niet voor het inkomen dat wordt</w:t>
      </w:r>
      <w:r w:rsidRPr="00A805F5" w:rsidR="002F5CB0">
        <w:rPr>
          <w:rFonts w:cs="Arial"/>
          <w:szCs w:val="20"/>
          <w:lang w:val="nl-NL"/>
        </w:rPr>
        <w:t xml:space="preserve"> ontvangen voor werkzaamheden die worden verricht voor een door de overheid gedreven onderneming. In dat geval gelden andere artikelen van het Verdrag: </w:t>
      </w:r>
      <w:r w:rsidRPr="00A805F5" w:rsidR="006965BF">
        <w:rPr>
          <w:rFonts w:cs="Arial"/>
          <w:szCs w:val="20"/>
          <w:lang w:val="nl-NL"/>
        </w:rPr>
        <w:t>artikel 15</w:t>
      </w:r>
      <w:r w:rsidRPr="00A805F5" w:rsidR="002F5CB0">
        <w:rPr>
          <w:rFonts w:cs="Arial"/>
          <w:szCs w:val="20"/>
          <w:lang w:val="nl-NL"/>
        </w:rPr>
        <w:t xml:space="preserve"> (</w:t>
      </w:r>
      <w:r w:rsidR="00457B35">
        <w:rPr>
          <w:rFonts w:cs="Arial"/>
          <w:szCs w:val="20"/>
          <w:lang w:val="nl-NL"/>
        </w:rPr>
        <w:t>I</w:t>
      </w:r>
      <w:r w:rsidRPr="00A805F5" w:rsidR="002F5CB0">
        <w:rPr>
          <w:rFonts w:cs="Arial"/>
          <w:szCs w:val="20"/>
          <w:lang w:val="nl-NL"/>
        </w:rPr>
        <w:t xml:space="preserve">nkomsten uit dienstbetrekking), </w:t>
      </w:r>
      <w:r w:rsidRPr="00A805F5" w:rsidR="006965BF">
        <w:rPr>
          <w:rFonts w:cs="Arial"/>
          <w:szCs w:val="20"/>
          <w:lang w:val="nl-NL"/>
        </w:rPr>
        <w:t>artikel 16 (</w:t>
      </w:r>
      <w:r w:rsidR="00457B35">
        <w:rPr>
          <w:rFonts w:cs="Arial"/>
          <w:szCs w:val="20"/>
          <w:lang w:val="nl-NL"/>
        </w:rPr>
        <w:t>D</w:t>
      </w:r>
      <w:r w:rsidRPr="00A805F5" w:rsidR="006965BF">
        <w:rPr>
          <w:rFonts w:cs="Arial"/>
          <w:szCs w:val="20"/>
          <w:lang w:val="nl-NL"/>
        </w:rPr>
        <w:t>irecteursbeloningen) of artikel 17</w:t>
      </w:r>
      <w:r w:rsidRPr="00A805F5" w:rsidR="002F5CB0">
        <w:rPr>
          <w:rFonts w:cs="Arial"/>
          <w:szCs w:val="20"/>
          <w:lang w:val="nl-NL"/>
        </w:rPr>
        <w:t xml:space="preserve"> (</w:t>
      </w:r>
      <w:r w:rsidR="00457B35">
        <w:rPr>
          <w:rFonts w:cs="Arial"/>
          <w:szCs w:val="20"/>
          <w:lang w:val="nl-NL"/>
        </w:rPr>
        <w:t>A</w:t>
      </w:r>
      <w:r w:rsidRPr="00A805F5" w:rsidR="002F5CB0">
        <w:rPr>
          <w:rFonts w:cs="Arial"/>
          <w:szCs w:val="20"/>
          <w:lang w:val="nl-NL"/>
        </w:rPr>
        <w:t>rtiesten en sportbeoefenaars).</w:t>
      </w:r>
    </w:p>
    <w:p w:rsidRPr="00A805F5" w:rsidR="0010137F" w:rsidP="00C516E6" w:rsidRDefault="00C516E6" w14:paraId="66FF93F6" w14:textId="47617E36">
      <w:pPr>
        <w:pStyle w:val="Heading2"/>
        <w:rPr>
          <w:rFonts w:cs="Arial"/>
          <w:b w:val="0"/>
          <w:bCs w:val="0"/>
          <w:i/>
          <w:smallCaps w:val="0"/>
          <w:szCs w:val="20"/>
          <w:lang w:val="nl-NL"/>
        </w:rPr>
      </w:pPr>
      <w:r w:rsidRPr="00A805F5">
        <w:rPr>
          <w:rFonts w:cs="Arial"/>
          <w:b w:val="0"/>
          <w:bCs w:val="0"/>
          <w:i/>
          <w:smallCaps w:val="0"/>
          <w:szCs w:val="20"/>
          <w:lang w:val="nl-NL"/>
        </w:rPr>
        <w:t>II.20 Studenten (Artikel 20 van het Verdrag)</w:t>
      </w:r>
    </w:p>
    <w:p w:rsidRPr="00A805F5" w:rsidR="00CB0097" w:rsidP="00166530" w:rsidRDefault="004607DE" w14:paraId="5236A16E" w14:textId="6C512BA4">
      <w:pPr>
        <w:rPr>
          <w:rFonts w:cs="Arial"/>
          <w:szCs w:val="20"/>
          <w:lang w:val="nl-NL"/>
        </w:rPr>
      </w:pPr>
      <w:r w:rsidRPr="00A805F5">
        <w:rPr>
          <w:rFonts w:cs="Arial"/>
          <w:color w:val="333333"/>
          <w:szCs w:val="20"/>
          <w:shd w:val="clear" w:color="auto" w:fill="FFFFFF"/>
          <w:lang w:val="nl-NL"/>
        </w:rPr>
        <w:t xml:space="preserve">Artikel 20 bepaalt dat studenten of die uitsluitend voor hun studie of opleiding in een verdragsluitende staat verblijven </w:t>
      </w:r>
      <w:r w:rsidRPr="00A805F5" w:rsidR="00166530">
        <w:rPr>
          <w:rFonts w:cs="Arial"/>
          <w:color w:val="333333"/>
          <w:szCs w:val="20"/>
          <w:shd w:val="clear" w:color="auto" w:fill="FFFFFF"/>
          <w:lang w:val="nl-NL"/>
        </w:rPr>
        <w:t xml:space="preserve">in die staat zijn vrijgesteld van belasting </w:t>
      </w:r>
      <w:r w:rsidRPr="00A805F5">
        <w:rPr>
          <w:rFonts w:cs="Arial"/>
          <w:color w:val="333333"/>
          <w:szCs w:val="20"/>
          <w:shd w:val="clear" w:color="auto" w:fill="FFFFFF"/>
          <w:lang w:val="nl-NL"/>
        </w:rPr>
        <w:t xml:space="preserve">voor de betalingen die </w:t>
      </w:r>
      <w:r w:rsidRPr="00A805F5" w:rsidR="00166530">
        <w:rPr>
          <w:rFonts w:cs="Arial"/>
          <w:color w:val="333333"/>
          <w:szCs w:val="20"/>
          <w:shd w:val="clear" w:color="auto" w:fill="FFFFFF"/>
          <w:lang w:val="nl-NL"/>
        </w:rPr>
        <w:t xml:space="preserve">zij </w:t>
      </w:r>
      <w:r w:rsidRPr="00A805F5">
        <w:rPr>
          <w:rFonts w:cs="Arial"/>
          <w:color w:val="333333"/>
          <w:szCs w:val="20"/>
          <w:shd w:val="clear" w:color="auto" w:fill="FFFFFF"/>
          <w:lang w:val="nl-NL"/>
        </w:rPr>
        <w:t>ontvangen van buiten die staat voor hun onderhoud, studie of opleiding</w:t>
      </w:r>
      <w:r w:rsidRPr="00A805F5" w:rsidR="00166530">
        <w:rPr>
          <w:rFonts w:cs="Arial"/>
          <w:color w:val="333333"/>
          <w:szCs w:val="20"/>
          <w:shd w:val="clear" w:color="auto" w:fill="FFFFFF"/>
          <w:lang w:val="nl-NL"/>
        </w:rPr>
        <w:t>,</w:t>
      </w:r>
      <w:r w:rsidRPr="00A805F5">
        <w:rPr>
          <w:rFonts w:cs="Arial"/>
          <w:color w:val="333333"/>
          <w:szCs w:val="20"/>
          <w:shd w:val="clear" w:color="auto" w:fill="FFFFFF"/>
          <w:lang w:val="nl-NL"/>
        </w:rPr>
        <w:t xml:space="preserve"> als zij op dat moment, of</w:t>
      </w:r>
      <w:r w:rsidRPr="00A805F5" w:rsidR="00166530">
        <w:rPr>
          <w:rFonts w:cs="Arial"/>
          <w:color w:val="333333"/>
          <w:szCs w:val="20"/>
          <w:shd w:val="clear" w:color="auto" w:fill="FFFFFF"/>
          <w:lang w:val="nl-NL"/>
        </w:rPr>
        <w:t xml:space="preserve"> onmiddellijk voorafgaand aan he</w:t>
      </w:r>
      <w:r w:rsidRPr="00A805F5">
        <w:rPr>
          <w:rFonts w:cs="Arial"/>
          <w:color w:val="333333"/>
          <w:szCs w:val="20"/>
          <w:shd w:val="clear" w:color="auto" w:fill="FFFFFF"/>
          <w:lang w:val="nl-NL"/>
        </w:rPr>
        <w:t xml:space="preserve">t verblijf, inwoners zijn of waren van de andere verdragsluitende staat. De bepaling is </w:t>
      </w:r>
      <w:r w:rsidRPr="00A805F5" w:rsidR="00166530">
        <w:rPr>
          <w:rFonts w:cs="Arial"/>
          <w:color w:val="333333"/>
          <w:szCs w:val="20"/>
          <w:shd w:val="clear" w:color="auto" w:fill="FFFFFF"/>
          <w:lang w:val="nl-NL"/>
        </w:rPr>
        <w:t xml:space="preserve">inhoudelijk </w:t>
      </w:r>
      <w:r w:rsidRPr="00A805F5">
        <w:rPr>
          <w:rFonts w:cs="Arial"/>
          <w:color w:val="333333"/>
          <w:szCs w:val="20"/>
          <w:shd w:val="clear" w:color="auto" w:fill="FFFFFF"/>
          <w:lang w:val="nl-NL"/>
        </w:rPr>
        <w:t>gebaseerd op artikel 20 van het OESO-modelverdrag</w:t>
      </w:r>
      <w:r w:rsidRPr="00A805F5" w:rsidR="00166530">
        <w:rPr>
          <w:rFonts w:cs="Arial"/>
          <w:color w:val="333333"/>
          <w:szCs w:val="20"/>
          <w:shd w:val="clear" w:color="auto" w:fill="FFFFFF"/>
          <w:lang w:val="nl-NL"/>
        </w:rPr>
        <w:t xml:space="preserve">. </w:t>
      </w:r>
    </w:p>
    <w:p w:rsidRPr="00A805F5" w:rsidR="0010137F" w:rsidP="00C516E6" w:rsidRDefault="00C516E6" w14:paraId="1BCFA2C7" w14:textId="53BC91B2">
      <w:pPr>
        <w:pStyle w:val="Heading2"/>
        <w:rPr>
          <w:rFonts w:cs="Arial"/>
          <w:b w:val="0"/>
          <w:bCs w:val="0"/>
          <w:i/>
          <w:smallCaps w:val="0"/>
          <w:szCs w:val="20"/>
          <w:lang w:val="nl-NL"/>
        </w:rPr>
      </w:pPr>
      <w:r w:rsidRPr="00A805F5">
        <w:rPr>
          <w:rFonts w:cs="Arial"/>
          <w:b w:val="0"/>
          <w:bCs w:val="0"/>
          <w:i/>
          <w:smallCaps w:val="0"/>
          <w:szCs w:val="20"/>
          <w:lang w:val="nl-NL"/>
        </w:rPr>
        <w:t>II. 21 Overig inkomen (</w:t>
      </w:r>
      <w:r w:rsidRPr="00A805F5" w:rsidR="0010137F">
        <w:rPr>
          <w:rFonts w:cs="Arial"/>
          <w:b w:val="0"/>
          <w:bCs w:val="0"/>
          <w:i/>
          <w:smallCaps w:val="0"/>
          <w:szCs w:val="20"/>
          <w:lang w:val="nl-NL"/>
        </w:rPr>
        <w:t xml:space="preserve">Artikel 21 </w:t>
      </w:r>
      <w:r w:rsidRPr="00A805F5">
        <w:rPr>
          <w:rFonts w:cs="Arial"/>
          <w:b w:val="0"/>
          <w:bCs w:val="0"/>
          <w:i/>
          <w:smallCaps w:val="0"/>
          <w:szCs w:val="20"/>
          <w:lang w:val="nl-NL"/>
        </w:rPr>
        <w:t>van het Verdrag)</w:t>
      </w:r>
    </w:p>
    <w:p w:rsidRPr="00A805F5" w:rsidR="00B50327" w:rsidP="00B50327" w:rsidRDefault="00B50327" w14:paraId="570B1BF0" w14:textId="1CE02E1C">
      <w:pPr>
        <w:ind w:firstLine="708"/>
        <w:rPr>
          <w:rFonts w:cs="Arial"/>
          <w:szCs w:val="20"/>
          <w:lang w:val="nl-NL"/>
        </w:rPr>
      </w:pPr>
      <w:r w:rsidRPr="00A805F5">
        <w:rPr>
          <w:rFonts w:cs="Arial"/>
          <w:szCs w:val="20"/>
          <w:lang w:val="nl-NL"/>
        </w:rPr>
        <w:t>Artikel 21 van het Verdrag, het zogenoemde restartikel, betreft het heffingsrecht over inkomen</w:t>
      </w:r>
      <w:r w:rsidRPr="00A805F5" w:rsidR="000E42F8">
        <w:rPr>
          <w:rFonts w:cs="Arial"/>
          <w:szCs w:val="20"/>
          <w:lang w:val="nl-NL"/>
        </w:rPr>
        <w:t>sbestanddelen</w:t>
      </w:r>
      <w:r w:rsidRPr="00A805F5">
        <w:rPr>
          <w:rFonts w:cs="Arial"/>
          <w:szCs w:val="20"/>
          <w:lang w:val="nl-NL"/>
        </w:rPr>
        <w:t xml:space="preserve"> ter zake waarvan het heffingsrecht niet in de voorgaande artikelen van het Verdrag </w:t>
      </w:r>
      <w:r w:rsidRPr="00A805F5" w:rsidR="00FE6385">
        <w:rPr>
          <w:rFonts w:cs="Arial"/>
          <w:szCs w:val="20"/>
          <w:lang w:val="nl-NL"/>
        </w:rPr>
        <w:t>is</w:t>
      </w:r>
      <w:r w:rsidRPr="00A805F5">
        <w:rPr>
          <w:rFonts w:cs="Arial"/>
          <w:szCs w:val="20"/>
          <w:lang w:val="nl-NL"/>
        </w:rPr>
        <w:t xml:space="preserve"> behandeld (‘overig inkomen’). </w:t>
      </w:r>
    </w:p>
    <w:p w:rsidRPr="00A805F5" w:rsidR="000E42F8" w:rsidP="00B50327" w:rsidRDefault="00B50327" w14:paraId="77C8BFBA" w14:textId="5F55A8C2">
      <w:pPr>
        <w:ind w:firstLine="708"/>
        <w:rPr>
          <w:rFonts w:cs="Arial"/>
          <w:szCs w:val="20"/>
          <w:lang w:val="nl-NL"/>
        </w:rPr>
      </w:pPr>
      <w:r w:rsidRPr="00A805F5">
        <w:rPr>
          <w:rFonts w:cs="Arial"/>
          <w:szCs w:val="20"/>
          <w:lang w:val="nl-NL"/>
        </w:rPr>
        <w:t xml:space="preserve">In lijn met het OESO-modelverdrag bepaalt het eerste lid dat het heffingsrecht over </w:t>
      </w:r>
      <w:r w:rsidRPr="00A805F5" w:rsidR="000E42F8">
        <w:rPr>
          <w:rFonts w:cs="Arial"/>
          <w:szCs w:val="20"/>
          <w:lang w:val="nl-NL"/>
        </w:rPr>
        <w:t>deze inkomensbestanddelen</w:t>
      </w:r>
      <w:r w:rsidRPr="00A805F5">
        <w:rPr>
          <w:rFonts w:cs="Arial"/>
          <w:szCs w:val="20"/>
          <w:lang w:val="nl-NL"/>
        </w:rPr>
        <w:t>, ongeacht de herkomst ervan, exclusief toekomt aan de verdragsluitende staat waar</w:t>
      </w:r>
      <w:r w:rsidRPr="00A805F5" w:rsidR="000E42F8">
        <w:rPr>
          <w:rFonts w:cs="Arial"/>
          <w:szCs w:val="20"/>
          <w:lang w:val="nl-NL"/>
        </w:rPr>
        <w:t>van</w:t>
      </w:r>
      <w:r w:rsidRPr="00A805F5">
        <w:rPr>
          <w:rFonts w:cs="Arial"/>
          <w:szCs w:val="20"/>
          <w:lang w:val="nl-NL"/>
        </w:rPr>
        <w:t xml:space="preserve"> de ontvanger van</w:t>
      </w:r>
      <w:r w:rsidRPr="00A805F5" w:rsidR="000E42F8">
        <w:rPr>
          <w:rFonts w:cs="Arial"/>
          <w:szCs w:val="20"/>
          <w:lang w:val="nl-NL"/>
        </w:rPr>
        <w:t xml:space="preserve"> dat inkomen inwoner is</w:t>
      </w:r>
      <w:r w:rsidRPr="00A805F5">
        <w:rPr>
          <w:rFonts w:cs="Arial"/>
          <w:szCs w:val="20"/>
          <w:lang w:val="nl-NL"/>
        </w:rPr>
        <w:t xml:space="preserve">. </w:t>
      </w:r>
      <w:r w:rsidRPr="00A805F5" w:rsidR="000E42F8">
        <w:rPr>
          <w:rFonts w:cs="Arial"/>
          <w:szCs w:val="20"/>
          <w:lang w:val="nl-NL"/>
        </w:rPr>
        <w:t xml:space="preserve">In de bepaling is </w:t>
      </w:r>
      <w:r w:rsidRPr="00A805F5" w:rsidR="000A292E">
        <w:rPr>
          <w:rFonts w:cs="Arial"/>
          <w:szCs w:val="20"/>
          <w:lang w:val="nl-NL"/>
        </w:rPr>
        <w:t xml:space="preserve">op verzoek van Chili </w:t>
      </w:r>
      <w:r w:rsidRPr="00A805F5" w:rsidR="000E42F8">
        <w:rPr>
          <w:rFonts w:cs="Arial"/>
          <w:szCs w:val="20"/>
          <w:lang w:val="nl-NL"/>
        </w:rPr>
        <w:t xml:space="preserve">(tekstueel in afwijking van het OESO-modelverdrag) expliciet bevestigd dat het gaat om inkomen ter zake waarvan die inwoner de uiteindelijk gerechtigde is. </w:t>
      </w:r>
    </w:p>
    <w:p w:rsidRPr="00A805F5" w:rsidR="00B50327" w:rsidP="00B50327" w:rsidRDefault="000E42F8" w14:paraId="2AA5D744" w14:textId="74380A57">
      <w:pPr>
        <w:ind w:firstLine="720"/>
        <w:rPr>
          <w:rFonts w:cs="Arial"/>
          <w:szCs w:val="20"/>
          <w:lang w:val="nl-NL"/>
        </w:rPr>
      </w:pPr>
      <w:r w:rsidRPr="00A805F5">
        <w:rPr>
          <w:rFonts w:cs="Arial"/>
          <w:szCs w:val="20"/>
          <w:lang w:val="nl-NL"/>
        </w:rPr>
        <w:t xml:space="preserve">Op grond van </w:t>
      </w:r>
      <w:r w:rsidRPr="00A805F5" w:rsidR="00B50327">
        <w:rPr>
          <w:rFonts w:cs="Arial"/>
          <w:szCs w:val="20"/>
          <w:lang w:val="nl-NL"/>
        </w:rPr>
        <w:t>het tweede lid is het eerste lid niet van toepassing op inkom</w:t>
      </w:r>
      <w:r w:rsidRPr="00A805F5" w:rsidR="000A292E">
        <w:rPr>
          <w:rFonts w:cs="Arial"/>
          <w:szCs w:val="20"/>
          <w:lang w:val="nl-NL"/>
        </w:rPr>
        <w:t>en</w:t>
      </w:r>
      <w:r w:rsidRPr="00A805F5" w:rsidR="00B50327">
        <w:rPr>
          <w:rFonts w:cs="Arial"/>
          <w:szCs w:val="20"/>
          <w:lang w:val="nl-NL"/>
        </w:rPr>
        <w:t xml:space="preserve"> d</w:t>
      </w:r>
      <w:r w:rsidRPr="00A805F5" w:rsidR="000A292E">
        <w:rPr>
          <w:rFonts w:cs="Arial"/>
          <w:szCs w:val="20"/>
          <w:lang w:val="nl-NL"/>
        </w:rPr>
        <w:t>at</w:t>
      </w:r>
      <w:r w:rsidRPr="00A805F5" w:rsidR="00B50327">
        <w:rPr>
          <w:rFonts w:cs="Arial"/>
          <w:szCs w:val="20"/>
          <w:lang w:val="nl-NL"/>
        </w:rPr>
        <w:t xml:space="preserve"> toerekenbaar </w:t>
      </w:r>
      <w:r w:rsidRPr="00A805F5" w:rsidR="00FE6385">
        <w:rPr>
          <w:rFonts w:cs="Arial"/>
          <w:szCs w:val="20"/>
          <w:lang w:val="nl-NL"/>
        </w:rPr>
        <w:t>is</w:t>
      </w:r>
      <w:r w:rsidRPr="00A805F5" w:rsidR="00B50327">
        <w:rPr>
          <w:rFonts w:cs="Arial"/>
          <w:szCs w:val="20"/>
          <w:lang w:val="nl-NL"/>
        </w:rPr>
        <w:t xml:space="preserve"> aan een vaste inrichting </w:t>
      </w:r>
      <w:r w:rsidRPr="00A805F5" w:rsidR="000A292E">
        <w:rPr>
          <w:rFonts w:cs="Arial"/>
          <w:szCs w:val="20"/>
          <w:lang w:val="nl-NL"/>
        </w:rPr>
        <w:t xml:space="preserve">of vast middelpunt </w:t>
      </w:r>
      <w:r w:rsidRPr="00A805F5" w:rsidR="00B50327">
        <w:rPr>
          <w:rFonts w:cs="Arial"/>
          <w:szCs w:val="20"/>
          <w:lang w:val="nl-NL"/>
        </w:rPr>
        <w:t xml:space="preserve">gelegen in een verdragsluitende staat. De verdeling van het heffingsrecht </w:t>
      </w:r>
      <w:r w:rsidRPr="00A805F5" w:rsidR="000A292E">
        <w:rPr>
          <w:rFonts w:cs="Arial"/>
          <w:szCs w:val="20"/>
          <w:lang w:val="nl-NL"/>
        </w:rPr>
        <w:t>over dat inkomen</w:t>
      </w:r>
      <w:r w:rsidRPr="00A805F5" w:rsidR="00B50327">
        <w:rPr>
          <w:rFonts w:cs="Arial"/>
          <w:szCs w:val="20"/>
          <w:lang w:val="nl-NL"/>
        </w:rPr>
        <w:t xml:space="preserve"> volgt uit artikel 7 </w:t>
      </w:r>
      <w:r w:rsidRPr="00A805F5" w:rsidR="000A292E">
        <w:rPr>
          <w:rFonts w:cs="Arial"/>
          <w:szCs w:val="20"/>
          <w:lang w:val="nl-NL"/>
        </w:rPr>
        <w:t xml:space="preserve">of artikel 14 </w:t>
      </w:r>
      <w:r w:rsidRPr="00A805F5" w:rsidR="00B50327">
        <w:rPr>
          <w:rFonts w:cs="Arial"/>
          <w:szCs w:val="20"/>
          <w:lang w:val="nl-NL"/>
        </w:rPr>
        <w:t>van het Verdrag, tenzij het inkomsten betreft uit onroerende zaken in de zin van artikel 6</w:t>
      </w:r>
      <w:r w:rsidRPr="00A805F5" w:rsidR="000A292E">
        <w:rPr>
          <w:rFonts w:cs="Arial"/>
          <w:szCs w:val="20"/>
          <w:lang w:val="nl-NL"/>
        </w:rPr>
        <w:t xml:space="preserve"> van het Verdrag</w:t>
      </w:r>
      <w:r w:rsidRPr="00A805F5" w:rsidR="00B50327">
        <w:rPr>
          <w:rFonts w:cs="Arial"/>
          <w:szCs w:val="20"/>
          <w:lang w:val="nl-NL"/>
        </w:rPr>
        <w:t>. In dat geval is artikel 6</w:t>
      </w:r>
      <w:r w:rsidRPr="00A805F5" w:rsidR="000A292E">
        <w:rPr>
          <w:rFonts w:cs="Arial"/>
          <w:szCs w:val="20"/>
          <w:lang w:val="nl-NL"/>
        </w:rPr>
        <w:t xml:space="preserve"> van het Verdrag</w:t>
      </w:r>
      <w:r w:rsidRPr="00A805F5" w:rsidR="00B50327">
        <w:rPr>
          <w:rFonts w:cs="Arial"/>
          <w:szCs w:val="20"/>
          <w:lang w:val="nl-NL"/>
        </w:rPr>
        <w:t xml:space="preserve"> van toepassing.</w:t>
      </w:r>
      <w:r w:rsidRPr="00A805F5" w:rsidR="000A292E">
        <w:rPr>
          <w:rFonts w:cs="Arial"/>
          <w:szCs w:val="20"/>
          <w:lang w:val="nl-NL"/>
        </w:rPr>
        <w:t xml:space="preserve"> Dit lid komt inhoudelijk overeen met de overeenkomstige bepaling in het OESO- en VN-modelverdrag. Ook in deze bepaling is op verzoek van Chili (tekstueel in afwijking van beide modelverdragen) expliciet bevestigd dat het moet gaan om inkomen waarvan de belastingplichtige de uiteindelijk gerechtigd</w:t>
      </w:r>
      <w:r w:rsidR="00FD5870">
        <w:rPr>
          <w:rFonts w:cs="Arial"/>
          <w:szCs w:val="20"/>
          <w:lang w:val="nl-NL"/>
        </w:rPr>
        <w:t>e</w:t>
      </w:r>
      <w:r w:rsidRPr="00A805F5" w:rsidR="000A292E">
        <w:rPr>
          <w:rFonts w:cs="Arial"/>
          <w:szCs w:val="20"/>
          <w:lang w:val="nl-NL"/>
        </w:rPr>
        <w:t xml:space="preserve"> is. </w:t>
      </w:r>
    </w:p>
    <w:p w:rsidRPr="00A805F5" w:rsidR="000A292E" w:rsidP="00B50327" w:rsidRDefault="000A292E" w14:paraId="0678A653" w14:textId="6B1D51A9">
      <w:pPr>
        <w:ind w:firstLine="720"/>
        <w:rPr>
          <w:rFonts w:cs="Arial"/>
          <w:szCs w:val="20"/>
          <w:lang w:val="nl-NL"/>
        </w:rPr>
      </w:pPr>
      <w:r w:rsidRPr="00A805F5">
        <w:rPr>
          <w:rFonts w:cs="Arial"/>
          <w:szCs w:val="20"/>
          <w:lang w:val="nl-NL"/>
        </w:rPr>
        <w:t xml:space="preserve">Het derde lid is ontleend aan het VN-modelverdrag. </w:t>
      </w:r>
      <w:r w:rsidRPr="00A805F5" w:rsidR="000A4045">
        <w:rPr>
          <w:rFonts w:cs="Arial"/>
          <w:szCs w:val="20"/>
          <w:lang w:val="nl-NL"/>
        </w:rPr>
        <w:t>De strekking van dit lid is</w:t>
      </w:r>
      <w:r w:rsidRPr="00A805F5">
        <w:rPr>
          <w:rFonts w:cs="Arial"/>
          <w:szCs w:val="20"/>
          <w:lang w:val="nl-NL"/>
        </w:rPr>
        <w:t xml:space="preserve"> dat wanneer inkomensbestan</w:t>
      </w:r>
      <w:r w:rsidRPr="00A805F5" w:rsidR="000A4045">
        <w:rPr>
          <w:rFonts w:cs="Arial"/>
          <w:szCs w:val="20"/>
          <w:lang w:val="nl-NL"/>
        </w:rPr>
        <w:t>d</w:t>
      </w:r>
      <w:r w:rsidR="000A0A88">
        <w:rPr>
          <w:rFonts w:cs="Arial"/>
          <w:szCs w:val="20"/>
          <w:lang w:val="nl-NL"/>
        </w:rPr>
        <w:t>d</w:t>
      </w:r>
      <w:r w:rsidRPr="00A805F5" w:rsidR="000A4045">
        <w:rPr>
          <w:rFonts w:cs="Arial"/>
          <w:szCs w:val="20"/>
          <w:lang w:val="nl-NL"/>
        </w:rPr>
        <w:t>elen opkomen</w:t>
      </w:r>
      <w:r w:rsidRPr="00A805F5">
        <w:rPr>
          <w:rFonts w:cs="Arial"/>
          <w:szCs w:val="20"/>
          <w:lang w:val="nl-NL"/>
        </w:rPr>
        <w:t xml:space="preserve"> in één van de verdragsluitende staten, deze staat </w:t>
      </w:r>
      <w:r w:rsidRPr="00A805F5" w:rsidR="000A4045">
        <w:rPr>
          <w:rFonts w:cs="Arial"/>
          <w:szCs w:val="20"/>
          <w:lang w:val="nl-NL"/>
        </w:rPr>
        <w:t>die</w:t>
      </w:r>
      <w:r w:rsidRPr="00A805F5">
        <w:rPr>
          <w:rFonts w:cs="Arial"/>
          <w:szCs w:val="20"/>
          <w:lang w:val="nl-NL"/>
        </w:rPr>
        <w:t xml:space="preserve"> ook mag belasten</w:t>
      </w:r>
      <w:r w:rsidR="000A0A88">
        <w:rPr>
          <w:rFonts w:cs="Arial"/>
          <w:szCs w:val="20"/>
          <w:lang w:val="nl-NL"/>
        </w:rPr>
        <w:t>,</w:t>
      </w:r>
      <w:r w:rsidRPr="00A805F5" w:rsidR="000A4045">
        <w:rPr>
          <w:rFonts w:cs="Arial"/>
          <w:szCs w:val="20"/>
          <w:lang w:val="nl-NL"/>
        </w:rPr>
        <w:t xml:space="preserve"> waarna de </w:t>
      </w:r>
      <w:r w:rsidRPr="00A805F5">
        <w:rPr>
          <w:rFonts w:cs="Arial"/>
          <w:szCs w:val="20"/>
          <w:lang w:val="nl-NL"/>
        </w:rPr>
        <w:t>woonstaat een vermindering geeft om dubbele belasting te voorkomen.</w:t>
      </w:r>
    </w:p>
    <w:p w:rsidRPr="00A805F5" w:rsidR="00C77B49" w:rsidP="00C77B49" w:rsidRDefault="00C77B49" w14:paraId="546DF4D0" w14:textId="77777777">
      <w:pPr>
        <w:pStyle w:val="Heading2"/>
        <w:rPr>
          <w:rFonts w:cs="Arial"/>
          <w:b w:val="0"/>
          <w:bCs w:val="0"/>
          <w:i/>
          <w:smallCaps w:val="0"/>
          <w:szCs w:val="20"/>
          <w:lang w:val="nl-NL"/>
        </w:rPr>
      </w:pPr>
      <w:r w:rsidRPr="00A805F5">
        <w:rPr>
          <w:rFonts w:cs="Arial"/>
          <w:b w:val="0"/>
          <w:bCs w:val="0"/>
          <w:i/>
          <w:smallCaps w:val="0"/>
          <w:szCs w:val="20"/>
          <w:lang w:val="nl-NL"/>
        </w:rPr>
        <w:lastRenderedPageBreak/>
        <w:t>II.22 Vermogen (Artikel 22 van het Verdrag)</w:t>
      </w:r>
    </w:p>
    <w:p w:rsidRPr="00A805F5" w:rsidR="00C77B49" w:rsidP="00C77B49" w:rsidRDefault="00C77B49" w14:paraId="1955C368" w14:textId="01041C88">
      <w:pPr>
        <w:rPr>
          <w:rFonts w:cs="Arial"/>
          <w:szCs w:val="20"/>
          <w:lang w:val="nl-NL"/>
        </w:rPr>
      </w:pPr>
      <w:r w:rsidRPr="00A805F5">
        <w:rPr>
          <w:rFonts w:cs="Arial"/>
          <w:szCs w:val="20"/>
          <w:lang w:val="nl-NL"/>
        </w:rPr>
        <w:t xml:space="preserve">Artikel 22 van het Verdrag bepaalt de verdeling van de heffingsbevoegdheid met betrekking tot vermogen, in lijn met artikel 22 van het OESO-modelverdrag. Hoewel Chili noch Nederland op het moment van ondertekening van dit Verdrag een vermogensbelasting kende, hechtte Chili eraan dat dit artikel werd opgenomen. Het wordt relevant als één of beide van de verdragsluitende staten of een vermogensbelasting invoert, respectievelijk invoeren. </w:t>
      </w:r>
    </w:p>
    <w:p w:rsidRPr="00A805F5" w:rsidR="00A44C35" w:rsidP="00C77B49" w:rsidRDefault="00042A5C" w14:paraId="1652EAC6" w14:textId="2ECDB268">
      <w:pPr>
        <w:rPr>
          <w:rFonts w:cs="Arial"/>
          <w:szCs w:val="20"/>
          <w:lang w:val="nl-NL"/>
        </w:rPr>
      </w:pPr>
      <w:r w:rsidRPr="00A805F5">
        <w:rPr>
          <w:rFonts w:cs="Arial"/>
          <w:szCs w:val="20"/>
          <w:lang w:val="nl-NL"/>
        </w:rPr>
        <w:t>In de eerste twee leden wordt vermogen opgesomd waarbij het heffingsrecht toekomt aan de verdragsluitende staat waarin dit vermogen is gelegen of waaraan het toebehoort. Dit betreft onroerende zaken (eerste lid) en roerende zaken die worden toegerekend aan een vaste inrichting of vast middelpunt (tweede lid).</w:t>
      </w:r>
    </w:p>
    <w:p w:rsidRPr="00A805F5" w:rsidR="00042A5C" w:rsidP="00C77B49" w:rsidRDefault="00042A5C" w14:paraId="2442046B" w14:textId="1A2B7400">
      <w:pPr>
        <w:rPr>
          <w:rFonts w:cs="Arial"/>
          <w:szCs w:val="20"/>
          <w:lang w:val="nl-NL"/>
        </w:rPr>
      </w:pPr>
      <w:r w:rsidRPr="00A805F5">
        <w:rPr>
          <w:rFonts w:cs="Arial"/>
          <w:szCs w:val="20"/>
          <w:lang w:val="nl-NL"/>
        </w:rPr>
        <w:t xml:space="preserve">Het derde lid gaat over schepen en luchtvaartuigen die in internationaal verkeer worden geëxploiteerd en roerende zaken die bij deze exploitatie worden gebruikt. Dit vermogen is – parallel aan de regels van artikel 8 en artikel </w:t>
      </w:r>
      <w:r w:rsidRPr="00A805F5" w:rsidR="008903FB">
        <w:rPr>
          <w:rFonts w:cs="Arial"/>
          <w:szCs w:val="20"/>
          <w:lang w:val="nl-NL"/>
        </w:rPr>
        <w:t xml:space="preserve">13, derde lid, van het Verdrag – </w:t>
      </w:r>
      <w:r w:rsidRPr="00A805F5">
        <w:rPr>
          <w:rFonts w:cs="Arial"/>
          <w:szCs w:val="20"/>
          <w:lang w:val="nl-NL"/>
        </w:rPr>
        <w:t>slechts belastbaar in de verdragsluitende staat waarvan de exploiterende onderneming inwoner is.</w:t>
      </w:r>
    </w:p>
    <w:p w:rsidRPr="00A805F5" w:rsidR="00A44C35" w:rsidP="00B411A9" w:rsidRDefault="008903FB" w14:paraId="7E02928A" w14:textId="452A54F0">
      <w:pPr>
        <w:rPr>
          <w:rFonts w:cs="Arial"/>
          <w:szCs w:val="20"/>
          <w:lang w:val="nl-NL"/>
        </w:rPr>
      </w:pPr>
      <w:r w:rsidRPr="00A805F5">
        <w:rPr>
          <w:rFonts w:cs="Arial"/>
          <w:szCs w:val="20"/>
          <w:lang w:val="nl-NL"/>
        </w:rPr>
        <w:t>Het vierde lid regelt dat het heffingsrecht over alle andere vermogensbestanddelen van een inwoner van een verdragsluitende staat toekomt aan zijn woonstaat.</w:t>
      </w:r>
    </w:p>
    <w:p w:rsidRPr="00A805F5" w:rsidR="00C77B49" w:rsidP="00C77B49" w:rsidRDefault="00C77B49" w14:paraId="0A361938" w14:textId="77777777">
      <w:pPr>
        <w:keepNext/>
        <w:numPr>
          <w:ilvl w:val="1"/>
          <w:numId w:val="0"/>
        </w:numPr>
        <w:spacing w:before="240" w:after="60"/>
        <w:outlineLvl w:val="1"/>
        <w:rPr>
          <w:rFonts w:cs="Arial"/>
          <w:i/>
          <w:iCs/>
          <w:szCs w:val="20"/>
          <w:lang w:val="nl-NL"/>
        </w:rPr>
      </w:pPr>
      <w:r w:rsidRPr="00A805F5">
        <w:rPr>
          <w:rFonts w:cs="Arial"/>
          <w:i/>
          <w:iCs/>
          <w:szCs w:val="20"/>
          <w:lang w:val="nl-NL"/>
        </w:rPr>
        <w:t>II.23 Vermijden van dubbele belasting (Artikel 23 van het Verdrag)</w:t>
      </w:r>
    </w:p>
    <w:p w:rsidRPr="00494232" w:rsidR="00C77B49" w:rsidP="00C77B49" w:rsidRDefault="00C77B49" w14:paraId="587221CE" w14:textId="77777777">
      <w:pPr>
        <w:rPr>
          <w:rFonts w:cs="Arial"/>
          <w:szCs w:val="20"/>
          <w:lang w:val="nl-NL"/>
        </w:rPr>
      </w:pPr>
      <w:r w:rsidRPr="00A805F5">
        <w:rPr>
          <w:rFonts w:cs="Arial"/>
          <w:szCs w:val="20"/>
          <w:lang w:val="nl-NL"/>
        </w:rPr>
        <w:t>In artikel 23 van het Verdrag is bepaald op welke wijze beide staten dubbele belasting vermijden.</w:t>
      </w:r>
      <w:r w:rsidRPr="00494232">
        <w:rPr>
          <w:rFonts w:cs="Arial"/>
          <w:szCs w:val="20"/>
          <w:lang w:val="nl-NL"/>
        </w:rPr>
        <w:t xml:space="preserve"> </w:t>
      </w:r>
    </w:p>
    <w:p w:rsidRPr="00494232" w:rsidR="00C77B49" w:rsidP="00C77B49" w:rsidRDefault="00C77B49" w14:paraId="2D87B8F9" w14:textId="77777777">
      <w:pPr>
        <w:rPr>
          <w:rFonts w:cs="Arial"/>
          <w:szCs w:val="20"/>
          <w:lang w:val="nl-NL"/>
        </w:rPr>
      </w:pPr>
      <w:r w:rsidRPr="00494232">
        <w:rPr>
          <w:rFonts w:cs="Arial"/>
          <w:szCs w:val="20"/>
          <w:lang w:val="nl-NL"/>
        </w:rPr>
        <w:t xml:space="preserve">Het eerste lid betreft de wijze waarop Chili dubbele belasting vermijdt voor zijn inwoners. </w:t>
      </w:r>
    </w:p>
    <w:p w:rsidRPr="00494232" w:rsidR="00C77B49" w:rsidP="00C77B49" w:rsidRDefault="00C77B49" w14:paraId="4ACFF9D4" w14:textId="77777777">
      <w:pPr>
        <w:rPr>
          <w:rFonts w:cs="Arial"/>
          <w:szCs w:val="20"/>
          <w:lang w:val="nl-NL"/>
        </w:rPr>
      </w:pPr>
      <w:r w:rsidRPr="00494232">
        <w:rPr>
          <w:rFonts w:cs="Arial"/>
          <w:szCs w:val="20"/>
          <w:lang w:val="nl-NL"/>
        </w:rPr>
        <w:t xml:space="preserve">Op grond van het eerste lid, onderdeel a, mogen inwoners van Chili die inkomen verkrijgen of die vermogen bezitten dat in overeenstemming met het Verdrag in Nederland aan belasting is onderworpen in Chili deze belasting verrekenen met de belasting die zij in Chili zijn verschuldigd met betrekking tot hetzelfde inkomen of vermogen, volgens de toepasselijke Chileense wetgeving (verrekeningsmethode). </w:t>
      </w:r>
    </w:p>
    <w:p w:rsidRPr="00494232" w:rsidR="00C77B49" w:rsidP="00C77B49" w:rsidRDefault="00C77B49" w14:paraId="27B01DE6" w14:textId="676FC953">
      <w:pPr>
        <w:rPr>
          <w:rFonts w:cs="Arial"/>
          <w:szCs w:val="20"/>
          <w:lang w:val="nl-NL"/>
        </w:rPr>
      </w:pPr>
      <w:r w:rsidRPr="00494232">
        <w:rPr>
          <w:rFonts w:cs="Arial"/>
          <w:szCs w:val="20"/>
          <w:lang w:val="nl-NL"/>
        </w:rPr>
        <w:t xml:space="preserve">Het eerste lid, onderdeel b, bevat het Chileense grondslagvoorbehoud. </w:t>
      </w:r>
      <w:r w:rsidR="00035CFC">
        <w:rPr>
          <w:rFonts w:cs="Arial"/>
          <w:szCs w:val="20"/>
          <w:lang w:val="nl-NL"/>
        </w:rPr>
        <w:t>D</w:t>
      </w:r>
      <w:r w:rsidR="00032FF7">
        <w:rPr>
          <w:rFonts w:cs="Arial"/>
          <w:szCs w:val="20"/>
          <w:lang w:val="nl-NL"/>
        </w:rPr>
        <w:t>at wil zeggen</w:t>
      </w:r>
      <w:r w:rsidR="00035CFC">
        <w:rPr>
          <w:rFonts w:cs="Arial"/>
          <w:szCs w:val="20"/>
          <w:lang w:val="nl-NL"/>
        </w:rPr>
        <w:t xml:space="preserve"> dat a</w:t>
      </w:r>
      <w:r w:rsidRPr="00494232" w:rsidR="00035CFC">
        <w:rPr>
          <w:rFonts w:cs="Arial"/>
          <w:szCs w:val="20"/>
          <w:lang w:val="nl-NL"/>
        </w:rPr>
        <w:t xml:space="preserve">ls </w:t>
      </w:r>
      <w:r w:rsidRPr="00494232">
        <w:rPr>
          <w:rFonts w:cs="Arial"/>
          <w:szCs w:val="20"/>
          <w:lang w:val="nl-NL"/>
        </w:rPr>
        <w:t xml:space="preserve">inkomen of vermogen op grond van het Verdrag niet in Chili mag worden belast, Chili dit inkomen of vermogen wel in aanmerking </w:t>
      </w:r>
      <w:r w:rsidRPr="00494232" w:rsidR="00035CFC">
        <w:rPr>
          <w:rFonts w:cs="Arial"/>
          <w:szCs w:val="20"/>
          <w:lang w:val="nl-NL"/>
        </w:rPr>
        <w:t xml:space="preserve">mag </w:t>
      </w:r>
      <w:r w:rsidRPr="00494232">
        <w:rPr>
          <w:rFonts w:cs="Arial"/>
          <w:szCs w:val="20"/>
          <w:lang w:val="nl-NL"/>
        </w:rPr>
        <w:t xml:space="preserve">nemen bij de berekening van de belasting over het overige inkomen of vermogen van de inwoner van Chili. </w:t>
      </w:r>
    </w:p>
    <w:p w:rsidRPr="00A805F5" w:rsidR="00C77B49" w:rsidP="00C77B49" w:rsidRDefault="00C77B49" w14:paraId="2A77B8E7" w14:textId="172AFA20">
      <w:pPr>
        <w:rPr>
          <w:rFonts w:cs="Arial"/>
          <w:szCs w:val="20"/>
          <w:lang w:val="nl-NL"/>
        </w:rPr>
      </w:pPr>
      <w:r w:rsidRPr="00A805F5">
        <w:rPr>
          <w:rFonts w:cs="Arial"/>
          <w:szCs w:val="20"/>
          <w:lang w:val="nl-NL"/>
        </w:rPr>
        <w:t xml:space="preserve">In het tweede lid is bepaald op welke wijze Nederland dubbele belasting vermijdt voor inwoners van Nederland voor inkomens- of vermogensbestanddelen die volgens het Verdrag in Chili mogen worden belast. </w:t>
      </w:r>
    </w:p>
    <w:p w:rsidRPr="00A805F5" w:rsidR="00C77B49" w:rsidP="00C77B49" w:rsidRDefault="00C77B49" w14:paraId="4DFD402C" w14:textId="79E83BF0">
      <w:pPr>
        <w:rPr>
          <w:rFonts w:cs="Arial"/>
          <w:szCs w:val="20"/>
          <w:lang w:val="nl-NL"/>
        </w:rPr>
      </w:pPr>
      <w:r w:rsidRPr="00A805F5">
        <w:rPr>
          <w:rFonts w:cs="Arial"/>
          <w:szCs w:val="20"/>
          <w:lang w:val="nl-NL"/>
        </w:rPr>
        <w:t xml:space="preserve">Het tweede lid bevat in de eerste zin het Nederlandse grondslagvoorbehoud. Nederland mag op grond hiervan inkomens- of vermogensbestanddelen die in Chili mogen worden belast in de grondslag betrekken waarnaar de Nederlandse belasting van zijn inwoners wordt geheven. Dit betekent met name dat Nederland het inkomen dat Chili mag belasten mee mag nemen bij de bepaling van het tarief en daarmee de tariefprogressie die met name in de inkomstenbelasting geldt mag effectueren. </w:t>
      </w:r>
    </w:p>
    <w:p w:rsidRPr="00A805F5" w:rsidR="00C77B49" w:rsidP="00C77B49" w:rsidRDefault="00C77B49" w14:paraId="0793B20D" w14:textId="6CA6B24F">
      <w:pPr>
        <w:rPr>
          <w:rFonts w:cs="Arial"/>
          <w:szCs w:val="20"/>
          <w:lang w:val="nl-NL"/>
        </w:rPr>
      </w:pPr>
      <w:r w:rsidRPr="00A805F5">
        <w:rPr>
          <w:rFonts w:cs="Arial"/>
          <w:szCs w:val="20"/>
          <w:lang w:val="nl-NL"/>
        </w:rPr>
        <w:t xml:space="preserve">Het tweede lid, onderdeel a, bepaalt vervolgens dat Nederland de daar </w:t>
      </w:r>
      <w:r w:rsidR="00EB5BF8">
        <w:rPr>
          <w:rFonts w:cs="Arial"/>
          <w:szCs w:val="20"/>
          <w:lang w:val="nl-NL"/>
        </w:rPr>
        <w:t xml:space="preserve">aangeduide </w:t>
      </w:r>
      <w:r w:rsidRPr="00A805F5">
        <w:rPr>
          <w:rFonts w:cs="Arial"/>
          <w:szCs w:val="20"/>
          <w:lang w:val="nl-NL"/>
        </w:rPr>
        <w:t xml:space="preserve">inkomens- of vermogensbestanddelen zal vrijstellen door een vermindering van belasting te geven volgens de </w:t>
      </w:r>
      <w:r w:rsidRPr="00A805F5">
        <w:rPr>
          <w:rFonts w:cs="Arial"/>
          <w:szCs w:val="20"/>
          <w:lang w:val="nl-NL"/>
        </w:rPr>
        <w:lastRenderedPageBreak/>
        <w:t>nationale regels ter voorkoming van dubbele belasting.</w:t>
      </w:r>
      <w:r w:rsidRPr="00A805F5" w:rsidR="000C5F2B">
        <w:rPr>
          <w:rFonts w:cs="Arial"/>
          <w:szCs w:val="20"/>
          <w:lang w:val="nl-NL"/>
        </w:rPr>
        <w:t xml:space="preserve"> Het gaat </w:t>
      </w:r>
      <w:r w:rsidRPr="00A805F5" w:rsidR="00B411A9">
        <w:rPr>
          <w:rFonts w:cs="Arial"/>
          <w:szCs w:val="20"/>
          <w:lang w:val="nl-NL"/>
        </w:rPr>
        <w:t xml:space="preserve">met name </w:t>
      </w:r>
      <w:r w:rsidRPr="00A805F5" w:rsidR="000C5F2B">
        <w:rPr>
          <w:rFonts w:cs="Arial"/>
          <w:szCs w:val="20"/>
          <w:lang w:val="nl-NL"/>
        </w:rPr>
        <w:t xml:space="preserve">om inkomen uit </w:t>
      </w:r>
      <w:r w:rsidRPr="00A805F5" w:rsidR="00385D26">
        <w:rPr>
          <w:rFonts w:cs="Arial"/>
          <w:szCs w:val="20"/>
          <w:lang w:val="nl-NL"/>
        </w:rPr>
        <w:t xml:space="preserve">(vervreemding van) </w:t>
      </w:r>
      <w:r w:rsidRPr="00A805F5" w:rsidR="000C5F2B">
        <w:rPr>
          <w:rFonts w:cs="Arial"/>
          <w:szCs w:val="20"/>
          <w:lang w:val="nl-NL"/>
        </w:rPr>
        <w:t>onroerende zaken</w:t>
      </w:r>
      <w:r w:rsidR="005A788E">
        <w:rPr>
          <w:rFonts w:cs="Arial"/>
          <w:szCs w:val="20"/>
          <w:lang w:val="nl-NL"/>
        </w:rPr>
        <w:t xml:space="preserve"> (of wat betreft vermogensbelasting: onroerende zaken)</w:t>
      </w:r>
      <w:r w:rsidRPr="00A805F5" w:rsidR="000C5F2B">
        <w:rPr>
          <w:rFonts w:cs="Arial"/>
          <w:szCs w:val="20"/>
          <w:lang w:val="nl-NL"/>
        </w:rPr>
        <w:t xml:space="preserve">, inkomen </w:t>
      </w:r>
      <w:r w:rsidR="005A788E">
        <w:rPr>
          <w:rFonts w:cs="Arial"/>
          <w:szCs w:val="20"/>
          <w:lang w:val="nl-NL"/>
        </w:rPr>
        <w:t xml:space="preserve">of vermogen </w:t>
      </w:r>
      <w:r w:rsidRPr="00A805F5" w:rsidR="000C5F2B">
        <w:rPr>
          <w:rFonts w:cs="Arial"/>
          <w:szCs w:val="20"/>
          <w:lang w:val="nl-NL"/>
        </w:rPr>
        <w:t>toerekenbaar aan een vaste inrichting of vast middelpunt</w:t>
      </w:r>
      <w:r w:rsidRPr="00A805F5" w:rsidR="00385D26">
        <w:rPr>
          <w:rFonts w:cs="Arial"/>
          <w:szCs w:val="20"/>
          <w:lang w:val="nl-NL"/>
        </w:rPr>
        <w:t>, inkomen uit niet-zelfstandige arbeid, sociale zekerheidsuitkeringen</w:t>
      </w:r>
      <w:r w:rsidRPr="00A805F5" w:rsidR="007061D1">
        <w:rPr>
          <w:rFonts w:cs="Arial"/>
          <w:szCs w:val="20"/>
          <w:lang w:val="nl-NL"/>
        </w:rPr>
        <w:t xml:space="preserve">, pensioenen en lijfrenten </w:t>
      </w:r>
      <w:r w:rsidRPr="00A805F5" w:rsidR="00385D26">
        <w:rPr>
          <w:rFonts w:cs="Arial"/>
          <w:szCs w:val="20"/>
          <w:lang w:val="nl-NL"/>
        </w:rPr>
        <w:t>onder het pensioenartikel</w:t>
      </w:r>
      <w:r w:rsidR="005A788E">
        <w:rPr>
          <w:rFonts w:cs="Arial"/>
          <w:szCs w:val="20"/>
          <w:lang w:val="nl-NL"/>
        </w:rPr>
        <w:t xml:space="preserve"> en</w:t>
      </w:r>
      <w:r w:rsidRPr="00A805F5" w:rsidR="00385D26">
        <w:rPr>
          <w:rFonts w:cs="Arial"/>
          <w:szCs w:val="20"/>
          <w:lang w:val="nl-NL"/>
        </w:rPr>
        <w:t xml:space="preserve"> inkomen uit overheidsdienst voor de </w:t>
      </w:r>
      <w:r w:rsidRPr="00A805F5" w:rsidR="00B411A9">
        <w:rPr>
          <w:rFonts w:cs="Arial"/>
          <w:szCs w:val="20"/>
          <w:lang w:val="nl-NL"/>
        </w:rPr>
        <w:t>andere verdragsluitende staat</w:t>
      </w:r>
      <w:r w:rsidRPr="00A805F5" w:rsidR="00385D26">
        <w:rPr>
          <w:rFonts w:cs="Arial"/>
          <w:szCs w:val="20"/>
          <w:lang w:val="nl-NL"/>
        </w:rPr>
        <w:t>.</w:t>
      </w:r>
    </w:p>
    <w:p w:rsidRPr="00A805F5" w:rsidR="00C77B49" w:rsidP="00C77B49" w:rsidRDefault="00C77B49" w14:paraId="48225CF0" w14:textId="7C6CCE70">
      <w:pPr>
        <w:ind w:firstLine="720"/>
        <w:rPr>
          <w:rFonts w:cs="Arial"/>
          <w:szCs w:val="20"/>
          <w:highlight w:val="lightGray"/>
          <w:lang w:val="nl-NL"/>
        </w:rPr>
      </w:pPr>
      <w:r w:rsidRPr="00A805F5">
        <w:rPr>
          <w:rFonts w:cs="Arial"/>
          <w:szCs w:val="20"/>
          <w:lang w:val="nl-NL"/>
        </w:rPr>
        <w:t xml:space="preserve">In het tweede lid, onderdeel b, wordt voor andere inkomensbestanddelen waarover Chili (ook) mag heffen uitgewerkt dat Nederland in die gevallen een </w:t>
      </w:r>
      <w:r w:rsidR="005A788E">
        <w:rPr>
          <w:rFonts w:cs="Arial"/>
          <w:szCs w:val="20"/>
          <w:lang w:val="nl-NL"/>
        </w:rPr>
        <w:t>vermindering</w:t>
      </w:r>
      <w:r w:rsidRPr="00A805F5" w:rsidR="005A788E">
        <w:rPr>
          <w:rFonts w:cs="Arial"/>
          <w:szCs w:val="20"/>
          <w:lang w:val="nl-NL"/>
        </w:rPr>
        <w:t xml:space="preserve"> </w:t>
      </w:r>
      <w:r w:rsidRPr="00A805F5">
        <w:rPr>
          <w:rFonts w:cs="Arial"/>
          <w:szCs w:val="20"/>
          <w:lang w:val="nl-NL"/>
        </w:rPr>
        <w:t xml:space="preserve">ter vermijding van dubbele belasting verleent volgens de verrekeningsmethode met evenredigheidslimiet. </w:t>
      </w:r>
      <w:r w:rsidRPr="00494232" w:rsidR="00766102">
        <w:rPr>
          <w:rFonts w:cs="Arial"/>
          <w:szCs w:val="20"/>
          <w:lang w:val="nl-NL"/>
        </w:rPr>
        <w:t xml:space="preserve">Het betreft onder meer inkomen waarvoor </w:t>
      </w:r>
      <w:r w:rsidRPr="00494232" w:rsidR="001A47A3">
        <w:rPr>
          <w:rFonts w:cs="Arial"/>
          <w:szCs w:val="20"/>
          <w:lang w:val="nl-NL"/>
        </w:rPr>
        <w:t>geen</w:t>
      </w:r>
      <w:r w:rsidRPr="00494232" w:rsidR="00766102">
        <w:rPr>
          <w:rFonts w:cs="Arial"/>
          <w:szCs w:val="20"/>
          <w:lang w:val="nl-NL"/>
        </w:rPr>
        <w:t xml:space="preserve"> aanwezigheid in de andere </w:t>
      </w:r>
      <w:proofErr w:type="spellStart"/>
      <w:r w:rsidRPr="00494232" w:rsidR="00766102">
        <w:rPr>
          <w:rFonts w:cs="Arial"/>
          <w:szCs w:val="20"/>
          <w:lang w:val="nl-NL"/>
        </w:rPr>
        <w:t>verdragssluitende</w:t>
      </w:r>
      <w:proofErr w:type="spellEnd"/>
      <w:r w:rsidRPr="00494232" w:rsidR="00766102">
        <w:rPr>
          <w:rFonts w:cs="Arial"/>
          <w:szCs w:val="20"/>
          <w:lang w:val="nl-NL"/>
        </w:rPr>
        <w:t xml:space="preserve"> staat</w:t>
      </w:r>
      <w:r w:rsidRPr="00494232" w:rsidR="001A47A3">
        <w:rPr>
          <w:rFonts w:cs="Arial"/>
          <w:szCs w:val="20"/>
          <w:lang w:val="nl-NL"/>
        </w:rPr>
        <w:t xml:space="preserve"> is vereist</w:t>
      </w:r>
      <w:r w:rsidRPr="00494232" w:rsidR="00766102">
        <w:rPr>
          <w:rFonts w:cs="Arial"/>
          <w:szCs w:val="20"/>
          <w:lang w:val="nl-NL"/>
        </w:rPr>
        <w:t xml:space="preserve">, </w:t>
      </w:r>
      <w:r w:rsidRPr="00A805F5">
        <w:rPr>
          <w:rFonts w:cs="Arial"/>
          <w:szCs w:val="20"/>
          <w:lang w:val="nl-NL"/>
        </w:rPr>
        <w:t>zoals dividenden, interest en royalty’s. Deze verrekeningsmethode geldt echter ook voor onder meer (her)verzekeringspremies, vermogenswinsten op aandelen, bestuurdersbeloningen, inkomensbestanddelen van artiesten en sporters, afkoopsommen van onder meer pensioenen en alimentatiebetalingen waarvoor een bronstaatheffing geldt. Verder is in de derde volzin van het tweede lid, onderdeel b, expliciet vastgelegd dat het Verdrag niet afdoet aan de toepassing van de in de Nederlandse regelgeving vastgelegde ‘gezamenlijke methode’ en voortwentelingsmogelijkheden bij de verrekening van, in dit geval, Chileense belasting.</w:t>
      </w:r>
    </w:p>
    <w:p w:rsidRPr="00A805F5" w:rsidR="00C77B49" w:rsidP="00C77B49" w:rsidRDefault="00C77B49" w14:paraId="69543036" w14:textId="77777777">
      <w:pPr>
        <w:rPr>
          <w:rFonts w:cs="Arial"/>
          <w:szCs w:val="20"/>
          <w:lang w:val="nl-NL"/>
        </w:rPr>
      </w:pPr>
      <w:r w:rsidRPr="00A805F5">
        <w:rPr>
          <w:rFonts w:cs="Arial"/>
          <w:szCs w:val="20"/>
          <w:lang w:val="nl-NL"/>
        </w:rPr>
        <w:t>In het tweede lid, onderdeel c, is bepaald dat Nederland bij het vermijden van dubbele belasting over winst behaald met een in Chili gelegen vaste inrichting, de verrekeningsmethode hanteert in plaats van de vrijstellingsmethode, indien op grond van de Nederlandse regelgeving die methode toepassing vindt bij het vermijden van dubbele belasting over die inkomsten. Dit is de zogenoemde ‘</w:t>
      </w:r>
      <w:r w:rsidRPr="00A805F5">
        <w:rPr>
          <w:rFonts w:cs="Arial"/>
          <w:i/>
          <w:szCs w:val="20"/>
          <w:lang w:val="nl-NL"/>
        </w:rPr>
        <w:t>switch-over clause</w:t>
      </w:r>
      <w:r w:rsidRPr="00A805F5">
        <w:rPr>
          <w:rFonts w:cs="Arial"/>
          <w:szCs w:val="20"/>
          <w:lang w:val="nl-NL"/>
        </w:rPr>
        <w:t xml:space="preserve">’. </w:t>
      </w:r>
    </w:p>
    <w:p w:rsidRPr="00A805F5" w:rsidR="00C77B49" w:rsidP="00C77B49" w:rsidRDefault="00C77B49" w14:paraId="5DCA7D54" w14:textId="77777777">
      <w:pPr>
        <w:ind w:firstLine="720"/>
        <w:rPr>
          <w:rFonts w:cs="Arial"/>
          <w:szCs w:val="20"/>
          <w:lang w:val="nl-NL"/>
        </w:rPr>
      </w:pPr>
      <w:r w:rsidRPr="00A805F5">
        <w:rPr>
          <w:rFonts w:cs="Arial"/>
          <w:szCs w:val="20"/>
          <w:lang w:val="nl-NL"/>
        </w:rPr>
        <w:t>Het tweede lid, onderdeel d, bevat een aanvulling op de vrijstellingsmethode. Op grond van deze bepaling is Nederland niet gehouden de vrijstellingsmethode toe te passen voor inkomen dat door toepassing van de verdragsbepalingen door Chili aldaar wordt vrijgesteld of tegen een lager tarief wordt belast op grond van de artikelen 10, 11 of 12 van het Verdrag. In dat geval geldt de verrekeningsmethode van het tweede lid, onderdeel b. Deze bepaling is gebaseerd op een voorstel uit het rapport bij BEPS-actie 2 en is in lijn met de keuze die Nederland op dit punt bij het MLI heeft gemaakt. De bepaling komt inhoudelijk overeen met artikel 23A, vierde lid, van het OESO-modelverdrag.</w:t>
      </w:r>
    </w:p>
    <w:p w:rsidRPr="00A805F5" w:rsidR="00C77B49" w:rsidP="00C77B49" w:rsidRDefault="00C77B49" w14:paraId="3C36E711" w14:textId="03A2FF79">
      <w:pPr>
        <w:ind w:firstLine="720"/>
        <w:rPr>
          <w:rFonts w:cs="Arial"/>
          <w:szCs w:val="20"/>
          <w:lang w:val="nl-NL"/>
        </w:rPr>
      </w:pPr>
      <w:r w:rsidRPr="00A805F5">
        <w:rPr>
          <w:rFonts w:cs="Arial"/>
          <w:szCs w:val="20"/>
          <w:lang w:val="nl-NL"/>
        </w:rPr>
        <w:t xml:space="preserve">Ook het derde lid is ontleend aan het rapport bij BEPS-actie 6 en komt inhoudelijk overeen met artikel 1, tweede lid, van het MLI en is tevens opgenomen in artikel 23A, eerste lid, van het OESO-modelverdrag. Deze bepaling verduidelijkt dat Chili noch Nederland bij eigen inwoners gehouden is een vermindering ter vermijding van dubbele belasting te verlenen als sprake is van inkomen of vermogen dat in de andere verdragsluitende staat mag worden belast enkel omdat dit inkomen of vermogen ook inkomen is dat is verkregen door of vermogen is </w:t>
      </w:r>
      <w:r w:rsidR="002336DC">
        <w:rPr>
          <w:rFonts w:cs="Arial"/>
          <w:szCs w:val="20"/>
          <w:lang w:val="nl-NL"/>
        </w:rPr>
        <w:t xml:space="preserve">dat </w:t>
      </w:r>
      <w:r w:rsidRPr="00A805F5">
        <w:rPr>
          <w:rFonts w:cs="Arial"/>
          <w:szCs w:val="20"/>
          <w:lang w:val="nl-NL"/>
        </w:rPr>
        <w:t xml:space="preserve">in </w:t>
      </w:r>
      <w:r w:rsidR="002336DC">
        <w:rPr>
          <w:rFonts w:cs="Arial"/>
          <w:szCs w:val="20"/>
          <w:lang w:val="nl-NL"/>
        </w:rPr>
        <w:t xml:space="preserve">het </w:t>
      </w:r>
      <w:r w:rsidRPr="00A805F5">
        <w:rPr>
          <w:rFonts w:cs="Arial"/>
          <w:szCs w:val="20"/>
          <w:lang w:val="nl-NL"/>
        </w:rPr>
        <w:t xml:space="preserve">bezit </w:t>
      </w:r>
      <w:r w:rsidR="002336DC">
        <w:rPr>
          <w:rFonts w:cs="Arial"/>
          <w:szCs w:val="20"/>
          <w:lang w:val="nl-NL"/>
        </w:rPr>
        <w:t xml:space="preserve">is </w:t>
      </w:r>
      <w:r w:rsidRPr="00A805F5">
        <w:rPr>
          <w:rFonts w:cs="Arial"/>
          <w:szCs w:val="20"/>
          <w:lang w:val="nl-NL"/>
        </w:rPr>
        <w:t xml:space="preserve">van een inwoner van de andere verdragsluitende staat. </w:t>
      </w:r>
      <w:r w:rsidRPr="00A805F5" w:rsidR="002B401A">
        <w:rPr>
          <w:rFonts w:cs="Arial"/>
          <w:szCs w:val="20"/>
          <w:lang w:val="nl-NL"/>
        </w:rPr>
        <w:t xml:space="preserve">Als bijvoorbeeld een inwoner van Nederland inkomen uit een derde land </w:t>
      </w:r>
      <w:r w:rsidRPr="00A805F5" w:rsidR="00777ED5">
        <w:rPr>
          <w:rFonts w:cs="Arial"/>
          <w:szCs w:val="20"/>
          <w:lang w:val="nl-NL"/>
        </w:rPr>
        <w:t>ontvangt</w:t>
      </w:r>
      <w:r w:rsidRPr="00A805F5" w:rsidR="002B401A">
        <w:rPr>
          <w:rFonts w:cs="Arial"/>
          <w:szCs w:val="20"/>
          <w:lang w:val="nl-NL"/>
        </w:rPr>
        <w:t xml:space="preserve"> via een entiteit die Nederland als fisc</w:t>
      </w:r>
      <w:r w:rsidRPr="00A805F5" w:rsidR="00777ED5">
        <w:rPr>
          <w:rFonts w:cs="Arial"/>
          <w:szCs w:val="20"/>
          <w:lang w:val="nl-NL"/>
        </w:rPr>
        <w:t xml:space="preserve">aal transparant beschouwt, maar die Chili als niet-transparant beschouwt en belast, is Nederland niet gehouden </w:t>
      </w:r>
      <w:r w:rsidRPr="00A805F5" w:rsidR="0063751A">
        <w:rPr>
          <w:rFonts w:cs="Arial"/>
          <w:szCs w:val="20"/>
          <w:lang w:val="nl-NL"/>
        </w:rPr>
        <w:t xml:space="preserve">een vrijstelling of verrekening van belasting te verlenen </w:t>
      </w:r>
      <w:r w:rsidRPr="00A805F5" w:rsidR="00777ED5">
        <w:rPr>
          <w:rFonts w:cs="Arial"/>
          <w:szCs w:val="20"/>
          <w:lang w:val="nl-NL"/>
        </w:rPr>
        <w:t>enkel omdat Chili dit inkomen ook beschouwt als inkomen van een inwoner</w:t>
      </w:r>
      <w:r w:rsidRPr="00A805F5" w:rsidR="0063751A">
        <w:rPr>
          <w:rFonts w:cs="Arial"/>
          <w:szCs w:val="20"/>
          <w:lang w:val="nl-NL"/>
        </w:rPr>
        <w:t xml:space="preserve">. </w:t>
      </w:r>
      <w:r w:rsidRPr="00A805F5">
        <w:rPr>
          <w:rFonts w:cs="Arial"/>
          <w:szCs w:val="20"/>
          <w:lang w:val="nl-NL"/>
        </w:rPr>
        <w:t xml:space="preserve">Hiermee wordt bevestigd dat uit de bepaling van artikel 1, tweede lid, van het Verdrag </w:t>
      </w:r>
      <w:r w:rsidR="00247FB9">
        <w:rPr>
          <w:rFonts w:cs="Arial"/>
          <w:szCs w:val="20"/>
          <w:lang w:val="nl-NL"/>
        </w:rPr>
        <w:t xml:space="preserve">– </w:t>
      </w:r>
      <w:r w:rsidRPr="00A805F5">
        <w:rPr>
          <w:rFonts w:cs="Arial"/>
          <w:szCs w:val="20"/>
          <w:lang w:val="nl-NL"/>
        </w:rPr>
        <w:t xml:space="preserve"> </w:t>
      </w:r>
      <w:r w:rsidRPr="00A805F5">
        <w:rPr>
          <w:rFonts w:cs="Arial"/>
          <w:szCs w:val="20"/>
          <w:lang w:val="nl-NL"/>
        </w:rPr>
        <w:lastRenderedPageBreak/>
        <w:t>over de verdragstoepassing bij situaties van hybride entiteiten – niet voortvloeit dat een verdragsluitende staat daardoor beperkt zou worden in de belastingheffing van eigen inwoners.</w:t>
      </w:r>
      <w:r w:rsidRPr="00A805F5" w:rsidR="0063751A">
        <w:rPr>
          <w:rFonts w:cs="Arial"/>
          <w:szCs w:val="20"/>
          <w:lang w:val="nl-NL"/>
        </w:rPr>
        <w:t xml:space="preserve"> </w:t>
      </w:r>
    </w:p>
    <w:p w:rsidRPr="00A805F5" w:rsidR="00C77B49" w:rsidP="00C77B49" w:rsidRDefault="00C77B49" w14:paraId="214B5211" w14:textId="77777777">
      <w:pPr>
        <w:keepNext/>
        <w:numPr>
          <w:ilvl w:val="1"/>
          <w:numId w:val="0"/>
        </w:numPr>
        <w:spacing w:before="240" w:after="60"/>
        <w:outlineLvl w:val="1"/>
        <w:rPr>
          <w:rFonts w:cs="Arial"/>
          <w:i/>
          <w:iCs/>
          <w:szCs w:val="20"/>
          <w:lang w:val="nl-NL"/>
        </w:rPr>
      </w:pPr>
      <w:r w:rsidRPr="00A805F5">
        <w:rPr>
          <w:rFonts w:cs="Arial"/>
          <w:i/>
          <w:iCs/>
          <w:szCs w:val="20"/>
          <w:lang w:val="nl-NL"/>
        </w:rPr>
        <w:t>II.24 Non-discriminatie (Artikel 24 van het Verdrag)</w:t>
      </w:r>
    </w:p>
    <w:p w:rsidRPr="00A805F5" w:rsidR="00C77B49" w:rsidP="00C77B49" w:rsidRDefault="00C77B49" w14:paraId="61981650" w14:textId="77777777">
      <w:pPr>
        <w:ind w:firstLine="0"/>
        <w:rPr>
          <w:rFonts w:cs="Arial"/>
          <w:szCs w:val="20"/>
          <w:lang w:val="nl-NL"/>
        </w:rPr>
      </w:pPr>
      <w:r w:rsidRPr="00494232">
        <w:rPr>
          <w:rFonts w:cs="Arial"/>
          <w:szCs w:val="20"/>
          <w:lang w:val="nl-NL"/>
        </w:rPr>
        <w:tab/>
      </w:r>
      <w:r w:rsidRPr="00A805F5">
        <w:rPr>
          <w:rFonts w:cs="Arial"/>
          <w:szCs w:val="20"/>
          <w:lang w:val="nl-NL"/>
        </w:rPr>
        <w:t>Artikel 24 van het Verdrag bevat bepalingen tegen discriminatie en is grotendeels gebaseerd op artikel 24 van het OESO-modelverdrag. Een bepaling over staatloze personen (conform artikel 24, tweede lid, van het OESO-modelverdrag) is – op verzoek van Chili – achterwege gelaten. Vanwege de beperkte praktische betekenis, heeft Nederland hiermee ingestemd.</w:t>
      </w:r>
    </w:p>
    <w:p w:rsidRPr="00A805F5" w:rsidR="00C77B49" w:rsidP="00C77B49" w:rsidRDefault="00C77B49" w14:paraId="229CE77C" w14:textId="77777777">
      <w:pPr>
        <w:rPr>
          <w:rFonts w:cs="Arial"/>
          <w:szCs w:val="20"/>
          <w:lang w:val="nl-NL"/>
        </w:rPr>
      </w:pPr>
      <w:r w:rsidRPr="00A805F5">
        <w:rPr>
          <w:rFonts w:cs="Arial"/>
          <w:szCs w:val="20"/>
          <w:lang w:val="nl-NL"/>
        </w:rPr>
        <w:t xml:space="preserve">Het eerste lid verbiedt dat onderdanen van een verdragsluitende staat in de andere verdragsluitende staat onder gelijke omstandigheden worden onderworpen aan belastingheffing of daarmee verband houdende verplichtingen die anders of zwaarder zijn dan die waaraan de eigen onderdanen worden onderworpen. </w:t>
      </w:r>
    </w:p>
    <w:p w:rsidRPr="00A805F5" w:rsidR="00C77B49" w:rsidP="00C77B49" w:rsidRDefault="00C77B49" w14:paraId="78695384" w14:textId="76132A48">
      <w:pPr>
        <w:rPr>
          <w:rFonts w:cs="Arial"/>
          <w:szCs w:val="20"/>
          <w:lang w:val="nl-NL"/>
        </w:rPr>
      </w:pPr>
      <w:r w:rsidRPr="00A805F5">
        <w:rPr>
          <w:rFonts w:cs="Arial"/>
          <w:szCs w:val="20"/>
          <w:lang w:val="nl-NL"/>
        </w:rPr>
        <w:t>Het tweede lid komt overeen met artikel 24, derde lid, eerste volzin, van het OESO-modelverdrag. Op grond van deze bepaling mag een vaste inrichting die een onderneming van een verdragsluitende staat in de andere verdragsluitende staat heeft aldaar niet ongunstiger belast worden dan een onderneming van die andere staat. Opmerking verdient dat artikel 30, vierde lid, van het Verdrag het wel mogelijk maakt dat Chili winsten van een inwoner van Nederland die toerekenbaar zijn aan een vaste inrichting in Chili belast volgens het Chileense systeem van de belasting van de eerste categorie (</w:t>
      </w:r>
      <w:proofErr w:type="spellStart"/>
      <w:r w:rsidRPr="00CF1D7D" w:rsidR="00F23DF9">
        <w:rPr>
          <w:i/>
          <w:szCs w:val="20"/>
          <w:lang w:val="nl-NL"/>
        </w:rPr>
        <w:t>impuesto</w:t>
      </w:r>
      <w:proofErr w:type="spellEnd"/>
      <w:r w:rsidRPr="00CF1D7D" w:rsidR="00F23DF9">
        <w:rPr>
          <w:i/>
          <w:szCs w:val="20"/>
          <w:lang w:val="nl-NL"/>
        </w:rPr>
        <w:t xml:space="preserve"> de </w:t>
      </w:r>
      <w:proofErr w:type="spellStart"/>
      <w:r w:rsidRPr="00CF1D7D" w:rsidR="00F23DF9">
        <w:rPr>
          <w:i/>
          <w:szCs w:val="20"/>
          <w:lang w:val="nl-NL"/>
        </w:rPr>
        <w:t>primera</w:t>
      </w:r>
      <w:proofErr w:type="spellEnd"/>
      <w:r w:rsidRPr="00CF1D7D" w:rsidR="00F23DF9">
        <w:rPr>
          <w:i/>
          <w:szCs w:val="20"/>
          <w:lang w:val="nl-NL"/>
        </w:rPr>
        <w:t xml:space="preserve"> </w:t>
      </w:r>
      <w:proofErr w:type="spellStart"/>
      <w:r w:rsidRPr="00CF1D7D" w:rsidR="00F23DF9">
        <w:rPr>
          <w:i/>
          <w:szCs w:val="20"/>
          <w:lang w:val="nl-NL"/>
        </w:rPr>
        <w:t>categoría</w:t>
      </w:r>
      <w:proofErr w:type="spellEnd"/>
      <w:r w:rsidRPr="00A805F5">
        <w:rPr>
          <w:rFonts w:cs="Arial"/>
          <w:szCs w:val="20"/>
          <w:lang w:val="nl-NL"/>
        </w:rPr>
        <w:t>) en de aanvullende belasting (</w:t>
      </w:r>
      <w:proofErr w:type="spellStart"/>
      <w:r w:rsidRPr="00494232" w:rsidR="00F23DF9">
        <w:rPr>
          <w:rFonts w:cs="Arial"/>
          <w:i/>
          <w:szCs w:val="20"/>
          <w:lang w:val="nl-NL"/>
        </w:rPr>
        <w:t>impuesto</w:t>
      </w:r>
      <w:proofErr w:type="spellEnd"/>
      <w:r w:rsidRPr="00494232" w:rsidR="00F23DF9">
        <w:rPr>
          <w:rFonts w:cs="Arial"/>
          <w:i/>
          <w:szCs w:val="20"/>
          <w:lang w:val="nl-NL"/>
        </w:rPr>
        <w:t xml:space="preserve"> </w:t>
      </w:r>
      <w:proofErr w:type="spellStart"/>
      <w:r w:rsidRPr="00494232" w:rsidR="00F23DF9">
        <w:rPr>
          <w:rFonts w:cs="Arial"/>
          <w:i/>
          <w:szCs w:val="20"/>
          <w:lang w:val="nl-NL"/>
        </w:rPr>
        <w:t>adicional</w:t>
      </w:r>
      <w:proofErr w:type="spellEnd"/>
      <w:r w:rsidRPr="00A805F5">
        <w:rPr>
          <w:rFonts w:cs="Arial"/>
          <w:szCs w:val="20"/>
          <w:lang w:val="nl-NL"/>
        </w:rPr>
        <w:t>), maar alleen zolang de eerste categorie (</w:t>
      </w:r>
      <w:proofErr w:type="spellStart"/>
      <w:r w:rsidRPr="00CF1D7D" w:rsidR="00F23DF9">
        <w:rPr>
          <w:i/>
          <w:szCs w:val="20"/>
          <w:lang w:val="nl-NL"/>
        </w:rPr>
        <w:t>impuesto</w:t>
      </w:r>
      <w:proofErr w:type="spellEnd"/>
      <w:r w:rsidRPr="00CF1D7D" w:rsidR="00F23DF9">
        <w:rPr>
          <w:i/>
          <w:szCs w:val="20"/>
          <w:lang w:val="nl-NL"/>
        </w:rPr>
        <w:t xml:space="preserve"> de </w:t>
      </w:r>
      <w:proofErr w:type="spellStart"/>
      <w:r w:rsidRPr="00CF1D7D" w:rsidR="00F23DF9">
        <w:rPr>
          <w:i/>
          <w:szCs w:val="20"/>
          <w:lang w:val="nl-NL"/>
        </w:rPr>
        <w:t>primera</w:t>
      </w:r>
      <w:proofErr w:type="spellEnd"/>
      <w:r w:rsidRPr="00CF1D7D" w:rsidR="00F23DF9">
        <w:rPr>
          <w:i/>
          <w:szCs w:val="20"/>
          <w:lang w:val="nl-NL"/>
        </w:rPr>
        <w:t xml:space="preserve"> </w:t>
      </w:r>
      <w:proofErr w:type="spellStart"/>
      <w:r w:rsidRPr="00CF1D7D" w:rsidR="00F23DF9">
        <w:rPr>
          <w:i/>
          <w:szCs w:val="20"/>
          <w:lang w:val="nl-NL"/>
        </w:rPr>
        <w:t>categoría</w:t>
      </w:r>
      <w:proofErr w:type="spellEnd"/>
      <w:r w:rsidRPr="00A805F5">
        <w:rPr>
          <w:rFonts w:cs="Arial"/>
          <w:szCs w:val="20"/>
          <w:lang w:val="nl-NL"/>
        </w:rPr>
        <w:t>) verrekenbaar is met de aanvullende belasting (</w:t>
      </w:r>
      <w:proofErr w:type="spellStart"/>
      <w:r w:rsidRPr="00494232" w:rsidR="00F23DF9">
        <w:rPr>
          <w:rFonts w:cs="Arial"/>
          <w:i/>
          <w:szCs w:val="20"/>
          <w:lang w:val="nl-NL"/>
        </w:rPr>
        <w:t>impuesto</w:t>
      </w:r>
      <w:proofErr w:type="spellEnd"/>
      <w:r w:rsidRPr="00494232" w:rsidR="00F23DF9">
        <w:rPr>
          <w:rFonts w:cs="Arial"/>
          <w:i/>
          <w:szCs w:val="20"/>
          <w:lang w:val="nl-NL"/>
        </w:rPr>
        <w:t xml:space="preserve"> </w:t>
      </w:r>
      <w:proofErr w:type="spellStart"/>
      <w:r w:rsidRPr="00494232" w:rsidR="00F23DF9">
        <w:rPr>
          <w:rFonts w:cs="Arial"/>
          <w:i/>
          <w:szCs w:val="20"/>
          <w:lang w:val="nl-NL"/>
        </w:rPr>
        <w:t>adicional</w:t>
      </w:r>
      <w:proofErr w:type="spellEnd"/>
      <w:r w:rsidRPr="00A805F5">
        <w:rPr>
          <w:rFonts w:cs="Arial"/>
          <w:szCs w:val="20"/>
          <w:lang w:val="nl-NL"/>
        </w:rPr>
        <w:t xml:space="preserve">). </w:t>
      </w:r>
      <w:r w:rsidRPr="00A805F5" w:rsidR="00BD0101">
        <w:rPr>
          <w:rFonts w:cs="Arial"/>
          <w:szCs w:val="20"/>
          <w:lang w:val="nl-NL"/>
        </w:rPr>
        <w:t>Nederland heeft dit geaccepteerd, omdat hier in feite dezelfde systematiek wordt toegepast als bij dividenden die v</w:t>
      </w:r>
      <w:r w:rsidRPr="00A805F5" w:rsidR="00B411A9">
        <w:rPr>
          <w:rFonts w:cs="Arial"/>
          <w:szCs w:val="20"/>
          <w:lang w:val="nl-NL"/>
        </w:rPr>
        <w:t>anuit een lichaam in Chili worden</w:t>
      </w:r>
      <w:r w:rsidRPr="00A805F5" w:rsidR="00BD0101">
        <w:rPr>
          <w:rFonts w:cs="Arial"/>
          <w:szCs w:val="20"/>
          <w:lang w:val="nl-NL"/>
        </w:rPr>
        <w:t xml:space="preserve"> uitgekeerd aan </w:t>
      </w:r>
      <w:r w:rsidR="006C188C">
        <w:rPr>
          <w:rFonts w:cs="Arial"/>
          <w:szCs w:val="20"/>
          <w:lang w:val="nl-NL"/>
        </w:rPr>
        <w:t>zijn</w:t>
      </w:r>
      <w:r w:rsidRPr="00A805F5" w:rsidR="00777ED5">
        <w:rPr>
          <w:rFonts w:cs="Arial"/>
          <w:szCs w:val="20"/>
          <w:lang w:val="nl-NL"/>
        </w:rPr>
        <w:t xml:space="preserve"> </w:t>
      </w:r>
      <w:r w:rsidRPr="00A805F5" w:rsidR="00BD0101">
        <w:rPr>
          <w:rFonts w:cs="Arial"/>
          <w:szCs w:val="20"/>
          <w:lang w:val="nl-NL"/>
        </w:rPr>
        <w:t>aandeelhouder die inwoner van Nederland is.</w:t>
      </w:r>
    </w:p>
    <w:p w:rsidRPr="00A805F5" w:rsidR="00C77B49" w:rsidP="00C77B49" w:rsidRDefault="00C77B49" w14:paraId="7BB5D620" w14:textId="77777777">
      <w:pPr>
        <w:rPr>
          <w:rFonts w:cs="Arial"/>
          <w:szCs w:val="20"/>
          <w:highlight w:val="lightGray"/>
          <w:lang w:val="nl-NL"/>
        </w:rPr>
      </w:pPr>
      <w:r w:rsidRPr="00A805F5">
        <w:rPr>
          <w:rFonts w:cs="Arial"/>
          <w:szCs w:val="20"/>
          <w:lang w:val="nl-NL"/>
        </w:rPr>
        <w:t xml:space="preserve">Het derde lid bepaalt dat het artikel niet mag worden uitgelegd als een verplichting om inwoners van de andere verdragsluitende staat dezelfde persoonlijke aftrekken, tegemoetkomingen en verminderingen op grond van de </w:t>
      </w:r>
      <w:proofErr w:type="spellStart"/>
      <w:r w:rsidRPr="00A805F5">
        <w:rPr>
          <w:rFonts w:cs="Arial"/>
          <w:szCs w:val="20"/>
          <w:lang w:val="nl-NL"/>
        </w:rPr>
        <w:t>burgelijke</w:t>
      </w:r>
      <w:proofErr w:type="spellEnd"/>
      <w:r w:rsidRPr="00A805F5">
        <w:rPr>
          <w:rFonts w:cs="Arial"/>
          <w:szCs w:val="20"/>
          <w:lang w:val="nl-NL"/>
        </w:rPr>
        <w:t xml:space="preserve"> staat, de samenstelling van het gezin of gezinslasten te verlenen als aan eigen inwoners.</w:t>
      </w:r>
    </w:p>
    <w:p w:rsidRPr="00A805F5" w:rsidR="00C77B49" w:rsidP="00C77B49" w:rsidRDefault="00C77B49" w14:paraId="09E48E7A" w14:textId="20927AD0">
      <w:pPr>
        <w:rPr>
          <w:rFonts w:cs="Arial"/>
          <w:szCs w:val="20"/>
          <w:lang w:val="nl-NL"/>
        </w:rPr>
      </w:pPr>
      <w:r w:rsidRPr="00A805F5">
        <w:rPr>
          <w:rFonts w:cs="Arial"/>
          <w:szCs w:val="20"/>
          <w:lang w:val="nl-NL"/>
        </w:rPr>
        <w:t>Het vierde lid komt overeen met artikel 24, vierde lid, van het OESO-modelverdrag. Hierin is kort gezegd bepaald dat betalingen van een inwoner van de ene verdragsluitende staat aan een inwoner van de andere verdragsluitende staat onder dezelfde omstandigheden aftrekbaar zijn als betalingen aan een inwoner van dezelfde verdragsluitende staat. Deze bepaling verhindert niet dat de regels voor zakelijke verrekenprijzen tussen gelieerde partijen, zoals met name te vinden in artikel 9, eerste lid, van het Verdrag kunnen worden toegepast.</w:t>
      </w:r>
    </w:p>
    <w:p w:rsidRPr="00A805F5" w:rsidR="00C77B49" w:rsidP="00C77B49" w:rsidRDefault="00C77B49" w14:paraId="203A93BF" w14:textId="77777777">
      <w:pPr>
        <w:rPr>
          <w:rFonts w:cs="Arial"/>
          <w:szCs w:val="20"/>
          <w:lang w:val="nl-NL"/>
        </w:rPr>
      </w:pPr>
      <w:r w:rsidRPr="00A805F5">
        <w:rPr>
          <w:rFonts w:cs="Arial"/>
          <w:szCs w:val="20"/>
          <w:lang w:val="nl-NL"/>
        </w:rPr>
        <w:t xml:space="preserve">Het vijfde lid verbiedt een </w:t>
      </w:r>
      <w:proofErr w:type="spellStart"/>
      <w:r w:rsidRPr="00A805F5">
        <w:rPr>
          <w:rFonts w:cs="Arial"/>
          <w:szCs w:val="20"/>
          <w:lang w:val="nl-NL"/>
        </w:rPr>
        <w:t>ongustigere</w:t>
      </w:r>
      <w:proofErr w:type="spellEnd"/>
      <w:r w:rsidRPr="00A805F5">
        <w:rPr>
          <w:rFonts w:cs="Arial"/>
          <w:szCs w:val="20"/>
          <w:lang w:val="nl-NL"/>
        </w:rPr>
        <w:t xml:space="preserve"> fiscale behandeling van lichamen die inwoner zijn van een van de verdragsluitende staten en waarvan de aandelen (gedeeltelijk), al dan niet direct, in handen zijn van aandeelhouders in de andere verdragsluitende staat ten opzichte van andere soortelijke lichamen waarvan de aandeelhouders inwoner zijn van de eerstgenoemde staat. De terminologie ‘onderneming’ uit de overeenkomstige bepaling in het OESO-modelverdrag is op verzoek van Chili vervangen door ‘lichaam’. </w:t>
      </w:r>
    </w:p>
    <w:p w:rsidRPr="00A805F5" w:rsidR="00C77B49" w:rsidP="00C77B49" w:rsidRDefault="00C77B49" w14:paraId="0242CD6C" w14:textId="77777777">
      <w:pPr>
        <w:rPr>
          <w:rFonts w:cs="Arial"/>
          <w:szCs w:val="20"/>
          <w:lang w:val="nl-NL"/>
        </w:rPr>
      </w:pPr>
      <w:r w:rsidRPr="00A805F5">
        <w:rPr>
          <w:rFonts w:cs="Arial"/>
          <w:szCs w:val="20"/>
          <w:lang w:val="nl-NL"/>
        </w:rPr>
        <w:t xml:space="preserve">Het zesde lid bepaalt – in afwijking van het OESO-modelverdrag – dat dit artikel alleen betrekking heeft op belastingen die onder het Verdrag vallen. Een dergelijke bepaling maakt </w:t>
      </w:r>
      <w:r w:rsidRPr="00A805F5">
        <w:rPr>
          <w:rFonts w:cs="Arial"/>
          <w:szCs w:val="20"/>
          <w:lang w:val="nl-NL"/>
        </w:rPr>
        <w:lastRenderedPageBreak/>
        <w:t>onderdeel uit van vast Chileens verdragsbeleid en is ook opgenomen in andere belastingverdragen van Chili.</w:t>
      </w:r>
    </w:p>
    <w:p w:rsidRPr="00A805F5" w:rsidR="00C77B49" w:rsidP="00C77B49" w:rsidRDefault="00C77B49" w14:paraId="57CF6334" w14:textId="77777777">
      <w:pPr>
        <w:keepNext/>
        <w:numPr>
          <w:ilvl w:val="1"/>
          <w:numId w:val="0"/>
        </w:numPr>
        <w:spacing w:before="240" w:after="60"/>
        <w:outlineLvl w:val="1"/>
        <w:rPr>
          <w:rFonts w:cs="Arial"/>
          <w:i/>
          <w:iCs/>
          <w:szCs w:val="20"/>
          <w:lang w:val="nl-NL"/>
        </w:rPr>
      </w:pPr>
      <w:r w:rsidRPr="00A805F5">
        <w:rPr>
          <w:rFonts w:cs="Arial"/>
          <w:i/>
          <w:iCs/>
          <w:szCs w:val="20"/>
          <w:lang w:val="nl-NL"/>
        </w:rPr>
        <w:t xml:space="preserve">II.25 Procedure voor onderling overleg (Artikel 25 van het Verdrag en artikel VII van het </w:t>
      </w:r>
      <w:proofErr w:type="spellStart"/>
      <w:r w:rsidRPr="00A805F5">
        <w:rPr>
          <w:rFonts w:cs="Arial"/>
          <w:i/>
          <w:iCs/>
          <w:szCs w:val="20"/>
          <w:lang w:val="nl-NL"/>
        </w:rPr>
        <w:t>het</w:t>
      </w:r>
      <w:proofErr w:type="spellEnd"/>
      <w:r w:rsidRPr="00A805F5">
        <w:rPr>
          <w:rFonts w:cs="Arial"/>
          <w:i/>
          <w:iCs/>
          <w:szCs w:val="20"/>
          <w:lang w:val="nl-NL"/>
        </w:rPr>
        <w:t xml:space="preserve"> Protocol)</w:t>
      </w:r>
    </w:p>
    <w:p w:rsidRPr="00A805F5" w:rsidR="00C77B49" w:rsidP="00C77B49" w:rsidRDefault="00C77B49" w14:paraId="4A1D99DC" w14:textId="77777777">
      <w:pPr>
        <w:rPr>
          <w:rFonts w:cs="Arial"/>
          <w:szCs w:val="20"/>
          <w:lang w:val="nl-NL"/>
        </w:rPr>
      </w:pPr>
      <w:r w:rsidRPr="00A805F5">
        <w:rPr>
          <w:rFonts w:cs="Arial"/>
          <w:szCs w:val="20"/>
          <w:lang w:val="nl-NL"/>
        </w:rPr>
        <w:t xml:space="preserve">Artikel 25 bevat de procedure voor onderling overleg tussen de bevoegde autoriteiten van de verdragsluitende staten om moeilijkheden op te lossen die mochten rijzen bij de toepassing van het Verdrag. De bepaling is gebaseerd op artikel 25 van het OESO-modelverdrag. Een inwoner van een verdragsluitende staat kan op grond van deze bepaling bij de bevoegde autoriteiten van zijn woonstaat om een onderlinge overlegprocedure verzoeken als deze inwoner van mening is dat de maatregelen van één of van beide staten voor hem leiden of zullen leiden tot belastingheffing die niet in overeenstemming is met het Verdrag. </w:t>
      </w:r>
    </w:p>
    <w:p w:rsidRPr="00A805F5" w:rsidR="00C77B49" w:rsidP="00C77B49" w:rsidRDefault="00C77B49" w14:paraId="6CA460D7" w14:textId="2E7E4319">
      <w:pPr>
        <w:rPr>
          <w:rFonts w:cs="Arial"/>
          <w:szCs w:val="20"/>
          <w:lang w:val="nl-NL"/>
        </w:rPr>
      </w:pPr>
      <w:r w:rsidRPr="00A805F5">
        <w:rPr>
          <w:rFonts w:cs="Arial"/>
          <w:szCs w:val="20"/>
          <w:lang w:val="nl-NL"/>
        </w:rPr>
        <w:t>In het eerste lid is bepaald dat een persoon een verzoek kan indienen voor een onderlinge overlegprocedure bij de bevoegde autoriteit van de verdragsluitende staat waarvan hij inwoner is, indien volgens de belastingplichtige sprake is van heffing die in strijd is met het Verdrag. Indien het gaat om de toepassing van de non-discriminatiebepaling van artikel 24, eerste lid, van dit Verdrag staat deze mogelijkheid ook open bij de verdragsluitende staat waarvan de belastingplichtige onderdaan is. Deze bepaling komt overeen met artikel 25, eerste lid, van het OESO-modelverdrag in de versie die gold vóór 21 november 2017. Bij BEPS-actie 14 (</w:t>
      </w:r>
      <w:r w:rsidRPr="00A805F5">
        <w:rPr>
          <w:rFonts w:cs="Arial"/>
          <w:i/>
          <w:szCs w:val="20"/>
          <w:lang w:val="nl-NL"/>
        </w:rPr>
        <w:t xml:space="preserve">‘Making </w:t>
      </w:r>
      <w:proofErr w:type="spellStart"/>
      <w:r w:rsidRPr="00A805F5">
        <w:rPr>
          <w:rFonts w:cs="Arial"/>
          <w:i/>
          <w:szCs w:val="20"/>
          <w:lang w:val="nl-NL"/>
        </w:rPr>
        <w:t>Dispute</w:t>
      </w:r>
      <w:proofErr w:type="spellEnd"/>
      <w:r w:rsidRPr="00A805F5">
        <w:rPr>
          <w:rFonts w:cs="Arial"/>
          <w:i/>
          <w:szCs w:val="20"/>
          <w:lang w:val="nl-NL"/>
        </w:rPr>
        <w:t xml:space="preserve"> </w:t>
      </w:r>
      <w:proofErr w:type="spellStart"/>
      <w:r w:rsidRPr="00A805F5">
        <w:rPr>
          <w:rFonts w:cs="Arial"/>
          <w:i/>
          <w:szCs w:val="20"/>
          <w:lang w:val="nl-NL"/>
        </w:rPr>
        <w:t>Resolution</w:t>
      </w:r>
      <w:proofErr w:type="spellEnd"/>
      <w:r w:rsidRPr="00A805F5">
        <w:rPr>
          <w:rFonts w:cs="Arial"/>
          <w:i/>
          <w:szCs w:val="20"/>
          <w:lang w:val="nl-NL"/>
        </w:rPr>
        <w:t xml:space="preserve"> </w:t>
      </w:r>
      <w:proofErr w:type="spellStart"/>
      <w:r w:rsidRPr="00A805F5">
        <w:rPr>
          <w:rFonts w:cs="Arial"/>
          <w:i/>
          <w:szCs w:val="20"/>
          <w:lang w:val="nl-NL"/>
        </w:rPr>
        <w:t>Mechanisms</w:t>
      </w:r>
      <w:proofErr w:type="spellEnd"/>
      <w:r w:rsidRPr="00A805F5">
        <w:rPr>
          <w:rFonts w:cs="Arial"/>
          <w:i/>
          <w:szCs w:val="20"/>
          <w:lang w:val="nl-NL"/>
        </w:rPr>
        <w:t xml:space="preserve"> More </w:t>
      </w:r>
      <w:proofErr w:type="spellStart"/>
      <w:r w:rsidRPr="00A805F5">
        <w:rPr>
          <w:rFonts w:cs="Arial"/>
          <w:i/>
          <w:szCs w:val="20"/>
          <w:lang w:val="nl-NL"/>
        </w:rPr>
        <w:t>Effective</w:t>
      </w:r>
      <w:proofErr w:type="spellEnd"/>
      <w:r w:rsidRPr="00A805F5">
        <w:rPr>
          <w:rFonts w:cs="Arial"/>
          <w:szCs w:val="20"/>
          <w:lang w:val="nl-NL"/>
        </w:rPr>
        <w:t>’) is een minimumstandaard gesteld om onder meer de toegankelijkheid tot onderlinge overlegprocedures te verbeteren. Hierbij zijn twee opties benoemd om te garanderen dat beide bevoegde autoriteiten op de hoogte zijn van een geschil over de verdragsinterpretatie, respectievelijk verdragstoepassing</w:t>
      </w:r>
      <w:r w:rsidR="006302D2">
        <w:rPr>
          <w:rFonts w:cs="Arial"/>
          <w:szCs w:val="20"/>
          <w:lang w:val="nl-NL"/>
        </w:rPr>
        <w:t>.</w:t>
      </w:r>
      <w:r w:rsidRPr="00A805F5">
        <w:rPr>
          <w:rFonts w:cs="Arial"/>
          <w:szCs w:val="20"/>
          <w:vertAlign w:val="superscript"/>
          <w:lang w:val="nl-NL"/>
        </w:rPr>
        <w:footnoteReference w:id="14"/>
      </w:r>
      <w:r w:rsidRPr="00A805F5">
        <w:rPr>
          <w:rFonts w:cs="Arial"/>
          <w:szCs w:val="20"/>
          <w:lang w:val="nl-NL"/>
        </w:rPr>
        <w:t xml:space="preserve"> De eerste optie is om het mogelijk te maken de onderlinge overlegprocedure niet alleen op te starten in de woonstaat van de belastingplichtige, maar ook in de andere verdragsluitende staat (zoals verwoord in artikel 25, eerste lid, van het OESO-modelverdrag in de versie die geldt vanaf 21 november 2017). Hoewel Nederland heeft voorgesteld aan te sluiten bij deze eerste optie, had dit niet de voorkeur van Chili. De tweede optie is dat de bevoegde autoriteit die een verzoek tot een onderlinge overlegprocedure </w:t>
      </w:r>
      <w:r w:rsidR="00745397">
        <w:rPr>
          <w:rFonts w:cs="Arial"/>
          <w:szCs w:val="20"/>
          <w:lang w:val="nl-NL"/>
        </w:rPr>
        <w:t xml:space="preserve">als </w:t>
      </w:r>
      <w:r w:rsidRPr="00A805F5">
        <w:rPr>
          <w:rFonts w:cs="Arial"/>
          <w:szCs w:val="20"/>
          <w:lang w:val="nl-NL"/>
        </w:rPr>
        <w:t>ongegrond beschouwt de bevoegde autoriteit van de andere verdragsluitende staat daarvan op de hoogte stelt of deze consulteert. Nederland zal in relatie tot Chili op deze wijze voldoen aan de minimumstandaard. De tweede zin van het eerste lid bepaalt dat het verzoek tot een onderlinge overlegprocedure moet worden ingediend binnen drie jaar nadat de maatregel die mogelijk belastingheffing in strijd met het belastingverdrag tot gevolg heeft voor het eerst bekendgemaakt is aan de belastingplichtige.</w:t>
      </w:r>
    </w:p>
    <w:p w:rsidRPr="00A805F5" w:rsidR="00C77B49" w:rsidP="00C77B49" w:rsidRDefault="00C77B49" w14:paraId="792402BA" w14:textId="29B52F2C">
      <w:pPr>
        <w:rPr>
          <w:rFonts w:cs="Arial"/>
          <w:szCs w:val="20"/>
          <w:lang w:val="nl-NL"/>
        </w:rPr>
      </w:pPr>
      <w:r w:rsidRPr="00A805F5">
        <w:rPr>
          <w:rFonts w:cs="Arial"/>
          <w:szCs w:val="20"/>
          <w:lang w:val="nl-NL"/>
        </w:rPr>
        <w:t xml:space="preserve">Het tweede lid bevat een inspanningsverplichting voor de bevoegde autoriteiten om – indien een verzoek gegrond voorkomt en de bevoegde autoriteit van de verdragsluitende staat waaraan het verzoek om onderling overleg is gedaan niet zelfstandig in staat is een tevredenstellende oplossing te bereiken – in onderling overleg belastingheffing die in strijd is met het belastingverdrag weg te nemen. In de tweede zin is de verplichting opgenomen voor de staten om niettegenstaande de termijnen in hun nationale wetgeving de uitkomst van dat onderling overleg te implementeren. In afwijking van het OESO-modelverdrag, is aan deze implementatie de voorwaarde verbonden dat de bevoegde autoriteit </w:t>
      </w:r>
      <w:r w:rsidRPr="00A805F5">
        <w:rPr>
          <w:rFonts w:cs="Arial"/>
          <w:szCs w:val="20"/>
          <w:lang w:val="nl-NL"/>
        </w:rPr>
        <w:lastRenderedPageBreak/>
        <w:t>van de andere verdragsluitende staat (dan waarin het verzoek tot de onderlinge overlegprocedure is ingediend) binnen zeven jaar na afloop van het betreffende belastingjaar moet zijn geïnformeerd over het bestaan van de zaak.</w:t>
      </w:r>
      <w:r w:rsidRPr="00BB176D" w:rsidR="00D43839">
        <w:rPr>
          <w:lang w:val="nl-NL"/>
        </w:rPr>
        <w:t xml:space="preserve"> </w:t>
      </w:r>
      <w:r w:rsidR="00D16686">
        <w:rPr>
          <w:lang w:val="nl-NL"/>
        </w:rPr>
        <w:t xml:space="preserve">Naar aanleiding van een na ondertekening van het Verdrag ontstane discussie over de verhouding tussen deze voorwaarde en de minimumstandaard van BEPS-actie 14 wordt een aanpassing voorgesteld in het </w:t>
      </w:r>
      <w:r w:rsidR="001448BB">
        <w:rPr>
          <w:lang w:val="nl-NL"/>
        </w:rPr>
        <w:t>w</w:t>
      </w:r>
      <w:r w:rsidR="00D16686">
        <w:rPr>
          <w:lang w:val="nl-NL"/>
        </w:rPr>
        <w:t xml:space="preserve">ijzigingsprotocol dat tegelijkertijd met dit Verdrag aan het parlement wordt aangeboden. Voor een toelichting op deze wijziging wordt verwezen naar de toelichtende nota </w:t>
      </w:r>
      <w:r w:rsidR="000A0A88">
        <w:rPr>
          <w:lang w:val="nl-NL"/>
        </w:rPr>
        <w:t>bij</w:t>
      </w:r>
      <w:r w:rsidR="00D16686">
        <w:rPr>
          <w:lang w:val="nl-NL"/>
        </w:rPr>
        <w:t xml:space="preserve"> dit wijzigingsprotocol. </w:t>
      </w:r>
    </w:p>
    <w:p w:rsidRPr="00A805F5" w:rsidR="00C77B49" w:rsidP="00C77B49" w:rsidRDefault="00C77B49" w14:paraId="758985B0" w14:textId="5C0770BF">
      <w:pPr>
        <w:rPr>
          <w:rFonts w:cs="Arial"/>
          <w:szCs w:val="20"/>
          <w:lang w:val="nl-NL"/>
        </w:rPr>
      </w:pPr>
      <w:r w:rsidRPr="00A805F5">
        <w:rPr>
          <w:rFonts w:cs="Arial"/>
          <w:szCs w:val="20"/>
          <w:lang w:val="nl-NL"/>
        </w:rPr>
        <w:t>Het derde lid bepaalt dat de bevoegde autoriteiten in onderling overleg moeilijkheden en twijfelpunten die ontstaan bij de uitleg en toepassing van een bel</w:t>
      </w:r>
      <w:r w:rsidR="00115479">
        <w:rPr>
          <w:rFonts w:cs="Arial"/>
          <w:szCs w:val="20"/>
          <w:lang w:val="nl-NL"/>
        </w:rPr>
        <w:t>astingverdrag weg kunnen nemen</w:t>
      </w:r>
      <w:r w:rsidRPr="0048339E" w:rsidR="0048339E">
        <w:rPr>
          <w:rFonts w:cs="Arial"/>
          <w:szCs w:val="20"/>
          <w:lang w:val="nl-NL"/>
        </w:rPr>
        <w:t xml:space="preserve">. In een voorkomend geval kan daarbij sprake zijn van een uitvoeringsverdrag dat op grond van artikel 7, onderdeel b, van de Rijkswet goedkeuring en bekendmaking verdragen geen parlementaire goedkeuring behoeft, behoudens het bepaalde in artikel 8 van die Rijkswet. </w:t>
      </w:r>
      <w:r w:rsidRPr="00A805F5">
        <w:rPr>
          <w:rFonts w:cs="Arial"/>
          <w:szCs w:val="20"/>
          <w:lang w:val="nl-NL"/>
        </w:rPr>
        <w:t>Uit de tweede volzin volgt verder dat de bevoegde autoriteiten ook in overleg kunnen treden bij situaties van dubbele belastingheffing die niet in het belastingverdrag zijn geregeld.</w:t>
      </w:r>
    </w:p>
    <w:p w:rsidRPr="00A805F5" w:rsidR="00C77B49" w:rsidP="00C77B49" w:rsidRDefault="00C77B49" w14:paraId="37DAB556" w14:textId="77777777">
      <w:pPr>
        <w:rPr>
          <w:rFonts w:cs="Arial"/>
          <w:szCs w:val="20"/>
          <w:lang w:val="nl-NL"/>
        </w:rPr>
      </w:pPr>
      <w:r w:rsidRPr="00A805F5">
        <w:rPr>
          <w:rFonts w:cs="Arial"/>
          <w:szCs w:val="20"/>
          <w:lang w:val="nl-NL"/>
        </w:rPr>
        <w:t xml:space="preserve">In artikel VII van het Protocol is expliciet bevestigd dat de moeilijkheden of twijfelpunten bij de interpretatie of toepassing van het Verdrag – waar artikel 25, derde lid, van het Verdrag betrekking op heeft – ook situaties omvat waarin kort gezegd het Verdrag op oneigenlijke en (met het oog op doel en strekking van het Verdrag) onbedoelde wijze wordt gebruikt. </w:t>
      </w:r>
    </w:p>
    <w:p w:rsidRPr="00A805F5" w:rsidR="00C77B49" w:rsidP="00C77B49" w:rsidRDefault="0048339E" w14:paraId="5C6B7C95" w14:textId="3CE0DF23">
      <w:pPr>
        <w:ind w:firstLine="708"/>
        <w:rPr>
          <w:rFonts w:cs="Arial"/>
          <w:szCs w:val="20"/>
          <w:lang w:val="nl-NL"/>
        </w:rPr>
      </w:pPr>
      <w:r>
        <w:rPr>
          <w:rFonts w:cs="Arial"/>
          <w:szCs w:val="20"/>
          <w:lang w:val="nl-NL"/>
        </w:rPr>
        <w:t>Artikel 25,</w:t>
      </w:r>
      <w:r w:rsidRPr="00A805F5">
        <w:rPr>
          <w:rFonts w:cs="Arial"/>
          <w:szCs w:val="20"/>
          <w:lang w:val="nl-NL"/>
        </w:rPr>
        <w:t xml:space="preserve"> </w:t>
      </w:r>
      <w:r w:rsidRPr="00A805F5" w:rsidR="00C77B49">
        <w:rPr>
          <w:rFonts w:cs="Arial"/>
          <w:szCs w:val="20"/>
          <w:lang w:val="nl-NL"/>
        </w:rPr>
        <w:t>vierde lid</w:t>
      </w:r>
      <w:r>
        <w:rPr>
          <w:rFonts w:cs="Arial"/>
          <w:szCs w:val="20"/>
          <w:lang w:val="nl-NL"/>
        </w:rPr>
        <w:t>, van het Verdrag</w:t>
      </w:r>
      <w:r w:rsidRPr="00A805F5" w:rsidR="00C77B49">
        <w:rPr>
          <w:rFonts w:cs="Arial"/>
          <w:szCs w:val="20"/>
          <w:lang w:val="nl-NL"/>
        </w:rPr>
        <w:t xml:space="preserve"> bepaalt dat de bevoegde autoriteiten direct met elkaar kunnen communiceren om de in de voorgaande leden bedoelde overeenstemming te bereiken. Een niet inhoudelijke afwijking van het OESO-modelverdrag betreft het achterwege laten van de verduidelijking dat bevoegde autoriteiten ook via een gezamenlijk comité met elkaar kunnen overleggen. Een dergelijke vorm van overleg is echter in de overeengekomen tekst niet uitgesloten. </w:t>
      </w:r>
    </w:p>
    <w:p w:rsidRPr="00494232" w:rsidR="00C77B49" w:rsidP="00C77B49" w:rsidRDefault="00C77B49" w14:paraId="22973FE4" w14:textId="530981A9">
      <w:pPr>
        <w:rPr>
          <w:rFonts w:cs="Arial"/>
          <w:b/>
          <w:szCs w:val="20"/>
          <w:lang w:val="nl-NL"/>
        </w:rPr>
      </w:pPr>
      <w:r w:rsidRPr="00A805F5">
        <w:rPr>
          <w:rFonts w:cs="Arial"/>
          <w:szCs w:val="20"/>
          <w:lang w:val="nl-NL"/>
        </w:rPr>
        <w:t xml:space="preserve">Het vijfde lid bevat een regeling voor (vrijwillige </w:t>
      </w:r>
      <w:r w:rsidRPr="00A805F5" w:rsidR="00875AA3">
        <w:rPr>
          <w:rFonts w:cs="Arial"/>
          <w:szCs w:val="20"/>
          <w:lang w:val="nl-NL"/>
        </w:rPr>
        <w:t>ma</w:t>
      </w:r>
      <w:r w:rsidRPr="00A805F5" w:rsidR="001542CF">
        <w:rPr>
          <w:rFonts w:cs="Arial"/>
          <w:szCs w:val="20"/>
          <w:lang w:val="nl-NL"/>
        </w:rPr>
        <w:t xml:space="preserve">ar </w:t>
      </w:r>
      <w:r w:rsidRPr="00A805F5">
        <w:rPr>
          <w:rFonts w:cs="Arial"/>
          <w:szCs w:val="20"/>
          <w:lang w:val="nl-NL"/>
        </w:rPr>
        <w:t>bindende) arbitrage. Het schept de mogelijkheid om – op verzoek van de belastingplichtige en (in afwijking van het OESO-</w:t>
      </w:r>
      <w:proofErr w:type="spellStart"/>
      <w:r w:rsidRPr="00A805F5">
        <w:rPr>
          <w:rFonts w:cs="Arial"/>
          <w:szCs w:val="20"/>
          <w:lang w:val="nl-NL"/>
        </w:rPr>
        <w:t>modelverdag</w:t>
      </w:r>
      <w:proofErr w:type="spellEnd"/>
      <w:r w:rsidRPr="00A805F5">
        <w:rPr>
          <w:rFonts w:cs="Arial"/>
          <w:szCs w:val="20"/>
          <w:lang w:val="nl-NL"/>
        </w:rPr>
        <w:t xml:space="preserve">) indien de bevoegde autoriteiten dit overeenkomen – geschillen over de toepassing of interpretatie van het Verdrag die niet binnen een tijdvak van twee jaar in onderling overleg zijn opgelost, te beslechten via een arbitrageprocedure. Een arbitrageprocedure die ook geïnitieerd zou kunnen worden zonder instemming van beide bevoegde autoriteiten (zoals Nederland voorstelde) bleek voor Chili niet acceptabel. Gevallen waarin een rechterlijke instantie of administratieve rechtbank van een van beide verdragsluitende staten al over de kwestie heeft beslist zijn van arbitrage uitgezonderd. De uitkomst van de arbitrage is bindend voor beide verdragsluitende staten en wordt uitgevoerd ongeacht nationale termijnen, behalve als de rechtstreeks bij de zaak betrokken persoon deze uitkomst niet aanvaardt. De laatste zin van het vijfde lid schept (conform het OESO-modelverdrag) de mogelijkheid om de toepassing van de arbitragebepaling nader te regelen in onderlinge overeenstemming tussen de bevoegde autoriteiten. </w:t>
      </w:r>
      <w:r w:rsidRPr="00246642" w:rsidR="00246642">
        <w:rPr>
          <w:rFonts w:cs="Arial"/>
          <w:szCs w:val="20"/>
          <w:lang w:val="nl-NL"/>
        </w:rPr>
        <w:t xml:space="preserve">In een voorkomend geval kan daarbij sprake zijn van een uitvoeringsverdrag dat op grond van artikel 7, onderdeel b, van de Rijkswet goedkeuring en bekendmaking verdragen geen parlementaire goedkeuring behoeft, behoudens het bepaalde in artikel 8 van die Rijkswet. </w:t>
      </w:r>
      <w:r w:rsidRPr="00A805F5">
        <w:rPr>
          <w:rFonts w:cs="Arial"/>
          <w:szCs w:val="20"/>
          <w:lang w:val="nl-NL"/>
        </w:rPr>
        <w:t xml:space="preserve"> </w:t>
      </w:r>
    </w:p>
    <w:p w:rsidRPr="00A805F5" w:rsidR="00C77B49" w:rsidP="00C77B49" w:rsidRDefault="00C77B49" w14:paraId="1F7AC68D" w14:textId="77777777">
      <w:pPr>
        <w:keepNext/>
        <w:numPr>
          <w:ilvl w:val="1"/>
          <w:numId w:val="0"/>
        </w:numPr>
        <w:spacing w:before="240" w:after="60"/>
        <w:outlineLvl w:val="1"/>
        <w:rPr>
          <w:rFonts w:cs="Arial"/>
          <w:i/>
          <w:iCs/>
          <w:szCs w:val="20"/>
          <w:lang w:val="nl-NL"/>
        </w:rPr>
      </w:pPr>
      <w:r w:rsidRPr="00A805F5">
        <w:rPr>
          <w:rFonts w:cs="Arial"/>
          <w:i/>
          <w:iCs/>
          <w:szCs w:val="20"/>
          <w:lang w:val="nl-NL"/>
        </w:rPr>
        <w:lastRenderedPageBreak/>
        <w:t>II.26 Uitwisseling van inlichtingen (Artikel 26 van het Verdrag en artikel VIII van het Protocol)</w:t>
      </w:r>
    </w:p>
    <w:p w:rsidRPr="00A805F5" w:rsidR="00C77B49" w:rsidP="00C77B49" w:rsidRDefault="00C77B49" w14:paraId="441FD5F4" w14:textId="2E96C48C">
      <w:pPr>
        <w:ind w:firstLine="720"/>
        <w:rPr>
          <w:rFonts w:cs="Arial"/>
          <w:szCs w:val="20"/>
          <w:lang w:val="nl-NL"/>
        </w:rPr>
      </w:pPr>
      <w:r w:rsidRPr="00A805F5">
        <w:rPr>
          <w:rFonts w:cs="Arial"/>
          <w:szCs w:val="20"/>
          <w:lang w:val="nl-NL"/>
        </w:rPr>
        <w:t xml:space="preserve">Artikel 26 van het Verdrag betreft de informatie-uitwisseling die op verzoek, automatisch of spontaan kan plaatsvinden. Het artikel komt geheel overeen met artikel 26 van het OESO-modelverdrag en is in lijn met het Nederlandse verdragsbeleid en de internationale standaard zoals </w:t>
      </w:r>
      <w:r w:rsidR="00246642">
        <w:rPr>
          <w:rFonts w:cs="Arial"/>
          <w:szCs w:val="20"/>
          <w:lang w:val="nl-NL"/>
        </w:rPr>
        <w:t xml:space="preserve">deze </w:t>
      </w:r>
      <w:r w:rsidRPr="00A805F5">
        <w:rPr>
          <w:rFonts w:cs="Arial"/>
          <w:szCs w:val="20"/>
          <w:lang w:val="nl-NL"/>
        </w:rPr>
        <w:t>wordt gestimuleerd en gewaarborgd in het kader van het ‘</w:t>
      </w:r>
      <w:r w:rsidRPr="00A805F5">
        <w:rPr>
          <w:rFonts w:cs="Arial"/>
          <w:i/>
          <w:szCs w:val="20"/>
          <w:lang w:val="nl-NL"/>
        </w:rPr>
        <w:t xml:space="preserve">Global Forum </w:t>
      </w:r>
      <w:proofErr w:type="spellStart"/>
      <w:r w:rsidRPr="00A805F5">
        <w:rPr>
          <w:rFonts w:cs="Arial"/>
          <w:i/>
          <w:szCs w:val="20"/>
          <w:lang w:val="nl-NL"/>
        </w:rPr>
        <w:t>for</w:t>
      </w:r>
      <w:proofErr w:type="spellEnd"/>
      <w:r w:rsidRPr="00A805F5">
        <w:rPr>
          <w:rFonts w:cs="Arial"/>
          <w:i/>
          <w:szCs w:val="20"/>
          <w:lang w:val="nl-NL"/>
        </w:rPr>
        <w:t xml:space="preserve"> </w:t>
      </w:r>
      <w:proofErr w:type="spellStart"/>
      <w:r w:rsidRPr="00A805F5">
        <w:rPr>
          <w:rFonts w:cs="Arial"/>
          <w:i/>
          <w:szCs w:val="20"/>
          <w:lang w:val="nl-NL"/>
        </w:rPr>
        <w:t>Transparency</w:t>
      </w:r>
      <w:proofErr w:type="spellEnd"/>
      <w:r w:rsidRPr="00A805F5">
        <w:rPr>
          <w:rFonts w:cs="Arial"/>
          <w:i/>
          <w:szCs w:val="20"/>
          <w:lang w:val="nl-NL"/>
        </w:rPr>
        <w:t xml:space="preserve"> </w:t>
      </w:r>
      <w:proofErr w:type="spellStart"/>
      <w:r w:rsidRPr="00A805F5">
        <w:rPr>
          <w:rFonts w:cs="Arial"/>
          <w:i/>
          <w:szCs w:val="20"/>
          <w:lang w:val="nl-NL"/>
        </w:rPr>
        <w:t>and</w:t>
      </w:r>
      <w:proofErr w:type="spellEnd"/>
      <w:r w:rsidRPr="00A805F5">
        <w:rPr>
          <w:rFonts w:cs="Arial"/>
          <w:i/>
          <w:szCs w:val="20"/>
          <w:lang w:val="nl-NL"/>
        </w:rPr>
        <w:t xml:space="preserve"> Exchange of Information </w:t>
      </w:r>
      <w:proofErr w:type="spellStart"/>
      <w:r w:rsidRPr="00A805F5">
        <w:rPr>
          <w:rFonts w:cs="Arial"/>
          <w:i/>
          <w:szCs w:val="20"/>
          <w:lang w:val="nl-NL"/>
        </w:rPr>
        <w:t>for</w:t>
      </w:r>
      <w:proofErr w:type="spellEnd"/>
      <w:r w:rsidRPr="00A805F5">
        <w:rPr>
          <w:rFonts w:cs="Arial"/>
          <w:i/>
          <w:szCs w:val="20"/>
          <w:lang w:val="nl-NL"/>
        </w:rPr>
        <w:t xml:space="preserve"> Tax </w:t>
      </w:r>
      <w:proofErr w:type="spellStart"/>
      <w:r w:rsidRPr="00A805F5">
        <w:rPr>
          <w:rFonts w:cs="Arial"/>
          <w:i/>
          <w:szCs w:val="20"/>
          <w:lang w:val="nl-NL"/>
        </w:rPr>
        <w:t>Purposes</w:t>
      </w:r>
      <w:proofErr w:type="spellEnd"/>
      <w:r w:rsidRPr="00A805F5">
        <w:rPr>
          <w:rFonts w:cs="Arial"/>
          <w:szCs w:val="20"/>
          <w:lang w:val="nl-NL"/>
        </w:rPr>
        <w:t>’.</w:t>
      </w:r>
      <w:r w:rsidRPr="00A805F5">
        <w:rPr>
          <w:rFonts w:cs="Arial"/>
          <w:szCs w:val="20"/>
          <w:vertAlign w:val="superscript"/>
          <w:lang w:val="nl-NL"/>
        </w:rPr>
        <w:footnoteReference w:id="15"/>
      </w:r>
      <w:r w:rsidRPr="00A805F5">
        <w:rPr>
          <w:rFonts w:cs="Arial"/>
          <w:szCs w:val="20"/>
          <w:lang w:val="nl-NL"/>
        </w:rPr>
        <w:t xml:space="preserve"> Het artikel is ingevolge artikel VIII van het Protocol ook van toepassing op de Nederlandse inkomensafhankelijke regelingen (‘de toeslagen’). </w:t>
      </w:r>
    </w:p>
    <w:p w:rsidRPr="00A805F5" w:rsidR="00C77B49" w:rsidP="00C77B49" w:rsidRDefault="00C77B49" w14:paraId="145FDD77" w14:textId="77777777">
      <w:pPr>
        <w:ind w:firstLine="720"/>
        <w:rPr>
          <w:rFonts w:cs="Arial"/>
          <w:szCs w:val="20"/>
          <w:lang w:val="nl-NL"/>
        </w:rPr>
      </w:pPr>
      <w:r w:rsidRPr="00A805F5">
        <w:rPr>
          <w:rFonts w:cs="Arial"/>
          <w:szCs w:val="20"/>
          <w:lang w:val="nl-NL"/>
        </w:rPr>
        <w:t>Het eerste lid van artikel 26 bepaalt welke informatie de verdragsluitende staten dienen uit te wisselen. Met de verwijzing naar informatie die voorzienbaar relevant (‘</w:t>
      </w:r>
      <w:proofErr w:type="spellStart"/>
      <w:r w:rsidRPr="00A805F5">
        <w:rPr>
          <w:rFonts w:cs="Arial"/>
          <w:i/>
          <w:szCs w:val="20"/>
          <w:lang w:val="nl-NL"/>
        </w:rPr>
        <w:t>foreseeable</w:t>
      </w:r>
      <w:proofErr w:type="spellEnd"/>
      <w:r w:rsidRPr="00A805F5">
        <w:rPr>
          <w:rFonts w:cs="Arial"/>
          <w:i/>
          <w:szCs w:val="20"/>
          <w:lang w:val="nl-NL"/>
        </w:rPr>
        <w:t xml:space="preserve"> relevant)</w:t>
      </w:r>
      <w:r w:rsidRPr="00A805F5">
        <w:rPr>
          <w:rFonts w:cs="Arial"/>
          <w:szCs w:val="20"/>
          <w:lang w:val="nl-NL"/>
        </w:rPr>
        <w:t>’ is voor de toepassing van de bepalingen uit het Verdrag of de administratie of de handhaving van nationale wetgeving op het gebied van belasting van elke soort of omschrijving, is beoogd de uitwisseling van informatie binnen het redelijke een zo ruim mogelijk bereik te geven. Dit is ook zo verwoord in paragraaf 5 van het OESO-commentaar op artikel 26 van het OESO-modelverdrag. In lijn met artikel 26 van het OESO-modelverdrag is de uitwisseling van informatie niet beperkt tot informatie ten aanzien van inwoners van de verdragsluitende staten of tot de belastingen waarop het Verdrag van toepassing is. Opgemerkt wordt dat de bepaling over de uitwisseling van informatie ook betrekking heeft op informatie van vóór de inwerkingtreding van dit Verdrag, mits de uitwisseling plaatsvindt nadat de bepaling van toepassing wordt. Zo wordt het ook uitgelegd in paragraaf 10.3 van het OESO-commentaar op artikel 26 van het OESO-modelverdrag.</w:t>
      </w:r>
    </w:p>
    <w:p w:rsidRPr="00A805F5" w:rsidR="00C77B49" w:rsidP="00C77B49" w:rsidRDefault="00C77B49" w14:paraId="3CBFE051" w14:textId="638F2AD0">
      <w:pPr>
        <w:ind w:firstLine="0"/>
        <w:rPr>
          <w:rFonts w:cs="Arial"/>
          <w:szCs w:val="20"/>
          <w:lang w:val="nl-NL"/>
        </w:rPr>
      </w:pPr>
      <w:r w:rsidRPr="00A805F5">
        <w:rPr>
          <w:rFonts w:cs="Arial"/>
          <w:szCs w:val="20"/>
          <w:lang w:val="nl-NL"/>
        </w:rPr>
        <w:tab/>
        <w:t xml:space="preserve">Het tweede lid is vooral bedoeld om waarborgen te bieden voor de vertrouwelijkheid van de uitgewisselde informatie en om het gebruik van deze gegevens te beperken tot de relevante doelen. Voor de ontvangen informatie geldt dezelfde geheimhoudingsplicht als voor informatie die onder de nationale wetgeving van de ontvangende staat wordt verkregen. Ook is bepaald dat de informatie alleen mag worden vrijgegeven aan bepaalde personen of autoriteiten belast met specifieke taken. Het tweede lid bepaalt dat de informatie wel voor andere (niet fiscale) doeleinden mag worden gebruikt, mits dat wettelijk is toegestaan in </w:t>
      </w:r>
      <w:r w:rsidRPr="00A805F5">
        <w:rPr>
          <w:rFonts w:cs="Arial"/>
          <w:i/>
          <w:szCs w:val="20"/>
          <w:lang w:val="nl-NL"/>
        </w:rPr>
        <w:t xml:space="preserve">beide </w:t>
      </w:r>
      <w:r w:rsidRPr="00A805F5">
        <w:rPr>
          <w:rFonts w:cs="Arial"/>
          <w:szCs w:val="20"/>
          <w:lang w:val="nl-NL"/>
        </w:rPr>
        <w:t>landen én de bevoegde autoriteiten dit toestaan. In dit verband wordt opgemerkt dat voor Nederland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A63C89">
        <w:rPr>
          <w:rFonts w:cs="Arial"/>
          <w:i/>
          <w:szCs w:val="20"/>
          <w:lang w:val="nl-NL"/>
        </w:rPr>
        <w:t>PbEU</w:t>
      </w:r>
      <w:proofErr w:type="spellEnd"/>
      <w:r w:rsidRPr="00A805F5">
        <w:rPr>
          <w:rFonts w:cs="Arial"/>
          <w:szCs w:val="20"/>
          <w:lang w:val="nl-NL"/>
        </w:rPr>
        <w:t xml:space="preserve"> 2016, L 119) (hierna: AVG) relevant is. 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doorgegeven naar een land buiten de Europese Unie indien dat land een passend beschermingsniveau waarborgt. In Chili is het recht op gegevensbescherming verankerd in de Chileense politieke grondwet (artikel 19, vierde lid). De Chileense wetgeving over de bescherming van persoonsgegevens is uitgewerkt in de Wet nr. 19.628 over de bescherming van het persoonlijke leven (</w:t>
      </w:r>
      <w:proofErr w:type="spellStart"/>
      <w:r w:rsidRPr="00A805F5">
        <w:rPr>
          <w:rFonts w:cs="Arial"/>
          <w:i/>
          <w:szCs w:val="20"/>
          <w:lang w:val="nl-NL"/>
        </w:rPr>
        <w:t>Ley</w:t>
      </w:r>
      <w:proofErr w:type="spellEnd"/>
      <w:r w:rsidRPr="00A805F5">
        <w:rPr>
          <w:rFonts w:cs="Arial"/>
          <w:i/>
          <w:szCs w:val="20"/>
          <w:lang w:val="nl-NL"/>
        </w:rPr>
        <w:t xml:space="preserve"> 19.628 “</w:t>
      </w:r>
      <w:proofErr w:type="spellStart"/>
      <w:r w:rsidRPr="00A805F5">
        <w:rPr>
          <w:rFonts w:cs="Arial"/>
          <w:i/>
          <w:szCs w:val="20"/>
          <w:lang w:val="nl-NL"/>
        </w:rPr>
        <w:t>Sobre</w:t>
      </w:r>
      <w:proofErr w:type="spellEnd"/>
      <w:r w:rsidRPr="00A805F5">
        <w:rPr>
          <w:rFonts w:cs="Arial"/>
          <w:i/>
          <w:szCs w:val="20"/>
          <w:lang w:val="nl-NL"/>
        </w:rPr>
        <w:t xml:space="preserve"> </w:t>
      </w:r>
      <w:proofErr w:type="spellStart"/>
      <w:r w:rsidRPr="00A805F5">
        <w:rPr>
          <w:rFonts w:cs="Arial"/>
          <w:i/>
          <w:szCs w:val="20"/>
          <w:lang w:val="nl-NL"/>
        </w:rPr>
        <w:t>protección</w:t>
      </w:r>
      <w:proofErr w:type="spellEnd"/>
      <w:r w:rsidRPr="00A805F5">
        <w:rPr>
          <w:rFonts w:cs="Arial"/>
          <w:i/>
          <w:szCs w:val="20"/>
          <w:lang w:val="nl-NL"/>
        </w:rPr>
        <w:t xml:space="preserve"> de la </w:t>
      </w:r>
      <w:proofErr w:type="spellStart"/>
      <w:r w:rsidRPr="00A805F5">
        <w:rPr>
          <w:rFonts w:cs="Arial"/>
          <w:i/>
          <w:szCs w:val="20"/>
          <w:lang w:val="nl-NL"/>
        </w:rPr>
        <w:t>vida</w:t>
      </w:r>
      <w:proofErr w:type="spellEnd"/>
      <w:r w:rsidRPr="00A805F5">
        <w:rPr>
          <w:rFonts w:cs="Arial"/>
          <w:i/>
          <w:szCs w:val="20"/>
          <w:lang w:val="nl-NL"/>
        </w:rPr>
        <w:t xml:space="preserve"> </w:t>
      </w:r>
      <w:proofErr w:type="spellStart"/>
      <w:r w:rsidRPr="00A805F5">
        <w:rPr>
          <w:rFonts w:cs="Arial"/>
          <w:i/>
          <w:szCs w:val="20"/>
          <w:lang w:val="nl-NL"/>
        </w:rPr>
        <w:t>privada</w:t>
      </w:r>
      <w:proofErr w:type="spellEnd"/>
      <w:r w:rsidRPr="00A805F5">
        <w:rPr>
          <w:rFonts w:cs="Arial"/>
          <w:i/>
          <w:szCs w:val="20"/>
          <w:lang w:val="nl-NL"/>
        </w:rPr>
        <w:t>”)</w:t>
      </w:r>
      <w:r w:rsidRPr="00A805F5">
        <w:rPr>
          <w:rFonts w:cs="Arial"/>
          <w:szCs w:val="20"/>
          <w:lang w:val="nl-NL"/>
        </w:rPr>
        <w:t xml:space="preserve">. In deze wet is toestemming de basis voor het gebruik van gegevens (met daarop </w:t>
      </w:r>
      <w:r w:rsidRPr="00A805F5">
        <w:rPr>
          <w:rFonts w:cs="Arial"/>
          <w:szCs w:val="20"/>
          <w:lang w:val="nl-NL"/>
        </w:rPr>
        <w:lastRenderedPageBreak/>
        <w:t xml:space="preserve">geformuleerde uitzonderingen). Deze wet regelt onder meer het recht op toegang tot data, recht op rectificatie, het recht op het wissen van gegevens en het recht op bezwaar </w:t>
      </w:r>
      <w:r w:rsidR="00C36FCF">
        <w:rPr>
          <w:rFonts w:cs="Arial"/>
          <w:szCs w:val="20"/>
          <w:lang w:val="nl-NL"/>
        </w:rPr>
        <w:t>tegen</w:t>
      </w:r>
      <w:r w:rsidRPr="00A805F5" w:rsidR="00C36FCF">
        <w:rPr>
          <w:rFonts w:cs="Arial"/>
          <w:szCs w:val="20"/>
          <w:lang w:val="nl-NL"/>
        </w:rPr>
        <w:t xml:space="preserve"> </w:t>
      </w:r>
      <w:r w:rsidRPr="00A805F5">
        <w:rPr>
          <w:rFonts w:cs="Arial"/>
          <w:szCs w:val="20"/>
          <w:lang w:val="nl-NL"/>
        </w:rPr>
        <w:t>gegevensgebruik. Op het moment van ondertekening van dit Verdrag was in het Chileense parlement een wetsvoorstel in behandeling om de gegevensbescherming nog beter te waarborgen</w:t>
      </w:r>
      <w:r w:rsidRPr="00A805F5" w:rsidR="003B557F">
        <w:rPr>
          <w:rFonts w:cs="Arial"/>
          <w:szCs w:val="20"/>
          <w:lang w:val="nl-NL"/>
        </w:rPr>
        <w:t xml:space="preserve">. </w:t>
      </w:r>
      <w:r w:rsidRPr="00A805F5">
        <w:rPr>
          <w:rFonts w:cs="Arial"/>
          <w:szCs w:val="20"/>
          <w:lang w:val="nl-NL"/>
        </w:rPr>
        <w:t>Afgezien van het beschermingsniveau in Chili is de uitwisseling van gegevens onder omstandigheden ook toegestaan indien deze uitwisseling noodzakelijk is vanwege gewichtige redenen van algemeen belang waaronder de gegevensuitwisseling tussen belastingdiensten met het oog op de aanpak van belastingontduiking en -ontwijking.</w:t>
      </w:r>
    </w:p>
    <w:p w:rsidRPr="00A805F5" w:rsidR="00C77B49" w:rsidP="00C77B49" w:rsidRDefault="00C77B49" w14:paraId="280D6536" w14:textId="77777777">
      <w:pPr>
        <w:ind w:firstLine="0"/>
        <w:rPr>
          <w:rFonts w:cs="Arial"/>
          <w:szCs w:val="20"/>
          <w:highlight w:val="lightGray"/>
          <w:lang w:val="nl-NL"/>
        </w:rPr>
      </w:pPr>
      <w:r w:rsidRPr="00A805F5">
        <w:rPr>
          <w:rFonts w:cs="Arial"/>
          <w:szCs w:val="20"/>
          <w:lang w:val="nl-NL"/>
        </w:rPr>
        <w:tab/>
        <w:t>Het derde lid geeft aan onder welke omstandigheden een verdragsluitende staat geen informatie hoeft te verstrekken aan de andere verdragsluitende staat. Een verdragsluitende staat is bij de inspanningen om de informatie te verschaffen allereerst niet gehouden om bestuurlijke maatregelen te nemen die in strijd zijn met de wetgeving of bestuurlijke praktijk van die of van de andere verdragsluitende staat. Een verdragsluitende staat is ook niet gehouden informatie uit te wisselen die niet verkrijgbaar is volgens de wetgeving of in de normale bestuurlijke gang van zaken van die verdragsluitende staat of van de andere staat. Verder vallen bedrijfsgeheimen buiten de toepassing van de informatie-uitwisselingsbepaling en hoeft ook geen informatie uitgewisseld te worden als dat in strijd zou zijn met de openbare orde</w:t>
      </w:r>
      <w:r w:rsidRPr="00A805F5">
        <w:rPr>
          <w:rFonts w:cs="Arial"/>
          <w:i/>
          <w:szCs w:val="20"/>
          <w:lang w:val="nl-NL"/>
        </w:rPr>
        <w:t>.</w:t>
      </w:r>
    </w:p>
    <w:p w:rsidRPr="00A805F5" w:rsidR="00C77B49" w:rsidP="00C77B49" w:rsidRDefault="00C77B49" w14:paraId="24F07DAB" w14:textId="77777777">
      <w:pPr>
        <w:ind w:firstLine="720"/>
        <w:rPr>
          <w:rFonts w:cs="Arial"/>
          <w:szCs w:val="20"/>
          <w:lang w:val="nl-NL"/>
        </w:rPr>
      </w:pPr>
      <w:r w:rsidRPr="00A805F5">
        <w:rPr>
          <w:rFonts w:cs="Arial"/>
          <w:szCs w:val="20"/>
          <w:lang w:val="nl-NL"/>
        </w:rPr>
        <w:t xml:space="preserve">Het vierde lid brengt expliciet tot uitdrukking dat de aangezochte staat de gevraagde informatie niet kan weigeren op grond van het feit dat het deze informatie niet nodig heeft voor de eigen belastingheffing. </w:t>
      </w:r>
    </w:p>
    <w:p w:rsidRPr="00A805F5" w:rsidR="00C77B49" w:rsidP="00C77B49" w:rsidRDefault="00C77B49" w14:paraId="3911D3AD" w14:textId="77777777">
      <w:pPr>
        <w:rPr>
          <w:rFonts w:cs="Arial"/>
          <w:szCs w:val="20"/>
          <w:lang w:val="nl-NL"/>
        </w:rPr>
      </w:pPr>
      <w:r w:rsidRPr="00A805F5">
        <w:rPr>
          <w:rFonts w:cs="Arial"/>
          <w:szCs w:val="20"/>
          <w:lang w:val="nl-NL"/>
        </w:rPr>
        <w:t xml:space="preserve">Tot slot bepaalt het vijfde lid dat het enkele feit dat informatie in het bezit is van bijvoorbeeld een bank, een andere financiële instelling of een zaakwaarnemer, of dat de informatie betrekking heeft op eigendomsverhoudingen, geen reden is voor de aangezochte staat om de gevraagde informatie niet te verstrekken aan de verzoekende staat. </w:t>
      </w:r>
    </w:p>
    <w:p w:rsidRPr="00A805F5" w:rsidR="00C77B49" w:rsidP="00C77B49" w:rsidRDefault="00C77B49" w14:paraId="7BF2636B" w14:textId="2F306025">
      <w:pPr>
        <w:keepNext/>
        <w:numPr>
          <w:ilvl w:val="1"/>
          <w:numId w:val="0"/>
        </w:numPr>
        <w:spacing w:before="240" w:after="60"/>
        <w:outlineLvl w:val="1"/>
        <w:rPr>
          <w:rFonts w:cs="Arial"/>
          <w:i/>
          <w:iCs/>
          <w:szCs w:val="20"/>
          <w:lang w:val="nl-NL"/>
        </w:rPr>
      </w:pPr>
      <w:r w:rsidRPr="00A805F5">
        <w:rPr>
          <w:rFonts w:cs="Arial"/>
          <w:i/>
          <w:iCs/>
          <w:szCs w:val="20"/>
          <w:lang w:val="nl-NL"/>
        </w:rPr>
        <w:t xml:space="preserve">II.27 Bijstand bij de invordering van belastingen (Artikel 27 </w:t>
      </w:r>
      <w:r w:rsidR="009027C4">
        <w:rPr>
          <w:rFonts w:cs="Arial"/>
          <w:i/>
          <w:iCs/>
          <w:szCs w:val="20"/>
          <w:lang w:val="nl-NL"/>
        </w:rPr>
        <w:t>en artikel 3</w:t>
      </w:r>
      <w:r w:rsidR="009813B4">
        <w:rPr>
          <w:rFonts w:cs="Arial"/>
          <w:i/>
          <w:iCs/>
          <w:szCs w:val="20"/>
          <w:lang w:val="nl-NL"/>
        </w:rPr>
        <w:t>1</w:t>
      </w:r>
      <w:r w:rsidR="009027C4">
        <w:rPr>
          <w:rFonts w:cs="Arial"/>
          <w:i/>
          <w:iCs/>
          <w:szCs w:val="20"/>
          <w:lang w:val="nl-NL"/>
        </w:rPr>
        <w:t xml:space="preserve"> </w:t>
      </w:r>
      <w:r w:rsidRPr="00A805F5">
        <w:rPr>
          <w:rFonts w:cs="Arial"/>
          <w:i/>
          <w:iCs/>
          <w:szCs w:val="20"/>
          <w:lang w:val="nl-NL"/>
        </w:rPr>
        <w:t>van het Verdrag en artikel VIII van het Protocol)</w:t>
      </w:r>
    </w:p>
    <w:p w:rsidRPr="00A805F5" w:rsidR="00C77B49" w:rsidP="00C77B49" w:rsidRDefault="00C77B49" w14:paraId="1CDCFC54" w14:textId="001F0146">
      <w:pPr>
        <w:rPr>
          <w:rFonts w:cs="Arial"/>
          <w:szCs w:val="20"/>
          <w:lang w:val="nl-NL"/>
        </w:rPr>
      </w:pPr>
      <w:r w:rsidRPr="00A805F5">
        <w:rPr>
          <w:rFonts w:cs="Arial"/>
          <w:szCs w:val="20"/>
          <w:lang w:val="nl-NL"/>
        </w:rPr>
        <w:t xml:space="preserve">Artikel 27 bewerkstelligt dat beide verdragsluitende staten elkaar bijstand bij invordering van uitstaande belastingschulden verlenen. Het artikel komt overeen met artikel 27 van het OESO-modelverdrag. De bepaling geldt op grond van artikel VIII van het Protocol ook voor de Nederlandse inkomensafhankelijke regelingen (‘de toeslagen’). Tijdens de onderhandelingen gaf Chili aan een invorderingsbepaling conform het OESO-modelverdrag nog niet te kunnen effectueren in Chili, maar op termijn wel. Daarom bepaalt artikel 31, derde lid, van het Verdrag (inwerkingtreding) dat de bepalingen over de bijstand bij invordering in werking treden vanaf de datum van de </w:t>
      </w:r>
      <w:r w:rsidR="009027C4">
        <w:rPr>
          <w:rFonts w:cs="Arial"/>
          <w:szCs w:val="20"/>
          <w:lang w:val="nl-NL"/>
        </w:rPr>
        <w:t>antwoord</w:t>
      </w:r>
      <w:r w:rsidRPr="00A805F5">
        <w:rPr>
          <w:rFonts w:cs="Arial"/>
          <w:szCs w:val="20"/>
          <w:lang w:val="nl-NL"/>
        </w:rPr>
        <w:t xml:space="preserve">nota waarmee een uitwisseling van diplomatieke nota's tussen de verdragsluitende staten wordt voltooid waarin wordt aangegeven dat </w:t>
      </w:r>
      <w:r w:rsidR="009027C4">
        <w:rPr>
          <w:rFonts w:cs="Arial"/>
          <w:szCs w:val="20"/>
          <w:lang w:val="nl-NL"/>
        </w:rPr>
        <w:t>beide verdragsluitende staten</w:t>
      </w:r>
      <w:r w:rsidRPr="00A805F5">
        <w:rPr>
          <w:rFonts w:cs="Arial"/>
          <w:szCs w:val="20"/>
          <w:lang w:val="nl-NL"/>
        </w:rPr>
        <w:t xml:space="preserve"> artikel 27 </w:t>
      </w:r>
      <w:r w:rsidRPr="00A805F5" w:rsidR="009027C4">
        <w:rPr>
          <w:rFonts w:cs="Arial"/>
          <w:szCs w:val="20"/>
          <w:lang w:val="nl-NL"/>
        </w:rPr>
        <w:t>k</w:t>
      </w:r>
      <w:r w:rsidR="009027C4">
        <w:rPr>
          <w:rFonts w:cs="Arial"/>
          <w:szCs w:val="20"/>
          <w:lang w:val="nl-NL"/>
        </w:rPr>
        <w:t>unnen</w:t>
      </w:r>
      <w:r w:rsidRPr="00A805F5" w:rsidR="009027C4">
        <w:rPr>
          <w:rFonts w:cs="Arial"/>
          <w:szCs w:val="20"/>
          <w:lang w:val="nl-NL"/>
        </w:rPr>
        <w:t xml:space="preserve"> </w:t>
      </w:r>
      <w:r w:rsidRPr="00A805F5">
        <w:rPr>
          <w:rFonts w:cs="Arial"/>
          <w:szCs w:val="20"/>
          <w:lang w:val="nl-NL"/>
        </w:rPr>
        <w:t>uitvoeren.</w:t>
      </w:r>
    </w:p>
    <w:p w:rsidRPr="00A805F5" w:rsidR="00C77B49" w:rsidP="00C77B49" w:rsidRDefault="00C77B49" w14:paraId="64C8F11D" w14:textId="408097B9">
      <w:pPr>
        <w:rPr>
          <w:rFonts w:cs="Arial"/>
          <w:szCs w:val="20"/>
          <w:lang w:val="nl-NL"/>
        </w:rPr>
      </w:pPr>
      <w:r w:rsidRPr="00A805F5">
        <w:rPr>
          <w:rFonts w:cs="Arial"/>
          <w:szCs w:val="20"/>
          <w:lang w:val="nl-NL"/>
        </w:rPr>
        <w:t xml:space="preserve">Het eerste lid bevat het principe dat een verdragsluitende staat verplicht is de andere verdragsluitende staat bij te staan bij invordering. Net als het geval is bij de uitwisseling van informatie, is de bijstand bij invordering niet beperkt tot belastingschulden van inwoners van de verdragsluitende staten en evenmin tot de belastingen waarop het Verdrag van toepassing is. Ook is de bijstand niet beperkt wat betreft de hoogte van de belastingschuld. </w:t>
      </w:r>
    </w:p>
    <w:p w:rsidRPr="00A805F5" w:rsidR="00C77B49" w:rsidP="00C77B49" w:rsidRDefault="00C77B49" w14:paraId="0BD6D422" w14:textId="77777777">
      <w:pPr>
        <w:rPr>
          <w:rFonts w:cs="Arial"/>
          <w:szCs w:val="20"/>
          <w:lang w:val="nl-NL"/>
        </w:rPr>
      </w:pPr>
      <w:r w:rsidRPr="00A805F5">
        <w:rPr>
          <w:rFonts w:cs="Arial"/>
          <w:szCs w:val="20"/>
          <w:lang w:val="nl-NL"/>
        </w:rPr>
        <w:lastRenderedPageBreak/>
        <w:t xml:space="preserve">Het tweede lid bepaalt wat voor de toepassing van dit artikel wordt verstaan onder een ‘belastingvordering’. Dit begrip kan betrekking hebben op vorderingen met betrekking tot belastingen van elke soort of omschrijving die zijn opgelegd door een verdragsluitende staat, of zijn staatkundige onderdelen of plaatselijke publiekrechtelijke lichamen, mits de belastingheffing niet in strijd is met het Verdrag of een ander instrument waarbij de verdragsluitende staat partij is. Verder heeft het begrip betrekking op interest, bestuurlijke boetes en kosten voor de invordering met betrekking tot de belastingen waarop de invordering ziet. </w:t>
      </w:r>
    </w:p>
    <w:p w:rsidRPr="00A805F5" w:rsidR="00C77B49" w:rsidP="00C77B49" w:rsidRDefault="00C77B49" w14:paraId="4B94D3B9" w14:textId="77777777">
      <w:pPr>
        <w:rPr>
          <w:rFonts w:cs="Arial"/>
          <w:szCs w:val="20"/>
          <w:lang w:val="nl-NL"/>
        </w:rPr>
      </w:pPr>
      <w:r w:rsidRPr="00A805F5">
        <w:rPr>
          <w:rFonts w:cs="Arial"/>
          <w:szCs w:val="20"/>
          <w:lang w:val="nl-NL"/>
        </w:rPr>
        <w:t xml:space="preserve">Het derde lid beschrijft de voorwaarden waaronder aan een verzoek tot bijstand bij invordering dient te worden voldaan; de belastingvordering dient invorderbaar te zijn in de verzoekende staat en dient verschuldigd te zijn door een persoon die dit op dat moment, onder het recht van de verzoekende staat, niet (juridisch) kan verhinderen. </w:t>
      </w:r>
    </w:p>
    <w:p w:rsidRPr="00A805F5" w:rsidR="00C77B49" w:rsidP="00C77B49" w:rsidRDefault="00C77B49" w14:paraId="278B42F7" w14:textId="77777777">
      <w:pPr>
        <w:rPr>
          <w:rFonts w:cs="Arial"/>
          <w:szCs w:val="20"/>
          <w:lang w:val="nl-NL"/>
        </w:rPr>
      </w:pPr>
      <w:r w:rsidRPr="00A805F5">
        <w:rPr>
          <w:rFonts w:cs="Arial"/>
          <w:szCs w:val="20"/>
          <w:lang w:val="nl-NL"/>
        </w:rPr>
        <w:t xml:space="preserve">Het vierde lid bepaalt dat een verzoek tot het nemen van conservatoire maatregelen van de bevoegde autoriteit van een verdragsluitende staat, die volgens zijn eigen recht conservatoire maatregelen mag nemen ter behoud van de belastingclaim, door de bevoegde autoriteit van de andere verdragsluitende staat wordt geaccepteerd. Deze staat neemt vervolgens conservatoire maatregelen overeenkomstig de bepalingen van zijn eigen wetgeving. </w:t>
      </w:r>
    </w:p>
    <w:p w:rsidRPr="00A805F5" w:rsidR="00C77B49" w:rsidP="00C77B49" w:rsidRDefault="00C77B49" w14:paraId="2494C0A5" w14:textId="77777777">
      <w:pPr>
        <w:rPr>
          <w:rFonts w:cs="Arial"/>
          <w:szCs w:val="20"/>
          <w:lang w:val="nl-NL"/>
        </w:rPr>
      </w:pPr>
      <w:r w:rsidRPr="00A805F5">
        <w:rPr>
          <w:rFonts w:cs="Arial"/>
          <w:szCs w:val="20"/>
          <w:lang w:val="nl-NL"/>
        </w:rPr>
        <w:t>Het vijfde lid bepaalt dat de tijdslimieten, zoals verjaringstermijnen, van de verdragsluitende staat die een verzoek om bijstand bij invordering heeft geaccepteerd, niet gelden voor de betreffende belastingvordering. Ook volgt uit het vijfde lid dat een verdragsluitende staat aan de belastingvorderingen van de andere verdragsluitende staat geen (lagere) prioritering mag geven ten opzichte van eigen belastingvorderingen.</w:t>
      </w:r>
    </w:p>
    <w:p w:rsidRPr="00A805F5" w:rsidR="00C77B49" w:rsidP="00C77B49" w:rsidRDefault="00C77B49" w14:paraId="79AF3548" w14:textId="77777777">
      <w:pPr>
        <w:rPr>
          <w:rFonts w:cs="Arial"/>
          <w:szCs w:val="20"/>
          <w:lang w:val="nl-NL"/>
        </w:rPr>
      </w:pPr>
      <w:r w:rsidRPr="00A805F5">
        <w:rPr>
          <w:rFonts w:cs="Arial"/>
          <w:szCs w:val="20"/>
          <w:lang w:val="nl-NL"/>
        </w:rPr>
        <w:t>Het zesde lid stelt zeker dat in de verdragsluitende staat die een verzoek om bijstand bij invordering heeft ontvangen niet geprocedeerd kan worden over het bestaan of de hoogte van de belastingvordering.</w:t>
      </w:r>
    </w:p>
    <w:p w:rsidRPr="00A805F5" w:rsidR="00C77B49" w:rsidP="00C77B49" w:rsidRDefault="00C77B49" w14:paraId="519C05F7" w14:textId="20495E04">
      <w:pPr>
        <w:rPr>
          <w:rFonts w:cs="Arial"/>
          <w:szCs w:val="20"/>
          <w:lang w:val="nl-NL"/>
        </w:rPr>
      </w:pPr>
      <w:r w:rsidRPr="00A805F5">
        <w:rPr>
          <w:rFonts w:cs="Arial"/>
          <w:szCs w:val="20"/>
          <w:lang w:val="nl-NL"/>
        </w:rPr>
        <w:t xml:space="preserve"> Het zevende lid bepaalt dat de verdragsluitende staat die een verzoek om bijstand bij invordering heeft ingediend, de andere verdragsluitende staat op de hoogte stelt als de belastingvordering niet meer invorderbaar is of dat conservatoire maatregelen niet meer mogelijk zijn volgens de nationale wetgeving van de eerstgenoemde staat.</w:t>
      </w:r>
    </w:p>
    <w:p w:rsidRPr="00A805F5" w:rsidR="00C77B49" w:rsidP="00C77B49" w:rsidRDefault="00C77B49" w14:paraId="699DA37A" w14:textId="39A87E18">
      <w:pPr>
        <w:rPr>
          <w:rFonts w:cs="Arial"/>
          <w:szCs w:val="20"/>
          <w:lang w:val="nl-NL"/>
        </w:rPr>
      </w:pPr>
      <w:r w:rsidRPr="00A805F5">
        <w:rPr>
          <w:rFonts w:cs="Arial"/>
          <w:szCs w:val="20"/>
          <w:lang w:val="nl-NL"/>
        </w:rPr>
        <w:t xml:space="preserve"> Het achtste lid beschrijft situaties waarbij een verdragsluitende staat niet gehouden is bijstand bij invordering te verlenen. Als de bijstand desalniettemin wordt verleend, is dat overigens niet in strijd met artikel 27 van het Verdrag. In de eerste plaats beschrijft het achtste lid dat een verdragsluitende staat niet gehouden is maatregelen te nemen die verder gaan dan de eigen nationale wetgeving of administratieve praktijk, of de wetgeving of administratieve praktijk van de andere verdragsluitende staat. Dit doet niet af aan het vijfde lid, op grond waarvan nationale tijdslimieten van de verdragsluitende staat die een verzoek om bijstand bij invordering heeft ontvangen, niet van toepassing zijn. In de tweede plaats is een verdragsluitende staat niet gehouden maatregelen te nemen die in strijd zijn met de openbare orde. De bijstand bij invordering hoeft in de derde plaats ook niet verleend te worden als de verzoekende staat bij de invordering of zekerstelling niet alle redelijke maatregelen heeft genomen op grond van de wetgeving of administratieve praktijk van die staat. Tot slot is een verdragsluitende staat niet gehouden bijstand bij invordering te verlenen als het duidelijk is </w:t>
      </w:r>
      <w:r w:rsidRPr="00A805F5">
        <w:rPr>
          <w:rFonts w:cs="Arial"/>
          <w:szCs w:val="20"/>
          <w:lang w:val="nl-NL"/>
        </w:rPr>
        <w:lastRenderedPageBreak/>
        <w:t>dat de administratieve last niet proportioneel is in verhouding tot het potentiële voordeel van de verzoekende staat.</w:t>
      </w:r>
    </w:p>
    <w:p w:rsidRPr="00A805F5" w:rsidR="00C77B49" w:rsidP="00C77B49" w:rsidRDefault="00C77B49" w14:paraId="5F957BD9" w14:textId="77777777">
      <w:pPr>
        <w:keepNext/>
        <w:numPr>
          <w:ilvl w:val="1"/>
          <w:numId w:val="0"/>
        </w:numPr>
        <w:spacing w:before="240" w:after="60"/>
        <w:outlineLvl w:val="1"/>
        <w:rPr>
          <w:rFonts w:cs="Arial"/>
          <w:i/>
          <w:iCs/>
          <w:szCs w:val="20"/>
          <w:lang w:val="nl-NL"/>
        </w:rPr>
      </w:pPr>
      <w:r w:rsidRPr="00A805F5">
        <w:rPr>
          <w:rFonts w:cs="Arial"/>
          <w:i/>
          <w:iCs/>
          <w:szCs w:val="20"/>
          <w:lang w:val="nl-NL"/>
        </w:rPr>
        <w:t>II.28 Recht op voordelen (Artikel 28 van het Verdrag)</w:t>
      </w:r>
    </w:p>
    <w:p w:rsidRPr="00A805F5" w:rsidR="00C77B49" w:rsidP="00C77B49" w:rsidRDefault="00C77B49" w14:paraId="04BD2FB1" w14:textId="2B617894">
      <w:pPr>
        <w:rPr>
          <w:rFonts w:cs="Arial"/>
          <w:szCs w:val="20"/>
          <w:lang w:val="nl-NL"/>
        </w:rPr>
      </w:pPr>
      <w:r w:rsidRPr="00A805F5">
        <w:rPr>
          <w:rFonts w:cs="Arial"/>
          <w:szCs w:val="20"/>
          <w:lang w:val="nl-NL"/>
        </w:rPr>
        <w:t>In artikel 28 van het Verdrag zijn bepalingen opgenomen om oneigenlijk gebruik van het Verdrag te voorkomen. Deze bepalingen voldoen aan de minimumstandaard uit BEPS Actie 6 (‘</w:t>
      </w:r>
      <w:proofErr w:type="spellStart"/>
      <w:r w:rsidRPr="00A805F5">
        <w:rPr>
          <w:rFonts w:cs="Arial"/>
          <w:i/>
          <w:szCs w:val="20"/>
          <w:lang w:val="nl-NL"/>
        </w:rPr>
        <w:t>Preventing</w:t>
      </w:r>
      <w:proofErr w:type="spellEnd"/>
      <w:r w:rsidRPr="00A805F5">
        <w:rPr>
          <w:rFonts w:cs="Arial"/>
          <w:i/>
          <w:szCs w:val="20"/>
          <w:lang w:val="nl-NL"/>
        </w:rPr>
        <w:t xml:space="preserve"> </w:t>
      </w:r>
      <w:proofErr w:type="spellStart"/>
      <w:r w:rsidRPr="00A805F5">
        <w:rPr>
          <w:rFonts w:cs="Arial"/>
          <w:i/>
          <w:szCs w:val="20"/>
          <w:lang w:val="nl-NL"/>
        </w:rPr>
        <w:t>the</w:t>
      </w:r>
      <w:proofErr w:type="spellEnd"/>
      <w:r w:rsidRPr="00A805F5">
        <w:rPr>
          <w:rFonts w:cs="Arial"/>
          <w:i/>
          <w:szCs w:val="20"/>
          <w:lang w:val="nl-NL"/>
        </w:rPr>
        <w:t xml:space="preserve"> </w:t>
      </w:r>
      <w:proofErr w:type="spellStart"/>
      <w:r w:rsidRPr="00A805F5">
        <w:rPr>
          <w:rFonts w:cs="Arial"/>
          <w:i/>
          <w:szCs w:val="20"/>
          <w:lang w:val="nl-NL"/>
        </w:rPr>
        <w:t>Granting</w:t>
      </w:r>
      <w:proofErr w:type="spellEnd"/>
      <w:r w:rsidRPr="00A805F5">
        <w:rPr>
          <w:rFonts w:cs="Arial"/>
          <w:i/>
          <w:szCs w:val="20"/>
          <w:lang w:val="nl-NL"/>
        </w:rPr>
        <w:t xml:space="preserve"> of </w:t>
      </w:r>
      <w:proofErr w:type="spellStart"/>
      <w:r w:rsidRPr="00A805F5">
        <w:rPr>
          <w:rFonts w:cs="Arial"/>
          <w:i/>
          <w:szCs w:val="20"/>
          <w:lang w:val="nl-NL"/>
        </w:rPr>
        <w:t>Treaty</w:t>
      </w:r>
      <w:proofErr w:type="spellEnd"/>
      <w:r w:rsidRPr="00A805F5">
        <w:rPr>
          <w:rFonts w:cs="Arial"/>
          <w:i/>
          <w:szCs w:val="20"/>
          <w:lang w:val="nl-NL"/>
        </w:rPr>
        <w:t xml:space="preserve"> Benefits in </w:t>
      </w:r>
      <w:proofErr w:type="spellStart"/>
      <w:r w:rsidRPr="00A805F5">
        <w:rPr>
          <w:rFonts w:cs="Arial"/>
          <w:i/>
          <w:szCs w:val="20"/>
          <w:lang w:val="nl-NL"/>
        </w:rPr>
        <w:t>Inappropriate</w:t>
      </w:r>
      <w:proofErr w:type="spellEnd"/>
      <w:r w:rsidRPr="00A805F5">
        <w:rPr>
          <w:rFonts w:cs="Arial"/>
          <w:i/>
          <w:szCs w:val="20"/>
          <w:lang w:val="nl-NL"/>
        </w:rPr>
        <w:t xml:space="preserve"> </w:t>
      </w:r>
      <w:proofErr w:type="spellStart"/>
      <w:r w:rsidRPr="00A805F5">
        <w:rPr>
          <w:rFonts w:cs="Arial"/>
          <w:i/>
          <w:szCs w:val="20"/>
          <w:lang w:val="nl-NL"/>
        </w:rPr>
        <w:t>Circumstances</w:t>
      </w:r>
      <w:proofErr w:type="spellEnd"/>
      <w:r w:rsidRPr="00A805F5">
        <w:rPr>
          <w:rFonts w:cs="Arial"/>
          <w:szCs w:val="20"/>
          <w:lang w:val="nl-NL"/>
        </w:rPr>
        <w:t xml:space="preserve">’). Het artikel bestaat in feite uit drie delen. Het eerste deel is op verzoek van Chili vormgegeven als een zogenoemde </w:t>
      </w:r>
      <w:r w:rsidR="00476469">
        <w:rPr>
          <w:rFonts w:cs="Arial"/>
          <w:szCs w:val="20"/>
          <w:lang w:val="nl-NL"/>
        </w:rPr>
        <w:t>‘</w:t>
      </w:r>
      <w:proofErr w:type="spellStart"/>
      <w:r w:rsidRPr="00A805F5">
        <w:rPr>
          <w:rFonts w:cs="Arial"/>
          <w:i/>
          <w:szCs w:val="20"/>
          <w:lang w:val="nl-NL"/>
        </w:rPr>
        <w:t>Limitation</w:t>
      </w:r>
      <w:proofErr w:type="spellEnd"/>
      <w:r w:rsidRPr="00A805F5">
        <w:rPr>
          <w:rFonts w:cs="Arial"/>
          <w:i/>
          <w:szCs w:val="20"/>
          <w:lang w:val="nl-NL"/>
        </w:rPr>
        <w:t xml:space="preserve"> on Benefits</w:t>
      </w:r>
      <w:r w:rsidR="00476469">
        <w:rPr>
          <w:rFonts w:cs="Arial"/>
          <w:szCs w:val="20"/>
          <w:lang w:val="nl-NL"/>
        </w:rPr>
        <w:t>’</w:t>
      </w:r>
      <w:r w:rsidRPr="00A805F5">
        <w:rPr>
          <w:rFonts w:cs="Arial"/>
          <w:szCs w:val="20"/>
          <w:lang w:val="nl-NL"/>
        </w:rPr>
        <w:t xml:space="preserve"> (</w:t>
      </w:r>
      <w:proofErr w:type="spellStart"/>
      <w:r w:rsidRPr="00A805F5">
        <w:rPr>
          <w:rFonts w:cs="Arial"/>
          <w:szCs w:val="20"/>
          <w:lang w:val="nl-NL"/>
        </w:rPr>
        <w:t>LoB</w:t>
      </w:r>
      <w:proofErr w:type="spellEnd"/>
      <w:r w:rsidRPr="00A805F5">
        <w:rPr>
          <w:rFonts w:cs="Arial"/>
          <w:szCs w:val="20"/>
          <w:lang w:val="nl-NL"/>
        </w:rPr>
        <w:t xml:space="preserve">). De verdragsvoordelen worden uitsluitend toegekend wanneer degene die er een beroep op doet voldoet aan de voorwaarden die in de eerste zeven leden van het artikel staan beschreven. Het tweede deel regelt in het achtste lid de situatie dat inkomen wordt genoten door een inwoner van een van de verdragsluitende staten, maar waarbij dit inkomen is toe te rekenen aan een vaste inrichting in een derde staat. Het derde deel vult het eerste deel aan en bevat in het negende lid een zogenoemde </w:t>
      </w:r>
      <w:r w:rsidR="00E042C2">
        <w:rPr>
          <w:rFonts w:cs="Arial"/>
          <w:szCs w:val="20"/>
          <w:lang w:val="nl-NL"/>
        </w:rPr>
        <w:t>‘</w:t>
      </w:r>
      <w:proofErr w:type="spellStart"/>
      <w:r w:rsidRPr="00A805F5">
        <w:rPr>
          <w:rFonts w:cs="Arial"/>
          <w:i/>
          <w:szCs w:val="20"/>
          <w:lang w:val="nl-NL"/>
        </w:rPr>
        <w:t>Principal</w:t>
      </w:r>
      <w:proofErr w:type="spellEnd"/>
      <w:r w:rsidRPr="00A805F5">
        <w:rPr>
          <w:rFonts w:cs="Arial"/>
          <w:i/>
          <w:szCs w:val="20"/>
          <w:lang w:val="nl-NL"/>
        </w:rPr>
        <w:t xml:space="preserve"> </w:t>
      </w:r>
      <w:proofErr w:type="spellStart"/>
      <w:r w:rsidRPr="00A805F5">
        <w:rPr>
          <w:rFonts w:cs="Arial"/>
          <w:i/>
          <w:szCs w:val="20"/>
          <w:lang w:val="nl-NL"/>
        </w:rPr>
        <w:t>Purposes</w:t>
      </w:r>
      <w:proofErr w:type="spellEnd"/>
      <w:r w:rsidRPr="00A805F5">
        <w:rPr>
          <w:rFonts w:cs="Arial"/>
          <w:i/>
          <w:szCs w:val="20"/>
          <w:lang w:val="nl-NL"/>
        </w:rPr>
        <w:t xml:space="preserve"> Test</w:t>
      </w:r>
      <w:r w:rsidR="00E042C2">
        <w:rPr>
          <w:rFonts w:cs="Arial"/>
          <w:szCs w:val="20"/>
          <w:lang w:val="nl-NL"/>
        </w:rPr>
        <w:t>’</w:t>
      </w:r>
      <w:r w:rsidRPr="00A805F5">
        <w:rPr>
          <w:rFonts w:cs="Arial"/>
          <w:szCs w:val="20"/>
          <w:lang w:val="nl-NL"/>
        </w:rPr>
        <w:t xml:space="preserve"> (PPT).</w:t>
      </w:r>
    </w:p>
    <w:p w:rsidRPr="00A805F5" w:rsidR="00C77B49" w:rsidP="00C77B49" w:rsidRDefault="00C77B49" w14:paraId="68DB5671" w14:textId="77777777">
      <w:pPr>
        <w:rPr>
          <w:rFonts w:cs="Arial"/>
          <w:szCs w:val="20"/>
          <w:lang w:val="nl-NL"/>
        </w:rPr>
      </w:pPr>
      <w:r w:rsidRPr="00A805F5">
        <w:rPr>
          <w:rFonts w:cs="Arial"/>
          <w:szCs w:val="20"/>
          <w:lang w:val="nl-NL"/>
        </w:rPr>
        <w:t xml:space="preserve">Het artikel is langs deze lijnen als volgt opgebouwd. </w:t>
      </w:r>
    </w:p>
    <w:p w:rsidRPr="00A805F5" w:rsidR="00C77B49" w:rsidP="00C77B49" w:rsidRDefault="00C77B49" w14:paraId="41900F48" w14:textId="350A05DF">
      <w:pPr>
        <w:rPr>
          <w:rFonts w:cs="Arial"/>
          <w:szCs w:val="20"/>
          <w:lang w:val="nl-NL"/>
        </w:rPr>
      </w:pPr>
      <w:r w:rsidRPr="00A805F5">
        <w:rPr>
          <w:rFonts w:cs="Arial"/>
          <w:szCs w:val="20"/>
          <w:lang w:val="nl-NL"/>
        </w:rPr>
        <w:t xml:space="preserve">Het eerste lid bepaalt dat de verdragsvoordelen alleen toekomen aan kwalificerende personen, die in het tweede lid, limitatief, worden beschreven. Het derde lid breidt de gerechtigdheid uit tot, zakelijk weergegeven, actieve ondernemingen en het vierde lid bepaalt dat de bevoegde autoriteiten daarover met elkaar overleggen. Het vijfde lid breidt de gerechtigdheid uit voor gevallen waarin misbruik niet voor de hand ligt omdat – kort gezegd – zonder deze structuur de verdragsvoordelen ook gegeven zouden worden. Het zesde lid bevat een zogenoemde vangnetbepaling, die de bevoegde autoriteiten machtigt om de verdragsvoordelen toch toe te kennen in gevallen waarin niet aan de voorwaarden wordt voldaan, maar waarin zij ervan overtuigd zijn dat geen sprake is van misbruik. Het zevende lid bevat definities van de verschillende gebruikte termen. De </w:t>
      </w:r>
      <w:proofErr w:type="spellStart"/>
      <w:r w:rsidRPr="00A805F5">
        <w:rPr>
          <w:rFonts w:cs="Arial"/>
          <w:szCs w:val="20"/>
          <w:lang w:val="nl-NL"/>
        </w:rPr>
        <w:t>LoB</w:t>
      </w:r>
      <w:proofErr w:type="spellEnd"/>
      <w:r w:rsidRPr="00A805F5">
        <w:rPr>
          <w:rFonts w:cs="Arial"/>
          <w:szCs w:val="20"/>
          <w:lang w:val="nl-NL"/>
        </w:rPr>
        <w:t xml:space="preserve"> wordt na een korte uitleg van het achtste en negende lid hieronder meer in detail toegelicht.</w:t>
      </w:r>
    </w:p>
    <w:p w:rsidRPr="00A805F5" w:rsidR="00C77B49" w:rsidP="00C77B49" w:rsidRDefault="00C77B49" w14:paraId="4EA71C04" w14:textId="159E66F4">
      <w:pPr>
        <w:rPr>
          <w:rFonts w:cs="Arial"/>
          <w:szCs w:val="20"/>
          <w:lang w:val="nl-NL"/>
        </w:rPr>
      </w:pPr>
      <w:r w:rsidRPr="00A805F5">
        <w:rPr>
          <w:rFonts w:cs="Arial"/>
          <w:szCs w:val="20"/>
          <w:lang w:val="nl-NL"/>
        </w:rPr>
        <w:t xml:space="preserve">Het achtste lid gaat in op de situatie dat een inwoner van de ene verdragsluitende staat (de woonstaat) inkomen ontvangt uit de andere verdragsluitende staat (de bronstaat) maar waarbij dit inkomen is toe te rekenen aan een vaste inrichting in een derde staat. Wanneer de belasting in de woonstaat over het inkomen dat is toe te rekenen aan de vaste inrichting en de belasting in de derde staat over dat inkomen gecombineerd minder bedraagt dan 60% van de belasting die over dat inkomen in de woonstaat verschuldigd zou zijn zonder dat het inkomen was toegerekend aan de vaste inrichting in de derde staat, worden de verdragsvoordelen (door de bronstaat) niet toegekend. Hetzelfde geldt wanneer </w:t>
      </w:r>
      <w:r w:rsidR="00F329F9">
        <w:rPr>
          <w:rFonts w:cs="Arial"/>
          <w:szCs w:val="20"/>
          <w:lang w:val="nl-NL"/>
        </w:rPr>
        <w:t>de</w:t>
      </w:r>
      <w:r w:rsidRPr="00A805F5" w:rsidR="00F329F9">
        <w:rPr>
          <w:rFonts w:cs="Arial"/>
          <w:szCs w:val="20"/>
          <w:lang w:val="nl-NL"/>
        </w:rPr>
        <w:t xml:space="preserve"> </w:t>
      </w:r>
      <w:r w:rsidRPr="00A805F5">
        <w:rPr>
          <w:rFonts w:cs="Arial"/>
          <w:szCs w:val="20"/>
          <w:lang w:val="nl-NL"/>
        </w:rPr>
        <w:t xml:space="preserve">(derde) </w:t>
      </w:r>
      <w:r w:rsidR="00F329F9">
        <w:rPr>
          <w:rFonts w:cs="Arial"/>
          <w:szCs w:val="20"/>
          <w:lang w:val="nl-NL"/>
        </w:rPr>
        <w:t>staat</w:t>
      </w:r>
      <w:r w:rsidRPr="00A805F5" w:rsidR="00F329F9">
        <w:rPr>
          <w:rFonts w:cs="Arial"/>
          <w:szCs w:val="20"/>
          <w:lang w:val="nl-NL"/>
        </w:rPr>
        <w:t xml:space="preserve"> </w:t>
      </w:r>
      <w:r w:rsidRPr="00A805F5">
        <w:rPr>
          <w:rFonts w:cs="Arial"/>
          <w:szCs w:val="20"/>
          <w:lang w:val="nl-NL"/>
        </w:rPr>
        <w:t xml:space="preserve">waarin de vaste inrichting </w:t>
      </w:r>
      <w:r w:rsidR="00BF1B20">
        <w:rPr>
          <w:rFonts w:cs="Arial"/>
          <w:szCs w:val="20"/>
          <w:lang w:val="nl-NL"/>
        </w:rPr>
        <w:t>is gelegen</w:t>
      </w:r>
      <w:r w:rsidRPr="00A805F5">
        <w:rPr>
          <w:rFonts w:cs="Arial"/>
          <w:szCs w:val="20"/>
          <w:lang w:val="nl-NL"/>
        </w:rPr>
        <w:t xml:space="preserve"> geen belastingverdrag heeft gesloten met de verdragsluitende staat van waaruit de betaling wordt ontvangen, tenzij het inkomen in de belastinggrondslag wordt betrokken van de onderneming in de woonstaat. De belastingheffing van de bronstaat is bij toepassing van artikel 28, achtste lid, wel gemaximeerd op 25% bij interest of royalty’s. </w:t>
      </w:r>
    </w:p>
    <w:p w:rsidRPr="00A805F5" w:rsidR="00C77B49" w:rsidP="00C77B49" w:rsidRDefault="00C77B49" w14:paraId="7BEA9DA4" w14:textId="77777777">
      <w:pPr>
        <w:rPr>
          <w:rFonts w:cs="Arial"/>
          <w:szCs w:val="20"/>
          <w:lang w:val="nl-NL"/>
        </w:rPr>
      </w:pPr>
      <w:r w:rsidRPr="00A805F5">
        <w:rPr>
          <w:rFonts w:cs="Arial"/>
          <w:szCs w:val="20"/>
          <w:lang w:val="nl-NL"/>
        </w:rPr>
        <w:t xml:space="preserve">Het negende lid komt overeen met artikel 28, negende lid, van het OESO-modelverdrag en bevat de PPT. Op grond van deze bepaling worden verdragsvoordelen niet toegekend indien het verkrijgen van een verdragsvoordeel één van de voornaamste redenen was voor een constructie of transactie die tot dat voordeel heeft geleid, tenzij wordt vastgesteld dat het toekennen van dat </w:t>
      </w:r>
      <w:r w:rsidRPr="00A805F5">
        <w:rPr>
          <w:rFonts w:cs="Arial"/>
          <w:szCs w:val="20"/>
          <w:lang w:val="nl-NL"/>
        </w:rPr>
        <w:lastRenderedPageBreak/>
        <w:t>voordeel – rekening houdend met alle relevante feiten en omstandigheden – in overeenstemming is met het doel en de strekking van de relevante bepalingen uit het Verdrag. De PPT</w:t>
      </w:r>
      <w:r w:rsidRPr="00A805F5">
        <w:rPr>
          <w:rFonts w:cs="Arial"/>
          <w:i/>
          <w:szCs w:val="20"/>
          <w:lang w:val="nl-NL"/>
        </w:rPr>
        <w:t xml:space="preserve"> </w:t>
      </w:r>
      <w:r w:rsidRPr="00A805F5">
        <w:rPr>
          <w:rFonts w:cs="Arial"/>
          <w:szCs w:val="20"/>
          <w:lang w:val="nl-NL"/>
        </w:rPr>
        <w:t>richt zich dus op een specifieke transactie of constructie en niet zozeer op de persoon die bij een transactie of constructie betrokken is.</w:t>
      </w:r>
    </w:p>
    <w:p w:rsidRPr="00A805F5" w:rsidR="00C77B49" w:rsidP="00C77B49" w:rsidRDefault="00C77B49" w14:paraId="72AE94C3" w14:textId="77777777">
      <w:pPr>
        <w:rPr>
          <w:rFonts w:cs="Arial"/>
          <w:szCs w:val="20"/>
          <w:lang w:val="nl-NL"/>
        </w:rPr>
      </w:pPr>
      <w:r w:rsidRPr="00A805F5">
        <w:rPr>
          <w:rFonts w:cs="Arial"/>
          <w:szCs w:val="20"/>
          <w:lang w:val="nl-NL"/>
        </w:rPr>
        <w:t>Op het tweede tot en met het zesde lid wordt hieronder in meer detail ingegaan.</w:t>
      </w:r>
    </w:p>
    <w:p w:rsidRPr="00A805F5" w:rsidR="00C77B49" w:rsidP="00C77B49" w:rsidRDefault="00C77B49" w14:paraId="2E8DE42B" w14:textId="77777777">
      <w:pPr>
        <w:ind w:firstLine="0"/>
        <w:rPr>
          <w:rFonts w:cs="Arial"/>
          <w:szCs w:val="20"/>
          <w:lang w:val="nl-NL"/>
        </w:rPr>
      </w:pPr>
      <w:r w:rsidRPr="00A805F5">
        <w:rPr>
          <w:rFonts w:cs="Arial"/>
          <w:szCs w:val="20"/>
          <w:lang w:val="nl-NL"/>
        </w:rPr>
        <w:t>Het tweede lid onderscheidt, in de onderdelen a tot en met d, vier categorieën van kwalificerende personen, samengevat:</w:t>
      </w:r>
    </w:p>
    <w:p w:rsidRPr="00A805F5" w:rsidR="00C77B49" w:rsidP="00C77B49" w:rsidRDefault="00C77B49" w14:paraId="14770BAF" w14:textId="77777777">
      <w:pPr>
        <w:numPr>
          <w:ilvl w:val="0"/>
          <w:numId w:val="39"/>
        </w:numPr>
        <w:spacing w:after="200"/>
        <w:ind w:hanging="357"/>
        <w:contextualSpacing/>
        <w:rPr>
          <w:rFonts w:cs="Arial"/>
          <w:szCs w:val="20"/>
          <w:lang w:val="nl-NL"/>
        </w:rPr>
      </w:pPr>
      <w:r w:rsidRPr="00A805F5">
        <w:rPr>
          <w:rFonts w:cs="Arial"/>
          <w:szCs w:val="20"/>
          <w:lang w:val="nl-NL"/>
        </w:rPr>
        <w:t>een natuurlijke persoon;</w:t>
      </w:r>
    </w:p>
    <w:p w:rsidRPr="00A805F5" w:rsidR="00C77B49" w:rsidP="00C77B49" w:rsidRDefault="00C77B49" w14:paraId="3607E5AF" w14:textId="77777777">
      <w:pPr>
        <w:numPr>
          <w:ilvl w:val="0"/>
          <w:numId w:val="39"/>
        </w:numPr>
        <w:spacing w:after="200"/>
        <w:ind w:hanging="357"/>
        <w:contextualSpacing/>
        <w:rPr>
          <w:rFonts w:cs="Arial"/>
          <w:szCs w:val="20"/>
          <w:lang w:val="nl-NL"/>
        </w:rPr>
      </w:pPr>
      <w:r w:rsidRPr="00A805F5">
        <w:rPr>
          <w:rFonts w:cs="Arial"/>
          <w:szCs w:val="20"/>
          <w:lang w:val="nl-NL"/>
        </w:rPr>
        <w:t>een verdragsluitende staat, een staatkundig onderdeel en plaatselijk publiekrechtelijk lichaam daarvan, de centrale bank of een agentschap of instantie daarvan;</w:t>
      </w:r>
    </w:p>
    <w:p w:rsidRPr="00A805F5" w:rsidR="00C77B49" w:rsidP="00C77B49" w:rsidRDefault="00C77B49" w14:paraId="68032B63" w14:textId="77777777">
      <w:pPr>
        <w:numPr>
          <w:ilvl w:val="0"/>
          <w:numId w:val="39"/>
        </w:numPr>
        <w:spacing w:after="200"/>
        <w:ind w:hanging="357"/>
        <w:contextualSpacing/>
        <w:rPr>
          <w:rFonts w:cs="Arial"/>
          <w:szCs w:val="20"/>
          <w:lang w:val="nl-NL"/>
        </w:rPr>
      </w:pPr>
      <w:r w:rsidRPr="00A805F5">
        <w:rPr>
          <w:rFonts w:cs="Arial"/>
          <w:szCs w:val="20"/>
          <w:lang w:val="nl-NL"/>
        </w:rPr>
        <w:t>een lichaam of andere entiteit,</w:t>
      </w:r>
    </w:p>
    <w:p w:rsidRPr="00A805F5" w:rsidR="00C77B49" w:rsidP="00C77B49" w:rsidRDefault="00C77B49" w14:paraId="5CA45360" w14:textId="77777777">
      <w:pPr>
        <w:numPr>
          <w:ilvl w:val="1"/>
          <w:numId w:val="39"/>
        </w:numPr>
        <w:spacing w:after="200"/>
        <w:ind w:hanging="357"/>
        <w:contextualSpacing/>
        <w:rPr>
          <w:rFonts w:cs="Arial"/>
          <w:szCs w:val="20"/>
          <w:lang w:val="nl-NL"/>
        </w:rPr>
      </w:pPr>
      <w:r w:rsidRPr="00A805F5">
        <w:rPr>
          <w:rFonts w:cs="Arial"/>
          <w:szCs w:val="20"/>
          <w:lang w:val="nl-NL"/>
        </w:rPr>
        <w:t>waarvan de aandelen regelmatig aan een erkende beurs worden verhandeld, mits het lichaam of de entiteit een reële (substantiële) aanwezigheid heeft in zijn woonstaat; of</w:t>
      </w:r>
    </w:p>
    <w:p w:rsidRPr="00A805F5" w:rsidR="00C77B49" w:rsidP="00C77B49" w:rsidRDefault="00C77B49" w14:paraId="271F5E9F" w14:textId="77777777">
      <w:pPr>
        <w:numPr>
          <w:ilvl w:val="1"/>
          <w:numId w:val="39"/>
        </w:numPr>
        <w:spacing w:after="200"/>
        <w:ind w:hanging="357"/>
        <w:contextualSpacing/>
        <w:rPr>
          <w:rFonts w:cs="Arial"/>
          <w:szCs w:val="20"/>
          <w:lang w:val="nl-NL"/>
        </w:rPr>
      </w:pPr>
      <w:r w:rsidRPr="00A805F5">
        <w:rPr>
          <w:rFonts w:cs="Arial"/>
          <w:szCs w:val="20"/>
          <w:lang w:val="nl-NL"/>
        </w:rPr>
        <w:t>waarvan de aandelen ten minste 50% van het totale aantal stemmen en de waarde van het lichaam vertegenwoordigen en die direct of indirect worden gehouden door ten hoogste vijf beursgenoteerde lichamen die hiervoor, onder i, zijn beschreven;</w:t>
      </w:r>
    </w:p>
    <w:p w:rsidRPr="00A805F5" w:rsidR="00C77B49" w:rsidP="00C77B49" w:rsidRDefault="00C77B49" w14:paraId="797DBDF1" w14:textId="77777777">
      <w:pPr>
        <w:numPr>
          <w:ilvl w:val="0"/>
          <w:numId w:val="39"/>
        </w:numPr>
        <w:spacing w:after="200"/>
        <w:ind w:hanging="357"/>
        <w:contextualSpacing/>
        <w:rPr>
          <w:rFonts w:cs="Arial"/>
          <w:szCs w:val="20"/>
          <w:lang w:val="nl-NL"/>
        </w:rPr>
      </w:pPr>
      <w:r w:rsidRPr="00A805F5">
        <w:rPr>
          <w:rFonts w:cs="Arial"/>
          <w:szCs w:val="20"/>
          <w:lang w:val="nl-NL"/>
        </w:rPr>
        <w:t>een erkend pensioenfonds waarvan ten minste 50% van de deelnemers inwoner is van een verdragsluitende staat.</w:t>
      </w:r>
    </w:p>
    <w:p w:rsidRPr="00A805F5" w:rsidR="00C77B49" w:rsidP="00C77B49" w:rsidRDefault="00C77B49" w14:paraId="67ECD1FD" w14:textId="77777777">
      <w:pPr>
        <w:ind w:firstLine="0"/>
        <w:rPr>
          <w:rFonts w:cs="Arial"/>
          <w:szCs w:val="20"/>
          <w:lang w:val="nl-NL"/>
        </w:rPr>
      </w:pPr>
      <w:r w:rsidRPr="00A805F5">
        <w:rPr>
          <w:rFonts w:cs="Arial"/>
          <w:szCs w:val="20"/>
          <w:lang w:val="nl-NL"/>
        </w:rPr>
        <w:t xml:space="preserve"> </w:t>
      </w:r>
      <w:r w:rsidRPr="00A805F5">
        <w:rPr>
          <w:rFonts w:cs="Arial"/>
          <w:szCs w:val="20"/>
          <w:lang w:val="nl-NL"/>
        </w:rPr>
        <w:tab/>
        <w:t>Onderdeel e, ten slotte, erkent als kwalificerend persoon ook elk lichaam waarvan, direct en indirect, ten minste 50% van de aandelen in handen zijn van kwalificerende personen als bedoeld in de onderdelen a, b, c of d.</w:t>
      </w:r>
    </w:p>
    <w:p w:rsidRPr="00A805F5" w:rsidR="00C77B49" w:rsidP="00C77B49" w:rsidRDefault="00C77B49" w14:paraId="0340D877" w14:textId="740A490F">
      <w:pPr>
        <w:rPr>
          <w:rFonts w:cs="Arial"/>
          <w:szCs w:val="20"/>
          <w:lang w:val="nl-NL"/>
        </w:rPr>
      </w:pPr>
      <w:r w:rsidRPr="00A805F5">
        <w:rPr>
          <w:rFonts w:cs="Arial"/>
          <w:szCs w:val="20"/>
          <w:lang w:val="nl-NL"/>
        </w:rPr>
        <w:t xml:space="preserve">Het derde lid verzekert de verdragsgerechtigdheid van actieve ondernemingen, ook als zij geen kwalificerend persoon zijn. Hierover is lang onderhandeld. Met name over het, op zich gebruikelijke, onderdeel a, waarin wordt beschreven wat in ieder geval </w:t>
      </w:r>
      <w:r w:rsidRPr="00A805F5">
        <w:rPr>
          <w:rFonts w:cs="Arial"/>
          <w:i/>
          <w:szCs w:val="20"/>
          <w:lang w:val="nl-NL"/>
        </w:rPr>
        <w:t>niet</w:t>
      </w:r>
      <w:r w:rsidRPr="00A805F5">
        <w:rPr>
          <w:rFonts w:cs="Arial"/>
          <w:szCs w:val="20"/>
          <w:lang w:val="nl-NL"/>
        </w:rPr>
        <w:t xml:space="preserve"> als actieve onderneming wordt aangemerkt. De Nederlandse delegatie gaf aan dat met de ruime uitsluiting in het OESO-commentaar bij artikel 29, derde lid, van het OESO-modelverdrag ook reële actieve ondernemingen getroffen kunnen worden. De Chileense delegatie had </w:t>
      </w:r>
      <w:r w:rsidR="007A41D2">
        <w:rPr>
          <w:rFonts w:cs="Arial"/>
          <w:szCs w:val="20"/>
          <w:lang w:val="nl-NL"/>
        </w:rPr>
        <w:t xml:space="preserve">daarentegen </w:t>
      </w:r>
      <w:r w:rsidRPr="00A805F5">
        <w:rPr>
          <w:rFonts w:cs="Arial"/>
          <w:szCs w:val="20"/>
          <w:lang w:val="nl-NL"/>
        </w:rPr>
        <w:t>aanvankelijk de voorkeur om de lijst met uitgesloten actieve ondernemingen verder uit te breiden. In het kader van een algeheel compromis is in het derde lid, onderdeel a, vastgelegd dat de volgende bedrijfsactiviteiten niet worden aangemerkt als actieve onderneming:</w:t>
      </w:r>
    </w:p>
    <w:p w:rsidRPr="00A805F5" w:rsidR="00C77B49" w:rsidP="00C77B49" w:rsidRDefault="00C77B49" w14:paraId="69BD02E0" w14:textId="77777777">
      <w:pPr>
        <w:numPr>
          <w:ilvl w:val="0"/>
          <w:numId w:val="40"/>
        </w:numPr>
        <w:ind w:left="1304" w:hanging="340"/>
        <w:contextualSpacing/>
        <w:rPr>
          <w:rFonts w:cs="Arial"/>
          <w:szCs w:val="20"/>
          <w:lang w:val="nl-NL"/>
        </w:rPr>
      </w:pPr>
      <w:r w:rsidRPr="00A805F5">
        <w:rPr>
          <w:rFonts w:cs="Arial"/>
          <w:szCs w:val="20"/>
          <w:lang w:val="nl-NL"/>
        </w:rPr>
        <w:t xml:space="preserve">het optreden als houdstermaatschappij of als houdster van immateriële activa, behalve (zoals beschreven in de slotzin van onderdeel a) indien, kort gezegd, over de vereiste </w:t>
      </w:r>
      <w:proofErr w:type="spellStart"/>
      <w:r w:rsidRPr="00A805F5">
        <w:rPr>
          <w:rFonts w:cs="Arial"/>
          <w:i/>
          <w:szCs w:val="20"/>
          <w:lang w:val="nl-NL"/>
        </w:rPr>
        <w:t>substance</w:t>
      </w:r>
      <w:proofErr w:type="spellEnd"/>
      <w:r w:rsidRPr="00A805F5">
        <w:rPr>
          <w:rFonts w:cs="Arial"/>
          <w:i/>
          <w:szCs w:val="20"/>
          <w:lang w:val="nl-NL"/>
        </w:rPr>
        <w:t xml:space="preserve"> </w:t>
      </w:r>
      <w:r w:rsidRPr="00A805F5">
        <w:rPr>
          <w:rFonts w:cs="Arial"/>
          <w:szCs w:val="20"/>
          <w:lang w:val="nl-NL"/>
        </w:rPr>
        <w:t xml:space="preserve">wordt beschikt – daaronder begrepen de personele bezetting en beschikbare materiële activa – om te voorzien in het algemene toezicht van een groep lichamen of om in staat te zijn de immateriële activa te ontwikkelen en te verbeteren. </w:t>
      </w:r>
    </w:p>
    <w:p w:rsidRPr="00A805F5" w:rsidR="00C77B49" w:rsidP="00C77B49" w:rsidRDefault="00C77B49" w14:paraId="13244DAE" w14:textId="49A1B30B">
      <w:pPr>
        <w:numPr>
          <w:ilvl w:val="0"/>
          <w:numId w:val="40"/>
        </w:numPr>
        <w:ind w:left="1304" w:hanging="340"/>
        <w:contextualSpacing/>
        <w:rPr>
          <w:rFonts w:cs="Arial"/>
          <w:szCs w:val="20"/>
          <w:lang w:val="nl-NL"/>
        </w:rPr>
      </w:pPr>
      <w:r w:rsidRPr="00A805F5">
        <w:rPr>
          <w:rFonts w:cs="Arial"/>
          <w:szCs w:val="20"/>
          <w:lang w:val="nl-NL"/>
        </w:rPr>
        <w:t>het verzorgen van groepsfinanciering (waaronder cash pooling), tenzij het de belangrijkste ‘</w:t>
      </w:r>
      <w:proofErr w:type="spellStart"/>
      <w:r w:rsidRPr="00A805F5">
        <w:rPr>
          <w:rFonts w:cs="Arial"/>
          <w:i/>
          <w:szCs w:val="20"/>
          <w:lang w:val="nl-NL"/>
        </w:rPr>
        <w:t>treasury</w:t>
      </w:r>
      <w:proofErr w:type="spellEnd"/>
      <w:r w:rsidRPr="00A805F5">
        <w:rPr>
          <w:rFonts w:cs="Arial"/>
          <w:szCs w:val="20"/>
          <w:lang w:val="nl-NL"/>
        </w:rPr>
        <w:t>’</w:t>
      </w:r>
      <w:r w:rsidR="00564667">
        <w:rPr>
          <w:rFonts w:cs="Arial"/>
          <w:szCs w:val="20"/>
          <w:lang w:val="nl-NL"/>
        </w:rPr>
        <w:t>-</w:t>
      </w:r>
      <w:r w:rsidRPr="00A805F5">
        <w:rPr>
          <w:rFonts w:cs="Arial"/>
          <w:szCs w:val="20"/>
          <w:lang w:val="nl-NL"/>
        </w:rPr>
        <w:t>functies binnen de groep betreft;</w:t>
      </w:r>
    </w:p>
    <w:p w:rsidRPr="00A805F5" w:rsidR="00C77B49" w:rsidP="00C77B49" w:rsidRDefault="00C77B49" w14:paraId="72C4D1D1" w14:textId="77777777">
      <w:pPr>
        <w:numPr>
          <w:ilvl w:val="0"/>
          <w:numId w:val="40"/>
        </w:numPr>
        <w:ind w:left="1304" w:hanging="340"/>
        <w:contextualSpacing/>
        <w:rPr>
          <w:rFonts w:cs="Arial"/>
          <w:szCs w:val="20"/>
          <w:lang w:val="nl-NL"/>
        </w:rPr>
      </w:pPr>
      <w:r w:rsidRPr="00A805F5">
        <w:rPr>
          <w:rFonts w:cs="Arial"/>
          <w:szCs w:val="20"/>
          <w:lang w:val="nl-NL"/>
        </w:rPr>
        <w:t xml:space="preserve">het doen of beheren van beleggingen, tenzij dit wordt uitgevoerd door een bank, een verzekeringsmaatschappij of een geregistreerd effectenhandelaar in het kader van de normale uitoefening van hun bedrijf. </w:t>
      </w:r>
    </w:p>
    <w:p w:rsidRPr="00A805F5" w:rsidR="00C77B49" w:rsidP="00C77B49" w:rsidRDefault="00C77B49" w14:paraId="03B23551" w14:textId="77777777">
      <w:pPr>
        <w:rPr>
          <w:rFonts w:cs="Arial"/>
          <w:szCs w:val="20"/>
          <w:lang w:val="nl-NL"/>
        </w:rPr>
      </w:pPr>
      <w:r w:rsidRPr="00A805F5">
        <w:rPr>
          <w:rFonts w:cs="Arial"/>
          <w:szCs w:val="20"/>
          <w:lang w:val="nl-NL"/>
        </w:rPr>
        <w:lastRenderedPageBreak/>
        <w:t>Het derde lid, onderdeel b, bevat een eis die bedoeld is om een extra dam op te werpen tegen kunstmatige structuren. Een belastingplichtige kan – kort gezegd – uitsluitend aan de voorwaarden van onderdeel a voldoen wanneer de ondernemingsactiviteiten in zijn woonstaat substantieel zijn in vergelijking met de relevante bedrijfsactiviteiten in de andere verdragsluitende staat. Daarbij wordt met alle feiten en omstandigheden rekening gehouden.</w:t>
      </w:r>
    </w:p>
    <w:p w:rsidRPr="00A805F5" w:rsidR="00C77B49" w:rsidP="00C77B49" w:rsidRDefault="00C77B49" w14:paraId="66B4179A" w14:textId="77777777">
      <w:pPr>
        <w:rPr>
          <w:rFonts w:cs="Arial"/>
          <w:szCs w:val="20"/>
          <w:lang w:val="nl-NL"/>
        </w:rPr>
      </w:pPr>
      <w:r w:rsidRPr="00A805F5">
        <w:rPr>
          <w:rFonts w:cs="Arial"/>
          <w:szCs w:val="20"/>
          <w:lang w:val="nl-NL"/>
        </w:rPr>
        <w:t xml:space="preserve">In het derde lid, onderdeel c, wordt bepaald dat de activiteiten van verbonden lichamen in dezelfde woonstaat worden meegewogen om te toetsen of een belastingplichtige voldoet aan de voorwaarden in de onderdelen a en b. </w:t>
      </w:r>
    </w:p>
    <w:p w:rsidRPr="00A805F5" w:rsidR="00C77B49" w:rsidP="00C77B49" w:rsidRDefault="00C77B49" w14:paraId="25FA4B1C" w14:textId="77777777">
      <w:pPr>
        <w:rPr>
          <w:rFonts w:cs="Arial"/>
          <w:szCs w:val="20"/>
          <w:lang w:val="nl-NL"/>
        </w:rPr>
      </w:pPr>
      <w:r w:rsidRPr="00A805F5">
        <w:rPr>
          <w:rFonts w:cs="Arial"/>
          <w:szCs w:val="20"/>
          <w:lang w:val="nl-NL"/>
        </w:rPr>
        <w:t>In het vierde lid is, op verzoek van de Nederlandse delegatie, opgenomen dat wanneer de bevoegde autoriteiten overwegen te beslissen dat een belastingplichtige niet aan de eisen van het derde lid voldoet, zij eerst in overleg treden met de bevoegde autoriteiten van de andere verdragsluitende staat. Overeenstemming tussen de bevoegde autoriteiten van beide verdragsluitende staten is niet vereist alvorens een verdragsvoordeel wordt afgewezen, maar dit overleg kan ertoe dienen om misverstanden over de feiten te voorkomen en om gezamenlijk een beeld te ontwikkelen van waar de grens tussen actieve en niet-actieve lichamen getrokken moet worden. Voor de rechtszekerheid kan dit in de praktijk van groot belang zijn.</w:t>
      </w:r>
    </w:p>
    <w:p w:rsidRPr="00A805F5" w:rsidR="00C77B49" w:rsidP="00C77B49" w:rsidRDefault="00C77B49" w14:paraId="0E2034B0" w14:textId="5B5E8ABB">
      <w:pPr>
        <w:rPr>
          <w:rFonts w:cs="Arial"/>
          <w:szCs w:val="20"/>
          <w:lang w:val="nl-NL"/>
        </w:rPr>
      </w:pPr>
      <w:r w:rsidRPr="00A805F5">
        <w:rPr>
          <w:rFonts w:cs="Arial"/>
          <w:szCs w:val="20"/>
          <w:lang w:val="nl-NL"/>
        </w:rPr>
        <w:t>In artikel 28, vijfde lid, van het Verdrag is de bepaling opgenomen dat een lichaam ook recht heeft op een voordeel dat anders op grond van artikel 10 zou worden toegekend (dividenden) wanneer, kort weergegeven, hijzelf weliswaar niet voldoet aan de hiervoor beschreven voorwaarden, maar tenminste 95% van de aandelen in dit lichaam worden gehouden door zeven of minder zogenoemde ‘gelijkwaardige gerechtigden’ (</w:t>
      </w:r>
      <w:r w:rsidRPr="00A805F5">
        <w:rPr>
          <w:rFonts w:cs="Arial"/>
          <w:i/>
          <w:szCs w:val="20"/>
          <w:lang w:val="nl-NL"/>
        </w:rPr>
        <w:t xml:space="preserve">equivalent </w:t>
      </w:r>
      <w:proofErr w:type="spellStart"/>
      <w:r w:rsidRPr="00A805F5">
        <w:rPr>
          <w:rFonts w:cs="Arial"/>
          <w:i/>
          <w:szCs w:val="20"/>
          <w:lang w:val="nl-NL"/>
        </w:rPr>
        <w:t>beneficiaries</w:t>
      </w:r>
      <w:proofErr w:type="spellEnd"/>
      <w:r w:rsidRPr="00A805F5">
        <w:rPr>
          <w:rFonts w:cs="Arial"/>
          <w:szCs w:val="20"/>
          <w:lang w:val="nl-NL"/>
        </w:rPr>
        <w:t>). In die gevallen zou dit verdragsvoordeel immers toch worden toegekend en kan in die zin van misbruik geen sprake zijn. Daaraan is bovendien de voorwaarde gekoppeld dat bij een indirect belang de tussenhoudsters zogenoemde kwalificerende tussenhoudsters zijn (</w:t>
      </w:r>
      <w:proofErr w:type="spellStart"/>
      <w:r w:rsidRPr="00A805F5">
        <w:rPr>
          <w:rFonts w:cs="Arial"/>
          <w:i/>
          <w:szCs w:val="20"/>
          <w:lang w:val="nl-NL"/>
        </w:rPr>
        <w:t>qualifying</w:t>
      </w:r>
      <w:proofErr w:type="spellEnd"/>
      <w:r w:rsidRPr="00A805F5">
        <w:rPr>
          <w:rFonts w:cs="Arial"/>
          <w:i/>
          <w:szCs w:val="20"/>
          <w:lang w:val="nl-NL"/>
        </w:rPr>
        <w:t xml:space="preserve"> </w:t>
      </w:r>
      <w:proofErr w:type="spellStart"/>
      <w:r w:rsidRPr="00A805F5">
        <w:rPr>
          <w:rFonts w:cs="Arial"/>
          <w:i/>
          <w:szCs w:val="20"/>
          <w:lang w:val="nl-NL"/>
        </w:rPr>
        <w:t>internediate</w:t>
      </w:r>
      <w:proofErr w:type="spellEnd"/>
      <w:r w:rsidRPr="00A805F5">
        <w:rPr>
          <w:rFonts w:cs="Arial"/>
          <w:i/>
          <w:szCs w:val="20"/>
          <w:lang w:val="nl-NL"/>
        </w:rPr>
        <w:t xml:space="preserve"> </w:t>
      </w:r>
      <w:proofErr w:type="spellStart"/>
      <w:r w:rsidRPr="00A805F5">
        <w:rPr>
          <w:rFonts w:cs="Arial"/>
          <w:i/>
          <w:szCs w:val="20"/>
          <w:lang w:val="nl-NL"/>
        </w:rPr>
        <w:t>owners</w:t>
      </w:r>
      <w:proofErr w:type="spellEnd"/>
      <w:r w:rsidRPr="00A805F5">
        <w:rPr>
          <w:rFonts w:cs="Arial"/>
          <w:szCs w:val="20"/>
          <w:lang w:val="nl-NL"/>
        </w:rPr>
        <w:t xml:space="preserve">). </w:t>
      </w:r>
    </w:p>
    <w:p w:rsidRPr="00A805F5" w:rsidR="00C77B49" w:rsidP="00C77B49" w:rsidRDefault="00C77B49" w14:paraId="0491EA4E" w14:textId="77777777">
      <w:pPr>
        <w:rPr>
          <w:rFonts w:cs="Arial"/>
          <w:szCs w:val="20"/>
          <w:lang w:val="nl-NL"/>
        </w:rPr>
      </w:pPr>
      <w:r w:rsidRPr="00A805F5">
        <w:rPr>
          <w:rFonts w:cs="Arial"/>
          <w:szCs w:val="20"/>
          <w:lang w:val="nl-NL"/>
        </w:rPr>
        <w:t>Het begrip ‘gelijkwaardige gerechtigde’ (</w:t>
      </w:r>
      <w:r w:rsidRPr="00A805F5">
        <w:rPr>
          <w:rFonts w:cs="Arial"/>
          <w:i/>
          <w:szCs w:val="20"/>
          <w:lang w:val="nl-NL"/>
        </w:rPr>
        <w:t xml:space="preserve">equivalent </w:t>
      </w:r>
      <w:proofErr w:type="spellStart"/>
      <w:r w:rsidRPr="00A805F5">
        <w:rPr>
          <w:rFonts w:cs="Arial"/>
          <w:i/>
          <w:szCs w:val="20"/>
          <w:lang w:val="nl-NL"/>
        </w:rPr>
        <w:t>beneficiary</w:t>
      </w:r>
      <w:proofErr w:type="spellEnd"/>
      <w:r w:rsidRPr="00A805F5">
        <w:rPr>
          <w:rFonts w:cs="Arial"/>
          <w:szCs w:val="20"/>
          <w:lang w:val="nl-NL"/>
        </w:rPr>
        <w:t>) wordt gedefinieerd in het zevende lid, onderdeel d, en maakt duidelijk dat het gaat om personen die op grond van nationaal recht, op grond van dit Verdrag, of op grond van een andere internationale overeenkomst, recht hebben op dezelfde – of verdergaande – voordelen als die geclaimd worden. In het zevende lid, onderdeel g, wordt het begrip ‘gekwalificeerde tussenliggende eigenaar’ (</w:t>
      </w:r>
      <w:proofErr w:type="spellStart"/>
      <w:r w:rsidRPr="00A805F5">
        <w:rPr>
          <w:rFonts w:cs="Arial"/>
          <w:i/>
          <w:szCs w:val="20"/>
          <w:lang w:val="nl-NL"/>
        </w:rPr>
        <w:t>qualifying</w:t>
      </w:r>
      <w:proofErr w:type="spellEnd"/>
      <w:r w:rsidRPr="00A805F5">
        <w:rPr>
          <w:rFonts w:cs="Arial"/>
          <w:i/>
          <w:szCs w:val="20"/>
          <w:lang w:val="nl-NL"/>
        </w:rPr>
        <w:t xml:space="preserve"> </w:t>
      </w:r>
      <w:proofErr w:type="spellStart"/>
      <w:r w:rsidRPr="00A805F5">
        <w:rPr>
          <w:rFonts w:cs="Arial"/>
          <w:i/>
          <w:szCs w:val="20"/>
          <w:lang w:val="nl-NL"/>
        </w:rPr>
        <w:t>intermediate</w:t>
      </w:r>
      <w:proofErr w:type="spellEnd"/>
      <w:r w:rsidRPr="00A805F5">
        <w:rPr>
          <w:rFonts w:cs="Arial"/>
          <w:i/>
          <w:szCs w:val="20"/>
          <w:lang w:val="nl-NL"/>
        </w:rPr>
        <w:t xml:space="preserve"> </w:t>
      </w:r>
      <w:proofErr w:type="spellStart"/>
      <w:r w:rsidRPr="00A805F5">
        <w:rPr>
          <w:rFonts w:cs="Arial"/>
          <w:i/>
          <w:szCs w:val="20"/>
          <w:lang w:val="nl-NL"/>
        </w:rPr>
        <w:t>owner</w:t>
      </w:r>
      <w:proofErr w:type="spellEnd"/>
      <w:r w:rsidRPr="00A805F5">
        <w:rPr>
          <w:rFonts w:cs="Arial"/>
          <w:szCs w:val="20"/>
          <w:lang w:val="nl-NL"/>
        </w:rPr>
        <w:t xml:space="preserve">) gedefinieerd. Dat is, kort gezegd, een inwoner van een derde staat waarmee de bronstaat een belastingverdrag heeft gesloten of een inwoner van dezelfde verdragsluitende staat als het lichaam dat de verdragsvoordelen claimt. </w:t>
      </w:r>
    </w:p>
    <w:p w:rsidRPr="00A805F5" w:rsidR="00C77B49" w:rsidP="00C77B49" w:rsidRDefault="00C77B49" w14:paraId="6CD665CF" w14:textId="0A8FEB37">
      <w:pPr>
        <w:rPr>
          <w:rFonts w:cs="Arial"/>
          <w:szCs w:val="20"/>
          <w:lang w:val="nl-NL"/>
        </w:rPr>
      </w:pPr>
      <w:r w:rsidRPr="00A805F5">
        <w:rPr>
          <w:rFonts w:cs="Arial"/>
          <w:szCs w:val="20"/>
          <w:lang w:val="nl-NL"/>
        </w:rPr>
        <w:t>Het zesde lid bevat de zogenoemde vangnetbepaling, die de bevoegde autoriteiten machtigt om de verdragsvoordelen toch toe te kennen in gevallen waarin niet aan de voorwaarden uit de voorgaande leden wordt voldaan, maar waarin zij ervan overtuigd zijn dat geen sprake is van (</w:t>
      </w:r>
      <w:proofErr w:type="spellStart"/>
      <w:r w:rsidRPr="00A805F5">
        <w:rPr>
          <w:rFonts w:cs="Arial"/>
          <w:szCs w:val="20"/>
          <w:lang w:val="nl-NL"/>
        </w:rPr>
        <w:t>verdrags</w:t>
      </w:r>
      <w:proofErr w:type="spellEnd"/>
      <w:r w:rsidRPr="00A805F5">
        <w:rPr>
          <w:rFonts w:cs="Arial"/>
          <w:szCs w:val="20"/>
          <w:lang w:val="nl-NL"/>
        </w:rPr>
        <w:t>)misbruik. Op verzoek van de Nederlandse delegatie is ook daarbij opgenomen dat wanneer een belastingplichtige een beroep doet op deze bepaling en de bevoegde autoriteiten waaraan dit verzoek gericht is overwegen het verzoek af te wijzen, zij eerst in overleg treden met de bevoegde autoriteiten van de andere verdragsluitende staat. Ook hier hoeft er geen overeenstemming te bestaan alvorens de bepaling wordt toegepast. Deze bepaling is opgenomen op grond van dezelfde overwegingen als hiervoor beschreven bij artikel 28, vierde lid, van het Verdrag.</w:t>
      </w:r>
    </w:p>
    <w:p w:rsidRPr="00A805F5" w:rsidR="00C77B49" w:rsidP="00C77B49" w:rsidRDefault="00C77B49" w14:paraId="19850D57" w14:textId="77777777">
      <w:pPr>
        <w:keepNext/>
        <w:numPr>
          <w:ilvl w:val="1"/>
          <w:numId w:val="0"/>
        </w:numPr>
        <w:spacing w:before="240" w:after="60"/>
        <w:outlineLvl w:val="1"/>
        <w:rPr>
          <w:rFonts w:cs="Arial"/>
          <w:i/>
          <w:iCs/>
          <w:szCs w:val="20"/>
          <w:lang w:val="nl-NL"/>
        </w:rPr>
      </w:pPr>
      <w:r w:rsidRPr="00A805F5">
        <w:rPr>
          <w:rFonts w:cs="Arial"/>
          <w:i/>
          <w:iCs/>
          <w:szCs w:val="20"/>
          <w:lang w:val="nl-NL"/>
        </w:rPr>
        <w:lastRenderedPageBreak/>
        <w:t>II.29 Leden van diplomatieke vertegenwoordigingen en consulaire posten (Artikel 29 van het Verdrag)</w:t>
      </w:r>
    </w:p>
    <w:p w:rsidRPr="00A805F5" w:rsidR="00C77B49" w:rsidP="00C77B49" w:rsidRDefault="00C77B49" w14:paraId="205D787B" w14:textId="77777777">
      <w:pPr>
        <w:rPr>
          <w:rFonts w:cs="Arial"/>
          <w:szCs w:val="20"/>
          <w:lang w:val="nl-NL"/>
        </w:rPr>
      </w:pPr>
      <w:r w:rsidRPr="00A805F5">
        <w:rPr>
          <w:rFonts w:cs="Arial"/>
          <w:szCs w:val="20"/>
          <w:lang w:val="nl-NL"/>
        </w:rPr>
        <w:t xml:space="preserve">Artikel 29 betreft de toepassing van het Verdrag bij leden van een diplomatieke vertegenwoordiging of consulaire post. </w:t>
      </w:r>
    </w:p>
    <w:p w:rsidRPr="00A805F5" w:rsidR="00C77B49" w:rsidP="00C77B49" w:rsidRDefault="00C77B49" w14:paraId="3CE3D12A" w14:textId="77777777">
      <w:pPr>
        <w:rPr>
          <w:rFonts w:cs="Arial"/>
          <w:szCs w:val="20"/>
          <w:lang w:val="nl-NL"/>
        </w:rPr>
      </w:pPr>
      <w:r w:rsidRPr="00A805F5">
        <w:rPr>
          <w:rFonts w:cs="Arial"/>
          <w:szCs w:val="20"/>
          <w:lang w:val="nl-NL"/>
        </w:rPr>
        <w:t>Het eerste lid bepaalt, conform artikel 28 van het OESO-modelverdrag, dat fiscale voorrechten toegekend aan leden van een diplomatieke vertegenwoordiging of consulaire post op grond van internationaal recht of bijzondere (internationale) overeenkomsten niet worden aangetast door dit Verdrag.</w:t>
      </w:r>
    </w:p>
    <w:p w:rsidRPr="00A805F5" w:rsidR="00C77B49" w:rsidP="00C77B49" w:rsidRDefault="00C77B49" w14:paraId="0ADC00DE" w14:textId="77777777">
      <w:pPr>
        <w:rPr>
          <w:rFonts w:cs="Arial"/>
          <w:szCs w:val="20"/>
          <w:lang w:val="nl-NL"/>
        </w:rPr>
      </w:pPr>
      <w:r w:rsidRPr="00A805F5">
        <w:rPr>
          <w:rFonts w:cs="Arial"/>
          <w:szCs w:val="20"/>
          <w:lang w:val="nl-NL"/>
        </w:rPr>
        <w:t>Het tweede lid regelt dat leden van een diplomatieke vertegenwoordiging of consulaire post van de ene verdragsluitende staat die in die staat als inwoner belast (blijven) worden en die onderdaan van die staat zijn, ook voor de toepassing van dit Verdrag als inwoner van die Staat worden beschouwd.</w:t>
      </w:r>
    </w:p>
    <w:p w:rsidRPr="00A805F5" w:rsidR="00C77B49" w:rsidP="00C77B49" w:rsidRDefault="00C77B49" w14:paraId="3519F880" w14:textId="77777777">
      <w:pPr>
        <w:rPr>
          <w:rFonts w:cs="Arial"/>
          <w:szCs w:val="20"/>
          <w:lang w:val="nl-NL"/>
        </w:rPr>
      </w:pPr>
      <w:r w:rsidRPr="00A805F5">
        <w:rPr>
          <w:rFonts w:cs="Arial"/>
          <w:szCs w:val="20"/>
          <w:lang w:val="nl-NL"/>
        </w:rPr>
        <w:t xml:space="preserve">Het derde lid bepaalt dat het Verdrag niet van toepassing is op internationale organisaties, op hun organen en functionarissen, noch op leden van een diplomatieke vertegenwoordiging of consulaire post van een derde staat die aanwezig zijn in een verdragsluitende staat, indien zij niet aan dezelfde belastingen zijn onderworpen als (andere) inwoners van die verdragsluitende staat. </w:t>
      </w:r>
    </w:p>
    <w:p w:rsidRPr="00A805F5" w:rsidR="00C77B49" w:rsidP="00C77B49" w:rsidRDefault="00C77B49" w14:paraId="405F14A7" w14:textId="77777777">
      <w:pPr>
        <w:keepNext/>
        <w:numPr>
          <w:ilvl w:val="1"/>
          <w:numId w:val="0"/>
        </w:numPr>
        <w:spacing w:before="240" w:after="60"/>
        <w:outlineLvl w:val="1"/>
        <w:rPr>
          <w:rFonts w:cs="Arial"/>
          <w:i/>
          <w:iCs/>
          <w:szCs w:val="20"/>
          <w:lang w:val="nl-NL"/>
        </w:rPr>
      </w:pPr>
      <w:r w:rsidRPr="00A805F5">
        <w:rPr>
          <w:rFonts w:cs="Arial"/>
          <w:i/>
          <w:iCs/>
          <w:szCs w:val="20"/>
          <w:lang w:val="nl-NL"/>
        </w:rPr>
        <w:t>II.30 Diverse bepalingen (Artikel 30 van het Verdrag)</w:t>
      </w:r>
    </w:p>
    <w:p w:rsidRPr="00494232" w:rsidR="00C77B49" w:rsidP="00C77B49" w:rsidRDefault="00C77B49" w14:paraId="1AA80F74" w14:textId="35BD84C1">
      <w:pPr>
        <w:rPr>
          <w:rFonts w:cs="Arial"/>
          <w:szCs w:val="20"/>
          <w:lang w:val="nl-NL"/>
        </w:rPr>
      </w:pPr>
      <w:r w:rsidRPr="00494232">
        <w:rPr>
          <w:rFonts w:cs="Arial"/>
          <w:szCs w:val="20"/>
          <w:lang w:val="nl-NL"/>
        </w:rPr>
        <w:t xml:space="preserve">Artikel 30 bevat </w:t>
      </w:r>
      <w:r w:rsidR="00D41D2D">
        <w:rPr>
          <w:rFonts w:cs="Arial"/>
          <w:szCs w:val="20"/>
          <w:lang w:val="nl-NL"/>
        </w:rPr>
        <w:t xml:space="preserve">– met uitzondering van het vijfde lid – </w:t>
      </w:r>
      <w:r w:rsidRPr="00494232">
        <w:rPr>
          <w:rFonts w:cs="Arial"/>
          <w:szCs w:val="20"/>
          <w:lang w:val="nl-NL"/>
        </w:rPr>
        <w:t xml:space="preserve">enige bijzondere bepalingen die de verhouding regelen tussen het Verdrag enerzijds en enige Chileense nationale regels of andere internationale overeenkomsten anderzijds. </w:t>
      </w:r>
    </w:p>
    <w:p w:rsidRPr="00494232" w:rsidR="00C77B49" w:rsidP="00C77B49" w:rsidRDefault="00C77B49" w14:paraId="3C65A53D" w14:textId="1A1FF15E">
      <w:pPr>
        <w:rPr>
          <w:rFonts w:cs="Arial"/>
          <w:szCs w:val="20"/>
          <w:lang w:val="nl-NL"/>
        </w:rPr>
      </w:pPr>
      <w:r w:rsidRPr="00494232">
        <w:rPr>
          <w:rFonts w:cs="Arial"/>
          <w:szCs w:val="20"/>
          <w:lang w:val="nl-NL"/>
        </w:rPr>
        <w:t>Het eerste lid ziet op uitkeringen uit gepoolde investeringen in fondsen die beheerd worden door een inwoner van Chili. Op uitbetali</w:t>
      </w:r>
      <w:r w:rsidR="007B4147">
        <w:rPr>
          <w:rFonts w:cs="Arial"/>
          <w:szCs w:val="20"/>
          <w:lang w:val="nl-NL"/>
        </w:rPr>
        <w:t>ngen uit deze fondsen heft Chili</w:t>
      </w:r>
      <w:r w:rsidRPr="00494232">
        <w:rPr>
          <w:rFonts w:cs="Arial"/>
          <w:szCs w:val="20"/>
          <w:lang w:val="nl-NL"/>
        </w:rPr>
        <w:t xml:space="preserve"> momenteel een belasting van 10%. Dit lid maakt duidelijk dat, voor zover die fondsen beleggen in bezittingen die in Chili zijn gelegen, dit heffingsrecht niet wordt beperkt door het Verdrag</w:t>
      </w:r>
    </w:p>
    <w:p w:rsidRPr="00494232" w:rsidR="00C77B49" w:rsidP="00C77B49" w:rsidRDefault="00C77B49" w14:paraId="2280F5AB" w14:textId="5E7BB807">
      <w:pPr>
        <w:rPr>
          <w:rFonts w:cs="Arial"/>
          <w:szCs w:val="20"/>
          <w:lang w:val="nl-NL"/>
        </w:rPr>
      </w:pPr>
      <w:r w:rsidRPr="00494232">
        <w:rPr>
          <w:rFonts w:cs="Arial"/>
          <w:szCs w:val="20"/>
          <w:lang w:val="nl-NL"/>
        </w:rPr>
        <w:t>Het tweede lid regelt de verhouding tussen dit Verdrag en</w:t>
      </w:r>
      <w:r w:rsidRPr="00A805F5">
        <w:rPr>
          <w:rFonts w:cs="Arial"/>
          <w:color w:val="202122"/>
          <w:szCs w:val="20"/>
          <w:shd w:val="clear" w:color="auto" w:fill="FFFFFF"/>
          <w:lang w:val="nl-NL"/>
        </w:rPr>
        <w:t xml:space="preserve"> de </w:t>
      </w:r>
      <w:r w:rsidRPr="00494232">
        <w:rPr>
          <w:rFonts w:cs="Arial"/>
          <w:szCs w:val="20"/>
          <w:lang w:val="nl-NL"/>
        </w:rPr>
        <w:t>Algemene Overeenkomst betreffende de handel in diensten (</w:t>
      </w:r>
      <w:r w:rsidRPr="00A805F5">
        <w:rPr>
          <w:rFonts w:cs="Arial"/>
          <w:i/>
          <w:szCs w:val="20"/>
          <w:lang w:val="nl-NL"/>
        </w:rPr>
        <w:t>General Agreement on Trade in Services</w:t>
      </w:r>
      <w:r w:rsidRPr="00494232">
        <w:rPr>
          <w:rFonts w:cs="Arial"/>
          <w:szCs w:val="20"/>
          <w:lang w:val="nl-NL"/>
        </w:rPr>
        <w:t>, GATS)</w:t>
      </w:r>
      <w:r w:rsidRPr="00A805F5">
        <w:rPr>
          <w:rFonts w:cs="Arial"/>
          <w:color w:val="202122"/>
          <w:szCs w:val="20"/>
          <w:shd w:val="clear" w:color="auto" w:fill="FFFFFF"/>
          <w:lang w:val="nl-NL"/>
        </w:rPr>
        <w:t>.</w:t>
      </w:r>
      <w:r w:rsidR="008F7F34">
        <w:rPr>
          <w:rStyle w:val="FootnoteReference"/>
          <w:rFonts w:cs="Arial"/>
          <w:color w:val="202122"/>
          <w:szCs w:val="20"/>
          <w:shd w:val="clear" w:color="auto" w:fill="FFFFFF"/>
          <w:lang w:val="nl-NL"/>
        </w:rPr>
        <w:footnoteReference w:id="16"/>
      </w:r>
      <w:r w:rsidRPr="00494232">
        <w:rPr>
          <w:rFonts w:cs="Arial"/>
          <w:szCs w:val="20"/>
          <w:lang w:val="nl-NL"/>
        </w:rPr>
        <w:t xml:space="preserve"> In het derde lid van Artikel XXII van die Overeenkomst staat dat geen beroep gedaan kan worden op de bepalingen van die Overeenkomst met betrekking tot maatregelen waarop ook een verdrag ter voorkoming van dubbele belasting van toepassing is. Over de vraag of dat het geval is kunnen de verdragsluitende staten verschillend denken. De bepaling in dit lid regelt dat een dergelijk geschil alleen onder de genoemde Overeenkomst beslecht kan worden indien de verdragsluitende staten bij dit Verdrag daarmee instemmen.</w:t>
      </w:r>
    </w:p>
    <w:p w:rsidRPr="00494232" w:rsidR="00C77B49" w:rsidP="00C77B49" w:rsidRDefault="00C77B49" w14:paraId="485D7929" w14:textId="77777777">
      <w:pPr>
        <w:rPr>
          <w:rFonts w:cs="Arial"/>
          <w:szCs w:val="20"/>
          <w:lang w:val="nl-NL"/>
        </w:rPr>
      </w:pPr>
      <w:r w:rsidRPr="00494232">
        <w:rPr>
          <w:rFonts w:cs="Arial"/>
          <w:szCs w:val="20"/>
          <w:lang w:val="nl-NL"/>
        </w:rPr>
        <w:t xml:space="preserve">Het derde lid bepaalt dat niets in dit Verdrag de toepassing van de Chileense wetgeving DL 600 (Statuut inzake buitenlandse </w:t>
      </w:r>
      <w:proofErr w:type="spellStart"/>
      <w:r w:rsidRPr="00494232">
        <w:rPr>
          <w:rFonts w:cs="Arial"/>
          <w:szCs w:val="20"/>
          <w:lang w:val="nl-NL"/>
        </w:rPr>
        <w:t>inversteringen</w:t>
      </w:r>
      <w:proofErr w:type="spellEnd"/>
      <w:r w:rsidRPr="00494232">
        <w:rPr>
          <w:rFonts w:cs="Arial"/>
          <w:szCs w:val="20"/>
          <w:lang w:val="nl-NL"/>
        </w:rPr>
        <w:t>/</w:t>
      </w:r>
      <w:proofErr w:type="spellStart"/>
      <w:r w:rsidRPr="00A805F5">
        <w:rPr>
          <w:rFonts w:cs="Arial"/>
          <w:i/>
          <w:szCs w:val="20"/>
          <w:lang w:val="nl-NL"/>
        </w:rPr>
        <w:t>Foreign</w:t>
      </w:r>
      <w:proofErr w:type="spellEnd"/>
      <w:r w:rsidRPr="00A805F5">
        <w:rPr>
          <w:rFonts w:cs="Arial"/>
          <w:i/>
          <w:szCs w:val="20"/>
          <w:lang w:val="nl-NL"/>
        </w:rPr>
        <w:t xml:space="preserve"> Investment </w:t>
      </w:r>
      <w:proofErr w:type="spellStart"/>
      <w:r w:rsidRPr="00A805F5">
        <w:rPr>
          <w:rFonts w:cs="Arial"/>
          <w:i/>
          <w:szCs w:val="20"/>
          <w:lang w:val="nl-NL"/>
        </w:rPr>
        <w:t>Statute</w:t>
      </w:r>
      <w:proofErr w:type="spellEnd"/>
      <w:r w:rsidRPr="00494232">
        <w:rPr>
          <w:rFonts w:cs="Arial"/>
          <w:szCs w:val="20"/>
          <w:lang w:val="nl-NL"/>
        </w:rPr>
        <w:t>) en de Wet nr. 20.848 verhindert. Dit betreft wetgeving om buitenlandse investeringen aan te trekken.</w:t>
      </w:r>
    </w:p>
    <w:p w:rsidRPr="00494232" w:rsidR="00C77B49" w:rsidP="00C77B49" w:rsidRDefault="00C77B49" w14:paraId="44FE0425" w14:textId="77777777">
      <w:pPr>
        <w:rPr>
          <w:rFonts w:cs="Arial"/>
          <w:szCs w:val="20"/>
          <w:lang w:val="nl-NL"/>
        </w:rPr>
      </w:pPr>
      <w:r w:rsidRPr="00494232">
        <w:rPr>
          <w:rFonts w:cs="Arial"/>
          <w:szCs w:val="20"/>
          <w:lang w:val="nl-NL"/>
        </w:rPr>
        <w:t>Het vierde lid is relevant voor de belasting van vaste inrichtingen in Chili van een inwoner van Nederland en hangt samen met het Chileense gelaagde systeem van vennootschapsbelasting. Bij uitdeling van winsten wordt de winst van een vennootschap volgens het systeem van de aanvullende belasting (</w:t>
      </w:r>
      <w:proofErr w:type="spellStart"/>
      <w:r w:rsidRPr="00494232">
        <w:rPr>
          <w:rFonts w:cs="Arial"/>
          <w:i/>
          <w:szCs w:val="20"/>
          <w:lang w:val="nl-NL"/>
        </w:rPr>
        <w:t>impuesto</w:t>
      </w:r>
      <w:proofErr w:type="spellEnd"/>
      <w:r w:rsidRPr="00494232">
        <w:rPr>
          <w:rFonts w:cs="Arial"/>
          <w:i/>
          <w:szCs w:val="20"/>
          <w:lang w:val="nl-NL"/>
        </w:rPr>
        <w:t xml:space="preserve"> </w:t>
      </w:r>
      <w:proofErr w:type="spellStart"/>
      <w:r w:rsidRPr="00494232">
        <w:rPr>
          <w:rFonts w:cs="Arial"/>
          <w:i/>
          <w:szCs w:val="20"/>
          <w:lang w:val="nl-NL"/>
        </w:rPr>
        <w:t>adicional</w:t>
      </w:r>
      <w:proofErr w:type="spellEnd"/>
      <w:r w:rsidRPr="00494232">
        <w:rPr>
          <w:rFonts w:cs="Arial"/>
          <w:szCs w:val="20"/>
          <w:lang w:val="nl-NL"/>
        </w:rPr>
        <w:t xml:space="preserve">) tegen een hoger tarief belast en daarmee kan de belasting van de </w:t>
      </w:r>
      <w:r w:rsidRPr="00494232">
        <w:rPr>
          <w:rFonts w:cs="Arial"/>
          <w:szCs w:val="20"/>
          <w:lang w:val="nl-NL"/>
        </w:rPr>
        <w:lastRenderedPageBreak/>
        <w:t>eerste categorie (</w:t>
      </w:r>
      <w:proofErr w:type="spellStart"/>
      <w:r w:rsidRPr="00494232">
        <w:rPr>
          <w:rFonts w:cs="Arial"/>
          <w:i/>
          <w:szCs w:val="20"/>
          <w:lang w:val="nl-NL"/>
        </w:rPr>
        <w:t>impuesto</w:t>
      </w:r>
      <w:proofErr w:type="spellEnd"/>
      <w:r w:rsidRPr="00494232">
        <w:rPr>
          <w:rFonts w:cs="Arial"/>
          <w:i/>
          <w:szCs w:val="20"/>
          <w:lang w:val="nl-NL"/>
        </w:rPr>
        <w:t xml:space="preserve"> de </w:t>
      </w:r>
      <w:proofErr w:type="spellStart"/>
      <w:r w:rsidRPr="00494232">
        <w:rPr>
          <w:rFonts w:cs="Arial"/>
          <w:i/>
          <w:szCs w:val="20"/>
          <w:lang w:val="nl-NL"/>
        </w:rPr>
        <w:t>primera</w:t>
      </w:r>
      <w:proofErr w:type="spellEnd"/>
      <w:r w:rsidRPr="00494232">
        <w:rPr>
          <w:rFonts w:cs="Arial"/>
          <w:i/>
          <w:szCs w:val="20"/>
          <w:lang w:val="nl-NL"/>
        </w:rPr>
        <w:t xml:space="preserve"> </w:t>
      </w:r>
      <w:proofErr w:type="spellStart"/>
      <w:r w:rsidRPr="00494232">
        <w:rPr>
          <w:rFonts w:cs="Arial"/>
          <w:i/>
          <w:szCs w:val="20"/>
          <w:lang w:val="nl-NL"/>
        </w:rPr>
        <w:t>categoría</w:t>
      </w:r>
      <w:proofErr w:type="spellEnd"/>
      <w:r w:rsidRPr="00494232">
        <w:rPr>
          <w:rFonts w:cs="Arial"/>
          <w:szCs w:val="20"/>
          <w:lang w:val="nl-NL"/>
        </w:rPr>
        <w:t>)</w:t>
      </w:r>
      <w:r w:rsidRPr="00494232">
        <w:rPr>
          <w:rFonts w:cs="Arial"/>
          <w:b/>
          <w:szCs w:val="20"/>
          <w:lang w:val="nl-NL"/>
        </w:rPr>
        <w:t xml:space="preserve"> </w:t>
      </w:r>
      <w:r w:rsidRPr="00494232">
        <w:rPr>
          <w:rFonts w:cs="Arial"/>
          <w:szCs w:val="20"/>
          <w:lang w:val="nl-NL"/>
        </w:rPr>
        <w:t>die al is betaald bij het behalen van die winst worden verrekend. Daarmee wordt herinvestering in Chili gestimuleerd en wordt voorkomen dat (aanvankelijk) vrijgestelde winsten ook zonder heffing worden uitgekeerd. De Chileense wetgeving belast de winst van een vaste inrichting op een vergelijkbare manier. Met de bepaling in het vierde lid wordt duidelijk gemaakt dat dit systeem – zoals dat ook geregeld is in artikel 10, vierde lid – onder het Verdrag mogelijk blijft (zie ook de toelichting op artikel 24, tweede lid, van dit Verdrag (non-discriminatie)).</w:t>
      </w:r>
    </w:p>
    <w:p w:rsidRPr="00494232" w:rsidR="00C77B49" w:rsidP="00C77B49" w:rsidRDefault="00C77B49" w14:paraId="5FF1C8A5" w14:textId="11F51614">
      <w:pPr>
        <w:rPr>
          <w:rFonts w:cs="Arial"/>
          <w:szCs w:val="20"/>
          <w:lang w:val="nl-NL"/>
        </w:rPr>
      </w:pPr>
      <w:r w:rsidRPr="00494232">
        <w:rPr>
          <w:rFonts w:cs="Arial"/>
          <w:szCs w:val="20"/>
          <w:lang w:val="nl-NL"/>
        </w:rPr>
        <w:t>Het vijfde lid</w:t>
      </w:r>
      <w:r w:rsidR="000A0A88">
        <w:rPr>
          <w:rFonts w:cs="Arial"/>
          <w:szCs w:val="20"/>
          <w:lang w:val="nl-NL"/>
        </w:rPr>
        <w:t>,</w:t>
      </w:r>
      <w:r w:rsidRPr="00494232">
        <w:rPr>
          <w:rFonts w:cs="Arial"/>
          <w:szCs w:val="20"/>
          <w:lang w:val="nl-NL"/>
        </w:rPr>
        <w:t xml:space="preserve"> ten</w:t>
      </w:r>
      <w:r w:rsidR="000A0A88">
        <w:rPr>
          <w:rFonts w:cs="Arial"/>
          <w:szCs w:val="20"/>
          <w:lang w:val="nl-NL"/>
        </w:rPr>
        <w:t xml:space="preserve"> </w:t>
      </w:r>
      <w:r w:rsidRPr="00494232">
        <w:rPr>
          <w:rFonts w:cs="Arial"/>
          <w:szCs w:val="20"/>
          <w:lang w:val="nl-NL"/>
        </w:rPr>
        <w:t>slotte</w:t>
      </w:r>
      <w:r w:rsidR="000A0A88">
        <w:rPr>
          <w:rFonts w:cs="Arial"/>
          <w:szCs w:val="20"/>
          <w:lang w:val="nl-NL"/>
        </w:rPr>
        <w:t>,</w:t>
      </w:r>
      <w:r w:rsidRPr="00494232">
        <w:rPr>
          <w:rFonts w:cs="Arial"/>
          <w:szCs w:val="20"/>
          <w:lang w:val="nl-NL"/>
        </w:rPr>
        <w:t xml:space="preserve"> bepaalt dat de bevoegde autoriteiten van beide verdragsluitende staten in onderling overleg kunnen regelen op welke wijze de bepalingen in het Verdrag uitgevoerd worden. Te denken valt daarbij aan de wijze waarop inwoners van het ene land een teruggave in het andere land kunnen vragen voor belasting die volgens het nationale recht verschuldigd zijn maar die op grond van het Verdrag (daar) niet geheven mag mogen worden.</w:t>
      </w:r>
      <w:r w:rsidRPr="00A805F5" w:rsidR="008F7F34">
        <w:rPr>
          <w:lang w:val="nl-NL"/>
        </w:rPr>
        <w:t xml:space="preserve"> </w:t>
      </w:r>
      <w:r w:rsidRPr="008F7F34" w:rsidR="008F7F34">
        <w:rPr>
          <w:rFonts w:cs="Arial"/>
          <w:szCs w:val="20"/>
          <w:lang w:val="nl-NL"/>
        </w:rPr>
        <w:t>In een voorkomend geval kan daarbij sprake zijn van een uitvoeringsverdrag dat op grond van artikel 7, onderdeel b, van de Rijkswet goedkeuring en bekendmaking verdragen geen parlementaire goedkeuring behoeft, behoudens het bepaalde in artikel 8 van die Rijkswet.</w:t>
      </w:r>
    </w:p>
    <w:p w:rsidRPr="00A805F5" w:rsidR="00C77B49" w:rsidP="00C77B49" w:rsidRDefault="00C77B49" w14:paraId="59AB4D8A" w14:textId="77777777">
      <w:pPr>
        <w:keepNext/>
        <w:numPr>
          <w:ilvl w:val="1"/>
          <w:numId w:val="0"/>
        </w:numPr>
        <w:spacing w:before="240" w:after="60"/>
        <w:outlineLvl w:val="1"/>
        <w:rPr>
          <w:rFonts w:cs="Arial"/>
          <w:i/>
          <w:iCs/>
          <w:szCs w:val="20"/>
          <w:lang w:val="nl-NL"/>
        </w:rPr>
      </w:pPr>
      <w:r w:rsidRPr="00A805F5">
        <w:rPr>
          <w:rFonts w:cs="Arial"/>
          <w:i/>
          <w:iCs/>
          <w:szCs w:val="20"/>
          <w:lang w:val="nl-NL"/>
        </w:rPr>
        <w:t>II.31 Inwerkingtreding (Artikel 31 van het Verdrag)</w:t>
      </w:r>
    </w:p>
    <w:p w:rsidRPr="00A805F5" w:rsidR="00C77B49" w:rsidP="00C77B49" w:rsidRDefault="00C77B49" w14:paraId="1BCA7AAE" w14:textId="77777777">
      <w:pPr>
        <w:ind w:firstLine="708"/>
        <w:rPr>
          <w:rFonts w:cs="Arial"/>
          <w:szCs w:val="20"/>
          <w:highlight w:val="lightGray"/>
          <w:lang w:val="nl-NL"/>
        </w:rPr>
      </w:pPr>
      <w:r w:rsidRPr="00A805F5">
        <w:rPr>
          <w:rFonts w:cs="Arial"/>
          <w:szCs w:val="20"/>
          <w:lang w:val="nl-NL"/>
        </w:rPr>
        <w:t>Artikel 31 regelt de inwerkingtreding van het Verdrag. De verdragsluitende staten stellen elkaar (via diplomatieke nota’s) ervan in kennis dat de in hun staat vereiste wettelijke procedures voor de inwerkingtreding van het Verdrag zijn vervuld. Het Verdrag treedt dan in werking op de laatste dag van de maand volgend op de maand waarin de laatste van de beide kennisgevingen is ontvangen.</w:t>
      </w:r>
      <w:r w:rsidRPr="00A805F5">
        <w:rPr>
          <w:rFonts w:cs="Arial"/>
          <w:szCs w:val="20"/>
          <w:highlight w:val="lightGray"/>
          <w:lang w:val="nl-NL"/>
        </w:rPr>
        <w:t xml:space="preserve"> </w:t>
      </w:r>
    </w:p>
    <w:p w:rsidRPr="00A805F5" w:rsidR="00C77B49" w:rsidP="00C77B49" w:rsidRDefault="00C77B49" w14:paraId="41D12CFE" w14:textId="7BD2781E">
      <w:pPr>
        <w:ind w:firstLine="708"/>
        <w:rPr>
          <w:rFonts w:cs="Arial"/>
          <w:szCs w:val="20"/>
          <w:lang w:val="nl-NL"/>
        </w:rPr>
      </w:pPr>
      <w:r w:rsidRPr="00A805F5">
        <w:rPr>
          <w:rFonts w:cs="Arial"/>
          <w:szCs w:val="20"/>
          <w:lang w:val="nl-NL"/>
        </w:rPr>
        <w:t xml:space="preserve">Het tweede lid bepaalt wanneer de bepalingen van het Verdrag van toepassing zijn. In Chili </w:t>
      </w:r>
      <w:r w:rsidRPr="00A805F5" w:rsidR="0065744D">
        <w:rPr>
          <w:rFonts w:cs="Arial"/>
          <w:szCs w:val="20"/>
          <w:lang w:val="nl-NL"/>
        </w:rPr>
        <w:t>zijn de overeengekomen bepalingen van toepassing op</w:t>
      </w:r>
      <w:r w:rsidR="007B4147">
        <w:rPr>
          <w:rFonts w:cs="Arial"/>
          <w:szCs w:val="20"/>
          <w:lang w:val="nl-NL"/>
        </w:rPr>
        <w:t xml:space="preserve"> </w:t>
      </w:r>
      <w:r w:rsidRPr="00A805F5">
        <w:rPr>
          <w:rFonts w:cs="Arial"/>
          <w:szCs w:val="20"/>
          <w:lang w:val="nl-NL"/>
        </w:rPr>
        <w:t xml:space="preserve">inkomen en over bedragen die zijn betaald, gecrediteerd op een rekening, ter beschikking zijn gesteld of geboekt zijn als een last, op </w:t>
      </w:r>
      <w:r w:rsidRPr="00A805F5" w:rsidR="001542CF">
        <w:rPr>
          <w:rFonts w:cs="Arial"/>
          <w:szCs w:val="20"/>
          <w:lang w:val="nl-NL"/>
        </w:rPr>
        <w:t xml:space="preserve">of na </w:t>
      </w:r>
      <w:r w:rsidRPr="00A805F5">
        <w:rPr>
          <w:rFonts w:cs="Arial"/>
          <w:szCs w:val="20"/>
          <w:lang w:val="nl-NL"/>
        </w:rPr>
        <w:t>1 januari van het kalenderjaar dat volgt op het kalenderjaar waarin dit Verdrag in</w:t>
      </w:r>
      <w:r w:rsidR="00780D56">
        <w:rPr>
          <w:rFonts w:cs="Arial"/>
          <w:szCs w:val="20"/>
          <w:lang w:val="nl-NL"/>
        </w:rPr>
        <w:t xml:space="preserve"> </w:t>
      </w:r>
      <w:r w:rsidRPr="00A805F5">
        <w:rPr>
          <w:rFonts w:cs="Arial"/>
          <w:szCs w:val="20"/>
          <w:lang w:val="nl-NL"/>
        </w:rPr>
        <w:t>werking</w:t>
      </w:r>
      <w:r w:rsidR="00780D56">
        <w:rPr>
          <w:rFonts w:cs="Arial"/>
          <w:szCs w:val="20"/>
          <w:lang w:val="nl-NL"/>
        </w:rPr>
        <w:t xml:space="preserve"> </w:t>
      </w:r>
      <w:r w:rsidRPr="00A805F5">
        <w:rPr>
          <w:rFonts w:cs="Arial"/>
          <w:szCs w:val="20"/>
          <w:lang w:val="nl-NL"/>
        </w:rPr>
        <w:t xml:space="preserve">treedt. Voor belastingen naar het vermogen – indien en voor zover een dergelijke belasting na ondertekening van dit Verdrag zal worden geheven door Chili – </w:t>
      </w:r>
      <w:r w:rsidRPr="00A805F5" w:rsidR="0065744D">
        <w:rPr>
          <w:rFonts w:cs="Arial"/>
          <w:szCs w:val="20"/>
          <w:lang w:val="nl-NL"/>
        </w:rPr>
        <w:t>is het Verdrag van toepassing op vermogen dat in het bezit is op of na</w:t>
      </w:r>
      <w:r w:rsidRPr="00A805F5">
        <w:rPr>
          <w:rFonts w:cs="Arial"/>
          <w:szCs w:val="20"/>
          <w:lang w:val="nl-NL"/>
        </w:rPr>
        <w:t xml:space="preserve"> 1 januari van het jaar dat onmiddellijk volgt op de datum waarop de belasting naar het vermogen is ingevoerd. In Nederland worden de bepalingen van dit Verdrag, op grond van onderdeel b, van toepassing voor belastingjaren en –tijdvakken die beginnen, en belastbare gebeurtenissen die zich voordoen, op of na 1 januari van het kalenderjaar dat volgt op dat waarin het Verdrag in werking is getreden. </w:t>
      </w:r>
    </w:p>
    <w:p w:rsidRPr="00A805F5" w:rsidR="00C77B49" w:rsidP="00C77B49" w:rsidRDefault="00C77B49" w14:paraId="10B7E691" w14:textId="4C4B241C">
      <w:pPr>
        <w:ind w:firstLine="708"/>
        <w:rPr>
          <w:rFonts w:cs="Arial"/>
          <w:szCs w:val="20"/>
          <w:lang w:val="nl-NL"/>
        </w:rPr>
      </w:pPr>
      <w:r w:rsidRPr="00A805F5">
        <w:rPr>
          <w:rFonts w:cs="Arial"/>
          <w:szCs w:val="20"/>
          <w:lang w:val="nl-NL"/>
        </w:rPr>
        <w:t xml:space="preserve">Het derde lid heeft betrekking op het van toepassing worden van de bepalingen van artikel 27 van dit Verdrag (bijstand bij invordering van belastingen). Voor een toelichting op deze bepaling wordt verwezen naar </w:t>
      </w:r>
      <w:r w:rsidR="00CB33F9">
        <w:rPr>
          <w:rFonts w:cs="Arial"/>
          <w:szCs w:val="20"/>
          <w:lang w:val="nl-NL"/>
        </w:rPr>
        <w:t>onderdeel</w:t>
      </w:r>
      <w:r w:rsidRPr="00CA6632" w:rsidR="00CB33F9">
        <w:rPr>
          <w:rFonts w:cs="Arial"/>
          <w:szCs w:val="20"/>
          <w:lang w:val="nl-NL"/>
        </w:rPr>
        <w:t xml:space="preserve"> </w:t>
      </w:r>
      <w:r w:rsidR="00CB33F9">
        <w:rPr>
          <w:rFonts w:cs="Arial"/>
          <w:szCs w:val="20"/>
          <w:lang w:val="nl-NL"/>
        </w:rPr>
        <w:t>II.</w:t>
      </w:r>
      <w:r w:rsidRPr="00CA6632" w:rsidR="00CB33F9">
        <w:rPr>
          <w:rFonts w:cs="Arial"/>
          <w:szCs w:val="20"/>
          <w:lang w:val="nl-NL"/>
        </w:rPr>
        <w:t xml:space="preserve">27 van </w:t>
      </w:r>
      <w:r w:rsidR="00CB33F9">
        <w:rPr>
          <w:rFonts w:cs="Arial"/>
          <w:szCs w:val="20"/>
          <w:lang w:val="nl-NL"/>
        </w:rPr>
        <w:t>deze toelichtende nota</w:t>
      </w:r>
      <w:r w:rsidRPr="00A805F5">
        <w:rPr>
          <w:rFonts w:cs="Arial"/>
          <w:szCs w:val="20"/>
          <w:lang w:val="nl-NL"/>
        </w:rPr>
        <w:t xml:space="preserve">. </w:t>
      </w:r>
    </w:p>
    <w:p w:rsidRPr="00A805F5" w:rsidR="00C77B49" w:rsidP="00C77B49" w:rsidRDefault="00C77B49" w14:paraId="7A14F76E" w14:textId="77777777">
      <w:pPr>
        <w:keepNext/>
        <w:numPr>
          <w:ilvl w:val="1"/>
          <w:numId w:val="0"/>
        </w:numPr>
        <w:spacing w:before="240" w:after="60"/>
        <w:outlineLvl w:val="1"/>
        <w:rPr>
          <w:rFonts w:cs="Arial"/>
          <w:i/>
          <w:iCs/>
          <w:szCs w:val="20"/>
          <w:lang w:val="nl-NL"/>
        </w:rPr>
      </w:pPr>
      <w:r w:rsidRPr="00A805F5">
        <w:rPr>
          <w:rFonts w:cs="Arial"/>
          <w:i/>
          <w:iCs/>
          <w:szCs w:val="20"/>
          <w:lang w:val="nl-NL"/>
        </w:rPr>
        <w:t>II.32 Beëindiging (Artikel 32 van het Verdrag)</w:t>
      </w:r>
    </w:p>
    <w:p w:rsidRPr="00494232" w:rsidR="00C77B49" w:rsidP="00C77B49" w:rsidRDefault="00C77B49" w14:paraId="11651DFE" w14:textId="77777777">
      <w:pPr>
        <w:rPr>
          <w:rFonts w:cs="Arial"/>
          <w:szCs w:val="20"/>
          <w:lang w:val="nl-NL"/>
        </w:rPr>
      </w:pPr>
      <w:r w:rsidRPr="00494232">
        <w:rPr>
          <w:rFonts w:cs="Arial"/>
          <w:szCs w:val="20"/>
          <w:lang w:val="nl-NL"/>
        </w:rPr>
        <w:t xml:space="preserve">Het Verdrag geldt in beginsel voor onbepaalde tijd. Op grond van artikel 32, eerste lid, van het Verdrag kan elk van de beide verdragsluitende staten het Verdrag beëindigen. Dit gebeurt langs diplomatieke weg door middel van een kennisgeving van de beëindiging. Deze wordt geacht te zijn gedaan op de datum van ontvangst van de kennisgeving door de andere verdragsluitende staat. </w:t>
      </w:r>
    </w:p>
    <w:p w:rsidRPr="00494232" w:rsidR="00C77B49" w:rsidP="00C77B49" w:rsidRDefault="00C77B49" w14:paraId="6F3C4375" w14:textId="2ECE5554">
      <w:pPr>
        <w:rPr>
          <w:rFonts w:cs="Arial"/>
          <w:szCs w:val="20"/>
          <w:lang w:val="nl-NL"/>
        </w:rPr>
      </w:pPr>
      <w:r w:rsidRPr="00494232">
        <w:rPr>
          <w:rFonts w:cs="Arial"/>
          <w:szCs w:val="20"/>
          <w:lang w:val="nl-NL"/>
        </w:rPr>
        <w:lastRenderedPageBreak/>
        <w:t xml:space="preserve">Artikel 32, tweede lid, regelt wanneer de bepalingen </w:t>
      </w:r>
      <w:r w:rsidR="00E514A6">
        <w:rPr>
          <w:rFonts w:cs="Arial"/>
          <w:szCs w:val="20"/>
          <w:lang w:val="nl-NL"/>
        </w:rPr>
        <w:t xml:space="preserve">van </w:t>
      </w:r>
      <w:r w:rsidRPr="00494232">
        <w:rPr>
          <w:rFonts w:cs="Arial"/>
          <w:szCs w:val="20"/>
          <w:lang w:val="nl-NL"/>
        </w:rPr>
        <w:t xml:space="preserve">het Verdrag ophouden van toepassing te zijn. Voor Chili is dat, op grond van onderdeel a, bij belastingen op verkregen inkomen en betaalde bedragen die op een rekening zijn gecrediteerd, ter beschikking zijn gesteld of als last zijn geboekt, op of na 1 januari van het kalenderjaar dat volgt op dat waarin de kennisgeving is gedaan (zoals beschreven onder i), en bij belastingen naar het vermogen, voor belastingen voor elk belastingjaar dat begint op of na 1 januari van het kalenderjaar dat volgt op het jaar waarin de kennisgeving wordt gedaan (zoals </w:t>
      </w:r>
      <w:proofErr w:type="spellStart"/>
      <w:r w:rsidRPr="00494232">
        <w:rPr>
          <w:rFonts w:cs="Arial"/>
          <w:szCs w:val="20"/>
          <w:lang w:val="nl-NL"/>
        </w:rPr>
        <w:t>bescheven</w:t>
      </w:r>
      <w:proofErr w:type="spellEnd"/>
      <w:r w:rsidRPr="00494232">
        <w:rPr>
          <w:rFonts w:cs="Arial"/>
          <w:szCs w:val="20"/>
          <w:lang w:val="nl-NL"/>
        </w:rPr>
        <w:t xml:space="preserve"> onder ii). Voor Nederland houden de bepalingen van het Verdrag, op grond van onderdeel b, op van toepassing te zijn bij belastingen geheven op basis van een belastingjaar, voor belastingen voor elk belastingjaar dat begint op of na 1 januari van het kalenderjaar dat volgt op het jaar waarin de kennisgeving wordt gedaan (onder i) en bij belastingen die niet worden geheven op basis van een belastingjaar, voor belastingen geheven op of na 1 januari van het kalenderjaar dat volgt op het jaar waarin de kennisgeving wordt gedaan (onder ii). Voor de bepalingen over informatie-uitwisseling (artikel 26 van het Verdrag) is in onderdeel c geregeld dat de bepalingen van het Verdrag ophouden van toepassing te zijn op 1 januari van het kalenderjaar dat volgt op het jaar waarin de kennisgeving is gedaan. Verzoeken om informatie die worden ontvangen voor de datum waarop het Verdrag beëindigd is, worden behandeld in overeenstemming met de voorwaarden van dit Verdrag. De verdragsluitende staten blijven echter gebonden door de vertrouwelijkheidsvoorwaarden van artikel 26 voor alle uit hoofde van dit Verdrag verkregen informatie.</w:t>
      </w:r>
    </w:p>
    <w:p w:rsidRPr="00494232" w:rsidR="00C77B49" w:rsidP="00C77B49" w:rsidRDefault="00C77B49" w14:paraId="75F4C375" w14:textId="77777777">
      <w:pPr>
        <w:ind w:firstLine="0"/>
        <w:rPr>
          <w:rFonts w:cs="Arial"/>
          <w:b/>
          <w:szCs w:val="20"/>
          <w:lang w:val="nl-NL"/>
        </w:rPr>
      </w:pPr>
    </w:p>
    <w:p w:rsidRPr="00494232" w:rsidR="00C77B49" w:rsidP="00C77B49" w:rsidRDefault="00C77B49" w14:paraId="49FB4555" w14:textId="77777777">
      <w:pPr>
        <w:ind w:left="709" w:firstLine="0"/>
        <w:rPr>
          <w:rFonts w:cs="Arial"/>
          <w:szCs w:val="20"/>
          <w:lang w:val="nl-NL"/>
        </w:rPr>
      </w:pPr>
    </w:p>
    <w:p w:rsidRPr="00494232" w:rsidR="00C77B49" w:rsidP="00C77B49" w:rsidRDefault="00C77B49" w14:paraId="479FA206" w14:textId="77777777">
      <w:pPr>
        <w:ind w:left="709" w:firstLine="0"/>
        <w:rPr>
          <w:rFonts w:cs="Arial"/>
          <w:szCs w:val="20"/>
          <w:lang w:val="nl-NL"/>
        </w:rPr>
      </w:pPr>
      <w:r w:rsidRPr="00494232">
        <w:rPr>
          <w:rFonts w:cs="Arial"/>
          <w:szCs w:val="20"/>
          <w:lang w:val="nl-NL"/>
        </w:rPr>
        <w:t>De Staatssecretaris van Financiën,</w:t>
      </w:r>
    </w:p>
    <w:p w:rsidRPr="00494232" w:rsidR="00C77B49" w:rsidP="00C77B49" w:rsidRDefault="00C77B49" w14:paraId="52179958" w14:textId="77777777">
      <w:pPr>
        <w:ind w:left="709" w:firstLine="0"/>
        <w:rPr>
          <w:rFonts w:cs="Arial"/>
          <w:szCs w:val="20"/>
          <w:lang w:val="nl-NL"/>
        </w:rPr>
      </w:pPr>
    </w:p>
    <w:p w:rsidRPr="00494232" w:rsidR="00C77B49" w:rsidP="00C77B49" w:rsidRDefault="00C77B49" w14:paraId="6E62A4A6" w14:textId="77777777">
      <w:pPr>
        <w:ind w:left="709" w:firstLine="0"/>
        <w:rPr>
          <w:rFonts w:cs="Arial"/>
          <w:szCs w:val="20"/>
          <w:lang w:val="nl-NL"/>
        </w:rPr>
      </w:pPr>
    </w:p>
    <w:p w:rsidRPr="00494232" w:rsidR="00C77B49" w:rsidP="00C77B49" w:rsidRDefault="00C77B49" w14:paraId="595372C8" w14:textId="77777777">
      <w:pPr>
        <w:ind w:left="709" w:firstLine="0"/>
        <w:rPr>
          <w:rFonts w:cs="Arial"/>
          <w:szCs w:val="20"/>
          <w:lang w:val="nl-NL"/>
        </w:rPr>
      </w:pPr>
    </w:p>
    <w:p w:rsidRPr="00494232" w:rsidR="00C77B49" w:rsidP="00C77B49" w:rsidRDefault="00C77B49" w14:paraId="716753DF" w14:textId="77777777">
      <w:pPr>
        <w:ind w:left="709" w:firstLine="0"/>
        <w:rPr>
          <w:rFonts w:cs="Arial"/>
          <w:szCs w:val="20"/>
          <w:lang w:val="nl-NL"/>
        </w:rPr>
      </w:pPr>
    </w:p>
    <w:p w:rsidRPr="00494232" w:rsidR="00C77B49" w:rsidP="00C77B49" w:rsidRDefault="00C77B49" w14:paraId="24097D76" w14:textId="77777777">
      <w:pPr>
        <w:ind w:left="709" w:firstLine="0"/>
        <w:rPr>
          <w:rFonts w:cs="Arial"/>
          <w:szCs w:val="20"/>
          <w:lang w:val="nl-NL"/>
        </w:rPr>
      </w:pPr>
      <w:r w:rsidRPr="00494232">
        <w:rPr>
          <w:rFonts w:cs="Arial"/>
          <w:szCs w:val="20"/>
          <w:lang w:val="nl-NL"/>
        </w:rPr>
        <w:t>De Minister van Buitenlandse Zaken,</w:t>
      </w:r>
    </w:p>
    <w:p w:rsidRPr="00494232" w:rsidR="00C77B49" w:rsidP="00A805F5" w:rsidRDefault="00C77B49" w14:paraId="1B1EDDA1" w14:textId="77777777">
      <w:pPr>
        <w:pStyle w:val="Heading2"/>
        <w:ind w:left="708"/>
        <w:rPr>
          <w:rFonts w:cs="Arial"/>
          <w:szCs w:val="20"/>
          <w:lang w:val="nl-NL"/>
        </w:rPr>
      </w:pPr>
    </w:p>
    <w:p w:rsidRPr="00494232" w:rsidR="002D160C" w:rsidP="00ED2881" w:rsidRDefault="002D160C" w14:paraId="2F626DB3" w14:textId="576940EA">
      <w:pPr>
        <w:ind w:left="709" w:firstLine="0"/>
        <w:rPr>
          <w:rFonts w:cs="Arial"/>
          <w:szCs w:val="20"/>
          <w:lang w:val="nl-NL"/>
        </w:rPr>
      </w:pPr>
    </w:p>
    <w:sectPr w:rsidRPr="00494232" w:rsidR="002D160C" w:rsidSect="00E80A06">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DB0F0" w14:textId="77777777" w:rsidR="00BB176D" w:rsidRDefault="00BB176D">
      <w:pPr>
        <w:spacing w:line="240" w:lineRule="auto"/>
      </w:pPr>
      <w:r>
        <w:separator/>
      </w:r>
    </w:p>
  </w:endnote>
  <w:endnote w:type="continuationSeparator" w:id="0">
    <w:p w14:paraId="4898D5CD" w14:textId="77777777" w:rsidR="00BB176D" w:rsidRDefault="00BB1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NIEI F+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F863" w14:textId="77777777" w:rsidR="00BB176D" w:rsidRDefault="00BB1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F2478" w14:textId="6F920364" w:rsidR="00BB176D" w:rsidRPr="006B3122" w:rsidRDefault="00BB176D" w:rsidP="006B3122">
    <w:pPr>
      <w:pStyle w:val="Footer"/>
      <w:ind w:firstLine="0"/>
      <w:rPr>
        <w:lang w:val="nl-NL"/>
      </w:rPr>
    </w:pPr>
    <w:r>
      <w:rPr>
        <w:lang w:val="nl-NL"/>
      </w:rPr>
      <w:tab/>
    </w:r>
    <w:r>
      <w:rPr>
        <w:rStyle w:val="PageNumber"/>
      </w:rPr>
      <w:fldChar w:fldCharType="begin"/>
    </w:r>
    <w:r>
      <w:rPr>
        <w:rStyle w:val="PageNumber"/>
      </w:rPr>
      <w:instrText xml:space="preserve"> PAGE </w:instrText>
    </w:r>
    <w:r>
      <w:rPr>
        <w:rStyle w:val="PageNumber"/>
      </w:rPr>
      <w:fldChar w:fldCharType="separate"/>
    </w:r>
    <w:r w:rsidR="003D6BAD">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5918" w14:textId="77777777" w:rsidR="00BB176D" w:rsidRDefault="00BB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225F" w14:textId="77777777" w:rsidR="00BB176D" w:rsidRDefault="00BB176D">
      <w:pPr>
        <w:spacing w:line="240" w:lineRule="auto"/>
      </w:pPr>
      <w:r>
        <w:separator/>
      </w:r>
    </w:p>
  </w:footnote>
  <w:footnote w:type="continuationSeparator" w:id="0">
    <w:p w14:paraId="7B042EFE" w14:textId="77777777" w:rsidR="00BB176D" w:rsidRDefault="00BB176D">
      <w:pPr>
        <w:spacing w:line="240" w:lineRule="auto"/>
      </w:pPr>
      <w:r>
        <w:continuationSeparator/>
      </w:r>
    </w:p>
  </w:footnote>
  <w:footnote w:id="1">
    <w:p w14:paraId="25DFE6EB" w14:textId="066A5232" w:rsidR="00BB176D" w:rsidRPr="009F2E30" w:rsidRDefault="00BB176D" w:rsidP="00A805F5">
      <w:pPr>
        <w:pStyle w:val="FootnoteText"/>
        <w:spacing w:line="240" w:lineRule="auto"/>
        <w:ind w:firstLine="0"/>
        <w:rPr>
          <w:rFonts w:ascii="Verdana" w:hAnsi="Verdana"/>
          <w:sz w:val="16"/>
          <w:szCs w:val="16"/>
          <w:lang w:val="nl-NL"/>
        </w:rPr>
      </w:pPr>
      <w:r w:rsidRPr="009F2E30">
        <w:rPr>
          <w:rStyle w:val="FootnoteReference"/>
          <w:rFonts w:ascii="Verdana" w:hAnsi="Verdana"/>
          <w:sz w:val="16"/>
          <w:szCs w:val="16"/>
        </w:rPr>
        <w:footnoteRef/>
      </w:r>
      <w:r w:rsidRPr="009F2E30">
        <w:rPr>
          <w:rFonts w:ascii="Verdana" w:hAnsi="Verdana"/>
          <w:sz w:val="16"/>
          <w:szCs w:val="16"/>
          <w:lang w:val="nl-NL"/>
        </w:rPr>
        <w:t xml:space="preserve"> </w:t>
      </w:r>
      <w:r w:rsidRPr="00A805F5">
        <w:rPr>
          <w:rFonts w:cs="Arial"/>
          <w:sz w:val="16"/>
          <w:szCs w:val="16"/>
          <w:lang w:val="nl-NL"/>
        </w:rPr>
        <w:t xml:space="preserve">Bijlage bij Kamerstukken II 2019/20, 25087, </w:t>
      </w:r>
      <w:proofErr w:type="spellStart"/>
      <w:r w:rsidRPr="00A805F5">
        <w:rPr>
          <w:rFonts w:cs="Arial"/>
          <w:sz w:val="16"/>
          <w:szCs w:val="16"/>
          <w:lang w:val="nl-NL"/>
        </w:rPr>
        <w:t>nr</w:t>
      </w:r>
      <w:proofErr w:type="spellEnd"/>
      <w:r w:rsidRPr="00A805F5">
        <w:rPr>
          <w:rFonts w:cs="Arial"/>
          <w:sz w:val="16"/>
          <w:szCs w:val="16"/>
          <w:lang w:val="nl-NL"/>
        </w:rPr>
        <w:t xml:space="preserve"> 256.</w:t>
      </w:r>
    </w:p>
  </w:footnote>
  <w:footnote w:id="2">
    <w:p w14:paraId="40D58BAF" w14:textId="37DFF978" w:rsidR="00BB176D" w:rsidRPr="009F2E30" w:rsidRDefault="00BB176D" w:rsidP="00A805F5">
      <w:pPr>
        <w:pStyle w:val="FootnoteText"/>
        <w:spacing w:line="240" w:lineRule="auto"/>
        <w:ind w:firstLine="0"/>
        <w:rPr>
          <w:rFonts w:ascii="Verdana" w:hAnsi="Verdana"/>
          <w:sz w:val="16"/>
          <w:szCs w:val="16"/>
          <w:lang w:val="nl-NL"/>
        </w:rPr>
      </w:pPr>
      <w:r w:rsidRPr="009F2E30">
        <w:rPr>
          <w:rStyle w:val="FootnoteReference"/>
          <w:rFonts w:ascii="Verdana" w:hAnsi="Verdana"/>
          <w:sz w:val="16"/>
          <w:szCs w:val="16"/>
        </w:rPr>
        <w:footnoteRef/>
      </w:r>
      <w:r w:rsidRPr="009F2E30">
        <w:rPr>
          <w:rFonts w:ascii="Verdana" w:hAnsi="Verdana"/>
          <w:sz w:val="16"/>
          <w:szCs w:val="16"/>
          <w:lang w:val="nl-NL"/>
        </w:rPr>
        <w:t xml:space="preserve"> </w:t>
      </w:r>
      <w:r w:rsidRPr="00A805F5">
        <w:rPr>
          <w:rFonts w:cs="Arial"/>
          <w:sz w:val="16"/>
          <w:szCs w:val="16"/>
          <w:lang w:val="nl-NL"/>
        </w:rPr>
        <w:t>Bijlage bij Kamerstukken II 2010/11, 25087, nr. 7.</w:t>
      </w:r>
    </w:p>
  </w:footnote>
  <w:footnote w:id="3">
    <w:p w14:paraId="42EB63B3" w14:textId="26723801" w:rsidR="00BB176D" w:rsidRPr="009F2E30" w:rsidRDefault="00BB176D" w:rsidP="00A805F5">
      <w:pPr>
        <w:pStyle w:val="FootnoteText"/>
        <w:spacing w:line="240" w:lineRule="auto"/>
        <w:ind w:firstLine="0"/>
        <w:rPr>
          <w:rFonts w:ascii="Verdana" w:hAnsi="Verdana"/>
          <w:sz w:val="16"/>
          <w:szCs w:val="16"/>
          <w:lang w:val="nl-NL"/>
        </w:rPr>
      </w:pPr>
      <w:r w:rsidRPr="009F2E30">
        <w:rPr>
          <w:rStyle w:val="FootnoteReference"/>
          <w:rFonts w:ascii="Verdana" w:hAnsi="Verdana"/>
          <w:sz w:val="16"/>
          <w:szCs w:val="16"/>
        </w:rPr>
        <w:footnoteRef/>
      </w:r>
      <w:r w:rsidRPr="009F2E30">
        <w:rPr>
          <w:rFonts w:ascii="Verdana" w:hAnsi="Verdana"/>
          <w:sz w:val="16"/>
          <w:szCs w:val="16"/>
          <w:lang w:val="nl-NL"/>
        </w:rPr>
        <w:t xml:space="preserve"> </w:t>
      </w:r>
      <w:r w:rsidRPr="00A805F5">
        <w:rPr>
          <w:rFonts w:cs="Arial"/>
          <w:sz w:val="16"/>
          <w:szCs w:val="16"/>
          <w:lang w:val="nl-NL"/>
        </w:rPr>
        <w:t xml:space="preserve">Bijlage bij Kamerstukken II 2019/20, 25087, </w:t>
      </w:r>
      <w:proofErr w:type="spellStart"/>
      <w:r w:rsidRPr="00A805F5">
        <w:rPr>
          <w:rFonts w:cs="Arial"/>
          <w:sz w:val="16"/>
          <w:szCs w:val="16"/>
          <w:lang w:val="nl-NL"/>
        </w:rPr>
        <w:t>nr</w:t>
      </w:r>
      <w:proofErr w:type="spellEnd"/>
      <w:r w:rsidRPr="00A805F5">
        <w:rPr>
          <w:rFonts w:cs="Arial"/>
          <w:sz w:val="16"/>
          <w:szCs w:val="16"/>
          <w:lang w:val="nl-NL"/>
        </w:rPr>
        <w:t xml:space="preserve"> 256, bijlage I.</w:t>
      </w:r>
    </w:p>
  </w:footnote>
  <w:footnote w:id="4">
    <w:p w14:paraId="3B440DDF" w14:textId="6EDEC55B" w:rsidR="00BB176D" w:rsidRPr="00A805F5" w:rsidRDefault="00BB176D" w:rsidP="00A805F5">
      <w:pPr>
        <w:pStyle w:val="FootnoteText"/>
        <w:spacing w:line="240" w:lineRule="auto"/>
        <w:ind w:firstLine="0"/>
        <w:rPr>
          <w:lang w:val="nl-NL"/>
        </w:rPr>
      </w:pPr>
      <w:r w:rsidRPr="00A805F5">
        <w:rPr>
          <w:rStyle w:val="FootnoteReference"/>
          <w:sz w:val="16"/>
          <w:szCs w:val="16"/>
        </w:rPr>
        <w:footnoteRef/>
      </w:r>
      <w:r w:rsidRPr="00A805F5">
        <w:rPr>
          <w:sz w:val="16"/>
          <w:szCs w:val="16"/>
          <w:lang w:val="nl-NL"/>
        </w:rPr>
        <w:t xml:space="preserve"> </w:t>
      </w:r>
      <w:r w:rsidRPr="00A805F5">
        <w:rPr>
          <w:rFonts w:cs="Arial"/>
          <w:sz w:val="16"/>
          <w:szCs w:val="16"/>
          <w:lang w:val="nl-NL"/>
        </w:rPr>
        <w:t>Dit belastingverdrag is nog niet door beide verdragspartijen geratificeerd.</w:t>
      </w:r>
    </w:p>
  </w:footnote>
  <w:footnote w:id="5">
    <w:p w14:paraId="709F0C37" w14:textId="6D04A692" w:rsidR="00BB176D" w:rsidRPr="00A805F5" w:rsidRDefault="00BB176D" w:rsidP="00A805F5">
      <w:pPr>
        <w:pStyle w:val="FootnoteText"/>
        <w:spacing w:line="240" w:lineRule="auto"/>
        <w:ind w:firstLine="0"/>
        <w:rPr>
          <w:rFonts w:cs="Arial"/>
          <w:sz w:val="16"/>
          <w:szCs w:val="16"/>
          <w:lang w:val="nl-NL"/>
        </w:rPr>
      </w:pPr>
      <w:r w:rsidRPr="00A805F5">
        <w:rPr>
          <w:rStyle w:val="FootnoteReference"/>
          <w:rFonts w:cs="Arial"/>
          <w:sz w:val="16"/>
          <w:szCs w:val="16"/>
        </w:rPr>
        <w:footnoteRef/>
      </w:r>
      <w:r w:rsidRPr="00A805F5">
        <w:rPr>
          <w:rFonts w:cs="Arial"/>
          <w:sz w:val="16"/>
          <w:szCs w:val="16"/>
          <w:lang w:val="nl-NL"/>
        </w:rPr>
        <w:t xml:space="preserve"> Deze verdragen zijn raadpleegbaar op de website van de Chileense belastingdienst (</w:t>
      </w:r>
      <w:proofErr w:type="spellStart"/>
      <w:r w:rsidRPr="00A805F5">
        <w:rPr>
          <w:rFonts w:cs="Arial"/>
          <w:i/>
          <w:sz w:val="16"/>
          <w:szCs w:val="16"/>
          <w:lang w:val="nl-NL"/>
        </w:rPr>
        <w:t>Servicio</w:t>
      </w:r>
      <w:proofErr w:type="spellEnd"/>
      <w:r w:rsidRPr="00A805F5">
        <w:rPr>
          <w:rFonts w:cs="Arial"/>
          <w:i/>
          <w:sz w:val="16"/>
          <w:szCs w:val="16"/>
          <w:lang w:val="nl-NL"/>
        </w:rPr>
        <w:t xml:space="preserve"> de </w:t>
      </w:r>
      <w:proofErr w:type="spellStart"/>
      <w:r w:rsidRPr="00A805F5">
        <w:rPr>
          <w:rFonts w:cs="Arial"/>
          <w:i/>
          <w:sz w:val="16"/>
          <w:szCs w:val="16"/>
          <w:lang w:val="nl-NL"/>
        </w:rPr>
        <w:t>Impuestos</w:t>
      </w:r>
      <w:proofErr w:type="spellEnd"/>
      <w:r w:rsidRPr="00A805F5">
        <w:rPr>
          <w:rFonts w:cs="Arial"/>
          <w:i/>
          <w:sz w:val="16"/>
          <w:szCs w:val="16"/>
          <w:lang w:val="nl-NL"/>
        </w:rPr>
        <w:t xml:space="preserve"> </w:t>
      </w:r>
      <w:proofErr w:type="spellStart"/>
      <w:r w:rsidRPr="00A805F5">
        <w:rPr>
          <w:rFonts w:cs="Arial"/>
          <w:i/>
          <w:sz w:val="16"/>
          <w:szCs w:val="16"/>
          <w:lang w:val="nl-NL"/>
        </w:rPr>
        <w:t>Internos</w:t>
      </w:r>
      <w:proofErr w:type="spellEnd"/>
      <w:r w:rsidRPr="00A805F5">
        <w:rPr>
          <w:rFonts w:cs="Arial"/>
          <w:sz w:val="16"/>
          <w:szCs w:val="16"/>
          <w:lang w:val="nl-NL"/>
        </w:rPr>
        <w:t>): https://www.sii.cl/normativa_legislacion/convenios_internacionales.html.</w:t>
      </w:r>
    </w:p>
  </w:footnote>
  <w:footnote w:id="6">
    <w:p w14:paraId="15CAFD5B" w14:textId="22AC2FED" w:rsidR="00BB176D" w:rsidRPr="00A805F5" w:rsidRDefault="00BB176D" w:rsidP="00A805F5">
      <w:pPr>
        <w:pStyle w:val="FootnoteText"/>
        <w:spacing w:line="240" w:lineRule="auto"/>
        <w:ind w:firstLine="0"/>
        <w:rPr>
          <w:rFonts w:cs="Arial"/>
          <w:sz w:val="16"/>
          <w:szCs w:val="16"/>
          <w:lang w:val="nl-NL"/>
        </w:rPr>
      </w:pPr>
      <w:r w:rsidRPr="00A805F5">
        <w:rPr>
          <w:rStyle w:val="FootnoteReference"/>
          <w:rFonts w:cs="Arial"/>
          <w:sz w:val="16"/>
          <w:szCs w:val="16"/>
        </w:rPr>
        <w:footnoteRef/>
      </w:r>
      <w:r w:rsidRPr="00A805F5">
        <w:rPr>
          <w:rFonts w:cs="Arial"/>
          <w:sz w:val="16"/>
          <w:szCs w:val="16"/>
          <w:lang w:val="nl-NL"/>
        </w:rPr>
        <w:t xml:space="preserve"> Bijlage bij Kamerstukken II 2010/11, 25087, nr. 7.</w:t>
      </w:r>
    </w:p>
  </w:footnote>
  <w:footnote w:id="7">
    <w:p w14:paraId="0E1A3753" w14:textId="42B755E3" w:rsidR="00BB176D" w:rsidRPr="00A805F5" w:rsidRDefault="00BB176D" w:rsidP="00A805F5">
      <w:pPr>
        <w:pStyle w:val="FootnoteText"/>
        <w:spacing w:line="240" w:lineRule="auto"/>
        <w:ind w:firstLine="0"/>
        <w:rPr>
          <w:rFonts w:cs="Arial"/>
          <w:sz w:val="16"/>
          <w:szCs w:val="16"/>
          <w:lang w:val="nl-NL"/>
        </w:rPr>
      </w:pPr>
      <w:r w:rsidRPr="00A805F5">
        <w:rPr>
          <w:rStyle w:val="FootnoteReference"/>
          <w:rFonts w:cs="Arial"/>
          <w:sz w:val="16"/>
          <w:szCs w:val="16"/>
        </w:rPr>
        <w:footnoteRef/>
      </w:r>
      <w:r w:rsidRPr="00A805F5">
        <w:rPr>
          <w:rFonts w:cs="Arial"/>
          <w:sz w:val="16"/>
          <w:szCs w:val="16"/>
          <w:lang w:val="nl-NL"/>
        </w:rPr>
        <w:t xml:space="preserve"> Bijlage bij Kamerstukken </w:t>
      </w:r>
      <w:r w:rsidRPr="00472C30">
        <w:rPr>
          <w:rFonts w:cs="Arial"/>
          <w:sz w:val="16"/>
          <w:szCs w:val="16"/>
          <w:lang w:val="nl-NL"/>
        </w:rPr>
        <w:t>I</w:t>
      </w:r>
      <w:r w:rsidRPr="00A805F5">
        <w:rPr>
          <w:rFonts w:cs="Arial"/>
          <w:sz w:val="16"/>
          <w:szCs w:val="16"/>
          <w:lang w:val="nl-NL"/>
        </w:rPr>
        <w:t xml:space="preserve"> 2019/20, 25087, N.</w:t>
      </w:r>
    </w:p>
  </w:footnote>
  <w:footnote w:id="8">
    <w:p w14:paraId="14CF3DAE" w14:textId="77777777" w:rsidR="00BB176D" w:rsidRPr="00A805F5" w:rsidRDefault="00BB176D" w:rsidP="00A805F5">
      <w:pPr>
        <w:pStyle w:val="FootnoteText"/>
        <w:spacing w:line="240" w:lineRule="auto"/>
        <w:ind w:firstLine="0"/>
        <w:rPr>
          <w:rFonts w:cs="Arial"/>
          <w:sz w:val="16"/>
          <w:szCs w:val="16"/>
          <w:lang w:val="nl-NL"/>
        </w:rPr>
      </w:pPr>
      <w:r w:rsidRPr="00A805F5">
        <w:rPr>
          <w:rStyle w:val="FootnoteReference"/>
          <w:rFonts w:cs="Arial"/>
          <w:sz w:val="16"/>
          <w:szCs w:val="16"/>
        </w:rPr>
        <w:footnoteRef/>
      </w:r>
      <w:r w:rsidRPr="00A805F5">
        <w:rPr>
          <w:rFonts w:cs="Arial"/>
          <w:sz w:val="16"/>
          <w:szCs w:val="16"/>
          <w:lang w:val="nl-NL"/>
        </w:rPr>
        <w:t xml:space="preserve"> Kamerstukken II 2015/16, 25087, nr. 112.</w:t>
      </w:r>
    </w:p>
  </w:footnote>
  <w:footnote w:id="9">
    <w:p w14:paraId="6D7DFBD3" w14:textId="77777777" w:rsidR="00BB176D" w:rsidRPr="00BB0979" w:rsidRDefault="00BB176D" w:rsidP="00A805F5">
      <w:pPr>
        <w:pStyle w:val="FootnoteText"/>
        <w:spacing w:line="240" w:lineRule="auto"/>
        <w:ind w:firstLine="0"/>
        <w:rPr>
          <w:rFonts w:cs="Arial"/>
          <w:sz w:val="14"/>
          <w:szCs w:val="14"/>
          <w:lang w:val="nl-NL"/>
        </w:rPr>
      </w:pPr>
      <w:r w:rsidRPr="00A805F5">
        <w:rPr>
          <w:rStyle w:val="FootnoteReference"/>
          <w:rFonts w:cs="Arial"/>
          <w:sz w:val="16"/>
          <w:szCs w:val="16"/>
        </w:rPr>
        <w:footnoteRef/>
      </w:r>
      <w:r w:rsidRPr="00A805F5">
        <w:rPr>
          <w:rFonts w:cs="Arial"/>
          <w:sz w:val="16"/>
          <w:szCs w:val="16"/>
          <w:lang w:val="nl-NL"/>
        </w:rPr>
        <w:t xml:space="preserve"> Kamerstukken II 2016/17, 25087, nr. 135.</w:t>
      </w:r>
      <w:r w:rsidRPr="00BB0979">
        <w:rPr>
          <w:rFonts w:cs="Arial"/>
          <w:sz w:val="14"/>
          <w:szCs w:val="14"/>
          <w:lang w:val="nl-NL"/>
        </w:rPr>
        <w:t xml:space="preserve"> </w:t>
      </w:r>
    </w:p>
  </w:footnote>
  <w:footnote w:id="10">
    <w:p w14:paraId="3D6CE851" w14:textId="77777777" w:rsidR="00BB176D" w:rsidRPr="00A805F5" w:rsidRDefault="00BB176D" w:rsidP="0039549A">
      <w:pPr>
        <w:pStyle w:val="FootnoteText"/>
        <w:spacing w:line="240" w:lineRule="auto"/>
        <w:ind w:firstLine="0"/>
        <w:rPr>
          <w:rFonts w:cs="Arial"/>
          <w:sz w:val="16"/>
          <w:szCs w:val="16"/>
        </w:rPr>
      </w:pPr>
      <w:r w:rsidRPr="00A805F5">
        <w:rPr>
          <w:rStyle w:val="FootnoteReference"/>
          <w:rFonts w:cs="Arial"/>
          <w:sz w:val="16"/>
          <w:szCs w:val="16"/>
        </w:rPr>
        <w:footnoteRef/>
      </w:r>
      <w:r w:rsidRPr="00A805F5">
        <w:rPr>
          <w:rFonts w:cs="Arial"/>
          <w:sz w:val="16"/>
          <w:szCs w:val="16"/>
        </w:rPr>
        <w:t xml:space="preserve"> OECD (2015), </w:t>
      </w:r>
      <w:r w:rsidRPr="00A805F5">
        <w:rPr>
          <w:rFonts w:cs="Arial"/>
          <w:i/>
          <w:sz w:val="16"/>
          <w:szCs w:val="16"/>
        </w:rPr>
        <w:t>Preventing the Granting of Treaty Benefits in Inappropriate Circumstances, Action 6 - 2015 Final Report</w:t>
      </w:r>
      <w:r w:rsidRPr="00A805F5">
        <w:rPr>
          <w:rFonts w:cs="Arial"/>
          <w:sz w:val="16"/>
          <w:szCs w:val="16"/>
        </w:rPr>
        <w:t>, OECD/G20 Base Erosion and Profit Shifting Project, OECD Publishing, Paris.</w:t>
      </w:r>
    </w:p>
  </w:footnote>
  <w:footnote w:id="11">
    <w:p w14:paraId="5B140062" w14:textId="5A410A0F" w:rsidR="00BB176D" w:rsidRPr="00F93F85" w:rsidRDefault="00BB176D" w:rsidP="00C937B4">
      <w:pPr>
        <w:pStyle w:val="FootnoteText"/>
        <w:spacing w:line="240" w:lineRule="auto"/>
        <w:ind w:firstLine="0"/>
      </w:pPr>
      <w:r>
        <w:rPr>
          <w:rStyle w:val="FootnoteReference"/>
        </w:rPr>
        <w:footnoteRef/>
      </w:r>
      <w:r>
        <w:t xml:space="preserve"> </w:t>
      </w:r>
      <w:r w:rsidRPr="00F93F85">
        <w:rPr>
          <w:rFonts w:ascii="Verdana" w:hAnsi="Verdana"/>
          <w:sz w:val="16"/>
          <w:szCs w:val="16"/>
        </w:rPr>
        <w:t xml:space="preserve">OECD (2015), </w:t>
      </w:r>
      <w:r w:rsidRPr="00F93F85">
        <w:rPr>
          <w:rFonts w:ascii="Verdana" w:hAnsi="Verdana"/>
          <w:i/>
          <w:sz w:val="16"/>
          <w:szCs w:val="16"/>
        </w:rPr>
        <w:t>Neutralising the Effects of Hybrid Mismatch Arrangements, Action 2 - 2015 Final Report</w:t>
      </w:r>
      <w:r w:rsidRPr="00F93F85">
        <w:rPr>
          <w:rFonts w:ascii="Verdana" w:hAnsi="Verdana"/>
          <w:sz w:val="16"/>
          <w:szCs w:val="16"/>
        </w:rPr>
        <w:t>, OECD/G20 Base Erosion and Profit Shifting Project, OECD Publishing, Paris, par. 435.</w:t>
      </w:r>
    </w:p>
  </w:footnote>
  <w:footnote w:id="12">
    <w:p w14:paraId="141C78D4" w14:textId="2346CFDB" w:rsidR="00BB176D" w:rsidRPr="00A805F5" w:rsidRDefault="00BB176D" w:rsidP="00A805F5">
      <w:pPr>
        <w:pStyle w:val="FootnoteText"/>
        <w:spacing w:line="240" w:lineRule="auto"/>
        <w:ind w:firstLine="0"/>
        <w:rPr>
          <w:rFonts w:cs="Arial"/>
          <w:sz w:val="16"/>
          <w:szCs w:val="16"/>
        </w:rPr>
      </w:pPr>
      <w:r w:rsidRPr="00A805F5">
        <w:rPr>
          <w:rStyle w:val="FootnoteReference"/>
          <w:rFonts w:cs="Arial"/>
          <w:sz w:val="16"/>
          <w:szCs w:val="16"/>
        </w:rPr>
        <w:footnoteRef/>
      </w:r>
      <w:r w:rsidRPr="00A805F5">
        <w:rPr>
          <w:rFonts w:cs="Arial"/>
          <w:sz w:val="16"/>
          <w:szCs w:val="16"/>
        </w:rPr>
        <w:t xml:space="preserve"> OECD (2015), </w:t>
      </w:r>
      <w:r w:rsidRPr="00A805F5">
        <w:rPr>
          <w:rFonts w:cs="Arial"/>
          <w:i/>
          <w:sz w:val="16"/>
          <w:szCs w:val="16"/>
        </w:rPr>
        <w:t>Preventing the Artificial Avoidance of Permanent Establishment Status, Action 7 - 2015 Final Report</w:t>
      </w:r>
      <w:r w:rsidRPr="00A805F5">
        <w:rPr>
          <w:rFonts w:cs="Arial"/>
          <w:sz w:val="16"/>
          <w:szCs w:val="16"/>
        </w:rPr>
        <w:t>, OECD/G20 Base Erosion and Profit Shifting Project, OECD Publishing, Paris.</w:t>
      </w:r>
    </w:p>
  </w:footnote>
  <w:footnote w:id="13">
    <w:p w14:paraId="61C83BC8" w14:textId="77777777" w:rsidR="00BB176D" w:rsidRPr="00F05F8F" w:rsidRDefault="00BB176D" w:rsidP="001467E0">
      <w:pPr>
        <w:pStyle w:val="FootnoteText"/>
        <w:ind w:firstLine="0"/>
        <w:rPr>
          <w:rFonts w:cs="Arial"/>
          <w:lang w:val="en-US"/>
        </w:rPr>
      </w:pPr>
      <w:r w:rsidRPr="00A805F5">
        <w:rPr>
          <w:rStyle w:val="FootnoteReference"/>
          <w:rFonts w:cs="Arial"/>
          <w:sz w:val="16"/>
          <w:szCs w:val="16"/>
        </w:rPr>
        <w:footnoteRef/>
      </w:r>
      <w:r w:rsidRPr="00A805F5">
        <w:rPr>
          <w:rFonts w:cs="Arial"/>
          <w:sz w:val="16"/>
          <w:szCs w:val="16"/>
          <w:lang w:val="en-US"/>
        </w:rPr>
        <w:t xml:space="preserve"> </w:t>
      </w:r>
      <w:proofErr w:type="spellStart"/>
      <w:r w:rsidRPr="00A805F5">
        <w:rPr>
          <w:rFonts w:cs="Arial"/>
          <w:sz w:val="16"/>
          <w:szCs w:val="16"/>
          <w:lang w:val="en-US"/>
        </w:rPr>
        <w:t>Kamerstukken</w:t>
      </w:r>
      <w:proofErr w:type="spellEnd"/>
      <w:r w:rsidRPr="00A805F5">
        <w:rPr>
          <w:rFonts w:cs="Arial"/>
          <w:sz w:val="16"/>
          <w:szCs w:val="16"/>
          <w:lang w:val="en-US"/>
        </w:rPr>
        <w:t xml:space="preserve"> II</w:t>
      </w:r>
      <w:r w:rsidRPr="00F05F8F">
        <w:rPr>
          <w:rFonts w:cs="Arial"/>
          <w:sz w:val="16"/>
          <w:szCs w:val="16"/>
          <w:lang w:val="en-US"/>
        </w:rPr>
        <w:t xml:space="preserve"> 2018/19, 34853, nr. 8.</w:t>
      </w:r>
      <w:r w:rsidRPr="00F05F8F">
        <w:rPr>
          <w:rFonts w:cs="Arial"/>
          <w:lang w:val="en-US"/>
        </w:rPr>
        <w:t xml:space="preserve"> </w:t>
      </w:r>
    </w:p>
  </w:footnote>
  <w:footnote w:id="14">
    <w:p w14:paraId="392AC2A5" w14:textId="77777777" w:rsidR="00BB176D" w:rsidRPr="00A805F5" w:rsidRDefault="00BB176D" w:rsidP="006302D2">
      <w:pPr>
        <w:pStyle w:val="FootnoteText"/>
        <w:spacing w:line="240" w:lineRule="auto"/>
        <w:ind w:firstLine="0"/>
        <w:rPr>
          <w:rFonts w:cs="Arial"/>
          <w:sz w:val="16"/>
          <w:szCs w:val="16"/>
          <w:lang w:val="en-US"/>
        </w:rPr>
      </w:pPr>
      <w:r w:rsidRPr="00A805F5">
        <w:rPr>
          <w:rStyle w:val="FootnoteReference"/>
          <w:rFonts w:cs="Arial"/>
          <w:sz w:val="16"/>
          <w:szCs w:val="16"/>
        </w:rPr>
        <w:footnoteRef/>
      </w:r>
      <w:r w:rsidRPr="00A805F5">
        <w:rPr>
          <w:rFonts w:cs="Arial"/>
          <w:sz w:val="16"/>
          <w:szCs w:val="16"/>
          <w:lang w:val="en-US"/>
        </w:rPr>
        <w:t xml:space="preserve"> OECD (2015), </w:t>
      </w:r>
      <w:r w:rsidRPr="00A805F5">
        <w:rPr>
          <w:rFonts w:cs="Arial"/>
          <w:i/>
          <w:sz w:val="16"/>
          <w:szCs w:val="16"/>
          <w:lang w:val="en-US"/>
        </w:rPr>
        <w:t>Making Dispute Resolution Mechanisms More Effective, Action 14 - 2015 Final Report</w:t>
      </w:r>
      <w:r w:rsidRPr="00A805F5">
        <w:rPr>
          <w:rFonts w:cs="Arial"/>
          <w:sz w:val="16"/>
          <w:szCs w:val="16"/>
          <w:lang w:val="en-US"/>
        </w:rPr>
        <w:t>, OECD/G20 Base Erosion and Profit Shifting Project, OECD Publishing, Paris, p. 22.</w:t>
      </w:r>
    </w:p>
  </w:footnote>
  <w:footnote w:id="15">
    <w:p w14:paraId="387A0F6E" w14:textId="77777777" w:rsidR="00BB176D" w:rsidRPr="00A805F5" w:rsidRDefault="00BB176D" w:rsidP="00C77B49">
      <w:pPr>
        <w:pStyle w:val="FootnoteText"/>
        <w:spacing w:line="240" w:lineRule="auto"/>
        <w:ind w:firstLine="0"/>
        <w:rPr>
          <w:rFonts w:cs="Arial"/>
          <w:sz w:val="16"/>
          <w:szCs w:val="16"/>
          <w:lang w:val="nl-NL"/>
        </w:rPr>
      </w:pPr>
      <w:r w:rsidRPr="00A805F5">
        <w:rPr>
          <w:rStyle w:val="FootnoteReference"/>
        </w:rPr>
        <w:footnoteRef/>
      </w:r>
      <w:r w:rsidRPr="00A805F5">
        <w:rPr>
          <w:rFonts w:cs="Arial"/>
          <w:sz w:val="16"/>
          <w:szCs w:val="16"/>
          <w:lang w:val="nl-NL"/>
        </w:rPr>
        <w:t xml:space="preserve"> Zie: www.oecd.org/tax/transparency.</w:t>
      </w:r>
    </w:p>
  </w:footnote>
  <w:footnote w:id="16">
    <w:p w14:paraId="4B4FDDED" w14:textId="129485DA" w:rsidR="00BB176D" w:rsidRPr="00A805F5" w:rsidRDefault="00BB176D" w:rsidP="00A805F5">
      <w:pPr>
        <w:pStyle w:val="FootnoteText"/>
        <w:spacing w:line="240" w:lineRule="auto"/>
        <w:ind w:firstLine="0"/>
        <w:rPr>
          <w:sz w:val="16"/>
          <w:szCs w:val="16"/>
          <w:lang w:val="nl-NL"/>
        </w:rPr>
      </w:pPr>
      <w:r w:rsidRPr="00A805F5">
        <w:rPr>
          <w:rStyle w:val="FootnoteReference"/>
          <w:sz w:val="16"/>
          <w:szCs w:val="16"/>
        </w:rPr>
        <w:footnoteRef/>
      </w:r>
      <w:r w:rsidRPr="00A805F5">
        <w:rPr>
          <w:sz w:val="16"/>
          <w:szCs w:val="16"/>
          <w:lang w:val="nl-NL"/>
        </w:rPr>
        <w:t xml:space="preserve"> </w:t>
      </w:r>
      <w:r w:rsidRPr="008F7F34">
        <w:rPr>
          <w:sz w:val="16"/>
          <w:szCs w:val="16"/>
          <w:lang w:val="nl-NL"/>
        </w:rPr>
        <w:t>Algemene Overeenkomst betreffende de handel in diensten; Marrakesh 15 april 1994 (</w:t>
      </w:r>
      <w:proofErr w:type="spellStart"/>
      <w:r w:rsidRPr="008F7F34">
        <w:rPr>
          <w:i/>
          <w:sz w:val="16"/>
          <w:szCs w:val="16"/>
          <w:lang w:val="nl-NL"/>
        </w:rPr>
        <w:t>Trb</w:t>
      </w:r>
      <w:proofErr w:type="spellEnd"/>
      <w:r w:rsidRPr="008F7F34">
        <w:rPr>
          <w:i/>
          <w:sz w:val="16"/>
          <w:szCs w:val="16"/>
          <w:lang w:val="nl-NL"/>
        </w:rPr>
        <w:t xml:space="preserve">. </w:t>
      </w:r>
      <w:r w:rsidRPr="008F7F34">
        <w:rPr>
          <w:sz w:val="16"/>
          <w:szCs w:val="16"/>
          <w:lang w:val="nl-NL"/>
        </w:rPr>
        <w:t>1994, 235, p. 304 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EEAF" w14:textId="77777777" w:rsidR="00BB176D" w:rsidRDefault="00BB1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51DD" w14:textId="77777777" w:rsidR="00BB176D" w:rsidRDefault="00BB1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E196" w14:textId="77777777" w:rsidR="00BB176D" w:rsidRDefault="00BB1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2B7"/>
    <w:multiLevelType w:val="hybridMultilevel"/>
    <w:tmpl w:val="467E9B24"/>
    <w:lvl w:ilvl="0" w:tplc="BAB43778">
      <w:start w:val="1"/>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026E5FD0"/>
    <w:multiLevelType w:val="hybridMultilevel"/>
    <w:tmpl w:val="53148A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D142A7"/>
    <w:multiLevelType w:val="hybridMultilevel"/>
    <w:tmpl w:val="855A63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E730DB"/>
    <w:multiLevelType w:val="hybridMultilevel"/>
    <w:tmpl w:val="C1DEE2F0"/>
    <w:lvl w:ilvl="0" w:tplc="A7C6DE60">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0EEF249B"/>
    <w:multiLevelType w:val="hybridMultilevel"/>
    <w:tmpl w:val="F87C5AF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7D36FC"/>
    <w:multiLevelType w:val="hybridMultilevel"/>
    <w:tmpl w:val="2C065A06"/>
    <w:lvl w:ilvl="0" w:tplc="04090017">
      <w:start w:val="1"/>
      <w:numFmt w:val="lowerLetter"/>
      <w:lvlText w:val="%1)"/>
      <w:lvlJc w:val="left"/>
      <w:pPr>
        <w:ind w:left="900" w:hanging="360"/>
      </w:pPr>
    </w:lvl>
    <w:lvl w:ilvl="1" w:tplc="04090017">
      <w:start w:val="1"/>
      <w:numFmt w:val="lowerLetter"/>
      <w:lvlText w:val="%2)"/>
      <w:lvlJc w:val="left"/>
      <w:pPr>
        <w:ind w:left="1980" w:hanging="360"/>
      </w:pPr>
    </w:lvl>
    <w:lvl w:ilvl="2" w:tplc="DCD0D24C">
      <w:start w:val="1"/>
      <w:numFmt w:val="decimal"/>
      <w:lvlText w:val="%3."/>
      <w:lvlJc w:val="left"/>
      <w:pPr>
        <w:ind w:left="54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24E007D"/>
    <w:multiLevelType w:val="hybridMultilevel"/>
    <w:tmpl w:val="73D65CEE"/>
    <w:lvl w:ilvl="0" w:tplc="35F428BE">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16DB0DC0"/>
    <w:multiLevelType w:val="multilevel"/>
    <w:tmpl w:val="7E3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C08C4"/>
    <w:multiLevelType w:val="hybridMultilevel"/>
    <w:tmpl w:val="1466F45E"/>
    <w:lvl w:ilvl="0" w:tplc="7556CFDA">
      <w:start w:val="1"/>
      <w:numFmt w:val="decimal"/>
      <w:lvlText w:val="%1."/>
      <w:lvlJc w:val="left"/>
      <w:pPr>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83E50"/>
    <w:multiLevelType w:val="hybridMultilevel"/>
    <w:tmpl w:val="883846F0"/>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0C85B57"/>
    <w:multiLevelType w:val="hybridMultilevel"/>
    <w:tmpl w:val="BC906C74"/>
    <w:lvl w:ilvl="0" w:tplc="0413001B">
      <w:start w:val="1"/>
      <w:numFmt w:val="lowerRoman"/>
      <w:lvlText w:val="%1."/>
      <w:lvlJc w:val="righ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22E26F19"/>
    <w:multiLevelType w:val="hybridMultilevel"/>
    <w:tmpl w:val="A45CED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63482B"/>
    <w:multiLevelType w:val="hybridMultilevel"/>
    <w:tmpl w:val="AB8A7C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8C5575B"/>
    <w:multiLevelType w:val="hybridMultilevel"/>
    <w:tmpl w:val="1C7E6F14"/>
    <w:lvl w:ilvl="0" w:tplc="DCD0D24C">
      <w:start w:val="1"/>
      <w:numFmt w:val="decimal"/>
      <w:lvlText w:val="%1."/>
      <w:lvlJc w:val="left"/>
      <w:pPr>
        <w:ind w:left="5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84E49"/>
    <w:multiLevelType w:val="hybridMultilevel"/>
    <w:tmpl w:val="391EC6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BB076C"/>
    <w:multiLevelType w:val="hybridMultilevel"/>
    <w:tmpl w:val="8A36D792"/>
    <w:lvl w:ilvl="0" w:tplc="8BA82BFA">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2F5B7B54"/>
    <w:multiLevelType w:val="hybridMultilevel"/>
    <w:tmpl w:val="BBAA11E0"/>
    <w:lvl w:ilvl="0" w:tplc="04130017">
      <w:start w:val="1"/>
      <w:numFmt w:val="lowerLetter"/>
      <w:lvlText w:val="%1)"/>
      <w:lvlJc w:val="left"/>
      <w:pPr>
        <w:ind w:left="720" w:hanging="360"/>
      </w:pPr>
    </w:lvl>
    <w:lvl w:ilvl="1" w:tplc="0409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5C7839"/>
    <w:multiLevelType w:val="hybridMultilevel"/>
    <w:tmpl w:val="27C050E4"/>
    <w:lvl w:ilvl="0" w:tplc="89A04CFC">
      <w:start w:val="1"/>
      <w:numFmt w:val="lowerLetter"/>
      <w:lvlText w:val="%1)"/>
      <w:lvlJc w:val="left"/>
      <w:pPr>
        <w:tabs>
          <w:tab w:val="num" w:pos="911"/>
        </w:tabs>
        <w:ind w:left="911" w:hanging="360"/>
      </w:pPr>
      <w:rPr>
        <w:rFonts w:hint="default"/>
      </w:rPr>
    </w:lvl>
    <w:lvl w:ilvl="1" w:tplc="04130019" w:tentative="1">
      <w:start w:val="1"/>
      <w:numFmt w:val="lowerLetter"/>
      <w:lvlText w:val="%2."/>
      <w:lvlJc w:val="left"/>
      <w:pPr>
        <w:tabs>
          <w:tab w:val="num" w:pos="1631"/>
        </w:tabs>
        <w:ind w:left="1631" w:hanging="360"/>
      </w:pPr>
    </w:lvl>
    <w:lvl w:ilvl="2" w:tplc="0413001B" w:tentative="1">
      <w:start w:val="1"/>
      <w:numFmt w:val="lowerRoman"/>
      <w:lvlText w:val="%3."/>
      <w:lvlJc w:val="right"/>
      <w:pPr>
        <w:tabs>
          <w:tab w:val="num" w:pos="2351"/>
        </w:tabs>
        <w:ind w:left="2351" w:hanging="180"/>
      </w:pPr>
    </w:lvl>
    <w:lvl w:ilvl="3" w:tplc="0413000F" w:tentative="1">
      <w:start w:val="1"/>
      <w:numFmt w:val="decimal"/>
      <w:lvlText w:val="%4."/>
      <w:lvlJc w:val="left"/>
      <w:pPr>
        <w:tabs>
          <w:tab w:val="num" w:pos="3071"/>
        </w:tabs>
        <w:ind w:left="3071" w:hanging="360"/>
      </w:pPr>
    </w:lvl>
    <w:lvl w:ilvl="4" w:tplc="04130019" w:tentative="1">
      <w:start w:val="1"/>
      <w:numFmt w:val="lowerLetter"/>
      <w:lvlText w:val="%5."/>
      <w:lvlJc w:val="left"/>
      <w:pPr>
        <w:tabs>
          <w:tab w:val="num" w:pos="3791"/>
        </w:tabs>
        <w:ind w:left="3791" w:hanging="360"/>
      </w:pPr>
    </w:lvl>
    <w:lvl w:ilvl="5" w:tplc="0413001B" w:tentative="1">
      <w:start w:val="1"/>
      <w:numFmt w:val="lowerRoman"/>
      <w:lvlText w:val="%6."/>
      <w:lvlJc w:val="right"/>
      <w:pPr>
        <w:tabs>
          <w:tab w:val="num" w:pos="4511"/>
        </w:tabs>
        <w:ind w:left="4511" w:hanging="180"/>
      </w:pPr>
    </w:lvl>
    <w:lvl w:ilvl="6" w:tplc="0413000F" w:tentative="1">
      <w:start w:val="1"/>
      <w:numFmt w:val="decimal"/>
      <w:lvlText w:val="%7."/>
      <w:lvlJc w:val="left"/>
      <w:pPr>
        <w:tabs>
          <w:tab w:val="num" w:pos="5231"/>
        </w:tabs>
        <w:ind w:left="5231" w:hanging="360"/>
      </w:pPr>
    </w:lvl>
    <w:lvl w:ilvl="7" w:tplc="04130019" w:tentative="1">
      <w:start w:val="1"/>
      <w:numFmt w:val="lowerLetter"/>
      <w:lvlText w:val="%8."/>
      <w:lvlJc w:val="left"/>
      <w:pPr>
        <w:tabs>
          <w:tab w:val="num" w:pos="5951"/>
        </w:tabs>
        <w:ind w:left="5951" w:hanging="360"/>
      </w:pPr>
    </w:lvl>
    <w:lvl w:ilvl="8" w:tplc="0413001B" w:tentative="1">
      <w:start w:val="1"/>
      <w:numFmt w:val="lowerRoman"/>
      <w:lvlText w:val="%9."/>
      <w:lvlJc w:val="right"/>
      <w:pPr>
        <w:tabs>
          <w:tab w:val="num" w:pos="6671"/>
        </w:tabs>
        <w:ind w:left="6671" w:hanging="180"/>
      </w:pPr>
    </w:lvl>
  </w:abstractNum>
  <w:abstractNum w:abstractNumId="18" w15:restartNumberingAfterBreak="0">
    <w:nsid w:val="33FB65A1"/>
    <w:multiLevelType w:val="multilevel"/>
    <w:tmpl w:val="60BC5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5844B54"/>
    <w:multiLevelType w:val="hybridMultilevel"/>
    <w:tmpl w:val="8806BB3A"/>
    <w:lvl w:ilvl="0" w:tplc="0A3273CC">
      <w:start w:val="1"/>
      <w:numFmt w:val="lowerRoman"/>
      <w:lvlText w:val="(%1)"/>
      <w:lvlJc w:val="left"/>
      <w:pPr>
        <w:ind w:left="1425" w:hanging="720"/>
      </w:pPr>
      <w:rPr>
        <w:rFonts w:hint="default"/>
      </w:rPr>
    </w:lvl>
    <w:lvl w:ilvl="1" w:tplc="304079AE">
      <w:start w:val="1"/>
      <w:numFmt w:val="lowerLetter"/>
      <w:lvlText w:val="%2)"/>
      <w:lvlJc w:val="left"/>
      <w:pPr>
        <w:ind w:left="1785" w:hanging="360"/>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 w15:restartNumberingAfterBreak="0">
    <w:nsid w:val="36981FC2"/>
    <w:multiLevelType w:val="hybridMultilevel"/>
    <w:tmpl w:val="0B96FED2"/>
    <w:lvl w:ilvl="0" w:tplc="4C52355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754F44"/>
    <w:multiLevelType w:val="multilevel"/>
    <w:tmpl w:val="E07CA4C2"/>
    <w:lvl w:ilvl="0">
      <w:start w:val="1"/>
      <w:numFmt w:val="upperRoman"/>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lvlText w:val="%1.%2."/>
      <w:lvlJc w:val="left"/>
      <w:pPr>
        <w:ind w:left="284" w:firstLine="0"/>
      </w:pPr>
      <w:rPr>
        <w:rFonts w:hint="default"/>
      </w:rPr>
    </w:lvl>
    <w:lvl w:ilvl="2">
      <w:start w:val="1"/>
      <w:numFmt w:val="decimal"/>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3EB859C5"/>
    <w:multiLevelType w:val="hybridMultilevel"/>
    <w:tmpl w:val="F02431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2FA3EE3"/>
    <w:multiLevelType w:val="hybridMultilevel"/>
    <w:tmpl w:val="ABE86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6A7498"/>
    <w:multiLevelType w:val="hybridMultilevel"/>
    <w:tmpl w:val="69880046"/>
    <w:lvl w:ilvl="0" w:tplc="C3B0DB18">
      <w:start w:val="1"/>
      <w:numFmt w:val="bullet"/>
      <w:lvlText w:val="-"/>
      <w:lvlJc w:val="left"/>
      <w:pPr>
        <w:ind w:left="714" w:hanging="360"/>
      </w:pPr>
      <w:rPr>
        <w:rFonts w:ascii="Arial" w:eastAsia="Times New Roman" w:hAnsi="Arial" w:cs="Arial" w:hint="default"/>
      </w:rPr>
    </w:lvl>
    <w:lvl w:ilvl="1" w:tplc="04130003" w:tentative="1">
      <w:start w:val="1"/>
      <w:numFmt w:val="bullet"/>
      <w:lvlText w:val="o"/>
      <w:lvlJc w:val="left"/>
      <w:pPr>
        <w:ind w:left="1434" w:hanging="360"/>
      </w:pPr>
      <w:rPr>
        <w:rFonts w:ascii="Courier New" w:hAnsi="Courier New" w:cs="Courier New" w:hint="default"/>
      </w:rPr>
    </w:lvl>
    <w:lvl w:ilvl="2" w:tplc="04130005" w:tentative="1">
      <w:start w:val="1"/>
      <w:numFmt w:val="bullet"/>
      <w:lvlText w:val=""/>
      <w:lvlJc w:val="left"/>
      <w:pPr>
        <w:ind w:left="2154" w:hanging="360"/>
      </w:pPr>
      <w:rPr>
        <w:rFonts w:ascii="Wingdings" w:hAnsi="Wingdings" w:hint="default"/>
      </w:rPr>
    </w:lvl>
    <w:lvl w:ilvl="3" w:tplc="04130001" w:tentative="1">
      <w:start w:val="1"/>
      <w:numFmt w:val="bullet"/>
      <w:lvlText w:val=""/>
      <w:lvlJc w:val="left"/>
      <w:pPr>
        <w:ind w:left="2874" w:hanging="360"/>
      </w:pPr>
      <w:rPr>
        <w:rFonts w:ascii="Symbol" w:hAnsi="Symbol" w:hint="default"/>
      </w:rPr>
    </w:lvl>
    <w:lvl w:ilvl="4" w:tplc="04130003" w:tentative="1">
      <w:start w:val="1"/>
      <w:numFmt w:val="bullet"/>
      <w:lvlText w:val="o"/>
      <w:lvlJc w:val="left"/>
      <w:pPr>
        <w:ind w:left="3594" w:hanging="360"/>
      </w:pPr>
      <w:rPr>
        <w:rFonts w:ascii="Courier New" w:hAnsi="Courier New" w:cs="Courier New" w:hint="default"/>
      </w:rPr>
    </w:lvl>
    <w:lvl w:ilvl="5" w:tplc="04130005" w:tentative="1">
      <w:start w:val="1"/>
      <w:numFmt w:val="bullet"/>
      <w:lvlText w:val=""/>
      <w:lvlJc w:val="left"/>
      <w:pPr>
        <w:ind w:left="4314" w:hanging="360"/>
      </w:pPr>
      <w:rPr>
        <w:rFonts w:ascii="Wingdings" w:hAnsi="Wingdings" w:hint="default"/>
      </w:rPr>
    </w:lvl>
    <w:lvl w:ilvl="6" w:tplc="04130001" w:tentative="1">
      <w:start w:val="1"/>
      <w:numFmt w:val="bullet"/>
      <w:lvlText w:val=""/>
      <w:lvlJc w:val="left"/>
      <w:pPr>
        <w:ind w:left="5034" w:hanging="360"/>
      </w:pPr>
      <w:rPr>
        <w:rFonts w:ascii="Symbol" w:hAnsi="Symbol" w:hint="default"/>
      </w:rPr>
    </w:lvl>
    <w:lvl w:ilvl="7" w:tplc="04130003" w:tentative="1">
      <w:start w:val="1"/>
      <w:numFmt w:val="bullet"/>
      <w:lvlText w:val="o"/>
      <w:lvlJc w:val="left"/>
      <w:pPr>
        <w:ind w:left="5754" w:hanging="360"/>
      </w:pPr>
      <w:rPr>
        <w:rFonts w:ascii="Courier New" w:hAnsi="Courier New" w:cs="Courier New" w:hint="default"/>
      </w:rPr>
    </w:lvl>
    <w:lvl w:ilvl="8" w:tplc="04130005" w:tentative="1">
      <w:start w:val="1"/>
      <w:numFmt w:val="bullet"/>
      <w:lvlText w:val=""/>
      <w:lvlJc w:val="left"/>
      <w:pPr>
        <w:ind w:left="6474" w:hanging="360"/>
      </w:pPr>
      <w:rPr>
        <w:rFonts w:ascii="Wingdings" w:hAnsi="Wingdings" w:hint="default"/>
      </w:rPr>
    </w:lvl>
  </w:abstractNum>
  <w:abstractNum w:abstractNumId="25" w15:restartNumberingAfterBreak="0">
    <w:nsid w:val="4A6E2595"/>
    <w:multiLevelType w:val="hybridMultilevel"/>
    <w:tmpl w:val="0DBC4C8C"/>
    <w:lvl w:ilvl="0" w:tplc="C3B0DB18">
      <w:start w:val="1"/>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CBA4505"/>
    <w:multiLevelType w:val="hybridMultilevel"/>
    <w:tmpl w:val="29A6503C"/>
    <w:lvl w:ilvl="0" w:tplc="5E4E3F32">
      <w:start w:val="1"/>
      <w:numFmt w:val="lowerLetter"/>
      <w:lvlText w:val="%1."/>
      <w:lvlJc w:val="left"/>
      <w:pPr>
        <w:ind w:left="1068" w:hanging="360"/>
      </w:pPr>
      <w:rPr>
        <w:rFonts w:ascii="Verdana" w:eastAsia="Times New Roman" w:hAnsi="Verdana"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DA86B6B"/>
    <w:multiLevelType w:val="hybridMultilevel"/>
    <w:tmpl w:val="846C93CE"/>
    <w:lvl w:ilvl="0" w:tplc="BA0020C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A92685"/>
    <w:multiLevelType w:val="hybridMultilevel"/>
    <w:tmpl w:val="0512E492"/>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9" w15:restartNumberingAfterBreak="0">
    <w:nsid w:val="53C90898"/>
    <w:multiLevelType w:val="hybridMultilevel"/>
    <w:tmpl w:val="4A122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4656252"/>
    <w:multiLevelType w:val="hybridMultilevel"/>
    <w:tmpl w:val="EF040E58"/>
    <w:lvl w:ilvl="0" w:tplc="C3B0DB1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307AA7"/>
    <w:multiLevelType w:val="hybridMultilevel"/>
    <w:tmpl w:val="1C3A2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8894B8B"/>
    <w:multiLevelType w:val="hybridMultilevel"/>
    <w:tmpl w:val="6D04D504"/>
    <w:lvl w:ilvl="0" w:tplc="89A04CFC">
      <w:start w:val="1"/>
      <w:numFmt w:val="lowerLetter"/>
      <w:lvlText w:val="%1)"/>
      <w:lvlJc w:val="left"/>
      <w:pPr>
        <w:ind w:left="990" w:hanging="360"/>
      </w:pPr>
      <w:rPr>
        <w:rFonts w:hint="default"/>
      </w:rPr>
    </w:lvl>
    <w:lvl w:ilvl="1" w:tplc="04090019">
      <w:start w:val="1"/>
      <w:numFmt w:val="lowerLetter"/>
      <w:lvlText w:val="%2."/>
      <w:lvlJc w:val="left"/>
      <w:pPr>
        <w:ind w:left="1080" w:hanging="360"/>
      </w:pPr>
    </w:lvl>
    <w:lvl w:ilvl="2" w:tplc="7556CFDA">
      <w:start w:val="1"/>
      <w:numFmt w:val="decimal"/>
      <w:lvlText w:val="%3."/>
      <w:lvlJc w:val="left"/>
      <w:pPr>
        <w:ind w:left="72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82252A"/>
    <w:multiLevelType w:val="hybridMultilevel"/>
    <w:tmpl w:val="3FAE7616"/>
    <w:lvl w:ilvl="0" w:tplc="CCF2FCD6">
      <w:start w:val="1"/>
      <w:numFmt w:val="lowerLetter"/>
      <w:lvlText w:val="%1."/>
      <w:lvlJc w:val="left"/>
      <w:pPr>
        <w:ind w:left="1068" w:hanging="360"/>
      </w:pPr>
      <w:rPr>
        <w:rFonts w:ascii="Verdana" w:eastAsia="Times New Roman" w:hAnsi="Verdana" w:cs="Arial"/>
      </w:rPr>
    </w:lvl>
    <w:lvl w:ilvl="1" w:tplc="04130019">
      <w:start w:val="1"/>
      <w:numFmt w:val="decimal"/>
      <w:lvlText w:val="%2."/>
      <w:lvlJc w:val="left"/>
      <w:pPr>
        <w:tabs>
          <w:tab w:val="num" w:pos="1788"/>
        </w:tabs>
        <w:ind w:left="1788" w:hanging="360"/>
      </w:pPr>
    </w:lvl>
    <w:lvl w:ilvl="2" w:tplc="0413001B">
      <w:start w:val="1"/>
      <w:numFmt w:val="decimal"/>
      <w:lvlText w:val="%3."/>
      <w:lvlJc w:val="left"/>
      <w:pPr>
        <w:tabs>
          <w:tab w:val="num" w:pos="2508"/>
        </w:tabs>
        <w:ind w:left="2508" w:hanging="360"/>
      </w:pPr>
    </w:lvl>
    <w:lvl w:ilvl="3" w:tplc="0413000F">
      <w:start w:val="1"/>
      <w:numFmt w:val="decimal"/>
      <w:lvlText w:val="%4."/>
      <w:lvlJc w:val="left"/>
      <w:pPr>
        <w:tabs>
          <w:tab w:val="num" w:pos="3228"/>
        </w:tabs>
        <w:ind w:left="3228" w:hanging="360"/>
      </w:pPr>
    </w:lvl>
    <w:lvl w:ilvl="4" w:tplc="04130019">
      <w:start w:val="1"/>
      <w:numFmt w:val="decimal"/>
      <w:lvlText w:val="%5."/>
      <w:lvlJc w:val="left"/>
      <w:pPr>
        <w:tabs>
          <w:tab w:val="num" w:pos="3948"/>
        </w:tabs>
        <w:ind w:left="3948" w:hanging="360"/>
      </w:pPr>
    </w:lvl>
    <w:lvl w:ilvl="5" w:tplc="0413001B">
      <w:start w:val="1"/>
      <w:numFmt w:val="decimal"/>
      <w:lvlText w:val="%6."/>
      <w:lvlJc w:val="left"/>
      <w:pPr>
        <w:tabs>
          <w:tab w:val="num" w:pos="4668"/>
        </w:tabs>
        <w:ind w:left="4668" w:hanging="360"/>
      </w:pPr>
    </w:lvl>
    <w:lvl w:ilvl="6" w:tplc="0413000F">
      <w:start w:val="1"/>
      <w:numFmt w:val="decimal"/>
      <w:lvlText w:val="%7."/>
      <w:lvlJc w:val="left"/>
      <w:pPr>
        <w:tabs>
          <w:tab w:val="num" w:pos="5388"/>
        </w:tabs>
        <w:ind w:left="5388" w:hanging="360"/>
      </w:pPr>
    </w:lvl>
    <w:lvl w:ilvl="7" w:tplc="04130019">
      <w:start w:val="1"/>
      <w:numFmt w:val="decimal"/>
      <w:lvlText w:val="%8."/>
      <w:lvlJc w:val="left"/>
      <w:pPr>
        <w:tabs>
          <w:tab w:val="num" w:pos="6108"/>
        </w:tabs>
        <w:ind w:left="6108" w:hanging="360"/>
      </w:pPr>
    </w:lvl>
    <w:lvl w:ilvl="8" w:tplc="0413001B">
      <w:start w:val="1"/>
      <w:numFmt w:val="decimal"/>
      <w:lvlText w:val="%9."/>
      <w:lvlJc w:val="left"/>
      <w:pPr>
        <w:tabs>
          <w:tab w:val="num" w:pos="6828"/>
        </w:tabs>
        <w:ind w:left="6828" w:hanging="360"/>
      </w:pPr>
    </w:lvl>
  </w:abstractNum>
  <w:abstractNum w:abstractNumId="34" w15:restartNumberingAfterBreak="0">
    <w:nsid w:val="61CB6C4B"/>
    <w:multiLevelType w:val="hybridMultilevel"/>
    <w:tmpl w:val="41967D4E"/>
    <w:lvl w:ilvl="0" w:tplc="F71EDE92">
      <w:start w:val="2"/>
      <w:numFmt w:val="bullet"/>
      <w:lvlText w:val=""/>
      <w:lvlJc w:val="left"/>
      <w:pPr>
        <w:ind w:left="1129" w:hanging="360"/>
      </w:pPr>
      <w:rPr>
        <w:rFonts w:ascii="Symbol" w:eastAsia="Times New Roman" w:hAnsi="Symbol" w:cs="Times New Roman" w:hint="default"/>
      </w:rPr>
    </w:lvl>
    <w:lvl w:ilvl="1" w:tplc="04130003" w:tentative="1">
      <w:start w:val="1"/>
      <w:numFmt w:val="bullet"/>
      <w:lvlText w:val="o"/>
      <w:lvlJc w:val="left"/>
      <w:pPr>
        <w:ind w:left="1849" w:hanging="360"/>
      </w:pPr>
      <w:rPr>
        <w:rFonts w:ascii="Courier New" w:hAnsi="Courier New" w:cs="Courier New" w:hint="default"/>
      </w:rPr>
    </w:lvl>
    <w:lvl w:ilvl="2" w:tplc="04130005" w:tentative="1">
      <w:start w:val="1"/>
      <w:numFmt w:val="bullet"/>
      <w:lvlText w:val=""/>
      <w:lvlJc w:val="left"/>
      <w:pPr>
        <w:ind w:left="2569" w:hanging="360"/>
      </w:pPr>
      <w:rPr>
        <w:rFonts w:ascii="Wingdings" w:hAnsi="Wingdings" w:hint="default"/>
      </w:rPr>
    </w:lvl>
    <w:lvl w:ilvl="3" w:tplc="04130001" w:tentative="1">
      <w:start w:val="1"/>
      <w:numFmt w:val="bullet"/>
      <w:lvlText w:val=""/>
      <w:lvlJc w:val="left"/>
      <w:pPr>
        <w:ind w:left="3289" w:hanging="360"/>
      </w:pPr>
      <w:rPr>
        <w:rFonts w:ascii="Symbol" w:hAnsi="Symbol" w:hint="default"/>
      </w:rPr>
    </w:lvl>
    <w:lvl w:ilvl="4" w:tplc="04130003" w:tentative="1">
      <w:start w:val="1"/>
      <w:numFmt w:val="bullet"/>
      <w:lvlText w:val="o"/>
      <w:lvlJc w:val="left"/>
      <w:pPr>
        <w:ind w:left="4009" w:hanging="360"/>
      </w:pPr>
      <w:rPr>
        <w:rFonts w:ascii="Courier New" w:hAnsi="Courier New" w:cs="Courier New" w:hint="default"/>
      </w:rPr>
    </w:lvl>
    <w:lvl w:ilvl="5" w:tplc="04130005" w:tentative="1">
      <w:start w:val="1"/>
      <w:numFmt w:val="bullet"/>
      <w:lvlText w:val=""/>
      <w:lvlJc w:val="left"/>
      <w:pPr>
        <w:ind w:left="4729" w:hanging="360"/>
      </w:pPr>
      <w:rPr>
        <w:rFonts w:ascii="Wingdings" w:hAnsi="Wingdings" w:hint="default"/>
      </w:rPr>
    </w:lvl>
    <w:lvl w:ilvl="6" w:tplc="04130001" w:tentative="1">
      <w:start w:val="1"/>
      <w:numFmt w:val="bullet"/>
      <w:lvlText w:val=""/>
      <w:lvlJc w:val="left"/>
      <w:pPr>
        <w:ind w:left="5449" w:hanging="360"/>
      </w:pPr>
      <w:rPr>
        <w:rFonts w:ascii="Symbol" w:hAnsi="Symbol" w:hint="default"/>
      </w:rPr>
    </w:lvl>
    <w:lvl w:ilvl="7" w:tplc="04130003" w:tentative="1">
      <w:start w:val="1"/>
      <w:numFmt w:val="bullet"/>
      <w:lvlText w:val="o"/>
      <w:lvlJc w:val="left"/>
      <w:pPr>
        <w:ind w:left="6169" w:hanging="360"/>
      </w:pPr>
      <w:rPr>
        <w:rFonts w:ascii="Courier New" w:hAnsi="Courier New" w:cs="Courier New" w:hint="default"/>
      </w:rPr>
    </w:lvl>
    <w:lvl w:ilvl="8" w:tplc="04130005" w:tentative="1">
      <w:start w:val="1"/>
      <w:numFmt w:val="bullet"/>
      <w:lvlText w:val=""/>
      <w:lvlJc w:val="left"/>
      <w:pPr>
        <w:ind w:left="6889" w:hanging="360"/>
      </w:pPr>
      <w:rPr>
        <w:rFonts w:ascii="Wingdings" w:hAnsi="Wingdings" w:hint="default"/>
      </w:rPr>
    </w:lvl>
  </w:abstractNum>
  <w:abstractNum w:abstractNumId="35" w15:restartNumberingAfterBreak="0">
    <w:nsid w:val="65B9457D"/>
    <w:multiLevelType w:val="hybridMultilevel"/>
    <w:tmpl w:val="1A22CA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482168"/>
    <w:multiLevelType w:val="hybridMultilevel"/>
    <w:tmpl w:val="C33C90A0"/>
    <w:lvl w:ilvl="0" w:tplc="E738CD1A">
      <w:numFmt w:val="bullet"/>
      <w:lvlText w:val="-"/>
      <w:lvlJc w:val="left"/>
      <w:pPr>
        <w:ind w:left="360" w:hanging="360"/>
      </w:pPr>
      <w:rPr>
        <w:rFonts w:ascii="Arial" w:eastAsia="Times New Roman" w:hAnsi="Arial" w:cs="Arial"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6C97E3D"/>
    <w:multiLevelType w:val="hybridMultilevel"/>
    <w:tmpl w:val="8722A0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9EF40B9"/>
    <w:multiLevelType w:val="hybridMultilevel"/>
    <w:tmpl w:val="8C261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A9D61DC"/>
    <w:multiLevelType w:val="multilevel"/>
    <w:tmpl w:val="E7844AD8"/>
    <w:name w:val="Modelverdrag2"/>
    <w:lvl w:ilvl="0">
      <w:start w:val="4"/>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707AE4"/>
    <w:multiLevelType w:val="hybridMultilevel"/>
    <w:tmpl w:val="67F823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3B64F0A"/>
    <w:multiLevelType w:val="hybridMultilevel"/>
    <w:tmpl w:val="A7BA1A24"/>
    <w:lvl w:ilvl="0" w:tplc="6E74E8E2">
      <w:numFmt w:val="bullet"/>
      <w:lvlText w:val="-"/>
      <w:lvlJc w:val="left"/>
      <w:pPr>
        <w:ind w:left="389" w:hanging="360"/>
      </w:pPr>
      <w:rPr>
        <w:rFonts w:ascii="Arial" w:eastAsia="Times New Roman" w:hAnsi="Arial" w:cs="Arial" w:hint="default"/>
      </w:rPr>
    </w:lvl>
    <w:lvl w:ilvl="1" w:tplc="04130003" w:tentative="1">
      <w:start w:val="1"/>
      <w:numFmt w:val="bullet"/>
      <w:lvlText w:val="o"/>
      <w:lvlJc w:val="left"/>
      <w:pPr>
        <w:ind w:left="1109" w:hanging="360"/>
      </w:pPr>
      <w:rPr>
        <w:rFonts w:ascii="Courier New" w:hAnsi="Courier New" w:cs="Courier New" w:hint="default"/>
      </w:rPr>
    </w:lvl>
    <w:lvl w:ilvl="2" w:tplc="04130005" w:tentative="1">
      <w:start w:val="1"/>
      <w:numFmt w:val="bullet"/>
      <w:lvlText w:val=""/>
      <w:lvlJc w:val="left"/>
      <w:pPr>
        <w:ind w:left="1829" w:hanging="360"/>
      </w:pPr>
      <w:rPr>
        <w:rFonts w:ascii="Wingdings" w:hAnsi="Wingdings" w:hint="default"/>
      </w:rPr>
    </w:lvl>
    <w:lvl w:ilvl="3" w:tplc="04130001" w:tentative="1">
      <w:start w:val="1"/>
      <w:numFmt w:val="bullet"/>
      <w:lvlText w:val=""/>
      <w:lvlJc w:val="left"/>
      <w:pPr>
        <w:ind w:left="2549" w:hanging="360"/>
      </w:pPr>
      <w:rPr>
        <w:rFonts w:ascii="Symbol" w:hAnsi="Symbol" w:hint="default"/>
      </w:rPr>
    </w:lvl>
    <w:lvl w:ilvl="4" w:tplc="04130003" w:tentative="1">
      <w:start w:val="1"/>
      <w:numFmt w:val="bullet"/>
      <w:lvlText w:val="o"/>
      <w:lvlJc w:val="left"/>
      <w:pPr>
        <w:ind w:left="3269" w:hanging="360"/>
      </w:pPr>
      <w:rPr>
        <w:rFonts w:ascii="Courier New" w:hAnsi="Courier New" w:cs="Courier New" w:hint="default"/>
      </w:rPr>
    </w:lvl>
    <w:lvl w:ilvl="5" w:tplc="04130005" w:tentative="1">
      <w:start w:val="1"/>
      <w:numFmt w:val="bullet"/>
      <w:lvlText w:val=""/>
      <w:lvlJc w:val="left"/>
      <w:pPr>
        <w:ind w:left="3989" w:hanging="360"/>
      </w:pPr>
      <w:rPr>
        <w:rFonts w:ascii="Wingdings" w:hAnsi="Wingdings" w:hint="default"/>
      </w:rPr>
    </w:lvl>
    <w:lvl w:ilvl="6" w:tplc="04130001" w:tentative="1">
      <w:start w:val="1"/>
      <w:numFmt w:val="bullet"/>
      <w:lvlText w:val=""/>
      <w:lvlJc w:val="left"/>
      <w:pPr>
        <w:ind w:left="4709" w:hanging="360"/>
      </w:pPr>
      <w:rPr>
        <w:rFonts w:ascii="Symbol" w:hAnsi="Symbol" w:hint="default"/>
      </w:rPr>
    </w:lvl>
    <w:lvl w:ilvl="7" w:tplc="04130003" w:tentative="1">
      <w:start w:val="1"/>
      <w:numFmt w:val="bullet"/>
      <w:lvlText w:val="o"/>
      <w:lvlJc w:val="left"/>
      <w:pPr>
        <w:ind w:left="5429" w:hanging="360"/>
      </w:pPr>
      <w:rPr>
        <w:rFonts w:ascii="Courier New" w:hAnsi="Courier New" w:cs="Courier New" w:hint="default"/>
      </w:rPr>
    </w:lvl>
    <w:lvl w:ilvl="8" w:tplc="04130005" w:tentative="1">
      <w:start w:val="1"/>
      <w:numFmt w:val="bullet"/>
      <w:lvlText w:val=""/>
      <w:lvlJc w:val="left"/>
      <w:pPr>
        <w:ind w:left="6149" w:hanging="360"/>
      </w:pPr>
      <w:rPr>
        <w:rFonts w:ascii="Wingdings" w:hAnsi="Wingdings" w:hint="default"/>
      </w:rPr>
    </w:lvl>
  </w:abstractNum>
  <w:abstractNum w:abstractNumId="42" w15:restartNumberingAfterBreak="0">
    <w:nsid w:val="74F23A02"/>
    <w:multiLevelType w:val="hybridMultilevel"/>
    <w:tmpl w:val="3DD8D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10C68"/>
    <w:multiLevelType w:val="hybridMultilevel"/>
    <w:tmpl w:val="5508AA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7170DE9"/>
    <w:multiLevelType w:val="hybridMultilevel"/>
    <w:tmpl w:val="59F817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7875122"/>
    <w:multiLevelType w:val="hybridMultilevel"/>
    <w:tmpl w:val="BFEA03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5"/>
  </w:num>
  <w:num w:numId="9">
    <w:abstractNumId w:val="39"/>
  </w:num>
  <w:num w:numId="10">
    <w:abstractNumId w:val="13"/>
  </w:num>
  <w:num w:numId="11">
    <w:abstractNumId w:val="4"/>
  </w:num>
  <w:num w:numId="12">
    <w:abstractNumId w:val="17"/>
  </w:num>
  <w:num w:numId="13">
    <w:abstractNumId w:val="35"/>
  </w:num>
  <w:num w:numId="14">
    <w:abstractNumId w:val="8"/>
  </w:num>
  <w:num w:numId="15">
    <w:abstractNumId w:val="0"/>
  </w:num>
  <w:num w:numId="16">
    <w:abstractNumId w:val="15"/>
  </w:num>
  <w:num w:numId="17">
    <w:abstractNumId w:val="14"/>
  </w:num>
  <w:num w:numId="18">
    <w:abstractNumId w:val="23"/>
  </w:num>
  <w:num w:numId="19">
    <w:abstractNumId w:val="1"/>
  </w:num>
  <w:num w:numId="20">
    <w:abstractNumId w:val="43"/>
  </w:num>
  <w:num w:numId="21">
    <w:abstractNumId w:val="12"/>
  </w:num>
  <w:num w:numId="22">
    <w:abstractNumId w:val="11"/>
  </w:num>
  <w:num w:numId="23">
    <w:abstractNumId w:val="31"/>
  </w:num>
  <w:num w:numId="24">
    <w:abstractNumId w:val="29"/>
  </w:num>
  <w:num w:numId="25">
    <w:abstractNumId w:val="2"/>
  </w:num>
  <w:num w:numId="26">
    <w:abstractNumId w:val="37"/>
  </w:num>
  <w:num w:numId="27">
    <w:abstractNumId w:val="45"/>
  </w:num>
  <w:num w:numId="28">
    <w:abstractNumId w:val="22"/>
  </w:num>
  <w:num w:numId="29">
    <w:abstractNumId w:val="40"/>
  </w:num>
  <w:num w:numId="30">
    <w:abstractNumId w:val="38"/>
  </w:num>
  <w:num w:numId="31">
    <w:abstractNumId w:val="44"/>
  </w:num>
  <w:num w:numId="32">
    <w:abstractNumId w:val="19"/>
  </w:num>
  <w:num w:numId="33">
    <w:abstractNumId w:val="27"/>
  </w:num>
  <w:num w:numId="34">
    <w:abstractNumId w:val="3"/>
  </w:num>
  <w:num w:numId="35">
    <w:abstractNumId w:val="34"/>
  </w:num>
  <w:num w:numId="36">
    <w:abstractNumId w:val="6"/>
  </w:num>
  <w:num w:numId="37">
    <w:abstractNumId w:val="36"/>
  </w:num>
  <w:num w:numId="38">
    <w:abstractNumId w:val="9"/>
  </w:num>
  <w:num w:numId="39">
    <w:abstractNumId w:val="16"/>
  </w:num>
  <w:num w:numId="40">
    <w:abstractNumId w:val="10"/>
  </w:num>
  <w:num w:numId="41">
    <w:abstractNumId w:val="26"/>
  </w:num>
  <w:num w:numId="42">
    <w:abstractNumId w:val="20"/>
  </w:num>
  <w:num w:numId="43">
    <w:abstractNumId w:val="41"/>
  </w:num>
  <w:num w:numId="44">
    <w:abstractNumId w:val="25"/>
  </w:num>
  <w:num w:numId="45">
    <w:abstractNumId w:val="24"/>
  </w:num>
  <w:num w:numId="46">
    <w:abstractNumId w:val="30"/>
  </w:num>
  <w:num w:numId="4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nl-NL" w:vendorID="64" w:dllVersion="6" w:nlCheck="1" w:checkStyle="0"/>
  <w:activeWritingStyle w:appName="MSWord" w:lang="en-GB" w:vendorID="64" w:dllVersion="6" w:nlCheck="1" w:checkStyle="1"/>
  <w:activeWritingStyle w:appName="MSWord" w:lang="es-E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0C"/>
    <w:rsid w:val="00000AAE"/>
    <w:rsid w:val="00001118"/>
    <w:rsid w:val="00001229"/>
    <w:rsid w:val="0000191F"/>
    <w:rsid w:val="00001FA0"/>
    <w:rsid w:val="00001FD6"/>
    <w:rsid w:val="000048E8"/>
    <w:rsid w:val="00004EED"/>
    <w:rsid w:val="00005536"/>
    <w:rsid w:val="00005893"/>
    <w:rsid w:val="00005D1D"/>
    <w:rsid w:val="00006973"/>
    <w:rsid w:val="00006E5C"/>
    <w:rsid w:val="00007FEE"/>
    <w:rsid w:val="00010367"/>
    <w:rsid w:val="00010C17"/>
    <w:rsid w:val="00010EF9"/>
    <w:rsid w:val="0001102D"/>
    <w:rsid w:val="000110E8"/>
    <w:rsid w:val="00011DFD"/>
    <w:rsid w:val="00012235"/>
    <w:rsid w:val="0001251B"/>
    <w:rsid w:val="00012546"/>
    <w:rsid w:val="00012CE2"/>
    <w:rsid w:val="000130F1"/>
    <w:rsid w:val="00013811"/>
    <w:rsid w:val="0001440B"/>
    <w:rsid w:val="00014C91"/>
    <w:rsid w:val="000152D9"/>
    <w:rsid w:val="00015578"/>
    <w:rsid w:val="00015868"/>
    <w:rsid w:val="000162B4"/>
    <w:rsid w:val="00016880"/>
    <w:rsid w:val="00016BB5"/>
    <w:rsid w:val="00020F6B"/>
    <w:rsid w:val="000220E2"/>
    <w:rsid w:val="0002215D"/>
    <w:rsid w:val="00022829"/>
    <w:rsid w:val="00022842"/>
    <w:rsid w:val="00022ABA"/>
    <w:rsid w:val="00022DC4"/>
    <w:rsid w:val="0002397E"/>
    <w:rsid w:val="0002421B"/>
    <w:rsid w:val="00025126"/>
    <w:rsid w:val="0002515C"/>
    <w:rsid w:val="00026DC9"/>
    <w:rsid w:val="00026F19"/>
    <w:rsid w:val="00026FCC"/>
    <w:rsid w:val="0002734E"/>
    <w:rsid w:val="00030A64"/>
    <w:rsid w:val="000319E7"/>
    <w:rsid w:val="00032FF7"/>
    <w:rsid w:val="000336BD"/>
    <w:rsid w:val="000339A6"/>
    <w:rsid w:val="00034576"/>
    <w:rsid w:val="00034B7A"/>
    <w:rsid w:val="00035CFC"/>
    <w:rsid w:val="0003634E"/>
    <w:rsid w:val="0003677C"/>
    <w:rsid w:val="00036A25"/>
    <w:rsid w:val="00037937"/>
    <w:rsid w:val="00037C02"/>
    <w:rsid w:val="0004012C"/>
    <w:rsid w:val="000417A0"/>
    <w:rsid w:val="00041BDD"/>
    <w:rsid w:val="000425AA"/>
    <w:rsid w:val="00042800"/>
    <w:rsid w:val="000429D7"/>
    <w:rsid w:val="00042A5C"/>
    <w:rsid w:val="000433C1"/>
    <w:rsid w:val="00043654"/>
    <w:rsid w:val="0004387C"/>
    <w:rsid w:val="00043906"/>
    <w:rsid w:val="00043C6D"/>
    <w:rsid w:val="00043D78"/>
    <w:rsid w:val="000448AD"/>
    <w:rsid w:val="000449A8"/>
    <w:rsid w:val="00044EDA"/>
    <w:rsid w:val="0004567D"/>
    <w:rsid w:val="000456AE"/>
    <w:rsid w:val="00045DD8"/>
    <w:rsid w:val="00046016"/>
    <w:rsid w:val="000463D9"/>
    <w:rsid w:val="00047014"/>
    <w:rsid w:val="000471E1"/>
    <w:rsid w:val="0004732F"/>
    <w:rsid w:val="00050D7F"/>
    <w:rsid w:val="00051128"/>
    <w:rsid w:val="000526E7"/>
    <w:rsid w:val="00052B3C"/>
    <w:rsid w:val="000530F2"/>
    <w:rsid w:val="000532C1"/>
    <w:rsid w:val="00053BF2"/>
    <w:rsid w:val="000546B4"/>
    <w:rsid w:val="0005634B"/>
    <w:rsid w:val="000569A1"/>
    <w:rsid w:val="00056A4A"/>
    <w:rsid w:val="00057799"/>
    <w:rsid w:val="000601F4"/>
    <w:rsid w:val="0006094E"/>
    <w:rsid w:val="000618F8"/>
    <w:rsid w:val="000627E2"/>
    <w:rsid w:val="00062AF3"/>
    <w:rsid w:val="00062D60"/>
    <w:rsid w:val="00062E57"/>
    <w:rsid w:val="00063571"/>
    <w:rsid w:val="0006364E"/>
    <w:rsid w:val="000638A1"/>
    <w:rsid w:val="00064422"/>
    <w:rsid w:val="000646CE"/>
    <w:rsid w:val="0006502C"/>
    <w:rsid w:val="0006531F"/>
    <w:rsid w:val="0006586D"/>
    <w:rsid w:val="000661EC"/>
    <w:rsid w:val="00066832"/>
    <w:rsid w:val="000678A2"/>
    <w:rsid w:val="0007012D"/>
    <w:rsid w:val="00070E64"/>
    <w:rsid w:val="00070FA8"/>
    <w:rsid w:val="00071DD2"/>
    <w:rsid w:val="00072B96"/>
    <w:rsid w:val="00073F1F"/>
    <w:rsid w:val="00074997"/>
    <w:rsid w:val="00075163"/>
    <w:rsid w:val="000759AE"/>
    <w:rsid w:val="00075AA3"/>
    <w:rsid w:val="00076C17"/>
    <w:rsid w:val="000803DF"/>
    <w:rsid w:val="000806F2"/>
    <w:rsid w:val="00080779"/>
    <w:rsid w:val="00081709"/>
    <w:rsid w:val="000819E4"/>
    <w:rsid w:val="00081C6F"/>
    <w:rsid w:val="00082074"/>
    <w:rsid w:val="00082A16"/>
    <w:rsid w:val="00082FA2"/>
    <w:rsid w:val="000831B7"/>
    <w:rsid w:val="00083C13"/>
    <w:rsid w:val="000862DD"/>
    <w:rsid w:val="000870FF"/>
    <w:rsid w:val="000900A6"/>
    <w:rsid w:val="000906C3"/>
    <w:rsid w:val="00090948"/>
    <w:rsid w:val="00090CF9"/>
    <w:rsid w:val="00091C6D"/>
    <w:rsid w:val="00091E67"/>
    <w:rsid w:val="00092171"/>
    <w:rsid w:val="00092220"/>
    <w:rsid w:val="00092449"/>
    <w:rsid w:val="00092AAE"/>
    <w:rsid w:val="00093C52"/>
    <w:rsid w:val="0009402B"/>
    <w:rsid w:val="00094877"/>
    <w:rsid w:val="00094BB5"/>
    <w:rsid w:val="0009578C"/>
    <w:rsid w:val="0009602B"/>
    <w:rsid w:val="000960FD"/>
    <w:rsid w:val="000962C4"/>
    <w:rsid w:val="00096A4E"/>
    <w:rsid w:val="000A0A88"/>
    <w:rsid w:val="000A292E"/>
    <w:rsid w:val="000A2A50"/>
    <w:rsid w:val="000A2B5E"/>
    <w:rsid w:val="000A3654"/>
    <w:rsid w:val="000A3EEF"/>
    <w:rsid w:val="000A4045"/>
    <w:rsid w:val="000A62CA"/>
    <w:rsid w:val="000A68E5"/>
    <w:rsid w:val="000A6B69"/>
    <w:rsid w:val="000A6F02"/>
    <w:rsid w:val="000A7BC9"/>
    <w:rsid w:val="000B02F5"/>
    <w:rsid w:val="000B0674"/>
    <w:rsid w:val="000B1658"/>
    <w:rsid w:val="000B176D"/>
    <w:rsid w:val="000B2ADE"/>
    <w:rsid w:val="000B2E33"/>
    <w:rsid w:val="000B3B63"/>
    <w:rsid w:val="000B51B6"/>
    <w:rsid w:val="000B574F"/>
    <w:rsid w:val="000B5D4A"/>
    <w:rsid w:val="000B5F56"/>
    <w:rsid w:val="000B76E2"/>
    <w:rsid w:val="000B7D7C"/>
    <w:rsid w:val="000C00E7"/>
    <w:rsid w:val="000C0F2B"/>
    <w:rsid w:val="000C132C"/>
    <w:rsid w:val="000C181C"/>
    <w:rsid w:val="000C1990"/>
    <w:rsid w:val="000C28E9"/>
    <w:rsid w:val="000C312C"/>
    <w:rsid w:val="000C3C01"/>
    <w:rsid w:val="000C3EBF"/>
    <w:rsid w:val="000C423D"/>
    <w:rsid w:val="000C4C50"/>
    <w:rsid w:val="000C4D87"/>
    <w:rsid w:val="000C5BD4"/>
    <w:rsid w:val="000C5F2B"/>
    <w:rsid w:val="000C6CE2"/>
    <w:rsid w:val="000C7EC9"/>
    <w:rsid w:val="000D0CA1"/>
    <w:rsid w:val="000D1664"/>
    <w:rsid w:val="000D1FE0"/>
    <w:rsid w:val="000D2BC0"/>
    <w:rsid w:val="000D2FF0"/>
    <w:rsid w:val="000D486E"/>
    <w:rsid w:val="000D4DC6"/>
    <w:rsid w:val="000D553F"/>
    <w:rsid w:val="000D5D9D"/>
    <w:rsid w:val="000D5EE5"/>
    <w:rsid w:val="000D6E8C"/>
    <w:rsid w:val="000E28FA"/>
    <w:rsid w:val="000E3531"/>
    <w:rsid w:val="000E37D5"/>
    <w:rsid w:val="000E3957"/>
    <w:rsid w:val="000E42F8"/>
    <w:rsid w:val="000E47A3"/>
    <w:rsid w:val="000E4DA9"/>
    <w:rsid w:val="000E5370"/>
    <w:rsid w:val="000E57A1"/>
    <w:rsid w:val="000E5C51"/>
    <w:rsid w:val="000E791E"/>
    <w:rsid w:val="000E7C36"/>
    <w:rsid w:val="000F0014"/>
    <w:rsid w:val="000F0BB8"/>
    <w:rsid w:val="000F11EE"/>
    <w:rsid w:val="000F14B5"/>
    <w:rsid w:val="000F1A24"/>
    <w:rsid w:val="000F1CC7"/>
    <w:rsid w:val="000F261F"/>
    <w:rsid w:val="000F3286"/>
    <w:rsid w:val="000F40FC"/>
    <w:rsid w:val="000F42BA"/>
    <w:rsid w:val="000F437D"/>
    <w:rsid w:val="000F440A"/>
    <w:rsid w:val="000F4B93"/>
    <w:rsid w:val="000F4EEC"/>
    <w:rsid w:val="000F5040"/>
    <w:rsid w:val="000F5359"/>
    <w:rsid w:val="000F63F1"/>
    <w:rsid w:val="000F79B3"/>
    <w:rsid w:val="000F7B23"/>
    <w:rsid w:val="000F7F20"/>
    <w:rsid w:val="000F7FAF"/>
    <w:rsid w:val="001007A2"/>
    <w:rsid w:val="0010105C"/>
    <w:rsid w:val="00101152"/>
    <w:rsid w:val="0010137F"/>
    <w:rsid w:val="001018D2"/>
    <w:rsid w:val="00103183"/>
    <w:rsid w:val="001042F2"/>
    <w:rsid w:val="00104481"/>
    <w:rsid w:val="00104731"/>
    <w:rsid w:val="00104CEA"/>
    <w:rsid w:val="00106D58"/>
    <w:rsid w:val="001072AE"/>
    <w:rsid w:val="001074E8"/>
    <w:rsid w:val="00107A02"/>
    <w:rsid w:val="00107C12"/>
    <w:rsid w:val="001113DD"/>
    <w:rsid w:val="001116B1"/>
    <w:rsid w:val="00111B13"/>
    <w:rsid w:val="0011250E"/>
    <w:rsid w:val="00112D48"/>
    <w:rsid w:val="00113D5C"/>
    <w:rsid w:val="0011413C"/>
    <w:rsid w:val="00114B43"/>
    <w:rsid w:val="00115166"/>
    <w:rsid w:val="00115479"/>
    <w:rsid w:val="001169EA"/>
    <w:rsid w:val="00117DF3"/>
    <w:rsid w:val="00117E52"/>
    <w:rsid w:val="001200D4"/>
    <w:rsid w:val="0012185C"/>
    <w:rsid w:val="00121C6F"/>
    <w:rsid w:val="001223F5"/>
    <w:rsid w:val="001230CF"/>
    <w:rsid w:val="0012422B"/>
    <w:rsid w:val="00124BB9"/>
    <w:rsid w:val="00124CF3"/>
    <w:rsid w:val="00125176"/>
    <w:rsid w:val="001264BF"/>
    <w:rsid w:val="0012679B"/>
    <w:rsid w:val="001269C7"/>
    <w:rsid w:val="00126ED7"/>
    <w:rsid w:val="0012719A"/>
    <w:rsid w:val="00127576"/>
    <w:rsid w:val="00127741"/>
    <w:rsid w:val="0013099D"/>
    <w:rsid w:val="00131158"/>
    <w:rsid w:val="00132A5E"/>
    <w:rsid w:val="00133F16"/>
    <w:rsid w:val="001349E4"/>
    <w:rsid w:val="00134AD8"/>
    <w:rsid w:val="00135CD3"/>
    <w:rsid w:val="00136985"/>
    <w:rsid w:val="0013779A"/>
    <w:rsid w:val="00137890"/>
    <w:rsid w:val="00140B9E"/>
    <w:rsid w:val="00141020"/>
    <w:rsid w:val="00141DD2"/>
    <w:rsid w:val="00142FB0"/>
    <w:rsid w:val="00143378"/>
    <w:rsid w:val="0014369A"/>
    <w:rsid w:val="00143BAD"/>
    <w:rsid w:val="0014408E"/>
    <w:rsid w:val="001448BB"/>
    <w:rsid w:val="00144B9C"/>
    <w:rsid w:val="00144FDE"/>
    <w:rsid w:val="001459E9"/>
    <w:rsid w:val="00145D9B"/>
    <w:rsid w:val="001460E2"/>
    <w:rsid w:val="00146631"/>
    <w:rsid w:val="001467E0"/>
    <w:rsid w:val="001468A2"/>
    <w:rsid w:val="0015042E"/>
    <w:rsid w:val="00150A60"/>
    <w:rsid w:val="00150A73"/>
    <w:rsid w:val="00150CFA"/>
    <w:rsid w:val="00151594"/>
    <w:rsid w:val="001520B2"/>
    <w:rsid w:val="0015234B"/>
    <w:rsid w:val="001524EE"/>
    <w:rsid w:val="00152EA3"/>
    <w:rsid w:val="00153120"/>
    <w:rsid w:val="00153A7E"/>
    <w:rsid w:val="00153BCA"/>
    <w:rsid w:val="001542CF"/>
    <w:rsid w:val="001542FE"/>
    <w:rsid w:val="001543E1"/>
    <w:rsid w:val="00154477"/>
    <w:rsid w:val="00154AB7"/>
    <w:rsid w:val="00155D29"/>
    <w:rsid w:val="0015618A"/>
    <w:rsid w:val="00156947"/>
    <w:rsid w:val="00156A53"/>
    <w:rsid w:val="0015702B"/>
    <w:rsid w:val="00157E91"/>
    <w:rsid w:val="00160208"/>
    <w:rsid w:val="001608A1"/>
    <w:rsid w:val="00160E1C"/>
    <w:rsid w:val="00161165"/>
    <w:rsid w:val="001617C3"/>
    <w:rsid w:val="00164D36"/>
    <w:rsid w:val="00165681"/>
    <w:rsid w:val="00165AC0"/>
    <w:rsid w:val="00166530"/>
    <w:rsid w:val="001665D6"/>
    <w:rsid w:val="00166910"/>
    <w:rsid w:val="00166F0F"/>
    <w:rsid w:val="00167F39"/>
    <w:rsid w:val="0017164E"/>
    <w:rsid w:val="00172834"/>
    <w:rsid w:val="00172918"/>
    <w:rsid w:val="00173B66"/>
    <w:rsid w:val="00173B76"/>
    <w:rsid w:val="00173F7D"/>
    <w:rsid w:val="001740BC"/>
    <w:rsid w:val="00174743"/>
    <w:rsid w:val="001759C0"/>
    <w:rsid w:val="0017699A"/>
    <w:rsid w:val="00177B28"/>
    <w:rsid w:val="00180457"/>
    <w:rsid w:val="0018266B"/>
    <w:rsid w:val="00182705"/>
    <w:rsid w:val="00182983"/>
    <w:rsid w:val="00182D3C"/>
    <w:rsid w:val="0018301C"/>
    <w:rsid w:val="001859F6"/>
    <w:rsid w:val="00185B87"/>
    <w:rsid w:val="00185BCC"/>
    <w:rsid w:val="00185ED9"/>
    <w:rsid w:val="00186ABE"/>
    <w:rsid w:val="00186B3A"/>
    <w:rsid w:val="00186DC4"/>
    <w:rsid w:val="00186E44"/>
    <w:rsid w:val="00187405"/>
    <w:rsid w:val="0018765B"/>
    <w:rsid w:val="00190051"/>
    <w:rsid w:val="00190C53"/>
    <w:rsid w:val="00191131"/>
    <w:rsid w:val="00191759"/>
    <w:rsid w:val="00191DB4"/>
    <w:rsid w:val="001931B6"/>
    <w:rsid w:val="001936B1"/>
    <w:rsid w:val="00193F92"/>
    <w:rsid w:val="0019421E"/>
    <w:rsid w:val="00194549"/>
    <w:rsid w:val="001946A8"/>
    <w:rsid w:val="00194B02"/>
    <w:rsid w:val="001959BC"/>
    <w:rsid w:val="00196947"/>
    <w:rsid w:val="00197531"/>
    <w:rsid w:val="00197BF1"/>
    <w:rsid w:val="001A030D"/>
    <w:rsid w:val="001A05EC"/>
    <w:rsid w:val="001A0A85"/>
    <w:rsid w:val="001A1170"/>
    <w:rsid w:val="001A2418"/>
    <w:rsid w:val="001A24AF"/>
    <w:rsid w:val="001A47A3"/>
    <w:rsid w:val="001A4CDF"/>
    <w:rsid w:val="001A4F1E"/>
    <w:rsid w:val="001A5002"/>
    <w:rsid w:val="001A5383"/>
    <w:rsid w:val="001A560E"/>
    <w:rsid w:val="001A63B5"/>
    <w:rsid w:val="001B0212"/>
    <w:rsid w:val="001B0E82"/>
    <w:rsid w:val="001B19DD"/>
    <w:rsid w:val="001B1F42"/>
    <w:rsid w:val="001B2358"/>
    <w:rsid w:val="001B2D08"/>
    <w:rsid w:val="001B3013"/>
    <w:rsid w:val="001B3122"/>
    <w:rsid w:val="001B4335"/>
    <w:rsid w:val="001B46DE"/>
    <w:rsid w:val="001B4DD4"/>
    <w:rsid w:val="001B5EC0"/>
    <w:rsid w:val="001B60BF"/>
    <w:rsid w:val="001B70AA"/>
    <w:rsid w:val="001B7394"/>
    <w:rsid w:val="001B7AB3"/>
    <w:rsid w:val="001C0809"/>
    <w:rsid w:val="001C113B"/>
    <w:rsid w:val="001C293C"/>
    <w:rsid w:val="001C2F1E"/>
    <w:rsid w:val="001C2FE8"/>
    <w:rsid w:val="001C35CA"/>
    <w:rsid w:val="001C47EC"/>
    <w:rsid w:val="001C5B0C"/>
    <w:rsid w:val="001C60B9"/>
    <w:rsid w:val="001C6327"/>
    <w:rsid w:val="001C6955"/>
    <w:rsid w:val="001C6FCB"/>
    <w:rsid w:val="001C7DDD"/>
    <w:rsid w:val="001C7E40"/>
    <w:rsid w:val="001D0255"/>
    <w:rsid w:val="001D060C"/>
    <w:rsid w:val="001D0C7C"/>
    <w:rsid w:val="001D138B"/>
    <w:rsid w:val="001D1A69"/>
    <w:rsid w:val="001D1AAA"/>
    <w:rsid w:val="001D21E8"/>
    <w:rsid w:val="001D25C0"/>
    <w:rsid w:val="001D25EE"/>
    <w:rsid w:val="001D30FF"/>
    <w:rsid w:val="001D3121"/>
    <w:rsid w:val="001D3410"/>
    <w:rsid w:val="001D4669"/>
    <w:rsid w:val="001D4832"/>
    <w:rsid w:val="001D49A4"/>
    <w:rsid w:val="001D4C03"/>
    <w:rsid w:val="001D4C40"/>
    <w:rsid w:val="001D4E4C"/>
    <w:rsid w:val="001D522F"/>
    <w:rsid w:val="001D5F33"/>
    <w:rsid w:val="001D60A4"/>
    <w:rsid w:val="001D63D2"/>
    <w:rsid w:val="001D67D3"/>
    <w:rsid w:val="001D6CCA"/>
    <w:rsid w:val="001D7283"/>
    <w:rsid w:val="001E0872"/>
    <w:rsid w:val="001E25F3"/>
    <w:rsid w:val="001E2797"/>
    <w:rsid w:val="001E38B0"/>
    <w:rsid w:val="001E3D67"/>
    <w:rsid w:val="001E41DF"/>
    <w:rsid w:val="001E5482"/>
    <w:rsid w:val="001E54ED"/>
    <w:rsid w:val="001F03FE"/>
    <w:rsid w:val="001F0A3C"/>
    <w:rsid w:val="001F0E69"/>
    <w:rsid w:val="001F0FA1"/>
    <w:rsid w:val="001F1493"/>
    <w:rsid w:val="001F1AE5"/>
    <w:rsid w:val="001F1CC1"/>
    <w:rsid w:val="001F1D4E"/>
    <w:rsid w:val="001F2A89"/>
    <w:rsid w:val="001F3BBA"/>
    <w:rsid w:val="001F4013"/>
    <w:rsid w:val="001F4412"/>
    <w:rsid w:val="001F4727"/>
    <w:rsid w:val="001F5199"/>
    <w:rsid w:val="001F528D"/>
    <w:rsid w:val="001F593D"/>
    <w:rsid w:val="001F5944"/>
    <w:rsid w:val="001F5CFD"/>
    <w:rsid w:val="001F5FB2"/>
    <w:rsid w:val="001F5FF2"/>
    <w:rsid w:val="001F6B8C"/>
    <w:rsid w:val="001F70F1"/>
    <w:rsid w:val="001F715A"/>
    <w:rsid w:val="001F737F"/>
    <w:rsid w:val="001F7ABE"/>
    <w:rsid w:val="001F7DE9"/>
    <w:rsid w:val="0020050D"/>
    <w:rsid w:val="00200605"/>
    <w:rsid w:val="0020061E"/>
    <w:rsid w:val="002009FD"/>
    <w:rsid w:val="00200A4B"/>
    <w:rsid w:val="002020AE"/>
    <w:rsid w:val="002022A4"/>
    <w:rsid w:val="0020241A"/>
    <w:rsid w:val="002037C3"/>
    <w:rsid w:val="002049B3"/>
    <w:rsid w:val="00204F4A"/>
    <w:rsid w:val="00204FEC"/>
    <w:rsid w:val="00206A14"/>
    <w:rsid w:val="00206A3B"/>
    <w:rsid w:val="00206DF2"/>
    <w:rsid w:val="00206F43"/>
    <w:rsid w:val="00207583"/>
    <w:rsid w:val="00207793"/>
    <w:rsid w:val="00207B1E"/>
    <w:rsid w:val="00207D9F"/>
    <w:rsid w:val="00210DE2"/>
    <w:rsid w:val="00211925"/>
    <w:rsid w:val="00213C73"/>
    <w:rsid w:val="00213DC4"/>
    <w:rsid w:val="0021427F"/>
    <w:rsid w:val="0021450B"/>
    <w:rsid w:val="002146A0"/>
    <w:rsid w:val="00214E90"/>
    <w:rsid w:val="002156B3"/>
    <w:rsid w:val="00215B99"/>
    <w:rsid w:val="002166C1"/>
    <w:rsid w:val="00216FBA"/>
    <w:rsid w:val="00216FCD"/>
    <w:rsid w:val="00220462"/>
    <w:rsid w:val="002205F5"/>
    <w:rsid w:val="00220C2C"/>
    <w:rsid w:val="00220D1D"/>
    <w:rsid w:val="00221732"/>
    <w:rsid w:val="00221EDC"/>
    <w:rsid w:val="002229E7"/>
    <w:rsid w:val="00222BD6"/>
    <w:rsid w:val="0022345A"/>
    <w:rsid w:val="0022459F"/>
    <w:rsid w:val="00224E6D"/>
    <w:rsid w:val="0022506C"/>
    <w:rsid w:val="002258E0"/>
    <w:rsid w:val="002268F9"/>
    <w:rsid w:val="00226C3B"/>
    <w:rsid w:val="00227985"/>
    <w:rsid w:val="00227EA5"/>
    <w:rsid w:val="00230D93"/>
    <w:rsid w:val="00230ED2"/>
    <w:rsid w:val="002319E1"/>
    <w:rsid w:val="00232D25"/>
    <w:rsid w:val="002331D3"/>
    <w:rsid w:val="00233230"/>
    <w:rsid w:val="002336D1"/>
    <w:rsid w:val="002336DC"/>
    <w:rsid w:val="002346CF"/>
    <w:rsid w:val="0023495E"/>
    <w:rsid w:val="00235F44"/>
    <w:rsid w:val="00237644"/>
    <w:rsid w:val="00240300"/>
    <w:rsid w:val="00240586"/>
    <w:rsid w:val="00240F6C"/>
    <w:rsid w:val="00241871"/>
    <w:rsid w:val="00243D34"/>
    <w:rsid w:val="002440FD"/>
    <w:rsid w:val="002442F4"/>
    <w:rsid w:val="00244325"/>
    <w:rsid w:val="00244529"/>
    <w:rsid w:val="00245654"/>
    <w:rsid w:val="00245764"/>
    <w:rsid w:val="00245B76"/>
    <w:rsid w:val="00245C2C"/>
    <w:rsid w:val="00245E62"/>
    <w:rsid w:val="00246290"/>
    <w:rsid w:val="00246626"/>
    <w:rsid w:val="00246642"/>
    <w:rsid w:val="00246BCC"/>
    <w:rsid w:val="00247EE0"/>
    <w:rsid w:val="00247FB9"/>
    <w:rsid w:val="002513F4"/>
    <w:rsid w:val="00251F01"/>
    <w:rsid w:val="00252207"/>
    <w:rsid w:val="002530E7"/>
    <w:rsid w:val="0025376E"/>
    <w:rsid w:val="002547AE"/>
    <w:rsid w:val="00255412"/>
    <w:rsid w:val="00255B2E"/>
    <w:rsid w:val="0025614F"/>
    <w:rsid w:val="0025631E"/>
    <w:rsid w:val="00256CCC"/>
    <w:rsid w:val="00256E77"/>
    <w:rsid w:val="00257EC4"/>
    <w:rsid w:val="002606A1"/>
    <w:rsid w:val="00260C96"/>
    <w:rsid w:val="00261F51"/>
    <w:rsid w:val="00262822"/>
    <w:rsid w:val="0026291B"/>
    <w:rsid w:val="00262AE4"/>
    <w:rsid w:val="00263093"/>
    <w:rsid w:val="0026369C"/>
    <w:rsid w:val="00263B25"/>
    <w:rsid w:val="00263B83"/>
    <w:rsid w:val="00264139"/>
    <w:rsid w:val="002642D5"/>
    <w:rsid w:val="00264312"/>
    <w:rsid w:val="00264372"/>
    <w:rsid w:val="002643A5"/>
    <w:rsid w:val="0026543F"/>
    <w:rsid w:val="002654F3"/>
    <w:rsid w:val="0026636C"/>
    <w:rsid w:val="0026798E"/>
    <w:rsid w:val="002679BA"/>
    <w:rsid w:val="00267D3A"/>
    <w:rsid w:val="002708F8"/>
    <w:rsid w:val="002709A3"/>
    <w:rsid w:val="00270F3C"/>
    <w:rsid w:val="002726AE"/>
    <w:rsid w:val="00273C6D"/>
    <w:rsid w:val="00273D09"/>
    <w:rsid w:val="00273D0A"/>
    <w:rsid w:val="00274312"/>
    <w:rsid w:val="00274587"/>
    <w:rsid w:val="00274D45"/>
    <w:rsid w:val="00275DC4"/>
    <w:rsid w:val="00277243"/>
    <w:rsid w:val="002806FF"/>
    <w:rsid w:val="00281BA6"/>
    <w:rsid w:val="002821D3"/>
    <w:rsid w:val="002823EC"/>
    <w:rsid w:val="002828AC"/>
    <w:rsid w:val="00282BEA"/>
    <w:rsid w:val="00283A89"/>
    <w:rsid w:val="00283E95"/>
    <w:rsid w:val="00284D38"/>
    <w:rsid w:val="00284D91"/>
    <w:rsid w:val="002854DE"/>
    <w:rsid w:val="00285DD2"/>
    <w:rsid w:val="00286C68"/>
    <w:rsid w:val="0028740C"/>
    <w:rsid w:val="00287EAA"/>
    <w:rsid w:val="00290260"/>
    <w:rsid w:val="00290489"/>
    <w:rsid w:val="00290D79"/>
    <w:rsid w:val="00291088"/>
    <w:rsid w:val="0029136B"/>
    <w:rsid w:val="002920F8"/>
    <w:rsid w:val="002937CB"/>
    <w:rsid w:val="00293ACA"/>
    <w:rsid w:val="00294960"/>
    <w:rsid w:val="00294BEF"/>
    <w:rsid w:val="0029507E"/>
    <w:rsid w:val="00295DF8"/>
    <w:rsid w:val="0029726F"/>
    <w:rsid w:val="00297406"/>
    <w:rsid w:val="00297842"/>
    <w:rsid w:val="00297E92"/>
    <w:rsid w:val="002A07C8"/>
    <w:rsid w:val="002A179A"/>
    <w:rsid w:val="002A1B40"/>
    <w:rsid w:val="002A1E3B"/>
    <w:rsid w:val="002A22AD"/>
    <w:rsid w:val="002A2682"/>
    <w:rsid w:val="002A2801"/>
    <w:rsid w:val="002A2E29"/>
    <w:rsid w:val="002A2E36"/>
    <w:rsid w:val="002A31FA"/>
    <w:rsid w:val="002A3708"/>
    <w:rsid w:val="002A4776"/>
    <w:rsid w:val="002A4A2E"/>
    <w:rsid w:val="002A517B"/>
    <w:rsid w:val="002A532A"/>
    <w:rsid w:val="002A6EBE"/>
    <w:rsid w:val="002A7BD9"/>
    <w:rsid w:val="002B056E"/>
    <w:rsid w:val="002B0729"/>
    <w:rsid w:val="002B401A"/>
    <w:rsid w:val="002B44CB"/>
    <w:rsid w:val="002B4B6E"/>
    <w:rsid w:val="002B5232"/>
    <w:rsid w:val="002B625B"/>
    <w:rsid w:val="002B64DA"/>
    <w:rsid w:val="002B6799"/>
    <w:rsid w:val="002B7586"/>
    <w:rsid w:val="002B7B33"/>
    <w:rsid w:val="002B7BFB"/>
    <w:rsid w:val="002C01F9"/>
    <w:rsid w:val="002C0224"/>
    <w:rsid w:val="002C1216"/>
    <w:rsid w:val="002C177F"/>
    <w:rsid w:val="002C178B"/>
    <w:rsid w:val="002C1A4F"/>
    <w:rsid w:val="002C301D"/>
    <w:rsid w:val="002C387B"/>
    <w:rsid w:val="002C3A00"/>
    <w:rsid w:val="002C3AD3"/>
    <w:rsid w:val="002C3B21"/>
    <w:rsid w:val="002C3DD5"/>
    <w:rsid w:val="002C407D"/>
    <w:rsid w:val="002C4178"/>
    <w:rsid w:val="002C4311"/>
    <w:rsid w:val="002C4A17"/>
    <w:rsid w:val="002C5E6C"/>
    <w:rsid w:val="002C79AE"/>
    <w:rsid w:val="002C7D81"/>
    <w:rsid w:val="002D0114"/>
    <w:rsid w:val="002D045B"/>
    <w:rsid w:val="002D159A"/>
    <w:rsid w:val="002D160C"/>
    <w:rsid w:val="002D291F"/>
    <w:rsid w:val="002D2A48"/>
    <w:rsid w:val="002D333E"/>
    <w:rsid w:val="002D3F7E"/>
    <w:rsid w:val="002D3FB7"/>
    <w:rsid w:val="002D5588"/>
    <w:rsid w:val="002D5B03"/>
    <w:rsid w:val="002D5F08"/>
    <w:rsid w:val="002D6739"/>
    <w:rsid w:val="002D6E4A"/>
    <w:rsid w:val="002D7043"/>
    <w:rsid w:val="002D7111"/>
    <w:rsid w:val="002D7178"/>
    <w:rsid w:val="002D727D"/>
    <w:rsid w:val="002D7694"/>
    <w:rsid w:val="002D7AD8"/>
    <w:rsid w:val="002D7BC5"/>
    <w:rsid w:val="002E0321"/>
    <w:rsid w:val="002E0C1C"/>
    <w:rsid w:val="002E10E1"/>
    <w:rsid w:val="002E1419"/>
    <w:rsid w:val="002E1751"/>
    <w:rsid w:val="002E1A6F"/>
    <w:rsid w:val="002E1AE3"/>
    <w:rsid w:val="002E1B90"/>
    <w:rsid w:val="002E22BE"/>
    <w:rsid w:val="002E2599"/>
    <w:rsid w:val="002E312C"/>
    <w:rsid w:val="002E3A84"/>
    <w:rsid w:val="002E3E36"/>
    <w:rsid w:val="002E4253"/>
    <w:rsid w:val="002E4CA7"/>
    <w:rsid w:val="002E4EFD"/>
    <w:rsid w:val="002E633A"/>
    <w:rsid w:val="002E6518"/>
    <w:rsid w:val="002E779B"/>
    <w:rsid w:val="002F0BBD"/>
    <w:rsid w:val="002F1808"/>
    <w:rsid w:val="002F1B13"/>
    <w:rsid w:val="002F1C9B"/>
    <w:rsid w:val="002F2835"/>
    <w:rsid w:val="002F3083"/>
    <w:rsid w:val="002F33CE"/>
    <w:rsid w:val="002F353F"/>
    <w:rsid w:val="002F3E9F"/>
    <w:rsid w:val="002F44C6"/>
    <w:rsid w:val="002F468A"/>
    <w:rsid w:val="002F481B"/>
    <w:rsid w:val="002F4847"/>
    <w:rsid w:val="002F4A27"/>
    <w:rsid w:val="002F53A2"/>
    <w:rsid w:val="002F5CB0"/>
    <w:rsid w:val="002F6077"/>
    <w:rsid w:val="002F7386"/>
    <w:rsid w:val="002F79D9"/>
    <w:rsid w:val="002F7BA4"/>
    <w:rsid w:val="002F7BE9"/>
    <w:rsid w:val="003000AD"/>
    <w:rsid w:val="00300344"/>
    <w:rsid w:val="003009AB"/>
    <w:rsid w:val="00301204"/>
    <w:rsid w:val="003013AD"/>
    <w:rsid w:val="003016DA"/>
    <w:rsid w:val="00302498"/>
    <w:rsid w:val="00302AA0"/>
    <w:rsid w:val="0030407D"/>
    <w:rsid w:val="003046AD"/>
    <w:rsid w:val="0030748E"/>
    <w:rsid w:val="003078A3"/>
    <w:rsid w:val="00307E15"/>
    <w:rsid w:val="00307FDB"/>
    <w:rsid w:val="003103E7"/>
    <w:rsid w:val="00310FFA"/>
    <w:rsid w:val="00311F10"/>
    <w:rsid w:val="00312A0C"/>
    <w:rsid w:val="0031486C"/>
    <w:rsid w:val="00314BA6"/>
    <w:rsid w:val="00314EC5"/>
    <w:rsid w:val="0031714E"/>
    <w:rsid w:val="00317FC7"/>
    <w:rsid w:val="003201A8"/>
    <w:rsid w:val="003204B1"/>
    <w:rsid w:val="00320AAE"/>
    <w:rsid w:val="00320F31"/>
    <w:rsid w:val="00321649"/>
    <w:rsid w:val="00321F61"/>
    <w:rsid w:val="00322267"/>
    <w:rsid w:val="00322612"/>
    <w:rsid w:val="00323312"/>
    <w:rsid w:val="00325094"/>
    <w:rsid w:val="00326648"/>
    <w:rsid w:val="00326BAB"/>
    <w:rsid w:val="00326C7C"/>
    <w:rsid w:val="00327403"/>
    <w:rsid w:val="003276E8"/>
    <w:rsid w:val="00327BBE"/>
    <w:rsid w:val="0033049F"/>
    <w:rsid w:val="003314F3"/>
    <w:rsid w:val="003317A7"/>
    <w:rsid w:val="00331936"/>
    <w:rsid w:val="00332292"/>
    <w:rsid w:val="00332538"/>
    <w:rsid w:val="00332550"/>
    <w:rsid w:val="003325EB"/>
    <w:rsid w:val="0033280C"/>
    <w:rsid w:val="00332997"/>
    <w:rsid w:val="00332A14"/>
    <w:rsid w:val="00332BDE"/>
    <w:rsid w:val="00333607"/>
    <w:rsid w:val="00333F11"/>
    <w:rsid w:val="00334E09"/>
    <w:rsid w:val="003359AD"/>
    <w:rsid w:val="00335A82"/>
    <w:rsid w:val="00335F2F"/>
    <w:rsid w:val="0033646B"/>
    <w:rsid w:val="00336A37"/>
    <w:rsid w:val="00336EE8"/>
    <w:rsid w:val="00337338"/>
    <w:rsid w:val="00340765"/>
    <w:rsid w:val="00340BF3"/>
    <w:rsid w:val="003421A1"/>
    <w:rsid w:val="003431B3"/>
    <w:rsid w:val="00343C5E"/>
    <w:rsid w:val="0034419F"/>
    <w:rsid w:val="00344B6B"/>
    <w:rsid w:val="00344DD9"/>
    <w:rsid w:val="00345275"/>
    <w:rsid w:val="00347536"/>
    <w:rsid w:val="00347677"/>
    <w:rsid w:val="003478BD"/>
    <w:rsid w:val="00347F99"/>
    <w:rsid w:val="003506D8"/>
    <w:rsid w:val="00351CF7"/>
    <w:rsid w:val="00352609"/>
    <w:rsid w:val="00352A96"/>
    <w:rsid w:val="003549CD"/>
    <w:rsid w:val="003558C7"/>
    <w:rsid w:val="00355A09"/>
    <w:rsid w:val="003567B4"/>
    <w:rsid w:val="00356A69"/>
    <w:rsid w:val="00356C94"/>
    <w:rsid w:val="00357099"/>
    <w:rsid w:val="0035795B"/>
    <w:rsid w:val="00360AE4"/>
    <w:rsid w:val="00361A39"/>
    <w:rsid w:val="00362223"/>
    <w:rsid w:val="00362741"/>
    <w:rsid w:val="0036383B"/>
    <w:rsid w:val="00364BC9"/>
    <w:rsid w:val="0036518A"/>
    <w:rsid w:val="003657E3"/>
    <w:rsid w:val="003659C2"/>
    <w:rsid w:val="00365D44"/>
    <w:rsid w:val="003669F4"/>
    <w:rsid w:val="00366EBD"/>
    <w:rsid w:val="00367018"/>
    <w:rsid w:val="00367D5B"/>
    <w:rsid w:val="00370F8C"/>
    <w:rsid w:val="00372898"/>
    <w:rsid w:val="003729F4"/>
    <w:rsid w:val="003735CC"/>
    <w:rsid w:val="003755A2"/>
    <w:rsid w:val="003755D4"/>
    <w:rsid w:val="00375C50"/>
    <w:rsid w:val="00376B02"/>
    <w:rsid w:val="003771AE"/>
    <w:rsid w:val="0037721B"/>
    <w:rsid w:val="0037736F"/>
    <w:rsid w:val="0037768F"/>
    <w:rsid w:val="0038015E"/>
    <w:rsid w:val="00380642"/>
    <w:rsid w:val="00380CB9"/>
    <w:rsid w:val="00381460"/>
    <w:rsid w:val="003823A1"/>
    <w:rsid w:val="003823AC"/>
    <w:rsid w:val="00382456"/>
    <w:rsid w:val="00382CD4"/>
    <w:rsid w:val="00382F88"/>
    <w:rsid w:val="003830FE"/>
    <w:rsid w:val="003841DC"/>
    <w:rsid w:val="00384FAB"/>
    <w:rsid w:val="00385745"/>
    <w:rsid w:val="00385D26"/>
    <w:rsid w:val="0038629B"/>
    <w:rsid w:val="00386753"/>
    <w:rsid w:val="00387325"/>
    <w:rsid w:val="0038764B"/>
    <w:rsid w:val="00387B4A"/>
    <w:rsid w:val="00387D5E"/>
    <w:rsid w:val="003900E4"/>
    <w:rsid w:val="0039096E"/>
    <w:rsid w:val="00390EE6"/>
    <w:rsid w:val="0039194B"/>
    <w:rsid w:val="003925F8"/>
    <w:rsid w:val="003928BF"/>
    <w:rsid w:val="00393BD8"/>
    <w:rsid w:val="00394A88"/>
    <w:rsid w:val="0039549A"/>
    <w:rsid w:val="003954A4"/>
    <w:rsid w:val="0039566E"/>
    <w:rsid w:val="00395A74"/>
    <w:rsid w:val="00395C1E"/>
    <w:rsid w:val="00397014"/>
    <w:rsid w:val="003970D4"/>
    <w:rsid w:val="00397C25"/>
    <w:rsid w:val="003A18B4"/>
    <w:rsid w:val="003A1C10"/>
    <w:rsid w:val="003A1E28"/>
    <w:rsid w:val="003A2782"/>
    <w:rsid w:val="003A31FA"/>
    <w:rsid w:val="003A354D"/>
    <w:rsid w:val="003A37FA"/>
    <w:rsid w:val="003A3ACC"/>
    <w:rsid w:val="003A3D00"/>
    <w:rsid w:val="003A417D"/>
    <w:rsid w:val="003A4275"/>
    <w:rsid w:val="003A4D0E"/>
    <w:rsid w:val="003A52AF"/>
    <w:rsid w:val="003A547D"/>
    <w:rsid w:val="003A5956"/>
    <w:rsid w:val="003A60FA"/>
    <w:rsid w:val="003A6355"/>
    <w:rsid w:val="003A641E"/>
    <w:rsid w:val="003A64F3"/>
    <w:rsid w:val="003A6A61"/>
    <w:rsid w:val="003A729E"/>
    <w:rsid w:val="003A7324"/>
    <w:rsid w:val="003A799D"/>
    <w:rsid w:val="003A7B70"/>
    <w:rsid w:val="003A7F65"/>
    <w:rsid w:val="003B0067"/>
    <w:rsid w:val="003B0315"/>
    <w:rsid w:val="003B1D60"/>
    <w:rsid w:val="003B1FF2"/>
    <w:rsid w:val="003B2980"/>
    <w:rsid w:val="003B3EA2"/>
    <w:rsid w:val="003B4650"/>
    <w:rsid w:val="003B465A"/>
    <w:rsid w:val="003B5247"/>
    <w:rsid w:val="003B552F"/>
    <w:rsid w:val="003B555E"/>
    <w:rsid w:val="003B557F"/>
    <w:rsid w:val="003B5DB5"/>
    <w:rsid w:val="003B62C2"/>
    <w:rsid w:val="003B6983"/>
    <w:rsid w:val="003B6A47"/>
    <w:rsid w:val="003B7876"/>
    <w:rsid w:val="003C1EEB"/>
    <w:rsid w:val="003C208C"/>
    <w:rsid w:val="003C24F3"/>
    <w:rsid w:val="003C2FD9"/>
    <w:rsid w:val="003C3666"/>
    <w:rsid w:val="003C368D"/>
    <w:rsid w:val="003C3809"/>
    <w:rsid w:val="003C4FDB"/>
    <w:rsid w:val="003C5445"/>
    <w:rsid w:val="003C617B"/>
    <w:rsid w:val="003C72CC"/>
    <w:rsid w:val="003C7E41"/>
    <w:rsid w:val="003D127A"/>
    <w:rsid w:val="003D1EBD"/>
    <w:rsid w:val="003D3581"/>
    <w:rsid w:val="003D35CA"/>
    <w:rsid w:val="003D3D8D"/>
    <w:rsid w:val="003D480E"/>
    <w:rsid w:val="003D4EF2"/>
    <w:rsid w:val="003D6279"/>
    <w:rsid w:val="003D6BAD"/>
    <w:rsid w:val="003D723D"/>
    <w:rsid w:val="003D790F"/>
    <w:rsid w:val="003E02A2"/>
    <w:rsid w:val="003E1069"/>
    <w:rsid w:val="003E13F9"/>
    <w:rsid w:val="003E183F"/>
    <w:rsid w:val="003E3D97"/>
    <w:rsid w:val="003E4488"/>
    <w:rsid w:val="003E4553"/>
    <w:rsid w:val="003E4B63"/>
    <w:rsid w:val="003E4B8A"/>
    <w:rsid w:val="003E51F9"/>
    <w:rsid w:val="003E54F4"/>
    <w:rsid w:val="003E553B"/>
    <w:rsid w:val="003E6313"/>
    <w:rsid w:val="003E6EEB"/>
    <w:rsid w:val="003E7D14"/>
    <w:rsid w:val="003E7F2B"/>
    <w:rsid w:val="003F05AA"/>
    <w:rsid w:val="003F0724"/>
    <w:rsid w:val="003F183B"/>
    <w:rsid w:val="003F18C7"/>
    <w:rsid w:val="003F1EAD"/>
    <w:rsid w:val="003F26E2"/>
    <w:rsid w:val="003F27EA"/>
    <w:rsid w:val="003F34A8"/>
    <w:rsid w:val="003F34ED"/>
    <w:rsid w:val="003F3BA6"/>
    <w:rsid w:val="003F447C"/>
    <w:rsid w:val="003F4F94"/>
    <w:rsid w:val="003F5AC0"/>
    <w:rsid w:val="003F60AA"/>
    <w:rsid w:val="003F612D"/>
    <w:rsid w:val="003F6390"/>
    <w:rsid w:val="003F6ECD"/>
    <w:rsid w:val="003F72BF"/>
    <w:rsid w:val="003F73FF"/>
    <w:rsid w:val="003F77EB"/>
    <w:rsid w:val="003F787B"/>
    <w:rsid w:val="003F7CD6"/>
    <w:rsid w:val="004001F5"/>
    <w:rsid w:val="00401621"/>
    <w:rsid w:val="004025C0"/>
    <w:rsid w:val="00403165"/>
    <w:rsid w:val="00403F7B"/>
    <w:rsid w:val="0040400D"/>
    <w:rsid w:val="00404093"/>
    <w:rsid w:val="00405A7C"/>
    <w:rsid w:val="00405ECD"/>
    <w:rsid w:val="00406146"/>
    <w:rsid w:val="0040625F"/>
    <w:rsid w:val="00406BAE"/>
    <w:rsid w:val="00406D53"/>
    <w:rsid w:val="00407037"/>
    <w:rsid w:val="00407F98"/>
    <w:rsid w:val="00410649"/>
    <w:rsid w:val="004107E4"/>
    <w:rsid w:val="00410F17"/>
    <w:rsid w:val="0041113A"/>
    <w:rsid w:val="004120D8"/>
    <w:rsid w:val="00412F4C"/>
    <w:rsid w:val="00413436"/>
    <w:rsid w:val="00414499"/>
    <w:rsid w:val="00414891"/>
    <w:rsid w:val="004156E0"/>
    <w:rsid w:val="0041583B"/>
    <w:rsid w:val="00415C30"/>
    <w:rsid w:val="00415D7E"/>
    <w:rsid w:val="00416097"/>
    <w:rsid w:val="004164E6"/>
    <w:rsid w:val="00416E80"/>
    <w:rsid w:val="004173F7"/>
    <w:rsid w:val="00417CC0"/>
    <w:rsid w:val="0042023A"/>
    <w:rsid w:val="0042093D"/>
    <w:rsid w:val="00421B3B"/>
    <w:rsid w:val="004220E2"/>
    <w:rsid w:val="0042214C"/>
    <w:rsid w:val="00422B4B"/>
    <w:rsid w:val="00423DDC"/>
    <w:rsid w:val="00424C5F"/>
    <w:rsid w:val="0042547D"/>
    <w:rsid w:val="00425D9C"/>
    <w:rsid w:val="0042721C"/>
    <w:rsid w:val="00427F2A"/>
    <w:rsid w:val="004314BE"/>
    <w:rsid w:val="004322E1"/>
    <w:rsid w:val="00432712"/>
    <w:rsid w:val="00432D5E"/>
    <w:rsid w:val="00433279"/>
    <w:rsid w:val="0043348A"/>
    <w:rsid w:val="00433A53"/>
    <w:rsid w:val="004341CB"/>
    <w:rsid w:val="004344E7"/>
    <w:rsid w:val="00434A86"/>
    <w:rsid w:val="00434ABC"/>
    <w:rsid w:val="00434B51"/>
    <w:rsid w:val="00434CE2"/>
    <w:rsid w:val="00436919"/>
    <w:rsid w:val="00436FA5"/>
    <w:rsid w:val="00436FFF"/>
    <w:rsid w:val="00437C88"/>
    <w:rsid w:val="00441099"/>
    <w:rsid w:val="00441370"/>
    <w:rsid w:val="0044157E"/>
    <w:rsid w:val="00441A3B"/>
    <w:rsid w:val="00442271"/>
    <w:rsid w:val="00442A66"/>
    <w:rsid w:val="00442AEB"/>
    <w:rsid w:val="00443430"/>
    <w:rsid w:val="004439E7"/>
    <w:rsid w:val="004445C6"/>
    <w:rsid w:val="00444CBC"/>
    <w:rsid w:val="00444EB1"/>
    <w:rsid w:val="0044675E"/>
    <w:rsid w:val="00446BB6"/>
    <w:rsid w:val="0045029B"/>
    <w:rsid w:val="004507A0"/>
    <w:rsid w:val="00450FF2"/>
    <w:rsid w:val="00451D64"/>
    <w:rsid w:val="00451FC3"/>
    <w:rsid w:val="0045243C"/>
    <w:rsid w:val="004528ED"/>
    <w:rsid w:val="00452E09"/>
    <w:rsid w:val="00452F1F"/>
    <w:rsid w:val="00455057"/>
    <w:rsid w:val="00455118"/>
    <w:rsid w:val="00456079"/>
    <w:rsid w:val="004560C1"/>
    <w:rsid w:val="00456F49"/>
    <w:rsid w:val="004577F9"/>
    <w:rsid w:val="00457948"/>
    <w:rsid w:val="00457B35"/>
    <w:rsid w:val="004602CF"/>
    <w:rsid w:val="0046056C"/>
    <w:rsid w:val="0046073A"/>
    <w:rsid w:val="004607DE"/>
    <w:rsid w:val="004613D4"/>
    <w:rsid w:val="0046156E"/>
    <w:rsid w:val="00461944"/>
    <w:rsid w:val="00461F3E"/>
    <w:rsid w:val="00463215"/>
    <w:rsid w:val="00463AE1"/>
    <w:rsid w:val="00463FE3"/>
    <w:rsid w:val="00464C48"/>
    <w:rsid w:val="004657D6"/>
    <w:rsid w:val="00465BD0"/>
    <w:rsid w:val="004662C3"/>
    <w:rsid w:val="00467708"/>
    <w:rsid w:val="004679E5"/>
    <w:rsid w:val="00467B9E"/>
    <w:rsid w:val="0047029F"/>
    <w:rsid w:val="0047144B"/>
    <w:rsid w:val="00471654"/>
    <w:rsid w:val="00472710"/>
    <w:rsid w:val="00472C30"/>
    <w:rsid w:val="00472CD1"/>
    <w:rsid w:val="00472E3A"/>
    <w:rsid w:val="00473FEF"/>
    <w:rsid w:val="00474261"/>
    <w:rsid w:val="0047490E"/>
    <w:rsid w:val="00474A90"/>
    <w:rsid w:val="00474F54"/>
    <w:rsid w:val="004751EA"/>
    <w:rsid w:val="0047539C"/>
    <w:rsid w:val="0047559F"/>
    <w:rsid w:val="004761C6"/>
    <w:rsid w:val="00476469"/>
    <w:rsid w:val="00476E75"/>
    <w:rsid w:val="00476F9F"/>
    <w:rsid w:val="00477ACD"/>
    <w:rsid w:val="00482344"/>
    <w:rsid w:val="004827B9"/>
    <w:rsid w:val="00482C10"/>
    <w:rsid w:val="00482C66"/>
    <w:rsid w:val="00482D1E"/>
    <w:rsid w:val="004831C4"/>
    <w:rsid w:val="0048339E"/>
    <w:rsid w:val="00484164"/>
    <w:rsid w:val="0048421A"/>
    <w:rsid w:val="004843E0"/>
    <w:rsid w:val="00484A8F"/>
    <w:rsid w:val="00484C81"/>
    <w:rsid w:val="00485F72"/>
    <w:rsid w:val="00487938"/>
    <w:rsid w:val="00490FAB"/>
    <w:rsid w:val="004910FD"/>
    <w:rsid w:val="00491278"/>
    <w:rsid w:val="00491B57"/>
    <w:rsid w:val="00491CCB"/>
    <w:rsid w:val="00492288"/>
    <w:rsid w:val="00492F1E"/>
    <w:rsid w:val="0049387B"/>
    <w:rsid w:val="00494232"/>
    <w:rsid w:val="00494B6B"/>
    <w:rsid w:val="00495C9F"/>
    <w:rsid w:val="00495FC2"/>
    <w:rsid w:val="00497803"/>
    <w:rsid w:val="004A0352"/>
    <w:rsid w:val="004A139C"/>
    <w:rsid w:val="004A230F"/>
    <w:rsid w:val="004A27CA"/>
    <w:rsid w:val="004A2F34"/>
    <w:rsid w:val="004A2FF8"/>
    <w:rsid w:val="004A33E8"/>
    <w:rsid w:val="004A3CCC"/>
    <w:rsid w:val="004A430C"/>
    <w:rsid w:val="004A4BD8"/>
    <w:rsid w:val="004A5F7E"/>
    <w:rsid w:val="004A6017"/>
    <w:rsid w:val="004A6679"/>
    <w:rsid w:val="004A7DA2"/>
    <w:rsid w:val="004A7DFC"/>
    <w:rsid w:val="004B0296"/>
    <w:rsid w:val="004B0CDB"/>
    <w:rsid w:val="004B22D7"/>
    <w:rsid w:val="004B289C"/>
    <w:rsid w:val="004B2B03"/>
    <w:rsid w:val="004B2C92"/>
    <w:rsid w:val="004B2CF3"/>
    <w:rsid w:val="004B3727"/>
    <w:rsid w:val="004B377A"/>
    <w:rsid w:val="004B37CD"/>
    <w:rsid w:val="004B37ED"/>
    <w:rsid w:val="004B3B07"/>
    <w:rsid w:val="004B3EA8"/>
    <w:rsid w:val="004B40C9"/>
    <w:rsid w:val="004B50E2"/>
    <w:rsid w:val="004B57D7"/>
    <w:rsid w:val="004B6A54"/>
    <w:rsid w:val="004B74B4"/>
    <w:rsid w:val="004C06B3"/>
    <w:rsid w:val="004C07FA"/>
    <w:rsid w:val="004C1D88"/>
    <w:rsid w:val="004C2578"/>
    <w:rsid w:val="004C2822"/>
    <w:rsid w:val="004C2F3A"/>
    <w:rsid w:val="004C374B"/>
    <w:rsid w:val="004C4AD5"/>
    <w:rsid w:val="004C5166"/>
    <w:rsid w:val="004C5A1E"/>
    <w:rsid w:val="004C5BA3"/>
    <w:rsid w:val="004C7486"/>
    <w:rsid w:val="004C76B1"/>
    <w:rsid w:val="004C7930"/>
    <w:rsid w:val="004D0CF4"/>
    <w:rsid w:val="004D0D04"/>
    <w:rsid w:val="004D163D"/>
    <w:rsid w:val="004D219C"/>
    <w:rsid w:val="004D240F"/>
    <w:rsid w:val="004D252C"/>
    <w:rsid w:val="004D3119"/>
    <w:rsid w:val="004D33D8"/>
    <w:rsid w:val="004D3D8F"/>
    <w:rsid w:val="004D4ED4"/>
    <w:rsid w:val="004D4F0D"/>
    <w:rsid w:val="004D512B"/>
    <w:rsid w:val="004D5484"/>
    <w:rsid w:val="004D548D"/>
    <w:rsid w:val="004D5E02"/>
    <w:rsid w:val="004D6855"/>
    <w:rsid w:val="004D6CC6"/>
    <w:rsid w:val="004D7790"/>
    <w:rsid w:val="004D7B58"/>
    <w:rsid w:val="004D7D26"/>
    <w:rsid w:val="004E13C4"/>
    <w:rsid w:val="004E16B5"/>
    <w:rsid w:val="004E18E6"/>
    <w:rsid w:val="004E1D7F"/>
    <w:rsid w:val="004E2B58"/>
    <w:rsid w:val="004E3457"/>
    <w:rsid w:val="004E3847"/>
    <w:rsid w:val="004E3903"/>
    <w:rsid w:val="004E58EB"/>
    <w:rsid w:val="004E5CC0"/>
    <w:rsid w:val="004E633E"/>
    <w:rsid w:val="004E6700"/>
    <w:rsid w:val="004E702F"/>
    <w:rsid w:val="004E734F"/>
    <w:rsid w:val="004E77E4"/>
    <w:rsid w:val="004F0F70"/>
    <w:rsid w:val="004F1AC8"/>
    <w:rsid w:val="004F1C2A"/>
    <w:rsid w:val="004F27FF"/>
    <w:rsid w:val="004F2D46"/>
    <w:rsid w:val="004F312B"/>
    <w:rsid w:val="004F360F"/>
    <w:rsid w:val="004F46D7"/>
    <w:rsid w:val="004F5AEB"/>
    <w:rsid w:val="004F5D92"/>
    <w:rsid w:val="004F6221"/>
    <w:rsid w:val="004F71CF"/>
    <w:rsid w:val="004F78D0"/>
    <w:rsid w:val="00500251"/>
    <w:rsid w:val="0050025C"/>
    <w:rsid w:val="00500389"/>
    <w:rsid w:val="00500D76"/>
    <w:rsid w:val="005011B2"/>
    <w:rsid w:val="00502CEA"/>
    <w:rsid w:val="005031BE"/>
    <w:rsid w:val="0050395E"/>
    <w:rsid w:val="00503BDE"/>
    <w:rsid w:val="00504B0D"/>
    <w:rsid w:val="0050620D"/>
    <w:rsid w:val="005067B7"/>
    <w:rsid w:val="00507DF1"/>
    <w:rsid w:val="0051104E"/>
    <w:rsid w:val="005110D5"/>
    <w:rsid w:val="00511237"/>
    <w:rsid w:val="00511830"/>
    <w:rsid w:val="0051196A"/>
    <w:rsid w:val="00511E29"/>
    <w:rsid w:val="00511EC5"/>
    <w:rsid w:val="00511FAA"/>
    <w:rsid w:val="005131DD"/>
    <w:rsid w:val="00513513"/>
    <w:rsid w:val="00513A92"/>
    <w:rsid w:val="00513B0F"/>
    <w:rsid w:val="005140F1"/>
    <w:rsid w:val="00514C3A"/>
    <w:rsid w:val="00514F61"/>
    <w:rsid w:val="00515C2A"/>
    <w:rsid w:val="00516692"/>
    <w:rsid w:val="00516C6A"/>
    <w:rsid w:val="00516F79"/>
    <w:rsid w:val="005171B0"/>
    <w:rsid w:val="005172E5"/>
    <w:rsid w:val="00517378"/>
    <w:rsid w:val="0051782B"/>
    <w:rsid w:val="00517E94"/>
    <w:rsid w:val="00517EB3"/>
    <w:rsid w:val="00522D0F"/>
    <w:rsid w:val="00523904"/>
    <w:rsid w:val="00523B40"/>
    <w:rsid w:val="00523F4E"/>
    <w:rsid w:val="00524348"/>
    <w:rsid w:val="0052441D"/>
    <w:rsid w:val="005249C7"/>
    <w:rsid w:val="005249DD"/>
    <w:rsid w:val="00527818"/>
    <w:rsid w:val="0053010B"/>
    <w:rsid w:val="00530117"/>
    <w:rsid w:val="005301D9"/>
    <w:rsid w:val="005305A5"/>
    <w:rsid w:val="00530DDA"/>
    <w:rsid w:val="00531D03"/>
    <w:rsid w:val="00531DCD"/>
    <w:rsid w:val="00531F09"/>
    <w:rsid w:val="005323C7"/>
    <w:rsid w:val="0053260E"/>
    <w:rsid w:val="0053298D"/>
    <w:rsid w:val="00532D94"/>
    <w:rsid w:val="00532E51"/>
    <w:rsid w:val="00533323"/>
    <w:rsid w:val="0053369E"/>
    <w:rsid w:val="00533DFA"/>
    <w:rsid w:val="00533ECF"/>
    <w:rsid w:val="00533F0D"/>
    <w:rsid w:val="00534C00"/>
    <w:rsid w:val="0053522B"/>
    <w:rsid w:val="00535461"/>
    <w:rsid w:val="00535746"/>
    <w:rsid w:val="00535C23"/>
    <w:rsid w:val="00536D72"/>
    <w:rsid w:val="00536EDA"/>
    <w:rsid w:val="0053721E"/>
    <w:rsid w:val="00541074"/>
    <w:rsid w:val="00542C8F"/>
    <w:rsid w:val="00542DFD"/>
    <w:rsid w:val="00542E09"/>
    <w:rsid w:val="00542E43"/>
    <w:rsid w:val="0054326D"/>
    <w:rsid w:val="00543580"/>
    <w:rsid w:val="0054368D"/>
    <w:rsid w:val="0054381E"/>
    <w:rsid w:val="00543E8B"/>
    <w:rsid w:val="0054459C"/>
    <w:rsid w:val="00544ACF"/>
    <w:rsid w:val="0054656F"/>
    <w:rsid w:val="00546B57"/>
    <w:rsid w:val="00546EFE"/>
    <w:rsid w:val="00547C2A"/>
    <w:rsid w:val="00550545"/>
    <w:rsid w:val="005506F2"/>
    <w:rsid w:val="00550965"/>
    <w:rsid w:val="0055099F"/>
    <w:rsid w:val="00550CD8"/>
    <w:rsid w:val="005510F0"/>
    <w:rsid w:val="005512A8"/>
    <w:rsid w:val="00551C83"/>
    <w:rsid w:val="00552B62"/>
    <w:rsid w:val="00552E34"/>
    <w:rsid w:val="00553C72"/>
    <w:rsid w:val="00553F58"/>
    <w:rsid w:val="00554414"/>
    <w:rsid w:val="005552E2"/>
    <w:rsid w:val="00556707"/>
    <w:rsid w:val="00556990"/>
    <w:rsid w:val="00556DA2"/>
    <w:rsid w:val="00556EAE"/>
    <w:rsid w:val="005576CA"/>
    <w:rsid w:val="00557BB4"/>
    <w:rsid w:val="00557EB9"/>
    <w:rsid w:val="00560118"/>
    <w:rsid w:val="005607EF"/>
    <w:rsid w:val="0056081D"/>
    <w:rsid w:val="00560FC1"/>
    <w:rsid w:val="00561774"/>
    <w:rsid w:val="005619ED"/>
    <w:rsid w:val="00562165"/>
    <w:rsid w:val="00562691"/>
    <w:rsid w:val="00562B71"/>
    <w:rsid w:val="00562BC2"/>
    <w:rsid w:val="00562E02"/>
    <w:rsid w:val="005637C9"/>
    <w:rsid w:val="00563A3E"/>
    <w:rsid w:val="00563CA5"/>
    <w:rsid w:val="00563FCA"/>
    <w:rsid w:val="00564667"/>
    <w:rsid w:val="00564819"/>
    <w:rsid w:val="005649B7"/>
    <w:rsid w:val="00566605"/>
    <w:rsid w:val="00567385"/>
    <w:rsid w:val="0056750B"/>
    <w:rsid w:val="00567E96"/>
    <w:rsid w:val="005720D8"/>
    <w:rsid w:val="005726A5"/>
    <w:rsid w:val="005727F6"/>
    <w:rsid w:val="00572F9C"/>
    <w:rsid w:val="00573073"/>
    <w:rsid w:val="00573415"/>
    <w:rsid w:val="00574048"/>
    <w:rsid w:val="00574369"/>
    <w:rsid w:val="00574A6B"/>
    <w:rsid w:val="00574C48"/>
    <w:rsid w:val="0057565C"/>
    <w:rsid w:val="00575FD9"/>
    <w:rsid w:val="00576748"/>
    <w:rsid w:val="005767C5"/>
    <w:rsid w:val="005774AA"/>
    <w:rsid w:val="0057761B"/>
    <w:rsid w:val="00580854"/>
    <w:rsid w:val="005809C7"/>
    <w:rsid w:val="00581436"/>
    <w:rsid w:val="00581B79"/>
    <w:rsid w:val="00581EB4"/>
    <w:rsid w:val="005824D6"/>
    <w:rsid w:val="00582784"/>
    <w:rsid w:val="00583AFD"/>
    <w:rsid w:val="00583E00"/>
    <w:rsid w:val="0058424C"/>
    <w:rsid w:val="005844EA"/>
    <w:rsid w:val="0058452E"/>
    <w:rsid w:val="0058546E"/>
    <w:rsid w:val="005854B8"/>
    <w:rsid w:val="0058584C"/>
    <w:rsid w:val="00586521"/>
    <w:rsid w:val="005873EF"/>
    <w:rsid w:val="00587509"/>
    <w:rsid w:val="005876B9"/>
    <w:rsid w:val="005902EC"/>
    <w:rsid w:val="00591768"/>
    <w:rsid w:val="00592591"/>
    <w:rsid w:val="00592663"/>
    <w:rsid w:val="00592736"/>
    <w:rsid w:val="00592D39"/>
    <w:rsid w:val="005931C0"/>
    <w:rsid w:val="0059410F"/>
    <w:rsid w:val="005945BA"/>
    <w:rsid w:val="005949D1"/>
    <w:rsid w:val="00594DF1"/>
    <w:rsid w:val="00596EDA"/>
    <w:rsid w:val="00597491"/>
    <w:rsid w:val="005978F6"/>
    <w:rsid w:val="00597AC0"/>
    <w:rsid w:val="005A0390"/>
    <w:rsid w:val="005A0563"/>
    <w:rsid w:val="005A1083"/>
    <w:rsid w:val="005A12C5"/>
    <w:rsid w:val="005A1DEE"/>
    <w:rsid w:val="005A24E1"/>
    <w:rsid w:val="005A3369"/>
    <w:rsid w:val="005A4214"/>
    <w:rsid w:val="005A6763"/>
    <w:rsid w:val="005A676F"/>
    <w:rsid w:val="005A6D33"/>
    <w:rsid w:val="005A6E47"/>
    <w:rsid w:val="005A6E6D"/>
    <w:rsid w:val="005A7348"/>
    <w:rsid w:val="005A76D4"/>
    <w:rsid w:val="005A788E"/>
    <w:rsid w:val="005B016E"/>
    <w:rsid w:val="005B06D4"/>
    <w:rsid w:val="005B0835"/>
    <w:rsid w:val="005B10DC"/>
    <w:rsid w:val="005B167D"/>
    <w:rsid w:val="005B2293"/>
    <w:rsid w:val="005B2D3B"/>
    <w:rsid w:val="005B3324"/>
    <w:rsid w:val="005B3A73"/>
    <w:rsid w:val="005B3DF9"/>
    <w:rsid w:val="005B3EB4"/>
    <w:rsid w:val="005B4197"/>
    <w:rsid w:val="005B479D"/>
    <w:rsid w:val="005B496E"/>
    <w:rsid w:val="005B539F"/>
    <w:rsid w:val="005B6702"/>
    <w:rsid w:val="005B6B3B"/>
    <w:rsid w:val="005B70A0"/>
    <w:rsid w:val="005B73AA"/>
    <w:rsid w:val="005B75C4"/>
    <w:rsid w:val="005B7992"/>
    <w:rsid w:val="005C0182"/>
    <w:rsid w:val="005C05A1"/>
    <w:rsid w:val="005C0703"/>
    <w:rsid w:val="005C0EEB"/>
    <w:rsid w:val="005C16B3"/>
    <w:rsid w:val="005C17AA"/>
    <w:rsid w:val="005C1870"/>
    <w:rsid w:val="005C19F2"/>
    <w:rsid w:val="005C224C"/>
    <w:rsid w:val="005C294B"/>
    <w:rsid w:val="005C2C44"/>
    <w:rsid w:val="005C3463"/>
    <w:rsid w:val="005C3569"/>
    <w:rsid w:val="005C3E12"/>
    <w:rsid w:val="005C4FEA"/>
    <w:rsid w:val="005C5FF6"/>
    <w:rsid w:val="005C66E4"/>
    <w:rsid w:val="005C6DB7"/>
    <w:rsid w:val="005C6E08"/>
    <w:rsid w:val="005C6F14"/>
    <w:rsid w:val="005C6F36"/>
    <w:rsid w:val="005D0DAD"/>
    <w:rsid w:val="005D1718"/>
    <w:rsid w:val="005D1BEE"/>
    <w:rsid w:val="005D1D58"/>
    <w:rsid w:val="005D336B"/>
    <w:rsid w:val="005D3CA5"/>
    <w:rsid w:val="005D3CE0"/>
    <w:rsid w:val="005D59BC"/>
    <w:rsid w:val="005D5E24"/>
    <w:rsid w:val="005D6123"/>
    <w:rsid w:val="005D61A9"/>
    <w:rsid w:val="005D6331"/>
    <w:rsid w:val="005D641B"/>
    <w:rsid w:val="005D74AF"/>
    <w:rsid w:val="005D7624"/>
    <w:rsid w:val="005E144F"/>
    <w:rsid w:val="005E2214"/>
    <w:rsid w:val="005E2511"/>
    <w:rsid w:val="005E2EC3"/>
    <w:rsid w:val="005E30FD"/>
    <w:rsid w:val="005E39C5"/>
    <w:rsid w:val="005E3B79"/>
    <w:rsid w:val="005E41D0"/>
    <w:rsid w:val="005E425E"/>
    <w:rsid w:val="005E46DD"/>
    <w:rsid w:val="005E5224"/>
    <w:rsid w:val="005E6221"/>
    <w:rsid w:val="005E6FA4"/>
    <w:rsid w:val="005E7008"/>
    <w:rsid w:val="005E7E26"/>
    <w:rsid w:val="005F19CB"/>
    <w:rsid w:val="005F2269"/>
    <w:rsid w:val="005F2A74"/>
    <w:rsid w:val="005F37A6"/>
    <w:rsid w:val="005F3C2A"/>
    <w:rsid w:val="005F3DD8"/>
    <w:rsid w:val="005F4170"/>
    <w:rsid w:val="005F46A2"/>
    <w:rsid w:val="005F4735"/>
    <w:rsid w:val="005F4F9D"/>
    <w:rsid w:val="005F5688"/>
    <w:rsid w:val="005F5D1B"/>
    <w:rsid w:val="005F663A"/>
    <w:rsid w:val="005F7771"/>
    <w:rsid w:val="005F778E"/>
    <w:rsid w:val="005F7A6C"/>
    <w:rsid w:val="006003B0"/>
    <w:rsid w:val="0060061D"/>
    <w:rsid w:val="00601952"/>
    <w:rsid w:val="0060227A"/>
    <w:rsid w:val="006022BE"/>
    <w:rsid w:val="0060267E"/>
    <w:rsid w:val="0060329A"/>
    <w:rsid w:val="00604BD1"/>
    <w:rsid w:val="00604D3D"/>
    <w:rsid w:val="006053B1"/>
    <w:rsid w:val="00605D32"/>
    <w:rsid w:val="006064D1"/>
    <w:rsid w:val="00606904"/>
    <w:rsid w:val="00606D22"/>
    <w:rsid w:val="006070C7"/>
    <w:rsid w:val="00607B9E"/>
    <w:rsid w:val="00607C30"/>
    <w:rsid w:val="00607FC8"/>
    <w:rsid w:val="00610086"/>
    <w:rsid w:val="00610259"/>
    <w:rsid w:val="006106DD"/>
    <w:rsid w:val="0061077B"/>
    <w:rsid w:val="00611216"/>
    <w:rsid w:val="006117B8"/>
    <w:rsid w:val="00612341"/>
    <w:rsid w:val="006124E4"/>
    <w:rsid w:val="00612F66"/>
    <w:rsid w:val="00613493"/>
    <w:rsid w:val="00615C63"/>
    <w:rsid w:val="006161AF"/>
    <w:rsid w:val="006165D9"/>
    <w:rsid w:val="00616E30"/>
    <w:rsid w:val="0061739E"/>
    <w:rsid w:val="00617B06"/>
    <w:rsid w:val="00617F43"/>
    <w:rsid w:val="00620FA8"/>
    <w:rsid w:val="006214AD"/>
    <w:rsid w:val="00621CA0"/>
    <w:rsid w:val="00621F33"/>
    <w:rsid w:val="00622680"/>
    <w:rsid w:val="0062288D"/>
    <w:rsid w:val="0062317D"/>
    <w:rsid w:val="006231D8"/>
    <w:rsid w:val="0062395E"/>
    <w:rsid w:val="00623B1F"/>
    <w:rsid w:val="00623D69"/>
    <w:rsid w:val="006240E4"/>
    <w:rsid w:val="00625B44"/>
    <w:rsid w:val="00625EC4"/>
    <w:rsid w:val="00626F9E"/>
    <w:rsid w:val="00627282"/>
    <w:rsid w:val="00630157"/>
    <w:rsid w:val="006302D2"/>
    <w:rsid w:val="00630585"/>
    <w:rsid w:val="006309B2"/>
    <w:rsid w:val="00630E9B"/>
    <w:rsid w:val="00631478"/>
    <w:rsid w:val="00631C9B"/>
    <w:rsid w:val="00632C1F"/>
    <w:rsid w:val="00632F6E"/>
    <w:rsid w:val="0063320B"/>
    <w:rsid w:val="006332C2"/>
    <w:rsid w:val="006336B1"/>
    <w:rsid w:val="006338DC"/>
    <w:rsid w:val="0063395A"/>
    <w:rsid w:val="0063399A"/>
    <w:rsid w:val="00633C8F"/>
    <w:rsid w:val="006353A6"/>
    <w:rsid w:val="006357A4"/>
    <w:rsid w:val="006365FB"/>
    <w:rsid w:val="00636DA5"/>
    <w:rsid w:val="0063751A"/>
    <w:rsid w:val="006376DF"/>
    <w:rsid w:val="00637B10"/>
    <w:rsid w:val="00640985"/>
    <w:rsid w:val="006410A0"/>
    <w:rsid w:val="006415F8"/>
    <w:rsid w:val="00641FC3"/>
    <w:rsid w:val="00642012"/>
    <w:rsid w:val="006427D9"/>
    <w:rsid w:val="00643AEB"/>
    <w:rsid w:val="00643C3B"/>
    <w:rsid w:val="00644774"/>
    <w:rsid w:val="00644AAE"/>
    <w:rsid w:val="00645931"/>
    <w:rsid w:val="00645B60"/>
    <w:rsid w:val="006464A0"/>
    <w:rsid w:val="00646593"/>
    <w:rsid w:val="00646C5B"/>
    <w:rsid w:val="0064755F"/>
    <w:rsid w:val="00647D30"/>
    <w:rsid w:val="0065127A"/>
    <w:rsid w:val="006515E9"/>
    <w:rsid w:val="0065198C"/>
    <w:rsid w:val="00651E80"/>
    <w:rsid w:val="006525B7"/>
    <w:rsid w:val="00652CAB"/>
    <w:rsid w:val="00652F55"/>
    <w:rsid w:val="00653676"/>
    <w:rsid w:val="00654D4C"/>
    <w:rsid w:val="00654E59"/>
    <w:rsid w:val="0065546D"/>
    <w:rsid w:val="00655BB0"/>
    <w:rsid w:val="00656345"/>
    <w:rsid w:val="006563D6"/>
    <w:rsid w:val="00656649"/>
    <w:rsid w:val="006569E3"/>
    <w:rsid w:val="00656E48"/>
    <w:rsid w:val="00656FAD"/>
    <w:rsid w:val="0065704D"/>
    <w:rsid w:val="006570E7"/>
    <w:rsid w:val="0065744D"/>
    <w:rsid w:val="0065747A"/>
    <w:rsid w:val="00657A09"/>
    <w:rsid w:val="00660430"/>
    <w:rsid w:val="00660512"/>
    <w:rsid w:val="006607AD"/>
    <w:rsid w:val="006608D7"/>
    <w:rsid w:val="006608F2"/>
    <w:rsid w:val="00660A85"/>
    <w:rsid w:val="00660C3D"/>
    <w:rsid w:val="00660C96"/>
    <w:rsid w:val="006611E2"/>
    <w:rsid w:val="00661D48"/>
    <w:rsid w:val="0066320E"/>
    <w:rsid w:val="0066321F"/>
    <w:rsid w:val="00664303"/>
    <w:rsid w:val="00664B88"/>
    <w:rsid w:val="00665975"/>
    <w:rsid w:val="00665B42"/>
    <w:rsid w:val="00667EA7"/>
    <w:rsid w:val="0067014F"/>
    <w:rsid w:val="00670351"/>
    <w:rsid w:val="00671803"/>
    <w:rsid w:val="00671FF3"/>
    <w:rsid w:val="0067227D"/>
    <w:rsid w:val="00672B9A"/>
    <w:rsid w:val="00673331"/>
    <w:rsid w:val="006733FC"/>
    <w:rsid w:val="006734AB"/>
    <w:rsid w:val="0067372B"/>
    <w:rsid w:val="00673C55"/>
    <w:rsid w:val="006740F3"/>
    <w:rsid w:val="006748A3"/>
    <w:rsid w:val="00674E27"/>
    <w:rsid w:val="00677428"/>
    <w:rsid w:val="0067751D"/>
    <w:rsid w:val="00677BE4"/>
    <w:rsid w:val="0068055F"/>
    <w:rsid w:val="006811CC"/>
    <w:rsid w:val="00681DEC"/>
    <w:rsid w:val="00682DA9"/>
    <w:rsid w:val="006832A5"/>
    <w:rsid w:val="006838BF"/>
    <w:rsid w:val="00683C6C"/>
    <w:rsid w:val="0068566E"/>
    <w:rsid w:val="00687227"/>
    <w:rsid w:val="00687FE2"/>
    <w:rsid w:val="00690D04"/>
    <w:rsid w:val="00690D49"/>
    <w:rsid w:val="006916ED"/>
    <w:rsid w:val="006917BC"/>
    <w:rsid w:val="00691B76"/>
    <w:rsid w:val="00692344"/>
    <w:rsid w:val="00692537"/>
    <w:rsid w:val="006933E8"/>
    <w:rsid w:val="0069394D"/>
    <w:rsid w:val="00693978"/>
    <w:rsid w:val="00693F64"/>
    <w:rsid w:val="00693F74"/>
    <w:rsid w:val="00693F84"/>
    <w:rsid w:val="0069415D"/>
    <w:rsid w:val="0069532D"/>
    <w:rsid w:val="00695DEC"/>
    <w:rsid w:val="006965BF"/>
    <w:rsid w:val="00696911"/>
    <w:rsid w:val="00696C8C"/>
    <w:rsid w:val="0069738E"/>
    <w:rsid w:val="00697E56"/>
    <w:rsid w:val="006A0E37"/>
    <w:rsid w:val="006A0E87"/>
    <w:rsid w:val="006A0FB3"/>
    <w:rsid w:val="006A2F4A"/>
    <w:rsid w:val="006A4E49"/>
    <w:rsid w:val="006A5038"/>
    <w:rsid w:val="006A7060"/>
    <w:rsid w:val="006A716D"/>
    <w:rsid w:val="006A7595"/>
    <w:rsid w:val="006B05EA"/>
    <w:rsid w:val="006B07B1"/>
    <w:rsid w:val="006B0D54"/>
    <w:rsid w:val="006B0F52"/>
    <w:rsid w:val="006B1680"/>
    <w:rsid w:val="006B1DCE"/>
    <w:rsid w:val="006B21A9"/>
    <w:rsid w:val="006B259B"/>
    <w:rsid w:val="006B25C8"/>
    <w:rsid w:val="006B2A28"/>
    <w:rsid w:val="006B3122"/>
    <w:rsid w:val="006B4132"/>
    <w:rsid w:val="006B458B"/>
    <w:rsid w:val="006B4925"/>
    <w:rsid w:val="006B4973"/>
    <w:rsid w:val="006B4E84"/>
    <w:rsid w:val="006B5999"/>
    <w:rsid w:val="006B5BED"/>
    <w:rsid w:val="006B626C"/>
    <w:rsid w:val="006B7D3A"/>
    <w:rsid w:val="006C00CC"/>
    <w:rsid w:val="006C0833"/>
    <w:rsid w:val="006C0C5A"/>
    <w:rsid w:val="006C1373"/>
    <w:rsid w:val="006C178D"/>
    <w:rsid w:val="006C1811"/>
    <w:rsid w:val="006C188C"/>
    <w:rsid w:val="006C1E83"/>
    <w:rsid w:val="006C1F57"/>
    <w:rsid w:val="006C286E"/>
    <w:rsid w:val="006C3582"/>
    <w:rsid w:val="006C424C"/>
    <w:rsid w:val="006C5356"/>
    <w:rsid w:val="006C5C75"/>
    <w:rsid w:val="006C622D"/>
    <w:rsid w:val="006C66D0"/>
    <w:rsid w:val="006C6D42"/>
    <w:rsid w:val="006C747C"/>
    <w:rsid w:val="006D068B"/>
    <w:rsid w:val="006D0862"/>
    <w:rsid w:val="006D0874"/>
    <w:rsid w:val="006D0A89"/>
    <w:rsid w:val="006D0B07"/>
    <w:rsid w:val="006D0F63"/>
    <w:rsid w:val="006D0F6C"/>
    <w:rsid w:val="006D0FFD"/>
    <w:rsid w:val="006D1AE3"/>
    <w:rsid w:val="006D21F0"/>
    <w:rsid w:val="006D2227"/>
    <w:rsid w:val="006D2309"/>
    <w:rsid w:val="006D2BB5"/>
    <w:rsid w:val="006D339E"/>
    <w:rsid w:val="006D3568"/>
    <w:rsid w:val="006D3809"/>
    <w:rsid w:val="006D3A9F"/>
    <w:rsid w:val="006D3AD6"/>
    <w:rsid w:val="006D3EC3"/>
    <w:rsid w:val="006D410D"/>
    <w:rsid w:val="006D48BA"/>
    <w:rsid w:val="006D4A76"/>
    <w:rsid w:val="006D5597"/>
    <w:rsid w:val="006D579B"/>
    <w:rsid w:val="006D62AA"/>
    <w:rsid w:val="006D740F"/>
    <w:rsid w:val="006D7A7A"/>
    <w:rsid w:val="006E055C"/>
    <w:rsid w:val="006E06D2"/>
    <w:rsid w:val="006E0BC0"/>
    <w:rsid w:val="006E1005"/>
    <w:rsid w:val="006E1CD0"/>
    <w:rsid w:val="006E24FE"/>
    <w:rsid w:val="006E3E61"/>
    <w:rsid w:val="006E4A72"/>
    <w:rsid w:val="006E4C66"/>
    <w:rsid w:val="006E5A09"/>
    <w:rsid w:val="006E5CFF"/>
    <w:rsid w:val="006E6712"/>
    <w:rsid w:val="006E6715"/>
    <w:rsid w:val="006E70A3"/>
    <w:rsid w:val="006E715D"/>
    <w:rsid w:val="006F0AA0"/>
    <w:rsid w:val="006F113A"/>
    <w:rsid w:val="006F1706"/>
    <w:rsid w:val="006F2108"/>
    <w:rsid w:val="006F2BB8"/>
    <w:rsid w:val="006F2E56"/>
    <w:rsid w:val="006F3538"/>
    <w:rsid w:val="006F3A09"/>
    <w:rsid w:val="006F476F"/>
    <w:rsid w:val="006F47B8"/>
    <w:rsid w:val="006F50AD"/>
    <w:rsid w:val="006F5884"/>
    <w:rsid w:val="006F5896"/>
    <w:rsid w:val="006F5DA2"/>
    <w:rsid w:val="006F5EF2"/>
    <w:rsid w:val="006F6949"/>
    <w:rsid w:val="006F6C39"/>
    <w:rsid w:val="006F70C7"/>
    <w:rsid w:val="006F7885"/>
    <w:rsid w:val="006F7FA0"/>
    <w:rsid w:val="0070038F"/>
    <w:rsid w:val="00700B92"/>
    <w:rsid w:val="007016EE"/>
    <w:rsid w:val="0070173C"/>
    <w:rsid w:val="00701870"/>
    <w:rsid w:val="00701AB8"/>
    <w:rsid w:val="00702170"/>
    <w:rsid w:val="007024F8"/>
    <w:rsid w:val="00705B77"/>
    <w:rsid w:val="0070604B"/>
    <w:rsid w:val="007061D1"/>
    <w:rsid w:val="007065A0"/>
    <w:rsid w:val="007068E0"/>
    <w:rsid w:val="00706DF7"/>
    <w:rsid w:val="0070754A"/>
    <w:rsid w:val="00707D38"/>
    <w:rsid w:val="007103E6"/>
    <w:rsid w:val="007108E2"/>
    <w:rsid w:val="00710CA6"/>
    <w:rsid w:val="00711C93"/>
    <w:rsid w:val="00711FA8"/>
    <w:rsid w:val="007120ED"/>
    <w:rsid w:val="00713640"/>
    <w:rsid w:val="00713AD2"/>
    <w:rsid w:val="0071427B"/>
    <w:rsid w:val="007153E9"/>
    <w:rsid w:val="00715440"/>
    <w:rsid w:val="007154E0"/>
    <w:rsid w:val="00716FFC"/>
    <w:rsid w:val="00717314"/>
    <w:rsid w:val="0072191F"/>
    <w:rsid w:val="00721995"/>
    <w:rsid w:val="00721C49"/>
    <w:rsid w:val="00724171"/>
    <w:rsid w:val="00724959"/>
    <w:rsid w:val="0072523C"/>
    <w:rsid w:val="0072584C"/>
    <w:rsid w:val="007271F9"/>
    <w:rsid w:val="007276E6"/>
    <w:rsid w:val="0072784C"/>
    <w:rsid w:val="00727E01"/>
    <w:rsid w:val="00731DCD"/>
    <w:rsid w:val="00732628"/>
    <w:rsid w:val="00732E12"/>
    <w:rsid w:val="007331B0"/>
    <w:rsid w:val="00733C55"/>
    <w:rsid w:val="00734C9D"/>
    <w:rsid w:val="00734CC0"/>
    <w:rsid w:val="00735239"/>
    <w:rsid w:val="007355E3"/>
    <w:rsid w:val="007359CC"/>
    <w:rsid w:val="00735ABB"/>
    <w:rsid w:val="007362CB"/>
    <w:rsid w:val="007372F6"/>
    <w:rsid w:val="007374DB"/>
    <w:rsid w:val="00737ED6"/>
    <w:rsid w:val="00740085"/>
    <w:rsid w:val="007412C8"/>
    <w:rsid w:val="007413F0"/>
    <w:rsid w:val="00741AFE"/>
    <w:rsid w:val="00741BED"/>
    <w:rsid w:val="00742B5A"/>
    <w:rsid w:val="00742C1F"/>
    <w:rsid w:val="0074309F"/>
    <w:rsid w:val="007433AF"/>
    <w:rsid w:val="00743A6B"/>
    <w:rsid w:val="00743AA8"/>
    <w:rsid w:val="00743FA1"/>
    <w:rsid w:val="00744042"/>
    <w:rsid w:val="00744046"/>
    <w:rsid w:val="00744494"/>
    <w:rsid w:val="00744A17"/>
    <w:rsid w:val="00744D68"/>
    <w:rsid w:val="00745397"/>
    <w:rsid w:val="00745FF8"/>
    <w:rsid w:val="00746084"/>
    <w:rsid w:val="00746466"/>
    <w:rsid w:val="00746AB9"/>
    <w:rsid w:val="007479DD"/>
    <w:rsid w:val="00747ADF"/>
    <w:rsid w:val="00747D2A"/>
    <w:rsid w:val="00750259"/>
    <w:rsid w:val="0075048D"/>
    <w:rsid w:val="00750B95"/>
    <w:rsid w:val="00750FD4"/>
    <w:rsid w:val="00752039"/>
    <w:rsid w:val="00752D54"/>
    <w:rsid w:val="0075367A"/>
    <w:rsid w:val="00753797"/>
    <w:rsid w:val="007539F0"/>
    <w:rsid w:val="007544EC"/>
    <w:rsid w:val="007544F8"/>
    <w:rsid w:val="007545F0"/>
    <w:rsid w:val="007554D7"/>
    <w:rsid w:val="00755804"/>
    <w:rsid w:val="0075587C"/>
    <w:rsid w:val="00756ED1"/>
    <w:rsid w:val="00757599"/>
    <w:rsid w:val="00757FDC"/>
    <w:rsid w:val="00760213"/>
    <w:rsid w:val="007606F5"/>
    <w:rsid w:val="0076192E"/>
    <w:rsid w:val="007622C3"/>
    <w:rsid w:val="0076289A"/>
    <w:rsid w:val="00762FD3"/>
    <w:rsid w:val="0076318F"/>
    <w:rsid w:val="007632B2"/>
    <w:rsid w:val="00763C76"/>
    <w:rsid w:val="00765682"/>
    <w:rsid w:val="00765A50"/>
    <w:rsid w:val="00766102"/>
    <w:rsid w:val="007664A2"/>
    <w:rsid w:val="007679F5"/>
    <w:rsid w:val="007708B3"/>
    <w:rsid w:val="00770A7F"/>
    <w:rsid w:val="00770B7A"/>
    <w:rsid w:val="00770F86"/>
    <w:rsid w:val="00771783"/>
    <w:rsid w:val="007717F3"/>
    <w:rsid w:val="007719BF"/>
    <w:rsid w:val="007725E4"/>
    <w:rsid w:val="00772CB6"/>
    <w:rsid w:val="0077318E"/>
    <w:rsid w:val="00773F33"/>
    <w:rsid w:val="00774AD9"/>
    <w:rsid w:val="00774E94"/>
    <w:rsid w:val="00774F9C"/>
    <w:rsid w:val="00775161"/>
    <w:rsid w:val="007754B7"/>
    <w:rsid w:val="00776A77"/>
    <w:rsid w:val="00776F44"/>
    <w:rsid w:val="00777ED5"/>
    <w:rsid w:val="0078002E"/>
    <w:rsid w:val="0078073A"/>
    <w:rsid w:val="00780A5E"/>
    <w:rsid w:val="00780D56"/>
    <w:rsid w:val="00780F19"/>
    <w:rsid w:val="0078118A"/>
    <w:rsid w:val="00781196"/>
    <w:rsid w:val="00781789"/>
    <w:rsid w:val="00781862"/>
    <w:rsid w:val="00782335"/>
    <w:rsid w:val="00782419"/>
    <w:rsid w:val="00782D02"/>
    <w:rsid w:val="007847FB"/>
    <w:rsid w:val="007850E5"/>
    <w:rsid w:val="007855EB"/>
    <w:rsid w:val="007859B6"/>
    <w:rsid w:val="00785BC6"/>
    <w:rsid w:val="00786372"/>
    <w:rsid w:val="007863F7"/>
    <w:rsid w:val="007868CE"/>
    <w:rsid w:val="007869F2"/>
    <w:rsid w:val="00791391"/>
    <w:rsid w:val="00792CBD"/>
    <w:rsid w:val="00792D4D"/>
    <w:rsid w:val="007939A3"/>
    <w:rsid w:val="00793A26"/>
    <w:rsid w:val="00795862"/>
    <w:rsid w:val="00797134"/>
    <w:rsid w:val="00797B01"/>
    <w:rsid w:val="007A0192"/>
    <w:rsid w:val="007A18E1"/>
    <w:rsid w:val="007A191F"/>
    <w:rsid w:val="007A1A2B"/>
    <w:rsid w:val="007A1B0C"/>
    <w:rsid w:val="007A1B79"/>
    <w:rsid w:val="007A2D3D"/>
    <w:rsid w:val="007A2EA3"/>
    <w:rsid w:val="007A353F"/>
    <w:rsid w:val="007A38AB"/>
    <w:rsid w:val="007A40D3"/>
    <w:rsid w:val="007A41D2"/>
    <w:rsid w:val="007A465A"/>
    <w:rsid w:val="007A491E"/>
    <w:rsid w:val="007A4DEB"/>
    <w:rsid w:val="007A54FA"/>
    <w:rsid w:val="007A5627"/>
    <w:rsid w:val="007A5FDB"/>
    <w:rsid w:val="007A607B"/>
    <w:rsid w:val="007A6BDF"/>
    <w:rsid w:val="007A735D"/>
    <w:rsid w:val="007A7AD6"/>
    <w:rsid w:val="007A7E91"/>
    <w:rsid w:val="007B014A"/>
    <w:rsid w:val="007B0A78"/>
    <w:rsid w:val="007B3040"/>
    <w:rsid w:val="007B3652"/>
    <w:rsid w:val="007B4147"/>
    <w:rsid w:val="007B43BD"/>
    <w:rsid w:val="007B4A28"/>
    <w:rsid w:val="007B4F2C"/>
    <w:rsid w:val="007B5BBA"/>
    <w:rsid w:val="007B5C36"/>
    <w:rsid w:val="007B5D6A"/>
    <w:rsid w:val="007B67E9"/>
    <w:rsid w:val="007B6828"/>
    <w:rsid w:val="007B6BB3"/>
    <w:rsid w:val="007B7047"/>
    <w:rsid w:val="007B7B0E"/>
    <w:rsid w:val="007C0C3D"/>
    <w:rsid w:val="007C11ED"/>
    <w:rsid w:val="007C1351"/>
    <w:rsid w:val="007C3024"/>
    <w:rsid w:val="007C34E2"/>
    <w:rsid w:val="007C35EE"/>
    <w:rsid w:val="007C43E3"/>
    <w:rsid w:val="007C4465"/>
    <w:rsid w:val="007C493A"/>
    <w:rsid w:val="007C5516"/>
    <w:rsid w:val="007C555E"/>
    <w:rsid w:val="007C5C81"/>
    <w:rsid w:val="007C5FE1"/>
    <w:rsid w:val="007C622B"/>
    <w:rsid w:val="007C7201"/>
    <w:rsid w:val="007D0716"/>
    <w:rsid w:val="007D0AAC"/>
    <w:rsid w:val="007D1B20"/>
    <w:rsid w:val="007D1E26"/>
    <w:rsid w:val="007D21A0"/>
    <w:rsid w:val="007D2D84"/>
    <w:rsid w:val="007D42D5"/>
    <w:rsid w:val="007D446C"/>
    <w:rsid w:val="007D4BC1"/>
    <w:rsid w:val="007D5C8B"/>
    <w:rsid w:val="007D636D"/>
    <w:rsid w:val="007D6A58"/>
    <w:rsid w:val="007E0E70"/>
    <w:rsid w:val="007E1BFF"/>
    <w:rsid w:val="007E1F3D"/>
    <w:rsid w:val="007E2738"/>
    <w:rsid w:val="007E2AE2"/>
    <w:rsid w:val="007E398C"/>
    <w:rsid w:val="007E48BF"/>
    <w:rsid w:val="007E4CD3"/>
    <w:rsid w:val="007E5474"/>
    <w:rsid w:val="007E5AF5"/>
    <w:rsid w:val="007E6534"/>
    <w:rsid w:val="007E7583"/>
    <w:rsid w:val="007E7CEF"/>
    <w:rsid w:val="007F0EB6"/>
    <w:rsid w:val="007F1872"/>
    <w:rsid w:val="007F5693"/>
    <w:rsid w:val="007F63DD"/>
    <w:rsid w:val="007F6609"/>
    <w:rsid w:val="007F6681"/>
    <w:rsid w:val="007F727A"/>
    <w:rsid w:val="007F7534"/>
    <w:rsid w:val="007F756D"/>
    <w:rsid w:val="007F7574"/>
    <w:rsid w:val="007F7BFE"/>
    <w:rsid w:val="00800D52"/>
    <w:rsid w:val="00800FA2"/>
    <w:rsid w:val="00801076"/>
    <w:rsid w:val="0080125B"/>
    <w:rsid w:val="00801F5F"/>
    <w:rsid w:val="008029F2"/>
    <w:rsid w:val="00802AB5"/>
    <w:rsid w:val="00803458"/>
    <w:rsid w:val="00803D9F"/>
    <w:rsid w:val="00803E80"/>
    <w:rsid w:val="0080469F"/>
    <w:rsid w:val="00804C10"/>
    <w:rsid w:val="00805997"/>
    <w:rsid w:val="00805B0F"/>
    <w:rsid w:val="00805D35"/>
    <w:rsid w:val="00806900"/>
    <w:rsid w:val="00806A8F"/>
    <w:rsid w:val="00807317"/>
    <w:rsid w:val="0080797D"/>
    <w:rsid w:val="00807A1A"/>
    <w:rsid w:val="00807A3C"/>
    <w:rsid w:val="00807BD9"/>
    <w:rsid w:val="00807D21"/>
    <w:rsid w:val="00807F19"/>
    <w:rsid w:val="00810433"/>
    <w:rsid w:val="0081069A"/>
    <w:rsid w:val="00810BFC"/>
    <w:rsid w:val="00811027"/>
    <w:rsid w:val="00811146"/>
    <w:rsid w:val="008124A8"/>
    <w:rsid w:val="008125ED"/>
    <w:rsid w:val="00813392"/>
    <w:rsid w:val="00814755"/>
    <w:rsid w:val="00814C74"/>
    <w:rsid w:val="00814F3E"/>
    <w:rsid w:val="00814FE9"/>
    <w:rsid w:val="00815C6A"/>
    <w:rsid w:val="008168BA"/>
    <w:rsid w:val="00816EF4"/>
    <w:rsid w:val="008171D1"/>
    <w:rsid w:val="00817522"/>
    <w:rsid w:val="0081783F"/>
    <w:rsid w:val="008200D8"/>
    <w:rsid w:val="00820246"/>
    <w:rsid w:val="008210E1"/>
    <w:rsid w:val="0082138E"/>
    <w:rsid w:val="0082147E"/>
    <w:rsid w:val="0082221B"/>
    <w:rsid w:val="0082268A"/>
    <w:rsid w:val="00823282"/>
    <w:rsid w:val="0082333C"/>
    <w:rsid w:val="00824441"/>
    <w:rsid w:val="00824711"/>
    <w:rsid w:val="008249E2"/>
    <w:rsid w:val="00825C55"/>
    <w:rsid w:val="008263F6"/>
    <w:rsid w:val="0082705D"/>
    <w:rsid w:val="00827714"/>
    <w:rsid w:val="0083004C"/>
    <w:rsid w:val="00830E49"/>
    <w:rsid w:val="0083132F"/>
    <w:rsid w:val="008320A4"/>
    <w:rsid w:val="008321B7"/>
    <w:rsid w:val="0083293A"/>
    <w:rsid w:val="00832ED1"/>
    <w:rsid w:val="00832F13"/>
    <w:rsid w:val="0083349C"/>
    <w:rsid w:val="00833740"/>
    <w:rsid w:val="00833CB4"/>
    <w:rsid w:val="00833D58"/>
    <w:rsid w:val="00833F11"/>
    <w:rsid w:val="00834968"/>
    <w:rsid w:val="00834DEB"/>
    <w:rsid w:val="00835604"/>
    <w:rsid w:val="00835AD4"/>
    <w:rsid w:val="00835B60"/>
    <w:rsid w:val="00836035"/>
    <w:rsid w:val="00836D6E"/>
    <w:rsid w:val="008375F5"/>
    <w:rsid w:val="00837C90"/>
    <w:rsid w:val="008402E2"/>
    <w:rsid w:val="00840A1F"/>
    <w:rsid w:val="00841211"/>
    <w:rsid w:val="008412DB"/>
    <w:rsid w:val="00841842"/>
    <w:rsid w:val="00841995"/>
    <w:rsid w:val="00841A19"/>
    <w:rsid w:val="00841CED"/>
    <w:rsid w:val="00842C64"/>
    <w:rsid w:val="00844808"/>
    <w:rsid w:val="0084563D"/>
    <w:rsid w:val="00845D1D"/>
    <w:rsid w:val="00846257"/>
    <w:rsid w:val="00846AD7"/>
    <w:rsid w:val="00847B53"/>
    <w:rsid w:val="00847D2B"/>
    <w:rsid w:val="00850762"/>
    <w:rsid w:val="008511E6"/>
    <w:rsid w:val="0085156E"/>
    <w:rsid w:val="008524E1"/>
    <w:rsid w:val="0085386B"/>
    <w:rsid w:val="008543E0"/>
    <w:rsid w:val="0085445D"/>
    <w:rsid w:val="008545A1"/>
    <w:rsid w:val="0085477F"/>
    <w:rsid w:val="00854919"/>
    <w:rsid w:val="00854C81"/>
    <w:rsid w:val="00854EDD"/>
    <w:rsid w:val="008555CD"/>
    <w:rsid w:val="00855875"/>
    <w:rsid w:val="00857516"/>
    <w:rsid w:val="00857616"/>
    <w:rsid w:val="008577DA"/>
    <w:rsid w:val="00857955"/>
    <w:rsid w:val="00860B3F"/>
    <w:rsid w:val="00860FFD"/>
    <w:rsid w:val="008614C5"/>
    <w:rsid w:val="00861834"/>
    <w:rsid w:val="00862BC0"/>
    <w:rsid w:val="00862BFF"/>
    <w:rsid w:val="00863055"/>
    <w:rsid w:val="008633FF"/>
    <w:rsid w:val="00863D82"/>
    <w:rsid w:val="00863E32"/>
    <w:rsid w:val="00863EBA"/>
    <w:rsid w:val="00864186"/>
    <w:rsid w:val="008649A8"/>
    <w:rsid w:val="00864AA6"/>
    <w:rsid w:val="00864B80"/>
    <w:rsid w:val="008658A2"/>
    <w:rsid w:val="008666CA"/>
    <w:rsid w:val="00866874"/>
    <w:rsid w:val="00866967"/>
    <w:rsid w:val="0087017D"/>
    <w:rsid w:val="00870470"/>
    <w:rsid w:val="0087061D"/>
    <w:rsid w:val="008706C1"/>
    <w:rsid w:val="0087131C"/>
    <w:rsid w:val="00871848"/>
    <w:rsid w:val="00871AB0"/>
    <w:rsid w:val="00871BC4"/>
    <w:rsid w:val="0087359A"/>
    <w:rsid w:val="00873B6E"/>
    <w:rsid w:val="0087442E"/>
    <w:rsid w:val="0087502B"/>
    <w:rsid w:val="00875AA3"/>
    <w:rsid w:val="00876499"/>
    <w:rsid w:val="00876C75"/>
    <w:rsid w:val="00876CEF"/>
    <w:rsid w:val="00877221"/>
    <w:rsid w:val="00877334"/>
    <w:rsid w:val="0087772A"/>
    <w:rsid w:val="00881FDF"/>
    <w:rsid w:val="00882046"/>
    <w:rsid w:val="0088227E"/>
    <w:rsid w:val="00882E62"/>
    <w:rsid w:val="00882F46"/>
    <w:rsid w:val="008835DB"/>
    <w:rsid w:val="008835FD"/>
    <w:rsid w:val="008837A3"/>
    <w:rsid w:val="00884EC5"/>
    <w:rsid w:val="008850D6"/>
    <w:rsid w:val="008859AD"/>
    <w:rsid w:val="00885A7E"/>
    <w:rsid w:val="00885F46"/>
    <w:rsid w:val="0088628F"/>
    <w:rsid w:val="008865EE"/>
    <w:rsid w:val="00886ED9"/>
    <w:rsid w:val="008875D7"/>
    <w:rsid w:val="008903CF"/>
    <w:rsid w:val="008903FB"/>
    <w:rsid w:val="00890658"/>
    <w:rsid w:val="00891CA3"/>
    <w:rsid w:val="0089207D"/>
    <w:rsid w:val="00892B3A"/>
    <w:rsid w:val="00892FDA"/>
    <w:rsid w:val="00893BAB"/>
    <w:rsid w:val="0089414E"/>
    <w:rsid w:val="008951FD"/>
    <w:rsid w:val="00895217"/>
    <w:rsid w:val="00895D22"/>
    <w:rsid w:val="00895FAF"/>
    <w:rsid w:val="00896AE5"/>
    <w:rsid w:val="00896B0E"/>
    <w:rsid w:val="00897566"/>
    <w:rsid w:val="008978F7"/>
    <w:rsid w:val="008A11D5"/>
    <w:rsid w:val="008A1F0A"/>
    <w:rsid w:val="008A3977"/>
    <w:rsid w:val="008A4AD4"/>
    <w:rsid w:val="008A5147"/>
    <w:rsid w:val="008A6836"/>
    <w:rsid w:val="008A6C98"/>
    <w:rsid w:val="008A7498"/>
    <w:rsid w:val="008A7649"/>
    <w:rsid w:val="008B01E3"/>
    <w:rsid w:val="008B0707"/>
    <w:rsid w:val="008B1679"/>
    <w:rsid w:val="008B1AFC"/>
    <w:rsid w:val="008B2EEC"/>
    <w:rsid w:val="008B3029"/>
    <w:rsid w:val="008B3504"/>
    <w:rsid w:val="008B35A6"/>
    <w:rsid w:val="008B3C95"/>
    <w:rsid w:val="008B4027"/>
    <w:rsid w:val="008B42F9"/>
    <w:rsid w:val="008B4411"/>
    <w:rsid w:val="008B479E"/>
    <w:rsid w:val="008B4C25"/>
    <w:rsid w:val="008B5401"/>
    <w:rsid w:val="008B5DFC"/>
    <w:rsid w:val="008B691E"/>
    <w:rsid w:val="008B6E73"/>
    <w:rsid w:val="008B6E8A"/>
    <w:rsid w:val="008B7ADC"/>
    <w:rsid w:val="008C09DA"/>
    <w:rsid w:val="008C113B"/>
    <w:rsid w:val="008C2009"/>
    <w:rsid w:val="008C23DE"/>
    <w:rsid w:val="008C23F6"/>
    <w:rsid w:val="008C2C1A"/>
    <w:rsid w:val="008C321D"/>
    <w:rsid w:val="008C3673"/>
    <w:rsid w:val="008C3E9D"/>
    <w:rsid w:val="008C4A48"/>
    <w:rsid w:val="008C60B2"/>
    <w:rsid w:val="008C6A4B"/>
    <w:rsid w:val="008C6E0D"/>
    <w:rsid w:val="008C6EAE"/>
    <w:rsid w:val="008C7F1B"/>
    <w:rsid w:val="008D0B87"/>
    <w:rsid w:val="008D0EF1"/>
    <w:rsid w:val="008D114A"/>
    <w:rsid w:val="008D1E88"/>
    <w:rsid w:val="008D207C"/>
    <w:rsid w:val="008D324A"/>
    <w:rsid w:val="008D46B5"/>
    <w:rsid w:val="008D5901"/>
    <w:rsid w:val="008D5DF5"/>
    <w:rsid w:val="008D7176"/>
    <w:rsid w:val="008D79FA"/>
    <w:rsid w:val="008E0145"/>
    <w:rsid w:val="008E02FE"/>
    <w:rsid w:val="008E064B"/>
    <w:rsid w:val="008E11A5"/>
    <w:rsid w:val="008E1695"/>
    <w:rsid w:val="008E1ECC"/>
    <w:rsid w:val="008E2232"/>
    <w:rsid w:val="008E24B1"/>
    <w:rsid w:val="008E2932"/>
    <w:rsid w:val="008E2AE0"/>
    <w:rsid w:val="008E302C"/>
    <w:rsid w:val="008E32D1"/>
    <w:rsid w:val="008E3D83"/>
    <w:rsid w:val="008E4772"/>
    <w:rsid w:val="008E48D7"/>
    <w:rsid w:val="008E535D"/>
    <w:rsid w:val="008E6CBB"/>
    <w:rsid w:val="008E7F5D"/>
    <w:rsid w:val="008E7FDD"/>
    <w:rsid w:val="008F0B67"/>
    <w:rsid w:val="008F16BB"/>
    <w:rsid w:val="008F1F83"/>
    <w:rsid w:val="008F3C22"/>
    <w:rsid w:val="008F453D"/>
    <w:rsid w:val="008F4A5A"/>
    <w:rsid w:val="008F4F90"/>
    <w:rsid w:val="008F6D69"/>
    <w:rsid w:val="008F7097"/>
    <w:rsid w:val="008F7479"/>
    <w:rsid w:val="008F7BA7"/>
    <w:rsid w:val="008F7E18"/>
    <w:rsid w:val="008F7F34"/>
    <w:rsid w:val="00901A16"/>
    <w:rsid w:val="00901A1F"/>
    <w:rsid w:val="009027C4"/>
    <w:rsid w:val="00902923"/>
    <w:rsid w:val="00902BED"/>
    <w:rsid w:val="0090388A"/>
    <w:rsid w:val="00903A97"/>
    <w:rsid w:val="00903DD1"/>
    <w:rsid w:val="00905411"/>
    <w:rsid w:val="0090680F"/>
    <w:rsid w:val="00907625"/>
    <w:rsid w:val="009106BB"/>
    <w:rsid w:val="00910D4E"/>
    <w:rsid w:val="0091145A"/>
    <w:rsid w:val="00911C60"/>
    <w:rsid w:val="00912744"/>
    <w:rsid w:val="00912DC7"/>
    <w:rsid w:val="00912EBF"/>
    <w:rsid w:val="00913BDB"/>
    <w:rsid w:val="00913C00"/>
    <w:rsid w:val="00913E31"/>
    <w:rsid w:val="009141E9"/>
    <w:rsid w:val="009143C3"/>
    <w:rsid w:val="00914B05"/>
    <w:rsid w:val="009152F7"/>
    <w:rsid w:val="00916448"/>
    <w:rsid w:val="0091735B"/>
    <w:rsid w:val="00917BFF"/>
    <w:rsid w:val="00920590"/>
    <w:rsid w:val="009206E0"/>
    <w:rsid w:val="00920B65"/>
    <w:rsid w:val="00921DA1"/>
    <w:rsid w:val="0092323F"/>
    <w:rsid w:val="00923C75"/>
    <w:rsid w:val="00924E0C"/>
    <w:rsid w:val="00925307"/>
    <w:rsid w:val="0092592D"/>
    <w:rsid w:val="00926396"/>
    <w:rsid w:val="00926602"/>
    <w:rsid w:val="00926B16"/>
    <w:rsid w:val="009302A5"/>
    <w:rsid w:val="00930903"/>
    <w:rsid w:val="009312D8"/>
    <w:rsid w:val="0093178B"/>
    <w:rsid w:val="00931927"/>
    <w:rsid w:val="00931D2B"/>
    <w:rsid w:val="00931D43"/>
    <w:rsid w:val="00931F68"/>
    <w:rsid w:val="009332DE"/>
    <w:rsid w:val="009332DF"/>
    <w:rsid w:val="00933A74"/>
    <w:rsid w:val="00933B8C"/>
    <w:rsid w:val="00933D2D"/>
    <w:rsid w:val="00933F65"/>
    <w:rsid w:val="00934053"/>
    <w:rsid w:val="00934906"/>
    <w:rsid w:val="009349A3"/>
    <w:rsid w:val="00935B08"/>
    <w:rsid w:val="00936696"/>
    <w:rsid w:val="0093683A"/>
    <w:rsid w:val="009368C9"/>
    <w:rsid w:val="0093702F"/>
    <w:rsid w:val="00937630"/>
    <w:rsid w:val="0094023D"/>
    <w:rsid w:val="00940DED"/>
    <w:rsid w:val="00941C91"/>
    <w:rsid w:val="0094201D"/>
    <w:rsid w:val="00943666"/>
    <w:rsid w:val="00943698"/>
    <w:rsid w:val="00945431"/>
    <w:rsid w:val="00945779"/>
    <w:rsid w:val="009457B8"/>
    <w:rsid w:val="009467E7"/>
    <w:rsid w:val="00946BD2"/>
    <w:rsid w:val="00947D25"/>
    <w:rsid w:val="00947E8C"/>
    <w:rsid w:val="009503EE"/>
    <w:rsid w:val="00950A5B"/>
    <w:rsid w:val="00950CFC"/>
    <w:rsid w:val="00951748"/>
    <w:rsid w:val="00951CE2"/>
    <w:rsid w:val="00952321"/>
    <w:rsid w:val="00952FF1"/>
    <w:rsid w:val="00953DA8"/>
    <w:rsid w:val="00954C4B"/>
    <w:rsid w:val="00954F8B"/>
    <w:rsid w:val="00955F7F"/>
    <w:rsid w:val="009567D9"/>
    <w:rsid w:val="0095734E"/>
    <w:rsid w:val="009575F8"/>
    <w:rsid w:val="0095797F"/>
    <w:rsid w:val="00957A28"/>
    <w:rsid w:val="00957FF0"/>
    <w:rsid w:val="009600FD"/>
    <w:rsid w:val="009608B4"/>
    <w:rsid w:val="00960F33"/>
    <w:rsid w:val="00960FA1"/>
    <w:rsid w:val="00961BA7"/>
    <w:rsid w:val="00962EFA"/>
    <w:rsid w:val="009630A5"/>
    <w:rsid w:val="00963427"/>
    <w:rsid w:val="00963709"/>
    <w:rsid w:val="009637E6"/>
    <w:rsid w:val="00964525"/>
    <w:rsid w:val="00964DD0"/>
    <w:rsid w:val="00965598"/>
    <w:rsid w:val="00966898"/>
    <w:rsid w:val="00966A40"/>
    <w:rsid w:val="0096704D"/>
    <w:rsid w:val="00967FE7"/>
    <w:rsid w:val="009703B0"/>
    <w:rsid w:val="00970498"/>
    <w:rsid w:val="00971FED"/>
    <w:rsid w:val="00972369"/>
    <w:rsid w:val="00972F70"/>
    <w:rsid w:val="009739D3"/>
    <w:rsid w:val="009740FF"/>
    <w:rsid w:val="0097425D"/>
    <w:rsid w:val="00974B18"/>
    <w:rsid w:val="00975063"/>
    <w:rsid w:val="0097516D"/>
    <w:rsid w:val="009752A8"/>
    <w:rsid w:val="00976209"/>
    <w:rsid w:val="00977C6C"/>
    <w:rsid w:val="00977CAC"/>
    <w:rsid w:val="009813B4"/>
    <w:rsid w:val="00981BCD"/>
    <w:rsid w:val="009820B9"/>
    <w:rsid w:val="0098247B"/>
    <w:rsid w:val="00982B6A"/>
    <w:rsid w:val="0098328A"/>
    <w:rsid w:val="009843EA"/>
    <w:rsid w:val="00984484"/>
    <w:rsid w:val="00984B44"/>
    <w:rsid w:val="009854E5"/>
    <w:rsid w:val="0098550F"/>
    <w:rsid w:val="009859C8"/>
    <w:rsid w:val="009859E4"/>
    <w:rsid w:val="00985A39"/>
    <w:rsid w:val="00987214"/>
    <w:rsid w:val="00987ADE"/>
    <w:rsid w:val="009906A9"/>
    <w:rsid w:val="00990BD8"/>
    <w:rsid w:val="00992FCB"/>
    <w:rsid w:val="0099337A"/>
    <w:rsid w:val="00993584"/>
    <w:rsid w:val="009938EF"/>
    <w:rsid w:val="0099398E"/>
    <w:rsid w:val="0099469D"/>
    <w:rsid w:val="00995632"/>
    <w:rsid w:val="00995FEE"/>
    <w:rsid w:val="00996911"/>
    <w:rsid w:val="00996AF3"/>
    <w:rsid w:val="009A1898"/>
    <w:rsid w:val="009A1E0A"/>
    <w:rsid w:val="009A279A"/>
    <w:rsid w:val="009A28D2"/>
    <w:rsid w:val="009A2B94"/>
    <w:rsid w:val="009A2E5A"/>
    <w:rsid w:val="009A3056"/>
    <w:rsid w:val="009A33DF"/>
    <w:rsid w:val="009A3546"/>
    <w:rsid w:val="009A4790"/>
    <w:rsid w:val="009A4B48"/>
    <w:rsid w:val="009A5730"/>
    <w:rsid w:val="009A5CAB"/>
    <w:rsid w:val="009A699C"/>
    <w:rsid w:val="009A706D"/>
    <w:rsid w:val="009B077D"/>
    <w:rsid w:val="009B0BE5"/>
    <w:rsid w:val="009B275E"/>
    <w:rsid w:val="009B2EE3"/>
    <w:rsid w:val="009B34C9"/>
    <w:rsid w:val="009B438A"/>
    <w:rsid w:val="009B5E83"/>
    <w:rsid w:val="009B6D03"/>
    <w:rsid w:val="009B6FC8"/>
    <w:rsid w:val="009B739F"/>
    <w:rsid w:val="009B7753"/>
    <w:rsid w:val="009B7B46"/>
    <w:rsid w:val="009C0B76"/>
    <w:rsid w:val="009C1DAF"/>
    <w:rsid w:val="009C2595"/>
    <w:rsid w:val="009C40C2"/>
    <w:rsid w:val="009C438A"/>
    <w:rsid w:val="009C464C"/>
    <w:rsid w:val="009C4E10"/>
    <w:rsid w:val="009C51E1"/>
    <w:rsid w:val="009C5443"/>
    <w:rsid w:val="009C6ECB"/>
    <w:rsid w:val="009C734A"/>
    <w:rsid w:val="009C76D4"/>
    <w:rsid w:val="009C7BDA"/>
    <w:rsid w:val="009C7D91"/>
    <w:rsid w:val="009D0B17"/>
    <w:rsid w:val="009D0D07"/>
    <w:rsid w:val="009D19FF"/>
    <w:rsid w:val="009D1EF6"/>
    <w:rsid w:val="009D203C"/>
    <w:rsid w:val="009D208D"/>
    <w:rsid w:val="009D2E36"/>
    <w:rsid w:val="009D3D17"/>
    <w:rsid w:val="009D3D61"/>
    <w:rsid w:val="009D4378"/>
    <w:rsid w:val="009D44BA"/>
    <w:rsid w:val="009D480F"/>
    <w:rsid w:val="009D5622"/>
    <w:rsid w:val="009D57BC"/>
    <w:rsid w:val="009D5DCA"/>
    <w:rsid w:val="009D600D"/>
    <w:rsid w:val="009D613F"/>
    <w:rsid w:val="009D652F"/>
    <w:rsid w:val="009D700D"/>
    <w:rsid w:val="009D76EF"/>
    <w:rsid w:val="009D78DC"/>
    <w:rsid w:val="009E0571"/>
    <w:rsid w:val="009E0D09"/>
    <w:rsid w:val="009E31C3"/>
    <w:rsid w:val="009E43E8"/>
    <w:rsid w:val="009E6B87"/>
    <w:rsid w:val="009E764B"/>
    <w:rsid w:val="009E7EFA"/>
    <w:rsid w:val="009F1325"/>
    <w:rsid w:val="009F1685"/>
    <w:rsid w:val="009F2BB6"/>
    <w:rsid w:val="009F2E30"/>
    <w:rsid w:val="009F3342"/>
    <w:rsid w:val="009F3C8E"/>
    <w:rsid w:val="009F3EDA"/>
    <w:rsid w:val="009F4D76"/>
    <w:rsid w:val="009F4DA6"/>
    <w:rsid w:val="009F5761"/>
    <w:rsid w:val="009F5DEE"/>
    <w:rsid w:val="009F616E"/>
    <w:rsid w:val="009F6E21"/>
    <w:rsid w:val="009F70D0"/>
    <w:rsid w:val="009F7570"/>
    <w:rsid w:val="009F7591"/>
    <w:rsid w:val="009F75F3"/>
    <w:rsid w:val="00A00A5D"/>
    <w:rsid w:val="00A00DD7"/>
    <w:rsid w:val="00A00F2A"/>
    <w:rsid w:val="00A01D24"/>
    <w:rsid w:val="00A01EF3"/>
    <w:rsid w:val="00A02232"/>
    <w:rsid w:val="00A02BF5"/>
    <w:rsid w:val="00A03D7F"/>
    <w:rsid w:val="00A040A1"/>
    <w:rsid w:val="00A040AF"/>
    <w:rsid w:val="00A049ED"/>
    <w:rsid w:val="00A04D60"/>
    <w:rsid w:val="00A0551E"/>
    <w:rsid w:val="00A0573D"/>
    <w:rsid w:val="00A06688"/>
    <w:rsid w:val="00A0672B"/>
    <w:rsid w:val="00A06FA7"/>
    <w:rsid w:val="00A104EF"/>
    <w:rsid w:val="00A1125F"/>
    <w:rsid w:val="00A1191A"/>
    <w:rsid w:val="00A14C83"/>
    <w:rsid w:val="00A14D40"/>
    <w:rsid w:val="00A155C5"/>
    <w:rsid w:val="00A1626D"/>
    <w:rsid w:val="00A16446"/>
    <w:rsid w:val="00A16710"/>
    <w:rsid w:val="00A17472"/>
    <w:rsid w:val="00A17D92"/>
    <w:rsid w:val="00A203FF"/>
    <w:rsid w:val="00A211DA"/>
    <w:rsid w:val="00A21A57"/>
    <w:rsid w:val="00A22591"/>
    <w:rsid w:val="00A22F21"/>
    <w:rsid w:val="00A23DAC"/>
    <w:rsid w:val="00A2434E"/>
    <w:rsid w:val="00A2444B"/>
    <w:rsid w:val="00A24BEA"/>
    <w:rsid w:val="00A24EDF"/>
    <w:rsid w:val="00A255F2"/>
    <w:rsid w:val="00A25764"/>
    <w:rsid w:val="00A25842"/>
    <w:rsid w:val="00A2590D"/>
    <w:rsid w:val="00A25CBC"/>
    <w:rsid w:val="00A265BF"/>
    <w:rsid w:val="00A26D00"/>
    <w:rsid w:val="00A27144"/>
    <w:rsid w:val="00A277ED"/>
    <w:rsid w:val="00A27894"/>
    <w:rsid w:val="00A308AC"/>
    <w:rsid w:val="00A3099A"/>
    <w:rsid w:val="00A30FFE"/>
    <w:rsid w:val="00A31021"/>
    <w:rsid w:val="00A31AEA"/>
    <w:rsid w:val="00A32880"/>
    <w:rsid w:val="00A341D9"/>
    <w:rsid w:val="00A34973"/>
    <w:rsid w:val="00A349C2"/>
    <w:rsid w:val="00A35816"/>
    <w:rsid w:val="00A36B80"/>
    <w:rsid w:val="00A36E0B"/>
    <w:rsid w:val="00A36E41"/>
    <w:rsid w:val="00A3756F"/>
    <w:rsid w:val="00A376A4"/>
    <w:rsid w:val="00A3773E"/>
    <w:rsid w:val="00A37C3C"/>
    <w:rsid w:val="00A40168"/>
    <w:rsid w:val="00A40273"/>
    <w:rsid w:val="00A40447"/>
    <w:rsid w:val="00A40719"/>
    <w:rsid w:val="00A40780"/>
    <w:rsid w:val="00A4089F"/>
    <w:rsid w:val="00A40C16"/>
    <w:rsid w:val="00A41A1C"/>
    <w:rsid w:val="00A41C60"/>
    <w:rsid w:val="00A421DD"/>
    <w:rsid w:val="00A422AE"/>
    <w:rsid w:val="00A42AC9"/>
    <w:rsid w:val="00A42BE9"/>
    <w:rsid w:val="00A42D48"/>
    <w:rsid w:val="00A42FD2"/>
    <w:rsid w:val="00A4325F"/>
    <w:rsid w:val="00A436A1"/>
    <w:rsid w:val="00A43D75"/>
    <w:rsid w:val="00A44A3F"/>
    <w:rsid w:val="00A44C35"/>
    <w:rsid w:val="00A45685"/>
    <w:rsid w:val="00A45861"/>
    <w:rsid w:val="00A479C9"/>
    <w:rsid w:val="00A47A86"/>
    <w:rsid w:val="00A47B61"/>
    <w:rsid w:val="00A47BAE"/>
    <w:rsid w:val="00A50010"/>
    <w:rsid w:val="00A512B5"/>
    <w:rsid w:val="00A51DF4"/>
    <w:rsid w:val="00A52963"/>
    <w:rsid w:val="00A529FD"/>
    <w:rsid w:val="00A52E00"/>
    <w:rsid w:val="00A52F0D"/>
    <w:rsid w:val="00A53BFF"/>
    <w:rsid w:val="00A53CFF"/>
    <w:rsid w:val="00A53D27"/>
    <w:rsid w:val="00A5593D"/>
    <w:rsid w:val="00A5675B"/>
    <w:rsid w:val="00A56A30"/>
    <w:rsid w:val="00A56CF3"/>
    <w:rsid w:val="00A57288"/>
    <w:rsid w:val="00A57969"/>
    <w:rsid w:val="00A57CEC"/>
    <w:rsid w:val="00A6119F"/>
    <w:rsid w:val="00A62896"/>
    <w:rsid w:val="00A638D0"/>
    <w:rsid w:val="00A63C89"/>
    <w:rsid w:val="00A6434D"/>
    <w:rsid w:val="00A65159"/>
    <w:rsid w:val="00A6555D"/>
    <w:rsid w:val="00A65903"/>
    <w:rsid w:val="00A65E88"/>
    <w:rsid w:val="00A65EB7"/>
    <w:rsid w:val="00A66190"/>
    <w:rsid w:val="00A665D2"/>
    <w:rsid w:val="00A665E9"/>
    <w:rsid w:val="00A66A33"/>
    <w:rsid w:val="00A66B83"/>
    <w:rsid w:val="00A66C8C"/>
    <w:rsid w:val="00A7028C"/>
    <w:rsid w:val="00A70481"/>
    <w:rsid w:val="00A704E6"/>
    <w:rsid w:val="00A705A7"/>
    <w:rsid w:val="00A7064F"/>
    <w:rsid w:val="00A70734"/>
    <w:rsid w:val="00A70AF6"/>
    <w:rsid w:val="00A71A81"/>
    <w:rsid w:val="00A7210A"/>
    <w:rsid w:val="00A72F01"/>
    <w:rsid w:val="00A732B4"/>
    <w:rsid w:val="00A73353"/>
    <w:rsid w:val="00A74409"/>
    <w:rsid w:val="00A7465A"/>
    <w:rsid w:val="00A753D1"/>
    <w:rsid w:val="00A75973"/>
    <w:rsid w:val="00A767BB"/>
    <w:rsid w:val="00A7759E"/>
    <w:rsid w:val="00A777D6"/>
    <w:rsid w:val="00A779D1"/>
    <w:rsid w:val="00A804B9"/>
    <w:rsid w:val="00A805F5"/>
    <w:rsid w:val="00A80B65"/>
    <w:rsid w:val="00A80ED2"/>
    <w:rsid w:val="00A81526"/>
    <w:rsid w:val="00A82C75"/>
    <w:rsid w:val="00A84A9E"/>
    <w:rsid w:val="00A852A8"/>
    <w:rsid w:val="00A86203"/>
    <w:rsid w:val="00A86220"/>
    <w:rsid w:val="00A862DF"/>
    <w:rsid w:val="00A86368"/>
    <w:rsid w:val="00A8759C"/>
    <w:rsid w:val="00A90031"/>
    <w:rsid w:val="00A90810"/>
    <w:rsid w:val="00A90DC4"/>
    <w:rsid w:val="00A918BB"/>
    <w:rsid w:val="00A919F0"/>
    <w:rsid w:val="00A91D67"/>
    <w:rsid w:val="00A91FB6"/>
    <w:rsid w:val="00A922BC"/>
    <w:rsid w:val="00A927AA"/>
    <w:rsid w:val="00A931D5"/>
    <w:rsid w:val="00A937FB"/>
    <w:rsid w:val="00A941A4"/>
    <w:rsid w:val="00A94E4A"/>
    <w:rsid w:val="00A95C63"/>
    <w:rsid w:val="00A96155"/>
    <w:rsid w:val="00A9619A"/>
    <w:rsid w:val="00A962F6"/>
    <w:rsid w:val="00A966A6"/>
    <w:rsid w:val="00A96B29"/>
    <w:rsid w:val="00A96E0F"/>
    <w:rsid w:val="00A970BC"/>
    <w:rsid w:val="00A9721A"/>
    <w:rsid w:val="00AA0632"/>
    <w:rsid w:val="00AA120F"/>
    <w:rsid w:val="00AA144D"/>
    <w:rsid w:val="00AA19C0"/>
    <w:rsid w:val="00AA1F12"/>
    <w:rsid w:val="00AA32FA"/>
    <w:rsid w:val="00AA46E7"/>
    <w:rsid w:val="00AA4BFB"/>
    <w:rsid w:val="00AA4C71"/>
    <w:rsid w:val="00AA5A07"/>
    <w:rsid w:val="00AA5A9F"/>
    <w:rsid w:val="00AA5B00"/>
    <w:rsid w:val="00AA5B36"/>
    <w:rsid w:val="00AA5CDE"/>
    <w:rsid w:val="00AA658F"/>
    <w:rsid w:val="00AA6655"/>
    <w:rsid w:val="00AA68F2"/>
    <w:rsid w:val="00AA71FE"/>
    <w:rsid w:val="00AA7250"/>
    <w:rsid w:val="00AA72E9"/>
    <w:rsid w:val="00AA7B76"/>
    <w:rsid w:val="00AA7EEB"/>
    <w:rsid w:val="00AB0747"/>
    <w:rsid w:val="00AB0932"/>
    <w:rsid w:val="00AB13A3"/>
    <w:rsid w:val="00AB1CBA"/>
    <w:rsid w:val="00AB2F9F"/>
    <w:rsid w:val="00AB3093"/>
    <w:rsid w:val="00AB365A"/>
    <w:rsid w:val="00AB3AEB"/>
    <w:rsid w:val="00AB421F"/>
    <w:rsid w:val="00AB5323"/>
    <w:rsid w:val="00AB541D"/>
    <w:rsid w:val="00AB5905"/>
    <w:rsid w:val="00AC26EC"/>
    <w:rsid w:val="00AC2C6F"/>
    <w:rsid w:val="00AC3C3D"/>
    <w:rsid w:val="00AC4A70"/>
    <w:rsid w:val="00AC4FCE"/>
    <w:rsid w:val="00AC5068"/>
    <w:rsid w:val="00AC55A1"/>
    <w:rsid w:val="00AC6DD2"/>
    <w:rsid w:val="00AD07F0"/>
    <w:rsid w:val="00AD0BBA"/>
    <w:rsid w:val="00AD0CBF"/>
    <w:rsid w:val="00AD10C1"/>
    <w:rsid w:val="00AD1135"/>
    <w:rsid w:val="00AD1189"/>
    <w:rsid w:val="00AD1575"/>
    <w:rsid w:val="00AD15E1"/>
    <w:rsid w:val="00AD2F5C"/>
    <w:rsid w:val="00AD3222"/>
    <w:rsid w:val="00AD35F8"/>
    <w:rsid w:val="00AD3AC8"/>
    <w:rsid w:val="00AD3C9F"/>
    <w:rsid w:val="00AD3EB9"/>
    <w:rsid w:val="00AD452F"/>
    <w:rsid w:val="00AD4DD5"/>
    <w:rsid w:val="00AD4E03"/>
    <w:rsid w:val="00AD586B"/>
    <w:rsid w:val="00AD6720"/>
    <w:rsid w:val="00AD72CE"/>
    <w:rsid w:val="00AD7803"/>
    <w:rsid w:val="00AD7942"/>
    <w:rsid w:val="00AE12EB"/>
    <w:rsid w:val="00AE1941"/>
    <w:rsid w:val="00AE1D17"/>
    <w:rsid w:val="00AE1D43"/>
    <w:rsid w:val="00AE20D7"/>
    <w:rsid w:val="00AE246E"/>
    <w:rsid w:val="00AE2AB7"/>
    <w:rsid w:val="00AE2AF6"/>
    <w:rsid w:val="00AE2E03"/>
    <w:rsid w:val="00AE2F0C"/>
    <w:rsid w:val="00AE3680"/>
    <w:rsid w:val="00AE4483"/>
    <w:rsid w:val="00AE456F"/>
    <w:rsid w:val="00AE4759"/>
    <w:rsid w:val="00AE4B1B"/>
    <w:rsid w:val="00AE4C31"/>
    <w:rsid w:val="00AE59DD"/>
    <w:rsid w:val="00AE7208"/>
    <w:rsid w:val="00AE78D8"/>
    <w:rsid w:val="00AF1F22"/>
    <w:rsid w:val="00AF253D"/>
    <w:rsid w:val="00AF2805"/>
    <w:rsid w:val="00AF2AD3"/>
    <w:rsid w:val="00AF2EA6"/>
    <w:rsid w:val="00AF3135"/>
    <w:rsid w:val="00AF3565"/>
    <w:rsid w:val="00AF3AA5"/>
    <w:rsid w:val="00AF3B16"/>
    <w:rsid w:val="00AF4ED3"/>
    <w:rsid w:val="00AF52EA"/>
    <w:rsid w:val="00AF53D3"/>
    <w:rsid w:val="00AF5908"/>
    <w:rsid w:val="00AF5B4E"/>
    <w:rsid w:val="00AF5C66"/>
    <w:rsid w:val="00AF60D5"/>
    <w:rsid w:val="00AF61EC"/>
    <w:rsid w:val="00AF637E"/>
    <w:rsid w:val="00AF638E"/>
    <w:rsid w:val="00AF7119"/>
    <w:rsid w:val="00AF72B1"/>
    <w:rsid w:val="00AF7689"/>
    <w:rsid w:val="00B008DF"/>
    <w:rsid w:val="00B00B31"/>
    <w:rsid w:val="00B01D33"/>
    <w:rsid w:val="00B01E45"/>
    <w:rsid w:val="00B023EC"/>
    <w:rsid w:val="00B02C82"/>
    <w:rsid w:val="00B02D9F"/>
    <w:rsid w:val="00B02F54"/>
    <w:rsid w:val="00B032BE"/>
    <w:rsid w:val="00B034BE"/>
    <w:rsid w:val="00B037DE"/>
    <w:rsid w:val="00B039C7"/>
    <w:rsid w:val="00B0426A"/>
    <w:rsid w:val="00B044CB"/>
    <w:rsid w:val="00B051FC"/>
    <w:rsid w:val="00B05A99"/>
    <w:rsid w:val="00B05F51"/>
    <w:rsid w:val="00B06512"/>
    <w:rsid w:val="00B069A2"/>
    <w:rsid w:val="00B10392"/>
    <w:rsid w:val="00B10766"/>
    <w:rsid w:val="00B108DD"/>
    <w:rsid w:val="00B10CA9"/>
    <w:rsid w:val="00B10D9D"/>
    <w:rsid w:val="00B1162E"/>
    <w:rsid w:val="00B11FCA"/>
    <w:rsid w:val="00B12C1F"/>
    <w:rsid w:val="00B14135"/>
    <w:rsid w:val="00B1433E"/>
    <w:rsid w:val="00B152BC"/>
    <w:rsid w:val="00B1627F"/>
    <w:rsid w:val="00B165B9"/>
    <w:rsid w:val="00B16C86"/>
    <w:rsid w:val="00B20D79"/>
    <w:rsid w:val="00B21537"/>
    <w:rsid w:val="00B2175B"/>
    <w:rsid w:val="00B21869"/>
    <w:rsid w:val="00B22CA8"/>
    <w:rsid w:val="00B238FA"/>
    <w:rsid w:val="00B2627A"/>
    <w:rsid w:val="00B26AD3"/>
    <w:rsid w:val="00B27E0C"/>
    <w:rsid w:val="00B27E96"/>
    <w:rsid w:val="00B30517"/>
    <w:rsid w:val="00B30B0D"/>
    <w:rsid w:val="00B30DC3"/>
    <w:rsid w:val="00B31AA2"/>
    <w:rsid w:val="00B3228A"/>
    <w:rsid w:val="00B33413"/>
    <w:rsid w:val="00B33724"/>
    <w:rsid w:val="00B34172"/>
    <w:rsid w:val="00B34F62"/>
    <w:rsid w:val="00B35233"/>
    <w:rsid w:val="00B35380"/>
    <w:rsid w:val="00B35788"/>
    <w:rsid w:val="00B35A80"/>
    <w:rsid w:val="00B35C69"/>
    <w:rsid w:val="00B35F18"/>
    <w:rsid w:val="00B36FF9"/>
    <w:rsid w:val="00B411A9"/>
    <w:rsid w:val="00B411D1"/>
    <w:rsid w:val="00B42A6F"/>
    <w:rsid w:val="00B42F64"/>
    <w:rsid w:val="00B4328E"/>
    <w:rsid w:val="00B439E6"/>
    <w:rsid w:val="00B453D8"/>
    <w:rsid w:val="00B458F0"/>
    <w:rsid w:val="00B45D4D"/>
    <w:rsid w:val="00B4619E"/>
    <w:rsid w:val="00B46848"/>
    <w:rsid w:val="00B46D0F"/>
    <w:rsid w:val="00B5013D"/>
    <w:rsid w:val="00B502FA"/>
    <w:rsid w:val="00B50327"/>
    <w:rsid w:val="00B513E8"/>
    <w:rsid w:val="00B5186D"/>
    <w:rsid w:val="00B528BA"/>
    <w:rsid w:val="00B52CF7"/>
    <w:rsid w:val="00B5355E"/>
    <w:rsid w:val="00B542BF"/>
    <w:rsid w:val="00B54324"/>
    <w:rsid w:val="00B54937"/>
    <w:rsid w:val="00B555D8"/>
    <w:rsid w:val="00B56902"/>
    <w:rsid w:val="00B56C11"/>
    <w:rsid w:val="00B56CB6"/>
    <w:rsid w:val="00B600D2"/>
    <w:rsid w:val="00B604DD"/>
    <w:rsid w:val="00B60536"/>
    <w:rsid w:val="00B6067E"/>
    <w:rsid w:val="00B60CC0"/>
    <w:rsid w:val="00B60DFA"/>
    <w:rsid w:val="00B6190C"/>
    <w:rsid w:val="00B62221"/>
    <w:rsid w:val="00B634C9"/>
    <w:rsid w:val="00B636E8"/>
    <w:rsid w:val="00B6433F"/>
    <w:rsid w:val="00B6458D"/>
    <w:rsid w:val="00B64DF9"/>
    <w:rsid w:val="00B6639D"/>
    <w:rsid w:val="00B66537"/>
    <w:rsid w:val="00B66921"/>
    <w:rsid w:val="00B669AA"/>
    <w:rsid w:val="00B669E6"/>
    <w:rsid w:val="00B67070"/>
    <w:rsid w:val="00B672A9"/>
    <w:rsid w:val="00B6767C"/>
    <w:rsid w:val="00B70480"/>
    <w:rsid w:val="00B706F9"/>
    <w:rsid w:val="00B70866"/>
    <w:rsid w:val="00B712F5"/>
    <w:rsid w:val="00B713C2"/>
    <w:rsid w:val="00B71EB5"/>
    <w:rsid w:val="00B72615"/>
    <w:rsid w:val="00B729A0"/>
    <w:rsid w:val="00B72A73"/>
    <w:rsid w:val="00B72AC8"/>
    <w:rsid w:val="00B739B0"/>
    <w:rsid w:val="00B73AE1"/>
    <w:rsid w:val="00B73CC0"/>
    <w:rsid w:val="00B74918"/>
    <w:rsid w:val="00B75D40"/>
    <w:rsid w:val="00B760A3"/>
    <w:rsid w:val="00B76147"/>
    <w:rsid w:val="00B7639E"/>
    <w:rsid w:val="00B763F5"/>
    <w:rsid w:val="00B76642"/>
    <w:rsid w:val="00B76860"/>
    <w:rsid w:val="00B76CE4"/>
    <w:rsid w:val="00B76E3B"/>
    <w:rsid w:val="00B77285"/>
    <w:rsid w:val="00B77475"/>
    <w:rsid w:val="00B77EC4"/>
    <w:rsid w:val="00B80B8F"/>
    <w:rsid w:val="00B80E0B"/>
    <w:rsid w:val="00B825CC"/>
    <w:rsid w:val="00B83A2A"/>
    <w:rsid w:val="00B84FA1"/>
    <w:rsid w:val="00B8514B"/>
    <w:rsid w:val="00B8531A"/>
    <w:rsid w:val="00B856CA"/>
    <w:rsid w:val="00B85BF5"/>
    <w:rsid w:val="00B85F7A"/>
    <w:rsid w:val="00B866F1"/>
    <w:rsid w:val="00B86978"/>
    <w:rsid w:val="00B86E6A"/>
    <w:rsid w:val="00B87D3B"/>
    <w:rsid w:val="00B87EED"/>
    <w:rsid w:val="00B90014"/>
    <w:rsid w:val="00B905DE"/>
    <w:rsid w:val="00B91081"/>
    <w:rsid w:val="00B91C6E"/>
    <w:rsid w:val="00B91F66"/>
    <w:rsid w:val="00B92503"/>
    <w:rsid w:val="00B93856"/>
    <w:rsid w:val="00B93FD3"/>
    <w:rsid w:val="00B95D8A"/>
    <w:rsid w:val="00B96086"/>
    <w:rsid w:val="00B96B07"/>
    <w:rsid w:val="00B96E83"/>
    <w:rsid w:val="00B97E7D"/>
    <w:rsid w:val="00BA0E19"/>
    <w:rsid w:val="00BA14F4"/>
    <w:rsid w:val="00BA1746"/>
    <w:rsid w:val="00BA1C7A"/>
    <w:rsid w:val="00BA278C"/>
    <w:rsid w:val="00BA2B89"/>
    <w:rsid w:val="00BA3964"/>
    <w:rsid w:val="00BA3F9D"/>
    <w:rsid w:val="00BA59B5"/>
    <w:rsid w:val="00BA5BB4"/>
    <w:rsid w:val="00BA6972"/>
    <w:rsid w:val="00BA7530"/>
    <w:rsid w:val="00BA7707"/>
    <w:rsid w:val="00BA7868"/>
    <w:rsid w:val="00BA7D65"/>
    <w:rsid w:val="00BA7F15"/>
    <w:rsid w:val="00BB03F7"/>
    <w:rsid w:val="00BB06BF"/>
    <w:rsid w:val="00BB07D1"/>
    <w:rsid w:val="00BB0F7E"/>
    <w:rsid w:val="00BB106C"/>
    <w:rsid w:val="00BB1705"/>
    <w:rsid w:val="00BB176D"/>
    <w:rsid w:val="00BB17BD"/>
    <w:rsid w:val="00BB19DE"/>
    <w:rsid w:val="00BB1B11"/>
    <w:rsid w:val="00BB24DB"/>
    <w:rsid w:val="00BB2958"/>
    <w:rsid w:val="00BB36A4"/>
    <w:rsid w:val="00BB3950"/>
    <w:rsid w:val="00BB43EF"/>
    <w:rsid w:val="00BB450B"/>
    <w:rsid w:val="00BB4E37"/>
    <w:rsid w:val="00BB55A0"/>
    <w:rsid w:val="00BB5ACA"/>
    <w:rsid w:val="00BB5B52"/>
    <w:rsid w:val="00BB5CBF"/>
    <w:rsid w:val="00BB5D6A"/>
    <w:rsid w:val="00BB69BE"/>
    <w:rsid w:val="00BB6F8E"/>
    <w:rsid w:val="00BB73E3"/>
    <w:rsid w:val="00BB7819"/>
    <w:rsid w:val="00BB78B9"/>
    <w:rsid w:val="00BC06F3"/>
    <w:rsid w:val="00BC15FF"/>
    <w:rsid w:val="00BC16D4"/>
    <w:rsid w:val="00BC1DC2"/>
    <w:rsid w:val="00BC3096"/>
    <w:rsid w:val="00BC33F1"/>
    <w:rsid w:val="00BC3C9F"/>
    <w:rsid w:val="00BC479C"/>
    <w:rsid w:val="00BC6175"/>
    <w:rsid w:val="00BC642C"/>
    <w:rsid w:val="00BC6488"/>
    <w:rsid w:val="00BC66B6"/>
    <w:rsid w:val="00BC7627"/>
    <w:rsid w:val="00BC7F42"/>
    <w:rsid w:val="00BD0016"/>
    <w:rsid w:val="00BD00F9"/>
    <w:rsid w:val="00BD0101"/>
    <w:rsid w:val="00BD1A8E"/>
    <w:rsid w:val="00BD1AE1"/>
    <w:rsid w:val="00BD2444"/>
    <w:rsid w:val="00BD246C"/>
    <w:rsid w:val="00BD3227"/>
    <w:rsid w:val="00BD36B2"/>
    <w:rsid w:val="00BD402F"/>
    <w:rsid w:val="00BD4A16"/>
    <w:rsid w:val="00BD4E1D"/>
    <w:rsid w:val="00BD4F8C"/>
    <w:rsid w:val="00BD509B"/>
    <w:rsid w:val="00BD5424"/>
    <w:rsid w:val="00BD57F8"/>
    <w:rsid w:val="00BD6703"/>
    <w:rsid w:val="00BD711A"/>
    <w:rsid w:val="00BD72F4"/>
    <w:rsid w:val="00BD799F"/>
    <w:rsid w:val="00BD7BC6"/>
    <w:rsid w:val="00BD7D3E"/>
    <w:rsid w:val="00BD7EF3"/>
    <w:rsid w:val="00BD7F0A"/>
    <w:rsid w:val="00BE0AEF"/>
    <w:rsid w:val="00BE0F19"/>
    <w:rsid w:val="00BE1672"/>
    <w:rsid w:val="00BE2516"/>
    <w:rsid w:val="00BE2B96"/>
    <w:rsid w:val="00BE2E31"/>
    <w:rsid w:val="00BE3EDD"/>
    <w:rsid w:val="00BE44F0"/>
    <w:rsid w:val="00BE4A11"/>
    <w:rsid w:val="00BE5544"/>
    <w:rsid w:val="00BE685B"/>
    <w:rsid w:val="00BF0A3F"/>
    <w:rsid w:val="00BF0D18"/>
    <w:rsid w:val="00BF1B20"/>
    <w:rsid w:val="00BF1D62"/>
    <w:rsid w:val="00BF25C3"/>
    <w:rsid w:val="00BF484A"/>
    <w:rsid w:val="00BF4EFB"/>
    <w:rsid w:val="00BF5289"/>
    <w:rsid w:val="00BF590E"/>
    <w:rsid w:val="00BF5C7D"/>
    <w:rsid w:val="00BF6223"/>
    <w:rsid w:val="00BF7188"/>
    <w:rsid w:val="00BF75B4"/>
    <w:rsid w:val="00BF787E"/>
    <w:rsid w:val="00BF7B50"/>
    <w:rsid w:val="00C00102"/>
    <w:rsid w:val="00C0049A"/>
    <w:rsid w:val="00C00730"/>
    <w:rsid w:val="00C00866"/>
    <w:rsid w:val="00C00A21"/>
    <w:rsid w:val="00C00D88"/>
    <w:rsid w:val="00C00DBC"/>
    <w:rsid w:val="00C01C73"/>
    <w:rsid w:val="00C01FA0"/>
    <w:rsid w:val="00C026F4"/>
    <w:rsid w:val="00C02991"/>
    <w:rsid w:val="00C02E69"/>
    <w:rsid w:val="00C03F90"/>
    <w:rsid w:val="00C03FE8"/>
    <w:rsid w:val="00C040BC"/>
    <w:rsid w:val="00C04441"/>
    <w:rsid w:val="00C05231"/>
    <w:rsid w:val="00C05B28"/>
    <w:rsid w:val="00C06FAD"/>
    <w:rsid w:val="00C07A2E"/>
    <w:rsid w:val="00C07E1E"/>
    <w:rsid w:val="00C07F0E"/>
    <w:rsid w:val="00C114EC"/>
    <w:rsid w:val="00C1218E"/>
    <w:rsid w:val="00C12A70"/>
    <w:rsid w:val="00C1341D"/>
    <w:rsid w:val="00C14540"/>
    <w:rsid w:val="00C1464B"/>
    <w:rsid w:val="00C150B0"/>
    <w:rsid w:val="00C1584D"/>
    <w:rsid w:val="00C15D0E"/>
    <w:rsid w:val="00C172EC"/>
    <w:rsid w:val="00C17A11"/>
    <w:rsid w:val="00C217CD"/>
    <w:rsid w:val="00C226E7"/>
    <w:rsid w:val="00C23832"/>
    <w:rsid w:val="00C23AB6"/>
    <w:rsid w:val="00C23D57"/>
    <w:rsid w:val="00C242BB"/>
    <w:rsid w:val="00C24AD0"/>
    <w:rsid w:val="00C24CEB"/>
    <w:rsid w:val="00C25020"/>
    <w:rsid w:val="00C25028"/>
    <w:rsid w:val="00C255BF"/>
    <w:rsid w:val="00C255EC"/>
    <w:rsid w:val="00C25C4F"/>
    <w:rsid w:val="00C26359"/>
    <w:rsid w:val="00C2667B"/>
    <w:rsid w:val="00C267F2"/>
    <w:rsid w:val="00C27321"/>
    <w:rsid w:val="00C2797C"/>
    <w:rsid w:val="00C27D64"/>
    <w:rsid w:val="00C30739"/>
    <w:rsid w:val="00C313ED"/>
    <w:rsid w:val="00C31A29"/>
    <w:rsid w:val="00C31C6F"/>
    <w:rsid w:val="00C31E0B"/>
    <w:rsid w:val="00C324CF"/>
    <w:rsid w:val="00C32810"/>
    <w:rsid w:val="00C336F3"/>
    <w:rsid w:val="00C34AD7"/>
    <w:rsid w:val="00C3624E"/>
    <w:rsid w:val="00C36702"/>
    <w:rsid w:val="00C36FCF"/>
    <w:rsid w:val="00C36FF2"/>
    <w:rsid w:val="00C3757C"/>
    <w:rsid w:val="00C37D6D"/>
    <w:rsid w:val="00C4035D"/>
    <w:rsid w:val="00C40559"/>
    <w:rsid w:val="00C406C3"/>
    <w:rsid w:val="00C41C7F"/>
    <w:rsid w:val="00C41D48"/>
    <w:rsid w:val="00C41D7B"/>
    <w:rsid w:val="00C42132"/>
    <w:rsid w:val="00C4300F"/>
    <w:rsid w:val="00C43814"/>
    <w:rsid w:val="00C43F56"/>
    <w:rsid w:val="00C459E6"/>
    <w:rsid w:val="00C463E4"/>
    <w:rsid w:val="00C46DBA"/>
    <w:rsid w:val="00C50167"/>
    <w:rsid w:val="00C501F8"/>
    <w:rsid w:val="00C516E6"/>
    <w:rsid w:val="00C520F1"/>
    <w:rsid w:val="00C52E02"/>
    <w:rsid w:val="00C5311A"/>
    <w:rsid w:val="00C53A7B"/>
    <w:rsid w:val="00C5411A"/>
    <w:rsid w:val="00C54867"/>
    <w:rsid w:val="00C549C4"/>
    <w:rsid w:val="00C557E0"/>
    <w:rsid w:val="00C567E0"/>
    <w:rsid w:val="00C56E2F"/>
    <w:rsid w:val="00C56E7D"/>
    <w:rsid w:val="00C56FFE"/>
    <w:rsid w:val="00C57B2B"/>
    <w:rsid w:val="00C61977"/>
    <w:rsid w:val="00C61EE2"/>
    <w:rsid w:val="00C62139"/>
    <w:rsid w:val="00C62B6C"/>
    <w:rsid w:val="00C62ECA"/>
    <w:rsid w:val="00C6335C"/>
    <w:rsid w:val="00C6380E"/>
    <w:rsid w:val="00C6539D"/>
    <w:rsid w:val="00C65748"/>
    <w:rsid w:val="00C65848"/>
    <w:rsid w:val="00C65968"/>
    <w:rsid w:val="00C65E58"/>
    <w:rsid w:val="00C67C31"/>
    <w:rsid w:val="00C67D5C"/>
    <w:rsid w:val="00C70101"/>
    <w:rsid w:val="00C703C6"/>
    <w:rsid w:val="00C70490"/>
    <w:rsid w:val="00C709EE"/>
    <w:rsid w:val="00C713FF"/>
    <w:rsid w:val="00C71472"/>
    <w:rsid w:val="00C71CC1"/>
    <w:rsid w:val="00C71D94"/>
    <w:rsid w:val="00C71EF2"/>
    <w:rsid w:val="00C724CE"/>
    <w:rsid w:val="00C725FF"/>
    <w:rsid w:val="00C73CAB"/>
    <w:rsid w:val="00C73D1A"/>
    <w:rsid w:val="00C73D34"/>
    <w:rsid w:val="00C73FCF"/>
    <w:rsid w:val="00C74B24"/>
    <w:rsid w:val="00C7533B"/>
    <w:rsid w:val="00C76C7C"/>
    <w:rsid w:val="00C76C87"/>
    <w:rsid w:val="00C77B02"/>
    <w:rsid w:val="00C77B49"/>
    <w:rsid w:val="00C80D10"/>
    <w:rsid w:val="00C8152D"/>
    <w:rsid w:val="00C8192C"/>
    <w:rsid w:val="00C819ED"/>
    <w:rsid w:val="00C81C0D"/>
    <w:rsid w:val="00C81F48"/>
    <w:rsid w:val="00C82B21"/>
    <w:rsid w:val="00C8459E"/>
    <w:rsid w:val="00C850A5"/>
    <w:rsid w:val="00C865AE"/>
    <w:rsid w:val="00C86A23"/>
    <w:rsid w:val="00C86E98"/>
    <w:rsid w:val="00C86FBA"/>
    <w:rsid w:val="00C90104"/>
    <w:rsid w:val="00C91E65"/>
    <w:rsid w:val="00C91F5F"/>
    <w:rsid w:val="00C9247F"/>
    <w:rsid w:val="00C92ECF"/>
    <w:rsid w:val="00C92F06"/>
    <w:rsid w:val="00C9333A"/>
    <w:rsid w:val="00C937B4"/>
    <w:rsid w:val="00C938BB"/>
    <w:rsid w:val="00C94416"/>
    <w:rsid w:val="00C947F9"/>
    <w:rsid w:val="00C950FF"/>
    <w:rsid w:val="00C95232"/>
    <w:rsid w:val="00C95651"/>
    <w:rsid w:val="00C958F1"/>
    <w:rsid w:val="00C95C47"/>
    <w:rsid w:val="00C96704"/>
    <w:rsid w:val="00C96AA9"/>
    <w:rsid w:val="00C96DC6"/>
    <w:rsid w:val="00C96E24"/>
    <w:rsid w:val="00C97FE5"/>
    <w:rsid w:val="00CA0B60"/>
    <w:rsid w:val="00CA1486"/>
    <w:rsid w:val="00CA1A1F"/>
    <w:rsid w:val="00CA1C5B"/>
    <w:rsid w:val="00CA294F"/>
    <w:rsid w:val="00CA3196"/>
    <w:rsid w:val="00CA4339"/>
    <w:rsid w:val="00CA4450"/>
    <w:rsid w:val="00CA4496"/>
    <w:rsid w:val="00CA5142"/>
    <w:rsid w:val="00CA5EEB"/>
    <w:rsid w:val="00CA7781"/>
    <w:rsid w:val="00CB0097"/>
    <w:rsid w:val="00CB07AC"/>
    <w:rsid w:val="00CB1ECC"/>
    <w:rsid w:val="00CB33F9"/>
    <w:rsid w:val="00CB3471"/>
    <w:rsid w:val="00CB3E68"/>
    <w:rsid w:val="00CB4452"/>
    <w:rsid w:val="00CB4A17"/>
    <w:rsid w:val="00CB5098"/>
    <w:rsid w:val="00CB5514"/>
    <w:rsid w:val="00CB5EC1"/>
    <w:rsid w:val="00CB5F8C"/>
    <w:rsid w:val="00CB6088"/>
    <w:rsid w:val="00CB64A7"/>
    <w:rsid w:val="00CB670E"/>
    <w:rsid w:val="00CB6EE3"/>
    <w:rsid w:val="00CB6FE1"/>
    <w:rsid w:val="00CB7B8B"/>
    <w:rsid w:val="00CC07FF"/>
    <w:rsid w:val="00CC08E5"/>
    <w:rsid w:val="00CC0E4F"/>
    <w:rsid w:val="00CC0FEE"/>
    <w:rsid w:val="00CC1A9B"/>
    <w:rsid w:val="00CC1B85"/>
    <w:rsid w:val="00CC1BAA"/>
    <w:rsid w:val="00CC1C5F"/>
    <w:rsid w:val="00CC1C89"/>
    <w:rsid w:val="00CC288B"/>
    <w:rsid w:val="00CC2D56"/>
    <w:rsid w:val="00CC3249"/>
    <w:rsid w:val="00CC344F"/>
    <w:rsid w:val="00CC3C8C"/>
    <w:rsid w:val="00CC3F01"/>
    <w:rsid w:val="00CC3FFE"/>
    <w:rsid w:val="00CC4915"/>
    <w:rsid w:val="00CC6654"/>
    <w:rsid w:val="00CC78A2"/>
    <w:rsid w:val="00CC7F47"/>
    <w:rsid w:val="00CC7FF6"/>
    <w:rsid w:val="00CD077B"/>
    <w:rsid w:val="00CD10B6"/>
    <w:rsid w:val="00CD1732"/>
    <w:rsid w:val="00CD20A6"/>
    <w:rsid w:val="00CD24D5"/>
    <w:rsid w:val="00CD2ADF"/>
    <w:rsid w:val="00CD2B1C"/>
    <w:rsid w:val="00CD2E1F"/>
    <w:rsid w:val="00CD3027"/>
    <w:rsid w:val="00CD3297"/>
    <w:rsid w:val="00CD4473"/>
    <w:rsid w:val="00CD4A1F"/>
    <w:rsid w:val="00CD552D"/>
    <w:rsid w:val="00CD5635"/>
    <w:rsid w:val="00CD56C3"/>
    <w:rsid w:val="00CD5E71"/>
    <w:rsid w:val="00CD5F1A"/>
    <w:rsid w:val="00CD6B35"/>
    <w:rsid w:val="00CD6CDB"/>
    <w:rsid w:val="00CD6E7D"/>
    <w:rsid w:val="00CD7699"/>
    <w:rsid w:val="00CD7918"/>
    <w:rsid w:val="00CD7AAE"/>
    <w:rsid w:val="00CE1FD9"/>
    <w:rsid w:val="00CE2CB2"/>
    <w:rsid w:val="00CE312D"/>
    <w:rsid w:val="00CE3D1B"/>
    <w:rsid w:val="00CE47B7"/>
    <w:rsid w:val="00CE49AB"/>
    <w:rsid w:val="00CE51DA"/>
    <w:rsid w:val="00CE549C"/>
    <w:rsid w:val="00CE5906"/>
    <w:rsid w:val="00CE592B"/>
    <w:rsid w:val="00CE6919"/>
    <w:rsid w:val="00CE722C"/>
    <w:rsid w:val="00CE7B78"/>
    <w:rsid w:val="00CE7BA7"/>
    <w:rsid w:val="00CE7D7C"/>
    <w:rsid w:val="00CE7EC3"/>
    <w:rsid w:val="00CF04CD"/>
    <w:rsid w:val="00CF094A"/>
    <w:rsid w:val="00CF0C20"/>
    <w:rsid w:val="00CF12C2"/>
    <w:rsid w:val="00CF1A75"/>
    <w:rsid w:val="00CF1D7D"/>
    <w:rsid w:val="00CF22A8"/>
    <w:rsid w:val="00CF24AA"/>
    <w:rsid w:val="00CF3799"/>
    <w:rsid w:val="00CF457A"/>
    <w:rsid w:val="00CF4B81"/>
    <w:rsid w:val="00CF5CE9"/>
    <w:rsid w:val="00CF79A8"/>
    <w:rsid w:val="00CF7DB0"/>
    <w:rsid w:val="00D00402"/>
    <w:rsid w:val="00D004F4"/>
    <w:rsid w:val="00D00FE1"/>
    <w:rsid w:val="00D015AF"/>
    <w:rsid w:val="00D01863"/>
    <w:rsid w:val="00D01CBA"/>
    <w:rsid w:val="00D01F8E"/>
    <w:rsid w:val="00D02225"/>
    <w:rsid w:val="00D02995"/>
    <w:rsid w:val="00D0351F"/>
    <w:rsid w:val="00D036B5"/>
    <w:rsid w:val="00D03F17"/>
    <w:rsid w:val="00D0461F"/>
    <w:rsid w:val="00D04F4F"/>
    <w:rsid w:val="00D05BE1"/>
    <w:rsid w:val="00D07331"/>
    <w:rsid w:val="00D07616"/>
    <w:rsid w:val="00D07CA0"/>
    <w:rsid w:val="00D102E6"/>
    <w:rsid w:val="00D1096C"/>
    <w:rsid w:val="00D11CDE"/>
    <w:rsid w:val="00D11DD7"/>
    <w:rsid w:val="00D123D2"/>
    <w:rsid w:val="00D125F2"/>
    <w:rsid w:val="00D131E4"/>
    <w:rsid w:val="00D13CFD"/>
    <w:rsid w:val="00D14705"/>
    <w:rsid w:val="00D14746"/>
    <w:rsid w:val="00D14C71"/>
    <w:rsid w:val="00D14E47"/>
    <w:rsid w:val="00D151F6"/>
    <w:rsid w:val="00D1524A"/>
    <w:rsid w:val="00D16686"/>
    <w:rsid w:val="00D173FF"/>
    <w:rsid w:val="00D17443"/>
    <w:rsid w:val="00D20461"/>
    <w:rsid w:val="00D20B1E"/>
    <w:rsid w:val="00D21830"/>
    <w:rsid w:val="00D2245C"/>
    <w:rsid w:val="00D22BB3"/>
    <w:rsid w:val="00D22C91"/>
    <w:rsid w:val="00D237BD"/>
    <w:rsid w:val="00D23CA3"/>
    <w:rsid w:val="00D23EA9"/>
    <w:rsid w:val="00D2401E"/>
    <w:rsid w:val="00D242F4"/>
    <w:rsid w:val="00D24D40"/>
    <w:rsid w:val="00D24EB9"/>
    <w:rsid w:val="00D2505B"/>
    <w:rsid w:val="00D25D21"/>
    <w:rsid w:val="00D25D3E"/>
    <w:rsid w:val="00D260A0"/>
    <w:rsid w:val="00D26140"/>
    <w:rsid w:val="00D272B3"/>
    <w:rsid w:val="00D273A8"/>
    <w:rsid w:val="00D27AEC"/>
    <w:rsid w:val="00D3005E"/>
    <w:rsid w:val="00D30373"/>
    <w:rsid w:val="00D30A19"/>
    <w:rsid w:val="00D30B84"/>
    <w:rsid w:val="00D319DE"/>
    <w:rsid w:val="00D331A7"/>
    <w:rsid w:val="00D332AA"/>
    <w:rsid w:val="00D333F7"/>
    <w:rsid w:val="00D33437"/>
    <w:rsid w:val="00D3357E"/>
    <w:rsid w:val="00D348CA"/>
    <w:rsid w:val="00D34D14"/>
    <w:rsid w:val="00D354C3"/>
    <w:rsid w:val="00D359ED"/>
    <w:rsid w:val="00D365C7"/>
    <w:rsid w:val="00D36B4E"/>
    <w:rsid w:val="00D36C6A"/>
    <w:rsid w:val="00D36EE2"/>
    <w:rsid w:val="00D37399"/>
    <w:rsid w:val="00D376D5"/>
    <w:rsid w:val="00D37985"/>
    <w:rsid w:val="00D37C40"/>
    <w:rsid w:val="00D409DF"/>
    <w:rsid w:val="00D40E04"/>
    <w:rsid w:val="00D4147C"/>
    <w:rsid w:val="00D41D2D"/>
    <w:rsid w:val="00D41EC2"/>
    <w:rsid w:val="00D42754"/>
    <w:rsid w:val="00D43149"/>
    <w:rsid w:val="00D433C2"/>
    <w:rsid w:val="00D43473"/>
    <w:rsid w:val="00D43839"/>
    <w:rsid w:val="00D457B2"/>
    <w:rsid w:val="00D45AEE"/>
    <w:rsid w:val="00D463FA"/>
    <w:rsid w:val="00D46435"/>
    <w:rsid w:val="00D46A33"/>
    <w:rsid w:val="00D46BF5"/>
    <w:rsid w:val="00D4704C"/>
    <w:rsid w:val="00D4742E"/>
    <w:rsid w:val="00D47AAE"/>
    <w:rsid w:val="00D5024B"/>
    <w:rsid w:val="00D50291"/>
    <w:rsid w:val="00D50410"/>
    <w:rsid w:val="00D505C2"/>
    <w:rsid w:val="00D5082E"/>
    <w:rsid w:val="00D50A73"/>
    <w:rsid w:val="00D50D17"/>
    <w:rsid w:val="00D51DD2"/>
    <w:rsid w:val="00D51E8A"/>
    <w:rsid w:val="00D52615"/>
    <w:rsid w:val="00D53CC8"/>
    <w:rsid w:val="00D53E8E"/>
    <w:rsid w:val="00D53E9E"/>
    <w:rsid w:val="00D546C7"/>
    <w:rsid w:val="00D54B3B"/>
    <w:rsid w:val="00D54F99"/>
    <w:rsid w:val="00D553F7"/>
    <w:rsid w:val="00D55554"/>
    <w:rsid w:val="00D561D7"/>
    <w:rsid w:val="00D5766B"/>
    <w:rsid w:val="00D57C05"/>
    <w:rsid w:val="00D57ECF"/>
    <w:rsid w:val="00D60023"/>
    <w:rsid w:val="00D60C59"/>
    <w:rsid w:val="00D60C8C"/>
    <w:rsid w:val="00D61ADB"/>
    <w:rsid w:val="00D61F91"/>
    <w:rsid w:val="00D62669"/>
    <w:rsid w:val="00D63E2A"/>
    <w:rsid w:val="00D65B7A"/>
    <w:rsid w:val="00D660EA"/>
    <w:rsid w:val="00D66A86"/>
    <w:rsid w:val="00D673C1"/>
    <w:rsid w:val="00D67D74"/>
    <w:rsid w:val="00D67FC7"/>
    <w:rsid w:val="00D7038F"/>
    <w:rsid w:val="00D710C0"/>
    <w:rsid w:val="00D714B5"/>
    <w:rsid w:val="00D715A0"/>
    <w:rsid w:val="00D71F26"/>
    <w:rsid w:val="00D720A1"/>
    <w:rsid w:val="00D72C9C"/>
    <w:rsid w:val="00D73654"/>
    <w:rsid w:val="00D73B5F"/>
    <w:rsid w:val="00D74B76"/>
    <w:rsid w:val="00D74CD4"/>
    <w:rsid w:val="00D755E2"/>
    <w:rsid w:val="00D75692"/>
    <w:rsid w:val="00D75E14"/>
    <w:rsid w:val="00D762B3"/>
    <w:rsid w:val="00D76F71"/>
    <w:rsid w:val="00D77D4D"/>
    <w:rsid w:val="00D806FB"/>
    <w:rsid w:val="00D80C6A"/>
    <w:rsid w:val="00D812F5"/>
    <w:rsid w:val="00D8152F"/>
    <w:rsid w:val="00D8199A"/>
    <w:rsid w:val="00D82174"/>
    <w:rsid w:val="00D82223"/>
    <w:rsid w:val="00D8233B"/>
    <w:rsid w:val="00D82652"/>
    <w:rsid w:val="00D82BA6"/>
    <w:rsid w:val="00D833A5"/>
    <w:rsid w:val="00D83B9B"/>
    <w:rsid w:val="00D83E5E"/>
    <w:rsid w:val="00D84B32"/>
    <w:rsid w:val="00D8501D"/>
    <w:rsid w:val="00D85E13"/>
    <w:rsid w:val="00D862D7"/>
    <w:rsid w:val="00D8638C"/>
    <w:rsid w:val="00D86434"/>
    <w:rsid w:val="00D8657E"/>
    <w:rsid w:val="00D86A39"/>
    <w:rsid w:val="00D870A4"/>
    <w:rsid w:val="00D903FB"/>
    <w:rsid w:val="00D9051C"/>
    <w:rsid w:val="00D90705"/>
    <w:rsid w:val="00D90A31"/>
    <w:rsid w:val="00D91694"/>
    <w:rsid w:val="00D9243B"/>
    <w:rsid w:val="00D9252C"/>
    <w:rsid w:val="00D929B2"/>
    <w:rsid w:val="00D92AB0"/>
    <w:rsid w:val="00D936B5"/>
    <w:rsid w:val="00D93827"/>
    <w:rsid w:val="00D94223"/>
    <w:rsid w:val="00D94C91"/>
    <w:rsid w:val="00D95118"/>
    <w:rsid w:val="00D953B0"/>
    <w:rsid w:val="00D95663"/>
    <w:rsid w:val="00D95D9E"/>
    <w:rsid w:val="00D95F01"/>
    <w:rsid w:val="00D96C88"/>
    <w:rsid w:val="00D96F49"/>
    <w:rsid w:val="00D9775A"/>
    <w:rsid w:val="00DA00A7"/>
    <w:rsid w:val="00DA118B"/>
    <w:rsid w:val="00DA12DB"/>
    <w:rsid w:val="00DA14EC"/>
    <w:rsid w:val="00DA20D3"/>
    <w:rsid w:val="00DA21AA"/>
    <w:rsid w:val="00DA2BF4"/>
    <w:rsid w:val="00DA2E50"/>
    <w:rsid w:val="00DA3028"/>
    <w:rsid w:val="00DA3281"/>
    <w:rsid w:val="00DA33F5"/>
    <w:rsid w:val="00DA3606"/>
    <w:rsid w:val="00DA382F"/>
    <w:rsid w:val="00DA3C03"/>
    <w:rsid w:val="00DA48AA"/>
    <w:rsid w:val="00DA48F2"/>
    <w:rsid w:val="00DA529B"/>
    <w:rsid w:val="00DA59B2"/>
    <w:rsid w:val="00DA5A1E"/>
    <w:rsid w:val="00DA7456"/>
    <w:rsid w:val="00DA78CE"/>
    <w:rsid w:val="00DB137D"/>
    <w:rsid w:val="00DB292B"/>
    <w:rsid w:val="00DB47C8"/>
    <w:rsid w:val="00DB480A"/>
    <w:rsid w:val="00DB4D31"/>
    <w:rsid w:val="00DB5553"/>
    <w:rsid w:val="00DB6289"/>
    <w:rsid w:val="00DB6B90"/>
    <w:rsid w:val="00DB74C7"/>
    <w:rsid w:val="00DB7510"/>
    <w:rsid w:val="00DB7762"/>
    <w:rsid w:val="00DB7EBF"/>
    <w:rsid w:val="00DC1C6E"/>
    <w:rsid w:val="00DC22B7"/>
    <w:rsid w:val="00DC234D"/>
    <w:rsid w:val="00DC2608"/>
    <w:rsid w:val="00DC29AE"/>
    <w:rsid w:val="00DC2C31"/>
    <w:rsid w:val="00DC2D4C"/>
    <w:rsid w:val="00DC2EDC"/>
    <w:rsid w:val="00DC34F0"/>
    <w:rsid w:val="00DC5130"/>
    <w:rsid w:val="00DC524A"/>
    <w:rsid w:val="00DC5EFE"/>
    <w:rsid w:val="00DC6540"/>
    <w:rsid w:val="00DC6AF3"/>
    <w:rsid w:val="00DC6D0F"/>
    <w:rsid w:val="00DC73BC"/>
    <w:rsid w:val="00DC7493"/>
    <w:rsid w:val="00DC792D"/>
    <w:rsid w:val="00DD019D"/>
    <w:rsid w:val="00DD0484"/>
    <w:rsid w:val="00DD060A"/>
    <w:rsid w:val="00DD0BB9"/>
    <w:rsid w:val="00DD1830"/>
    <w:rsid w:val="00DD1844"/>
    <w:rsid w:val="00DD1857"/>
    <w:rsid w:val="00DD2B31"/>
    <w:rsid w:val="00DD3111"/>
    <w:rsid w:val="00DD3563"/>
    <w:rsid w:val="00DD3E83"/>
    <w:rsid w:val="00DD59F4"/>
    <w:rsid w:val="00DD6276"/>
    <w:rsid w:val="00DD67C2"/>
    <w:rsid w:val="00DD6F14"/>
    <w:rsid w:val="00DD72A8"/>
    <w:rsid w:val="00DD734F"/>
    <w:rsid w:val="00DD7A23"/>
    <w:rsid w:val="00DE0721"/>
    <w:rsid w:val="00DE1179"/>
    <w:rsid w:val="00DE31A5"/>
    <w:rsid w:val="00DE377C"/>
    <w:rsid w:val="00DE379C"/>
    <w:rsid w:val="00DE3805"/>
    <w:rsid w:val="00DE386D"/>
    <w:rsid w:val="00DE3A86"/>
    <w:rsid w:val="00DE3B7F"/>
    <w:rsid w:val="00DE3FD9"/>
    <w:rsid w:val="00DE41A3"/>
    <w:rsid w:val="00DE45B9"/>
    <w:rsid w:val="00DE4A5E"/>
    <w:rsid w:val="00DE5312"/>
    <w:rsid w:val="00DE548E"/>
    <w:rsid w:val="00DE62DE"/>
    <w:rsid w:val="00DE63B4"/>
    <w:rsid w:val="00DE73A5"/>
    <w:rsid w:val="00DE7778"/>
    <w:rsid w:val="00DE795D"/>
    <w:rsid w:val="00DE7A56"/>
    <w:rsid w:val="00DE7B01"/>
    <w:rsid w:val="00DE7CFA"/>
    <w:rsid w:val="00DF06AC"/>
    <w:rsid w:val="00DF084C"/>
    <w:rsid w:val="00DF23D7"/>
    <w:rsid w:val="00DF29CC"/>
    <w:rsid w:val="00DF3591"/>
    <w:rsid w:val="00DF4424"/>
    <w:rsid w:val="00DF49E1"/>
    <w:rsid w:val="00DF578F"/>
    <w:rsid w:val="00DF579E"/>
    <w:rsid w:val="00DF6060"/>
    <w:rsid w:val="00DF6AF9"/>
    <w:rsid w:val="00DF6B6E"/>
    <w:rsid w:val="00DF7B07"/>
    <w:rsid w:val="00E00283"/>
    <w:rsid w:val="00E0099B"/>
    <w:rsid w:val="00E01299"/>
    <w:rsid w:val="00E0136B"/>
    <w:rsid w:val="00E016CD"/>
    <w:rsid w:val="00E01754"/>
    <w:rsid w:val="00E0194C"/>
    <w:rsid w:val="00E01AB0"/>
    <w:rsid w:val="00E02CD6"/>
    <w:rsid w:val="00E0343A"/>
    <w:rsid w:val="00E042C2"/>
    <w:rsid w:val="00E046EF"/>
    <w:rsid w:val="00E04F2C"/>
    <w:rsid w:val="00E05220"/>
    <w:rsid w:val="00E05C2C"/>
    <w:rsid w:val="00E05DE7"/>
    <w:rsid w:val="00E05E9D"/>
    <w:rsid w:val="00E0673E"/>
    <w:rsid w:val="00E067E7"/>
    <w:rsid w:val="00E06DFA"/>
    <w:rsid w:val="00E06E50"/>
    <w:rsid w:val="00E06EC6"/>
    <w:rsid w:val="00E0766A"/>
    <w:rsid w:val="00E07CC9"/>
    <w:rsid w:val="00E10696"/>
    <w:rsid w:val="00E107DB"/>
    <w:rsid w:val="00E10CA4"/>
    <w:rsid w:val="00E1294A"/>
    <w:rsid w:val="00E12BD1"/>
    <w:rsid w:val="00E12CD5"/>
    <w:rsid w:val="00E12D18"/>
    <w:rsid w:val="00E13380"/>
    <w:rsid w:val="00E13681"/>
    <w:rsid w:val="00E13839"/>
    <w:rsid w:val="00E13AF2"/>
    <w:rsid w:val="00E14006"/>
    <w:rsid w:val="00E14086"/>
    <w:rsid w:val="00E1421E"/>
    <w:rsid w:val="00E1435D"/>
    <w:rsid w:val="00E1459F"/>
    <w:rsid w:val="00E150C0"/>
    <w:rsid w:val="00E15210"/>
    <w:rsid w:val="00E156D3"/>
    <w:rsid w:val="00E15926"/>
    <w:rsid w:val="00E16A21"/>
    <w:rsid w:val="00E17266"/>
    <w:rsid w:val="00E17D9A"/>
    <w:rsid w:val="00E17F11"/>
    <w:rsid w:val="00E2076E"/>
    <w:rsid w:val="00E21EB6"/>
    <w:rsid w:val="00E23CF3"/>
    <w:rsid w:val="00E23F90"/>
    <w:rsid w:val="00E245B8"/>
    <w:rsid w:val="00E25E4C"/>
    <w:rsid w:val="00E25FAE"/>
    <w:rsid w:val="00E262B8"/>
    <w:rsid w:val="00E26FE0"/>
    <w:rsid w:val="00E27497"/>
    <w:rsid w:val="00E275C3"/>
    <w:rsid w:val="00E277B4"/>
    <w:rsid w:val="00E3058C"/>
    <w:rsid w:val="00E30B9E"/>
    <w:rsid w:val="00E3106A"/>
    <w:rsid w:val="00E3120B"/>
    <w:rsid w:val="00E3192F"/>
    <w:rsid w:val="00E320ED"/>
    <w:rsid w:val="00E331AB"/>
    <w:rsid w:val="00E33670"/>
    <w:rsid w:val="00E33ED1"/>
    <w:rsid w:val="00E34226"/>
    <w:rsid w:val="00E35E0C"/>
    <w:rsid w:val="00E36518"/>
    <w:rsid w:val="00E36BC7"/>
    <w:rsid w:val="00E40021"/>
    <w:rsid w:val="00E40382"/>
    <w:rsid w:val="00E4038E"/>
    <w:rsid w:val="00E40AA7"/>
    <w:rsid w:val="00E41959"/>
    <w:rsid w:val="00E42668"/>
    <w:rsid w:val="00E42B1D"/>
    <w:rsid w:val="00E42D3E"/>
    <w:rsid w:val="00E43292"/>
    <w:rsid w:val="00E44AFA"/>
    <w:rsid w:val="00E45FD9"/>
    <w:rsid w:val="00E462FD"/>
    <w:rsid w:val="00E4633F"/>
    <w:rsid w:val="00E46505"/>
    <w:rsid w:val="00E46C42"/>
    <w:rsid w:val="00E46CB4"/>
    <w:rsid w:val="00E472A5"/>
    <w:rsid w:val="00E473D2"/>
    <w:rsid w:val="00E4747E"/>
    <w:rsid w:val="00E50D33"/>
    <w:rsid w:val="00E5108E"/>
    <w:rsid w:val="00E511A9"/>
    <w:rsid w:val="00E51278"/>
    <w:rsid w:val="00E513B0"/>
    <w:rsid w:val="00E514A6"/>
    <w:rsid w:val="00E516F7"/>
    <w:rsid w:val="00E517D7"/>
    <w:rsid w:val="00E5182C"/>
    <w:rsid w:val="00E52017"/>
    <w:rsid w:val="00E52536"/>
    <w:rsid w:val="00E52AC7"/>
    <w:rsid w:val="00E52CFF"/>
    <w:rsid w:val="00E52DEE"/>
    <w:rsid w:val="00E530D1"/>
    <w:rsid w:val="00E532B8"/>
    <w:rsid w:val="00E53A21"/>
    <w:rsid w:val="00E53ED3"/>
    <w:rsid w:val="00E54078"/>
    <w:rsid w:val="00E556C0"/>
    <w:rsid w:val="00E556CF"/>
    <w:rsid w:val="00E56119"/>
    <w:rsid w:val="00E562A1"/>
    <w:rsid w:val="00E56D07"/>
    <w:rsid w:val="00E5727C"/>
    <w:rsid w:val="00E57556"/>
    <w:rsid w:val="00E57DDF"/>
    <w:rsid w:val="00E605D7"/>
    <w:rsid w:val="00E61516"/>
    <w:rsid w:val="00E61C13"/>
    <w:rsid w:val="00E61DC5"/>
    <w:rsid w:val="00E62257"/>
    <w:rsid w:val="00E62D53"/>
    <w:rsid w:val="00E63171"/>
    <w:rsid w:val="00E63F0D"/>
    <w:rsid w:val="00E6451E"/>
    <w:rsid w:val="00E64704"/>
    <w:rsid w:val="00E647B0"/>
    <w:rsid w:val="00E65521"/>
    <w:rsid w:val="00E65D30"/>
    <w:rsid w:val="00E67342"/>
    <w:rsid w:val="00E67628"/>
    <w:rsid w:val="00E67A1D"/>
    <w:rsid w:val="00E700AE"/>
    <w:rsid w:val="00E70522"/>
    <w:rsid w:val="00E70605"/>
    <w:rsid w:val="00E709C9"/>
    <w:rsid w:val="00E714B1"/>
    <w:rsid w:val="00E7179D"/>
    <w:rsid w:val="00E7283F"/>
    <w:rsid w:val="00E728B5"/>
    <w:rsid w:val="00E72F26"/>
    <w:rsid w:val="00E73765"/>
    <w:rsid w:val="00E73DC3"/>
    <w:rsid w:val="00E73EDC"/>
    <w:rsid w:val="00E74767"/>
    <w:rsid w:val="00E759CB"/>
    <w:rsid w:val="00E75F70"/>
    <w:rsid w:val="00E76339"/>
    <w:rsid w:val="00E775D0"/>
    <w:rsid w:val="00E80326"/>
    <w:rsid w:val="00E80A06"/>
    <w:rsid w:val="00E8197E"/>
    <w:rsid w:val="00E81BBC"/>
    <w:rsid w:val="00E81D9C"/>
    <w:rsid w:val="00E825C6"/>
    <w:rsid w:val="00E82AE5"/>
    <w:rsid w:val="00E8409E"/>
    <w:rsid w:val="00E863F7"/>
    <w:rsid w:val="00E865A8"/>
    <w:rsid w:val="00E869DB"/>
    <w:rsid w:val="00E875BF"/>
    <w:rsid w:val="00E91164"/>
    <w:rsid w:val="00E9141C"/>
    <w:rsid w:val="00E917AC"/>
    <w:rsid w:val="00E918D9"/>
    <w:rsid w:val="00E927A6"/>
    <w:rsid w:val="00E928E1"/>
    <w:rsid w:val="00E92DC9"/>
    <w:rsid w:val="00E92EC0"/>
    <w:rsid w:val="00E9333F"/>
    <w:rsid w:val="00E94194"/>
    <w:rsid w:val="00E95205"/>
    <w:rsid w:val="00E952A0"/>
    <w:rsid w:val="00EA12A6"/>
    <w:rsid w:val="00EA12BB"/>
    <w:rsid w:val="00EA1FE6"/>
    <w:rsid w:val="00EA22F9"/>
    <w:rsid w:val="00EA2AA4"/>
    <w:rsid w:val="00EA2EBA"/>
    <w:rsid w:val="00EA32FF"/>
    <w:rsid w:val="00EA3459"/>
    <w:rsid w:val="00EA41E1"/>
    <w:rsid w:val="00EA5B3A"/>
    <w:rsid w:val="00EA5BCE"/>
    <w:rsid w:val="00EA654A"/>
    <w:rsid w:val="00EA68DA"/>
    <w:rsid w:val="00EB177B"/>
    <w:rsid w:val="00EB179C"/>
    <w:rsid w:val="00EB1E96"/>
    <w:rsid w:val="00EB212F"/>
    <w:rsid w:val="00EB30B0"/>
    <w:rsid w:val="00EB3376"/>
    <w:rsid w:val="00EB35E7"/>
    <w:rsid w:val="00EB443A"/>
    <w:rsid w:val="00EB4708"/>
    <w:rsid w:val="00EB552F"/>
    <w:rsid w:val="00EB5BF8"/>
    <w:rsid w:val="00EB6455"/>
    <w:rsid w:val="00EB6F27"/>
    <w:rsid w:val="00EB7346"/>
    <w:rsid w:val="00EB78B2"/>
    <w:rsid w:val="00EB79A3"/>
    <w:rsid w:val="00EC0389"/>
    <w:rsid w:val="00EC0F50"/>
    <w:rsid w:val="00EC13FE"/>
    <w:rsid w:val="00EC160E"/>
    <w:rsid w:val="00EC16C4"/>
    <w:rsid w:val="00EC1AE5"/>
    <w:rsid w:val="00EC1DFD"/>
    <w:rsid w:val="00EC1FEF"/>
    <w:rsid w:val="00EC2EE8"/>
    <w:rsid w:val="00EC3108"/>
    <w:rsid w:val="00EC407D"/>
    <w:rsid w:val="00EC5153"/>
    <w:rsid w:val="00EC61A5"/>
    <w:rsid w:val="00EC63F0"/>
    <w:rsid w:val="00EC6C25"/>
    <w:rsid w:val="00EC7192"/>
    <w:rsid w:val="00EC75DB"/>
    <w:rsid w:val="00EC76A8"/>
    <w:rsid w:val="00EC7B09"/>
    <w:rsid w:val="00EC7C25"/>
    <w:rsid w:val="00EC7FF7"/>
    <w:rsid w:val="00ED00E5"/>
    <w:rsid w:val="00ED0319"/>
    <w:rsid w:val="00ED0757"/>
    <w:rsid w:val="00ED0B1E"/>
    <w:rsid w:val="00ED1DEE"/>
    <w:rsid w:val="00ED2881"/>
    <w:rsid w:val="00ED2AFF"/>
    <w:rsid w:val="00ED2CD9"/>
    <w:rsid w:val="00ED2E06"/>
    <w:rsid w:val="00ED30EB"/>
    <w:rsid w:val="00ED3FF4"/>
    <w:rsid w:val="00ED588C"/>
    <w:rsid w:val="00ED5ADF"/>
    <w:rsid w:val="00ED6351"/>
    <w:rsid w:val="00ED6639"/>
    <w:rsid w:val="00ED7996"/>
    <w:rsid w:val="00EE0ED9"/>
    <w:rsid w:val="00EE1FB9"/>
    <w:rsid w:val="00EE3082"/>
    <w:rsid w:val="00EE3700"/>
    <w:rsid w:val="00EE46AD"/>
    <w:rsid w:val="00EE4DAD"/>
    <w:rsid w:val="00EE5E60"/>
    <w:rsid w:val="00EE6610"/>
    <w:rsid w:val="00EE68B5"/>
    <w:rsid w:val="00EE77D9"/>
    <w:rsid w:val="00EE77EA"/>
    <w:rsid w:val="00EF0CBB"/>
    <w:rsid w:val="00EF1023"/>
    <w:rsid w:val="00EF108F"/>
    <w:rsid w:val="00EF185C"/>
    <w:rsid w:val="00EF19B1"/>
    <w:rsid w:val="00EF230D"/>
    <w:rsid w:val="00EF2EED"/>
    <w:rsid w:val="00EF31A6"/>
    <w:rsid w:val="00EF3A81"/>
    <w:rsid w:val="00EF3C79"/>
    <w:rsid w:val="00EF3F27"/>
    <w:rsid w:val="00EF46A6"/>
    <w:rsid w:val="00EF46EC"/>
    <w:rsid w:val="00EF54F0"/>
    <w:rsid w:val="00EF57DF"/>
    <w:rsid w:val="00EF7507"/>
    <w:rsid w:val="00EF7988"/>
    <w:rsid w:val="00F002B8"/>
    <w:rsid w:val="00F014AB"/>
    <w:rsid w:val="00F0199E"/>
    <w:rsid w:val="00F02678"/>
    <w:rsid w:val="00F029F7"/>
    <w:rsid w:val="00F02A1B"/>
    <w:rsid w:val="00F02EE8"/>
    <w:rsid w:val="00F03CAF"/>
    <w:rsid w:val="00F05AF0"/>
    <w:rsid w:val="00F05F8F"/>
    <w:rsid w:val="00F06044"/>
    <w:rsid w:val="00F063B6"/>
    <w:rsid w:val="00F071D3"/>
    <w:rsid w:val="00F07A83"/>
    <w:rsid w:val="00F1181F"/>
    <w:rsid w:val="00F11BC3"/>
    <w:rsid w:val="00F11FA8"/>
    <w:rsid w:val="00F12972"/>
    <w:rsid w:val="00F14A80"/>
    <w:rsid w:val="00F154D0"/>
    <w:rsid w:val="00F15CD5"/>
    <w:rsid w:val="00F165F6"/>
    <w:rsid w:val="00F16688"/>
    <w:rsid w:val="00F16921"/>
    <w:rsid w:val="00F171A4"/>
    <w:rsid w:val="00F172B1"/>
    <w:rsid w:val="00F175F2"/>
    <w:rsid w:val="00F17E85"/>
    <w:rsid w:val="00F20DF5"/>
    <w:rsid w:val="00F21250"/>
    <w:rsid w:val="00F2146D"/>
    <w:rsid w:val="00F21683"/>
    <w:rsid w:val="00F22EA2"/>
    <w:rsid w:val="00F23DF9"/>
    <w:rsid w:val="00F24C52"/>
    <w:rsid w:val="00F24DB0"/>
    <w:rsid w:val="00F25433"/>
    <w:rsid w:val="00F25BE5"/>
    <w:rsid w:val="00F26A73"/>
    <w:rsid w:val="00F26C7A"/>
    <w:rsid w:val="00F2741C"/>
    <w:rsid w:val="00F277F9"/>
    <w:rsid w:val="00F279A3"/>
    <w:rsid w:val="00F27C04"/>
    <w:rsid w:val="00F311AB"/>
    <w:rsid w:val="00F31805"/>
    <w:rsid w:val="00F31AB9"/>
    <w:rsid w:val="00F32208"/>
    <w:rsid w:val="00F329E7"/>
    <w:rsid w:val="00F329F9"/>
    <w:rsid w:val="00F3421B"/>
    <w:rsid w:val="00F342E2"/>
    <w:rsid w:val="00F3445C"/>
    <w:rsid w:val="00F3527E"/>
    <w:rsid w:val="00F35966"/>
    <w:rsid w:val="00F35E4D"/>
    <w:rsid w:val="00F35E71"/>
    <w:rsid w:val="00F36432"/>
    <w:rsid w:val="00F36503"/>
    <w:rsid w:val="00F373E4"/>
    <w:rsid w:val="00F37CDD"/>
    <w:rsid w:val="00F4078D"/>
    <w:rsid w:val="00F4093C"/>
    <w:rsid w:val="00F40BF4"/>
    <w:rsid w:val="00F40C5B"/>
    <w:rsid w:val="00F41BF3"/>
    <w:rsid w:val="00F41E88"/>
    <w:rsid w:val="00F425EC"/>
    <w:rsid w:val="00F429F1"/>
    <w:rsid w:val="00F42F3F"/>
    <w:rsid w:val="00F430A6"/>
    <w:rsid w:val="00F4366B"/>
    <w:rsid w:val="00F43B82"/>
    <w:rsid w:val="00F44337"/>
    <w:rsid w:val="00F4502D"/>
    <w:rsid w:val="00F452E1"/>
    <w:rsid w:val="00F4580A"/>
    <w:rsid w:val="00F45959"/>
    <w:rsid w:val="00F461DC"/>
    <w:rsid w:val="00F46239"/>
    <w:rsid w:val="00F46CA6"/>
    <w:rsid w:val="00F46DA6"/>
    <w:rsid w:val="00F46ED0"/>
    <w:rsid w:val="00F47C12"/>
    <w:rsid w:val="00F50248"/>
    <w:rsid w:val="00F50C89"/>
    <w:rsid w:val="00F50F94"/>
    <w:rsid w:val="00F510A1"/>
    <w:rsid w:val="00F5181B"/>
    <w:rsid w:val="00F51C30"/>
    <w:rsid w:val="00F522FD"/>
    <w:rsid w:val="00F5238C"/>
    <w:rsid w:val="00F53469"/>
    <w:rsid w:val="00F53E2E"/>
    <w:rsid w:val="00F54070"/>
    <w:rsid w:val="00F542F4"/>
    <w:rsid w:val="00F546F7"/>
    <w:rsid w:val="00F54786"/>
    <w:rsid w:val="00F547E5"/>
    <w:rsid w:val="00F551BE"/>
    <w:rsid w:val="00F55848"/>
    <w:rsid w:val="00F56323"/>
    <w:rsid w:val="00F56374"/>
    <w:rsid w:val="00F564C0"/>
    <w:rsid w:val="00F571D6"/>
    <w:rsid w:val="00F576B3"/>
    <w:rsid w:val="00F578EC"/>
    <w:rsid w:val="00F609D2"/>
    <w:rsid w:val="00F61600"/>
    <w:rsid w:val="00F61B38"/>
    <w:rsid w:val="00F62271"/>
    <w:rsid w:val="00F62285"/>
    <w:rsid w:val="00F62EFA"/>
    <w:rsid w:val="00F630E5"/>
    <w:rsid w:val="00F63244"/>
    <w:rsid w:val="00F63A5F"/>
    <w:rsid w:val="00F674A1"/>
    <w:rsid w:val="00F67874"/>
    <w:rsid w:val="00F67AB4"/>
    <w:rsid w:val="00F67ABC"/>
    <w:rsid w:val="00F703D1"/>
    <w:rsid w:val="00F70848"/>
    <w:rsid w:val="00F70DC0"/>
    <w:rsid w:val="00F711A6"/>
    <w:rsid w:val="00F71550"/>
    <w:rsid w:val="00F7278A"/>
    <w:rsid w:val="00F7279B"/>
    <w:rsid w:val="00F72E6E"/>
    <w:rsid w:val="00F73D4C"/>
    <w:rsid w:val="00F74A27"/>
    <w:rsid w:val="00F74B16"/>
    <w:rsid w:val="00F75C43"/>
    <w:rsid w:val="00F75EFE"/>
    <w:rsid w:val="00F765E6"/>
    <w:rsid w:val="00F76F9E"/>
    <w:rsid w:val="00F7717C"/>
    <w:rsid w:val="00F77215"/>
    <w:rsid w:val="00F8079B"/>
    <w:rsid w:val="00F82464"/>
    <w:rsid w:val="00F8302F"/>
    <w:rsid w:val="00F83369"/>
    <w:rsid w:val="00F83768"/>
    <w:rsid w:val="00F83D28"/>
    <w:rsid w:val="00F83D97"/>
    <w:rsid w:val="00F84411"/>
    <w:rsid w:val="00F84B56"/>
    <w:rsid w:val="00F8550F"/>
    <w:rsid w:val="00F85858"/>
    <w:rsid w:val="00F85A0F"/>
    <w:rsid w:val="00F85D8B"/>
    <w:rsid w:val="00F8634A"/>
    <w:rsid w:val="00F86E84"/>
    <w:rsid w:val="00F87155"/>
    <w:rsid w:val="00F87C2F"/>
    <w:rsid w:val="00F87CE7"/>
    <w:rsid w:val="00F909B1"/>
    <w:rsid w:val="00F9100B"/>
    <w:rsid w:val="00F91384"/>
    <w:rsid w:val="00F914F8"/>
    <w:rsid w:val="00F915C8"/>
    <w:rsid w:val="00F91BBD"/>
    <w:rsid w:val="00F92357"/>
    <w:rsid w:val="00F927E3"/>
    <w:rsid w:val="00F92BE2"/>
    <w:rsid w:val="00F93190"/>
    <w:rsid w:val="00F93F85"/>
    <w:rsid w:val="00F94065"/>
    <w:rsid w:val="00F942F4"/>
    <w:rsid w:val="00F951FD"/>
    <w:rsid w:val="00F95358"/>
    <w:rsid w:val="00F95805"/>
    <w:rsid w:val="00F9589F"/>
    <w:rsid w:val="00F95DAE"/>
    <w:rsid w:val="00F96957"/>
    <w:rsid w:val="00F97739"/>
    <w:rsid w:val="00FA1CC7"/>
    <w:rsid w:val="00FA1D00"/>
    <w:rsid w:val="00FA20C9"/>
    <w:rsid w:val="00FA2818"/>
    <w:rsid w:val="00FA2831"/>
    <w:rsid w:val="00FA2EF9"/>
    <w:rsid w:val="00FA31A8"/>
    <w:rsid w:val="00FA36D1"/>
    <w:rsid w:val="00FA4BC6"/>
    <w:rsid w:val="00FA5014"/>
    <w:rsid w:val="00FA5124"/>
    <w:rsid w:val="00FA51EA"/>
    <w:rsid w:val="00FA54CF"/>
    <w:rsid w:val="00FA601D"/>
    <w:rsid w:val="00FA625D"/>
    <w:rsid w:val="00FA64BE"/>
    <w:rsid w:val="00FA6E33"/>
    <w:rsid w:val="00FA725F"/>
    <w:rsid w:val="00FA7351"/>
    <w:rsid w:val="00FA74BB"/>
    <w:rsid w:val="00FB027D"/>
    <w:rsid w:val="00FB03D4"/>
    <w:rsid w:val="00FB0C82"/>
    <w:rsid w:val="00FB13BA"/>
    <w:rsid w:val="00FB18D4"/>
    <w:rsid w:val="00FB290D"/>
    <w:rsid w:val="00FB2EB2"/>
    <w:rsid w:val="00FB3A0C"/>
    <w:rsid w:val="00FB3CD7"/>
    <w:rsid w:val="00FB5219"/>
    <w:rsid w:val="00FB5520"/>
    <w:rsid w:val="00FB5BEA"/>
    <w:rsid w:val="00FB767B"/>
    <w:rsid w:val="00FC0C4B"/>
    <w:rsid w:val="00FC1877"/>
    <w:rsid w:val="00FC25AF"/>
    <w:rsid w:val="00FC2715"/>
    <w:rsid w:val="00FC3371"/>
    <w:rsid w:val="00FC3725"/>
    <w:rsid w:val="00FC3EC2"/>
    <w:rsid w:val="00FC4C24"/>
    <w:rsid w:val="00FC5047"/>
    <w:rsid w:val="00FC5296"/>
    <w:rsid w:val="00FC53A8"/>
    <w:rsid w:val="00FC5FE3"/>
    <w:rsid w:val="00FC6024"/>
    <w:rsid w:val="00FC631B"/>
    <w:rsid w:val="00FC6638"/>
    <w:rsid w:val="00FC69D5"/>
    <w:rsid w:val="00FC6DB3"/>
    <w:rsid w:val="00FC6E9C"/>
    <w:rsid w:val="00FC6F61"/>
    <w:rsid w:val="00FD0ACB"/>
    <w:rsid w:val="00FD0FC5"/>
    <w:rsid w:val="00FD10BD"/>
    <w:rsid w:val="00FD2D56"/>
    <w:rsid w:val="00FD3068"/>
    <w:rsid w:val="00FD4298"/>
    <w:rsid w:val="00FD4AA8"/>
    <w:rsid w:val="00FD52F4"/>
    <w:rsid w:val="00FD5591"/>
    <w:rsid w:val="00FD5870"/>
    <w:rsid w:val="00FD5A9B"/>
    <w:rsid w:val="00FD5D44"/>
    <w:rsid w:val="00FD7A8A"/>
    <w:rsid w:val="00FE00B0"/>
    <w:rsid w:val="00FE00C2"/>
    <w:rsid w:val="00FE0157"/>
    <w:rsid w:val="00FE106C"/>
    <w:rsid w:val="00FE3346"/>
    <w:rsid w:val="00FE3D9A"/>
    <w:rsid w:val="00FE40D9"/>
    <w:rsid w:val="00FE44EC"/>
    <w:rsid w:val="00FE4B3B"/>
    <w:rsid w:val="00FE5445"/>
    <w:rsid w:val="00FE6385"/>
    <w:rsid w:val="00FE6A75"/>
    <w:rsid w:val="00FF00A0"/>
    <w:rsid w:val="00FF0596"/>
    <w:rsid w:val="00FF0FD5"/>
    <w:rsid w:val="00FF2326"/>
    <w:rsid w:val="00FF2369"/>
    <w:rsid w:val="00FF28CD"/>
    <w:rsid w:val="00FF3E29"/>
    <w:rsid w:val="00FF58D2"/>
    <w:rsid w:val="00FF637E"/>
    <w:rsid w:val="00FF6536"/>
    <w:rsid w:val="00FF65CC"/>
    <w:rsid w:val="00FF67FF"/>
    <w:rsid w:val="00FF6E43"/>
    <w:rsid w:val="00FF7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7D883A"/>
  <w15:docId w15:val="{6BD6108A-DC43-40B8-87AE-F6BA6E50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30"/>
    <w:pPr>
      <w:spacing w:line="360" w:lineRule="auto"/>
      <w:ind w:firstLine="709"/>
    </w:pPr>
    <w:rPr>
      <w:rFonts w:ascii="Arial" w:hAnsi="Arial"/>
      <w:szCs w:val="24"/>
      <w:lang w:val="en-GB"/>
    </w:rPr>
  </w:style>
  <w:style w:type="paragraph" w:styleId="Heading1">
    <w:name w:val="heading 1"/>
    <w:basedOn w:val="Normal"/>
    <w:next w:val="Normal"/>
    <w:link w:val="Heading1Char"/>
    <w:uiPriority w:val="9"/>
    <w:qFormat/>
    <w:rsid w:val="00A927AA"/>
    <w:pPr>
      <w:ind w:firstLine="0"/>
      <w:outlineLvl w:val="0"/>
    </w:pPr>
    <w:rPr>
      <w:b/>
      <w:caps/>
    </w:rPr>
  </w:style>
  <w:style w:type="paragraph" w:styleId="Heading2">
    <w:name w:val="heading 2"/>
    <w:basedOn w:val="Heading1"/>
    <w:next w:val="Normal"/>
    <w:link w:val="Heading2Char"/>
    <w:uiPriority w:val="9"/>
    <w:qFormat/>
    <w:rsid w:val="00A927AA"/>
    <w:pPr>
      <w:keepNext/>
      <w:numPr>
        <w:ilvl w:val="1"/>
      </w:numPr>
      <w:spacing w:before="240" w:after="60"/>
      <w:outlineLvl w:val="1"/>
    </w:pPr>
    <w:rPr>
      <w:bCs/>
      <w:iCs/>
      <w:caps w:val="0"/>
      <w:smallCaps/>
      <w:szCs w:val="28"/>
    </w:rPr>
  </w:style>
  <w:style w:type="paragraph" w:styleId="Heading3">
    <w:name w:val="heading 3"/>
    <w:basedOn w:val="Normal"/>
    <w:next w:val="Normal"/>
    <w:link w:val="Heading3Char"/>
    <w:uiPriority w:val="9"/>
    <w:qFormat/>
    <w:rsid w:val="002F0BBD"/>
    <w:pPr>
      <w:keepNext/>
      <w:spacing w:before="240" w:after="60"/>
      <w:ind w:firstLine="0"/>
      <w:outlineLvl w:val="2"/>
    </w:pPr>
    <w:rPr>
      <w:bCs/>
      <w:i/>
      <w:szCs w:val="20"/>
    </w:rPr>
  </w:style>
  <w:style w:type="paragraph" w:styleId="Heading4">
    <w:name w:val="heading 4"/>
    <w:basedOn w:val="Normal"/>
    <w:next w:val="Normal"/>
    <w:link w:val="Heading4Char"/>
    <w:uiPriority w:val="9"/>
    <w:qFormat/>
    <w:rsid w:val="00ED0B1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D0B1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D0B1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D0B1E"/>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ED0B1E"/>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ED0B1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160C"/>
    <w:rPr>
      <w:color w:val="0000FF"/>
      <w:u w:val="single"/>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link w:val="FootnoteText"/>
    <w:rsid w:val="002D160C"/>
    <w:rPr>
      <w:rFonts w:ascii="Arial" w:hAnsi="Arial"/>
      <w:szCs w:val="24"/>
      <w:lang w:val="en-GB" w:eastAsia="nl-NL" w:bidi="ar-SA"/>
    </w:rPr>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r,Char"/>
    <w:basedOn w:val="Normal"/>
    <w:link w:val="FootnoteTextChar"/>
    <w:rsid w:val="002D160C"/>
    <w:pPr>
      <w:widowControl w:val="0"/>
    </w:pPr>
  </w:style>
  <w:style w:type="character" w:customStyle="1" w:styleId="CommentTextChar">
    <w:name w:val="Comment Text Char"/>
    <w:link w:val="CommentText"/>
    <w:uiPriority w:val="99"/>
    <w:rsid w:val="002D160C"/>
    <w:rPr>
      <w:rFonts w:ascii="Arial" w:hAnsi="Arial"/>
      <w:szCs w:val="24"/>
      <w:lang w:val="en-GB" w:eastAsia="nl-NL" w:bidi="ar-SA"/>
    </w:rPr>
  </w:style>
  <w:style w:type="paragraph" w:styleId="CommentText">
    <w:name w:val="annotation text"/>
    <w:basedOn w:val="Normal"/>
    <w:link w:val="CommentTextChar"/>
    <w:uiPriority w:val="99"/>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ind w:firstLine="0"/>
    </w:pPr>
    <w:rPr>
      <w:rFonts w:ascii="Verdana" w:hAnsi="Verdana"/>
      <w:sz w:val="18"/>
      <w:lang w:eastAsia="en-US"/>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2D160C"/>
    <w:rPr>
      <w:vertAlign w:val="superscript"/>
    </w:rPr>
  </w:style>
  <w:style w:type="character" w:styleId="CommentReference">
    <w:name w:val="annotation reference"/>
    <w:uiPriority w:val="99"/>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ind w:firstLine="0"/>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rPr>
  </w:style>
  <w:style w:type="character" w:customStyle="1" w:styleId="CommentSubjectChar">
    <w:name w:val="Comment Subject 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Heading1Char">
    <w:name w:val="Heading 1 Char"/>
    <w:link w:val="Heading1"/>
    <w:uiPriority w:val="9"/>
    <w:rsid w:val="00A927AA"/>
    <w:rPr>
      <w:rFonts w:ascii="Arial" w:hAnsi="Arial"/>
      <w:b/>
      <w:caps/>
      <w:szCs w:val="24"/>
      <w:lang w:val="en-GB"/>
    </w:rPr>
  </w:style>
  <w:style w:type="paragraph" w:styleId="Title">
    <w:name w:val="Title"/>
    <w:basedOn w:val="Normal"/>
    <w:next w:val="Normal"/>
    <w:link w:val="TitleChar"/>
    <w:uiPriority w:val="10"/>
    <w:qFormat/>
    <w:rsid w:val="00FE40D9"/>
    <w:pPr>
      <w:ind w:firstLine="0"/>
    </w:pPr>
    <w:rPr>
      <w:u w:val="single"/>
    </w:rPr>
  </w:style>
  <w:style w:type="character" w:customStyle="1" w:styleId="TitleChar">
    <w:name w:val="Title Char"/>
    <w:link w:val="Title"/>
    <w:uiPriority w:val="10"/>
    <w:rsid w:val="00FE40D9"/>
    <w:rPr>
      <w:rFonts w:ascii="Arial" w:hAnsi="Arial"/>
      <w:szCs w:val="24"/>
      <w:u w:val="single"/>
    </w:rPr>
  </w:style>
  <w:style w:type="character" w:customStyle="1" w:styleId="Heading3Char">
    <w:name w:val="Heading 3 Char"/>
    <w:link w:val="Heading3"/>
    <w:uiPriority w:val="9"/>
    <w:rsid w:val="002F0BBD"/>
    <w:rPr>
      <w:rFonts w:ascii="Arial" w:hAnsi="Arial"/>
      <w:bCs/>
      <w:i/>
      <w:lang w:val="en-GB"/>
    </w:rPr>
  </w:style>
  <w:style w:type="character" w:customStyle="1" w:styleId="Heading2Char">
    <w:name w:val="Heading 2 Char"/>
    <w:link w:val="Heading2"/>
    <w:uiPriority w:val="9"/>
    <w:rsid w:val="00A927AA"/>
    <w:rPr>
      <w:rFonts w:ascii="Arial" w:hAnsi="Arial"/>
      <w:b/>
      <w:bCs/>
      <w:iCs/>
      <w:smallCaps/>
      <w:szCs w:val="28"/>
      <w:lang w:val="en-GB"/>
    </w:rPr>
  </w:style>
  <w:style w:type="character" w:customStyle="1" w:styleId="Heading4Char">
    <w:name w:val="Heading 4 Char"/>
    <w:link w:val="Heading4"/>
    <w:uiPriority w:val="9"/>
    <w:rsid w:val="00ED0B1E"/>
    <w:rPr>
      <w:rFonts w:ascii="Calibri" w:hAnsi="Calibri"/>
      <w:b/>
      <w:bCs/>
      <w:sz w:val="28"/>
      <w:szCs w:val="28"/>
      <w:lang w:val="en-GB"/>
    </w:rPr>
  </w:style>
  <w:style w:type="character" w:customStyle="1" w:styleId="Heading5Char">
    <w:name w:val="Heading 5 Char"/>
    <w:link w:val="Heading5"/>
    <w:uiPriority w:val="9"/>
    <w:rsid w:val="00ED0B1E"/>
    <w:rPr>
      <w:rFonts w:ascii="Calibri" w:hAnsi="Calibri"/>
      <w:b/>
      <w:bCs/>
      <w:i/>
      <w:iCs/>
      <w:sz w:val="26"/>
      <w:szCs w:val="26"/>
      <w:lang w:val="en-GB"/>
    </w:rPr>
  </w:style>
  <w:style w:type="character" w:customStyle="1" w:styleId="Heading6Char">
    <w:name w:val="Heading 6 Char"/>
    <w:link w:val="Heading6"/>
    <w:uiPriority w:val="9"/>
    <w:rsid w:val="00ED0B1E"/>
    <w:rPr>
      <w:rFonts w:ascii="Calibri" w:hAnsi="Calibri"/>
      <w:b/>
      <w:bCs/>
      <w:sz w:val="22"/>
      <w:szCs w:val="22"/>
      <w:lang w:val="en-GB"/>
    </w:rPr>
  </w:style>
  <w:style w:type="character" w:customStyle="1" w:styleId="Heading7Char">
    <w:name w:val="Heading 7 Char"/>
    <w:link w:val="Heading7"/>
    <w:uiPriority w:val="9"/>
    <w:rsid w:val="00ED0B1E"/>
    <w:rPr>
      <w:rFonts w:ascii="Calibri" w:hAnsi="Calibri"/>
      <w:sz w:val="24"/>
      <w:szCs w:val="24"/>
      <w:lang w:val="en-GB"/>
    </w:rPr>
  </w:style>
  <w:style w:type="character" w:customStyle="1" w:styleId="Heading8Char">
    <w:name w:val="Heading 8 Char"/>
    <w:link w:val="Heading8"/>
    <w:uiPriority w:val="9"/>
    <w:rsid w:val="00ED0B1E"/>
    <w:rPr>
      <w:rFonts w:ascii="Calibri" w:hAnsi="Calibri"/>
      <w:i/>
      <w:iCs/>
      <w:sz w:val="24"/>
      <w:szCs w:val="24"/>
      <w:lang w:val="en-GB"/>
    </w:rPr>
  </w:style>
  <w:style w:type="character" w:customStyle="1" w:styleId="Heading9Char">
    <w:name w:val="Heading 9 Char"/>
    <w:link w:val="Heading9"/>
    <w:uiPriority w:val="9"/>
    <w:rsid w:val="00ED0B1E"/>
    <w:rPr>
      <w:rFonts w:ascii="Cambria" w:hAnsi="Cambria"/>
      <w:sz w:val="22"/>
      <w:szCs w:val="22"/>
      <w:lang w:val="en-GB"/>
    </w:rPr>
  </w:style>
  <w:style w:type="character" w:styleId="FollowedHyperlink">
    <w:name w:val="FollowedHyperlink"/>
    <w:uiPriority w:val="99"/>
    <w:semiHidden/>
    <w:unhideWhenUsed/>
    <w:rsid w:val="00F8634A"/>
    <w:rPr>
      <w:color w:val="800080"/>
      <w:u w:val="single"/>
    </w:rPr>
  </w:style>
  <w:style w:type="character" w:styleId="Emphasis">
    <w:name w:val="Emphasis"/>
    <w:basedOn w:val="DefaultParagraphFont"/>
    <w:uiPriority w:val="20"/>
    <w:qFormat/>
    <w:rsid w:val="000B5D4A"/>
    <w:rPr>
      <w:i/>
      <w:iCs/>
    </w:rPr>
  </w:style>
  <w:style w:type="character" w:customStyle="1" w:styleId="ol1">
    <w:name w:val="ol1"/>
    <w:basedOn w:val="DefaultParagraphFont"/>
    <w:rsid w:val="000B5D4A"/>
  </w:style>
  <w:style w:type="paragraph" w:customStyle="1" w:styleId="labeled2">
    <w:name w:val="labeled2"/>
    <w:basedOn w:val="Normal"/>
    <w:rsid w:val="000B5D4A"/>
    <w:pPr>
      <w:spacing w:line="240" w:lineRule="auto"/>
      <w:ind w:left="1200" w:firstLine="0"/>
    </w:pPr>
    <w:rPr>
      <w:rFonts w:ascii="Times New Roman" w:hAnsi="Times New Roman"/>
      <w:sz w:val="24"/>
      <w:lang w:val="nl-NL"/>
    </w:rPr>
  </w:style>
  <w:style w:type="paragraph" w:styleId="ListParagraph">
    <w:name w:val="List Paragraph"/>
    <w:basedOn w:val="Normal"/>
    <w:uiPriority w:val="34"/>
    <w:qFormat/>
    <w:rsid w:val="004560C1"/>
    <w:pPr>
      <w:spacing w:after="200" w:line="276" w:lineRule="auto"/>
      <w:ind w:left="720" w:firstLine="0"/>
      <w:contextualSpacing/>
    </w:pPr>
    <w:rPr>
      <w:rFonts w:ascii="Calibri" w:hAnsi="Calibri"/>
      <w:sz w:val="22"/>
      <w:szCs w:val="22"/>
      <w:lang w:val="nl-NL"/>
    </w:rPr>
  </w:style>
  <w:style w:type="character" w:customStyle="1" w:styleId="emph-i">
    <w:name w:val="emph-i"/>
    <w:basedOn w:val="DefaultParagraphFont"/>
    <w:rsid w:val="00E472A5"/>
  </w:style>
  <w:style w:type="character" w:customStyle="1" w:styleId="apple-converted-space">
    <w:name w:val="apple-converted-space"/>
    <w:basedOn w:val="DefaultParagraphFont"/>
    <w:rsid w:val="00E472A5"/>
  </w:style>
  <w:style w:type="character" w:customStyle="1" w:styleId="st1">
    <w:name w:val="st1"/>
    <w:basedOn w:val="DefaultParagraphFont"/>
    <w:rsid w:val="003E1069"/>
  </w:style>
  <w:style w:type="paragraph" w:styleId="Revision">
    <w:name w:val="Revision"/>
    <w:hidden/>
    <w:uiPriority w:val="99"/>
    <w:semiHidden/>
    <w:rsid w:val="00206A3B"/>
    <w:rPr>
      <w:rFonts w:ascii="Arial" w:hAnsi="Arial"/>
      <w:szCs w:val="24"/>
      <w:lang w:val="en-GB"/>
    </w:rPr>
  </w:style>
  <w:style w:type="paragraph" w:styleId="NormalWeb">
    <w:name w:val="Normal (Web)"/>
    <w:basedOn w:val="Normal"/>
    <w:uiPriority w:val="99"/>
    <w:unhideWhenUsed/>
    <w:rsid w:val="00D1524A"/>
    <w:pPr>
      <w:spacing w:after="150" w:line="240" w:lineRule="auto"/>
      <w:ind w:firstLine="0"/>
    </w:pPr>
    <w:rPr>
      <w:rFonts w:ascii="Times New Roman" w:hAnsi="Times New Roman"/>
      <w:sz w:val="24"/>
      <w:lang w:val="nl-NL"/>
    </w:rPr>
  </w:style>
  <w:style w:type="paragraph" w:customStyle="1" w:styleId="Char1CharCharCarCarCarCarCarCarCarCarCarCar">
    <w:name w:val="Char1 Char Char Car Car Car Car Car Car Car Car Car Car"/>
    <w:basedOn w:val="Normal"/>
    <w:next w:val="Normal"/>
    <w:link w:val="FootnoteReference"/>
    <w:uiPriority w:val="99"/>
    <w:rsid w:val="00D125F2"/>
    <w:pPr>
      <w:spacing w:after="160" w:line="240" w:lineRule="exact"/>
      <w:ind w:firstLine="0"/>
    </w:pPr>
    <w:rPr>
      <w:rFonts w:ascii="Times New Roman" w:hAnsi="Times New Roman"/>
      <w:szCs w:val="20"/>
      <w:vertAlign w:val="superscript"/>
      <w:lang w:val="nl-NL"/>
    </w:rPr>
  </w:style>
  <w:style w:type="character" w:customStyle="1" w:styleId="FooterChar">
    <w:name w:val="Footer Char"/>
    <w:basedOn w:val="DefaultParagraphFont"/>
    <w:link w:val="Footer"/>
    <w:uiPriority w:val="99"/>
    <w:rsid w:val="00393BD8"/>
    <w:rPr>
      <w:rFonts w:ascii="Arial" w:hAnsi="Arial"/>
      <w:szCs w:val="24"/>
      <w:lang w:val="en-GB"/>
    </w:rPr>
  </w:style>
  <w:style w:type="paragraph" w:customStyle="1" w:styleId="tussenkop">
    <w:name w:val="tussenkop"/>
    <w:basedOn w:val="Normal"/>
    <w:rsid w:val="00D83B9B"/>
    <w:pPr>
      <w:spacing w:after="150" w:line="240" w:lineRule="auto"/>
      <w:ind w:firstLine="0"/>
    </w:pPr>
    <w:rPr>
      <w:rFonts w:ascii="Times New Roman" w:eastAsiaTheme="minorHAnsi" w:hAnsi="Times New Roman"/>
      <w:sz w:val="24"/>
      <w:lang w:val="nl-NL"/>
    </w:rPr>
  </w:style>
  <w:style w:type="character" w:styleId="Strong">
    <w:name w:val="Strong"/>
    <w:basedOn w:val="DefaultParagraphFont"/>
    <w:uiPriority w:val="22"/>
    <w:qFormat/>
    <w:rsid w:val="00D83B9B"/>
    <w:rPr>
      <w:b/>
      <w:bCs/>
    </w:rPr>
  </w:style>
  <w:style w:type="paragraph" w:customStyle="1" w:styleId="Default">
    <w:name w:val="Default"/>
    <w:rsid w:val="00AF72B1"/>
    <w:pPr>
      <w:autoSpaceDE w:val="0"/>
      <w:autoSpaceDN w:val="0"/>
      <w:adjustRightInd w:val="0"/>
    </w:pPr>
    <w:rPr>
      <w:rFonts w:ascii="PNIEI F+ Univers" w:hAnsi="PNIEI F+ Univers" w:cs="PNIEI F+ Univers"/>
      <w:color w:val="000000"/>
      <w:sz w:val="24"/>
      <w:szCs w:val="24"/>
    </w:rPr>
  </w:style>
  <w:style w:type="paragraph" w:customStyle="1" w:styleId="Heading51">
    <w:name w:val="Heading 51"/>
    <w:basedOn w:val="Normal"/>
    <w:next w:val="Normal"/>
    <w:autoRedefine/>
    <w:uiPriority w:val="9"/>
    <w:unhideWhenUsed/>
    <w:qFormat/>
    <w:rsid w:val="0042093D"/>
    <w:pPr>
      <w:keepNext/>
      <w:keepLines/>
      <w:spacing w:before="40" w:line="259" w:lineRule="auto"/>
      <w:ind w:firstLine="0"/>
      <w:outlineLvl w:val="4"/>
    </w:pPr>
    <w:rPr>
      <w:rFonts w:ascii="Verdana" w:hAnsi="Verdana"/>
      <w:b/>
      <w:sz w:val="18"/>
      <w:szCs w:val="20"/>
      <w:lang w:val="fr-BE" w:eastAsia="en-US"/>
    </w:rPr>
  </w:style>
  <w:style w:type="paragraph" w:styleId="NoSpacing">
    <w:name w:val="No Spacing"/>
    <w:uiPriority w:val="1"/>
    <w:qFormat/>
    <w:rsid w:val="00166F0F"/>
    <w:pPr>
      <w:ind w:firstLine="709"/>
    </w:pPr>
    <w:rPr>
      <w:rFonts w:ascii="Arial" w:hAnsi="Arial"/>
      <w:szCs w:val="24"/>
      <w:lang w:val="en-GB"/>
    </w:rPr>
  </w:style>
  <w:style w:type="paragraph" w:customStyle="1" w:styleId="lid">
    <w:name w:val="lid"/>
    <w:basedOn w:val="Normal"/>
    <w:rsid w:val="0018765B"/>
    <w:pPr>
      <w:spacing w:before="100" w:beforeAutospacing="1" w:after="100" w:afterAutospacing="1" w:line="240" w:lineRule="auto"/>
      <w:ind w:firstLine="0"/>
    </w:pPr>
    <w:rPr>
      <w:rFonts w:ascii="Times New Roman" w:hAnsi="Times New Roman"/>
      <w:sz w:val="24"/>
      <w:lang w:val="nl-NL"/>
    </w:rPr>
  </w:style>
  <w:style w:type="character" w:customStyle="1" w:styleId="lidnr">
    <w:name w:val="lidnr"/>
    <w:basedOn w:val="DefaultParagraphFont"/>
    <w:rsid w:val="0018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607">
      <w:bodyDiv w:val="1"/>
      <w:marLeft w:val="0"/>
      <w:marRight w:val="0"/>
      <w:marTop w:val="0"/>
      <w:marBottom w:val="0"/>
      <w:divBdr>
        <w:top w:val="none" w:sz="0" w:space="0" w:color="auto"/>
        <w:left w:val="none" w:sz="0" w:space="0" w:color="auto"/>
        <w:bottom w:val="none" w:sz="0" w:space="0" w:color="auto"/>
        <w:right w:val="none" w:sz="0" w:space="0" w:color="auto"/>
      </w:divBdr>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138776">
      <w:bodyDiv w:val="1"/>
      <w:marLeft w:val="0"/>
      <w:marRight w:val="0"/>
      <w:marTop w:val="0"/>
      <w:marBottom w:val="0"/>
      <w:divBdr>
        <w:top w:val="none" w:sz="0" w:space="0" w:color="auto"/>
        <w:left w:val="none" w:sz="0" w:space="0" w:color="auto"/>
        <w:bottom w:val="none" w:sz="0" w:space="0" w:color="auto"/>
        <w:right w:val="none" w:sz="0" w:space="0" w:color="auto"/>
      </w:divBdr>
    </w:div>
    <w:div w:id="239025990">
      <w:bodyDiv w:val="1"/>
      <w:marLeft w:val="0"/>
      <w:marRight w:val="0"/>
      <w:marTop w:val="0"/>
      <w:marBottom w:val="0"/>
      <w:divBdr>
        <w:top w:val="none" w:sz="0" w:space="0" w:color="auto"/>
        <w:left w:val="none" w:sz="0" w:space="0" w:color="auto"/>
        <w:bottom w:val="none" w:sz="0" w:space="0" w:color="auto"/>
        <w:right w:val="none" w:sz="0" w:space="0" w:color="auto"/>
      </w:divBdr>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922146">
      <w:bodyDiv w:val="1"/>
      <w:marLeft w:val="0"/>
      <w:marRight w:val="0"/>
      <w:marTop w:val="0"/>
      <w:marBottom w:val="0"/>
      <w:divBdr>
        <w:top w:val="none" w:sz="0" w:space="0" w:color="auto"/>
        <w:left w:val="none" w:sz="0" w:space="0" w:color="auto"/>
        <w:bottom w:val="none" w:sz="0" w:space="0" w:color="auto"/>
        <w:right w:val="none" w:sz="0" w:space="0" w:color="auto"/>
      </w:divBdr>
      <w:divsChild>
        <w:div w:id="826551406">
          <w:marLeft w:val="0"/>
          <w:marRight w:val="0"/>
          <w:marTop w:val="0"/>
          <w:marBottom w:val="0"/>
          <w:divBdr>
            <w:top w:val="none" w:sz="0" w:space="0" w:color="auto"/>
            <w:left w:val="none" w:sz="0" w:space="0" w:color="auto"/>
            <w:bottom w:val="none" w:sz="0" w:space="0" w:color="auto"/>
            <w:right w:val="none" w:sz="0" w:space="0" w:color="auto"/>
          </w:divBdr>
        </w:div>
      </w:divsChild>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60026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14077">
          <w:marLeft w:val="0"/>
          <w:marRight w:val="0"/>
          <w:marTop w:val="0"/>
          <w:marBottom w:val="300"/>
          <w:divBdr>
            <w:top w:val="none" w:sz="0" w:space="0" w:color="auto"/>
            <w:left w:val="none" w:sz="0" w:space="0" w:color="auto"/>
            <w:bottom w:val="none" w:sz="0" w:space="0" w:color="auto"/>
            <w:right w:val="none" w:sz="0" w:space="0" w:color="auto"/>
          </w:divBdr>
          <w:divsChild>
            <w:div w:id="2105105816">
              <w:marLeft w:val="0"/>
              <w:marRight w:val="0"/>
              <w:marTop w:val="0"/>
              <w:marBottom w:val="0"/>
              <w:divBdr>
                <w:top w:val="none" w:sz="0" w:space="0" w:color="auto"/>
                <w:left w:val="none" w:sz="0" w:space="0" w:color="auto"/>
                <w:bottom w:val="none" w:sz="0" w:space="0" w:color="auto"/>
                <w:right w:val="none" w:sz="0" w:space="0" w:color="auto"/>
              </w:divBdr>
              <w:divsChild>
                <w:div w:id="1547141022">
                  <w:marLeft w:val="0"/>
                  <w:marRight w:val="0"/>
                  <w:marTop w:val="0"/>
                  <w:marBottom w:val="0"/>
                  <w:divBdr>
                    <w:top w:val="none" w:sz="0" w:space="0" w:color="auto"/>
                    <w:left w:val="none" w:sz="0" w:space="0" w:color="auto"/>
                    <w:bottom w:val="none" w:sz="0" w:space="0" w:color="auto"/>
                    <w:right w:val="none" w:sz="0" w:space="0" w:color="auto"/>
                  </w:divBdr>
                  <w:divsChild>
                    <w:div w:id="2032486434">
                      <w:marLeft w:val="0"/>
                      <w:marRight w:val="0"/>
                      <w:marTop w:val="0"/>
                      <w:marBottom w:val="0"/>
                      <w:divBdr>
                        <w:top w:val="none" w:sz="0" w:space="0" w:color="auto"/>
                        <w:left w:val="none" w:sz="0" w:space="0" w:color="auto"/>
                        <w:bottom w:val="none" w:sz="0" w:space="0" w:color="auto"/>
                        <w:right w:val="none" w:sz="0" w:space="0" w:color="auto"/>
                      </w:divBdr>
                      <w:divsChild>
                        <w:div w:id="1981573477">
                          <w:marLeft w:val="0"/>
                          <w:marRight w:val="0"/>
                          <w:marTop w:val="0"/>
                          <w:marBottom w:val="0"/>
                          <w:divBdr>
                            <w:top w:val="none" w:sz="0" w:space="0" w:color="auto"/>
                            <w:left w:val="none" w:sz="0" w:space="0" w:color="auto"/>
                            <w:bottom w:val="none" w:sz="0" w:space="0" w:color="auto"/>
                            <w:right w:val="none" w:sz="0" w:space="0" w:color="auto"/>
                          </w:divBdr>
                          <w:divsChild>
                            <w:div w:id="13801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666514331">
      <w:bodyDiv w:val="1"/>
      <w:marLeft w:val="0"/>
      <w:marRight w:val="0"/>
      <w:marTop w:val="0"/>
      <w:marBottom w:val="0"/>
      <w:divBdr>
        <w:top w:val="none" w:sz="0" w:space="0" w:color="auto"/>
        <w:left w:val="none" w:sz="0" w:space="0" w:color="auto"/>
        <w:bottom w:val="none" w:sz="0" w:space="0" w:color="auto"/>
        <w:right w:val="none" w:sz="0" w:space="0" w:color="auto"/>
      </w:divBdr>
      <w:divsChild>
        <w:div w:id="834884678">
          <w:marLeft w:val="0"/>
          <w:marRight w:val="0"/>
          <w:marTop w:val="0"/>
          <w:marBottom w:val="300"/>
          <w:divBdr>
            <w:top w:val="none" w:sz="0" w:space="0" w:color="auto"/>
            <w:left w:val="none" w:sz="0" w:space="0" w:color="auto"/>
            <w:bottom w:val="none" w:sz="0" w:space="0" w:color="auto"/>
            <w:right w:val="none" w:sz="0" w:space="0" w:color="auto"/>
          </w:divBdr>
          <w:divsChild>
            <w:div w:id="2053798918">
              <w:marLeft w:val="0"/>
              <w:marRight w:val="0"/>
              <w:marTop w:val="0"/>
              <w:marBottom w:val="0"/>
              <w:divBdr>
                <w:top w:val="none" w:sz="0" w:space="0" w:color="auto"/>
                <w:left w:val="none" w:sz="0" w:space="0" w:color="auto"/>
                <w:bottom w:val="none" w:sz="0" w:space="0" w:color="auto"/>
                <w:right w:val="none" w:sz="0" w:space="0" w:color="auto"/>
              </w:divBdr>
              <w:divsChild>
                <w:div w:id="120660944">
                  <w:marLeft w:val="0"/>
                  <w:marRight w:val="0"/>
                  <w:marTop w:val="0"/>
                  <w:marBottom w:val="0"/>
                  <w:divBdr>
                    <w:top w:val="none" w:sz="0" w:space="0" w:color="auto"/>
                    <w:left w:val="none" w:sz="0" w:space="0" w:color="auto"/>
                    <w:bottom w:val="none" w:sz="0" w:space="0" w:color="auto"/>
                    <w:right w:val="none" w:sz="0" w:space="0" w:color="auto"/>
                  </w:divBdr>
                  <w:divsChild>
                    <w:div w:id="511991531">
                      <w:marLeft w:val="0"/>
                      <w:marRight w:val="0"/>
                      <w:marTop w:val="0"/>
                      <w:marBottom w:val="0"/>
                      <w:divBdr>
                        <w:top w:val="none" w:sz="0" w:space="0" w:color="auto"/>
                        <w:left w:val="none" w:sz="0" w:space="0" w:color="auto"/>
                        <w:bottom w:val="none" w:sz="0" w:space="0" w:color="auto"/>
                        <w:right w:val="none" w:sz="0" w:space="0" w:color="auto"/>
                      </w:divBdr>
                      <w:divsChild>
                        <w:div w:id="1693604184">
                          <w:marLeft w:val="0"/>
                          <w:marRight w:val="0"/>
                          <w:marTop w:val="0"/>
                          <w:marBottom w:val="0"/>
                          <w:divBdr>
                            <w:top w:val="none" w:sz="0" w:space="0" w:color="auto"/>
                            <w:left w:val="none" w:sz="0" w:space="0" w:color="auto"/>
                            <w:bottom w:val="none" w:sz="0" w:space="0" w:color="auto"/>
                            <w:right w:val="none" w:sz="0" w:space="0" w:color="auto"/>
                          </w:divBdr>
                          <w:divsChild>
                            <w:div w:id="13700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1539">
      <w:bodyDiv w:val="1"/>
      <w:marLeft w:val="0"/>
      <w:marRight w:val="0"/>
      <w:marTop w:val="0"/>
      <w:marBottom w:val="0"/>
      <w:divBdr>
        <w:top w:val="none" w:sz="0" w:space="0" w:color="auto"/>
        <w:left w:val="none" w:sz="0" w:space="0" w:color="auto"/>
        <w:bottom w:val="none" w:sz="0" w:space="0" w:color="auto"/>
        <w:right w:val="none" w:sz="0" w:space="0" w:color="auto"/>
      </w:divBdr>
    </w:div>
    <w:div w:id="672224702">
      <w:bodyDiv w:val="1"/>
      <w:marLeft w:val="0"/>
      <w:marRight w:val="0"/>
      <w:marTop w:val="0"/>
      <w:marBottom w:val="0"/>
      <w:divBdr>
        <w:top w:val="none" w:sz="0" w:space="0" w:color="auto"/>
        <w:left w:val="none" w:sz="0" w:space="0" w:color="auto"/>
        <w:bottom w:val="none" w:sz="0" w:space="0" w:color="auto"/>
        <w:right w:val="none" w:sz="0" w:space="0" w:color="auto"/>
      </w:divBdr>
    </w:div>
    <w:div w:id="745766726">
      <w:bodyDiv w:val="1"/>
      <w:marLeft w:val="0"/>
      <w:marRight w:val="0"/>
      <w:marTop w:val="0"/>
      <w:marBottom w:val="0"/>
      <w:divBdr>
        <w:top w:val="none" w:sz="0" w:space="0" w:color="auto"/>
        <w:left w:val="none" w:sz="0" w:space="0" w:color="auto"/>
        <w:bottom w:val="none" w:sz="0" w:space="0" w:color="auto"/>
        <w:right w:val="none" w:sz="0" w:space="0" w:color="auto"/>
      </w:divBdr>
    </w:div>
    <w:div w:id="753016404">
      <w:bodyDiv w:val="1"/>
      <w:marLeft w:val="0"/>
      <w:marRight w:val="0"/>
      <w:marTop w:val="0"/>
      <w:marBottom w:val="0"/>
      <w:divBdr>
        <w:top w:val="none" w:sz="0" w:space="0" w:color="auto"/>
        <w:left w:val="none" w:sz="0" w:space="0" w:color="auto"/>
        <w:bottom w:val="none" w:sz="0" w:space="0" w:color="auto"/>
        <w:right w:val="none" w:sz="0" w:space="0" w:color="auto"/>
      </w:divBdr>
    </w:div>
    <w:div w:id="779642851">
      <w:bodyDiv w:val="1"/>
      <w:marLeft w:val="0"/>
      <w:marRight w:val="0"/>
      <w:marTop w:val="0"/>
      <w:marBottom w:val="0"/>
      <w:divBdr>
        <w:top w:val="none" w:sz="0" w:space="0" w:color="auto"/>
        <w:left w:val="none" w:sz="0" w:space="0" w:color="auto"/>
        <w:bottom w:val="none" w:sz="0" w:space="0" w:color="auto"/>
        <w:right w:val="none" w:sz="0" w:space="0" w:color="auto"/>
      </w:divBdr>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804396488">
      <w:bodyDiv w:val="1"/>
      <w:marLeft w:val="0"/>
      <w:marRight w:val="0"/>
      <w:marTop w:val="0"/>
      <w:marBottom w:val="0"/>
      <w:divBdr>
        <w:top w:val="none" w:sz="0" w:space="0" w:color="auto"/>
        <w:left w:val="none" w:sz="0" w:space="0" w:color="auto"/>
        <w:bottom w:val="none" w:sz="0" w:space="0" w:color="auto"/>
        <w:right w:val="none" w:sz="0" w:space="0" w:color="auto"/>
      </w:divBdr>
    </w:div>
    <w:div w:id="819928041">
      <w:bodyDiv w:val="1"/>
      <w:marLeft w:val="0"/>
      <w:marRight w:val="0"/>
      <w:marTop w:val="0"/>
      <w:marBottom w:val="0"/>
      <w:divBdr>
        <w:top w:val="none" w:sz="0" w:space="0" w:color="auto"/>
        <w:left w:val="none" w:sz="0" w:space="0" w:color="auto"/>
        <w:bottom w:val="none" w:sz="0" w:space="0" w:color="auto"/>
        <w:right w:val="none" w:sz="0" w:space="0" w:color="auto"/>
      </w:divBdr>
    </w:div>
    <w:div w:id="857813815">
      <w:bodyDiv w:val="1"/>
      <w:marLeft w:val="0"/>
      <w:marRight w:val="0"/>
      <w:marTop w:val="0"/>
      <w:marBottom w:val="0"/>
      <w:divBdr>
        <w:top w:val="none" w:sz="0" w:space="0" w:color="auto"/>
        <w:left w:val="none" w:sz="0" w:space="0" w:color="auto"/>
        <w:bottom w:val="none" w:sz="0" w:space="0" w:color="auto"/>
        <w:right w:val="none" w:sz="0" w:space="0" w:color="auto"/>
      </w:divBdr>
    </w:div>
    <w:div w:id="866988634">
      <w:bodyDiv w:val="1"/>
      <w:marLeft w:val="0"/>
      <w:marRight w:val="0"/>
      <w:marTop w:val="0"/>
      <w:marBottom w:val="0"/>
      <w:divBdr>
        <w:top w:val="none" w:sz="0" w:space="0" w:color="auto"/>
        <w:left w:val="none" w:sz="0" w:space="0" w:color="auto"/>
        <w:bottom w:val="none" w:sz="0" w:space="0" w:color="auto"/>
        <w:right w:val="none" w:sz="0" w:space="0" w:color="auto"/>
      </w:divBdr>
    </w:div>
    <w:div w:id="899365942">
      <w:bodyDiv w:val="1"/>
      <w:marLeft w:val="0"/>
      <w:marRight w:val="0"/>
      <w:marTop w:val="0"/>
      <w:marBottom w:val="0"/>
      <w:divBdr>
        <w:top w:val="none" w:sz="0" w:space="0" w:color="auto"/>
        <w:left w:val="none" w:sz="0" w:space="0" w:color="auto"/>
        <w:bottom w:val="none" w:sz="0" w:space="0" w:color="auto"/>
        <w:right w:val="none" w:sz="0" w:space="0" w:color="auto"/>
      </w:divBdr>
    </w:div>
    <w:div w:id="1014040838">
      <w:bodyDiv w:val="1"/>
      <w:marLeft w:val="0"/>
      <w:marRight w:val="0"/>
      <w:marTop w:val="0"/>
      <w:marBottom w:val="0"/>
      <w:divBdr>
        <w:top w:val="none" w:sz="0" w:space="0" w:color="auto"/>
        <w:left w:val="none" w:sz="0" w:space="0" w:color="auto"/>
        <w:bottom w:val="none" w:sz="0" w:space="0" w:color="auto"/>
        <w:right w:val="none" w:sz="0" w:space="0" w:color="auto"/>
      </w:divBdr>
    </w:div>
    <w:div w:id="1084690012">
      <w:bodyDiv w:val="1"/>
      <w:marLeft w:val="0"/>
      <w:marRight w:val="0"/>
      <w:marTop w:val="0"/>
      <w:marBottom w:val="0"/>
      <w:divBdr>
        <w:top w:val="none" w:sz="0" w:space="0" w:color="auto"/>
        <w:left w:val="none" w:sz="0" w:space="0" w:color="auto"/>
        <w:bottom w:val="none" w:sz="0" w:space="0" w:color="auto"/>
        <w:right w:val="none" w:sz="0" w:space="0" w:color="auto"/>
      </w:divBdr>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198853415">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286279487">
      <w:bodyDiv w:val="1"/>
      <w:marLeft w:val="0"/>
      <w:marRight w:val="0"/>
      <w:marTop w:val="0"/>
      <w:marBottom w:val="0"/>
      <w:divBdr>
        <w:top w:val="none" w:sz="0" w:space="0" w:color="auto"/>
        <w:left w:val="none" w:sz="0" w:space="0" w:color="auto"/>
        <w:bottom w:val="none" w:sz="0" w:space="0" w:color="auto"/>
        <w:right w:val="none" w:sz="0" w:space="0" w:color="auto"/>
      </w:divBdr>
    </w:div>
    <w:div w:id="1342705840">
      <w:bodyDiv w:val="1"/>
      <w:marLeft w:val="0"/>
      <w:marRight w:val="0"/>
      <w:marTop w:val="0"/>
      <w:marBottom w:val="0"/>
      <w:divBdr>
        <w:top w:val="none" w:sz="0" w:space="0" w:color="auto"/>
        <w:left w:val="none" w:sz="0" w:space="0" w:color="auto"/>
        <w:bottom w:val="none" w:sz="0" w:space="0" w:color="auto"/>
        <w:right w:val="none" w:sz="0" w:space="0" w:color="auto"/>
      </w:divBdr>
    </w:div>
    <w:div w:id="1355379325">
      <w:bodyDiv w:val="1"/>
      <w:marLeft w:val="0"/>
      <w:marRight w:val="0"/>
      <w:marTop w:val="0"/>
      <w:marBottom w:val="0"/>
      <w:divBdr>
        <w:top w:val="none" w:sz="0" w:space="0" w:color="auto"/>
        <w:left w:val="none" w:sz="0" w:space="0" w:color="auto"/>
        <w:bottom w:val="none" w:sz="0" w:space="0" w:color="auto"/>
        <w:right w:val="none" w:sz="0" w:space="0" w:color="auto"/>
      </w:divBdr>
      <w:divsChild>
        <w:div w:id="431826308">
          <w:marLeft w:val="0"/>
          <w:marRight w:val="0"/>
          <w:marTop w:val="0"/>
          <w:marBottom w:val="0"/>
          <w:divBdr>
            <w:top w:val="none" w:sz="0" w:space="0" w:color="auto"/>
            <w:left w:val="none" w:sz="0" w:space="0" w:color="auto"/>
            <w:bottom w:val="none" w:sz="0" w:space="0" w:color="auto"/>
            <w:right w:val="none" w:sz="0" w:space="0" w:color="auto"/>
          </w:divBdr>
        </w:div>
        <w:div w:id="922757825">
          <w:marLeft w:val="0"/>
          <w:marRight w:val="0"/>
          <w:marTop w:val="0"/>
          <w:marBottom w:val="0"/>
          <w:divBdr>
            <w:top w:val="none" w:sz="0" w:space="0" w:color="auto"/>
            <w:left w:val="none" w:sz="0" w:space="0" w:color="auto"/>
            <w:bottom w:val="none" w:sz="0" w:space="0" w:color="auto"/>
            <w:right w:val="none" w:sz="0" w:space="0" w:color="auto"/>
          </w:divBdr>
        </w:div>
        <w:div w:id="1035621042">
          <w:marLeft w:val="0"/>
          <w:marRight w:val="0"/>
          <w:marTop w:val="0"/>
          <w:marBottom w:val="0"/>
          <w:divBdr>
            <w:top w:val="none" w:sz="0" w:space="0" w:color="auto"/>
            <w:left w:val="none" w:sz="0" w:space="0" w:color="auto"/>
            <w:bottom w:val="none" w:sz="0" w:space="0" w:color="auto"/>
            <w:right w:val="none" w:sz="0" w:space="0" w:color="auto"/>
          </w:divBdr>
        </w:div>
        <w:div w:id="1153567236">
          <w:marLeft w:val="0"/>
          <w:marRight w:val="0"/>
          <w:marTop w:val="0"/>
          <w:marBottom w:val="0"/>
          <w:divBdr>
            <w:top w:val="none" w:sz="0" w:space="0" w:color="auto"/>
            <w:left w:val="none" w:sz="0" w:space="0" w:color="auto"/>
            <w:bottom w:val="none" w:sz="0" w:space="0" w:color="auto"/>
            <w:right w:val="none" w:sz="0" w:space="0" w:color="auto"/>
          </w:divBdr>
        </w:div>
      </w:divsChild>
    </w:div>
    <w:div w:id="1375228897">
      <w:bodyDiv w:val="1"/>
      <w:marLeft w:val="0"/>
      <w:marRight w:val="0"/>
      <w:marTop w:val="0"/>
      <w:marBottom w:val="0"/>
      <w:divBdr>
        <w:top w:val="none" w:sz="0" w:space="0" w:color="auto"/>
        <w:left w:val="none" w:sz="0" w:space="0" w:color="auto"/>
        <w:bottom w:val="none" w:sz="0" w:space="0" w:color="auto"/>
        <w:right w:val="none" w:sz="0" w:space="0" w:color="auto"/>
      </w:divBdr>
      <w:divsChild>
        <w:div w:id="12615190">
          <w:marLeft w:val="0"/>
          <w:marRight w:val="0"/>
          <w:marTop w:val="0"/>
          <w:marBottom w:val="300"/>
          <w:divBdr>
            <w:top w:val="none" w:sz="0" w:space="0" w:color="auto"/>
            <w:left w:val="none" w:sz="0" w:space="0" w:color="auto"/>
            <w:bottom w:val="none" w:sz="0" w:space="0" w:color="auto"/>
            <w:right w:val="none" w:sz="0" w:space="0" w:color="auto"/>
          </w:divBdr>
          <w:divsChild>
            <w:div w:id="2012218185">
              <w:marLeft w:val="0"/>
              <w:marRight w:val="0"/>
              <w:marTop w:val="0"/>
              <w:marBottom w:val="0"/>
              <w:divBdr>
                <w:top w:val="none" w:sz="0" w:space="0" w:color="auto"/>
                <w:left w:val="none" w:sz="0" w:space="0" w:color="auto"/>
                <w:bottom w:val="none" w:sz="0" w:space="0" w:color="auto"/>
                <w:right w:val="none" w:sz="0" w:space="0" w:color="auto"/>
              </w:divBdr>
              <w:divsChild>
                <w:div w:id="1420056982">
                  <w:marLeft w:val="0"/>
                  <w:marRight w:val="0"/>
                  <w:marTop w:val="0"/>
                  <w:marBottom w:val="0"/>
                  <w:divBdr>
                    <w:top w:val="none" w:sz="0" w:space="0" w:color="auto"/>
                    <w:left w:val="none" w:sz="0" w:space="0" w:color="auto"/>
                    <w:bottom w:val="none" w:sz="0" w:space="0" w:color="auto"/>
                    <w:right w:val="none" w:sz="0" w:space="0" w:color="auto"/>
                  </w:divBdr>
                  <w:divsChild>
                    <w:div w:id="391855230">
                      <w:marLeft w:val="0"/>
                      <w:marRight w:val="0"/>
                      <w:marTop w:val="0"/>
                      <w:marBottom w:val="0"/>
                      <w:divBdr>
                        <w:top w:val="none" w:sz="0" w:space="0" w:color="auto"/>
                        <w:left w:val="none" w:sz="0" w:space="0" w:color="auto"/>
                        <w:bottom w:val="none" w:sz="0" w:space="0" w:color="auto"/>
                        <w:right w:val="none" w:sz="0" w:space="0" w:color="auto"/>
                      </w:divBdr>
                      <w:divsChild>
                        <w:div w:id="1428119512">
                          <w:marLeft w:val="0"/>
                          <w:marRight w:val="0"/>
                          <w:marTop w:val="0"/>
                          <w:marBottom w:val="0"/>
                          <w:divBdr>
                            <w:top w:val="none" w:sz="0" w:space="0" w:color="auto"/>
                            <w:left w:val="none" w:sz="0" w:space="0" w:color="auto"/>
                            <w:bottom w:val="none" w:sz="0" w:space="0" w:color="auto"/>
                            <w:right w:val="none" w:sz="0" w:space="0" w:color="auto"/>
                          </w:divBdr>
                          <w:divsChild>
                            <w:div w:id="1122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79541729">
      <w:bodyDiv w:val="1"/>
      <w:marLeft w:val="0"/>
      <w:marRight w:val="0"/>
      <w:marTop w:val="0"/>
      <w:marBottom w:val="0"/>
      <w:divBdr>
        <w:top w:val="none" w:sz="0" w:space="0" w:color="auto"/>
        <w:left w:val="none" w:sz="0" w:space="0" w:color="auto"/>
        <w:bottom w:val="none" w:sz="0" w:space="0" w:color="auto"/>
        <w:right w:val="none" w:sz="0" w:space="0" w:color="auto"/>
      </w:divBdr>
      <w:divsChild>
        <w:div w:id="110326651">
          <w:marLeft w:val="0"/>
          <w:marRight w:val="0"/>
          <w:marTop w:val="0"/>
          <w:marBottom w:val="0"/>
          <w:divBdr>
            <w:top w:val="none" w:sz="0" w:space="0" w:color="auto"/>
            <w:left w:val="none" w:sz="0" w:space="0" w:color="auto"/>
            <w:bottom w:val="none" w:sz="0" w:space="0" w:color="auto"/>
            <w:right w:val="none" w:sz="0" w:space="0" w:color="auto"/>
          </w:divBdr>
          <w:divsChild>
            <w:div w:id="1568343684">
              <w:marLeft w:val="0"/>
              <w:marRight w:val="0"/>
              <w:marTop w:val="0"/>
              <w:marBottom w:val="0"/>
              <w:divBdr>
                <w:top w:val="none" w:sz="0" w:space="0" w:color="auto"/>
                <w:left w:val="none" w:sz="0" w:space="0" w:color="auto"/>
                <w:bottom w:val="none" w:sz="0" w:space="0" w:color="auto"/>
                <w:right w:val="none" w:sz="0" w:space="0" w:color="auto"/>
              </w:divBdr>
              <w:divsChild>
                <w:div w:id="1947615642">
                  <w:marLeft w:val="0"/>
                  <w:marRight w:val="0"/>
                  <w:marTop w:val="0"/>
                  <w:marBottom w:val="0"/>
                  <w:divBdr>
                    <w:top w:val="none" w:sz="0" w:space="0" w:color="auto"/>
                    <w:left w:val="none" w:sz="0" w:space="0" w:color="auto"/>
                    <w:bottom w:val="none" w:sz="0" w:space="0" w:color="auto"/>
                    <w:right w:val="none" w:sz="0" w:space="0" w:color="auto"/>
                  </w:divBdr>
                  <w:divsChild>
                    <w:div w:id="1596089314">
                      <w:marLeft w:val="0"/>
                      <w:marRight w:val="0"/>
                      <w:marTop w:val="0"/>
                      <w:marBottom w:val="0"/>
                      <w:divBdr>
                        <w:top w:val="none" w:sz="0" w:space="0" w:color="auto"/>
                        <w:left w:val="none" w:sz="0" w:space="0" w:color="auto"/>
                        <w:bottom w:val="none" w:sz="0" w:space="0" w:color="auto"/>
                        <w:right w:val="none" w:sz="0" w:space="0" w:color="auto"/>
                      </w:divBdr>
                      <w:divsChild>
                        <w:div w:id="2073849666">
                          <w:marLeft w:val="0"/>
                          <w:marRight w:val="0"/>
                          <w:marTop w:val="0"/>
                          <w:marBottom w:val="0"/>
                          <w:divBdr>
                            <w:top w:val="none" w:sz="0" w:space="0" w:color="auto"/>
                            <w:left w:val="none" w:sz="0" w:space="0" w:color="auto"/>
                            <w:bottom w:val="none" w:sz="0" w:space="0" w:color="auto"/>
                            <w:right w:val="none" w:sz="0" w:space="0" w:color="auto"/>
                          </w:divBdr>
                          <w:divsChild>
                            <w:div w:id="1629777781">
                              <w:marLeft w:val="0"/>
                              <w:marRight w:val="0"/>
                              <w:marTop w:val="0"/>
                              <w:marBottom w:val="0"/>
                              <w:divBdr>
                                <w:top w:val="none" w:sz="0" w:space="0" w:color="auto"/>
                                <w:left w:val="none" w:sz="0" w:space="0" w:color="auto"/>
                                <w:bottom w:val="none" w:sz="0" w:space="0" w:color="auto"/>
                                <w:right w:val="none" w:sz="0" w:space="0" w:color="auto"/>
                              </w:divBdr>
                              <w:divsChild>
                                <w:div w:id="1762988576">
                                  <w:marLeft w:val="0"/>
                                  <w:marRight w:val="0"/>
                                  <w:marTop w:val="0"/>
                                  <w:marBottom w:val="0"/>
                                  <w:divBdr>
                                    <w:top w:val="none" w:sz="0" w:space="0" w:color="auto"/>
                                    <w:left w:val="none" w:sz="0" w:space="0" w:color="auto"/>
                                    <w:bottom w:val="none" w:sz="0" w:space="0" w:color="auto"/>
                                    <w:right w:val="none" w:sz="0" w:space="0" w:color="auto"/>
                                  </w:divBdr>
                                  <w:divsChild>
                                    <w:div w:id="999964165">
                                      <w:marLeft w:val="0"/>
                                      <w:marRight w:val="0"/>
                                      <w:marTop w:val="0"/>
                                      <w:marBottom w:val="0"/>
                                      <w:divBdr>
                                        <w:top w:val="none" w:sz="0" w:space="0" w:color="auto"/>
                                        <w:left w:val="none" w:sz="0" w:space="0" w:color="auto"/>
                                        <w:bottom w:val="none" w:sz="0" w:space="0" w:color="auto"/>
                                        <w:right w:val="none" w:sz="0" w:space="0" w:color="auto"/>
                                      </w:divBdr>
                                      <w:divsChild>
                                        <w:div w:id="1794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9142">
      <w:bodyDiv w:val="1"/>
      <w:marLeft w:val="0"/>
      <w:marRight w:val="0"/>
      <w:marTop w:val="0"/>
      <w:marBottom w:val="0"/>
      <w:divBdr>
        <w:top w:val="none" w:sz="0" w:space="0" w:color="auto"/>
        <w:left w:val="none" w:sz="0" w:space="0" w:color="auto"/>
        <w:bottom w:val="none" w:sz="0" w:space="0" w:color="auto"/>
        <w:right w:val="none" w:sz="0" w:space="0" w:color="auto"/>
      </w:divBdr>
    </w:div>
    <w:div w:id="1623490558">
      <w:bodyDiv w:val="1"/>
      <w:marLeft w:val="0"/>
      <w:marRight w:val="0"/>
      <w:marTop w:val="0"/>
      <w:marBottom w:val="0"/>
      <w:divBdr>
        <w:top w:val="none" w:sz="0" w:space="0" w:color="auto"/>
        <w:left w:val="none" w:sz="0" w:space="0" w:color="auto"/>
        <w:bottom w:val="none" w:sz="0" w:space="0" w:color="auto"/>
        <w:right w:val="none" w:sz="0" w:space="0" w:color="auto"/>
      </w:divBdr>
    </w:div>
    <w:div w:id="1628661600">
      <w:bodyDiv w:val="1"/>
      <w:marLeft w:val="0"/>
      <w:marRight w:val="0"/>
      <w:marTop w:val="0"/>
      <w:marBottom w:val="0"/>
      <w:divBdr>
        <w:top w:val="none" w:sz="0" w:space="0" w:color="auto"/>
        <w:left w:val="none" w:sz="0" w:space="0" w:color="auto"/>
        <w:bottom w:val="none" w:sz="0" w:space="0" w:color="auto"/>
        <w:right w:val="none" w:sz="0" w:space="0" w:color="auto"/>
      </w:divBdr>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50536589">
      <w:bodyDiv w:val="1"/>
      <w:marLeft w:val="0"/>
      <w:marRight w:val="0"/>
      <w:marTop w:val="0"/>
      <w:marBottom w:val="0"/>
      <w:divBdr>
        <w:top w:val="none" w:sz="0" w:space="0" w:color="auto"/>
        <w:left w:val="none" w:sz="0" w:space="0" w:color="auto"/>
        <w:bottom w:val="none" w:sz="0" w:space="0" w:color="auto"/>
        <w:right w:val="none" w:sz="0" w:space="0" w:color="auto"/>
      </w:divBdr>
      <w:divsChild>
        <w:div w:id="1808938898">
          <w:marLeft w:val="0"/>
          <w:marRight w:val="0"/>
          <w:marTop w:val="0"/>
          <w:marBottom w:val="0"/>
          <w:divBdr>
            <w:top w:val="none" w:sz="0" w:space="0" w:color="auto"/>
            <w:left w:val="none" w:sz="0" w:space="0" w:color="auto"/>
            <w:bottom w:val="none" w:sz="0" w:space="0" w:color="auto"/>
            <w:right w:val="none" w:sz="0" w:space="0" w:color="auto"/>
          </w:divBdr>
        </w:div>
      </w:divsChild>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816531213">
      <w:bodyDiv w:val="1"/>
      <w:marLeft w:val="0"/>
      <w:marRight w:val="0"/>
      <w:marTop w:val="0"/>
      <w:marBottom w:val="0"/>
      <w:divBdr>
        <w:top w:val="none" w:sz="0" w:space="0" w:color="auto"/>
        <w:left w:val="none" w:sz="0" w:space="0" w:color="auto"/>
        <w:bottom w:val="none" w:sz="0" w:space="0" w:color="auto"/>
        <w:right w:val="none" w:sz="0" w:space="0" w:color="auto"/>
      </w:divBdr>
    </w:div>
    <w:div w:id="1828325823">
      <w:bodyDiv w:val="1"/>
      <w:marLeft w:val="0"/>
      <w:marRight w:val="0"/>
      <w:marTop w:val="0"/>
      <w:marBottom w:val="0"/>
      <w:divBdr>
        <w:top w:val="none" w:sz="0" w:space="0" w:color="auto"/>
        <w:left w:val="none" w:sz="0" w:space="0" w:color="auto"/>
        <w:bottom w:val="none" w:sz="0" w:space="0" w:color="auto"/>
        <w:right w:val="none" w:sz="0" w:space="0" w:color="auto"/>
      </w:divBdr>
    </w:div>
    <w:div w:id="1838425577">
      <w:bodyDiv w:val="1"/>
      <w:marLeft w:val="0"/>
      <w:marRight w:val="0"/>
      <w:marTop w:val="0"/>
      <w:marBottom w:val="0"/>
      <w:divBdr>
        <w:top w:val="none" w:sz="0" w:space="0" w:color="auto"/>
        <w:left w:val="none" w:sz="0" w:space="0" w:color="auto"/>
        <w:bottom w:val="none" w:sz="0" w:space="0" w:color="auto"/>
        <w:right w:val="none" w:sz="0" w:space="0" w:color="auto"/>
      </w:divBdr>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149311">
      <w:bodyDiv w:val="1"/>
      <w:marLeft w:val="0"/>
      <w:marRight w:val="0"/>
      <w:marTop w:val="0"/>
      <w:marBottom w:val="0"/>
      <w:divBdr>
        <w:top w:val="none" w:sz="0" w:space="0" w:color="auto"/>
        <w:left w:val="none" w:sz="0" w:space="0" w:color="auto"/>
        <w:bottom w:val="none" w:sz="0" w:space="0" w:color="auto"/>
        <w:right w:val="none" w:sz="0" w:space="0" w:color="auto"/>
      </w:divBdr>
      <w:divsChild>
        <w:div w:id="1767457169">
          <w:marLeft w:val="0"/>
          <w:marRight w:val="0"/>
          <w:marTop w:val="0"/>
          <w:marBottom w:val="0"/>
          <w:divBdr>
            <w:top w:val="none" w:sz="0" w:space="0" w:color="auto"/>
            <w:left w:val="none" w:sz="0" w:space="0" w:color="auto"/>
            <w:bottom w:val="none" w:sz="0" w:space="0" w:color="auto"/>
            <w:right w:val="none" w:sz="0" w:space="0" w:color="auto"/>
          </w:divBdr>
        </w:div>
      </w:divsChild>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22490</ap:Words>
  <ap:Characters>131805</ap:Characters>
  <ap:DocSecurity>0</ap:DocSecurity>
  <ap:Lines>1098</ap:Lines>
  <ap:Paragraphs>307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Goedkeuring van het op 6 oktober 2010 te Den Haag tot stand gekomen Verdrag tussen het Koninkrijk der Nederlanden en de Republ</vt:lpstr>
      <vt:lpstr>Goedkeuring van het op 6 oktober 2010 te Den Haag tot stand gekomen Verdrag tussen het Koninkrijk der Nederlanden en de Republ</vt:lpstr>
    </vt:vector>
  </ap:TitlesOfParts>
  <ap:LinksUpToDate>false</ap:LinksUpToDate>
  <ap:CharactersWithSpaces>153988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2020-06-16T18:38:00.0000000Z</lastPrinted>
  <dcterms:created xsi:type="dcterms:W3CDTF">2022-05-23T12:15:00.0000000Z</dcterms:created>
  <dcterms:modified xsi:type="dcterms:W3CDTF">2022-05-23T12:15:00.0000000Z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2022-03-14T09:38:36Z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c3964fe2-54de-454a-9562-622c6e0cf96f</vt:lpwstr>
  </property>
  <property fmtid="{D5CDD505-2E9C-101B-9397-08002B2CF9AE}" pid="8" name="MSIP_Label_b2aa6e22-2c82-48c6-bf24-1790f4b9c128_ContentBits">
    <vt:lpwstr>0</vt:lpwstr>
  </property>
</Properties>
</file>