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AE1" w:rsidP="003249C8" w:rsidRDefault="00725BB6" w14:paraId="41A3BAE9" w14:textId="22219E2D">
      <w:r>
        <w:t xml:space="preserve">Geachte </w:t>
      </w:r>
      <w:r w:rsidR="008A3716">
        <w:t>V</w:t>
      </w:r>
      <w:r>
        <w:t>oorzitter</w:t>
      </w:r>
      <w:r w:rsidR="001A0F3C">
        <w:t>,</w:t>
      </w:r>
    </w:p>
    <w:p w:rsidR="00DC5886" w:rsidP="003249C8" w:rsidRDefault="00DC5886" w14:paraId="414659C8" w14:textId="77777777"/>
    <w:p w:rsidRPr="00536E4F" w:rsidR="00FA7F35" w:rsidP="003249C8" w:rsidRDefault="00FA7F35" w14:paraId="22289258" w14:textId="104ADC00">
      <w:pPr>
        <w:rPr>
          <w:szCs w:val="18"/>
        </w:rPr>
      </w:pPr>
      <w:r w:rsidRPr="00D21B83">
        <w:rPr>
          <w:szCs w:val="18"/>
        </w:rPr>
        <w:t xml:space="preserve">Bijgevoegd </w:t>
      </w:r>
      <w:r w:rsidRPr="00D21B83">
        <w:t xml:space="preserve">ontvangt u de </w:t>
      </w:r>
      <w:r w:rsidR="00705213">
        <w:t>zes</w:t>
      </w:r>
      <w:r>
        <w:t xml:space="preserve">de </w:t>
      </w:r>
      <w:r w:rsidRPr="00D21B83">
        <w:t xml:space="preserve">incidentele suppletoire begroting van het </w:t>
      </w:r>
      <w:r w:rsidR="003249C8">
        <w:t>M</w:t>
      </w:r>
      <w:r w:rsidRPr="00D21B83">
        <w:t xml:space="preserve">inisterie </w:t>
      </w:r>
      <w:r w:rsidRPr="00D21B83">
        <w:rPr>
          <w:szCs w:val="18"/>
        </w:rPr>
        <w:t>van Economische Zaken en Klimaat (XIII) voor het jaar 202</w:t>
      </w:r>
      <w:r>
        <w:rPr>
          <w:szCs w:val="18"/>
        </w:rPr>
        <w:t xml:space="preserve">2. </w:t>
      </w:r>
      <w:r w:rsidRPr="00C65AE9">
        <w:t>Het wetsvoorstel gaat vergezeld van een memorie van toelichting.</w:t>
      </w:r>
      <w:r w:rsidRPr="00536E4F">
        <w:t xml:space="preserve"> </w:t>
      </w:r>
    </w:p>
    <w:p w:rsidRPr="00536E4F" w:rsidR="00FA7F35" w:rsidP="003249C8" w:rsidRDefault="00FA7F35" w14:paraId="0982F9F6" w14:textId="77777777"/>
    <w:p w:rsidR="00FA7F35" w:rsidP="003249C8" w:rsidRDefault="00FA7F35" w14:paraId="00BC0A7E" w14:textId="204EB808">
      <w:r w:rsidRPr="00D21B83">
        <w:t xml:space="preserve">In deze </w:t>
      </w:r>
      <w:r w:rsidRPr="006477E5">
        <w:t>incidentele suppletoire begroting worden</w:t>
      </w:r>
      <w:r w:rsidRPr="006477E5" w:rsidR="00E01179">
        <w:t xml:space="preserve"> budgetmutaties voorgesteld die betrekking hebben op </w:t>
      </w:r>
      <w:r w:rsidRPr="006477E5" w:rsidR="006477E5">
        <w:t>de vulmaatregel</w:t>
      </w:r>
      <w:r w:rsidR="0049603C">
        <w:t>en</w:t>
      </w:r>
      <w:r w:rsidRPr="006477E5" w:rsidR="006477E5">
        <w:t xml:space="preserve"> gasopslag </w:t>
      </w:r>
      <w:r w:rsidRPr="006477E5" w:rsidR="00E01179">
        <w:t xml:space="preserve">en de </w:t>
      </w:r>
      <w:r w:rsidRPr="006477E5" w:rsidR="006477E5">
        <w:t>waardevermeerderingsregeling</w:t>
      </w:r>
      <w:r w:rsidRPr="006477E5" w:rsidR="00E01179">
        <w:t>.</w:t>
      </w:r>
    </w:p>
    <w:p w:rsidR="00FA7F35" w:rsidP="003249C8" w:rsidRDefault="00FA7F35" w14:paraId="48EB391F" w14:textId="77777777">
      <w:pPr>
        <w:rPr>
          <w:szCs w:val="18"/>
        </w:rPr>
      </w:pPr>
    </w:p>
    <w:p w:rsidR="00034D3E" w:rsidP="006477E5" w:rsidRDefault="00FA7F35" w14:paraId="50AC6AAF" w14:textId="17EADB06">
      <w:r w:rsidRPr="00460385">
        <w:rPr>
          <w:szCs w:val="18"/>
        </w:rPr>
        <w:t xml:space="preserve">Normaliter wordt nieuw beleid in uitvoering genomen nadat de Staten-Generaal de begrotingswet heeft geautoriseerd. Aangezien uitvoering van de spoedeisende maatregelen die in deze </w:t>
      </w:r>
      <w:r w:rsidR="00705213">
        <w:rPr>
          <w:szCs w:val="18"/>
        </w:rPr>
        <w:t>zes</w:t>
      </w:r>
      <w:r w:rsidRPr="00460385">
        <w:rPr>
          <w:szCs w:val="18"/>
        </w:rPr>
        <w:t xml:space="preserve">de incidentele suppletoire begroting zijn opgenomen in het belang van het Rijk zijn en niet kan wachten tot formele autorisatie van beide Kamers der Staten-Generaal, zal het kabinet de uitvoering van de </w:t>
      </w:r>
      <w:r w:rsidRPr="006467D1">
        <w:rPr>
          <w:szCs w:val="18"/>
        </w:rPr>
        <w:t xml:space="preserve">maatregelen starten. Hiermee wordt gehandeld </w:t>
      </w:r>
      <w:r w:rsidRPr="006467D1">
        <w:rPr>
          <w:rStyle w:val="link-element"/>
          <w:szCs w:val="18"/>
        </w:rPr>
        <w:t>conform lid 2 van artikel 2.27 van de Comptabiliteitswet 2016</w:t>
      </w:r>
      <w:r w:rsidRPr="006467D1">
        <w:rPr>
          <w:szCs w:val="18"/>
        </w:rPr>
        <w:t xml:space="preserve">. Voor de indiening van deze </w:t>
      </w:r>
      <w:r w:rsidR="00705213">
        <w:rPr>
          <w:szCs w:val="18"/>
        </w:rPr>
        <w:t>zes</w:t>
      </w:r>
      <w:r w:rsidRPr="006467D1">
        <w:rPr>
          <w:szCs w:val="18"/>
        </w:rPr>
        <w:t xml:space="preserve">de incidentele suppletoire begroting is uw Kamer vooraf geïnformeerd </w:t>
      </w:r>
      <w:r w:rsidRPr="00567A8E">
        <w:rPr>
          <w:szCs w:val="18"/>
        </w:rPr>
        <w:t>via de Kamerbrief</w:t>
      </w:r>
      <w:r w:rsidRPr="00567A8E" w:rsidR="006477E5">
        <w:rPr>
          <w:szCs w:val="18"/>
        </w:rPr>
        <w:t xml:space="preserve"> </w:t>
      </w:r>
      <w:r w:rsidRPr="00567A8E" w:rsidR="00034D3E">
        <w:t>Onafhankelijkheid van Russische olie, kolen en gas met behoud leveringszekerheid en de Kamerbrief Verlenging waardevermeerderingsregeling Groningen voorjaar 2022 van 22 april 2022.</w:t>
      </w:r>
    </w:p>
    <w:p w:rsidR="007F2FE4" w:rsidP="006477E5" w:rsidRDefault="007F2FE4" w14:paraId="27E14325" w14:textId="7B737B66"/>
    <w:p w:rsidRPr="00AE501D" w:rsidR="007F2FE4" w:rsidP="007F2FE4" w:rsidRDefault="007F2FE4" w14:paraId="1023A3B0" w14:textId="65C6A722">
      <w:pPr>
        <w:pStyle w:val="Default"/>
        <w:spacing w:line="240" w:lineRule="atLeast"/>
        <w:rPr>
          <w:rFonts w:ascii="Verdana" w:hAnsi="Verdana"/>
          <w:sz w:val="18"/>
          <w:szCs w:val="18"/>
        </w:rPr>
      </w:pPr>
      <w:r w:rsidRPr="00AE501D">
        <w:rPr>
          <w:rFonts w:ascii="Verdana" w:hAnsi="Verdana"/>
          <w:sz w:val="18"/>
          <w:szCs w:val="18"/>
        </w:rPr>
        <w:t>Op grond van de nieuwe werkwijze met betrekking tot artikel 3.1 van de Comptabiliteitswet (Kamerstuk 31 865, nr. 198) is het met ingang van 1</w:t>
      </w:r>
      <w:r>
        <w:rPr>
          <w:rFonts w:ascii="Verdana" w:hAnsi="Verdana"/>
          <w:sz w:val="18"/>
          <w:szCs w:val="18"/>
        </w:rPr>
        <w:t> </w:t>
      </w:r>
      <w:r w:rsidRPr="00AE501D">
        <w:rPr>
          <w:rFonts w:ascii="Verdana" w:hAnsi="Verdana"/>
          <w:sz w:val="18"/>
          <w:szCs w:val="18"/>
        </w:rPr>
        <w:t>november 2021 verplicht om beleidsvoorstellen met budgettair beslag van meer dan € 20 m</w:t>
      </w:r>
      <w:r>
        <w:rPr>
          <w:rFonts w:ascii="Verdana" w:hAnsi="Verdana"/>
          <w:sz w:val="18"/>
          <w:szCs w:val="18"/>
        </w:rPr>
        <w:t>iljoen</w:t>
      </w:r>
      <w:r w:rsidRPr="00AE501D">
        <w:rPr>
          <w:rFonts w:ascii="Verdana" w:hAnsi="Verdana"/>
          <w:sz w:val="18"/>
          <w:szCs w:val="18"/>
        </w:rPr>
        <w:t xml:space="preserve"> per jaar in een kader toe te lichten</w:t>
      </w:r>
      <w:r w:rsidRPr="00B320F6">
        <w:rPr>
          <w:rFonts w:ascii="Verdana" w:hAnsi="Verdana"/>
          <w:sz w:val="18"/>
          <w:szCs w:val="18"/>
        </w:rPr>
        <w:t xml:space="preserve">. </w:t>
      </w:r>
      <w:r w:rsidRPr="00435CA0" w:rsidR="001B04E8">
        <w:rPr>
          <w:rFonts w:ascii="Verdana" w:hAnsi="Verdana"/>
          <w:color w:val="auto"/>
          <w:sz w:val="18"/>
          <w:szCs w:val="18"/>
        </w:rPr>
        <w:t>Voor de waardevermeerderingsregeling is deze reeds eerder met u gedeeld.</w:t>
      </w:r>
      <w:r w:rsidRPr="00B320F6" w:rsidR="001B04E8">
        <w:rPr>
          <w:rFonts w:ascii="Verdana" w:hAnsi="Verdana"/>
          <w:color w:val="auto"/>
          <w:sz w:val="18"/>
          <w:szCs w:val="18"/>
        </w:rPr>
        <w:t xml:space="preserve"> </w:t>
      </w:r>
      <w:r w:rsidRPr="00B320F6">
        <w:rPr>
          <w:rFonts w:ascii="Verdana" w:hAnsi="Verdana"/>
          <w:sz w:val="18"/>
          <w:szCs w:val="18"/>
        </w:rPr>
        <w:t xml:space="preserve">Voor de </w:t>
      </w:r>
      <w:r w:rsidRPr="00B320F6" w:rsidR="00164EB9">
        <w:rPr>
          <w:rFonts w:ascii="Verdana" w:hAnsi="Verdana"/>
          <w:sz w:val="18"/>
          <w:szCs w:val="18"/>
        </w:rPr>
        <w:t>vulmaatregelen gasopslag</w:t>
      </w:r>
      <w:r w:rsidRPr="00B320F6">
        <w:rPr>
          <w:rFonts w:ascii="Verdana" w:hAnsi="Verdana"/>
          <w:sz w:val="18"/>
          <w:szCs w:val="18"/>
        </w:rPr>
        <w:t xml:space="preserve"> </w:t>
      </w:r>
      <w:r w:rsidRPr="00435CA0" w:rsidR="001B04E8">
        <w:rPr>
          <w:rFonts w:ascii="Verdana" w:hAnsi="Verdana"/>
          <w:sz w:val="18"/>
          <w:szCs w:val="18"/>
        </w:rPr>
        <w:t>ziet</w:t>
      </w:r>
      <w:r w:rsidRPr="00B320F6" w:rsidR="001B04E8">
        <w:rPr>
          <w:rFonts w:ascii="Verdana" w:hAnsi="Verdana"/>
          <w:sz w:val="18"/>
          <w:szCs w:val="18"/>
        </w:rPr>
        <w:t xml:space="preserve"> </w:t>
      </w:r>
      <w:r w:rsidRPr="00B320F6">
        <w:rPr>
          <w:rFonts w:ascii="Verdana" w:hAnsi="Verdana"/>
          <w:sz w:val="18"/>
          <w:szCs w:val="18"/>
        </w:rPr>
        <w:t>dit kader er als volgt uit:</w:t>
      </w:r>
    </w:p>
    <w:p w:rsidR="007F2FE4" w:rsidP="006477E5" w:rsidRDefault="007F2FE4" w14:paraId="1851FBEE" w14:textId="1B2B1377">
      <w:pPr>
        <w:rPr>
          <w:szCs w:val="18"/>
        </w:rPr>
      </w:pPr>
    </w:p>
    <w:p w:rsidR="005705DB" w:rsidP="006477E5" w:rsidRDefault="005705DB" w14:paraId="5E966D9B" w14:textId="278B58D9">
      <w:pPr>
        <w:rPr>
          <w:szCs w:val="18"/>
        </w:rPr>
      </w:pPr>
    </w:p>
    <w:p w:rsidR="005705DB" w:rsidP="006477E5" w:rsidRDefault="005705DB" w14:paraId="27DC43CA" w14:textId="0B768E8A">
      <w:pPr>
        <w:rPr>
          <w:szCs w:val="18"/>
        </w:rPr>
      </w:pPr>
    </w:p>
    <w:p w:rsidR="005705DB" w:rsidP="006477E5" w:rsidRDefault="005705DB" w14:paraId="5E46FD3A" w14:textId="3A94C6E9">
      <w:pPr>
        <w:rPr>
          <w:szCs w:val="18"/>
        </w:rPr>
      </w:pPr>
    </w:p>
    <w:p w:rsidR="005705DB" w:rsidP="006477E5" w:rsidRDefault="005705DB" w14:paraId="789FA926" w14:textId="25259C66">
      <w:pPr>
        <w:rPr>
          <w:szCs w:val="18"/>
        </w:rPr>
      </w:pPr>
    </w:p>
    <w:p w:rsidR="005705DB" w:rsidP="006477E5" w:rsidRDefault="005705DB" w14:paraId="2EEDA922" w14:textId="212B064B">
      <w:pPr>
        <w:rPr>
          <w:szCs w:val="18"/>
        </w:rPr>
      </w:pPr>
    </w:p>
    <w:p w:rsidR="005705DB" w:rsidP="006477E5" w:rsidRDefault="005705DB" w14:paraId="0A9D405E" w14:textId="77777777">
      <w:pPr>
        <w:rPr>
          <w:szCs w:val="18"/>
        </w:rPr>
      </w:pPr>
    </w:p>
    <w:p w:rsidRPr="006477E5" w:rsidR="00164EB9" w:rsidP="006477E5" w:rsidRDefault="00164EB9" w14:paraId="2A68676B" w14:textId="77777777">
      <w:pPr>
        <w:rPr>
          <w:szCs w:val="18"/>
        </w:rPr>
      </w:pPr>
    </w:p>
    <w:tbl>
      <w:tblPr>
        <w:tblStyle w:val="Tabelraster"/>
        <w:tblW w:w="8767" w:type="dxa"/>
        <w:tblLook w:val="04A0" w:firstRow="1" w:lastRow="0" w:firstColumn="1" w:lastColumn="0" w:noHBand="0" w:noVBand="1"/>
      </w:tblPr>
      <w:tblGrid>
        <w:gridCol w:w="3422"/>
        <w:gridCol w:w="5345"/>
      </w:tblGrid>
      <w:tr w:rsidRPr="00164EB9" w:rsidR="00164EB9" w:rsidTr="005705DB" w14:paraId="2CC6CE1F" w14:textId="77777777">
        <w:trPr>
          <w:trHeight w:val="295"/>
        </w:trPr>
        <w:tc>
          <w:tcPr>
            <w:tcW w:w="8767" w:type="dxa"/>
            <w:gridSpan w:val="2"/>
            <w:noWrap/>
            <w:hideMark/>
          </w:tcPr>
          <w:p w:rsidRPr="00164EB9" w:rsidR="00164EB9" w:rsidP="00164EB9" w:rsidRDefault="00164EB9" w14:paraId="4C928A0C" w14:textId="77777777">
            <w:pPr>
              <w:rPr>
                <w:rFonts w:ascii="Calibri" w:hAnsi="Calibri"/>
                <w:sz w:val="22"/>
                <w:szCs w:val="22"/>
              </w:rPr>
            </w:pPr>
            <w:r w:rsidRPr="00164EB9">
              <w:rPr>
                <w:rFonts w:ascii="Calibri" w:hAnsi="Calibri"/>
                <w:sz w:val="22"/>
                <w:szCs w:val="22"/>
              </w:rPr>
              <w:t>Beleidskeuzes uitgelegd - Onderbouwing doeltreffendheid, doelmatigheid en evaluatie (CW 3.1)</w:t>
            </w:r>
          </w:p>
        </w:tc>
      </w:tr>
      <w:tr w:rsidRPr="00164EB9" w:rsidR="00164EB9" w:rsidTr="005705DB" w14:paraId="6D0CBC9D" w14:textId="77777777">
        <w:trPr>
          <w:trHeight w:val="295"/>
        </w:trPr>
        <w:tc>
          <w:tcPr>
            <w:tcW w:w="3422" w:type="dxa"/>
            <w:noWrap/>
            <w:hideMark/>
          </w:tcPr>
          <w:p w:rsidRPr="00164EB9" w:rsidR="00164EB9" w:rsidRDefault="00164EB9" w14:paraId="61DE33FB" w14:textId="77777777">
            <w:pPr>
              <w:rPr>
                <w:rFonts w:ascii="Calibri" w:hAnsi="Calibri"/>
                <w:sz w:val="22"/>
                <w:szCs w:val="22"/>
              </w:rPr>
            </w:pPr>
            <w:r w:rsidRPr="00164EB9">
              <w:rPr>
                <w:rFonts w:ascii="Calibri" w:hAnsi="Calibri"/>
                <w:sz w:val="22"/>
                <w:szCs w:val="22"/>
              </w:rPr>
              <w:t>CW3.1 Vulmaatregelen gasopslag</w:t>
            </w:r>
          </w:p>
        </w:tc>
        <w:tc>
          <w:tcPr>
            <w:tcW w:w="5345" w:type="dxa"/>
            <w:noWrap/>
            <w:hideMark/>
          </w:tcPr>
          <w:p w:rsidRPr="00164EB9" w:rsidR="00164EB9" w:rsidRDefault="00164EB9" w14:paraId="247D1148" w14:textId="77777777">
            <w:pPr>
              <w:rPr>
                <w:rFonts w:ascii="Calibri" w:hAnsi="Calibri"/>
                <w:sz w:val="22"/>
                <w:szCs w:val="22"/>
              </w:rPr>
            </w:pPr>
          </w:p>
        </w:tc>
      </w:tr>
      <w:tr w:rsidRPr="00164EB9" w:rsidR="00164EB9" w:rsidTr="005705DB" w14:paraId="2FD2112C" w14:textId="77777777">
        <w:trPr>
          <w:trHeight w:val="295"/>
        </w:trPr>
        <w:tc>
          <w:tcPr>
            <w:tcW w:w="3422" w:type="dxa"/>
            <w:noWrap/>
            <w:hideMark/>
          </w:tcPr>
          <w:p w:rsidRPr="00164EB9" w:rsidR="00164EB9" w:rsidRDefault="00164EB9" w14:paraId="1CACBB7D" w14:textId="77777777">
            <w:pPr>
              <w:rPr>
                <w:rFonts w:ascii="Calibri" w:hAnsi="Calibri"/>
                <w:sz w:val="22"/>
                <w:szCs w:val="22"/>
              </w:rPr>
            </w:pPr>
            <w:r w:rsidRPr="00164EB9">
              <w:rPr>
                <w:rFonts w:ascii="Calibri" w:hAnsi="Calibri"/>
                <w:sz w:val="22"/>
                <w:szCs w:val="22"/>
              </w:rPr>
              <w:t> </w:t>
            </w:r>
          </w:p>
        </w:tc>
        <w:tc>
          <w:tcPr>
            <w:tcW w:w="5345" w:type="dxa"/>
            <w:noWrap/>
            <w:hideMark/>
          </w:tcPr>
          <w:p w:rsidRPr="00164EB9" w:rsidR="00164EB9" w:rsidRDefault="00164EB9" w14:paraId="29A165FB" w14:textId="77777777">
            <w:pPr>
              <w:rPr>
                <w:rFonts w:ascii="Calibri" w:hAnsi="Calibri"/>
                <w:sz w:val="22"/>
                <w:szCs w:val="22"/>
              </w:rPr>
            </w:pPr>
            <w:r w:rsidRPr="00164EB9">
              <w:rPr>
                <w:rFonts w:ascii="Calibri" w:hAnsi="Calibri"/>
                <w:sz w:val="22"/>
                <w:szCs w:val="22"/>
              </w:rPr>
              <w:t> </w:t>
            </w:r>
          </w:p>
        </w:tc>
      </w:tr>
      <w:tr w:rsidRPr="00164EB9" w:rsidR="00164EB9" w:rsidTr="005705DB" w14:paraId="4B9325E0" w14:textId="77777777">
        <w:trPr>
          <w:trHeight w:val="1478"/>
        </w:trPr>
        <w:tc>
          <w:tcPr>
            <w:tcW w:w="3422" w:type="dxa"/>
            <w:noWrap/>
            <w:hideMark/>
          </w:tcPr>
          <w:p w:rsidRPr="00164EB9" w:rsidR="00164EB9" w:rsidRDefault="00164EB9" w14:paraId="28E9874C" w14:textId="77777777">
            <w:pPr>
              <w:rPr>
                <w:rFonts w:ascii="Calibri" w:hAnsi="Calibri"/>
                <w:sz w:val="22"/>
                <w:szCs w:val="22"/>
              </w:rPr>
            </w:pPr>
            <w:r w:rsidRPr="00164EB9">
              <w:rPr>
                <w:rFonts w:ascii="Calibri" w:hAnsi="Calibri"/>
                <w:sz w:val="22"/>
                <w:szCs w:val="22"/>
              </w:rPr>
              <w:t>1. Doel(en)</w:t>
            </w:r>
          </w:p>
        </w:tc>
        <w:tc>
          <w:tcPr>
            <w:tcW w:w="5345" w:type="dxa"/>
            <w:hideMark/>
          </w:tcPr>
          <w:p w:rsidRPr="00164EB9" w:rsidR="00164EB9" w:rsidRDefault="00164EB9" w14:paraId="21F83EEF" w14:textId="77777777">
            <w:pPr>
              <w:rPr>
                <w:rFonts w:ascii="Calibri" w:hAnsi="Calibri"/>
                <w:sz w:val="22"/>
                <w:szCs w:val="22"/>
              </w:rPr>
            </w:pPr>
            <w:r w:rsidRPr="00164EB9">
              <w:rPr>
                <w:rFonts w:ascii="Calibri" w:hAnsi="Calibri"/>
                <w:sz w:val="22"/>
                <w:szCs w:val="22"/>
              </w:rPr>
              <w:t>Het doel van de maatregelingen is om gasopslag Bergermeer te vullen in lijn met het voorstel voor regelgeving ingediend door de Europese Commissie om tot verplichte vuldoelen voor gasopslagen te komen. Het vullen van gasopslagen met het oog op aankomende winter draagt bij aan de leveringszekerheid.</w:t>
            </w:r>
          </w:p>
        </w:tc>
      </w:tr>
      <w:tr w:rsidRPr="00164EB9" w:rsidR="00164EB9" w:rsidTr="005705DB" w14:paraId="0742E1BA" w14:textId="77777777">
        <w:trPr>
          <w:trHeight w:val="1478"/>
        </w:trPr>
        <w:tc>
          <w:tcPr>
            <w:tcW w:w="3422" w:type="dxa"/>
            <w:noWrap/>
            <w:hideMark/>
          </w:tcPr>
          <w:p w:rsidRPr="00164EB9" w:rsidR="00164EB9" w:rsidRDefault="00164EB9" w14:paraId="6720CE0D" w14:textId="77777777">
            <w:pPr>
              <w:rPr>
                <w:rFonts w:ascii="Calibri" w:hAnsi="Calibri"/>
                <w:sz w:val="22"/>
                <w:szCs w:val="22"/>
              </w:rPr>
            </w:pPr>
            <w:r w:rsidRPr="00164EB9">
              <w:rPr>
                <w:rFonts w:ascii="Calibri" w:hAnsi="Calibri"/>
                <w:sz w:val="22"/>
                <w:szCs w:val="22"/>
              </w:rPr>
              <w:t>2. Beleidsinstrument(en)</w:t>
            </w:r>
          </w:p>
        </w:tc>
        <w:tc>
          <w:tcPr>
            <w:tcW w:w="5345" w:type="dxa"/>
            <w:hideMark/>
          </w:tcPr>
          <w:p w:rsidRPr="00164EB9" w:rsidR="00164EB9" w:rsidRDefault="00164EB9" w14:paraId="708DB418" w14:textId="77777777">
            <w:pPr>
              <w:rPr>
                <w:rFonts w:ascii="Calibri" w:hAnsi="Calibri"/>
                <w:sz w:val="22"/>
                <w:szCs w:val="22"/>
              </w:rPr>
            </w:pPr>
            <w:r w:rsidRPr="00164EB9">
              <w:rPr>
                <w:rFonts w:ascii="Calibri" w:hAnsi="Calibri"/>
                <w:sz w:val="22"/>
                <w:szCs w:val="22"/>
              </w:rPr>
              <w:t>Om het doel te halen worden twee maatregelen voorgenomen: (i) een subsidiemaatregel die marktpartijen voldoende stimulans geeft om gas op te slaan en (ii) het aanwijzen van beleidsdeelneming EBN om de resterende vulbehoefte, die niet wordt gevuld door marktpartijen, in te vullen.</w:t>
            </w:r>
          </w:p>
        </w:tc>
      </w:tr>
      <w:tr w:rsidRPr="00164EB9" w:rsidR="00164EB9" w:rsidTr="005705DB" w14:paraId="2962D29B" w14:textId="77777777">
        <w:trPr>
          <w:trHeight w:val="886"/>
        </w:trPr>
        <w:tc>
          <w:tcPr>
            <w:tcW w:w="3422" w:type="dxa"/>
            <w:noWrap/>
            <w:hideMark/>
          </w:tcPr>
          <w:p w:rsidRPr="00164EB9" w:rsidR="00164EB9" w:rsidRDefault="00164EB9" w14:paraId="2BDA4A5A" w14:textId="77777777">
            <w:pPr>
              <w:rPr>
                <w:rFonts w:ascii="Calibri" w:hAnsi="Calibri"/>
                <w:sz w:val="22"/>
                <w:szCs w:val="22"/>
              </w:rPr>
            </w:pPr>
            <w:r w:rsidRPr="00164EB9">
              <w:rPr>
                <w:rFonts w:ascii="Calibri" w:hAnsi="Calibri"/>
                <w:sz w:val="22"/>
                <w:szCs w:val="22"/>
              </w:rPr>
              <w:t>3a. Financiële gevolgen voor het Rijk</w:t>
            </w:r>
          </w:p>
        </w:tc>
        <w:tc>
          <w:tcPr>
            <w:tcW w:w="5345" w:type="dxa"/>
            <w:hideMark/>
          </w:tcPr>
          <w:p w:rsidRPr="00164EB9" w:rsidR="00164EB9" w:rsidRDefault="00164EB9" w14:paraId="706337DB" w14:textId="522F1129">
            <w:pPr>
              <w:rPr>
                <w:rFonts w:ascii="Calibri" w:hAnsi="Calibri"/>
                <w:sz w:val="22"/>
                <w:szCs w:val="22"/>
              </w:rPr>
            </w:pPr>
            <w:r w:rsidRPr="00164EB9">
              <w:rPr>
                <w:rFonts w:ascii="Calibri" w:hAnsi="Calibri"/>
                <w:sz w:val="22"/>
                <w:szCs w:val="22"/>
              </w:rPr>
              <w:t>De uitgaven worden momenteel geraamd op €</w:t>
            </w:r>
            <w:r w:rsidR="00106262">
              <w:rPr>
                <w:rFonts w:ascii="Calibri" w:hAnsi="Calibri"/>
                <w:sz w:val="22"/>
                <w:szCs w:val="22"/>
              </w:rPr>
              <w:t xml:space="preserve"> </w:t>
            </w:r>
            <w:r w:rsidRPr="00164EB9">
              <w:rPr>
                <w:rFonts w:ascii="Calibri" w:hAnsi="Calibri"/>
                <w:sz w:val="22"/>
                <w:szCs w:val="22"/>
              </w:rPr>
              <w:t>623 miljoen, waarvan circa €</w:t>
            </w:r>
            <w:r w:rsidR="00106262">
              <w:rPr>
                <w:rFonts w:ascii="Calibri" w:hAnsi="Calibri"/>
                <w:sz w:val="22"/>
                <w:szCs w:val="22"/>
              </w:rPr>
              <w:t xml:space="preserve"> </w:t>
            </w:r>
            <w:r w:rsidRPr="00164EB9">
              <w:rPr>
                <w:rFonts w:ascii="Calibri" w:hAnsi="Calibri"/>
                <w:sz w:val="22"/>
                <w:szCs w:val="22"/>
              </w:rPr>
              <w:t xml:space="preserve">366 </w:t>
            </w:r>
            <w:r w:rsidR="00106262">
              <w:rPr>
                <w:rFonts w:ascii="Calibri" w:hAnsi="Calibri"/>
                <w:sz w:val="22"/>
                <w:szCs w:val="22"/>
              </w:rPr>
              <w:t xml:space="preserve">miljoen </w:t>
            </w:r>
            <w:r w:rsidRPr="00164EB9">
              <w:rPr>
                <w:rFonts w:ascii="Calibri" w:hAnsi="Calibri"/>
                <w:sz w:val="22"/>
                <w:szCs w:val="22"/>
              </w:rPr>
              <w:t>voor de subsidieregeling en €</w:t>
            </w:r>
            <w:r w:rsidR="00106262">
              <w:rPr>
                <w:rFonts w:ascii="Calibri" w:hAnsi="Calibri"/>
                <w:sz w:val="22"/>
                <w:szCs w:val="22"/>
              </w:rPr>
              <w:t xml:space="preserve"> </w:t>
            </w:r>
            <w:r w:rsidRPr="00164EB9">
              <w:rPr>
                <w:rFonts w:ascii="Calibri" w:hAnsi="Calibri"/>
                <w:sz w:val="22"/>
                <w:szCs w:val="22"/>
              </w:rPr>
              <w:t>257</w:t>
            </w:r>
            <w:r w:rsidR="00106262">
              <w:rPr>
                <w:rFonts w:ascii="Calibri" w:hAnsi="Calibri"/>
                <w:sz w:val="22"/>
                <w:szCs w:val="22"/>
              </w:rPr>
              <w:t xml:space="preserve"> miljoen</w:t>
            </w:r>
            <w:r w:rsidRPr="00164EB9">
              <w:rPr>
                <w:rFonts w:ascii="Calibri" w:hAnsi="Calibri"/>
                <w:sz w:val="22"/>
                <w:szCs w:val="22"/>
              </w:rPr>
              <w:t xml:space="preserve"> voor de vergoeding aan EBN.  </w:t>
            </w:r>
          </w:p>
        </w:tc>
      </w:tr>
      <w:tr w:rsidRPr="00164EB9" w:rsidR="00164EB9" w:rsidTr="005705DB" w14:paraId="2D536D1E" w14:textId="77777777">
        <w:trPr>
          <w:trHeight w:val="1182"/>
        </w:trPr>
        <w:tc>
          <w:tcPr>
            <w:tcW w:w="3422" w:type="dxa"/>
            <w:noWrap/>
            <w:hideMark/>
          </w:tcPr>
          <w:p w:rsidRPr="00164EB9" w:rsidR="00164EB9" w:rsidRDefault="00164EB9" w14:paraId="4F365C80" w14:textId="77777777">
            <w:pPr>
              <w:rPr>
                <w:rFonts w:ascii="Calibri" w:hAnsi="Calibri"/>
                <w:sz w:val="22"/>
                <w:szCs w:val="22"/>
              </w:rPr>
            </w:pPr>
            <w:r w:rsidRPr="00164EB9">
              <w:rPr>
                <w:rFonts w:ascii="Calibri" w:hAnsi="Calibri"/>
                <w:sz w:val="22"/>
                <w:szCs w:val="22"/>
              </w:rPr>
              <w:t>3b. Financiële gevolgen voor maatschappelijke actoren</w:t>
            </w:r>
          </w:p>
        </w:tc>
        <w:tc>
          <w:tcPr>
            <w:tcW w:w="5345" w:type="dxa"/>
            <w:hideMark/>
          </w:tcPr>
          <w:p w:rsidRPr="00164EB9" w:rsidR="00164EB9" w:rsidRDefault="00164EB9" w14:paraId="73876C52" w14:textId="77777777">
            <w:pPr>
              <w:rPr>
                <w:rFonts w:ascii="Calibri" w:hAnsi="Calibri"/>
                <w:sz w:val="22"/>
                <w:szCs w:val="22"/>
              </w:rPr>
            </w:pPr>
            <w:r w:rsidRPr="00164EB9">
              <w:rPr>
                <w:rFonts w:ascii="Calibri" w:hAnsi="Calibri"/>
                <w:sz w:val="22"/>
                <w:szCs w:val="22"/>
              </w:rPr>
              <w:t>De maatregelen vergoeden primair het verschil tussen de hoge zomergasprijzen en lagere wintergasprijzen, zodat het opslaan van gas wordt rendabel wordt voor marktpartijen en EBN. Daarnaast worden bepaalde kosten verbonden aan gasopslag vergoed.</w:t>
            </w:r>
          </w:p>
        </w:tc>
      </w:tr>
      <w:tr w:rsidRPr="00164EB9" w:rsidR="00164EB9" w:rsidTr="005705DB" w14:paraId="7925B048" w14:textId="77777777">
        <w:trPr>
          <w:trHeight w:val="1773"/>
        </w:trPr>
        <w:tc>
          <w:tcPr>
            <w:tcW w:w="3422" w:type="dxa"/>
            <w:noWrap/>
            <w:hideMark/>
          </w:tcPr>
          <w:p w:rsidRPr="00164EB9" w:rsidR="00164EB9" w:rsidRDefault="00164EB9" w14:paraId="748DDDF4" w14:textId="77777777">
            <w:pPr>
              <w:rPr>
                <w:rFonts w:ascii="Calibri" w:hAnsi="Calibri"/>
                <w:sz w:val="22"/>
                <w:szCs w:val="22"/>
              </w:rPr>
            </w:pPr>
            <w:r w:rsidRPr="00164EB9">
              <w:rPr>
                <w:rFonts w:ascii="Calibri" w:hAnsi="Calibri"/>
                <w:sz w:val="22"/>
                <w:szCs w:val="22"/>
              </w:rPr>
              <w:t>4. Nagestreefde doeltreffendheid</w:t>
            </w:r>
          </w:p>
        </w:tc>
        <w:tc>
          <w:tcPr>
            <w:tcW w:w="5345" w:type="dxa"/>
            <w:hideMark/>
          </w:tcPr>
          <w:p w:rsidRPr="00164EB9" w:rsidR="00164EB9" w:rsidRDefault="00164EB9" w14:paraId="0188D37A" w14:textId="77777777">
            <w:pPr>
              <w:rPr>
                <w:rFonts w:ascii="Calibri" w:hAnsi="Calibri"/>
                <w:sz w:val="22"/>
                <w:szCs w:val="22"/>
              </w:rPr>
            </w:pPr>
            <w:r w:rsidRPr="00164EB9">
              <w:rPr>
                <w:rFonts w:ascii="Calibri" w:hAnsi="Calibri"/>
                <w:sz w:val="22"/>
                <w:szCs w:val="22"/>
              </w:rPr>
              <w:t>De zomergasprijs is momenteel hoger dan de verwachte wintergasprijs. Gasopslag is daarom momenteel onrendabel voor marktpartijen. De maatregelen vergoeden primair het verschil tussen de hoge zomergasprijzen en lagere wintergasprijzen, zodat het opslaan van gas wordt rendabel wordt voor marktpartijen en EBN.</w:t>
            </w:r>
          </w:p>
        </w:tc>
      </w:tr>
      <w:tr w:rsidRPr="00164EB9" w:rsidR="00164EB9" w:rsidTr="005705DB" w14:paraId="2C9FDA2B" w14:textId="77777777">
        <w:trPr>
          <w:trHeight w:val="1773"/>
        </w:trPr>
        <w:tc>
          <w:tcPr>
            <w:tcW w:w="3422" w:type="dxa"/>
            <w:noWrap/>
            <w:hideMark/>
          </w:tcPr>
          <w:p w:rsidRPr="00164EB9" w:rsidR="00164EB9" w:rsidRDefault="00164EB9" w14:paraId="35E8A681" w14:textId="77777777">
            <w:pPr>
              <w:rPr>
                <w:rFonts w:ascii="Calibri" w:hAnsi="Calibri"/>
                <w:sz w:val="22"/>
                <w:szCs w:val="22"/>
              </w:rPr>
            </w:pPr>
            <w:r w:rsidRPr="00164EB9">
              <w:rPr>
                <w:rFonts w:ascii="Calibri" w:hAnsi="Calibri"/>
                <w:sz w:val="22"/>
                <w:szCs w:val="22"/>
              </w:rPr>
              <w:t>5. Nagestreefde doelmatigheid</w:t>
            </w:r>
          </w:p>
        </w:tc>
        <w:tc>
          <w:tcPr>
            <w:tcW w:w="5345" w:type="dxa"/>
            <w:hideMark/>
          </w:tcPr>
          <w:p w:rsidRPr="00164EB9" w:rsidR="00164EB9" w:rsidRDefault="00164EB9" w14:paraId="39487AE8" w14:textId="77777777">
            <w:pPr>
              <w:rPr>
                <w:rFonts w:ascii="Calibri" w:hAnsi="Calibri"/>
                <w:sz w:val="22"/>
                <w:szCs w:val="22"/>
              </w:rPr>
            </w:pPr>
            <w:r w:rsidRPr="00164EB9">
              <w:rPr>
                <w:rFonts w:ascii="Calibri" w:hAnsi="Calibri"/>
                <w:sz w:val="22"/>
                <w:szCs w:val="22"/>
              </w:rPr>
              <w:t>Via maatregel (i) wordt getracht marktpartijen zelf zoveel mogelijk gas op te laten slaan. Hiermee worden de (markt)risico's gemoeid met gasopslag  gespreid over zoveel mogelijk partijen. Om de resterende vulbehoefte die niet door marktpartijen wordt ingevuld in te vullen wordt als tweede maatregel beleidsdeelneming EBN een taak opgelegd om gas op te slaan.</w:t>
            </w:r>
          </w:p>
        </w:tc>
      </w:tr>
      <w:tr w:rsidRPr="00164EB9" w:rsidR="00164EB9" w:rsidTr="005705DB" w14:paraId="401A58CC" w14:textId="77777777">
        <w:trPr>
          <w:trHeight w:val="1182"/>
        </w:trPr>
        <w:tc>
          <w:tcPr>
            <w:tcW w:w="3422" w:type="dxa"/>
            <w:noWrap/>
            <w:hideMark/>
          </w:tcPr>
          <w:p w:rsidRPr="00164EB9" w:rsidR="00164EB9" w:rsidRDefault="00164EB9" w14:paraId="0B816CD4" w14:textId="77777777">
            <w:pPr>
              <w:rPr>
                <w:rFonts w:ascii="Calibri" w:hAnsi="Calibri"/>
                <w:sz w:val="22"/>
                <w:szCs w:val="22"/>
              </w:rPr>
            </w:pPr>
            <w:r w:rsidRPr="00164EB9">
              <w:rPr>
                <w:rFonts w:ascii="Calibri" w:hAnsi="Calibri"/>
                <w:sz w:val="22"/>
                <w:szCs w:val="22"/>
              </w:rPr>
              <w:lastRenderedPageBreak/>
              <w:t>6. Evaluatieparagraaf</w:t>
            </w:r>
          </w:p>
        </w:tc>
        <w:tc>
          <w:tcPr>
            <w:tcW w:w="5345" w:type="dxa"/>
            <w:hideMark/>
          </w:tcPr>
          <w:p w:rsidRPr="00164EB9" w:rsidR="00164EB9" w:rsidRDefault="00164EB9" w14:paraId="7F38C63F" w14:textId="77777777">
            <w:pPr>
              <w:rPr>
                <w:rFonts w:ascii="Calibri" w:hAnsi="Calibri"/>
                <w:sz w:val="22"/>
                <w:szCs w:val="22"/>
              </w:rPr>
            </w:pPr>
            <w:r w:rsidRPr="00164EB9">
              <w:rPr>
                <w:rFonts w:ascii="Calibri" w:hAnsi="Calibri"/>
                <w:sz w:val="22"/>
                <w:szCs w:val="22"/>
              </w:rPr>
              <w:t>De maatregelen zijn eenmalig, ten behoeve van het vullen van gasopslagen voor aankomende winter. Ná aan komende winter - een jaar na de inwerkingtreding van de maatregelen - wordt de werking hiervan geëvalueerd.</w:t>
            </w:r>
          </w:p>
        </w:tc>
      </w:tr>
    </w:tbl>
    <w:p w:rsidRPr="0007405D" w:rsidR="0007405D" w:rsidP="0007405D" w:rsidRDefault="0007405D" w14:paraId="2D5143A0" w14:textId="1B72D322">
      <w:pPr>
        <w:rPr>
          <w:rFonts w:ascii="Calibri" w:hAnsi="Calibri"/>
          <w:sz w:val="22"/>
          <w:szCs w:val="22"/>
        </w:rPr>
      </w:pPr>
    </w:p>
    <w:p w:rsidR="005F09C8" w:rsidP="00460385" w:rsidRDefault="005F09C8" w14:paraId="6185B71D" w14:textId="7D6C63D4"/>
    <w:p w:rsidR="00705213" w:rsidP="00460385" w:rsidRDefault="00705213" w14:paraId="423EB254" w14:textId="3E8BDED2">
      <w:r>
        <w:t>Mede namens de Minister voor Klimaat en Energie,</w:t>
      </w:r>
    </w:p>
    <w:p w:rsidR="0087624B" w:rsidP="00460385" w:rsidRDefault="0087624B" w14:paraId="16EFF43C" w14:textId="10CAC49F">
      <w:r>
        <w:t>Mede namens de Staatsecretaris Mijnbouw,</w:t>
      </w:r>
    </w:p>
    <w:p w:rsidR="005F09C8" w:rsidP="00460385" w:rsidRDefault="005F09C8" w14:paraId="74A6F5E5" w14:textId="69FFCAE7"/>
    <w:p w:rsidR="005F09C8" w:rsidP="00460385" w:rsidRDefault="005F09C8" w14:paraId="1517EAD8" w14:textId="3571F116"/>
    <w:p w:rsidR="00E01179" w:rsidP="00460385" w:rsidRDefault="00E01179" w14:paraId="6F3A9AC7" w14:textId="482F0278"/>
    <w:p w:rsidR="00E01179" w:rsidP="00460385" w:rsidRDefault="00E01179" w14:paraId="4E7E8F6F" w14:textId="58D55E7A"/>
    <w:p w:rsidR="00705213" w:rsidP="00460385" w:rsidRDefault="00705213" w14:paraId="0C96622A" w14:textId="77777777"/>
    <w:p w:rsidR="00E01179" w:rsidP="00460385" w:rsidRDefault="00E01179" w14:paraId="633FA13B" w14:textId="77777777"/>
    <w:p w:rsidRPr="00460385" w:rsidR="005F09C8" w:rsidP="005F09C8" w:rsidRDefault="005F09C8" w14:paraId="745F0211" w14:textId="77777777">
      <w:pPr>
        <w:rPr>
          <w:szCs w:val="18"/>
        </w:rPr>
      </w:pPr>
      <w:r w:rsidRPr="00460385">
        <w:rPr>
          <w:szCs w:val="18"/>
        </w:rPr>
        <w:t>M.A.M. Adriaansens</w:t>
      </w:r>
    </w:p>
    <w:p w:rsidR="005F09C8" w:rsidP="005F09C8" w:rsidRDefault="005F09C8" w14:paraId="7BDF3FA2" w14:textId="77777777">
      <w:r>
        <w:t>Minister van Economische Zaken en Klimaat</w:t>
      </w:r>
    </w:p>
    <w:sectPr w:rsidR="005F09C8" w:rsidSect="001E17B7">
      <w:headerReference w:type="default" r:id="rId8"/>
      <w:footerReference w:type="default" r:id="rId9"/>
      <w:headerReference w:type="first" r:id="rId10"/>
      <w:footerReference w:type="first" r:id="rId11"/>
      <w:pgSz w:w="11906" w:h="16838" w:code="9"/>
      <w:pgMar w:top="2398" w:right="2818" w:bottom="794"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240A3" w14:textId="77777777" w:rsidR="00B27A81" w:rsidRDefault="00B27A81">
      <w:pPr>
        <w:spacing w:line="240" w:lineRule="auto"/>
      </w:pPr>
      <w:r>
        <w:separator/>
      </w:r>
    </w:p>
  </w:endnote>
  <w:endnote w:type="continuationSeparator" w:id="0">
    <w:p w14:paraId="72398199" w14:textId="77777777" w:rsidR="00B27A81" w:rsidRDefault="00B27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E98C" w14:textId="77777777" w:rsidR="00AE501D" w:rsidRPr="00BC3B53" w:rsidRDefault="00AE501D"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E501D" w14:paraId="1EAD3107" w14:textId="77777777" w:rsidTr="00CA6A25">
      <w:trPr>
        <w:trHeight w:hRule="exact" w:val="240"/>
      </w:trPr>
      <w:tc>
        <w:tcPr>
          <w:tcW w:w="7601" w:type="dxa"/>
          <w:shd w:val="clear" w:color="auto" w:fill="auto"/>
        </w:tcPr>
        <w:p w14:paraId="6BAF981E" w14:textId="77777777" w:rsidR="00AE501D" w:rsidRDefault="00AE501D" w:rsidP="003F1F6B">
          <w:pPr>
            <w:pStyle w:val="Huisstijl-Rubricering"/>
          </w:pPr>
        </w:p>
      </w:tc>
      <w:tc>
        <w:tcPr>
          <w:tcW w:w="2156" w:type="dxa"/>
        </w:tcPr>
        <w:p w14:paraId="4A6BA531" w14:textId="363D04D6" w:rsidR="00AE501D" w:rsidRPr="00645414" w:rsidRDefault="00AE501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435CA0">
            <w:fldChar w:fldCharType="begin"/>
          </w:r>
          <w:r w:rsidR="00435CA0">
            <w:instrText xml:space="preserve"> SECTIONPAGES   \* MERGEFORMAT </w:instrText>
          </w:r>
          <w:r w:rsidR="00435CA0">
            <w:fldChar w:fldCharType="separate"/>
          </w:r>
          <w:r w:rsidR="00435CA0">
            <w:t>3</w:t>
          </w:r>
          <w:r w:rsidR="00435CA0">
            <w:fldChar w:fldCharType="end"/>
          </w:r>
        </w:p>
      </w:tc>
    </w:tr>
  </w:tbl>
  <w:p w14:paraId="753EA66B" w14:textId="77777777" w:rsidR="00AE501D" w:rsidRPr="00BC3B53" w:rsidRDefault="00AE501D"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E501D" w14:paraId="39B795DE" w14:textId="77777777" w:rsidTr="00CA6A25">
      <w:trPr>
        <w:trHeight w:hRule="exact" w:val="240"/>
      </w:trPr>
      <w:tc>
        <w:tcPr>
          <w:tcW w:w="7601" w:type="dxa"/>
          <w:shd w:val="clear" w:color="auto" w:fill="auto"/>
        </w:tcPr>
        <w:p w14:paraId="5D3B2D29" w14:textId="77777777" w:rsidR="00AE501D" w:rsidRDefault="00AE501D" w:rsidP="008C356D">
          <w:pPr>
            <w:pStyle w:val="Huisstijl-Rubricering"/>
          </w:pPr>
        </w:p>
      </w:tc>
      <w:tc>
        <w:tcPr>
          <w:tcW w:w="2170" w:type="dxa"/>
        </w:tcPr>
        <w:p w14:paraId="42405988" w14:textId="437534BB" w:rsidR="00AE501D" w:rsidRPr="00ED539E" w:rsidRDefault="00AE501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435CA0">
            <w:fldChar w:fldCharType="begin"/>
          </w:r>
          <w:r w:rsidR="00435CA0">
            <w:instrText xml:space="preserve"> SECTIONPAGES   \* MERGEFORMAT </w:instrText>
          </w:r>
          <w:r w:rsidR="00435CA0">
            <w:fldChar w:fldCharType="separate"/>
          </w:r>
          <w:r w:rsidR="00435CA0">
            <w:t>3</w:t>
          </w:r>
          <w:r w:rsidR="00435CA0">
            <w:fldChar w:fldCharType="end"/>
          </w:r>
        </w:p>
      </w:tc>
    </w:tr>
  </w:tbl>
  <w:p w14:paraId="52FD28DC" w14:textId="77777777" w:rsidR="00AE501D" w:rsidRPr="00BC3B53" w:rsidRDefault="00AE501D" w:rsidP="008C356D">
    <w:pPr>
      <w:pStyle w:val="Voettekst"/>
      <w:spacing w:line="240" w:lineRule="auto"/>
      <w:rPr>
        <w:sz w:val="2"/>
        <w:szCs w:val="2"/>
      </w:rPr>
    </w:pPr>
  </w:p>
  <w:p w14:paraId="55155723" w14:textId="77777777" w:rsidR="00AE501D" w:rsidRPr="00BC3B53" w:rsidRDefault="00AE501D"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4E94" w14:textId="77777777" w:rsidR="00B27A81" w:rsidRDefault="00B27A81">
      <w:pPr>
        <w:spacing w:line="240" w:lineRule="auto"/>
      </w:pPr>
      <w:r>
        <w:separator/>
      </w:r>
    </w:p>
  </w:footnote>
  <w:footnote w:type="continuationSeparator" w:id="0">
    <w:p w14:paraId="55720E2F" w14:textId="77777777" w:rsidR="00B27A81" w:rsidRDefault="00B27A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E501D" w14:paraId="2031D1AA" w14:textId="77777777" w:rsidTr="00A50CF6">
      <w:tc>
        <w:tcPr>
          <w:tcW w:w="2156" w:type="dxa"/>
          <w:shd w:val="clear" w:color="auto" w:fill="auto"/>
        </w:tcPr>
        <w:p w14:paraId="1F51CCFD" w14:textId="77777777" w:rsidR="00AE501D" w:rsidRPr="005819CE" w:rsidRDefault="00AE501D" w:rsidP="00A50CF6">
          <w:pPr>
            <w:pStyle w:val="Huisstijl-Adres"/>
            <w:rPr>
              <w:b/>
            </w:rPr>
          </w:pPr>
          <w:r>
            <w:rPr>
              <w:b/>
            </w:rPr>
            <w:t>Directie Financieel Economische Zaken</w:t>
          </w:r>
          <w:r w:rsidRPr="005819CE">
            <w:rPr>
              <w:b/>
            </w:rPr>
            <w:br/>
          </w:r>
        </w:p>
      </w:tc>
    </w:tr>
    <w:tr w:rsidR="00AE501D" w14:paraId="23B8372E" w14:textId="77777777" w:rsidTr="00A50CF6">
      <w:trPr>
        <w:trHeight w:hRule="exact" w:val="200"/>
      </w:trPr>
      <w:tc>
        <w:tcPr>
          <w:tcW w:w="2156" w:type="dxa"/>
          <w:shd w:val="clear" w:color="auto" w:fill="auto"/>
        </w:tcPr>
        <w:p w14:paraId="324532BC" w14:textId="77777777" w:rsidR="00AE501D" w:rsidRPr="005819CE" w:rsidRDefault="00AE501D" w:rsidP="00A50CF6"/>
      </w:tc>
    </w:tr>
    <w:tr w:rsidR="00AE501D" w14:paraId="3203A4E8" w14:textId="77777777" w:rsidTr="00502512">
      <w:trPr>
        <w:trHeight w:hRule="exact" w:val="774"/>
      </w:trPr>
      <w:tc>
        <w:tcPr>
          <w:tcW w:w="2156" w:type="dxa"/>
          <w:shd w:val="clear" w:color="auto" w:fill="auto"/>
        </w:tcPr>
        <w:p w14:paraId="6D29B43A" w14:textId="77777777" w:rsidR="00AE501D" w:rsidRDefault="00AE501D" w:rsidP="003A5290">
          <w:pPr>
            <w:pStyle w:val="Huisstijl-Kopje"/>
          </w:pPr>
          <w:r>
            <w:t>Ons kenmerk</w:t>
          </w:r>
        </w:p>
        <w:p w14:paraId="73F41113" w14:textId="77777777" w:rsidR="00AE501D" w:rsidRPr="00502512" w:rsidRDefault="00AE501D"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20270396</w:t>
              </w:r>
              <w:r>
                <w:rPr>
                  <w:b w:val="0"/>
                </w:rPr>
                <w:fldChar w:fldCharType="end"/>
              </w:r>
            </w:sdtContent>
          </w:sdt>
        </w:p>
        <w:p w14:paraId="753FF76A" w14:textId="77777777" w:rsidR="00AE501D" w:rsidRPr="005819CE" w:rsidRDefault="00AE501D" w:rsidP="00361A56">
          <w:pPr>
            <w:pStyle w:val="Huisstijl-Kopje"/>
          </w:pPr>
        </w:p>
      </w:tc>
    </w:tr>
  </w:tbl>
  <w:p w14:paraId="50DA1473" w14:textId="77777777" w:rsidR="00AE501D" w:rsidRDefault="00AE501D" w:rsidP="008C356D">
    <w:pPr>
      <w:pStyle w:val="Koptekst"/>
      <w:rPr>
        <w:rFonts w:cs="Verdana-Bold"/>
        <w:b/>
        <w:bCs/>
        <w:smallCaps/>
        <w:szCs w:val="18"/>
      </w:rPr>
    </w:pPr>
  </w:p>
  <w:p w14:paraId="594F5425" w14:textId="77777777" w:rsidR="00AE501D" w:rsidRDefault="00AE501D" w:rsidP="008C356D"/>
  <w:p w14:paraId="535BFD83" w14:textId="77777777" w:rsidR="00AE501D" w:rsidRPr="00740712" w:rsidRDefault="00AE501D" w:rsidP="008C356D"/>
  <w:p w14:paraId="0B195DEA" w14:textId="77777777" w:rsidR="00AE501D" w:rsidRPr="00217880" w:rsidRDefault="00AE501D" w:rsidP="008C356D">
    <w:pPr>
      <w:spacing w:line="0" w:lineRule="atLeast"/>
      <w:rPr>
        <w:sz w:val="2"/>
        <w:szCs w:val="2"/>
      </w:rPr>
    </w:pPr>
  </w:p>
  <w:p w14:paraId="67348CE2" w14:textId="77777777" w:rsidR="00AE501D" w:rsidRDefault="00AE501D" w:rsidP="004F44C2">
    <w:pPr>
      <w:pStyle w:val="Koptekst"/>
      <w:rPr>
        <w:rFonts w:cs="Verdana-Bold"/>
        <w:b/>
        <w:bCs/>
        <w:smallCaps/>
        <w:szCs w:val="18"/>
      </w:rPr>
    </w:pPr>
  </w:p>
  <w:p w14:paraId="660DA0C0" w14:textId="77777777" w:rsidR="00AE501D" w:rsidRDefault="00AE501D" w:rsidP="004F44C2"/>
  <w:p w14:paraId="33DCE01C" w14:textId="77777777" w:rsidR="00AE501D" w:rsidRPr="00740712" w:rsidRDefault="00AE501D" w:rsidP="004F44C2"/>
  <w:p w14:paraId="3B8E5D67" w14:textId="77777777" w:rsidR="00AE501D" w:rsidRPr="00217880" w:rsidRDefault="00AE501D"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E501D" w14:paraId="378379AB" w14:textId="77777777" w:rsidTr="00751A6A">
      <w:trPr>
        <w:trHeight w:val="2636"/>
      </w:trPr>
      <w:tc>
        <w:tcPr>
          <w:tcW w:w="737" w:type="dxa"/>
          <w:shd w:val="clear" w:color="auto" w:fill="auto"/>
        </w:tcPr>
        <w:p w14:paraId="69072FCF" w14:textId="0BCDE8F3" w:rsidR="00AE501D" w:rsidRDefault="00AE501D" w:rsidP="00D0609E">
          <w:pPr>
            <w:framePr w:w="6340" w:h="2750" w:hRule="exact" w:hSpace="180" w:wrap="around" w:vAnchor="page" w:hAnchor="text" w:x="3873" w:y="-140"/>
            <w:spacing w:line="240" w:lineRule="auto"/>
          </w:pPr>
        </w:p>
      </w:tc>
      <w:tc>
        <w:tcPr>
          <w:tcW w:w="5156" w:type="dxa"/>
          <w:shd w:val="clear" w:color="auto" w:fill="auto"/>
        </w:tcPr>
        <w:p w14:paraId="53C1F961" w14:textId="77777777" w:rsidR="00AE501D" w:rsidRDefault="00AE501D" w:rsidP="00651CEE">
          <w:pPr>
            <w:rPr>
              <w:szCs w:val="18"/>
            </w:rPr>
          </w:pPr>
          <w:r>
            <w:rPr>
              <w:noProof/>
              <w:szCs w:val="18"/>
            </w:rPr>
            <w:drawing>
              <wp:inline distT="0" distB="0" distL="0" distR="0" wp14:anchorId="5A025D50" wp14:editId="27C299FC">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01374"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5388EEA1" w14:textId="77777777" w:rsidR="00AE501D" w:rsidRDefault="00AE501D" w:rsidP="00F034D8">
          <w:pPr>
            <w:rPr>
              <w:szCs w:val="18"/>
            </w:rPr>
          </w:pPr>
        </w:p>
        <w:p w14:paraId="47378203" w14:textId="77777777" w:rsidR="00AE501D" w:rsidRDefault="00AE501D"/>
      </w:tc>
    </w:tr>
  </w:tbl>
  <w:p w14:paraId="49DF6106" w14:textId="77777777" w:rsidR="00AE501D" w:rsidRDefault="00AE501D" w:rsidP="00D0609E">
    <w:pPr>
      <w:framePr w:w="6340" w:h="2750" w:hRule="exact" w:hSpace="180" w:wrap="around" w:vAnchor="page" w:hAnchor="text" w:x="3873" w:y="-140"/>
    </w:pPr>
  </w:p>
  <w:p w14:paraId="1999FD19" w14:textId="77777777" w:rsidR="00AE501D" w:rsidRDefault="00AE501D" w:rsidP="000049FB">
    <w:pPr>
      <w:pStyle w:val="Koptekst"/>
      <w:tabs>
        <w:tab w:val="clear" w:pos="4536"/>
        <w:tab w:val="clear" w:pos="9072"/>
      </w:tabs>
    </w:pPr>
  </w:p>
  <w:tbl>
    <w:tblPr>
      <w:tblpPr w:leftFromText="142" w:rightFromText="142" w:vertAnchor="page" w:tblpX="7758" w:tblpY="2978"/>
      <w:tblOverlap w:val="never"/>
      <w:tblW w:w="2018" w:type="dxa"/>
      <w:tblLayout w:type="fixed"/>
      <w:tblCellMar>
        <w:left w:w="0" w:type="dxa"/>
        <w:right w:w="0" w:type="dxa"/>
      </w:tblCellMar>
      <w:tblLook w:val="0000" w:firstRow="0" w:lastRow="0" w:firstColumn="0" w:lastColumn="0" w:noHBand="0" w:noVBand="0"/>
    </w:tblPr>
    <w:tblGrid>
      <w:gridCol w:w="2018"/>
    </w:tblGrid>
    <w:tr w:rsidR="00AE501D" w14:paraId="2267D7A7" w14:textId="77777777" w:rsidTr="00527979">
      <w:tc>
        <w:tcPr>
          <w:tcW w:w="2018" w:type="dxa"/>
          <w:shd w:val="clear" w:color="auto" w:fill="auto"/>
        </w:tcPr>
        <w:p w14:paraId="438F5A5C" w14:textId="77777777" w:rsidR="00AE501D" w:rsidRPr="005819CE" w:rsidRDefault="00AE501D" w:rsidP="00527979">
          <w:pPr>
            <w:pStyle w:val="Huisstijl-Adres"/>
            <w:rPr>
              <w:b/>
            </w:rPr>
          </w:pPr>
          <w:r>
            <w:rPr>
              <w:b/>
            </w:rPr>
            <w:t>Directie Financieel Economische Zaken</w:t>
          </w:r>
          <w:r w:rsidRPr="005819CE">
            <w:rPr>
              <w:b/>
            </w:rPr>
            <w:br/>
          </w:r>
        </w:p>
        <w:p w14:paraId="6D8A50B0" w14:textId="77777777" w:rsidR="00AE501D" w:rsidRPr="00BE5ED9" w:rsidRDefault="00AE501D" w:rsidP="00527979">
          <w:pPr>
            <w:pStyle w:val="Huisstijl-Adres"/>
          </w:pPr>
          <w:r>
            <w:rPr>
              <w:b/>
            </w:rPr>
            <w:t>Bezoekadres</w:t>
          </w:r>
          <w:r>
            <w:rPr>
              <w:b/>
            </w:rPr>
            <w:br/>
          </w:r>
          <w:r>
            <w:t>Bezuidenhoutseweg 73</w:t>
          </w:r>
          <w:r w:rsidRPr="005819CE">
            <w:br/>
          </w:r>
          <w:r>
            <w:t>2594 AC Den Haag</w:t>
          </w:r>
        </w:p>
        <w:p w14:paraId="6E4664E6" w14:textId="77777777" w:rsidR="00AE501D" w:rsidRDefault="00AE501D" w:rsidP="00527979">
          <w:pPr>
            <w:pStyle w:val="Huisstijl-Adres"/>
          </w:pPr>
          <w:r>
            <w:rPr>
              <w:b/>
            </w:rPr>
            <w:t>Postadres</w:t>
          </w:r>
          <w:r>
            <w:rPr>
              <w:b/>
            </w:rPr>
            <w:br/>
          </w:r>
          <w:r>
            <w:t>Postbus 20401</w:t>
          </w:r>
          <w:r w:rsidRPr="005819CE">
            <w:br/>
            <w:t>2500 E</w:t>
          </w:r>
          <w:r>
            <w:t>K</w:t>
          </w:r>
          <w:r w:rsidRPr="005819CE">
            <w:t xml:space="preserve"> Den Haag</w:t>
          </w:r>
        </w:p>
        <w:p w14:paraId="1D99BA3A" w14:textId="77777777" w:rsidR="00AE501D" w:rsidRPr="005B3814" w:rsidRDefault="00AE501D" w:rsidP="00527979">
          <w:pPr>
            <w:pStyle w:val="Huisstijl-Adres"/>
          </w:pPr>
          <w:r>
            <w:rPr>
              <w:b/>
            </w:rPr>
            <w:t>Overheidsidentificatienr</w:t>
          </w:r>
          <w:r>
            <w:rPr>
              <w:b/>
            </w:rPr>
            <w:br/>
          </w:r>
          <w:r w:rsidRPr="005B3814">
            <w:t>00000001003214369000</w:t>
          </w:r>
        </w:p>
        <w:p w14:paraId="2D8A017D" w14:textId="77777777" w:rsidR="00AE501D" w:rsidRPr="008A3716" w:rsidRDefault="00AE501D" w:rsidP="00527979">
          <w:pPr>
            <w:pStyle w:val="Huisstijl-Adres"/>
            <w:rPr>
              <w:u w:val="single"/>
            </w:rPr>
          </w:pPr>
          <w:r>
            <w:t>T</w:t>
          </w:r>
          <w:r>
            <w:tab/>
            <w:t>070 379 8911 (algemeen)</w:t>
          </w:r>
          <w:r w:rsidRPr="005819CE">
            <w:br/>
          </w:r>
          <w:r>
            <w:t>F</w:t>
          </w:r>
          <w:r>
            <w:tab/>
            <w:t>070 378 6100 (algemeen)</w:t>
          </w:r>
          <w:r w:rsidRPr="005819CE">
            <w:br/>
          </w:r>
          <w:r>
            <w:t>www.rijksoverheid.nl/ezk</w:t>
          </w:r>
        </w:p>
      </w:tc>
    </w:tr>
    <w:tr w:rsidR="00AE501D" w14:paraId="296629F1" w14:textId="77777777" w:rsidTr="00527979">
      <w:trPr>
        <w:trHeight w:hRule="exact" w:val="200"/>
      </w:trPr>
      <w:tc>
        <w:tcPr>
          <w:tcW w:w="2018" w:type="dxa"/>
          <w:shd w:val="clear" w:color="auto" w:fill="auto"/>
        </w:tcPr>
        <w:p w14:paraId="04C8E0D6" w14:textId="77777777" w:rsidR="00AE501D" w:rsidRPr="005819CE" w:rsidRDefault="00AE501D" w:rsidP="00527979"/>
      </w:tc>
    </w:tr>
    <w:tr w:rsidR="00AE501D" w14:paraId="097C00F5" w14:textId="77777777" w:rsidTr="00527979">
      <w:tc>
        <w:tcPr>
          <w:tcW w:w="2018" w:type="dxa"/>
          <w:shd w:val="clear" w:color="auto" w:fill="auto"/>
        </w:tcPr>
        <w:p w14:paraId="4F63BEDE" w14:textId="77777777" w:rsidR="00AE501D" w:rsidRPr="005819CE" w:rsidRDefault="00AE501D" w:rsidP="00527979">
          <w:pPr>
            <w:pStyle w:val="Huisstijl-Kopje"/>
          </w:pPr>
          <w:r>
            <w:t>Ons kenmerk</w:t>
          </w:r>
          <w:r w:rsidRPr="005819CE">
            <w:t xml:space="preserve"> </w:t>
          </w:r>
        </w:p>
        <w:p w14:paraId="409E2CF4" w14:textId="4EEC75CC" w:rsidR="00AE501D" w:rsidRPr="005819CE" w:rsidRDefault="00AE501D" w:rsidP="00527979">
          <w:pPr>
            <w:pStyle w:val="Huisstijl-Gegeven"/>
          </w:pPr>
          <w:r>
            <w:t xml:space="preserve">FEZ / </w:t>
          </w:r>
          <w:sdt>
            <w:sdtPr>
              <w:alias w:val="documentId"/>
              <w:id w:val="774674115"/>
              <w:placeholder>
                <w:docPart w:val="DefaultPlaceholder_-1854013440"/>
              </w:placeholder>
            </w:sdtPr>
            <w:sdtEndPr/>
            <w:sdtContent>
              <w:r w:rsidR="00660927">
                <w:t>22</w:t>
              </w:r>
              <w:r w:rsidR="00E01179">
                <w:t>1</w:t>
              </w:r>
              <w:r w:rsidR="00BD6F8A">
                <w:t>6</w:t>
              </w:r>
              <w:r w:rsidR="00E01179">
                <w:t>6</w:t>
              </w:r>
              <w:r w:rsidR="00BD6F8A">
                <w:t>061</w:t>
              </w:r>
            </w:sdtContent>
          </w:sdt>
        </w:p>
        <w:p w14:paraId="0F2F7279" w14:textId="77777777" w:rsidR="00AE501D" w:rsidRPr="005819CE" w:rsidRDefault="00AE501D" w:rsidP="00527979">
          <w:pPr>
            <w:pStyle w:val="Huisstijl-Kopje"/>
          </w:pPr>
          <w:r>
            <w:t>Bijlage(n)</w:t>
          </w:r>
        </w:p>
        <w:p w14:paraId="2A4739AA" w14:textId="77777777" w:rsidR="00AE501D" w:rsidRPr="005819CE" w:rsidRDefault="00AE501D" w:rsidP="00527979">
          <w:pPr>
            <w:pStyle w:val="Huisstijl-Gegeven"/>
          </w:pPr>
          <w:r>
            <w:t>2</w:t>
          </w:r>
        </w:p>
      </w:tc>
    </w:tr>
  </w:tbl>
  <w:p w14:paraId="753D7471" w14:textId="77777777" w:rsidR="00AE501D" w:rsidRPr="00121BF0" w:rsidRDefault="00AE501D"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AE501D" w14:paraId="5E03F9FB" w14:textId="77777777" w:rsidTr="00725BB6">
      <w:trPr>
        <w:trHeight w:val="400"/>
      </w:trPr>
      <w:tc>
        <w:tcPr>
          <w:tcW w:w="7371" w:type="dxa"/>
          <w:gridSpan w:val="2"/>
          <w:shd w:val="clear" w:color="auto" w:fill="auto"/>
        </w:tcPr>
        <w:p w14:paraId="51A91128" w14:textId="77777777" w:rsidR="00AE501D" w:rsidRPr="00BC3B53" w:rsidRDefault="00AE501D" w:rsidP="00A50CF6">
          <w:pPr>
            <w:pStyle w:val="Huisstijl-Retouradres"/>
          </w:pPr>
          <w:r>
            <w:t>&gt; Retouradres Postbus 20401 2500 EK Den Haag</w:t>
          </w:r>
        </w:p>
      </w:tc>
    </w:tr>
    <w:tr w:rsidR="00AE501D" w14:paraId="02060816" w14:textId="77777777" w:rsidTr="00725BB6">
      <w:tc>
        <w:tcPr>
          <w:tcW w:w="7371" w:type="dxa"/>
          <w:gridSpan w:val="2"/>
          <w:shd w:val="clear" w:color="auto" w:fill="auto"/>
        </w:tcPr>
        <w:p w14:paraId="5999F2D7" w14:textId="77777777" w:rsidR="00AE501D" w:rsidRPr="00983E8F" w:rsidRDefault="00AE501D" w:rsidP="00A50CF6">
          <w:pPr>
            <w:pStyle w:val="Huisstijl-Rubricering"/>
          </w:pPr>
        </w:p>
      </w:tc>
    </w:tr>
    <w:tr w:rsidR="00AE501D" w:rsidRPr="00E26696" w14:paraId="618F3F52" w14:textId="77777777" w:rsidTr="00725BB6">
      <w:trPr>
        <w:trHeight w:hRule="exact" w:val="2440"/>
      </w:trPr>
      <w:tc>
        <w:tcPr>
          <w:tcW w:w="7371" w:type="dxa"/>
          <w:gridSpan w:val="2"/>
          <w:shd w:val="clear" w:color="auto" w:fill="auto"/>
        </w:tcPr>
        <w:p w14:paraId="1C7C4BEB" w14:textId="77777777" w:rsidR="00AE501D" w:rsidRDefault="00AE501D" w:rsidP="00B51119">
          <w:pPr>
            <w:pStyle w:val="Huisstijl-NAW"/>
          </w:pPr>
          <w:r>
            <w:t xml:space="preserve">De Voorzitter van de Tweede Kamer </w:t>
          </w:r>
        </w:p>
        <w:p w14:paraId="67792FFD" w14:textId="77777777" w:rsidR="00AE501D" w:rsidRDefault="00AE501D" w:rsidP="00B51119">
          <w:pPr>
            <w:pStyle w:val="Huisstijl-NAW"/>
          </w:pPr>
          <w:r>
            <w:t>der Staten-Generaal</w:t>
          </w:r>
        </w:p>
        <w:p w14:paraId="2F32F0E7" w14:textId="77777777" w:rsidR="00AE501D" w:rsidRDefault="00AE501D" w:rsidP="00B51119">
          <w:pPr>
            <w:pStyle w:val="Huisstijl-NAW"/>
          </w:pPr>
          <w:r>
            <w:t>Prinses Irenestraat 6</w:t>
          </w:r>
        </w:p>
        <w:p w14:paraId="0C101F59" w14:textId="50508849" w:rsidR="00AE501D" w:rsidRPr="00E26696" w:rsidRDefault="00AE501D" w:rsidP="00B51119">
          <w:pPr>
            <w:pStyle w:val="Huisstijl-NAW"/>
          </w:pPr>
          <w:r>
            <w:t>2595 BD  DEN HAAG</w:t>
          </w:r>
        </w:p>
      </w:tc>
    </w:tr>
    <w:tr w:rsidR="00AE501D" w14:paraId="0AFB3A16" w14:textId="77777777" w:rsidTr="00725BB6">
      <w:trPr>
        <w:trHeight w:hRule="exact" w:val="400"/>
      </w:trPr>
      <w:tc>
        <w:tcPr>
          <w:tcW w:w="7371" w:type="dxa"/>
          <w:gridSpan w:val="2"/>
          <w:shd w:val="clear" w:color="auto" w:fill="auto"/>
        </w:tcPr>
        <w:p w14:paraId="4F7D0A26" w14:textId="77777777" w:rsidR="00AE501D" w:rsidRPr="00035E67" w:rsidRDefault="00AE501D" w:rsidP="00A50CF6">
          <w:pPr>
            <w:tabs>
              <w:tab w:val="left" w:pos="740"/>
            </w:tabs>
            <w:autoSpaceDE w:val="0"/>
            <w:autoSpaceDN w:val="0"/>
            <w:adjustRightInd w:val="0"/>
            <w:ind w:left="743" w:hanging="743"/>
            <w:rPr>
              <w:rFonts w:cs="Verdana"/>
              <w:szCs w:val="18"/>
            </w:rPr>
          </w:pPr>
        </w:p>
      </w:tc>
    </w:tr>
    <w:tr w:rsidR="00AE501D" w14:paraId="4739097B" w14:textId="77777777" w:rsidTr="00725BB6">
      <w:trPr>
        <w:trHeight w:val="240"/>
      </w:trPr>
      <w:tc>
        <w:tcPr>
          <w:tcW w:w="709" w:type="dxa"/>
          <w:shd w:val="clear" w:color="auto" w:fill="auto"/>
        </w:tcPr>
        <w:p w14:paraId="62F00F25" w14:textId="77777777" w:rsidR="00AE501D" w:rsidRPr="007709EF" w:rsidRDefault="00AE501D" w:rsidP="00A50CF6">
          <w:pPr>
            <w:rPr>
              <w:szCs w:val="18"/>
            </w:rPr>
          </w:pPr>
          <w:r>
            <w:rPr>
              <w:szCs w:val="18"/>
            </w:rPr>
            <w:t>Datum</w:t>
          </w:r>
        </w:p>
      </w:tc>
      <w:tc>
        <w:tcPr>
          <w:tcW w:w="6662" w:type="dxa"/>
          <w:shd w:val="clear" w:color="auto" w:fill="auto"/>
        </w:tcPr>
        <w:p w14:paraId="2E81DE47" w14:textId="77777777" w:rsidR="00AE501D" w:rsidRPr="007709EF" w:rsidRDefault="00AE501D" w:rsidP="00A50CF6"/>
      </w:tc>
    </w:tr>
    <w:tr w:rsidR="00AE501D" w:rsidRPr="00DC5886" w14:paraId="559E26FF" w14:textId="77777777" w:rsidTr="00F94477">
      <w:trPr>
        <w:trHeight w:val="590"/>
      </w:trPr>
      <w:tc>
        <w:tcPr>
          <w:tcW w:w="709" w:type="dxa"/>
          <w:shd w:val="clear" w:color="auto" w:fill="auto"/>
        </w:tcPr>
        <w:p w14:paraId="722D9CA8" w14:textId="77777777" w:rsidR="00AE501D" w:rsidRPr="007709EF" w:rsidRDefault="00AE501D" w:rsidP="00725BB6">
          <w:pPr>
            <w:rPr>
              <w:szCs w:val="18"/>
            </w:rPr>
          </w:pPr>
          <w:r>
            <w:rPr>
              <w:szCs w:val="18"/>
            </w:rPr>
            <w:t>Betreft</w:t>
          </w:r>
        </w:p>
      </w:tc>
      <w:tc>
        <w:tcPr>
          <w:tcW w:w="6662" w:type="dxa"/>
          <w:shd w:val="clear" w:color="auto" w:fill="auto"/>
        </w:tcPr>
        <w:p w14:paraId="5ADFC53A" w14:textId="3633E2B8" w:rsidR="00AE501D" w:rsidRPr="00567A8E" w:rsidRDefault="00AE501D" w:rsidP="00C65AE9">
          <w:pPr>
            <w:rPr>
              <w:rFonts w:cs="Arial"/>
              <w:szCs w:val="18"/>
            </w:rPr>
          </w:pPr>
          <w:r w:rsidRPr="00567A8E">
            <w:rPr>
              <w:szCs w:val="18"/>
            </w:rPr>
            <w:t xml:space="preserve">Aanbiedingsbrief </w:t>
          </w:r>
          <w:r w:rsidR="00705213" w:rsidRPr="00567A8E">
            <w:rPr>
              <w:szCs w:val="18"/>
            </w:rPr>
            <w:t>zes</w:t>
          </w:r>
          <w:r w:rsidRPr="00567A8E">
            <w:rPr>
              <w:szCs w:val="18"/>
            </w:rPr>
            <w:t xml:space="preserve">de incidentele suppletoire begroting (ISB) EZK 2022 inzake </w:t>
          </w:r>
          <w:r w:rsidR="00334E64" w:rsidRPr="00567A8E">
            <w:t>vulmaatregelen gasopslag en waardevermeerderingsregeling</w:t>
          </w:r>
        </w:p>
      </w:tc>
    </w:tr>
  </w:tbl>
  <w:p w14:paraId="2F4AF82D" w14:textId="77777777" w:rsidR="00AE501D" w:rsidRPr="00BC4AE3" w:rsidRDefault="00AE501D"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468498">
      <w:start w:val="1"/>
      <w:numFmt w:val="bullet"/>
      <w:pStyle w:val="Lijstopsomteken"/>
      <w:lvlText w:val="•"/>
      <w:lvlJc w:val="left"/>
      <w:pPr>
        <w:tabs>
          <w:tab w:val="num" w:pos="227"/>
        </w:tabs>
        <w:ind w:left="227" w:hanging="227"/>
      </w:pPr>
      <w:rPr>
        <w:rFonts w:ascii="Verdana" w:hAnsi="Verdana" w:hint="default"/>
        <w:sz w:val="18"/>
        <w:szCs w:val="18"/>
      </w:rPr>
    </w:lvl>
    <w:lvl w:ilvl="1" w:tplc="418CE62C" w:tentative="1">
      <w:start w:val="1"/>
      <w:numFmt w:val="bullet"/>
      <w:lvlText w:val="o"/>
      <w:lvlJc w:val="left"/>
      <w:pPr>
        <w:tabs>
          <w:tab w:val="num" w:pos="1440"/>
        </w:tabs>
        <w:ind w:left="1440" w:hanging="360"/>
      </w:pPr>
      <w:rPr>
        <w:rFonts w:ascii="Courier New" w:hAnsi="Courier New" w:cs="Courier New" w:hint="default"/>
      </w:rPr>
    </w:lvl>
    <w:lvl w:ilvl="2" w:tplc="DE48323A" w:tentative="1">
      <w:start w:val="1"/>
      <w:numFmt w:val="bullet"/>
      <w:lvlText w:val=""/>
      <w:lvlJc w:val="left"/>
      <w:pPr>
        <w:tabs>
          <w:tab w:val="num" w:pos="2160"/>
        </w:tabs>
        <w:ind w:left="2160" w:hanging="360"/>
      </w:pPr>
      <w:rPr>
        <w:rFonts w:ascii="Wingdings" w:hAnsi="Wingdings" w:hint="default"/>
      </w:rPr>
    </w:lvl>
    <w:lvl w:ilvl="3" w:tplc="2E281338" w:tentative="1">
      <w:start w:val="1"/>
      <w:numFmt w:val="bullet"/>
      <w:lvlText w:val=""/>
      <w:lvlJc w:val="left"/>
      <w:pPr>
        <w:tabs>
          <w:tab w:val="num" w:pos="2880"/>
        </w:tabs>
        <w:ind w:left="2880" w:hanging="360"/>
      </w:pPr>
      <w:rPr>
        <w:rFonts w:ascii="Symbol" w:hAnsi="Symbol" w:hint="default"/>
      </w:rPr>
    </w:lvl>
    <w:lvl w:ilvl="4" w:tplc="952C4EDA" w:tentative="1">
      <w:start w:val="1"/>
      <w:numFmt w:val="bullet"/>
      <w:lvlText w:val="o"/>
      <w:lvlJc w:val="left"/>
      <w:pPr>
        <w:tabs>
          <w:tab w:val="num" w:pos="3600"/>
        </w:tabs>
        <w:ind w:left="3600" w:hanging="360"/>
      </w:pPr>
      <w:rPr>
        <w:rFonts w:ascii="Courier New" w:hAnsi="Courier New" w:cs="Courier New" w:hint="default"/>
      </w:rPr>
    </w:lvl>
    <w:lvl w:ilvl="5" w:tplc="8968D52A" w:tentative="1">
      <w:start w:val="1"/>
      <w:numFmt w:val="bullet"/>
      <w:lvlText w:val=""/>
      <w:lvlJc w:val="left"/>
      <w:pPr>
        <w:tabs>
          <w:tab w:val="num" w:pos="4320"/>
        </w:tabs>
        <w:ind w:left="4320" w:hanging="360"/>
      </w:pPr>
      <w:rPr>
        <w:rFonts w:ascii="Wingdings" w:hAnsi="Wingdings" w:hint="default"/>
      </w:rPr>
    </w:lvl>
    <w:lvl w:ilvl="6" w:tplc="4B26818A" w:tentative="1">
      <w:start w:val="1"/>
      <w:numFmt w:val="bullet"/>
      <w:lvlText w:val=""/>
      <w:lvlJc w:val="left"/>
      <w:pPr>
        <w:tabs>
          <w:tab w:val="num" w:pos="5040"/>
        </w:tabs>
        <w:ind w:left="5040" w:hanging="360"/>
      </w:pPr>
      <w:rPr>
        <w:rFonts w:ascii="Symbol" w:hAnsi="Symbol" w:hint="default"/>
      </w:rPr>
    </w:lvl>
    <w:lvl w:ilvl="7" w:tplc="11B22EEC" w:tentative="1">
      <w:start w:val="1"/>
      <w:numFmt w:val="bullet"/>
      <w:lvlText w:val="o"/>
      <w:lvlJc w:val="left"/>
      <w:pPr>
        <w:tabs>
          <w:tab w:val="num" w:pos="5760"/>
        </w:tabs>
        <w:ind w:left="5760" w:hanging="360"/>
      </w:pPr>
      <w:rPr>
        <w:rFonts w:ascii="Courier New" w:hAnsi="Courier New" w:cs="Courier New" w:hint="default"/>
      </w:rPr>
    </w:lvl>
    <w:lvl w:ilvl="8" w:tplc="8DD009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238B12E">
      <w:start w:val="1"/>
      <w:numFmt w:val="bullet"/>
      <w:pStyle w:val="Lijstopsomteken2"/>
      <w:lvlText w:val="–"/>
      <w:lvlJc w:val="left"/>
      <w:pPr>
        <w:tabs>
          <w:tab w:val="num" w:pos="227"/>
        </w:tabs>
        <w:ind w:left="227" w:firstLine="0"/>
      </w:pPr>
      <w:rPr>
        <w:rFonts w:ascii="Verdana" w:hAnsi="Verdana" w:hint="default"/>
      </w:rPr>
    </w:lvl>
    <w:lvl w:ilvl="1" w:tplc="A922036C" w:tentative="1">
      <w:start w:val="1"/>
      <w:numFmt w:val="bullet"/>
      <w:lvlText w:val="o"/>
      <w:lvlJc w:val="left"/>
      <w:pPr>
        <w:tabs>
          <w:tab w:val="num" w:pos="1440"/>
        </w:tabs>
        <w:ind w:left="1440" w:hanging="360"/>
      </w:pPr>
      <w:rPr>
        <w:rFonts w:ascii="Courier New" w:hAnsi="Courier New" w:cs="Courier New" w:hint="default"/>
      </w:rPr>
    </w:lvl>
    <w:lvl w:ilvl="2" w:tplc="A400080C" w:tentative="1">
      <w:start w:val="1"/>
      <w:numFmt w:val="bullet"/>
      <w:lvlText w:val=""/>
      <w:lvlJc w:val="left"/>
      <w:pPr>
        <w:tabs>
          <w:tab w:val="num" w:pos="2160"/>
        </w:tabs>
        <w:ind w:left="2160" w:hanging="360"/>
      </w:pPr>
      <w:rPr>
        <w:rFonts w:ascii="Wingdings" w:hAnsi="Wingdings" w:hint="default"/>
      </w:rPr>
    </w:lvl>
    <w:lvl w:ilvl="3" w:tplc="2AFC853E" w:tentative="1">
      <w:start w:val="1"/>
      <w:numFmt w:val="bullet"/>
      <w:lvlText w:val=""/>
      <w:lvlJc w:val="left"/>
      <w:pPr>
        <w:tabs>
          <w:tab w:val="num" w:pos="2880"/>
        </w:tabs>
        <w:ind w:left="2880" w:hanging="360"/>
      </w:pPr>
      <w:rPr>
        <w:rFonts w:ascii="Symbol" w:hAnsi="Symbol" w:hint="default"/>
      </w:rPr>
    </w:lvl>
    <w:lvl w:ilvl="4" w:tplc="11D68B48" w:tentative="1">
      <w:start w:val="1"/>
      <w:numFmt w:val="bullet"/>
      <w:lvlText w:val="o"/>
      <w:lvlJc w:val="left"/>
      <w:pPr>
        <w:tabs>
          <w:tab w:val="num" w:pos="3600"/>
        </w:tabs>
        <w:ind w:left="3600" w:hanging="360"/>
      </w:pPr>
      <w:rPr>
        <w:rFonts w:ascii="Courier New" w:hAnsi="Courier New" w:cs="Courier New" w:hint="default"/>
      </w:rPr>
    </w:lvl>
    <w:lvl w:ilvl="5" w:tplc="BAE8D636" w:tentative="1">
      <w:start w:val="1"/>
      <w:numFmt w:val="bullet"/>
      <w:lvlText w:val=""/>
      <w:lvlJc w:val="left"/>
      <w:pPr>
        <w:tabs>
          <w:tab w:val="num" w:pos="4320"/>
        </w:tabs>
        <w:ind w:left="4320" w:hanging="360"/>
      </w:pPr>
      <w:rPr>
        <w:rFonts w:ascii="Wingdings" w:hAnsi="Wingdings" w:hint="default"/>
      </w:rPr>
    </w:lvl>
    <w:lvl w:ilvl="6" w:tplc="737E3500" w:tentative="1">
      <w:start w:val="1"/>
      <w:numFmt w:val="bullet"/>
      <w:lvlText w:val=""/>
      <w:lvlJc w:val="left"/>
      <w:pPr>
        <w:tabs>
          <w:tab w:val="num" w:pos="5040"/>
        </w:tabs>
        <w:ind w:left="5040" w:hanging="360"/>
      </w:pPr>
      <w:rPr>
        <w:rFonts w:ascii="Symbol" w:hAnsi="Symbol" w:hint="default"/>
      </w:rPr>
    </w:lvl>
    <w:lvl w:ilvl="7" w:tplc="962E0F0E" w:tentative="1">
      <w:start w:val="1"/>
      <w:numFmt w:val="bullet"/>
      <w:lvlText w:val="o"/>
      <w:lvlJc w:val="left"/>
      <w:pPr>
        <w:tabs>
          <w:tab w:val="num" w:pos="5760"/>
        </w:tabs>
        <w:ind w:left="5760" w:hanging="360"/>
      </w:pPr>
      <w:rPr>
        <w:rFonts w:ascii="Courier New" w:hAnsi="Courier New" w:cs="Courier New" w:hint="default"/>
      </w:rPr>
    </w:lvl>
    <w:lvl w:ilvl="8" w:tplc="EDCC4F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24848"/>
    <w:multiLevelType w:val="hybridMultilevel"/>
    <w:tmpl w:val="45E83B94"/>
    <w:lvl w:ilvl="0" w:tplc="04130001">
      <w:start w:val="1"/>
      <w:numFmt w:val="bullet"/>
      <w:lvlText w:val=""/>
      <w:lvlJc w:val="left"/>
      <w:pPr>
        <w:ind w:left="2424" w:hanging="360"/>
      </w:pPr>
      <w:rPr>
        <w:rFonts w:ascii="Symbol" w:hAnsi="Symbol" w:hint="default"/>
      </w:rPr>
    </w:lvl>
    <w:lvl w:ilvl="1" w:tplc="04130003" w:tentative="1">
      <w:start w:val="1"/>
      <w:numFmt w:val="bullet"/>
      <w:lvlText w:val="o"/>
      <w:lvlJc w:val="left"/>
      <w:pPr>
        <w:ind w:left="3144" w:hanging="360"/>
      </w:pPr>
      <w:rPr>
        <w:rFonts w:ascii="Courier New" w:hAnsi="Courier New" w:cs="Courier New" w:hint="default"/>
      </w:rPr>
    </w:lvl>
    <w:lvl w:ilvl="2" w:tplc="04130005" w:tentative="1">
      <w:start w:val="1"/>
      <w:numFmt w:val="bullet"/>
      <w:lvlText w:val=""/>
      <w:lvlJc w:val="left"/>
      <w:pPr>
        <w:ind w:left="3864" w:hanging="360"/>
      </w:pPr>
      <w:rPr>
        <w:rFonts w:ascii="Wingdings" w:hAnsi="Wingdings" w:hint="default"/>
      </w:rPr>
    </w:lvl>
    <w:lvl w:ilvl="3" w:tplc="04130001" w:tentative="1">
      <w:start w:val="1"/>
      <w:numFmt w:val="bullet"/>
      <w:lvlText w:val=""/>
      <w:lvlJc w:val="left"/>
      <w:pPr>
        <w:ind w:left="4584" w:hanging="360"/>
      </w:pPr>
      <w:rPr>
        <w:rFonts w:ascii="Symbol" w:hAnsi="Symbol" w:hint="default"/>
      </w:rPr>
    </w:lvl>
    <w:lvl w:ilvl="4" w:tplc="04130003" w:tentative="1">
      <w:start w:val="1"/>
      <w:numFmt w:val="bullet"/>
      <w:lvlText w:val="o"/>
      <w:lvlJc w:val="left"/>
      <w:pPr>
        <w:ind w:left="5304" w:hanging="360"/>
      </w:pPr>
      <w:rPr>
        <w:rFonts w:ascii="Courier New" w:hAnsi="Courier New" w:cs="Courier New" w:hint="default"/>
      </w:rPr>
    </w:lvl>
    <w:lvl w:ilvl="5" w:tplc="04130005" w:tentative="1">
      <w:start w:val="1"/>
      <w:numFmt w:val="bullet"/>
      <w:lvlText w:val=""/>
      <w:lvlJc w:val="left"/>
      <w:pPr>
        <w:ind w:left="6024" w:hanging="360"/>
      </w:pPr>
      <w:rPr>
        <w:rFonts w:ascii="Wingdings" w:hAnsi="Wingdings" w:hint="default"/>
      </w:rPr>
    </w:lvl>
    <w:lvl w:ilvl="6" w:tplc="04130001" w:tentative="1">
      <w:start w:val="1"/>
      <w:numFmt w:val="bullet"/>
      <w:lvlText w:val=""/>
      <w:lvlJc w:val="left"/>
      <w:pPr>
        <w:ind w:left="6744" w:hanging="360"/>
      </w:pPr>
      <w:rPr>
        <w:rFonts w:ascii="Symbol" w:hAnsi="Symbol" w:hint="default"/>
      </w:rPr>
    </w:lvl>
    <w:lvl w:ilvl="7" w:tplc="04130003" w:tentative="1">
      <w:start w:val="1"/>
      <w:numFmt w:val="bullet"/>
      <w:lvlText w:val="o"/>
      <w:lvlJc w:val="left"/>
      <w:pPr>
        <w:ind w:left="7464" w:hanging="360"/>
      </w:pPr>
      <w:rPr>
        <w:rFonts w:ascii="Courier New" w:hAnsi="Courier New" w:cs="Courier New" w:hint="default"/>
      </w:rPr>
    </w:lvl>
    <w:lvl w:ilvl="8" w:tplc="04130005" w:tentative="1">
      <w:start w:val="1"/>
      <w:numFmt w:val="bullet"/>
      <w:lvlText w:val=""/>
      <w:lvlJc w:val="left"/>
      <w:pPr>
        <w:ind w:left="8184"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648B1"/>
    <w:multiLevelType w:val="hybridMultilevel"/>
    <w:tmpl w:val="0A385D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29E6AC8"/>
    <w:multiLevelType w:val="hybridMultilevel"/>
    <w:tmpl w:val="B6EE6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4"/>
  </w:num>
  <w:num w:numId="14">
    <w:abstractNumId w:val="12"/>
  </w:num>
  <w:num w:numId="15">
    <w:abstractNumId w:val="15"/>
  </w:num>
  <w:num w:numId="16">
    <w:abstractNumId w:val="13"/>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B04"/>
    <w:rsid w:val="000049FB"/>
    <w:rsid w:val="00013862"/>
    <w:rsid w:val="00016012"/>
    <w:rsid w:val="00020189"/>
    <w:rsid w:val="00020EE4"/>
    <w:rsid w:val="00023E9A"/>
    <w:rsid w:val="00033CDD"/>
    <w:rsid w:val="00034A84"/>
    <w:rsid w:val="00034D3E"/>
    <w:rsid w:val="00035E67"/>
    <w:rsid w:val="000366F3"/>
    <w:rsid w:val="00040884"/>
    <w:rsid w:val="00042A5B"/>
    <w:rsid w:val="000511C7"/>
    <w:rsid w:val="0006024D"/>
    <w:rsid w:val="00071F28"/>
    <w:rsid w:val="000731D8"/>
    <w:rsid w:val="0007405D"/>
    <w:rsid w:val="00074079"/>
    <w:rsid w:val="00074160"/>
    <w:rsid w:val="00077B03"/>
    <w:rsid w:val="00092799"/>
    <w:rsid w:val="00092C5F"/>
    <w:rsid w:val="00096680"/>
    <w:rsid w:val="000A0F36"/>
    <w:rsid w:val="000A174A"/>
    <w:rsid w:val="000A2CF2"/>
    <w:rsid w:val="000A3E0A"/>
    <w:rsid w:val="000A65AC"/>
    <w:rsid w:val="000B7281"/>
    <w:rsid w:val="000B7FAB"/>
    <w:rsid w:val="000C0163"/>
    <w:rsid w:val="000C1BA1"/>
    <w:rsid w:val="000C3EA9"/>
    <w:rsid w:val="000C70EB"/>
    <w:rsid w:val="000D0225"/>
    <w:rsid w:val="000D7B53"/>
    <w:rsid w:val="000E3EB0"/>
    <w:rsid w:val="000E7895"/>
    <w:rsid w:val="000F161D"/>
    <w:rsid w:val="000F3CAA"/>
    <w:rsid w:val="000F4417"/>
    <w:rsid w:val="00103280"/>
    <w:rsid w:val="00106262"/>
    <w:rsid w:val="0010771A"/>
    <w:rsid w:val="00121081"/>
    <w:rsid w:val="00121BF0"/>
    <w:rsid w:val="00123704"/>
    <w:rsid w:val="001267EE"/>
    <w:rsid w:val="001270C7"/>
    <w:rsid w:val="00132540"/>
    <w:rsid w:val="0014786A"/>
    <w:rsid w:val="001516A4"/>
    <w:rsid w:val="00151E5F"/>
    <w:rsid w:val="00153E28"/>
    <w:rsid w:val="001569AB"/>
    <w:rsid w:val="00164D63"/>
    <w:rsid w:val="00164EB9"/>
    <w:rsid w:val="0016725C"/>
    <w:rsid w:val="001726F3"/>
    <w:rsid w:val="00173C51"/>
    <w:rsid w:val="00174CC2"/>
    <w:rsid w:val="0017690E"/>
    <w:rsid w:val="00176CC6"/>
    <w:rsid w:val="00181BE4"/>
    <w:rsid w:val="00185576"/>
    <w:rsid w:val="00185951"/>
    <w:rsid w:val="00191DA2"/>
    <w:rsid w:val="00196B8B"/>
    <w:rsid w:val="001A0F3C"/>
    <w:rsid w:val="001A29D5"/>
    <w:rsid w:val="001A2BEA"/>
    <w:rsid w:val="001A6D93"/>
    <w:rsid w:val="001B04E8"/>
    <w:rsid w:val="001C32EC"/>
    <w:rsid w:val="001C38BD"/>
    <w:rsid w:val="001C4D5A"/>
    <w:rsid w:val="001D51AA"/>
    <w:rsid w:val="001E17B7"/>
    <w:rsid w:val="001E34C6"/>
    <w:rsid w:val="001E5581"/>
    <w:rsid w:val="001F3C70"/>
    <w:rsid w:val="00200D88"/>
    <w:rsid w:val="00201F68"/>
    <w:rsid w:val="0021098E"/>
    <w:rsid w:val="00211A90"/>
    <w:rsid w:val="00212F2A"/>
    <w:rsid w:val="00214F2B"/>
    <w:rsid w:val="00215BA5"/>
    <w:rsid w:val="00217880"/>
    <w:rsid w:val="00222D66"/>
    <w:rsid w:val="00224A8A"/>
    <w:rsid w:val="0022702E"/>
    <w:rsid w:val="002309A8"/>
    <w:rsid w:val="00236CFE"/>
    <w:rsid w:val="002373B8"/>
    <w:rsid w:val="002428E3"/>
    <w:rsid w:val="00243031"/>
    <w:rsid w:val="00245684"/>
    <w:rsid w:val="002608DA"/>
    <w:rsid w:val="00260BAF"/>
    <w:rsid w:val="00264D0E"/>
    <w:rsid w:val="002650F7"/>
    <w:rsid w:val="002651C7"/>
    <w:rsid w:val="00273F3B"/>
    <w:rsid w:val="00274DB7"/>
    <w:rsid w:val="00275984"/>
    <w:rsid w:val="00280F74"/>
    <w:rsid w:val="00280F9C"/>
    <w:rsid w:val="00285844"/>
    <w:rsid w:val="00286998"/>
    <w:rsid w:val="00287375"/>
    <w:rsid w:val="00291AB7"/>
    <w:rsid w:val="00292EB2"/>
    <w:rsid w:val="0029422B"/>
    <w:rsid w:val="00294E71"/>
    <w:rsid w:val="002A0938"/>
    <w:rsid w:val="002A40A8"/>
    <w:rsid w:val="002B153C"/>
    <w:rsid w:val="002B52FC"/>
    <w:rsid w:val="002C2830"/>
    <w:rsid w:val="002C6F34"/>
    <w:rsid w:val="002C73A8"/>
    <w:rsid w:val="002D001A"/>
    <w:rsid w:val="002D28E2"/>
    <w:rsid w:val="002D317B"/>
    <w:rsid w:val="002D3587"/>
    <w:rsid w:val="002D502D"/>
    <w:rsid w:val="002D52EC"/>
    <w:rsid w:val="002D6691"/>
    <w:rsid w:val="002E0F69"/>
    <w:rsid w:val="002F5147"/>
    <w:rsid w:val="002F7ABD"/>
    <w:rsid w:val="00304897"/>
    <w:rsid w:val="00312597"/>
    <w:rsid w:val="003227A6"/>
    <w:rsid w:val="003249C8"/>
    <w:rsid w:val="00327BA5"/>
    <w:rsid w:val="00334154"/>
    <w:rsid w:val="00334E6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42AF"/>
    <w:rsid w:val="00376093"/>
    <w:rsid w:val="00380009"/>
    <w:rsid w:val="00383DA1"/>
    <w:rsid w:val="00385F30"/>
    <w:rsid w:val="00393696"/>
    <w:rsid w:val="00393963"/>
    <w:rsid w:val="00394822"/>
    <w:rsid w:val="00395575"/>
    <w:rsid w:val="00395672"/>
    <w:rsid w:val="003A06C8"/>
    <w:rsid w:val="003A0D7C"/>
    <w:rsid w:val="003A5290"/>
    <w:rsid w:val="003B0155"/>
    <w:rsid w:val="003B1E18"/>
    <w:rsid w:val="003B382C"/>
    <w:rsid w:val="003B7EE7"/>
    <w:rsid w:val="003C2CCB"/>
    <w:rsid w:val="003D3539"/>
    <w:rsid w:val="003D39EC"/>
    <w:rsid w:val="003E3DD5"/>
    <w:rsid w:val="003F07C6"/>
    <w:rsid w:val="003F1F6B"/>
    <w:rsid w:val="003F3757"/>
    <w:rsid w:val="003F38BD"/>
    <w:rsid w:val="003F44B7"/>
    <w:rsid w:val="004008E9"/>
    <w:rsid w:val="004028FC"/>
    <w:rsid w:val="00413D48"/>
    <w:rsid w:val="004312E7"/>
    <w:rsid w:val="00435CA0"/>
    <w:rsid w:val="00441AC2"/>
    <w:rsid w:val="0044249B"/>
    <w:rsid w:val="0045023C"/>
    <w:rsid w:val="00451A5B"/>
    <w:rsid w:val="00452BCD"/>
    <w:rsid w:val="00452CEA"/>
    <w:rsid w:val="00453382"/>
    <w:rsid w:val="00455D7F"/>
    <w:rsid w:val="004579F5"/>
    <w:rsid w:val="00460385"/>
    <w:rsid w:val="0046094D"/>
    <w:rsid w:val="00465B52"/>
    <w:rsid w:val="0046708E"/>
    <w:rsid w:val="00467A2F"/>
    <w:rsid w:val="004729A9"/>
    <w:rsid w:val="00472A65"/>
    <w:rsid w:val="00474463"/>
    <w:rsid w:val="00474B75"/>
    <w:rsid w:val="00475199"/>
    <w:rsid w:val="00483F0B"/>
    <w:rsid w:val="00486F5A"/>
    <w:rsid w:val="0049603C"/>
    <w:rsid w:val="00496319"/>
    <w:rsid w:val="00497279"/>
    <w:rsid w:val="004A163B"/>
    <w:rsid w:val="004A670A"/>
    <w:rsid w:val="004B5465"/>
    <w:rsid w:val="004B70F0"/>
    <w:rsid w:val="004D505E"/>
    <w:rsid w:val="004D72CA"/>
    <w:rsid w:val="004E2242"/>
    <w:rsid w:val="004E505E"/>
    <w:rsid w:val="004F4115"/>
    <w:rsid w:val="004F42FF"/>
    <w:rsid w:val="004F44C2"/>
    <w:rsid w:val="00502512"/>
    <w:rsid w:val="00503FD2"/>
    <w:rsid w:val="00505262"/>
    <w:rsid w:val="00516022"/>
    <w:rsid w:val="00517373"/>
    <w:rsid w:val="00521CEE"/>
    <w:rsid w:val="00524FB4"/>
    <w:rsid w:val="00527979"/>
    <w:rsid w:val="00527BD4"/>
    <w:rsid w:val="00536E4F"/>
    <w:rsid w:val="0053707F"/>
    <w:rsid w:val="00537095"/>
    <w:rsid w:val="005403C8"/>
    <w:rsid w:val="005429DC"/>
    <w:rsid w:val="005538CD"/>
    <w:rsid w:val="005565F9"/>
    <w:rsid w:val="00562744"/>
    <w:rsid w:val="00567A8E"/>
    <w:rsid w:val="005705DB"/>
    <w:rsid w:val="00573041"/>
    <w:rsid w:val="00575B80"/>
    <w:rsid w:val="0057620F"/>
    <w:rsid w:val="005819CE"/>
    <w:rsid w:val="0058298D"/>
    <w:rsid w:val="00584D3E"/>
    <w:rsid w:val="0059126A"/>
    <w:rsid w:val="005924E0"/>
    <w:rsid w:val="00593C2B"/>
    <w:rsid w:val="00595231"/>
    <w:rsid w:val="00596166"/>
    <w:rsid w:val="00597F64"/>
    <w:rsid w:val="005A207F"/>
    <w:rsid w:val="005A2F35"/>
    <w:rsid w:val="005A55F8"/>
    <w:rsid w:val="005B3814"/>
    <w:rsid w:val="005B463E"/>
    <w:rsid w:val="005C34E1"/>
    <w:rsid w:val="005C3FE0"/>
    <w:rsid w:val="005C65B5"/>
    <w:rsid w:val="005C740C"/>
    <w:rsid w:val="005D21A8"/>
    <w:rsid w:val="005D625B"/>
    <w:rsid w:val="005E3E85"/>
    <w:rsid w:val="005E40E3"/>
    <w:rsid w:val="005F09C8"/>
    <w:rsid w:val="005F62D3"/>
    <w:rsid w:val="005F6D11"/>
    <w:rsid w:val="00600CF0"/>
    <w:rsid w:val="006048F4"/>
    <w:rsid w:val="0060660A"/>
    <w:rsid w:val="00613B1D"/>
    <w:rsid w:val="00614479"/>
    <w:rsid w:val="00617A44"/>
    <w:rsid w:val="006202B6"/>
    <w:rsid w:val="00625CD0"/>
    <w:rsid w:val="0062627D"/>
    <w:rsid w:val="00627432"/>
    <w:rsid w:val="006340E2"/>
    <w:rsid w:val="006448E4"/>
    <w:rsid w:val="00644991"/>
    <w:rsid w:val="00645414"/>
    <w:rsid w:val="006467D1"/>
    <w:rsid w:val="00646B91"/>
    <w:rsid w:val="006477E5"/>
    <w:rsid w:val="0065147C"/>
    <w:rsid w:val="00651CEE"/>
    <w:rsid w:val="00653606"/>
    <w:rsid w:val="00656FFB"/>
    <w:rsid w:val="00660927"/>
    <w:rsid w:val="006610E9"/>
    <w:rsid w:val="00661591"/>
    <w:rsid w:val="0066311B"/>
    <w:rsid w:val="0066632F"/>
    <w:rsid w:val="00674A89"/>
    <w:rsid w:val="00674F3D"/>
    <w:rsid w:val="00676B93"/>
    <w:rsid w:val="00685017"/>
    <w:rsid w:val="00685545"/>
    <w:rsid w:val="006864B3"/>
    <w:rsid w:val="00692D64"/>
    <w:rsid w:val="006938B0"/>
    <w:rsid w:val="006A10F8"/>
    <w:rsid w:val="006A2100"/>
    <w:rsid w:val="006A5C3B"/>
    <w:rsid w:val="006A72E0"/>
    <w:rsid w:val="006B0BF3"/>
    <w:rsid w:val="006B71B2"/>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213"/>
    <w:rsid w:val="00714DC5"/>
    <w:rsid w:val="00715237"/>
    <w:rsid w:val="00721AE1"/>
    <w:rsid w:val="007254A5"/>
    <w:rsid w:val="00725748"/>
    <w:rsid w:val="00725BB6"/>
    <w:rsid w:val="00735D88"/>
    <w:rsid w:val="0073720D"/>
    <w:rsid w:val="00737507"/>
    <w:rsid w:val="00740712"/>
    <w:rsid w:val="00741F3E"/>
    <w:rsid w:val="007426AA"/>
    <w:rsid w:val="00742AB9"/>
    <w:rsid w:val="00751A6A"/>
    <w:rsid w:val="00754FBF"/>
    <w:rsid w:val="00755A0F"/>
    <w:rsid w:val="007573F3"/>
    <w:rsid w:val="007610AA"/>
    <w:rsid w:val="007709EF"/>
    <w:rsid w:val="00782701"/>
    <w:rsid w:val="00783559"/>
    <w:rsid w:val="00784C2D"/>
    <w:rsid w:val="0079551B"/>
    <w:rsid w:val="00797AA5"/>
    <w:rsid w:val="007A26BD"/>
    <w:rsid w:val="007A4105"/>
    <w:rsid w:val="007A6916"/>
    <w:rsid w:val="007B0E10"/>
    <w:rsid w:val="007B4503"/>
    <w:rsid w:val="007C406E"/>
    <w:rsid w:val="007C5183"/>
    <w:rsid w:val="007C7573"/>
    <w:rsid w:val="007E2B20"/>
    <w:rsid w:val="007F2FE4"/>
    <w:rsid w:val="007F439C"/>
    <w:rsid w:val="007F510A"/>
    <w:rsid w:val="007F5331"/>
    <w:rsid w:val="00800CCA"/>
    <w:rsid w:val="0080491A"/>
    <w:rsid w:val="00806120"/>
    <w:rsid w:val="00810C93"/>
    <w:rsid w:val="00812028"/>
    <w:rsid w:val="00812DD8"/>
    <w:rsid w:val="00813082"/>
    <w:rsid w:val="00814D03"/>
    <w:rsid w:val="00814F82"/>
    <w:rsid w:val="00821FC1"/>
    <w:rsid w:val="00823AE2"/>
    <w:rsid w:val="00827C95"/>
    <w:rsid w:val="0083178B"/>
    <w:rsid w:val="00831EE4"/>
    <w:rsid w:val="00833695"/>
    <w:rsid w:val="008336B7"/>
    <w:rsid w:val="00833A8E"/>
    <w:rsid w:val="00836ACA"/>
    <w:rsid w:val="008371FE"/>
    <w:rsid w:val="00842CD8"/>
    <w:rsid w:val="008431FA"/>
    <w:rsid w:val="00847444"/>
    <w:rsid w:val="008517C6"/>
    <w:rsid w:val="008547BA"/>
    <w:rsid w:val="008553C7"/>
    <w:rsid w:val="00856767"/>
    <w:rsid w:val="00857EAB"/>
    <w:rsid w:val="00857FEB"/>
    <w:rsid w:val="008601AF"/>
    <w:rsid w:val="008636BD"/>
    <w:rsid w:val="00867737"/>
    <w:rsid w:val="00872271"/>
    <w:rsid w:val="00876088"/>
    <w:rsid w:val="0087624B"/>
    <w:rsid w:val="00883137"/>
    <w:rsid w:val="00883DD7"/>
    <w:rsid w:val="0088798A"/>
    <w:rsid w:val="00891EF4"/>
    <w:rsid w:val="008A1F5D"/>
    <w:rsid w:val="008A28F5"/>
    <w:rsid w:val="008A3716"/>
    <w:rsid w:val="008A71F3"/>
    <w:rsid w:val="008B1198"/>
    <w:rsid w:val="008B3471"/>
    <w:rsid w:val="008B3929"/>
    <w:rsid w:val="008B4125"/>
    <w:rsid w:val="008B4CB3"/>
    <w:rsid w:val="008B567B"/>
    <w:rsid w:val="008B7B24"/>
    <w:rsid w:val="008C356D"/>
    <w:rsid w:val="008D43B5"/>
    <w:rsid w:val="008E0B3F"/>
    <w:rsid w:val="008E49AD"/>
    <w:rsid w:val="008E698E"/>
    <w:rsid w:val="008F00FB"/>
    <w:rsid w:val="008F2584"/>
    <w:rsid w:val="008F3246"/>
    <w:rsid w:val="008F3C1B"/>
    <w:rsid w:val="008F508C"/>
    <w:rsid w:val="0090271B"/>
    <w:rsid w:val="00910642"/>
    <w:rsid w:val="00910DDF"/>
    <w:rsid w:val="009121BA"/>
    <w:rsid w:val="00926AE2"/>
    <w:rsid w:val="00930B13"/>
    <w:rsid w:val="0093118C"/>
    <w:rsid w:val="009311C8"/>
    <w:rsid w:val="00933376"/>
    <w:rsid w:val="00933A2F"/>
    <w:rsid w:val="00950BDD"/>
    <w:rsid w:val="0096234B"/>
    <w:rsid w:val="00963374"/>
    <w:rsid w:val="009716D8"/>
    <w:rsid w:val="009718F9"/>
    <w:rsid w:val="00971F42"/>
    <w:rsid w:val="00972FB9"/>
    <w:rsid w:val="00974C96"/>
    <w:rsid w:val="00975112"/>
    <w:rsid w:val="00981768"/>
    <w:rsid w:val="00983E8F"/>
    <w:rsid w:val="0098788A"/>
    <w:rsid w:val="009903AB"/>
    <w:rsid w:val="00994FDA"/>
    <w:rsid w:val="009A31BF"/>
    <w:rsid w:val="009A3B71"/>
    <w:rsid w:val="009A6122"/>
    <w:rsid w:val="009A61BC"/>
    <w:rsid w:val="009A649B"/>
    <w:rsid w:val="009B0138"/>
    <w:rsid w:val="009B0FE9"/>
    <w:rsid w:val="009B173A"/>
    <w:rsid w:val="009B29B3"/>
    <w:rsid w:val="009C3F20"/>
    <w:rsid w:val="009C70EC"/>
    <w:rsid w:val="009C7CA1"/>
    <w:rsid w:val="009D043D"/>
    <w:rsid w:val="009E01BA"/>
    <w:rsid w:val="009E07A4"/>
    <w:rsid w:val="009E752C"/>
    <w:rsid w:val="009F3259"/>
    <w:rsid w:val="009F7242"/>
    <w:rsid w:val="00A04B00"/>
    <w:rsid w:val="00A056DE"/>
    <w:rsid w:val="00A11AB9"/>
    <w:rsid w:val="00A128AD"/>
    <w:rsid w:val="00A175FF"/>
    <w:rsid w:val="00A21E76"/>
    <w:rsid w:val="00A23BC8"/>
    <w:rsid w:val="00A245F8"/>
    <w:rsid w:val="00A30E68"/>
    <w:rsid w:val="00A31933"/>
    <w:rsid w:val="00A329D2"/>
    <w:rsid w:val="00A34AA0"/>
    <w:rsid w:val="00A3715C"/>
    <w:rsid w:val="00A40CDE"/>
    <w:rsid w:val="00A41FE2"/>
    <w:rsid w:val="00A46FEF"/>
    <w:rsid w:val="00A47948"/>
    <w:rsid w:val="00A50CF6"/>
    <w:rsid w:val="00A510E9"/>
    <w:rsid w:val="00A55EC1"/>
    <w:rsid w:val="00A56946"/>
    <w:rsid w:val="00A6170E"/>
    <w:rsid w:val="00A628F9"/>
    <w:rsid w:val="00A63B8C"/>
    <w:rsid w:val="00A715F8"/>
    <w:rsid w:val="00A77F6F"/>
    <w:rsid w:val="00A831FD"/>
    <w:rsid w:val="00A83352"/>
    <w:rsid w:val="00A850A2"/>
    <w:rsid w:val="00A91FA3"/>
    <w:rsid w:val="00A927D3"/>
    <w:rsid w:val="00A96CF8"/>
    <w:rsid w:val="00AA7FC9"/>
    <w:rsid w:val="00AB237D"/>
    <w:rsid w:val="00AB5933"/>
    <w:rsid w:val="00AE013D"/>
    <w:rsid w:val="00AE0737"/>
    <w:rsid w:val="00AE11B7"/>
    <w:rsid w:val="00AE501D"/>
    <w:rsid w:val="00AE7F68"/>
    <w:rsid w:val="00AF2321"/>
    <w:rsid w:val="00AF52F6"/>
    <w:rsid w:val="00AF52FD"/>
    <w:rsid w:val="00AF54A8"/>
    <w:rsid w:val="00AF7237"/>
    <w:rsid w:val="00B0043A"/>
    <w:rsid w:val="00B00D75"/>
    <w:rsid w:val="00B070CB"/>
    <w:rsid w:val="00B12456"/>
    <w:rsid w:val="00B145F0"/>
    <w:rsid w:val="00B14CAB"/>
    <w:rsid w:val="00B259C8"/>
    <w:rsid w:val="00B26CCF"/>
    <w:rsid w:val="00B27A81"/>
    <w:rsid w:val="00B30E07"/>
    <w:rsid w:val="00B30FC2"/>
    <w:rsid w:val="00B320F6"/>
    <w:rsid w:val="00B331A2"/>
    <w:rsid w:val="00B425F0"/>
    <w:rsid w:val="00B42DFA"/>
    <w:rsid w:val="00B51119"/>
    <w:rsid w:val="00B531DD"/>
    <w:rsid w:val="00B53BB9"/>
    <w:rsid w:val="00B55014"/>
    <w:rsid w:val="00B62232"/>
    <w:rsid w:val="00B6527E"/>
    <w:rsid w:val="00B70BF3"/>
    <w:rsid w:val="00B71DC2"/>
    <w:rsid w:val="00B76B9B"/>
    <w:rsid w:val="00B81A4A"/>
    <w:rsid w:val="00B91CFC"/>
    <w:rsid w:val="00B93893"/>
    <w:rsid w:val="00B95A05"/>
    <w:rsid w:val="00BA1397"/>
    <w:rsid w:val="00BA7E0A"/>
    <w:rsid w:val="00BB06A5"/>
    <w:rsid w:val="00BB09CB"/>
    <w:rsid w:val="00BB7523"/>
    <w:rsid w:val="00BC3B53"/>
    <w:rsid w:val="00BC3B96"/>
    <w:rsid w:val="00BC4AE3"/>
    <w:rsid w:val="00BC5B28"/>
    <w:rsid w:val="00BD2370"/>
    <w:rsid w:val="00BD6F8A"/>
    <w:rsid w:val="00BE16B7"/>
    <w:rsid w:val="00BE38FC"/>
    <w:rsid w:val="00BE3F88"/>
    <w:rsid w:val="00BE4756"/>
    <w:rsid w:val="00BE5ED9"/>
    <w:rsid w:val="00BE664D"/>
    <w:rsid w:val="00BE7B41"/>
    <w:rsid w:val="00BF3202"/>
    <w:rsid w:val="00C10A43"/>
    <w:rsid w:val="00C15A91"/>
    <w:rsid w:val="00C15CC3"/>
    <w:rsid w:val="00C206F1"/>
    <w:rsid w:val="00C217E1"/>
    <w:rsid w:val="00C219B1"/>
    <w:rsid w:val="00C4015B"/>
    <w:rsid w:val="00C40C60"/>
    <w:rsid w:val="00C5258E"/>
    <w:rsid w:val="00C530C9"/>
    <w:rsid w:val="00C547CF"/>
    <w:rsid w:val="00C619A7"/>
    <w:rsid w:val="00C6400D"/>
    <w:rsid w:val="00C65AE9"/>
    <w:rsid w:val="00C73D5F"/>
    <w:rsid w:val="00C76A21"/>
    <w:rsid w:val="00C77531"/>
    <w:rsid w:val="00C82AFE"/>
    <w:rsid w:val="00C834E7"/>
    <w:rsid w:val="00C83DBC"/>
    <w:rsid w:val="00C90702"/>
    <w:rsid w:val="00C97C80"/>
    <w:rsid w:val="00CA47D3"/>
    <w:rsid w:val="00CA6533"/>
    <w:rsid w:val="00CA6A25"/>
    <w:rsid w:val="00CA6A3F"/>
    <w:rsid w:val="00CA7C99"/>
    <w:rsid w:val="00CB0755"/>
    <w:rsid w:val="00CC6290"/>
    <w:rsid w:val="00CD233D"/>
    <w:rsid w:val="00CD362D"/>
    <w:rsid w:val="00CE0187"/>
    <w:rsid w:val="00CE07D4"/>
    <w:rsid w:val="00CE101D"/>
    <w:rsid w:val="00CE1814"/>
    <w:rsid w:val="00CE1C84"/>
    <w:rsid w:val="00CE42A3"/>
    <w:rsid w:val="00CE5055"/>
    <w:rsid w:val="00CF053F"/>
    <w:rsid w:val="00CF1A17"/>
    <w:rsid w:val="00CF4648"/>
    <w:rsid w:val="00D0375A"/>
    <w:rsid w:val="00D0609E"/>
    <w:rsid w:val="00D078E1"/>
    <w:rsid w:val="00D100E9"/>
    <w:rsid w:val="00D138DD"/>
    <w:rsid w:val="00D17942"/>
    <w:rsid w:val="00D21B83"/>
    <w:rsid w:val="00D21E4B"/>
    <w:rsid w:val="00D22441"/>
    <w:rsid w:val="00D23522"/>
    <w:rsid w:val="00D264D6"/>
    <w:rsid w:val="00D33BF0"/>
    <w:rsid w:val="00D33DE0"/>
    <w:rsid w:val="00D36447"/>
    <w:rsid w:val="00D516BE"/>
    <w:rsid w:val="00D5423B"/>
    <w:rsid w:val="00D544E7"/>
    <w:rsid w:val="00D54E6A"/>
    <w:rsid w:val="00D54F4E"/>
    <w:rsid w:val="00D57A56"/>
    <w:rsid w:val="00D604B3"/>
    <w:rsid w:val="00D60BA4"/>
    <w:rsid w:val="00D60BEC"/>
    <w:rsid w:val="00D62419"/>
    <w:rsid w:val="00D639D3"/>
    <w:rsid w:val="00D77870"/>
    <w:rsid w:val="00D80977"/>
    <w:rsid w:val="00D80CCE"/>
    <w:rsid w:val="00D86EEA"/>
    <w:rsid w:val="00D86F9E"/>
    <w:rsid w:val="00D87D03"/>
    <w:rsid w:val="00D87E45"/>
    <w:rsid w:val="00D9360B"/>
    <w:rsid w:val="00D93AED"/>
    <w:rsid w:val="00D95C88"/>
    <w:rsid w:val="00D97B2E"/>
    <w:rsid w:val="00DA00D1"/>
    <w:rsid w:val="00DA241E"/>
    <w:rsid w:val="00DB36FE"/>
    <w:rsid w:val="00DB533A"/>
    <w:rsid w:val="00DB6307"/>
    <w:rsid w:val="00DC46F1"/>
    <w:rsid w:val="00DC5886"/>
    <w:rsid w:val="00DD0224"/>
    <w:rsid w:val="00DD1DCD"/>
    <w:rsid w:val="00DD338F"/>
    <w:rsid w:val="00DD66F2"/>
    <w:rsid w:val="00DE0A18"/>
    <w:rsid w:val="00DE3FE0"/>
    <w:rsid w:val="00DE578A"/>
    <w:rsid w:val="00DF2583"/>
    <w:rsid w:val="00DF54D9"/>
    <w:rsid w:val="00DF7283"/>
    <w:rsid w:val="00DF788A"/>
    <w:rsid w:val="00E01179"/>
    <w:rsid w:val="00E01A59"/>
    <w:rsid w:val="00E0329A"/>
    <w:rsid w:val="00E10DC6"/>
    <w:rsid w:val="00E11F8E"/>
    <w:rsid w:val="00E15881"/>
    <w:rsid w:val="00E15B61"/>
    <w:rsid w:val="00E16A8F"/>
    <w:rsid w:val="00E1748E"/>
    <w:rsid w:val="00E21D6A"/>
    <w:rsid w:val="00E21DE3"/>
    <w:rsid w:val="00E2409C"/>
    <w:rsid w:val="00E26696"/>
    <w:rsid w:val="00E273C5"/>
    <w:rsid w:val="00E307D1"/>
    <w:rsid w:val="00E33A5F"/>
    <w:rsid w:val="00E33EEC"/>
    <w:rsid w:val="00E34732"/>
    <w:rsid w:val="00E3731D"/>
    <w:rsid w:val="00E51469"/>
    <w:rsid w:val="00E634E3"/>
    <w:rsid w:val="00E717C4"/>
    <w:rsid w:val="00E759CF"/>
    <w:rsid w:val="00E77E18"/>
    <w:rsid w:val="00E77F89"/>
    <w:rsid w:val="00E80330"/>
    <w:rsid w:val="00E806C5"/>
    <w:rsid w:val="00E80E71"/>
    <w:rsid w:val="00E83ECA"/>
    <w:rsid w:val="00E850D3"/>
    <w:rsid w:val="00E853D6"/>
    <w:rsid w:val="00E87628"/>
    <w:rsid w:val="00E876B9"/>
    <w:rsid w:val="00E9242E"/>
    <w:rsid w:val="00E92CC9"/>
    <w:rsid w:val="00E95992"/>
    <w:rsid w:val="00EC03B6"/>
    <w:rsid w:val="00EC0DFF"/>
    <w:rsid w:val="00EC237D"/>
    <w:rsid w:val="00EC2918"/>
    <w:rsid w:val="00EC3071"/>
    <w:rsid w:val="00EC4D0E"/>
    <w:rsid w:val="00EC4E2B"/>
    <w:rsid w:val="00ED072A"/>
    <w:rsid w:val="00ED539E"/>
    <w:rsid w:val="00EE3CDC"/>
    <w:rsid w:val="00EE4A1F"/>
    <w:rsid w:val="00EE4C2D"/>
    <w:rsid w:val="00EE6E1A"/>
    <w:rsid w:val="00EF1B5A"/>
    <w:rsid w:val="00EF24FB"/>
    <w:rsid w:val="00EF2CCA"/>
    <w:rsid w:val="00EF495B"/>
    <w:rsid w:val="00EF60DC"/>
    <w:rsid w:val="00F00F54"/>
    <w:rsid w:val="00F01B2E"/>
    <w:rsid w:val="00F034D8"/>
    <w:rsid w:val="00F03963"/>
    <w:rsid w:val="00F04154"/>
    <w:rsid w:val="00F11068"/>
    <w:rsid w:val="00F1256D"/>
    <w:rsid w:val="00F13A4E"/>
    <w:rsid w:val="00F172BB"/>
    <w:rsid w:val="00F17B10"/>
    <w:rsid w:val="00F21BEF"/>
    <w:rsid w:val="00F2315B"/>
    <w:rsid w:val="00F314B4"/>
    <w:rsid w:val="00F31D7B"/>
    <w:rsid w:val="00F41A6F"/>
    <w:rsid w:val="00F45A25"/>
    <w:rsid w:val="00F50F86"/>
    <w:rsid w:val="00F5178D"/>
    <w:rsid w:val="00F51D20"/>
    <w:rsid w:val="00F53F91"/>
    <w:rsid w:val="00F61569"/>
    <w:rsid w:val="00F6173A"/>
    <w:rsid w:val="00F61A72"/>
    <w:rsid w:val="00F62B67"/>
    <w:rsid w:val="00F66F13"/>
    <w:rsid w:val="00F677B9"/>
    <w:rsid w:val="00F74073"/>
    <w:rsid w:val="00F75603"/>
    <w:rsid w:val="00F845B4"/>
    <w:rsid w:val="00F8713B"/>
    <w:rsid w:val="00F937C7"/>
    <w:rsid w:val="00F93F9E"/>
    <w:rsid w:val="00F94477"/>
    <w:rsid w:val="00FA2CD7"/>
    <w:rsid w:val="00FA40A5"/>
    <w:rsid w:val="00FA5271"/>
    <w:rsid w:val="00FA7F35"/>
    <w:rsid w:val="00FB06ED"/>
    <w:rsid w:val="00FC0FC9"/>
    <w:rsid w:val="00FC3165"/>
    <w:rsid w:val="00FC36AB"/>
    <w:rsid w:val="00FC4300"/>
    <w:rsid w:val="00FC7F66"/>
    <w:rsid w:val="00FD5776"/>
    <w:rsid w:val="00FE1597"/>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4FF6E3"/>
  <w15:docId w15:val="{002A16AF-7CE8-441B-9D86-0A54ACB3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marginbottom-none">
    <w:name w:val="marginbottom-none"/>
    <w:basedOn w:val="Standaard"/>
    <w:rsid w:val="00DC5886"/>
    <w:pPr>
      <w:spacing w:before="100" w:beforeAutospacing="1" w:after="100" w:afterAutospacing="1" w:line="240" w:lineRule="auto"/>
    </w:pPr>
    <w:rPr>
      <w:rFonts w:ascii="Times New Roman" w:hAnsi="Times New Roman"/>
      <w:sz w:val="24"/>
    </w:rPr>
  </w:style>
  <w:style w:type="paragraph" w:customStyle="1" w:styleId="marginbottom-auto">
    <w:name w:val="marginbottom-auto"/>
    <w:basedOn w:val="Standaard"/>
    <w:rsid w:val="00DC5886"/>
    <w:pPr>
      <w:spacing w:before="100" w:beforeAutospacing="1" w:after="100" w:afterAutospacing="1" w:line="240" w:lineRule="auto"/>
    </w:pPr>
    <w:rPr>
      <w:rFonts w:ascii="Times New Roman" w:hAnsi="Times New Roman"/>
      <w:sz w:val="24"/>
    </w:rPr>
  </w:style>
  <w:style w:type="paragraph" w:customStyle="1" w:styleId="Default">
    <w:name w:val="Default"/>
    <w:basedOn w:val="Standaard"/>
    <w:rsid w:val="00486F5A"/>
    <w:pPr>
      <w:autoSpaceDE w:val="0"/>
      <w:autoSpaceDN w:val="0"/>
      <w:spacing w:line="240" w:lineRule="auto"/>
    </w:pPr>
    <w:rPr>
      <w:rFonts w:ascii="Arial" w:eastAsiaTheme="minorHAnsi" w:hAnsi="Arial" w:cs="Arial"/>
      <w:color w:val="000000"/>
      <w:sz w:val="24"/>
      <w:lang w:eastAsia="en-US"/>
    </w:rPr>
  </w:style>
  <w:style w:type="character" w:customStyle="1" w:styleId="ip-text-input">
    <w:name w:val="ip-text-input"/>
    <w:basedOn w:val="Standaardalinea-lettertype"/>
    <w:rsid w:val="00F31D7B"/>
  </w:style>
  <w:style w:type="character" w:customStyle="1" w:styleId="link-element">
    <w:name w:val="link-element"/>
    <w:basedOn w:val="Standaardalinea-lettertype"/>
    <w:rsid w:val="00F31D7B"/>
  </w:style>
  <w:style w:type="character" w:styleId="Onopgelostemelding">
    <w:name w:val="Unresolved Mention"/>
    <w:basedOn w:val="Standaardalinea-lettertype"/>
    <w:rsid w:val="00BB09CB"/>
    <w:rPr>
      <w:color w:val="605E5C"/>
      <w:shd w:val="clear" w:color="auto" w:fill="E1DFDD"/>
    </w:rPr>
  </w:style>
  <w:style w:type="paragraph" w:styleId="Lijstalinea">
    <w:name w:val="List Paragraph"/>
    <w:basedOn w:val="Standaard"/>
    <w:uiPriority w:val="34"/>
    <w:qFormat/>
    <w:rsid w:val="008A71F3"/>
    <w:pPr>
      <w:ind w:left="720"/>
      <w:contextualSpacing/>
    </w:pPr>
  </w:style>
  <w:style w:type="character" w:styleId="Verwijzingopmerking">
    <w:name w:val="annotation reference"/>
    <w:basedOn w:val="Standaardalinea-lettertype"/>
    <w:semiHidden/>
    <w:unhideWhenUsed/>
    <w:rsid w:val="00D86F9E"/>
    <w:rPr>
      <w:sz w:val="16"/>
      <w:szCs w:val="16"/>
    </w:rPr>
  </w:style>
  <w:style w:type="paragraph" w:styleId="Tekstopmerking">
    <w:name w:val="annotation text"/>
    <w:basedOn w:val="Standaard"/>
    <w:link w:val="TekstopmerkingChar"/>
    <w:semiHidden/>
    <w:unhideWhenUsed/>
    <w:rsid w:val="00D86F9E"/>
    <w:pPr>
      <w:spacing w:line="240" w:lineRule="auto"/>
    </w:pPr>
    <w:rPr>
      <w:sz w:val="20"/>
      <w:szCs w:val="20"/>
    </w:rPr>
  </w:style>
  <w:style w:type="character" w:customStyle="1" w:styleId="TekstopmerkingChar">
    <w:name w:val="Tekst opmerking Char"/>
    <w:basedOn w:val="Standaardalinea-lettertype"/>
    <w:link w:val="Tekstopmerking"/>
    <w:semiHidden/>
    <w:rsid w:val="00D86F9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86F9E"/>
    <w:rPr>
      <w:b/>
      <w:bCs/>
    </w:rPr>
  </w:style>
  <w:style w:type="character" w:customStyle="1" w:styleId="OnderwerpvanopmerkingChar">
    <w:name w:val="Onderwerp van opmerking Char"/>
    <w:basedOn w:val="TekstopmerkingChar"/>
    <w:link w:val="Onderwerpvanopmerking"/>
    <w:semiHidden/>
    <w:rsid w:val="00D86F9E"/>
    <w:rPr>
      <w:rFonts w:ascii="Verdana" w:hAnsi="Verdana"/>
      <w:b/>
      <w:bCs/>
      <w:lang w:val="nl-NL" w:eastAsia="nl-NL"/>
    </w:rPr>
  </w:style>
  <w:style w:type="paragraph" w:styleId="Normaalweb">
    <w:name w:val="Normal (Web)"/>
    <w:basedOn w:val="Standaard"/>
    <w:uiPriority w:val="99"/>
    <w:semiHidden/>
    <w:unhideWhenUsed/>
    <w:rsid w:val="00280F9C"/>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064">
      <w:bodyDiv w:val="1"/>
      <w:marLeft w:val="0"/>
      <w:marRight w:val="0"/>
      <w:marTop w:val="0"/>
      <w:marBottom w:val="0"/>
      <w:divBdr>
        <w:top w:val="none" w:sz="0" w:space="0" w:color="auto"/>
        <w:left w:val="none" w:sz="0" w:space="0" w:color="auto"/>
        <w:bottom w:val="none" w:sz="0" w:space="0" w:color="auto"/>
        <w:right w:val="none" w:sz="0" w:space="0" w:color="auto"/>
      </w:divBdr>
      <w:divsChild>
        <w:div w:id="938029890">
          <w:marLeft w:val="0"/>
          <w:marRight w:val="0"/>
          <w:marTop w:val="0"/>
          <w:marBottom w:val="0"/>
          <w:divBdr>
            <w:top w:val="none" w:sz="0" w:space="0" w:color="auto"/>
            <w:left w:val="none" w:sz="0" w:space="0" w:color="auto"/>
            <w:bottom w:val="none" w:sz="0" w:space="0" w:color="auto"/>
            <w:right w:val="none" w:sz="0" w:space="0" w:color="auto"/>
          </w:divBdr>
        </w:div>
      </w:divsChild>
    </w:div>
    <w:div w:id="41516592">
      <w:bodyDiv w:val="1"/>
      <w:marLeft w:val="0"/>
      <w:marRight w:val="0"/>
      <w:marTop w:val="0"/>
      <w:marBottom w:val="0"/>
      <w:divBdr>
        <w:top w:val="none" w:sz="0" w:space="0" w:color="auto"/>
        <w:left w:val="none" w:sz="0" w:space="0" w:color="auto"/>
        <w:bottom w:val="none" w:sz="0" w:space="0" w:color="auto"/>
        <w:right w:val="none" w:sz="0" w:space="0" w:color="auto"/>
      </w:divBdr>
    </w:div>
    <w:div w:id="103768565">
      <w:bodyDiv w:val="1"/>
      <w:marLeft w:val="0"/>
      <w:marRight w:val="0"/>
      <w:marTop w:val="0"/>
      <w:marBottom w:val="0"/>
      <w:divBdr>
        <w:top w:val="none" w:sz="0" w:space="0" w:color="auto"/>
        <w:left w:val="none" w:sz="0" w:space="0" w:color="auto"/>
        <w:bottom w:val="none" w:sz="0" w:space="0" w:color="auto"/>
        <w:right w:val="none" w:sz="0" w:space="0" w:color="auto"/>
      </w:divBdr>
    </w:div>
    <w:div w:id="160243986">
      <w:bodyDiv w:val="1"/>
      <w:marLeft w:val="0"/>
      <w:marRight w:val="0"/>
      <w:marTop w:val="0"/>
      <w:marBottom w:val="0"/>
      <w:divBdr>
        <w:top w:val="none" w:sz="0" w:space="0" w:color="auto"/>
        <w:left w:val="none" w:sz="0" w:space="0" w:color="auto"/>
        <w:bottom w:val="none" w:sz="0" w:space="0" w:color="auto"/>
        <w:right w:val="none" w:sz="0" w:space="0" w:color="auto"/>
      </w:divBdr>
      <w:divsChild>
        <w:div w:id="823156863">
          <w:marLeft w:val="0"/>
          <w:marRight w:val="0"/>
          <w:marTop w:val="0"/>
          <w:marBottom w:val="0"/>
          <w:divBdr>
            <w:top w:val="none" w:sz="0" w:space="0" w:color="auto"/>
            <w:left w:val="none" w:sz="0" w:space="0" w:color="auto"/>
            <w:bottom w:val="none" w:sz="0" w:space="0" w:color="auto"/>
            <w:right w:val="none" w:sz="0" w:space="0" w:color="auto"/>
          </w:divBdr>
        </w:div>
      </w:divsChild>
    </w:div>
    <w:div w:id="206576755">
      <w:bodyDiv w:val="1"/>
      <w:marLeft w:val="0"/>
      <w:marRight w:val="0"/>
      <w:marTop w:val="0"/>
      <w:marBottom w:val="0"/>
      <w:divBdr>
        <w:top w:val="none" w:sz="0" w:space="0" w:color="auto"/>
        <w:left w:val="none" w:sz="0" w:space="0" w:color="auto"/>
        <w:bottom w:val="none" w:sz="0" w:space="0" w:color="auto"/>
        <w:right w:val="none" w:sz="0" w:space="0" w:color="auto"/>
      </w:divBdr>
      <w:divsChild>
        <w:div w:id="2090690315">
          <w:marLeft w:val="0"/>
          <w:marRight w:val="0"/>
          <w:marTop w:val="0"/>
          <w:marBottom w:val="0"/>
          <w:divBdr>
            <w:top w:val="none" w:sz="0" w:space="0" w:color="auto"/>
            <w:left w:val="none" w:sz="0" w:space="0" w:color="auto"/>
            <w:bottom w:val="none" w:sz="0" w:space="0" w:color="auto"/>
            <w:right w:val="none" w:sz="0" w:space="0" w:color="auto"/>
          </w:divBdr>
        </w:div>
        <w:div w:id="1084033879">
          <w:marLeft w:val="0"/>
          <w:marRight w:val="0"/>
          <w:marTop w:val="0"/>
          <w:marBottom w:val="0"/>
          <w:divBdr>
            <w:top w:val="none" w:sz="0" w:space="0" w:color="auto"/>
            <w:left w:val="none" w:sz="0" w:space="0" w:color="auto"/>
            <w:bottom w:val="none" w:sz="0" w:space="0" w:color="auto"/>
            <w:right w:val="none" w:sz="0" w:space="0" w:color="auto"/>
          </w:divBdr>
        </w:div>
      </w:divsChild>
    </w:div>
    <w:div w:id="257296408">
      <w:bodyDiv w:val="1"/>
      <w:marLeft w:val="0"/>
      <w:marRight w:val="0"/>
      <w:marTop w:val="0"/>
      <w:marBottom w:val="0"/>
      <w:divBdr>
        <w:top w:val="none" w:sz="0" w:space="0" w:color="auto"/>
        <w:left w:val="none" w:sz="0" w:space="0" w:color="auto"/>
        <w:bottom w:val="none" w:sz="0" w:space="0" w:color="auto"/>
        <w:right w:val="none" w:sz="0" w:space="0" w:color="auto"/>
      </w:divBdr>
      <w:divsChild>
        <w:div w:id="478306638">
          <w:marLeft w:val="0"/>
          <w:marRight w:val="0"/>
          <w:marTop w:val="0"/>
          <w:marBottom w:val="0"/>
          <w:divBdr>
            <w:top w:val="none" w:sz="0" w:space="0" w:color="auto"/>
            <w:left w:val="none" w:sz="0" w:space="0" w:color="auto"/>
            <w:bottom w:val="none" w:sz="0" w:space="0" w:color="auto"/>
            <w:right w:val="none" w:sz="0" w:space="0" w:color="auto"/>
          </w:divBdr>
          <w:divsChild>
            <w:div w:id="623577309">
              <w:marLeft w:val="0"/>
              <w:marRight w:val="0"/>
              <w:marTop w:val="0"/>
              <w:marBottom w:val="0"/>
              <w:divBdr>
                <w:top w:val="none" w:sz="0" w:space="0" w:color="auto"/>
                <w:left w:val="none" w:sz="0" w:space="0" w:color="auto"/>
                <w:bottom w:val="none" w:sz="0" w:space="0" w:color="auto"/>
                <w:right w:val="none" w:sz="0" w:space="0" w:color="auto"/>
              </w:divBdr>
            </w:div>
            <w:div w:id="2728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997">
      <w:bodyDiv w:val="1"/>
      <w:marLeft w:val="0"/>
      <w:marRight w:val="0"/>
      <w:marTop w:val="0"/>
      <w:marBottom w:val="0"/>
      <w:divBdr>
        <w:top w:val="none" w:sz="0" w:space="0" w:color="auto"/>
        <w:left w:val="none" w:sz="0" w:space="0" w:color="auto"/>
        <w:bottom w:val="none" w:sz="0" w:space="0" w:color="auto"/>
        <w:right w:val="none" w:sz="0" w:space="0" w:color="auto"/>
      </w:divBdr>
      <w:divsChild>
        <w:div w:id="1261646532">
          <w:marLeft w:val="0"/>
          <w:marRight w:val="0"/>
          <w:marTop w:val="0"/>
          <w:marBottom w:val="0"/>
          <w:divBdr>
            <w:top w:val="none" w:sz="0" w:space="0" w:color="auto"/>
            <w:left w:val="none" w:sz="0" w:space="0" w:color="auto"/>
            <w:bottom w:val="none" w:sz="0" w:space="0" w:color="auto"/>
            <w:right w:val="none" w:sz="0" w:space="0" w:color="auto"/>
          </w:divBdr>
        </w:div>
      </w:divsChild>
    </w:div>
    <w:div w:id="351953575">
      <w:bodyDiv w:val="1"/>
      <w:marLeft w:val="0"/>
      <w:marRight w:val="0"/>
      <w:marTop w:val="0"/>
      <w:marBottom w:val="0"/>
      <w:divBdr>
        <w:top w:val="none" w:sz="0" w:space="0" w:color="auto"/>
        <w:left w:val="none" w:sz="0" w:space="0" w:color="auto"/>
        <w:bottom w:val="none" w:sz="0" w:space="0" w:color="auto"/>
        <w:right w:val="none" w:sz="0" w:space="0" w:color="auto"/>
      </w:divBdr>
      <w:divsChild>
        <w:div w:id="1649897117">
          <w:marLeft w:val="0"/>
          <w:marRight w:val="0"/>
          <w:marTop w:val="0"/>
          <w:marBottom w:val="0"/>
          <w:divBdr>
            <w:top w:val="none" w:sz="0" w:space="0" w:color="auto"/>
            <w:left w:val="none" w:sz="0" w:space="0" w:color="auto"/>
            <w:bottom w:val="none" w:sz="0" w:space="0" w:color="auto"/>
            <w:right w:val="none" w:sz="0" w:space="0" w:color="auto"/>
          </w:divBdr>
          <w:divsChild>
            <w:div w:id="182867320">
              <w:marLeft w:val="0"/>
              <w:marRight w:val="0"/>
              <w:marTop w:val="0"/>
              <w:marBottom w:val="0"/>
              <w:divBdr>
                <w:top w:val="none" w:sz="0" w:space="0" w:color="auto"/>
                <w:left w:val="none" w:sz="0" w:space="0" w:color="auto"/>
                <w:bottom w:val="none" w:sz="0" w:space="0" w:color="auto"/>
                <w:right w:val="none" w:sz="0" w:space="0" w:color="auto"/>
              </w:divBdr>
            </w:div>
            <w:div w:id="18759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6439">
      <w:bodyDiv w:val="1"/>
      <w:marLeft w:val="0"/>
      <w:marRight w:val="0"/>
      <w:marTop w:val="0"/>
      <w:marBottom w:val="0"/>
      <w:divBdr>
        <w:top w:val="none" w:sz="0" w:space="0" w:color="auto"/>
        <w:left w:val="none" w:sz="0" w:space="0" w:color="auto"/>
        <w:bottom w:val="none" w:sz="0" w:space="0" w:color="auto"/>
        <w:right w:val="none" w:sz="0" w:space="0" w:color="auto"/>
      </w:divBdr>
      <w:divsChild>
        <w:div w:id="488591974">
          <w:marLeft w:val="0"/>
          <w:marRight w:val="0"/>
          <w:marTop w:val="0"/>
          <w:marBottom w:val="0"/>
          <w:divBdr>
            <w:top w:val="none" w:sz="0" w:space="0" w:color="auto"/>
            <w:left w:val="none" w:sz="0" w:space="0" w:color="auto"/>
            <w:bottom w:val="none" w:sz="0" w:space="0" w:color="auto"/>
            <w:right w:val="none" w:sz="0" w:space="0" w:color="auto"/>
          </w:divBdr>
        </w:div>
      </w:divsChild>
    </w:div>
    <w:div w:id="631056173">
      <w:bodyDiv w:val="1"/>
      <w:marLeft w:val="0"/>
      <w:marRight w:val="0"/>
      <w:marTop w:val="0"/>
      <w:marBottom w:val="0"/>
      <w:divBdr>
        <w:top w:val="none" w:sz="0" w:space="0" w:color="auto"/>
        <w:left w:val="none" w:sz="0" w:space="0" w:color="auto"/>
        <w:bottom w:val="none" w:sz="0" w:space="0" w:color="auto"/>
        <w:right w:val="none" w:sz="0" w:space="0" w:color="auto"/>
      </w:divBdr>
      <w:divsChild>
        <w:div w:id="249505162">
          <w:marLeft w:val="0"/>
          <w:marRight w:val="0"/>
          <w:marTop w:val="0"/>
          <w:marBottom w:val="0"/>
          <w:divBdr>
            <w:top w:val="none" w:sz="0" w:space="0" w:color="auto"/>
            <w:left w:val="none" w:sz="0" w:space="0" w:color="auto"/>
            <w:bottom w:val="none" w:sz="0" w:space="0" w:color="auto"/>
            <w:right w:val="none" w:sz="0" w:space="0" w:color="auto"/>
          </w:divBdr>
        </w:div>
      </w:divsChild>
    </w:div>
    <w:div w:id="838079557">
      <w:bodyDiv w:val="1"/>
      <w:marLeft w:val="0"/>
      <w:marRight w:val="0"/>
      <w:marTop w:val="0"/>
      <w:marBottom w:val="0"/>
      <w:divBdr>
        <w:top w:val="none" w:sz="0" w:space="0" w:color="auto"/>
        <w:left w:val="none" w:sz="0" w:space="0" w:color="auto"/>
        <w:bottom w:val="none" w:sz="0" w:space="0" w:color="auto"/>
        <w:right w:val="none" w:sz="0" w:space="0" w:color="auto"/>
      </w:divBdr>
    </w:div>
    <w:div w:id="877351232">
      <w:bodyDiv w:val="1"/>
      <w:marLeft w:val="0"/>
      <w:marRight w:val="0"/>
      <w:marTop w:val="0"/>
      <w:marBottom w:val="0"/>
      <w:divBdr>
        <w:top w:val="none" w:sz="0" w:space="0" w:color="auto"/>
        <w:left w:val="none" w:sz="0" w:space="0" w:color="auto"/>
        <w:bottom w:val="none" w:sz="0" w:space="0" w:color="auto"/>
        <w:right w:val="none" w:sz="0" w:space="0" w:color="auto"/>
      </w:divBdr>
    </w:div>
    <w:div w:id="948968953">
      <w:bodyDiv w:val="1"/>
      <w:marLeft w:val="0"/>
      <w:marRight w:val="0"/>
      <w:marTop w:val="0"/>
      <w:marBottom w:val="0"/>
      <w:divBdr>
        <w:top w:val="none" w:sz="0" w:space="0" w:color="auto"/>
        <w:left w:val="none" w:sz="0" w:space="0" w:color="auto"/>
        <w:bottom w:val="none" w:sz="0" w:space="0" w:color="auto"/>
        <w:right w:val="none" w:sz="0" w:space="0" w:color="auto"/>
      </w:divBdr>
    </w:div>
    <w:div w:id="1050957342">
      <w:bodyDiv w:val="1"/>
      <w:marLeft w:val="0"/>
      <w:marRight w:val="0"/>
      <w:marTop w:val="0"/>
      <w:marBottom w:val="0"/>
      <w:divBdr>
        <w:top w:val="none" w:sz="0" w:space="0" w:color="auto"/>
        <w:left w:val="none" w:sz="0" w:space="0" w:color="auto"/>
        <w:bottom w:val="none" w:sz="0" w:space="0" w:color="auto"/>
        <w:right w:val="none" w:sz="0" w:space="0" w:color="auto"/>
      </w:divBdr>
      <w:divsChild>
        <w:div w:id="577329150">
          <w:marLeft w:val="0"/>
          <w:marRight w:val="0"/>
          <w:marTop w:val="0"/>
          <w:marBottom w:val="0"/>
          <w:divBdr>
            <w:top w:val="none" w:sz="0" w:space="0" w:color="auto"/>
            <w:left w:val="none" w:sz="0" w:space="0" w:color="auto"/>
            <w:bottom w:val="none" w:sz="0" w:space="0" w:color="auto"/>
            <w:right w:val="none" w:sz="0" w:space="0" w:color="auto"/>
          </w:divBdr>
        </w:div>
      </w:divsChild>
    </w:div>
    <w:div w:id="1099252055">
      <w:bodyDiv w:val="1"/>
      <w:marLeft w:val="0"/>
      <w:marRight w:val="0"/>
      <w:marTop w:val="0"/>
      <w:marBottom w:val="0"/>
      <w:divBdr>
        <w:top w:val="none" w:sz="0" w:space="0" w:color="auto"/>
        <w:left w:val="none" w:sz="0" w:space="0" w:color="auto"/>
        <w:bottom w:val="none" w:sz="0" w:space="0" w:color="auto"/>
        <w:right w:val="none" w:sz="0" w:space="0" w:color="auto"/>
      </w:divBdr>
    </w:div>
    <w:div w:id="1169829564">
      <w:bodyDiv w:val="1"/>
      <w:marLeft w:val="0"/>
      <w:marRight w:val="0"/>
      <w:marTop w:val="0"/>
      <w:marBottom w:val="0"/>
      <w:divBdr>
        <w:top w:val="none" w:sz="0" w:space="0" w:color="auto"/>
        <w:left w:val="none" w:sz="0" w:space="0" w:color="auto"/>
        <w:bottom w:val="none" w:sz="0" w:space="0" w:color="auto"/>
        <w:right w:val="none" w:sz="0" w:space="0" w:color="auto"/>
      </w:divBdr>
    </w:div>
    <w:div w:id="1175412467">
      <w:bodyDiv w:val="1"/>
      <w:marLeft w:val="0"/>
      <w:marRight w:val="0"/>
      <w:marTop w:val="0"/>
      <w:marBottom w:val="0"/>
      <w:divBdr>
        <w:top w:val="none" w:sz="0" w:space="0" w:color="auto"/>
        <w:left w:val="none" w:sz="0" w:space="0" w:color="auto"/>
        <w:bottom w:val="none" w:sz="0" w:space="0" w:color="auto"/>
        <w:right w:val="none" w:sz="0" w:space="0" w:color="auto"/>
      </w:divBdr>
    </w:div>
    <w:div w:id="1183284281">
      <w:bodyDiv w:val="1"/>
      <w:marLeft w:val="0"/>
      <w:marRight w:val="0"/>
      <w:marTop w:val="0"/>
      <w:marBottom w:val="0"/>
      <w:divBdr>
        <w:top w:val="none" w:sz="0" w:space="0" w:color="auto"/>
        <w:left w:val="none" w:sz="0" w:space="0" w:color="auto"/>
        <w:bottom w:val="none" w:sz="0" w:space="0" w:color="auto"/>
        <w:right w:val="none" w:sz="0" w:space="0" w:color="auto"/>
      </w:divBdr>
    </w:div>
    <w:div w:id="1205018085">
      <w:bodyDiv w:val="1"/>
      <w:marLeft w:val="0"/>
      <w:marRight w:val="0"/>
      <w:marTop w:val="0"/>
      <w:marBottom w:val="0"/>
      <w:divBdr>
        <w:top w:val="none" w:sz="0" w:space="0" w:color="auto"/>
        <w:left w:val="none" w:sz="0" w:space="0" w:color="auto"/>
        <w:bottom w:val="none" w:sz="0" w:space="0" w:color="auto"/>
        <w:right w:val="none" w:sz="0" w:space="0" w:color="auto"/>
      </w:divBdr>
      <w:divsChild>
        <w:div w:id="1651979026">
          <w:marLeft w:val="0"/>
          <w:marRight w:val="0"/>
          <w:marTop w:val="0"/>
          <w:marBottom w:val="0"/>
          <w:divBdr>
            <w:top w:val="none" w:sz="0" w:space="0" w:color="auto"/>
            <w:left w:val="none" w:sz="0" w:space="0" w:color="auto"/>
            <w:bottom w:val="none" w:sz="0" w:space="0" w:color="auto"/>
            <w:right w:val="none" w:sz="0" w:space="0" w:color="auto"/>
          </w:divBdr>
        </w:div>
      </w:divsChild>
    </w:div>
    <w:div w:id="1235241685">
      <w:bodyDiv w:val="1"/>
      <w:marLeft w:val="0"/>
      <w:marRight w:val="0"/>
      <w:marTop w:val="0"/>
      <w:marBottom w:val="0"/>
      <w:divBdr>
        <w:top w:val="none" w:sz="0" w:space="0" w:color="auto"/>
        <w:left w:val="none" w:sz="0" w:space="0" w:color="auto"/>
        <w:bottom w:val="none" w:sz="0" w:space="0" w:color="auto"/>
        <w:right w:val="none" w:sz="0" w:space="0" w:color="auto"/>
      </w:divBdr>
      <w:divsChild>
        <w:div w:id="1676612775">
          <w:marLeft w:val="0"/>
          <w:marRight w:val="0"/>
          <w:marTop w:val="0"/>
          <w:marBottom w:val="0"/>
          <w:divBdr>
            <w:top w:val="none" w:sz="0" w:space="0" w:color="auto"/>
            <w:left w:val="none" w:sz="0" w:space="0" w:color="auto"/>
            <w:bottom w:val="none" w:sz="0" w:space="0" w:color="auto"/>
            <w:right w:val="none" w:sz="0" w:space="0" w:color="auto"/>
          </w:divBdr>
        </w:div>
      </w:divsChild>
    </w:div>
    <w:div w:id="1255822660">
      <w:bodyDiv w:val="1"/>
      <w:marLeft w:val="0"/>
      <w:marRight w:val="0"/>
      <w:marTop w:val="0"/>
      <w:marBottom w:val="0"/>
      <w:divBdr>
        <w:top w:val="none" w:sz="0" w:space="0" w:color="auto"/>
        <w:left w:val="none" w:sz="0" w:space="0" w:color="auto"/>
        <w:bottom w:val="none" w:sz="0" w:space="0" w:color="auto"/>
        <w:right w:val="none" w:sz="0" w:space="0" w:color="auto"/>
      </w:divBdr>
      <w:divsChild>
        <w:div w:id="1494951947">
          <w:marLeft w:val="0"/>
          <w:marRight w:val="0"/>
          <w:marTop w:val="0"/>
          <w:marBottom w:val="0"/>
          <w:divBdr>
            <w:top w:val="none" w:sz="0" w:space="0" w:color="auto"/>
            <w:left w:val="none" w:sz="0" w:space="0" w:color="auto"/>
            <w:bottom w:val="none" w:sz="0" w:space="0" w:color="auto"/>
            <w:right w:val="none" w:sz="0" w:space="0" w:color="auto"/>
          </w:divBdr>
        </w:div>
      </w:divsChild>
    </w:div>
    <w:div w:id="1265571485">
      <w:bodyDiv w:val="1"/>
      <w:marLeft w:val="0"/>
      <w:marRight w:val="0"/>
      <w:marTop w:val="0"/>
      <w:marBottom w:val="0"/>
      <w:divBdr>
        <w:top w:val="none" w:sz="0" w:space="0" w:color="auto"/>
        <w:left w:val="none" w:sz="0" w:space="0" w:color="auto"/>
        <w:bottom w:val="none" w:sz="0" w:space="0" w:color="auto"/>
        <w:right w:val="none" w:sz="0" w:space="0" w:color="auto"/>
      </w:divBdr>
      <w:divsChild>
        <w:div w:id="2078356359">
          <w:marLeft w:val="0"/>
          <w:marRight w:val="0"/>
          <w:marTop w:val="0"/>
          <w:marBottom w:val="0"/>
          <w:divBdr>
            <w:top w:val="none" w:sz="0" w:space="0" w:color="auto"/>
            <w:left w:val="none" w:sz="0" w:space="0" w:color="auto"/>
            <w:bottom w:val="none" w:sz="0" w:space="0" w:color="auto"/>
            <w:right w:val="none" w:sz="0" w:space="0" w:color="auto"/>
          </w:divBdr>
        </w:div>
      </w:divsChild>
    </w:div>
    <w:div w:id="1267032825">
      <w:bodyDiv w:val="1"/>
      <w:marLeft w:val="0"/>
      <w:marRight w:val="0"/>
      <w:marTop w:val="0"/>
      <w:marBottom w:val="0"/>
      <w:divBdr>
        <w:top w:val="none" w:sz="0" w:space="0" w:color="auto"/>
        <w:left w:val="none" w:sz="0" w:space="0" w:color="auto"/>
        <w:bottom w:val="none" w:sz="0" w:space="0" w:color="auto"/>
        <w:right w:val="none" w:sz="0" w:space="0" w:color="auto"/>
      </w:divBdr>
      <w:divsChild>
        <w:div w:id="1875844053">
          <w:marLeft w:val="0"/>
          <w:marRight w:val="0"/>
          <w:marTop w:val="0"/>
          <w:marBottom w:val="0"/>
          <w:divBdr>
            <w:top w:val="none" w:sz="0" w:space="0" w:color="auto"/>
            <w:left w:val="none" w:sz="0" w:space="0" w:color="auto"/>
            <w:bottom w:val="none" w:sz="0" w:space="0" w:color="auto"/>
            <w:right w:val="none" w:sz="0" w:space="0" w:color="auto"/>
          </w:divBdr>
        </w:div>
      </w:divsChild>
    </w:div>
    <w:div w:id="1469132519">
      <w:bodyDiv w:val="1"/>
      <w:marLeft w:val="0"/>
      <w:marRight w:val="0"/>
      <w:marTop w:val="0"/>
      <w:marBottom w:val="0"/>
      <w:divBdr>
        <w:top w:val="none" w:sz="0" w:space="0" w:color="auto"/>
        <w:left w:val="none" w:sz="0" w:space="0" w:color="auto"/>
        <w:bottom w:val="none" w:sz="0" w:space="0" w:color="auto"/>
        <w:right w:val="none" w:sz="0" w:space="0" w:color="auto"/>
      </w:divBdr>
    </w:div>
    <w:div w:id="1492480658">
      <w:bodyDiv w:val="1"/>
      <w:marLeft w:val="0"/>
      <w:marRight w:val="0"/>
      <w:marTop w:val="0"/>
      <w:marBottom w:val="0"/>
      <w:divBdr>
        <w:top w:val="none" w:sz="0" w:space="0" w:color="auto"/>
        <w:left w:val="none" w:sz="0" w:space="0" w:color="auto"/>
        <w:bottom w:val="none" w:sz="0" w:space="0" w:color="auto"/>
        <w:right w:val="none" w:sz="0" w:space="0" w:color="auto"/>
      </w:divBdr>
      <w:divsChild>
        <w:div w:id="1237939954">
          <w:marLeft w:val="0"/>
          <w:marRight w:val="0"/>
          <w:marTop w:val="0"/>
          <w:marBottom w:val="0"/>
          <w:divBdr>
            <w:top w:val="none" w:sz="0" w:space="0" w:color="auto"/>
            <w:left w:val="none" w:sz="0" w:space="0" w:color="auto"/>
            <w:bottom w:val="none" w:sz="0" w:space="0" w:color="auto"/>
            <w:right w:val="none" w:sz="0" w:space="0" w:color="auto"/>
          </w:divBdr>
        </w:div>
      </w:divsChild>
    </w:div>
    <w:div w:id="1493377072">
      <w:bodyDiv w:val="1"/>
      <w:marLeft w:val="0"/>
      <w:marRight w:val="0"/>
      <w:marTop w:val="0"/>
      <w:marBottom w:val="0"/>
      <w:divBdr>
        <w:top w:val="none" w:sz="0" w:space="0" w:color="auto"/>
        <w:left w:val="none" w:sz="0" w:space="0" w:color="auto"/>
        <w:bottom w:val="none" w:sz="0" w:space="0" w:color="auto"/>
        <w:right w:val="none" w:sz="0" w:space="0" w:color="auto"/>
      </w:divBdr>
    </w:div>
    <w:div w:id="1562595058">
      <w:bodyDiv w:val="1"/>
      <w:marLeft w:val="0"/>
      <w:marRight w:val="0"/>
      <w:marTop w:val="0"/>
      <w:marBottom w:val="0"/>
      <w:divBdr>
        <w:top w:val="none" w:sz="0" w:space="0" w:color="auto"/>
        <w:left w:val="none" w:sz="0" w:space="0" w:color="auto"/>
        <w:bottom w:val="none" w:sz="0" w:space="0" w:color="auto"/>
        <w:right w:val="none" w:sz="0" w:space="0" w:color="auto"/>
      </w:divBdr>
      <w:divsChild>
        <w:div w:id="490561108">
          <w:marLeft w:val="0"/>
          <w:marRight w:val="0"/>
          <w:marTop w:val="0"/>
          <w:marBottom w:val="0"/>
          <w:divBdr>
            <w:top w:val="none" w:sz="0" w:space="0" w:color="auto"/>
            <w:left w:val="none" w:sz="0" w:space="0" w:color="auto"/>
            <w:bottom w:val="none" w:sz="0" w:space="0" w:color="auto"/>
            <w:right w:val="none" w:sz="0" w:space="0" w:color="auto"/>
          </w:divBdr>
        </w:div>
      </w:divsChild>
    </w:div>
    <w:div w:id="1564875187">
      <w:bodyDiv w:val="1"/>
      <w:marLeft w:val="0"/>
      <w:marRight w:val="0"/>
      <w:marTop w:val="0"/>
      <w:marBottom w:val="0"/>
      <w:divBdr>
        <w:top w:val="none" w:sz="0" w:space="0" w:color="auto"/>
        <w:left w:val="none" w:sz="0" w:space="0" w:color="auto"/>
        <w:bottom w:val="none" w:sz="0" w:space="0" w:color="auto"/>
        <w:right w:val="none" w:sz="0" w:space="0" w:color="auto"/>
      </w:divBdr>
    </w:div>
    <w:div w:id="1610698203">
      <w:bodyDiv w:val="1"/>
      <w:marLeft w:val="0"/>
      <w:marRight w:val="0"/>
      <w:marTop w:val="0"/>
      <w:marBottom w:val="0"/>
      <w:divBdr>
        <w:top w:val="none" w:sz="0" w:space="0" w:color="auto"/>
        <w:left w:val="none" w:sz="0" w:space="0" w:color="auto"/>
        <w:bottom w:val="none" w:sz="0" w:space="0" w:color="auto"/>
        <w:right w:val="none" w:sz="0" w:space="0" w:color="auto"/>
      </w:divBdr>
      <w:divsChild>
        <w:div w:id="341901668">
          <w:marLeft w:val="0"/>
          <w:marRight w:val="0"/>
          <w:marTop w:val="0"/>
          <w:marBottom w:val="0"/>
          <w:divBdr>
            <w:top w:val="none" w:sz="0" w:space="0" w:color="auto"/>
            <w:left w:val="none" w:sz="0" w:space="0" w:color="auto"/>
            <w:bottom w:val="none" w:sz="0" w:space="0" w:color="auto"/>
            <w:right w:val="none" w:sz="0" w:space="0" w:color="auto"/>
          </w:divBdr>
        </w:div>
      </w:divsChild>
    </w:div>
    <w:div w:id="1636981266">
      <w:bodyDiv w:val="1"/>
      <w:marLeft w:val="0"/>
      <w:marRight w:val="0"/>
      <w:marTop w:val="0"/>
      <w:marBottom w:val="0"/>
      <w:divBdr>
        <w:top w:val="none" w:sz="0" w:space="0" w:color="auto"/>
        <w:left w:val="none" w:sz="0" w:space="0" w:color="auto"/>
        <w:bottom w:val="none" w:sz="0" w:space="0" w:color="auto"/>
        <w:right w:val="none" w:sz="0" w:space="0" w:color="auto"/>
      </w:divBdr>
      <w:divsChild>
        <w:div w:id="300621285">
          <w:marLeft w:val="0"/>
          <w:marRight w:val="0"/>
          <w:marTop w:val="0"/>
          <w:marBottom w:val="0"/>
          <w:divBdr>
            <w:top w:val="none" w:sz="0" w:space="0" w:color="auto"/>
            <w:left w:val="none" w:sz="0" w:space="0" w:color="auto"/>
            <w:bottom w:val="none" w:sz="0" w:space="0" w:color="auto"/>
            <w:right w:val="none" w:sz="0" w:space="0" w:color="auto"/>
          </w:divBdr>
        </w:div>
        <w:div w:id="1587033111">
          <w:marLeft w:val="0"/>
          <w:marRight w:val="0"/>
          <w:marTop w:val="0"/>
          <w:marBottom w:val="0"/>
          <w:divBdr>
            <w:top w:val="none" w:sz="0" w:space="0" w:color="auto"/>
            <w:left w:val="none" w:sz="0" w:space="0" w:color="auto"/>
            <w:bottom w:val="none" w:sz="0" w:space="0" w:color="auto"/>
            <w:right w:val="none" w:sz="0" w:space="0" w:color="auto"/>
          </w:divBdr>
        </w:div>
      </w:divsChild>
    </w:div>
    <w:div w:id="1701517718">
      <w:bodyDiv w:val="1"/>
      <w:marLeft w:val="0"/>
      <w:marRight w:val="0"/>
      <w:marTop w:val="0"/>
      <w:marBottom w:val="0"/>
      <w:divBdr>
        <w:top w:val="none" w:sz="0" w:space="0" w:color="auto"/>
        <w:left w:val="none" w:sz="0" w:space="0" w:color="auto"/>
        <w:bottom w:val="none" w:sz="0" w:space="0" w:color="auto"/>
        <w:right w:val="none" w:sz="0" w:space="0" w:color="auto"/>
      </w:divBdr>
      <w:divsChild>
        <w:div w:id="1600914688">
          <w:marLeft w:val="0"/>
          <w:marRight w:val="0"/>
          <w:marTop w:val="0"/>
          <w:marBottom w:val="0"/>
          <w:divBdr>
            <w:top w:val="none" w:sz="0" w:space="0" w:color="auto"/>
            <w:left w:val="none" w:sz="0" w:space="0" w:color="auto"/>
            <w:bottom w:val="none" w:sz="0" w:space="0" w:color="auto"/>
            <w:right w:val="none" w:sz="0" w:space="0" w:color="auto"/>
          </w:divBdr>
        </w:div>
      </w:divsChild>
    </w:div>
    <w:div w:id="1794982065">
      <w:bodyDiv w:val="1"/>
      <w:marLeft w:val="0"/>
      <w:marRight w:val="0"/>
      <w:marTop w:val="0"/>
      <w:marBottom w:val="0"/>
      <w:divBdr>
        <w:top w:val="none" w:sz="0" w:space="0" w:color="auto"/>
        <w:left w:val="none" w:sz="0" w:space="0" w:color="auto"/>
        <w:bottom w:val="none" w:sz="0" w:space="0" w:color="auto"/>
        <w:right w:val="none" w:sz="0" w:space="0" w:color="auto"/>
      </w:divBdr>
    </w:div>
    <w:div w:id="1879006761">
      <w:bodyDiv w:val="1"/>
      <w:marLeft w:val="0"/>
      <w:marRight w:val="0"/>
      <w:marTop w:val="0"/>
      <w:marBottom w:val="0"/>
      <w:divBdr>
        <w:top w:val="none" w:sz="0" w:space="0" w:color="auto"/>
        <w:left w:val="none" w:sz="0" w:space="0" w:color="auto"/>
        <w:bottom w:val="none" w:sz="0" w:space="0" w:color="auto"/>
        <w:right w:val="none" w:sz="0" w:space="0" w:color="auto"/>
      </w:divBdr>
    </w:div>
    <w:div w:id="1979261262">
      <w:bodyDiv w:val="1"/>
      <w:marLeft w:val="0"/>
      <w:marRight w:val="0"/>
      <w:marTop w:val="0"/>
      <w:marBottom w:val="0"/>
      <w:divBdr>
        <w:top w:val="none" w:sz="0" w:space="0" w:color="auto"/>
        <w:left w:val="none" w:sz="0" w:space="0" w:color="auto"/>
        <w:bottom w:val="none" w:sz="0" w:space="0" w:color="auto"/>
        <w:right w:val="none" w:sz="0" w:space="0" w:color="auto"/>
      </w:divBdr>
    </w:div>
    <w:div w:id="1999141699">
      <w:bodyDiv w:val="1"/>
      <w:marLeft w:val="0"/>
      <w:marRight w:val="0"/>
      <w:marTop w:val="0"/>
      <w:marBottom w:val="0"/>
      <w:divBdr>
        <w:top w:val="none" w:sz="0" w:space="0" w:color="auto"/>
        <w:left w:val="none" w:sz="0" w:space="0" w:color="auto"/>
        <w:bottom w:val="none" w:sz="0" w:space="0" w:color="auto"/>
        <w:right w:val="none" w:sz="0" w:space="0" w:color="auto"/>
      </w:divBdr>
      <w:divsChild>
        <w:div w:id="662703701">
          <w:marLeft w:val="0"/>
          <w:marRight w:val="0"/>
          <w:marTop w:val="0"/>
          <w:marBottom w:val="0"/>
          <w:divBdr>
            <w:top w:val="none" w:sz="0" w:space="0" w:color="auto"/>
            <w:left w:val="none" w:sz="0" w:space="0" w:color="auto"/>
            <w:bottom w:val="none" w:sz="0" w:space="0" w:color="auto"/>
            <w:right w:val="none" w:sz="0" w:space="0" w:color="auto"/>
          </w:divBdr>
        </w:div>
        <w:div w:id="1517304078">
          <w:marLeft w:val="0"/>
          <w:marRight w:val="0"/>
          <w:marTop w:val="0"/>
          <w:marBottom w:val="0"/>
          <w:divBdr>
            <w:top w:val="none" w:sz="0" w:space="0" w:color="auto"/>
            <w:left w:val="none" w:sz="0" w:space="0" w:color="auto"/>
            <w:bottom w:val="none" w:sz="0" w:space="0" w:color="auto"/>
            <w:right w:val="none" w:sz="0" w:space="0" w:color="auto"/>
          </w:divBdr>
        </w:div>
      </w:divsChild>
    </w:div>
    <w:div w:id="2133093301">
      <w:bodyDiv w:val="1"/>
      <w:marLeft w:val="0"/>
      <w:marRight w:val="0"/>
      <w:marTop w:val="0"/>
      <w:marBottom w:val="0"/>
      <w:divBdr>
        <w:top w:val="none" w:sz="0" w:space="0" w:color="auto"/>
        <w:left w:val="none" w:sz="0" w:space="0" w:color="auto"/>
        <w:bottom w:val="none" w:sz="0" w:space="0" w:color="auto"/>
        <w:right w:val="none" w:sz="0" w:space="0" w:color="auto"/>
      </w:divBdr>
      <w:divsChild>
        <w:div w:id="744769150">
          <w:marLeft w:val="0"/>
          <w:marRight w:val="0"/>
          <w:marTop w:val="0"/>
          <w:marBottom w:val="0"/>
          <w:divBdr>
            <w:top w:val="none" w:sz="0" w:space="0" w:color="auto"/>
            <w:left w:val="none" w:sz="0" w:space="0" w:color="auto"/>
            <w:bottom w:val="none" w:sz="0" w:space="0" w:color="auto"/>
            <w:right w:val="none" w:sz="0" w:space="0" w:color="auto"/>
          </w:divBdr>
        </w:div>
        <w:div w:id="162955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144E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53D56"/>
    <w:rsid w:val="002A6403"/>
    <w:rsid w:val="002D2B5C"/>
    <w:rsid w:val="0049120B"/>
    <w:rsid w:val="00586464"/>
    <w:rsid w:val="0064486A"/>
    <w:rsid w:val="008A4F4E"/>
    <w:rsid w:val="009F6AB0"/>
    <w:rsid w:val="00A144E1"/>
    <w:rsid w:val="00A22FC5"/>
    <w:rsid w:val="00A53679"/>
    <w:rsid w:val="00A81211"/>
    <w:rsid w:val="00CF7595"/>
    <w:rsid w:val="00E63258"/>
    <w:rsid w:val="00FE3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559</ap:Words>
  <ap:Characters>3427</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2022-04-22T13:12:00.0000000Z</dcterms:created>
  <dcterms:modified xsi:type="dcterms:W3CDTF">2022-04-28T11:29:00.0000000Z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MersmanD</vt:lpwstr>
  </property>
  <property fmtid="{D5CDD505-2E9C-101B-9397-08002B2CF9AE}" pid="3" name="A_ADRES">
    <vt:lpwstr>Aan de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NvW</vt:lpwstr>
  </property>
  <property fmtid="{D5CDD505-2E9C-101B-9397-08002B2CF9AE}" pid="8" name="documentId">
    <vt:lpwstr>20270396</vt:lpwstr>
  </property>
  <property fmtid="{D5CDD505-2E9C-101B-9397-08002B2CF9AE}" pid="9" name="TYPE_ID">
    <vt:lpwstr>Brief</vt:lpwstr>
  </property>
  <property fmtid="{D5CDD505-2E9C-101B-9397-08002B2CF9AE}" pid="10" name="ContentTypeId">
    <vt:lpwstr>0x010100931504D4BA67E842B4E591D7DB657C4F</vt:lpwstr>
  </property>
</Properties>
</file>