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6CB" w:rsidP="00493774" w:rsidRDefault="00544A91" w14:paraId="6D274187" w14:textId="77777777">
      <w:pPr>
        <w:pStyle w:val="Aanhef"/>
        <w:spacing w:before="0" w:after="0"/>
      </w:pPr>
      <w:r>
        <w:t>Geachte voorzitter,</w:t>
      </w:r>
    </w:p>
    <w:p w:rsidRPr="00493774" w:rsidR="00493774" w:rsidP="00493774" w:rsidRDefault="00493774" w14:paraId="1609C73D" w14:textId="77777777"/>
    <w:p w:rsidRPr="005A4E3F" w:rsidR="005A4E3F" w:rsidP="005A4E3F" w:rsidRDefault="00493774" w14:paraId="102D37EB" w14:textId="047E369F">
      <w:pPr>
        <w:pStyle w:val="Slotzin"/>
        <w:spacing w:before="0"/>
      </w:pPr>
      <w:r w:rsidRPr="00493774">
        <w:t>Hierbij bied ik u de nota naar aanleiding van het verslag aan, dat de vaste</w:t>
      </w:r>
      <w:r w:rsidR="005A4E3F">
        <w:t xml:space="preserve"> </w:t>
      </w:r>
      <w:r w:rsidRPr="00493774">
        <w:t xml:space="preserve">commissie voor Infrastructuur en </w:t>
      </w:r>
      <w:r w:rsidR="003B45A2">
        <w:t>Waterstaat</w:t>
      </w:r>
      <w:r w:rsidRPr="00493774">
        <w:t xml:space="preserve"> op 1</w:t>
      </w:r>
      <w:r>
        <w:t xml:space="preserve"> november 2021 </w:t>
      </w:r>
      <w:r w:rsidRPr="00493774">
        <w:t>heeft uitgebracht</w:t>
      </w:r>
      <w:r w:rsidR="005A4E3F">
        <w:t xml:space="preserve"> over het wets</w:t>
      </w:r>
      <w:r w:rsidRPr="00493774">
        <w:t xml:space="preserve">voorstel tot wijziging </w:t>
      </w:r>
      <w:r w:rsidRPr="005A4E3F" w:rsidR="005A4E3F">
        <w:t>van de Wet gewasbeschermingsmiddelen en biociden (grondslag voor maatregelen inzake het (particulier) gebruik van gewasbeschermingsmiddelen</w:t>
      </w:r>
      <w:r w:rsidR="005A4E3F">
        <w:t>).</w:t>
      </w:r>
    </w:p>
    <w:p w:rsidR="00403E6E" w:rsidP="00493774" w:rsidRDefault="00403E6E" w14:paraId="31C6F429" w14:textId="77777777">
      <w:pPr>
        <w:pStyle w:val="Slotzin"/>
        <w:spacing w:before="0"/>
      </w:pPr>
    </w:p>
    <w:p w:rsidR="005C36CB" w:rsidP="00493774" w:rsidRDefault="00544A91" w14:paraId="38918ECE" w14:textId="431A398C">
      <w:pPr>
        <w:pStyle w:val="Slotzin"/>
        <w:spacing w:before="0"/>
      </w:pPr>
      <w:r>
        <w:t>Hoogachtend,</w:t>
      </w:r>
    </w:p>
    <w:p w:rsidRPr="00684B12" w:rsidR="00684B12" w:rsidP="00684B12" w:rsidRDefault="00684B12" w14:paraId="601E9071" w14:textId="77777777"/>
    <w:p w:rsidR="005F4A2B" w:rsidP="005F4A2B" w:rsidRDefault="005F4A2B" w14:paraId="5ADDDEAE" w14:textId="7777777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 STAATSSECRETARIS VAN INFRASTRUCTUUR EN WATERSTAAT,</w:t>
      </w:r>
      <w:r>
        <w:rPr>
          <w:rFonts w:ascii="Verdana" w:hAnsi="Verdana"/>
          <w:color w:val="000000"/>
          <w:sz w:val="18"/>
          <w:szCs w:val="18"/>
        </w:rPr>
        <w:br/>
      </w:r>
    </w:p>
    <w:p w:rsidR="005F4A2B" w:rsidP="005F4A2B" w:rsidRDefault="005F4A2B" w14:paraId="0B3FD46F" w14:textId="640C523B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5F4A2B" w:rsidP="005F4A2B" w:rsidRDefault="005F4A2B" w14:paraId="47BB9A38" w14:textId="031828B2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5F4A2B" w:rsidP="005F4A2B" w:rsidRDefault="005F4A2B" w14:paraId="50DDD9AE" w14:textId="69F4B7B6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5F4A2B" w:rsidP="005F4A2B" w:rsidRDefault="005F4A2B" w14:paraId="6C38A73E" w14:textId="77777777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5F4A2B" w:rsidP="005F4A2B" w:rsidRDefault="005F4A2B" w14:paraId="60AA601A" w14:textId="0CB4B2E6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drs. V.L.W.A. Heijnen</w:t>
      </w:r>
    </w:p>
    <w:p w:rsidR="005C36CB" w:rsidP="005F4A2B" w:rsidRDefault="005C36CB" w14:paraId="7E610384" w14:textId="54EB445C">
      <w:pPr>
        <w:pStyle w:val="OndertekeningArea1"/>
      </w:pPr>
    </w:p>
    <w:sectPr w:rsidR="005C3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251A" w14:textId="77777777" w:rsidR="00DA292B" w:rsidRDefault="00DA292B">
      <w:pPr>
        <w:spacing w:line="240" w:lineRule="auto"/>
      </w:pPr>
      <w:r>
        <w:separator/>
      </w:r>
    </w:p>
  </w:endnote>
  <w:endnote w:type="continuationSeparator" w:id="0">
    <w:p w14:paraId="65C6CD9B" w14:textId="77777777" w:rsidR="00DA292B" w:rsidRDefault="00DA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42B3" w14:textId="77777777" w:rsidR="00684B12" w:rsidRDefault="00684B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ABF" w14:textId="77777777" w:rsidR="00684B12" w:rsidRDefault="00684B1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1D04" w14:textId="77777777" w:rsidR="00684B12" w:rsidRDefault="00684B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F3EF" w14:textId="77777777" w:rsidR="00DA292B" w:rsidRDefault="00DA292B">
      <w:pPr>
        <w:spacing w:line="240" w:lineRule="auto"/>
      </w:pPr>
      <w:r>
        <w:separator/>
      </w:r>
    </w:p>
  </w:footnote>
  <w:footnote w:type="continuationSeparator" w:id="0">
    <w:p w14:paraId="1E6CEC17" w14:textId="77777777" w:rsidR="00DA292B" w:rsidRDefault="00DA2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FF7F" w14:textId="77777777" w:rsidR="00684B12" w:rsidRDefault="00684B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D5D6" w14:textId="77777777" w:rsidR="005C36CB" w:rsidRDefault="00544A9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55B328FB" wp14:editId="55380C0F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1702E" w14:textId="77777777" w:rsidR="005C36CB" w:rsidRDefault="00544A9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B328FB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4C81702E" w14:textId="77777777" w:rsidR="005C36CB" w:rsidRDefault="00544A9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62338459" wp14:editId="6D692F8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002E0" w14:textId="77777777" w:rsidR="005C36CB" w:rsidRDefault="00544A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3E6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3E6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38459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42002E0" w14:textId="77777777" w:rsidR="005C36CB" w:rsidRDefault="00544A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3E6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3E6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75269FF" wp14:editId="2FB94EF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5A7F8" w14:textId="77777777" w:rsidR="00602903" w:rsidRDefault="006029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5269FF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4805A7F8" w14:textId="77777777" w:rsidR="00602903" w:rsidRDefault="006029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316AF18" wp14:editId="48481E5C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DB009" w14:textId="77777777" w:rsidR="00602903" w:rsidRDefault="006029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16AF18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387DB009" w14:textId="77777777" w:rsidR="00602903" w:rsidRDefault="006029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DAD1" w14:textId="77777777" w:rsidR="005C36CB" w:rsidRDefault="00544A9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C185F8" wp14:editId="483D26B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4595C" w14:textId="77777777" w:rsidR="00602903" w:rsidRDefault="006029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C185F8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DC4595C" w14:textId="77777777" w:rsidR="00602903" w:rsidRDefault="006029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D02964A" wp14:editId="174C78F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88DB5F" w14:textId="77777777" w:rsidR="005C36CB" w:rsidRDefault="00544A9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1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10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2964A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0B88DB5F" w14:textId="77777777" w:rsidR="005C36CB" w:rsidRDefault="00544A9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1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10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BCA4F29" wp14:editId="4B4BBC26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BA1C4" w14:textId="77777777" w:rsidR="005C36CB" w:rsidRDefault="00544A9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D59CBA0" w14:textId="77777777" w:rsidR="005C36CB" w:rsidRDefault="005C36CB">
                          <w:pPr>
                            <w:pStyle w:val="WitregelW1"/>
                          </w:pPr>
                        </w:p>
                        <w:p w14:paraId="18E57080" w14:textId="77777777" w:rsidR="005C36CB" w:rsidRDefault="00544A9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5199AE5" w14:textId="77777777" w:rsidR="005C36CB" w:rsidRPr="00017B58" w:rsidRDefault="00544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17B5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258061B" w14:textId="77777777" w:rsidR="005C36CB" w:rsidRPr="00017B58" w:rsidRDefault="00544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17B5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5EEF526" w14:textId="77777777" w:rsidR="005C36CB" w:rsidRPr="00017B58" w:rsidRDefault="00544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17B5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B3FAD9C" w14:textId="77777777" w:rsidR="005C36CB" w:rsidRPr="00017B58" w:rsidRDefault="005C36C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4F42ECA" w14:textId="77777777" w:rsidR="005C36CB" w:rsidRPr="00017B58" w:rsidRDefault="00544A9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17B5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6B3AB44" w14:textId="77777777" w:rsidR="005C36CB" w:rsidRDefault="00544A9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5BE05CD" w14:textId="77777777" w:rsidR="005C36CB" w:rsidRDefault="005C36CB">
                          <w:pPr>
                            <w:pStyle w:val="WitregelW2"/>
                          </w:pPr>
                        </w:p>
                        <w:p w14:paraId="75F168DA" w14:textId="7E373D41" w:rsidR="005610E0" w:rsidRPr="00C42503" w:rsidRDefault="005610E0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>
                            <w:t>Kenmerk</w:t>
                          </w:r>
                          <w:r>
                            <w:br/>
                          </w:r>
                          <w:r w:rsidR="00684B12" w:rsidRPr="00684B12">
                            <w:rPr>
                              <w:b w:val="0"/>
                              <w:bCs/>
                            </w:rPr>
                            <w:t>IENW/BSK-2022/26312</w:t>
                          </w:r>
                        </w:p>
                        <w:p w14:paraId="49507C2A" w14:textId="77777777" w:rsidR="005610E0" w:rsidRPr="005610E0" w:rsidRDefault="005610E0" w:rsidP="005610E0"/>
                        <w:p w14:paraId="4879DB2B" w14:textId="77777777" w:rsidR="005C36CB" w:rsidRDefault="00544A91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05D9D452" w14:textId="39E7F335" w:rsidR="005C36CB" w:rsidRDefault="005A4E3F">
                          <w:pPr>
                            <w:pStyle w:val="Referentiegegevens"/>
                          </w:pPr>
                          <w:r>
                            <w:t>35 756, nr. 5</w:t>
                          </w:r>
                        </w:p>
                        <w:p w14:paraId="126A19D0" w14:textId="77777777" w:rsidR="00B12F04" w:rsidRPr="00B12F04" w:rsidRDefault="00B12F04" w:rsidP="00B12F04"/>
                        <w:p w14:paraId="7D6149D9" w14:textId="77777777" w:rsidR="00B12F04" w:rsidRDefault="00B12F04" w:rsidP="00B12F04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85AF98E" w14:textId="5207397F" w:rsidR="00B12F04" w:rsidRDefault="00684B12" w:rsidP="00B12F0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11E917BB" w14:textId="77777777" w:rsidR="00B12F04" w:rsidRPr="00B12F04" w:rsidRDefault="00B12F04" w:rsidP="00B12F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A4F29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735BA1C4" w14:textId="77777777" w:rsidR="005C36CB" w:rsidRDefault="00544A9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D59CBA0" w14:textId="77777777" w:rsidR="005C36CB" w:rsidRDefault="005C36CB">
                    <w:pPr>
                      <w:pStyle w:val="WitregelW1"/>
                    </w:pPr>
                  </w:p>
                  <w:p w14:paraId="18E57080" w14:textId="77777777" w:rsidR="005C36CB" w:rsidRDefault="00544A91">
                    <w:pPr>
                      <w:pStyle w:val="Afzendgegevens"/>
                    </w:pPr>
                    <w:r>
                      <w:t>Rijnstraat 8</w:t>
                    </w:r>
                  </w:p>
                  <w:p w14:paraId="35199AE5" w14:textId="77777777" w:rsidR="005C36CB" w:rsidRPr="00017B58" w:rsidRDefault="00544A91">
                    <w:pPr>
                      <w:pStyle w:val="Afzendgegevens"/>
                      <w:rPr>
                        <w:lang w:val="de-DE"/>
                      </w:rPr>
                    </w:pPr>
                    <w:r w:rsidRPr="00017B58">
                      <w:rPr>
                        <w:lang w:val="de-DE"/>
                      </w:rPr>
                      <w:t>2515 XP  Den Haag</w:t>
                    </w:r>
                  </w:p>
                  <w:p w14:paraId="3258061B" w14:textId="77777777" w:rsidR="005C36CB" w:rsidRPr="00017B58" w:rsidRDefault="00544A91">
                    <w:pPr>
                      <w:pStyle w:val="Afzendgegevens"/>
                      <w:rPr>
                        <w:lang w:val="de-DE"/>
                      </w:rPr>
                    </w:pPr>
                    <w:r w:rsidRPr="00017B58">
                      <w:rPr>
                        <w:lang w:val="de-DE"/>
                      </w:rPr>
                      <w:t>Postbus 20901</w:t>
                    </w:r>
                  </w:p>
                  <w:p w14:paraId="75EEF526" w14:textId="77777777" w:rsidR="005C36CB" w:rsidRPr="00017B58" w:rsidRDefault="00544A91">
                    <w:pPr>
                      <w:pStyle w:val="Afzendgegevens"/>
                      <w:rPr>
                        <w:lang w:val="de-DE"/>
                      </w:rPr>
                    </w:pPr>
                    <w:r w:rsidRPr="00017B58">
                      <w:rPr>
                        <w:lang w:val="de-DE"/>
                      </w:rPr>
                      <w:t>2500 EX Den Haag</w:t>
                    </w:r>
                  </w:p>
                  <w:p w14:paraId="6B3FAD9C" w14:textId="77777777" w:rsidR="005C36CB" w:rsidRPr="00017B58" w:rsidRDefault="005C36C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4F42ECA" w14:textId="77777777" w:rsidR="005C36CB" w:rsidRPr="00017B58" w:rsidRDefault="00544A91">
                    <w:pPr>
                      <w:pStyle w:val="Afzendgegevens"/>
                      <w:rPr>
                        <w:lang w:val="de-DE"/>
                      </w:rPr>
                    </w:pPr>
                    <w:r w:rsidRPr="00017B58">
                      <w:rPr>
                        <w:lang w:val="de-DE"/>
                      </w:rPr>
                      <w:t>T   070-456 0000</w:t>
                    </w:r>
                  </w:p>
                  <w:p w14:paraId="26B3AB44" w14:textId="77777777" w:rsidR="005C36CB" w:rsidRDefault="00544A9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5BE05CD" w14:textId="77777777" w:rsidR="005C36CB" w:rsidRDefault="005C36CB">
                    <w:pPr>
                      <w:pStyle w:val="WitregelW2"/>
                    </w:pPr>
                  </w:p>
                  <w:p w14:paraId="75F168DA" w14:textId="7E373D41" w:rsidR="005610E0" w:rsidRPr="00C42503" w:rsidRDefault="005610E0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>
                      <w:t>Kenmerk</w:t>
                    </w:r>
                    <w:r>
                      <w:br/>
                    </w:r>
                    <w:r w:rsidR="00684B12" w:rsidRPr="00684B12">
                      <w:rPr>
                        <w:b w:val="0"/>
                        <w:bCs/>
                      </w:rPr>
                      <w:t>IENW/BSK-2022/26312</w:t>
                    </w:r>
                  </w:p>
                  <w:p w14:paraId="49507C2A" w14:textId="77777777" w:rsidR="005610E0" w:rsidRPr="005610E0" w:rsidRDefault="005610E0" w:rsidP="005610E0"/>
                  <w:p w14:paraId="4879DB2B" w14:textId="77777777" w:rsidR="005C36CB" w:rsidRDefault="00544A91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05D9D452" w14:textId="39E7F335" w:rsidR="005C36CB" w:rsidRDefault="005A4E3F">
                    <w:pPr>
                      <w:pStyle w:val="Referentiegegevens"/>
                    </w:pPr>
                    <w:r>
                      <w:t>35 756, nr. 5</w:t>
                    </w:r>
                  </w:p>
                  <w:p w14:paraId="126A19D0" w14:textId="77777777" w:rsidR="00B12F04" w:rsidRPr="00B12F04" w:rsidRDefault="00B12F04" w:rsidP="00B12F04"/>
                  <w:p w14:paraId="7D6149D9" w14:textId="77777777" w:rsidR="00B12F04" w:rsidRDefault="00B12F04" w:rsidP="00B12F04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85AF98E" w14:textId="5207397F" w:rsidR="00B12F04" w:rsidRDefault="00684B12" w:rsidP="00B12F04">
                    <w:pPr>
                      <w:pStyle w:val="Referentiegegevens"/>
                    </w:pPr>
                    <w:r>
                      <w:t>2</w:t>
                    </w:r>
                  </w:p>
                  <w:p w14:paraId="11E917BB" w14:textId="77777777" w:rsidR="00B12F04" w:rsidRPr="00B12F04" w:rsidRDefault="00B12F04" w:rsidP="00B12F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37DD925" wp14:editId="7E00240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6467D" w14:textId="77777777" w:rsidR="005C36CB" w:rsidRDefault="00544A9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F014C" wp14:editId="3F6196DA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DD925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3DA6467D" w14:textId="77777777" w:rsidR="005C36CB" w:rsidRDefault="00544A9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7F014C" wp14:editId="3F6196DA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672F43C" wp14:editId="63109DF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026C8" w14:textId="77777777" w:rsidR="005C36CB" w:rsidRDefault="00544A9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E505A9" wp14:editId="7616DD69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2F43C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085026C8" w14:textId="77777777" w:rsidR="005C36CB" w:rsidRDefault="00544A9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E505A9" wp14:editId="7616DD69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F8872A9" wp14:editId="00A368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41B11A" w14:textId="77777777" w:rsidR="005C36CB" w:rsidRDefault="00544A9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872A9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5A41B11A" w14:textId="77777777" w:rsidR="005C36CB" w:rsidRDefault="00544A9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7F77AA7" wp14:editId="0C2922C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51D36" w14:textId="77777777" w:rsidR="005C36CB" w:rsidRDefault="00544A9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F77AA7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BA51D36" w14:textId="77777777" w:rsidR="005C36CB" w:rsidRDefault="00544A9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127DD8F" wp14:editId="116B8E0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C36CB" w14:paraId="080B95B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F964BC" w14:textId="77777777" w:rsidR="005C36CB" w:rsidRDefault="005C36CB"/>
                            </w:tc>
                            <w:tc>
                              <w:tcPr>
                                <w:tcW w:w="5400" w:type="dxa"/>
                              </w:tcPr>
                              <w:p w14:paraId="109A3C65" w14:textId="77777777" w:rsidR="005C36CB" w:rsidRDefault="005C36CB"/>
                            </w:tc>
                          </w:tr>
                          <w:tr w:rsidR="005C36CB" w14:paraId="1F0DFC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7BF2C3" w14:textId="77777777" w:rsidR="005C36CB" w:rsidRDefault="00544A9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11CF5CA" w14:textId="2835E193" w:rsidR="005C36CB" w:rsidRDefault="00684B12">
                                <w:r>
                                  <w:t>21 maart 2022</w:t>
                                </w:r>
                              </w:p>
                            </w:tc>
                          </w:tr>
                          <w:tr w:rsidR="005C36CB" w14:paraId="66459EB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A7598C" w14:textId="77777777" w:rsidR="005C36CB" w:rsidRDefault="00544A9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D234859" w14:textId="77777777" w:rsidR="005A4E3F" w:rsidRDefault="00544A91">
                                <w:r>
                                  <w:t xml:space="preserve">Nota naar aanleiding van Verslag; </w:t>
                                </w:r>
                              </w:p>
                              <w:p w14:paraId="1D9B34CF" w14:textId="77777777" w:rsidR="005C36CB" w:rsidRDefault="00544A91">
                                <w:r>
                                  <w:t>wijziging Wet gewasbeschermingsmiddelen en biociden</w:t>
                                </w:r>
                              </w:p>
                            </w:tc>
                          </w:tr>
                          <w:tr w:rsidR="005C36CB" w14:paraId="4F93E8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E60708" w14:textId="77777777" w:rsidR="005C36CB" w:rsidRDefault="005C36CB"/>
                            </w:tc>
                            <w:tc>
                              <w:tcPr>
                                <w:tcW w:w="5400" w:type="dxa"/>
                              </w:tcPr>
                              <w:p w14:paraId="6EA874C0" w14:textId="77777777" w:rsidR="005C36CB" w:rsidRDefault="005C36CB"/>
                            </w:tc>
                          </w:tr>
                        </w:tbl>
                        <w:p w14:paraId="784989F9" w14:textId="77777777" w:rsidR="00602903" w:rsidRDefault="006029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27DD8F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C36CB" w14:paraId="080B95B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F964BC" w14:textId="77777777" w:rsidR="005C36CB" w:rsidRDefault="005C36CB"/>
                      </w:tc>
                      <w:tc>
                        <w:tcPr>
                          <w:tcW w:w="5400" w:type="dxa"/>
                        </w:tcPr>
                        <w:p w14:paraId="109A3C65" w14:textId="77777777" w:rsidR="005C36CB" w:rsidRDefault="005C36CB"/>
                      </w:tc>
                    </w:tr>
                    <w:tr w:rsidR="005C36CB" w14:paraId="1F0DFC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7BF2C3" w14:textId="77777777" w:rsidR="005C36CB" w:rsidRDefault="00544A9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11CF5CA" w14:textId="2835E193" w:rsidR="005C36CB" w:rsidRDefault="00684B12">
                          <w:r>
                            <w:t>21 maart 2022</w:t>
                          </w:r>
                        </w:p>
                      </w:tc>
                    </w:tr>
                    <w:tr w:rsidR="005C36CB" w14:paraId="66459EB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A7598C" w14:textId="77777777" w:rsidR="005C36CB" w:rsidRDefault="00544A9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D234859" w14:textId="77777777" w:rsidR="005A4E3F" w:rsidRDefault="00544A91">
                          <w:r>
                            <w:t xml:space="preserve">Nota naar aanleiding van Verslag; </w:t>
                          </w:r>
                        </w:p>
                        <w:p w14:paraId="1D9B34CF" w14:textId="77777777" w:rsidR="005C36CB" w:rsidRDefault="00544A91">
                          <w:r>
                            <w:t>wijziging Wet gewasbeschermingsmiddelen en biociden</w:t>
                          </w:r>
                        </w:p>
                      </w:tc>
                    </w:tr>
                    <w:tr w:rsidR="005C36CB" w14:paraId="4F93E8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E60708" w14:textId="77777777" w:rsidR="005C36CB" w:rsidRDefault="005C36CB"/>
                      </w:tc>
                      <w:tc>
                        <w:tcPr>
                          <w:tcW w:w="5400" w:type="dxa"/>
                        </w:tcPr>
                        <w:p w14:paraId="6EA874C0" w14:textId="77777777" w:rsidR="005C36CB" w:rsidRDefault="005C36CB"/>
                      </w:tc>
                    </w:tr>
                  </w:tbl>
                  <w:p w14:paraId="784989F9" w14:textId="77777777" w:rsidR="00602903" w:rsidRDefault="006029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6357BC6" wp14:editId="2CDA447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39359" w14:textId="77777777" w:rsidR="00602903" w:rsidRDefault="006029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57BC6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63439359" w14:textId="77777777" w:rsidR="00602903" w:rsidRDefault="006029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448535"/>
    <w:multiLevelType w:val="multilevel"/>
    <w:tmpl w:val="8877AA2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D44C6D"/>
    <w:multiLevelType w:val="multilevel"/>
    <w:tmpl w:val="C854A09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AAD7F98"/>
    <w:multiLevelType w:val="multilevel"/>
    <w:tmpl w:val="A1F02F8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9F96E6"/>
    <w:multiLevelType w:val="multilevel"/>
    <w:tmpl w:val="D4ABCD61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EEF64D"/>
    <w:multiLevelType w:val="multilevel"/>
    <w:tmpl w:val="E54CAF5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004BDC4"/>
    <w:multiLevelType w:val="multilevel"/>
    <w:tmpl w:val="8325F28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202457C"/>
    <w:multiLevelType w:val="multilevel"/>
    <w:tmpl w:val="377D2DC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B869C32"/>
    <w:multiLevelType w:val="multilevel"/>
    <w:tmpl w:val="73945FD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9FC8813"/>
    <w:multiLevelType w:val="multilevel"/>
    <w:tmpl w:val="64142C0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9185A8"/>
    <w:multiLevelType w:val="multilevel"/>
    <w:tmpl w:val="77B3683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3BA5B3"/>
    <w:multiLevelType w:val="multilevel"/>
    <w:tmpl w:val="6A422CA1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75C991"/>
    <w:multiLevelType w:val="multilevel"/>
    <w:tmpl w:val="CED5F3E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B8D24"/>
    <w:multiLevelType w:val="multilevel"/>
    <w:tmpl w:val="CCB03A35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DDC9"/>
    <w:multiLevelType w:val="multilevel"/>
    <w:tmpl w:val="1E564A1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1B9B2"/>
    <w:multiLevelType w:val="multilevel"/>
    <w:tmpl w:val="8DA5549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384BB2"/>
    <w:multiLevelType w:val="multilevel"/>
    <w:tmpl w:val="983D1CBD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775891"/>
    <w:multiLevelType w:val="multilevel"/>
    <w:tmpl w:val="BCE1D10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70FDD0"/>
    <w:multiLevelType w:val="multilevel"/>
    <w:tmpl w:val="AFB8571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71F316"/>
    <w:multiLevelType w:val="multilevel"/>
    <w:tmpl w:val="B64FA984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75FC3B"/>
    <w:multiLevelType w:val="multilevel"/>
    <w:tmpl w:val="E7344AA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770945"/>
    <w:multiLevelType w:val="multilevel"/>
    <w:tmpl w:val="0CC4AA78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7"/>
  </w:num>
  <w:num w:numId="6">
    <w:abstractNumId w:val="9"/>
  </w:num>
  <w:num w:numId="7">
    <w:abstractNumId w:val="20"/>
  </w:num>
  <w:num w:numId="8">
    <w:abstractNumId w:val="15"/>
  </w:num>
  <w:num w:numId="9">
    <w:abstractNumId w:val="16"/>
  </w:num>
  <w:num w:numId="10">
    <w:abstractNumId w:val="19"/>
  </w:num>
  <w:num w:numId="11">
    <w:abstractNumId w:val="4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18"/>
  </w:num>
  <w:num w:numId="17">
    <w:abstractNumId w:val="12"/>
  </w:num>
  <w:num w:numId="18">
    <w:abstractNumId w:val="3"/>
  </w:num>
  <w:num w:numId="19">
    <w:abstractNumId w:val="13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58"/>
    <w:rsid w:val="00007E94"/>
    <w:rsid w:val="00017B58"/>
    <w:rsid w:val="00140189"/>
    <w:rsid w:val="003B45A2"/>
    <w:rsid w:val="00403E6E"/>
    <w:rsid w:val="00493774"/>
    <w:rsid w:val="004A5AE1"/>
    <w:rsid w:val="00544A91"/>
    <w:rsid w:val="005610E0"/>
    <w:rsid w:val="005A4E3F"/>
    <w:rsid w:val="005C36CB"/>
    <w:rsid w:val="005F4091"/>
    <w:rsid w:val="005F4A2B"/>
    <w:rsid w:val="00602903"/>
    <w:rsid w:val="00684B12"/>
    <w:rsid w:val="00790C39"/>
    <w:rsid w:val="008F7EDF"/>
    <w:rsid w:val="00942781"/>
    <w:rsid w:val="00961BB8"/>
    <w:rsid w:val="00983BE0"/>
    <w:rsid w:val="009E5F82"/>
    <w:rsid w:val="00A91425"/>
    <w:rsid w:val="00B12F04"/>
    <w:rsid w:val="00BC11BB"/>
    <w:rsid w:val="00C42503"/>
    <w:rsid w:val="00DA292B"/>
    <w:rsid w:val="00E053C0"/>
    <w:rsid w:val="00E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DF49E0"/>
  <w15:docId w15:val="{93434004-9B7A-45A9-A813-A837AD0A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5A4E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CW85Documentgegevens">
    <w:name w:val="ACW 8.5 Documentgegevens"/>
    <w:basedOn w:val="Standaard"/>
    <w:next w:val="Standaard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Pr>
      <w:b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Standaard"/>
    <w:next w:val="Standaard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Standaard"/>
    <w:next w:val="Standaard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Standaard"/>
    <w:next w:val="Standaard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Standaard"/>
    <w:next w:val="Standaard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Standaard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Standaard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Standaard"/>
    <w:next w:val="Standaard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Standaard"/>
    <w:next w:val="Standaard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Standaard"/>
    <w:next w:val="Standaard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Standaard"/>
    <w:next w:val="Standaard"/>
    <w:rPr>
      <w:sz w:val="14"/>
      <w:szCs w:val="14"/>
    </w:rPr>
  </w:style>
  <w:style w:type="paragraph" w:customStyle="1" w:styleId="ANVS-Uitgavegegevensonderstreept">
    <w:name w:val="ANVS - Uitgave gegevens onderstreept"/>
    <w:basedOn w:val="Standaard"/>
    <w:next w:val="Standaard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Standaard"/>
    <w:next w:val="Standaard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Standaard"/>
    <w:next w:val="Standaard"/>
    <w:pPr>
      <w:spacing w:before="220" w:line="240" w:lineRule="exact"/>
    </w:pPr>
  </w:style>
  <w:style w:type="paragraph" w:customStyle="1" w:styleId="ANVSeindblad2">
    <w:name w:val="ANVS eindblad 2"/>
    <w:basedOn w:val="Standaard"/>
    <w:next w:val="Standaard"/>
    <w:pPr>
      <w:spacing w:before="250" w:line="240" w:lineRule="exact"/>
    </w:pPr>
  </w:style>
  <w:style w:type="paragraph" w:customStyle="1" w:styleId="ANVSeindblad3">
    <w:name w:val="ANVS eindblad 3"/>
    <w:basedOn w:val="Standaard"/>
    <w:next w:val="Standaard"/>
    <w:pPr>
      <w:spacing w:before="280" w:line="240" w:lineRule="exact"/>
    </w:pPr>
  </w:style>
  <w:style w:type="paragraph" w:customStyle="1" w:styleId="ANVSInhoudn36r15">
    <w:name w:val="ANVS Inhoud n36 r15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pPr>
      <w:spacing w:after="120" w:line="240" w:lineRule="exact"/>
    </w:pPr>
  </w:style>
  <w:style w:type="paragraph" w:customStyle="1" w:styleId="ANVSInspectierapportTitel">
    <w:name w:val="ANVS Inspectierapport 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Standaard"/>
    <w:next w:val="Standaard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Standaard"/>
    <w:next w:val="Standaard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Standaard"/>
    <w:next w:val="Standaard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Standaard"/>
    <w:next w:val="Standaard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Standaard"/>
    <w:next w:val="Standaard"/>
    <w:pPr>
      <w:spacing w:line="180" w:lineRule="exact"/>
    </w:pPr>
  </w:style>
  <w:style w:type="paragraph" w:customStyle="1" w:styleId="ANVSV12R12">
    <w:name w:val="ANVS V12 R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pPr>
      <w:spacing w:after="120" w:line="240" w:lineRule="exact"/>
    </w:pPr>
    <w:rPr>
      <w:b/>
    </w:rPr>
  </w:style>
  <w:style w:type="paragraph" w:customStyle="1" w:styleId="DPopsomming">
    <w:name w:val="DP opsomming"/>
    <w:basedOn w:val="Standaard"/>
    <w:next w:val="Standaard"/>
    <w:pPr>
      <w:spacing w:line="240" w:lineRule="exact"/>
    </w:pPr>
  </w:style>
  <w:style w:type="paragraph" w:customStyle="1" w:styleId="DPstandaardopsomming">
    <w:name w:val="DP standaard opsomming"/>
    <w:basedOn w:val="Standaard"/>
    <w:next w:val="Standaard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Standaard"/>
    <w:next w:val="Standaard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Standaard"/>
    <w:next w:val="Standaard"/>
    <w:pPr>
      <w:spacing w:before="240" w:line="240" w:lineRule="exact"/>
    </w:pPr>
  </w:style>
  <w:style w:type="paragraph" w:customStyle="1" w:styleId="Huisstijl-Bijlage">
    <w:name w:val="Huisstijl - Bijlage"/>
    <w:basedOn w:val="Standaard"/>
    <w:next w:val="Standaard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pPr>
      <w:spacing w:line="240" w:lineRule="exact"/>
    </w:pPr>
  </w:style>
  <w:style w:type="paragraph" w:customStyle="1" w:styleId="Huisstijl-Bijlagezletter">
    <w:name w:val="Huisstijl - Bijlage z. letter"/>
    <w:basedOn w:val="Standaard"/>
    <w:next w:val="Standaard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pPr>
      <w:spacing w:line="240" w:lineRule="exact"/>
    </w:pPr>
  </w:style>
  <w:style w:type="paragraph" w:customStyle="1" w:styleId="Huisstijl-KaderTussenkop">
    <w:name w:val="Huisstijl - Kader Tussenkop"/>
    <w:basedOn w:val="Standaard"/>
    <w:next w:val="Standaard"/>
    <w:pPr>
      <w:spacing w:line="240" w:lineRule="exact"/>
    </w:pPr>
    <w:rPr>
      <w:i/>
    </w:rPr>
  </w:style>
  <w:style w:type="paragraph" w:customStyle="1" w:styleId="Huisstijl-Kop1">
    <w:name w:val="Huisstijl - Kop 1"/>
    <w:basedOn w:val="Standaard"/>
    <w:next w:val="Standaard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Standaard"/>
    <w:next w:val="Standaard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pPr>
      <w:spacing w:line="240" w:lineRule="exact"/>
    </w:pPr>
  </w:style>
  <w:style w:type="paragraph" w:customStyle="1" w:styleId="Huisstijl-Subtitel">
    <w:name w:val="Huisstijl - 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pPr>
      <w:spacing w:line="240" w:lineRule="exact"/>
    </w:pPr>
    <w:rPr>
      <w:i/>
    </w:rPr>
  </w:style>
  <w:style w:type="paragraph" w:customStyle="1" w:styleId="Huisstijl-Versie">
    <w:name w:val="Huisstijl - Versie"/>
    <w:basedOn w:val="Standaard"/>
    <w:next w:val="Standaard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Standaard"/>
    <w:next w:val="Standaard"/>
    <w:pPr>
      <w:spacing w:line="240" w:lineRule="exact"/>
    </w:pPr>
  </w:style>
  <w:style w:type="paragraph" w:customStyle="1" w:styleId="Huisstijlnummeringzondernummer">
    <w:name w:val="Huisstijl nummering zonder nummer"/>
    <w:basedOn w:val="Standaard"/>
    <w:next w:val="Standaard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Standaard"/>
    <w:next w:val="Standaard"/>
    <w:pPr>
      <w:spacing w:line="240" w:lineRule="exact"/>
    </w:pPr>
  </w:style>
  <w:style w:type="paragraph" w:customStyle="1" w:styleId="ILT-50standaardmetwitruimte">
    <w:name w:val="ILT - 50 standaard met witruimte"/>
    <w:basedOn w:val="Standaard"/>
    <w:next w:val="Standaard"/>
    <w:pPr>
      <w:spacing w:after="20" w:line="260" w:lineRule="exact"/>
    </w:pPr>
  </w:style>
  <w:style w:type="paragraph" w:customStyle="1" w:styleId="ILT102">
    <w:name w:val="ILT 102"/>
    <w:basedOn w:val="Standaard"/>
    <w:next w:val="Standaard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pPr>
      <w:spacing w:before="960" w:line="240" w:lineRule="exact"/>
    </w:pPr>
  </w:style>
  <w:style w:type="paragraph" w:customStyle="1" w:styleId="ILTOpsomming">
    <w:name w:val="ILT Opsomming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Standaard"/>
    <w:next w:val="Standaard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Standaard"/>
    <w:next w:val="Standaard"/>
    <w:pPr>
      <w:spacing w:before="60" w:after="60" w:line="240" w:lineRule="exact"/>
    </w:pPr>
  </w:style>
  <w:style w:type="paragraph" w:customStyle="1" w:styleId="ILTRapport16aIV9V12N0">
    <w:name w:val="ILT Rapport 16a I V9 V12 N0"/>
    <w:basedOn w:val="Standaard"/>
    <w:next w:val="Standaard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pPr>
      <w:spacing w:after="120" w:line="240" w:lineRule="exact"/>
    </w:pPr>
  </w:style>
  <w:style w:type="paragraph" w:customStyle="1" w:styleId="ILTRapport16aStandaard">
    <w:name w:val="ILT Rapport 16a Standaard"/>
    <w:basedOn w:val="Standaard"/>
    <w:next w:val="Standaard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Standaard"/>
    <w:next w:val="Standaard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pPr>
      <w:spacing w:before="120" w:line="240" w:lineRule="exact"/>
    </w:pPr>
  </w:style>
  <w:style w:type="paragraph" w:customStyle="1" w:styleId="ILTStandaardVerdana9Regel15">
    <w:name w:val="ILT Standaard Verdana 9 Regel 1.5"/>
    <w:basedOn w:val="Standaard"/>
    <w:next w:val="Standaar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Standaard"/>
    <w:next w:val="Standaard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Standaard"/>
    <w:next w:val="Standaar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Standaard"/>
    <w:next w:val="Standaard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Standaard"/>
    <w:next w:val="Standaard"/>
    <w:pPr>
      <w:spacing w:line="240" w:lineRule="exact"/>
    </w:pPr>
  </w:style>
  <w:style w:type="paragraph" w:customStyle="1" w:styleId="NEaopsommingletters">
    <w:name w:val="NEa opsomming (letters)"/>
    <w:basedOn w:val="Standaard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Standaard"/>
    <w:next w:val="Standaard"/>
    <w:pPr>
      <w:numPr>
        <w:numId w:val="14"/>
      </w:numPr>
    </w:pPr>
  </w:style>
  <w:style w:type="paragraph" w:customStyle="1" w:styleId="NEaopsommingextralijst">
    <w:name w:val="NEa opsomming extra lijst"/>
    <w:basedOn w:val="Standaard"/>
    <w:next w:val="Standaard"/>
  </w:style>
  <w:style w:type="paragraph" w:customStyle="1" w:styleId="NEaOpsommingstekenkortestreep">
    <w:name w:val="NEa Opsommingsteken korte streep"/>
    <w:basedOn w:val="Standaard"/>
    <w:next w:val="Standaard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Standaard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Standaard"/>
    <w:next w:val="Standaar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pPr>
      <w:spacing w:line="240" w:lineRule="exact"/>
    </w:pPr>
  </w:style>
  <w:style w:type="paragraph" w:customStyle="1" w:styleId="OIMRapportHoofdstuk">
    <w:name w:val="OIM Rapport Hoofdstuk"/>
    <w:basedOn w:val="Standaard"/>
    <w:next w:val="Standaard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Standaard"/>
    <w:next w:val="Standaar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Standaard"/>
    <w:next w:val="Standaar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Standaard"/>
    <w:next w:val="Standaard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Standaard"/>
    <w:next w:val="Standaard"/>
    <w:pPr>
      <w:spacing w:line="240" w:lineRule="exact"/>
    </w:pPr>
  </w:style>
  <w:style w:type="paragraph" w:customStyle="1" w:styleId="OIMRapportOpsomminglijst">
    <w:name w:val="OIM Rapport Opsomminglijst"/>
    <w:basedOn w:val="Standaard"/>
    <w:next w:val="Standaard"/>
    <w:pPr>
      <w:spacing w:line="240" w:lineRule="exact"/>
    </w:pPr>
  </w:style>
  <w:style w:type="paragraph" w:customStyle="1" w:styleId="OIMRapportpaginanummer">
    <w:name w:val="OIM Rapport paginanummer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Standaard"/>
    <w:next w:val="Standaard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pPr>
      <w:spacing w:before="240"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Standaard"/>
    <w:next w:val="Standaard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Standaard"/>
    <w:next w:val="Standaar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Standaard"/>
    <w:next w:val="Standaard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Standaard"/>
    <w:pPr>
      <w:spacing w:after="360"/>
    </w:pPr>
  </w:style>
  <w:style w:type="paragraph" w:customStyle="1" w:styleId="SSFGroetregel">
    <w:name w:val="SSF Groetregel"/>
    <w:basedOn w:val="SSFStandaard"/>
    <w:next w:val="Standaar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Standaard"/>
    <w:next w:val="Standaard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Standaard"/>
    <w:next w:val="Standaard"/>
    <w:pPr>
      <w:spacing w:line="240" w:lineRule="exact"/>
    </w:p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VetenRood">
    <w:name w:val="Standaard Vet en Rood"/>
    <w:basedOn w:val="Standaard"/>
    <w:next w:val="Standaard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pPr>
      <w:spacing w:before="100" w:after="240" w:line="240" w:lineRule="exact"/>
    </w:pPr>
  </w:style>
  <w:style w:type="character" w:styleId="Hyperlink">
    <w:name w:val="Hyperlink"/>
    <w:basedOn w:val="Standaardalinea-lettertype"/>
    <w:uiPriority w:val="99"/>
    <w:unhideWhenUsed/>
    <w:rsid w:val="00017B58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7B58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17B58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17B5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83B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3BE0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3BE0"/>
    <w:rPr>
      <w:rFonts w:ascii="Verdana" w:eastAsiaTheme="minorHAnsi" w:hAnsi="Verdana" w:cstheme="minorBidi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3BE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BE0"/>
    <w:rPr>
      <w:rFonts w:ascii="Segoe UI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937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377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937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3774"/>
    <w:rPr>
      <w:rFonts w:ascii="Verdana" w:hAnsi="Verdana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5A4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5F4A2B"/>
    <w:pPr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2022-03-21T14:22:00.0000000Z</dcterms:created>
  <dcterms:modified xsi:type="dcterms:W3CDTF">2022-03-21T14:22:00.0000000Z</dcterms:modified>
  <dc:description>------------------------</dc:description>
  <dc:subject/>
  <keywords/>
  <version/>
  <category/>
</coreProperties>
</file>