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D2F05" w:rsidR="00C10272" w:rsidP="00C10272" w:rsidRDefault="00C10272">
      <w:pPr>
        <w:rPr>
          <w:rFonts w:ascii="Times New Roman" w:hAnsi="Times New Roman"/>
          <w:sz w:val="24"/>
        </w:rPr>
      </w:pPr>
      <w:r w:rsidRPr="00DD2F05">
        <w:rPr>
          <w:rFonts w:ascii="Times New Roman" w:hAnsi="Times New Roman"/>
          <w:sz w:val="24"/>
        </w:rPr>
        <w:t>Bijgewerkte tekst t/m nr. 50 (</w:t>
      </w:r>
      <w:proofErr w:type="spellStart"/>
      <w:r w:rsidRPr="00DD2F05">
        <w:rPr>
          <w:rFonts w:ascii="Times New Roman" w:hAnsi="Times New Roman"/>
          <w:sz w:val="24"/>
        </w:rPr>
        <w:t>NvW</w:t>
      </w:r>
      <w:proofErr w:type="spellEnd"/>
      <w:r w:rsidRPr="00DD2F05">
        <w:rPr>
          <w:rFonts w:ascii="Times New Roman" w:hAnsi="Times New Roman"/>
          <w:sz w:val="24"/>
        </w:rPr>
        <w:t>, d.d. 10 november 2021)</w:t>
      </w:r>
    </w:p>
    <w:p w:rsidR="00C10272" w:rsidRDefault="00C10272"/>
    <w:tbl>
      <w:tblPr>
        <w:tblW w:w="9142" w:type="dxa"/>
        <w:tblLayout w:type="fixed"/>
        <w:tblCellMar>
          <w:left w:w="70" w:type="dxa"/>
          <w:right w:w="70" w:type="dxa"/>
        </w:tblCellMar>
        <w:tblLook w:val="0000" w:firstRow="0" w:lastRow="0" w:firstColumn="0" w:lastColumn="0" w:noHBand="0" w:noVBand="0"/>
      </w:tblPr>
      <w:tblGrid>
        <w:gridCol w:w="2552"/>
        <w:gridCol w:w="6590"/>
      </w:tblGrid>
      <w:tr w:rsidRPr="00DD2F05" w:rsidR="002A727C" w:rsidTr="00A11E73">
        <w:tc>
          <w:tcPr>
            <w:tcW w:w="2552" w:type="dxa"/>
            <w:tcBorders>
              <w:top w:val="nil"/>
              <w:left w:val="nil"/>
              <w:bottom w:val="nil"/>
              <w:right w:val="nil"/>
            </w:tcBorders>
          </w:tcPr>
          <w:p w:rsidRPr="00DD2F05" w:rsidR="002A727C" w:rsidP="00393575" w:rsidRDefault="003D701A">
            <w:pPr>
              <w:rPr>
                <w:rFonts w:ascii="Times New Roman" w:hAnsi="Times New Roman"/>
                <w:b/>
                <w:sz w:val="24"/>
              </w:rPr>
            </w:pPr>
            <w:r w:rsidRPr="00DD2F05">
              <w:rPr>
                <w:rFonts w:ascii="Times New Roman" w:hAnsi="Times New Roman"/>
                <w:b/>
                <w:sz w:val="24"/>
              </w:rPr>
              <w:t xml:space="preserve">35 925 </w:t>
            </w:r>
            <w:r w:rsidRPr="00DD2F05" w:rsidR="00393575">
              <w:rPr>
                <w:rFonts w:ascii="Times New Roman" w:hAnsi="Times New Roman"/>
                <w:b/>
                <w:sz w:val="24"/>
              </w:rPr>
              <w:t>VII</w:t>
            </w:r>
          </w:p>
        </w:tc>
        <w:tc>
          <w:tcPr>
            <w:tcW w:w="6590" w:type="dxa"/>
            <w:tcBorders>
              <w:top w:val="nil"/>
              <w:left w:val="nil"/>
              <w:bottom w:val="nil"/>
              <w:right w:val="nil"/>
            </w:tcBorders>
          </w:tcPr>
          <w:p w:rsidRPr="00DD2F05" w:rsidR="003D701A" w:rsidP="009D24C9" w:rsidRDefault="003D701A">
            <w:pPr>
              <w:rPr>
                <w:rFonts w:ascii="Times New Roman" w:hAnsi="Times New Roman"/>
                <w:b/>
                <w:sz w:val="24"/>
              </w:rPr>
            </w:pPr>
            <w:r w:rsidRPr="00DD2F05">
              <w:rPr>
                <w:rFonts w:ascii="Times New Roman" w:hAnsi="Times New Roman"/>
                <w:b/>
                <w:sz w:val="24"/>
              </w:rPr>
              <w:t xml:space="preserve">Vaststelling van de begrotingsstaten van het Ministerie van </w:t>
            </w:r>
            <w:r w:rsidRPr="00DD2F05" w:rsidR="00393575">
              <w:rPr>
                <w:rFonts w:ascii="Times New Roman" w:hAnsi="Times New Roman"/>
                <w:b/>
                <w:sz w:val="24"/>
              </w:rPr>
              <w:t>Binnenlandse Zaken en Koninkrijksrelaties</w:t>
            </w:r>
            <w:r w:rsidRPr="00DD2F05">
              <w:rPr>
                <w:rFonts w:ascii="Times New Roman" w:hAnsi="Times New Roman"/>
                <w:b/>
                <w:sz w:val="24"/>
              </w:rPr>
              <w:t xml:space="preserve"> (V</w:t>
            </w:r>
            <w:r w:rsidRPr="00DD2F05" w:rsidR="00393575">
              <w:rPr>
                <w:rFonts w:ascii="Times New Roman" w:hAnsi="Times New Roman"/>
                <w:b/>
                <w:sz w:val="24"/>
              </w:rPr>
              <w:t>II</w:t>
            </w:r>
            <w:r w:rsidRPr="00DD2F05">
              <w:rPr>
                <w:rFonts w:ascii="Times New Roman" w:hAnsi="Times New Roman"/>
                <w:b/>
                <w:sz w:val="24"/>
              </w:rPr>
              <w:t>) voor het jaar 2022</w:t>
            </w:r>
          </w:p>
          <w:p w:rsidRPr="00DD2F05" w:rsidR="002A727C" w:rsidP="000D5BC4" w:rsidRDefault="002A727C">
            <w:pPr>
              <w:rPr>
                <w:rFonts w:ascii="Times New Roman" w:hAnsi="Times New Roman"/>
                <w:b/>
                <w:sz w:val="24"/>
              </w:rPr>
            </w:pPr>
          </w:p>
        </w:tc>
      </w:tr>
      <w:tr w:rsidRPr="00DD2F05" w:rsidR="00CB3578" w:rsidTr="00A11E73">
        <w:tc>
          <w:tcPr>
            <w:tcW w:w="2552" w:type="dxa"/>
            <w:tcBorders>
              <w:top w:val="nil"/>
              <w:left w:val="nil"/>
              <w:bottom w:val="nil"/>
              <w:right w:val="nil"/>
            </w:tcBorders>
          </w:tcPr>
          <w:p w:rsidRPr="00DD2F0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D2F05" w:rsidR="00CB3578" w:rsidRDefault="00CB3578">
            <w:pPr>
              <w:pStyle w:val="Amendement"/>
              <w:rPr>
                <w:rFonts w:ascii="Times New Roman" w:hAnsi="Times New Roman" w:cs="Times New Roman"/>
              </w:rPr>
            </w:pPr>
          </w:p>
        </w:tc>
      </w:tr>
      <w:tr w:rsidRPr="00DD2F05" w:rsidR="00CB3578" w:rsidTr="00A11E73">
        <w:tc>
          <w:tcPr>
            <w:tcW w:w="2552" w:type="dxa"/>
            <w:tcBorders>
              <w:top w:val="nil"/>
              <w:left w:val="nil"/>
              <w:bottom w:val="nil"/>
              <w:right w:val="nil"/>
            </w:tcBorders>
          </w:tcPr>
          <w:p w:rsidRPr="00DD2F0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D2F05" w:rsidR="00CB3578" w:rsidRDefault="00CB3578">
            <w:pPr>
              <w:pStyle w:val="Amendement"/>
              <w:rPr>
                <w:rFonts w:ascii="Times New Roman" w:hAnsi="Times New Roman" w:cs="Times New Roman"/>
              </w:rPr>
            </w:pPr>
          </w:p>
        </w:tc>
      </w:tr>
      <w:tr w:rsidRPr="00DD2F05" w:rsidR="00CB3578" w:rsidTr="00A11E73">
        <w:tc>
          <w:tcPr>
            <w:tcW w:w="2552" w:type="dxa"/>
            <w:tcBorders>
              <w:top w:val="nil"/>
              <w:left w:val="nil"/>
              <w:bottom w:val="nil"/>
              <w:right w:val="nil"/>
            </w:tcBorders>
          </w:tcPr>
          <w:p w:rsidRPr="00DD2F05" w:rsidR="00CB3578" w:rsidRDefault="00CB3578">
            <w:pPr>
              <w:pStyle w:val="Amendement"/>
              <w:rPr>
                <w:rFonts w:ascii="Times New Roman" w:hAnsi="Times New Roman" w:cs="Times New Roman"/>
              </w:rPr>
            </w:pPr>
            <w:r w:rsidRPr="00DD2F05">
              <w:rPr>
                <w:rFonts w:ascii="Times New Roman" w:hAnsi="Times New Roman" w:cs="Times New Roman"/>
              </w:rPr>
              <w:t xml:space="preserve">Nr. </w:t>
            </w:r>
            <w:r w:rsidRPr="00DD2F05" w:rsidR="00393575">
              <w:rPr>
                <w:rFonts w:ascii="Times New Roman" w:hAnsi="Times New Roman" w:cs="Times New Roman"/>
              </w:rPr>
              <w:t>1</w:t>
            </w:r>
          </w:p>
        </w:tc>
        <w:tc>
          <w:tcPr>
            <w:tcW w:w="6590" w:type="dxa"/>
            <w:tcBorders>
              <w:top w:val="nil"/>
              <w:left w:val="nil"/>
              <w:bottom w:val="nil"/>
              <w:right w:val="nil"/>
            </w:tcBorders>
          </w:tcPr>
          <w:p w:rsidRPr="00DD2F05" w:rsidR="00CB3578" w:rsidRDefault="00CB3578">
            <w:pPr>
              <w:pStyle w:val="Amendement"/>
              <w:rPr>
                <w:rFonts w:ascii="Times New Roman" w:hAnsi="Times New Roman" w:cs="Times New Roman"/>
              </w:rPr>
            </w:pPr>
            <w:r w:rsidRPr="00DD2F05">
              <w:rPr>
                <w:rFonts w:ascii="Times New Roman" w:hAnsi="Times New Roman" w:cs="Times New Roman"/>
              </w:rPr>
              <w:t>VOORSTEL VAN WET</w:t>
            </w:r>
          </w:p>
        </w:tc>
      </w:tr>
      <w:tr w:rsidRPr="00DD2F05" w:rsidR="00CB3578" w:rsidTr="00A11E73">
        <w:tc>
          <w:tcPr>
            <w:tcW w:w="2552" w:type="dxa"/>
            <w:tcBorders>
              <w:top w:val="nil"/>
              <w:left w:val="nil"/>
              <w:bottom w:val="nil"/>
              <w:right w:val="nil"/>
            </w:tcBorders>
          </w:tcPr>
          <w:p w:rsidRPr="00DD2F0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D2F05" w:rsidR="00CB3578" w:rsidRDefault="00CB3578">
            <w:pPr>
              <w:pStyle w:val="Amendement"/>
              <w:rPr>
                <w:rFonts w:ascii="Times New Roman" w:hAnsi="Times New Roman" w:cs="Times New Roman"/>
              </w:rPr>
            </w:pPr>
          </w:p>
        </w:tc>
      </w:tr>
    </w:tbl>
    <w:p w:rsidRPr="00DD2F05" w:rsidR="003D701A" w:rsidP="003D701A" w:rsidRDefault="003D701A">
      <w:pPr>
        <w:pStyle w:val="wie-p"/>
        <w:spacing w:after="0"/>
        <w:ind w:firstLine="284"/>
        <w:rPr>
          <w:rFonts w:ascii="Times New Roman" w:hAnsi="Times New Roman" w:cs="Times New Roman"/>
          <w:sz w:val="24"/>
          <w:szCs w:val="24"/>
        </w:rPr>
      </w:pPr>
      <w:r w:rsidRPr="00DD2F05">
        <w:rPr>
          <w:rFonts w:ascii="Times New Roman" w:hAnsi="Times New Roman" w:cs="Times New Roman"/>
          <w:sz w:val="24"/>
          <w:szCs w:val="24"/>
        </w:rPr>
        <w:t>Wij Willem-Alexander, bij de gratie Gods, Koning der Nederlanden, Prins van Oranje-Nassau, enz. enz. enz.</w:t>
      </w:r>
    </w:p>
    <w:p w:rsidRPr="00DD2F05" w:rsidR="003D701A" w:rsidP="003D701A" w:rsidRDefault="003D701A">
      <w:pPr>
        <w:pStyle w:val="wie-p"/>
        <w:spacing w:after="0"/>
        <w:ind w:firstLine="284"/>
        <w:rPr>
          <w:rFonts w:ascii="Times New Roman" w:hAnsi="Times New Roman" w:cs="Times New Roman"/>
          <w:sz w:val="24"/>
          <w:szCs w:val="24"/>
        </w:rPr>
      </w:pPr>
    </w:p>
    <w:p w:rsidRPr="00DD2F05" w:rsidR="003D701A" w:rsidP="003D701A" w:rsidRDefault="003D701A">
      <w:pPr>
        <w:pStyle w:val="wie-p"/>
        <w:spacing w:after="0"/>
        <w:ind w:firstLine="284"/>
        <w:rPr>
          <w:rFonts w:ascii="Times New Roman" w:hAnsi="Times New Roman" w:cs="Times New Roman"/>
          <w:sz w:val="24"/>
          <w:szCs w:val="24"/>
        </w:rPr>
      </w:pPr>
      <w:r w:rsidRPr="00DD2F05">
        <w:rPr>
          <w:rFonts w:ascii="Times New Roman" w:hAnsi="Times New Roman" w:cs="Times New Roman"/>
          <w:sz w:val="24"/>
          <w:szCs w:val="24"/>
        </w:rPr>
        <w:t>Allen, die deze zullen zien of horen lezen, saluut! doen te weten:</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 xml:space="preserve">Alzo Wij in overweging genomen hebben, </w:t>
      </w:r>
      <w:r w:rsidRPr="00DD2F05" w:rsidR="00393575">
        <w:rPr>
          <w:rFonts w:ascii="Times New Roman" w:hAnsi="Times New Roman" w:eastAsia="Arial Unicode MS"/>
          <w:kern w:val="3"/>
          <w:sz w:val="24"/>
        </w:rPr>
        <w:t>ingevolge artikel 105 van de Grondwet de begroting van de uitgaven en de ontvangsten van het Rijk bij de wet moet worden vastgesteld en dat artikel 2.1 van de Comptabiliteitswet 2016 bepaalt welke begrotingen tot de rijksbegroting behoren</w:t>
      </w:r>
      <w:r w:rsidRPr="00DD2F05">
        <w:rPr>
          <w:rFonts w:ascii="Times New Roman" w:hAnsi="Times New Roman" w:eastAsia="Arial Unicode MS"/>
          <w:kern w:val="3"/>
          <w:sz w:val="24"/>
        </w:rPr>
        <w:t>;</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Zo is het, dat Wij, de Afdeling advisering van de Raad van State gehoord, en met gemeen overleg der Staten-Generaal, hebben goedgevonden en verstaan, gelijk Wij goedvinden en verstaan bij deze:</w:t>
      </w:r>
    </w:p>
    <w:p w:rsidRPr="00DD2F05" w:rsidR="003D701A" w:rsidP="003D701A" w:rsidRDefault="003D701A">
      <w:pPr>
        <w:keepNext/>
        <w:widowControl w:val="0"/>
        <w:autoSpaceDN w:val="0"/>
        <w:textAlignment w:val="baseline"/>
        <w:rPr>
          <w:rFonts w:ascii="Times New Roman" w:hAnsi="Times New Roman" w:eastAsia="Arial Unicode MS"/>
          <w:b/>
          <w:kern w:val="3"/>
          <w:sz w:val="24"/>
        </w:rPr>
      </w:pPr>
    </w:p>
    <w:p w:rsidRPr="00DD2F05" w:rsidR="003D701A" w:rsidP="003D701A" w:rsidRDefault="003D701A">
      <w:pPr>
        <w:keepNext/>
        <w:widowControl w:val="0"/>
        <w:autoSpaceDN w:val="0"/>
        <w:textAlignment w:val="baseline"/>
        <w:rPr>
          <w:rFonts w:ascii="Times New Roman" w:hAnsi="Times New Roman" w:eastAsia="Arial Unicode MS"/>
          <w:b/>
          <w:kern w:val="3"/>
          <w:sz w:val="24"/>
        </w:rPr>
      </w:pPr>
      <w:r w:rsidRPr="00DD2F05">
        <w:rPr>
          <w:rFonts w:ascii="Times New Roman" w:hAnsi="Times New Roman" w:eastAsia="Arial Unicode MS"/>
          <w:b/>
          <w:kern w:val="3"/>
          <w:sz w:val="24"/>
        </w:rPr>
        <w:t>Artikel 1</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De bij deze wet behorende departementale begrotingsstaat voor het jaar 2022 wordt vastgesteld.</w:t>
      </w:r>
    </w:p>
    <w:p w:rsidRPr="00DD2F05" w:rsidR="003D701A" w:rsidP="003D701A" w:rsidRDefault="003D701A">
      <w:pPr>
        <w:keepNext/>
        <w:widowControl w:val="0"/>
        <w:autoSpaceDN w:val="0"/>
        <w:textAlignment w:val="baseline"/>
        <w:rPr>
          <w:rFonts w:ascii="Times New Roman" w:hAnsi="Times New Roman" w:eastAsia="Arial Unicode MS"/>
          <w:b/>
          <w:kern w:val="3"/>
          <w:sz w:val="24"/>
        </w:rPr>
      </w:pPr>
    </w:p>
    <w:p w:rsidRPr="00DD2F05" w:rsidR="003D701A" w:rsidP="003D701A" w:rsidRDefault="003D701A">
      <w:pPr>
        <w:keepNext/>
        <w:widowControl w:val="0"/>
        <w:autoSpaceDN w:val="0"/>
        <w:textAlignment w:val="baseline"/>
        <w:rPr>
          <w:rFonts w:ascii="Times New Roman" w:hAnsi="Times New Roman" w:eastAsia="Arial Unicode MS"/>
          <w:b/>
          <w:kern w:val="3"/>
          <w:sz w:val="24"/>
        </w:rPr>
      </w:pPr>
      <w:r w:rsidRPr="00DD2F05">
        <w:rPr>
          <w:rFonts w:ascii="Times New Roman" w:hAnsi="Times New Roman" w:eastAsia="Arial Unicode MS"/>
          <w:b/>
          <w:kern w:val="3"/>
          <w:sz w:val="24"/>
        </w:rPr>
        <w:t>Artikel 2</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93575">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De bij deze wet behorende begrotingsstaat inzake de agentschappen voor het jaar 2022 wordt vastgesteld</w:t>
      </w:r>
      <w:r w:rsidRPr="00DD2F05" w:rsidR="003D701A">
        <w:rPr>
          <w:rFonts w:ascii="Times New Roman" w:hAnsi="Times New Roman" w:eastAsia="Arial Unicode MS"/>
          <w:kern w:val="3"/>
          <w:sz w:val="24"/>
        </w:rPr>
        <w:t>.</w:t>
      </w:r>
    </w:p>
    <w:p w:rsidRPr="00DD2F05" w:rsidR="003D701A" w:rsidP="003D701A" w:rsidRDefault="003D701A">
      <w:pPr>
        <w:keepNext/>
        <w:widowControl w:val="0"/>
        <w:autoSpaceDN w:val="0"/>
        <w:textAlignment w:val="baseline"/>
        <w:rPr>
          <w:rFonts w:ascii="Times New Roman" w:hAnsi="Times New Roman" w:eastAsia="Arial Unicode MS"/>
          <w:b/>
          <w:kern w:val="3"/>
          <w:sz w:val="24"/>
        </w:rPr>
      </w:pPr>
    </w:p>
    <w:p w:rsidRPr="00DD2F05" w:rsidR="003D701A" w:rsidP="003D701A" w:rsidRDefault="00393575">
      <w:pPr>
        <w:keepNext/>
        <w:widowControl w:val="0"/>
        <w:autoSpaceDN w:val="0"/>
        <w:textAlignment w:val="baseline"/>
        <w:rPr>
          <w:rFonts w:ascii="Times New Roman" w:hAnsi="Times New Roman" w:eastAsia="Arial Unicode MS"/>
          <w:b/>
          <w:kern w:val="3"/>
          <w:sz w:val="24"/>
        </w:rPr>
      </w:pPr>
      <w:r w:rsidRPr="00DD2F05">
        <w:rPr>
          <w:rFonts w:ascii="Times New Roman" w:hAnsi="Times New Roman" w:eastAsia="Arial Unicode MS"/>
          <w:b/>
          <w:kern w:val="3"/>
          <w:sz w:val="24"/>
        </w:rPr>
        <w:t>Artikel 3</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De vaststelling van de begrotingsstaten geschiedt in duizenden euro’s.</w:t>
      </w:r>
    </w:p>
    <w:p w:rsidRPr="00DD2F05" w:rsidR="003D701A" w:rsidP="003D701A" w:rsidRDefault="003D701A">
      <w:pPr>
        <w:keepNext/>
        <w:widowControl w:val="0"/>
        <w:autoSpaceDN w:val="0"/>
        <w:textAlignment w:val="baseline"/>
        <w:rPr>
          <w:rFonts w:ascii="Times New Roman" w:hAnsi="Times New Roman" w:eastAsia="Arial Unicode MS"/>
          <w:b/>
          <w:kern w:val="3"/>
          <w:sz w:val="24"/>
        </w:rPr>
      </w:pPr>
    </w:p>
    <w:p w:rsidRPr="00DD2F05" w:rsidR="003D701A" w:rsidP="003D701A" w:rsidRDefault="00393575">
      <w:pPr>
        <w:keepNext/>
        <w:widowControl w:val="0"/>
        <w:autoSpaceDN w:val="0"/>
        <w:textAlignment w:val="baseline"/>
        <w:rPr>
          <w:rFonts w:ascii="Times New Roman" w:hAnsi="Times New Roman" w:eastAsia="Arial Unicode MS"/>
          <w:b/>
          <w:kern w:val="3"/>
          <w:sz w:val="24"/>
        </w:rPr>
      </w:pPr>
      <w:r w:rsidRPr="00DD2F05">
        <w:rPr>
          <w:rFonts w:ascii="Times New Roman" w:hAnsi="Times New Roman" w:eastAsia="Arial Unicode MS"/>
          <w:b/>
          <w:kern w:val="3"/>
          <w:sz w:val="24"/>
        </w:rPr>
        <w:t>Artikel 4</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93575">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r w:rsidRPr="00DD2F05" w:rsidR="003D701A">
        <w:rPr>
          <w:rFonts w:ascii="Times New Roman" w:hAnsi="Times New Roman" w:eastAsia="Arial Unicode MS"/>
          <w:kern w:val="3"/>
          <w:sz w:val="24"/>
        </w:rPr>
        <w:t>.</w:t>
      </w: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p>
    <w:p w:rsidRPr="00DD2F05" w:rsidR="003D701A" w:rsidP="003D701A" w:rsidRDefault="003D701A">
      <w:pPr>
        <w:widowControl w:val="0"/>
        <w:autoSpaceDN w:val="0"/>
        <w:ind w:firstLine="284"/>
        <w:textAlignment w:val="baseline"/>
        <w:rPr>
          <w:rFonts w:ascii="Times New Roman" w:hAnsi="Times New Roman" w:eastAsia="Arial Unicode MS"/>
          <w:kern w:val="3"/>
          <w:sz w:val="24"/>
        </w:rPr>
      </w:pPr>
      <w:r w:rsidRPr="00DD2F05">
        <w:rPr>
          <w:rFonts w:ascii="Times New Roman" w:hAnsi="Times New Roman" w:eastAsia="Arial Unicode MS"/>
          <w:kern w:val="3"/>
          <w:sz w:val="24"/>
        </w:rPr>
        <w:t>Lasten en bevelen dat deze in het Staatsblad zal worden geplaatst en dat alle ministeries, autoriteiten, colleges en ambtenaren die zulks aangaat, aan de nauwkeurige uitvoering de hand zullen houden.</w:t>
      </w:r>
    </w:p>
    <w:p w:rsidRPr="00DD2F05" w:rsidR="003D701A" w:rsidP="003D701A" w:rsidRDefault="003D701A">
      <w:pPr>
        <w:ind w:firstLine="284"/>
        <w:rPr>
          <w:rFonts w:ascii="Times New Roman" w:hAnsi="Times New Roman"/>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r w:rsidRPr="00DD2F05">
        <w:rPr>
          <w:rFonts w:ascii="Times New Roman" w:hAnsi="Times New Roman" w:eastAsia="Arial Unicode MS"/>
          <w:kern w:val="3"/>
          <w:sz w:val="24"/>
        </w:rPr>
        <w:lastRenderedPageBreak/>
        <w:t>Gegeven</w:t>
      </w: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D701A" w:rsidP="003D701A" w:rsidRDefault="003D701A">
      <w:pPr>
        <w:widowControl w:val="0"/>
        <w:autoSpaceDN w:val="0"/>
        <w:textAlignment w:val="baseline"/>
        <w:rPr>
          <w:rFonts w:ascii="Times New Roman" w:hAnsi="Times New Roman" w:eastAsia="Arial Unicode MS"/>
          <w:kern w:val="3"/>
          <w:sz w:val="24"/>
        </w:rPr>
      </w:pPr>
    </w:p>
    <w:p w:rsidRPr="00DD2F05" w:rsidR="00393575" w:rsidP="00393575" w:rsidRDefault="00393575">
      <w:pPr>
        <w:pStyle w:val="functie"/>
        <w:rPr>
          <w:rFonts w:ascii="Times New Roman" w:hAnsi="Times New Roman" w:cs="Times New Roman"/>
          <w:sz w:val="24"/>
          <w:szCs w:val="24"/>
        </w:rPr>
      </w:pPr>
    </w:p>
    <w:p w:rsidRPr="00DD2F05" w:rsidR="00393575" w:rsidP="00393575" w:rsidRDefault="00393575">
      <w:pPr>
        <w:pStyle w:val="functie"/>
        <w:rPr>
          <w:rFonts w:ascii="Times New Roman" w:hAnsi="Times New Roman" w:cs="Times New Roman"/>
          <w:sz w:val="24"/>
          <w:szCs w:val="24"/>
        </w:rPr>
      </w:pPr>
      <w:r w:rsidRPr="00DD2F05">
        <w:rPr>
          <w:rFonts w:ascii="Times New Roman" w:hAnsi="Times New Roman" w:cs="Times New Roman"/>
          <w:sz w:val="24"/>
          <w:szCs w:val="24"/>
        </w:rPr>
        <w:t>De Minister van Binnenlandse Zaken en Koninkrijksrelaties</w:t>
      </w:r>
    </w:p>
    <w:p w:rsidRPr="00DD2F05" w:rsidR="00393575" w:rsidP="00393575" w:rsidRDefault="00393575">
      <w:pPr>
        <w:pStyle w:val="functie"/>
        <w:rPr>
          <w:rFonts w:ascii="Times New Roman" w:hAnsi="Times New Roman" w:cs="Times New Roman"/>
          <w:sz w:val="24"/>
          <w:szCs w:val="24"/>
        </w:rPr>
      </w:pPr>
    </w:p>
    <w:p w:rsidRPr="00DD2F05" w:rsidR="00393575" w:rsidRDefault="00393575">
      <w:pPr>
        <w:rPr>
          <w:rFonts w:ascii="Times New Roman" w:hAnsi="Times New Roman" w:eastAsia="Arial Unicode MS"/>
          <w:kern w:val="3"/>
          <w:sz w:val="24"/>
        </w:rPr>
      </w:pPr>
      <w:r w:rsidRPr="00DD2F05">
        <w:rPr>
          <w:rFonts w:ascii="Times New Roman" w:hAnsi="Times New Roman"/>
          <w:sz w:val="24"/>
        </w:rPr>
        <w:br w:type="page"/>
      </w:r>
    </w:p>
    <w:tbl>
      <w:tblPr>
        <w:tblW w:w="5000" w:type="pct"/>
        <w:tblCellMar>
          <w:left w:w="10" w:type="dxa"/>
          <w:right w:w="10" w:type="dxa"/>
        </w:tblCellMar>
        <w:tblLook w:val="0000" w:firstRow="0" w:lastRow="0" w:firstColumn="0" w:lastColumn="0" w:noHBand="0" w:noVBand="0"/>
      </w:tblPr>
      <w:tblGrid>
        <w:gridCol w:w="427"/>
        <w:gridCol w:w="4638"/>
        <w:gridCol w:w="1491"/>
        <w:gridCol w:w="1141"/>
        <w:gridCol w:w="1373"/>
      </w:tblGrid>
      <w:tr w:rsidRPr="004E7525" w:rsidR="007F0C1A" w:rsidTr="000F7F5E">
        <w:trPr>
          <w:tblHeader/>
        </w:trPr>
        <w:tc>
          <w:tcPr>
            <w:tcW w:w="5000" w:type="pct"/>
            <w:gridSpan w:val="5"/>
            <w:shd w:val="clear" w:color="auto" w:fill="009EE0"/>
            <w:tcMar>
              <w:top w:w="22" w:type="dxa"/>
              <w:left w:w="113" w:type="dxa"/>
              <w:bottom w:w="22" w:type="dxa"/>
              <w:right w:w="10" w:type="dxa"/>
            </w:tcMar>
          </w:tcPr>
          <w:p w:rsidRPr="004E7525" w:rsidR="007F0C1A" w:rsidP="000F7F5E" w:rsidRDefault="007F0C1A">
            <w:pPr>
              <w:pStyle w:val="kio2-table-title"/>
              <w:spacing w:line="240" w:lineRule="auto"/>
              <w:rPr>
                <w:rFonts w:ascii="Times New Roman" w:hAnsi="Times New Roman" w:cs="Times New Roman"/>
              </w:rPr>
            </w:pPr>
            <w:r w:rsidRPr="004E7525">
              <w:rPr>
                <w:rFonts w:ascii="Times New Roman" w:hAnsi="Times New Roman" w:cs="Times New Roman"/>
              </w:rPr>
              <w:lastRenderedPageBreak/>
              <w:t>Tabel 1 Wijziging van de begrotingsstaat van het Ministerie van Binnenlandse Zaken en Koninkrijksrelaties (VII) voor het jaar 2022 (bedragen x € 1.000)</w:t>
            </w:r>
          </w:p>
        </w:tc>
      </w:tr>
      <w:tr w:rsidRPr="004E7525" w:rsidR="007F0C1A" w:rsidTr="000F7F5E">
        <w:trPr>
          <w:tblHeader/>
        </w:trPr>
        <w:tc>
          <w:tcPr>
            <w:tcW w:w="235" w:type="pct"/>
            <w:tcBorders>
              <w:top w:val="single" w:color="000000" w:sz="2" w:space="0"/>
              <w:bottom w:val="single" w:color="009EE0" w:sz="2" w:space="0"/>
            </w:tcBorders>
            <w:shd w:val="clear" w:color="auto" w:fill="auto"/>
            <w:tcMar>
              <w:top w:w="28" w:type="dxa"/>
              <w:left w:w="10" w:type="dxa"/>
              <w:bottom w:w="28" w:type="dxa"/>
              <w:right w:w="28" w:type="dxa"/>
            </w:tcMar>
          </w:tcPr>
          <w:p w:rsidRPr="004E7525" w:rsidR="007F0C1A" w:rsidP="000F7F5E" w:rsidRDefault="007F0C1A">
            <w:pPr>
              <w:pStyle w:val="p-table"/>
              <w:rPr>
                <w:rFonts w:ascii="Times New Roman" w:hAnsi="Times New Roman" w:cs="Times New Roman"/>
                <w:color w:val="000000"/>
                <w:sz w:val="17"/>
              </w:rPr>
            </w:pPr>
            <w:r w:rsidRPr="004E7525">
              <w:rPr>
                <w:rFonts w:ascii="Times New Roman" w:hAnsi="Times New Roman" w:cs="Times New Roman"/>
                <w:color w:val="000000"/>
                <w:sz w:val="17"/>
              </w:rPr>
              <w:t>Art.</w:t>
            </w:r>
          </w:p>
        </w:tc>
        <w:tc>
          <w:tcPr>
            <w:tcW w:w="2557" w:type="pct"/>
            <w:tcBorders>
              <w:top w:val="single" w:color="000000" w:sz="2" w:space="0"/>
              <w:bottom w:val="single" w:color="009EE0" w:sz="2" w:space="0"/>
            </w:tcBorders>
            <w:shd w:val="clear" w:color="auto" w:fill="auto"/>
            <w:tcMar>
              <w:top w:w="28" w:type="dxa"/>
              <w:left w:w="28" w:type="dxa"/>
              <w:bottom w:w="28" w:type="dxa"/>
              <w:right w:w="28" w:type="dxa"/>
            </w:tcMar>
          </w:tcPr>
          <w:p w:rsidRPr="004E7525" w:rsidR="007F0C1A" w:rsidP="000F7F5E" w:rsidRDefault="007F0C1A">
            <w:pPr>
              <w:pStyle w:val="p-table"/>
              <w:rPr>
                <w:rFonts w:ascii="Times New Roman" w:hAnsi="Times New Roman" w:cs="Times New Roman"/>
                <w:color w:val="000000"/>
                <w:sz w:val="17"/>
              </w:rPr>
            </w:pPr>
            <w:r w:rsidRPr="004E7525">
              <w:rPr>
                <w:rFonts w:ascii="Times New Roman" w:hAnsi="Times New Roman" w:cs="Times New Roman"/>
                <w:color w:val="000000"/>
                <w:sz w:val="17"/>
              </w:rPr>
              <w:t>Omschrijving</w:t>
            </w:r>
          </w:p>
        </w:tc>
        <w:tc>
          <w:tcPr>
            <w:tcW w:w="220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E7525" w:rsidR="007F0C1A" w:rsidP="000F7F5E" w:rsidRDefault="007F0C1A">
            <w:pPr>
              <w:pStyle w:val="p-table"/>
              <w:jc w:val="center"/>
              <w:rPr>
                <w:rFonts w:ascii="Times New Roman" w:hAnsi="Times New Roman" w:cs="Times New Roman"/>
                <w:color w:val="000000"/>
                <w:sz w:val="17"/>
              </w:rPr>
            </w:pPr>
            <w:r w:rsidRPr="004E7525">
              <w:rPr>
                <w:rFonts w:ascii="Times New Roman" w:hAnsi="Times New Roman" w:cs="Times New Roman"/>
                <w:color w:val="000000"/>
                <w:sz w:val="17"/>
              </w:rPr>
              <w:t>Vastgestelde begroting</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25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822"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Verplichtingen</w:t>
            </w:r>
          </w:p>
        </w:tc>
        <w:tc>
          <w:tcPr>
            <w:tcW w:w="629"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Uitgaven</w:t>
            </w:r>
          </w:p>
        </w:tc>
        <w:tc>
          <w:tcPr>
            <w:tcW w:w="7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Ontvangsten</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25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rPr>
            </w:pPr>
            <w:r w:rsidRPr="004E7525">
              <w:rPr>
                <w:rFonts w:ascii="Times New Roman" w:hAnsi="Times New Roman" w:cs="Times New Roman"/>
                <w:b/>
                <w:sz w:val="17"/>
              </w:rPr>
              <w:t>Totaal</w:t>
            </w:r>
          </w:p>
        </w:tc>
        <w:tc>
          <w:tcPr>
            <w:tcW w:w="822"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jc w:val="right"/>
              <w:rPr>
                <w:rFonts w:ascii="Times New Roman" w:hAnsi="Times New Roman" w:cs="Times New Roman"/>
              </w:rPr>
            </w:pPr>
            <w:r w:rsidRPr="004E7525">
              <w:rPr>
                <w:rFonts w:ascii="Times New Roman" w:hAnsi="Times New Roman" w:cs="Times New Roman"/>
                <w:b/>
                <w:sz w:val="17"/>
              </w:rPr>
              <w:t>8.299.272</w:t>
            </w:r>
          </w:p>
        </w:tc>
        <w:tc>
          <w:tcPr>
            <w:tcW w:w="629"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jc w:val="right"/>
              <w:rPr>
                <w:rFonts w:ascii="Times New Roman" w:hAnsi="Times New Roman" w:cs="Times New Roman"/>
              </w:rPr>
            </w:pPr>
            <w:r w:rsidRPr="004E7525">
              <w:rPr>
                <w:rFonts w:ascii="Times New Roman" w:hAnsi="Times New Roman" w:cs="Times New Roman"/>
                <w:b/>
                <w:sz w:val="17"/>
              </w:rPr>
              <w:t>8.549.470</w:t>
            </w:r>
          </w:p>
        </w:tc>
        <w:tc>
          <w:tcPr>
            <w:tcW w:w="7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jc w:val="right"/>
              <w:rPr>
                <w:rFonts w:ascii="Times New Roman" w:hAnsi="Times New Roman" w:cs="Times New Roman"/>
              </w:rPr>
            </w:pPr>
            <w:r w:rsidRPr="004E7525">
              <w:rPr>
                <w:rFonts w:ascii="Times New Roman" w:hAnsi="Times New Roman" w:cs="Times New Roman"/>
                <w:b/>
                <w:sz w:val="17"/>
              </w:rPr>
              <w:t>1.097.581</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25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822"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629"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7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25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rPr>
            </w:pPr>
            <w:r w:rsidRPr="004E7525">
              <w:rPr>
                <w:rFonts w:ascii="Times New Roman" w:hAnsi="Times New Roman" w:cs="Times New Roman"/>
                <w:b/>
                <w:sz w:val="17"/>
              </w:rPr>
              <w:t>Beleidsartikelen</w:t>
            </w:r>
          </w:p>
        </w:tc>
        <w:tc>
          <w:tcPr>
            <w:tcW w:w="822"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629"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7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Openbaar bestuur en democratie</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96.576</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96.576</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24.765</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2</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Nationale veiligheid</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344.621</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344.621</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14.714</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3</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Woningmarkt</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4.532.084</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4.632.089</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354.100</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4</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 xml:space="preserve">Energietransitie gebouwde </w:t>
            </w:r>
            <w:proofErr w:type="spellStart"/>
            <w:r w:rsidRPr="004E7525">
              <w:rPr>
                <w:rFonts w:ascii="Times New Roman" w:hAnsi="Times New Roman" w:cs="Times New Roman"/>
                <w:sz w:val="17"/>
              </w:rPr>
              <w:t>omg</w:t>
            </w:r>
            <w:proofErr w:type="spellEnd"/>
            <w:r w:rsidRPr="004E7525">
              <w:rPr>
                <w:rFonts w:ascii="Times New Roman" w:hAnsi="Times New Roman" w:cs="Times New Roman"/>
                <w:sz w:val="17"/>
              </w:rPr>
              <w:t>. en bouwkwaliteit</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764.293</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754.486</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91</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5</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Ruimtelijke ordening en Omgevingswet</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122.548</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122.548</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3.824</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6</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Overheidsdienstverlening en informatiesamenleving</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242.684</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242.684</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448</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7</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 xml:space="preserve">Werkgevers- en </w:t>
            </w:r>
            <w:proofErr w:type="spellStart"/>
            <w:r w:rsidRPr="004E7525">
              <w:rPr>
                <w:rFonts w:ascii="Times New Roman" w:hAnsi="Times New Roman" w:cs="Times New Roman"/>
                <w:sz w:val="17"/>
              </w:rPr>
              <w:t>bedrijfsvoeringsbeleid</w:t>
            </w:r>
            <w:proofErr w:type="spellEnd"/>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193.597</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193.597</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64</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9</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Uitvoering Rijksvastgoedbeleid</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136.948</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136.948</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120.282</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10</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Groningen versterken en perspectief</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1.270.108</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1.270.108</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490.000</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25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822"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629"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7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rPr>
            </w:pPr>
            <w:r w:rsidRPr="004E7525">
              <w:rPr>
                <w:rFonts w:ascii="Times New Roman" w:hAnsi="Times New Roman" w:cs="Times New Roman"/>
                <w:b/>
                <w:sz w:val="17"/>
              </w:rPr>
              <w:t>Niet-beleidsartikelen</w:t>
            </w:r>
          </w:p>
        </w:tc>
        <w:tc>
          <w:tcPr>
            <w:tcW w:w="822"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629"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c>
          <w:tcPr>
            <w:tcW w:w="757" w:type="pct"/>
            <w:tcBorders>
              <w:bottom w:val="single" w:color="009EE0" w:sz="2" w:space="0"/>
            </w:tcBorders>
            <w:shd w:val="clear" w:color="auto" w:fill="auto"/>
            <w:tcMar>
              <w:top w:w="22" w:type="dxa"/>
              <w:left w:w="28" w:type="dxa"/>
              <w:bottom w:w="22" w:type="dxa"/>
              <w:right w:w="28" w:type="dxa"/>
            </w:tcMar>
          </w:tcPr>
          <w:p w:rsidRPr="004E7525" w:rsidR="007F0C1A" w:rsidP="000F7F5E" w:rsidRDefault="007F0C1A">
            <w:pPr>
              <w:pStyle w:val="p-table"/>
              <w:rPr>
                <w:rFonts w:ascii="Times New Roman" w:hAnsi="Times New Roman" w:cs="Times New Roman"/>
                <w:sz w:val="17"/>
              </w:rPr>
            </w:pP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11</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Centraal apparaat</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584.253</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584.253</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89.293</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12</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Algemeen</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11.560</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171.560</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0</w:t>
            </w:r>
          </w:p>
        </w:tc>
      </w:tr>
      <w:tr w:rsidRPr="004E7525" w:rsidR="007F0C1A" w:rsidTr="000F7F5E">
        <w:tc>
          <w:tcPr>
            <w:tcW w:w="235" w:type="pct"/>
            <w:tcBorders>
              <w:bottom w:val="single" w:color="009EE0" w:sz="2" w:space="0"/>
            </w:tcBorders>
            <w:shd w:val="clear" w:color="auto" w:fill="auto"/>
            <w:tcMar>
              <w:top w:w="22" w:type="dxa"/>
              <w:left w:w="10"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13</w:t>
            </w:r>
          </w:p>
        </w:tc>
        <w:tc>
          <w:tcPr>
            <w:tcW w:w="25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rPr>
                <w:rFonts w:ascii="Times New Roman" w:hAnsi="Times New Roman" w:cs="Times New Roman"/>
                <w:sz w:val="17"/>
              </w:rPr>
            </w:pPr>
            <w:r w:rsidRPr="004E7525">
              <w:rPr>
                <w:rFonts w:ascii="Times New Roman" w:hAnsi="Times New Roman" w:cs="Times New Roman"/>
                <w:sz w:val="17"/>
              </w:rPr>
              <w:t>Nog onverdeeld</w:t>
            </w:r>
          </w:p>
        </w:tc>
        <w:tc>
          <w:tcPr>
            <w:tcW w:w="822"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0</w:t>
            </w:r>
          </w:p>
        </w:tc>
        <w:tc>
          <w:tcPr>
            <w:tcW w:w="629"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0</w:t>
            </w:r>
          </w:p>
        </w:tc>
        <w:tc>
          <w:tcPr>
            <w:tcW w:w="757" w:type="pct"/>
            <w:tcBorders>
              <w:bottom w:val="single" w:color="009EE0" w:sz="2" w:space="0"/>
            </w:tcBorders>
            <w:shd w:val="clear" w:color="auto" w:fill="auto"/>
            <w:tcMar>
              <w:top w:w="22" w:type="dxa"/>
              <w:left w:w="28" w:type="dxa"/>
              <w:bottom w:w="22" w:type="dxa"/>
              <w:right w:w="28" w:type="dxa"/>
            </w:tcMar>
            <w:vAlign w:val="bottom"/>
          </w:tcPr>
          <w:p w:rsidRPr="004E7525" w:rsidR="007F0C1A" w:rsidP="000F7F5E" w:rsidRDefault="007F0C1A">
            <w:pPr>
              <w:pStyle w:val="p-table"/>
              <w:jc w:val="right"/>
              <w:rPr>
                <w:rFonts w:ascii="Times New Roman" w:hAnsi="Times New Roman" w:cs="Times New Roman"/>
                <w:sz w:val="17"/>
              </w:rPr>
            </w:pPr>
            <w:r w:rsidRPr="004E7525">
              <w:rPr>
                <w:rFonts w:ascii="Times New Roman" w:hAnsi="Times New Roman" w:cs="Times New Roman"/>
                <w:sz w:val="17"/>
              </w:rPr>
              <w:t>0</w:t>
            </w:r>
          </w:p>
        </w:tc>
      </w:tr>
    </w:tbl>
    <w:p w:rsidRPr="00DD2F05" w:rsidR="007F0C1A" w:rsidP="00393575" w:rsidRDefault="007F0C1A">
      <w:pPr>
        <w:pStyle w:val="p-marginbottom"/>
        <w:rPr>
          <w:rFonts w:ascii="Times New Roman" w:hAnsi="Times New Roman" w:cs="Times New Roman"/>
        </w:rPr>
      </w:pPr>
      <w:bookmarkStart w:name="_GoBack" w:id="0"/>
      <w:bookmarkEnd w:id="0"/>
    </w:p>
    <w:tbl>
      <w:tblPr>
        <w:tblW w:w="5000" w:type="pct"/>
        <w:tblCellMar>
          <w:left w:w="10" w:type="dxa"/>
          <w:right w:w="10" w:type="dxa"/>
        </w:tblCellMar>
        <w:tblLook w:val="0000" w:firstRow="0" w:lastRow="0" w:firstColumn="0" w:lastColumn="0" w:noHBand="0" w:noVBand="0"/>
      </w:tblPr>
      <w:tblGrid>
        <w:gridCol w:w="5576"/>
        <w:gridCol w:w="1212"/>
        <w:gridCol w:w="1212"/>
        <w:gridCol w:w="1070"/>
      </w:tblGrid>
      <w:tr w:rsidRPr="00DD2F05" w:rsidR="00393575" w:rsidTr="00393575">
        <w:trPr>
          <w:tblHeader/>
        </w:trPr>
        <w:tc>
          <w:tcPr>
            <w:tcW w:w="5000" w:type="pct"/>
            <w:gridSpan w:val="4"/>
            <w:shd w:val="clear" w:color="auto" w:fill="009EE0"/>
            <w:tcMar>
              <w:top w:w="22" w:type="dxa"/>
              <w:left w:w="113" w:type="dxa"/>
              <w:bottom w:w="22" w:type="dxa"/>
            </w:tcMar>
          </w:tcPr>
          <w:p w:rsidRPr="00DD2F05" w:rsidR="00393575" w:rsidP="00257AEB" w:rsidRDefault="00393575">
            <w:pPr>
              <w:pStyle w:val="kio2-table-title"/>
              <w:rPr>
                <w:rFonts w:ascii="Times New Roman" w:hAnsi="Times New Roman" w:cs="Times New Roman"/>
              </w:rPr>
            </w:pPr>
            <w:r w:rsidRPr="00DD2F05">
              <w:rPr>
                <w:rFonts w:ascii="Times New Roman" w:hAnsi="Times New Roman" w:cs="Times New Roman"/>
              </w:rPr>
              <w:t>Vastgestelde begrotingsstaat inzake de agentschappen voor het jaar 2022 (bedragen x € 1.000)</w:t>
            </w:r>
          </w:p>
        </w:tc>
      </w:tr>
      <w:tr w:rsidRPr="00DD2F05" w:rsidR="00393575" w:rsidTr="00393575">
        <w:trPr>
          <w:tblHeader/>
        </w:trPr>
        <w:tc>
          <w:tcPr>
            <w:tcW w:w="3074" w:type="pct"/>
            <w:tcBorders>
              <w:top w:val="single" w:color="000000" w:sz="2" w:space="0"/>
              <w:bottom w:val="single" w:color="009EE0" w:sz="2" w:space="0"/>
            </w:tcBorders>
            <w:shd w:val="clear" w:color="auto" w:fill="auto"/>
            <w:tcMar>
              <w:top w:w="28" w:type="dxa"/>
              <w:bottom w:w="28" w:type="dxa"/>
              <w:right w:w="28" w:type="dxa"/>
            </w:tcMar>
          </w:tcPr>
          <w:p w:rsidRPr="00DD2F05" w:rsidR="00393575" w:rsidP="00257AEB" w:rsidRDefault="00393575">
            <w:pPr>
              <w:pStyle w:val="p-table"/>
              <w:rPr>
                <w:rFonts w:ascii="Times New Roman" w:hAnsi="Times New Roman" w:cs="Times New Roman"/>
                <w:color w:val="000000"/>
                <w:sz w:val="17"/>
              </w:rPr>
            </w:pPr>
            <w:r w:rsidRPr="00DD2F05">
              <w:rPr>
                <w:rFonts w:ascii="Times New Roman" w:hAnsi="Times New Roman" w:cs="Times New Roman"/>
                <w:color w:val="000000"/>
                <w:sz w:val="17"/>
              </w:rPr>
              <w:t>Naam baten-lastenagentschap</w:t>
            </w:r>
          </w:p>
        </w:tc>
        <w:tc>
          <w:tcPr>
            <w:tcW w:w="668" w:type="pct"/>
            <w:tcBorders>
              <w:top w:val="single" w:color="000000" w:sz="2" w:space="0"/>
              <w:bottom w:val="single" w:color="009EE0" w:sz="2" w:space="0"/>
            </w:tcBorders>
            <w:shd w:val="clear" w:color="auto" w:fill="auto"/>
            <w:tcMar>
              <w:top w:w="28" w:type="dxa"/>
              <w:left w:w="28" w:type="dxa"/>
              <w:bottom w:w="28" w:type="dxa"/>
              <w:right w:w="28" w:type="dxa"/>
            </w:tcMar>
          </w:tcPr>
          <w:p w:rsidRPr="00DD2F05" w:rsidR="00393575" w:rsidP="00257AEB" w:rsidRDefault="00393575">
            <w:pPr>
              <w:pStyle w:val="p-table"/>
              <w:jc w:val="right"/>
              <w:rPr>
                <w:rFonts w:ascii="Times New Roman" w:hAnsi="Times New Roman" w:cs="Times New Roman"/>
                <w:color w:val="000000"/>
                <w:sz w:val="17"/>
              </w:rPr>
            </w:pPr>
            <w:r w:rsidRPr="00DD2F05">
              <w:rPr>
                <w:rFonts w:ascii="Times New Roman" w:hAnsi="Times New Roman" w:cs="Times New Roman"/>
                <w:color w:val="000000"/>
                <w:sz w:val="17"/>
              </w:rPr>
              <w:t>Baten</w:t>
            </w:r>
          </w:p>
        </w:tc>
        <w:tc>
          <w:tcPr>
            <w:tcW w:w="668" w:type="pct"/>
            <w:tcBorders>
              <w:top w:val="single" w:color="000000" w:sz="2" w:space="0"/>
              <w:bottom w:val="single" w:color="009EE0" w:sz="2" w:space="0"/>
            </w:tcBorders>
            <w:shd w:val="clear" w:color="auto" w:fill="auto"/>
            <w:tcMar>
              <w:top w:w="28" w:type="dxa"/>
              <w:left w:w="28" w:type="dxa"/>
              <w:bottom w:w="28" w:type="dxa"/>
              <w:right w:w="28" w:type="dxa"/>
            </w:tcMar>
          </w:tcPr>
          <w:p w:rsidRPr="00DD2F05" w:rsidR="00393575" w:rsidP="00257AEB" w:rsidRDefault="00393575">
            <w:pPr>
              <w:pStyle w:val="p-table"/>
              <w:jc w:val="right"/>
              <w:rPr>
                <w:rFonts w:ascii="Times New Roman" w:hAnsi="Times New Roman" w:cs="Times New Roman"/>
                <w:color w:val="000000"/>
                <w:sz w:val="17"/>
              </w:rPr>
            </w:pPr>
            <w:r w:rsidRPr="00DD2F05">
              <w:rPr>
                <w:rFonts w:ascii="Times New Roman" w:hAnsi="Times New Roman" w:cs="Times New Roman"/>
                <w:color w:val="000000"/>
                <w:sz w:val="17"/>
              </w:rPr>
              <w:t>Lasten</w:t>
            </w:r>
          </w:p>
        </w:tc>
        <w:tc>
          <w:tcPr>
            <w:tcW w:w="590" w:type="pct"/>
            <w:tcBorders>
              <w:top w:val="single" w:color="000000" w:sz="2" w:space="0"/>
              <w:bottom w:val="single" w:color="009EE0" w:sz="2" w:space="0"/>
            </w:tcBorders>
            <w:shd w:val="clear" w:color="auto" w:fill="auto"/>
            <w:tcMar>
              <w:top w:w="28" w:type="dxa"/>
              <w:left w:w="28" w:type="dxa"/>
              <w:bottom w:w="28" w:type="dxa"/>
              <w:right w:w="28" w:type="dxa"/>
            </w:tcMar>
          </w:tcPr>
          <w:p w:rsidRPr="00DD2F05" w:rsidR="00393575" w:rsidP="00257AEB" w:rsidRDefault="00393575">
            <w:pPr>
              <w:pStyle w:val="p-table"/>
              <w:jc w:val="right"/>
              <w:rPr>
                <w:rFonts w:ascii="Times New Roman" w:hAnsi="Times New Roman" w:cs="Times New Roman"/>
                <w:color w:val="000000"/>
                <w:sz w:val="17"/>
              </w:rPr>
            </w:pPr>
            <w:r w:rsidRPr="00DD2F05">
              <w:rPr>
                <w:rFonts w:ascii="Times New Roman" w:hAnsi="Times New Roman" w:cs="Times New Roman"/>
                <w:color w:val="000000"/>
                <w:sz w:val="17"/>
              </w:rPr>
              <w:t>Saldo</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 xml:space="preserve">Rijksdienst voor </w:t>
            </w:r>
            <w:proofErr w:type="spellStart"/>
            <w:r w:rsidRPr="00DD2F05">
              <w:rPr>
                <w:rFonts w:ascii="Times New Roman" w:hAnsi="Times New Roman" w:cs="Times New Roman"/>
                <w:sz w:val="17"/>
              </w:rPr>
              <w:t>Identitetisgegevens</w:t>
            </w:r>
            <w:proofErr w:type="spellEnd"/>
            <w:r w:rsidRPr="00DD2F05">
              <w:rPr>
                <w:rFonts w:ascii="Times New Roman" w:hAnsi="Times New Roman" w:cs="Times New Roman"/>
                <w:sz w:val="17"/>
              </w:rPr>
              <w:t xml:space="preserve"> (</w:t>
            </w:r>
            <w:proofErr w:type="spellStart"/>
            <w:r w:rsidRPr="00DD2F05">
              <w:rPr>
                <w:rFonts w:ascii="Times New Roman" w:hAnsi="Times New Roman" w:cs="Times New Roman"/>
                <w:sz w:val="17"/>
              </w:rPr>
              <w:t>RvIG</w:t>
            </w:r>
            <w:proofErr w:type="spellEnd"/>
            <w:r w:rsidRPr="00DD2F05">
              <w:rPr>
                <w:rFonts w:ascii="Times New Roman" w:hAnsi="Times New Roman" w:cs="Times New Roman"/>
                <w:sz w:val="17"/>
              </w:rPr>
              <w:t>)</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126.152</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132.751</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6.599</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proofErr w:type="spellStart"/>
            <w:r w:rsidRPr="00DD2F05">
              <w:rPr>
                <w:rFonts w:ascii="Times New Roman" w:hAnsi="Times New Roman" w:cs="Times New Roman"/>
                <w:sz w:val="17"/>
              </w:rPr>
              <w:t>Logius</w:t>
            </w:r>
            <w:proofErr w:type="spellEnd"/>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249.392</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249.392</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P-</w:t>
            </w:r>
            <w:proofErr w:type="spellStart"/>
            <w:r w:rsidRPr="00DD2F05">
              <w:rPr>
                <w:rFonts w:ascii="Times New Roman" w:hAnsi="Times New Roman" w:cs="Times New Roman"/>
                <w:sz w:val="17"/>
              </w:rPr>
              <w:t>Direkt</w:t>
            </w:r>
            <w:proofErr w:type="spellEnd"/>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108.986</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108.986</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Uitvoeringsorganisatie Bedrijfsvoering Rijk (UBR)</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317.896</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317.896</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proofErr w:type="spellStart"/>
            <w:r w:rsidRPr="00DD2F05">
              <w:rPr>
                <w:rFonts w:ascii="Times New Roman" w:hAnsi="Times New Roman" w:cs="Times New Roman"/>
                <w:sz w:val="17"/>
              </w:rPr>
              <w:t>FMHaaglanden</w:t>
            </w:r>
            <w:proofErr w:type="spellEnd"/>
            <w:r w:rsidRPr="00DD2F05">
              <w:rPr>
                <w:rFonts w:ascii="Times New Roman" w:hAnsi="Times New Roman" w:cs="Times New Roman"/>
                <w:sz w:val="17"/>
              </w:rPr>
              <w:t xml:space="preserve"> (FMH)</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147.445</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147.445</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Shared Service Centrum ICT (SSC-ICT)</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311.821</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318.621</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6.800</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Rijkvastgoedbedrijf (RVB)</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1.382.577</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1.382.577</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Dienst van de Huurcommissie (DHC)</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13.925</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14.972</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1.047</w:t>
            </w: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p>
        </w:tc>
        <w:tc>
          <w:tcPr>
            <w:tcW w:w="668" w:type="pct"/>
            <w:tcBorders>
              <w:bottom w:val="single" w:color="009EE0" w:sz="2" w:space="0"/>
            </w:tcBorders>
            <w:shd w:val="clear" w:color="auto" w:fill="auto"/>
            <w:tcMar>
              <w:top w:w="22" w:type="dxa"/>
              <w:left w:w="28" w:type="dxa"/>
              <w:bottom w:w="22" w:type="dxa"/>
              <w:right w:w="28" w:type="dxa"/>
            </w:tcMar>
          </w:tcPr>
          <w:p w:rsidRPr="00DD2F05" w:rsidR="00393575" w:rsidP="00257AEB" w:rsidRDefault="00393575">
            <w:pPr>
              <w:pStyle w:val="p-table"/>
              <w:rPr>
                <w:rFonts w:ascii="Times New Roman" w:hAnsi="Times New Roman" w:cs="Times New Roman"/>
                <w:sz w:val="17"/>
              </w:rPr>
            </w:pPr>
          </w:p>
        </w:tc>
        <w:tc>
          <w:tcPr>
            <w:tcW w:w="668" w:type="pct"/>
            <w:tcBorders>
              <w:bottom w:val="single" w:color="009EE0" w:sz="2" w:space="0"/>
            </w:tcBorders>
            <w:shd w:val="clear" w:color="auto" w:fill="auto"/>
            <w:tcMar>
              <w:top w:w="22" w:type="dxa"/>
              <w:left w:w="28" w:type="dxa"/>
              <w:bottom w:w="22" w:type="dxa"/>
              <w:right w:w="28" w:type="dxa"/>
            </w:tcMar>
          </w:tcPr>
          <w:p w:rsidRPr="00DD2F05" w:rsidR="00393575" w:rsidP="00257AEB" w:rsidRDefault="00393575">
            <w:pPr>
              <w:pStyle w:val="p-table"/>
              <w:rPr>
                <w:rFonts w:ascii="Times New Roman" w:hAnsi="Times New Roman" w:cs="Times New Roman"/>
                <w:sz w:val="17"/>
              </w:rPr>
            </w:pPr>
          </w:p>
        </w:tc>
        <w:tc>
          <w:tcPr>
            <w:tcW w:w="590" w:type="pct"/>
            <w:tcBorders>
              <w:bottom w:val="single" w:color="009EE0" w:sz="2" w:space="0"/>
            </w:tcBorders>
            <w:shd w:val="clear" w:color="auto" w:fill="auto"/>
            <w:tcMar>
              <w:top w:w="22" w:type="dxa"/>
              <w:left w:w="28" w:type="dxa"/>
              <w:bottom w:w="22" w:type="dxa"/>
              <w:right w:w="28" w:type="dxa"/>
            </w:tcMar>
          </w:tcPr>
          <w:p w:rsidRPr="00DD2F05" w:rsidR="00393575" w:rsidP="00257AEB" w:rsidRDefault="00393575">
            <w:pPr>
              <w:pStyle w:val="p-table"/>
              <w:rPr>
                <w:rFonts w:ascii="Times New Roman" w:hAnsi="Times New Roman" w:cs="Times New Roman"/>
                <w:sz w:val="17"/>
              </w:rPr>
            </w:pPr>
          </w:p>
        </w:tc>
      </w:tr>
      <w:tr w:rsidRPr="00DD2F05" w:rsidR="00393575" w:rsidTr="00393575">
        <w:tc>
          <w:tcPr>
            <w:tcW w:w="3074"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b/>
                <w:sz w:val="17"/>
              </w:rPr>
              <w:t>Totaal</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b/>
                <w:sz w:val="17"/>
              </w:rPr>
              <w:t>2.658.193</w:t>
            </w:r>
          </w:p>
        </w:tc>
        <w:tc>
          <w:tcPr>
            <w:tcW w:w="668"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b/>
                <w:sz w:val="17"/>
              </w:rPr>
              <w:t>2.672.640</w:t>
            </w:r>
          </w:p>
        </w:tc>
        <w:tc>
          <w:tcPr>
            <w:tcW w:w="590"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b/>
                <w:sz w:val="17"/>
              </w:rPr>
              <w:t>‒ 14.446</w:t>
            </w:r>
          </w:p>
        </w:tc>
      </w:tr>
    </w:tbl>
    <w:p w:rsidRPr="00DD2F05" w:rsidR="00393575" w:rsidP="00393575" w:rsidRDefault="00393575">
      <w:pPr>
        <w:pStyle w:val="p-marginbottom"/>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3165"/>
        <w:gridCol w:w="2850"/>
        <w:gridCol w:w="3055"/>
      </w:tblGrid>
      <w:tr w:rsidRPr="00DD2F05" w:rsidR="00393575" w:rsidTr="00393575">
        <w:trPr>
          <w:tblHeader/>
        </w:trPr>
        <w:tc>
          <w:tcPr>
            <w:tcW w:w="5000" w:type="pct"/>
            <w:gridSpan w:val="3"/>
            <w:shd w:val="clear" w:color="auto" w:fill="009EE0"/>
            <w:tcMar>
              <w:top w:w="22" w:type="dxa"/>
              <w:left w:w="113" w:type="dxa"/>
              <w:bottom w:w="22" w:type="dxa"/>
            </w:tcMar>
          </w:tcPr>
          <w:p w:rsidRPr="00DD2F05" w:rsidR="00393575" w:rsidP="00257AEB" w:rsidRDefault="00393575">
            <w:pPr>
              <w:pStyle w:val="kio2-table-title"/>
              <w:rPr>
                <w:rFonts w:ascii="Times New Roman" w:hAnsi="Times New Roman" w:cs="Times New Roman"/>
              </w:rPr>
            </w:pPr>
            <w:r w:rsidRPr="00DD2F05">
              <w:rPr>
                <w:rFonts w:ascii="Times New Roman" w:hAnsi="Times New Roman" w:cs="Times New Roman"/>
              </w:rPr>
              <w:t>Vastgestelde begrotingsstaat inzake de agentschappen voor het jaar 2022 (bedragen x € 1.000)</w:t>
            </w:r>
          </w:p>
        </w:tc>
      </w:tr>
      <w:tr w:rsidRPr="00DD2F05" w:rsidR="00393575" w:rsidTr="00393575">
        <w:trPr>
          <w:tblHeader/>
        </w:trPr>
        <w:tc>
          <w:tcPr>
            <w:tcW w:w="1745" w:type="pct"/>
            <w:tcBorders>
              <w:top w:val="single" w:color="000000" w:sz="2" w:space="0"/>
              <w:bottom w:val="single" w:color="009EE0" w:sz="2" w:space="0"/>
            </w:tcBorders>
            <w:shd w:val="clear" w:color="auto" w:fill="auto"/>
            <w:tcMar>
              <w:top w:w="28" w:type="dxa"/>
              <w:bottom w:w="28" w:type="dxa"/>
              <w:right w:w="28" w:type="dxa"/>
            </w:tcMar>
          </w:tcPr>
          <w:p w:rsidRPr="00DD2F05" w:rsidR="00393575" w:rsidP="00257AEB" w:rsidRDefault="00393575">
            <w:pPr>
              <w:pStyle w:val="p-table"/>
              <w:rPr>
                <w:rFonts w:ascii="Times New Roman" w:hAnsi="Times New Roman" w:cs="Times New Roman"/>
                <w:color w:val="000000"/>
                <w:sz w:val="17"/>
              </w:rPr>
            </w:pPr>
            <w:r w:rsidRPr="00DD2F05">
              <w:rPr>
                <w:rFonts w:ascii="Times New Roman" w:hAnsi="Times New Roman" w:cs="Times New Roman"/>
                <w:color w:val="000000"/>
                <w:sz w:val="17"/>
              </w:rPr>
              <w:t>Naam baten-lastenagentschap</w:t>
            </w:r>
          </w:p>
        </w:tc>
        <w:tc>
          <w:tcPr>
            <w:tcW w:w="157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D2F05" w:rsidR="00393575" w:rsidP="00257AEB" w:rsidRDefault="00393575">
            <w:pPr>
              <w:pStyle w:val="p-table"/>
              <w:jc w:val="right"/>
              <w:rPr>
                <w:rFonts w:ascii="Times New Roman" w:hAnsi="Times New Roman" w:cs="Times New Roman"/>
                <w:color w:val="000000"/>
                <w:sz w:val="17"/>
              </w:rPr>
            </w:pPr>
            <w:r w:rsidRPr="00DD2F05">
              <w:rPr>
                <w:rFonts w:ascii="Times New Roman" w:hAnsi="Times New Roman" w:cs="Times New Roman"/>
                <w:color w:val="000000"/>
                <w:sz w:val="17"/>
              </w:rPr>
              <w:t>Totaal kapitaaluitgaven</w:t>
            </w:r>
          </w:p>
        </w:tc>
        <w:tc>
          <w:tcPr>
            <w:tcW w:w="168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D2F05" w:rsidR="00393575" w:rsidP="00257AEB" w:rsidRDefault="00393575">
            <w:pPr>
              <w:pStyle w:val="p-table"/>
              <w:jc w:val="right"/>
              <w:rPr>
                <w:rFonts w:ascii="Times New Roman" w:hAnsi="Times New Roman" w:cs="Times New Roman"/>
                <w:color w:val="000000"/>
                <w:sz w:val="17"/>
              </w:rPr>
            </w:pPr>
            <w:r w:rsidRPr="00DD2F05">
              <w:rPr>
                <w:rFonts w:ascii="Times New Roman" w:hAnsi="Times New Roman" w:cs="Times New Roman"/>
                <w:color w:val="000000"/>
                <w:sz w:val="17"/>
              </w:rPr>
              <w:t>Totaal kapitaalontvangsten</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 xml:space="preserve">Rijksdienst voor </w:t>
            </w:r>
            <w:proofErr w:type="spellStart"/>
            <w:r w:rsidRPr="00DD2F05">
              <w:rPr>
                <w:rFonts w:ascii="Times New Roman" w:hAnsi="Times New Roman" w:cs="Times New Roman"/>
                <w:sz w:val="17"/>
              </w:rPr>
              <w:t>Identitetisgegevens</w:t>
            </w:r>
            <w:proofErr w:type="spellEnd"/>
            <w:r w:rsidRPr="00DD2F05">
              <w:rPr>
                <w:rFonts w:ascii="Times New Roman" w:hAnsi="Times New Roman" w:cs="Times New Roman"/>
                <w:sz w:val="17"/>
              </w:rPr>
              <w:t xml:space="preserve"> (</w:t>
            </w:r>
            <w:proofErr w:type="spellStart"/>
            <w:r w:rsidRPr="00DD2F05">
              <w:rPr>
                <w:rFonts w:ascii="Times New Roman" w:hAnsi="Times New Roman" w:cs="Times New Roman"/>
                <w:sz w:val="17"/>
              </w:rPr>
              <w:t>RvIG</w:t>
            </w:r>
            <w:proofErr w:type="spellEnd"/>
            <w:r w:rsidRPr="00DD2F05">
              <w:rPr>
                <w:rFonts w:ascii="Times New Roman" w:hAnsi="Times New Roman" w:cs="Times New Roman"/>
                <w:sz w:val="17"/>
              </w:rPr>
              <w:t>)</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10.254</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proofErr w:type="spellStart"/>
            <w:r w:rsidRPr="00DD2F05">
              <w:rPr>
                <w:rFonts w:ascii="Times New Roman" w:hAnsi="Times New Roman" w:cs="Times New Roman"/>
                <w:sz w:val="17"/>
              </w:rPr>
              <w:t>Logius</w:t>
            </w:r>
            <w:proofErr w:type="spellEnd"/>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P-</w:t>
            </w:r>
            <w:proofErr w:type="spellStart"/>
            <w:r w:rsidRPr="00DD2F05">
              <w:rPr>
                <w:rFonts w:ascii="Times New Roman" w:hAnsi="Times New Roman" w:cs="Times New Roman"/>
                <w:sz w:val="17"/>
              </w:rPr>
              <w:t>Direkt</w:t>
            </w:r>
            <w:proofErr w:type="spellEnd"/>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5.065</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2.695</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Uitvoeringsorganisatie Bedrijfsvoering Rijk (UBR)</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1.000</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proofErr w:type="spellStart"/>
            <w:r w:rsidRPr="00DD2F05">
              <w:rPr>
                <w:rFonts w:ascii="Times New Roman" w:hAnsi="Times New Roman" w:cs="Times New Roman"/>
                <w:sz w:val="17"/>
              </w:rPr>
              <w:t>FMHaaglanden</w:t>
            </w:r>
            <w:proofErr w:type="spellEnd"/>
            <w:r w:rsidRPr="00DD2F05">
              <w:rPr>
                <w:rFonts w:ascii="Times New Roman" w:hAnsi="Times New Roman" w:cs="Times New Roman"/>
                <w:sz w:val="17"/>
              </w:rPr>
              <w:t xml:space="preserve"> (FMH)</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6011</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2290</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Shared Service Centrum ICT (SSC-ICT)</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124.228</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73.800</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Rijkvastgoedbedrijf (RVB)</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 1.090.830</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739.000</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r w:rsidRPr="00DD2F05">
              <w:rPr>
                <w:rFonts w:ascii="Times New Roman" w:hAnsi="Times New Roman" w:cs="Times New Roman"/>
                <w:sz w:val="17"/>
              </w:rPr>
              <w:t>Dienst van de Huurcommissie (DHC)</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0</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sz w:val="17"/>
              </w:rPr>
              <w:t>1.029</w:t>
            </w: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257AEB" w:rsidRDefault="00393575">
            <w:pPr>
              <w:pStyle w:val="p-table"/>
              <w:rPr>
                <w:rFonts w:ascii="Times New Roman" w:hAnsi="Times New Roman" w:cs="Times New Roman"/>
                <w:sz w:val="17"/>
              </w:rPr>
            </w:pPr>
          </w:p>
        </w:tc>
        <w:tc>
          <w:tcPr>
            <w:tcW w:w="1571" w:type="pct"/>
            <w:tcBorders>
              <w:bottom w:val="single" w:color="009EE0" w:sz="2" w:space="0"/>
            </w:tcBorders>
            <w:shd w:val="clear" w:color="auto" w:fill="auto"/>
            <w:tcMar>
              <w:top w:w="22" w:type="dxa"/>
              <w:left w:w="28" w:type="dxa"/>
              <w:bottom w:w="22" w:type="dxa"/>
              <w:right w:w="28" w:type="dxa"/>
            </w:tcMar>
          </w:tcPr>
          <w:p w:rsidRPr="00DD2F05" w:rsidR="00393575" w:rsidP="00257AEB" w:rsidRDefault="00393575">
            <w:pPr>
              <w:pStyle w:val="p-table"/>
              <w:rPr>
                <w:rFonts w:ascii="Times New Roman" w:hAnsi="Times New Roman" w:cs="Times New Roman"/>
                <w:sz w:val="17"/>
              </w:rPr>
            </w:pPr>
          </w:p>
        </w:tc>
        <w:tc>
          <w:tcPr>
            <w:tcW w:w="1685" w:type="pct"/>
            <w:tcBorders>
              <w:bottom w:val="single" w:color="009EE0" w:sz="2" w:space="0"/>
            </w:tcBorders>
            <w:shd w:val="clear" w:color="auto" w:fill="auto"/>
            <w:tcMar>
              <w:top w:w="22" w:type="dxa"/>
              <w:left w:w="28" w:type="dxa"/>
              <w:bottom w:w="22" w:type="dxa"/>
              <w:right w:w="28" w:type="dxa"/>
            </w:tcMar>
          </w:tcPr>
          <w:p w:rsidRPr="00DD2F05" w:rsidR="00393575" w:rsidP="00257AEB" w:rsidRDefault="00393575">
            <w:pPr>
              <w:pStyle w:val="p-table"/>
              <w:rPr>
                <w:rFonts w:ascii="Times New Roman" w:hAnsi="Times New Roman" w:cs="Times New Roman"/>
                <w:sz w:val="17"/>
              </w:rPr>
            </w:pPr>
          </w:p>
        </w:tc>
      </w:tr>
      <w:tr w:rsidRPr="00DD2F05" w:rsidR="00393575" w:rsidTr="00393575">
        <w:tc>
          <w:tcPr>
            <w:tcW w:w="1745" w:type="pct"/>
            <w:tcBorders>
              <w:bottom w:val="single" w:color="009EE0" w:sz="2" w:space="0"/>
            </w:tcBorders>
            <w:shd w:val="clear" w:color="auto" w:fill="auto"/>
            <w:tcMar>
              <w:top w:w="22" w:type="dxa"/>
              <w:bottom w:w="22" w:type="dxa"/>
              <w:right w:w="28" w:type="dxa"/>
            </w:tcMar>
          </w:tcPr>
          <w:p w:rsidRPr="00DD2F05" w:rsidR="00393575" w:rsidP="00393575" w:rsidRDefault="00393575">
            <w:pPr>
              <w:pStyle w:val="p-table"/>
              <w:rPr>
                <w:rFonts w:ascii="Times New Roman" w:hAnsi="Times New Roman" w:cs="Times New Roman"/>
                <w:sz w:val="17"/>
              </w:rPr>
            </w:pPr>
            <w:r w:rsidRPr="00DD2F05">
              <w:rPr>
                <w:rFonts w:ascii="Times New Roman" w:hAnsi="Times New Roman" w:cs="Times New Roman"/>
                <w:b/>
                <w:sz w:val="17"/>
              </w:rPr>
              <w:t>Totaal</w:t>
            </w:r>
          </w:p>
        </w:tc>
        <w:tc>
          <w:tcPr>
            <w:tcW w:w="1571"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b/>
                <w:sz w:val="17"/>
              </w:rPr>
              <w:t>‒ 1.237.388</w:t>
            </w:r>
          </w:p>
        </w:tc>
        <w:tc>
          <w:tcPr>
            <w:tcW w:w="1685" w:type="pct"/>
            <w:tcBorders>
              <w:bottom w:val="single" w:color="009EE0" w:sz="2" w:space="0"/>
            </w:tcBorders>
            <w:shd w:val="clear" w:color="auto" w:fill="auto"/>
            <w:tcMar>
              <w:top w:w="22" w:type="dxa"/>
              <w:left w:w="28" w:type="dxa"/>
              <w:bottom w:w="22" w:type="dxa"/>
              <w:right w:w="28" w:type="dxa"/>
            </w:tcMar>
            <w:vAlign w:val="center"/>
          </w:tcPr>
          <w:p w:rsidRPr="00DD2F05" w:rsidR="00393575" w:rsidP="00257AEB" w:rsidRDefault="00393575">
            <w:pPr>
              <w:pStyle w:val="p-table"/>
              <w:jc w:val="right"/>
              <w:rPr>
                <w:rFonts w:ascii="Times New Roman" w:hAnsi="Times New Roman" w:cs="Times New Roman"/>
                <w:sz w:val="17"/>
              </w:rPr>
            </w:pPr>
            <w:r w:rsidRPr="00DD2F05">
              <w:rPr>
                <w:rFonts w:ascii="Times New Roman" w:hAnsi="Times New Roman" w:cs="Times New Roman"/>
                <w:b/>
                <w:sz w:val="17"/>
              </w:rPr>
              <w:t>818.814</w:t>
            </w:r>
          </w:p>
        </w:tc>
      </w:tr>
    </w:tbl>
    <w:p w:rsidRPr="00DD2F05" w:rsidR="00CB3578" w:rsidP="00393575" w:rsidRDefault="00CB3578">
      <w:pPr>
        <w:pStyle w:val="page-break"/>
        <w:rPr>
          <w:rFonts w:ascii="Times New Roman" w:hAnsi="Times New Roman" w:cs="Times New Roman"/>
          <w:sz w:val="24"/>
        </w:rPr>
      </w:pPr>
    </w:p>
    <w:sectPr w:rsidRPr="00DD2F05"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1A" w:rsidRDefault="003D701A">
      <w:pPr>
        <w:spacing w:line="20" w:lineRule="exact"/>
      </w:pPr>
    </w:p>
  </w:endnote>
  <w:endnote w:type="continuationSeparator" w:id="0">
    <w:p w:rsidR="003D701A" w:rsidRDefault="003D701A">
      <w:pPr>
        <w:pStyle w:val="Amendement"/>
      </w:pPr>
      <w:r>
        <w:rPr>
          <w:b w:val="0"/>
          <w:bCs w:val="0"/>
        </w:rPr>
        <w:t xml:space="preserve"> </w:t>
      </w:r>
    </w:p>
  </w:endnote>
  <w:endnote w:type="continuationNotice" w:id="1">
    <w:p w:rsidR="003D701A" w:rsidRDefault="003D70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F0C1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1A" w:rsidRDefault="003D701A">
      <w:pPr>
        <w:pStyle w:val="Amendement"/>
      </w:pPr>
      <w:r>
        <w:rPr>
          <w:b w:val="0"/>
          <w:bCs w:val="0"/>
        </w:rPr>
        <w:separator/>
      </w:r>
    </w:p>
  </w:footnote>
  <w:footnote w:type="continuationSeparator" w:id="0">
    <w:p w:rsidR="003D701A" w:rsidRDefault="003D7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1A"/>
    <w:rsid w:val="00012DBE"/>
    <w:rsid w:val="000A1D81"/>
    <w:rsid w:val="00111ED3"/>
    <w:rsid w:val="001C190E"/>
    <w:rsid w:val="002168F4"/>
    <w:rsid w:val="002A727C"/>
    <w:rsid w:val="00393575"/>
    <w:rsid w:val="003D701A"/>
    <w:rsid w:val="00587E01"/>
    <w:rsid w:val="005D2707"/>
    <w:rsid w:val="00606255"/>
    <w:rsid w:val="006B607A"/>
    <w:rsid w:val="007A58B8"/>
    <w:rsid w:val="007D451C"/>
    <w:rsid w:val="007F0C1A"/>
    <w:rsid w:val="00826224"/>
    <w:rsid w:val="00930A23"/>
    <w:rsid w:val="009C7354"/>
    <w:rsid w:val="009E6D7F"/>
    <w:rsid w:val="00A11E73"/>
    <w:rsid w:val="00A2521E"/>
    <w:rsid w:val="00AE436A"/>
    <w:rsid w:val="00C10272"/>
    <w:rsid w:val="00C135B1"/>
    <w:rsid w:val="00C92DF8"/>
    <w:rsid w:val="00CB3578"/>
    <w:rsid w:val="00D20AFA"/>
    <w:rsid w:val="00D55648"/>
    <w:rsid w:val="00DD2F05"/>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0539E"/>
  <w15:docId w15:val="{47B0CC7A-E92E-4E62-800B-62C48A86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atumtekst-p">
    <w:name w:val="datumtekst-p"/>
    <w:rsid w:val="003D701A"/>
    <w:pPr>
      <w:widowControl w:val="0"/>
      <w:autoSpaceDN w:val="0"/>
      <w:textAlignment w:val="baseline"/>
    </w:pPr>
    <w:rPr>
      <w:rFonts w:ascii="DejaVu Sans" w:eastAsia="Arial Unicode MS" w:hAnsi="DejaVu Sans" w:cs="Tahoma"/>
      <w:kern w:val="3"/>
      <w:sz w:val="18"/>
      <w:szCs w:val="18"/>
    </w:rPr>
  </w:style>
  <w:style w:type="paragraph" w:customStyle="1" w:styleId="p-marginbottom">
    <w:name w:val="p-marginbottom"/>
    <w:rsid w:val="003D701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3D701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D701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D701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D701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D701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D701A"/>
    <w:pPr>
      <w:widowControl w:val="0"/>
      <w:autoSpaceDN w:val="0"/>
      <w:textAlignment w:val="baseline"/>
    </w:pPr>
    <w:rPr>
      <w:rFonts w:ascii="DejaVu Sans" w:eastAsia="Arial Unicode MS" w:hAnsi="DejaVu Sans" w:cs="Tahoma"/>
      <w:kern w:val="3"/>
      <w:sz w:val="18"/>
    </w:rPr>
  </w:style>
  <w:style w:type="paragraph" w:customStyle="1" w:styleId="label-p">
    <w:name w:val="label-p"/>
    <w:rsid w:val="003D701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D701A"/>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538</ap:Words>
  <ap:Characters>3356</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2021-11-29T16:21:00.0000000Z</dcterms:created>
  <dcterms:modified xsi:type="dcterms:W3CDTF">2021-12-01T14:39:00.0000000Z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