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33908" w:rsidR="00CB3578" w:rsidP="00A33908" w:rsidRDefault="00BE118B">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8 november</w:t>
            </w:r>
            <w:r w:rsidRPr="00A33908" w:rsidR="00A33908">
              <w:rPr>
                <w:rFonts w:ascii="Times New Roman" w:hAnsi="Times New Roman" w:cs="Times New Roman"/>
                <w:b w:val="0"/>
              </w:rPr>
              <w:t xml:space="preserve">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043A1">
            <w:pPr>
              <w:rPr>
                <w:rFonts w:ascii="Times New Roman" w:hAnsi="Times New Roman"/>
                <w:b/>
                <w:sz w:val="24"/>
              </w:rPr>
            </w:pPr>
            <w:r>
              <w:rPr>
                <w:rFonts w:ascii="Times New Roman" w:hAnsi="Times New Roman"/>
                <w:b/>
                <w:sz w:val="24"/>
              </w:rPr>
              <w:t>35925 K</w:t>
            </w:r>
          </w:p>
        </w:tc>
        <w:tc>
          <w:tcPr>
            <w:tcW w:w="6590" w:type="dxa"/>
            <w:tcBorders>
              <w:top w:val="nil"/>
              <w:left w:val="nil"/>
              <w:bottom w:val="nil"/>
              <w:right w:val="nil"/>
            </w:tcBorders>
          </w:tcPr>
          <w:p w:rsidRPr="00F043A1" w:rsidR="002A727C" w:rsidP="000D5BC4" w:rsidRDefault="00F043A1">
            <w:pPr>
              <w:rPr>
                <w:rFonts w:ascii="Times New Roman" w:hAnsi="Times New Roman"/>
                <w:b/>
                <w:sz w:val="24"/>
              </w:rPr>
            </w:pPr>
            <w:r w:rsidRPr="00F043A1">
              <w:rPr>
                <w:rFonts w:ascii="Times New Roman" w:hAnsi="Times New Roman"/>
                <w:b/>
                <w:sz w:val="24"/>
              </w:rPr>
              <w:t>Vaststelling van de begrotingsstaat van het Defensiematerieelbegrotingsfonds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F043A1" w:rsidRDefault="00CB3578">
            <w:pPr>
              <w:pStyle w:val="Amendement"/>
              <w:rPr>
                <w:rFonts w:ascii="Times New Roman" w:hAnsi="Times New Roman" w:cs="Times New Roman"/>
              </w:rPr>
            </w:pPr>
            <w:r w:rsidRPr="002168F4">
              <w:rPr>
                <w:rFonts w:ascii="Times New Roman" w:hAnsi="Times New Roman" w:cs="Times New Roman"/>
              </w:rPr>
              <w:t>Nr.</w:t>
            </w:r>
            <w:r w:rsidR="00F043A1">
              <w:rPr>
                <w:rFonts w:ascii="Times New Roman" w:hAnsi="Times New Roman" w:cs="Times New Roman"/>
              </w:rPr>
              <w:t xml:space="preserve"> 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43A1" w:rsidR="00CB3578" w:rsidRDefault="00CB3578">
            <w:pPr>
              <w:pStyle w:val="Amendement"/>
              <w:rPr>
                <w:rFonts w:ascii="Times New Roman" w:hAnsi="Times New Roman" w:cs="Times New Roman"/>
                <w:b w:val="0"/>
              </w:rPr>
            </w:pPr>
          </w:p>
        </w:tc>
      </w:tr>
    </w:tbl>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Wij Willem-Alexander, bij de gratie Gods, Koning der Nederlanden, Prins van Oranje-Nassau, enz. enz. enz.</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Allen, die deze zullen zien of horen lezen, saluut! doen te weten:</w:t>
      </w: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1</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 bij deze wet behorende begrotingsstaat inzake het begrotingsfonds voor het jaar 2022 wordt vastgesteld.</w:t>
      </w:r>
    </w:p>
    <w:p w:rsidRPr="00F043A1" w:rsidR="00F043A1" w:rsidP="00F043A1" w:rsidRDefault="00F043A1">
      <w:pPr>
        <w:rPr>
          <w:rFonts w:ascii="Times New Roman" w:hAnsi="Times New Roman"/>
          <w:b/>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2</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 vaststelling van de begrotingsstaat geschiedt in duizenden euro’s.</w:t>
      </w: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3</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043A1" w:rsidP="00F043A1" w:rsidRDefault="00F043A1">
      <w:pPr>
        <w:ind w:firstLine="284"/>
        <w:rPr>
          <w:rFonts w:ascii="Times New Roman" w:hAnsi="Times New Roman"/>
          <w:sz w:val="24"/>
          <w:szCs w:val="20"/>
        </w:rPr>
      </w:pP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043A1"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sz w:val="24"/>
          <w:szCs w:val="20"/>
        </w:rPr>
      </w:pPr>
      <w:r w:rsidRPr="00F043A1">
        <w:rPr>
          <w:rFonts w:ascii="Times New Roman" w:hAnsi="Times New Roman"/>
          <w:sz w:val="24"/>
          <w:szCs w:val="20"/>
        </w:rPr>
        <w:t>Gegeven</w:t>
      </w: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r w:rsidRPr="00F043A1">
        <w:rPr>
          <w:rFonts w:ascii="Times New Roman" w:hAnsi="Times New Roman"/>
          <w:sz w:val="24"/>
          <w:szCs w:val="20"/>
        </w:rPr>
        <w:t>De Minister van Defensie,</w:t>
      </w:r>
    </w:p>
    <w:p w:rsidR="00F043A1" w:rsidRDefault="00F043A1">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260"/>
        <w:gridCol w:w="4390"/>
        <w:gridCol w:w="1694"/>
        <w:gridCol w:w="1286"/>
        <w:gridCol w:w="1440"/>
      </w:tblGrid>
      <w:tr w:rsidRPr="00ED7D72" w:rsidR="00BE118B" w:rsidTr="00FA78E0">
        <w:trPr>
          <w:tblHeader/>
        </w:trPr>
        <w:tc>
          <w:tcPr>
            <w:tcW w:w="143" w:type="pct"/>
            <w:shd w:val="clear" w:color="auto" w:fill="009EE0"/>
          </w:tcPr>
          <w:p w:rsidRPr="00BE118B" w:rsidR="00BE118B" w:rsidP="00FA78E0" w:rsidRDefault="00BE118B">
            <w:pPr>
              <w:tabs>
                <w:tab w:val="left" w:pos="284"/>
              </w:tabs>
              <w:rPr>
                <w:rFonts w:ascii="Times New Roman" w:hAnsi="Times New Roman"/>
              </w:rPr>
            </w:pPr>
          </w:p>
        </w:tc>
        <w:tc>
          <w:tcPr>
            <w:tcW w:w="4857" w:type="pct"/>
            <w:gridSpan w:val="4"/>
            <w:shd w:val="clear" w:color="auto" w:fill="009EE0"/>
            <w:tcMar>
              <w:top w:w="22" w:type="dxa"/>
              <w:left w:w="113" w:type="dxa"/>
              <w:bottom w:w="22" w:type="dxa"/>
            </w:tcMar>
          </w:tcPr>
          <w:p w:rsidRPr="00BE118B" w:rsidR="00BE118B" w:rsidP="00FA78E0" w:rsidRDefault="00BE118B">
            <w:pPr>
              <w:tabs>
                <w:tab w:val="left" w:pos="284"/>
              </w:tabs>
              <w:rPr>
                <w:rFonts w:ascii="Times New Roman" w:hAnsi="Times New Roman"/>
              </w:rPr>
            </w:pPr>
            <w:r w:rsidRPr="00BE118B">
              <w:rPr>
                <w:rFonts w:ascii="Times New Roman" w:hAnsi="Times New Roman"/>
              </w:rPr>
              <w:t>Vastgestelde departementale begrotingsstaat van het Defensiematerieelbegrotingsfonds</w:t>
            </w:r>
            <w:r w:rsidRPr="00BE118B">
              <w:rPr>
                <w:rFonts w:ascii="Times New Roman" w:hAnsi="Times New Roman"/>
                <w:b/>
              </w:rPr>
              <w:t xml:space="preserve"> </w:t>
            </w:r>
            <w:r w:rsidRPr="00BE118B">
              <w:rPr>
                <w:rFonts w:ascii="Times New Roman" w:hAnsi="Times New Roman"/>
              </w:rPr>
              <w:t>(K) voor het jaar 2022 (bedragen x € 1.000)</w:t>
            </w:r>
          </w:p>
        </w:tc>
      </w:tr>
      <w:tr w:rsidRPr="00ED7D72" w:rsidR="00BE118B" w:rsidTr="00FA78E0">
        <w:trPr>
          <w:tblHeader/>
        </w:trPr>
        <w:tc>
          <w:tcPr>
            <w:tcW w:w="143" w:type="pct"/>
            <w:tcBorders>
              <w:top w:val="single" w:color="000000" w:sz="2" w:space="0"/>
              <w:bottom w:val="single" w:color="009EE0" w:sz="2" w:space="0"/>
            </w:tcBorders>
          </w:tcPr>
          <w:p w:rsidRPr="00BE118B" w:rsidR="00BE118B" w:rsidP="00FA78E0" w:rsidRDefault="00BE118B">
            <w:pPr>
              <w:tabs>
                <w:tab w:val="left" w:pos="284"/>
              </w:tabs>
              <w:rPr>
                <w:rFonts w:ascii="Times New Roman" w:hAnsi="Times New Roman"/>
              </w:rPr>
            </w:pPr>
          </w:p>
        </w:tc>
        <w:tc>
          <w:tcPr>
            <w:tcW w:w="2420" w:type="pct"/>
            <w:tcBorders>
              <w:top w:val="single" w:color="000000" w:sz="2" w:space="0"/>
              <w:bottom w:val="single" w:color="009EE0" w:sz="2" w:space="0"/>
            </w:tcBorders>
            <w:shd w:val="clear" w:color="auto" w:fill="auto"/>
            <w:tcMar>
              <w:top w:w="28" w:type="dxa"/>
              <w:bottom w:w="28" w:type="dxa"/>
              <w:right w:w="28" w:type="dxa"/>
            </w:tcMar>
          </w:tcPr>
          <w:p w:rsidRPr="00BE118B" w:rsidR="00BE118B" w:rsidP="00FA78E0" w:rsidRDefault="00BE118B">
            <w:pPr>
              <w:tabs>
                <w:tab w:val="left" w:pos="284"/>
              </w:tabs>
              <w:rPr>
                <w:rFonts w:ascii="Times New Roman" w:hAnsi="Times New Roman"/>
              </w:rPr>
            </w:pPr>
          </w:p>
        </w:tc>
        <w:tc>
          <w:tcPr>
            <w:tcW w:w="934" w:type="pct"/>
            <w:tcBorders>
              <w:top w:val="single" w:color="000000" w:sz="2" w:space="0"/>
              <w:bottom w:val="single" w:color="009EE0" w:sz="2" w:space="0"/>
            </w:tcBorders>
            <w:shd w:val="clear" w:color="auto" w:fill="auto"/>
            <w:tcMar>
              <w:top w:w="28" w:type="dxa"/>
              <w:left w:w="28" w:type="dxa"/>
              <w:bottom w:w="28"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rPr>
              <w:t>Verplichtingen</w:t>
            </w:r>
          </w:p>
        </w:tc>
        <w:tc>
          <w:tcPr>
            <w:tcW w:w="709" w:type="pct"/>
            <w:tcBorders>
              <w:top w:val="single" w:color="000000" w:sz="2" w:space="0"/>
              <w:bottom w:val="single" w:color="009EE0" w:sz="2" w:space="0"/>
            </w:tcBorders>
            <w:shd w:val="clear" w:color="auto" w:fill="auto"/>
            <w:tcMar>
              <w:top w:w="28" w:type="dxa"/>
              <w:left w:w="28" w:type="dxa"/>
              <w:bottom w:w="28"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rPr>
              <w:t>Uitgaven</w:t>
            </w:r>
          </w:p>
        </w:tc>
        <w:tc>
          <w:tcPr>
            <w:tcW w:w="794" w:type="pct"/>
            <w:tcBorders>
              <w:top w:val="single" w:color="000000" w:sz="2" w:space="0"/>
              <w:bottom w:val="single" w:color="009EE0" w:sz="2" w:space="0"/>
            </w:tcBorders>
            <w:shd w:val="clear" w:color="auto" w:fill="auto"/>
            <w:tcMar>
              <w:top w:w="28" w:type="dxa"/>
              <w:left w:w="28" w:type="dxa"/>
              <w:bottom w:w="28"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rPr>
              <w:t>Ontvangsten</w:t>
            </w:r>
          </w:p>
        </w:tc>
      </w:tr>
      <w:tr w:rsidRPr="00754A9F" w:rsidR="00BE118B" w:rsidTr="00FA78E0">
        <w:trPr>
          <w:trHeight w:val="106"/>
        </w:trPr>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rPr>
                <w:rFonts w:ascii="Times New Roman" w:hAnsi="Times New Roman"/>
              </w:rPr>
            </w:pP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rPr>
                <w:rFonts w:ascii="Times New Roman" w:hAnsi="Times New Roman"/>
                <w:b/>
              </w:rPr>
            </w:pP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rPr>
                <w:rFonts w:ascii="Times New Roman" w:hAnsi="Times New Roman"/>
                <w:b/>
              </w:rPr>
            </w:pP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1</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proofErr w:type="spellStart"/>
            <w:r w:rsidRPr="00BE118B">
              <w:rPr>
                <w:rFonts w:ascii="Times New Roman" w:hAnsi="Times New Roman"/>
                <w:color w:val="000000"/>
              </w:rPr>
              <w:t>Defensiebreedmaterieel</w:t>
            </w:r>
            <w:proofErr w:type="spellEnd"/>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922.760</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983.034</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62.198</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2</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proofErr w:type="spellStart"/>
            <w:r w:rsidRPr="00BE118B">
              <w:rPr>
                <w:rFonts w:ascii="Times New Roman" w:hAnsi="Times New Roman"/>
                <w:color w:val="000000"/>
              </w:rPr>
              <w:t>Maritiemmaterieel</w:t>
            </w:r>
            <w:proofErr w:type="spellEnd"/>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479.731</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616.381</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9.684</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3</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Landmaterieel</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586.506</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706.136</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2.500</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4</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Luchtmaterieel</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676.913</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1.236.398</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0</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5</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Infrastructuur en vastgoed</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909.935</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949.302</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25.599</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6</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IT</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784.361</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887.011</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16.769</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7</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Bijdragen andere begrotingen Rijk</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 </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 </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5.257.012</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 </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b/>
                <w:bCs/>
                <w:color w:val="000000"/>
              </w:rPr>
              <w:t>Subtotaal </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4.360.206</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b/>
              </w:rPr>
            </w:pPr>
            <w:r w:rsidRPr="00BE118B">
              <w:rPr>
                <w:rFonts w:ascii="Times New Roman" w:hAnsi="Times New Roman"/>
                <w:color w:val="000000"/>
              </w:rPr>
              <w:t> </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Na-/voordelig eindsaldo (cumulatief) vorig jaar (t-1)</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 </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0</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0</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 </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b/>
                <w:bCs/>
                <w:color w:val="000000"/>
              </w:rPr>
              <w:t>Subtotaal</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4.360.206</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 </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color w:val="000000"/>
              </w:rPr>
              <w:t xml:space="preserve">Na-/voordelig eindsaldo (cumulatief) </w:t>
            </w:r>
            <w:proofErr w:type="spellStart"/>
            <w:r w:rsidRPr="00BE118B">
              <w:rPr>
                <w:rFonts w:ascii="Times New Roman" w:hAnsi="Times New Roman"/>
                <w:color w:val="000000"/>
              </w:rPr>
              <w:t>begrotings</w:t>
            </w:r>
            <w:proofErr w:type="spellEnd"/>
            <w:r w:rsidRPr="00BE118B">
              <w:rPr>
                <w:rFonts w:ascii="Times New Roman" w:hAnsi="Times New Roman"/>
                <w:color w:val="000000"/>
              </w:rPr>
              <w:t xml:space="preserve"> jaar (t)</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 </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0</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color w:val="000000"/>
              </w:rPr>
              <w:t>0</w:t>
            </w:r>
          </w:p>
        </w:tc>
      </w:tr>
      <w:tr w:rsidRPr="00E16959" w:rsidR="00BE118B" w:rsidTr="00FA78E0">
        <w:tc>
          <w:tcPr>
            <w:tcW w:w="143" w:type="pct"/>
            <w:tcBorders>
              <w:bottom w:val="single" w:color="009EE0" w:sz="2" w:space="0"/>
            </w:tcBorders>
          </w:tcPr>
          <w:p w:rsidRPr="00BE118B" w:rsidR="00BE118B" w:rsidP="00FA78E0" w:rsidRDefault="00BE118B">
            <w:pPr>
              <w:tabs>
                <w:tab w:val="left" w:pos="284"/>
              </w:tabs>
              <w:rPr>
                <w:rFonts w:ascii="Times New Roman" w:hAnsi="Times New Roman"/>
              </w:rPr>
            </w:pPr>
            <w:r w:rsidRPr="00BE118B">
              <w:rPr>
                <w:rFonts w:ascii="Times New Roman" w:hAnsi="Times New Roman"/>
                <w:b/>
                <w:bCs/>
                <w:color w:val="000000"/>
              </w:rPr>
              <w:t> </w:t>
            </w:r>
          </w:p>
        </w:tc>
        <w:tc>
          <w:tcPr>
            <w:tcW w:w="2420" w:type="pct"/>
            <w:tcBorders>
              <w:bottom w:val="single" w:color="009EE0" w:sz="2" w:space="0"/>
            </w:tcBorders>
            <w:shd w:val="clear" w:color="auto" w:fill="auto"/>
            <w:tcMar>
              <w:top w:w="22" w:type="dxa"/>
              <w:bottom w:w="22" w:type="dxa"/>
              <w:right w:w="28" w:type="dxa"/>
            </w:tcMar>
          </w:tcPr>
          <w:p w:rsidRPr="00BE118B" w:rsidR="00BE118B" w:rsidP="00FA78E0" w:rsidRDefault="00BE118B">
            <w:pPr>
              <w:tabs>
                <w:tab w:val="left" w:pos="284"/>
              </w:tabs>
              <w:rPr>
                <w:rFonts w:ascii="Times New Roman" w:hAnsi="Times New Roman"/>
              </w:rPr>
            </w:pPr>
            <w:r w:rsidRPr="00BE118B">
              <w:rPr>
                <w:rFonts w:ascii="Times New Roman" w:hAnsi="Times New Roman"/>
                <w:b/>
                <w:bCs/>
                <w:color w:val="000000"/>
              </w:rPr>
              <w:t>Totaal</w:t>
            </w:r>
          </w:p>
        </w:tc>
        <w:tc>
          <w:tcPr>
            <w:tcW w:w="93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4.360.206</w:t>
            </w:r>
          </w:p>
        </w:tc>
        <w:tc>
          <w:tcPr>
            <w:tcW w:w="709"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c>
          <w:tcPr>
            <w:tcW w:w="794" w:type="pct"/>
            <w:tcBorders>
              <w:bottom w:val="single" w:color="009EE0" w:sz="2" w:space="0"/>
            </w:tcBorders>
            <w:shd w:val="clear" w:color="auto" w:fill="auto"/>
            <w:tcMar>
              <w:top w:w="22" w:type="dxa"/>
              <w:left w:w="28" w:type="dxa"/>
              <w:bottom w:w="22" w:type="dxa"/>
              <w:right w:w="28" w:type="dxa"/>
            </w:tcMar>
          </w:tcPr>
          <w:p w:rsidRPr="00BE118B" w:rsidR="00BE118B" w:rsidP="00FA78E0" w:rsidRDefault="00BE118B">
            <w:pPr>
              <w:tabs>
                <w:tab w:val="left" w:pos="284"/>
              </w:tabs>
              <w:jc w:val="right"/>
              <w:rPr>
                <w:rFonts w:ascii="Times New Roman" w:hAnsi="Times New Roman"/>
              </w:rPr>
            </w:pPr>
            <w:r w:rsidRPr="00BE118B">
              <w:rPr>
                <w:rFonts w:ascii="Times New Roman" w:hAnsi="Times New Roman"/>
                <w:b/>
                <w:bCs/>
                <w:color w:val="000000"/>
              </w:rPr>
              <w:t>5.378.262</w:t>
            </w:r>
          </w:p>
        </w:tc>
      </w:tr>
    </w:tbl>
    <w:p w:rsidRPr="002168F4" w:rsidR="00CB3578" w:rsidP="00F043A1" w:rsidRDefault="00CB3578">
      <w:pPr>
        <w:rPr>
          <w:rFonts w:ascii="Times New Roman" w:hAnsi="Times New Roman"/>
          <w:sz w:val="24"/>
          <w:szCs w:val="20"/>
        </w:rPr>
      </w:pPr>
      <w:bookmarkStart w:name="_GoBack" w:id="0"/>
      <w:bookmarkEnd w:id="0"/>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A1" w:rsidRDefault="00F043A1">
      <w:pPr>
        <w:spacing w:line="20" w:lineRule="exact"/>
      </w:pPr>
    </w:p>
  </w:endnote>
  <w:endnote w:type="continuationSeparator" w:id="0">
    <w:p w:rsidR="00F043A1" w:rsidRDefault="00F043A1">
      <w:pPr>
        <w:pStyle w:val="Amendement"/>
      </w:pPr>
      <w:r>
        <w:rPr>
          <w:b w:val="0"/>
          <w:bCs w:val="0"/>
        </w:rPr>
        <w:t xml:space="preserve"> </w:t>
      </w:r>
    </w:p>
  </w:endnote>
  <w:endnote w:type="continuationNotice" w:id="1">
    <w:p w:rsidR="00F043A1" w:rsidRDefault="00F043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E118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A1" w:rsidRDefault="00F043A1">
      <w:pPr>
        <w:pStyle w:val="Amendement"/>
      </w:pPr>
      <w:r>
        <w:rPr>
          <w:b w:val="0"/>
          <w:bCs w:val="0"/>
        </w:rPr>
        <w:separator/>
      </w:r>
    </w:p>
  </w:footnote>
  <w:footnote w:type="continuationSeparator" w:id="0">
    <w:p w:rsidR="00F043A1" w:rsidRDefault="00F0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A1"/>
    <w:rsid w:val="00012DBE"/>
    <w:rsid w:val="000A03D5"/>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33908"/>
    <w:rsid w:val="00AE436A"/>
    <w:rsid w:val="00AF722E"/>
    <w:rsid w:val="00BE118B"/>
    <w:rsid w:val="00C135B1"/>
    <w:rsid w:val="00C92DF8"/>
    <w:rsid w:val="00CB3578"/>
    <w:rsid w:val="00D20AFA"/>
    <w:rsid w:val="00D55648"/>
    <w:rsid w:val="00E16443"/>
    <w:rsid w:val="00E36EE9"/>
    <w:rsid w:val="00F043A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52D70"/>
  <w15:docId w15:val="{0C5B2946-A06B-443E-8F67-B0471682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043A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043A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337</ap:Words>
  <ap:Characters>2024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2021-10-06T09:36:00.0000000Z</dcterms:created>
  <dcterms:modified xsi:type="dcterms:W3CDTF">2021-11-08T17:11:00.0000000Z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