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40AC" w:rsidR="00751A4B" w:rsidRDefault="00AF5263" w14:paraId="140D0C3D" w14:textId="51262DE8">
      <w:pPr>
        <w:rPr>
          <w:b/>
          <w:bCs/>
          <w:sz w:val="24"/>
          <w:szCs w:val="24"/>
        </w:rPr>
      </w:pPr>
      <w:r w:rsidRPr="008540AC">
        <w:rPr>
          <w:b/>
          <w:bCs/>
          <w:sz w:val="24"/>
          <w:szCs w:val="24"/>
        </w:rPr>
        <w:t xml:space="preserve">Maatwerk </w:t>
      </w:r>
      <w:r w:rsidR="00424145">
        <w:rPr>
          <w:b/>
          <w:bCs/>
          <w:sz w:val="24"/>
          <w:szCs w:val="24"/>
        </w:rPr>
        <w:t xml:space="preserve">en uitvoering </w:t>
      </w:r>
      <w:r w:rsidRPr="008540AC">
        <w:rPr>
          <w:b/>
          <w:bCs/>
          <w:sz w:val="24"/>
          <w:szCs w:val="24"/>
        </w:rPr>
        <w:t>in het vreemdelingenrecht</w:t>
      </w:r>
      <w:r w:rsidRPr="008540AC" w:rsidR="008540AC">
        <w:rPr>
          <w:b/>
          <w:bCs/>
          <w:sz w:val="24"/>
          <w:szCs w:val="24"/>
        </w:rPr>
        <w:t>, ro</w:t>
      </w:r>
      <w:r w:rsidR="008540AC">
        <w:rPr>
          <w:b/>
          <w:bCs/>
          <w:sz w:val="24"/>
          <w:szCs w:val="24"/>
        </w:rPr>
        <w:t>ndetafel</w:t>
      </w:r>
      <w:r w:rsidR="008F0EAA">
        <w:rPr>
          <w:b/>
          <w:bCs/>
          <w:sz w:val="24"/>
          <w:szCs w:val="24"/>
        </w:rPr>
        <w:t>gesprek</w:t>
      </w:r>
    </w:p>
    <w:p w:rsidR="00AF5263" w:rsidRDefault="00AF5263" w14:paraId="2DB9FF65" w14:textId="7952B4D4">
      <w:r w:rsidRPr="00AF5263">
        <w:t>Prof.mr. Y.E. Schuurmans, 24 juni</w:t>
      </w:r>
      <w:r>
        <w:t xml:space="preserve"> 2021</w:t>
      </w:r>
      <w:r w:rsidR="00424145">
        <w:rPr>
          <w:rStyle w:val="FootnoteReference"/>
        </w:rPr>
        <w:footnoteReference w:id="1"/>
      </w:r>
    </w:p>
    <w:p w:rsidR="00C3733D" w:rsidRDefault="00366D6B" w14:paraId="4F4BEC1A" w14:textId="20CB7D6A">
      <w:pPr>
        <w:rPr>
          <w:i/>
          <w:iCs/>
        </w:rPr>
      </w:pPr>
      <w:r>
        <w:rPr>
          <w:i/>
          <w:iCs/>
        </w:rPr>
        <w:t xml:space="preserve">In deze bijdrage </w:t>
      </w:r>
      <w:r w:rsidR="00AE331F">
        <w:rPr>
          <w:i/>
          <w:iCs/>
        </w:rPr>
        <w:t xml:space="preserve">belicht ik </w:t>
      </w:r>
      <w:r w:rsidR="00184D08">
        <w:rPr>
          <w:i/>
          <w:iCs/>
        </w:rPr>
        <w:t xml:space="preserve">in welke mate het gebrek aan maatwerk in het vreemdelingenrecht </w:t>
      </w:r>
      <w:r w:rsidR="0071189F">
        <w:rPr>
          <w:i/>
          <w:iCs/>
        </w:rPr>
        <w:t xml:space="preserve">overeenkomt / verschilt met het bestuursrecht </w:t>
      </w:r>
      <w:r w:rsidR="00AE331F">
        <w:rPr>
          <w:i/>
          <w:iCs/>
        </w:rPr>
        <w:t>(incl. Toeslagenaffaire)</w:t>
      </w:r>
      <w:r w:rsidR="00E01440">
        <w:rPr>
          <w:i/>
          <w:iCs/>
        </w:rPr>
        <w:t>. Ik licht kort toe</w:t>
      </w:r>
      <w:r w:rsidR="00B5199A">
        <w:rPr>
          <w:i/>
          <w:iCs/>
        </w:rPr>
        <w:t xml:space="preserve"> dat</w:t>
      </w:r>
      <w:r w:rsidR="00C3733D">
        <w:rPr>
          <w:i/>
          <w:iCs/>
        </w:rPr>
        <w:t>:</w:t>
      </w:r>
      <w:r>
        <w:rPr>
          <w:i/>
          <w:iCs/>
        </w:rPr>
        <w:t xml:space="preserve"> </w:t>
      </w:r>
    </w:p>
    <w:p w:rsidR="00C3733D" w:rsidP="00C3733D" w:rsidRDefault="004E28C0" w14:paraId="103E5779" w14:textId="01B55EBB">
      <w:pPr>
        <w:pStyle w:val="ListParagraph"/>
        <w:numPr>
          <w:ilvl w:val="0"/>
          <w:numId w:val="1"/>
        </w:numPr>
        <w:rPr>
          <w:i/>
          <w:iCs/>
        </w:rPr>
      </w:pPr>
      <w:r w:rsidRPr="00C3733D">
        <w:rPr>
          <w:i/>
          <w:iCs/>
        </w:rPr>
        <w:t>de IND als uitvoeringsorganisatie onder druk staat</w:t>
      </w:r>
    </w:p>
    <w:p w:rsidR="008A12E0" w:rsidP="00C3733D" w:rsidRDefault="008A12E0" w14:paraId="340879CA" w14:textId="14D5794D">
      <w:pPr>
        <w:pStyle w:val="ListParagraph"/>
        <w:numPr>
          <w:ilvl w:val="0"/>
          <w:numId w:val="1"/>
        </w:numPr>
        <w:rPr>
          <w:i/>
          <w:iCs/>
        </w:rPr>
      </w:pPr>
      <w:r>
        <w:rPr>
          <w:i/>
          <w:iCs/>
        </w:rPr>
        <w:t xml:space="preserve">vreemdelingen voor ‘maatwerk’ vooral afhankelijk zijn van </w:t>
      </w:r>
      <w:r w:rsidR="001F06F5">
        <w:rPr>
          <w:i/>
          <w:iCs/>
        </w:rPr>
        <w:t>het</w:t>
      </w:r>
      <w:r>
        <w:rPr>
          <w:i/>
          <w:iCs/>
        </w:rPr>
        <w:t xml:space="preserve"> bestuur</w:t>
      </w:r>
    </w:p>
    <w:p w:rsidRPr="004536FC" w:rsidR="007B1E0D" w:rsidP="004536FC" w:rsidRDefault="008749B4" w14:paraId="0B82648F" w14:textId="7097813B">
      <w:pPr>
        <w:pStyle w:val="ListParagraph"/>
        <w:numPr>
          <w:ilvl w:val="0"/>
          <w:numId w:val="1"/>
        </w:numPr>
        <w:rPr>
          <w:i/>
          <w:iCs/>
        </w:rPr>
      </w:pPr>
      <w:r>
        <w:rPr>
          <w:i/>
          <w:iCs/>
        </w:rPr>
        <w:t>een veelomvattend</w:t>
      </w:r>
      <w:r w:rsidR="00204E34">
        <w:rPr>
          <w:i/>
          <w:iCs/>
        </w:rPr>
        <w:t>,</w:t>
      </w:r>
      <w:r>
        <w:rPr>
          <w:i/>
          <w:iCs/>
        </w:rPr>
        <w:t xml:space="preserve"> restrictief </w:t>
      </w:r>
      <w:r w:rsidR="00D132CE">
        <w:rPr>
          <w:i/>
          <w:iCs/>
        </w:rPr>
        <w:t>vreemdelingen</w:t>
      </w:r>
      <w:r>
        <w:rPr>
          <w:i/>
          <w:iCs/>
        </w:rPr>
        <w:t xml:space="preserve">beleid </w:t>
      </w:r>
      <w:r w:rsidR="00CA5488">
        <w:rPr>
          <w:i/>
          <w:iCs/>
        </w:rPr>
        <w:t>é</w:t>
      </w:r>
      <w:r w:rsidR="00204E34">
        <w:rPr>
          <w:i/>
          <w:iCs/>
        </w:rPr>
        <w:t xml:space="preserve">n de vormgeving van het procesrecht </w:t>
      </w:r>
      <w:r w:rsidR="007B5DC1">
        <w:rPr>
          <w:i/>
          <w:iCs/>
        </w:rPr>
        <w:t xml:space="preserve">geen voedingsbodem </w:t>
      </w:r>
      <w:r w:rsidR="00D132CE">
        <w:rPr>
          <w:i/>
          <w:iCs/>
        </w:rPr>
        <w:t>vorm</w:t>
      </w:r>
      <w:r w:rsidR="00204E34">
        <w:rPr>
          <w:i/>
          <w:iCs/>
        </w:rPr>
        <w:t>en</w:t>
      </w:r>
      <w:r w:rsidR="00D132CE">
        <w:rPr>
          <w:i/>
          <w:iCs/>
        </w:rPr>
        <w:t xml:space="preserve"> </w:t>
      </w:r>
      <w:r w:rsidR="007B5DC1">
        <w:rPr>
          <w:i/>
          <w:iCs/>
        </w:rPr>
        <w:t xml:space="preserve">voor maatwerk </w:t>
      </w:r>
    </w:p>
    <w:p w:rsidRPr="00871803" w:rsidR="00AF5263" w:rsidP="00A830AD" w:rsidRDefault="00AF5263" w14:paraId="179C3389" w14:textId="31BAE8AB">
      <w:pPr>
        <w:spacing w:after="0" w:line="240" w:lineRule="auto"/>
        <w:rPr>
          <w:i/>
          <w:iCs/>
        </w:rPr>
      </w:pPr>
      <w:r w:rsidRPr="00871803">
        <w:rPr>
          <w:i/>
          <w:iCs/>
        </w:rPr>
        <w:t>Loop</w:t>
      </w:r>
      <w:r w:rsidRPr="00871803" w:rsidR="00A830AD">
        <w:rPr>
          <w:i/>
          <w:iCs/>
        </w:rPr>
        <w:t>t</w:t>
      </w:r>
      <w:r w:rsidRPr="00871803">
        <w:rPr>
          <w:i/>
          <w:iCs/>
        </w:rPr>
        <w:t xml:space="preserve"> de uitvoering tegen maatwerkproblemen aan?</w:t>
      </w:r>
    </w:p>
    <w:p w:rsidR="0069049A" w:rsidP="00A830AD" w:rsidRDefault="004536FC" w14:paraId="4AA27A86" w14:textId="1803E385">
      <w:pPr>
        <w:spacing w:after="0" w:line="240" w:lineRule="auto"/>
      </w:pPr>
      <w:r>
        <w:t>V</w:t>
      </w:r>
      <w:r w:rsidR="00A830AD">
        <w:t xml:space="preserve">ele grote uitvoeringsorganisaties </w:t>
      </w:r>
      <w:r>
        <w:t xml:space="preserve">lopen </w:t>
      </w:r>
      <w:r w:rsidR="00134298">
        <w:t xml:space="preserve">tegen problemen aan, waarbij de uitvoering snel bureaucratisch en rigide wordt. Vrije bevoegdheden worden dichtgeregeld met beleid, de uitvoering is deels geautomatiseerd en beslisambtenaren ervaren weinig ruimte of </w:t>
      </w:r>
      <w:r w:rsidR="00E27C35">
        <w:t xml:space="preserve">het </w:t>
      </w:r>
      <w:r w:rsidR="00134298">
        <w:t xml:space="preserve">ontbreekt </w:t>
      </w:r>
      <w:r w:rsidR="00E27C35">
        <w:t xml:space="preserve">hen aan voldoende kennis </w:t>
      </w:r>
      <w:r w:rsidR="00E90D1D">
        <w:t xml:space="preserve">en ervaring </w:t>
      </w:r>
      <w:r w:rsidR="00E27C35">
        <w:t>om wet, regelgeving en beleid naar doel en strekking uit te leggen.</w:t>
      </w:r>
      <w:r w:rsidR="00E27C35">
        <w:rPr>
          <w:rStyle w:val="FootnoteReference"/>
        </w:rPr>
        <w:footnoteReference w:id="2"/>
      </w:r>
      <w:r w:rsidR="00957C6C">
        <w:t xml:space="preserve"> De IND is in deze rapporten </w:t>
      </w:r>
      <w:r w:rsidR="00150BEA">
        <w:t xml:space="preserve">niet zelfstandig onderzocht. </w:t>
      </w:r>
      <w:r w:rsidR="00DA6ABC">
        <w:t xml:space="preserve">Wel zijn er verschillende onderzoeken gedaan </w:t>
      </w:r>
      <w:r w:rsidR="005B3BC7">
        <w:t xml:space="preserve">naar het functioneren van de IND, die </w:t>
      </w:r>
      <w:r w:rsidR="00CD3CD4">
        <w:t xml:space="preserve">raken </w:t>
      </w:r>
      <w:r w:rsidR="005B3BC7">
        <w:t xml:space="preserve">aan gelijksoortige problemen. Zo is duidelijk dat de IND </w:t>
      </w:r>
      <w:r w:rsidR="00FA4FB0">
        <w:t>on</w:t>
      </w:r>
      <w:r w:rsidR="00112D86">
        <w:t xml:space="preserve">voldoende tegenspel kan </w:t>
      </w:r>
      <w:r w:rsidR="001A18D0">
        <w:t xml:space="preserve">leveren </w:t>
      </w:r>
      <w:r w:rsidR="004036ED">
        <w:t xml:space="preserve">aan politieke druk </w:t>
      </w:r>
      <w:r w:rsidR="001A18D0">
        <w:t xml:space="preserve">en daardoor </w:t>
      </w:r>
      <w:r w:rsidR="004036ED">
        <w:t>met uitvoering wordt belast die het lastig professioneel kan uitvoeren.</w:t>
      </w:r>
      <w:r w:rsidR="004036ED">
        <w:rPr>
          <w:rStyle w:val="FootnoteReference"/>
        </w:rPr>
        <w:footnoteReference w:id="3"/>
      </w:r>
      <w:r w:rsidR="006E45F2">
        <w:t xml:space="preserve"> </w:t>
      </w:r>
      <w:r w:rsidR="008C0905">
        <w:t xml:space="preserve">Ook </w:t>
      </w:r>
      <w:r w:rsidR="003A12BF">
        <w:t>de IND kamp</w:t>
      </w:r>
      <w:r w:rsidR="00432DFE">
        <w:t>t</w:t>
      </w:r>
      <w:r w:rsidR="003A12BF">
        <w:t xml:space="preserve"> met </w:t>
      </w:r>
      <w:r w:rsidR="00A246D3">
        <w:t>een tekort aan medewerkers, met een (te) beperkt ervaringsniveau voor complexe besluitvorming.</w:t>
      </w:r>
      <w:r w:rsidR="00A246D3">
        <w:rPr>
          <w:rStyle w:val="FootnoteReference"/>
        </w:rPr>
        <w:footnoteReference w:id="4"/>
      </w:r>
      <w:r w:rsidR="00A246D3">
        <w:t xml:space="preserve"> </w:t>
      </w:r>
      <w:r w:rsidR="00A577DC">
        <w:t xml:space="preserve">Cultuur </w:t>
      </w:r>
      <w:r w:rsidR="00F613DD">
        <w:t xml:space="preserve">speelt </w:t>
      </w:r>
      <w:r w:rsidR="00A577DC">
        <w:t>een rol: “</w:t>
      </w:r>
      <w:r w:rsidR="0069049A">
        <w:t>Binnen de IND-cultuur bestaat een angst dat ‘oog voor menselijke maat’ moeilijk verenigbaar is met de ‘bedrijfsmatigheid’ die nodig is om tegelijkertijd óók binnen de daarvoor geldende termijnen op een kostenefficiënte wijze tot een rechtvaardig (gelijke situaties volgens de geldende kaders gelijk behandelen) beoordeling te komen.</w:t>
      </w:r>
      <w:r w:rsidR="004C23D5">
        <w:t>”</w:t>
      </w:r>
      <w:r w:rsidR="004C23D5">
        <w:rPr>
          <w:rStyle w:val="FootnoteReference"/>
        </w:rPr>
        <w:footnoteReference w:id="5"/>
      </w:r>
      <w:r w:rsidR="00BE3B78">
        <w:t xml:space="preserve"> </w:t>
      </w:r>
      <w:r w:rsidR="009459DD">
        <w:t>Maatwerk vraagt van medewerkers om eigen verantwoordelijkheid te durven nemen</w:t>
      </w:r>
      <w:r w:rsidR="0053274D">
        <w:t xml:space="preserve">, wat </w:t>
      </w:r>
      <w:r w:rsidR="00B45911">
        <w:t>onveilig kan zijn bij e</w:t>
      </w:r>
      <w:r w:rsidR="008540A5">
        <w:t>en hoge werkdruk, te weinig ervaren personeel</w:t>
      </w:r>
      <w:r w:rsidR="00975F86">
        <w:t>,</w:t>
      </w:r>
      <w:r w:rsidR="008540A5">
        <w:t xml:space="preserve"> in een politiek gevoelig beleidsveld.</w:t>
      </w:r>
    </w:p>
    <w:p w:rsidR="0069049A" w:rsidP="00A830AD" w:rsidRDefault="0069049A" w14:paraId="6E6AD056" w14:textId="77777777">
      <w:pPr>
        <w:spacing w:after="0" w:line="240" w:lineRule="auto"/>
      </w:pPr>
    </w:p>
    <w:p w:rsidRPr="00871803" w:rsidR="00B60431" w:rsidP="00A830AD" w:rsidRDefault="00B60431" w14:paraId="2B6D84A2" w14:textId="0CDF01DE">
      <w:pPr>
        <w:spacing w:after="0" w:line="240" w:lineRule="auto"/>
        <w:rPr>
          <w:i/>
          <w:iCs/>
        </w:rPr>
      </w:pPr>
      <w:r w:rsidRPr="00871803">
        <w:rPr>
          <w:i/>
          <w:iCs/>
        </w:rPr>
        <w:t>Verschillen en overeenkomsten met Toeslagenaffaire?</w:t>
      </w:r>
    </w:p>
    <w:p w:rsidR="005D30ED" w:rsidP="00A830AD" w:rsidRDefault="00EC390B" w14:paraId="07F7D116" w14:textId="7826E4FA">
      <w:pPr>
        <w:spacing w:after="0" w:line="240" w:lineRule="auto"/>
      </w:pPr>
      <w:r>
        <w:t xml:space="preserve">Zoals de onderzoekers </w:t>
      </w:r>
      <w:r w:rsidR="00E766F4">
        <w:t xml:space="preserve">van </w:t>
      </w:r>
      <w:r w:rsidR="000A5303">
        <w:rPr>
          <w:i/>
          <w:iCs/>
        </w:rPr>
        <w:t>Ongekend onrecht</w:t>
      </w:r>
      <w:r w:rsidR="000A5303">
        <w:t xml:space="preserve"> belichten</w:t>
      </w:r>
      <w:r w:rsidR="00111073">
        <w:t>, zijn er de nodige overeenkomsten met</w:t>
      </w:r>
      <w:r w:rsidR="00874C98">
        <w:t xml:space="preserve"> de problematiek in de Toeslagenaffaire.</w:t>
      </w:r>
      <w:r w:rsidR="000957BC">
        <w:rPr>
          <w:rStyle w:val="FootnoteReference"/>
        </w:rPr>
        <w:footnoteReference w:id="6"/>
      </w:r>
      <w:r w:rsidR="00874C98">
        <w:t xml:space="preserve"> </w:t>
      </w:r>
      <w:r w:rsidR="00A80427">
        <w:t xml:space="preserve">Vele </w:t>
      </w:r>
      <w:r w:rsidR="004C6C28">
        <w:t xml:space="preserve">vreemdelingen verkeren in een kwetsbare positie, </w:t>
      </w:r>
      <w:r w:rsidR="000406CF">
        <w:t xml:space="preserve">waarbij </w:t>
      </w:r>
      <w:r w:rsidR="004C6C28">
        <w:t>d</w:t>
      </w:r>
      <w:r w:rsidR="00F215D2">
        <w:t xml:space="preserve">e besluiten </w:t>
      </w:r>
      <w:r w:rsidR="000406CF">
        <w:t>zeer</w:t>
      </w:r>
      <w:r w:rsidR="00C70986">
        <w:t xml:space="preserve"> </w:t>
      </w:r>
      <w:r w:rsidR="00F215D2">
        <w:t xml:space="preserve">grote gevolgen </w:t>
      </w:r>
      <w:r w:rsidR="000406CF">
        <w:t xml:space="preserve">op het </w:t>
      </w:r>
      <w:r w:rsidR="00F215D2">
        <w:t xml:space="preserve">persoonlijk leven </w:t>
      </w:r>
      <w:r w:rsidR="000406CF">
        <w:t>hebben</w:t>
      </w:r>
      <w:r w:rsidR="008773D6">
        <w:t xml:space="preserve"> en </w:t>
      </w:r>
      <w:r w:rsidR="00744C75">
        <w:t xml:space="preserve">het rechtssysteem niet </w:t>
      </w:r>
      <w:r w:rsidR="008773D6">
        <w:t xml:space="preserve">als vanzelf foute of onrechtvaardige besluiten </w:t>
      </w:r>
      <w:r w:rsidR="00B47A9A">
        <w:t>eruit filtert</w:t>
      </w:r>
      <w:r w:rsidR="000406CF">
        <w:t xml:space="preserve">. </w:t>
      </w:r>
    </w:p>
    <w:p w:rsidR="005D30ED" w:rsidP="00A830AD" w:rsidRDefault="005D30ED" w14:paraId="734FC44B" w14:textId="77777777">
      <w:pPr>
        <w:spacing w:after="0" w:line="240" w:lineRule="auto"/>
      </w:pPr>
    </w:p>
    <w:p w:rsidRPr="009152CA" w:rsidR="009152CA" w:rsidP="00A830AD" w:rsidRDefault="009152CA" w14:paraId="23A7B550" w14:textId="79CAE8AC">
      <w:pPr>
        <w:spacing w:after="0" w:line="240" w:lineRule="auto"/>
        <w:rPr>
          <w:i/>
          <w:iCs/>
        </w:rPr>
      </w:pPr>
      <w:r>
        <w:rPr>
          <w:i/>
          <w:iCs/>
        </w:rPr>
        <w:t xml:space="preserve">Grote eigen </w:t>
      </w:r>
      <w:r w:rsidR="00421CDB">
        <w:rPr>
          <w:i/>
          <w:iCs/>
        </w:rPr>
        <w:t>proces</w:t>
      </w:r>
      <w:r>
        <w:rPr>
          <w:i/>
          <w:iCs/>
        </w:rPr>
        <w:t>verantwoordelijkheid vreemdeling</w:t>
      </w:r>
      <w:r w:rsidR="00421CDB">
        <w:rPr>
          <w:i/>
          <w:iCs/>
        </w:rPr>
        <w:t xml:space="preserve"> én afhankelijkheid</w:t>
      </w:r>
    </w:p>
    <w:p w:rsidR="009E414A" w:rsidP="00A830AD" w:rsidRDefault="00FB3563" w14:paraId="46705EF9" w14:textId="77777777">
      <w:pPr>
        <w:spacing w:after="0" w:line="240" w:lineRule="auto"/>
      </w:pPr>
      <w:r>
        <w:t xml:space="preserve">De rechtsverhouding </w:t>
      </w:r>
      <w:r w:rsidR="00DA2F8E">
        <w:t xml:space="preserve">staatssecretaris (IND) – vreemdeling is </w:t>
      </w:r>
      <w:r w:rsidR="005321D5">
        <w:t>sterk ongelijkwaardig</w:t>
      </w:r>
      <w:r w:rsidR="008E1CB0">
        <w:t xml:space="preserve">. Dat kan niet volledig door de </w:t>
      </w:r>
      <w:r w:rsidR="00620BAD">
        <w:t>advocaat worden gecompenseerd, omdat de toegang tot informatie en zich</w:t>
      </w:r>
      <w:r w:rsidR="00E42A31">
        <w:t>t</w:t>
      </w:r>
      <w:r w:rsidR="00620BAD">
        <w:t xml:space="preserve"> op vergelijkbare dossiers </w:t>
      </w:r>
      <w:r w:rsidR="001618D7">
        <w:t>beperkt</w:t>
      </w:r>
      <w:r w:rsidR="00F556A4">
        <w:t xml:space="preserve"> is. </w:t>
      </w:r>
      <w:r w:rsidR="00F73C2B">
        <w:t>De IND z</w:t>
      </w:r>
      <w:r w:rsidR="009E414A">
        <w:t>é</w:t>
      </w:r>
      <w:r w:rsidR="00F73C2B">
        <w:t xml:space="preserve">lf is nodig voor maatwerk. </w:t>
      </w:r>
    </w:p>
    <w:p w:rsidRPr="000A5303" w:rsidR="00EC390B" w:rsidP="00A830AD" w:rsidRDefault="00F556A4" w14:paraId="62575C17" w14:textId="687D4264">
      <w:pPr>
        <w:spacing w:after="0" w:line="240" w:lineRule="auto"/>
      </w:pPr>
      <w:r>
        <w:t xml:space="preserve">Hoewel </w:t>
      </w:r>
      <w:r w:rsidR="007313C8">
        <w:t xml:space="preserve">een aantal bevlogen </w:t>
      </w:r>
      <w:r w:rsidR="00333696">
        <w:t>kw</w:t>
      </w:r>
      <w:r w:rsidR="00D219D9">
        <w:t xml:space="preserve">alitatief hoogwaardige </w:t>
      </w:r>
      <w:r w:rsidR="007313C8">
        <w:t xml:space="preserve">advocaten </w:t>
      </w:r>
      <w:r w:rsidR="005F4C8E">
        <w:t xml:space="preserve">actief is in </w:t>
      </w:r>
      <w:r w:rsidR="00A11E6E">
        <w:t>het migratierecht</w:t>
      </w:r>
      <w:r w:rsidR="005F4C8E">
        <w:t xml:space="preserve">, is </w:t>
      </w:r>
      <w:r w:rsidR="005B35E7">
        <w:t xml:space="preserve">de kwaliteit van de </w:t>
      </w:r>
      <w:r w:rsidR="00D15BB3">
        <w:t xml:space="preserve">advocatuur </w:t>
      </w:r>
      <w:r w:rsidR="005B35E7">
        <w:t xml:space="preserve">kwetsbaar. </w:t>
      </w:r>
      <w:r w:rsidR="00000AC4">
        <w:t xml:space="preserve">Migranten </w:t>
      </w:r>
      <w:r w:rsidR="003213FA">
        <w:t xml:space="preserve">kunnen door een achterstand </w:t>
      </w:r>
      <w:r w:rsidR="00333696">
        <w:t>in kennis</w:t>
      </w:r>
      <w:r w:rsidR="00C5552C">
        <w:t xml:space="preserve"> en </w:t>
      </w:r>
      <w:r w:rsidR="00333696">
        <w:t xml:space="preserve">taal </w:t>
      </w:r>
      <w:r w:rsidR="00985C8B">
        <w:t xml:space="preserve">de kwaliteit van de vertegenwoordiging niet goed beoordelen en </w:t>
      </w:r>
      <w:r w:rsidR="000A72D2">
        <w:t xml:space="preserve">door hun afhankelijkheidspositie </w:t>
      </w:r>
      <w:r w:rsidR="00985C8B">
        <w:t xml:space="preserve">lastig </w:t>
      </w:r>
      <w:r w:rsidR="00A9630E">
        <w:t xml:space="preserve">van advocaat wisselen. </w:t>
      </w:r>
      <w:r w:rsidR="007E0692">
        <w:t xml:space="preserve">De eigen procesverantwoordelijkheid </w:t>
      </w:r>
      <w:r w:rsidR="008704B8">
        <w:t xml:space="preserve">van de vreemdeling </w:t>
      </w:r>
      <w:r w:rsidR="007E0692">
        <w:t xml:space="preserve">is </w:t>
      </w:r>
      <w:r w:rsidR="00B47ED9">
        <w:t xml:space="preserve">tegelijk </w:t>
      </w:r>
      <w:r w:rsidR="005068E3">
        <w:t xml:space="preserve">zeer </w:t>
      </w:r>
      <w:r w:rsidR="007E0692">
        <w:lastRenderedPageBreak/>
        <w:t xml:space="preserve">groot: </w:t>
      </w:r>
      <w:r w:rsidR="00957B49">
        <w:t xml:space="preserve">in veel zaken draagt de vreemdeling de bewijslast en hij of zij </w:t>
      </w:r>
      <w:r w:rsidR="008F0450">
        <w:t xml:space="preserve">dient </w:t>
      </w:r>
      <w:r w:rsidR="003C532F">
        <w:t xml:space="preserve">bij de rechter </w:t>
      </w:r>
      <w:r w:rsidR="008F0450">
        <w:t xml:space="preserve">zélf </w:t>
      </w:r>
      <w:r w:rsidR="000F6D19">
        <w:t xml:space="preserve">door middel van beroepsgronden aan te wijzen wat </w:t>
      </w:r>
      <w:r w:rsidR="003C532F">
        <w:t xml:space="preserve">er mis is </w:t>
      </w:r>
      <w:r w:rsidR="0087668D">
        <w:t>met</w:t>
      </w:r>
      <w:r w:rsidR="003C532F">
        <w:t xml:space="preserve"> het </w:t>
      </w:r>
      <w:r w:rsidR="006E67ED">
        <w:t xml:space="preserve">bestreden besluit. De rechter mag </w:t>
      </w:r>
      <w:r w:rsidR="00C12A17">
        <w:t xml:space="preserve">niet </w:t>
      </w:r>
      <w:r w:rsidR="00BE5D5F">
        <w:t xml:space="preserve">op eigen initiatief </w:t>
      </w:r>
      <w:r w:rsidR="00C12A17">
        <w:t>fouten uit het besluit halen (</w:t>
      </w:r>
      <w:r w:rsidR="00D820E1">
        <w:t>i</w:t>
      </w:r>
      <w:r w:rsidR="004E5A89">
        <w:t>n jargon: hij mag niet zomaar ambtshalve toetsen</w:t>
      </w:r>
      <w:r w:rsidR="00D820E1">
        <w:t xml:space="preserve">, </w:t>
      </w:r>
      <w:r w:rsidR="00923D71">
        <w:t>artikel 8:69 A</w:t>
      </w:r>
      <w:r w:rsidR="002770F8">
        <w:t xml:space="preserve">lgemene </w:t>
      </w:r>
      <w:r w:rsidR="00923D71">
        <w:t>w</w:t>
      </w:r>
      <w:r w:rsidR="002770F8">
        <w:t xml:space="preserve">et </w:t>
      </w:r>
      <w:r w:rsidR="00923D71">
        <w:t>b</w:t>
      </w:r>
      <w:r w:rsidR="002770F8">
        <w:t>estuursrecht)</w:t>
      </w:r>
      <w:r w:rsidR="00865756">
        <w:t xml:space="preserve">. </w:t>
      </w:r>
      <w:r w:rsidR="00A2777D">
        <w:t xml:space="preserve">Het is op basis van rechtspraak duidelijk </w:t>
      </w:r>
      <w:r w:rsidR="005628DC">
        <w:t>(</w:t>
      </w:r>
      <w:r w:rsidR="0067000D">
        <w:t xml:space="preserve">conform </w:t>
      </w:r>
      <w:r w:rsidR="00865756">
        <w:t xml:space="preserve">mijn </w:t>
      </w:r>
      <w:r w:rsidR="005628DC">
        <w:t xml:space="preserve">eigen ervaring als </w:t>
      </w:r>
      <w:r w:rsidR="00865756">
        <w:t>rechter-plaatsvervanger</w:t>
      </w:r>
      <w:r w:rsidR="005628DC">
        <w:t xml:space="preserve">) </w:t>
      </w:r>
      <w:r w:rsidR="00237D66">
        <w:t xml:space="preserve">dat advocaten </w:t>
      </w:r>
      <w:r w:rsidR="003F5110">
        <w:t xml:space="preserve">soms </w:t>
      </w:r>
      <w:r w:rsidR="003B055F">
        <w:t xml:space="preserve">niet de </w:t>
      </w:r>
      <w:proofErr w:type="spellStart"/>
      <w:r w:rsidR="003B055F">
        <w:t>terzake</w:t>
      </w:r>
      <w:proofErr w:type="spellEnd"/>
      <w:r w:rsidR="003B055F">
        <w:t xml:space="preserve"> doende beroepsgronden aanvoeren </w:t>
      </w:r>
      <w:r w:rsidR="00EC2E09">
        <w:t>en uitwerken</w:t>
      </w:r>
      <w:r w:rsidR="00681478">
        <w:t xml:space="preserve">. De bestuursrechter kan daar in het huidige stelsel </w:t>
      </w:r>
      <w:r w:rsidR="0024130A">
        <w:t xml:space="preserve">beperkt wat </w:t>
      </w:r>
      <w:r w:rsidR="00DD7DDD">
        <w:t>aan doen</w:t>
      </w:r>
      <w:r w:rsidR="00B66684">
        <w:t xml:space="preserve">, ook als hij of zij het besluit als </w:t>
      </w:r>
      <w:r w:rsidR="004A5A36">
        <w:t xml:space="preserve">hoogst onrechtvaardig zou ervaren. </w:t>
      </w:r>
      <w:r w:rsidR="00F03702">
        <w:t xml:space="preserve">De Afdeling bestuursrechtspraak van de Raad van State </w:t>
      </w:r>
      <w:r w:rsidR="005350D9">
        <w:t>(</w:t>
      </w:r>
      <w:proofErr w:type="spellStart"/>
      <w:r w:rsidR="005350D9">
        <w:t>ABRvS</w:t>
      </w:r>
      <w:proofErr w:type="spellEnd"/>
      <w:r w:rsidR="005350D9">
        <w:t xml:space="preserve">) </w:t>
      </w:r>
      <w:r w:rsidR="00F03702">
        <w:t xml:space="preserve">heeft </w:t>
      </w:r>
      <w:r w:rsidR="00354192">
        <w:t>onlangs over deze problematiek (maar alleen speci</w:t>
      </w:r>
      <w:r w:rsidR="007B77B6">
        <w:t>fi</w:t>
      </w:r>
      <w:r w:rsidR="00354192">
        <w:t xml:space="preserve">ek </w:t>
      </w:r>
      <w:r w:rsidR="007B77B6">
        <w:t xml:space="preserve">in zaken over vreemdelingenbewaring) </w:t>
      </w:r>
      <w:r w:rsidR="00354192">
        <w:t xml:space="preserve">een prejudiciële vraag gesteld aan het </w:t>
      </w:r>
      <w:r w:rsidR="004A5A36">
        <w:t xml:space="preserve">Hof van Justitie van </w:t>
      </w:r>
      <w:r w:rsidR="00A8419D">
        <w:t xml:space="preserve">de </w:t>
      </w:r>
      <w:r w:rsidR="004A5A36">
        <w:t>EU</w:t>
      </w:r>
      <w:r w:rsidR="00790C7B">
        <w:t>: mag je als rechter ook de naleving van een bepaalde rechtsregels toetsen</w:t>
      </w:r>
      <w:r w:rsidR="007B01C2">
        <w:t>, als de advocaat van de vreemdeling dat niet heeft aangevoerd?</w:t>
      </w:r>
      <w:r w:rsidR="007B77B6">
        <w:rPr>
          <w:rStyle w:val="FootnoteReference"/>
        </w:rPr>
        <w:footnoteReference w:id="7"/>
      </w:r>
      <w:r w:rsidR="007B77B6">
        <w:t xml:space="preserve"> </w:t>
      </w:r>
    </w:p>
    <w:p w:rsidR="00B60431" w:rsidP="00A830AD" w:rsidRDefault="00B60431" w14:paraId="69C35CBF" w14:textId="3C4A1B41">
      <w:pPr>
        <w:spacing w:after="0" w:line="240" w:lineRule="auto"/>
      </w:pPr>
    </w:p>
    <w:p w:rsidRPr="00A23E00" w:rsidR="002A3FC9" w:rsidP="00A830AD" w:rsidRDefault="00A23E00" w14:paraId="0204664E" w14:textId="54A88F30">
      <w:pPr>
        <w:spacing w:after="0" w:line="240" w:lineRule="auto"/>
        <w:rPr>
          <w:i/>
          <w:iCs/>
        </w:rPr>
      </w:pPr>
      <w:r>
        <w:rPr>
          <w:i/>
          <w:iCs/>
        </w:rPr>
        <w:t>Politieke dimensie</w:t>
      </w:r>
    </w:p>
    <w:p w:rsidR="00E7381C" w:rsidP="00A830AD" w:rsidRDefault="00A23E00" w14:paraId="37174E8C" w14:textId="77777777">
      <w:pPr>
        <w:spacing w:after="0" w:line="240" w:lineRule="auto"/>
      </w:pPr>
      <w:r>
        <w:t xml:space="preserve">In veel beleidsstukken komt terug dat Nederland een restrictief vreemdelingenbeleid </w:t>
      </w:r>
      <w:r w:rsidR="00F8540A">
        <w:t>wenst te voeren</w:t>
      </w:r>
      <w:r w:rsidR="00CB2151">
        <w:t xml:space="preserve">, waarmee diverse </w:t>
      </w:r>
      <w:r w:rsidR="00F8540A">
        <w:t xml:space="preserve">politieke partijen </w:t>
      </w:r>
      <w:r w:rsidR="00CB2151">
        <w:t xml:space="preserve">zich profileren. Anders dan </w:t>
      </w:r>
      <w:r w:rsidR="0065441F">
        <w:t xml:space="preserve">lang gold voor het </w:t>
      </w:r>
      <w:r w:rsidR="00CB2151">
        <w:t>toeslagen</w:t>
      </w:r>
      <w:r w:rsidR="0065441F">
        <w:t>systeem</w:t>
      </w:r>
      <w:r w:rsidR="00CB2151">
        <w:t xml:space="preserve">, vormt </w:t>
      </w:r>
      <w:r w:rsidR="003352D4">
        <w:t xml:space="preserve">migratie bij uitstek een thema </w:t>
      </w:r>
      <w:r w:rsidR="00927C7F">
        <w:t>waar</w:t>
      </w:r>
      <w:r w:rsidR="00514FF3">
        <w:t>op</w:t>
      </w:r>
      <w:r w:rsidR="00927C7F">
        <w:t xml:space="preserve"> vol politiek debat plaatsvindt. Dat heeft zijn weerslag op uitvoering én rechterlijke controle.</w:t>
      </w:r>
      <w:r w:rsidR="00A71D3D">
        <w:t xml:space="preserve"> Of vreemdelingen voor een verblijfsvergunning in aanmerking komen</w:t>
      </w:r>
      <w:r w:rsidR="001D6D9B">
        <w:t xml:space="preserve"> of </w:t>
      </w:r>
      <w:r w:rsidR="009B615E">
        <w:t xml:space="preserve">hen </w:t>
      </w:r>
      <w:r w:rsidR="001D6D9B">
        <w:t>kan worden ontnomen en onder welke voorwaarden</w:t>
      </w:r>
      <w:r w:rsidR="003E687D">
        <w:t>,</w:t>
      </w:r>
      <w:r w:rsidR="001D6D9B">
        <w:t xml:space="preserve"> is primair een politiek en beleidsmatig vraagstuk en secundair een </w:t>
      </w:r>
      <w:r w:rsidR="00B93F4F">
        <w:t xml:space="preserve">juridisch vraagstuk. Dat betekent dat de rechter alleen ingrijpt </w:t>
      </w:r>
      <w:r w:rsidR="00CE1DA5">
        <w:t xml:space="preserve">als </w:t>
      </w:r>
      <w:r w:rsidR="00AE5490">
        <w:t>wettelijke regels</w:t>
      </w:r>
      <w:r w:rsidR="00DA3D37">
        <w:t>,</w:t>
      </w:r>
      <w:r w:rsidR="00302B01">
        <w:t xml:space="preserve"> waaronder</w:t>
      </w:r>
      <w:r w:rsidR="00AE5490">
        <w:t xml:space="preserve"> Europees en internationaal recht </w:t>
      </w:r>
      <w:r w:rsidR="00404943">
        <w:t xml:space="preserve">wordt overtreden. </w:t>
      </w:r>
      <w:r w:rsidR="00D2706E">
        <w:t>Kortom</w:t>
      </w:r>
      <w:r w:rsidR="00F16C32">
        <w:t xml:space="preserve">, </w:t>
      </w:r>
      <w:r w:rsidR="008840FB">
        <w:t>de rechter grijpt in uiterste situaties i</w:t>
      </w:r>
      <w:r w:rsidR="00F16C32">
        <w:t>n</w:t>
      </w:r>
      <w:r w:rsidR="0084393C">
        <w:t xml:space="preserve">. </w:t>
      </w:r>
    </w:p>
    <w:p w:rsidR="001D39D0" w:rsidP="00A830AD" w:rsidRDefault="001D39D0" w14:paraId="1FC09DCC" w14:textId="4EDF16E9">
      <w:pPr>
        <w:spacing w:after="0" w:line="240" w:lineRule="auto"/>
      </w:pPr>
    </w:p>
    <w:p w:rsidR="00AB4FD2" w:rsidP="00A830AD" w:rsidRDefault="00C0643D" w14:paraId="397B027D" w14:textId="086B7E78">
      <w:pPr>
        <w:spacing w:after="0" w:line="240" w:lineRule="auto"/>
      </w:pPr>
      <w:r>
        <w:t xml:space="preserve">‘Individuele rechtvaardigheid’ is een concept dat </w:t>
      </w:r>
      <w:r w:rsidR="00F06EA4">
        <w:t xml:space="preserve">beperkt </w:t>
      </w:r>
      <w:r>
        <w:t xml:space="preserve">in het Nederlandse bestuursrecht is uitgewerkt (noch door de wetgever, noch door de bestuursrechter). </w:t>
      </w:r>
      <w:r w:rsidR="00E203DD">
        <w:t>Wel kan de rechter bij discretionaire bevoegdheden toetsen aan het evenredigheidsbeginsel</w:t>
      </w:r>
      <w:r w:rsidR="00542CD7">
        <w:t>, maar t</w:t>
      </w:r>
      <w:r w:rsidR="00E203DD">
        <w:t xml:space="preserve">ot aan de Toeslagenaffaire </w:t>
      </w:r>
      <w:r w:rsidR="00542CD7">
        <w:t>heeft de toetsing aan dat beginsel weinig grenzen gesteld aan het bestuur</w:t>
      </w:r>
      <w:r w:rsidR="00930F94">
        <w:t xml:space="preserve">. Op </w:t>
      </w:r>
      <w:r w:rsidR="00164A71">
        <w:t>dat vlak is rechtsontwikkeling</w:t>
      </w:r>
      <w:r w:rsidR="00E45EFF">
        <w:t xml:space="preserve"> gaande</w:t>
      </w:r>
      <w:r w:rsidR="006636FE">
        <w:t xml:space="preserve">; </w:t>
      </w:r>
      <w:r w:rsidR="0054531C">
        <w:t xml:space="preserve">momenteel </w:t>
      </w:r>
      <w:r w:rsidR="00930F94">
        <w:t xml:space="preserve">is </w:t>
      </w:r>
      <w:r w:rsidR="00F71EA9">
        <w:t xml:space="preserve">bij de </w:t>
      </w:r>
      <w:proofErr w:type="spellStart"/>
      <w:r w:rsidR="00F71EA9">
        <w:t>ABRvS</w:t>
      </w:r>
      <w:proofErr w:type="spellEnd"/>
      <w:r w:rsidR="00F71EA9">
        <w:t xml:space="preserve"> </w:t>
      </w:r>
      <w:r w:rsidR="00930F94">
        <w:t xml:space="preserve">een </w:t>
      </w:r>
      <w:r w:rsidR="00F71EA9">
        <w:t xml:space="preserve">grote rechtszaak aanhangig, waarin de vraag aan de orde is </w:t>
      </w:r>
      <w:r w:rsidR="00817C76">
        <w:t xml:space="preserve">hoe de bestuursrechter de toetsing van het evenredigheidsbeginsel </w:t>
      </w:r>
      <w:r w:rsidR="006636FE">
        <w:t>meer kan operationaliseren</w:t>
      </w:r>
      <w:r w:rsidR="00D10D56">
        <w:t>, in lijn met het Europese recht.</w:t>
      </w:r>
      <w:r w:rsidR="009748A4">
        <w:rPr>
          <w:rStyle w:val="FootnoteReference"/>
        </w:rPr>
        <w:footnoteReference w:id="8"/>
      </w:r>
      <w:r w:rsidR="006636FE">
        <w:t xml:space="preserve"> </w:t>
      </w:r>
      <w:r w:rsidR="00551CA7">
        <w:t>De toetsing aan het even</w:t>
      </w:r>
      <w:r w:rsidR="00920CAE">
        <w:t xml:space="preserve">redigheidsbeginsel zal toetsing aan een juridische grens </w:t>
      </w:r>
      <w:r w:rsidR="00AF34B6">
        <w:t>blijven</w:t>
      </w:r>
      <w:r w:rsidR="00920CAE">
        <w:t xml:space="preserve">; of bijvoorbeeld sprake is </w:t>
      </w:r>
      <w:r w:rsidR="00F946A9">
        <w:t xml:space="preserve">van een schrijnende situatie </w:t>
      </w:r>
      <w:r w:rsidR="00CA6B7E">
        <w:t xml:space="preserve">(art. 3.6ba </w:t>
      </w:r>
      <w:proofErr w:type="spellStart"/>
      <w:r w:rsidR="00CA6B7E">
        <w:t>Vb</w:t>
      </w:r>
      <w:proofErr w:type="spellEnd"/>
      <w:r w:rsidR="00CA6B7E">
        <w:t xml:space="preserve"> 2000) </w:t>
      </w:r>
      <w:r w:rsidR="00AF34B6">
        <w:t xml:space="preserve">of van hardheid (bij een hardheidsclausule) </w:t>
      </w:r>
      <w:r w:rsidR="004E759D">
        <w:t>blijft primair een politiek</w:t>
      </w:r>
      <w:r w:rsidR="00644A80">
        <w:t>-bestuurlijk</w:t>
      </w:r>
      <w:r w:rsidR="004E759D">
        <w:t xml:space="preserve"> vraagstuk</w:t>
      </w:r>
      <w:r w:rsidR="00AB4FD2">
        <w:t xml:space="preserve">, waar het parlement </w:t>
      </w:r>
      <w:r w:rsidR="00C87B29">
        <w:t>d</w:t>
      </w:r>
      <w:r w:rsidR="00CD7040">
        <w:t xml:space="preserve">e grote lijnen controleert </w:t>
      </w:r>
      <w:r w:rsidR="00FC50EB">
        <w:t xml:space="preserve">en de rechter een zekere afstand </w:t>
      </w:r>
      <w:r w:rsidR="00D964B2">
        <w:t>houdt</w:t>
      </w:r>
      <w:r w:rsidR="004E759D">
        <w:t xml:space="preserve">. </w:t>
      </w:r>
      <w:r w:rsidR="00D964B2">
        <w:t xml:space="preserve">Meer hardheidsclausules wordt door </w:t>
      </w:r>
      <w:r w:rsidR="002C25E3">
        <w:t>bestuursrecht- en wetgevingsspecialisten dan ook nauwelijks als een panacee gezien</w:t>
      </w:r>
      <w:r w:rsidR="009E4201">
        <w:t>, als er geen politiek-bestu</w:t>
      </w:r>
      <w:r w:rsidR="00C47A2C">
        <w:t>urlijke wil is om van die uitzondering gebruik te maken</w:t>
      </w:r>
      <w:r w:rsidR="002C25E3">
        <w:t>.</w:t>
      </w:r>
      <w:r w:rsidR="005D4CB9">
        <w:rPr>
          <w:rStyle w:val="FootnoteReference"/>
        </w:rPr>
        <w:footnoteReference w:id="9"/>
      </w:r>
      <w:r w:rsidR="00C662E9">
        <w:t xml:space="preserve"> De wet en het beleid zou zelf redelijk moeten zijn</w:t>
      </w:r>
      <w:r w:rsidR="002A7B57">
        <w:t>.</w:t>
      </w:r>
    </w:p>
    <w:p w:rsidR="001D39D0" w:rsidP="00A830AD" w:rsidRDefault="001D39D0" w14:paraId="2BF2BA05" w14:textId="42C4E5B2">
      <w:pPr>
        <w:spacing w:after="0" w:line="240" w:lineRule="auto"/>
      </w:pPr>
    </w:p>
    <w:p w:rsidR="005C314E" w:rsidP="00A830AD" w:rsidRDefault="005C314E" w14:paraId="16ACBDBA" w14:textId="4E127D08">
      <w:pPr>
        <w:spacing w:after="0" w:line="240" w:lineRule="auto"/>
      </w:pPr>
      <w:r>
        <w:t>Er zijn ook verschillen met de Toeslagenaffaire</w:t>
      </w:r>
      <w:r w:rsidR="00ED31BC">
        <w:t xml:space="preserve">. Waar </w:t>
      </w:r>
      <w:r w:rsidR="00727B2F">
        <w:t xml:space="preserve">de uitvoering van het toeslagensysteem in hoge mate is gedigitaliseerd en geautomatiseerd, is dat </w:t>
      </w:r>
      <w:r w:rsidR="00A14DA9">
        <w:t xml:space="preserve">binnen het vreemdelingrecht veel minder het geval. Rigiditeit </w:t>
      </w:r>
      <w:r w:rsidR="0014258F">
        <w:t xml:space="preserve">in de uitvoering </w:t>
      </w:r>
      <w:r w:rsidR="00CE3623">
        <w:t xml:space="preserve">van het vreemdelingenrecht zit niet zozeer in </w:t>
      </w:r>
      <w:r w:rsidR="00FF47A0">
        <w:t>de Vreemdelingen</w:t>
      </w:r>
      <w:r w:rsidR="00CE3623">
        <w:t>wet</w:t>
      </w:r>
      <w:r w:rsidR="00FF47A0">
        <w:t xml:space="preserve"> 2000 of automatisering, maar veeleer in </w:t>
      </w:r>
      <w:r w:rsidR="00E616F9">
        <w:t xml:space="preserve">cultuur. Dat betreft </w:t>
      </w:r>
      <w:r w:rsidR="00160985">
        <w:t xml:space="preserve">de wijze waarop de </w:t>
      </w:r>
      <w:r w:rsidR="00C263E7">
        <w:t xml:space="preserve">IND met de beleidsruimte omgaat, onder </w:t>
      </w:r>
      <w:r w:rsidR="00FF47A0">
        <w:t xml:space="preserve">politieke </w:t>
      </w:r>
      <w:r w:rsidR="00C263E7">
        <w:t>druk</w:t>
      </w:r>
      <w:r w:rsidR="005B10C3">
        <w:t>.</w:t>
      </w:r>
      <w:r w:rsidR="003C3DDE">
        <w:t xml:space="preserve"> </w:t>
      </w:r>
      <w:r w:rsidRPr="00445718" w:rsidR="009548EB">
        <w:t>De discretionaire bevoegdheden uit de Vreemdelingenwet en het Vreemdelingenbesluit zijn in zeer uitgebreide Vreemdelingencirculaires (beleid) ‘dichtgeregeld’. Een belangenafweging op basis van persoonlijke omstandigheden komt bij dergelijk uitgewerkt beleid nauwelijks van de grond.</w:t>
      </w:r>
      <w:r w:rsidR="009548EB">
        <w:t xml:space="preserve"> </w:t>
      </w:r>
    </w:p>
    <w:p w:rsidR="002A3FC9" w:rsidP="00A830AD" w:rsidRDefault="002A3FC9" w14:paraId="02EBCE2D" w14:textId="559824F8">
      <w:pPr>
        <w:spacing w:after="0" w:line="240" w:lineRule="auto"/>
      </w:pPr>
    </w:p>
    <w:p w:rsidR="00F15A1A" w:rsidP="00F15A1A" w:rsidRDefault="00AE39C9" w14:paraId="63D55335" w14:textId="78F46B95">
      <w:pPr>
        <w:spacing w:after="0" w:line="240" w:lineRule="auto"/>
      </w:pPr>
      <w:r>
        <w:t xml:space="preserve">Het procesrecht vormt in het wel / niet doorbreken van </w:t>
      </w:r>
      <w:r w:rsidR="00B61973">
        <w:t xml:space="preserve">die cultuur een zelfstandige dimensie. </w:t>
      </w:r>
      <w:r w:rsidR="00F15A1A">
        <w:t xml:space="preserve">Maatwerk dient bij voorkeur al bij de besluitvorming te worden geleverd, maar een kritisch </w:t>
      </w:r>
      <w:r w:rsidR="00F15A1A">
        <w:lastRenderedPageBreak/>
        <w:t xml:space="preserve">toetsende rechter is nodig om het bestuur te dwingen steeds ook acht te slaan op de persoonlijke omstandigheden </w:t>
      </w:r>
      <w:r w:rsidR="00AB4E1E">
        <w:t xml:space="preserve">van het geval </w:t>
      </w:r>
      <w:r w:rsidR="00F15A1A">
        <w:t xml:space="preserve">en de vraag of het beleid </w:t>
      </w:r>
      <w:r w:rsidR="001443EE">
        <w:t xml:space="preserve">daadwerkelijk op </w:t>
      </w:r>
      <w:r w:rsidR="00F15A1A">
        <w:t xml:space="preserve">deze concrete zaak </w:t>
      </w:r>
      <w:r w:rsidR="001443EE">
        <w:t>past.</w:t>
      </w:r>
      <w:r w:rsidR="00F15A1A">
        <w:t xml:space="preserve"> </w:t>
      </w:r>
    </w:p>
    <w:p w:rsidR="001443EE" w:rsidP="00A830AD" w:rsidRDefault="00B61973" w14:paraId="71BEDEB2" w14:textId="77777777">
      <w:pPr>
        <w:spacing w:after="0" w:line="240" w:lineRule="auto"/>
      </w:pPr>
      <w:r>
        <w:t>Lang heeft de bestuursrechter in het vreemdelingenrecht zeer terughoud</w:t>
      </w:r>
      <w:r w:rsidR="00AE39C9">
        <w:t>en</w:t>
      </w:r>
      <w:r>
        <w:t>d getoetst, meer dan in het bestuursrecht in het algemeen.</w:t>
      </w:r>
      <w:r w:rsidR="00AE39C9">
        <w:t xml:space="preserve"> </w:t>
      </w:r>
      <w:r w:rsidR="00AF3579">
        <w:t>Vanuit het Europese recht is die Nederlandse invulling onder druk gezet en uiteindelijk aangepast</w:t>
      </w:r>
      <w:r w:rsidR="00D43E93">
        <w:t xml:space="preserve"> (in art. 83 Vw2000)</w:t>
      </w:r>
      <w:r w:rsidR="00AF3579">
        <w:t xml:space="preserve">. </w:t>
      </w:r>
    </w:p>
    <w:p w:rsidR="00041CB7" w:rsidP="00A830AD" w:rsidRDefault="00940117" w14:paraId="296A365D" w14:textId="73A6375D">
      <w:pPr>
        <w:spacing w:after="0" w:line="240" w:lineRule="auto"/>
      </w:pPr>
      <w:r>
        <w:t xml:space="preserve">In de Vreemdelingwet 2000 </w:t>
      </w:r>
      <w:r w:rsidR="00C20F51">
        <w:t>heeft de wetgever voor een afwijkend regime gekozen</w:t>
      </w:r>
      <w:r w:rsidR="0092177C">
        <w:t xml:space="preserve">, </w:t>
      </w:r>
      <w:r w:rsidR="00AC3E9A">
        <w:t xml:space="preserve">vanwege de </w:t>
      </w:r>
      <w:r w:rsidR="00067B81">
        <w:t xml:space="preserve">vele procedures </w:t>
      </w:r>
      <w:r w:rsidR="00663495">
        <w:t xml:space="preserve">tegen afwijzende besluiten. </w:t>
      </w:r>
      <w:r w:rsidR="00AC3E9A">
        <w:t xml:space="preserve">Het hoger beroep heeft niet </w:t>
      </w:r>
      <w:r w:rsidR="00EF5500">
        <w:t>de functie om nog eens naar de zaak van eiser te kijken; het hoger beroep is destijds ingevoerd om rechtseenheid te brengen</w:t>
      </w:r>
      <w:r w:rsidR="00663495">
        <w:t>,</w:t>
      </w:r>
      <w:r w:rsidR="00EF5500">
        <w:t xml:space="preserve"> </w:t>
      </w:r>
      <w:r w:rsidR="0092177C">
        <w:t xml:space="preserve">omdat </w:t>
      </w:r>
      <w:r w:rsidR="00663495">
        <w:t>de praktijken bij de verschillende rechtbanken te zeer uiteen</w:t>
      </w:r>
      <w:r w:rsidR="00A37BB8">
        <w:t xml:space="preserve">liepen. </w:t>
      </w:r>
      <w:r w:rsidR="00D123CC">
        <w:t xml:space="preserve">Vandaar dat gekozen is voor mogelijkheden om het hoger beroep ongemotiveerd af te doen, als </w:t>
      </w:r>
      <w:r w:rsidR="00D91368">
        <w:t xml:space="preserve">de grieven </w:t>
      </w:r>
      <w:r w:rsidR="00DD53B2">
        <w:t xml:space="preserve">niet tot vernietiging van het besluit kunnen leiden </w:t>
      </w:r>
      <w:r w:rsidR="0023211D">
        <w:t xml:space="preserve">of de zaak zonder zitting af te handelen. </w:t>
      </w:r>
      <w:r w:rsidR="00EE50C0">
        <w:t>D</w:t>
      </w:r>
      <w:r w:rsidR="006C4792">
        <w:t>at ontwerp maakt dat d</w:t>
      </w:r>
      <w:r w:rsidR="00EE50C0">
        <w:t xml:space="preserve">e rechtspraak </w:t>
      </w:r>
      <w:r w:rsidR="00BE652A">
        <w:t xml:space="preserve">sterk </w:t>
      </w:r>
      <w:r w:rsidR="006C4792">
        <w:t xml:space="preserve">draait om </w:t>
      </w:r>
      <w:r w:rsidR="00BE652A">
        <w:t xml:space="preserve">rechtsvragen / rechtseenheid en beperkt op rechtsbedeling </w:t>
      </w:r>
      <w:r w:rsidR="001F3900">
        <w:t xml:space="preserve">en maatwerk </w:t>
      </w:r>
      <w:r w:rsidR="00BE652A">
        <w:t xml:space="preserve">in het individuele geval. </w:t>
      </w:r>
    </w:p>
    <w:p w:rsidR="00023FF3" w:rsidP="00A830AD" w:rsidRDefault="00775F17" w14:paraId="6226FCFE" w14:textId="105D81DD">
      <w:pPr>
        <w:spacing w:after="0" w:line="240" w:lineRule="auto"/>
      </w:pPr>
      <w:r>
        <w:t>De in het algemene bestuursrecht ingezette ontwikkeling naar een m</w:t>
      </w:r>
      <w:r w:rsidR="00C95A14">
        <w:t>inder terughoudende toetsing, meer aandacht voor</w:t>
      </w:r>
      <w:r w:rsidR="00332D3D">
        <w:t xml:space="preserve"> </w:t>
      </w:r>
      <w:r w:rsidR="00C95A14">
        <w:t xml:space="preserve">evenredigheid en voor het </w:t>
      </w:r>
      <w:proofErr w:type="spellStart"/>
      <w:r w:rsidR="00C95A14">
        <w:t>doenvermogen</w:t>
      </w:r>
      <w:proofErr w:type="spellEnd"/>
      <w:r w:rsidR="00C95A14">
        <w:t xml:space="preserve"> van mensen</w:t>
      </w:r>
      <w:r w:rsidR="00A66529">
        <w:t xml:space="preserve">, zal </w:t>
      </w:r>
      <w:r w:rsidR="00616939">
        <w:t xml:space="preserve">naar verwachting de cultuur </w:t>
      </w:r>
      <w:r w:rsidR="00FE62F8">
        <w:t xml:space="preserve">binnen de bestuursrechtspraak beïnvloeden en zo </w:t>
      </w:r>
      <w:r w:rsidR="00A66529">
        <w:t>ook gevolgen hebben voor het vreemdelingenrecht.</w:t>
      </w:r>
      <w:r w:rsidR="00FC7B98">
        <w:rPr>
          <w:rStyle w:val="FootnoteReference"/>
        </w:rPr>
        <w:footnoteReference w:id="10"/>
      </w:r>
      <w:r w:rsidR="00A66529">
        <w:t xml:space="preserve"> Al blijft het een inherente handicap o</w:t>
      </w:r>
      <w:r w:rsidR="00F071F6">
        <w:t>m</w:t>
      </w:r>
      <w:r w:rsidR="00A66529">
        <w:t xml:space="preserve"> maatwerk te leveren als je geen mens </w:t>
      </w:r>
      <w:r w:rsidR="006F6E88">
        <w:t xml:space="preserve">op zitting </w:t>
      </w:r>
      <w:r w:rsidR="00A66529">
        <w:t>voor je ziet</w:t>
      </w:r>
      <w:r w:rsidR="006F6E88">
        <w:t>.</w:t>
      </w:r>
      <w:r w:rsidR="00660592">
        <w:t xml:space="preserve"> Als de Tweede Kamer de ontwikkelingen onvoldoende acht, kan aanpassing van het procesrecht worden overwogen</w:t>
      </w:r>
      <w:r w:rsidR="00547FA8">
        <w:t xml:space="preserve">, bijvoorbeeld door de nadruk </w:t>
      </w:r>
      <w:r w:rsidR="00814110">
        <w:t>i</w:t>
      </w:r>
      <w:r w:rsidR="00E26256">
        <w:t xml:space="preserve">n het procesrecht </w:t>
      </w:r>
      <w:r w:rsidR="00547FA8">
        <w:t>minder op rechtseenheid te leggen</w:t>
      </w:r>
      <w:r w:rsidR="00A4715C">
        <w:t xml:space="preserve"> </w:t>
      </w:r>
      <w:r w:rsidR="00547FA8">
        <w:t>en meer op rechtsbedeling</w:t>
      </w:r>
      <w:r w:rsidR="00660592">
        <w:t>.</w:t>
      </w:r>
      <w:r w:rsidR="004C701F">
        <w:rPr>
          <w:rStyle w:val="FootnoteReference"/>
        </w:rPr>
        <w:footnoteReference w:id="11"/>
      </w:r>
    </w:p>
    <w:sectPr w:rsidR="00023FF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B04E" w14:textId="77777777" w:rsidR="00F20DA0" w:rsidRDefault="00F20DA0" w:rsidP="00E27C35">
      <w:pPr>
        <w:spacing w:after="0" w:line="240" w:lineRule="auto"/>
      </w:pPr>
      <w:r>
        <w:separator/>
      </w:r>
    </w:p>
  </w:endnote>
  <w:endnote w:type="continuationSeparator" w:id="0">
    <w:p w14:paraId="41ADEF78" w14:textId="77777777" w:rsidR="00F20DA0" w:rsidRDefault="00F20DA0" w:rsidP="00E2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C002" w14:textId="77777777" w:rsidR="00F20DA0" w:rsidRDefault="00F20DA0" w:rsidP="00E27C35">
      <w:pPr>
        <w:spacing w:after="0" w:line="240" w:lineRule="auto"/>
      </w:pPr>
      <w:r>
        <w:separator/>
      </w:r>
    </w:p>
  </w:footnote>
  <w:footnote w:type="continuationSeparator" w:id="0">
    <w:p w14:paraId="0F5C558D" w14:textId="77777777" w:rsidR="00F20DA0" w:rsidRDefault="00F20DA0" w:rsidP="00E27C35">
      <w:pPr>
        <w:spacing w:after="0" w:line="240" w:lineRule="auto"/>
      </w:pPr>
      <w:r>
        <w:continuationSeparator/>
      </w:r>
    </w:p>
  </w:footnote>
  <w:footnote w:id="1">
    <w:p w14:paraId="74F0246B" w14:textId="3A298995" w:rsidR="00424145" w:rsidRPr="00180204" w:rsidRDefault="00424145">
      <w:pPr>
        <w:pStyle w:val="FootnoteText"/>
        <w:rPr>
          <w:rFonts w:asciiTheme="minorHAnsi" w:hAnsiTheme="minorHAnsi" w:cstheme="minorHAnsi"/>
          <w:i/>
          <w:iCs/>
          <w:sz w:val="18"/>
          <w:szCs w:val="18"/>
        </w:rPr>
      </w:pPr>
      <w:r w:rsidRPr="00180204">
        <w:rPr>
          <w:rStyle w:val="FootnoteReference"/>
          <w:rFonts w:asciiTheme="minorHAnsi" w:hAnsiTheme="minorHAnsi" w:cstheme="minorHAnsi"/>
          <w:sz w:val="18"/>
          <w:szCs w:val="18"/>
        </w:rPr>
        <w:footnoteRef/>
      </w:r>
      <w:r w:rsidRPr="00180204">
        <w:rPr>
          <w:rFonts w:asciiTheme="minorHAnsi" w:hAnsiTheme="minorHAnsi" w:cstheme="minorHAnsi"/>
          <w:sz w:val="18"/>
          <w:szCs w:val="18"/>
        </w:rPr>
        <w:t xml:space="preserve"> </w:t>
      </w:r>
      <w:r w:rsidR="00DF6375">
        <w:rPr>
          <w:rFonts w:asciiTheme="minorHAnsi" w:hAnsiTheme="minorHAnsi" w:cstheme="minorHAnsi"/>
          <w:sz w:val="18"/>
          <w:szCs w:val="18"/>
        </w:rPr>
        <w:t>Hoogleraar</w:t>
      </w:r>
      <w:r w:rsidR="0097382D">
        <w:rPr>
          <w:rFonts w:asciiTheme="minorHAnsi" w:hAnsiTheme="minorHAnsi" w:cstheme="minorHAnsi"/>
          <w:sz w:val="18"/>
          <w:szCs w:val="18"/>
        </w:rPr>
        <w:t xml:space="preserve"> Staats- en bestuursrecht aan de Universiteit Leiden. </w:t>
      </w:r>
      <w:r w:rsidR="001222F3">
        <w:rPr>
          <w:rFonts w:asciiTheme="minorHAnsi" w:hAnsiTheme="minorHAnsi" w:cstheme="minorHAnsi"/>
          <w:sz w:val="18"/>
          <w:szCs w:val="18"/>
        </w:rPr>
        <w:t xml:space="preserve">Zij is o.a. lid van de </w:t>
      </w:r>
      <w:r w:rsidR="00BD13C6">
        <w:rPr>
          <w:rFonts w:asciiTheme="minorHAnsi" w:hAnsiTheme="minorHAnsi" w:cstheme="minorHAnsi"/>
          <w:sz w:val="18"/>
          <w:szCs w:val="18"/>
        </w:rPr>
        <w:t xml:space="preserve">externe begeleidingscommissie </w:t>
      </w:r>
      <w:r w:rsidR="00EF3980">
        <w:rPr>
          <w:rFonts w:asciiTheme="minorHAnsi" w:hAnsiTheme="minorHAnsi" w:cstheme="minorHAnsi"/>
          <w:sz w:val="18"/>
          <w:szCs w:val="18"/>
        </w:rPr>
        <w:t xml:space="preserve">voor het programma </w:t>
      </w:r>
      <w:r w:rsidR="00D06B22">
        <w:rPr>
          <w:rFonts w:asciiTheme="minorHAnsi" w:hAnsiTheme="minorHAnsi" w:cstheme="minorHAnsi"/>
          <w:sz w:val="18"/>
          <w:szCs w:val="18"/>
        </w:rPr>
        <w:t xml:space="preserve">van reflectie bestuursrechtspraak Raad van State </w:t>
      </w:r>
      <w:r w:rsidR="00AB73F2">
        <w:rPr>
          <w:rFonts w:asciiTheme="minorHAnsi" w:hAnsiTheme="minorHAnsi" w:cstheme="minorHAnsi"/>
          <w:sz w:val="18"/>
          <w:szCs w:val="18"/>
        </w:rPr>
        <w:t>(n.a.v. de Toes</w:t>
      </w:r>
      <w:r w:rsidR="001A0403">
        <w:rPr>
          <w:rFonts w:asciiTheme="minorHAnsi" w:hAnsiTheme="minorHAnsi" w:cstheme="minorHAnsi"/>
          <w:sz w:val="18"/>
          <w:szCs w:val="18"/>
        </w:rPr>
        <w:t>l</w:t>
      </w:r>
      <w:r w:rsidR="00AB73F2">
        <w:rPr>
          <w:rFonts w:asciiTheme="minorHAnsi" w:hAnsiTheme="minorHAnsi" w:cstheme="minorHAnsi"/>
          <w:sz w:val="18"/>
          <w:szCs w:val="18"/>
        </w:rPr>
        <w:t>agenaffaire), rechter-plaatsvervanger bij de rechtbank Rotterdam en a</w:t>
      </w:r>
      <w:r w:rsidRPr="00180204">
        <w:rPr>
          <w:rFonts w:asciiTheme="minorHAnsi" w:hAnsiTheme="minorHAnsi" w:cstheme="minorHAnsi"/>
          <w:sz w:val="18"/>
          <w:szCs w:val="18"/>
        </w:rPr>
        <w:t xml:space="preserve">uteur </w:t>
      </w:r>
      <w:r w:rsidR="004E2B2E" w:rsidRPr="00180204">
        <w:rPr>
          <w:rFonts w:asciiTheme="minorHAnsi" w:hAnsiTheme="minorHAnsi" w:cstheme="minorHAnsi"/>
          <w:sz w:val="18"/>
          <w:szCs w:val="18"/>
        </w:rPr>
        <w:t xml:space="preserve">(met A.E.M. Leijten </w:t>
      </w:r>
      <w:r w:rsidR="00AC03F3" w:rsidRPr="00180204">
        <w:rPr>
          <w:rFonts w:asciiTheme="minorHAnsi" w:hAnsiTheme="minorHAnsi" w:cstheme="minorHAnsi"/>
          <w:sz w:val="18"/>
          <w:szCs w:val="18"/>
        </w:rPr>
        <w:t>&amp; J.E. Esser)</w:t>
      </w:r>
      <w:r w:rsidR="004E2B2E" w:rsidRPr="00180204">
        <w:rPr>
          <w:rFonts w:asciiTheme="minorHAnsi" w:hAnsiTheme="minorHAnsi" w:cstheme="minorHAnsi"/>
          <w:sz w:val="18"/>
          <w:szCs w:val="18"/>
        </w:rPr>
        <w:t xml:space="preserve"> </w:t>
      </w:r>
      <w:r w:rsidRPr="00180204">
        <w:rPr>
          <w:rFonts w:asciiTheme="minorHAnsi" w:hAnsiTheme="minorHAnsi" w:cstheme="minorHAnsi"/>
          <w:sz w:val="18"/>
          <w:szCs w:val="18"/>
        </w:rPr>
        <w:t xml:space="preserve">van het rapport </w:t>
      </w:r>
      <w:r w:rsidR="007E646B" w:rsidRPr="00180204">
        <w:rPr>
          <w:rFonts w:asciiTheme="minorHAnsi" w:hAnsiTheme="minorHAnsi" w:cstheme="minorHAnsi"/>
          <w:i/>
          <w:iCs/>
          <w:sz w:val="18"/>
          <w:szCs w:val="18"/>
        </w:rPr>
        <w:t>Bestuursrecht op maat</w:t>
      </w:r>
      <w:r w:rsidR="000A5228" w:rsidRPr="00180204">
        <w:rPr>
          <w:rFonts w:asciiTheme="minorHAnsi" w:hAnsiTheme="minorHAnsi" w:cstheme="minorHAnsi"/>
          <w:i/>
          <w:iCs/>
          <w:sz w:val="18"/>
          <w:szCs w:val="18"/>
        </w:rPr>
        <w:t xml:space="preserve"> </w:t>
      </w:r>
      <w:r w:rsidR="000A5228" w:rsidRPr="00180204">
        <w:rPr>
          <w:rFonts w:asciiTheme="minorHAnsi" w:hAnsiTheme="minorHAnsi" w:cstheme="minorHAnsi"/>
          <w:sz w:val="18"/>
          <w:szCs w:val="18"/>
        </w:rPr>
        <w:t>(in opdracht van BZK)</w:t>
      </w:r>
      <w:r w:rsidR="004E2B2E" w:rsidRPr="00180204">
        <w:rPr>
          <w:rFonts w:asciiTheme="minorHAnsi" w:hAnsiTheme="minorHAnsi" w:cstheme="minorHAnsi"/>
          <w:sz w:val="18"/>
          <w:szCs w:val="18"/>
        </w:rPr>
        <w:t>, Leiden: Universiteit Leiden 2020.</w:t>
      </w:r>
    </w:p>
  </w:footnote>
  <w:footnote w:id="2">
    <w:p w14:paraId="507D54F7" w14:textId="75AA32C4" w:rsidR="00E27C35" w:rsidRPr="00180204" w:rsidRDefault="00E27C35">
      <w:pPr>
        <w:pStyle w:val="FootnoteText"/>
        <w:rPr>
          <w:rFonts w:asciiTheme="minorHAnsi" w:hAnsiTheme="minorHAnsi" w:cstheme="minorHAnsi"/>
          <w:sz w:val="18"/>
          <w:szCs w:val="18"/>
        </w:rPr>
      </w:pPr>
      <w:r w:rsidRPr="00180204">
        <w:rPr>
          <w:rStyle w:val="FootnoteReference"/>
          <w:rFonts w:asciiTheme="minorHAnsi" w:hAnsiTheme="minorHAnsi" w:cstheme="minorHAnsi"/>
          <w:sz w:val="18"/>
          <w:szCs w:val="18"/>
        </w:rPr>
        <w:footnoteRef/>
      </w:r>
      <w:r w:rsidRPr="00180204">
        <w:rPr>
          <w:rFonts w:asciiTheme="minorHAnsi" w:hAnsiTheme="minorHAnsi" w:cstheme="minorHAnsi"/>
          <w:sz w:val="18"/>
          <w:szCs w:val="18"/>
        </w:rPr>
        <w:t xml:space="preserve"> </w:t>
      </w:r>
      <w:proofErr w:type="spellStart"/>
      <w:r w:rsidRPr="00180204">
        <w:rPr>
          <w:rFonts w:asciiTheme="minorHAnsi" w:hAnsiTheme="minorHAnsi" w:cstheme="minorHAnsi"/>
          <w:sz w:val="18"/>
          <w:szCs w:val="18"/>
        </w:rPr>
        <w:t>ABDTopconsult</w:t>
      </w:r>
      <w:proofErr w:type="spellEnd"/>
      <w:r w:rsidRPr="00180204">
        <w:rPr>
          <w:rFonts w:asciiTheme="minorHAnsi" w:hAnsiTheme="minorHAnsi" w:cstheme="minorHAnsi"/>
          <w:sz w:val="18"/>
          <w:szCs w:val="18"/>
        </w:rPr>
        <w:t xml:space="preserve">, </w:t>
      </w:r>
      <w:r w:rsidRPr="00180204">
        <w:rPr>
          <w:rFonts w:asciiTheme="minorHAnsi" w:hAnsiTheme="minorHAnsi" w:cstheme="minorHAnsi"/>
          <w:i/>
          <w:iCs/>
          <w:sz w:val="18"/>
          <w:szCs w:val="18"/>
        </w:rPr>
        <w:t xml:space="preserve">Regels en Ruimte </w:t>
      </w:r>
      <w:r w:rsidRPr="00180204">
        <w:rPr>
          <w:rFonts w:asciiTheme="minorHAnsi" w:hAnsiTheme="minorHAnsi" w:cstheme="minorHAnsi"/>
          <w:sz w:val="18"/>
          <w:szCs w:val="18"/>
        </w:rPr>
        <w:t xml:space="preserve">2019 en </w:t>
      </w:r>
      <w:proofErr w:type="spellStart"/>
      <w:r w:rsidRPr="00180204">
        <w:rPr>
          <w:rFonts w:asciiTheme="minorHAnsi" w:hAnsiTheme="minorHAnsi" w:cstheme="minorHAnsi"/>
          <w:sz w:val="18"/>
          <w:szCs w:val="18"/>
        </w:rPr>
        <w:t>ABDTopconsult</w:t>
      </w:r>
      <w:proofErr w:type="spellEnd"/>
      <w:r w:rsidRPr="00180204">
        <w:rPr>
          <w:rFonts w:asciiTheme="minorHAnsi" w:hAnsiTheme="minorHAnsi" w:cstheme="minorHAnsi"/>
          <w:sz w:val="18"/>
          <w:szCs w:val="18"/>
        </w:rPr>
        <w:t xml:space="preserve">, </w:t>
      </w:r>
      <w:r w:rsidRPr="00180204">
        <w:rPr>
          <w:rFonts w:asciiTheme="minorHAnsi" w:hAnsiTheme="minorHAnsi" w:cstheme="minorHAnsi"/>
          <w:i/>
          <w:sz w:val="18"/>
          <w:szCs w:val="18"/>
        </w:rPr>
        <w:t>Werk aan Uitvoering Fase 1: Probleemanalyse</w:t>
      </w:r>
      <w:r w:rsidRPr="00180204">
        <w:rPr>
          <w:rFonts w:asciiTheme="minorHAnsi" w:hAnsiTheme="minorHAnsi" w:cstheme="minorHAnsi"/>
          <w:sz w:val="18"/>
          <w:szCs w:val="18"/>
        </w:rPr>
        <w:t xml:space="preserve"> 2020.</w:t>
      </w:r>
    </w:p>
  </w:footnote>
  <w:footnote w:id="3">
    <w:p w14:paraId="03B7789B" w14:textId="13D74C66" w:rsidR="004036ED" w:rsidRPr="00180204" w:rsidRDefault="004036ED">
      <w:pPr>
        <w:pStyle w:val="FootnoteText"/>
        <w:rPr>
          <w:rFonts w:asciiTheme="minorHAnsi" w:hAnsiTheme="minorHAnsi" w:cstheme="minorHAnsi"/>
          <w:i/>
          <w:iCs/>
          <w:sz w:val="18"/>
          <w:szCs w:val="18"/>
        </w:rPr>
      </w:pPr>
      <w:r w:rsidRPr="00180204">
        <w:rPr>
          <w:rStyle w:val="FootnoteReference"/>
          <w:rFonts w:asciiTheme="minorHAnsi" w:hAnsiTheme="minorHAnsi" w:cstheme="minorHAnsi"/>
          <w:sz w:val="18"/>
          <w:szCs w:val="18"/>
        </w:rPr>
        <w:footnoteRef/>
      </w:r>
      <w:r w:rsidRPr="00180204">
        <w:rPr>
          <w:rFonts w:asciiTheme="minorHAnsi" w:hAnsiTheme="minorHAnsi" w:cstheme="minorHAnsi"/>
          <w:sz w:val="18"/>
          <w:szCs w:val="18"/>
        </w:rPr>
        <w:t xml:space="preserve"> </w:t>
      </w:r>
      <w:r w:rsidR="005355FA" w:rsidRPr="00180204">
        <w:rPr>
          <w:rFonts w:asciiTheme="minorHAnsi" w:hAnsiTheme="minorHAnsi" w:cstheme="minorHAnsi"/>
          <w:sz w:val="18"/>
          <w:szCs w:val="18"/>
        </w:rPr>
        <w:t xml:space="preserve">EY, </w:t>
      </w:r>
      <w:r w:rsidR="005355FA" w:rsidRPr="00180204">
        <w:rPr>
          <w:rFonts w:asciiTheme="minorHAnsi" w:hAnsiTheme="minorHAnsi" w:cstheme="minorHAnsi"/>
          <w:i/>
          <w:iCs/>
          <w:sz w:val="18"/>
          <w:szCs w:val="18"/>
        </w:rPr>
        <w:t xml:space="preserve">Eindrapportage </w:t>
      </w:r>
      <w:r w:rsidR="005F1C2F" w:rsidRPr="00180204">
        <w:rPr>
          <w:rFonts w:asciiTheme="minorHAnsi" w:hAnsiTheme="minorHAnsi" w:cstheme="minorHAnsi"/>
          <w:i/>
          <w:iCs/>
          <w:sz w:val="18"/>
          <w:szCs w:val="18"/>
        </w:rPr>
        <w:t xml:space="preserve">doorlichting </w:t>
      </w:r>
      <w:r w:rsidR="005355FA" w:rsidRPr="00180204">
        <w:rPr>
          <w:rFonts w:asciiTheme="minorHAnsi" w:hAnsiTheme="minorHAnsi" w:cstheme="minorHAnsi"/>
          <w:i/>
          <w:iCs/>
          <w:sz w:val="18"/>
          <w:szCs w:val="18"/>
        </w:rPr>
        <w:t>IND</w:t>
      </w:r>
      <w:r w:rsidR="005F1C2F" w:rsidRPr="00180204">
        <w:rPr>
          <w:rFonts w:asciiTheme="minorHAnsi" w:hAnsiTheme="minorHAnsi" w:cstheme="minorHAnsi"/>
          <w:i/>
          <w:iCs/>
          <w:sz w:val="18"/>
          <w:szCs w:val="18"/>
        </w:rPr>
        <w:t>. Verbetermogelijkheden IND met specifieke aandacht voor het asielproces</w:t>
      </w:r>
      <w:r w:rsidR="006B6F87" w:rsidRPr="00180204">
        <w:rPr>
          <w:rFonts w:asciiTheme="minorHAnsi" w:hAnsiTheme="minorHAnsi" w:cstheme="minorHAnsi"/>
          <w:sz w:val="18"/>
          <w:szCs w:val="18"/>
        </w:rPr>
        <w:t>, 20 mei 2021</w:t>
      </w:r>
      <w:r w:rsidR="00116A27" w:rsidRPr="00180204">
        <w:rPr>
          <w:rFonts w:asciiTheme="minorHAnsi" w:hAnsiTheme="minorHAnsi" w:cstheme="minorHAnsi"/>
          <w:sz w:val="18"/>
          <w:szCs w:val="18"/>
        </w:rPr>
        <w:t>, p. 6</w:t>
      </w:r>
      <w:r w:rsidR="006B6F87" w:rsidRPr="00180204">
        <w:rPr>
          <w:rFonts w:asciiTheme="minorHAnsi" w:hAnsiTheme="minorHAnsi" w:cstheme="minorHAnsi"/>
          <w:sz w:val="18"/>
          <w:szCs w:val="18"/>
        </w:rPr>
        <w:t>.</w:t>
      </w:r>
    </w:p>
  </w:footnote>
  <w:footnote w:id="4">
    <w:p w14:paraId="0E113289" w14:textId="5A2F7D56" w:rsidR="00A246D3" w:rsidRPr="00180204" w:rsidRDefault="00A246D3">
      <w:pPr>
        <w:pStyle w:val="FootnoteText"/>
        <w:rPr>
          <w:rFonts w:asciiTheme="minorHAnsi" w:hAnsiTheme="minorHAnsi" w:cstheme="minorHAnsi"/>
          <w:sz w:val="18"/>
          <w:szCs w:val="18"/>
        </w:rPr>
      </w:pPr>
      <w:r w:rsidRPr="00180204">
        <w:rPr>
          <w:rStyle w:val="FootnoteReference"/>
          <w:rFonts w:asciiTheme="minorHAnsi" w:hAnsiTheme="minorHAnsi" w:cstheme="minorHAnsi"/>
          <w:sz w:val="18"/>
          <w:szCs w:val="18"/>
        </w:rPr>
        <w:footnoteRef/>
      </w:r>
      <w:r w:rsidRPr="00180204">
        <w:rPr>
          <w:rFonts w:asciiTheme="minorHAnsi" w:hAnsiTheme="minorHAnsi" w:cstheme="minorHAnsi"/>
          <w:sz w:val="18"/>
          <w:szCs w:val="18"/>
        </w:rPr>
        <w:t xml:space="preserve"> </w:t>
      </w:r>
      <w:r w:rsidR="005576EB">
        <w:rPr>
          <w:rFonts w:asciiTheme="minorHAnsi" w:hAnsiTheme="minorHAnsi" w:cstheme="minorHAnsi"/>
          <w:sz w:val="18"/>
          <w:szCs w:val="18"/>
        </w:rPr>
        <w:t xml:space="preserve">Idem, </w:t>
      </w:r>
      <w:r w:rsidR="00116A27" w:rsidRPr="00180204">
        <w:rPr>
          <w:rFonts w:asciiTheme="minorHAnsi" w:hAnsiTheme="minorHAnsi" w:cstheme="minorHAnsi"/>
          <w:sz w:val="18"/>
          <w:szCs w:val="18"/>
        </w:rPr>
        <w:t>p. 9-10</w:t>
      </w:r>
      <w:r w:rsidRPr="00180204">
        <w:rPr>
          <w:rFonts w:asciiTheme="minorHAnsi" w:hAnsiTheme="minorHAnsi" w:cstheme="minorHAnsi"/>
          <w:sz w:val="18"/>
          <w:szCs w:val="18"/>
        </w:rPr>
        <w:t>.</w:t>
      </w:r>
    </w:p>
  </w:footnote>
  <w:footnote w:id="5">
    <w:p w14:paraId="38064258" w14:textId="3C05117C" w:rsidR="004C23D5" w:rsidRPr="00180204" w:rsidRDefault="004C23D5">
      <w:pPr>
        <w:pStyle w:val="FootnoteText"/>
        <w:rPr>
          <w:rFonts w:asciiTheme="minorHAnsi" w:hAnsiTheme="minorHAnsi" w:cstheme="minorHAnsi"/>
          <w:sz w:val="18"/>
          <w:szCs w:val="18"/>
        </w:rPr>
      </w:pPr>
      <w:r w:rsidRPr="00180204">
        <w:rPr>
          <w:rStyle w:val="FootnoteReference"/>
          <w:rFonts w:asciiTheme="minorHAnsi" w:hAnsiTheme="minorHAnsi" w:cstheme="minorHAnsi"/>
          <w:sz w:val="18"/>
          <w:szCs w:val="18"/>
        </w:rPr>
        <w:footnoteRef/>
      </w:r>
      <w:r w:rsidRPr="00180204">
        <w:rPr>
          <w:rFonts w:asciiTheme="minorHAnsi" w:hAnsiTheme="minorHAnsi" w:cstheme="minorHAnsi"/>
          <w:sz w:val="18"/>
          <w:szCs w:val="18"/>
        </w:rPr>
        <w:t xml:space="preserve"> </w:t>
      </w:r>
      <w:r w:rsidR="00E63DBF">
        <w:rPr>
          <w:rFonts w:asciiTheme="minorHAnsi" w:hAnsiTheme="minorHAnsi" w:cstheme="minorHAnsi"/>
          <w:sz w:val="18"/>
          <w:szCs w:val="18"/>
        </w:rPr>
        <w:t xml:space="preserve">Idem, </w:t>
      </w:r>
      <w:r w:rsidRPr="00180204">
        <w:rPr>
          <w:rFonts w:asciiTheme="minorHAnsi" w:hAnsiTheme="minorHAnsi" w:cstheme="minorHAnsi"/>
          <w:sz w:val="18"/>
          <w:szCs w:val="18"/>
        </w:rPr>
        <w:t>p. 12.</w:t>
      </w:r>
    </w:p>
  </w:footnote>
  <w:footnote w:id="6">
    <w:p w14:paraId="093CEA18" w14:textId="6FB60FE2" w:rsidR="000957BC" w:rsidRPr="00180204" w:rsidRDefault="000957BC">
      <w:pPr>
        <w:pStyle w:val="FootnoteText"/>
        <w:rPr>
          <w:rFonts w:asciiTheme="minorHAnsi" w:hAnsiTheme="minorHAnsi" w:cstheme="minorHAnsi"/>
          <w:sz w:val="18"/>
          <w:szCs w:val="18"/>
        </w:rPr>
      </w:pPr>
      <w:r w:rsidRPr="00180204">
        <w:rPr>
          <w:rStyle w:val="FootnoteReference"/>
          <w:rFonts w:asciiTheme="minorHAnsi" w:hAnsiTheme="minorHAnsi" w:cstheme="minorHAnsi"/>
          <w:sz w:val="18"/>
          <w:szCs w:val="18"/>
        </w:rPr>
        <w:footnoteRef/>
      </w:r>
      <w:r w:rsidRPr="00180204">
        <w:rPr>
          <w:rFonts w:asciiTheme="minorHAnsi" w:hAnsiTheme="minorHAnsi" w:cstheme="minorHAnsi"/>
          <w:sz w:val="18"/>
          <w:szCs w:val="18"/>
        </w:rPr>
        <w:t xml:space="preserve"> K. Geertsema e.a., </w:t>
      </w:r>
      <w:r w:rsidR="00871803" w:rsidRPr="00180204">
        <w:rPr>
          <w:rFonts w:asciiTheme="minorHAnsi" w:hAnsiTheme="minorHAnsi" w:cstheme="minorHAnsi"/>
          <w:sz w:val="18"/>
          <w:szCs w:val="18"/>
        </w:rPr>
        <w:t xml:space="preserve">‘Ongezien onrecht in het vreemdelingenrecht’, NJB 2021/979. </w:t>
      </w:r>
    </w:p>
  </w:footnote>
  <w:footnote w:id="7">
    <w:p w14:paraId="61C1445F" w14:textId="18C40188" w:rsidR="007B77B6" w:rsidRPr="00180204" w:rsidRDefault="007B77B6">
      <w:pPr>
        <w:pStyle w:val="FootnoteText"/>
        <w:rPr>
          <w:rFonts w:asciiTheme="minorHAnsi" w:hAnsiTheme="minorHAnsi" w:cstheme="minorHAnsi"/>
          <w:sz w:val="18"/>
          <w:szCs w:val="18"/>
        </w:rPr>
      </w:pPr>
      <w:r w:rsidRPr="00180204">
        <w:rPr>
          <w:rStyle w:val="FootnoteReference"/>
          <w:rFonts w:asciiTheme="minorHAnsi" w:hAnsiTheme="minorHAnsi" w:cstheme="minorHAnsi"/>
          <w:sz w:val="18"/>
          <w:szCs w:val="18"/>
        </w:rPr>
        <w:footnoteRef/>
      </w:r>
      <w:r w:rsidRPr="00180204">
        <w:rPr>
          <w:rFonts w:asciiTheme="minorHAnsi" w:hAnsiTheme="minorHAnsi" w:cstheme="minorHAnsi"/>
          <w:sz w:val="18"/>
          <w:szCs w:val="18"/>
        </w:rPr>
        <w:t xml:space="preserve"> </w:t>
      </w:r>
      <w:proofErr w:type="spellStart"/>
      <w:r w:rsidR="003D527E" w:rsidRPr="00180204">
        <w:rPr>
          <w:rFonts w:asciiTheme="minorHAnsi" w:hAnsiTheme="minorHAnsi" w:cstheme="minorHAnsi"/>
          <w:sz w:val="18"/>
          <w:szCs w:val="18"/>
        </w:rPr>
        <w:t>ABRvS</w:t>
      </w:r>
      <w:proofErr w:type="spellEnd"/>
      <w:r w:rsidR="003D527E" w:rsidRPr="00180204">
        <w:rPr>
          <w:rFonts w:asciiTheme="minorHAnsi" w:hAnsiTheme="minorHAnsi" w:cstheme="minorHAnsi"/>
          <w:sz w:val="18"/>
          <w:szCs w:val="18"/>
        </w:rPr>
        <w:t xml:space="preserve"> 23 december 20</w:t>
      </w:r>
      <w:r w:rsidR="004244E2" w:rsidRPr="00180204">
        <w:rPr>
          <w:rFonts w:asciiTheme="minorHAnsi" w:hAnsiTheme="minorHAnsi" w:cstheme="minorHAnsi"/>
          <w:sz w:val="18"/>
          <w:szCs w:val="18"/>
        </w:rPr>
        <w:t>20, ECLI:NL:2020:3034.</w:t>
      </w:r>
    </w:p>
  </w:footnote>
  <w:footnote w:id="8">
    <w:p w14:paraId="5D4155A0" w14:textId="325D06A4" w:rsidR="009748A4" w:rsidRPr="00BA506D" w:rsidRDefault="009748A4">
      <w:pPr>
        <w:pStyle w:val="FootnoteText"/>
        <w:rPr>
          <w:rFonts w:asciiTheme="minorHAnsi" w:hAnsiTheme="minorHAnsi" w:cstheme="minorHAnsi"/>
          <w:sz w:val="18"/>
          <w:szCs w:val="18"/>
        </w:rPr>
      </w:pPr>
      <w:r w:rsidRPr="00180204">
        <w:rPr>
          <w:rStyle w:val="FootnoteReference"/>
          <w:rFonts w:asciiTheme="minorHAnsi" w:hAnsiTheme="minorHAnsi" w:cstheme="minorHAnsi"/>
          <w:sz w:val="18"/>
          <w:szCs w:val="18"/>
        </w:rPr>
        <w:footnoteRef/>
      </w:r>
      <w:r w:rsidRPr="00180204">
        <w:rPr>
          <w:rFonts w:asciiTheme="minorHAnsi" w:hAnsiTheme="minorHAnsi" w:cstheme="minorHAnsi"/>
          <w:sz w:val="18"/>
          <w:szCs w:val="18"/>
        </w:rPr>
        <w:t xml:space="preserve"> </w:t>
      </w:r>
      <w:hyperlink r:id="rId1" w:history="1">
        <w:r w:rsidRPr="00BA506D">
          <w:rPr>
            <w:rStyle w:val="Hyperlink"/>
            <w:rFonts w:asciiTheme="minorHAnsi" w:hAnsiTheme="minorHAnsi" w:cstheme="minorHAnsi"/>
            <w:sz w:val="18"/>
            <w:szCs w:val="18"/>
          </w:rPr>
          <w:t>Afdeling bestuursrechtspraak vraagt conclusie over rechterlijke toetsing evenredigheid - Raad van State</w:t>
        </w:r>
      </w:hyperlink>
      <w:r w:rsidRPr="00BA506D">
        <w:rPr>
          <w:rFonts w:asciiTheme="minorHAnsi" w:hAnsiTheme="minorHAnsi" w:cstheme="minorHAnsi"/>
          <w:sz w:val="18"/>
          <w:szCs w:val="18"/>
        </w:rPr>
        <w:t>.</w:t>
      </w:r>
    </w:p>
  </w:footnote>
  <w:footnote w:id="9">
    <w:p w14:paraId="05593E34" w14:textId="4B9E9666" w:rsidR="005D4CB9" w:rsidRPr="00C3653E" w:rsidRDefault="005D4CB9">
      <w:pPr>
        <w:pStyle w:val="FootnoteText"/>
      </w:pPr>
      <w:r w:rsidRPr="00BA506D">
        <w:rPr>
          <w:rStyle w:val="FootnoteReference"/>
          <w:rFonts w:asciiTheme="minorHAnsi" w:hAnsiTheme="minorHAnsi" w:cstheme="minorHAnsi"/>
          <w:sz w:val="18"/>
          <w:szCs w:val="18"/>
        </w:rPr>
        <w:footnoteRef/>
      </w:r>
      <w:r w:rsidRPr="00BA506D">
        <w:rPr>
          <w:rFonts w:asciiTheme="minorHAnsi" w:hAnsiTheme="minorHAnsi" w:cstheme="minorHAnsi"/>
          <w:sz w:val="18"/>
          <w:szCs w:val="18"/>
        </w:rPr>
        <w:t xml:space="preserve"> </w:t>
      </w:r>
      <w:r w:rsidR="00664234" w:rsidRPr="00BA506D">
        <w:rPr>
          <w:rFonts w:asciiTheme="minorHAnsi" w:hAnsiTheme="minorHAnsi" w:cstheme="minorHAnsi"/>
          <w:sz w:val="18"/>
          <w:szCs w:val="18"/>
        </w:rPr>
        <w:t xml:space="preserve">Zie o.a. </w:t>
      </w:r>
      <w:r w:rsidRPr="00BA506D">
        <w:rPr>
          <w:rFonts w:asciiTheme="minorHAnsi" w:hAnsiTheme="minorHAnsi" w:cstheme="minorHAnsi"/>
          <w:sz w:val="18"/>
          <w:szCs w:val="18"/>
        </w:rPr>
        <w:t xml:space="preserve">M. Scheltema, </w:t>
      </w:r>
      <w:r w:rsidR="00C3653E" w:rsidRPr="00BA506D">
        <w:rPr>
          <w:rFonts w:asciiTheme="minorHAnsi" w:hAnsiTheme="minorHAnsi" w:cstheme="minorHAnsi"/>
          <w:i/>
          <w:iCs/>
          <w:sz w:val="18"/>
          <w:szCs w:val="18"/>
        </w:rPr>
        <w:t xml:space="preserve">Een wet van Meeden en Perzen? Geen onwrikbare wet in het hedendaags bestuursrecht </w:t>
      </w:r>
      <w:r w:rsidR="00C3653E" w:rsidRPr="00BA506D">
        <w:rPr>
          <w:rFonts w:asciiTheme="minorHAnsi" w:hAnsiTheme="minorHAnsi" w:cstheme="minorHAnsi"/>
          <w:sz w:val="18"/>
          <w:szCs w:val="18"/>
        </w:rPr>
        <w:t>(Preadvies</w:t>
      </w:r>
      <w:r w:rsidR="00BA506D" w:rsidRPr="00BA506D">
        <w:rPr>
          <w:rFonts w:asciiTheme="minorHAnsi" w:hAnsiTheme="minorHAnsi" w:cstheme="minorHAnsi"/>
          <w:sz w:val="18"/>
          <w:szCs w:val="18"/>
        </w:rPr>
        <w:t xml:space="preserve"> Vereniging voor wetgeving), https://www.nederlandseverenigingvoorwetgeving.nl/wp-content/uploads/2020/11/Preadvies-Scheltema-Een-wet-van-Meeden-en-Perzen.pdf.</w:t>
      </w:r>
    </w:p>
  </w:footnote>
  <w:footnote w:id="10">
    <w:p w14:paraId="64678286" w14:textId="2C56C84E" w:rsidR="00FC7B98" w:rsidRPr="00FC7B98" w:rsidRDefault="00FC7B98">
      <w:pPr>
        <w:pStyle w:val="FootnoteText"/>
      </w:pPr>
      <w:r>
        <w:rPr>
          <w:rStyle w:val="FootnoteReference"/>
        </w:rPr>
        <w:footnoteRef/>
      </w:r>
      <w:r>
        <w:t xml:space="preserve"> </w:t>
      </w:r>
      <w:r w:rsidRPr="009F0DD8">
        <w:rPr>
          <w:rFonts w:asciiTheme="minorHAnsi" w:hAnsiTheme="minorHAnsi" w:cstheme="minorHAnsi"/>
          <w:sz w:val="18"/>
          <w:szCs w:val="18"/>
        </w:rPr>
        <w:t xml:space="preserve">Zie bijv. </w:t>
      </w:r>
      <w:proofErr w:type="spellStart"/>
      <w:r w:rsidR="009F0DD8" w:rsidRPr="009F0DD8">
        <w:rPr>
          <w:rFonts w:asciiTheme="minorHAnsi" w:hAnsiTheme="minorHAnsi" w:cstheme="minorHAnsi"/>
          <w:sz w:val="18"/>
          <w:szCs w:val="18"/>
        </w:rPr>
        <w:t>ABRvS</w:t>
      </w:r>
      <w:proofErr w:type="spellEnd"/>
      <w:r w:rsidR="009F0DD8" w:rsidRPr="009F0DD8">
        <w:rPr>
          <w:rFonts w:asciiTheme="minorHAnsi" w:hAnsiTheme="minorHAnsi" w:cstheme="minorHAnsi"/>
          <w:sz w:val="18"/>
          <w:szCs w:val="18"/>
        </w:rPr>
        <w:t xml:space="preserve"> 26 augustus 2020, </w:t>
      </w:r>
      <w:r w:rsidR="009F0DD8" w:rsidRPr="009F0DD8">
        <w:rPr>
          <w:rFonts w:asciiTheme="minorHAnsi" w:hAnsiTheme="minorHAnsi" w:cstheme="minorHAnsi"/>
          <w:i/>
          <w:iCs/>
          <w:sz w:val="18"/>
          <w:szCs w:val="18"/>
        </w:rPr>
        <w:t>AB</w:t>
      </w:r>
      <w:r w:rsidR="009F0DD8" w:rsidRPr="009F0DD8">
        <w:rPr>
          <w:rFonts w:asciiTheme="minorHAnsi" w:hAnsiTheme="minorHAnsi" w:cstheme="minorHAnsi"/>
          <w:sz w:val="18"/>
          <w:szCs w:val="18"/>
        </w:rPr>
        <w:t xml:space="preserve"> 2020/429 </w:t>
      </w:r>
      <w:proofErr w:type="spellStart"/>
      <w:r w:rsidR="009F0DD8" w:rsidRPr="009F0DD8">
        <w:rPr>
          <w:rFonts w:asciiTheme="minorHAnsi" w:hAnsiTheme="minorHAnsi" w:cstheme="minorHAnsi"/>
          <w:sz w:val="18"/>
          <w:szCs w:val="18"/>
        </w:rPr>
        <w:t>m.nt</w:t>
      </w:r>
      <w:proofErr w:type="spellEnd"/>
      <w:r w:rsidR="009F0DD8" w:rsidRPr="009F0DD8">
        <w:rPr>
          <w:rFonts w:asciiTheme="minorHAnsi" w:hAnsiTheme="minorHAnsi" w:cstheme="minorHAnsi"/>
          <w:sz w:val="18"/>
          <w:szCs w:val="18"/>
        </w:rPr>
        <w:t xml:space="preserve">. </w:t>
      </w:r>
      <w:proofErr w:type="spellStart"/>
      <w:r w:rsidR="009F0DD8" w:rsidRPr="009F0DD8">
        <w:rPr>
          <w:rFonts w:asciiTheme="minorHAnsi" w:hAnsiTheme="minorHAnsi" w:cstheme="minorHAnsi"/>
          <w:sz w:val="18"/>
          <w:szCs w:val="18"/>
        </w:rPr>
        <w:t>Reneman</w:t>
      </w:r>
      <w:proofErr w:type="spellEnd"/>
      <w:r w:rsidR="009F0DD8" w:rsidRPr="009F0DD8">
        <w:rPr>
          <w:rFonts w:asciiTheme="minorHAnsi" w:hAnsiTheme="minorHAnsi" w:cstheme="minorHAnsi"/>
          <w:sz w:val="18"/>
          <w:szCs w:val="18"/>
        </w:rPr>
        <w:t>.</w:t>
      </w:r>
    </w:p>
  </w:footnote>
  <w:footnote w:id="11">
    <w:p w14:paraId="5C8DCA09" w14:textId="6C283638" w:rsidR="004C701F" w:rsidRPr="001E267B" w:rsidRDefault="004C701F">
      <w:pPr>
        <w:pStyle w:val="FootnoteText"/>
      </w:pPr>
      <w:r>
        <w:rPr>
          <w:rStyle w:val="FootnoteReference"/>
        </w:rPr>
        <w:footnoteRef/>
      </w:r>
      <w:r>
        <w:t xml:space="preserve"> </w:t>
      </w:r>
      <w:r w:rsidRPr="004C701F">
        <w:rPr>
          <w:rFonts w:asciiTheme="minorHAnsi" w:hAnsiTheme="minorHAnsi" w:cstheme="minorHAnsi"/>
          <w:sz w:val="18"/>
          <w:szCs w:val="18"/>
        </w:rPr>
        <w:t>Dat kan zowel door wijziging v</w:t>
      </w:r>
      <w:r>
        <w:rPr>
          <w:rFonts w:asciiTheme="minorHAnsi" w:hAnsiTheme="minorHAnsi" w:cstheme="minorHAnsi"/>
          <w:sz w:val="18"/>
          <w:szCs w:val="18"/>
        </w:rPr>
        <w:t>an de V</w:t>
      </w:r>
      <w:r w:rsidR="00E26256">
        <w:rPr>
          <w:rFonts w:asciiTheme="minorHAnsi" w:hAnsiTheme="minorHAnsi" w:cstheme="minorHAnsi"/>
          <w:sz w:val="18"/>
          <w:szCs w:val="18"/>
        </w:rPr>
        <w:t>w</w:t>
      </w:r>
      <w:r>
        <w:rPr>
          <w:rFonts w:asciiTheme="minorHAnsi" w:hAnsiTheme="minorHAnsi" w:cstheme="minorHAnsi"/>
          <w:sz w:val="18"/>
          <w:szCs w:val="18"/>
        </w:rPr>
        <w:t>200 (het grievenstelsel uit art. 91</w:t>
      </w:r>
      <w:r w:rsidR="0056611F">
        <w:rPr>
          <w:rFonts w:asciiTheme="minorHAnsi" w:hAnsiTheme="minorHAnsi" w:cstheme="minorHAnsi"/>
          <w:sz w:val="18"/>
          <w:szCs w:val="18"/>
        </w:rPr>
        <w:t xml:space="preserve">), als door wijziging van de Algemene wet bestuursrecht. Zie ook J.E. Esser &amp; </w:t>
      </w:r>
      <w:r w:rsidR="001E267B">
        <w:rPr>
          <w:rFonts w:asciiTheme="minorHAnsi" w:hAnsiTheme="minorHAnsi" w:cstheme="minorHAnsi"/>
          <w:sz w:val="18"/>
          <w:szCs w:val="18"/>
        </w:rPr>
        <w:t xml:space="preserve">R.G. Becker, ‘Maak van maatwerk de regel’, </w:t>
      </w:r>
      <w:r w:rsidR="001E267B">
        <w:rPr>
          <w:rFonts w:asciiTheme="minorHAnsi" w:hAnsiTheme="minorHAnsi" w:cstheme="minorHAnsi"/>
          <w:i/>
          <w:iCs/>
          <w:sz w:val="18"/>
          <w:szCs w:val="18"/>
        </w:rPr>
        <w:t xml:space="preserve">NTB </w:t>
      </w:r>
      <w:r w:rsidR="001E267B">
        <w:rPr>
          <w:rFonts w:asciiTheme="minorHAnsi" w:hAnsiTheme="minorHAnsi" w:cstheme="minorHAnsi"/>
          <w:sz w:val="18"/>
          <w:szCs w:val="18"/>
        </w:rPr>
        <w:t>2021/106.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D50A3"/>
    <w:multiLevelType w:val="hybridMultilevel"/>
    <w:tmpl w:val="9E3E40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63"/>
    <w:rsid w:val="00000AC4"/>
    <w:rsid w:val="0001407E"/>
    <w:rsid w:val="00014AD7"/>
    <w:rsid w:val="00023FF3"/>
    <w:rsid w:val="000406CF"/>
    <w:rsid w:val="00041CB7"/>
    <w:rsid w:val="00044280"/>
    <w:rsid w:val="00057BEF"/>
    <w:rsid w:val="00067B81"/>
    <w:rsid w:val="000957BC"/>
    <w:rsid w:val="000A5228"/>
    <w:rsid w:val="000A5303"/>
    <w:rsid w:val="000A72D2"/>
    <w:rsid w:val="000D1168"/>
    <w:rsid w:val="000D2091"/>
    <w:rsid w:val="000E257A"/>
    <w:rsid w:val="000F6D19"/>
    <w:rsid w:val="00111073"/>
    <w:rsid w:val="00112D86"/>
    <w:rsid w:val="00116A27"/>
    <w:rsid w:val="001222F3"/>
    <w:rsid w:val="00134298"/>
    <w:rsid w:val="0014258F"/>
    <w:rsid w:val="001443EE"/>
    <w:rsid w:val="00150BEA"/>
    <w:rsid w:val="00160985"/>
    <w:rsid w:val="001618D7"/>
    <w:rsid w:val="00163220"/>
    <w:rsid w:val="00164A71"/>
    <w:rsid w:val="001670C1"/>
    <w:rsid w:val="00172E6F"/>
    <w:rsid w:val="00180204"/>
    <w:rsid w:val="00180850"/>
    <w:rsid w:val="00184D08"/>
    <w:rsid w:val="00191E25"/>
    <w:rsid w:val="00193D0D"/>
    <w:rsid w:val="001A0403"/>
    <w:rsid w:val="001A18D0"/>
    <w:rsid w:val="001D39D0"/>
    <w:rsid w:val="001D6D9B"/>
    <w:rsid w:val="001E267B"/>
    <w:rsid w:val="001E30F8"/>
    <w:rsid w:val="001F06F5"/>
    <w:rsid w:val="001F3900"/>
    <w:rsid w:val="00203312"/>
    <w:rsid w:val="00204E34"/>
    <w:rsid w:val="002121AE"/>
    <w:rsid w:val="00220479"/>
    <w:rsid w:val="0023211D"/>
    <w:rsid w:val="00234705"/>
    <w:rsid w:val="00235DC1"/>
    <w:rsid w:val="00237D66"/>
    <w:rsid w:val="0024130A"/>
    <w:rsid w:val="002770F8"/>
    <w:rsid w:val="00286215"/>
    <w:rsid w:val="002A3FC9"/>
    <w:rsid w:val="002A7B57"/>
    <w:rsid w:val="002C25E3"/>
    <w:rsid w:val="00302B01"/>
    <w:rsid w:val="003213FA"/>
    <w:rsid w:val="00327405"/>
    <w:rsid w:val="00330AAC"/>
    <w:rsid w:val="00332D3D"/>
    <w:rsid w:val="003330A8"/>
    <w:rsid w:val="00333696"/>
    <w:rsid w:val="003352D4"/>
    <w:rsid w:val="003405B1"/>
    <w:rsid w:val="00354192"/>
    <w:rsid w:val="00366D6B"/>
    <w:rsid w:val="00370DF0"/>
    <w:rsid w:val="003A12BF"/>
    <w:rsid w:val="003B055F"/>
    <w:rsid w:val="003C3DDE"/>
    <w:rsid w:val="003C532F"/>
    <w:rsid w:val="003D2053"/>
    <w:rsid w:val="003D527E"/>
    <w:rsid w:val="003D52A5"/>
    <w:rsid w:val="003E687A"/>
    <w:rsid w:val="003E687D"/>
    <w:rsid w:val="003F5110"/>
    <w:rsid w:val="003F7295"/>
    <w:rsid w:val="004036ED"/>
    <w:rsid w:val="00404943"/>
    <w:rsid w:val="004217DF"/>
    <w:rsid w:val="00421CDB"/>
    <w:rsid w:val="00424145"/>
    <w:rsid w:val="004244E2"/>
    <w:rsid w:val="00432DFE"/>
    <w:rsid w:val="00445718"/>
    <w:rsid w:val="00451130"/>
    <w:rsid w:val="004536FC"/>
    <w:rsid w:val="004A5A36"/>
    <w:rsid w:val="004C2016"/>
    <w:rsid w:val="004C23D5"/>
    <w:rsid w:val="004C6C28"/>
    <w:rsid w:val="004C701F"/>
    <w:rsid w:val="004D2F5C"/>
    <w:rsid w:val="004E28C0"/>
    <w:rsid w:val="004E2B2E"/>
    <w:rsid w:val="004E5A89"/>
    <w:rsid w:val="004E759D"/>
    <w:rsid w:val="005068E3"/>
    <w:rsid w:val="00512CBB"/>
    <w:rsid w:val="00514FF3"/>
    <w:rsid w:val="005321D5"/>
    <w:rsid w:val="005324B3"/>
    <w:rsid w:val="0053274D"/>
    <w:rsid w:val="005350D9"/>
    <w:rsid w:val="005355FA"/>
    <w:rsid w:val="00542CD7"/>
    <w:rsid w:val="0054531C"/>
    <w:rsid w:val="00547FA8"/>
    <w:rsid w:val="00551CA7"/>
    <w:rsid w:val="005576EB"/>
    <w:rsid w:val="005628DC"/>
    <w:rsid w:val="0056611F"/>
    <w:rsid w:val="00571882"/>
    <w:rsid w:val="00593263"/>
    <w:rsid w:val="0059377E"/>
    <w:rsid w:val="005952D1"/>
    <w:rsid w:val="005A352A"/>
    <w:rsid w:val="005B10C3"/>
    <w:rsid w:val="005B35E7"/>
    <w:rsid w:val="005B3BC7"/>
    <w:rsid w:val="005B4778"/>
    <w:rsid w:val="005B599D"/>
    <w:rsid w:val="005C05C0"/>
    <w:rsid w:val="005C314E"/>
    <w:rsid w:val="005D30ED"/>
    <w:rsid w:val="005D4CB9"/>
    <w:rsid w:val="005F1C2F"/>
    <w:rsid w:val="005F1FD7"/>
    <w:rsid w:val="005F4C8E"/>
    <w:rsid w:val="005F4E6C"/>
    <w:rsid w:val="006019EE"/>
    <w:rsid w:val="00616939"/>
    <w:rsid w:val="00620BAD"/>
    <w:rsid w:val="00644A80"/>
    <w:rsid w:val="0065441F"/>
    <w:rsid w:val="0065461A"/>
    <w:rsid w:val="00660592"/>
    <w:rsid w:val="00663495"/>
    <w:rsid w:val="006636FE"/>
    <w:rsid w:val="00664234"/>
    <w:rsid w:val="0067000D"/>
    <w:rsid w:val="00681478"/>
    <w:rsid w:val="0069049A"/>
    <w:rsid w:val="0069204D"/>
    <w:rsid w:val="006A2E4B"/>
    <w:rsid w:val="006B6F87"/>
    <w:rsid w:val="006C4792"/>
    <w:rsid w:val="006E45F2"/>
    <w:rsid w:val="006E5806"/>
    <w:rsid w:val="006E5A0C"/>
    <w:rsid w:val="006E67ED"/>
    <w:rsid w:val="006F6E88"/>
    <w:rsid w:val="0071189F"/>
    <w:rsid w:val="007126B2"/>
    <w:rsid w:val="00727B2F"/>
    <w:rsid w:val="00730D3D"/>
    <w:rsid w:val="007313C8"/>
    <w:rsid w:val="00744C75"/>
    <w:rsid w:val="00751A4B"/>
    <w:rsid w:val="00770556"/>
    <w:rsid w:val="00775F17"/>
    <w:rsid w:val="00790C7B"/>
    <w:rsid w:val="007B01C2"/>
    <w:rsid w:val="007B1E0D"/>
    <w:rsid w:val="007B5DC1"/>
    <w:rsid w:val="007B77B6"/>
    <w:rsid w:val="007D5368"/>
    <w:rsid w:val="007E0692"/>
    <w:rsid w:val="007E329C"/>
    <w:rsid w:val="007E646B"/>
    <w:rsid w:val="00814110"/>
    <w:rsid w:val="00817C76"/>
    <w:rsid w:val="00817D89"/>
    <w:rsid w:val="0082418E"/>
    <w:rsid w:val="0084393C"/>
    <w:rsid w:val="00852E07"/>
    <w:rsid w:val="008532F2"/>
    <w:rsid w:val="008540A5"/>
    <w:rsid w:val="008540AC"/>
    <w:rsid w:val="00865756"/>
    <w:rsid w:val="00866806"/>
    <w:rsid w:val="008704B8"/>
    <w:rsid w:val="00871803"/>
    <w:rsid w:val="008726B8"/>
    <w:rsid w:val="008749B4"/>
    <w:rsid w:val="00874C98"/>
    <w:rsid w:val="00875FB5"/>
    <w:rsid w:val="0087668D"/>
    <w:rsid w:val="008773D6"/>
    <w:rsid w:val="008840FB"/>
    <w:rsid w:val="008A12E0"/>
    <w:rsid w:val="008B2543"/>
    <w:rsid w:val="008B26FC"/>
    <w:rsid w:val="008C0905"/>
    <w:rsid w:val="008D327A"/>
    <w:rsid w:val="008D49C5"/>
    <w:rsid w:val="008E1CB0"/>
    <w:rsid w:val="008E7063"/>
    <w:rsid w:val="008F0450"/>
    <w:rsid w:val="008F0EAA"/>
    <w:rsid w:val="008F1C93"/>
    <w:rsid w:val="0090191C"/>
    <w:rsid w:val="009152CA"/>
    <w:rsid w:val="00920CAE"/>
    <w:rsid w:val="0092177C"/>
    <w:rsid w:val="00923D71"/>
    <w:rsid w:val="00927C7F"/>
    <w:rsid w:val="00930F94"/>
    <w:rsid w:val="00940117"/>
    <w:rsid w:val="009403E7"/>
    <w:rsid w:val="00941310"/>
    <w:rsid w:val="009459DD"/>
    <w:rsid w:val="0094657D"/>
    <w:rsid w:val="009548EB"/>
    <w:rsid w:val="00957B49"/>
    <w:rsid w:val="00957C6C"/>
    <w:rsid w:val="0097382D"/>
    <w:rsid w:val="009748A4"/>
    <w:rsid w:val="00975F86"/>
    <w:rsid w:val="00985C8B"/>
    <w:rsid w:val="009B253F"/>
    <w:rsid w:val="009B615E"/>
    <w:rsid w:val="009C2C0E"/>
    <w:rsid w:val="009E414A"/>
    <w:rsid w:val="009E4201"/>
    <w:rsid w:val="009F0DD8"/>
    <w:rsid w:val="00A11E6E"/>
    <w:rsid w:val="00A14DA9"/>
    <w:rsid w:val="00A23E00"/>
    <w:rsid w:val="00A246D3"/>
    <w:rsid w:val="00A2777D"/>
    <w:rsid w:val="00A33F40"/>
    <w:rsid w:val="00A37BB8"/>
    <w:rsid w:val="00A4715C"/>
    <w:rsid w:val="00A51142"/>
    <w:rsid w:val="00A577DC"/>
    <w:rsid w:val="00A66529"/>
    <w:rsid w:val="00A71D3D"/>
    <w:rsid w:val="00A80427"/>
    <w:rsid w:val="00A830AD"/>
    <w:rsid w:val="00A8419D"/>
    <w:rsid w:val="00A9630E"/>
    <w:rsid w:val="00AB4E1E"/>
    <w:rsid w:val="00AB4FD2"/>
    <w:rsid w:val="00AB704F"/>
    <w:rsid w:val="00AB73F2"/>
    <w:rsid w:val="00AC03F3"/>
    <w:rsid w:val="00AC3E9A"/>
    <w:rsid w:val="00AE1216"/>
    <w:rsid w:val="00AE331F"/>
    <w:rsid w:val="00AE33FD"/>
    <w:rsid w:val="00AE39C9"/>
    <w:rsid w:val="00AE5490"/>
    <w:rsid w:val="00AF34B6"/>
    <w:rsid w:val="00AF3579"/>
    <w:rsid w:val="00AF5263"/>
    <w:rsid w:val="00B43FC7"/>
    <w:rsid w:val="00B45911"/>
    <w:rsid w:val="00B47A9A"/>
    <w:rsid w:val="00B47ED9"/>
    <w:rsid w:val="00B5199A"/>
    <w:rsid w:val="00B60431"/>
    <w:rsid w:val="00B61973"/>
    <w:rsid w:val="00B66684"/>
    <w:rsid w:val="00B93F4F"/>
    <w:rsid w:val="00BA506D"/>
    <w:rsid w:val="00BD13C6"/>
    <w:rsid w:val="00BE3B78"/>
    <w:rsid w:val="00BE5D5F"/>
    <w:rsid w:val="00BE652A"/>
    <w:rsid w:val="00C0643D"/>
    <w:rsid w:val="00C12A17"/>
    <w:rsid w:val="00C20F51"/>
    <w:rsid w:val="00C23E07"/>
    <w:rsid w:val="00C263E7"/>
    <w:rsid w:val="00C3653E"/>
    <w:rsid w:val="00C3733D"/>
    <w:rsid w:val="00C47A2C"/>
    <w:rsid w:val="00C5552C"/>
    <w:rsid w:val="00C62AFF"/>
    <w:rsid w:val="00C65546"/>
    <w:rsid w:val="00C662E9"/>
    <w:rsid w:val="00C6755C"/>
    <w:rsid w:val="00C70986"/>
    <w:rsid w:val="00C75DA2"/>
    <w:rsid w:val="00C87B29"/>
    <w:rsid w:val="00C95A14"/>
    <w:rsid w:val="00C97B39"/>
    <w:rsid w:val="00CA5488"/>
    <w:rsid w:val="00CA6B7E"/>
    <w:rsid w:val="00CB2151"/>
    <w:rsid w:val="00CB5CE8"/>
    <w:rsid w:val="00CC172F"/>
    <w:rsid w:val="00CD3CD4"/>
    <w:rsid w:val="00CD7040"/>
    <w:rsid w:val="00CE1DA5"/>
    <w:rsid w:val="00CE3623"/>
    <w:rsid w:val="00CE711E"/>
    <w:rsid w:val="00D06B22"/>
    <w:rsid w:val="00D10D56"/>
    <w:rsid w:val="00D123CC"/>
    <w:rsid w:val="00D132CE"/>
    <w:rsid w:val="00D15BB3"/>
    <w:rsid w:val="00D219D9"/>
    <w:rsid w:val="00D252C2"/>
    <w:rsid w:val="00D2706E"/>
    <w:rsid w:val="00D27F4B"/>
    <w:rsid w:val="00D43E93"/>
    <w:rsid w:val="00D57B59"/>
    <w:rsid w:val="00D76BEA"/>
    <w:rsid w:val="00D820E1"/>
    <w:rsid w:val="00D861A8"/>
    <w:rsid w:val="00D91368"/>
    <w:rsid w:val="00D964B2"/>
    <w:rsid w:val="00DA2F8E"/>
    <w:rsid w:val="00DA3D37"/>
    <w:rsid w:val="00DA6ABC"/>
    <w:rsid w:val="00DB0513"/>
    <w:rsid w:val="00DC2F2F"/>
    <w:rsid w:val="00DD53B2"/>
    <w:rsid w:val="00DD7DDD"/>
    <w:rsid w:val="00DF6375"/>
    <w:rsid w:val="00E01440"/>
    <w:rsid w:val="00E203DD"/>
    <w:rsid w:val="00E26256"/>
    <w:rsid w:val="00E27C35"/>
    <w:rsid w:val="00E42A31"/>
    <w:rsid w:val="00E45EFF"/>
    <w:rsid w:val="00E616F9"/>
    <w:rsid w:val="00E635E0"/>
    <w:rsid w:val="00E63DBF"/>
    <w:rsid w:val="00E7381C"/>
    <w:rsid w:val="00E766F4"/>
    <w:rsid w:val="00E90D1D"/>
    <w:rsid w:val="00E96F09"/>
    <w:rsid w:val="00EC2E09"/>
    <w:rsid w:val="00EC390B"/>
    <w:rsid w:val="00ED31BC"/>
    <w:rsid w:val="00ED7EE8"/>
    <w:rsid w:val="00EE50C0"/>
    <w:rsid w:val="00EF3980"/>
    <w:rsid w:val="00EF5500"/>
    <w:rsid w:val="00EF63D4"/>
    <w:rsid w:val="00F03338"/>
    <w:rsid w:val="00F03702"/>
    <w:rsid w:val="00F06EA4"/>
    <w:rsid w:val="00F071F6"/>
    <w:rsid w:val="00F15A1A"/>
    <w:rsid w:val="00F16C32"/>
    <w:rsid w:val="00F20DA0"/>
    <w:rsid w:val="00F215D2"/>
    <w:rsid w:val="00F3748E"/>
    <w:rsid w:val="00F46D5A"/>
    <w:rsid w:val="00F556A4"/>
    <w:rsid w:val="00F55B87"/>
    <w:rsid w:val="00F613DD"/>
    <w:rsid w:val="00F71EA9"/>
    <w:rsid w:val="00F73C2B"/>
    <w:rsid w:val="00F8540A"/>
    <w:rsid w:val="00F93B65"/>
    <w:rsid w:val="00F946A9"/>
    <w:rsid w:val="00FA4FB0"/>
    <w:rsid w:val="00FB3563"/>
    <w:rsid w:val="00FB3587"/>
    <w:rsid w:val="00FB6ABC"/>
    <w:rsid w:val="00FC50EB"/>
    <w:rsid w:val="00FC7B98"/>
    <w:rsid w:val="00FE5F65"/>
    <w:rsid w:val="00FE62F8"/>
    <w:rsid w:val="00FF47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8ACE"/>
  <w15:chartTrackingRefBased/>
  <w15:docId w15:val="{975B077B-535C-43A1-B923-725526D5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27C35"/>
    <w:pPr>
      <w:spacing w:after="0" w:line="240" w:lineRule="auto"/>
      <w:jc w:val="both"/>
    </w:pPr>
    <w:rPr>
      <w:rFonts w:ascii="Minion Pro" w:eastAsia="Times New Roman" w:hAnsi="Minion Pro" w:cs="Times New Roman"/>
      <w:sz w:val="20"/>
      <w:szCs w:val="20"/>
      <w:shd w:val="clear" w:color="auto" w:fill="FFFFFF"/>
    </w:rPr>
  </w:style>
  <w:style w:type="character" w:customStyle="1" w:styleId="FootnoteTextChar">
    <w:name w:val="Footnote Text Char"/>
    <w:basedOn w:val="DefaultParagraphFont"/>
    <w:link w:val="FootnoteText"/>
    <w:uiPriority w:val="99"/>
    <w:rsid w:val="00E27C35"/>
    <w:rPr>
      <w:rFonts w:ascii="Minion Pro" w:eastAsia="Times New Roman" w:hAnsi="Minion Pro" w:cs="Times New Roman"/>
      <w:sz w:val="20"/>
      <w:szCs w:val="20"/>
    </w:rPr>
  </w:style>
  <w:style w:type="character" w:styleId="FootnoteReference">
    <w:name w:val="footnote reference"/>
    <w:basedOn w:val="DefaultParagraphFont"/>
    <w:uiPriority w:val="99"/>
    <w:unhideWhenUsed/>
    <w:rsid w:val="00E27C35"/>
    <w:rPr>
      <w:vertAlign w:val="superscript"/>
    </w:rPr>
  </w:style>
  <w:style w:type="paragraph" w:styleId="ListParagraph">
    <w:name w:val="List Paragraph"/>
    <w:basedOn w:val="Normal"/>
    <w:uiPriority w:val="34"/>
    <w:qFormat/>
    <w:rsid w:val="00C3733D"/>
    <w:pPr>
      <w:ind w:left="720"/>
      <w:contextualSpacing/>
    </w:pPr>
  </w:style>
  <w:style w:type="character" w:styleId="Hyperlink">
    <w:name w:val="Hyperlink"/>
    <w:basedOn w:val="DefaultParagraphFont"/>
    <w:uiPriority w:val="99"/>
    <w:semiHidden/>
    <w:unhideWhenUsed/>
    <w:rsid w:val="009748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actueel/nieuws/@124250/conclusie-toetsing-evenredighe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1351</ap:Words>
  <ap:Characters>7435</ap:Characters>
  <ap:DocSecurity>0</ap:DocSecurity>
  <ap:Lines>61</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2021-06-04T12:32:00.0000000Z</dcterms:created>
  <dcterms:modified xsi:type="dcterms:W3CDTF">2021-06-17T08:11:00.0000000Z</dcterms:modified>
  <version/>
  <category/>
</coreProperties>
</file>