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1398" w:rsidR="00631AF6" w:rsidP="00EE7748" w:rsidRDefault="004B0F82" w14:paraId="4DDB9519" w14:textId="18898D0F">
      <w:pPr>
        <w:jc w:val="both"/>
        <w:rPr>
          <w:b/>
          <w:lang w:val="nl-NL"/>
        </w:rPr>
      </w:pPr>
      <w:bookmarkStart w:name="_GoBack" w:id="0"/>
      <w:bookmarkEnd w:id="0"/>
      <w:r>
        <w:rPr>
          <w:b/>
          <w:lang w:val="nl-NL"/>
        </w:rPr>
        <w:t>V</w:t>
      </w:r>
      <w:r w:rsidRPr="00F21398" w:rsidR="002C22F9">
        <w:rPr>
          <w:b/>
          <w:lang w:val="nl-NL"/>
        </w:rPr>
        <w:t>erdrag van Vriendschap en Samenwerking in Zuidoost-</w:t>
      </w:r>
      <w:r w:rsidRPr="008D0BFE" w:rsidR="002C22F9">
        <w:rPr>
          <w:b/>
          <w:lang w:val="nl-NL"/>
        </w:rPr>
        <w:t>Azië</w:t>
      </w:r>
      <w:r w:rsidR="00510820">
        <w:rPr>
          <w:b/>
          <w:lang w:val="nl-NL"/>
        </w:rPr>
        <w:t xml:space="preserve">, </w:t>
      </w:r>
      <w:r w:rsidR="00171912">
        <w:rPr>
          <w:b/>
          <w:lang w:val="nl-NL"/>
        </w:rPr>
        <w:t xml:space="preserve">zoals </w:t>
      </w:r>
      <w:r w:rsidR="006E231C">
        <w:rPr>
          <w:b/>
          <w:lang w:val="nl-NL"/>
        </w:rPr>
        <w:t xml:space="preserve">gewijzigd </w:t>
      </w:r>
      <w:r w:rsidR="00171912">
        <w:rPr>
          <w:b/>
          <w:lang w:val="nl-NL"/>
        </w:rPr>
        <w:t xml:space="preserve">bij het Protocol van </w:t>
      </w:r>
      <w:r w:rsidRPr="006E231C" w:rsidR="006E231C">
        <w:rPr>
          <w:b/>
          <w:lang w:val="nl-NL"/>
        </w:rPr>
        <w:t xml:space="preserve">15 december 1987, </w:t>
      </w:r>
      <w:r w:rsidR="00171912">
        <w:rPr>
          <w:b/>
          <w:lang w:val="nl-NL"/>
        </w:rPr>
        <w:t xml:space="preserve">het Protocol van </w:t>
      </w:r>
      <w:r w:rsidRPr="006E231C" w:rsidR="006E231C">
        <w:rPr>
          <w:b/>
          <w:lang w:val="nl-NL"/>
        </w:rPr>
        <w:t>25 juli 1998 en</w:t>
      </w:r>
      <w:r w:rsidR="006E231C">
        <w:rPr>
          <w:b/>
          <w:lang w:val="nl-NL"/>
        </w:rPr>
        <w:t xml:space="preserve"> </w:t>
      </w:r>
      <w:r w:rsidR="00171912">
        <w:rPr>
          <w:b/>
          <w:lang w:val="nl-NL"/>
        </w:rPr>
        <w:t xml:space="preserve">het Protocol van </w:t>
      </w:r>
      <w:r w:rsidR="00894C38">
        <w:rPr>
          <w:b/>
          <w:lang w:val="nl-NL"/>
        </w:rPr>
        <w:t>23 juli 2010</w:t>
      </w:r>
      <w:r w:rsidR="00C85FAD">
        <w:rPr>
          <w:b/>
          <w:lang w:val="nl-NL"/>
        </w:rPr>
        <w:t xml:space="preserve">; </w:t>
      </w:r>
      <w:r w:rsidRPr="00246EF2" w:rsidR="00246EF2">
        <w:rPr>
          <w:b/>
          <w:lang w:val="nl-NL"/>
        </w:rPr>
        <w:t>Denpasar</w:t>
      </w:r>
      <w:r w:rsidR="0030401E">
        <w:rPr>
          <w:b/>
          <w:lang w:val="nl-NL"/>
        </w:rPr>
        <w:t>;</w:t>
      </w:r>
      <w:r w:rsidRPr="00246EF2" w:rsidR="00246EF2">
        <w:rPr>
          <w:b/>
          <w:lang w:val="nl-NL"/>
        </w:rPr>
        <w:t xml:space="preserve"> 24 februari 1976</w:t>
      </w:r>
      <w:r w:rsidR="00C85FAD">
        <w:rPr>
          <w:b/>
          <w:lang w:val="nl-NL"/>
        </w:rPr>
        <w:t xml:space="preserve"> (</w:t>
      </w:r>
      <w:r w:rsidRPr="00495728" w:rsidR="00631AF6">
        <w:rPr>
          <w:b/>
          <w:i/>
          <w:lang w:val="nl-NL"/>
        </w:rPr>
        <w:t>Trb.</w:t>
      </w:r>
      <w:r w:rsidR="00C85FAD">
        <w:rPr>
          <w:b/>
          <w:i/>
          <w:lang w:val="nl-NL"/>
        </w:rPr>
        <w:t xml:space="preserve"> </w:t>
      </w:r>
      <w:r w:rsidRPr="00F21398" w:rsidR="00631AF6">
        <w:rPr>
          <w:b/>
          <w:lang w:val="nl-NL"/>
        </w:rPr>
        <w:t xml:space="preserve"> </w:t>
      </w:r>
      <w:r w:rsidR="00E20015">
        <w:rPr>
          <w:b/>
          <w:lang w:val="nl-NL"/>
        </w:rPr>
        <w:t>2021</w:t>
      </w:r>
      <w:r w:rsidRPr="00F21398" w:rsidR="00631AF6">
        <w:rPr>
          <w:b/>
          <w:lang w:val="nl-NL"/>
        </w:rPr>
        <w:t xml:space="preserve">, </w:t>
      </w:r>
      <w:r w:rsidR="00E20015">
        <w:rPr>
          <w:b/>
          <w:lang w:val="nl-NL"/>
        </w:rPr>
        <w:t>12</w:t>
      </w:r>
      <w:r w:rsidRPr="00F21398" w:rsidR="00631AF6">
        <w:rPr>
          <w:b/>
          <w:lang w:val="nl-NL"/>
        </w:rPr>
        <w:t>)</w:t>
      </w:r>
    </w:p>
    <w:p w:rsidRPr="003D504C" w:rsidR="002C22F9" w:rsidP="00EF60F9" w:rsidRDefault="002C22F9" w14:paraId="0C2151B3" w14:textId="77777777">
      <w:pPr>
        <w:jc w:val="both"/>
        <w:rPr>
          <w:lang w:val="nl-NL"/>
        </w:rPr>
      </w:pPr>
    </w:p>
    <w:p w:rsidR="00631AF6" w:rsidP="00642C90" w:rsidRDefault="00631AF6" w14:paraId="7BF3B114" w14:textId="76457FBD">
      <w:pPr>
        <w:jc w:val="both"/>
        <w:rPr>
          <w:b/>
        </w:rPr>
      </w:pPr>
      <w:r w:rsidRPr="002C22F9">
        <w:rPr>
          <w:b/>
        </w:rPr>
        <w:t>TOELICHTENDE NOTA</w:t>
      </w:r>
    </w:p>
    <w:p w:rsidRPr="002C22F9" w:rsidR="002C22F9" w:rsidRDefault="002C22F9" w14:paraId="6342788F" w14:textId="77777777">
      <w:pPr>
        <w:jc w:val="both"/>
        <w:rPr>
          <w:b/>
        </w:rPr>
      </w:pPr>
    </w:p>
    <w:p w:rsidR="00710C47" w:rsidRDefault="002C22F9" w14:paraId="4C0A99E7" w14:textId="378B1DAE">
      <w:pPr>
        <w:pStyle w:val="Kop1"/>
        <w:numPr>
          <w:ilvl w:val="0"/>
          <w:numId w:val="6"/>
        </w:numPr>
        <w:jc w:val="both"/>
      </w:pPr>
      <w:r>
        <w:t>I</w:t>
      </w:r>
      <w:r w:rsidRPr="002C22F9" w:rsidR="00631AF6">
        <w:t>nleiding</w:t>
      </w:r>
    </w:p>
    <w:p w:rsidR="00682E6A" w:rsidRDefault="00682E6A" w14:paraId="49FCA2A5" w14:textId="77777777">
      <w:pPr>
        <w:jc w:val="both"/>
        <w:rPr>
          <w:lang w:val="nl-NL"/>
        </w:rPr>
      </w:pPr>
    </w:p>
    <w:p w:rsidRPr="00335321" w:rsidR="00335321" w:rsidRDefault="00927828" w14:paraId="2B23A8B8" w14:textId="2A03BDB3">
      <w:pPr>
        <w:jc w:val="both"/>
        <w:rPr>
          <w:lang w:val="nl-NL"/>
        </w:rPr>
      </w:pPr>
      <w:r w:rsidRPr="00927828">
        <w:rPr>
          <w:lang w:val="nl-NL"/>
        </w:rPr>
        <w:t xml:space="preserve">Met het oog op de toetreding van het Koninkrijk der Nederlanden tot het </w:t>
      </w:r>
      <w:r w:rsidR="002D39FA">
        <w:rPr>
          <w:lang w:val="nl-NL"/>
        </w:rPr>
        <w:t xml:space="preserve">op 24 februari 1976 </w:t>
      </w:r>
      <w:r w:rsidR="00510820">
        <w:rPr>
          <w:lang w:val="nl-NL"/>
        </w:rPr>
        <w:t>te Den</w:t>
      </w:r>
      <w:r w:rsidR="00506829">
        <w:rPr>
          <w:lang w:val="nl-NL"/>
        </w:rPr>
        <w:t>p</w:t>
      </w:r>
      <w:r w:rsidR="00510820">
        <w:rPr>
          <w:lang w:val="nl-NL"/>
        </w:rPr>
        <w:t>asar</w:t>
      </w:r>
      <w:r w:rsidR="002D39FA">
        <w:rPr>
          <w:lang w:val="nl-NL"/>
        </w:rPr>
        <w:t xml:space="preserve"> tot stand gekomen </w:t>
      </w:r>
      <w:r w:rsidRPr="00335321" w:rsidR="00335321">
        <w:rPr>
          <w:lang w:val="nl-NL"/>
        </w:rPr>
        <w:t>Verdrag van Vriendschap en Samenwerking in Zuidoost-Azië</w:t>
      </w:r>
      <w:r w:rsidR="00A67FCD">
        <w:rPr>
          <w:lang w:val="nl-NL"/>
        </w:rPr>
        <w:t xml:space="preserve"> (</w:t>
      </w:r>
      <w:r w:rsidRPr="00DC79E6" w:rsidR="00DC79E6">
        <w:rPr>
          <w:lang w:val="nl-NL"/>
        </w:rPr>
        <w:t>Southeast Asia Treaty of Amity and Cooperation</w:t>
      </w:r>
      <w:r w:rsidR="00DC79E6">
        <w:rPr>
          <w:lang w:val="nl-NL"/>
        </w:rPr>
        <w:t xml:space="preserve">, </w:t>
      </w:r>
      <w:r w:rsidR="00A67FCD">
        <w:rPr>
          <w:lang w:val="nl-NL"/>
        </w:rPr>
        <w:t xml:space="preserve">hierna: het </w:t>
      </w:r>
      <w:r w:rsidR="00197CD2">
        <w:rPr>
          <w:lang w:val="nl-NL"/>
        </w:rPr>
        <w:t>Verdrag</w:t>
      </w:r>
      <w:r w:rsidR="00A67FCD">
        <w:rPr>
          <w:lang w:val="nl-NL"/>
        </w:rPr>
        <w:t>)</w:t>
      </w:r>
      <w:r w:rsidR="002D39FA">
        <w:rPr>
          <w:lang w:val="nl-NL"/>
        </w:rPr>
        <w:t xml:space="preserve">, </w:t>
      </w:r>
      <w:r w:rsidR="00B3346A">
        <w:rPr>
          <w:lang w:val="nl-NL"/>
        </w:rPr>
        <w:t>z</w:t>
      </w:r>
      <w:r w:rsidR="002D39FA">
        <w:rPr>
          <w:lang w:val="nl-NL"/>
        </w:rPr>
        <w:t xml:space="preserve">oals </w:t>
      </w:r>
      <w:r w:rsidRPr="00335321" w:rsidR="00335321">
        <w:rPr>
          <w:lang w:val="nl-NL"/>
        </w:rPr>
        <w:t xml:space="preserve">gewijzigd bij </w:t>
      </w:r>
      <w:r w:rsidR="00424311">
        <w:rPr>
          <w:lang w:val="nl-NL"/>
        </w:rPr>
        <w:t>P</w:t>
      </w:r>
      <w:r w:rsidRPr="00335321" w:rsidR="00335321">
        <w:rPr>
          <w:lang w:val="nl-NL"/>
        </w:rPr>
        <w:t xml:space="preserve">rotocol </w:t>
      </w:r>
      <w:r w:rsidR="001509AE">
        <w:rPr>
          <w:lang w:val="nl-NL"/>
        </w:rPr>
        <w:t>van</w:t>
      </w:r>
      <w:r w:rsidRPr="00335321" w:rsidR="00335321">
        <w:rPr>
          <w:lang w:val="nl-NL"/>
        </w:rPr>
        <w:t xml:space="preserve"> 1</w:t>
      </w:r>
      <w:r w:rsidR="001509AE">
        <w:rPr>
          <w:lang w:val="nl-NL"/>
        </w:rPr>
        <w:t>5 december 1987, van</w:t>
      </w:r>
      <w:r w:rsidRPr="00335321" w:rsidR="00335321">
        <w:rPr>
          <w:lang w:val="nl-NL"/>
        </w:rPr>
        <w:t xml:space="preserve"> 25 juli 1998 en </w:t>
      </w:r>
      <w:r w:rsidR="001509AE">
        <w:rPr>
          <w:lang w:val="nl-NL"/>
        </w:rPr>
        <w:t>van</w:t>
      </w:r>
      <w:r w:rsidRPr="00335321" w:rsidR="00335321">
        <w:rPr>
          <w:lang w:val="nl-NL"/>
        </w:rPr>
        <w:t xml:space="preserve"> </w:t>
      </w:r>
      <w:r w:rsidR="00495728">
        <w:rPr>
          <w:lang w:val="nl-NL"/>
        </w:rPr>
        <w:t>23 juli 2010</w:t>
      </w:r>
      <w:r>
        <w:rPr>
          <w:lang w:val="nl-NL"/>
        </w:rPr>
        <w:t>, wordt dit</w:t>
      </w:r>
      <w:r w:rsidR="00B72A7E">
        <w:rPr>
          <w:lang w:val="nl-NL"/>
        </w:rPr>
        <w:t xml:space="preserve"> V</w:t>
      </w:r>
      <w:r w:rsidR="00CD6DE1">
        <w:rPr>
          <w:lang w:val="nl-NL"/>
        </w:rPr>
        <w:t xml:space="preserve">erdrag </w:t>
      </w:r>
      <w:r w:rsidRPr="00927828">
        <w:rPr>
          <w:lang w:val="nl-NL"/>
        </w:rPr>
        <w:t>hierbij ter parlementaire goedkeuring aangeboden.</w:t>
      </w:r>
    </w:p>
    <w:p w:rsidRPr="00682E6A" w:rsidR="00682E6A" w:rsidRDefault="00682E6A" w14:paraId="6F930724" w14:textId="4936E3B8">
      <w:pPr>
        <w:jc w:val="both"/>
        <w:rPr>
          <w:i/>
          <w:lang w:val="nl-NL"/>
        </w:rPr>
      </w:pPr>
      <w:r w:rsidRPr="00682E6A">
        <w:rPr>
          <w:i/>
          <w:lang w:val="nl-NL"/>
        </w:rPr>
        <w:t xml:space="preserve"> </w:t>
      </w:r>
    </w:p>
    <w:p w:rsidR="002C22F9" w:rsidRDefault="002C22F9" w14:paraId="362CEF65" w14:textId="7CB665CC">
      <w:pPr>
        <w:jc w:val="both"/>
        <w:rPr>
          <w:lang w:val="nl-NL"/>
        </w:rPr>
      </w:pPr>
      <w:r w:rsidRPr="002C22F9">
        <w:rPr>
          <w:lang w:val="nl-NL"/>
        </w:rPr>
        <w:t>Het</w:t>
      </w:r>
      <w:r w:rsidR="00B72A7E">
        <w:rPr>
          <w:lang w:val="nl-NL"/>
        </w:rPr>
        <w:t xml:space="preserve"> V</w:t>
      </w:r>
      <w:r w:rsidR="00CD6DE1">
        <w:rPr>
          <w:lang w:val="nl-NL"/>
        </w:rPr>
        <w:t xml:space="preserve">erdrag </w:t>
      </w:r>
      <w:r w:rsidR="00A67FCD">
        <w:rPr>
          <w:lang w:val="nl-NL"/>
        </w:rPr>
        <w:t>werd gesloten met als</w:t>
      </w:r>
      <w:r w:rsidRPr="002C22F9">
        <w:rPr>
          <w:lang w:val="nl-NL"/>
        </w:rPr>
        <w:t xml:space="preserve"> doel de vrede, stabiliteit en samenwerking in de regio</w:t>
      </w:r>
      <w:r w:rsidR="00345855">
        <w:rPr>
          <w:lang w:val="nl-NL"/>
        </w:rPr>
        <w:t xml:space="preserve"> Zuidoost</w:t>
      </w:r>
      <w:r w:rsidR="00B72A7E">
        <w:rPr>
          <w:lang w:val="nl-NL"/>
        </w:rPr>
        <w:t>-</w:t>
      </w:r>
      <w:r w:rsidR="00345855">
        <w:rPr>
          <w:lang w:val="nl-NL"/>
        </w:rPr>
        <w:t xml:space="preserve"> Azië</w:t>
      </w:r>
      <w:r w:rsidRPr="002C22F9">
        <w:rPr>
          <w:lang w:val="nl-NL"/>
        </w:rPr>
        <w:t xml:space="preserve"> te bevorderen. </w:t>
      </w:r>
      <w:r w:rsidR="00DC3EEC">
        <w:rPr>
          <w:lang w:val="nl-NL"/>
        </w:rPr>
        <w:t>H</w:t>
      </w:r>
      <w:r w:rsidRPr="002C22F9">
        <w:rPr>
          <w:lang w:val="nl-NL"/>
        </w:rPr>
        <w:t>et</w:t>
      </w:r>
      <w:r w:rsidR="00CD6DE1">
        <w:rPr>
          <w:lang w:val="nl-NL"/>
        </w:rPr>
        <w:t xml:space="preserve"> </w:t>
      </w:r>
      <w:r w:rsidR="00937B2A">
        <w:rPr>
          <w:lang w:val="nl-NL"/>
        </w:rPr>
        <w:t>V</w:t>
      </w:r>
      <w:r w:rsidR="00CD6DE1">
        <w:rPr>
          <w:lang w:val="nl-NL"/>
        </w:rPr>
        <w:t xml:space="preserve">erdrag </w:t>
      </w:r>
      <w:r w:rsidR="00746CE1">
        <w:rPr>
          <w:lang w:val="nl-NL"/>
        </w:rPr>
        <w:t>is een basis voor</w:t>
      </w:r>
      <w:r w:rsidRPr="002C22F9">
        <w:rPr>
          <w:lang w:val="nl-NL"/>
        </w:rPr>
        <w:t xml:space="preserve"> betere samenwerking op economisch, handels</w:t>
      </w:r>
      <w:r w:rsidR="009C2B38">
        <w:rPr>
          <w:lang w:val="nl-NL"/>
        </w:rPr>
        <w:t>-</w:t>
      </w:r>
      <w:r w:rsidRPr="002C22F9">
        <w:rPr>
          <w:lang w:val="nl-NL"/>
        </w:rPr>
        <w:t xml:space="preserve">, sociaal, technisch en wetenschappelijk gebied, </w:t>
      </w:r>
      <w:r w:rsidR="000E1C79">
        <w:rPr>
          <w:lang w:val="nl-NL"/>
        </w:rPr>
        <w:t>en ziet ook op</w:t>
      </w:r>
      <w:r w:rsidRPr="002C22F9">
        <w:rPr>
          <w:lang w:val="nl-NL"/>
        </w:rPr>
        <w:t xml:space="preserve"> een versnelde economische groei in de regio door een groter gebruik van de landbouw en industrie in de landen van </w:t>
      </w:r>
      <w:r w:rsidR="00345855">
        <w:rPr>
          <w:lang w:val="nl-NL"/>
        </w:rPr>
        <w:t>Z</w:t>
      </w:r>
      <w:r w:rsidRPr="002C22F9">
        <w:rPr>
          <w:lang w:val="nl-NL"/>
        </w:rPr>
        <w:t>uidoost-Azië, de uitbreiding van de handel en de verbetering van de economische infrastructuur. Het</w:t>
      </w:r>
      <w:r w:rsidR="00CD6DE1">
        <w:rPr>
          <w:lang w:val="nl-NL"/>
        </w:rPr>
        <w:t xml:space="preserve"> </w:t>
      </w:r>
      <w:r w:rsidRPr="002C22F9">
        <w:rPr>
          <w:lang w:val="nl-NL"/>
        </w:rPr>
        <w:t>pleit</w:t>
      </w:r>
      <w:r w:rsidR="00C11386">
        <w:rPr>
          <w:lang w:val="nl-NL"/>
        </w:rPr>
        <w:t xml:space="preserve"> voor </w:t>
      </w:r>
      <w:r w:rsidR="006B5306">
        <w:rPr>
          <w:lang w:val="nl-NL"/>
        </w:rPr>
        <w:t xml:space="preserve">samenwerking bij </w:t>
      </w:r>
      <w:r w:rsidRPr="002C22F9">
        <w:rPr>
          <w:lang w:val="nl-NL"/>
        </w:rPr>
        <w:t>economische ontwikkeling en wederzijdse bijstand</w:t>
      </w:r>
      <w:r w:rsidR="00C11386">
        <w:rPr>
          <w:lang w:val="nl-NL"/>
        </w:rPr>
        <w:t xml:space="preserve"> en</w:t>
      </w:r>
      <w:r w:rsidRPr="002C22F9">
        <w:rPr>
          <w:lang w:val="nl-NL"/>
        </w:rPr>
        <w:t xml:space="preserve"> overleg over internationale en regionale kwesties.</w:t>
      </w:r>
      <w:r w:rsidR="00970755">
        <w:rPr>
          <w:lang w:val="nl-NL"/>
        </w:rPr>
        <w:t xml:space="preserve"> Internationaal overleg betreft bijvoorbeeld </w:t>
      </w:r>
      <w:r w:rsidRPr="00970755" w:rsidR="00970755">
        <w:rPr>
          <w:lang w:val="nl-NL"/>
        </w:rPr>
        <w:t>samenwerking met grootmachten, versterking van het multilaterale systeem en de internationale rechtsorde.</w:t>
      </w:r>
      <w:r w:rsidR="00970755">
        <w:rPr>
          <w:lang w:val="nl-NL"/>
        </w:rPr>
        <w:t xml:space="preserve"> </w:t>
      </w:r>
      <w:r w:rsidRPr="00970755" w:rsidR="00970755">
        <w:rPr>
          <w:lang w:val="nl-NL"/>
        </w:rPr>
        <w:t xml:space="preserve">Regionaal </w:t>
      </w:r>
      <w:r w:rsidR="00970755">
        <w:rPr>
          <w:lang w:val="nl-NL"/>
        </w:rPr>
        <w:t xml:space="preserve">overleg </w:t>
      </w:r>
      <w:r w:rsidR="005E7E5A">
        <w:rPr>
          <w:lang w:val="nl-NL"/>
        </w:rPr>
        <w:t>gaat</w:t>
      </w:r>
      <w:r w:rsidR="00970755">
        <w:rPr>
          <w:lang w:val="nl-NL"/>
        </w:rPr>
        <w:t xml:space="preserve"> onder meer</w:t>
      </w:r>
      <w:r w:rsidR="005E7E5A">
        <w:rPr>
          <w:lang w:val="nl-NL"/>
        </w:rPr>
        <w:t xml:space="preserve"> over</w:t>
      </w:r>
      <w:r w:rsidR="00970755">
        <w:rPr>
          <w:lang w:val="nl-NL"/>
        </w:rPr>
        <w:t xml:space="preserve"> </w:t>
      </w:r>
      <w:r w:rsidRPr="00970755" w:rsidR="00970755">
        <w:rPr>
          <w:lang w:val="nl-NL"/>
        </w:rPr>
        <w:t xml:space="preserve">de ontwikkeling van een gedragscode voor de Zuid-Chinese Zee. </w:t>
      </w:r>
      <w:r w:rsidR="00D145D4">
        <w:rPr>
          <w:lang w:val="nl-NL"/>
        </w:rPr>
        <w:t xml:space="preserve">Het Verdrag ziet op onderlinge samenwerking en niet op interne aangelegenheden. </w:t>
      </w:r>
      <w:r w:rsidR="00DC3EEC">
        <w:rPr>
          <w:lang w:val="nl-NL"/>
        </w:rPr>
        <w:t xml:space="preserve">Bovendien is de inzet </w:t>
      </w:r>
      <w:r w:rsidRPr="00DC3EEC" w:rsidR="00DC3EEC">
        <w:rPr>
          <w:lang w:val="nl-NL"/>
        </w:rPr>
        <w:t>om via economische samenw</w:t>
      </w:r>
      <w:r w:rsidR="00DC3EEC">
        <w:rPr>
          <w:lang w:val="nl-NL"/>
        </w:rPr>
        <w:t>e</w:t>
      </w:r>
      <w:r w:rsidRPr="00DC3EEC" w:rsidR="00DC3EEC">
        <w:rPr>
          <w:lang w:val="nl-NL"/>
        </w:rPr>
        <w:t xml:space="preserve">rking conflicten te voorkomen. Het </w:t>
      </w:r>
      <w:r w:rsidR="00DC3EEC">
        <w:rPr>
          <w:lang w:val="nl-NL"/>
        </w:rPr>
        <w:t xml:space="preserve">Verdrag </w:t>
      </w:r>
      <w:r w:rsidRPr="00DC3EEC" w:rsidR="00DC3EEC">
        <w:rPr>
          <w:lang w:val="nl-NL"/>
        </w:rPr>
        <w:t xml:space="preserve">roept </w:t>
      </w:r>
      <w:r w:rsidR="00DC3EEC">
        <w:rPr>
          <w:lang w:val="nl-NL"/>
        </w:rPr>
        <w:t>ook</w:t>
      </w:r>
      <w:r w:rsidRPr="00DC3EEC" w:rsidR="00DC3EEC">
        <w:rPr>
          <w:lang w:val="nl-NL"/>
        </w:rPr>
        <w:t xml:space="preserve"> op tot vreedzame beslechting van geschillen, de bewaring van de vrede, de voorkoming van conflicten en de versterking van de veiligheid. Het Verdrag stelt </w:t>
      </w:r>
      <w:r w:rsidR="00DC3EEC">
        <w:rPr>
          <w:lang w:val="nl-NL"/>
        </w:rPr>
        <w:t xml:space="preserve">daarbij </w:t>
      </w:r>
      <w:r w:rsidRPr="00DC3EEC" w:rsidR="00DC3EEC">
        <w:rPr>
          <w:lang w:val="nl-NL"/>
        </w:rPr>
        <w:t xml:space="preserve">mechanismen in voor verzoening en bemiddeling bij geschillen en het bepaalt dat de verdragsluitende partijen niet met geweld mogen dreigen en geen geweld mogen gebruiken. </w:t>
      </w:r>
      <w:r w:rsidR="007E558C">
        <w:rPr>
          <w:lang w:val="nl-NL"/>
        </w:rPr>
        <w:t xml:space="preserve">Het </w:t>
      </w:r>
      <w:r w:rsidR="00B72A7E">
        <w:rPr>
          <w:lang w:val="nl-NL"/>
        </w:rPr>
        <w:t>V</w:t>
      </w:r>
      <w:r w:rsidR="007E558C">
        <w:rPr>
          <w:lang w:val="nl-NL"/>
        </w:rPr>
        <w:t xml:space="preserve">erdrag </w:t>
      </w:r>
      <w:r w:rsidRPr="009A4F27" w:rsidR="007E558C">
        <w:rPr>
          <w:lang w:val="nl-NL"/>
        </w:rPr>
        <w:t xml:space="preserve">werd gewijzigd </w:t>
      </w:r>
      <w:r w:rsidR="007E558C">
        <w:rPr>
          <w:lang w:val="nl-NL"/>
        </w:rPr>
        <w:t>bij</w:t>
      </w:r>
      <w:r w:rsidRPr="009A4F27" w:rsidR="007E558C">
        <w:rPr>
          <w:lang w:val="nl-NL"/>
        </w:rPr>
        <w:t xml:space="preserve"> </w:t>
      </w:r>
      <w:r w:rsidR="00B72A7E">
        <w:rPr>
          <w:lang w:val="nl-NL"/>
        </w:rPr>
        <w:t>p</w:t>
      </w:r>
      <w:r w:rsidRPr="009A4F27" w:rsidR="007E558C">
        <w:rPr>
          <w:lang w:val="nl-NL"/>
        </w:rPr>
        <w:t xml:space="preserve">rotocol </w:t>
      </w:r>
      <w:r w:rsidR="007E558C">
        <w:rPr>
          <w:lang w:val="nl-NL"/>
        </w:rPr>
        <w:t>op</w:t>
      </w:r>
      <w:r w:rsidRPr="009A4F27" w:rsidR="007E558C">
        <w:rPr>
          <w:lang w:val="nl-NL"/>
        </w:rPr>
        <w:t xml:space="preserve"> 15 december 1987, op 25 juli 1998 en op 23 juli 2010.</w:t>
      </w:r>
      <w:r w:rsidR="007E558C">
        <w:rPr>
          <w:lang w:val="nl-NL"/>
        </w:rPr>
        <w:t xml:space="preserve"> </w:t>
      </w:r>
      <w:r w:rsidR="00CB4601">
        <w:rPr>
          <w:lang w:val="nl-NL"/>
        </w:rPr>
        <w:t>Zie verder hieronder de artikelsgewijze toelichting.</w:t>
      </w:r>
    </w:p>
    <w:p w:rsidR="007E558C" w:rsidP="00164101" w:rsidRDefault="007E558C" w14:paraId="21B0CCC1" w14:textId="77777777">
      <w:pPr>
        <w:jc w:val="both"/>
        <w:rPr>
          <w:lang w:val="nl-NL"/>
        </w:rPr>
      </w:pPr>
    </w:p>
    <w:p w:rsidRPr="00D62BE3" w:rsidR="005A0011" w:rsidP="00642C90" w:rsidRDefault="00B2012D" w14:paraId="4AB27990" w14:textId="0CAF1519">
      <w:pPr>
        <w:jc w:val="both"/>
        <w:rPr>
          <w:lang w:val="nl-NL"/>
        </w:rPr>
      </w:pPr>
      <w:r>
        <w:rPr>
          <w:lang w:val="nl-NL"/>
        </w:rPr>
        <w:t>H</w:t>
      </w:r>
      <w:r w:rsidRPr="007570FD" w:rsidR="007570FD">
        <w:rPr>
          <w:lang w:val="nl-NL"/>
        </w:rPr>
        <w:t>et</w:t>
      </w:r>
      <w:r w:rsidR="005A0011">
        <w:rPr>
          <w:lang w:val="nl-NL"/>
        </w:rPr>
        <w:t xml:space="preserve"> V</w:t>
      </w:r>
      <w:r w:rsidR="00CD6DE1">
        <w:rPr>
          <w:lang w:val="nl-NL"/>
        </w:rPr>
        <w:t xml:space="preserve">erdrag </w:t>
      </w:r>
      <w:r>
        <w:rPr>
          <w:lang w:val="nl-NL"/>
        </w:rPr>
        <w:t xml:space="preserve">is </w:t>
      </w:r>
      <w:r w:rsidRPr="007570FD" w:rsidR="007570FD">
        <w:rPr>
          <w:lang w:val="nl-NL"/>
        </w:rPr>
        <w:t>ondertekend door de Republiek Indonesië, Maleisië, de Republiek der Filippijnen, de Republiek Singapore en het Koninkrijk Thailand.</w:t>
      </w:r>
      <w:r w:rsidRPr="0023339C" w:rsidR="0023339C">
        <w:rPr>
          <w:lang w:val="nl-NL"/>
        </w:rPr>
        <w:t xml:space="preserve"> </w:t>
      </w:r>
      <w:r w:rsidR="00970755">
        <w:rPr>
          <w:lang w:val="nl-NL"/>
        </w:rPr>
        <w:t xml:space="preserve">Oorspronkelijk stond het </w:t>
      </w:r>
      <w:r w:rsidR="00557ACA">
        <w:rPr>
          <w:lang w:val="nl-NL"/>
        </w:rPr>
        <w:t>Verdrag</w:t>
      </w:r>
      <w:r w:rsidRPr="00B902D8" w:rsidR="00B902D8">
        <w:rPr>
          <w:lang w:val="nl-NL"/>
        </w:rPr>
        <w:t xml:space="preserve"> open voor toetreding door</w:t>
      </w:r>
      <w:r w:rsidR="00C71EDF">
        <w:rPr>
          <w:lang w:val="nl-NL"/>
        </w:rPr>
        <w:t xml:space="preserve"> de</w:t>
      </w:r>
      <w:r w:rsidRPr="00B902D8" w:rsidR="00B902D8">
        <w:rPr>
          <w:lang w:val="nl-NL"/>
        </w:rPr>
        <w:t xml:space="preserve"> landen in Zuidoost-Azië.</w:t>
      </w:r>
      <w:r w:rsidR="00B902D8">
        <w:rPr>
          <w:lang w:val="nl-NL"/>
        </w:rPr>
        <w:t xml:space="preserve"> </w:t>
      </w:r>
      <w:r w:rsidRPr="00B72A7E" w:rsidR="00A67FCD">
        <w:rPr>
          <w:lang w:val="nl-NL"/>
        </w:rPr>
        <w:t>Met</w:t>
      </w:r>
      <w:r w:rsidRPr="00B72A7E" w:rsidR="00B72A7E">
        <w:rPr>
          <w:lang w:val="nl-NL"/>
        </w:rPr>
        <w:t xml:space="preserve"> het eerste protocol werd het Verdrag </w:t>
      </w:r>
      <w:r w:rsidR="00C71EDF">
        <w:rPr>
          <w:lang w:val="nl-NL"/>
        </w:rPr>
        <w:t xml:space="preserve">ook </w:t>
      </w:r>
      <w:r w:rsidRPr="00B72A7E" w:rsidR="00B72A7E">
        <w:rPr>
          <w:lang w:val="nl-NL"/>
        </w:rPr>
        <w:t xml:space="preserve">opengesteld voor toetreding van </w:t>
      </w:r>
      <w:r w:rsidR="00970755">
        <w:rPr>
          <w:lang w:val="nl-NL"/>
        </w:rPr>
        <w:t>s</w:t>
      </w:r>
      <w:r w:rsidRPr="00B72A7E" w:rsidR="00B72A7E">
        <w:rPr>
          <w:lang w:val="nl-NL"/>
        </w:rPr>
        <w:t xml:space="preserve">taten buiten Zuidoost-Azië na </w:t>
      </w:r>
      <w:r w:rsidR="002301B9">
        <w:rPr>
          <w:lang w:val="nl-NL"/>
        </w:rPr>
        <w:t>in</w:t>
      </w:r>
      <w:r w:rsidRPr="00B72A7E" w:rsidR="00B72A7E">
        <w:rPr>
          <w:lang w:val="nl-NL"/>
        </w:rPr>
        <w:t xml:space="preserve">stemming van </w:t>
      </w:r>
      <w:r w:rsidR="00B72A7E">
        <w:rPr>
          <w:lang w:val="nl-NL"/>
        </w:rPr>
        <w:t>alle</w:t>
      </w:r>
      <w:r w:rsidR="00970755">
        <w:rPr>
          <w:lang w:val="nl-NL"/>
        </w:rPr>
        <w:t xml:space="preserve"> ondertekenende</w:t>
      </w:r>
      <w:r w:rsidR="00B72A7E">
        <w:rPr>
          <w:lang w:val="nl-NL"/>
        </w:rPr>
        <w:t xml:space="preserve"> </w:t>
      </w:r>
      <w:r w:rsidRPr="00B72A7E" w:rsidR="00B72A7E">
        <w:rPr>
          <w:lang w:val="nl-NL"/>
        </w:rPr>
        <w:t>l</w:t>
      </w:r>
      <w:r w:rsidR="00937B2A">
        <w:rPr>
          <w:lang w:val="nl-NL"/>
        </w:rPr>
        <w:t>anden in Zuidoost-Azië</w:t>
      </w:r>
      <w:r w:rsidRPr="00EA006F" w:rsidR="00B72A7E">
        <w:rPr>
          <w:lang w:val="nl-NL"/>
        </w:rPr>
        <w:t>.</w:t>
      </w:r>
      <w:r>
        <w:rPr>
          <w:lang w:val="nl-NL"/>
        </w:rPr>
        <w:t xml:space="preserve"> </w:t>
      </w:r>
      <w:r w:rsidRPr="00EA006F" w:rsidR="00A152C9">
        <w:rPr>
          <w:lang w:val="nl-NL"/>
        </w:rPr>
        <w:t>In</w:t>
      </w:r>
      <w:r w:rsidRPr="00EA006F" w:rsidR="00B72A7E">
        <w:rPr>
          <w:lang w:val="nl-NL"/>
        </w:rPr>
        <w:t xml:space="preserve"> het tweede </w:t>
      </w:r>
      <w:r w:rsidRPr="00EA006F" w:rsidR="00A152C9">
        <w:rPr>
          <w:lang w:val="nl-NL"/>
        </w:rPr>
        <w:t>wijzigings</w:t>
      </w:r>
      <w:r w:rsidRPr="00EA006F" w:rsidR="00B72A7E">
        <w:rPr>
          <w:lang w:val="nl-NL"/>
        </w:rPr>
        <w:t xml:space="preserve">protocol </w:t>
      </w:r>
      <w:r w:rsidRPr="00EA006F" w:rsidR="00A152C9">
        <w:rPr>
          <w:lang w:val="nl-NL"/>
        </w:rPr>
        <w:t>zijn de</w:t>
      </w:r>
      <w:r w:rsidR="004D3F86">
        <w:rPr>
          <w:lang w:val="nl-NL"/>
        </w:rPr>
        <w:t xml:space="preserve"> landen in Zuidoost-Azië die moeten instemmen met de toetreding van landen buiten Zuidoost-Azië, </w:t>
      </w:r>
      <w:r w:rsidRPr="00D62BE3" w:rsidR="00A152C9">
        <w:rPr>
          <w:lang w:val="nl-NL"/>
        </w:rPr>
        <w:t xml:space="preserve">nadrukkelijk genoemd. </w:t>
      </w:r>
    </w:p>
    <w:p w:rsidR="00A152C9" w:rsidP="00164101" w:rsidRDefault="00EA006F" w14:paraId="4697520F" w14:textId="69C7FE5D">
      <w:pPr>
        <w:jc w:val="both"/>
        <w:rPr>
          <w:lang w:val="nl-NL"/>
        </w:rPr>
      </w:pPr>
      <w:r>
        <w:rPr>
          <w:lang w:val="nl-NL"/>
        </w:rPr>
        <w:t>Met h</w:t>
      </w:r>
      <w:r w:rsidRPr="00A152C9" w:rsidR="00A152C9">
        <w:rPr>
          <w:lang w:val="nl-NL"/>
        </w:rPr>
        <w:t xml:space="preserve">et derde protocol </w:t>
      </w:r>
      <w:r>
        <w:rPr>
          <w:lang w:val="nl-NL"/>
        </w:rPr>
        <w:t>van</w:t>
      </w:r>
      <w:r w:rsidRPr="00A152C9" w:rsidR="00A152C9">
        <w:rPr>
          <w:lang w:val="nl-NL"/>
        </w:rPr>
        <w:t xml:space="preserve"> 23 juli 2010</w:t>
      </w:r>
      <w:r w:rsidR="00A152C9">
        <w:rPr>
          <w:lang w:val="nl-NL"/>
        </w:rPr>
        <w:t xml:space="preserve"> </w:t>
      </w:r>
      <w:r>
        <w:rPr>
          <w:lang w:val="nl-NL"/>
        </w:rPr>
        <w:t xml:space="preserve">is het Verdrag opnieuw gewijzigd en sindsdien kunnen ook </w:t>
      </w:r>
      <w:r w:rsidRPr="00A152C9" w:rsidR="00A152C9">
        <w:rPr>
          <w:lang w:val="nl-NL"/>
        </w:rPr>
        <w:t>regionale organisaties toetreden tot het Verdrag, mits</w:t>
      </w:r>
      <w:r w:rsidR="00A152C9">
        <w:rPr>
          <w:lang w:val="nl-NL"/>
        </w:rPr>
        <w:t xml:space="preserve"> de leden van deze organisaties soevereine </w:t>
      </w:r>
      <w:r w:rsidR="00B2012D">
        <w:rPr>
          <w:lang w:val="nl-NL"/>
        </w:rPr>
        <w:t>s</w:t>
      </w:r>
      <w:r w:rsidR="00A152C9">
        <w:rPr>
          <w:lang w:val="nl-NL"/>
        </w:rPr>
        <w:t>taten zijn</w:t>
      </w:r>
      <w:r w:rsidR="002301B9">
        <w:rPr>
          <w:lang w:val="nl-NL"/>
        </w:rPr>
        <w:t xml:space="preserve"> en genoemde in</w:t>
      </w:r>
      <w:r w:rsidR="003C65C4">
        <w:rPr>
          <w:lang w:val="nl-NL"/>
        </w:rPr>
        <w:t>stemming wordt gegeven</w:t>
      </w:r>
      <w:r w:rsidR="00A152C9">
        <w:rPr>
          <w:lang w:val="nl-NL"/>
        </w:rPr>
        <w:t xml:space="preserve">. </w:t>
      </w:r>
      <w:r w:rsidRPr="00A152C9" w:rsidR="00A152C9">
        <w:rPr>
          <w:lang w:val="nl-NL"/>
        </w:rPr>
        <w:t xml:space="preserve">Na de inwerkingtreding van </w:t>
      </w:r>
      <w:r w:rsidR="00A152C9">
        <w:rPr>
          <w:lang w:val="nl-NL"/>
        </w:rPr>
        <w:t>het derde p</w:t>
      </w:r>
      <w:r w:rsidRPr="00A152C9" w:rsidR="00A152C9">
        <w:rPr>
          <w:lang w:val="nl-NL"/>
        </w:rPr>
        <w:t>rotocol is de Europese Unie op 12 juli 2012 toegetreden tot het Verdrag.</w:t>
      </w:r>
    </w:p>
    <w:p w:rsidR="003C72CD" w:rsidP="00164101" w:rsidRDefault="003C72CD" w14:paraId="12ECCC15" w14:textId="7B9072AC">
      <w:pPr>
        <w:jc w:val="both"/>
        <w:rPr>
          <w:lang w:val="nl-NL"/>
        </w:rPr>
      </w:pPr>
    </w:p>
    <w:p w:rsidR="00163DE5" w:rsidP="00163DE5" w:rsidRDefault="003C72CD" w14:paraId="781C9330" w14:textId="21D7B01B">
      <w:pPr>
        <w:jc w:val="both"/>
        <w:rPr>
          <w:lang w:val="nl-NL"/>
        </w:rPr>
      </w:pPr>
      <w:r w:rsidRPr="003C72CD">
        <w:rPr>
          <w:lang w:val="nl-NL"/>
        </w:rPr>
        <w:t xml:space="preserve">Vanwege de </w:t>
      </w:r>
      <w:r w:rsidR="00463EB7">
        <w:rPr>
          <w:lang w:val="nl-NL"/>
        </w:rPr>
        <w:t xml:space="preserve">verwachte </w:t>
      </w:r>
      <w:r w:rsidR="001F5E36">
        <w:rPr>
          <w:lang w:val="nl-NL"/>
        </w:rPr>
        <w:t xml:space="preserve">grote </w:t>
      </w:r>
      <w:r w:rsidR="00463EB7">
        <w:rPr>
          <w:lang w:val="nl-NL"/>
        </w:rPr>
        <w:t>economische groei in de landen in Zuidoost</w:t>
      </w:r>
      <w:r w:rsidR="00C10264">
        <w:rPr>
          <w:lang w:val="nl-NL"/>
        </w:rPr>
        <w:t>-</w:t>
      </w:r>
      <w:r w:rsidR="00463EB7">
        <w:rPr>
          <w:lang w:val="nl-NL"/>
        </w:rPr>
        <w:t>Azi</w:t>
      </w:r>
      <w:r w:rsidRPr="00811817" w:rsidR="00C10264">
        <w:rPr>
          <w:lang w:val="nl-NL"/>
        </w:rPr>
        <w:t>ë</w:t>
      </w:r>
      <w:r w:rsidR="00463EB7">
        <w:rPr>
          <w:lang w:val="nl-NL"/>
        </w:rPr>
        <w:t xml:space="preserve"> en geopolitieke</w:t>
      </w:r>
      <w:r w:rsidRPr="003C72CD">
        <w:rPr>
          <w:lang w:val="nl-NL"/>
        </w:rPr>
        <w:t xml:space="preserve"> ontwikkelingen in </w:t>
      </w:r>
      <w:r w:rsidR="00463EB7">
        <w:rPr>
          <w:lang w:val="nl-NL"/>
        </w:rPr>
        <w:t>Azi</w:t>
      </w:r>
      <w:r w:rsidRPr="00C10264" w:rsidR="00C10264">
        <w:rPr>
          <w:lang w:val="nl-NL"/>
        </w:rPr>
        <w:t>ë</w:t>
      </w:r>
      <w:r w:rsidRPr="003C72CD">
        <w:rPr>
          <w:lang w:val="nl-NL"/>
        </w:rPr>
        <w:t>, wordt momenteel samenwerking gezocht met ASEAN</w:t>
      </w:r>
      <w:r w:rsidR="00B2012D">
        <w:rPr>
          <w:lang w:val="nl-NL"/>
        </w:rPr>
        <w:t xml:space="preserve"> </w:t>
      </w:r>
      <w:r w:rsidR="00506829">
        <w:rPr>
          <w:lang w:val="nl-NL"/>
        </w:rPr>
        <w:t>d</w:t>
      </w:r>
      <w:r w:rsidR="009A2504">
        <w:rPr>
          <w:lang w:val="nl-NL"/>
        </w:rPr>
        <w:t xml:space="preserve">oor </w:t>
      </w:r>
      <w:r w:rsidRPr="003C72CD">
        <w:rPr>
          <w:lang w:val="nl-NL"/>
        </w:rPr>
        <w:t>EU</w:t>
      </w:r>
      <w:r w:rsidR="00506829">
        <w:rPr>
          <w:lang w:val="nl-NL"/>
        </w:rPr>
        <w:t>-</w:t>
      </w:r>
      <w:r w:rsidRPr="003C72CD">
        <w:rPr>
          <w:lang w:val="nl-NL"/>
        </w:rPr>
        <w:t>l</w:t>
      </w:r>
      <w:r w:rsidR="00B2012D">
        <w:rPr>
          <w:lang w:val="nl-NL"/>
        </w:rPr>
        <w:t>idstaten</w:t>
      </w:r>
      <w:r w:rsidR="009A2504">
        <w:rPr>
          <w:lang w:val="nl-NL"/>
        </w:rPr>
        <w:t xml:space="preserve"> en ook door</w:t>
      </w:r>
      <w:r w:rsidRPr="003C72CD">
        <w:rPr>
          <w:lang w:val="nl-NL"/>
        </w:rPr>
        <w:t xml:space="preserve"> landen uit de rest van de wereld. </w:t>
      </w:r>
      <w:r w:rsidRPr="00811817" w:rsidR="00726655">
        <w:rPr>
          <w:lang w:val="nl-NL"/>
        </w:rPr>
        <w:t xml:space="preserve">Momenteel zijn de </w:t>
      </w:r>
      <w:r w:rsidRPr="00811817" w:rsidR="005A0011">
        <w:rPr>
          <w:lang w:val="nl-NL"/>
        </w:rPr>
        <w:t>partij</w:t>
      </w:r>
      <w:r w:rsidR="00924C67">
        <w:rPr>
          <w:lang w:val="nl-NL"/>
        </w:rPr>
        <w:t>en</w:t>
      </w:r>
      <w:r w:rsidRPr="00811817" w:rsidR="005A0011">
        <w:rPr>
          <w:lang w:val="nl-NL"/>
        </w:rPr>
        <w:t xml:space="preserve"> bij het Verdrag</w:t>
      </w:r>
      <w:r w:rsidR="00510820">
        <w:rPr>
          <w:lang w:val="nl-NL"/>
        </w:rPr>
        <w:t xml:space="preserve"> (in chronologische volgorde)</w:t>
      </w:r>
      <w:r w:rsidRPr="00811817" w:rsidR="00726655">
        <w:rPr>
          <w:lang w:val="nl-NL"/>
        </w:rPr>
        <w:t xml:space="preserve">: </w:t>
      </w:r>
    </w:p>
    <w:p w:rsidRPr="00811817" w:rsidR="00EA006F" w:rsidP="00163DE5" w:rsidRDefault="00924C67" w14:paraId="0AA2D8C3" w14:textId="24C6C266">
      <w:pPr>
        <w:jc w:val="both"/>
        <w:rPr>
          <w:lang w:val="nl-NL"/>
        </w:rPr>
      </w:pPr>
      <w:r>
        <w:rPr>
          <w:lang w:val="nl-NL"/>
        </w:rPr>
        <w:t xml:space="preserve">Indonesië, Maleisië, Filipijnen, Singapore, Thailand, Brunei </w:t>
      </w:r>
      <w:r w:rsidRPr="00924C67">
        <w:rPr>
          <w:lang w:val="nl-NL"/>
        </w:rPr>
        <w:t>Darussalam</w:t>
      </w:r>
      <w:r>
        <w:rPr>
          <w:lang w:val="nl-NL"/>
        </w:rPr>
        <w:t>, Papoea Nieuw- Guinea, Laos, Vietnam, Cambodja, Myanmar, China, India, Japan, Pakistan, Zuid-Korea, Rusland, Nieuw-Zeeland, Mongolië, Australië, Frankrijk, Oost-Timor, Bangladesh, Sri Lanka, Noord-Korea, Verenigde Staten, Canada, Turkije, Europese Unie, Verenigd Koninkrijk, Brazilië, Noorwegen, Chili, Egypte, Marokko, Iran, Argentinië, Peru</w:t>
      </w:r>
      <w:r w:rsidR="00163DE5">
        <w:rPr>
          <w:lang w:val="nl-NL"/>
        </w:rPr>
        <w:t xml:space="preserve">, </w:t>
      </w:r>
      <w:r w:rsidRPr="00811817" w:rsidR="00186288">
        <w:rPr>
          <w:lang w:val="nl-NL"/>
        </w:rPr>
        <w:t xml:space="preserve">Bahrein, </w:t>
      </w:r>
      <w:r w:rsidR="00C85D51">
        <w:rPr>
          <w:lang w:val="nl-NL"/>
        </w:rPr>
        <w:t>Duitsland</w:t>
      </w:r>
      <w:r w:rsidR="00163DE5">
        <w:rPr>
          <w:lang w:val="nl-NL"/>
        </w:rPr>
        <w:t>.</w:t>
      </w:r>
    </w:p>
    <w:p w:rsidR="00A152C9" w:rsidP="00642C90" w:rsidRDefault="00A152C9" w14:paraId="0B183441" w14:textId="36D3AB40">
      <w:pPr>
        <w:jc w:val="both"/>
        <w:rPr>
          <w:highlight w:val="yellow"/>
          <w:lang w:val="nl-NL"/>
        </w:rPr>
      </w:pPr>
    </w:p>
    <w:p w:rsidR="001014B8" w:rsidP="00642C90" w:rsidRDefault="001014B8" w14:paraId="715D8419" w14:textId="3C76B682">
      <w:pPr>
        <w:jc w:val="both"/>
        <w:rPr>
          <w:highlight w:val="yellow"/>
          <w:lang w:val="nl-NL"/>
        </w:rPr>
      </w:pPr>
    </w:p>
    <w:p w:rsidRPr="000B66A0" w:rsidR="001014B8" w:rsidP="00642C90" w:rsidRDefault="001014B8" w14:paraId="3144691A" w14:textId="77777777">
      <w:pPr>
        <w:jc w:val="both"/>
        <w:rPr>
          <w:highlight w:val="yellow"/>
          <w:lang w:val="nl-NL"/>
        </w:rPr>
      </w:pPr>
    </w:p>
    <w:p w:rsidR="003E6725" w:rsidP="00642C90" w:rsidRDefault="003E6725" w14:paraId="79378A0A" w14:textId="77777777">
      <w:pPr>
        <w:jc w:val="both"/>
        <w:rPr>
          <w:lang w:val="nl-NL"/>
        </w:rPr>
      </w:pPr>
    </w:p>
    <w:p w:rsidRPr="003E6725" w:rsidR="003E6725" w:rsidRDefault="003E6725" w14:paraId="4381A2FE" w14:textId="5CCB2AD8">
      <w:pPr>
        <w:pStyle w:val="Lijstalinea"/>
        <w:numPr>
          <w:ilvl w:val="0"/>
          <w:numId w:val="6"/>
        </w:numPr>
        <w:rPr>
          <w:b/>
          <w:lang w:val="nl-NL"/>
        </w:rPr>
      </w:pPr>
      <w:r w:rsidRPr="003E6725">
        <w:rPr>
          <w:b/>
          <w:lang w:val="nl-NL"/>
        </w:rPr>
        <w:lastRenderedPageBreak/>
        <w:t>ASEAN</w:t>
      </w:r>
    </w:p>
    <w:p w:rsidRPr="003E6725" w:rsidR="003E6725" w:rsidRDefault="003E6725" w14:paraId="5F56C682" w14:textId="77777777">
      <w:pPr>
        <w:jc w:val="both"/>
        <w:rPr>
          <w:lang w:val="nl-NL"/>
        </w:rPr>
      </w:pPr>
    </w:p>
    <w:p w:rsidR="00B53B2D" w:rsidRDefault="006248CA" w14:paraId="04E6DE0F" w14:textId="6FC26844">
      <w:pPr>
        <w:jc w:val="both"/>
        <w:rPr>
          <w:lang w:val="nl-NL"/>
        </w:rPr>
      </w:pPr>
      <w:r w:rsidRPr="006248CA">
        <w:rPr>
          <w:lang w:val="nl-NL"/>
        </w:rPr>
        <w:t xml:space="preserve">Het onderhavige vriendschapsverdrag is één van de juridische instrumenten van de Associatie van Zuidoost-Aziatische Staten </w:t>
      </w:r>
      <w:r w:rsidRPr="00706FD4" w:rsidR="00706FD4">
        <w:rPr>
          <w:lang w:val="nl-NL"/>
        </w:rPr>
        <w:t xml:space="preserve">De </w:t>
      </w:r>
      <w:r w:rsidRPr="003E6725" w:rsidR="003E6725">
        <w:rPr>
          <w:lang w:val="nl-NL"/>
        </w:rPr>
        <w:t>ASEAN werd opgericht op 8 augustus 1967 in Bangkok, Thailand, met de ondertek</w:t>
      </w:r>
      <w:r w:rsidR="00F55E9A">
        <w:rPr>
          <w:lang w:val="nl-NL"/>
        </w:rPr>
        <w:t>ening van de ASEAN-verklaring (de zgn. V</w:t>
      </w:r>
      <w:r w:rsidRPr="003E6725" w:rsidR="003E6725">
        <w:rPr>
          <w:lang w:val="nl-NL"/>
        </w:rPr>
        <w:t xml:space="preserve">erklaring van Bangkok) door de grondleggers Indonesië, Maleisië, de Filippijnen, Singapore en Thailand. Vervolgens zijn </w:t>
      </w:r>
      <w:r w:rsidR="00510820">
        <w:rPr>
          <w:lang w:val="nl-NL"/>
        </w:rPr>
        <w:t>toegetreden:</w:t>
      </w:r>
      <w:r w:rsidRPr="003E6725" w:rsidR="003E6725">
        <w:rPr>
          <w:lang w:val="nl-NL"/>
        </w:rPr>
        <w:t xml:space="preserve"> Brunei Darussalam op 7 januari 1984, Vietnam op 28 juli 1995, Lao</w:t>
      </w:r>
      <w:r w:rsidR="00914D6A">
        <w:rPr>
          <w:lang w:val="nl-NL"/>
        </w:rPr>
        <w:t>s</w:t>
      </w:r>
      <w:r w:rsidRPr="003E6725" w:rsidR="003E6725">
        <w:rPr>
          <w:lang w:val="nl-NL"/>
        </w:rPr>
        <w:t xml:space="preserve"> en Myanmar op 23 juli 1997 en Cambodja op 30 april 1999. </w:t>
      </w:r>
      <w:r w:rsidRPr="005E7E5A" w:rsidR="005E7E5A">
        <w:rPr>
          <w:lang w:val="nl-NL"/>
        </w:rPr>
        <w:t xml:space="preserve">ASEAN </w:t>
      </w:r>
      <w:r w:rsidR="005E7E5A">
        <w:rPr>
          <w:lang w:val="nl-NL"/>
        </w:rPr>
        <w:t>heeft</w:t>
      </w:r>
      <w:r w:rsidRPr="005E7E5A" w:rsidR="005E7E5A">
        <w:rPr>
          <w:lang w:val="nl-NL"/>
        </w:rPr>
        <w:t xml:space="preserve"> nu tien lidstaten</w:t>
      </w:r>
      <w:r w:rsidR="00612CD8">
        <w:rPr>
          <w:lang w:val="nl-NL"/>
        </w:rPr>
        <w:t>. De organisatie</w:t>
      </w:r>
      <w:r w:rsidR="00EC2380">
        <w:rPr>
          <w:lang w:val="nl-NL"/>
        </w:rPr>
        <w:t xml:space="preserve"> </w:t>
      </w:r>
      <w:r w:rsidRPr="00EC2380" w:rsidR="00EC2380">
        <w:rPr>
          <w:lang w:val="nl-NL"/>
        </w:rPr>
        <w:t>zetelt in Jakarta.</w:t>
      </w:r>
    </w:p>
    <w:p w:rsidRPr="00DB54E2" w:rsidR="00DB54E2" w:rsidRDefault="003E6725" w14:paraId="5F2FC302" w14:textId="7C0A45F9">
      <w:pPr>
        <w:jc w:val="both"/>
        <w:rPr>
          <w:lang w:val="nl-NL"/>
        </w:rPr>
      </w:pPr>
      <w:r w:rsidRPr="003E6725">
        <w:rPr>
          <w:lang w:val="nl-NL"/>
        </w:rPr>
        <w:t xml:space="preserve">ASEAN werd opgericht om de economische groei in de regio te bevorderen, en om maatschappelijke en culturele vooruitgang te boeken. </w:t>
      </w:r>
      <w:r w:rsidRPr="00612CD8" w:rsidR="00612CD8">
        <w:rPr>
          <w:lang w:val="nl-NL"/>
        </w:rPr>
        <w:t xml:space="preserve">De intergouvernementele samenwerking tussen de ASEAN-landen richt zich </w:t>
      </w:r>
      <w:r w:rsidR="00612CD8">
        <w:rPr>
          <w:lang w:val="nl-NL"/>
        </w:rPr>
        <w:t xml:space="preserve">dus </w:t>
      </w:r>
      <w:r w:rsidRPr="00612CD8" w:rsidR="00612CD8">
        <w:rPr>
          <w:lang w:val="nl-NL"/>
        </w:rPr>
        <w:t xml:space="preserve">vooral op regionale veiligheid en economische samenwerking. </w:t>
      </w:r>
      <w:r w:rsidRPr="003E6725">
        <w:rPr>
          <w:lang w:val="nl-NL"/>
        </w:rPr>
        <w:t>Het doel is</w:t>
      </w:r>
      <w:r w:rsidR="005E7E5A">
        <w:rPr>
          <w:lang w:val="nl-NL"/>
        </w:rPr>
        <w:t xml:space="preserve"> daarnaast ook</w:t>
      </w:r>
      <w:r w:rsidRPr="003E6725">
        <w:rPr>
          <w:lang w:val="nl-NL"/>
        </w:rPr>
        <w:t xml:space="preserve"> samen te werken op sociaal, cultureel, technisch, educatief en ander gebied</w:t>
      </w:r>
      <w:r w:rsidR="005E7E5A">
        <w:rPr>
          <w:lang w:val="nl-NL"/>
        </w:rPr>
        <w:t>. Bevordering</w:t>
      </w:r>
      <w:r w:rsidRPr="003E6725">
        <w:rPr>
          <w:lang w:val="nl-NL"/>
        </w:rPr>
        <w:t xml:space="preserve"> van regionale vrede en stabiliteit</w:t>
      </w:r>
      <w:r w:rsidR="005E7E5A">
        <w:rPr>
          <w:lang w:val="nl-NL"/>
        </w:rPr>
        <w:t xml:space="preserve"> geschiedt onder meer</w:t>
      </w:r>
      <w:r w:rsidRPr="003E6725">
        <w:rPr>
          <w:lang w:val="nl-NL"/>
        </w:rPr>
        <w:t xml:space="preserve"> door eerbiediging van gerechtigheid en de rechtsstaat en naleving van de beginselen van het Handvest van de Verenigde Naties.</w:t>
      </w:r>
      <w:r w:rsidR="00DB54E2">
        <w:rPr>
          <w:lang w:val="nl-NL"/>
        </w:rPr>
        <w:t xml:space="preserve"> In ASEAN-verband zijn </w:t>
      </w:r>
      <w:r w:rsidR="00612CD8">
        <w:rPr>
          <w:lang w:val="nl-NL"/>
        </w:rPr>
        <w:t>ook</w:t>
      </w:r>
      <w:r w:rsidR="00DB54E2">
        <w:rPr>
          <w:lang w:val="nl-NL"/>
        </w:rPr>
        <w:t xml:space="preserve"> a</w:t>
      </w:r>
      <w:r w:rsidRPr="00DB54E2" w:rsidR="00DB54E2">
        <w:rPr>
          <w:lang w:val="nl-NL"/>
        </w:rPr>
        <w:t xml:space="preserve">fspraken </w:t>
      </w:r>
      <w:r w:rsidR="00DB54E2">
        <w:rPr>
          <w:lang w:val="nl-NL"/>
        </w:rPr>
        <w:t xml:space="preserve">gemaakt </w:t>
      </w:r>
      <w:r w:rsidRPr="00DB54E2" w:rsidR="00DB54E2">
        <w:rPr>
          <w:lang w:val="nl-NL"/>
        </w:rPr>
        <w:t>over duurzaamheid</w:t>
      </w:r>
      <w:r w:rsidR="003913E3">
        <w:rPr>
          <w:lang w:val="nl-NL"/>
        </w:rPr>
        <w:t xml:space="preserve">, </w:t>
      </w:r>
      <w:r w:rsidRPr="003913E3" w:rsidR="003913E3">
        <w:rPr>
          <w:lang w:val="nl-NL"/>
        </w:rPr>
        <w:t>onder meer op het gebied van natuur en biodiversiteit, klimaat en watermanagement</w:t>
      </w:r>
      <w:r w:rsidR="00510820">
        <w:rPr>
          <w:lang w:val="nl-NL"/>
        </w:rPr>
        <w:t>.</w:t>
      </w:r>
      <w:r w:rsidR="00DB54E2">
        <w:rPr>
          <w:lang w:val="nl-NL"/>
        </w:rPr>
        <w:t xml:space="preserve"> </w:t>
      </w:r>
    </w:p>
    <w:p w:rsidRPr="003E6725" w:rsidR="003E6725" w:rsidRDefault="003E6725" w14:paraId="6586BEA7" w14:textId="1E2D5E61">
      <w:pPr>
        <w:jc w:val="both"/>
        <w:rPr>
          <w:lang w:val="nl-NL"/>
        </w:rPr>
      </w:pPr>
      <w:r w:rsidRPr="003E6725">
        <w:rPr>
          <w:lang w:val="nl-NL"/>
        </w:rPr>
        <w:t>De landen die onder de ASEAN-regio vallen vormen samen een vrijhandelszone. Onderlinge handelsbelemmeringen, zoals in- en uitvoerrechten, zijn afgeschaft.</w:t>
      </w:r>
      <w:r w:rsidR="00EC2380">
        <w:rPr>
          <w:lang w:val="nl-NL"/>
        </w:rPr>
        <w:t xml:space="preserve"> Samen met de EU is ASEAN een van de meest succesvolle multilaterale samenwerkingsverbanden.</w:t>
      </w:r>
    </w:p>
    <w:p w:rsidR="003E6725" w:rsidRDefault="003E6725" w14:paraId="7D4D012E" w14:textId="74A76328">
      <w:pPr>
        <w:jc w:val="both"/>
        <w:rPr>
          <w:lang w:val="nl-NL"/>
        </w:rPr>
      </w:pPr>
      <w:r w:rsidRPr="003E6725">
        <w:rPr>
          <w:lang w:val="nl-NL"/>
        </w:rPr>
        <w:t xml:space="preserve">Het voorzitterschap van ASEAN rouleert jaarlijks, op basis van de alfabetische volgorde van de Engelse namen van de lidstaten. Vietnam </w:t>
      </w:r>
      <w:r w:rsidR="00146DD5">
        <w:rPr>
          <w:lang w:val="nl-NL"/>
        </w:rPr>
        <w:t>wa</w:t>
      </w:r>
      <w:r w:rsidR="00424311">
        <w:rPr>
          <w:lang w:val="nl-NL"/>
        </w:rPr>
        <w:t>s</w:t>
      </w:r>
      <w:r w:rsidRPr="003E6725">
        <w:rPr>
          <w:lang w:val="nl-NL"/>
        </w:rPr>
        <w:t xml:space="preserve"> voorzitter in 2020 en de Filipijnen </w:t>
      </w:r>
      <w:r w:rsidR="00146DD5">
        <w:rPr>
          <w:lang w:val="nl-NL"/>
        </w:rPr>
        <w:t xml:space="preserve">zitten voor </w:t>
      </w:r>
      <w:r w:rsidRPr="003E6725">
        <w:rPr>
          <w:lang w:val="nl-NL"/>
        </w:rPr>
        <w:t>in 2021.</w:t>
      </w:r>
      <w:r w:rsidRPr="00612CD8" w:rsidR="00EC2380">
        <w:rPr>
          <w:lang w:val="nl-NL"/>
        </w:rPr>
        <w:t xml:space="preserve"> </w:t>
      </w:r>
    </w:p>
    <w:p w:rsidRPr="003E6725" w:rsidR="003E6725" w:rsidRDefault="003E6725" w14:paraId="0E332CDD" w14:textId="735A678F">
      <w:pPr>
        <w:jc w:val="both"/>
        <w:rPr>
          <w:lang w:val="nl-NL"/>
        </w:rPr>
      </w:pPr>
    </w:p>
    <w:p w:rsidR="003E6725" w:rsidRDefault="003E6725" w14:paraId="546A12BF" w14:textId="2B8CBA85">
      <w:pPr>
        <w:jc w:val="both"/>
        <w:rPr>
          <w:lang w:val="nl-NL"/>
        </w:rPr>
      </w:pPr>
    </w:p>
    <w:p w:rsidRPr="007B7748" w:rsidR="007B7748" w:rsidP="00164101" w:rsidRDefault="007B7748" w14:paraId="67967CCA" w14:textId="2FE9F837">
      <w:pPr>
        <w:pStyle w:val="Kop1"/>
        <w:numPr>
          <w:ilvl w:val="0"/>
          <w:numId w:val="6"/>
        </w:numPr>
        <w:jc w:val="both"/>
        <w:rPr>
          <w:lang w:val="nl-NL"/>
        </w:rPr>
      </w:pPr>
      <w:r>
        <w:rPr>
          <w:lang w:val="nl-NL"/>
        </w:rPr>
        <w:t xml:space="preserve">De </w:t>
      </w:r>
      <w:r w:rsidR="00217A72">
        <w:rPr>
          <w:lang w:val="nl-NL"/>
        </w:rPr>
        <w:t>toetredings</w:t>
      </w:r>
      <w:r>
        <w:rPr>
          <w:lang w:val="nl-NL"/>
        </w:rPr>
        <w:t>procedure</w:t>
      </w:r>
      <w:r w:rsidR="00490E36">
        <w:rPr>
          <w:lang w:val="nl-NL"/>
        </w:rPr>
        <w:t xml:space="preserve"> tot het Verdrag</w:t>
      </w:r>
    </w:p>
    <w:p w:rsidR="007B7748" w:rsidP="00EE7748" w:rsidRDefault="007B7748" w14:paraId="05D979C8" w14:textId="77777777">
      <w:pPr>
        <w:jc w:val="both"/>
        <w:rPr>
          <w:lang w:val="nl-NL"/>
        </w:rPr>
      </w:pPr>
    </w:p>
    <w:p w:rsidR="00217A72" w:rsidP="00EE7748" w:rsidRDefault="006D57D0" w14:paraId="7A68D92C" w14:textId="3FF9097D">
      <w:pPr>
        <w:jc w:val="both"/>
        <w:rPr>
          <w:lang w:val="nl-NL"/>
        </w:rPr>
      </w:pPr>
      <w:r>
        <w:rPr>
          <w:lang w:val="nl-NL"/>
        </w:rPr>
        <w:t xml:space="preserve">Alle </w:t>
      </w:r>
      <w:r w:rsidR="00242A1B">
        <w:rPr>
          <w:lang w:val="nl-NL"/>
        </w:rPr>
        <w:t>s</w:t>
      </w:r>
      <w:r>
        <w:rPr>
          <w:lang w:val="nl-NL"/>
        </w:rPr>
        <w:t>taten</w:t>
      </w:r>
      <w:r w:rsidRPr="00DE0347" w:rsidR="00DE0347">
        <w:rPr>
          <w:lang w:val="nl-NL"/>
        </w:rPr>
        <w:t xml:space="preserve"> en regionale organisaties waarvan de leden uitsluitend</w:t>
      </w:r>
      <w:r w:rsidR="00DE0347">
        <w:rPr>
          <w:lang w:val="nl-NL"/>
        </w:rPr>
        <w:t xml:space="preserve"> </w:t>
      </w:r>
      <w:r w:rsidRPr="00DE0347" w:rsidR="00DE0347">
        <w:rPr>
          <w:lang w:val="nl-NL"/>
        </w:rPr>
        <w:t xml:space="preserve">soevereine </w:t>
      </w:r>
      <w:r w:rsidR="00242A1B">
        <w:rPr>
          <w:lang w:val="nl-NL"/>
        </w:rPr>
        <w:t>s</w:t>
      </w:r>
      <w:r w:rsidRPr="00DE0347" w:rsidR="00DE0347">
        <w:rPr>
          <w:lang w:val="nl-NL"/>
        </w:rPr>
        <w:t xml:space="preserve">taten zijn, kunnen </w:t>
      </w:r>
      <w:r w:rsidR="00DE0347">
        <w:rPr>
          <w:lang w:val="nl-NL"/>
        </w:rPr>
        <w:t xml:space="preserve">een verzoek </w:t>
      </w:r>
      <w:r w:rsidR="00823A82">
        <w:rPr>
          <w:lang w:val="nl-NL"/>
        </w:rPr>
        <w:t xml:space="preserve">indienen om </w:t>
      </w:r>
      <w:r w:rsidR="00DE0347">
        <w:rPr>
          <w:lang w:val="nl-NL"/>
        </w:rPr>
        <w:t>te mogen toetreden</w:t>
      </w:r>
      <w:r w:rsidR="00557ACA">
        <w:rPr>
          <w:lang w:val="nl-NL"/>
        </w:rPr>
        <w:t xml:space="preserve"> tot het vriendschapsverdrag</w:t>
      </w:r>
      <w:r w:rsidR="00DE0347">
        <w:rPr>
          <w:lang w:val="nl-NL"/>
        </w:rPr>
        <w:t xml:space="preserve">. </w:t>
      </w:r>
      <w:r>
        <w:rPr>
          <w:lang w:val="nl-NL"/>
        </w:rPr>
        <w:t>Voor toetreding van Staten buiten Zuidoost-Azië</w:t>
      </w:r>
      <w:r w:rsidR="00DE0347">
        <w:rPr>
          <w:lang w:val="nl-NL"/>
        </w:rPr>
        <w:t xml:space="preserve"> </w:t>
      </w:r>
      <w:r>
        <w:rPr>
          <w:lang w:val="nl-NL"/>
        </w:rPr>
        <w:t xml:space="preserve">en regionale organisaties is </w:t>
      </w:r>
      <w:r w:rsidRPr="002B4D60" w:rsidR="002301B9">
        <w:rPr>
          <w:lang w:val="nl-NL"/>
        </w:rPr>
        <w:t>in</w:t>
      </w:r>
      <w:r w:rsidRPr="002B4D60">
        <w:rPr>
          <w:lang w:val="nl-NL"/>
        </w:rPr>
        <w:t>stemming</w:t>
      </w:r>
      <w:r w:rsidRPr="006D57D0">
        <w:rPr>
          <w:lang w:val="nl-NL"/>
        </w:rPr>
        <w:t xml:space="preserve"> </w:t>
      </w:r>
      <w:r>
        <w:rPr>
          <w:lang w:val="nl-NL"/>
        </w:rPr>
        <w:t xml:space="preserve">nodig </w:t>
      </w:r>
      <w:r w:rsidR="000E7EF9">
        <w:rPr>
          <w:lang w:val="nl-NL"/>
        </w:rPr>
        <w:t xml:space="preserve">van </w:t>
      </w:r>
      <w:r w:rsidRPr="006D57D0">
        <w:rPr>
          <w:lang w:val="nl-NL"/>
        </w:rPr>
        <w:t>Brunei-Darussalam, Cambodja, Indonesië, Laos, Maleisië, Myanmar, d</w:t>
      </w:r>
      <w:r w:rsidR="000E7EF9">
        <w:rPr>
          <w:lang w:val="nl-NL"/>
        </w:rPr>
        <w:t>e</w:t>
      </w:r>
      <w:r w:rsidRPr="006D57D0">
        <w:rPr>
          <w:lang w:val="nl-NL"/>
        </w:rPr>
        <w:t xml:space="preserve"> Filippijnen, Singapore, Thailand en Vietnam</w:t>
      </w:r>
      <w:r w:rsidR="00217A72">
        <w:rPr>
          <w:lang w:val="nl-NL"/>
        </w:rPr>
        <w:t>.</w:t>
      </w:r>
    </w:p>
    <w:p w:rsidR="002B4D60" w:rsidP="00EF60F9" w:rsidRDefault="00217A72" w14:paraId="18A25550" w14:textId="16CF5C21">
      <w:pPr>
        <w:jc w:val="both"/>
        <w:rPr>
          <w:lang w:val="nl-NL"/>
        </w:rPr>
      </w:pPr>
      <w:r>
        <w:rPr>
          <w:lang w:val="nl-NL"/>
        </w:rPr>
        <w:t xml:space="preserve">Bij de beoordeling van </w:t>
      </w:r>
      <w:r w:rsidR="00087309">
        <w:rPr>
          <w:lang w:val="nl-NL"/>
        </w:rPr>
        <w:t xml:space="preserve">een </w:t>
      </w:r>
      <w:r>
        <w:rPr>
          <w:lang w:val="nl-NL"/>
        </w:rPr>
        <w:t xml:space="preserve">verzoek </w:t>
      </w:r>
      <w:r w:rsidRPr="00087309" w:rsidR="00087309">
        <w:rPr>
          <w:lang w:val="nl-NL"/>
        </w:rPr>
        <w:t>spelen de diplomatieke relaties met de ASEAN</w:t>
      </w:r>
      <w:r w:rsidR="001D21C0">
        <w:rPr>
          <w:lang w:val="nl-NL"/>
        </w:rPr>
        <w:t>-</w:t>
      </w:r>
      <w:r w:rsidRPr="00087309" w:rsidR="00087309">
        <w:rPr>
          <w:lang w:val="nl-NL"/>
        </w:rPr>
        <w:t>landen en de commi</w:t>
      </w:r>
      <w:r w:rsidR="00087309">
        <w:rPr>
          <w:lang w:val="nl-NL"/>
        </w:rPr>
        <w:t>t</w:t>
      </w:r>
      <w:r w:rsidRPr="00087309" w:rsidR="00087309">
        <w:rPr>
          <w:lang w:val="nl-NL"/>
        </w:rPr>
        <w:t>tering van het</w:t>
      </w:r>
      <w:r w:rsidR="001D21C0">
        <w:rPr>
          <w:lang w:val="nl-NL"/>
        </w:rPr>
        <w:t xml:space="preserve"> verzoekend</w:t>
      </w:r>
      <w:r w:rsidR="00424311">
        <w:rPr>
          <w:lang w:val="nl-NL"/>
        </w:rPr>
        <w:t>e</w:t>
      </w:r>
      <w:r w:rsidRPr="00087309" w:rsidR="00087309">
        <w:rPr>
          <w:lang w:val="nl-NL"/>
        </w:rPr>
        <w:t xml:space="preserve"> land aan de samenwerking met ASEAN een rol.</w:t>
      </w:r>
      <w:r w:rsidR="00C71EDF">
        <w:rPr>
          <w:lang w:val="nl-NL"/>
        </w:rPr>
        <w:t xml:space="preserve"> </w:t>
      </w:r>
      <w:r w:rsidR="00DB7739">
        <w:rPr>
          <w:lang w:val="nl-NL"/>
        </w:rPr>
        <w:t>Het</w:t>
      </w:r>
      <w:r w:rsidRPr="00DB7739" w:rsidR="00DB7739">
        <w:rPr>
          <w:lang w:val="nl-NL"/>
        </w:rPr>
        <w:t xml:space="preserve"> ASEAN</w:t>
      </w:r>
      <w:r w:rsidR="00A80179">
        <w:rPr>
          <w:lang w:val="nl-NL"/>
        </w:rPr>
        <w:t>-</w:t>
      </w:r>
      <w:r w:rsidRPr="00DB7739" w:rsidR="00DB7739">
        <w:rPr>
          <w:lang w:val="nl-NL"/>
        </w:rPr>
        <w:t xml:space="preserve"> </w:t>
      </w:r>
      <w:r w:rsidR="00DB7739">
        <w:rPr>
          <w:lang w:val="nl-NL"/>
        </w:rPr>
        <w:t>secretariaat heeft aangegeven dat de ASEAN-lidstaten akkoord gaan met</w:t>
      </w:r>
      <w:r w:rsidRPr="00DB7739" w:rsidR="00DB7739">
        <w:rPr>
          <w:lang w:val="nl-NL"/>
        </w:rPr>
        <w:t xml:space="preserve"> toetreding van het Koninkrijk der Nederlanden. </w:t>
      </w:r>
    </w:p>
    <w:p w:rsidR="00F00BF1" w:rsidP="00EF60F9" w:rsidRDefault="00F00BF1" w14:paraId="0210DCB4" w14:textId="77777777">
      <w:pPr>
        <w:jc w:val="both"/>
        <w:rPr>
          <w:lang w:val="nl-NL"/>
        </w:rPr>
      </w:pPr>
    </w:p>
    <w:p w:rsidRPr="00D66130" w:rsidR="00217A72" w:rsidP="00642C90" w:rsidRDefault="00217A72" w14:paraId="1054C43C" w14:textId="1583F97C">
      <w:pPr>
        <w:jc w:val="both"/>
        <w:rPr>
          <w:lang w:val="nl-NL"/>
        </w:rPr>
      </w:pPr>
      <w:r>
        <w:rPr>
          <w:lang w:val="nl-NL"/>
        </w:rPr>
        <w:t xml:space="preserve">Een </w:t>
      </w:r>
      <w:r w:rsidR="001D21C0">
        <w:rPr>
          <w:lang w:val="nl-NL"/>
        </w:rPr>
        <w:t>s</w:t>
      </w:r>
      <w:r>
        <w:rPr>
          <w:lang w:val="nl-NL"/>
        </w:rPr>
        <w:t xml:space="preserve">taat is tot het Verdrag toegetreden </w:t>
      </w:r>
      <w:r w:rsidR="00911726">
        <w:rPr>
          <w:lang w:val="nl-NL"/>
        </w:rPr>
        <w:t xml:space="preserve">wanneer </w:t>
      </w:r>
      <w:r w:rsidR="00505DD8">
        <w:rPr>
          <w:lang w:val="nl-NL"/>
        </w:rPr>
        <w:t xml:space="preserve">deze </w:t>
      </w:r>
      <w:r w:rsidR="00EF0278">
        <w:rPr>
          <w:lang w:val="nl-NL"/>
        </w:rPr>
        <w:t>in overeenst</w:t>
      </w:r>
      <w:r w:rsidR="00505DD8">
        <w:rPr>
          <w:lang w:val="nl-NL"/>
        </w:rPr>
        <w:t>e</w:t>
      </w:r>
      <w:r w:rsidR="00EF0278">
        <w:rPr>
          <w:lang w:val="nl-NL"/>
        </w:rPr>
        <w:t xml:space="preserve">mming met </w:t>
      </w:r>
      <w:r w:rsidR="00911726">
        <w:rPr>
          <w:lang w:val="nl-NL"/>
        </w:rPr>
        <w:t xml:space="preserve">artikel 19 van het Verdrag </w:t>
      </w:r>
      <w:r w:rsidR="00505DD8">
        <w:rPr>
          <w:lang w:val="nl-NL"/>
        </w:rPr>
        <w:t xml:space="preserve">zorgt voor het neerleggen van </w:t>
      </w:r>
      <w:r w:rsidR="003E6725">
        <w:rPr>
          <w:lang w:val="nl-NL"/>
        </w:rPr>
        <w:t>een akte van toetreding.</w:t>
      </w:r>
    </w:p>
    <w:p w:rsidRPr="00D66130" w:rsidR="00927828" w:rsidRDefault="00927828" w14:paraId="06CDE91F" w14:textId="77777777">
      <w:pPr>
        <w:jc w:val="both"/>
        <w:rPr>
          <w:lang w:val="nl-NL"/>
        </w:rPr>
      </w:pPr>
    </w:p>
    <w:p w:rsidRPr="00DB2944" w:rsidR="00DB2944" w:rsidP="00DB2944" w:rsidRDefault="004D71FF" w14:paraId="298C13B7" w14:textId="5CD316E5">
      <w:pPr>
        <w:pStyle w:val="Kop1"/>
        <w:numPr>
          <w:ilvl w:val="0"/>
          <w:numId w:val="6"/>
        </w:numPr>
        <w:jc w:val="both"/>
        <w:rPr>
          <w:lang w:val="nl-NL"/>
        </w:rPr>
      </w:pPr>
      <w:r>
        <w:rPr>
          <w:lang w:val="nl-NL"/>
        </w:rPr>
        <w:t>Europese Unie</w:t>
      </w:r>
    </w:p>
    <w:p w:rsidR="00DB2944" w:rsidRDefault="00DB2944" w14:paraId="440D5552" w14:textId="77777777">
      <w:pPr>
        <w:jc w:val="both"/>
        <w:rPr>
          <w:lang w:val="nl-NL"/>
        </w:rPr>
      </w:pPr>
    </w:p>
    <w:p w:rsidR="00B24F30" w:rsidRDefault="00726655" w14:paraId="396842C3" w14:textId="11715A31">
      <w:pPr>
        <w:jc w:val="both"/>
        <w:rPr>
          <w:lang w:val="nl-NL"/>
        </w:rPr>
      </w:pPr>
      <w:r>
        <w:rPr>
          <w:lang w:val="nl-NL"/>
        </w:rPr>
        <w:t>Sinds de ve</w:t>
      </w:r>
      <w:r w:rsidR="000327DD">
        <w:rPr>
          <w:lang w:val="nl-NL"/>
        </w:rPr>
        <w:t xml:space="preserve">rdragswijziging door </w:t>
      </w:r>
      <w:r w:rsidRPr="00BF09C7" w:rsidR="000327DD">
        <w:rPr>
          <w:lang w:val="nl-NL"/>
        </w:rPr>
        <w:t>het derde P</w:t>
      </w:r>
      <w:r w:rsidRPr="00BF09C7">
        <w:rPr>
          <w:lang w:val="nl-NL"/>
        </w:rPr>
        <w:t>rotocol</w:t>
      </w:r>
      <w:r>
        <w:rPr>
          <w:lang w:val="nl-NL"/>
        </w:rPr>
        <w:t xml:space="preserve"> </w:t>
      </w:r>
      <w:r w:rsidR="000327DD">
        <w:rPr>
          <w:lang w:val="nl-NL"/>
        </w:rPr>
        <w:t xml:space="preserve">van </w:t>
      </w:r>
      <w:r w:rsidRPr="000327DD" w:rsidR="000327DD">
        <w:rPr>
          <w:lang w:val="nl-NL"/>
        </w:rPr>
        <w:t>23 juli 2010</w:t>
      </w:r>
      <w:r w:rsidR="000327DD">
        <w:rPr>
          <w:lang w:val="nl-NL"/>
        </w:rPr>
        <w:t xml:space="preserve"> </w:t>
      </w:r>
      <w:r>
        <w:rPr>
          <w:lang w:val="nl-NL"/>
        </w:rPr>
        <w:t xml:space="preserve">staat toetreding tot </w:t>
      </w:r>
      <w:r w:rsidRPr="004D71FF" w:rsidR="004D71FF">
        <w:rPr>
          <w:lang w:val="nl-NL"/>
        </w:rPr>
        <w:t>het</w:t>
      </w:r>
      <w:r w:rsidR="00937B2A">
        <w:rPr>
          <w:lang w:val="nl-NL"/>
        </w:rPr>
        <w:t xml:space="preserve"> V</w:t>
      </w:r>
      <w:r w:rsidR="00CD6DE1">
        <w:rPr>
          <w:lang w:val="nl-NL"/>
        </w:rPr>
        <w:t xml:space="preserve">erdrag </w:t>
      </w:r>
      <w:r w:rsidRPr="004D71FF" w:rsidR="004D71FF">
        <w:rPr>
          <w:lang w:val="nl-NL"/>
        </w:rPr>
        <w:t xml:space="preserve">ook open voor regionale organisaties waarvan de leden uitsluitend soevereine </w:t>
      </w:r>
      <w:r w:rsidR="00937B2A">
        <w:rPr>
          <w:lang w:val="nl-NL"/>
        </w:rPr>
        <w:t>S</w:t>
      </w:r>
      <w:r w:rsidRPr="004D71FF" w:rsidR="004D71FF">
        <w:rPr>
          <w:lang w:val="nl-NL"/>
        </w:rPr>
        <w:t>taten zijn</w:t>
      </w:r>
      <w:r w:rsidR="00345855">
        <w:rPr>
          <w:lang w:val="nl-NL"/>
        </w:rPr>
        <w:t xml:space="preserve"> en</w:t>
      </w:r>
      <w:r>
        <w:rPr>
          <w:lang w:val="nl-NL"/>
        </w:rPr>
        <w:t xml:space="preserve"> is ook </w:t>
      </w:r>
      <w:r w:rsidRPr="004D71FF" w:rsidR="004D71FF">
        <w:rPr>
          <w:lang w:val="nl-NL"/>
        </w:rPr>
        <w:t>d</w:t>
      </w:r>
      <w:r>
        <w:rPr>
          <w:lang w:val="nl-NL"/>
        </w:rPr>
        <w:t>e Europese Unie toe</w:t>
      </w:r>
      <w:r w:rsidRPr="004D71FF" w:rsidR="004D71FF">
        <w:rPr>
          <w:lang w:val="nl-NL"/>
        </w:rPr>
        <w:t>getreden</w:t>
      </w:r>
      <w:r w:rsidR="00820746">
        <w:rPr>
          <w:lang w:val="nl-NL"/>
        </w:rPr>
        <w:t>.</w:t>
      </w:r>
      <w:r w:rsidR="00B24F30">
        <w:rPr>
          <w:lang w:val="nl-NL"/>
        </w:rPr>
        <w:t xml:space="preserve"> </w:t>
      </w:r>
      <w:r w:rsidR="00A75E3D">
        <w:rPr>
          <w:lang w:val="nl-NL"/>
        </w:rPr>
        <w:t xml:space="preserve">De Europese Unie is op 12 juni 2012 tot het Verdrag </w:t>
      </w:r>
      <w:r w:rsidR="00202331">
        <w:rPr>
          <w:lang w:val="nl-NL"/>
        </w:rPr>
        <w:t xml:space="preserve">zoals gewijzigd door </w:t>
      </w:r>
      <w:r w:rsidR="00F82E40">
        <w:rPr>
          <w:lang w:val="nl-NL"/>
        </w:rPr>
        <w:t xml:space="preserve">de drie protocollen </w:t>
      </w:r>
      <w:r w:rsidR="00A75E3D">
        <w:rPr>
          <w:lang w:val="nl-NL"/>
        </w:rPr>
        <w:t>toegetreden</w:t>
      </w:r>
      <w:r w:rsidR="00F82E40">
        <w:rPr>
          <w:rStyle w:val="Voetnootmarkering"/>
          <w:lang w:val="nl-NL"/>
        </w:rPr>
        <w:footnoteReference w:id="2"/>
      </w:r>
      <w:r w:rsidR="00A75E3D">
        <w:rPr>
          <w:lang w:val="nl-NL"/>
        </w:rPr>
        <w:t xml:space="preserve">. </w:t>
      </w:r>
    </w:p>
    <w:p w:rsidR="00B24F30" w:rsidRDefault="00B24F30" w14:paraId="193A6DB1" w14:textId="77777777">
      <w:pPr>
        <w:jc w:val="both"/>
        <w:rPr>
          <w:lang w:val="nl-NL"/>
        </w:rPr>
      </w:pPr>
    </w:p>
    <w:p w:rsidR="008F0746" w:rsidRDefault="00F82E40" w14:paraId="6AD632B4" w14:textId="3DEABF51">
      <w:pPr>
        <w:jc w:val="both"/>
        <w:rPr>
          <w:lang w:val="nl-NL"/>
        </w:rPr>
      </w:pPr>
      <w:r>
        <w:rPr>
          <w:lang w:val="nl-NL"/>
        </w:rPr>
        <w:t xml:space="preserve">Het </w:t>
      </w:r>
      <w:r w:rsidR="00A80179">
        <w:rPr>
          <w:lang w:val="nl-NL"/>
        </w:rPr>
        <w:t>V</w:t>
      </w:r>
      <w:r>
        <w:rPr>
          <w:lang w:val="nl-NL"/>
        </w:rPr>
        <w:t xml:space="preserve">erdrag betreft een zogenaamd “gemengd” verdrag dat deels onder de bevoegdheid van de Unie, en deels onder de bevoegdheid van de lidstaten valt. </w:t>
      </w:r>
      <w:r w:rsidR="003E5C11">
        <w:rPr>
          <w:lang w:val="nl-NL"/>
        </w:rPr>
        <w:t>Nederland is derhalve bevoegd om naast de EU toe te treden tot het verdrag.</w:t>
      </w:r>
      <w:r w:rsidR="00B24F30">
        <w:rPr>
          <w:lang w:val="nl-NL"/>
        </w:rPr>
        <w:t xml:space="preserve"> </w:t>
      </w:r>
      <w:r>
        <w:rPr>
          <w:lang w:val="nl-NL"/>
        </w:rPr>
        <w:t>De EU heeft enkel die bevoegdheden die door de EU-lidstaten aan de EU zijn overgedragen. De artikelen 2 tot en met 6 VWEU bakenen de EU-bevoegdheden af.</w:t>
      </w:r>
    </w:p>
    <w:p w:rsidR="00F82E40" w:rsidRDefault="00F82E40" w14:paraId="0B5131D9" w14:textId="5A092864">
      <w:pPr>
        <w:jc w:val="both"/>
        <w:rPr>
          <w:lang w:val="nl-NL"/>
        </w:rPr>
      </w:pPr>
    </w:p>
    <w:p w:rsidR="00F82E40" w:rsidRDefault="00F82E40" w14:paraId="2C5F7180" w14:textId="50E2AC28">
      <w:pPr>
        <w:jc w:val="both"/>
        <w:rPr>
          <w:lang w:val="nl-NL"/>
        </w:rPr>
      </w:pPr>
      <w:r>
        <w:rPr>
          <w:lang w:val="nl-NL"/>
        </w:rPr>
        <w:t xml:space="preserve">Het </w:t>
      </w:r>
      <w:r w:rsidR="00242A1B">
        <w:rPr>
          <w:lang w:val="nl-NL"/>
        </w:rPr>
        <w:t>V</w:t>
      </w:r>
      <w:r>
        <w:rPr>
          <w:lang w:val="nl-NL"/>
        </w:rPr>
        <w:t xml:space="preserve">erdrag bevat verschillende bepalingen die onder de gedeelde bevoegdheid van de EU en de lidstaten vallen (zie artikel 4 VWEU). Bij gedeelde bevoegdheden kunnen zowel de Unie als de lidstaten regelstellend optreden. Artikel 2, </w:t>
      </w:r>
      <w:r w:rsidR="00510820">
        <w:rPr>
          <w:lang w:val="nl-NL"/>
        </w:rPr>
        <w:t>tweede</w:t>
      </w:r>
      <w:r>
        <w:rPr>
          <w:lang w:val="nl-NL"/>
        </w:rPr>
        <w:t xml:space="preserve"> lid, VWEU schrijft echter voor dat de lidstaten hun bevoegdheid slechts kunnen uitoefenen voor zover de Unie haar bevoegdheid nog niet heeft uitgeoefend. Het gaat in het onderhavige verdrag met name om bepalingen op het gebied van economische, technische en financiële samenwerking. Hierbij dient echter wel aangetekend te worden dat telkens wanneer de Unie interne EU-wetgeving vaststelt op basis van een gedeelde bevoegdheid de Unie op grond van art. 3, </w:t>
      </w:r>
      <w:r w:rsidR="00510820">
        <w:rPr>
          <w:lang w:val="nl-NL"/>
        </w:rPr>
        <w:t>tweede</w:t>
      </w:r>
      <w:r>
        <w:rPr>
          <w:lang w:val="nl-NL"/>
        </w:rPr>
        <w:t xml:space="preserve"> lid, VWEU o.a. exclusief bevoegd wordt om internationale overeenkomsten te sluiten o</w:t>
      </w:r>
      <w:r w:rsidR="00242A1B">
        <w:rPr>
          <w:lang w:val="nl-NL"/>
        </w:rPr>
        <w:t>p</w:t>
      </w:r>
      <w:r>
        <w:rPr>
          <w:lang w:val="nl-NL"/>
        </w:rPr>
        <w:t xml:space="preserve"> deze terreinen wanneer deze overeenkomsten die interne EU-wetgeving kunnen aantasten of de strekking daarvan kunnen wijzigen. De omvang en de uitoefening van EU-bevoegdheden is dus geen statisch gegeven, maar van rechtswege voortdurend in ontwikkeling.</w:t>
      </w:r>
    </w:p>
    <w:p w:rsidR="00F82E40" w:rsidRDefault="00F82E40" w14:paraId="1C02A5DB" w14:textId="06000B17">
      <w:pPr>
        <w:jc w:val="both"/>
        <w:rPr>
          <w:lang w:val="nl-NL"/>
        </w:rPr>
      </w:pPr>
    </w:p>
    <w:p w:rsidR="00F82E40" w:rsidRDefault="00F82E40" w14:paraId="4AB626C7" w14:textId="22F36C63">
      <w:pPr>
        <w:jc w:val="both"/>
        <w:rPr>
          <w:lang w:val="nl-NL"/>
        </w:rPr>
      </w:pPr>
      <w:r>
        <w:rPr>
          <w:lang w:val="nl-NL"/>
        </w:rPr>
        <w:t xml:space="preserve">Daarnaast bevat de </w:t>
      </w:r>
      <w:r w:rsidR="00242A1B">
        <w:rPr>
          <w:lang w:val="nl-NL"/>
        </w:rPr>
        <w:t>het Verdrag</w:t>
      </w:r>
      <w:r>
        <w:rPr>
          <w:lang w:val="nl-NL"/>
        </w:rPr>
        <w:t xml:space="preserve"> ook bepalingen op het gebied van ontwikkelingssamenwerking. Dit is een zogenaamde parallelle bevoegdheid, die de lidstaten en de EU gelijktijdig kunnen uitoefenen (zie </w:t>
      </w:r>
      <w:r w:rsidR="003E5C11">
        <w:rPr>
          <w:lang w:val="nl-NL"/>
        </w:rPr>
        <w:t xml:space="preserve">artikel 4, </w:t>
      </w:r>
      <w:r w:rsidR="00510820">
        <w:rPr>
          <w:lang w:val="nl-NL"/>
        </w:rPr>
        <w:t xml:space="preserve">vierde </w:t>
      </w:r>
      <w:r w:rsidR="003E5C11">
        <w:rPr>
          <w:lang w:val="nl-NL"/>
        </w:rPr>
        <w:t xml:space="preserve">lid, VWEU). </w:t>
      </w:r>
    </w:p>
    <w:p w:rsidR="003E5C11" w:rsidRDefault="003E5C11" w14:paraId="6552068B" w14:textId="16D1F73D">
      <w:pPr>
        <w:jc w:val="both"/>
        <w:rPr>
          <w:lang w:val="nl-NL"/>
        </w:rPr>
      </w:pPr>
    </w:p>
    <w:p w:rsidR="003E5C11" w:rsidRDefault="003E5C11" w14:paraId="1006927D" w14:textId="252D8E71">
      <w:pPr>
        <w:jc w:val="both"/>
        <w:rPr>
          <w:lang w:val="nl-NL"/>
        </w:rPr>
      </w:pPr>
      <w:r>
        <w:rPr>
          <w:lang w:val="nl-NL"/>
        </w:rPr>
        <w:t xml:space="preserve">Ten slotte bevat </w:t>
      </w:r>
      <w:r w:rsidR="00242A1B">
        <w:rPr>
          <w:lang w:val="nl-NL"/>
        </w:rPr>
        <w:t>het Verdrag</w:t>
      </w:r>
      <w:r>
        <w:rPr>
          <w:lang w:val="nl-NL"/>
        </w:rPr>
        <w:t xml:space="preserve"> bepalingen die vallen onder het Gemeenschappelijk Buitenlands en Veiligheidsbeleid (GBVB). Ook op dit terrein zijn de lidstaten bevoegd om naast de EU op te treden. Zij zijn daarbij echter wel gebonden aan de verplichting tot loyale samenwerking. Dit betekent onder andere dat zij zich moeten onthouden van ieder optreden dat het optreden van de EU zou kunnen doorkruisen. </w:t>
      </w:r>
    </w:p>
    <w:p w:rsidR="003E5C11" w:rsidRDefault="003E5C11" w14:paraId="406EA9E0" w14:textId="7077DB60">
      <w:pPr>
        <w:jc w:val="both"/>
        <w:rPr>
          <w:lang w:val="nl-NL"/>
        </w:rPr>
      </w:pPr>
    </w:p>
    <w:p w:rsidR="003E5C11" w:rsidRDefault="00510820" w14:paraId="4127EC62" w14:textId="528D1FAC">
      <w:pPr>
        <w:jc w:val="both"/>
        <w:rPr>
          <w:lang w:val="nl-NL"/>
        </w:rPr>
      </w:pPr>
      <w:r>
        <w:rPr>
          <w:lang w:val="nl-NL"/>
        </w:rPr>
        <w:t xml:space="preserve">Het Koninkrijk der </w:t>
      </w:r>
      <w:r w:rsidR="00A87BDA">
        <w:rPr>
          <w:lang w:val="nl-NL"/>
        </w:rPr>
        <w:t>Nederland</w:t>
      </w:r>
      <w:r>
        <w:rPr>
          <w:lang w:val="nl-NL"/>
        </w:rPr>
        <w:t>en</w:t>
      </w:r>
      <w:r w:rsidR="00A87BDA">
        <w:rPr>
          <w:lang w:val="nl-NL"/>
        </w:rPr>
        <w:t xml:space="preserve"> wil zelfstandig tot het verdrag toetreden om het belang van samenwerking met ASEAN te onderstrepen. </w:t>
      </w:r>
      <w:r w:rsidR="00A170B1">
        <w:rPr>
          <w:lang w:val="nl-NL"/>
        </w:rPr>
        <w:t>Ook vanuit</w:t>
      </w:r>
      <w:r w:rsidR="00C356F1">
        <w:rPr>
          <w:lang w:val="nl-NL"/>
        </w:rPr>
        <w:t xml:space="preserve"> de </w:t>
      </w:r>
      <w:r w:rsidR="00A170B1">
        <w:rPr>
          <w:lang w:val="nl-NL"/>
        </w:rPr>
        <w:t xml:space="preserve">ASEAN-context </w:t>
      </w:r>
      <w:r w:rsidR="00A87BDA">
        <w:rPr>
          <w:lang w:val="nl-NL"/>
        </w:rPr>
        <w:t xml:space="preserve">wordt veel belang gehecht aan </w:t>
      </w:r>
      <w:r w:rsidR="006E2469">
        <w:rPr>
          <w:lang w:val="nl-NL"/>
        </w:rPr>
        <w:t>toet</w:t>
      </w:r>
      <w:r w:rsidR="00A170B1">
        <w:rPr>
          <w:lang w:val="nl-NL"/>
        </w:rPr>
        <w:t>r</w:t>
      </w:r>
      <w:r w:rsidR="006E2469">
        <w:rPr>
          <w:lang w:val="nl-NL"/>
        </w:rPr>
        <w:t>eding</w:t>
      </w:r>
      <w:r w:rsidR="00A170B1">
        <w:rPr>
          <w:lang w:val="nl-NL"/>
        </w:rPr>
        <w:t xml:space="preserve"> van de afzonderlijke EU-lidstaten.</w:t>
      </w:r>
      <w:r w:rsidR="006E2469">
        <w:rPr>
          <w:lang w:val="nl-NL"/>
        </w:rPr>
        <w:t xml:space="preserve"> </w:t>
      </w:r>
      <w:r w:rsidR="00424311">
        <w:rPr>
          <w:lang w:val="nl-NL"/>
        </w:rPr>
        <w:t>I</w:t>
      </w:r>
      <w:r w:rsidR="0044681F">
        <w:rPr>
          <w:lang w:val="nl-NL"/>
        </w:rPr>
        <w:t>n dat kader</w:t>
      </w:r>
      <w:r w:rsidR="00C85D51">
        <w:rPr>
          <w:lang w:val="nl-NL"/>
        </w:rPr>
        <w:t xml:space="preserve"> heeft</w:t>
      </w:r>
      <w:r w:rsidR="00921533">
        <w:rPr>
          <w:lang w:val="nl-NL"/>
        </w:rPr>
        <w:t xml:space="preserve"> de Europese Dienst voor Extern Optreden (</w:t>
      </w:r>
      <w:r w:rsidR="00C85D51">
        <w:rPr>
          <w:lang w:val="nl-NL"/>
        </w:rPr>
        <w:t>EDEO</w:t>
      </w:r>
      <w:r w:rsidR="00921533">
        <w:rPr>
          <w:lang w:val="nl-NL"/>
        </w:rPr>
        <w:t>)</w:t>
      </w:r>
      <w:r w:rsidR="00C85D51">
        <w:rPr>
          <w:lang w:val="nl-NL"/>
        </w:rPr>
        <w:t xml:space="preserve"> </w:t>
      </w:r>
      <w:r w:rsidR="0044681F">
        <w:rPr>
          <w:lang w:val="nl-NL"/>
        </w:rPr>
        <w:t xml:space="preserve">ook een </w:t>
      </w:r>
      <w:r w:rsidR="00C85D51">
        <w:rPr>
          <w:lang w:val="nl-NL"/>
        </w:rPr>
        <w:t xml:space="preserve">pleidooi gehouden voor toetreding </w:t>
      </w:r>
      <w:r w:rsidR="0044681F">
        <w:rPr>
          <w:lang w:val="nl-NL"/>
        </w:rPr>
        <w:t xml:space="preserve">van alle individuele </w:t>
      </w:r>
      <w:r w:rsidR="00C85D51">
        <w:rPr>
          <w:lang w:val="nl-NL"/>
        </w:rPr>
        <w:t>EU-lidstaten tot het Verdrag.</w:t>
      </w:r>
    </w:p>
    <w:p w:rsidR="00490E36" w:rsidRDefault="00490E36" w14:paraId="427A5D67" w14:textId="4D2B4B8B">
      <w:pPr>
        <w:jc w:val="both"/>
        <w:rPr>
          <w:lang w:val="nl-NL"/>
        </w:rPr>
      </w:pPr>
    </w:p>
    <w:p w:rsidR="00490E36" w:rsidRDefault="00490E36" w14:paraId="5314A627" w14:textId="5CAE269D">
      <w:pPr>
        <w:jc w:val="both"/>
        <w:rPr>
          <w:lang w:val="nl-NL"/>
        </w:rPr>
      </w:pPr>
    </w:p>
    <w:p w:rsidR="00927828" w:rsidRDefault="00490E36" w14:paraId="5AE1CBC0" w14:textId="1D4187F5">
      <w:pPr>
        <w:pStyle w:val="Lijstalinea"/>
        <w:numPr>
          <w:ilvl w:val="0"/>
          <w:numId w:val="6"/>
        </w:numPr>
        <w:rPr>
          <w:b/>
          <w:lang w:val="nl-NL"/>
        </w:rPr>
      </w:pPr>
      <w:r w:rsidRPr="00490E36">
        <w:rPr>
          <w:b/>
          <w:lang w:val="nl-NL"/>
        </w:rPr>
        <w:t>B</w:t>
      </w:r>
      <w:r w:rsidRPr="00490E36" w:rsidR="00CD36FE">
        <w:rPr>
          <w:b/>
          <w:lang w:val="nl-NL"/>
        </w:rPr>
        <w:t xml:space="preserve">elang </w:t>
      </w:r>
      <w:r w:rsidRPr="00490E36">
        <w:rPr>
          <w:b/>
          <w:lang w:val="nl-NL"/>
        </w:rPr>
        <w:t xml:space="preserve">van het Verdrag </w:t>
      </w:r>
      <w:r w:rsidRPr="00490E36" w:rsidR="00CD36FE">
        <w:rPr>
          <w:b/>
          <w:lang w:val="nl-NL"/>
        </w:rPr>
        <w:t>voor het Koninkrijk der Nederlanden</w:t>
      </w:r>
    </w:p>
    <w:p w:rsidR="005F5245" w:rsidP="009D18AC" w:rsidRDefault="005F5245" w14:paraId="76097627" w14:textId="68EE06F0">
      <w:pPr>
        <w:jc w:val="both"/>
        <w:rPr>
          <w:lang w:val="nl-NL"/>
        </w:rPr>
      </w:pPr>
    </w:p>
    <w:p w:rsidRPr="00067F2A" w:rsidR="00067F2A" w:rsidP="00EE7748" w:rsidRDefault="00067F2A" w14:paraId="697C7E6F" w14:textId="0192C8EE">
      <w:pPr>
        <w:jc w:val="both"/>
        <w:rPr>
          <w:lang w:val="nl-NL"/>
        </w:rPr>
      </w:pPr>
      <w:r>
        <w:rPr>
          <w:lang w:val="nl-NL"/>
        </w:rPr>
        <w:t xml:space="preserve">Het ASEAN-collectief is de vierde grootste economie van de wereld. </w:t>
      </w:r>
      <w:r w:rsidRPr="00067F2A">
        <w:rPr>
          <w:lang w:val="nl-NL"/>
        </w:rPr>
        <w:t>De Nederlandse belangen in de ASEAN-regio</w:t>
      </w:r>
      <w:r>
        <w:rPr>
          <w:lang w:val="nl-NL"/>
        </w:rPr>
        <w:t xml:space="preserve"> zijn gelegen in</w:t>
      </w:r>
    </w:p>
    <w:p w:rsidRPr="00067F2A" w:rsidR="00067F2A" w:rsidP="00EE7748" w:rsidRDefault="00067F2A" w14:paraId="680B654D" w14:textId="6CF82911">
      <w:pPr>
        <w:ind w:left="720" w:hanging="720"/>
        <w:jc w:val="both"/>
        <w:rPr>
          <w:lang w:val="nl-NL"/>
        </w:rPr>
      </w:pPr>
      <w:r w:rsidRPr="00067F2A">
        <w:rPr>
          <w:lang w:val="nl-NL"/>
        </w:rPr>
        <w:t>1.</w:t>
      </w:r>
      <w:r w:rsidRPr="00067F2A">
        <w:rPr>
          <w:lang w:val="nl-NL"/>
        </w:rPr>
        <w:tab/>
      </w:r>
      <w:r>
        <w:rPr>
          <w:lang w:val="nl-NL"/>
        </w:rPr>
        <w:t>v</w:t>
      </w:r>
      <w:r w:rsidRPr="00067F2A">
        <w:rPr>
          <w:lang w:val="nl-NL"/>
        </w:rPr>
        <w:t>ergroting van het Nederlands verdienvermogen via duurzame handel en investeringen en bijdragen aan het realiseren van de duurzam</w:t>
      </w:r>
      <w:r>
        <w:rPr>
          <w:lang w:val="nl-NL"/>
        </w:rPr>
        <w:t>e ontwikkelingsdoelen van de VN,</w:t>
      </w:r>
    </w:p>
    <w:p w:rsidRPr="00067F2A" w:rsidR="00067F2A" w:rsidP="00EF60F9" w:rsidRDefault="00067F2A" w14:paraId="183A3A47" w14:textId="1C572A43">
      <w:pPr>
        <w:ind w:left="720" w:hanging="720"/>
        <w:jc w:val="both"/>
        <w:rPr>
          <w:lang w:val="nl-NL"/>
        </w:rPr>
      </w:pPr>
      <w:r>
        <w:rPr>
          <w:lang w:val="nl-NL"/>
        </w:rPr>
        <w:t>2.</w:t>
      </w:r>
      <w:r>
        <w:rPr>
          <w:lang w:val="nl-NL"/>
        </w:rPr>
        <w:tab/>
      </w:r>
      <w:r w:rsidR="008166F3">
        <w:rPr>
          <w:lang w:val="nl-NL"/>
        </w:rPr>
        <w:t xml:space="preserve">versterking </w:t>
      </w:r>
      <w:r w:rsidR="009654E4">
        <w:rPr>
          <w:lang w:val="nl-NL"/>
        </w:rPr>
        <w:t xml:space="preserve">van </w:t>
      </w:r>
      <w:r w:rsidR="0039434D">
        <w:rPr>
          <w:lang w:val="nl-NL"/>
        </w:rPr>
        <w:t>internationale en multilaterale samenwerking</w:t>
      </w:r>
      <w:r w:rsidR="008166F3">
        <w:rPr>
          <w:lang w:val="nl-NL"/>
        </w:rPr>
        <w:t>,</w:t>
      </w:r>
    </w:p>
    <w:p w:rsidRPr="00067F2A" w:rsidR="00067F2A" w:rsidP="00EF60F9" w:rsidRDefault="00067F2A" w14:paraId="0CDA8093" w14:textId="6514F5CB">
      <w:pPr>
        <w:jc w:val="both"/>
        <w:rPr>
          <w:lang w:val="nl-NL"/>
        </w:rPr>
      </w:pPr>
      <w:r>
        <w:rPr>
          <w:lang w:val="nl-NL"/>
        </w:rPr>
        <w:t>3.</w:t>
      </w:r>
      <w:r>
        <w:rPr>
          <w:lang w:val="nl-NL"/>
        </w:rPr>
        <w:tab/>
        <w:t>b</w:t>
      </w:r>
      <w:r w:rsidRPr="00067F2A">
        <w:rPr>
          <w:lang w:val="nl-NL"/>
        </w:rPr>
        <w:t>escherming</w:t>
      </w:r>
      <w:r>
        <w:rPr>
          <w:lang w:val="nl-NL"/>
        </w:rPr>
        <w:t xml:space="preserve"> van de</w:t>
      </w:r>
      <w:r w:rsidRPr="00067F2A">
        <w:rPr>
          <w:lang w:val="nl-NL"/>
        </w:rPr>
        <w:t xml:space="preserve"> internationale rechts</w:t>
      </w:r>
      <w:r>
        <w:rPr>
          <w:lang w:val="nl-NL"/>
        </w:rPr>
        <w:t>orde door EU-ASEAN samenwerking,</w:t>
      </w:r>
      <w:r w:rsidR="00A55845">
        <w:rPr>
          <w:lang w:val="nl-NL"/>
        </w:rPr>
        <w:t xml:space="preserve"> en</w:t>
      </w:r>
    </w:p>
    <w:p w:rsidRPr="00067F2A" w:rsidR="00067F2A" w:rsidP="00642C90" w:rsidRDefault="00067F2A" w14:paraId="35834585" w14:textId="70DF2C1D">
      <w:pPr>
        <w:ind w:left="720" w:hanging="720"/>
        <w:jc w:val="both"/>
        <w:rPr>
          <w:lang w:val="nl-NL"/>
        </w:rPr>
      </w:pPr>
      <w:r>
        <w:rPr>
          <w:lang w:val="nl-NL"/>
        </w:rPr>
        <w:t>4.</w:t>
      </w:r>
      <w:r>
        <w:rPr>
          <w:lang w:val="nl-NL"/>
        </w:rPr>
        <w:tab/>
      </w:r>
      <w:r w:rsidR="00A55845">
        <w:rPr>
          <w:lang w:val="nl-NL"/>
        </w:rPr>
        <w:t xml:space="preserve">het </w:t>
      </w:r>
      <w:r>
        <w:rPr>
          <w:lang w:val="nl-NL"/>
        </w:rPr>
        <w:t>b</w:t>
      </w:r>
      <w:r w:rsidRPr="00067F2A">
        <w:rPr>
          <w:lang w:val="nl-NL"/>
        </w:rPr>
        <w:t>evorderen van veiligheid en tegengaan</w:t>
      </w:r>
      <w:r>
        <w:rPr>
          <w:lang w:val="nl-NL"/>
        </w:rPr>
        <w:t xml:space="preserve"> van</w:t>
      </w:r>
      <w:r w:rsidRPr="00067F2A">
        <w:rPr>
          <w:lang w:val="nl-NL"/>
        </w:rPr>
        <w:t xml:space="preserve"> terrorisme en extremisme</w:t>
      </w:r>
      <w:r w:rsidR="001C4795">
        <w:rPr>
          <w:lang w:val="nl-NL"/>
        </w:rPr>
        <w:t>.</w:t>
      </w:r>
    </w:p>
    <w:p w:rsidR="00067F2A" w:rsidRDefault="00067F2A" w14:paraId="26640099" w14:textId="77777777">
      <w:pPr>
        <w:jc w:val="both"/>
        <w:rPr>
          <w:lang w:val="nl-NL"/>
        </w:rPr>
      </w:pPr>
    </w:p>
    <w:p w:rsidR="00067F2A" w:rsidRDefault="00624255" w14:paraId="74E39D99" w14:textId="4DC37994">
      <w:pPr>
        <w:jc w:val="both"/>
        <w:rPr>
          <w:lang w:val="nl-NL"/>
        </w:rPr>
      </w:pPr>
      <w:r>
        <w:rPr>
          <w:lang w:val="nl-NL"/>
        </w:rPr>
        <w:t>De landen in Zuidoost-Azië zien t</w:t>
      </w:r>
      <w:r w:rsidR="00A80179">
        <w:rPr>
          <w:lang w:val="nl-NL"/>
        </w:rPr>
        <w:t>oetreding</w:t>
      </w:r>
      <w:r w:rsidR="00424311">
        <w:rPr>
          <w:lang w:val="nl-NL"/>
        </w:rPr>
        <w:t xml:space="preserve"> </w:t>
      </w:r>
      <w:r w:rsidR="00A80179">
        <w:rPr>
          <w:lang w:val="nl-NL"/>
        </w:rPr>
        <w:t xml:space="preserve">als </w:t>
      </w:r>
      <w:r w:rsidR="00424311">
        <w:rPr>
          <w:lang w:val="nl-NL"/>
        </w:rPr>
        <w:t xml:space="preserve">een </w:t>
      </w:r>
      <w:r w:rsidR="00A80179">
        <w:rPr>
          <w:lang w:val="nl-NL"/>
        </w:rPr>
        <w:t>belangrijk</w:t>
      </w:r>
      <w:r w:rsidRPr="00DC79E6" w:rsidR="00DC79E6">
        <w:rPr>
          <w:lang w:val="nl-NL"/>
        </w:rPr>
        <w:t xml:space="preserve"> symbool </w:t>
      </w:r>
      <w:r w:rsidR="00424311">
        <w:rPr>
          <w:lang w:val="nl-NL"/>
        </w:rPr>
        <w:t xml:space="preserve">van </w:t>
      </w:r>
      <w:r w:rsidRPr="00DC79E6" w:rsidR="00DC79E6">
        <w:rPr>
          <w:lang w:val="nl-NL"/>
        </w:rPr>
        <w:t xml:space="preserve">het belang dat </w:t>
      </w:r>
      <w:r w:rsidR="00A80179">
        <w:rPr>
          <w:lang w:val="nl-NL"/>
        </w:rPr>
        <w:t>het Koninkrijk</w:t>
      </w:r>
      <w:r w:rsidRPr="00DC79E6" w:rsidR="00DC79E6">
        <w:rPr>
          <w:lang w:val="nl-NL"/>
        </w:rPr>
        <w:t xml:space="preserve"> hecht aan de samenwerking met ASEAN. </w:t>
      </w:r>
      <w:r w:rsidRPr="00067F2A" w:rsidR="00067F2A">
        <w:rPr>
          <w:lang w:val="nl-NL"/>
        </w:rPr>
        <w:t xml:space="preserve">De bilaterale samenwerking van </w:t>
      </w:r>
      <w:r w:rsidR="009B67E2">
        <w:rPr>
          <w:lang w:val="nl-NL"/>
        </w:rPr>
        <w:t>ons land</w:t>
      </w:r>
      <w:r w:rsidRPr="00067F2A" w:rsidR="009B67E2">
        <w:rPr>
          <w:lang w:val="nl-NL"/>
        </w:rPr>
        <w:t xml:space="preserve"> </w:t>
      </w:r>
      <w:r w:rsidRPr="00067F2A" w:rsidR="00067F2A">
        <w:rPr>
          <w:lang w:val="nl-NL"/>
        </w:rPr>
        <w:t xml:space="preserve">met ASEAN-landen (Indonesië, Maleisië, Filipijnen, Singapore, Thailand, Myanmar en Vietnam) is complementair aan de inspanningen van de EU en het </w:t>
      </w:r>
      <w:hyperlink w:history="1" r:id="rId11">
        <w:r w:rsidRPr="00D37A08" w:rsidR="00067F2A">
          <w:rPr>
            <w:rStyle w:val="Hyperlink"/>
            <w:lang w:val="nl-NL"/>
          </w:rPr>
          <w:t>'EU-ASEAN Plan of Action (2018-2020)'</w:t>
        </w:r>
      </w:hyperlink>
      <w:r w:rsidRPr="00067F2A" w:rsidR="00067F2A">
        <w:rPr>
          <w:lang w:val="nl-NL"/>
        </w:rPr>
        <w:t>. Specifiek beleid en verdere actie z</w:t>
      </w:r>
      <w:r w:rsidR="007219B1">
        <w:rPr>
          <w:lang w:val="nl-NL"/>
        </w:rPr>
        <w:t>ullen</w:t>
      </w:r>
      <w:r w:rsidRPr="00067F2A" w:rsidR="00067F2A">
        <w:rPr>
          <w:lang w:val="nl-NL"/>
        </w:rPr>
        <w:t xml:space="preserve"> moeten worden uitgewerkt met de posten. In dit kader wordt gewerkt aan een publieksdiplomatie strategie gericht op de bescherming</w:t>
      </w:r>
      <w:r w:rsidR="00067F2A">
        <w:rPr>
          <w:lang w:val="nl-NL"/>
        </w:rPr>
        <w:t xml:space="preserve"> en </w:t>
      </w:r>
      <w:r w:rsidRPr="00067F2A" w:rsidR="00067F2A">
        <w:rPr>
          <w:lang w:val="nl-NL"/>
        </w:rPr>
        <w:t>promotie van de internationale rechtsorde.</w:t>
      </w:r>
    </w:p>
    <w:p w:rsidR="00037E86" w:rsidRDefault="00037E86" w14:paraId="1406F376" w14:textId="5DC9BD74">
      <w:pPr>
        <w:jc w:val="both"/>
        <w:rPr>
          <w:lang w:val="nl-NL"/>
        </w:rPr>
      </w:pPr>
    </w:p>
    <w:p w:rsidR="00037E86" w:rsidRDefault="00037E86" w14:paraId="1F75F877" w14:textId="45EB0547">
      <w:pPr>
        <w:jc w:val="both"/>
        <w:rPr>
          <w:lang w:val="nl-NL"/>
        </w:rPr>
      </w:pPr>
      <w:r w:rsidRPr="00037E86">
        <w:rPr>
          <w:lang w:val="nl-NL"/>
        </w:rPr>
        <w:t xml:space="preserve">Bij toetreding door het Koninkrijk zal een verklaring worden afgelegd inhoudende dat dit vriendschapsverdrag niet in de weg staat aan de rechten en plichten van het Koninkrijk </w:t>
      </w:r>
      <w:r w:rsidR="00B24F30">
        <w:rPr>
          <w:lang w:val="nl-NL"/>
        </w:rPr>
        <w:t xml:space="preserve">uit hoofde van </w:t>
      </w:r>
      <w:r w:rsidRPr="00037E86">
        <w:rPr>
          <w:lang w:val="nl-NL"/>
        </w:rPr>
        <w:t xml:space="preserve"> andere bilaterale en multilaterale </w:t>
      </w:r>
      <w:r w:rsidR="00B24F30">
        <w:rPr>
          <w:lang w:val="nl-NL"/>
        </w:rPr>
        <w:t>verdragen</w:t>
      </w:r>
      <w:r w:rsidRPr="00037E86">
        <w:rPr>
          <w:lang w:val="nl-NL"/>
        </w:rPr>
        <w:t xml:space="preserve">. Daarbij kan </w:t>
      </w:r>
      <w:r w:rsidR="00B24F30">
        <w:rPr>
          <w:lang w:val="nl-NL"/>
        </w:rPr>
        <w:t xml:space="preserve">worden </w:t>
      </w:r>
      <w:r w:rsidRPr="00037E86">
        <w:rPr>
          <w:lang w:val="nl-NL"/>
        </w:rPr>
        <w:t>gedacht aan</w:t>
      </w:r>
      <w:r w:rsidR="0042282B">
        <w:rPr>
          <w:lang w:val="nl-NL"/>
        </w:rPr>
        <w:t xml:space="preserve"> </w:t>
      </w:r>
      <w:r w:rsidR="00B24F30">
        <w:rPr>
          <w:lang w:val="nl-NL"/>
        </w:rPr>
        <w:t xml:space="preserve">de EU-oprichtingsverdragen </w:t>
      </w:r>
      <w:r w:rsidR="0042282B">
        <w:rPr>
          <w:lang w:val="nl-NL"/>
        </w:rPr>
        <w:t>en het VN-Handvest</w:t>
      </w:r>
      <w:r w:rsidR="00B24F30">
        <w:rPr>
          <w:lang w:val="nl-NL"/>
        </w:rPr>
        <w:t xml:space="preserve">. </w:t>
      </w:r>
      <w:r w:rsidR="0042282B">
        <w:rPr>
          <w:lang w:val="nl-NL"/>
        </w:rPr>
        <w:t>D</w:t>
      </w:r>
      <w:r w:rsidR="00B24F30">
        <w:rPr>
          <w:lang w:val="nl-NL"/>
        </w:rPr>
        <w:t xml:space="preserve">uitsland heeft </w:t>
      </w:r>
      <w:r w:rsidR="0042282B">
        <w:rPr>
          <w:lang w:val="nl-NL"/>
        </w:rPr>
        <w:t xml:space="preserve">een soortgelijke verklaring afgelegd. </w:t>
      </w:r>
    </w:p>
    <w:p w:rsidR="00067F2A" w:rsidRDefault="00067F2A" w14:paraId="40365814" w14:textId="77777777">
      <w:pPr>
        <w:jc w:val="both"/>
        <w:rPr>
          <w:lang w:val="nl-NL"/>
        </w:rPr>
      </w:pPr>
    </w:p>
    <w:p w:rsidR="001014B8" w:rsidRDefault="001014B8" w14:paraId="455524A7" w14:textId="77777777">
      <w:pPr>
        <w:jc w:val="both"/>
        <w:rPr>
          <w:lang w:val="nl-NL"/>
        </w:rPr>
      </w:pPr>
    </w:p>
    <w:p w:rsidR="00631AF6" w:rsidRDefault="00CD36FE" w14:paraId="1BD700DF" w14:textId="0DC5E46A">
      <w:pPr>
        <w:pStyle w:val="Lijstalinea"/>
        <w:numPr>
          <w:ilvl w:val="0"/>
          <w:numId w:val="6"/>
        </w:numPr>
        <w:rPr>
          <w:b/>
          <w:lang w:val="nl-NL"/>
        </w:rPr>
      </w:pPr>
      <w:r>
        <w:rPr>
          <w:b/>
          <w:lang w:val="nl-NL"/>
        </w:rPr>
        <w:t>Artikelsgewijze t</w:t>
      </w:r>
      <w:r w:rsidRPr="00712727" w:rsidR="00631AF6">
        <w:rPr>
          <w:b/>
          <w:lang w:val="nl-NL"/>
        </w:rPr>
        <w:t>oelichting</w:t>
      </w:r>
    </w:p>
    <w:p w:rsidR="001B2465" w:rsidRDefault="001B2465" w14:paraId="28A1DD35" w14:textId="105353F6">
      <w:pPr>
        <w:pStyle w:val="Lijstalinea"/>
        <w:ind w:left="1690" w:firstLine="0"/>
        <w:rPr>
          <w:b/>
          <w:lang w:val="nl-NL"/>
        </w:rPr>
      </w:pPr>
    </w:p>
    <w:p w:rsidRPr="001B2465" w:rsidR="001B2465" w:rsidRDefault="00DB2CD4" w14:paraId="5A3F0EBB" w14:textId="216877DE">
      <w:pPr>
        <w:jc w:val="both"/>
        <w:rPr>
          <w:b/>
          <w:lang w:val="nl-NL"/>
        </w:rPr>
      </w:pPr>
      <w:r>
        <w:rPr>
          <w:lang w:val="nl-NL"/>
        </w:rPr>
        <w:t>He</w:t>
      </w:r>
      <w:r w:rsidRPr="004422BF" w:rsidR="004422BF">
        <w:rPr>
          <w:lang w:val="nl-NL"/>
        </w:rPr>
        <w:t xml:space="preserve">t </w:t>
      </w:r>
      <w:r w:rsidR="00197CD2">
        <w:rPr>
          <w:lang w:val="nl-NL"/>
        </w:rPr>
        <w:t>V</w:t>
      </w:r>
      <w:r w:rsidRPr="004422BF" w:rsidR="00197CD2">
        <w:rPr>
          <w:lang w:val="nl-NL"/>
        </w:rPr>
        <w:t xml:space="preserve">erdrag </w:t>
      </w:r>
      <w:r w:rsidR="003C65C4">
        <w:rPr>
          <w:lang w:val="nl-NL"/>
        </w:rPr>
        <w:t>bestaat uit twintig</w:t>
      </w:r>
      <w:r w:rsidR="00197CD2">
        <w:rPr>
          <w:lang w:val="nl-NL"/>
        </w:rPr>
        <w:t xml:space="preserve"> artikelen.</w:t>
      </w:r>
      <w:r w:rsidR="009A6DAE">
        <w:rPr>
          <w:lang w:val="nl-NL"/>
        </w:rPr>
        <w:t xml:space="preserve"> De meeste artikelen worden hieronder per hoofdstuk toegelicht. </w:t>
      </w:r>
      <w:r w:rsidR="00197CD2">
        <w:rPr>
          <w:lang w:val="nl-NL"/>
        </w:rPr>
        <w:t xml:space="preserve">Zoals hierboven </w:t>
      </w:r>
      <w:r w:rsidR="003C65C4">
        <w:rPr>
          <w:lang w:val="nl-NL"/>
        </w:rPr>
        <w:t xml:space="preserve">is </w:t>
      </w:r>
      <w:r w:rsidR="00197CD2">
        <w:rPr>
          <w:lang w:val="nl-NL"/>
        </w:rPr>
        <w:t>aangegeven is het Verdrag gewijzigd door drie Protocollen</w:t>
      </w:r>
      <w:r w:rsidR="00BF09C7">
        <w:rPr>
          <w:lang w:val="nl-NL"/>
        </w:rPr>
        <w:t>.</w:t>
      </w:r>
      <w:r w:rsidR="00197CD2">
        <w:rPr>
          <w:lang w:val="nl-NL"/>
        </w:rPr>
        <w:t xml:space="preserve"> </w:t>
      </w:r>
      <w:r w:rsidR="00BF09C7">
        <w:rPr>
          <w:lang w:val="nl-NL"/>
        </w:rPr>
        <w:t>H</w:t>
      </w:r>
      <w:r w:rsidR="00197CD2">
        <w:rPr>
          <w:lang w:val="nl-NL"/>
        </w:rPr>
        <w:t>et eerste</w:t>
      </w:r>
      <w:r w:rsidR="00BF09C7">
        <w:rPr>
          <w:lang w:val="nl-NL"/>
        </w:rPr>
        <w:t xml:space="preserve"> en derde</w:t>
      </w:r>
      <w:r w:rsidR="00197CD2">
        <w:rPr>
          <w:lang w:val="nl-NL"/>
        </w:rPr>
        <w:t xml:space="preserve"> protocol </w:t>
      </w:r>
      <w:r w:rsidR="00BF09C7">
        <w:rPr>
          <w:lang w:val="nl-NL"/>
        </w:rPr>
        <w:t>wijzigden de</w:t>
      </w:r>
      <w:r w:rsidR="00197CD2">
        <w:rPr>
          <w:lang w:val="nl-NL"/>
        </w:rPr>
        <w:t xml:space="preserve"> artikelen </w:t>
      </w:r>
      <w:r w:rsidR="00BF09C7">
        <w:rPr>
          <w:lang w:val="nl-NL"/>
        </w:rPr>
        <w:t>18 en 14.</w:t>
      </w:r>
      <w:r w:rsidR="00197CD2">
        <w:rPr>
          <w:lang w:val="nl-NL"/>
        </w:rPr>
        <w:t xml:space="preserve"> </w:t>
      </w:r>
      <w:r w:rsidR="00BF09C7">
        <w:rPr>
          <w:lang w:val="nl-NL"/>
        </w:rPr>
        <w:t xml:space="preserve">Het </w:t>
      </w:r>
      <w:r w:rsidR="00CD36FE">
        <w:rPr>
          <w:lang w:val="nl-NL"/>
        </w:rPr>
        <w:t xml:space="preserve">tweede </w:t>
      </w:r>
      <w:r w:rsidR="00BF09C7">
        <w:rPr>
          <w:lang w:val="nl-NL"/>
        </w:rPr>
        <w:t>protocol had alleen betrekking op artikel 18.</w:t>
      </w:r>
      <w:r w:rsidR="003C65C4">
        <w:rPr>
          <w:lang w:val="nl-NL"/>
        </w:rPr>
        <w:t xml:space="preserve"> Artikel 18 gaat over toetreding en artikel 14 gaat over de beslechting van geschillen.</w:t>
      </w:r>
    </w:p>
    <w:p w:rsidR="00CD36FE" w:rsidRDefault="00CD36FE" w14:paraId="2E3DAB18" w14:textId="77777777">
      <w:pPr>
        <w:jc w:val="both"/>
        <w:rPr>
          <w:lang w:val="nl-NL"/>
        </w:rPr>
      </w:pPr>
    </w:p>
    <w:p w:rsidR="00631AF6" w:rsidP="00EA3412" w:rsidRDefault="001B2465" w14:paraId="22493A70" w14:textId="6EDCF8B2">
      <w:pPr>
        <w:jc w:val="both"/>
        <w:rPr>
          <w:lang w:val="nl-NL"/>
        </w:rPr>
      </w:pPr>
      <w:r w:rsidRPr="009C7EB6">
        <w:rPr>
          <w:caps/>
          <w:lang w:val="nl-NL"/>
        </w:rPr>
        <w:t>Hoofdstuk</w:t>
      </w:r>
      <w:r>
        <w:rPr>
          <w:lang w:val="nl-NL"/>
        </w:rPr>
        <w:t xml:space="preserve"> I Doel en beginselen</w:t>
      </w:r>
    </w:p>
    <w:p w:rsidR="00042695" w:rsidP="00EE7748" w:rsidRDefault="00042695" w14:paraId="3D750E2C" w14:textId="77777777">
      <w:pPr>
        <w:jc w:val="both"/>
        <w:rPr>
          <w:lang w:val="nl-NL"/>
        </w:rPr>
      </w:pPr>
    </w:p>
    <w:p w:rsidR="001B2465" w:rsidP="00EF60F9" w:rsidRDefault="00934971" w14:paraId="786C24AC" w14:textId="3796622B">
      <w:pPr>
        <w:jc w:val="both"/>
        <w:rPr>
          <w:lang w:val="nl-NL"/>
        </w:rPr>
      </w:pPr>
      <w:r>
        <w:rPr>
          <w:lang w:val="nl-NL"/>
        </w:rPr>
        <w:t>Artikel 1 omschrijft het doel van het Verdrag. Het d</w:t>
      </w:r>
      <w:r w:rsidR="001B2465">
        <w:rPr>
          <w:lang w:val="nl-NL"/>
        </w:rPr>
        <w:t>oel is vrede, vriendschap en samenwerking tussen de landen te bevorderen</w:t>
      </w:r>
      <w:r w:rsidR="00363DF1">
        <w:rPr>
          <w:lang w:val="nl-NL"/>
        </w:rPr>
        <w:t>. In de preambule wordt daarvoor verwezen naar</w:t>
      </w:r>
      <w:r w:rsidRPr="00363DF1" w:rsidR="00363DF1">
        <w:rPr>
          <w:lang w:val="nl-NL"/>
        </w:rPr>
        <w:t xml:space="preserve"> de geest en de beginselen van het</w:t>
      </w:r>
      <w:r w:rsidR="00363DF1">
        <w:rPr>
          <w:lang w:val="nl-NL"/>
        </w:rPr>
        <w:t xml:space="preserve"> </w:t>
      </w:r>
      <w:r w:rsidRPr="00363DF1" w:rsidR="00363DF1">
        <w:rPr>
          <w:lang w:val="nl-NL"/>
        </w:rPr>
        <w:t>Handvest van de Verenigde Naties, de tien beginselen die zijn goedgekeurd op de Azië-Afrika-conferentie in Bandung van 25 april 1955</w:t>
      </w:r>
      <w:r w:rsidR="0041163F">
        <w:rPr>
          <w:rStyle w:val="Voetnootmarkering"/>
          <w:lang w:val="nl-NL"/>
        </w:rPr>
        <w:footnoteReference w:id="3"/>
      </w:r>
      <w:r w:rsidRPr="00363DF1" w:rsidR="00363DF1">
        <w:rPr>
          <w:lang w:val="nl-NL"/>
        </w:rPr>
        <w:t>, de verklaring van de Associatie van</w:t>
      </w:r>
      <w:r w:rsidR="00363DF1">
        <w:rPr>
          <w:lang w:val="nl-NL"/>
        </w:rPr>
        <w:t xml:space="preserve"> </w:t>
      </w:r>
      <w:r w:rsidRPr="00363DF1" w:rsidR="00363DF1">
        <w:rPr>
          <w:lang w:val="nl-NL"/>
        </w:rPr>
        <w:t>Zuidoost-Aziatische staten, ondertekend te Bangkok op 8 augustus 1967, en de</w:t>
      </w:r>
      <w:r w:rsidR="00363DF1">
        <w:rPr>
          <w:lang w:val="nl-NL"/>
        </w:rPr>
        <w:t xml:space="preserve"> </w:t>
      </w:r>
      <w:r w:rsidRPr="00363DF1" w:rsidR="00363DF1">
        <w:rPr>
          <w:lang w:val="nl-NL"/>
        </w:rPr>
        <w:t>verklaring ondertekend te K</w:t>
      </w:r>
      <w:r w:rsidR="00363DF1">
        <w:rPr>
          <w:lang w:val="nl-NL"/>
        </w:rPr>
        <w:t>uala Lumpur op 27 november 1971</w:t>
      </w:r>
      <w:r w:rsidR="001B2465">
        <w:rPr>
          <w:lang w:val="nl-NL"/>
        </w:rPr>
        <w:t xml:space="preserve">. </w:t>
      </w:r>
    </w:p>
    <w:p w:rsidRPr="009E4C64" w:rsidR="001B2465" w:rsidP="00EF60F9" w:rsidRDefault="001B2465" w14:paraId="4B69A0BC" w14:textId="77777777">
      <w:pPr>
        <w:jc w:val="both"/>
        <w:rPr>
          <w:lang w:val="nl-NL"/>
        </w:rPr>
      </w:pPr>
    </w:p>
    <w:p w:rsidR="00927828" w:rsidP="00642C90" w:rsidRDefault="001B2465" w14:paraId="38FF3730" w14:textId="74D8134E">
      <w:pPr>
        <w:jc w:val="both"/>
        <w:rPr>
          <w:lang w:val="nl-NL"/>
        </w:rPr>
      </w:pPr>
      <w:r>
        <w:rPr>
          <w:lang w:val="nl-NL"/>
        </w:rPr>
        <w:t>Artikel 2 benadrukt</w:t>
      </w:r>
      <w:r w:rsidR="00D53380">
        <w:rPr>
          <w:lang w:val="nl-NL"/>
        </w:rPr>
        <w:t xml:space="preserve"> welke</w:t>
      </w:r>
      <w:r>
        <w:rPr>
          <w:lang w:val="nl-NL"/>
        </w:rPr>
        <w:t xml:space="preserve"> beginselen </w:t>
      </w:r>
      <w:r w:rsidR="00DE51C9">
        <w:rPr>
          <w:lang w:val="nl-NL"/>
        </w:rPr>
        <w:t xml:space="preserve">fundamenteel zijn voor de </w:t>
      </w:r>
      <w:r>
        <w:rPr>
          <w:lang w:val="nl-NL"/>
        </w:rPr>
        <w:t xml:space="preserve">betrekkingen. Daartoe behoren </w:t>
      </w:r>
      <w:r w:rsidRPr="001B2465">
        <w:rPr>
          <w:lang w:val="nl-NL"/>
        </w:rPr>
        <w:t>wederzijds respect voor de onafhankelijkheid, soevereiniteit, gelijkwaardigheid,</w:t>
      </w:r>
      <w:r>
        <w:rPr>
          <w:lang w:val="nl-NL"/>
        </w:rPr>
        <w:t xml:space="preserve"> </w:t>
      </w:r>
      <w:r w:rsidRPr="001B2465">
        <w:rPr>
          <w:lang w:val="nl-NL"/>
        </w:rPr>
        <w:t>territoriale integriteit en nationale identiteit van alle staten; het recht van elke staat op een nationaa</w:t>
      </w:r>
      <w:r>
        <w:rPr>
          <w:lang w:val="nl-NL"/>
        </w:rPr>
        <w:t>l bestaan zonder bemoeienissen of dwang; en dus</w:t>
      </w:r>
      <w:r w:rsidRPr="001B2465">
        <w:rPr>
          <w:lang w:val="nl-NL"/>
        </w:rPr>
        <w:t xml:space="preserve"> niet-inmenging in de binnenlandse aangelegenheden van </w:t>
      </w:r>
      <w:r w:rsidR="002A03B7">
        <w:rPr>
          <w:lang w:val="nl-NL"/>
        </w:rPr>
        <w:t>ASEAN-lidstaten onderling</w:t>
      </w:r>
      <w:r w:rsidRPr="001B2465">
        <w:rPr>
          <w:lang w:val="nl-NL"/>
        </w:rPr>
        <w:t>;</w:t>
      </w:r>
      <w:r>
        <w:rPr>
          <w:lang w:val="nl-NL"/>
        </w:rPr>
        <w:t xml:space="preserve"> </w:t>
      </w:r>
      <w:r w:rsidRPr="001B2465">
        <w:rPr>
          <w:lang w:val="nl-NL"/>
        </w:rPr>
        <w:t>beslechting van geschillen of disputen met vreedzame middelen;</w:t>
      </w:r>
      <w:r>
        <w:rPr>
          <w:lang w:val="nl-NL"/>
        </w:rPr>
        <w:t xml:space="preserve"> </w:t>
      </w:r>
      <w:r w:rsidRPr="001B2465">
        <w:rPr>
          <w:lang w:val="nl-NL"/>
        </w:rPr>
        <w:t>afzien van geweld</w:t>
      </w:r>
      <w:r>
        <w:rPr>
          <w:lang w:val="nl-NL"/>
        </w:rPr>
        <w:t xml:space="preserve"> of dreiging daartoe en een </w:t>
      </w:r>
      <w:r w:rsidR="00934971">
        <w:rPr>
          <w:lang w:val="nl-NL"/>
        </w:rPr>
        <w:t xml:space="preserve">efficiënte </w:t>
      </w:r>
      <w:r w:rsidRPr="001B2465">
        <w:rPr>
          <w:lang w:val="nl-NL"/>
        </w:rPr>
        <w:t>samenwerking.</w:t>
      </w:r>
    </w:p>
    <w:p w:rsidR="00556C50" w:rsidRDefault="00556C50" w14:paraId="4A66E9F0" w14:textId="77777777">
      <w:pPr>
        <w:jc w:val="both"/>
        <w:rPr>
          <w:lang w:val="nl-NL"/>
        </w:rPr>
      </w:pPr>
    </w:p>
    <w:p w:rsidR="00934971" w:rsidRDefault="00934971" w14:paraId="0760A890" w14:textId="67444E4E">
      <w:pPr>
        <w:jc w:val="both"/>
        <w:rPr>
          <w:lang w:val="nl-NL"/>
        </w:rPr>
      </w:pPr>
    </w:p>
    <w:p w:rsidR="00934971" w:rsidRDefault="00934971" w14:paraId="427CF6F4" w14:textId="067E9B54">
      <w:pPr>
        <w:jc w:val="both"/>
        <w:rPr>
          <w:lang w:val="nl-NL"/>
        </w:rPr>
      </w:pPr>
      <w:r w:rsidRPr="009C7EB6">
        <w:rPr>
          <w:caps/>
          <w:lang w:val="nl-NL"/>
        </w:rPr>
        <w:t>Hoofdstuk</w:t>
      </w:r>
      <w:r>
        <w:rPr>
          <w:lang w:val="nl-NL"/>
        </w:rPr>
        <w:t xml:space="preserve"> II Vriendschap</w:t>
      </w:r>
    </w:p>
    <w:p w:rsidR="00934971" w:rsidRDefault="00934971" w14:paraId="4219A308" w14:textId="77777777">
      <w:pPr>
        <w:jc w:val="both"/>
        <w:rPr>
          <w:lang w:val="nl-NL"/>
        </w:rPr>
      </w:pPr>
    </w:p>
    <w:p w:rsidR="00934971" w:rsidRDefault="00934971" w14:paraId="55D00E19" w14:textId="1EA0F783">
      <w:pPr>
        <w:jc w:val="both"/>
        <w:rPr>
          <w:lang w:val="nl-NL"/>
        </w:rPr>
      </w:pPr>
      <w:r>
        <w:rPr>
          <w:lang w:val="nl-NL"/>
        </w:rPr>
        <w:t xml:space="preserve">Artikel 3 omschrijft de vriendschapsbanden. Het stipuleert dat de partijen streven naar </w:t>
      </w:r>
      <w:r w:rsidRPr="00934971">
        <w:rPr>
          <w:lang w:val="nl-NL"/>
        </w:rPr>
        <w:t>de ontwikkeling van de traditionele,</w:t>
      </w:r>
      <w:r>
        <w:rPr>
          <w:lang w:val="nl-NL"/>
        </w:rPr>
        <w:t xml:space="preserve"> </w:t>
      </w:r>
      <w:r w:rsidRPr="00934971">
        <w:rPr>
          <w:lang w:val="nl-NL"/>
        </w:rPr>
        <w:t>culturele en historische vriendschapsbanden, goede nabuurschap en samenwerking onder</w:t>
      </w:r>
      <w:r>
        <w:rPr>
          <w:lang w:val="nl-NL"/>
        </w:rPr>
        <w:t xml:space="preserve"> </w:t>
      </w:r>
      <w:r w:rsidRPr="00934971">
        <w:rPr>
          <w:lang w:val="nl-NL"/>
        </w:rPr>
        <w:t>elkaar</w:t>
      </w:r>
      <w:r>
        <w:rPr>
          <w:lang w:val="nl-NL"/>
        </w:rPr>
        <w:t xml:space="preserve">. Ook bepaalt dit artikel dat de partijen </w:t>
      </w:r>
      <w:r w:rsidRPr="00934971">
        <w:rPr>
          <w:lang w:val="nl-NL"/>
        </w:rPr>
        <w:t xml:space="preserve">contacten en sociaal verkeer tussen hun volkeren </w:t>
      </w:r>
      <w:r w:rsidR="00556C50">
        <w:rPr>
          <w:lang w:val="nl-NL"/>
        </w:rPr>
        <w:t>aanmoedigen en vergemakkelijken.</w:t>
      </w:r>
    </w:p>
    <w:p w:rsidR="00556C50" w:rsidRDefault="00556C50" w14:paraId="49139C1C" w14:textId="77777777">
      <w:pPr>
        <w:jc w:val="both"/>
        <w:rPr>
          <w:lang w:val="nl-NL"/>
        </w:rPr>
      </w:pPr>
    </w:p>
    <w:p w:rsidRPr="00934971" w:rsidR="00556C50" w:rsidRDefault="00556C50" w14:paraId="492BBC6C" w14:textId="77777777">
      <w:pPr>
        <w:jc w:val="both"/>
        <w:rPr>
          <w:lang w:val="nl-NL"/>
        </w:rPr>
      </w:pPr>
    </w:p>
    <w:p w:rsidR="00934971" w:rsidRDefault="00934971" w14:paraId="29B9B0A5" w14:textId="4B7B5ABB">
      <w:pPr>
        <w:jc w:val="both"/>
        <w:rPr>
          <w:lang w:val="nl-NL"/>
        </w:rPr>
      </w:pPr>
      <w:r w:rsidRPr="00934971">
        <w:rPr>
          <w:lang w:val="nl-NL"/>
        </w:rPr>
        <w:t>HOOFDSTUK III S</w:t>
      </w:r>
      <w:r w:rsidR="00556C50">
        <w:rPr>
          <w:lang w:val="nl-NL"/>
        </w:rPr>
        <w:t>amenwerking</w:t>
      </w:r>
    </w:p>
    <w:p w:rsidR="00D53380" w:rsidRDefault="00D53380" w14:paraId="3AD4B723" w14:textId="4EE8C089">
      <w:pPr>
        <w:jc w:val="both"/>
        <w:rPr>
          <w:lang w:val="nl-NL"/>
        </w:rPr>
      </w:pPr>
    </w:p>
    <w:p w:rsidR="00934971" w:rsidRDefault="00556C50" w14:paraId="5733E424" w14:textId="50CB1257">
      <w:pPr>
        <w:jc w:val="both"/>
        <w:rPr>
          <w:lang w:val="nl-NL"/>
        </w:rPr>
      </w:pPr>
      <w:r>
        <w:rPr>
          <w:lang w:val="nl-NL"/>
        </w:rPr>
        <w:t xml:space="preserve">De artikelen 4 tot en met </w:t>
      </w:r>
      <w:r w:rsidR="009B18A0">
        <w:rPr>
          <w:lang w:val="nl-NL"/>
        </w:rPr>
        <w:t>12</w:t>
      </w:r>
      <w:r>
        <w:rPr>
          <w:lang w:val="nl-NL"/>
        </w:rPr>
        <w:t xml:space="preserve"> </w:t>
      </w:r>
      <w:r w:rsidR="00F75B09">
        <w:rPr>
          <w:lang w:val="nl-NL"/>
        </w:rPr>
        <w:t>vullen</w:t>
      </w:r>
      <w:r>
        <w:rPr>
          <w:lang w:val="nl-NL"/>
        </w:rPr>
        <w:t xml:space="preserve"> de </w:t>
      </w:r>
      <w:r w:rsidR="00D53380">
        <w:rPr>
          <w:lang w:val="nl-NL"/>
        </w:rPr>
        <w:t xml:space="preserve">bedoelde </w:t>
      </w:r>
      <w:r>
        <w:rPr>
          <w:lang w:val="nl-NL"/>
        </w:rPr>
        <w:t xml:space="preserve">samenwerking </w:t>
      </w:r>
      <w:r w:rsidR="00F75B09">
        <w:rPr>
          <w:lang w:val="nl-NL"/>
        </w:rPr>
        <w:t>nader in</w:t>
      </w:r>
      <w:r w:rsidR="00363DF1">
        <w:rPr>
          <w:lang w:val="nl-NL"/>
        </w:rPr>
        <w:t xml:space="preserve">. </w:t>
      </w:r>
      <w:r w:rsidR="00D53380">
        <w:rPr>
          <w:lang w:val="nl-NL"/>
        </w:rPr>
        <w:t>S</w:t>
      </w:r>
      <w:r w:rsidR="007B7748">
        <w:rPr>
          <w:lang w:val="nl-NL"/>
        </w:rPr>
        <w:t xml:space="preserve">amenwerking wordt bevorderd </w:t>
      </w:r>
      <w:r w:rsidR="00F6443C">
        <w:rPr>
          <w:lang w:val="nl-NL"/>
        </w:rPr>
        <w:t xml:space="preserve">op </w:t>
      </w:r>
      <w:r w:rsidRPr="00934971" w:rsidR="00934971">
        <w:rPr>
          <w:lang w:val="nl-NL"/>
        </w:rPr>
        <w:t>economisch,</w:t>
      </w:r>
      <w:r w:rsidR="00F75B09">
        <w:rPr>
          <w:lang w:val="nl-NL"/>
        </w:rPr>
        <w:t xml:space="preserve"> </w:t>
      </w:r>
      <w:r w:rsidRPr="00934971" w:rsidR="00934971">
        <w:rPr>
          <w:lang w:val="nl-NL"/>
        </w:rPr>
        <w:t xml:space="preserve">sociaal, </w:t>
      </w:r>
      <w:r w:rsidR="00F6443C">
        <w:rPr>
          <w:lang w:val="nl-NL"/>
        </w:rPr>
        <w:t xml:space="preserve">cultureel, technisch, </w:t>
      </w:r>
      <w:r w:rsidRPr="00934971" w:rsidR="00934971">
        <w:rPr>
          <w:lang w:val="nl-NL"/>
        </w:rPr>
        <w:t xml:space="preserve">wetenschappelijk </w:t>
      </w:r>
      <w:r w:rsidR="00DE51C9">
        <w:rPr>
          <w:lang w:val="nl-NL"/>
        </w:rPr>
        <w:t xml:space="preserve">(onderwijs en onderzoek) </w:t>
      </w:r>
      <w:r w:rsidRPr="00934971" w:rsidR="00934971">
        <w:rPr>
          <w:lang w:val="nl-NL"/>
        </w:rPr>
        <w:t>en administratief gebied, alsook op gebied van internationale vrede en stabiliteit in de regio en</w:t>
      </w:r>
      <w:r w:rsidR="00F75B09">
        <w:rPr>
          <w:lang w:val="nl-NL"/>
        </w:rPr>
        <w:t xml:space="preserve"> </w:t>
      </w:r>
      <w:r w:rsidRPr="00934971" w:rsidR="00934971">
        <w:rPr>
          <w:lang w:val="nl-NL"/>
        </w:rPr>
        <w:t>alle andere aangelegenheden van gemeenschappelijk belang.</w:t>
      </w:r>
    </w:p>
    <w:p w:rsidRPr="00934971" w:rsidR="00363DF1" w:rsidRDefault="00363DF1" w14:paraId="3FEC6BEF" w14:textId="77777777">
      <w:pPr>
        <w:jc w:val="both"/>
        <w:rPr>
          <w:lang w:val="nl-NL"/>
        </w:rPr>
      </w:pPr>
    </w:p>
    <w:p w:rsidR="00CD6DE1" w:rsidRDefault="00EB409B" w14:paraId="5704B1E3" w14:textId="63973FA8">
      <w:pPr>
        <w:jc w:val="both"/>
        <w:rPr>
          <w:lang w:val="nl-NL"/>
        </w:rPr>
      </w:pPr>
      <w:r>
        <w:rPr>
          <w:lang w:val="nl-NL"/>
        </w:rPr>
        <w:t xml:space="preserve">De </w:t>
      </w:r>
      <w:r w:rsidR="00F6443C">
        <w:rPr>
          <w:lang w:val="nl-NL"/>
        </w:rPr>
        <w:t xml:space="preserve">Partijen </w:t>
      </w:r>
      <w:r>
        <w:rPr>
          <w:lang w:val="nl-NL"/>
        </w:rPr>
        <w:t xml:space="preserve">bij het Verdrag </w:t>
      </w:r>
      <w:r w:rsidR="00F6443C">
        <w:rPr>
          <w:lang w:val="nl-NL"/>
        </w:rPr>
        <w:t>overleggen</w:t>
      </w:r>
      <w:r w:rsidR="00AA0EAE">
        <w:rPr>
          <w:lang w:val="nl-NL"/>
        </w:rPr>
        <w:t xml:space="preserve"> regelmatig met elkaar </w:t>
      </w:r>
      <w:r w:rsidRPr="00934971" w:rsidR="00934971">
        <w:rPr>
          <w:lang w:val="nl-NL"/>
        </w:rPr>
        <w:t xml:space="preserve">over internationale en regionale kwesties </w:t>
      </w:r>
      <w:r w:rsidR="00AA0EAE">
        <w:rPr>
          <w:lang w:val="nl-NL"/>
        </w:rPr>
        <w:t>om</w:t>
      </w:r>
      <w:r w:rsidRPr="00934971" w:rsidR="00934971">
        <w:rPr>
          <w:lang w:val="nl-NL"/>
        </w:rPr>
        <w:t xml:space="preserve"> hun acties en beleid op elkaar af te</w:t>
      </w:r>
      <w:r w:rsidR="00AA0EAE">
        <w:rPr>
          <w:lang w:val="nl-NL"/>
        </w:rPr>
        <w:t xml:space="preserve"> </w:t>
      </w:r>
      <w:r w:rsidRPr="00934971" w:rsidR="00934971">
        <w:rPr>
          <w:lang w:val="nl-NL"/>
        </w:rPr>
        <w:t>stemmen.</w:t>
      </w:r>
      <w:r w:rsidR="00F6443C">
        <w:rPr>
          <w:lang w:val="nl-NL"/>
        </w:rPr>
        <w:t xml:space="preserve"> </w:t>
      </w:r>
      <w:r w:rsidR="00A55845">
        <w:rPr>
          <w:lang w:val="nl-NL"/>
        </w:rPr>
        <w:t xml:space="preserve">Elk jaar </w:t>
      </w:r>
      <w:r w:rsidRPr="00A55845" w:rsidR="00A55845">
        <w:rPr>
          <w:lang w:val="nl-NL"/>
        </w:rPr>
        <w:t>vinden twee ASEAN Toppen plaats: een ‘interne’ Top en een Top die juist is gericht op overleg met partners</w:t>
      </w:r>
      <w:r w:rsidRPr="00E25D27" w:rsidR="00E25D27">
        <w:rPr>
          <w:lang w:val="nl-NL"/>
        </w:rPr>
        <w:t xml:space="preserve">, waaronder ‘dialoog partner’ EU. Ook worden soms individuele EU-landen uitgenodigd voor deelname, zoals </w:t>
      </w:r>
      <w:r w:rsidR="00152BE9">
        <w:rPr>
          <w:lang w:val="nl-NL"/>
        </w:rPr>
        <w:t>Nederland</w:t>
      </w:r>
      <w:r w:rsidRPr="00E25D27" w:rsidR="00E25D27">
        <w:rPr>
          <w:lang w:val="nl-NL"/>
        </w:rPr>
        <w:t xml:space="preserve"> in november 2020. Deze Top werd vanwege Covid online gehouden.</w:t>
      </w:r>
    </w:p>
    <w:p w:rsidRPr="00934971" w:rsidR="00AA0EAE" w:rsidRDefault="00AA0EAE" w14:paraId="27C4FF78" w14:textId="77777777">
      <w:pPr>
        <w:jc w:val="both"/>
        <w:rPr>
          <w:lang w:val="nl-NL"/>
        </w:rPr>
      </w:pPr>
    </w:p>
    <w:p w:rsidR="00934971" w:rsidRDefault="00934971" w14:paraId="6D5B818D" w14:textId="1430EE8F">
      <w:pPr>
        <w:jc w:val="both"/>
        <w:rPr>
          <w:lang w:val="nl-NL"/>
        </w:rPr>
      </w:pPr>
      <w:r w:rsidRPr="00934971">
        <w:rPr>
          <w:lang w:val="nl-NL"/>
        </w:rPr>
        <w:t>HOOFDSTUK IV V</w:t>
      </w:r>
      <w:r w:rsidR="00F6443C">
        <w:rPr>
          <w:lang w:val="nl-NL"/>
        </w:rPr>
        <w:t>reedzame beslechting van geschillen</w:t>
      </w:r>
    </w:p>
    <w:p w:rsidRPr="00934971" w:rsidR="00F6443C" w:rsidRDefault="00F6443C" w14:paraId="7FEDFD67" w14:textId="77777777">
      <w:pPr>
        <w:jc w:val="both"/>
        <w:rPr>
          <w:lang w:val="nl-NL"/>
        </w:rPr>
      </w:pPr>
    </w:p>
    <w:p w:rsidR="00960D44" w:rsidRDefault="00F6443C" w14:paraId="5C17EB70" w14:textId="4DDCC615">
      <w:pPr>
        <w:jc w:val="both"/>
        <w:rPr>
          <w:lang w:val="nl-NL"/>
        </w:rPr>
      </w:pPr>
      <w:r>
        <w:rPr>
          <w:lang w:val="nl-NL"/>
        </w:rPr>
        <w:t>De ar</w:t>
      </w:r>
      <w:r w:rsidRPr="00934971" w:rsidR="00934971">
        <w:rPr>
          <w:lang w:val="nl-NL"/>
        </w:rPr>
        <w:t>tikel</w:t>
      </w:r>
      <w:r>
        <w:rPr>
          <w:lang w:val="nl-NL"/>
        </w:rPr>
        <w:t>en</w:t>
      </w:r>
      <w:r w:rsidRPr="00934971" w:rsidR="00934971">
        <w:rPr>
          <w:lang w:val="nl-NL"/>
        </w:rPr>
        <w:t xml:space="preserve"> 13</w:t>
      </w:r>
      <w:r>
        <w:rPr>
          <w:lang w:val="nl-NL"/>
        </w:rPr>
        <w:t xml:space="preserve"> tot en met 17 van het</w:t>
      </w:r>
      <w:r w:rsidR="00CD6DE1">
        <w:rPr>
          <w:lang w:val="nl-NL"/>
        </w:rPr>
        <w:t xml:space="preserve"> </w:t>
      </w:r>
      <w:r w:rsidR="00A80179">
        <w:rPr>
          <w:lang w:val="nl-NL"/>
        </w:rPr>
        <w:t>V</w:t>
      </w:r>
      <w:r w:rsidR="00CD6DE1">
        <w:rPr>
          <w:lang w:val="nl-NL"/>
        </w:rPr>
        <w:t xml:space="preserve">erdrag </w:t>
      </w:r>
      <w:r w:rsidR="00960D44">
        <w:rPr>
          <w:lang w:val="nl-NL"/>
        </w:rPr>
        <w:t>benadrukken</w:t>
      </w:r>
      <w:r w:rsidR="000E47FC">
        <w:rPr>
          <w:lang w:val="nl-NL"/>
        </w:rPr>
        <w:t xml:space="preserve"> dat </w:t>
      </w:r>
      <w:r w:rsidR="003F7DF5">
        <w:rPr>
          <w:lang w:val="nl-NL"/>
        </w:rPr>
        <w:t xml:space="preserve">en hoe </w:t>
      </w:r>
      <w:r w:rsidR="000E47FC">
        <w:rPr>
          <w:lang w:val="nl-NL"/>
        </w:rPr>
        <w:t xml:space="preserve">de partijen </w:t>
      </w:r>
      <w:r w:rsidR="00DE51C9">
        <w:rPr>
          <w:lang w:val="nl-NL"/>
        </w:rPr>
        <w:t>eventuele g</w:t>
      </w:r>
      <w:r w:rsidR="000E47FC">
        <w:rPr>
          <w:lang w:val="nl-NL"/>
        </w:rPr>
        <w:t>eschillen willen oplossen door vriendschappelijke onderhandelingen.</w:t>
      </w:r>
      <w:r w:rsidR="00960D44">
        <w:rPr>
          <w:lang w:val="nl-NL"/>
        </w:rPr>
        <w:t xml:space="preserve"> </w:t>
      </w:r>
    </w:p>
    <w:p w:rsidR="00DE51C9" w:rsidRDefault="00960D44" w14:paraId="0F7C67BC" w14:textId="3F296E97">
      <w:pPr>
        <w:jc w:val="both"/>
        <w:rPr>
          <w:lang w:val="nl-NL"/>
        </w:rPr>
      </w:pPr>
      <w:r>
        <w:rPr>
          <w:lang w:val="nl-NL"/>
        </w:rPr>
        <w:t>Artikel</w:t>
      </w:r>
      <w:r w:rsidRPr="00934971" w:rsidR="00934971">
        <w:rPr>
          <w:lang w:val="nl-NL"/>
        </w:rPr>
        <w:t xml:space="preserve"> 14</w:t>
      </w:r>
      <w:r w:rsidR="00203B87">
        <w:rPr>
          <w:lang w:val="nl-NL"/>
        </w:rPr>
        <w:t xml:space="preserve"> </w:t>
      </w:r>
      <w:r>
        <w:rPr>
          <w:lang w:val="nl-NL"/>
        </w:rPr>
        <w:t>voorziet in</w:t>
      </w:r>
      <w:r w:rsidR="003F7DF5">
        <w:rPr>
          <w:lang w:val="nl-NL"/>
        </w:rPr>
        <w:t xml:space="preserve"> de oprichting van</w:t>
      </w:r>
      <w:r>
        <w:rPr>
          <w:lang w:val="nl-NL"/>
        </w:rPr>
        <w:t xml:space="preserve"> een permanent orgaan, namelijk </w:t>
      </w:r>
      <w:r w:rsidRPr="00934971" w:rsidR="00934971">
        <w:rPr>
          <w:lang w:val="nl-NL"/>
        </w:rPr>
        <w:t>een hoge raad die bestaat uit een</w:t>
      </w:r>
      <w:r>
        <w:rPr>
          <w:lang w:val="nl-NL"/>
        </w:rPr>
        <w:t xml:space="preserve"> </w:t>
      </w:r>
      <w:r w:rsidRPr="00934971" w:rsidR="00934971">
        <w:rPr>
          <w:lang w:val="nl-NL"/>
        </w:rPr>
        <w:t xml:space="preserve">vertegenwoordiger op ministerieel niveau van elke </w:t>
      </w:r>
      <w:r w:rsidR="005334D7">
        <w:rPr>
          <w:lang w:val="nl-NL"/>
        </w:rPr>
        <w:t>partij</w:t>
      </w:r>
      <w:r w:rsidRPr="00934971" w:rsidR="005334D7">
        <w:rPr>
          <w:lang w:val="nl-NL"/>
        </w:rPr>
        <w:t xml:space="preserve"> </w:t>
      </w:r>
      <w:r w:rsidRPr="00934971" w:rsidR="00934971">
        <w:rPr>
          <w:lang w:val="nl-NL"/>
        </w:rPr>
        <w:t>en die</w:t>
      </w:r>
      <w:r>
        <w:rPr>
          <w:lang w:val="nl-NL"/>
        </w:rPr>
        <w:t xml:space="preserve"> </w:t>
      </w:r>
      <w:r w:rsidRPr="00934971" w:rsidR="00934971">
        <w:rPr>
          <w:lang w:val="nl-NL"/>
        </w:rPr>
        <w:t>tot taak heeft kennis te nemen van bestaande geschillen of situaties die de regionale</w:t>
      </w:r>
      <w:r>
        <w:rPr>
          <w:lang w:val="nl-NL"/>
        </w:rPr>
        <w:t xml:space="preserve"> </w:t>
      </w:r>
      <w:r w:rsidRPr="00934971" w:rsidR="00934971">
        <w:rPr>
          <w:lang w:val="nl-NL"/>
        </w:rPr>
        <w:t>vrede en harmonie kunnen verstoren</w:t>
      </w:r>
      <w:r w:rsidR="00DD687C">
        <w:rPr>
          <w:lang w:val="nl-NL"/>
        </w:rPr>
        <w:t xml:space="preserve">. </w:t>
      </w:r>
      <w:r w:rsidR="00044C55">
        <w:rPr>
          <w:lang w:val="nl-NL"/>
        </w:rPr>
        <w:t xml:space="preserve">Het artikel is gewijzigd bij </w:t>
      </w:r>
      <w:r w:rsidR="00F122FD">
        <w:rPr>
          <w:lang w:val="nl-NL"/>
        </w:rPr>
        <w:t xml:space="preserve">het eerste en derde </w:t>
      </w:r>
      <w:r w:rsidR="00044C55">
        <w:rPr>
          <w:lang w:val="nl-NL"/>
        </w:rPr>
        <w:t>Protocol. U</w:t>
      </w:r>
      <w:r w:rsidR="00F122FD">
        <w:rPr>
          <w:lang w:val="nl-NL"/>
        </w:rPr>
        <w:t>iteindelijk is in het derde P</w:t>
      </w:r>
      <w:r w:rsidR="00044C55">
        <w:rPr>
          <w:lang w:val="nl-NL"/>
        </w:rPr>
        <w:t xml:space="preserve">rotocol vastgesteld dat de </w:t>
      </w:r>
      <w:r w:rsidR="004955F0">
        <w:rPr>
          <w:lang w:val="nl-NL"/>
        </w:rPr>
        <w:t xml:space="preserve">bij het verdrag in te stellen </w:t>
      </w:r>
      <w:r w:rsidR="00044C55">
        <w:rPr>
          <w:lang w:val="nl-NL"/>
        </w:rPr>
        <w:t xml:space="preserve">hoge raad </w:t>
      </w:r>
      <w:r w:rsidR="00A017C0">
        <w:rPr>
          <w:lang w:val="nl-NL"/>
        </w:rPr>
        <w:t xml:space="preserve">wat betreft partijen van buiten de </w:t>
      </w:r>
      <w:r w:rsidRPr="00A017C0" w:rsidR="00A017C0">
        <w:rPr>
          <w:lang w:val="nl-NL"/>
        </w:rPr>
        <w:t>regio Zuidoost-Azië</w:t>
      </w:r>
      <w:r w:rsidR="00A017C0">
        <w:rPr>
          <w:lang w:val="nl-NL"/>
        </w:rPr>
        <w:t xml:space="preserve"> </w:t>
      </w:r>
      <w:r w:rsidR="004955F0">
        <w:rPr>
          <w:lang w:val="nl-NL"/>
        </w:rPr>
        <w:t>alleen kan worden gevraagd</w:t>
      </w:r>
      <w:r w:rsidR="00A017C0">
        <w:rPr>
          <w:lang w:val="nl-NL"/>
        </w:rPr>
        <w:t xml:space="preserve"> om kennis te nemen van een geschil</w:t>
      </w:r>
      <w:r w:rsidR="00044C55">
        <w:rPr>
          <w:lang w:val="nl-NL"/>
        </w:rPr>
        <w:t xml:space="preserve"> </w:t>
      </w:r>
      <w:r w:rsidR="00A017C0">
        <w:rPr>
          <w:lang w:val="nl-NL"/>
        </w:rPr>
        <w:t>als</w:t>
      </w:r>
      <w:r w:rsidR="00044C55">
        <w:rPr>
          <w:lang w:val="nl-NL"/>
        </w:rPr>
        <w:t xml:space="preserve"> de</w:t>
      </w:r>
      <w:r w:rsidR="00A017C0">
        <w:rPr>
          <w:lang w:val="nl-NL"/>
        </w:rPr>
        <w:t>ze</w:t>
      </w:r>
      <w:r w:rsidR="00044C55">
        <w:rPr>
          <w:lang w:val="nl-NL"/>
        </w:rPr>
        <w:t xml:space="preserve"> partijen rechtstreeks bij het geschil zijn betrokken.</w:t>
      </w:r>
      <w:r w:rsidR="00DE51C9">
        <w:rPr>
          <w:lang w:val="nl-NL"/>
        </w:rPr>
        <w:t xml:space="preserve"> </w:t>
      </w:r>
      <w:r w:rsidR="004955F0">
        <w:rPr>
          <w:lang w:val="nl-NL"/>
        </w:rPr>
        <w:t>D</w:t>
      </w:r>
      <w:r w:rsidRPr="004955F0" w:rsidR="004955F0">
        <w:rPr>
          <w:lang w:val="nl-NL"/>
        </w:rPr>
        <w:t>e hoge raad kan alleen kennis nemen van geschillen die door regionale procedures moeten worden beslecht.</w:t>
      </w:r>
      <w:r w:rsidR="00F01D6A">
        <w:rPr>
          <w:lang w:val="nl-NL"/>
        </w:rPr>
        <w:t xml:space="preserve"> Ingevolge de artikelen 15 en 16 </w:t>
      </w:r>
      <w:r>
        <w:rPr>
          <w:lang w:val="nl-NL"/>
        </w:rPr>
        <w:t>kan d</w:t>
      </w:r>
      <w:r w:rsidRPr="00934971" w:rsidR="00934971">
        <w:rPr>
          <w:lang w:val="nl-NL"/>
        </w:rPr>
        <w:t>e hoge raad</w:t>
      </w:r>
      <w:r w:rsidR="00DE51C9">
        <w:rPr>
          <w:lang w:val="nl-NL"/>
        </w:rPr>
        <w:t xml:space="preserve"> </w:t>
      </w:r>
      <w:r w:rsidRPr="00934971" w:rsidR="00934971">
        <w:rPr>
          <w:lang w:val="nl-NL"/>
        </w:rPr>
        <w:t>maatregelen aan</w:t>
      </w:r>
      <w:r>
        <w:rPr>
          <w:lang w:val="nl-NL"/>
        </w:rPr>
        <w:t>bevelen om een geschil te beslechten</w:t>
      </w:r>
      <w:r w:rsidR="00F01D6A">
        <w:rPr>
          <w:lang w:val="nl-NL"/>
        </w:rPr>
        <w:t>, als partijen het daarover eens zijn</w:t>
      </w:r>
      <w:r w:rsidRPr="00934971" w:rsidR="00934971">
        <w:rPr>
          <w:lang w:val="nl-NL"/>
        </w:rPr>
        <w:t>.</w:t>
      </w:r>
    </w:p>
    <w:p w:rsidR="00044C55" w:rsidRDefault="00044C55" w14:paraId="6B0D8DE3" w14:textId="77777777">
      <w:pPr>
        <w:jc w:val="both"/>
        <w:rPr>
          <w:lang w:val="nl-NL"/>
        </w:rPr>
      </w:pPr>
    </w:p>
    <w:p w:rsidR="00203B87" w:rsidRDefault="00203B87" w14:paraId="050F124E" w14:textId="68E9E398">
      <w:pPr>
        <w:jc w:val="both"/>
        <w:rPr>
          <w:lang w:val="nl-NL"/>
        </w:rPr>
      </w:pPr>
    </w:p>
    <w:p w:rsidR="00975D88" w:rsidRDefault="00F01D6A" w14:paraId="4516EB5D" w14:textId="4D17A039">
      <w:pPr>
        <w:jc w:val="both"/>
        <w:rPr>
          <w:lang w:val="nl-NL"/>
        </w:rPr>
      </w:pPr>
      <w:r>
        <w:rPr>
          <w:lang w:val="nl-NL"/>
        </w:rPr>
        <w:t>Artikel 17 bepaalt dat g</w:t>
      </w:r>
      <w:r w:rsidRPr="00934971" w:rsidR="00934971">
        <w:rPr>
          <w:lang w:val="nl-NL"/>
        </w:rPr>
        <w:t xml:space="preserve">een enkele bepaling van </w:t>
      </w:r>
      <w:r w:rsidR="00DB2CD4">
        <w:rPr>
          <w:lang w:val="nl-NL"/>
        </w:rPr>
        <w:t>het</w:t>
      </w:r>
      <w:r w:rsidR="003F7DF5">
        <w:rPr>
          <w:lang w:val="nl-NL"/>
        </w:rPr>
        <w:t xml:space="preserve"> V</w:t>
      </w:r>
      <w:r w:rsidR="00CD6DE1">
        <w:rPr>
          <w:lang w:val="nl-NL"/>
        </w:rPr>
        <w:t xml:space="preserve">erdrag </w:t>
      </w:r>
      <w:r w:rsidR="00DB2CD4">
        <w:rPr>
          <w:lang w:val="nl-NL"/>
        </w:rPr>
        <w:t xml:space="preserve">er aan </w:t>
      </w:r>
      <w:r w:rsidRPr="00934971" w:rsidR="00934971">
        <w:rPr>
          <w:lang w:val="nl-NL"/>
        </w:rPr>
        <w:t>in de weg</w:t>
      </w:r>
      <w:r>
        <w:rPr>
          <w:lang w:val="nl-NL"/>
        </w:rPr>
        <w:t xml:space="preserve"> staat</w:t>
      </w:r>
      <w:r w:rsidRPr="00934971" w:rsidR="00934971">
        <w:rPr>
          <w:lang w:val="nl-NL"/>
        </w:rPr>
        <w:t xml:space="preserve"> dat een beroep wordt gedaan op de</w:t>
      </w:r>
      <w:r w:rsidR="009141F4">
        <w:rPr>
          <w:lang w:val="nl-NL"/>
        </w:rPr>
        <w:t xml:space="preserve"> </w:t>
      </w:r>
      <w:r w:rsidRPr="00934971" w:rsidR="00934971">
        <w:rPr>
          <w:lang w:val="nl-NL"/>
        </w:rPr>
        <w:t xml:space="preserve">wijzen van </w:t>
      </w:r>
      <w:r w:rsidR="00D71DCB">
        <w:rPr>
          <w:lang w:val="nl-NL"/>
        </w:rPr>
        <w:t xml:space="preserve">vreedzame </w:t>
      </w:r>
      <w:r w:rsidR="009141F4">
        <w:rPr>
          <w:lang w:val="nl-NL"/>
        </w:rPr>
        <w:t>g</w:t>
      </w:r>
      <w:r w:rsidRPr="00934971" w:rsidR="00934971">
        <w:rPr>
          <w:lang w:val="nl-NL"/>
        </w:rPr>
        <w:t>eschillenbeslechting die zijn bedoeld in artikel 33, lid 1, van het Handvest</w:t>
      </w:r>
      <w:r w:rsidR="009141F4">
        <w:rPr>
          <w:lang w:val="nl-NL"/>
        </w:rPr>
        <w:t xml:space="preserve"> </w:t>
      </w:r>
      <w:r w:rsidRPr="00934971" w:rsidR="00934971">
        <w:rPr>
          <w:lang w:val="nl-NL"/>
        </w:rPr>
        <w:t>van de Verenigde Naties</w:t>
      </w:r>
      <w:r w:rsidR="00F01A12">
        <w:rPr>
          <w:lang w:val="nl-NL"/>
        </w:rPr>
        <w:t xml:space="preserve">. Met andere woorden, het </w:t>
      </w:r>
      <w:r w:rsidRPr="00F01A12" w:rsidR="00F01A12">
        <w:rPr>
          <w:lang w:val="nl-NL"/>
        </w:rPr>
        <w:t>geschillenbeslechtingsmechanisme</w:t>
      </w:r>
      <w:r w:rsidR="00F01A12">
        <w:rPr>
          <w:lang w:val="nl-NL"/>
        </w:rPr>
        <w:t xml:space="preserve"> in dit Verdrag laat dat van het VN Handvest ongemoeid.</w:t>
      </w:r>
      <w:r w:rsidRPr="00934971" w:rsidR="00934971">
        <w:rPr>
          <w:lang w:val="nl-NL"/>
        </w:rPr>
        <w:t xml:space="preserve"> </w:t>
      </w:r>
      <w:r w:rsidR="00AF008D">
        <w:rPr>
          <w:lang w:val="nl-NL"/>
        </w:rPr>
        <w:t xml:space="preserve">Volgens </w:t>
      </w:r>
      <w:r w:rsidR="00F01A12">
        <w:rPr>
          <w:lang w:val="nl-NL"/>
        </w:rPr>
        <w:t>artikel 33, lid 1 van het Handvest</w:t>
      </w:r>
      <w:r w:rsidR="00AF008D">
        <w:rPr>
          <w:lang w:val="nl-NL"/>
        </w:rPr>
        <w:t xml:space="preserve"> wordt de oplossing van een geschil </w:t>
      </w:r>
      <w:r w:rsidRPr="00D71DCB" w:rsidR="00D71DCB">
        <w:rPr>
          <w:lang w:val="nl-NL"/>
        </w:rPr>
        <w:t xml:space="preserve">waarvan het voortbestaan de handhaving van de internationale vrede en veiligheid in gevaar dreigt te brengen </w:t>
      </w:r>
      <w:r w:rsidR="00AF008D">
        <w:rPr>
          <w:lang w:val="nl-NL"/>
        </w:rPr>
        <w:t xml:space="preserve">eerst gezocht in </w:t>
      </w:r>
      <w:r w:rsidRPr="00975D88" w:rsidR="00975D88">
        <w:rPr>
          <w:lang w:val="nl-NL"/>
        </w:rPr>
        <w:t>onderhandelingen, feitenonderzoek, bemiddeling, conciliatie, arbitrage, een rechterlijke beslissing, het doen van een beroep op regionale organen of akkoorden, of andere vreedzame middelen naar hun eigen keuze.</w:t>
      </w:r>
    </w:p>
    <w:p w:rsidRPr="00934971" w:rsidR="00042695" w:rsidRDefault="00042695" w14:paraId="47EC5562" w14:textId="70947C6E">
      <w:pPr>
        <w:jc w:val="both"/>
        <w:rPr>
          <w:lang w:val="nl-NL"/>
        </w:rPr>
      </w:pPr>
    </w:p>
    <w:p w:rsidR="00934971" w:rsidRDefault="00934971" w14:paraId="67EB8E2C" w14:textId="608DC89B">
      <w:pPr>
        <w:jc w:val="both"/>
        <w:rPr>
          <w:lang w:val="nl-NL"/>
        </w:rPr>
      </w:pPr>
      <w:r w:rsidRPr="00934971">
        <w:rPr>
          <w:lang w:val="nl-NL"/>
        </w:rPr>
        <w:t>HOOFDSTUK V Algemene bepaling</w:t>
      </w:r>
      <w:r w:rsidR="00C46AF4">
        <w:rPr>
          <w:lang w:val="nl-NL"/>
        </w:rPr>
        <w:t>en</w:t>
      </w:r>
    </w:p>
    <w:p w:rsidRPr="00934971" w:rsidR="00042695" w:rsidRDefault="00042695" w14:paraId="13302BCF" w14:textId="77777777">
      <w:pPr>
        <w:jc w:val="both"/>
        <w:rPr>
          <w:lang w:val="nl-NL"/>
        </w:rPr>
      </w:pPr>
    </w:p>
    <w:p w:rsidR="00490E36" w:rsidRDefault="00490E36" w14:paraId="6F3429AD" w14:textId="4B2335C0">
      <w:pPr>
        <w:jc w:val="both"/>
        <w:rPr>
          <w:lang w:val="nl-NL"/>
        </w:rPr>
      </w:pPr>
      <w:r>
        <w:rPr>
          <w:lang w:val="nl-NL"/>
        </w:rPr>
        <w:t xml:space="preserve">Dit hoofdstuk bestaat uit </w:t>
      </w:r>
      <w:r w:rsidR="00C46AF4">
        <w:rPr>
          <w:lang w:val="nl-NL"/>
        </w:rPr>
        <w:t>drie</w:t>
      </w:r>
      <w:r>
        <w:rPr>
          <w:lang w:val="nl-NL"/>
        </w:rPr>
        <w:t xml:space="preserve"> artikelen en deze bevatten de gebruikelijke slotbepalingen voor verdragen</w:t>
      </w:r>
      <w:r w:rsidR="00C46AF4">
        <w:rPr>
          <w:lang w:val="nl-NL"/>
        </w:rPr>
        <w:t xml:space="preserve"> over de ondertekenende partijen, de talen en de inwerkingtreding</w:t>
      </w:r>
      <w:r>
        <w:rPr>
          <w:lang w:val="nl-NL"/>
        </w:rPr>
        <w:t>.</w:t>
      </w:r>
    </w:p>
    <w:p w:rsidR="00934971" w:rsidRDefault="00934971" w14:paraId="62314DEC" w14:textId="73A0D834">
      <w:pPr>
        <w:jc w:val="both"/>
        <w:rPr>
          <w:lang w:val="nl-NL"/>
        </w:rPr>
      </w:pPr>
      <w:r w:rsidRPr="00934971">
        <w:rPr>
          <w:lang w:val="nl-NL"/>
        </w:rPr>
        <w:t>Artikel 18</w:t>
      </w:r>
      <w:r w:rsidR="009141F4">
        <w:rPr>
          <w:lang w:val="nl-NL"/>
        </w:rPr>
        <w:t xml:space="preserve"> is gewijzigd door d</w:t>
      </w:r>
      <w:r w:rsidR="00C46AF4">
        <w:rPr>
          <w:lang w:val="nl-NL"/>
        </w:rPr>
        <w:t>ri</w:t>
      </w:r>
      <w:r w:rsidR="009141F4">
        <w:rPr>
          <w:lang w:val="nl-NL"/>
        </w:rPr>
        <w:t xml:space="preserve">e wijzigingsprotocollen </w:t>
      </w:r>
      <w:r w:rsidR="00490E36">
        <w:rPr>
          <w:lang w:val="nl-NL"/>
        </w:rPr>
        <w:t xml:space="preserve">voor wat betreft toetreding, </w:t>
      </w:r>
      <w:r w:rsidR="002301B9">
        <w:rPr>
          <w:lang w:val="nl-NL"/>
        </w:rPr>
        <w:t>in</w:t>
      </w:r>
      <w:r w:rsidR="008F4155">
        <w:rPr>
          <w:lang w:val="nl-NL"/>
        </w:rPr>
        <w:t>stemming</w:t>
      </w:r>
      <w:r w:rsidR="00490E36">
        <w:rPr>
          <w:lang w:val="nl-NL"/>
        </w:rPr>
        <w:t xml:space="preserve"> van Zuidoost-Aziatische </w:t>
      </w:r>
      <w:r w:rsidR="00706FD4">
        <w:rPr>
          <w:lang w:val="nl-NL"/>
        </w:rPr>
        <w:t>s</w:t>
      </w:r>
      <w:r w:rsidR="00490E36">
        <w:rPr>
          <w:lang w:val="nl-NL"/>
        </w:rPr>
        <w:t>taten en toetreding van internationale organisaties</w:t>
      </w:r>
      <w:r w:rsidR="00C46AF4">
        <w:rPr>
          <w:lang w:val="nl-NL"/>
        </w:rPr>
        <w:t>. Het</w:t>
      </w:r>
      <w:r w:rsidR="009141F4">
        <w:rPr>
          <w:lang w:val="nl-NL"/>
        </w:rPr>
        <w:t xml:space="preserve"> legt </w:t>
      </w:r>
      <w:r w:rsidR="00C46AF4">
        <w:rPr>
          <w:lang w:val="nl-NL"/>
        </w:rPr>
        <w:t xml:space="preserve">onder meer </w:t>
      </w:r>
      <w:r w:rsidR="009141F4">
        <w:rPr>
          <w:lang w:val="nl-NL"/>
        </w:rPr>
        <w:t xml:space="preserve">vast dat het </w:t>
      </w:r>
      <w:r w:rsidR="00F803FC">
        <w:rPr>
          <w:lang w:val="nl-NL"/>
        </w:rPr>
        <w:t xml:space="preserve">Verdrag </w:t>
      </w:r>
      <w:r w:rsidR="009141F4">
        <w:rPr>
          <w:lang w:val="nl-NL"/>
        </w:rPr>
        <w:t>eveneens open s</w:t>
      </w:r>
      <w:r w:rsidRPr="00934971">
        <w:rPr>
          <w:lang w:val="nl-NL"/>
        </w:rPr>
        <w:t xml:space="preserve">taat voor toetreding door </w:t>
      </w:r>
      <w:r w:rsidR="009141F4">
        <w:rPr>
          <w:lang w:val="nl-NL"/>
        </w:rPr>
        <w:t>l</w:t>
      </w:r>
      <w:r w:rsidRPr="009141F4" w:rsidR="009141F4">
        <w:rPr>
          <w:lang w:val="nl-NL"/>
        </w:rPr>
        <w:t>anden b</w:t>
      </w:r>
      <w:r w:rsidR="009141F4">
        <w:rPr>
          <w:lang w:val="nl-NL"/>
        </w:rPr>
        <w:t>ú</w:t>
      </w:r>
      <w:r w:rsidRPr="009141F4" w:rsidR="009141F4">
        <w:rPr>
          <w:lang w:val="nl-NL"/>
        </w:rPr>
        <w:t xml:space="preserve">iten Zuidoost-Azië </w:t>
      </w:r>
      <w:r w:rsidR="009141F4">
        <w:rPr>
          <w:lang w:val="nl-NL"/>
        </w:rPr>
        <w:t>en door regionale organisaties,</w:t>
      </w:r>
      <w:r w:rsidRPr="009141F4" w:rsidR="009141F4">
        <w:rPr>
          <w:lang w:val="nl-NL"/>
        </w:rPr>
        <w:t xml:space="preserve"> mits </w:t>
      </w:r>
      <w:r w:rsidR="002301B9">
        <w:rPr>
          <w:lang w:val="nl-NL"/>
        </w:rPr>
        <w:t>in</w:t>
      </w:r>
      <w:r w:rsidRPr="009141F4" w:rsidR="009141F4">
        <w:rPr>
          <w:lang w:val="nl-NL"/>
        </w:rPr>
        <w:t>stemming</w:t>
      </w:r>
      <w:r w:rsidR="009141F4">
        <w:rPr>
          <w:lang w:val="nl-NL"/>
        </w:rPr>
        <w:t xml:space="preserve"> </w:t>
      </w:r>
      <w:r w:rsidR="00AF1832">
        <w:rPr>
          <w:lang w:val="nl-NL"/>
        </w:rPr>
        <w:t>wordt verkregen van á</w:t>
      </w:r>
      <w:r w:rsidRPr="009141F4" w:rsidR="009141F4">
        <w:rPr>
          <w:lang w:val="nl-NL"/>
        </w:rPr>
        <w:t>lle landen</w:t>
      </w:r>
      <w:r w:rsidR="009141F4">
        <w:rPr>
          <w:lang w:val="nl-NL"/>
        </w:rPr>
        <w:t xml:space="preserve"> in Zuidoost-Azië.</w:t>
      </w:r>
    </w:p>
    <w:p w:rsidR="00DA45F8" w:rsidRDefault="00DA45F8" w14:paraId="607D5C1C" w14:textId="77777777">
      <w:pPr>
        <w:jc w:val="both"/>
        <w:rPr>
          <w:lang w:val="nl-NL"/>
        </w:rPr>
      </w:pPr>
    </w:p>
    <w:p w:rsidR="00A55845" w:rsidRDefault="00A55845" w14:paraId="5D07E03F" w14:textId="1CD90DA5">
      <w:pPr>
        <w:jc w:val="both"/>
        <w:rPr>
          <w:lang w:val="nl-NL"/>
        </w:rPr>
      </w:pPr>
    </w:p>
    <w:p w:rsidRPr="00A55845" w:rsidR="00A55845" w:rsidRDefault="00A55845" w14:paraId="4DED407E" w14:textId="708FD53E">
      <w:pPr>
        <w:pStyle w:val="Lijstalinea"/>
        <w:numPr>
          <w:ilvl w:val="0"/>
          <w:numId w:val="6"/>
        </w:numPr>
        <w:rPr>
          <w:b/>
          <w:lang w:val="nl-NL"/>
        </w:rPr>
      </w:pPr>
      <w:r w:rsidRPr="00A55845">
        <w:rPr>
          <w:b/>
          <w:lang w:val="nl-NL"/>
        </w:rPr>
        <w:t>Financi</w:t>
      </w:r>
      <w:r w:rsidR="00D25603">
        <w:rPr>
          <w:b/>
          <w:lang w:val="nl-NL"/>
        </w:rPr>
        <w:t>ë</w:t>
      </w:r>
      <w:r w:rsidRPr="00A55845">
        <w:rPr>
          <w:b/>
          <w:lang w:val="nl-NL"/>
        </w:rPr>
        <w:t>le consequenties</w:t>
      </w:r>
    </w:p>
    <w:p w:rsidR="00DA45F8" w:rsidP="00AD603C" w:rsidRDefault="00DA45F8" w14:paraId="091976ED" w14:textId="77777777">
      <w:pPr>
        <w:jc w:val="both"/>
        <w:rPr>
          <w:lang w:val="nl-NL"/>
        </w:rPr>
      </w:pPr>
    </w:p>
    <w:p w:rsidRPr="00A55845" w:rsidR="00A55845" w:rsidP="00AD603C" w:rsidRDefault="00A55845" w14:paraId="477D0001" w14:textId="161A143F">
      <w:pPr>
        <w:jc w:val="both"/>
        <w:rPr>
          <w:lang w:val="nl-NL"/>
        </w:rPr>
      </w:pPr>
      <w:r>
        <w:rPr>
          <w:lang w:val="nl-NL"/>
        </w:rPr>
        <w:t xml:space="preserve">Toetreding tot het Verdrag </w:t>
      </w:r>
      <w:r w:rsidR="00D25603">
        <w:rPr>
          <w:lang w:val="nl-NL"/>
        </w:rPr>
        <w:t xml:space="preserve">leidt niet tot </w:t>
      </w:r>
      <w:r>
        <w:rPr>
          <w:lang w:val="nl-NL"/>
        </w:rPr>
        <w:t>financië</w:t>
      </w:r>
      <w:r w:rsidRPr="00A55845">
        <w:rPr>
          <w:lang w:val="nl-NL"/>
        </w:rPr>
        <w:t xml:space="preserve">le </w:t>
      </w:r>
      <w:r w:rsidR="00D25603">
        <w:rPr>
          <w:lang w:val="nl-NL"/>
        </w:rPr>
        <w:t>verplichtingen</w:t>
      </w:r>
      <w:r>
        <w:rPr>
          <w:lang w:val="nl-NL"/>
        </w:rPr>
        <w:t>.</w:t>
      </w:r>
    </w:p>
    <w:p w:rsidRPr="00934971" w:rsidR="00CD36FE" w:rsidP="00EE7748" w:rsidRDefault="00CD36FE" w14:paraId="3B5F2946" w14:textId="794226C2">
      <w:pPr>
        <w:jc w:val="both"/>
        <w:rPr>
          <w:lang w:val="nl-NL"/>
        </w:rPr>
      </w:pPr>
    </w:p>
    <w:p w:rsidRPr="009E4C64" w:rsidR="00927828" w:rsidP="00EF60F9" w:rsidRDefault="00927828" w14:paraId="27EDA44F" w14:textId="77777777">
      <w:pPr>
        <w:jc w:val="both"/>
        <w:rPr>
          <w:lang w:val="nl-NL"/>
        </w:rPr>
      </w:pPr>
    </w:p>
    <w:p w:rsidR="00631AF6" w:rsidP="00EF60F9" w:rsidRDefault="00631AF6" w14:paraId="2744DFDE" w14:textId="19B21F79">
      <w:pPr>
        <w:pStyle w:val="Lijstalinea"/>
        <w:numPr>
          <w:ilvl w:val="0"/>
          <w:numId w:val="6"/>
        </w:numPr>
        <w:rPr>
          <w:b/>
          <w:lang w:val="nl-NL"/>
        </w:rPr>
      </w:pPr>
      <w:r w:rsidRPr="00712727">
        <w:rPr>
          <w:b/>
          <w:lang w:val="nl-NL"/>
        </w:rPr>
        <w:t>Een ieder verbindende bepalingen</w:t>
      </w:r>
    </w:p>
    <w:p w:rsidRPr="00712727" w:rsidR="00927828" w:rsidP="00642C90" w:rsidRDefault="00927828" w14:paraId="616E3175" w14:textId="77777777">
      <w:pPr>
        <w:pStyle w:val="Lijstalinea"/>
        <w:ind w:left="1690" w:firstLine="0"/>
        <w:rPr>
          <w:b/>
          <w:lang w:val="nl-NL"/>
        </w:rPr>
      </w:pPr>
    </w:p>
    <w:p w:rsidR="002C22F9" w:rsidRDefault="006E231C" w14:paraId="00FACB31" w14:textId="60FE3DFA">
      <w:pPr>
        <w:jc w:val="both"/>
        <w:rPr>
          <w:lang w:val="nl-NL"/>
        </w:rPr>
      </w:pPr>
      <w:r w:rsidRPr="006E231C">
        <w:rPr>
          <w:lang w:val="nl-NL"/>
        </w:rPr>
        <w:t>Naar het oor</w:t>
      </w:r>
      <w:r w:rsidR="003F7DF5">
        <w:rPr>
          <w:lang w:val="nl-NL"/>
        </w:rPr>
        <w:t>deel van de regering bevat het V</w:t>
      </w:r>
      <w:r w:rsidRPr="006E231C">
        <w:rPr>
          <w:lang w:val="nl-NL"/>
        </w:rPr>
        <w:t>erdrag geen een ieder verbindende bepalingen in de zin van de artikelen 93 en 94 van de Grondwet, die binnen de Nederlandse rechtsorde aan natuurlijke personen of rechtspersonen rechtstreeks rechten of bevoegdheden toekennen of plichten opleggen.</w:t>
      </w:r>
      <w:r w:rsidR="008F0746">
        <w:rPr>
          <w:lang w:val="nl-NL"/>
        </w:rPr>
        <w:t xml:space="preserve"> </w:t>
      </w:r>
      <w:r w:rsidR="00C43574">
        <w:rPr>
          <w:lang w:val="nl-NL"/>
        </w:rPr>
        <w:t xml:space="preserve">Het Verdrag betreft immers samenwerking tussen </w:t>
      </w:r>
      <w:r w:rsidR="00706FD4">
        <w:rPr>
          <w:lang w:val="nl-NL"/>
        </w:rPr>
        <w:t>s</w:t>
      </w:r>
      <w:r w:rsidR="00C43574">
        <w:rPr>
          <w:lang w:val="nl-NL"/>
        </w:rPr>
        <w:t>taten.</w:t>
      </w:r>
    </w:p>
    <w:p w:rsidRPr="006E231C" w:rsidR="00927828" w:rsidRDefault="00927828" w14:paraId="1DF1E01A" w14:textId="77777777">
      <w:pPr>
        <w:jc w:val="both"/>
        <w:rPr>
          <w:lang w:val="nl-NL"/>
        </w:rPr>
      </w:pPr>
    </w:p>
    <w:p w:rsidRPr="006E231C" w:rsidR="006E231C" w:rsidRDefault="006E231C" w14:paraId="53A31171" w14:textId="7602EC34">
      <w:pPr>
        <w:jc w:val="both"/>
        <w:rPr>
          <w:lang w:val="nl-NL"/>
        </w:rPr>
      </w:pPr>
    </w:p>
    <w:p w:rsidR="00631AF6" w:rsidRDefault="00631AF6" w14:paraId="1A0542B3" w14:textId="17602FD9">
      <w:pPr>
        <w:pStyle w:val="Lijstalinea"/>
        <w:numPr>
          <w:ilvl w:val="0"/>
          <w:numId w:val="6"/>
        </w:numPr>
        <w:rPr>
          <w:b/>
          <w:lang w:val="nl-NL"/>
        </w:rPr>
      </w:pPr>
      <w:r w:rsidRPr="00712727">
        <w:rPr>
          <w:b/>
          <w:lang w:val="nl-NL"/>
        </w:rPr>
        <w:t>Koninkrijkspositie</w:t>
      </w:r>
    </w:p>
    <w:p w:rsidRPr="00712727" w:rsidR="00927828" w:rsidRDefault="00927828" w14:paraId="60185BDE" w14:textId="77777777">
      <w:pPr>
        <w:pStyle w:val="Lijstalinea"/>
        <w:ind w:left="1690" w:firstLine="0"/>
        <w:rPr>
          <w:b/>
          <w:lang w:val="nl-NL"/>
        </w:rPr>
      </w:pPr>
    </w:p>
    <w:p w:rsidR="00C95E39" w:rsidRDefault="00B47B12" w14:paraId="13C1E8B8" w14:textId="3464A6FD">
      <w:pPr>
        <w:jc w:val="both"/>
        <w:rPr>
          <w:lang w:val="nl-NL"/>
        </w:rPr>
      </w:pPr>
      <w:r>
        <w:rPr>
          <w:lang w:val="nl-NL"/>
        </w:rPr>
        <w:t xml:space="preserve">Gezien de aard van het vriendschapsverdrag wordt goedkeuring gevraagd </w:t>
      </w:r>
      <w:r w:rsidRPr="00682E6A" w:rsidR="00682E6A">
        <w:rPr>
          <w:lang w:val="nl-NL"/>
        </w:rPr>
        <w:t>voor het gehele Koninkrijk</w:t>
      </w:r>
      <w:r>
        <w:rPr>
          <w:lang w:val="nl-NL"/>
        </w:rPr>
        <w:t>.</w:t>
      </w:r>
      <w:r w:rsidR="00E86BBB">
        <w:rPr>
          <w:lang w:val="nl-NL"/>
        </w:rPr>
        <w:t xml:space="preserve"> </w:t>
      </w:r>
      <w:r w:rsidR="009B67E2">
        <w:rPr>
          <w:lang w:val="nl-NL"/>
        </w:rPr>
        <w:t>De regering</w:t>
      </w:r>
      <w:r w:rsidR="00661EA4">
        <w:rPr>
          <w:lang w:val="nl-NL"/>
        </w:rPr>
        <w:t>en</w:t>
      </w:r>
      <w:r w:rsidR="009B67E2">
        <w:rPr>
          <w:lang w:val="nl-NL"/>
        </w:rPr>
        <w:t xml:space="preserve"> </w:t>
      </w:r>
      <w:r w:rsidR="008425A1">
        <w:rPr>
          <w:lang w:val="nl-NL"/>
        </w:rPr>
        <w:t>van Curaçao</w:t>
      </w:r>
      <w:r w:rsidR="009C7CBE">
        <w:rPr>
          <w:lang w:val="nl-NL"/>
        </w:rPr>
        <w:t>,</w:t>
      </w:r>
      <w:r w:rsidR="00661EA4">
        <w:rPr>
          <w:lang w:val="nl-NL"/>
        </w:rPr>
        <w:t xml:space="preserve"> Aruba</w:t>
      </w:r>
      <w:r w:rsidR="009C7CBE">
        <w:rPr>
          <w:lang w:val="nl-NL"/>
        </w:rPr>
        <w:t xml:space="preserve"> en Sint Maarten</w:t>
      </w:r>
      <w:r w:rsidR="00661EA4">
        <w:rPr>
          <w:lang w:val="nl-NL"/>
        </w:rPr>
        <w:t xml:space="preserve"> hebben</w:t>
      </w:r>
      <w:r w:rsidR="008425A1">
        <w:rPr>
          <w:lang w:val="nl-NL"/>
        </w:rPr>
        <w:t xml:space="preserve"> aangegeven medegelding</w:t>
      </w:r>
      <w:r w:rsidR="009C7EB6">
        <w:rPr>
          <w:lang w:val="nl-NL"/>
        </w:rPr>
        <w:t xml:space="preserve"> te wensen. </w:t>
      </w:r>
    </w:p>
    <w:p w:rsidR="00C95E39" w:rsidRDefault="00C95E39" w14:paraId="20DBFC9E" w14:textId="1A621E3E">
      <w:pPr>
        <w:jc w:val="both"/>
        <w:rPr>
          <w:lang w:val="nl-NL"/>
        </w:rPr>
      </w:pPr>
    </w:p>
    <w:p w:rsidR="005F14F5" w:rsidRDefault="005F14F5" w14:paraId="412EEDF7" w14:textId="3A55CB90">
      <w:pPr>
        <w:jc w:val="both"/>
        <w:rPr>
          <w:lang w:val="nl-NL"/>
        </w:rPr>
      </w:pPr>
    </w:p>
    <w:p w:rsidR="005F14F5" w:rsidRDefault="005F14F5" w14:paraId="086F20CB" w14:textId="77777777">
      <w:pPr>
        <w:jc w:val="both"/>
        <w:rPr>
          <w:lang w:val="nl-NL"/>
        </w:rPr>
      </w:pPr>
    </w:p>
    <w:p w:rsidRPr="00B47B12" w:rsidR="00C95E39" w:rsidRDefault="00C95E39" w14:paraId="25D0C911" w14:textId="15134F75">
      <w:pPr>
        <w:jc w:val="both"/>
        <w:rPr>
          <w:lang w:val="nl-NL"/>
        </w:rPr>
      </w:pPr>
      <w:r>
        <w:rPr>
          <w:lang w:val="nl-NL"/>
        </w:rPr>
        <w:t>De Minister van Buitenlandse Zaken,</w:t>
      </w:r>
    </w:p>
    <w:sectPr w:rsidRPr="00B47B12" w:rsidR="00C95E39" w:rsidSect="00D95194">
      <w:footerReference w:type="default" r:id="rId12"/>
      <w:type w:val="continuous"/>
      <w:pgSz w:w="11910" w:h="16840"/>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8C368" w14:textId="77777777" w:rsidR="008E0B2B" w:rsidRDefault="008E0B2B">
      <w:r>
        <w:separator/>
      </w:r>
    </w:p>
  </w:endnote>
  <w:endnote w:type="continuationSeparator" w:id="0">
    <w:p w14:paraId="3B123DE9" w14:textId="77777777" w:rsidR="008E0B2B" w:rsidRDefault="008E0B2B">
      <w:r>
        <w:continuationSeparator/>
      </w:r>
    </w:p>
  </w:endnote>
  <w:endnote w:type="continuationNotice" w:id="1">
    <w:p w14:paraId="6C237447" w14:textId="77777777" w:rsidR="008E0B2B" w:rsidRDefault="008E0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9B78" w14:textId="010D1C24" w:rsidR="00B756AF" w:rsidRDefault="005E2DAB">
    <w:pPr>
      <w:pStyle w:val="Plattetekst"/>
      <w:spacing w:line="14" w:lineRule="auto"/>
      <w:rPr>
        <w:sz w:val="20"/>
      </w:rPr>
    </w:pPr>
    <w:r>
      <w:rPr>
        <w:noProof/>
        <w:lang w:val="nl-NL" w:eastAsia="nl-NL"/>
      </w:rPr>
      <mc:AlternateContent>
        <mc:Choice Requires="wps">
          <w:drawing>
            <wp:anchor distT="0" distB="0" distL="114300" distR="114300" simplePos="0" relativeHeight="251658240" behindDoc="1" locked="0" layoutInCell="1" allowOverlap="1" wp14:anchorId="4C0A9B79" wp14:editId="3968B5A4">
              <wp:simplePos x="0" y="0"/>
              <wp:positionH relativeFrom="page">
                <wp:posOffset>347980</wp:posOffset>
              </wp:positionH>
              <wp:positionV relativeFrom="page">
                <wp:posOffset>9888855</wp:posOffset>
              </wp:positionV>
              <wp:extent cx="431800" cy="366395"/>
              <wp:effectExtent l="0" t="1905"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A9B7C" w14:textId="4CA9F688" w:rsidR="00B756AF" w:rsidRDefault="00B756AF">
                          <w:pPr>
                            <w:spacing w:before="4"/>
                            <w:ind w:left="20"/>
                            <w:rPr>
                              <w:rFonts w:ascii="Arial"/>
                              <w:b/>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A9B79" id="_x0000_t202" coordsize="21600,21600" o:spt="202" path="m,l,21600r21600,l21600,xe">
              <v:stroke joinstyle="miter"/>
              <v:path gradientshapeok="t" o:connecttype="rect"/>
            </v:shapetype>
            <v:shape id="Text Box 3" o:spid="_x0000_s1026" type="#_x0000_t202" style="position:absolute;margin-left:27.4pt;margin-top:778.65pt;width:34pt;height:2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9drQIAAKgFAAAOAAAAZHJzL2Uyb0RvYy54bWysVG1vmzAQ/j5p/8HydwokhAZ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" filled="f" stroked="f">
              <v:textbox inset="0,0,0,0">
                <w:txbxContent>
                  <w:p w14:paraId="4C0A9B7C" w14:textId="4CA9F688" w:rsidR="00B756AF" w:rsidRDefault="00B756AF">
                    <w:pPr>
                      <w:spacing w:before="4"/>
                      <w:ind w:left="20"/>
                      <w:rPr>
                        <w:rFonts w:ascii="Arial"/>
                        <w:b/>
                        <w:sz w:val="48"/>
                      </w:rPr>
                    </w:pP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58241" behindDoc="1" locked="0" layoutInCell="1" allowOverlap="1" wp14:anchorId="4C0A9B7A" wp14:editId="231B3438">
              <wp:simplePos x="0" y="0"/>
              <wp:positionH relativeFrom="page">
                <wp:posOffset>6781165</wp:posOffset>
              </wp:positionH>
              <wp:positionV relativeFrom="page">
                <wp:posOffset>9888855</wp:posOffset>
              </wp:positionV>
              <wp:extent cx="431800" cy="366395"/>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A9B7D" w14:textId="0167DAC3" w:rsidR="00B756AF" w:rsidRDefault="00B756AF">
                          <w:pPr>
                            <w:spacing w:before="4"/>
                            <w:ind w:left="20"/>
                            <w:rPr>
                              <w:rFonts w:ascii="Arial"/>
                              <w:b/>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9B7A" id="Text Box 2" o:spid="_x0000_s1027" type="#_x0000_t202" style="position:absolute;margin-left:533.95pt;margin-top:778.65pt;width:34pt;height:28.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22sAIAAK8FAAAOAAAAZHJzL2Uyb0RvYy54bWysVG1vmzAQ/j5p/8Hyd8JLCA2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" filled="f" stroked="f">
              <v:textbox inset="0,0,0,0">
                <w:txbxContent>
                  <w:p w14:paraId="4C0A9B7D" w14:textId="0167DAC3" w:rsidR="00B756AF" w:rsidRDefault="00B756AF">
                    <w:pPr>
                      <w:spacing w:before="4"/>
                      <w:ind w:left="20"/>
                      <w:rPr>
                        <w:rFonts w:ascii="Arial"/>
                        <w:b/>
                        <w:sz w:val="48"/>
                      </w:rPr>
                    </w:pP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58242" behindDoc="1" locked="0" layoutInCell="1" allowOverlap="1" wp14:anchorId="4C0A9B7B" wp14:editId="666CCC43">
              <wp:simplePos x="0" y="0"/>
              <wp:positionH relativeFrom="page">
                <wp:posOffset>3677920</wp:posOffset>
              </wp:positionH>
              <wp:positionV relativeFrom="page">
                <wp:posOffset>10028555</wp:posOffset>
              </wp:positionV>
              <wp:extent cx="203200" cy="19431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A9B7E" w14:textId="5CCD0965" w:rsidR="00B756AF" w:rsidRDefault="00B756AF">
                          <w:pPr>
                            <w:pStyle w:val="Plattetekst"/>
                            <w:spacing w:before="10"/>
                            <w:ind w:left="40"/>
                          </w:pPr>
                          <w:r>
                            <w:fldChar w:fldCharType="begin"/>
                          </w:r>
                          <w:r>
                            <w:instrText xml:space="preserve"> PAGE </w:instrText>
                          </w:r>
                          <w:r>
                            <w:fldChar w:fldCharType="separate"/>
                          </w:r>
                          <w:r w:rsidR="00D9519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A9B7B" id="_x0000_t202" coordsize="21600,21600" o:spt="202" path="m,l,21600r21600,l21600,xe">
              <v:stroke joinstyle="miter"/>
              <v:path gradientshapeok="t" o:connecttype="rect"/>
            </v:shapetype>
            <v:shape id="Text Box 1" o:spid="_x0000_s1028" type="#_x0000_t202" style="position:absolute;margin-left:289.6pt;margin-top:789.65pt;width:16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GC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" filled="f" stroked="f">
              <v:textbox inset="0,0,0,0">
                <w:txbxContent>
                  <w:p w14:paraId="4C0A9B7E" w14:textId="5CCD0965" w:rsidR="00B756AF" w:rsidRDefault="00B756AF">
                    <w:pPr>
                      <w:pStyle w:val="Plattetekst"/>
                      <w:spacing w:before="10"/>
                      <w:ind w:left="40"/>
                    </w:pPr>
                    <w:r>
                      <w:fldChar w:fldCharType="begin"/>
                    </w:r>
                    <w:r>
                      <w:instrText xml:space="preserve"> PAGE </w:instrText>
                    </w:r>
                    <w:r>
                      <w:fldChar w:fldCharType="separate"/>
                    </w:r>
                    <w:r w:rsidR="00D9519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19D4" w14:textId="77777777" w:rsidR="008E0B2B" w:rsidRDefault="008E0B2B">
      <w:r>
        <w:separator/>
      </w:r>
    </w:p>
  </w:footnote>
  <w:footnote w:type="continuationSeparator" w:id="0">
    <w:p w14:paraId="689F065D" w14:textId="77777777" w:rsidR="008E0B2B" w:rsidRDefault="008E0B2B">
      <w:r>
        <w:continuationSeparator/>
      </w:r>
    </w:p>
  </w:footnote>
  <w:footnote w:type="continuationNotice" w:id="1">
    <w:p w14:paraId="79662897" w14:textId="77777777" w:rsidR="008E0B2B" w:rsidRDefault="008E0B2B"/>
  </w:footnote>
  <w:footnote w:id="2">
    <w:p w14:paraId="1F7F6289" w14:textId="0B3BF8C2" w:rsidR="00B756AF" w:rsidRPr="00DB54E2" w:rsidRDefault="00B756AF">
      <w:pPr>
        <w:pStyle w:val="Voetnoottekst"/>
        <w:rPr>
          <w:lang w:val="nl-NL"/>
        </w:rPr>
      </w:pPr>
      <w:r>
        <w:rPr>
          <w:rStyle w:val="Voetnootmarkering"/>
        </w:rPr>
        <w:footnoteRef/>
      </w:r>
      <w:r w:rsidRPr="00DB54E2">
        <w:rPr>
          <w:lang w:val="nl-NL"/>
        </w:rPr>
        <w:t xml:space="preserve"> Zie Besluit 2012/308/GBVB van de Raad van </w:t>
      </w:r>
      <w:r>
        <w:rPr>
          <w:lang w:val="nl-NL"/>
        </w:rPr>
        <w:t>26 april 2012 betreffende de toetreding van de Europese Unie tot het Verdrag van vriendschap en samenwerking in Zuidoost-Azië, Publicatieblad van de Europese Unie L 154 van 15.6.2012, p. 1-10</w:t>
      </w:r>
    </w:p>
  </w:footnote>
  <w:footnote w:id="3">
    <w:p w14:paraId="3C6BE532" w14:textId="20346152" w:rsidR="00B756AF" w:rsidRDefault="00B756AF" w:rsidP="0041163F">
      <w:pPr>
        <w:pStyle w:val="Voetnoottekst"/>
        <w:rPr>
          <w:lang w:val="nl-NL"/>
        </w:rPr>
      </w:pPr>
      <w:r>
        <w:rPr>
          <w:rStyle w:val="Voetnootmarkering"/>
        </w:rPr>
        <w:footnoteRef/>
      </w:r>
      <w:r>
        <w:rPr>
          <w:lang w:val="nl-NL"/>
        </w:rPr>
        <w:t xml:space="preserve"> Zie s</w:t>
      </w:r>
      <w:r w:rsidRPr="0041163F">
        <w:rPr>
          <w:lang w:val="nl-NL"/>
        </w:rPr>
        <w:t xml:space="preserve">lotcommuniqué over de principes die </w:t>
      </w:r>
      <w:r>
        <w:rPr>
          <w:lang w:val="nl-NL"/>
        </w:rPr>
        <w:t xml:space="preserve">zijn aangenomen </w:t>
      </w:r>
      <w:r w:rsidRPr="0041163F">
        <w:rPr>
          <w:lang w:val="nl-NL"/>
        </w:rPr>
        <w:t xml:space="preserve">door de delegaties van de negenentwintig landen in Afrika en Azië </w:t>
      </w:r>
      <w:r>
        <w:rPr>
          <w:lang w:val="nl-NL"/>
        </w:rPr>
        <w:t xml:space="preserve">die bijeen </w:t>
      </w:r>
      <w:r w:rsidRPr="0041163F">
        <w:rPr>
          <w:lang w:val="nl-NL"/>
        </w:rPr>
        <w:t>kwamen op de internationale conferentie in Bandung (Indonesië)</w:t>
      </w:r>
      <w:r>
        <w:rPr>
          <w:lang w:val="nl-NL"/>
        </w:rPr>
        <w:t xml:space="preserve">: </w:t>
      </w:r>
      <w:hyperlink r:id="rId1" w:history="1">
        <w:r w:rsidR="00152BE9" w:rsidRPr="005063F0">
          <w:rPr>
            <w:rStyle w:val="Hyperlink"/>
            <w:lang w:val="nl-NL"/>
          </w:rPr>
          <w:t>http://www.bandungspirit.org/IMG/pdf/Final_Communique_Bandung_1955.pdf</w:t>
        </w:r>
      </w:hyperlink>
    </w:p>
    <w:p w14:paraId="4C582927" w14:textId="77777777" w:rsidR="00B756AF" w:rsidRPr="0041163F" w:rsidRDefault="00B756AF" w:rsidP="0041163F">
      <w:pPr>
        <w:pStyle w:val="Voetnootteks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E8F"/>
    <w:multiLevelType w:val="hybridMultilevel"/>
    <w:tmpl w:val="73642A2E"/>
    <w:lvl w:ilvl="0" w:tplc="E65AD10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96F61"/>
    <w:multiLevelType w:val="hybridMultilevel"/>
    <w:tmpl w:val="38428A3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B13590"/>
    <w:multiLevelType w:val="hybridMultilevel"/>
    <w:tmpl w:val="1CA2C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3730F7"/>
    <w:multiLevelType w:val="hybridMultilevel"/>
    <w:tmpl w:val="5C0489C6"/>
    <w:lvl w:ilvl="0" w:tplc="0413000F">
      <w:start w:val="1"/>
      <w:numFmt w:val="decimal"/>
      <w:lvlText w:val="%1."/>
      <w:lvlJc w:val="left"/>
      <w:pPr>
        <w:ind w:left="1690" w:hanging="360"/>
      </w:pPr>
    </w:lvl>
    <w:lvl w:ilvl="1" w:tplc="04130019" w:tentative="1">
      <w:start w:val="1"/>
      <w:numFmt w:val="lowerLetter"/>
      <w:lvlText w:val="%2."/>
      <w:lvlJc w:val="left"/>
      <w:pPr>
        <w:ind w:left="2410" w:hanging="360"/>
      </w:pPr>
    </w:lvl>
    <w:lvl w:ilvl="2" w:tplc="0413001B" w:tentative="1">
      <w:start w:val="1"/>
      <w:numFmt w:val="lowerRoman"/>
      <w:lvlText w:val="%3."/>
      <w:lvlJc w:val="right"/>
      <w:pPr>
        <w:ind w:left="3130" w:hanging="180"/>
      </w:pPr>
    </w:lvl>
    <w:lvl w:ilvl="3" w:tplc="0413000F" w:tentative="1">
      <w:start w:val="1"/>
      <w:numFmt w:val="decimal"/>
      <w:lvlText w:val="%4."/>
      <w:lvlJc w:val="left"/>
      <w:pPr>
        <w:ind w:left="3850" w:hanging="360"/>
      </w:pPr>
    </w:lvl>
    <w:lvl w:ilvl="4" w:tplc="04130019" w:tentative="1">
      <w:start w:val="1"/>
      <w:numFmt w:val="lowerLetter"/>
      <w:lvlText w:val="%5."/>
      <w:lvlJc w:val="left"/>
      <w:pPr>
        <w:ind w:left="4570" w:hanging="360"/>
      </w:pPr>
    </w:lvl>
    <w:lvl w:ilvl="5" w:tplc="0413001B" w:tentative="1">
      <w:start w:val="1"/>
      <w:numFmt w:val="lowerRoman"/>
      <w:lvlText w:val="%6."/>
      <w:lvlJc w:val="right"/>
      <w:pPr>
        <w:ind w:left="5290" w:hanging="180"/>
      </w:pPr>
    </w:lvl>
    <w:lvl w:ilvl="6" w:tplc="0413000F" w:tentative="1">
      <w:start w:val="1"/>
      <w:numFmt w:val="decimal"/>
      <w:lvlText w:val="%7."/>
      <w:lvlJc w:val="left"/>
      <w:pPr>
        <w:ind w:left="6010" w:hanging="360"/>
      </w:pPr>
    </w:lvl>
    <w:lvl w:ilvl="7" w:tplc="04130019" w:tentative="1">
      <w:start w:val="1"/>
      <w:numFmt w:val="lowerLetter"/>
      <w:lvlText w:val="%8."/>
      <w:lvlJc w:val="left"/>
      <w:pPr>
        <w:ind w:left="6730" w:hanging="360"/>
      </w:pPr>
    </w:lvl>
    <w:lvl w:ilvl="8" w:tplc="0413001B" w:tentative="1">
      <w:start w:val="1"/>
      <w:numFmt w:val="lowerRoman"/>
      <w:lvlText w:val="%9."/>
      <w:lvlJc w:val="right"/>
      <w:pPr>
        <w:ind w:left="7450" w:hanging="180"/>
      </w:pPr>
    </w:lvl>
  </w:abstractNum>
  <w:abstractNum w:abstractNumId="4" w15:restartNumberingAfterBreak="0">
    <w:nsid w:val="3B7F2987"/>
    <w:multiLevelType w:val="multilevel"/>
    <w:tmpl w:val="53EC1C4A"/>
    <w:lvl w:ilvl="0">
      <w:start w:val="1"/>
      <w:numFmt w:val="decimal"/>
      <w:lvlText w:val="%1"/>
      <w:lvlJc w:val="left"/>
      <w:pPr>
        <w:ind w:left="4828" w:hanging="1440"/>
      </w:pPr>
      <w:rPr>
        <w:rFonts w:hint="default"/>
      </w:rPr>
    </w:lvl>
    <w:lvl w:ilvl="1">
      <w:start w:val="1"/>
      <w:numFmt w:val="decimal"/>
      <w:lvlText w:val="%1.%2"/>
      <w:lvlJc w:val="left"/>
      <w:pPr>
        <w:ind w:left="4828" w:hanging="1440"/>
      </w:pPr>
      <w:rPr>
        <w:rFonts w:hint="default"/>
      </w:rPr>
    </w:lvl>
    <w:lvl w:ilvl="2">
      <w:start w:val="1"/>
      <w:numFmt w:val="decimal"/>
      <w:lvlText w:val="%1.%2.%3"/>
      <w:lvlJc w:val="left"/>
      <w:pPr>
        <w:ind w:left="4828" w:hanging="1440"/>
      </w:pPr>
      <w:rPr>
        <w:rFonts w:hint="default"/>
      </w:rPr>
    </w:lvl>
    <w:lvl w:ilvl="3">
      <w:start w:val="1"/>
      <w:numFmt w:val="decimal"/>
      <w:lvlText w:val="%1.%2.%3.%4."/>
      <w:lvlJc w:val="left"/>
      <w:pPr>
        <w:ind w:left="4828" w:hanging="1440"/>
        <w:jc w:val="right"/>
      </w:pPr>
      <w:rPr>
        <w:rFonts w:ascii="Times New Roman" w:eastAsia="Times New Roman" w:hAnsi="Times New Roman" w:cs="Times New Roman" w:hint="default"/>
        <w:spacing w:val="-1"/>
        <w:w w:val="99"/>
        <w:sz w:val="24"/>
        <w:szCs w:val="24"/>
      </w:rPr>
    </w:lvl>
    <w:lvl w:ilvl="4">
      <w:numFmt w:val="bullet"/>
      <w:lvlText w:val="•"/>
      <w:lvlJc w:val="left"/>
      <w:pPr>
        <w:ind w:left="7285" w:hanging="1440"/>
      </w:pPr>
      <w:rPr>
        <w:rFonts w:hint="default"/>
      </w:rPr>
    </w:lvl>
    <w:lvl w:ilvl="5">
      <w:numFmt w:val="bullet"/>
      <w:lvlText w:val="•"/>
      <w:lvlJc w:val="left"/>
      <w:pPr>
        <w:ind w:left="7902" w:hanging="1440"/>
      </w:pPr>
      <w:rPr>
        <w:rFonts w:hint="default"/>
      </w:rPr>
    </w:lvl>
    <w:lvl w:ilvl="6">
      <w:numFmt w:val="bullet"/>
      <w:lvlText w:val="•"/>
      <w:lvlJc w:val="left"/>
      <w:pPr>
        <w:ind w:left="8518" w:hanging="1440"/>
      </w:pPr>
      <w:rPr>
        <w:rFonts w:hint="default"/>
      </w:rPr>
    </w:lvl>
    <w:lvl w:ilvl="7">
      <w:numFmt w:val="bullet"/>
      <w:lvlText w:val="•"/>
      <w:lvlJc w:val="left"/>
      <w:pPr>
        <w:ind w:left="9135" w:hanging="1440"/>
      </w:pPr>
      <w:rPr>
        <w:rFonts w:hint="default"/>
      </w:rPr>
    </w:lvl>
    <w:lvl w:ilvl="8">
      <w:numFmt w:val="bullet"/>
      <w:lvlText w:val="•"/>
      <w:lvlJc w:val="left"/>
      <w:pPr>
        <w:ind w:left="9751" w:hanging="1440"/>
      </w:pPr>
      <w:rPr>
        <w:rFonts w:hint="default"/>
      </w:rPr>
    </w:lvl>
  </w:abstractNum>
  <w:abstractNum w:abstractNumId="5" w15:restartNumberingAfterBreak="0">
    <w:nsid w:val="3D1C0DB3"/>
    <w:multiLevelType w:val="hybridMultilevel"/>
    <w:tmpl w:val="8B269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BD0522"/>
    <w:multiLevelType w:val="hybridMultilevel"/>
    <w:tmpl w:val="15D4CD76"/>
    <w:lvl w:ilvl="0" w:tplc="E5A45E5C">
      <w:start w:val="1"/>
      <w:numFmt w:val="lowerLetter"/>
      <w:lvlText w:val="%1."/>
      <w:lvlJc w:val="left"/>
      <w:pPr>
        <w:ind w:left="957" w:hanging="326"/>
      </w:pPr>
      <w:rPr>
        <w:rFonts w:ascii="Times New Roman" w:eastAsia="Times New Roman" w:hAnsi="Times New Roman" w:cs="Times New Roman" w:hint="default"/>
        <w:spacing w:val="-21"/>
        <w:w w:val="99"/>
        <w:sz w:val="24"/>
        <w:szCs w:val="24"/>
      </w:rPr>
    </w:lvl>
    <w:lvl w:ilvl="1" w:tplc="7126333A">
      <w:numFmt w:val="bullet"/>
      <w:lvlText w:val="•"/>
      <w:lvlJc w:val="left"/>
      <w:pPr>
        <w:ind w:left="1962" w:hanging="326"/>
      </w:pPr>
      <w:rPr>
        <w:rFonts w:hint="default"/>
      </w:rPr>
    </w:lvl>
    <w:lvl w:ilvl="2" w:tplc="9A60D610">
      <w:numFmt w:val="bullet"/>
      <w:lvlText w:val="•"/>
      <w:lvlJc w:val="left"/>
      <w:pPr>
        <w:ind w:left="2964" w:hanging="326"/>
      </w:pPr>
      <w:rPr>
        <w:rFonts w:hint="default"/>
      </w:rPr>
    </w:lvl>
    <w:lvl w:ilvl="3" w:tplc="A608EF5A">
      <w:numFmt w:val="bullet"/>
      <w:lvlText w:val="•"/>
      <w:lvlJc w:val="left"/>
      <w:pPr>
        <w:ind w:left="3967" w:hanging="326"/>
      </w:pPr>
      <w:rPr>
        <w:rFonts w:hint="default"/>
      </w:rPr>
    </w:lvl>
    <w:lvl w:ilvl="4" w:tplc="F6D01B20">
      <w:numFmt w:val="bullet"/>
      <w:lvlText w:val="•"/>
      <w:lvlJc w:val="left"/>
      <w:pPr>
        <w:ind w:left="4969" w:hanging="326"/>
      </w:pPr>
      <w:rPr>
        <w:rFonts w:hint="default"/>
      </w:rPr>
    </w:lvl>
    <w:lvl w:ilvl="5" w:tplc="1848CD72">
      <w:numFmt w:val="bullet"/>
      <w:lvlText w:val="•"/>
      <w:lvlJc w:val="left"/>
      <w:pPr>
        <w:ind w:left="5972" w:hanging="326"/>
      </w:pPr>
      <w:rPr>
        <w:rFonts w:hint="default"/>
      </w:rPr>
    </w:lvl>
    <w:lvl w:ilvl="6" w:tplc="4A642D82">
      <w:numFmt w:val="bullet"/>
      <w:lvlText w:val="•"/>
      <w:lvlJc w:val="left"/>
      <w:pPr>
        <w:ind w:left="6974" w:hanging="326"/>
      </w:pPr>
      <w:rPr>
        <w:rFonts w:hint="default"/>
      </w:rPr>
    </w:lvl>
    <w:lvl w:ilvl="7" w:tplc="62024896">
      <w:numFmt w:val="bullet"/>
      <w:lvlText w:val="•"/>
      <w:lvlJc w:val="left"/>
      <w:pPr>
        <w:ind w:left="7977" w:hanging="326"/>
      </w:pPr>
      <w:rPr>
        <w:rFonts w:hint="default"/>
      </w:rPr>
    </w:lvl>
    <w:lvl w:ilvl="8" w:tplc="3B049C74">
      <w:numFmt w:val="bullet"/>
      <w:lvlText w:val="•"/>
      <w:lvlJc w:val="left"/>
      <w:pPr>
        <w:ind w:left="8979" w:hanging="326"/>
      </w:pPr>
      <w:rPr>
        <w:rFonts w:hint="default"/>
      </w:rPr>
    </w:lvl>
  </w:abstractNum>
  <w:abstractNum w:abstractNumId="7" w15:restartNumberingAfterBreak="0">
    <w:nsid w:val="54A331B6"/>
    <w:multiLevelType w:val="hybridMultilevel"/>
    <w:tmpl w:val="A7A4D6B2"/>
    <w:lvl w:ilvl="0" w:tplc="E6E2FE1E">
      <w:start w:val="1"/>
      <w:numFmt w:val="decimal"/>
      <w:lvlText w:val="(%1)"/>
      <w:lvlJc w:val="left"/>
      <w:pPr>
        <w:ind w:left="1666" w:hanging="710"/>
      </w:pPr>
      <w:rPr>
        <w:rFonts w:ascii="Times New Roman" w:eastAsia="Times New Roman" w:hAnsi="Times New Roman" w:cs="Times New Roman" w:hint="default"/>
        <w:spacing w:val="-28"/>
        <w:w w:val="99"/>
        <w:sz w:val="24"/>
        <w:szCs w:val="24"/>
      </w:rPr>
    </w:lvl>
    <w:lvl w:ilvl="1" w:tplc="89E6C440">
      <w:numFmt w:val="bullet"/>
      <w:lvlText w:val="•"/>
      <w:lvlJc w:val="left"/>
      <w:pPr>
        <w:ind w:left="2592" w:hanging="710"/>
      </w:pPr>
      <w:rPr>
        <w:rFonts w:hint="default"/>
      </w:rPr>
    </w:lvl>
    <w:lvl w:ilvl="2" w:tplc="5588990A">
      <w:numFmt w:val="bullet"/>
      <w:lvlText w:val="•"/>
      <w:lvlJc w:val="left"/>
      <w:pPr>
        <w:ind w:left="3524" w:hanging="710"/>
      </w:pPr>
      <w:rPr>
        <w:rFonts w:hint="default"/>
      </w:rPr>
    </w:lvl>
    <w:lvl w:ilvl="3" w:tplc="90463D60">
      <w:numFmt w:val="bullet"/>
      <w:lvlText w:val="•"/>
      <w:lvlJc w:val="left"/>
      <w:pPr>
        <w:ind w:left="4457" w:hanging="710"/>
      </w:pPr>
      <w:rPr>
        <w:rFonts w:hint="default"/>
      </w:rPr>
    </w:lvl>
    <w:lvl w:ilvl="4" w:tplc="F02C8880">
      <w:numFmt w:val="bullet"/>
      <w:lvlText w:val="•"/>
      <w:lvlJc w:val="left"/>
      <w:pPr>
        <w:ind w:left="5389" w:hanging="710"/>
      </w:pPr>
      <w:rPr>
        <w:rFonts w:hint="default"/>
      </w:rPr>
    </w:lvl>
    <w:lvl w:ilvl="5" w:tplc="0B08B4B2">
      <w:numFmt w:val="bullet"/>
      <w:lvlText w:val="•"/>
      <w:lvlJc w:val="left"/>
      <w:pPr>
        <w:ind w:left="6322" w:hanging="710"/>
      </w:pPr>
      <w:rPr>
        <w:rFonts w:hint="default"/>
      </w:rPr>
    </w:lvl>
    <w:lvl w:ilvl="6" w:tplc="A384AA86">
      <w:numFmt w:val="bullet"/>
      <w:lvlText w:val="•"/>
      <w:lvlJc w:val="left"/>
      <w:pPr>
        <w:ind w:left="7254" w:hanging="710"/>
      </w:pPr>
      <w:rPr>
        <w:rFonts w:hint="default"/>
      </w:rPr>
    </w:lvl>
    <w:lvl w:ilvl="7" w:tplc="7C509866">
      <w:numFmt w:val="bullet"/>
      <w:lvlText w:val="•"/>
      <w:lvlJc w:val="left"/>
      <w:pPr>
        <w:ind w:left="8187" w:hanging="710"/>
      </w:pPr>
      <w:rPr>
        <w:rFonts w:hint="default"/>
      </w:rPr>
    </w:lvl>
    <w:lvl w:ilvl="8" w:tplc="2DC8AE2C">
      <w:numFmt w:val="bullet"/>
      <w:lvlText w:val="•"/>
      <w:lvlJc w:val="left"/>
      <w:pPr>
        <w:ind w:left="9119" w:hanging="710"/>
      </w:pPr>
      <w:rPr>
        <w:rFonts w:hint="default"/>
      </w:rPr>
    </w:lvl>
  </w:abstractNum>
  <w:abstractNum w:abstractNumId="8" w15:restartNumberingAfterBreak="0">
    <w:nsid w:val="654A0B79"/>
    <w:multiLevelType w:val="hybridMultilevel"/>
    <w:tmpl w:val="5316E290"/>
    <w:lvl w:ilvl="0" w:tplc="930002D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B70EC3"/>
    <w:multiLevelType w:val="hybridMultilevel"/>
    <w:tmpl w:val="DFC2C11E"/>
    <w:lvl w:ilvl="0" w:tplc="201665C6">
      <w:start w:val="1"/>
      <w:numFmt w:val="decimal"/>
      <w:lvlText w:val="%1."/>
      <w:lvlJc w:val="left"/>
      <w:pPr>
        <w:ind w:left="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3C3814">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C2DCB2">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56F7E8">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E6E9E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A8A24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8040A8">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66057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8A2F74">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47"/>
    <w:rsid w:val="00021928"/>
    <w:rsid w:val="00027775"/>
    <w:rsid w:val="00030139"/>
    <w:rsid w:val="000327DD"/>
    <w:rsid w:val="00037E86"/>
    <w:rsid w:val="00042695"/>
    <w:rsid w:val="00044C55"/>
    <w:rsid w:val="000450E4"/>
    <w:rsid w:val="000468DC"/>
    <w:rsid w:val="0006356F"/>
    <w:rsid w:val="00064377"/>
    <w:rsid w:val="00066C79"/>
    <w:rsid w:val="00067F2A"/>
    <w:rsid w:val="00071220"/>
    <w:rsid w:val="00073D15"/>
    <w:rsid w:val="00074E22"/>
    <w:rsid w:val="00075C2B"/>
    <w:rsid w:val="00077F8B"/>
    <w:rsid w:val="00087309"/>
    <w:rsid w:val="00090416"/>
    <w:rsid w:val="000922AF"/>
    <w:rsid w:val="00094395"/>
    <w:rsid w:val="000A6B45"/>
    <w:rsid w:val="000B66A0"/>
    <w:rsid w:val="000E1C79"/>
    <w:rsid w:val="000E47FC"/>
    <w:rsid w:val="000E7E2B"/>
    <w:rsid w:val="000E7EF9"/>
    <w:rsid w:val="000F47A2"/>
    <w:rsid w:val="001014B8"/>
    <w:rsid w:val="00106B3C"/>
    <w:rsid w:val="001225CE"/>
    <w:rsid w:val="00122FF2"/>
    <w:rsid w:val="00124C33"/>
    <w:rsid w:val="001424AD"/>
    <w:rsid w:val="00146DD5"/>
    <w:rsid w:val="001509AE"/>
    <w:rsid w:val="00151144"/>
    <w:rsid w:val="001523B9"/>
    <w:rsid w:val="00152BE9"/>
    <w:rsid w:val="00157922"/>
    <w:rsid w:val="00160442"/>
    <w:rsid w:val="00163DE5"/>
    <w:rsid w:val="00164101"/>
    <w:rsid w:val="00167A00"/>
    <w:rsid w:val="001702B4"/>
    <w:rsid w:val="00171912"/>
    <w:rsid w:val="00176592"/>
    <w:rsid w:val="00185089"/>
    <w:rsid w:val="001860E5"/>
    <w:rsid w:val="00186288"/>
    <w:rsid w:val="00187CCF"/>
    <w:rsid w:val="00197CD2"/>
    <w:rsid w:val="00197FF8"/>
    <w:rsid w:val="001A28D2"/>
    <w:rsid w:val="001A4F5C"/>
    <w:rsid w:val="001B007E"/>
    <w:rsid w:val="001B2465"/>
    <w:rsid w:val="001B7146"/>
    <w:rsid w:val="001C4795"/>
    <w:rsid w:val="001D21C0"/>
    <w:rsid w:val="001D602C"/>
    <w:rsid w:val="001D79A2"/>
    <w:rsid w:val="001E4922"/>
    <w:rsid w:val="001E6A75"/>
    <w:rsid w:val="001F5E36"/>
    <w:rsid w:val="001F6BF9"/>
    <w:rsid w:val="00200013"/>
    <w:rsid w:val="00202331"/>
    <w:rsid w:val="00203B87"/>
    <w:rsid w:val="00217A72"/>
    <w:rsid w:val="002224E1"/>
    <w:rsid w:val="002301B9"/>
    <w:rsid w:val="0023339C"/>
    <w:rsid w:val="00242A1B"/>
    <w:rsid w:val="00246EF2"/>
    <w:rsid w:val="00261DF1"/>
    <w:rsid w:val="002A03B7"/>
    <w:rsid w:val="002A6959"/>
    <w:rsid w:val="002A78AA"/>
    <w:rsid w:val="002B2D7E"/>
    <w:rsid w:val="002B4D60"/>
    <w:rsid w:val="002C22F9"/>
    <w:rsid w:val="002C47D5"/>
    <w:rsid w:val="002D121E"/>
    <w:rsid w:val="002D2CEA"/>
    <w:rsid w:val="002D39FA"/>
    <w:rsid w:val="002D6573"/>
    <w:rsid w:val="002D6D34"/>
    <w:rsid w:val="002F5A4D"/>
    <w:rsid w:val="0030401E"/>
    <w:rsid w:val="003061CA"/>
    <w:rsid w:val="003135F8"/>
    <w:rsid w:val="003200D2"/>
    <w:rsid w:val="0032527C"/>
    <w:rsid w:val="00335321"/>
    <w:rsid w:val="00345855"/>
    <w:rsid w:val="00346A86"/>
    <w:rsid w:val="00357224"/>
    <w:rsid w:val="00363DF1"/>
    <w:rsid w:val="00365D06"/>
    <w:rsid w:val="0038540B"/>
    <w:rsid w:val="003913E3"/>
    <w:rsid w:val="0039434D"/>
    <w:rsid w:val="003957CF"/>
    <w:rsid w:val="00395A10"/>
    <w:rsid w:val="003A4DA6"/>
    <w:rsid w:val="003B067B"/>
    <w:rsid w:val="003B22A0"/>
    <w:rsid w:val="003C1820"/>
    <w:rsid w:val="003C50F1"/>
    <w:rsid w:val="003C65C4"/>
    <w:rsid w:val="003C6E1C"/>
    <w:rsid w:val="003C72CD"/>
    <w:rsid w:val="003D504C"/>
    <w:rsid w:val="003D7AAF"/>
    <w:rsid w:val="003E5C11"/>
    <w:rsid w:val="003E6725"/>
    <w:rsid w:val="003E7DEA"/>
    <w:rsid w:val="003F7DF5"/>
    <w:rsid w:val="00400FDC"/>
    <w:rsid w:val="00404A77"/>
    <w:rsid w:val="0041163F"/>
    <w:rsid w:val="00415874"/>
    <w:rsid w:val="004224F8"/>
    <w:rsid w:val="0042282B"/>
    <w:rsid w:val="00423E8F"/>
    <w:rsid w:val="00424311"/>
    <w:rsid w:val="00427F86"/>
    <w:rsid w:val="004422BF"/>
    <w:rsid w:val="0044681F"/>
    <w:rsid w:val="00463EB7"/>
    <w:rsid w:val="00465F03"/>
    <w:rsid w:val="00467E12"/>
    <w:rsid w:val="00473C78"/>
    <w:rsid w:val="00490E36"/>
    <w:rsid w:val="004955F0"/>
    <w:rsid w:val="00495728"/>
    <w:rsid w:val="004A5173"/>
    <w:rsid w:val="004B0F82"/>
    <w:rsid w:val="004C13A3"/>
    <w:rsid w:val="004D074D"/>
    <w:rsid w:val="004D3F86"/>
    <w:rsid w:val="004D71FF"/>
    <w:rsid w:val="004E35D5"/>
    <w:rsid w:val="004F66D2"/>
    <w:rsid w:val="00505DD8"/>
    <w:rsid w:val="00506829"/>
    <w:rsid w:val="00510820"/>
    <w:rsid w:val="0052165D"/>
    <w:rsid w:val="005334D7"/>
    <w:rsid w:val="00535285"/>
    <w:rsid w:val="005479FA"/>
    <w:rsid w:val="00556C50"/>
    <w:rsid w:val="00557ACA"/>
    <w:rsid w:val="005675B0"/>
    <w:rsid w:val="005721C2"/>
    <w:rsid w:val="0057489E"/>
    <w:rsid w:val="0058003A"/>
    <w:rsid w:val="00590924"/>
    <w:rsid w:val="005A0011"/>
    <w:rsid w:val="005E20A0"/>
    <w:rsid w:val="005E2DAB"/>
    <w:rsid w:val="005E4521"/>
    <w:rsid w:val="005E7E5A"/>
    <w:rsid w:val="005F14F5"/>
    <w:rsid w:val="005F5245"/>
    <w:rsid w:val="00605F29"/>
    <w:rsid w:val="006073A6"/>
    <w:rsid w:val="00612CD8"/>
    <w:rsid w:val="00624255"/>
    <w:rsid w:val="006248CA"/>
    <w:rsid w:val="00625D40"/>
    <w:rsid w:val="00631AF6"/>
    <w:rsid w:val="00631D71"/>
    <w:rsid w:val="006347A2"/>
    <w:rsid w:val="00642C90"/>
    <w:rsid w:val="006512DA"/>
    <w:rsid w:val="00661EA4"/>
    <w:rsid w:val="006755FB"/>
    <w:rsid w:val="00682E6A"/>
    <w:rsid w:val="00684371"/>
    <w:rsid w:val="006A5D3D"/>
    <w:rsid w:val="006B5306"/>
    <w:rsid w:val="006C0543"/>
    <w:rsid w:val="006C6D6B"/>
    <w:rsid w:val="006D2D0A"/>
    <w:rsid w:val="006D41C1"/>
    <w:rsid w:val="006D57D0"/>
    <w:rsid w:val="006D7104"/>
    <w:rsid w:val="006D7F15"/>
    <w:rsid w:val="006E231C"/>
    <w:rsid w:val="006E2469"/>
    <w:rsid w:val="006F1322"/>
    <w:rsid w:val="006F36EF"/>
    <w:rsid w:val="00706FD4"/>
    <w:rsid w:val="00710C44"/>
    <w:rsid w:val="00710C47"/>
    <w:rsid w:val="00712380"/>
    <w:rsid w:val="00712727"/>
    <w:rsid w:val="007219B1"/>
    <w:rsid w:val="00726655"/>
    <w:rsid w:val="00735544"/>
    <w:rsid w:val="00737ADF"/>
    <w:rsid w:val="00746CE1"/>
    <w:rsid w:val="00752E33"/>
    <w:rsid w:val="007533EA"/>
    <w:rsid w:val="007540E9"/>
    <w:rsid w:val="007570FD"/>
    <w:rsid w:val="007624B0"/>
    <w:rsid w:val="00765204"/>
    <w:rsid w:val="007865A4"/>
    <w:rsid w:val="007A04FA"/>
    <w:rsid w:val="007B7748"/>
    <w:rsid w:val="007C31D0"/>
    <w:rsid w:val="007C38FC"/>
    <w:rsid w:val="007C5FBF"/>
    <w:rsid w:val="007E558C"/>
    <w:rsid w:val="007F1E9C"/>
    <w:rsid w:val="007F67AD"/>
    <w:rsid w:val="00805175"/>
    <w:rsid w:val="00811817"/>
    <w:rsid w:val="008166F3"/>
    <w:rsid w:val="00820746"/>
    <w:rsid w:val="0082075D"/>
    <w:rsid w:val="00820CDB"/>
    <w:rsid w:val="00823A82"/>
    <w:rsid w:val="00831CB1"/>
    <w:rsid w:val="00836C16"/>
    <w:rsid w:val="008425A1"/>
    <w:rsid w:val="008541B1"/>
    <w:rsid w:val="00855DA9"/>
    <w:rsid w:val="008662E2"/>
    <w:rsid w:val="00876951"/>
    <w:rsid w:val="00894C38"/>
    <w:rsid w:val="008A7587"/>
    <w:rsid w:val="008D0BFE"/>
    <w:rsid w:val="008E0B2B"/>
    <w:rsid w:val="008E419C"/>
    <w:rsid w:val="008F0746"/>
    <w:rsid w:val="008F0B60"/>
    <w:rsid w:val="008F4155"/>
    <w:rsid w:val="00900E17"/>
    <w:rsid w:val="00911726"/>
    <w:rsid w:val="009141F4"/>
    <w:rsid w:val="00914D6A"/>
    <w:rsid w:val="0091590C"/>
    <w:rsid w:val="00921533"/>
    <w:rsid w:val="00924C67"/>
    <w:rsid w:val="0092585F"/>
    <w:rsid w:val="00927828"/>
    <w:rsid w:val="00934971"/>
    <w:rsid w:val="00937B2A"/>
    <w:rsid w:val="009416AE"/>
    <w:rsid w:val="00944D89"/>
    <w:rsid w:val="0094663D"/>
    <w:rsid w:val="00957593"/>
    <w:rsid w:val="0096090C"/>
    <w:rsid w:val="00960D44"/>
    <w:rsid w:val="00960FB4"/>
    <w:rsid w:val="0096465A"/>
    <w:rsid w:val="009654E4"/>
    <w:rsid w:val="00970755"/>
    <w:rsid w:val="00970D67"/>
    <w:rsid w:val="00975D88"/>
    <w:rsid w:val="0098052C"/>
    <w:rsid w:val="00981CF0"/>
    <w:rsid w:val="009A2504"/>
    <w:rsid w:val="009A4F27"/>
    <w:rsid w:val="009A6DAE"/>
    <w:rsid w:val="009B18A0"/>
    <w:rsid w:val="009B67E2"/>
    <w:rsid w:val="009C2B38"/>
    <w:rsid w:val="009C463D"/>
    <w:rsid w:val="009C7CBE"/>
    <w:rsid w:val="009C7EB6"/>
    <w:rsid w:val="009D18AC"/>
    <w:rsid w:val="009E4C64"/>
    <w:rsid w:val="009F700B"/>
    <w:rsid w:val="00A017C0"/>
    <w:rsid w:val="00A14FBC"/>
    <w:rsid w:val="00A152C9"/>
    <w:rsid w:val="00A15E31"/>
    <w:rsid w:val="00A16998"/>
    <w:rsid w:val="00A170B1"/>
    <w:rsid w:val="00A175B9"/>
    <w:rsid w:val="00A3203F"/>
    <w:rsid w:val="00A52A48"/>
    <w:rsid w:val="00A55845"/>
    <w:rsid w:val="00A561C2"/>
    <w:rsid w:val="00A67FCD"/>
    <w:rsid w:val="00A75E3D"/>
    <w:rsid w:val="00A80179"/>
    <w:rsid w:val="00A86452"/>
    <w:rsid w:val="00A87BDA"/>
    <w:rsid w:val="00AA0EAE"/>
    <w:rsid w:val="00AA3889"/>
    <w:rsid w:val="00AB1884"/>
    <w:rsid w:val="00AB76B8"/>
    <w:rsid w:val="00AC7A8C"/>
    <w:rsid w:val="00AD364C"/>
    <w:rsid w:val="00AD4291"/>
    <w:rsid w:val="00AD603C"/>
    <w:rsid w:val="00AD7B0E"/>
    <w:rsid w:val="00AE190D"/>
    <w:rsid w:val="00AF008D"/>
    <w:rsid w:val="00AF1832"/>
    <w:rsid w:val="00B2012D"/>
    <w:rsid w:val="00B219DD"/>
    <w:rsid w:val="00B23FB2"/>
    <w:rsid w:val="00B24F30"/>
    <w:rsid w:val="00B3346A"/>
    <w:rsid w:val="00B40078"/>
    <w:rsid w:val="00B40600"/>
    <w:rsid w:val="00B409EA"/>
    <w:rsid w:val="00B45F35"/>
    <w:rsid w:val="00B47B12"/>
    <w:rsid w:val="00B53B2D"/>
    <w:rsid w:val="00B60BFC"/>
    <w:rsid w:val="00B7193F"/>
    <w:rsid w:val="00B72A7E"/>
    <w:rsid w:val="00B756AF"/>
    <w:rsid w:val="00B773CF"/>
    <w:rsid w:val="00B8385C"/>
    <w:rsid w:val="00B902D8"/>
    <w:rsid w:val="00B96846"/>
    <w:rsid w:val="00BA64B8"/>
    <w:rsid w:val="00BB3944"/>
    <w:rsid w:val="00BC5B44"/>
    <w:rsid w:val="00BD1165"/>
    <w:rsid w:val="00BD45FD"/>
    <w:rsid w:val="00BE6B09"/>
    <w:rsid w:val="00BF09C7"/>
    <w:rsid w:val="00BF41D8"/>
    <w:rsid w:val="00C10264"/>
    <w:rsid w:val="00C11386"/>
    <w:rsid w:val="00C14B3D"/>
    <w:rsid w:val="00C26E8B"/>
    <w:rsid w:val="00C34C34"/>
    <w:rsid w:val="00C356F1"/>
    <w:rsid w:val="00C40DB5"/>
    <w:rsid w:val="00C43574"/>
    <w:rsid w:val="00C46AF4"/>
    <w:rsid w:val="00C5460E"/>
    <w:rsid w:val="00C6301F"/>
    <w:rsid w:val="00C64C2F"/>
    <w:rsid w:val="00C71EDF"/>
    <w:rsid w:val="00C75896"/>
    <w:rsid w:val="00C764C6"/>
    <w:rsid w:val="00C85D51"/>
    <w:rsid w:val="00C85FAD"/>
    <w:rsid w:val="00C879F1"/>
    <w:rsid w:val="00C95E39"/>
    <w:rsid w:val="00CA56FF"/>
    <w:rsid w:val="00CA5FCD"/>
    <w:rsid w:val="00CA79DF"/>
    <w:rsid w:val="00CB4601"/>
    <w:rsid w:val="00CC1AFA"/>
    <w:rsid w:val="00CC77BC"/>
    <w:rsid w:val="00CD1BD7"/>
    <w:rsid w:val="00CD2074"/>
    <w:rsid w:val="00CD36FE"/>
    <w:rsid w:val="00CD6DE1"/>
    <w:rsid w:val="00CE0EBD"/>
    <w:rsid w:val="00CE1799"/>
    <w:rsid w:val="00CE6BD8"/>
    <w:rsid w:val="00CF05B0"/>
    <w:rsid w:val="00CF0BC0"/>
    <w:rsid w:val="00CF30A8"/>
    <w:rsid w:val="00CF42A5"/>
    <w:rsid w:val="00D05394"/>
    <w:rsid w:val="00D13D3D"/>
    <w:rsid w:val="00D145D4"/>
    <w:rsid w:val="00D1489A"/>
    <w:rsid w:val="00D161D5"/>
    <w:rsid w:val="00D23B75"/>
    <w:rsid w:val="00D25603"/>
    <w:rsid w:val="00D37A08"/>
    <w:rsid w:val="00D41508"/>
    <w:rsid w:val="00D42D5D"/>
    <w:rsid w:val="00D47803"/>
    <w:rsid w:val="00D53380"/>
    <w:rsid w:val="00D560B3"/>
    <w:rsid w:val="00D62BE3"/>
    <w:rsid w:val="00D66130"/>
    <w:rsid w:val="00D66BBA"/>
    <w:rsid w:val="00D71DCB"/>
    <w:rsid w:val="00D73616"/>
    <w:rsid w:val="00D75DC7"/>
    <w:rsid w:val="00D827D3"/>
    <w:rsid w:val="00D95194"/>
    <w:rsid w:val="00D954FF"/>
    <w:rsid w:val="00DA37D4"/>
    <w:rsid w:val="00DA45F8"/>
    <w:rsid w:val="00DA73EA"/>
    <w:rsid w:val="00DB19F0"/>
    <w:rsid w:val="00DB2944"/>
    <w:rsid w:val="00DB2CD4"/>
    <w:rsid w:val="00DB54E2"/>
    <w:rsid w:val="00DB7739"/>
    <w:rsid w:val="00DC3EEC"/>
    <w:rsid w:val="00DC690A"/>
    <w:rsid w:val="00DC79E6"/>
    <w:rsid w:val="00DD3653"/>
    <w:rsid w:val="00DD687C"/>
    <w:rsid w:val="00DE0347"/>
    <w:rsid w:val="00DE0DAF"/>
    <w:rsid w:val="00DE454F"/>
    <w:rsid w:val="00DE51C9"/>
    <w:rsid w:val="00DF2016"/>
    <w:rsid w:val="00E11009"/>
    <w:rsid w:val="00E119BB"/>
    <w:rsid w:val="00E1337A"/>
    <w:rsid w:val="00E14B23"/>
    <w:rsid w:val="00E20015"/>
    <w:rsid w:val="00E2486C"/>
    <w:rsid w:val="00E2524F"/>
    <w:rsid w:val="00E25776"/>
    <w:rsid w:val="00E25D27"/>
    <w:rsid w:val="00E361BE"/>
    <w:rsid w:val="00E626C9"/>
    <w:rsid w:val="00E678A7"/>
    <w:rsid w:val="00E84F16"/>
    <w:rsid w:val="00E86BBB"/>
    <w:rsid w:val="00E97AC8"/>
    <w:rsid w:val="00EA006F"/>
    <w:rsid w:val="00EA0888"/>
    <w:rsid w:val="00EA3412"/>
    <w:rsid w:val="00EB0262"/>
    <w:rsid w:val="00EB409B"/>
    <w:rsid w:val="00EC2380"/>
    <w:rsid w:val="00ED16F4"/>
    <w:rsid w:val="00ED323F"/>
    <w:rsid w:val="00EE63D3"/>
    <w:rsid w:val="00EE7748"/>
    <w:rsid w:val="00EF0278"/>
    <w:rsid w:val="00EF4D17"/>
    <w:rsid w:val="00EF60F9"/>
    <w:rsid w:val="00F00BF1"/>
    <w:rsid w:val="00F01A12"/>
    <w:rsid w:val="00F01D6A"/>
    <w:rsid w:val="00F01E92"/>
    <w:rsid w:val="00F10DE0"/>
    <w:rsid w:val="00F122FD"/>
    <w:rsid w:val="00F21398"/>
    <w:rsid w:val="00F30A80"/>
    <w:rsid w:val="00F32C5E"/>
    <w:rsid w:val="00F40121"/>
    <w:rsid w:val="00F426BC"/>
    <w:rsid w:val="00F55E9A"/>
    <w:rsid w:val="00F6443C"/>
    <w:rsid w:val="00F75B09"/>
    <w:rsid w:val="00F803FC"/>
    <w:rsid w:val="00F82E40"/>
    <w:rsid w:val="00F85359"/>
    <w:rsid w:val="00F920B6"/>
    <w:rsid w:val="00F94F47"/>
    <w:rsid w:val="00F965B5"/>
    <w:rsid w:val="00FB5837"/>
    <w:rsid w:val="00FB772A"/>
    <w:rsid w:val="00FC1893"/>
    <w:rsid w:val="00FE0F45"/>
    <w:rsid w:val="00FE28AD"/>
    <w:rsid w:val="00FE4F76"/>
    <w:rsid w:val="00FF1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A99DF"/>
  <w15:docId w15:val="{D84B24DD-7583-4755-83D6-744B81EF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Times New Roman" w:eastAsia="Times New Roman" w:hAnsi="Times New Roman" w:cs="Times New Roman"/>
    </w:rPr>
  </w:style>
  <w:style w:type="paragraph" w:styleId="Kop1">
    <w:name w:val="heading 1"/>
    <w:basedOn w:val="Standaard"/>
    <w:uiPriority w:val="1"/>
    <w:qFormat/>
    <w:pPr>
      <w:ind w:left="970"/>
      <w:jc w:val="center"/>
      <w:outlineLvl w:val="0"/>
    </w:pPr>
    <w:rPr>
      <w:b/>
      <w:bCs/>
      <w:sz w:val="24"/>
      <w:szCs w:val="24"/>
    </w:rPr>
  </w:style>
  <w:style w:type="paragraph" w:styleId="Kop4">
    <w:name w:val="heading 4"/>
    <w:basedOn w:val="Standaard"/>
    <w:next w:val="Standaard"/>
    <w:link w:val="Kop4Char"/>
    <w:uiPriority w:val="9"/>
    <w:semiHidden/>
    <w:unhideWhenUsed/>
    <w:qFormat/>
    <w:rsid w:val="00820C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1666" w:hanging="709"/>
      <w:jc w:val="both"/>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5721C2"/>
    <w:rPr>
      <w:sz w:val="16"/>
      <w:szCs w:val="16"/>
    </w:rPr>
  </w:style>
  <w:style w:type="paragraph" w:styleId="Tekstopmerking">
    <w:name w:val="annotation text"/>
    <w:basedOn w:val="Standaard"/>
    <w:link w:val="TekstopmerkingChar"/>
    <w:uiPriority w:val="99"/>
    <w:semiHidden/>
    <w:unhideWhenUsed/>
    <w:rsid w:val="005721C2"/>
    <w:rPr>
      <w:sz w:val="20"/>
      <w:szCs w:val="20"/>
    </w:rPr>
  </w:style>
  <w:style w:type="character" w:customStyle="1" w:styleId="TekstopmerkingChar">
    <w:name w:val="Tekst opmerking Char"/>
    <w:basedOn w:val="Standaardalinea-lettertype"/>
    <w:link w:val="Tekstopmerking"/>
    <w:uiPriority w:val="99"/>
    <w:semiHidden/>
    <w:rsid w:val="005721C2"/>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721C2"/>
    <w:rPr>
      <w:b/>
      <w:bCs/>
    </w:rPr>
  </w:style>
  <w:style w:type="character" w:customStyle="1" w:styleId="OnderwerpvanopmerkingChar">
    <w:name w:val="Onderwerp van opmerking Char"/>
    <w:basedOn w:val="TekstopmerkingChar"/>
    <w:link w:val="Onderwerpvanopmerking"/>
    <w:uiPriority w:val="99"/>
    <w:semiHidden/>
    <w:rsid w:val="005721C2"/>
    <w:rPr>
      <w:rFonts w:ascii="Times New Roman" w:eastAsia="Times New Roman" w:hAnsi="Times New Roman" w:cs="Times New Roman"/>
      <w:b/>
      <w:bCs/>
      <w:sz w:val="20"/>
      <w:szCs w:val="20"/>
    </w:rPr>
  </w:style>
  <w:style w:type="paragraph" w:styleId="Ballontekst">
    <w:name w:val="Balloon Text"/>
    <w:basedOn w:val="Standaard"/>
    <w:link w:val="BallontekstChar"/>
    <w:uiPriority w:val="99"/>
    <w:semiHidden/>
    <w:unhideWhenUsed/>
    <w:rsid w:val="005721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21C2"/>
    <w:rPr>
      <w:rFonts w:ascii="Segoe UI" w:eastAsia="Times New Roman" w:hAnsi="Segoe UI" w:cs="Segoe UI"/>
      <w:sz w:val="18"/>
      <w:szCs w:val="18"/>
    </w:rPr>
  </w:style>
  <w:style w:type="character" w:styleId="Hyperlink">
    <w:name w:val="Hyperlink"/>
    <w:basedOn w:val="Standaardalinea-lettertype"/>
    <w:uiPriority w:val="99"/>
    <w:unhideWhenUsed/>
    <w:rsid w:val="00027775"/>
    <w:rPr>
      <w:color w:val="0000FF" w:themeColor="hyperlink"/>
      <w:u w:val="single"/>
    </w:rPr>
  </w:style>
  <w:style w:type="character" w:styleId="GevolgdeHyperlink">
    <w:name w:val="FollowedHyperlink"/>
    <w:basedOn w:val="Standaardalinea-lettertype"/>
    <w:uiPriority w:val="99"/>
    <w:semiHidden/>
    <w:unhideWhenUsed/>
    <w:rsid w:val="00682E6A"/>
    <w:rPr>
      <w:color w:val="800080" w:themeColor="followedHyperlink"/>
      <w:u w:val="single"/>
    </w:rPr>
  </w:style>
  <w:style w:type="paragraph" w:styleId="Koptekst">
    <w:name w:val="header"/>
    <w:basedOn w:val="Standaard"/>
    <w:link w:val="KoptekstChar"/>
    <w:uiPriority w:val="99"/>
    <w:unhideWhenUsed/>
    <w:rsid w:val="001424AD"/>
    <w:pPr>
      <w:tabs>
        <w:tab w:val="center" w:pos="4513"/>
        <w:tab w:val="right" w:pos="9026"/>
      </w:tabs>
    </w:pPr>
  </w:style>
  <w:style w:type="character" w:customStyle="1" w:styleId="KoptekstChar">
    <w:name w:val="Koptekst Char"/>
    <w:basedOn w:val="Standaardalinea-lettertype"/>
    <w:link w:val="Koptekst"/>
    <w:uiPriority w:val="99"/>
    <w:rsid w:val="001424AD"/>
    <w:rPr>
      <w:rFonts w:ascii="Times New Roman" w:eastAsia="Times New Roman" w:hAnsi="Times New Roman" w:cs="Times New Roman"/>
    </w:rPr>
  </w:style>
  <w:style w:type="paragraph" w:styleId="Voettekst">
    <w:name w:val="footer"/>
    <w:basedOn w:val="Standaard"/>
    <w:link w:val="VoettekstChar"/>
    <w:uiPriority w:val="99"/>
    <w:unhideWhenUsed/>
    <w:rsid w:val="001424AD"/>
    <w:pPr>
      <w:tabs>
        <w:tab w:val="center" w:pos="4513"/>
        <w:tab w:val="right" w:pos="9026"/>
      </w:tabs>
    </w:pPr>
  </w:style>
  <w:style w:type="character" w:customStyle="1" w:styleId="VoettekstChar">
    <w:name w:val="Voettekst Char"/>
    <w:basedOn w:val="Standaardalinea-lettertype"/>
    <w:link w:val="Voettekst"/>
    <w:uiPriority w:val="99"/>
    <w:rsid w:val="001424AD"/>
    <w:rPr>
      <w:rFonts w:ascii="Times New Roman" w:eastAsia="Times New Roman" w:hAnsi="Times New Roman" w:cs="Times New Roman"/>
    </w:rPr>
  </w:style>
  <w:style w:type="paragraph" w:styleId="Voetnoottekst">
    <w:name w:val="footnote text"/>
    <w:basedOn w:val="Standaard"/>
    <w:link w:val="VoetnoottekstChar"/>
    <w:uiPriority w:val="99"/>
    <w:unhideWhenUsed/>
    <w:rsid w:val="00F82E40"/>
    <w:rPr>
      <w:sz w:val="20"/>
      <w:szCs w:val="20"/>
    </w:rPr>
  </w:style>
  <w:style w:type="character" w:customStyle="1" w:styleId="VoetnoottekstChar">
    <w:name w:val="Voetnoottekst Char"/>
    <w:basedOn w:val="Standaardalinea-lettertype"/>
    <w:link w:val="Voetnoottekst"/>
    <w:uiPriority w:val="99"/>
    <w:rsid w:val="00F82E40"/>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F82E40"/>
    <w:rPr>
      <w:vertAlign w:val="superscript"/>
    </w:rPr>
  </w:style>
  <w:style w:type="character" w:customStyle="1" w:styleId="Kop4Char">
    <w:name w:val="Kop 4 Char"/>
    <w:basedOn w:val="Standaardalinea-lettertype"/>
    <w:link w:val="Kop4"/>
    <w:uiPriority w:val="9"/>
    <w:semiHidden/>
    <w:rsid w:val="00820CDB"/>
    <w:rPr>
      <w:rFonts w:asciiTheme="majorHAnsi" w:eastAsiaTheme="majorEastAsia" w:hAnsiTheme="majorHAnsi" w:cstheme="majorBidi"/>
      <w:i/>
      <w:iCs/>
      <w:color w:val="365F91" w:themeColor="accent1" w:themeShade="BF"/>
    </w:rPr>
  </w:style>
  <w:style w:type="paragraph" w:styleId="Normaalweb">
    <w:name w:val="Normal (Web)"/>
    <w:basedOn w:val="Standaard"/>
    <w:uiPriority w:val="99"/>
    <w:unhideWhenUsed/>
    <w:rsid w:val="004C13A3"/>
    <w:pPr>
      <w:widowControl/>
      <w:autoSpaceDE/>
      <w:autoSpaceDN/>
      <w:spacing w:before="100" w:beforeAutospacing="1" w:after="100" w:afterAutospacing="1"/>
    </w:pPr>
    <w:rPr>
      <w:sz w:val="24"/>
      <w:szCs w:val="24"/>
      <w:lang w:val="nl-NL" w:eastAsia="nl-NL"/>
    </w:rPr>
  </w:style>
  <w:style w:type="paragraph" w:styleId="Revisie">
    <w:name w:val="Revision"/>
    <w:hidden/>
    <w:uiPriority w:val="99"/>
    <w:semiHidden/>
    <w:rsid w:val="0016410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5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asean.org/storage/2017/08/ASEAN-EU-POA-2018-2022-Final.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bandungspirit.org/IMG/pdf/Final_Communique_Bandung_19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2574</ap:Words>
  <ap:Characters>14159</ap:Characters>
  <ap:DocSecurity>4</ap:DocSecurity>
  <ap:Lines>117</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2021-05-27T12:25:00.0000000Z</dcterms:created>
  <dcterms:modified xsi:type="dcterms:W3CDTF">2021-05-27T12:25:00.0000000Z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2012-03-12T00:00:00Z</vt:filetime>
  </property>
  <property fmtid="{D5CDD505-2E9C-101B-9397-08002B2CF9AE}" pid="3" name="LastSaved">
    <vt:filetime>2020-07-13T00:00:00Z</vt:filetime>
  </property>
  <property fmtid="{D5CDD505-2E9C-101B-9397-08002B2CF9AE}" pid="4" name="ContentTypeId">
    <vt:lpwstr>0x010100F86CA76E45842340AE5E37881B59241B</vt:lpwstr>
  </property>
</Properties>
</file>