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9E8" w:rsidP="00FD79E8" w:rsidRDefault="00FD79E8" w14:paraId="2AE52AEF" w14:textId="5B75C2D9">
      <w:pPr>
        <w:ind w:firstLine="0"/>
        <w:rPr>
          <w:b/>
        </w:rPr>
      </w:pPr>
      <w:bookmarkStart w:name="_GoBack" w:id="0"/>
      <w:bookmarkEnd w:id="0"/>
      <w:r w:rsidRPr="00DD75B6">
        <w:rPr>
          <w:b/>
        </w:rPr>
        <w:t xml:space="preserve">Protocol </w:t>
      </w:r>
      <w:r w:rsidRPr="00DD75B6" w:rsidR="00B749E3">
        <w:rPr>
          <w:b/>
        </w:rPr>
        <w:t xml:space="preserve">tussen het Koninkrijk der Nederlanden en </w:t>
      </w:r>
      <w:r w:rsidR="00B749E3">
        <w:rPr>
          <w:b/>
        </w:rPr>
        <w:t xml:space="preserve">de Republiek Polen </w:t>
      </w:r>
      <w:r w:rsidRPr="00DD75B6">
        <w:rPr>
          <w:b/>
        </w:rPr>
        <w:t xml:space="preserve">tot wijziging van het Verdrag tussen het Koninkrijk der Nederlanden en </w:t>
      </w:r>
      <w:r w:rsidR="00795045">
        <w:rPr>
          <w:b/>
        </w:rPr>
        <w:t>de Republiek Polen</w:t>
      </w:r>
      <w:r w:rsidR="00817491">
        <w:rPr>
          <w:b/>
        </w:rPr>
        <w:t xml:space="preserve"> </w:t>
      </w:r>
      <w:r w:rsidRPr="00DD75B6">
        <w:rPr>
          <w:b/>
        </w:rPr>
        <w:t>tot het vermijden van dubbele belasting en het voorkomen van het ontgaan van belasting met betrekking tot belastingen naar het inkomen</w:t>
      </w:r>
      <w:r w:rsidRPr="00B749E3" w:rsidR="00B749E3">
        <w:rPr>
          <w:b/>
        </w:rPr>
        <w:t>, ondertekend te Warschau op 13 februari 2002 en het Protocol, ondertekend te Warschau op 13 februari 2002</w:t>
      </w:r>
      <w:r>
        <w:rPr>
          <w:b/>
        </w:rPr>
        <w:t xml:space="preserve">; </w:t>
      </w:r>
      <w:r w:rsidR="00FF0AEC">
        <w:rPr>
          <w:b/>
        </w:rPr>
        <w:t>Warschau</w:t>
      </w:r>
      <w:r w:rsidRPr="00076C17">
        <w:rPr>
          <w:b/>
        </w:rPr>
        <w:t>,</w:t>
      </w:r>
      <w:r w:rsidR="00817491">
        <w:rPr>
          <w:b/>
        </w:rPr>
        <w:t xml:space="preserve"> </w:t>
      </w:r>
      <w:r w:rsidR="00FF0AEC">
        <w:rPr>
          <w:b/>
        </w:rPr>
        <w:t>29 oktober 2020</w:t>
      </w:r>
      <w:r w:rsidR="00817491">
        <w:rPr>
          <w:b/>
        </w:rPr>
        <w:t xml:space="preserve"> </w:t>
      </w:r>
      <w:r w:rsidRPr="00076C17">
        <w:rPr>
          <w:b/>
        </w:rPr>
        <w:t>(</w:t>
      </w:r>
      <w:r w:rsidRPr="00076C17">
        <w:rPr>
          <w:b/>
          <w:i/>
        </w:rPr>
        <w:t>Trb</w:t>
      </w:r>
      <w:r>
        <w:rPr>
          <w:b/>
        </w:rPr>
        <w:t>.</w:t>
      </w:r>
      <w:r w:rsidR="00FF0AEC">
        <w:rPr>
          <w:b/>
        </w:rPr>
        <w:t xml:space="preserve"> 2020</w:t>
      </w:r>
      <w:r w:rsidR="00BD13CC">
        <w:rPr>
          <w:b/>
        </w:rPr>
        <w:t xml:space="preserve">, </w:t>
      </w:r>
      <w:r w:rsidR="00707810">
        <w:rPr>
          <w:b/>
        </w:rPr>
        <w:t>119)</w:t>
      </w:r>
    </w:p>
    <w:p w:rsidRPr="0039026C" w:rsidR="0039026C" w:rsidP="0039026C" w:rsidRDefault="0039026C" w14:paraId="34ACDC7B" w14:textId="77777777"/>
    <w:p w:rsidR="006C2D1E" w:rsidRDefault="006C2D1E" w14:paraId="6693235D" w14:textId="77777777">
      <w:pPr>
        <w:ind w:firstLine="0"/>
        <w:rPr>
          <w:b/>
        </w:rPr>
      </w:pPr>
    </w:p>
    <w:p w:rsidR="00787BE1" w:rsidP="008F3067" w:rsidRDefault="00787BE1" w14:paraId="35C087F8" w14:textId="77777777">
      <w:pPr>
        <w:ind w:firstLine="0"/>
        <w:rPr>
          <w:b/>
        </w:rPr>
      </w:pPr>
    </w:p>
    <w:p w:rsidRPr="002D160C" w:rsidR="002D160C" w:rsidP="008F3067" w:rsidRDefault="00CB5098" w14:paraId="362CFF20" w14:textId="77777777">
      <w:pPr>
        <w:ind w:firstLine="0"/>
        <w:rPr>
          <w:b/>
        </w:rPr>
      </w:pPr>
      <w:r>
        <w:rPr>
          <w:b/>
        </w:rPr>
        <w:t>TOELICHTENDE NOTA</w:t>
      </w:r>
    </w:p>
    <w:p w:rsidR="002D160C" w:rsidP="00787BE1" w:rsidRDefault="002D160C" w14:paraId="774433C8" w14:textId="77777777">
      <w:pPr>
        <w:ind w:firstLine="0"/>
        <w:rPr>
          <w:b/>
        </w:rPr>
      </w:pPr>
    </w:p>
    <w:p w:rsidRPr="00787BE1" w:rsidR="00787BE1" w:rsidP="00787BE1" w:rsidRDefault="00787BE1" w14:paraId="0E837299" w14:textId="77777777">
      <w:pPr>
        <w:pStyle w:val="Kop2"/>
        <w:numPr>
          <w:ilvl w:val="0"/>
          <w:numId w:val="0"/>
        </w:numPr>
      </w:pPr>
    </w:p>
    <w:p w:rsidR="00621F0B" w:rsidP="008F3067" w:rsidRDefault="00621F0B" w14:paraId="63D023A2" w14:textId="77777777">
      <w:pPr>
        <w:ind w:firstLine="0"/>
        <w:outlineLvl w:val="3"/>
        <w:rPr>
          <w:rFonts w:cs="Arial"/>
          <w:b/>
          <w:bCs/>
          <w:i/>
          <w:iCs/>
          <w:szCs w:val="20"/>
        </w:rPr>
      </w:pPr>
    </w:p>
    <w:p w:rsidRPr="00B411D1" w:rsidR="00A40719" w:rsidP="008F3067" w:rsidRDefault="00B411D1" w14:paraId="42F3E5B4" w14:textId="77777777">
      <w:pPr>
        <w:ind w:firstLine="0"/>
        <w:outlineLvl w:val="3"/>
      </w:pPr>
      <w:r>
        <w:rPr>
          <w:rFonts w:cs="Arial"/>
          <w:b/>
          <w:bCs/>
          <w:i/>
          <w:iCs/>
          <w:szCs w:val="20"/>
        </w:rPr>
        <w:t xml:space="preserve">I. </w:t>
      </w:r>
      <w:r w:rsidRPr="00B411D1" w:rsidR="002D160C">
        <w:rPr>
          <w:rFonts w:cs="Arial"/>
          <w:b/>
          <w:bCs/>
          <w:i/>
          <w:iCs/>
          <w:szCs w:val="20"/>
        </w:rPr>
        <w:t>ALGEMEEN</w:t>
      </w:r>
    </w:p>
    <w:p w:rsidR="00A40719" w:rsidP="008F3067" w:rsidRDefault="00A40719" w14:paraId="21BFFACA" w14:textId="77777777">
      <w:pPr>
        <w:pStyle w:val="Kop1"/>
        <w:numPr>
          <w:ilvl w:val="0"/>
          <w:numId w:val="0"/>
        </w:numPr>
      </w:pPr>
    </w:p>
    <w:p w:rsidRPr="00B411D1" w:rsidR="00B411D1" w:rsidP="008F3067" w:rsidRDefault="00B411D1" w14:paraId="5D04ED66" w14:textId="77777777">
      <w:pPr>
        <w:ind w:firstLine="0"/>
        <w:outlineLvl w:val="4"/>
        <w:rPr>
          <w:rFonts w:cs="Arial"/>
          <w:i/>
          <w:iCs/>
          <w:szCs w:val="20"/>
        </w:rPr>
      </w:pPr>
      <w:r w:rsidRPr="00B411D1">
        <w:rPr>
          <w:rFonts w:cs="Arial"/>
          <w:i/>
          <w:iCs/>
          <w:szCs w:val="20"/>
        </w:rPr>
        <w:t>I.1. Inleiding</w:t>
      </w:r>
    </w:p>
    <w:p w:rsidR="000A554F" w:rsidP="008F3067" w:rsidRDefault="000A554F" w14:paraId="21144FFA" w14:textId="77777777">
      <w:pPr>
        <w:ind w:left="708" w:firstLine="0"/>
      </w:pPr>
    </w:p>
    <w:p w:rsidR="00080359" w:rsidRDefault="00A30851" w14:paraId="234CEF35" w14:textId="33EEE26C">
      <w:r w:rsidRPr="00A30851">
        <w:t xml:space="preserve">Met het onderhavige </w:t>
      </w:r>
      <w:r w:rsidR="005C47CD">
        <w:t xml:space="preserve">op </w:t>
      </w:r>
      <w:r w:rsidR="00FF0AEC">
        <w:t xml:space="preserve">29 oktober 2020 </w:t>
      </w:r>
      <w:r w:rsidR="005C47CD">
        <w:t>te</w:t>
      </w:r>
      <w:r w:rsidR="00FF0AEC">
        <w:t xml:space="preserve"> Warschau</w:t>
      </w:r>
      <w:r w:rsidR="00817491">
        <w:t xml:space="preserve"> </w:t>
      </w:r>
      <w:r w:rsidR="005C47CD">
        <w:t xml:space="preserve">ondertekende </w:t>
      </w:r>
      <w:r w:rsidRPr="00A30851">
        <w:t xml:space="preserve">Protocol </w:t>
      </w:r>
      <w:r w:rsidR="00E45797">
        <w:t>(</w:t>
      </w:r>
      <w:r w:rsidRPr="00AB6591" w:rsidR="00AB6591">
        <w:rPr>
          <w:i/>
        </w:rPr>
        <w:t>Trb</w:t>
      </w:r>
      <w:r w:rsidRPr="00AB6591" w:rsidR="00AB6591">
        <w:t>.</w:t>
      </w:r>
      <w:r w:rsidR="00FF0AEC">
        <w:t>2020</w:t>
      </w:r>
      <w:r w:rsidR="00707810">
        <w:t>, 119,</w:t>
      </w:r>
      <w:r w:rsidRPr="00FA6100" w:rsidR="00FA6100">
        <w:t xml:space="preserve"> </w:t>
      </w:r>
      <w:r w:rsidR="00E45797">
        <w:t xml:space="preserve">hierna: ‘het Wijzigingsprotocol’) </w:t>
      </w:r>
      <w:r w:rsidRPr="00A30851">
        <w:t xml:space="preserve">wordt beoogd te komen tot een wijziging van </w:t>
      </w:r>
      <w:r w:rsidR="00A05199">
        <w:t>het</w:t>
      </w:r>
      <w:r w:rsidRPr="00A30851" w:rsidR="00A05199">
        <w:t xml:space="preserve"> </w:t>
      </w:r>
      <w:r w:rsidRPr="00A30851">
        <w:t xml:space="preserve">op </w:t>
      </w:r>
      <w:r w:rsidR="00795045">
        <w:t>13 februari</w:t>
      </w:r>
      <w:r w:rsidR="001E3E06">
        <w:t xml:space="preserve"> </w:t>
      </w:r>
      <w:r w:rsidR="00795045">
        <w:t>2002</w:t>
      </w:r>
      <w:r w:rsidR="001E3E06">
        <w:t xml:space="preserve"> </w:t>
      </w:r>
      <w:r>
        <w:t xml:space="preserve">te </w:t>
      </w:r>
      <w:r w:rsidR="00795045">
        <w:t>Warschau</w:t>
      </w:r>
      <w:r w:rsidR="001E3E06">
        <w:t xml:space="preserve"> </w:t>
      </w:r>
      <w:r w:rsidRPr="00A30851">
        <w:t xml:space="preserve">tot stand gekomen </w:t>
      </w:r>
      <w:r>
        <w:t xml:space="preserve">Verdrag </w:t>
      </w:r>
      <w:r w:rsidRPr="00A30851">
        <w:t xml:space="preserve">tussen het Koninkrijk der Nederlanden en </w:t>
      </w:r>
      <w:r w:rsidR="001B786F">
        <w:t xml:space="preserve">de Republiek Polen </w:t>
      </w:r>
      <w:r w:rsidRPr="00A30851">
        <w:t>tot het vermijden van dubbele belasting en het voorkomen van het ontgaan van belasting met betrekking tot belast</w:t>
      </w:r>
      <w:r w:rsidR="001E3E06">
        <w:t>ingen naar het inkomen</w:t>
      </w:r>
      <w:r>
        <w:t xml:space="preserve">, met Protocol </w:t>
      </w:r>
      <w:r w:rsidRPr="00876499">
        <w:t>(</w:t>
      </w:r>
      <w:r w:rsidRPr="00876499">
        <w:rPr>
          <w:i/>
        </w:rPr>
        <w:t xml:space="preserve">Trb. </w:t>
      </w:r>
      <w:r w:rsidRPr="00795045" w:rsidR="00795045">
        <w:t>2002</w:t>
      </w:r>
      <w:r w:rsidRPr="00795045">
        <w:t xml:space="preserve">, </w:t>
      </w:r>
      <w:r w:rsidRPr="00795045" w:rsidR="00795045">
        <w:t>86</w:t>
      </w:r>
      <w:r w:rsidRPr="00795045">
        <w:t>), hierna</w:t>
      </w:r>
      <w:r>
        <w:t xml:space="preserve"> aangeduid als </w:t>
      </w:r>
      <w:r w:rsidRPr="002D160C">
        <w:t>‘het Verdrag’</w:t>
      </w:r>
      <w:r>
        <w:t xml:space="preserve"> </w:t>
      </w:r>
      <w:r w:rsidRPr="00A30851" w:rsidR="00E5204A">
        <w:t xml:space="preserve">respectievelijk </w:t>
      </w:r>
      <w:r>
        <w:t>'het Protocol bij het Verdrag'</w:t>
      </w:r>
      <w:r w:rsidR="00E5204A">
        <w:t>.</w:t>
      </w:r>
    </w:p>
    <w:p w:rsidR="0055146C" w:rsidP="00CD633C" w:rsidRDefault="00FC3CA1" w14:paraId="59817F5F" w14:textId="3F964BA2">
      <w:pPr>
        <w:rPr>
          <w:rFonts w:cs="Arial"/>
          <w:szCs w:val="20"/>
        </w:rPr>
      </w:pPr>
      <w:r w:rsidRPr="00FC3CA1">
        <w:rPr>
          <w:rFonts w:cs="Arial"/>
          <w:szCs w:val="20"/>
        </w:rPr>
        <w:t xml:space="preserve">Met de in het Wijzigingsprotocol opgenomen bepalingen wordt in hoofdzaak bereikt dat het Verdrag in lijn wordt gebracht met de zogenoemde </w:t>
      </w:r>
      <w:r w:rsidR="00137B6F">
        <w:rPr>
          <w:rFonts w:cs="Arial"/>
          <w:szCs w:val="20"/>
        </w:rPr>
        <w:t>’</w:t>
      </w:r>
      <w:r w:rsidRPr="00FC3CA1">
        <w:rPr>
          <w:rFonts w:cs="Arial"/>
          <w:szCs w:val="20"/>
        </w:rPr>
        <w:t>minimumstandaard</w:t>
      </w:r>
      <w:r w:rsidRPr="007C6194" w:rsidR="00137B6F">
        <w:rPr>
          <w:rFonts w:cs="Arial"/>
          <w:szCs w:val="20"/>
        </w:rPr>
        <w:t>’</w:t>
      </w:r>
      <w:r w:rsidRPr="00FC3CA1">
        <w:rPr>
          <w:rFonts w:cs="Arial"/>
          <w:szCs w:val="20"/>
        </w:rPr>
        <w:t xml:space="preserve"> die is ontwikkeld in het (hierna nader toegelichte) OESO/G20-project </w:t>
      </w:r>
      <w:r w:rsidRPr="00A50949">
        <w:rPr>
          <w:rFonts w:cs="Arial"/>
          <w:i/>
          <w:szCs w:val="20"/>
        </w:rPr>
        <w:t>Addressing Base Erosion &amp; Profit Shifting</w:t>
      </w:r>
      <w:r w:rsidRPr="00FC3CA1">
        <w:rPr>
          <w:rFonts w:cs="Arial"/>
          <w:szCs w:val="20"/>
        </w:rPr>
        <w:t xml:space="preserve"> (hierna: ‘het BEPS-project’).</w:t>
      </w:r>
      <w:r w:rsidR="00080359">
        <w:rPr>
          <w:rFonts w:cs="Arial"/>
          <w:szCs w:val="20"/>
        </w:rPr>
        <w:t xml:space="preserve"> </w:t>
      </w:r>
      <w:r w:rsidRPr="007F6814" w:rsidR="005678B1">
        <w:rPr>
          <w:rFonts w:cs="Arial"/>
          <w:szCs w:val="20"/>
        </w:rPr>
        <w:t xml:space="preserve">Daarnaast wordt met het Wijzigingsprotocol het Verdrag </w:t>
      </w:r>
      <w:r w:rsidR="002F2C70">
        <w:rPr>
          <w:rFonts w:cs="Arial"/>
          <w:szCs w:val="20"/>
        </w:rPr>
        <w:t xml:space="preserve">op een aantal punten geactualiseerd, in aansluiting bij </w:t>
      </w:r>
      <w:r w:rsidR="00752DAF">
        <w:rPr>
          <w:rFonts w:cs="Arial"/>
          <w:szCs w:val="20"/>
        </w:rPr>
        <w:t xml:space="preserve">het </w:t>
      </w:r>
      <w:r w:rsidRPr="00105C67" w:rsidR="00752DAF">
        <w:rPr>
          <w:rFonts w:cs="Arial"/>
          <w:szCs w:val="20"/>
        </w:rPr>
        <w:t>OESO-modelverdrag volgens de tekstversie van 21 november 2017</w:t>
      </w:r>
      <w:r w:rsidR="00752DAF">
        <w:rPr>
          <w:rFonts w:cs="Arial"/>
          <w:szCs w:val="20"/>
        </w:rPr>
        <w:t xml:space="preserve"> (hierna: ‘het OESO-modelverdrag’)</w:t>
      </w:r>
      <w:r w:rsidR="002F2C70">
        <w:rPr>
          <w:rStyle w:val="Voetnootmarkering"/>
          <w:rFonts w:cs="Arial"/>
          <w:szCs w:val="20"/>
        </w:rPr>
        <w:footnoteReference w:id="1"/>
      </w:r>
      <w:r w:rsidR="004C65AE">
        <w:rPr>
          <w:rFonts w:cs="Arial"/>
          <w:szCs w:val="20"/>
        </w:rPr>
        <w:t>,</w:t>
      </w:r>
      <w:r w:rsidR="00080359">
        <w:rPr>
          <w:rFonts w:cs="Arial"/>
          <w:szCs w:val="20"/>
        </w:rPr>
        <w:t xml:space="preserve"> en </w:t>
      </w:r>
      <w:r w:rsidRPr="007F6814" w:rsidR="001A1D95">
        <w:rPr>
          <w:rFonts w:cs="Arial"/>
          <w:szCs w:val="20"/>
        </w:rPr>
        <w:t>wordt de heffings</w:t>
      </w:r>
      <w:r w:rsidR="00080359">
        <w:rPr>
          <w:rFonts w:cs="Arial"/>
          <w:szCs w:val="20"/>
        </w:rPr>
        <w:t>recht</w:t>
      </w:r>
      <w:r w:rsidRPr="007F6814" w:rsidR="001A1D95">
        <w:rPr>
          <w:rFonts w:cs="Arial"/>
          <w:szCs w:val="20"/>
        </w:rPr>
        <w:t xml:space="preserve">verdeling </w:t>
      </w:r>
      <w:r w:rsidR="00080359">
        <w:rPr>
          <w:rFonts w:cs="Arial"/>
          <w:szCs w:val="20"/>
        </w:rPr>
        <w:t xml:space="preserve">op enkele punten </w:t>
      </w:r>
      <w:r w:rsidRPr="007F6814" w:rsidR="001A1D95">
        <w:rPr>
          <w:rFonts w:cs="Arial"/>
          <w:szCs w:val="20"/>
        </w:rPr>
        <w:t>herzien</w:t>
      </w:r>
      <w:r w:rsidR="001454F8">
        <w:rPr>
          <w:rFonts w:cs="Arial"/>
          <w:szCs w:val="20"/>
        </w:rPr>
        <w:t xml:space="preserve">; dit betreft met name </w:t>
      </w:r>
      <w:r w:rsidR="003D3760">
        <w:rPr>
          <w:rFonts w:cs="Arial"/>
          <w:szCs w:val="20"/>
        </w:rPr>
        <w:t xml:space="preserve">de voordelen behaald bij de vervreemding van aandelen in zogenoemde </w:t>
      </w:r>
      <w:r w:rsidR="00137B6F">
        <w:rPr>
          <w:rFonts w:cs="Arial"/>
          <w:szCs w:val="20"/>
        </w:rPr>
        <w:t>‘</w:t>
      </w:r>
      <w:r w:rsidR="003D3760">
        <w:rPr>
          <w:rFonts w:cs="Arial"/>
          <w:szCs w:val="20"/>
        </w:rPr>
        <w:t>onroerendezaaklichamen</w:t>
      </w:r>
      <w:r w:rsidR="00137B6F">
        <w:rPr>
          <w:rFonts w:cs="Arial"/>
          <w:szCs w:val="20"/>
        </w:rPr>
        <w:t>’</w:t>
      </w:r>
      <w:r w:rsidR="003D3760">
        <w:rPr>
          <w:rFonts w:cs="Arial"/>
          <w:szCs w:val="20"/>
        </w:rPr>
        <w:t xml:space="preserve"> en pensioenuitkeringen</w:t>
      </w:r>
      <w:r w:rsidRPr="007F6814" w:rsidR="001A1D95">
        <w:rPr>
          <w:rFonts w:cs="Arial"/>
          <w:szCs w:val="20"/>
        </w:rPr>
        <w:t>.</w:t>
      </w:r>
      <w:r w:rsidRPr="007F6814" w:rsidR="00DE59D0">
        <w:rPr>
          <w:rFonts w:cs="Arial"/>
          <w:szCs w:val="20"/>
        </w:rPr>
        <w:t xml:space="preserve"> </w:t>
      </w:r>
      <w:r w:rsidR="00080359">
        <w:rPr>
          <w:rFonts w:cs="Arial"/>
          <w:szCs w:val="20"/>
        </w:rPr>
        <w:t xml:space="preserve">In </w:t>
      </w:r>
      <w:r w:rsidR="003A19C1">
        <w:rPr>
          <w:rFonts w:cs="Arial"/>
          <w:szCs w:val="20"/>
        </w:rPr>
        <w:t xml:space="preserve">onderdeel </w:t>
      </w:r>
      <w:r w:rsidR="00080359">
        <w:rPr>
          <w:rFonts w:cs="Arial"/>
          <w:szCs w:val="20"/>
        </w:rPr>
        <w:t xml:space="preserve">I.3. van deze </w:t>
      </w:r>
      <w:r w:rsidR="003A19C1">
        <w:rPr>
          <w:rFonts w:cs="Arial"/>
          <w:szCs w:val="20"/>
        </w:rPr>
        <w:t xml:space="preserve">toelichtende </w:t>
      </w:r>
      <w:r w:rsidR="00080359">
        <w:rPr>
          <w:rFonts w:cs="Arial"/>
          <w:szCs w:val="20"/>
        </w:rPr>
        <w:t xml:space="preserve">nota worden </w:t>
      </w:r>
      <w:r w:rsidR="00035E98">
        <w:rPr>
          <w:rFonts w:cs="Arial"/>
          <w:szCs w:val="20"/>
        </w:rPr>
        <w:t>de meer materi</w:t>
      </w:r>
      <w:r w:rsidR="00E84066">
        <w:rPr>
          <w:rFonts w:cs="Arial"/>
          <w:szCs w:val="20"/>
        </w:rPr>
        <w:t>ë</w:t>
      </w:r>
      <w:r w:rsidR="00035E98">
        <w:rPr>
          <w:rFonts w:cs="Arial"/>
          <w:szCs w:val="20"/>
        </w:rPr>
        <w:t xml:space="preserve">le </w:t>
      </w:r>
      <w:r w:rsidR="00080359">
        <w:rPr>
          <w:rFonts w:cs="Arial"/>
          <w:szCs w:val="20"/>
        </w:rPr>
        <w:t>wijzigingen benoemd.</w:t>
      </w:r>
    </w:p>
    <w:p w:rsidRPr="00773366" w:rsidR="00773366" w:rsidP="00CD633C" w:rsidRDefault="0055146C" w14:paraId="5800456A" w14:textId="77777777">
      <w:pPr>
        <w:rPr>
          <w:rFonts w:cs="Arial"/>
          <w:szCs w:val="20"/>
        </w:rPr>
      </w:pPr>
      <w:r>
        <w:rPr>
          <w:rFonts w:cs="Arial"/>
          <w:szCs w:val="20"/>
        </w:rPr>
        <w:t xml:space="preserve">De Nederlandse inzet bij de onderhandelingen over dit Wijzigingsprotocol </w:t>
      </w:r>
      <w:r w:rsidRPr="0055146C">
        <w:rPr>
          <w:rFonts w:cs="Arial"/>
          <w:szCs w:val="20"/>
        </w:rPr>
        <w:t>is gebaseerd op het Nederlandse verdragsbeleid zoals uiteengezet in de Notitie Fiscaal Verdragsbeleid 2011</w:t>
      </w:r>
      <w:r>
        <w:rPr>
          <w:rStyle w:val="Voetnootmarkering"/>
          <w:rFonts w:cs="Arial"/>
          <w:szCs w:val="20"/>
        </w:rPr>
        <w:footnoteReference w:id="2"/>
      </w:r>
      <w:r w:rsidRPr="0055146C">
        <w:rPr>
          <w:rFonts w:cs="Arial"/>
          <w:szCs w:val="20"/>
        </w:rPr>
        <w:t xml:space="preserve"> (hierna: ‘NFV 2011’) en, wat betreft het tegengaan van het ontduiken en ontwijken van belasting, </w:t>
      </w:r>
      <w:r w:rsidR="00CD38FA">
        <w:rPr>
          <w:rFonts w:cs="Arial"/>
          <w:szCs w:val="20"/>
        </w:rPr>
        <w:t>in lijn met</w:t>
      </w:r>
      <w:r w:rsidR="007E2AE6">
        <w:rPr>
          <w:rFonts w:cs="Arial"/>
          <w:szCs w:val="20"/>
        </w:rPr>
        <w:t xml:space="preserve"> </w:t>
      </w:r>
      <w:r w:rsidRPr="0055146C">
        <w:rPr>
          <w:rFonts w:cs="Arial"/>
          <w:szCs w:val="20"/>
        </w:rPr>
        <w:t>de kabinetsappreciatie</w:t>
      </w:r>
      <w:r>
        <w:rPr>
          <w:rStyle w:val="Voetnootmarkering"/>
          <w:rFonts w:cs="Arial"/>
          <w:szCs w:val="20"/>
        </w:rPr>
        <w:footnoteReference w:id="3"/>
      </w:r>
      <w:r w:rsidRPr="0055146C">
        <w:rPr>
          <w:rFonts w:cs="Arial"/>
          <w:szCs w:val="20"/>
        </w:rPr>
        <w:t xml:space="preserve"> van de op 5 oktober 2015 gepubliceerde definitieve actierapporten van het </w:t>
      </w:r>
      <w:r>
        <w:rPr>
          <w:rFonts w:cs="Arial"/>
          <w:szCs w:val="20"/>
        </w:rPr>
        <w:lastRenderedPageBreak/>
        <w:t>BEPS-</w:t>
      </w:r>
      <w:r w:rsidRPr="0055146C">
        <w:rPr>
          <w:rFonts w:cs="Arial"/>
          <w:szCs w:val="20"/>
        </w:rPr>
        <w:t>project en de in de brief van 28 oktober 2016</w:t>
      </w:r>
      <w:r>
        <w:rPr>
          <w:rStyle w:val="Voetnootmarkering"/>
          <w:rFonts w:cs="Arial"/>
          <w:szCs w:val="20"/>
        </w:rPr>
        <w:footnoteReference w:id="4"/>
      </w:r>
      <w:r w:rsidRPr="0055146C">
        <w:rPr>
          <w:rFonts w:cs="Arial"/>
          <w:szCs w:val="20"/>
        </w:rPr>
        <w:t xml:space="preserve"> gegeven reactie op het door de OESO ontwikkelde Multilaterale Instrument</w:t>
      </w:r>
      <w:r w:rsidR="00733E96">
        <w:rPr>
          <w:rFonts w:cs="Arial"/>
          <w:szCs w:val="20"/>
        </w:rPr>
        <w:t xml:space="preserve"> (</w:t>
      </w:r>
      <w:r w:rsidRPr="0055146C" w:rsidR="00DC09C7">
        <w:rPr>
          <w:rFonts w:cs="Arial"/>
          <w:szCs w:val="20"/>
        </w:rPr>
        <w:t xml:space="preserve">hierna: </w:t>
      </w:r>
      <w:r w:rsidR="00DC09C7">
        <w:rPr>
          <w:rFonts w:cs="Arial"/>
          <w:szCs w:val="20"/>
        </w:rPr>
        <w:t>‘</w:t>
      </w:r>
      <w:r w:rsidR="001C4AA8">
        <w:rPr>
          <w:rFonts w:cs="Arial"/>
          <w:szCs w:val="20"/>
        </w:rPr>
        <w:t xml:space="preserve">het </w:t>
      </w:r>
      <w:r w:rsidR="00733E96">
        <w:rPr>
          <w:rFonts w:cs="Arial"/>
          <w:szCs w:val="20"/>
        </w:rPr>
        <w:t>MLI</w:t>
      </w:r>
      <w:r w:rsidR="00DC09C7">
        <w:rPr>
          <w:rFonts w:cs="Arial"/>
          <w:szCs w:val="20"/>
        </w:rPr>
        <w:t>’</w:t>
      </w:r>
      <w:r w:rsidR="00733E96">
        <w:rPr>
          <w:rFonts w:cs="Arial"/>
          <w:szCs w:val="20"/>
        </w:rPr>
        <w:t>)</w:t>
      </w:r>
      <w:r>
        <w:rPr>
          <w:rStyle w:val="Voetnootmarkering"/>
          <w:rFonts w:cs="Arial"/>
          <w:szCs w:val="20"/>
        </w:rPr>
        <w:footnoteReference w:id="5"/>
      </w:r>
      <w:r w:rsidRPr="0055146C">
        <w:rPr>
          <w:rFonts w:cs="Arial"/>
          <w:szCs w:val="20"/>
        </w:rPr>
        <w:t xml:space="preserve"> om de in het BEPS-project ontwikkelde verdragsbepalingen te implementeren. In de artikelsgewijze toelichting wordt hier bij de relevante artikelen nader op ingegaan.</w:t>
      </w:r>
    </w:p>
    <w:p w:rsidRPr="00C609B7" w:rsidR="00C609B7" w:rsidP="00AF57DA" w:rsidRDefault="006D2A38" w14:paraId="1D73CE8C" w14:textId="77777777">
      <w:pPr>
        <w:ind w:firstLine="567"/>
        <w:rPr>
          <w:rFonts w:cs="Arial"/>
          <w:szCs w:val="20"/>
        </w:rPr>
      </w:pPr>
      <w:r w:rsidRPr="00772FD6">
        <w:rPr>
          <w:rFonts w:cs="Arial"/>
        </w:rPr>
        <w:t xml:space="preserve">Naar het oordeel van de </w:t>
      </w:r>
      <w:r w:rsidRPr="00772FD6">
        <w:rPr>
          <w:rFonts w:cs="Arial"/>
          <w:szCs w:val="20"/>
        </w:rPr>
        <w:t>regering bevat</w:t>
      </w:r>
      <w:r w:rsidRPr="00772FD6" w:rsidR="008F4525">
        <w:rPr>
          <w:rFonts w:cs="Arial"/>
          <w:szCs w:val="20"/>
        </w:rPr>
        <w:t xml:space="preserve">ten alle artikelen, afgezien van </w:t>
      </w:r>
      <w:r w:rsidRPr="00772FD6" w:rsidR="00607AC7">
        <w:rPr>
          <w:rFonts w:cs="Arial"/>
          <w:szCs w:val="20"/>
        </w:rPr>
        <w:t xml:space="preserve">de </w:t>
      </w:r>
      <w:r w:rsidRPr="00772FD6" w:rsidR="008F4525">
        <w:rPr>
          <w:rFonts w:cs="Arial"/>
          <w:szCs w:val="20"/>
        </w:rPr>
        <w:t xml:space="preserve">artikelen </w:t>
      </w:r>
      <w:r w:rsidRPr="00642B1B" w:rsidR="00772FD6">
        <w:rPr>
          <w:rFonts w:cs="Arial"/>
          <w:szCs w:val="20"/>
        </w:rPr>
        <w:t>1</w:t>
      </w:r>
      <w:r w:rsidRPr="00642B1B" w:rsidR="00705268">
        <w:rPr>
          <w:rFonts w:cs="Arial"/>
          <w:szCs w:val="20"/>
        </w:rPr>
        <w:t xml:space="preserve">, </w:t>
      </w:r>
      <w:r w:rsidR="00642B1B">
        <w:rPr>
          <w:rFonts w:cs="Arial"/>
          <w:szCs w:val="20"/>
        </w:rPr>
        <w:t xml:space="preserve">14, </w:t>
      </w:r>
      <w:r w:rsidRPr="00642B1B" w:rsidR="00772FD6">
        <w:rPr>
          <w:rFonts w:cs="Arial"/>
          <w:szCs w:val="20"/>
        </w:rPr>
        <w:t>16, 17</w:t>
      </w:r>
      <w:r w:rsidR="00B41451">
        <w:rPr>
          <w:rFonts w:cs="Arial"/>
          <w:szCs w:val="20"/>
        </w:rPr>
        <w:t>, 19, 22, 23, 24, 25</w:t>
      </w:r>
      <w:r w:rsidRPr="00642B1B" w:rsidR="00F47B9D">
        <w:rPr>
          <w:rFonts w:cs="Arial"/>
          <w:szCs w:val="20"/>
        </w:rPr>
        <w:t xml:space="preserve"> </w:t>
      </w:r>
      <w:r w:rsidRPr="00642B1B" w:rsidR="00772FD6">
        <w:rPr>
          <w:rFonts w:cs="Arial"/>
          <w:szCs w:val="20"/>
        </w:rPr>
        <w:t>en 2</w:t>
      </w:r>
      <w:r w:rsidR="00B41451">
        <w:rPr>
          <w:rFonts w:cs="Arial"/>
          <w:szCs w:val="20"/>
        </w:rPr>
        <w:t>8</w:t>
      </w:r>
      <w:r w:rsidRPr="00772FD6" w:rsidR="00BC154A">
        <w:rPr>
          <w:rFonts w:cs="Arial"/>
          <w:szCs w:val="20"/>
        </w:rPr>
        <w:t xml:space="preserve"> </w:t>
      </w:r>
      <w:r w:rsidRPr="00772FD6" w:rsidR="008F4525">
        <w:rPr>
          <w:rFonts w:cs="Arial"/>
          <w:szCs w:val="20"/>
        </w:rPr>
        <w:t>van</w:t>
      </w:r>
      <w:r w:rsidRPr="00772FD6" w:rsidR="009A7556">
        <w:rPr>
          <w:rFonts w:cs="Arial"/>
          <w:szCs w:val="20"/>
        </w:rPr>
        <w:t xml:space="preserve"> </w:t>
      </w:r>
      <w:r w:rsidRPr="00772FD6" w:rsidR="00C609B7">
        <w:rPr>
          <w:rFonts w:cs="Arial"/>
          <w:szCs w:val="20"/>
        </w:rPr>
        <w:t>het Wijzigingsprotocol eenieder verbindende bepalingen in de zin van de</w:t>
      </w:r>
      <w:r w:rsidRPr="00C609B7" w:rsidR="00C609B7">
        <w:rPr>
          <w:rFonts w:cs="Arial"/>
          <w:szCs w:val="20"/>
        </w:rPr>
        <w:t xml:space="preserve"> artikelen 93 en 94 Grondwet, die </w:t>
      </w:r>
      <w:r w:rsidRPr="00782421" w:rsidR="00C609B7">
        <w:rPr>
          <w:rFonts w:cs="Arial"/>
          <w:szCs w:val="20"/>
        </w:rPr>
        <w:t>aan de burger rechtstreeks</w:t>
      </w:r>
      <w:r w:rsidRPr="00C609B7" w:rsidR="00C609B7">
        <w:rPr>
          <w:rFonts w:cs="Arial"/>
          <w:szCs w:val="20"/>
        </w:rPr>
        <w:t xml:space="preserve"> rechten toekennen of plichten opleggen. </w:t>
      </w:r>
    </w:p>
    <w:p w:rsidRPr="000A554F" w:rsidR="000A554F" w:rsidP="008F3067" w:rsidRDefault="000A554F" w14:paraId="7EC79EEE" w14:textId="77777777">
      <w:pPr>
        <w:ind w:firstLine="0"/>
        <w:rPr>
          <w:rFonts w:cs="Arial"/>
          <w:i/>
          <w:iCs/>
          <w:szCs w:val="20"/>
        </w:rPr>
      </w:pPr>
    </w:p>
    <w:p w:rsidR="00773366" w:rsidP="00773366" w:rsidRDefault="00C92ECF" w14:paraId="4B291B01" w14:textId="77777777">
      <w:pPr>
        <w:ind w:firstLine="0"/>
        <w:rPr>
          <w:rFonts w:cs="Arial"/>
          <w:szCs w:val="20"/>
        </w:rPr>
      </w:pPr>
      <w:r w:rsidRPr="000A554F">
        <w:rPr>
          <w:rFonts w:cs="Arial"/>
          <w:i/>
          <w:iCs/>
          <w:szCs w:val="20"/>
        </w:rPr>
        <w:t>I</w:t>
      </w:r>
      <w:r w:rsidRPr="000A554F" w:rsidR="00D82BA6">
        <w:rPr>
          <w:rFonts w:cs="Arial"/>
          <w:i/>
          <w:iCs/>
          <w:szCs w:val="20"/>
        </w:rPr>
        <w:t xml:space="preserve">.2 </w:t>
      </w:r>
      <w:r w:rsidRPr="000A554F" w:rsidR="002D160C">
        <w:rPr>
          <w:rFonts w:cs="Arial"/>
          <w:i/>
          <w:iCs/>
          <w:szCs w:val="20"/>
        </w:rPr>
        <w:t>Aanleiding voor en verloop van de onderhandelingen</w:t>
      </w:r>
      <w:r w:rsidRPr="000A554F">
        <w:tab/>
      </w:r>
      <w:r w:rsidR="00773366">
        <w:br/>
      </w:r>
    </w:p>
    <w:p w:rsidR="007C6D2A" w:rsidP="007C6D2A" w:rsidRDefault="00773366" w14:paraId="02FDC9A9" w14:textId="77777777">
      <w:pPr>
        <w:ind w:firstLine="708"/>
      </w:pPr>
      <w:r w:rsidRPr="00773366">
        <w:rPr>
          <w:rFonts w:cs="Arial"/>
          <w:szCs w:val="20"/>
        </w:rPr>
        <w:t>De onderhandelingen over het Wijzigingsprotocol zijn in eerste instantie gevoerd</w:t>
      </w:r>
      <w:r>
        <w:rPr>
          <w:rFonts w:cs="Arial"/>
          <w:szCs w:val="20"/>
        </w:rPr>
        <w:t xml:space="preserve"> op verzoek van Polen. </w:t>
      </w:r>
      <w:r w:rsidRPr="00773366">
        <w:t xml:space="preserve">In 2006 heeft Polen de wens kenbaar gemaakt tot het sluiten van een wijzigingsprotocol bij het Verdrag. Achtergrond voor dit verzoek was dat Polen </w:t>
      </w:r>
      <w:r w:rsidR="00143311">
        <w:t xml:space="preserve">destijds </w:t>
      </w:r>
      <w:r w:rsidR="006D5ABC">
        <w:t xml:space="preserve">in de nationale wetgeving </w:t>
      </w:r>
      <w:r w:rsidR="00143311">
        <w:t>een vrijstellingsmethode wilde invoeren voor bepaalde inkom</w:t>
      </w:r>
      <w:r w:rsidR="006D5ABC">
        <w:t>st</w:t>
      </w:r>
      <w:r w:rsidR="00143311">
        <w:t>en uit arbeid en</w:t>
      </w:r>
      <w:r w:rsidR="000034C4">
        <w:t xml:space="preserve"> pensioen</w:t>
      </w:r>
      <w:r w:rsidR="006D5ABC">
        <w:t>en</w:t>
      </w:r>
      <w:r w:rsidR="00143311">
        <w:t xml:space="preserve"> </w:t>
      </w:r>
      <w:r w:rsidR="006D5ABC">
        <w:t xml:space="preserve">en in lijn hiermee </w:t>
      </w:r>
      <w:r w:rsidRPr="00773366">
        <w:t>haar belastingverdragen met EU</w:t>
      </w:r>
      <w:r w:rsidR="007E2AE6">
        <w:t>-</w:t>
      </w:r>
      <w:r w:rsidRPr="00773366">
        <w:t>lidstaten en EER</w:t>
      </w:r>
      <w:r w:rsidR="007E2AE6">
        <w:t>-</w:t>
      </w:r>
      <w:r w:rsidRPr="00773366">
        <w:t xml:space="preserve">lidstaten </w:t>
      </w:r>
      <w:r w:rsidR="00F85EE6">
        <w:t>op dit punt wilde aanpassen</w:t>
      </w:r>
      <w:r w:rsidR="007E2AE6">
        <w:t>.</w:t>
      </w:r>
    </w:p>
    <w:p w:rsidRPr="00BF008E" w:rsidR="00EA03C1" w:rsidP="00EA03C1" w:rsidRDefault="00B52DDD" w14:paraId="5D2E1922" w14:textId="03E06E3B">
      <w:pPr>
        <w:tabs>
          <w:tab w:val="left" w:pos="-720"/>
          <w:tab w:val="left" w:pos="-288"/>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rPr>
          <w:rFonts w:cs="Arial"/>
          <w:szCs w:val="20"/>
        </w:rPr>
      </w:pPr>
      <w:r>
        <w:t xml:space="preserve">Een eerste onderhandelingsronde met Polen vond </w:t>
      </w:r>
      <w:r w:rsidR="007C6D2A">
        <w:t xml:space="preserve">plaats </w:t>
      </w:r>
      <w:r>
        <w:t>in W</w:t>
      </w:r>
      <w:r w:rsidR="00FC3CA1">
        <w:t>arschau in november 2007</w:t>
      </w:r>
      <w:r w:rsidR="008454AA">
        <w:t xml:space="preserve">, maar er kon toen </w:t>
      </w:r>
      <w:r w:rsidR="007C6D2A">
        <w:t xml:space="preserve">geen overeenstemming bereikt worden over </w:t>
      </w:r>
      <w:r w:rsidR="00F47B9D">
        <w:t xml:space="preserve">de inhoud </w:t>
      </w:r>
      <w:r w:rsidR="002F05A1">
        <w:t xml:space="preserve">van </w:t>
      </w:r>
      <w:r w:rsidR="008454AA">
        <w:t>een w</w:t>
      </w:r>
      <w:r w:rsidR="002F05A1">
        <w:t>ijzigingsprotocol</w:t>
      </w:r>
      <w:r w:rsidR="008454AA">
        <w:t xml:space="preserve">. </w:t>
      </w:r>
      <w:r w:rsidR="00B436B7">
        <w:t>Op initiatief van Nederland</w:t>
      </w:r>
      <w:r w:rsidR="008454AA">
        <w:t xml:space="preserve"> heeft een </w:t>
      </w:r>
      <w:r w:rsidR="007C6D2A">
        <w:t>t</w:t>
      </w:r>
      <w:r w:rsidR="002F05A1">
        <w:t>weede onderhandelingsronde</w:t>
      </w:r>
      <w:r w:rsidR="007C6D2A">
        <w:t xml:space="preserve"> plaats</w:t>
      </w:r>
      <w:r w:rsidR="008454AA">
        <w:t>gevonden</w:t>
      </w:r>
      <w:r w:rsidR="002F05A1">
        <w:t xml:space="preserve"> </w:t>
      </w:r>
      <w:r w:rsidRPr="00B52DDD" w:rsidR="002F05A1">
        <w:rPr>
          <w:rFonts w:cs="Arial"/>
          <w:szCs w:val="20"/>
        </w:rPr>
        <w:t xml:space="preserve">in </w:t>
      </w:r>
      <w:r w:rsidR="002F05A1">
        <w:t xml:space="preserve">april 2014 </w:t>
      </w:r>
      <w:r w:rsidRPr="00B52DDD" w:rsidR="002F05A1">
        <w:rPr>
          <w:rFonts w:cs="Arial"/>
          <w:szCs w:val="20"/>
        </w:rPr>
        <w:t>in Den Haag</w:t>
      </w:r>
      <w:r w:rsidR="002F05A1">
        <w:rPr>
          <w:rFonts w:cs="Arial"/>
          <w:szCs w:val="20"/>
        </w:rPr>
        <w:t xml:space="preserve">. </w:t>
      </w:r>
      <w:r w:rsidR="007C6D2A">
        <w:rPr>
          <w:rFonts w:cs="Arial"/>
          <w:szCs w:val="20"/>
        </w:rPr>
        <w:t xml:space="preserve">Er is toen een </w:t>
      </w:r>
      <w:r w:rsidR="00F47B9D">
        <w:rPr>
          <w:rFonts w:cs="Arial"/>
          <w:szCs w:val="20"/>
        </w:rPr>
        <w:t>akkoord bereikt over de inhoud</w:t>
      </w:r>
      <w:r w:rsidR="007C6D2A">
        <w:rPr>
          <w:rFonts w:cs="Arial"/>
          <w:szCs w:val="20"/>
        </w:rPr>
        <w:t xml:space="preserve"> van het Wijzigingsprotocol, maar t</w:t>
      </w:r>
      <w:r w:rsidR="002F05A1">
        <w:rPr>
          <w:rFonts w:cs="Arial"/>
          <w:szCs w:val="20"/>
        </w:rPr>
        <w:t xml:space="preserve">ot ondertekening is het </w:t>
      </w:r>
      <w:r w:rsidR="008771D7">
        <w:rPr>
          <w:rFonts w:cs="Arial"/>
          <w:szCs w:val="20"/>
        </w:rPr>
        <w:t xml:space="preserve">daarna niet </w:t>
      </w:r>
      <w:r w:rsidR="002F05A1">
        <w:rPr>
          <w:rFonts w:cs="Arial"/>
          <w:szCs w:val="20"/>
        </w:rPr>
        <w:t>gekomen</w:t>
      </w:r>
      <w:r w:rsidR="008454AA">
        <w:rPr>
          <w:rFonts w:cs="Arial"/>
          <w:szCs w:val="20"/>
        </w:rPr>
        <w:t xml:space="preserve"> vanwege </w:t>
      </w:r>
      <w:r w:rsidR="0031508B">
        <w:rPr>
          <w:rFonts w:cs="Arial"/>
          <w:szCs w:val="20"/>
        </w:rPr>
        <w:t xml:space="preserve">aanvullende wensen </w:t>
      </w:r>
      <w:r w:rsidR="000153C2">
        <w:rPr>
          <w:rFonts w:cs="Arial"/>
          <w:szCs w:val="20"/>
        </w:rPr>
        <w:t xml:space="preserve">naderhand </w:t>
      </w:r>
      <w:r w:rsidR="008454AA">
        <w:rPr>
          <w:rFonts w:cs="Arial"/>
          <w:szCs w:val="20"/>
        </w:rPr>
        <w:t xml:space="preserve">van Polen </w:t>
      </w:r>
      <w:r w:rsidR="0031508B">
        <w:rPr>
          <w:rFonts w:cs="Arial"/>
          <w:szCs w:val="20"/>
        </w:rPr>
        <w:t xml:space="preserve">met betrekking tot </w:t>
      </w:r>
      <w:r w:rsidR="0031508B">
        <w:t>het heffingsrecht</w:t>
      </w:r>
      <w:r w:rsidRPr="002E2B8F" w:rsidR="0031508B">
        <w:t xml:space="preserve"> over vermogenswinsten behaald met de vervreemding van aandelen of vergelijkbare belangen in zogenoemde onroerendezaaklichamen</w:t>
      </w:r>
      <w:r w:rsidR="008454AA">
        <w:t xml:space="preserve"> en vanwege de Pools</w:t>
      </w:r>
      <w:r w:rsidR="00683642">
        <w:t>e</w:t>
      </w:r>
      <w:r w:rsidR="008454AA">
        <w:t xml:space="preserve"> </w:t>
      </w:r>
      <w:r w:rsidR="007E2AE6">
        <w:t xml:space="preserve">wens </w:t>
      </w:r>
      <w:r w:rsidR="008454AA">
        <w:t>t</w:t>
      </w:r>
      <w:r w:rsidR="000153C2">
        <w:t xml:space="preserve">erug te keren naar toepassing van de </w:t>
      </w:r>
      <w:r w:rsidR="000034C4">
        <w:t>verrekeningsmethode</w:t>
      </w:r>
      <w:r w:rsidRPr="0002096B" w:rsidR="0002096B">
        <w:t xml:space="preserve"> </w:t>
      </w:r>
      <w:r w:rsidR="0002096B">
        <w:t>voor bepaalde inkomsten uit arbeid en pensioenen</w:t>
      </w:r>
      <w:r w:rsidR="000034C4">
        <w:t>.</w:t>
      </w:r>
      <w:r w:rsidDel="0031508B" w:rsidR="0031508B">
        <w:rPr>
          <w:rFonts w:cs="Arial"/>
          <w:szCs w:val="20"/>
        </w:rPr>
        <w:t xml:space="preserve"> </w:t>
      </w:r>
      <w:r w:rsidRPr="00BF008E" w:rsidR="00EA03C1">
        <w:rPr>
          <w:rFonts w:cs="Arial"/>
          <w:szCs w:val="20"/>
        </w:rPr>
        <w:t>Voordat de onderhandelingen hierover waren afgerond, werden (op 5 oktober 201</w:t>
      </w:r>
      <w:r w:rsidR="00297C67">
        <w:rPr>
          <w:rFonts w:cs="Arial"/>
          <w:szCs w:val="20"/>
        </w:rPr>
        <w:t>5</w:t>
      </w:r>
      <w:r w:rsidRPr="00BF008E" w:rsidR="00EA03C1">
        <w:rPr>
          <w:rFonts w:cs="Arial"/>
          <w:szCs w:val="20"/>
        </w:rPr>
        <w:t xml:space="preserve">) de uitkomsten van </w:t>
      </w:r>
      <w:r w:rsidR="00297C67">
        <w:rPr>
          <w:rFonts w:cs="Arial"/>
          <w:szCs w:val="20"/>
        </w:rPr>
        <w:t xml:space="preserve">het </w:t>
      </w:r>
      <w:r w:rsidR="00EA03C1">
        <w:rPr>
          <w:rFonts w:cs="Arial"/>
          <w:szCs w:val="20"/>
        </w:rPr>
        <w:t>BEPS</w:t>
      </w:r>
      <w:r w:rsidRPr="00BF008E" w:rsidR="00EA03C1">
        <w:rPr>
          <w:rFonts w:cs="Arial"/>
          <w:szCs w:val="20"/>
        </w:rPr>
        <w:t xml:space="preserve">-project </w:t>
      </w:r>
      <w:r w:rsidR="00EA03C1">
        <w:rPr>
          <w:rFonts w:cs="Arial"/>
          <w:szCs w:val="20"/>
        </w:rPr>
        <w:t>gepubliceerd. Polen</w:t>
      </w:r>
      <w:r w:rsidRPr="00BF008E" w:rsidR="00EA03C1">
        <w:rPr>
          <w:rFonts w:cs="Arial"/>
          <w:szCs w:val="20"/>
        </w:rPr>
        <w:t xml:space="preserve"> en Nederland hebben toen besloten </w:t>
      </w:r>
      <w:r w:rsidR="00EA03C1">
        <w:rPr>
          <w:rFonts w:cs="Arial"/>
          <w:szCs w:val="20"/>
        </w:rPr>
        <w:t xml:space="preserve">om </w:t>
      </w:r>
      <w:r w:rsidRPr="00BF008E" w:rsidR="00EA03C1">
        <w:rPr>
          <w:rFonts w:cs="Arial"/>
          <w:szCs w:val="20"/>
        </w:rPr>
        <w:t xml:space="preserve">de in dat kader ontwikkelde </w:t>
      </w:r>
      <w:r w:rsidR="00D4363D">
        <w:rPr>
          <w:rFonts w:cs="Arial"/>
          <w:szCs w:val="20"/>
        </w:rPr>
        <w:t>model</w:t>
      </w:r>
      <w:r w:rsidR="00EA03C1">
        <w:rPr>
          <w:rFonts w:cs="Arial"/>
          <w:szCs w:val="20"/>
        </w:rPr>
        <w:t xml:space="preserve">verdragsbepalingen niet via het </w:t>
      </w:r>
      <w:r w:rsidR="00207702">
        <w:rPr>
          <w:rFonts w:cs="Arial"/>
          <w:szCs w:val="20"/>
        </w:rPr>
        <w:t>MLI</w:t>
      </w:r>
      <w:r w:rsidR="001C4AA8">
        <w:rPr>
          <w:rFonts w:cs="Arial"/>
          <w:szCs w:val="20"/>
        </w:rPr>
        <w:t xml:space="preserve"> </w:t>
      </w:r>
      <w:r w:rsidR="00EA03C1">
        <w:rPr>
          <w:rFonts w:cs="Arial"/>
          <w:szCs w:val="20"/>
        </w:rPr>
        <w:t xml:space="preserve">te implementeren maar om </w:t>
      </w:r>
      <w:r w:rsidR="0062496A">
        <w:rPr>
          <w:rFonts w:cs="Arial"/>
          <w:szCs w:val="20"/>
        </w:rPr>
        <w:t>deze te verwerken</w:t>
      </w:r>
      <w:r w:rsidR="00EA03C1">
        <w:rPr>
          <w:rFonts w:cs="Arial"/>
          <w:szCs w:val="20"/>
        </w:rPr>
        <w:t xml:space="preserve"> in het Wijzigingsprotocol vanwege de </w:t>
      </w:r>
      <w:r w:rsidR="0062496A">
        <w:rPr>
          <w:rFonts w:cs="Arial"/>
          <w:szCs w:val="20"/>
        </w:rPr>
        <w:t xml:space="preserve">op dat moment </w:t>
      </w:r>
      <w:r w:rsidR="00EA03C1">
        <w:rPr>
          <w:rFonts w:cs="Arial"/>
          <w:szCs w:val="20"/>
        </w:rPr>
        <w:t>al vergevorderde bilaterale verdragsonderhandelingen.</w:t>
      </w:r>
      <w:r w:rsidRPr="00BF008E" w:rsidR="00EA03C1">
        <w:rPr>
          <w:rStyle w:val="Voetnootmarkering"/>
          <w:rFonts w:cs="Arial"/>
          <w:szCs w:val="20"/>
        </w:rPr>
        <w:footnoteReference w:id="6"/>
      </w:r>
      <w:r w:rsidR="00EA03C1">
        <w:rPr>
          <w:rFonts w:cs="Arial"/>
          <w:szCs w:val="20"/>
        </w:rPr>
        <w:t xml:space="preserve"> Dit vormde een katalysator voor de verdere onderhandelingen.</w:t>
      </w:r>
      <w:r w:rsidR="00912F05">
        <w:rPr>
          <w:rFonts w:cs="Arial"/>
          <w:szCs w:val="20"/>
        </w:rPr>
        <w:t xml:space="preserve"> Tegelijkertijd</w:t>
      </w:r>
      <w:r w:rsidR="00F85EE6">
        <w:rPr>
          <w:rFonts w:cs="Arial"/>
          <w:szCs w:val="20"/>
        </w:rPr>
        <w:t xml:space="preserve"> heeft Nederland van de gelegenheid gebruikgemaakt </w:t>
      </w:r>
      <w:r w:rsidR="000153C2">
        <w:rPr>
          <w:rFonts w:cs="Arial"/>
          <w:szCs w:val="20"/>
        </w:rPr>
        <w:t xml:space="preserve">een </w:t>
      </w:r>
      <w:r w:rsidR="00912F05">
        <w:rPr>
          <w:rFonts w:cs="Arial"/>
          <w:szCs w:val="20"/>
        </w:rPr>
        <w:t xml:space="preserve">aanpassing </w:t>
      </w:r>
      <w:r w:rsidR="000153C2">
        <w:rPr>
          <w:rFonts w:cs="Arial"/>
          <w:szCs w:val="20"/>
        </w:rPr>
        <w:t xml:space="preserve">voor te stellen </w:t>
      </w:r>
      <w:r w:rsidR="00912F05">
        <w:rPr>
          <w:rFonts w:cs="Arial"/>
          <w:szCs w:val="20"/>
        </w:rPr>
        <w:t>van de toewijzing</w:t>
      </w:r>
      <w:r w:rsidR="000034C4">
        <w:rPr>
          <w:rFonts w:cs="Arial"/>
          <w:szCs w:val="20"/>
        </w:rPr>
        <w:t>s</w:t>
      </w:r>
      <w:r w:rsidR="00912F05">
        <w:rPr>
          <w:rFonts w:cs="Arial"/>
          <w:szCs w:val="20"/>
        </w:rPr>
        <w:t xml:space="preserve">regels voor privaatrechtelijke pensioenen en </w:t>
      </w:r>
      <w:r w:rsidR="000153C2">
        <w:rPr>
          <w:rFonts w:cs="Arial"/>
          <w:szCs w:val="20"/>
        </w:rPr>
        <w:t xml:space="preserve">voor </w:t>
      </w:r>
      <w:r w:rsidR="00912F05">
        <w:rPr>
          <w:rFonts w:cs="Arial"/>
          <w:szCs w:val="20"/>
        </w:rPr>
        <w:t>lijfrenten.</w:t>
      </w:r>
    </w:p>
    <w:p w:rsidRPr="007C6D2A" w:rsidR="00795045" w:rsidP="007C6D2A" w:rsidRDefault="002F05A1" w14:paraId="4C8704CB" w14:textId="77777777">
      <w:pPr>
        <w:ind w:firstLine="708"/>
      </w:pPr>
      <w:r>
        <w:rPr>
          <w:rFonts w:cs="Arial"/>
          <w:szCs w:val="20"/>
        </w:rPr>
        <w:t xml:space="preserve"> I</w:t>
      </w:r>
      <w:r w:rsidRPr="00B52DDD" w:rsidR="00B52DDD">
        <w:rPr>
          <w:rFonts w:cs="Arial"/>
          <w:szCs w:val="20"/>
        </w:rPr>
        <w:t xml:space="preserve">n </w:t>
      </w:r>
      <w:r w:rsidR="00B52DDD">
        <w:rPr>
          <w:rFonts w:cs="Arial"/>
          <w:szCs w:val="20"/>
        </w:rPr>
        <w:t>juni</w:t>
      </w:r>
      <w:r w:rsidRPr="00B52DDD" w:rsidR="00B52DDD">
        <w:rPr>
          <w:rFonts w:cs="Arial"/>
          <w:szCs w:val="20"/>
        </w:rPr>
        <w:t xml:space="preserve"> 2017 </w:t>
      </w:r>
      <w:r>
        <w:rPr>
          <w:rFonts w:cs="Arial"/>
          <w:szCs w:val="20"/>
        </w:rPr>
        <w:t xml:space="preserve">heeft </w:t>
      </w:r>
      <w:r w:rsidRPr="00B52DDD" w:rsidR="00297C67">
        <w:rPr>
          <w:rFonts w:cs="Arial"/>
          <w:szCs w:val="20"/>
        </w:rPr>
        <w:t xml:space="preserve">in </w:t>
      </w:r>
      <w:r w:rsidR="00297C67">
        <w:t>Warschau</w:t>
      </w:r>
      <w:r w:rsidR="00297C67">
        <w:rPr>
          <w:rFonts w:cs="Arial"/>
          <w:szCs w:val="20"/>
        </w:rPr>
        <w:t xml:space="preserve"> </w:t>
      </w:r>
      <w:r>
        <w:rPr>
          <w:rFonts w:cs="Arial"/>
          <w:szCs w:val="20"/>
        </w:rPr>
        <w:t>een derde</w:t>
      </w:r>
      <w:r w:rsidR="00297C67">
        <w:rPr>
          <w:rFonts w:cs="Arial"/>
          <w:szCs w:val="20"/>
        </w:rPr>
        <w:t>, afsluitende,</w:t>
      </w:r>
      <w:r>
        <w:rPr>
          <w:rFonts w:cs="Arial"/>
          <w:szCs w:val="20"/>
        </w:rPr>
        <w:t xml:space="preserve"> onderhandelingsronde plaatsgevonden en i</w:t>
      </w:r>
      <w:r w:rsidRPr="00B52DDD" w:rsidR="00B52DDD">
        <w:rPr>
          <w:rFonts w:cs="Arial"/>
          <w:szCs w:val="20"/>
        </w:rPr>
        <w:t>n de aansluitende periode is via e-mailverkeer tussen beide landen de tekst van het Wijzigingsprotocol nog op een aantal technische punten aangepast.</w:t>
      </w:r>
      <w:r w:rsidRPr="002F05A1">
        <w:rPr>
          <w:rFonts w:cs="Arial"/>
          <w:szCs w:val="20"/>
        </w:rPr>
        <w:t xml:space="preserve"> De onderhandelingen hebben geleid tot de totstandkoming van het voorliggende Wijzigingsprotocol.</w:t>
      </w:r>
    </w:p>
    <w:p w:rsidR="001158CD" w:rsidP="008F3067" w:rsidRDefault="001158CD" w14:paraId="72CFCF9C" w14:textId="77777777">
      <w:pPr>
        <w:ind w:firstLine="0"/>
        <w:rPr>
          <w:rFonts w:cs="Arial"/>
          <w:i/>
          <w:szCs w:val="20"/>
        </w:rPr>
      </w:pPr>
    </w:p>
    <w:p w:rsidR="00562691" w:rsidP="008F3067" w:rsidRDefault="00562691" w14:paraId="295C9B25" w14:textId="77777777">
      <w:pPr>
        <w:ind w:firstLine="0"/>
        <w:rPr>
          <w:rFonts w:cs="Arial"/>
          <w:i/>
          <w:szCs w:val="20"/>
        </w:rPr>
      </w:pPr>
      <w:r w:rsidRPr="002037C3">
        <w:rPr>
          <w:rFonts w:cs="Arial"/>
          <w:i/>
          <w:szCs w:val="20"/>
        </w:rPr>
        <w:lastRenderedPageBreak/>
        <w:t xml:space="preserve">I.3. Inhoud van het </w:t>
      </w:r>
      <w:r w:rsidR="00967532">
        <w:rPr>
          <w:rFonts w:cs="Arial"/>
          <w:i/>
          <w:szCs w:val="20"/>
        </w:rPr>
        <w:t>Wijzigingsprotocol</w:t>
      </w:r>
      <w:r w:rsidR="00D74B99">
        <w:rPr>
          <w:rFonts w:cs="Arial"/>
          <w:i/>
          <w:szCs w:val="20"/>
        </w:rPr>
        <w:br/>
      </w:r>
    </w:p>
    <w:p w:rsidRPr="004C2952" w:rsidR="00105C67" w:rsidP="000034C4" w:rsidRDefault="005678B1" w14:paraId="60B89D80" w14:textId="7D85DAEF">
      <w:pPr>
        <w:rPr>
          <w:rFonts w:cs="Arial"/>
          <w:szCs w:val="20"/>
        </w:rPr>
      </w:pPr>
      <w:r w:rsidRPr="004C2952">
        <w:rPr>
          <w:rFonts w:cs="Arial"/>
          <w:szCs w:val="20"/>
        </w:rPr>
        <w:t>Het Wijzigingsprotocol strekt ertoe om</w:t>
      </w:r>
      <w:r w:rsidRPr="004C2952" w:rsidR="00873269">
        <w:rPr>
          <w:rFonts w:cs="Arial"/>
          <w:szCs w:val="20"/>
        </w:rPr>
        <w:t xml:space="preserve"> het Verdrag te actualiseren </w:t>
      </w:r>
      <w:r w:rsidR="00297C67">
        <w:rPr>
          <w:rFonts w:cs="Arial"/>
          <w:szCs w:val="20"/>
        </w:rPr>
        <w:t xml:space="preserve">tegen de achtergrond van de aanbevelingen die zijn gedaan in het kader van het BEPS-project. </w:t>
      </w:r>
      <w:r w:rsidR="00912F05">
        <w:rPr>
          <w:rFonts w:cs="Arial"/>
          <w:szCs w:val="20"/>
        </w:rPr>
        <w:t>Daarnaast</w:t>
      </w:r>
      <w:r w:rsidR="00297C67">
        <w:rPr>
          <w:rFonts w:cs="Arial"/>
          <w:szCs w:val="20"/>
        </w:rPr>
        <w:t xml:space="preserve"> wordt het Verdrag meer </w:t>
      </w:r>
      <w:r w:rsidRPr="004C2952">
        <w:rPr>
          <w:rFonts w:cs="Arial"/>
          <w:szCs w:val="20"/>
        </w:rPr>
        <w:t xml:space="preserve">in </w:t>
      </w:r>
      <w:r w:rsidR="00D17F14">
        <w:rPr>
          <w:rFonts w:cs="Arial"/>
          <w:szCs w:val="20"/>
        </w:rPr>
        <w:t xml:space="preserve">lijn </w:t>
      </w:r>
      <w:r w:rsidR="00297C67">
        <w:rPr>
          <w:rFonts w:cs="Arial"/>
          <w:szCs w:val="20"/>
        </w:rPr>
        <w:t xml:space="preserve">gebracht met het OESO-modelverdrag en wordt voorts de heffingsrechtverdeling over </w:t>
      </w:r>
      <w:r w:rsidR="00080359">
        <w:rPr>
          <w:rFonts w:cs="Arial"/>
          <w:szCs w:val="20"/>
        </w:rPr>
        <w:t xml:space="preserve">met name vervreemdingswinsten en over </w:t>
      </w:r>
      <w:r w:rsidR="00297C67">
        <w:rPr>
          <w:rFonts w:cs="Arial"/>
          <w:szCs w:val="20"/>
        </w:rPr>
        <w:t>pensioen</w:t>
      </w:r>
      <w:r w:rsidR="00080359">
        <w:rPr>
          <w:rFonts w:cs="Arial"/>
          <w:szCs w:val="20"/>
        </w:rPr>
        <w:t>en</w:t>
      </w:r>
      <w:r w:rsidR="00297C67">
        <w:rPr>
          <w:rFonts w:cs="Arial"/>
          <w:szCs w:val="20"/>
        </w:rPr>
        <w:t xml:space="preserve"> en soortgelijke beloningen herzien.</w:t>
      </w:r>
      <w:r w:rsidRPr="004C2952">
        <w:rPr>
          <w:rFonts w:cs="Arial"/>
          <w:szCs w:val="20"/>
        </w:rPr>
        <w:t xml:space="preserve"> In het Wijzigingsprotocol is</w:t>
      </w:r>
      <w:r w:rsidR="00B4735D">
        <w:rPr>
          <w:rFonts w:cs="Arial"/>
          <w:szCs w:val="20"/>
        </w:rPr>
        <w:t>, in de volgorde van de daarin opgenomen artikelen,</w:t>
      </w:r>
      <w:r w:rsidRPr="004C2952">
        <w:rPr>
          <w:rFonts w:cs="Arial"/>
          <w:szCs w:val="20"/>
        </w:rPr>
        <w:t xml:space="preserve"> het volgende overeengekomen:</w:t>
      </w:r>
      <w:r w:rsidR="00B4735D">
        <w:rPr>
          <w:rFonts w:cs="Arial"/>
          <w:szCs w:val="20"/>
        </w:rPr>
        <w:br/>
      </w:r>
    </w:p>
    <w:p w:rsidR="00B4735D" w:rsidP="000034C4" w:rsidRDefault="00B4735D" w14:paraId="257F2725" w14:textId="77777777">
      <w:pPr>
        <w:pStyle w:val="Lijstalinea"/>
        <w:numPr>
          <w:ilvl w:val="0"/>
          <w:numId w:val="2"/>
        </w:numPr>
        <w:spacing w:after="0" w:line="360" w:lineRule="auto"/>
        <w:ind w:left="714" w:hanging="357"/>
        <w:rPr>
          <w:rFonts w:ascii="Arial" w:hAnsi="Arial" w:cs="Arial"/>
          <w:sz w:val="20"/>
          <w:szCs w:val="20"/>
        </w:rPr>
      </w:pPr>
      <w:r>
        <w:rPr>
          <w:rFonts w:ascii="Arial" w:hAnsi="Arial" w:cs="Arial"/>
          <w:sz w:val="20"/>
          <w:szCs w:val="20"/>
        </w:rPr>
        <w:t xml:space="preserve">artikel 1: </w:t>
      </w:r>
      <w:r w:rsidR="00297C67">
        <w:rPr>
          <w:rFonts w:ascii="Arial" w:hAnsi="Arial" w:cs="Arial"/>
          <w:sz w:val="20"/>
          <w:szCs w:val="20"/>
        </w:rPr>
        <w:t>i</w:t>
      </w:r>
      <w:r w:rsidRPr="004C2952" w:rsidR="005678B1">
        <w:rPr>
          <w:rFonts w:ascii="Arial" w:hAnsi="Arial" w:cs="Arial"/>
          <w:sz w:val="20"/>
          <w:szCs w:val="20"/>
        </w:rPr>
        <w:t xml:space="preserve">n het kader van de minimumstandaard van het BEPS-project </w:t>
      </w:r>
      <w:r w:rsidR="00583D69">
        <w:rPr>
          <w:rFonts w:ascii="Arial" w:hAnsi="Arial" w:cs="Arial"/>
          <w:sz w:val="20"/>
          <w:szCs w:val="20"/>
        </w:rPr>
        <w:t>worden</w:t>
      </w:r>
      <w:r w:rsidR="00297C67">
        <w:rPr>
          <w:rFonts w:ascii="Arial" w:hAnsi="Arial" w:cs="Arial"/>
          <w:sz w:val="20"/>
          <w:szCs w:val="20"/>
        </w:rPr>
        <w:t xml:space="preserve"> </w:t>
      </w:r>
      <w:r w:rsidRPr="004C2952" w:rsidR="005678B1">
        <w:rPr>
          <w:rFonts w:ascii="Arial" w:hAnsi="Arial" w:cs="Arial"/>
          <w:sz w:val="20"/>
          <w:szCs w:val="20"/>
        </w:rPr>
        <w:t>de titel en de preambule van het Verdrag aangepast</w:t>
      </w:r>
      <w:r>
        <w:rPr>
          <w:rFonts w:ascii="Arial" w:hAnsi="Arial" w:cs="Arial"/>
          <w:sz w:val="20"/>
          <w:szCs w:val="20"/>
        </w:rPr>
        <w:t>;</w:t>
      </w:r>
    </w:p>
    <w:p w:rsidR="00B4735D" w:rsidP="000034C4" w:rsidRDefault="00B4735D" w14:paraId="1A0D82A5" w14:textId="77777777">
      <w:pPr>
        <w:pStyle w:val="Lijstalinea"/>
        <w:numPr>
          <w:ilvl w:val="0"/>
          <w:numId w:val="2"/>
        </w:numPr>
        <w:spacing w:after="0" w:line="360" w:lineRule="auto"/>
        <w:ind w:left="714" w:hanging="357"/>
        <w:rPr>
          <w:rFonts w:ascii="Arial" w:hAnsi="Arial" w:cs="Arial"/>
          <w:sz w:val="20"/>
          <w:szCs w:val="20"/>
        </w:rPr>
      </w:pPr>
      <w:r>
        <w:rPr>
          <w:rFonts w:ascii="Arial" w:hAnsi="Arial" w:cs="Arial"/>
          <w:sz w:val="20"/>
          <w:szCs w:val="20"/>
        </w:rPr>
        <w:t>artikel 2: e</w:t>
      </w:r>
      <w:r w:rsidRPr="004C2952">
        <w:rPr>
          <w:rFonts w:ascii="Arial" w:hAnsi="Arial" w:cs="Arial"/>
          <w:sz w:val="20"/>
          <w:szCs w:val="20"/>
        </w:rPr>
        <w:t>en hybride</w:t>
      </w:r>
      <w:r w:rsidR="003D793F">
        <w:rPr>
          <w:rFonts w:ascii="Arial" w:hAnsi="Arial" w:cs="Arial"/>
          <w:sz w:val="20"/>
          <w:szCs w:val="20"/>
        </w:rPr>
        <w:t>-</w:t>
      </w:r>
      <w:r w:rsidRPr="004C2952">
        <w:rPr>
          <w:rFonts w:ascii="Arial" w:hAnsi="Arial" w:cs="Arial"/>
          <w:sz w:val="20"/>
          <w:szCs w:val="20"/>
        </w:rPr>
        <w:t xml:space="preserve">entiteitenbepaling </w:t>
      </w:r>
      <w:r>
        <w:rPr>
          <w:rFonts w:ascii="Arial" w:hAnsi="Arial" w:cs="Arial"/>
          <w:sz w:val="20"/>
          <w:szCs w:val="20"/>
        </w:rPr>
        <w:t xml:space="preserve">wordt </w:t>
      </w:r>
      <w:r w:rsidRPr="004C2952">
        <w:rPr>
          <w:rFonts w:ascii="Arial" w:hAnsi="Arial" w:cs="Arial"/>
          <w:sz w:val="20"/>
          <w:szCs w:val="20"/>
        </w:rPr>
        <w:t xml:space="preserve">opgenomen in artikel </w:t>
      </w:r>
      <w:r>
        <w:rPr>
          <w:rFonts w:ascii="Arial" w:hAnsi="Arial" w:cs="Arial"/>
          <w:sz w:val="20"/>
          <w:szCs w:val="20"/>
        </w:rPr>
        <w:t>1</w:t>
      </w:r>
      <w:r w:rsidRPr="004C2952">
        <w:rPr>
          <w:rFonts w:ascii="Arial" w:hAnsi="Arial" w:cs="Arial"/>
          <w:sz w:val="20"/>
          <w:szCs w:val="20"/>
        </w:rPr>
        <w:t xml:space="preserve"> van het Verdrag</w:t>
      </w:r>
      <w:r>
        <w:rPr>
          <w:rFonts w:ascii="Arial" w:hAnsi="Arial" w:cs="Arial"/>
          <w:sz w:val="20"/>
          <w:szCs w:val="20"/>
        </w:rPr>
        <w:t>;</w:t>
      </w:r>
    </w:p>
    <w:p w:rsidR="00B4735D" w:rsidP="000034C4" w:rsidRDefault="00B4735D" w14:paraId="1359C35E" w14:textId="77777777">
      <w:pPr>
        <w:pStyle w:val="Lijstalinea"/>
        <w:numPr>
          <w:ilvl w:val="0"/>
          <w:numId w:val="2"/>
        </w:numPr>
        <w:spacing w:after="0" w:line="360" w:lineRule="auto"/>
        <w:ind w:left="714" w:hanging="357"/>
        <w:rPr>
          <w:rFonts w:ascii="Arial" w:hAnsi="Arial" w:cs="Arial"/>
          <w:sz w:val="20"/>
          <w:szCs w:val="20"/>
        </w:rPr>
      </w:pPr>
      <w:r>
        <w:rPr>
          <w:rFonts w:ascii="Arial" w:hAnsi="Arial" w:cs="Arial"/>
          <w:sz w:val="20"/>
          <w:szCs w:val="20"/>
        </w:rPr>
        <w:t xml:space="preserve">artikel 3: </w:t>
      </w:r>
      <w:r w:rsidRPr="006C4E25" w:rsidR="006C4E25">
        <w:rPr>
          <w:rFonts w:ascii="Arial" w:hAnsi="Arial" w:cs="Arial"/>
          <w:sz w:val="20"/>
          <w:szCs w:val="20"/>
        </w:rPr>
        <w:t xml:space="preserve">een algemene definitie van de uitdrukking </w:t>
      </w:r>
      <w:r w:rsidR="00137B6F">
        <w:rPr>
          <w:rFonts w:ascii="Arial" w:hAnsi="Arial" w:cs="Arial"/>
          <w:sz w:val="20"/>
          <w:szCs w:val="20"/>
        </w:rPr>
        <w:t>‘</w:t>
      </w:r>
      <w:r w:rsidRPr="006C4E25" w:rsidR="006C4E25">
        <w:rPr>
          <w:rFonts w:ascii="Arial" w:hAnsi="Arial" w:cs="Arial"/>
          <w:sz w:val="20"/>
          <w:szCs w:val="20"/>
        </w:rPr>
        <w:t>erkend pensioenfonds</w:t>
      </w:r>
      <w:r w:rsidR="00137B6F">
        <w:rPr>
          <w:rFonts w:ascii="Arial" w:hAnsi="Arial" w:cs="Arial"/>
          <w:sz w:val="20"/>
          <w:szCs w:val="20"/>
        </w:rPr>
        <w:t>’</w:t>
      </w:r>
      <w:r w:rsidRPr="006C4E25" w:rsidR="006C4E25">
        <w:rPr>
          <w:rFonts w:ascii="Arial" w:hAnsi="Arial" w:cs="Arial"/>
          <w:sz w:val="20"/>
          <w:szCs w:val="20"/>
        </w:rPr>
        <w:t xml:space="preserve"> </w:t>
      </w:r>
      <w:r w:rsidR="006C4E25">
        <w:rPr>
          <w:rFonts w:ascii="Arial" w:hAnsi="Arial" w:cs="Arial"/>
          <w:sz w:val="20"/>
          <w:szCs w:val="20"/>
        </w:rPr>
        <w:t xml:space="preserve">wordt </w:t>
      </w:r>
      <w:r w:rsidRPr="006C4E25" w:rsidR="006C4E25">
        <w:rPr>
          <w:rFonts w:ascii="Arial" w:hAnsi="Arial" w:cs="Arial"/>
          <w:sz w:val="20"/>
          <w:szCs w:val="20"/>
        </w:rPr>
        <w:t xml:space="preserve">opgenomen in </w:t>
      </w:r>
      <w:r w:rsidR="006C4E25">
        <w:rPr>
          <w:rFonts w:ascii="Arial" w:hAnsi="Arial" w:cs="Arial"/>
          <w:sz w:val="20"/>
          <w:szCs w:val="20"/>
        </w:rPr>
        <w:t xml:space="preserve">artikel 3 </w:t>
      </w:r>
      <w:r w:rsidRPr="006C4E25" w:rsidR="006C4E25">
        <w:rPr>
          <w:rFonts w:ascii="Arial" w:hAnsi="Arial" w:cs="Arial"/>
          <w:sz w:val="20"/>
          <w:szCs w:val="20"/>
        </w:rPr>
        <w:t>het Verdrag</w:t>
      </w:r>
      <w:r w:rsidR="006C4E25">
        <w:rPr>
          <w:rFonts w:ascii="Arial" w:hAnsi="Arial" w:cs="Arial"/>
          <w:sz w:val="20"/>
          <w:szCs w:val="20"/>
        </w:rPr>
        <w:t>;</w:t>
      </w:r>
    </w:p>
    <w:p w:rsidR="006C4E25" w:rsidP="000034C4" w:rsidRDefault="006C4E25" w14:paraId="75A8B54D" w14:textId="77777777">
      <w:pPr>
        <w:pStyle w:val="Lijstalinea"/>
        <w:numPr>
          <w:ilvl w:val="0"/>
          <w:numId w:val="2"/>
        </w:numPr>
        <w:spacing w:after="0" w:line="360" w:lineRule="auto"/>
        <w:ind w:left="714" w:hanging="357"/>
        <w:rPr>
          <w:rFonts w:ascii="Arial" w:hAnsi="Arial" w:cs="Arial"/>
          <w:sz w:val="20"/>
          <w:szCs w:val="20"/>
        </w:rPr>
      </w:pPr>
      <w:r>
        <w:rPr>
          <w:rFonts w:ascii="Arial" w:hAnsi="Arial" w:cs="Arial"/>
          <w:sz w:val="20"/>
          <w:szCs w:val="20"/>
        </w:rPr>
        <w:t xml:space="preserve">artikel 4: </w:t>
      </w:r>
      <w:r w:rsidR="00D14E0D">
        <w:rPr>
          <w:rFonts w:ascii="Arial" w:hAnsi="Arial" w:cs="Arial"/>
          <w:sz w:val="20"/>
          <w:szCs w:val="20"/>
        </w:rPr>
        <w:t xml:space="preserve">situaties van een dubbele woonplaats </w:t>
      </w:r>
      <w:r w:rsidRPr="006C4E25">
        <w:rPr>
          <w:rFonts w:ascii="Arial" w:hAnsi="Arial" w:cs="Arial"/>
          <w:sz w:val="20"/>
          <w:szCs w:val="20"/>
        </w:rPr>
        <w:t xml:space="preserve">van lichamen voor de toepassing van het </w:t>
      </w:r>
      <w:r w:rsidR="00D2590F">
        <w:rPr>
          <w:rFonts w:ascii="Arial" w:hAnsi="Arial" w:cs="Arial"/>
          <w:sz w:val="20"/>
          <w:szCs w:val="20"/>
        </w:rPr>
        <w:t>V</w:t>
      </w:r>
      <w:r w:rsidRPr="006C4E25">
        <w:rPr>
          <w:rFonts w:ascii="Arial" w:hAnsi="Arial" w:cs="Arial"/>
          <w:sz w:val="20"/>
          <w:szCs w:val="20"/>
        </w:rPr>
        <w:t xml:space="preserve">erdrag </w:t>
      </w:r>
      <w:r>
        <w:rPr>
          <w:rFonts w:ascii="Arial" w:hAnsi="Arial" w:cs="Arial"/>
          <w:sz w:val="20"/>
          <w:szCs w:val="20"/>
        </w:rPr>
        <w:t>word</w:t>
      </w:r>
      <w:r w:rsidR="00D14E0D">
        <w:rPr>
          <w:rFonts w:ascii="Arial" w:hAnsi="Arial" w:cs="Arial"/>
          <w:sz w:val="20"/>
          <w:szCs w:val="20"/>
        </w:rPr>
        <w:t>en</w:t>
      </w:r>
      <w:r>
        <w:rPr>
          <w:rFonts w:ascii="Arial" w:hAnsi="Arial" w:cs="Arial"/>
          <w:sz w:val="20"/>
          <w:szCs w:val="20"/>
        </w:rPr>
        <w:t xml:space="preserve"> </w:t>
      </w:r>
      <w:r w:rsidRPr="006C4E25">
        <w:rPr>
          <w:rFonts w:ascii="Arial" w:hAnsi="Arial" w:cs="Arial"/>
          <w:sz w:val="20"/>
          <w:szCs w:val="20"/>
        </w:rPr>
        <w:t xml:space="preserve">voortaan </w:t>
      </w:r>
      <w:r w:rsidR="00D14E0D">
        <w:rPr>
          <w:rFonts w:ascii="Arial" w:hAnsi="Arial" w:cs="Arial"/>
          <w:sz w:val="20"/>
          <w:szCs w:val="20"/>
        </w:rPr>
        <w:t xml:space="preserve">beslecht </w:t>
      </w:r>
      <w:r w:rsidRPr="006C4E25">
        <w:rPr>
          <w:rFonts w:ascii="Arial" w:hAnsi="Arial" w:cs="Arial"/>
          <w:sz w:val="20"/>
          <w:szCs w:val="20"/>
        </w:rPr>
        <w:t xml:space="preserve">(de </w:t>
      </w:r>
      <w:r w:rsidRPr="00AF3E91">
        <w:rPr>
          <w:rFonts w:ascii="Arial" w:hAnsi="Arial" w:cs="Arial"/>
          <w:i/>
          <w:sz w:val="20"/>
          <w:szCs w:val="20"/>
        </w:rPr>
        <w:t>corporate tiebreaker</w:t>
      </w:r>
      <w:r w:rsidRPr="006C4E25">
        <w:rPr>
          <w:rFonts w:ascii="Arial" w:hAnsi="Arial" w:cs="Arial"/>
          <w:sz w:val="20"/>
          <w:szCs w:val="20"/>
        </w:rPr>
        <w:t>) op basis van onderling overleg</w:t>
      </w:r>
      <w:r>
        <w:rPr>
          <w:rFonts w:ascii="Arial" w:hAnsi="Arial" w:cs="Arial"/>
          <w:sz w:val="20"/>
          <w:szCs w:val="20"/>
        </w:rPr>
        <w:t xml:space="preserve"> (artikel 4 van het Verdrag);</w:t>
      </w:r>
    </w:p>
    <w:p w:rsidR="006C4E25" w:rsidP="000034C4" w:rsidRDefault="006C4E25" w14:paraId="6440481A" w14:textId="132CFB76">
      <w:pPr>
        <w:pStyle w:val="Lijstalinea"/>
        <w:numPr>
          <w:ilvl w:val="0"/>
          <w:numId w:val="2"/>
        </w:numPr>
        <w:spacing w:after="0" w:line="360" w:lineRule="auto"/>
        <w:ind w:left="714" w:hanging="357"/>
        <w:rPr>
          <w:rFonts w:ascii="Arial" w:hAnsi="Arial" w:cs="Arial"/>
          <w:sz w:val="20"/>
          <w:szCs w:val="20"/>
        </w:rPr>
      </w:pPr>
      <w:r>
        <w:rPr>
          <w:rFonts w:ascii="Arial" w:hAnsi="Arial" w:cs="Arial"/>
          <w:sz w:val="20"/>
          <w:szCs w:val="20"/>
        </w:rPr>
        <w:t xml:space="preserve">artikel 5: </w:t>
      </w:r>
      <w:r w:rsidRPr="006C4E25">
        <w:rPr>
          <w:rFonts w:ascii="Arial" w:hAnsi="Arial" w:cs="Arial"/>
          <w:sz w:val="20"/>
          <w:szCs w:val="20"/>
        </w:rPr>
        <w:t xml:space="preserve">de </w:t>
      </w:r>
      <w:r w:rsidRPr="006C4E25" w:rsidR="00C53AA6">
        <w:rPr>
          <w:rFonts w:ascii="Arial" w:hAnsi="Arial" w:cs="Arial"/>
          <w:sz w:val="20"/>
          <w:szCs w:val="20"/>
        </w:rPr>
        <w:t xml:space="preserve">definitie </w:t>
      </w:r>
      <w:r w:rsidR="00C53AA6">
        <w:rPr>
          <w:rFonts w:ascii="Arial" w:hAnsi="Arial" w:cs="Arial"/>
          <w:sz w:val="20"/>
          <w:szCs w:val="20"/>
        </w:rPr>
        <w:t xml:space="preserve">van het begrip </w:t>
      </w:r>
      <w:r w:rsidRPr="006C4E25">
        <w:rPr>
          <w:rFonts w:ascii="Arial" w:hAnsi="Arial" w:cs="Arial"/>
          <w:sz w:val="20"/>
          <w:szCs w:val="20"/>
        </w:rPr>
        <w:t>vaste inrichting</w:t>
      </w:r>
      <w:r w:rsidR="00C53AA6">
        <w:rPr>
          <w:rFonts w:ascii="Arial" w:hAnsi="Arial" w:cs="Arial"/>
          <w:sz w:val="20"/>
          <w:szCs w:val="20"/>
        </w:rPr>
        <w:t xml:space="preserve"> </w:t>
      </w:r>
      <w:r w:rsidRPr="006C4E25">
        <w:rPr>
          <w:rFonts w:ascii="Arial" w:hAnsi="Arial" w:cs="Arial"/>
          <w:sz w:val="20"/>
          <w:szCs w:val="20"/>
        </w:rPr>
        <w:t>wordt geactualiseerd</w:t>
      </w:r>
      <w:r>
        <w:rPr>
          <w:rFonts w:ascii="Arial" w:hAnsi="Arial" w:cs="Arial"/>
          <w:sz w:val="20"/>
          <w:szCs w:val="20"/>
        </w:rPr>
        <w:t xml:space="preserve"> (artikel 5 van het </w:t>
      </w:r>
      <w:r w:rsidR="00080359">
        <w:rPr>
          <w:rFonts w:ascii="Arial" w:hAnsi="Arial" w:cs="Arial"/>
          <w:sz w:val="20"/>
          <w:szCs w:val="20"/>
        </w:rPr>
        <w:t>V</w:t>
      </w:r>
      <w:r>
        <w:rPr>
          <w:rFonts w:ascii="Arial" w:hAnsi="Arial" w:cs="Arial"/>
          <w:sz w:val="20"/>
          <w:szCs w:val="20"/>
        </w:rPr>
        <w:t>erdrag);</w:t>
      </w:r>
    </w:p>
    <w:p w:rsidRPr="000034C4" w:rsidR="006C4E25" w:rsidP="000034C4" w:rsidRDefault="006C4E25" w14:paraId="111AF47A" w14:textId="02DF1129">
      <w:pPr>
        <w:pStyle w:val="Lijstalinea"/>
        <w:numPr>
          <w:ilvl w:val="0"/>
          <w:numId w:val="2"/>
        </w:numPr>
        <w:spacing w:after="0" w:line="360" w:lineRule="auto"/>
        <w:ind w:left="714" w:hanging="357"/>
        <w:rPr>
          <w:rFonts w:ascii="Arial" w:hAnsi="Arial" w:cs="Arial"/>
          <w:sz w:val="20"/>
          <w:szCs w:val="20"/>
        </w:rPr>
      </w:pPr>
      <w:r w:rsidRPr="000034C4">
        <w:rPr>
          <w:rFonts w:ascii="Arial" w:hAnsi="Arial" w:cs="Arial"/>
          <w:sz w:val="20"/>
          <w:szCs w:val="20"/>
        </w:rPr>
        <w:t>artikel 6: de bepaling over de verdeling van heffingsrechten over ondernemingswinsten wordt geactualiseerd, in overeenstemming met het OESO-modelverdrag (artikel 7 van het Verdrag</w:t>
      </w:r>
      <w:r w:rsidRPr="000034C4" w:rsidR="007A6556">
        <w:rPr>
          <w:rFonts w:ascii="Arial" w:hAnsi="Arial" w:cs="Arial"/>
          <w:sz w:val="20"/>
          <w:szCs w:val="20"/>
        </w:rPr>
        <w:t>);</w:t>
      </w:r>
    </w:p>
    <w:p w:rsidRPr="000034C4" w:rsidR="007A6556" w:rsidP="000034C4" w:rsidRDefault="007A6556" w14:paraId="5221966E" w14:textId="42A1F20A">
      <w:pPr>
        <w:pStyle w:val="Lijstalinea"/>
        <w:numPr>
          <w:ilvl w:val="0"/>
          <w:numId w:val="2"/>
        </w:numPr>
        <w:spacing w:after="0" w:line="360" w:lineRule="auto"/>
        <w:ind w:left="714" w:hanging="357"/>
        <w:rPr>
          <w:rFonts w:ascii="Arial" w:hAnsi="Arial" w:cs="Arial"/>
          <w:sz w:val="20"/>
          <w:szCs w:val="20"/>
        </w:rPr>
      </w:pPr>
      <w:r w:rsidRPr="000034C4">
        <w:rPr>
          <w:rFonts w:ascii="Arial" w:hAnsi="Arial" w:cs="Arial"/>
          <w:sz w:val="20"/>
          <w:szCs w:val="20"/>
        </w:rPr>
        <w:t>artikel</w:t>
      </w:r>
      <w:r w:rsidR="000153C2">
        <w:rPr>
          <w:rFonts w:ascii="Arial" w:hAnsi="Arial" w:cs="Arial"/>
          <w:sz w:val="20"/>
          <w:szCs w:val="20"/>
        </w:rPr>
        <w:t>en</w:t>
      </w:r>
      <w:r w:rsidRPr="000034C4">
        <w:rPr>
          <w:rFonts w:ascii="Arial" w:hAnsi="Arial" w:cs="Arial"/>
          <w:sz w:val="20"/>
          <w:szCs w:val="20"/>
        </w:rPr>
        <w:t xml:space="preserve"> 7 en 8: een bronstaatvrijstelling voor dividenden en interest wordt opgenomen voor erkende pensioenfondsen die zijn vrijgesteld van belasting in de staat waar</w:t>
      </w:r>
      <w:r w:rsidR="00FE18E4">
        <w:rPr>
          <w:rFonts w:ascii="Arial" w:hAnsi="Arial" w:cs="Arial"/>
          <w:sz w:val="20"/>
          <w:szCs w:val="20"/>
        </w:rPr>
        <w:t>in</w:t>
      </w:r>
      <w:r w:rsidRPr="000034C4">
        <w:rPr>
          <w:rFonts w:ascii="Arial" w:hAnsi="Arial" w:cs="Arial"/>
          <w:sz w:val="20"/>
          <w:szCs w:val="20"/>
        </w:rPr>
        <w:t xml:space="preserve"> het pensioenfonds is gevestigd (artikelen 10 en 11 van het Verdrag);</w:t>
      </w:r>
    </w:p>
    <w:p w:rsidRPr="000034C4" w:rsidR="007A6556" w:rsidP="000034C4" w:rsidRDefault="007A6556" w14:paraId="6D94D6F2" w14:textId="77777777">
      <w:pPr>
        <w:pStyle w:val="Lijstalinea"/>
        <w:numPr>
          <w:ilvl w:val="0"/>
          <w:numId w:val="2"/>
        </w:numPr>
        <w:spacing w:after="0" w:line="360" w:lineRule="auto"/>
        <w:ind w:left="714" w:hanging="357"/>
        <w:rPr>
          <w:rFonts w:ascii="Arial" w:hAnsi="Arial" w:cs="Arial"/>
          <w:sz w:val="20"/>
          <w:szCs w:val="20"/>
        </w:rPr>
      </w:pPr>
      <w:r w:rsidRPr="000034C4">
        <w:rPr>
          <w:rFonts w:ascii="Arial" w:hAnsi="Arial" w:cs="Arial"/>
          <w:sz w:val="20"/>
          <w:szCs w:val="20"/>
        </w:rPr>
        <w:t>artikel 9: het heffingsrecht over vermogenswinsten behaald met de vervreemding van aandelen of vergelijkbare belangen in zogenoemde onroerendezaaklichamen wordt voortaan</w:t>
      </w:r>
      <w:r w:rsidRPr="000034C4" w:rsidR="001062B0">
        <w:rPr>
          <w:rFonts w:ascii="Arial" w:hAnsi="Arial" w:cs="Arial"/>
          <w:sz w:val="20"/>
          <w:szCs w:val="20"/>
        </w:rPr>
        <w:t>, in bepaalde gevallen,</w:t>
      </w:r>
      <w:r w:rsidRPr="000034C4">
        <w:rPr>
          <w:rFonts w:ascii="Arial" w:hAnsi="Arial" w:cs="Arial"/>
          <w:sz w:val="20"/>
          <w:szCs w:val="20"/>
        </w:rPr>
        <w:t xml:space="preserve"> toegewezen aan de staat waar</w:t>
      </w:r>
      <w:r w:rsidR="002B439C">
        <w:rPr>
          <w:rFonts w:ascii="Arial" w:hAnsi="Arial" w:cs="Arial"/>
          <w:sz w:val="20"/>
          <w:szCs w:val="20"/>
        </w:rPr>
        <w:t>in</w:t>
      </w:r>
      <w:r w:rsidRPr="000034C4">
        <w:rPr>
          <w:rFonts w:ascii="Arial" w:hAnsi="Arial" w:cs="Arial"/>
          <w:sz w:val="20"/>
          <w:szCs w:val="20"/>
        </w:rPr>
        <w:t xml:space="preserve"> de desbetreffende onroerende zaken zijn gelegen (artikel 13 van het Verdrag);</w:t>
      </w:r>
    </w:p>
    <w:p w:rsidRPr="000034C4" w:rsidR="007A6556" w:rsidP="000034C4" w:rsidRDefault="007A6556" w14:paraId="0206EBB8" w14:textId="7C62FC1D">
      <w:pPr>
        <w:pStyle w:val="Lijstalinea"/>
        <w:numPr>
          <w:ilvl w:val="0"/>
          <w:numId w:val="2"/>
        </w:numPr>
        <w:spacing w:after="0" w:line="360" w:lineRule="auto"/>
        <w:ind w:left="714" w:hanging="357"/>
        <w:rPr>
          <w:rFonts w:ascii="Arial" w:hAnsi="Arial" w:cs="Arial"/>
          <w:sz w:val="20"/>
          <w:szCs w:val="20"/>
        </w:rPr>
      </w:pPr>
      <w:r w:rsidRPr="000034C4">
        <w:rPr>
          <w:rFonts w:ascii="Arial" w:hAnsi="Arial" w:cs="Arial"/>
          <w:sz w:val="20"/>
          <w:szCs w:val="20"/>
        </w:rPr>
        <w:t xml:space="preserve">artikel 10: </w:t>
      </w:r>
      <w:r w:rsidRPr="000034C4" w:rsidR="00535F0C">
        <w:rPr>
          <w:rFonts w:ascii="Arial" w:hAnsi="Arial" w:cs="Arial"/>
          <w:sz w:val="20"/>
          <w:szCs w:val="20"/>
        </w:rPr>
        <w:t>de heffingsrechtverdeling voor, kort gezegd,</w:t>
      </w:r>
      <w:r w:rsidRPr="000034C4" w:rsidR="001062B0">
        <w:rPr>
          <w:rFonts w:ascii="Arial" w:hAnsi="Arial" w:cs="Arial"/>
          <w:sz w:val="20"/>
          <w:szCs w:val="20"/>
        </w:rPr>
        <w:t xml:space="preserve"> particuliere</w:t>
      </w:r>
      <w:r w:rsidRPr="000034C4" w:rsidR="00535F0C">
        <w:rPr>
          <w:rFonts w:ascii="Arial" w:hAnsi="Arial" w:cs="Arial"/>
          <w:sz w:val="20"/>
          <w:szCs w:val="20"/>
        </w:rPr>
        <w:t xml:space="preserve"> pensioenen </w:t>
      </w:r>
      <w:r w:rsidRPr="000034C4" w:rsidR="002267C8">
        <w:rPr>
          <w:rFonts w:ascii="Arial" w:hAnsi="Arial" w:cs="Arial"/>
          <w:sz w:val="20"/>
          <w:szCs w:val="20"/>
        </w:rPr>
        <w:t xml:space="preserve">en lijfrenten </w:t>
      </w:r>
      <w:r w:rsidRPr="000034C4" w:rsidR="00535F0C">
        <w:rPr>
          <w:rFonts w:ascii="Arial" w:hAnsi="Arial" w:cs="Arial"/>
          <w:sz w:val="20"/>
          <w:szCs w:val="20"/>
        </w:rPr>
        <w:t xml:space="preserve">wordt herzien waardoor </w:t>
      </w:r>
      <w:r w:rsidR="002B439C">
        <w:rPr>
          <w:rFonts w:ascii="Arial" w:hAnsi="Arial" w:cs="Arial"/>
          <w:sz w:val="20"/>
          <w:szCs w:val="20"/>
        </w:rPr>
        <w:t>dat</w:t>
      </w:r>
      <w:r w:rsidRPr="000034C4" w:rsidR="002B439C">
        <w:rPr>
          <w:rFonts w:ascii="Arial" w:hAnsi="Arial" w:cs="Arial"/>
          <w:sz w:val="20"/>
          <w:szCs w:val="20"/>
        </w:rPr>
        <w:t xml:space="preserve"> </w:t>
      </w:r>
      <w:r w:rsidRPr="000034C4" w:rsidR="002267C8">
        <w:rPr>
          <w:rFonts w:ascii="Arial" w:hAnsi="Arial" w:cs="Arial"/>
          <w:sz w:val="20"/>
          <w:szCs w:val="20"/>
        </w:rPr>
        <w:t>inkomen</w:t>
      </w:r>
      <w:r w:rsidRPr="000034C4" w:rsidR="00535F0C">
        <w:rPr>
          <w:rFonts w:ascii="Arial" w:hAnsi="Arial" w:cs="Arial"/>
          <w:sz w:val="20"/>
          <w:szCs w:val="20"/>
        </w:rPr>
        <w:t xml:space="preserve"> voortaan </w:t>
      </w:r>
      <w:r w:rsidRPr="000034C4" w:rsidR="00850FB5">
        <w:rPr>
          <w:rFonts w:ascii="Arial" w:hAnsi="Arial" w:cs="Arial"/>
          <w:sz w:val="20"/>
          <w:szCs w:val="20"/>
        </w:rPr>
        <w:t xml:space="preserve">in meer gevallen </w:t>
      </w:r>
      <w:r w:rsidRPr="000034C4" w:rsidR="00535F0C">
        <w:rPr>
          <w:rFonts w:ascii="Arial" w:hAnsi="Arial" w:cs="Arial"/>
          <w:sz w:val="20"/>
          <w:szCs w:val="20"/>
        </w:rPr>
        <w:t>(ook) m</w:t>
      </w:r>
      <w:r w:rsidR="002B439C">
        <w:rPr>
          <w:rFonts w:ascii="Arial" w:hAnsi="Arial" w:cs="Arial"/>
          <w:sz w:val="20"/>
          <w:szCs w:val="20"/>
        </w:rPr>
        <w:t>a</w:t>
      </w:r>
      <w:r w:rsidRPr="000034C4" w:rsidR="00535F0C">
        <w:rPr>
          <w:rFonts w:ascii="Arial" w:hAnsi="Arial" w:cs="Arial"/>
          <w:sz w:val="20"/>
          <w:szCs w:val="20"/>
        </w:rPr>
        <w:t>g worden belast in de staat waaruit d</w:t>
      </w:r>
      <w:r w:rsidR="002B439C">
        <w:rPr>
          <w:rFonts w:ascii="Arial" w:hAnsi="Arial" w:cs="Arial"/>
          <w:sz w:val="20"/>
          <w:szCs w:val="20"/>
        </w:rPr>
        <w:t>at</w:t>
      </w:r>
      <w:r w:rsidRPr="000034C4" w:rsidR="00535F0C">
        <w:rPr>
          <w:rFonts w:ascii="Arial" w:hAnsi="Arial" w:cs="Arial"/>
          <w:sz w:val="20"/>
          <w:szCs w:val="20"/>
        </w:rPr>
        <w:t xml:space="preserve"> </w:t>
      </w:r>
      <w:r w:rsidRPr="000034C4" w:rsidR="002267C8">
        <w:rPr>
          <w:rFonts w:ascii="Arial" w:hAnsi="Arial" w:cs="Arial"/>
          <w:sz w:val="20"/>
          <w:szCs w:val="20"/>
        </w:rPr>
        <w:t>inkomen</w:t>
      </w:r>
      <w:r w:rsidRPr="000034C4" w:rsidR="00535F0C">
        <w:rPr>
          <w:rFonts w:ascii="Arial" w:hAnsi="Arial" w:cs="Arial"/>
          <w:sz w:val="20"/>
          <w:szCs w:val="20"/>
        </w:rPr>
        <w:t xml:space="preserve"> afkomstig </w:t>
      </w:r>
      <w:r w:rsidR="002B439C">
        <w:rPr>
          <w:rFonts w:ascii="Arial" w:hAnsi="Arial" w:cs="Arial"/>
          <w:sz w:val="20"/>
          <w:szCs w:val="20"/>
        </w:rPr>
        <w:t>is</w:t>
      </w:r>
      <w:r w:rsidRPr="000034C4" w:rsidR="002B439C">
        <w:rPr>
          <w:rFonts w:ascii="Arial" w:hAnsi="Arial" w:cs="Arial"/>
          <w:sz w:val="20"/>
          <w:szCs w:val="20"/>
        </w:rPr>
        <w:t xml:space="preserve"> </w:t>
      </w:r>
      <w:r w:rsidRPr="000034C4" w:rsidR="00535F0C">
        <w:rPr>
          <w:rFonts w:ascii="Arial" w:hAnsi="Arial" w:cs="Arial"/>
          <w:sz w:val="20"/>
          <w:szCs w:val="20"/>
        </w:rPr>
        <w:t xml:space="preserve">(artikel 18 van het </w:t>
      </w:r>
      <w:r w:rsidR="00035E98">
        <w:rPr>
          <w:rFonts w:ascii="Arial" w:hAnsi="Arial" w:cs="Arial"/>
          <w:sz w:val="20"/>
          <w:szCs w:val="20"/>
        </w:rPr>
        <w:t>V</w:t>
      </w:r>
      <w:r w:rsidRPr="000034C4" w:rsidR="00535F0C">
        <w:rPr>
          <w:rFonts w:ascii="Arial" w:hAnsi="Arial" w:cs="Arial"/>
          <w:sz w:val="20"/>
          <w:szCs w:val="20"/>
        </w:rPr>
        <w:t>erdrag);</w:t>
      </w:r>
      <w:r w:rsidRPr="000034C4">
        <w:rPr>
          <w:rFonts w:ascii="Arial" w:hAnsi="Arial" w:cs="Arial"/>
          <w:sz w:val="20"/>
          <w:szCs w:val="20"/>
        </w:rPr>
        <w:t xml:space="preserve"> </w:t>
      </w:r>
    </w:p>
    <w:p w:rsidRPr="000034C4" w:rsidR="007A6556" w:rsidP="000034C4" w:rsidRDefault="00535F0C" w14:paraId="5E8D913D" w14:textId="77777777">
      <w:pPr>
        <w:pStyle w:val="Lijstalinea"/>
        <w:numPr>
          <w:ilvl w:val="0"/>
          <w:numId w:val="2"/>
        </w:numPr>
        <w:spacing w:after="0" w:line="360" w:lineRule="auto"/>
        <w:ind w:left="714" w:hanging="357"/>
        <w:rPr>
          <w:rFonts w:ascii="Arial" w:hAnsi="Arial" w:cs="Arial"/>
          <w:sz w:val="20"/>
          <w:szCs w:val="20"/>
        </w:rPr>
      </w:pPr>
      <w:r w:rsidRPr="000034C4">
        <w:rPr>
          <w:rFonts w:ascii="Arial" w:hAnsi="Arial" w:cs="Arial"/>
          <w:sz w:val="20"/>
          <w:szCs w:val="20"/>
        </w:rPr>
        <w:t>artikel 11: de bepalingen over het verlenen van verminderingen ter vermijding van dubbele belasting worden zowel voor Nederland als voor Polen aangepast (artikel 23 van het Verdrag);</w:t>
      </w:r>
    </w:p>
    <w:p w:rsidRPr="000034C4" w:rsidR="007F2CE2" w:rsidP="000034C4" w:rsidRDefault="00535F0C" w14:paraId="7809AF1F" w14:textId="77777777">
      <w:pPr>
        <w:pStyle w:val="Lijstalinea"/>
        <w:numPr>
          <w:ilvl w:val="0"/>
          <w:numId w:val="2"/>
        </w:numPr>
        <w:spacing w:after="0" w:line="360" w:lineRule="auto"/>
        <w:ind w:left="714" w:hanging="357"/>
        <w:rPr>
          <w:rFonts w:ascii="Arial" w:hAnsi="Arial" w:cs="Arial"/>
          <w:sz w:val="20"/>
          <w:szCs w:val="20"/>
        </w:rPr>
      </w:pPr>
      <w:r w:rsidRPr="000034C4">
        <w:rPr>
          <w:rFonts w:ascii="Arial" w:hAnsi="Arial" w:cs="Arial"/>
          <w:sz w:val="20"/>
          <w:szCs w:val="20"/>
        </w:rPr>
        <w:t>artikel 12: de bepalingen over de</w:t>
      </w:r>
      <w:r w:rsidR="00E617B7">
        <w:rPr>
          <w:rFonts w:ascii="Arial" w:hAnsi="Arial" w:cs="Arial"/>
          <w:sz w:val="20"/>
          <w:szCs w:val="20"/>
        </w:rPr>
        <w:t xml:space="preserve"> procedure voor</w:t>
      </w:r>
      <w:r w:rsidRPr="000034C4">
        <w:rPr>
          <w:rFonts w:ascii="Arial" w:hAnsi="Arial" w:cs="Arial"/>
          <w:sz w:val="20"/>
          <w:szCs w:val="20"/>
        </w:rPr>
        <w:t xml:space="preserve"> onderling overleg worden geactualiseerd in </w:t>
      </w:r>
      <w:r w:rsidRPr="000034C4" w:rsidR="007F2CE2">
        <w:rPr>
          <w:rFonts w:ascii="Arial" w:hAnsi="Arial" w:cs="Arial"/>
          <w:sz w:val="20"/>
          <w:szCs w:val="20"/>
        </w:rPr>
        <w:t>het kader van de uitkomsten van het BEPS-project, waaronder een verbeterde toegang tot een arbitrageprocedure (artikel 26 van het Verdrag);</w:t>
      </w:r>
    </w:p>
    <w:p w:rsidRPr="000034C4" w:rsidR="007F2CE2" w:rsidP="000034C4" w:rsidRDefault="007F2CE2" w14:paraId="26902090" w14:textId="59B9BF34">
      <w:pPr>
        <w:pStyle w:val="Lijstalinea"/>
        <w:numPr>
          <w:ilvl w:val="0"/>
          <w:numId w:val="2"/>
        </w:numPr>
        <w:spacing w:after="0" w:line="360" w:lineRule="auto"/>
        <w:ind w:left="714" w:hanging="357"/>
        <w:rPr>
          <w:rFonts w:ascii="Arial" w:hAnsi="Arial" w:cs="Arial"/>
          <w:sz w:val="20"/>
          <w:szCs w:val="20"/>
        </w:rPr>
      </w:pPr>
      <w:r w:rsidRPr="000034C4">
        <w:rPr>
          <w:rFonts w:ascii="Arial" w:hAnsi="Arial" w:cs="Arial"/>
          <w:sz w:val="20"/>
          <w:szCs w:val="20"/>
        </w:rPr>
        <w:t>artikelen 13, 14 en 2</w:t>
      </w:r>
      <w:r w:rsidR="007F63E2">
        <w:rPr>
          <w:rFonts w:ascii="Arial" w:hAnsi="Arial" w:cs="Arial"/>
          <w:sz w:val="20"/>
          <w:szCs w:val="20"/>
        </w:rPr>
        <w:t>7</w:t>
      </w:r>
      <w:r w:rsidRPr="000034C4">
        <w:rPr>
          <w:rFonts w:ascii="Arial" w:hAnsi="Arial" w:cs="Arial"/>
          <w:sz w:val="20"/>
          <w:szCs w:val="20"/>
        </w:rPr>
        <w:t xml:space="preserve">: de bepalingen over de uitwisseling van informatie en de bijstand bij invordering worden in overeenstemming gebracht met het OESO-modelverdrag (artikelen 27 en 28 van het Verdrag), waarbij tevens wordt vastgelegd dat deze bepalingen eveneens van </w:t>
      </w:r>
      <w:r w:rsidRPr="000034C4">
        <w:rPr>
          <w:rFonts w:ascii="Arial" w:hAnsi="Arial" w:cs="Arial"/>
          <w:sz w:val="20"/>
          <w:szCs w:val="20"/>
        </w:rPr>
        <w:lastRenderedPageBreak/>
        <w:t>toepassing zijn op de Nederlandse inkomens</w:t>
      </w:r>
      <w:r w:rsidR="0045721B">
        <w:rPr>
          <w:rFonts w:ascii="Arial" w:hAnsi="Arial" w:cs="Arial"/>
          <w:sz w:val="20"/>
          <w:szCs w:val="20"/>
        </w:rPr>
        <w:t>gerelateerde</w:t>
      </w:r>
      <w:r w:rsidRPr="000034C4">
        <w:rPr>
          <w:rFonts w:ascii="Arial" w:hAnsi="Arial" w:cs="Arial"/>
          <w:sz w:val="20"/>
          <w:szCs w:val="20"/>
        </w:rPr>
        <w:t xml:space="preserve"> </w:t>
      </w:r>
      <w:r w:rsidR="00EF396C">
        <w:rPr>
          <w:rFonts w:ascii="Arial" w:hAnsi="Arial" w:cs="Arial"/>
          <w:sz w:val="20"/>
          <w:szCs w:val="20"/>
        </w:rPr>
        <w:t xml:space="preserve">voorschriften </w:t>
      </w:r>
      <w:r w:rsidRPr="000034C4">
        <w:rPr>
          <w:rFonts w:ascii="Arial" w:hAnsi="Arial" w:cs="Arial"/>
          <w:sz w:val="20"/>
          <w:szCs w:val="20"/>
        </w:rPr>
        <w:t>artikel XI van het Protocol bij het Verdrag);</w:t>
      </w:r>
    </w:p>
    <w:p w:rsidR="00941DA3" w:rsidP="000034C4" w:rsidRDefault="00941DA3" w14:paraId="023E0829" w14:textId="77777777">
      <w:pPr>
        <w:pStyle w:val="Lijstalinea"/>
        <w:numPr>
          <w:ilvl w:val="0"/>
          <w:numId w:val="2"/>
        </w:numPr>
        <w:spacing w:after="0" w:line="360" w:lineRule="auto"/>
        <w:ind w:left="714" w:hanging="357"/>
        <w:rPr>
          <w:rFonts w:ascii="Arial" w:hAnsi="Arial" w:cs="Arial"/>
          <w:sz w:val="20"/>
          <w:szCs w:val="20"/>
        </w:rPr>
      </w:pPr>
      <w:r w:rsidRPr="000034C4">
        <w:rPr>
          <w:rFonts w:ascii="Arial" w:hAnsi="Arial" w:cs="Arial"/>
          <w:sz w:val="20"/>
          <w:szCs w:val="20"/>
        </w:rPr>
        <w:t xml:space="preserve">artikel 15: in het kader van de minimumstandaard van het BEPS-project wordt </w:t>
      </w:r>
      <w:r w:rsidRPr="004C2952" w:rsidR="005678B1">
        <w:rPr>
          <w:rFonts w:ascii="Arial" w:hAnsi="Arial" w:cs="Arial"/>
          <w:sz w:val="20"/>
          <w:szCs w:val="20"/>
        </w:rPr>
        <w:t xml:space="preserve">een </w:t>
      </w:r>
      <w:r w:rsidRPr="000034DF" w:rsidR="005678B1">
        <w:rPr>
          <w:rFonts w:ascii="Arial" w:hAnsi="Arial" w:cs="Arial"/>
          <w:sz w:val="20"/>
          <w:szCs w:val="20"/>
        </w:rPr>
        <w:t xml:space="preserve">zogenoemde </w:t>
      </w:r>
      <w:r w:rsidRPr="002610C3" w:rsidR="000034DF">
        <w:rPr>
          <w:rFonts w:ascii="Arial" w:hAnsi="Arial" w:cs="Arial"/>
          <w:i/>
          <w:sz w:val="20"/>
          <w:szCs w:val="20"/>
        </w:rPr>
        <w:t>principal purposes test</w:t>
      </w:r>
      <w:r w:rsidRPr="002610C3" w:rsidR="000034DF">
        <w:rPr>
          <w:rFonts w:ascii="Arial" w:hAnsi="Arial" w:cs="Arial"/>
          <w:sz w:val="20"/>
          <w:szCs w:val="20"/>
        </w:rPr>
        <w:t xml:space="preserve"> </w:t>
      </w:r>
      <w:r>
        <w:rPr>
          <w:rFonts w:ascii="Arial" w:hAnsi="Arial" w:cs="Arial"/>
          <w:sz w:val="20"/>
          <w:szCs w:val="20"/>
        </w:rPr>
        <w:t>opgenomen (</w:t>
      </w:r>
      <w:r w:rsidRPr="004C2952" w:rsidR="005678B1">
        <w:rPr>
          <w:rFonts w:ascii="Arial" w:hAnsi="Arial" w:cs="Arial"/>
          <w:sz w:val="20"/>
          <w:szCs w:val="20"/>
        </w:rPr>
        <w:t>artikel 29 van het Verdrag</w:t>
      </w:r>
      <w:r>
        <w:rPr>
          <w:rFonts w:ascii="Arial" w:hAnsi="Arial" w:cs="Arial"/>
          <w:sz w:val="20"/>
          <w:szCs w:val="20"/>
        </w:rPr>
        <w:t>);</w:t>
      </w:r>
    </w:p>
    <w:p w:rsidR="00941DA3" w:rsidP="000034C4" w:rsidRDefault="00941DA3" w14:paraId="20CBCA30" w14:textId="77777777">
      <w:pPr>
        <w:pStyle w:val="Lijstalinea"/>
        <w:numPr>
          <w:ilvl w:val="0"/>
          <w:numId w:val="2"/>
        </w:numPr>
        <w:spacing w:after="0" w:line="360" w:lineRule="auto"/>
        <w:ind w:left="714" w:hanging="357"/>
        <w:rPr>
          <w:rFonts w:ascii="Arial" w:hAnsi="Arial" w:cs="Arial"/>
          <w:sz w:val="20"/>
          <w:szCs w:val="20"/>
        </w:rPr>
      </w:pPr>
      <w:r>
        <w:rPr>
          <w:rFonts w:ascii="Arial" w:hAnsi="Arial" w:cs="Arial"/>
          <w:sz w:val="20"/>
          <w:szCs w:val="20"/>
        </w:rPr>
        <w:t xml:space="preserve">artikel 16: de bepaling over eventuele uitbreiding van het Verdrag naar andere gebieden wordt geactualiseerd </w:t>
      </w:r>
      <w:r w:rsidR="002E04F8">
        <w:rPr>
          <w:rFonts w:ascii="Arial" w:hAnsi="Arial" w:cs="Arial"/>
          <w:sz w:val="20"/>
          <w:szCs w:val="20"/>
        </w:rPr>
        <w:t xml:space="preserve">in verband met </w:t>
      </w:r>
      <w:r>
        <w:rPr>
          <w:rFonts w:ascii="Arial" w:hAnsi="Arial" w:cs="Arial"/>
          <w:sz w:val="20"/>
          <w:szCs w:val="20"/>
        </w:rPr>
        <w:t xml:space="preserve">de staatkundige </w:t>
      </w:r>
      <w:r w:rsidR="001D093B">
        <w:rPr>
          <w:rFonts w:ascii="Arial" w:hAnsi="Arial" w:cs="Arial"/>
          <w:sz w:val="20"/>
          <w:szCs w:val="20"/>
        </w:rPr>
        <w:t xml:space="preserve">hervorming </w:t>
      </w:r>
      <w:r w:rsidR="002E04F8">
        <w:rPr>
          <w:rFonts w:ascii="Arial" w:hAnsi="Arial" w:cs="Arial"/>
          <w:sz w:val="20"/>
          <w:szCs w:val="20"/>
        </w:rPr>
        <w:t xml:space="preserve">van het Koninkrijk </w:t>
      </w:r>
      <w:r>
        <w:rPr>
          <w:rFonts w:ascii="Arial" w:hAnsi="Arial" w:cs="Arial"/>
          <w:sz w:val="20"/>
          <w:szCs w:val="20"/>
        </w:rPr>
        <w:t>van 10 oktober 2010 (artikel 31 van het Verdrag);</w:t>
      </w:r>
    </w:p>
    <w:p w:rsidR="00941DA3" w:rsidP="000034C4" w:rsidRDefault="000034C4" w14:paraId="45185D3F" w14:textId="77777777">
      <w:pPr>
        <w:pStyle w:val="Lijstalinea"/>
        <w:numPr>
          <w:ilvl w:val="0"/>
          <w:numId w:val="2"/>
        </w:numPr>
        <w:spacing w:after="0" w:line="360" w:lineRule="auto"/>
        <w:ind w:left="714" w:hanging="357"/>
        <w:rPr>
          <w:rFonts w:ascii="Arial" w:hAnsi="Arial" w:cs="Arial"/>
          <w:sz w:val="20"/>
          <w:szCs w:val="20"/>
        </w:rPr>
      </w:pPr>
      <w:r>
        <w:rPr>
          <w:rFonts w:ascii="Arial" w:hAnsi="Arial" w:cs="Arial"/>
          <w:sz w:val="20"/>
          <w:szCs w:val="20"/>
        </w:rPr>
        <w:t>a</w:t>
      </w:r>
      <w:r w:rsidR="00941DA3">
        <w:rPr>
          <w:rFonts w:ascii="Arial" w:hAnsi="Arial" w:cs="Arial"/>
          <w:sz w:val="20"/>
          <w:szCs w:val="20"/>
        </w:rPr>
        <w:t xml:space="preserve">rtikel 17: </w:t>
      </w:r>
      <w:r w:rsidR="008B5052">
        <w:rPr>
          <w:rFonts w:ascii="Arial" w:hAnsi="Arial" w:cs="Arial"/>
          <w:sz w:val="20"/>
          <w:szCs w:val="20"/>
        </w:rPr>
        <w:t>de preambule van het Protocol bij het Verdrag wordt aangepast</w:t>
      </w:r>
      <w:r w:rsidR="00512B2C">
        <w:rPr>
          <w:rFonts w:ascii="Arial" w:hAnsi="Arial" w:cs="Arial"/>
          <w:sz w:val="20"/>
          <w:szCs w:val="20"/>
        </w:rPr>
        <w:t xml:space="preserve"> als gevolg van de gewijzigde titel van het Verdrag</w:t>
      </w:r>
      <w:r w:rsidR="00941DA3">
        <w:rPr>
          <w:rFonts w:ascii="Arial" w:hAnsi="Arial" w:cs="Arial"/>
          <w:sz w:val="20"/>
          <w:szCs w:val="20"/>
        </w:rPr>
        <w:t>;</w:t>
      </w:r>
    </w:p>
    <w:p w:rsidRPr="000034C4" w:rsidR="00297C67" w:rsidP="000034C4" w:rsidRDefault="000034C4" w14:paraId="52BE0125" w14:textId="77777777">
      <w:pPr>
        <w:pStyle w:val="Lijstalinea"/>
        <w:numPr>
          <w:ilvl w:val="0"/>
          <w:numId w:val="2"/>
        </w:numPr>
        <w:spacing w:after="0" w:line="360" w:lineRule="auto"/>
        <w:ind w:left="714" w:hanging="357"/>
        <w:rPr>
          <w:rFonts w:ascii="Arial" w:hAnsi="Arial" w:cs="Arial"/>
          <w:sz w:val="20"/>
          <w:szCs w:val="20"/>
        </w:rPr>
      </w:pPr>
      <w:r>
        <w:rPr>
          <w:rFonts w:ascii="Arial" w:hAnsi="Arial" w:cs="Arial"/>
          <w:sz w:val="20"/>
          <w:szCs w:val="20"/>
        </w:rPr>
        <w:t>a</w:t>
      </w:r>
      <w:r w:rsidR="00980520">
        <w:rPr>
          <w:rFonts w:ascii="Arial" w:hAnsi="Arial" w:cs="Arial"/>
          <w:sz w:val="20"/>
          <w:szCs w:val="20"/>
        </w:rPr>
        <w:t>rtikel 18: als uitvloeisel van de wijziging van artikel 1 van het Verdrag vervalt de in artikel I van het Protocol bij het Verdrag opgenomen bepaling over hybride-entiteiten;</w:t>
      </w:r>
    </w:p>
    <w:p w:rsidRPr="007D2E72" w:rsidR="004C2952" w:rsidP="007D2E72" w:rsidRDefault="005678B1" w14:paraId="2731C708" w14:textId="2227A0A3">
      <w:pPr>
        <w:pStyle w:val="Lijstalinea"/>
        <w:numPr>
          <w:ilvl w:val="0"/>
          <w:numId w:val="2"/>
        </w:numPr>
        <w:spacing w:after="0" w:line="360" w:lineRule="auto"/>
        <w:ind w:left="714" w:hanging="357"/>
        <w:rPr>
          <w:rFonts w:ascii="Arial" w:hAnsi="Arial" w:cs="Arial"/>
          <w:sz w:val="20"/>
          <w:szCs w:val="20"/>
        </w:rPr>
      </w:pPr>
      <w:r w:rsidRPr="004C2952">
        <w:rPr>
          <w:rFonts w:ascii="Arial" w:hAnsi="Arial" w:cs="Arial"/>
          <w:sz w:val="20"/>
          <w:szCs w:val="20"/>
        </w:rPr>
        <w:t xml:space="preserve">artikel </w:t>
      </w:r>
      <w:r w:rsidR="00EF2B89">
        <w:rPr>
          <w:rFonts w:ascii="Arial" w:hAnsi="Arial" w:cs="Arial"/>
          <w:sz w:val="20"/>
          <w:szCs w:val="20"/>
        </w:rPr>
        <w:t>20</w:t>
      </w:r>
      <w:r w:rsidR="00DF2A59">
        <w:rPr>
          <w:rFonts w:ascii="Arial" w:hAnsi="Arial" w:cs="Arial"/>
          <w:sz w:val="20"/>
          <w:szCs w:val="20"/>
        </w:rPr>
        <w:t xml:space="preserve">: </w:t>
      </w:r>
      <w:r w:rsidRPr="004C2952">
        <w:rPr>
          <w:rFonts w:ascii="Arial" w:hAnsi="Arial" w:cs="Arial"/>
          <w:sz w:val="20"/>
          <w:szCs w:val="20"/>
        </w:rPr>
        <w:t xml:space="preserve">bepaald </w:t>
      </w:r>
      <w:r w:rsidR="00DF2A59">
        <w:rPr>
          <w:rFonts w:ascii="Arial" w:hAnsi="Arial" w:cs="Arial"/>
          <w:sz w:val="20"/>
          <w:szCs w:val="20"/>
        </w:rPr>
        <w:t xml:space="preserve">wordt </w:t>
      </w:r>
      <w:r w:rsidRPr="004C2952">
        <w:rPr>
          <w:rFonts w:ascii="Arial" w:hAnsi="Arial" w:cs="Arial"/>
          <w:sz w:val="20"/>
          <w:szCs w:val="20"/>
        </w:rPr>
        <w:t xml:space="preserve">dat </w:t>
      </w:r>
      <w:r w:rsidRPr="004C2952" w:rsidR="00DF2A59">
        <w:rPr>
          <w:rFonts w:ascii="Arial" w:hAnsi="Arial" w:cs="Arial"/>
          <w:sz w:val="20"/>
          <w:szCs w:val="20"/>
        </w:rPr>
        <w:t xml:space="preserve">het verlaagde tarief van 5% voor deelnemingsdividenden in artikel 10 van het Verdrag </w:t>
      </w:r>
      <w:r w:rsidR="00DF2A59">
        <w:rPr>
          <w:rFonts w:ascii="Arial" w:hAnsi="Arial" w:cs="Arial"/>
          <w:sz w:val="20"/>
          <w:szCs w:val="20"/>
        </w:rPr>
        <w:t xml:space="preserve">niet van toepassing is </w:t>
      </w:r>
      <w:r w:rsidR="00980520">
        <w:rPr>
          <w:rFonts w:ascii="Arial" w:hAnsi="Arial" w:cs="Arial"/>
          <w:sz w:val="20"/>
          <w:szCs w:val="20"/>
        </w:rPr>
        <w:t xml:space="preserve">op </w:t>
      </w:r>
      <w:r w:rsidR="00DF2A59">
        <w:rPr>
          <w:rFonts w:ascii="Arial" w:hAnsi="Arial" w:cs="Arial"/>
          <w:sz w:val="20"/>
          <w:szCs w:val="20"/>
        </w:rPr>
        <w:t xml:space="preserve">dividenden ontvangen of betaald door </w:t>
      </w:r>
      <w:r w:rsidRPr="004C2952">
        <w:rPr>
          <w:rFonts w:ascii="Arial" w:hAnsi="Arial" w:cs="Arial"/>
          <w:sz w:val="20"/>
          <w:szCs w:val="20"/>
        </w:rPr>
        <w:t>Nederlandse fiscale beleggingsinstelling</w:t>
      </w:r>
      <w:r w:rsidR="00DF2A59">
        <w:rPr>
          <w:rFonts w:ascii="Arial" w:hAnsi="Arial" w:cs="Arial"/>
          <w:sz w:val="20"/>
          <w:szCs w:val="20"/>
        </w:rPr>
        <w:t>en</w:t>
      </w:r>
      <w:r w:rsidRPr="004C2952">
        <w:rPr>
          <w:rFonts w:ascii="Arial" w:hAnsi="Arial" w:cs="Arial"/>
          <w:sz w:val="20"/>
          <w:szCs w:val="20"/>
        </w:rPr>
        <w:t xml:space="preserve"> en </w:t>
      </w:r>
      <w:r w:rsidR="00DF2A59">
        <w:rPr>
          <w:rFonts w:ascii="Arial" w:hAnsi="Arial" w:cs="Arial"/>
          <w:sz w:val="20"/>
          <w:szCs w:val="20"/>
        </w:rPr>
        <w:t xml:space="preserve">door </w:t>
      </w:r>
      <w:r w:rsidRPr="004C2952">
        <w:rPr>
          <w:rFonts w:ascii="Arial" w:hAnsi="Arial" w:cs="Arial"/>
          <w:sz w:val="20"/>
          <w:szCs w:val="20"/>
        </w:rPr>
        <w:t xml:space="preserve">in Polen vrijgestelde </w:t>
      </w:r>
      <w:r w:rsidRPr="00AF3E91">
        <w:rPr>
          <w:rFonts w:ascii="Arial" w:hAnsi="Arial" w:cs="Arial"/>
          <w:i/>
          <w:sz w:val="20"/>
          <w:szCs w:val="20"/>
        </w:rPr>
        <w:t>open-end</w:t>
      </w:r>
      <w:r w:rsidRPr="004C2952">
        <w:rPr>
          <w:rFonts w:ascii="Arial" w:hAnsi="Arial" w:cs="Arial"/>
          <w:sz w:val="20"/>
          <w:szCs w:val="20"/>
        </w:rPr>
        <w:t xml:space="preserve"> beleggingsfondsen. Ook wordt </w:t>
      </w:r>
      <w:r w:rsidR="00DF2A59">
        <w:rPr>
          <w:rFonts w:ascii="Arial" w:hAnsi="Arial" w:cs="Arial"/>
          <w:sz w:val="20"/>
          <w:szCs w:val="20"/>
        </w:rPr>
        <w:t xml:space="preserve">een </w:t>
      </w:r>
      <w:r w:rsidRPr="004C2952">
        <w:rPr>
          <w:rFonts w:ascii="Arial" w:hAnsi="Arial" w:cs="Arial"/>
          <w:sz w:val="20"/>
          <w:szCs w:val="20"/>
        </w:rPr>
        <w:t xml:space="preserve">verduidelijking gegeven </w:t>
      </w:r>
      <w:r w:rsidR="00D87362">
        <w:rPr>
          <w:rFonts w:ascii="Arial" w:hAnsi="Arial" w:cs="Arial"/>
          <w:sz w:val="20"/>
          <w:szCs w:val="20"/>
        </w:rPr>
        <w:t>van</w:t>
      </w:r>
      <w:r w:rsidRPr="004C2952" w:rsidR="00D87362">
        <w:rPr>
          <w:rFonts w:ascii="Arial" w:hAnsi="Arial" w:cs="Arial"/>
          <w:sz w:val="20"/>
          <w:szCs w:val="20"/>
        </w:rPr>
        <w:t xml:space="preserve"> </w:t>
      </w:r>
      <w:r w:rsidR="00DF2A59">
        <w:rPr>
          <w:rFonts w:ascii="Arial" w:hAnsi="Arial" w:cs="Arial"/>
          <w:sz w:val="20"/>
          <w:szCs w:val="20"/>
        </w:rPr>
        <w:t xml:space="preserve">de kwalificatie van </w:t>
      </w:r>
      <w:r w:rsidRPr="004C2952">
        <w:rPr>
          <w:rFonts w:ascii="Arial" w:hAnsi="Arial" w:cs="Arial"/>
          <w:sz w:val="20"/>
          <w:szCs w:val="20"/>
        </w:rPr>
        <w:t xml:space="preserve">inkomsten die worden genoten bij (gedeeltelijke) liquidatie </w:t>
      </w:r>
      <w:r w:rsidR="00DF2A59">
        <w:rPr>
          <w:rFonts w:ascii="Arial" w:hAnsi="Arial" w:cs="Arial"/>
          <w:sz w:val="20"/>
          <w:szCs w:val="20"/>
        </w:rPr>
        <w:t xml:space="preserve">van een vennootschap </w:t>
      </w:r>
      <w:r w:rsidRPr="004C2952">
        <w:rPr>
          <w:rFonts w:ascii="Arial" w:hAnsi="Arial" w:cs="Arial"/>
          <w:sz w:val="20"/>
          <w:szCs w:val="20"/>
        </w:rPr>
        <w:t xml:space="preserve">of </w:t>
      </w:r>
      <w:r w:rsidR="00DF2A59">
        <w:rPr>
          <w:rFonts w:ascii="Arial" w:hAnsi="Arial" w:cs="Arial"/>
          <w:sz w:val="20"/>
          <w:szCs w:val="20"/>
        </w:rPr>
        <w:t xml:space="preserve">bij </w:t>
      </w:r>
      <w:r w:rsidRPr="004C2952">
        <w:rPr>
          <w:rFonts w:ascii="Arial" w:hAnsi="Arial" w:cs="Arial"/>
          <w:sz w:val="20"/>
          <w:szCs w:val="20"/>
        </w:rPr>
        <w:t>inkoop</w:t>
      </w:r>
      <w:r w:rsidR="00DF2A59">
        <w:rPr>
          <w:rFonts w:ascii="Arial" w:hAnsi="Arial" w:cs="Arial"/>
          <w:sz w:val="20"/>
          <w:szCs w:val="20"/>
        </w:rPr>
        <w:t xml:space="preserve"> van eigen aandelen door een vennootschap</w:t>
      </w:r>
      <w:r w:rsidRPr="004C2952">
        <w:rPr>
          <w:rFonts w:ascii="Arial" w:hAnsi="Arial" w:cs="Arial"/>
          <w:sz w:val="20"/>
          <w:szCs w:val="20"/>
        </w:rPr>
        <w:t xml:space="preserve">, </w:t>
      </w:r>
      <w:r w:rsidR="00DF2A59">
        <w:rPr>
          <w:rFonts w:ascii="Arial" w:hAnsi="Arial" w:cs="Arial"/>
          <w:sz w:val="20"/>
          <w:szCs w:val="20"/>
        </w:rPr>
        <w:t xml:space="preserve">en van inkomsten die worden ontvangen op </w:t>
      </w:r>
      <w:r w:rsidRPr="004C2952">
        <w:rPr>
          <w:rFonts w:ascii="Arial" w:hAnsi="Arial" w:cs="Arial"/>
          <w:sz w:val="20"/>
          <w:szCs w:val="20"/>
        </w:rPr>
        <w:t>certificaten van of deelnemingen in een investeringsfonds</w:t>
      </w:r>
      <w:r w:rsidR="000034C4">
        <w:rPr>
          <w:rFonts w:ascii="Arial" w:hAnsi="Arial" w:cs="Arial"/>
          <w:sz w:val="20"/>
          <w:szCs w:val="20"/>
        </w:rPr>
        <w:t xml:space="preserve"> </w:t>
      </w:r>
      <w:r w:rsidR="00220A9E">
        <w:rPr>
          <w:rFonts w:ascii="Arial" w:hAnsi="Arial" w:cs="Arial"/>
          <w:sz w:val="20"/>
          <w:szCs w:val="20"/>
        </w:rPr>
        <w:t>(artikel V van het Protocol bij het Verdrag)</w:t>
      </w:r>
      <w:r w:rsidR="008A2927">
        <w:rPr>
          <w:rFonts w:ascii="Arial" w:hAnsi="Arial" w:cs="Arial"/>
          <w:sz w:val="20"/>
          <w:szCs w:val="20"/>
        </w:rPr>
        <w:t>.</w:t>
      </w:r>
    </w:p>
    <w:p w:rsidRPr="00105C67" w:rsidR="00105C67" w:rsidP="00105C67" w:rsidRDefault="00105C67" w14:paraId="3BAD3BF3" w14:textId="667DC28E">
      <w:pPr>
        <w:rPr>
          <w:rFonts w:cs="Arial"/>
          <w:szCs w:val="20"/>
        </w:rPr>
      </w:pPr>
      <w:r w:rsidRPr="00105C67">
        <w:rPr>
          <w:rFonts w:cs="Arial"/>
          <w:szCs w:val="20"/>
        </w:rPr>
        <w:t>Bij de redactie van de bepalingen van het Wijzigingsprotocol is zoveel mogelijk aansluiting gezocht bij het OESO-modelverdrag</w:t>
      </w:r>
      <w:r w:rsidR="00752DAF">
        <w:rPr>
          <w:rFonts w:cs="Arial"/>
          <w:szCs w:val="20"/>
        </w:rPr>
        <w:t>.</w:t>
      </w:r>
    </w:p>
    <w:p w:rsidR="00DF2A59" w:rsidP="00773366" w:rsidRDefault="00105C67" w14:paraId="7FE19C09" w14:textId="77777777">
      <w:r w:rsidRPr="00105C67">
        <w:rPr>
          <w:rFonts w:cs="Arial"/>
          <w:szCs w:val="20"/>
        </w:rPr>
        <w:t xml:space="preserve">De in het Wijzigingsprotocol opgenomen bepalingen weerspiegelen een resultaat dat in het licht van de over en weer naar voren gebrachte wensen als evenwichtig kan worden beschouwd, rekening houdend met de belangen van de </w:t>
      </w:r>
      <w:r>
        <w:rPr>
          <w:rFonts w:cs="Arial"/>
          <w:szCs w:val="20"/>
        </w:rPr>
        <w:t>Poolse</w:t>
      </w:r>
      <w:r w:rsidRPr="00105C67">
        <w:rPr>
          <w:rFonts w:cs="Arial"/>
          <w:szCs w:val="20"/>
        </w:rPr>
        <w:t xml:space="preserve"> en Nederlandse burgers en bedrijven en met de heffingsbelangen van zowel </w:t>
      </w:r>
      <w:r>
        <w:rPr>
          <w:rFonts w:cs="Arial"/>
          <w:szCs w:val="20"/>
        </w:rPr>
        <w:t>Polen</w:t>
      </w:r>
      <w:r w:rsidRPr="00105C67">
        <w:rPr>
          <w:rFonts w:cs="Arial"/>
          <w:szCs w:val="20"/>
        </w:rPr>
        <w:t xml:space="preserve"> als Nederland. </w:t>
      </w:r>
      <w:r w:rsidR="00773366">
        <w:t xml:space="preserve">Het Wijzigingsprotocol </w:t>
      </w:r>
      <w:r w:rsidRPr="00BE629B" w:rsidR="00773366">
        <w:t>valt binnen de kaders van de NFV 2011.</w:t>
      </w:r>
    </w:p>
    <w:p w:rsidR="00773366" w:rsidP="00773366" w:rsidRDefault="00773366" w14:paraId="0D2BFF68" w14:textId="77777777">
      <w:pPr>
        <w:rPr>
          <w:rFonts w:cs="Arial"/>
        </w:rPr>
      </w:pPr>
      <w:r w:rsidRPr="00BE629B">
        <w:t>In onderdeel I.7</w:t>
      </w:r>
      <w:r w:rsidR="0044045B">
        <w:t>.</w:t>
      </w:r>
      <w:r w:rsidRPr="00BE629B">
        <w:t xml:space="preserve"> van deze</w:t>
      </w:r>
      <w:r>
        <w:t xml:space="preserve"> toelichtende nota is </w:t>
      </w:r>
      <w:r w:rsidRPr="000F0014">
        <w:t xml:space="preserve">het </w:t>
      </w:r>
      <w:r w:rsidRPr="00E80A06">
        <w:t xml:space="preserve">Toetsschema </w:t>
      </w:r>
      <w:r>
        <w:t xml:space="preserve">Standaardcriteria </w:t>
      </w:r>
      <w:r w:rsidRPr="00E80A06">
        <w:t xml:space="preserve">Fiscaal Verdragsbeleid 2011 </w:t>
      </w:r>
      <w:r>
        <w:t>opgenomen.</w:t>
      </w:r>
    </w:p>
    <w:p w:rsidRPr="00105C67" w:rsidR="00105C67" w:rsidP="00105C67" w:rsidRDefault="00105C67" w14:paraId="6BF1EF40" w14:textId="77777777">
      <w:pPr>
        <w:ind w:firstLine="708"/>
        <w:rPr>
          <w:rFonts w:cs="Arial"/>
          <w:szCs w:val="20"/>
        </w:rPr>
      </w:pPr>
    </w:p>
    <w:p w:rsidRPr="00C73FCF" w:rsidR="00C73FCF" w:rsidP="008F3067" w:rsidRDefault="00C73FCF" w14:paraId="3B746C7A" w14:textId="77777777">
      <w:pPr>
        <w:ind w:firstLine="0"/>
        <w:rPr>
          <w:rFonts w:cs="Arial"/>
          <w:i/>
          <w:szCs w:val="20"/>
        </w:rPr>
      </w:pPr>
      <w:r w:rsidRPr="002037C3">
        <w:rPr>
          <w:rFonts w:cs="Arial"/>
          <w:i/>
          <w:szCs w:val="20"/>
        </w:rPr>
        <w:t>I.</w:t>
      </w:r>
      <w:r>
        <w:rPr>
          <w:rFonts w:cs="Arial"/>
          <w:i/>
          <w:szCs w:val="20"/>
        </w:rPr>
        <w:t>4</w:t>
      </w:r>
      <w:r w:rsidRPr="002037C3">
        <w:rPr>
          <w:rFonts w:cs="Arial"/>
          <w:i/>
          <w:szCs w:val="20"/>
        </w:rPr>
        <w:t xml:space="preserve">. </w:t>
      </w:r>
      <w:r>
        <w:rPr>
          <w:rFonts w:cs="Arial"/>
          <w:i/>
          <w:szCs w:val="20"/>
        </w:rPr>
        <w:t>Budgettaire aspecten</w:t>
      </w:r>
      <w:r w:rsidR="00A05199">
        <w:rPr>
          <w:rFonts w:cs="Arial"/>
          <w:i/>
          <w:szCs w:val="20"/>
        </w:rPr>
        <w:t xml:space="preserve"> en administratieve lasten</w:t>
      </w:r>
    </w:p>
    <w:p w:rsidR="00197665" w:rsidP="008F3067" w:rsidRDefault="00197665" w14:paraId="7C725278" w14:textId="77777777"/>
    <w:p w:rsidRPr="00105C67" w:rsidR="00105C67" w:rsidP="00105C67" w:rsidRDefault="00105C67" w14:paraId="48D2B0BE" w14:textId="77777777">
      <w:pPr>
        <w:ind w:firstLine="708"/>
        <w:rPr>
          <w:rFonts w:cs="Arial"/>
          <w:szCs w:val="20"/>
        </w:rPr>
      </w:pPr>
      <w:r w:rsidRPr="00105C67">
        <w:rPr>
          <w:rFonts w:cs="Arial"/>
          <w:szCs w:val="20"/>
        </w:rPr>
        <w:t xml:space="preserve">De budgettaire gevolgen en de administratieve lasten </w:t>
      </w:r>
      <w:r w:rsidRPr="00105C67" w:rsidR="00E34F87">
        <w:rPr>
          <w:rFonts w:cs="Arial"/>
          <w:szCs w:val="20"/>
        </w:rPr>
        <w:t>rondom de bepalingen van h</w:t>
      </w:r>
      <w:r w:rsidR="00E34F87">
        <w:rPr>
          <w:rFonts w:cs="Arial"/>
          <w:szCs w:val="20"/>
        </w:rPr>
        <w:t>et Wijzigingsprotocol</w:t>
      </w:r>
      <w:r w:rsidRPr="00105C67" w:rsidR="00E34F87">
        <w:rPr>
          <w:rFonts w:cs="Arial"/>
          <w:szCs w:val="20"/>
        </w:rPr>
        <w:t xml:space="preserve"> </w:t>
      </w:r>
      <w:r w:rsidRPr="00105C67">
        <w:rPr>
          <w:rFonts w:cs="Arial"/>
          <w:szCs w:val="20"/>
        </w:rPr>
        <w:t xml:space="preserve">zullen naar verwachting </w:t>
      </w:r>
      <w:r w:rsidR="00087DCB">
        <w:rPr>
          <w:rFonts w:cs="Arial"/>
          <w:szCs w:val="20"/>
        </w:rPr>
        <w:t xml:space="preserve">per saldo </w:t>
      </w:r>
      <w:r w:rsidRPr="00105C67">
        <w:rPr>
          <w:rFonts w:cs="Arial"/>
          <w:szCs w:val="20"/>
        </w:rPr>
        <w:t>gering zijn.</w:t>
      </w:r>
    </w:p>
    <w:p w:rsidR="008524B4" w:rsidP="008524B4" w:rsidRDefault="008524B4" w14:paraId="55D33945" w14:textId="77777777">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ind w:firstLine="0"/>
        <w:rPr>
          <w:bCs/>
          <w:iCs/>
          <w:szCs w:val="28"/>
        </w:rPr>
      </w:pPr>
    </w:p>
    <w:p w:rsidR="006C2D1E" w:rsidRDefault="00C73FCF" w14:paraId="2348FA83" w14:textId="77777777">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ind w:firstLine="0"/>
        <w:rPr>
          <w:i/>
        </w:rPr>
      </w:pPr>
      <w:r w:rsidRPr="00C73FCF">
        <w:rPr>
          <w:i/>
        </w:rPr>
        <w:t>I.5. Inbreng van derden</w:t>
      </w:r>
    </w:p>
    <w:p w:rsidR="006C2D1E" w:rsidRDefault="008524B4" w14:paraId="41BF4364" w14:textId="77777777">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ind w:firstLine="0"/>
        <w:rPr>
          <w:b/>
        </w:rPr>
      </w:pPr>
      <w:r>
        <w:rPr>
          <w:rFonts w:cs="Arial"/>
          <w:i/>
          <w:szCs w:val="20"/>
        </w:rPr>
        <w:br/>
      </w:r>
      <w:r>
        <w:tab/>
      </w:r>
      <w:r w:rsidRPr="00A778F0" w:rsidR="00197665">
        <w:t xml:space="preserve">Het Ministerie van Financiën heeft via de gebruikelijke nieuwsberichten de onderhandelingen </w:t>
      </w:r>
      <w:r w:rsidRPr="004C7341" w:rsidR="004C7341">
        <w:t xml:space="preserve">met </w:t>
      </w:r>
      <w:r w:rsidR="00D53F0A">
        <w:t>Polen</w:t>
      </w:r>
      <w:r w:rsidR="0075451C">
        <w:t xml:space="preserve"> </w:t>
      </w:r>
      <w:r w:rsidRPr="004C7341" w:rsidR="004C7341">
        <w:t>onder de aandacht gebracht en belanghebbenden verzocht de voor hen van belang zijnde aangelegenheden kenbaar te maken. Daarop zijn geen reacties ontvangen.</w:t>
      </w:r>
    </w:p>
    <w:p w:rsidR="008524B4" w:rsidP="008524B4" w:rsidRDefault="008524B4" w14:paraId="618917F6" w14:textId="77777777">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ind w:firstLine="0"/>
        <w:rPr>
          <w:rFonts w:cs="Arial"/>
          <w:szCs w:val="20"/>
        </w:rPr>
      </w:pPr>
    </w:p>
    <w:p w:rsidR="006C2D1E" w:rsidRDefault="00F32208" w14:paraId="636920E4" w14:textId="77777777">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ind w:firstLine="0"/>
        <w:rPr>
          <w:b/>
          <w:i/>
        </w:rPr>
      </w:pPr>
      <w:r w:rsidRPr="00C73FCF">
        <w:rPr>
          <w:i/>
        </w:rPr>
        <w:t>I.</w:t>
      </w:r>
      <w:r>
        <w:rPr>
          <w:i/>
        </w:rPr>
        <w:t>6</w:t>
      </w:r>
      <w:r w:rsidRPr="004C7341" w:rsidR="004C7341">
        <w:rPr>
          <w:i/>
        </w:rPr>
        <w:t>. Koninkrijkspositie</w:t>
      </w:r>
    </w:p>
    <w:p w:rsidR="008524B4" w:rsidP="008524B4" w:rsidRDefault="008524B4" w14:paraId="531FB394" w14:textId="77777777">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ind w:firstLine="0"/>
        <w:rPr>
          <w:rFonts w:cs="Arial"/>
          <w:i/>
          <w:szCs w:val="20"/>
        </w:rPr>
      </w:pPr>
    </w:p>
    <w:p w:rsidR="00A0736B" w:rsidRDefault="008524B4" w14:paraId="02390C10" w14:textId="77777777">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ind w:firstLine="0"/>
      </w:pPr>
      <w:r>
        <w:rPr>
          <w:rFonts w:cs="Arial"/>
          <w:i/>
          <w:szCs w:val="20"/>
        </w:rPr>
        <w:lastRenderedPageBreak/>
        <w:tab/>
      </w:r>
      <w:r w:rsidRPr="00A778F0" w:rsidR="00A778F0">
        <w:t xml:space="preserve">Het </w:t>
      </w:r>
      <w:r w:rsidR="00A778F0">
        <w:t xml:space="preserve">Wijzigingsprotocol zal, evenals het </w:t>
      </w:r>
      <w:r w:rsidRPr="004C7341" w:rsidR="004C7341">
        <w:t>Verdrag, wat het Koninkrijk der Nederlanden betreft, gelden voor het Europese d</w:t>
      </w:r>
      <w:r w:rsidRPr="008B6E97" w:rsidR="004C7341">
        <w:t xml:space="preserve">eel van Nederland. </w:t>
      </w:r>
      <w:r w:rsidR="00652F91">
        <w:t>In artikel 3</w:t>
      </w:r>
      <w:r w:rsidRPr="00652F91" w:rsidR="00652F91">
        <w:t>1</w:t>
      </w:r>
      <w:r w:rsidR="00652F91">
        <w:t xml:space="preserve"> van het Verdrag, dat met artikel </w:t>
      </w:r>
      <w:r w:rsidRPr="00652F91" w:rsidR="00652F91">
        <w:t>1</w:t>
      </w:r>
      <w:r w:rsidR="00652F91">
        <w:t xml:space="preserve">6 van het Wijzigingsprotocol wordt geactualiseerd in verband met de staatkundige </w:t>
      </w:r>
      <w:r w:rsidR="001D093B">
        <w:t>hervorming</w:t>
      </w:r>
      <w:r w:rsidR="002E04F8">
        <w:t xml:space="preserve"> </w:t>
      </w:r>
      <w:r w:rsidRPr="00025CE2" w:rsidR="001D093B">
        <w:t xml:space="preserve">van het Koninkrijk </w:t>
      </w:r>
      <w:r w:rsidR="002E04F8">
        <w:t>van</w:t>
      </w:r>
      <w:r w:rsidR="00652F91">
        <w:t xml:space="preserve"> 10 oktober 2010,</w:t>
      </w:r>
      <w:r w:rsidRPr="00A778F0" w:rsidR="00652F91">
        <w:t xml:space="preserve"> </w:t>
      </w:r>
      <w:r w:rsidR="00652F91">
        <w:t xml:space="preserve">wordt </w:t>
      </w:r>
      <w:r w:rsidRPr="00A778F0" w:rsidR="00652F91">
        <w:t xml:space="preserve">bepaald dat het Verdrag onder voorwaarden kan worden uitgebreid tot de delen van het Koninkrijk die niet in Europa zijn gelegen. Indien tot uitbreiding wordt overgegaan, behoeft dit een afzonderlijk verdrag dat door het Koninkrijk met de Republiek </w:t>
      </w:r>
      <w:r w:rsidR="00652F91">
        <w:t>Polen</w:t>
      </w:r>
      <w:r w:rsidRPr="00A778F0" w:rsidR="00652F91">
        <w:t xml:space="preserve"> wordt aangegaan ten behoeve van het </w:t>
      </w:r>
      <w:r w:rsidR="00652F91">
        <w:t>desbetreffende deel van het Koninkrijk en dat aan het parlement ter goedkeuring zal worden voorgelegd.</w:t>
      </w:r>
    </w:p>
    <w:p w:rsidR="003C7178" w:rsidP="008F3067" w:rsidRDefault="00F32208" w14:paraId="61906660" w14:textId="77777777">
      <w:pPr>
        <w:pStyle w:val="Kop2"/>
        <w:numPr>
          <w:ilvl w:val="0"/>
          <w:numId w:val="0"/>
        </w:numPr>
        <w:rPr>
          <w:rFonts w:cs="Arial"/>
          <w:b w:val="0"/>
          <w:i/>
          <w:szCs w:val="20"/>
        </w:rPr>
      </w:pPr>
      <w:r w:rsidRPr="00E80A06">
        <w:rPr>
          <w:rFonts w:cs="Arial"/>
          <w:b w:val="0"/>
          <w:i/>
          <w:szCs w:val="20"/>
        </w:rPr>
        <w:t>I.7. Toetsschema</w:t>
      </w:r>
      <w:r w:rsidR="00C83815">
        <w:rPr>
          <w:rFonts w:cs="Arial"/>
          <w:b w:val="0"/>
          <w:i/>
          <w:szCs w:val="20"/>
        </w:rPr>
        <w:t xml:space="preserve"> Standaardcriteria</w:t>
      </w:r>
      <w:r w:rsidRPr="00E80A06">
        <w:rPr>
          <w:rFonts w:cs="Arial"/>
          <w:b w:val="0"/>
          <w:i/>
          <w:szCs w:val="20"/>
        </w:rPr>
        <w:t xml:space="preserve"> Fiscaal Verdragsbeleid</w:t>
      </w:r>
    </w:p>
    <w:p w:rsidR="00787BE1" w:rsidP="00946D96" w:rsidRDefault="00F32208" w14:paraId="7BB4634A" w14:textId="77777777">
      <w:pPr>
        <w:pStyle w:val="Kop2"/>
        <w:numPr>
          <w:ilvl w:val="0"/>
          <w:numId w:val="0"/>
        </w:numPr>
        <w:ind w:firstLine="708"/>
        <w:rPr>
          <w:b w:val="0"/>
        </w:rPr>
      </w:pPr>
      <w:r w:rsidRPr="003C7178">
        <w:rPr>
          <w:b w:val="0"/>
        </w:rPr>
        <w:t xml:space="preserve">Het Toetsschema </w:t>
      </w:r>
      <w:r w:rsidRPr="003C7178" w:rsidR="00C83815">
        <w:rPr>
          <w:b w:val="0"/>
        </w:rPr>
        <w:t xml:space="preserve">Standaardcriteria </w:t>
      </w:r>
      <w:r w:rsidRPr="003C7178">
        <w:rPr>
          <w:b w:val="0"/>
        </w:rPr>
        <w:t>Fiscaal Verdragsbeleid 2011 is hieronder opgenomen. In de rechterkolom van het toetsschema zijn de paragraafnummers uit deze toelichting opgenomen die corresponderen met de desbetreffende onderdelen van het schema.</w:t>
      </w:r>
      <w:r w:rsidR="00D12B53">
        <w:rPr>
          <w:b w:val="0"/>
        </w:rPr>
        <w:t xml:space="preserve"> Aangezien </w:t>
      </w:r>
      <w:r w:rsidRPr="00D12B53" w:rsidR="00D12B53">
        <w:rPr>
          <w:b w:val="0"/>
        </w:rPr>
        <w:t xml:space="preserve">dit </w:t>
      </w:r>
      <w:r w:rsidR="003D1668">
        <w:rPr>
          <w:b w:val="0"/>
        </w:rPr>
        <w:t xml:space="preserve">een </w:t>
      </w:r>
      <w:r w:rsidRPr="00D12B53" w:rsidR="00D12B53">
        <w:rPr>
          <w:b w:val="0"/>
        </w:rPr>
        <w:t>Wijzigingsprotocol betreft</w:t>
      </w:r>
      <w:r w:rsidR="0039026C">
        <w:rPr>
          <w:b w:val="0"/>
        </w:rPr>
        <w:t>,</w:t>
      </w:r>
      <w:r w:rsidR="00D12B53">
        <w:rPr>
          <w:b w:val="0"/>
        </w:rPr>
        <w:t xml:space="preserve"> zijn veel elementen van de Nederlandse verdragsi</w:t>
      </w:r>
      <w:r w:rsidR="00725A32">
        <w:rPr>
          <w:b w:val="0"/>
        </w:rPr>
        <w:t>n</w:t>
      </w:r>
      <w:r w:rsidR="00D12B53">
        <w:rPr>
          <w:b w:val="0"/>
        </w:rPr>
        <w:t xml:space="preserve">zet </w:t>
      </w:r>
      <w:r w:rsidR="00725A32">
        <w:rPr>
          <w:b w:val="0"/>
        </w:rPr>
        <w:t xml:space="preserve">die in de NFV 2011 zijn toegelicht in dit schema onder het kopje </w:t>
      </w:r>
      <w:r w:rsidR="007B2435">
        <w:rPr>
          <w:b w:val="0"/>
        </w:rPr>
        <w:t>‘</w:t>
      </w:r>
      <w:r w:rsidR="00725A32">
        <w:rPr>
          <w:b w:val="0"/>
        </w:rPr>
        <w:t>n.v.t.</w:t>
      </w:r>
      <w:r w:rsidR="007B2435">
        <w:rPr>
          <w:b w:val="0"/>
        </w:rPr>
        <w:t>’</w:t>
      </w:r>
      <w:r w:rsidR="00725A32">
        <w:rPr>
          <w:b w:val="0"/>
        </w:rPr>
        <w:t xml:space="preserve"> vermeld.</w:t>
      </w:r>
    </w:p>
    <w:p w:rsidRPr="003C7178" w:rsidR="00695DEC" w:rsidP="00A0736B" w:rsidRDefault="00695DEC" w14:paraId="52520CBC" w14:textId="77777777">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ind w:firstLine="0"/>
        <w:rPr>
          <w:b/>
        </w:rPr>
      </w:pPr>
    </w:p>
    <w:tbl>
      <w:tblPr>
        <w:tblpPr w:leftFromText="141" w:rightFromText="141" w:vertAnchor="text" w:tblpY="1"/>
        <w:tblOverlap w:val="never"/>
        <w:tblW w:w="9176" w:type="dxa"/>
        <w:tblBorders>
          <w:top w:val="single" w:color="FFFFFF" w:sz="12" w:space="0"/>
          <w:left w:val="single" w:color="FFFFFF" w:sz="12" w:space="0"/>
          <w:bottom w:val="single" w:color="FFFFFF" w:sz="12" w:space="0"/>
          <w:right w:val="single" w:color="FFFFFF" w:sz="12" w:space="0"/>
          <w:insideH w:val="single" w:color="FFFFFF" w:sz="12" w:space="0"/>
          <w:insideV w:val="single" w:color="FFFFFF" w:sz="12" w:space="0"/>
        </w:tblBorders>
        <w:shd w:val="clear" w:color="auto" w:fill="EBF7FF"/>
        <w:tblLayout w:type="fixed"/>
        <w:tblCellMar>
          <w:left w:w="70" w:type="dxa"/>
          <w:right w:w="70" w:type="dxa"/>
        </w:tblCellMar>
        <w:tblLook w:val="0000" w:firstRow="0" w:lastRow="0" w:firstColumn="0" w:lastColumn="0" w:noHBand="0" w:noVBand="0"/>
      </w:tblPr>
      <w:tblGrid>
        <w:gridCol w:w="693"/>
        <w:gridCol w:w="1350"/>
        <w:gridCol w:w="5002"/>
        <w:gridCol w:w="21"/>
        <w:gridCol w:w="16"/>
        <w:gridCol w:w="142"/>
        <w:gridCol w:w="125"/>
        <w:gridCol w:w="52"/>
        <w:gridCol w:w="23"/>
        <w:gridCol w:w="65"/>
        <w:gridCol w:w="267"/>
        <w:gridCol w:w="86"/>
        <w:gridCol w:w="342"/>
        <w:gridCol w:w="80"/>
        <w:gridCol w:w="311"/>
        <w:gridCol w:w="42"/>
        <w:gridCol w:w="559"/>
      </w:tblGrid>
      <w:tr w:rsidRPr="009C438A" w:rsidR="00C41D7B" w:rsidTr="00E80A06" w14:paraId="13B5B4D3" w14:textId="77777777">
        <w:trPr>
          <w:cantSplit/>
          <w:trHeight w:val="682"/>
          <w:tblHeader/>
        </w:trPr>
        <w:tc>
          <w:tcPr>
            <w:tcW w:w="693" w:type="dxa"/>
            <w:shd w:val="clear" w:color="auto" w:fill="BFBFBF"/>
            <w:textDirection w:val="btLr"/>
            <w:vAlign w:val="center"/>
          </w:tcPr>
          <w:p w:rsidRPr="009C438A" w:rsidR="00C41D7B" w:rsidP="008F3067" w:rsidRDefault="00C41D7B" w14:paraId="30BF7611" w14:textId="77777777">
            <w:pPr>
              <w:spacing w:line="276" w:lineRule="auto"/>
              <w:ind w:firstLine="0"/>
              <w:rPr>
                <w:rFonts w:eastAsia="Calibri" w:cs="Arial"/>
                <w:sz w:val="16"/>
                <w:szCs w:val="16"/>
                <w:lang w:eastAsia="en-US"/>
              </w:rPr>
            </w:pPr>
            <w:r>
              <w:br w:type="page"/>
            </w:r>
            <w:r w:rsidRPr="00C41D7B">
              <w:rPr>
                <w:sz w:val="26"/>
              </w:rPr>
              <w:t xml:space="preserve"> </w:t>
            </w:r>
            <w:r w:rsidRPr="009C438A">
              <w:rPr>
                <w:rFonts w:eastAsia="Calibri" w:cs="Arial"/>
                <w:sz w:val="16"/>
                <w:szCs w:val="16"/>
                <w:lang w:eastAsia="en-US"/>
              </w:rPr>
              <w:t>NFV 2011</w:t>
            </w:r>
          </w:p>
        </w:tc>
        <w:tc>
          <w:tcPr>
            <w:tcW w:w="6352" w:type="dxa"/>
            <w:gridSpan w:val="2"/>
            <w:shd w:val="clear" w:color="auto" w:fill="BFBFBF"/>
            <w:vAlign w:val="center"/>
          </w:tcPr>
          <w:p w:rsidRPr="009C438A" w:rsidR="00C41D7B" w:rsidP="008F3067" w:rsidRDefault="00C41D7B" w14:paraId="3C2147FD" w14:textId="77777777">
            <w:pPr>
              <w:spacing w:line="276" w:lineRule="auto"/>
              <w:ind w:firstLine="0"/>
              <w:rPr>
                <w:rFonts w:eastAsia="Calibri" w:cs="Arial"/>
                <w:sz w:val="16"/>
                <w:szCs w:val="16"/>
                <w:lang w:eastAsia="en-US"/>
              </w:rPr>
            </w:pPr>
            <w:r w:rsidRPr="009C438A">
              <w:rPr>
                <w:rFonts w:eastAsia="Calibri" w:cs="Arial"/>
                <w:sz w:val="16"/>
                <w:szCs w:val="16"/>
                <w:lang w:eastAsia="en-US"/>
              </w:rPr>
              <w:t>Inzet</w:t>
            </w:r>
          </w:p>
        </w:tc>
        <w:tc>
          <w:tcPr>
            <w:tcW w:w="356" w:type="dxa"/>
            <w:gridSpan w:val="5"/>
            <w:shd w:val="clear" w:color="auto" w:fill="BFBFBF"/>
            <w:textDirection w:val="btLr"/>
            <w:vAlign w:val="bottom"/>
          </w:tcPr>
          <w:p w:rsidRPr="009C438A" w:rsidR="00C41D7B" w:rsidP="008F3067" w:rsidRDefault="00C41D7B" w14:paraId="63D37845" w14:textId="77777777">
            <w:pPr>
              <w:spacing w:line="276" w:lineRule="auto"/>
              <w:ind w:left="113" w:right="113" w:firstLine="0"/>
              <w:rPr>
                <w:rFonts w:eastAsia="Calibri" w:cs="Arial"/>
                <w:sz w:val="16"/>
                <w:szCs w:val="16"/>
                <w:lang w:eastAsia="en-US"/>
              </w:rPr>
            </w:pPr>
            <w:r w:rsidRPr="009C438A">
              <w:rPr>
                <w:rFonts w:eastAsia="Calibri" w:cs="Arial"/>
                <w:sz w:val="16"/>
                <w:szCs w:val="16"/>
                <w:lang w:eastAsia="en-US"/>
              </w:rPr>
              <w:t>Ja</w:t>
            </w:r>
          </w:p>
        </w:tc>
        <w:tc>
          <w:tcPr>
            <w:tcW w:w="355" w:type="dxa"/>
            <w:gridSpan w:val="3"/>
            <w:shd w:val="clear" w:color="auto" w:fill="BFBFBF"/>
            <w:textDirection w:val="btLr"/>
            <w:vAlign w:val="bottom"/>
          </w:tcPr>
          <w:p w:rsidRPr="009C438A" w:rsidR="00C41D7B" w:rsidP="008F3067" w:rsidRDefault="00C41D7B" w14:paraId="42B9D438" w14:textId="77777777">
            <w:pPr>
              <w:spacing w:line="276" w:lineRule="auto"/>
              <w:ind w:left="113" w:right="113" w:firstLine="0"/>
              <w:rPr>
                <w:rFonts w:eastAsia="Calibri" w:cs="Arial"/>
                <w:sz w:val="16"/>
                <w:szCs w:val="16"/>
                <w:lang w:eastAsia="en-US"/>
              </w:rPr>
            </w:pPr>
            <w:r w:rsidRPr="009C438A">
              <w:rPr>
                <w:rFonts w:eastAsia="Calibri" w:cs="Arial"/>
                <w:sz w:val="16"/>
                <w:szCs w:val="16"/>
                <w:lang w:eastAsia="en-US"/>
              </w:rPr>
              <w:t>Deels</w:t>
            </w:r>
          </w:p>
        </w:tc>
        <w:tc>
          <w:tcPr>
            <w:tcW w:w="428" w:type="dxa"/>
            <w:gridSpan w:val="2"/>
            <w:shd w:val="clear" w:color="auto" w:fill="BFBFBF"/>
            <w:textDirection w:val="btLr"/>
            <w:vAlign w:val="bottom"/>
          </w:tcPr>
          <w:p w:rsidRPr="009C438A" w:rsidR="00C41D7B" w:rsidP="008F3067" w:rsidRDefault="00C41D7B" w14:paraId="6E0F4A6C" w14:textId="77777777">
            <w:pPr>
              <w:spacing w:line="276" w:lineRule="auto"/>
              <w:ind w:left="113" w:right="113" w:firstLine="0"/>
              <w:rPr>
                <w:rFonts w:eastAsia="Calibri" w:cs="Arial"/>
                <w:sz w:val="16"/>
                <w:szCs w:val="16"/>
                <w:lang w:eastAsia="en-US"/>
              </w:rPr>
            </w:pPr>
            <w:r w:rsidRPr="009C438A">
              <w:rPr>
                <w:rFonts w:eastAsia="Calibri" w:cs="Arial"/>
                <w:sz w:val="16"/>
                <w:szCs w:val="16"/>
                <w:lang w:eastAsia="en-US"/>
              </w:rPr>
              <w:t>Nee</w:t>
            </w:r>
          </w:p>
        </w:tc>
        <w:tc>
          <w:tcPr>
            <w:tcW w:w="433" w:type="dxa"/>
            <w:gridSpan w:val="3"/>
            <w:shd w:val="clear" w:color="auto" w:fill="BFBFBF"/>
            <w:textDirection w:val="btLr"/>
            <w:vAlign w:val="bottom"/>
          </w:tcPr>
          <w:p w:rsidRPr="009C438A" w:rsidR="00C41D7B" w:rsidP="008F3067" w:rsidRDefault="00C41D7B" w14:paraId="5BA70885" w14:textId="77777777">
            <w:pPr>
              <w:spacing w:line="276" w:lineRule="auto"/>
              <w:ind w:left="113" w:right="113" w:firstLine="0"/>
              <w:rPr>
                <w:rFonts w:eastAsia="Calibri" w:cs="Arial"/>
                <w:sz w:val="16"/>
                <w:szCs w:val="16"/>
                <w:lang w:eastAsia="en-US"/>
              </w:rPr>
            </w:pPr>
            <w:r w:rsidRPr="009C438A">
              <w:rPr>
                <w:rFonts w:eastAsia="Calibri" w:cs="Arial"/>
                <w:sz w:val="16"/>
                <w:szCs w:val="16"/>
                <w:lang w:eastAsia="en-US"/>
              </w:rPr>
              <w:t>N.v.t.</w:t>
            </w:r>
          </w:p>
        </w:tc>
        <w:tc>
          <w:tcPr>
            <w:tcW w:w="559" w:type="dxa"/>
            <w:shd w:val="clear" w:color="auto" w:fill="BFBFBF"/>
            <w:textDirection w:val="btLr"/>
            <w:vAlign w:val="center"/>
          </w:tcPr>
          <w:p w:rsidRPr="009C438A" w:rsidR="00C41D7B" w:rsidP="008F3067" w:rsidRDefault="00C41D7B" w14:paraId="31FEB6C0" w14:textId="77777777">
            <w:pPr>
              <w:spacing w:line="276" w:lineRule="auto"/>
              <w:ind w:left="113" w:right="113" w:firstLine="0"/>
              <w:rPr>
                <w:rFonts w:eastAsia="Calibri" w:cs="Arial"/>
                <w:sz w:val="16"/>
                <w:szCs w:val="16"/>
                <w:lang w:eastAsia="en-US"/>
              </w:rPr>
            </w:pPr>
            <w:r w:rsidRPr="009C438A">
              <w:rPr>
                <w:rFonts w:eastAsia="Calibri" w:cs="Arial"/>
                <w:sz w:val="16"/>
                <w:szCs w:val="16"/>
                <w:lang w:eastAsia="en-US"/>
              </w:rPr>
              <w:t>Zie par.</w:t>
            </w:r>
          </w:p>
        </w:tc>
      </w:tr>
      <w:tr w:rsidRPr="009C438A" w:rsidR="00C41D7B" w:rsidTr="00E80A06" w14:paraId="0A6C3FD4" w14:textId="77777777">
        <w:trPr>
          <w:gridAfter w:val="11"/>
          <w:wAfter w:w="1952" w:type="dxa"/>
          <w:cantSplit/>
          <w:trHeight w:val="403"/>
        </w:trPr>
        <w:tc>
          <w:tcPr>
            <w:tcW w:w="693" w:type="dxa"/>
            <w:shd w:val="clear" w:color="auto" w:fill="FFFFFF"/>
            <w:vAlign w:val="center"/>
          </w:tcPr>
          <w:p w:rsidRPr="009C438A" w:rsidR="00C41D7B" w:rsidP="008F3067" w:rsidRDefault="00C41D7B" w14:paraId="3CE6CAA9" w14:textId="77777777">
            <w:pPr>
              <w:spacing w:line="276" w:lineRule="auto"/>
              <w:ind w:firstLine="0"/>
              <w:rPr>
                <w:rFonts w:eastAsia="Calibri" w:cs="Arial"/>
                <w:sz w:val="16"/>
                <w:szCs w:val="16"/>
                <w:lang w:eastAsia="en-US"/>
              </w:rPr>
            </w:pPr>
          </w:p>
        </w:tc>
        <w:tc>
          <w:tcPr>
            <w:tcW w:w="6531" w:type="dxa"/>
            <w:gridSpan w:val="5"/>
            <w:shd w:val="clear" w:color="auto" w:fill="FFFFFF"/>
            <w:vAlign w:val="center"/>
          </w:tcPr>
          <w:p w:rsidRPr="009C438A" w:rsidR="00C41D7B" w:rsidP="008F3067" w:rsidRDefault="00C41D7B" w14:paraId="7CF97E39" w14:textId="77777777">
            <w:pPr>
              <w:spacing w:line="276" w:lineRule="auto"/>
              <w:ind w:firstLine="0"/>
              <w:rPr>
                <w:rFonts w:cs="Arial"/>
                <w:b/>
                <w:sz w:val="16"/>
                <w:szCs w:val="16"/>
              </w:rPr>
            </w:pPr>
            <w:r w:rsidRPr="009C438A">
              <w:rPr>
                <w:rFonts w:eastAsia="Calibri" w:cs="Arial"/>
                <w:b/>
                <w:sz w:val="16"/>
                <w:szCs w:val="16"/>
                <w:lang w:eastAsia="en-US"/>
              </w:rPr>
              <w:t>Algemeen</w:t>
            </w:r>
          </w:p>
        </w:tc>
      </w:tr>
      <w:tr w:rsidRPr="009C438A" w:rsidR="00C41D7B" w:rsidTr="00562385" w14:paraId="618EC7CA" w14:textId="77777777">
        <w:trPr>
          <w:trHeight w:val="255"/>
        </w:trPr>
        <w:tc>
          <w:tcPr>
            <w:tcW w:w="693" w:type="dxa"/>
            <w:shd w:val="clear" w:color="auto" w:fill="BFBFBF"/>
            <w:vAlign w:val="center"/>
          </w:tcPr>
          <w:p w:rsidRPr="009C438A" w:rsidR="00C41D7B" w:rsidP="008F3067" w:rsidRDefault="00C41D7B" w14:paraId="75D969E0" w14:textId="77777777">
            <w:pPr>
              <w:spacing w:line="276" w:lineRule="auto"/>
              <w:ind w:firstLine="0"/>
              <w:rPr>
                <w:rFonts w:eastAsia="Calibri" w:cs="Arial"/>
                <w:sz w:val="16"/>
                <w:szCs w:val="16"/>
                <w:lang w:eastAsia="en-US"/>
              </w:rPr>
            </w:pPr>
            <w:r w:rsidRPr="009C438A">
              <w:rPr>
                <w:rFonts w:eastAsia="Calibri" w:cs="Arial"/>
                <w:sz w:val="16"/>
                <w:szCs w:val="16"/>
                <w:lang w:eastAsia="en-US"/>
              </w:rPr>
              <w:t>IV</w:t>
            </w:r>
          </w:p>
        </w:tc>
        <w:tc>
          <w:tcPr>
            <w:tcW w:w="6352" w:type="dxa"/>
            <w:gridSpan w:val="2"/>
            <w:shd w:val="clear" w:color="auto" w:fill="007BC7"/>
            <w:vAlign w:val="center"/>
          </w:tcPr>
          <w:p w:rsidRPr="009C438A" w:rsidR="00C41D7B" w:rsidP="008F3067" w:rsidRDefault="00C41D7B" w14:paraId="30BFA99E" w14:textId="77777777">
            <w:pPr>
              <w:spacing w:line="276" w:lineRule="auto"/>
              <w:ind w:firstLine="0"/>
              <w:rPr>
                <w:rFonts w:eastAsia="Calibri" w:cs="Arial"/>
                <w:color w:val="FFFFFF"/>
                <w:sz w:val="16"/>
                <w:szCs w:val="16"/>
                <w:lang w:eastAsia="en-US"/>
              </w:rPr>
            </w:pPr>
            <w:r w:rsidRPr="009C438A">
              <w:rPr>
                <w:rFonts w:eastAsia="Calibri" w:cs="Arial"/>
                <w:color w:val="FFFFFF"/>
                <w:sz w:val="16"/>
                <w:szCs w:val="16"/>
                <w:lang w:eastAsia="en-US"/>
              </w:rPr>
              <w:t>Globaal beslisschema voor het aangaan van verdragsrelaties gevolgd</w:t>
            </w:r>
          </w:p>
        </w:tc>
        <w:tc>
          <w:tcPr>
            <w:tcW w:w="356" w:type="dxa"/>
            <w:gridSpan w:val="5"/>
            <w:shd w:val="clear" w:color="auto" w:fill="BFBFBF"/>
            <w:vAlign w:val="center"/>
          </w:tcPr>
          <w:p w:rsidRPr="009C438A" w:rsidR="00C41D7B" w:rsidP="008F3067" w:rsidRDefault="00C41D7B" w14:paraId="43DAD3F6" w14:textId="77777777">
            <w:pPr>
              <w:spacing w:line="276" w:lineRule="auto"/>
              <w:ind w:firstLine="0"/>
              <w:rPr>
                <w:rFonts w:eastAsia="Calibri" w:cs="Arial"/>
                <w:b/>
                <w:color w:val="007BC7"/>
                <w:sz w:val="16"/>
                <w:szCs w:val="16"/>
                <w:lang w:eastAsia="en-US"/>
              </w:rPr>
            </w:pPr>
          </w:p>
        </w:tc>
        <w:tc>
          <w:tcPr>
            <w:tcW w:w="355" w:type="dxa"/>
            <w:gridSpan w:val="3"/>
            <w:shd w:val="clear" w:color="auto" w:fill="BFBFBF"/>
          </w:tcPr>
          <w:p w:rsidRPr="009C438A" w:rsidR="00C41D7B" w:rsidP="008F3067" w:rsidRDefault="00C41D7B" w14:paraId="3D025BBC" w14:textId="77777777">
            <w:pPr>
              <w:rPr>
                <w:rFonts w:eastAsia="Calibri" w:cs="Arial"/>
                <w:b/>
                <w:color w:val="007BC7"/>
                <w:sz w:val="16"/>
                <w:szCs w:val="16"/>
                <w:lang w:eastAsia="en-US"/>
              </w:rPr>
            </w:pPr>
          </w:p>
        </w:tc>
        <w:tc>
          <w:tcPr>
            <w:tcW w:w="428" w:type="dxa"/>
            <w:gridSpan w:val="2"/>
            <w:shd w:val="clear" w:color="auto" w:fill="BFBFBF"/>
          </w:tcPr>
          <w:p w:rsidRPr="009C438A" w:rsidR="00C41D7B" w:rsidP="008F3067" w:rsidRDefault="00C41D7B" w14:paraId="1E860D32" w14:textId="77777777">
            <w:pPr>
              <w:rPr>
                <w:rFonts w:eastAsia="Calibri" w:cs="Arial"/>
                <w:b/>
                <w:color w:val="007BC7"/>
                <w:sz w:val="16"/>
                <w:szCs w:val="16"/>
                <w:lang w:eastAsia="en-US"/>
              </w:rPr>
            </w:pPr>
          </w:p>
        </w:tc>
        <w:tc>
          <w:tcPr>
            <w:tcW w:w="391" w:type="dxa"/>
            <w:gridSpan w:val="2"/>
            <w:shd w:val="clear" w:color="auto" w:fill="BFBFBF"/>
          </w:tcPr>
          <w:p w:rsidRPr="009C438A" w:rsidR="00C41D7B" w:rsidP="008F3067" w:rsidRDefault="003C7178" w14:paraId="17B4FF19" w14:textId="77777777">
            <w:pPr>
              <w:spacing w:line="276" w:lineRule="auto"/>
              <w:ind w:firstLine="0"/>
              <w:rPr>
                <w:rFonts w:eastAsia="Calibri" w:cs="Arial"/>
                <w:b/>
                <w:color w:val="007BC7"/>
                <w:sz w:val="16"/>
                <w:szCs w:val="16"/>
                <w:lang w:eastAsia="en-US"/>
              </w:rPr>
            </w:pPr>
            <w:r w:rsidRPr="009C438A">
              <w:rPr>
                <w:rFonts w:eastAsia="Calibri" w:cs="Arial"/>
                <w:b/>
                <w:color w:val="007BC7"/>
                <w:sz w:val="16"/>
                <w:szCs w:val="16"/>
                <w:lang w:eastAsia="en-US"/>
              </w:rPr>
              <w:t>X</w:t>
            </w:r>
          </w:p>
        </w:tc>
        <w:tc>
          <w:tcPr>
            <w:tcW w:w="601" w:type="dxa"/>
            <w:gridSpan w:val="2"/>
            <w:shd w:val="clear" w:color="auto" w:fill="BFBFBF"/>
            <w:vAlign w:val="center"/>
          </w:tcPr>
          <w:p w:rsidRPr="009C438A" w:rsidR="00C41D7B" w:rsidP="008F3067" w:rsidRDefault="00C41D7B" w14:paraId="15AB23F2" w14:textId="77777777">
            <w:pPr>
              <w:spacing w:line="276" w:lineRule="auto"/>
              <w:ind w:firstLine="0"/>
              <w:rPr>
                <w:rFonts w:eastAsia="Calibri" w:cs="Arial"/>
                <w:sz w:val="16"/>
                <w:szCs w:val="16"/>
                <w:lang w:eastAsia="en-US"/>
              </w:rPr>
            </w:pPr>
          </w:p>
        </w:tc>
      </w:tr>
      <w:tr w:rsidRPr="00562385" w:rsidR="00562385" w:rsidTr="00562385" w14:paraId="13C8680E" w14:textId="77777777">
        <w:trPr>
          <w:trHeight w:val="532"/>
        </w:trPr>
        <w:tc>
          <w:tcPr>
            <w:tcW w:w="693" w:type="dxa"/>
            <w:shd w:val="clear" w:color="auto" w:fill="BFBFBF"/>
            <w:vAlign w:val="center"/>
          </w:tcPr>
          <w:p w:rsidRPr="009C438A" w:rsidR="00562385" w:rsidP="00562385" w:rsidRDefault="00562385" w14:paraId="3D937829" w14:textId="77777777">
            <w:pPr>
              <w:spacing w:line="276" w:lineRule="auto"/>
              <w:ind w:firstLine="0"/>
              <w:rPr>
                <w:rFonts w:eastAsia="Calibri" w:cs="Arial"/>
                <w:sz w:val="16"/>
                <w:szCs w:val="16"/>
                <w:lang w:eastAsia="en-US"/>
              </w:rPr>
            </w:pPr>
            <w:r w:rsidRPr="009C438A">
              <w:rPr>
                <w:rFonts w:eastAsia="Calibri" w:cs="Arial"/>
                <w:sz w:val="16"/>
                <w:szCs w:val="16"/>
                <w:lang w:eastAsia="en-US"/>
              </w:rPr>
              <w:t>1.2.6</w:t>
            </w:r>
          </w:p>
        </w:tc>
        <w:tc>
          <w:tcPr>
            <w:tcW w:w="6352" w:type="dxa"/>
            <w:gridSpan w:val="2"/>
            <w:shd w:val="clear" w:color="auto" w:fill="007BC7"/>
            <w:vAlign w:val="center"/>
          </w:tcPr>
          <w:p w:rsidRPr="009C438A" w:rsidR="00562385" w:rsidP="00562385" w:rsidRDefault="00562385" w14:paraId="5D758653" w14:textId="77777777">
            <w:pPr>
              <w:spacing w:line="276" w:lineRule="auto"/>
              <w:ind w:firstLine="0"/>
              <w:rPr>
                <w:rFonts w:eastAsia="Calibri" w:cs="Arial"/>
                <w:color w:val="FFFFFF"/>
                <w:sz w:val="16"/>
                <w:szCs w:val="16"/>
                <w:lang w:eastAsia="en-US"/>
              </w:rPr>
            </w:pPr>
            <w:r w:rsidRPr="009C438A">
              <w:rPr>
                <w:rFonts w:eastAsia="Calibri" w:cs="Arial"/>
                <w:color w:val="FFFFFF"/>
                <w:sz w:val="16"/>
                <w:szCs w:val="16"/>
                <w:lang w:eastAsia="en-US"/>
              </w:rPr>
              <w:t>Bijzonder regime geheel of gedeeltelijk uitgezonderd van verdragsvoordelen in gevallen waarin het risico op verdragsmisbruik bestaat</w:t>
            </w:r>
          </w:p>
        </w:tc>
        <w:tc>
          <w:tcPr>
            <w:tcW w:w="356" w:type="dxa"/>
            <w:gridSpan w:val="5"/>
            <w:shd w:val="clear" w:color="auto" w:fill="BFBFBF"/>
            <w:vAlign w:val="center"/>
          </w:tcPr>
          <w:p w:rsidRPr="009C438A" w:rsidR="00562385" w:rsidP="00562385" w:rsidRDefault="00562385" w14:paraId="00AEF84C" w14:textId="77777777">
            <w:pPr>
              <w:spacing w:line="276" w:lineRule="auto"/>
              <w:ind w:firstLine="0"/>
              <w:rPr>
                <w:rFonts w:eastAsia="Calibri" w:cs="Arial"/>
                <w:b/>
                <w:color w:val="007BC7"/>
                <w:sz w:val="16"/>
                <w:szCs w:val="16"/>
                <w:lang w:eastAsia="en-US"/>
              </w:rPr>
            </w:pPr>
          </w:p>
        </w:tc>
        <w:tc>
          <w:tcPr>
            <w:tcW w:w="355" w:type="dxa"/>
            <w:gridSpan w:val="3"/>
            <w:shd w:val="clear" w:color="auto" w:fill="BFBFBF"/>
          </w:tcPr>
          <w:p w:rsidRPr="009C438A" w:rsidR="00562385" w:rsidP="00562385" w:rsidRDefault="00562385" w14:paraId="53781C6D" w14:textId="77777777">
            <w:pPr>
              <w:ind w:left="-548" w:right="-83" w:firstLine="533"/>
              <w:rPr>
                <w:rFonts w:eastAsia="Calibri" w:cs="Arial"/>
                <w:b/>
                <w:color w:val="007BC7"/>
                <w:sz w:val="16"/>
                <w:szCs w:val="16"/>
                <w:lang w:eastAsia="en-US"/>
              </w:rPr>
            </w:pPr>
          </w:p>
        </w:tc>
        <w:tc>
          <w:tcPr>
            <w:tcW w:w="428" w:type="dxa"/>
            <w:gridSpan w:val="2"/>
            <w:shd w:val="clear" w:color="auto" w:fill="BFBFBF"/>
          </w:tcPr>
          <w:p w:rsidRPr="009C438A" w:rsidR="00562385" w:rsidP="00562385" w:rsidRDefault="00562385" w14:paraId="41E770DE" w14:textId="77777777">
            <w:pPr>
              <w:rPr>
                <w:rFonts w:eastAsia="Calibri" w:cs="Arial"/>
                <w:b/>
                <w:color w:val="007BC7"/>
                <w:sz w:val="16"/>
                <w:szCs w:val="16"/>
                <w:lang w:eastAsia="en-US"/>
              </w:rPr>
            </w:pPr>
          </w:p>
        </w:tc>
        <w:tc>
          <w:tcPr>
            <w:tcW w:w="391" w:type="dxa"/>
            <w:gridSpan w:val="2"/>
            <w:shd w:val="clear" w:color="auto" w:fill="BFBFBF"/>
          </w:tcPr>
          <w:p w:rsidRPr="009C438A" w:rsidR="00562385" w:rsidP="00562385" w:rsidRDefault="00562385" w14:paraId="66E1CFD6" w14:textId="77777777">
            <w:pPr>
              <w:spacing w:line="276" w:lineRule="auto"/>
              <w:ind w:firstLine="0"/>
              <w:rPr>
                <w:rFonts w:eastAsia="Calibri" w:cs="Arial"/>
                <w:b/>
                <w:color w:val="007BC7"/>
                <w:sz w:val="16"/>
                <w:szCs w:val="16"/>
                <w:lang w:eastAsia="en-US"/>
              </w:rPr>
            </w:pPr>
            <w:r w:rsidRPr="009C438A">
              <w:rPr>
                <w:rFonts w:eastAsia="Calibri" w:cs="Arial"/>
                <w:b/>
                <w:color w:val="007BC7"/>
                <w:sz w:val="16"/>
                <w:szCs w:val="16"/>
                <w:lang w:eastAsia="en-US"/>
              </w:rPr>
              <w:t>X</w:t>
            </w:r>
          </w:p>
        </w:tc>
        <w:tc>
          <w:tcPr>
            <w:tcW w:w="601" w:type="dxa"/>
            <w:gridSpan w:val="2"/>
            <w:shd w:val="clear" w:color="auto" w:fill="BFBFBF"/>
            <w:vAlign w:val="center"/>
          </w:tcPr>
          <w:p w:rsidRPr="009C438A" w:rsidR="00562385" w:rsidP="00562385" w:rsidRDefault="00562385" w14:paraId="7FEF20C0" w14:textId="77777777">
            <w:pPr>
              <w:spacing w:line="276" w:lineRule="auto"/>
              <w:ind w:firstLine="0"/>
              <w:rPr>
                <w:rFonts w:eastAsia="Calibri" w:cs="Arial"/>
                <w:sz w:val="16"/>
                <w:szCs w:val="16"/>
                <w:lang w:eastAsia="en-US"/>
              </w:rPr>
            </w:pPr>
          </w:p>
        </w:tc>
      </w:tr>
      <w:tr w:rsidRPr="009C438A" w:rsidR="00562385" w:rsidTr="00562385" w14:paraId="68259223" w14:textId="77777777">
        <w:trPr>
          <w:trHeight w:val="255"/>
        </w:trPr>
        <w:tc>
          <w:tcPr>
            <w:tcW w:w="693" w:type="dxa"/>
            <w:shd w:val="clear" w:color="auto" w:fill="BFBFBF"/>
            <w:vAlign w:val="center"/>
          </w:tcPr>
          <w:p w:rsidRPr="009C438A" w:rsidR="00562385" w:rsidP="00562385" w:rsidRDefault="00562385" w14:paraId="0A4C8FC5" w14:textId="77777777">
            <w:pPr>
              <w:spacing w:line="276" w:lineRule="auto"/>
              <w:ind w:firstLine="0"/>
              <w:rPr>
                <w:rFonts w:eastAsia="Calibri" w:cs="Arial"/>
                <w:sz w:val="16"/>
                <w:szCs w:val="16"/>
                <w:lang w:eastAsia="en-US"/>
              </w:rPr>
            </w:pPr>
            <w:r w:rsidRPr="009C438A">
              <w:rPr>
                <w:rFonts w:eastAsia="Calibri" w:cs="Arial"/>
                <w:sz w:val="16"/>
                <w:szCs w:val="16"/>
                <w:lang w:eastAsia="en-US"/>
              </w:rPr>
              <w:t>1.3.5</w:t>
            </w:r>
          </w:p>
        </w:tc>
        <w:tc>
          <w:tcPr>
            <w:tcW w:w="6352" w:type="dxa"/>
            <w:gridSpan w:val="2"/>
            <w:shd w:val="clear" w:color="auto" w:fill="007BC7"/>
            <w:vAlign w:val="center"/>
          </w:tcPr>
          <w:p w:rsidRPr="009C438A" w:rsidR="00562385" w:rsidP="00562385" w:rsidRDefault="00562385" w14:paraId="36343243" w14:textId="77777777">
            <w:pPr>
              <w:spacing w:line="276" w:lineRule="auto"/>
              <w:ind w:firstLine="0"/>
              <w:rPr>
                <w:rFonts w:eastAsia="Calibri" w:cs="Arial"/>
                <w:color w:val="FFFFFF"/>
                <w:sz w:val="16"/>
                <w:szCs w:val="16"/>
                <w:lang w:eastAsia="en-US"/>
              </w:rPr>
            </w:pPr>
            <w:r w:rsidRPr="009C438A">
              <w:rPr>
                <w:rFonts w:eastAsia="Calibri" w:cs="Arial"/>
                <w:color w:val="FFFFFF"/>
                <w:sz w:val="16"/>
                <w:szCs w:val="16"/>
                <w:lang w:eastAsia="en-US"/>
              </w:rPr>
              <w:t>Bronstaat verleent ook verdragsvoordelen aan in Nederland gelegen vaste inrichting die zich in dezelfde situatie bevindt als inwoners van Nederland</w:t>
            </w:r>
          </w:p>
        </w:tc>
        <w:tc>
          <w:tcPr>
            <w:tcW w:w="356" w:type="dxa"/>
            <w:gridSpan w:val="5"/>
            <w:shd w:val="clear" w:color="auto" w:fill="BFBFBF"/>
            <w:vAlign w:val="center"/>
          </w:tcPr>
          <w:p w:rsidRPr="009C438A" w:rsidR="00562385" w:rsidP="00562385" w:rsidRDefault="00562385" w14:paraId="0B7908F0" w14:textId="77777777">
            <w:pPr>
              <w:spacing w:line="276" w:lineRule="auto"/>
              <w:ind w:firstLine="0"/>
              <w:rPr>
                <w:rFonts w:eastAsia="Calibri" w:cs="Arial"/>
                <w:b/>
                <w:color w:val="007BC7"/>
                <w:sz w:val="16"/>
                <w:szCs w:val="16"/>
                <w:lang w:eastAsia="en-US"/>
              </w:rPr>
            </w:pPr>
          </w:p>
        </w:tc>
        <w:tc>
          <w:tcPr>
            <w:tcW w:w="355" w:type="dxa"/>
            <w:gridSpan w:val="3"/>
            <w:shd w:val="clear" w:color="auto" w:fill="BFBFBF"/>
          </w:tcPr>
          <w:p w:rsidRPr="009C438A" w:rsidR="00562385" w:rsidP="00562385" w:rsidRDefault="00562385" w14:paraId="3D589570" w14:textId="77777777">
            <w:pPr>
              <w:spacing w:line="276" w:lineRule="auto"/>
              <w:ind w:firstLine="0"/>
              <w:rPr>
                <w:rFonts w:eastAsia="Calibri" w:cs="Arial"/>
                <w:b/>
                <w:color w:val="007BC7"/>
                <w:sz w:val="16"/>
                <w:szCs w:val="16"/>
                <w:lang w:eastAsia="en-US"/>
              </w:rPr>
            </w:pPr>
          </w:p>
        </w:tc>
        <w:tc>
          <w:tcPr>
            <w:tcW w:w="428" w:type="dxa"/>
            <w:gridSpan w:val="2"/>
            <w:shd w:val="clear" w:color="auto" w:fill="BFBFBF"/>
          </w:tcPr>
          <w:p w:rsidRPr="009C438A" w:rsidR="00562385" w:rsidP="00562385" w:rsidRDefault="00562385" w14:paraId="0A69B0A6" w14:textId="77777777">
            <w:pPr>
              <w:spacing w:line="276" w:lineRule="auto"/>
              <w:ind w:firstLine="0"/>
              <w:rPr>
                <w:rFonts w:eastAsia="Calibri" w:cs="Arial"/>
                <w:b/>
                <w:color w:val="007BC7"/>
                <w:sz w:val="16"/>
                <w:szCs w:val="16"/>
                <w:lang w:eastAsia="en-US"/>
              </w:rPr>
            </w:pPr>
          </w:p>
        </w:tc>
        <w:tc>
          <w:tcPr>
            <w:tcW w:w="391" w:type="dxa"/>
            <w:gridSpan w:val="2"/>
            <w:shd w:val="clear" w:color="auto" w:fill="BFBFBF"/>
          </w:tcPr>
          <w:p w:rsidRPr="009C438A" w:rsidR="00562385" w:rsidP="00562385" w:rsidRDefault="00562385" w14:paraId="13AA844F" w14:textId="77777777">
            <w:pPr>
              <w:spacing w:line="276" w:lineRule="auto"/>
              <w:ind w:firstLine="0"/>
              <w:rPr>
                <w:rFonts w:eastAsia="Calibri" w:cs="Arial"/>
                <w:b/>
                <w:color w:val="007BC7"/>
                <w:sz w:val="16"/>
                <w:szCs w:val="16"/>
                <w:lang w:eastAsia="en-US"/>
              </w:rPr>
            </w:pPr>
            <w:r w:rsidRPr="009C438A">
              <w:rPr>
                <w:rFonts w:eastAsia="Calibri" w:cs="Arial"/>
                <w:b/>
                <w:color w:val="007BC7"/>
                <w:sz w:val="16"/>
                <w:szCs w:val="16"/>
                <w:lang w:eastAsia="en-US"/>
              </w:rPr>
              <w:t>X</w:t>
            </w:r>
          </w:p>
        </w:tc>
        <w:tc>
          <w:tcPr>
            <w:tcW w:w="601" w:type="dxa"/>
            <w:gridSpan w:val="2"/>
            <w:shd w:val="clear" w:color="auto" w:fill="BFBFBF"/>
            <w:vAlign w:val="center"/>
          </w:tcPr>
          <w:p w:rsidRPr="009C438A" w:rsidR="00562385" w:rsidP="00562385" w:rsidRDefault="00562385" w14:paraId="0FA2806D" w14:textId="77777777">
            <w:pPr>
              <w:spacing w:line="276" w:lineRule="auto"/>
              <w:ind w:firstLine="0"/>
              <w:rPr>
                <w:rFonts w:eastAsia="Calibri" w:cs="Arial"/>
                <w:sz w:val="16"/>
                <w:szCs w:val="16"/>
                <w:lang w:eastAsia="en-US"/>
              </w:rPr>
            </w:pPr>
          </w:p>
        </w:tc>
      </w:tr>
      <w:tr w:rsidRPr="009C438A" w:rsidR="00562385" w:rsidTr="00562385" w14:paraId="11D19EEA" w14:textId="77777777">
        <w:trPr>
          <w:trHeight w:val="255"/>
        </w:trPr>
        <w:tc>
          <w:tcPr>
            <w:tcW w:w="693" w:type="dxa"/>
            <w:shd w:val="clear" w:color="auto" w:fill="BFBFBF"/>
            <w:vAlign w:val="center"/>
          </w:tcPr>
          <w:p w:rsidRPr="009C438A" w:rsidR="00562385" w:rsidP="00562385" w:rsidRDefault="00562385" w14:paraId="04643FEE" w14:textId="77777777">
            <w:pPr>
              <w:spacing w:line="276" w:lineRule="auto"/>
              <w:ind w:firstLine="0"/>
              <w:rPr>
                <w:rFonts w:eastAsia="Calibri" w:cs="Arial"/>
                <w:sz w:val="16"/>
                <w:szCs w:val="16"/>
                <w:lang w:eastAsia="en-US"/>
              </w:rPr>
            </w:pPr>
            <w:r>
              <w:rPr>
                <w:rFonts w:eastAsia="Calibri" w:cs="Arial"/>
                <w:sz w:val="16"/>
                <w:szCs w:val="16"/>
                <w:lang w:eastAsia="en-US"/>
              </w:rPr>
              <w:t>III</w:t>
            </w:r>
          </w:p>
        </w:tc>
        <w:tc>
          <w:tcPr>
            <w:tcW w:w="6352" w:type="dxa"/>
            <w:gridSpan w:val="2"/>
            <w:shd w:val="clear" w:color="auto" w:fill="007BC7"/>
            <w:vAlign w:val="center"/>
          </w:tcPr>
          <w:p w:rsidRPr="009C438A" w:rsidR="00562385" w:rsidP="00562385" w:rsidRDefault="00562385" w14:paraId="14F54091" w14:textId="77777777">
            <w:pPr>
              <w:spacing w:line="276" w:lineRule="auto"/>
              <w:ind w:firstLine="0"/>
              <w:rPr>
                <w:rFonts w:eastAsia="Calibri" w:cs="Arial"/>
                <w:color w:val="FFFFFF"/>
                <w:sz w:val="16"/>
                <w:szCs w:val="16"/>
                <w:lang w:eastAsia="en-US"/>
              </w:rPr>
            </w:pPr>
            <w:r>
              <w:rPr>
                <w:rFonts w:eastAsia="Calibri" w:cs="Arial"/>
                <w:color w:val="FFFFFF"/>
                <w:sz w:val="16"/>
                <w:szCs w:val="16"/>
                <w:lang w:eastAsia="en-US"/>
              </w:rPr>
              <w:t xml:space="preserve">Dubbele belastingheffing in relatie tot BES eilanden geadresseerd </w:t>
            </w:r>
          </w:p>
        </w:tc>
        <w:tc>
          <w:tcPr>
            <w:tcW w:w="356" w:type="dxa"/>
            <w:gridSpan w:val="5"/>
            <w:shd w:val="clear" w:color="auto" w:fill="BFBFBF"/>
            <w:vAlign w:val="center"/>
          </w:tcPr>
          <w:p w:rsidRPr="009C438A" w:rsidR="00562385" w:rsidP="00562385" w:rsidRDefault="00562385" w14:paraId="1FBAA982" w14:textId="77777777">
            <w:pPr>
              <w:spacing w:line="276" w:lineRule="auto"/>
              <w:ind w:firstLine="0"/>
              <w:rPr>
                <w:rFonts w:eastAsia="Calibri" w:cs="Arial"/>
                <w:b/>
                <w:color w:val="007BC7"/>
                <w:sz w:val="16"/>
                <w:szCs w:val="16"/>
                <w:lang w:eastAsia="en-US"/>
              </w:rPr>
            </w:pPr>
          </w:p>
        </w:tc>
        <w:tc>
          <w:tcPr>
            <w:tcW w:w="355" w:type="dxa"/>
            <w:gridSpan w:val="3"/>
            <w:shd w:val="clear" w:color="auto" w:fill="BFBFBF"/>
          </w:tcPr>
          <w:p w:rsidRPr="009C438A" w:rsidR="00562385" w:rsidP="00562385" w:rsidRDefault="00562385" w14:paraId="5705A7DB" w14:textId="77777777">
            <w:pPr>
              <w:spacing w:line="276" w:lineRule="auto"/>
              <w:ind w:firstLine="0"/>
              <w:rPr>
                <w:rFonts w:eastAsia="Calibri" w:cs="Arial"/>
                <w:b/>
                <w:color w:val="007BC7"/>
                <w:sz w:val="16"/>
                <w:szCs w:val="16"/>
                <w:lang w:eastAsia="en-US"/>
              </w:rPr>
            </w:pPr>
          </w:p>
        </w:tc>
        <w:tc>
          <w:tcPr>
            <w:tcW w:w="428" w:type="dxa"/>
            <w:gridSpan w:val="2"/>
            <w:shd w:val="clear" w:color="auto" w:fill="BFBFBF"/>
          </w:tcPr>
          <w:p w:rsidRPr="009C438A" w:rsidR="00562385" w:rsidP="00562385" w:rsidRDefault="00562385" w14:paraId="0F056F47" w14:textId="77777777">
            <w:pPr>
              <w:spacing w:line="276" w:lineRule="auto"/>
              <w:ind w:firstLine="0"/>
              <w:rPr>
                <w:rFonts w:eastAsia="Calibri" w:cs="Arial"/>
                <w:b/>
                <w:color w:val="007BC7"/>
                <w:sz w:val="16"/>
                <w:szCs w:val="16"/>
                <w:lang w:eastAsia="en-US"/>
              </w:rPr>
            </w:pPr>
          </w:p>
        </w:tc>
        <w:tc>
          <w:tcPr>
            <w:tcW w:w="391" w:type="dxa"/>
            <w:gridSpan w:val="2"/>
            <w:shd w:val="clear" w:color="auto" w:fill="BFBFBF"/>
          </w:tcPr>
          <w:p w:rsidRPr="009C438A" w:rsidR="00562385" w:rsidP="00562385" w:rsidRDefault="00562385" w14:paraId="5E8AADCA" w14:textId="77777777">
            <w:pPr>
              <w:spacing w:line="276" w:lineRule="auto"/>
              <w:ind w:firstLine="0"/>
              <w:rPr>
                <w:rFonts w:eastAsia="Calibri" w:cs="Arial"/>
                <w:b/>
                <w:color w:val="007BC7"/>
                <w:sz w:val="16"/>
                <w:szCs w:val="16"/>
                <w:lang w:eastAsia="en-US"/>
              </w:rPr>
            </w:pPr>
            <w:r w:rsidRPr="009C438A">
              <w:rPr>
                <w:rFonts w:eastAsia="Calibri" w:cs="Arial"/>
                <w:b/>
                <w:color w:val="007BC7"/>
                <w:sz w:val="16"/>
                <w:szCs w:val="16"/>
                <w:lang w:eastAsia="en-US"/>
              </w:rPr>
              <w:t>X</w:t>
            </w:r>
          </w:p>
        </w:tc>
        <w:tc>
          <w:tcPr>
            <w:tcW w:w="601" w:type="dxa"/>
            <w:gridSpan w:val="2"/>
            <w:shd w:val="clear" w:color="auto" w:fill="BFBFBF"/>
            <w:vAlign w:val="center"/>
          </w:tcPr>
          <w:p w:rsidRPr="009C438A" w:rsidR="00562385" w:rsidP="00562385" w:rsidRDefault="00562385" w14:paraId="093A04AA" w14:textId="77777777">
            <w:pPr>
              <w:spacing w:line="276" w:lineRule="auto"/>
              <w:ind w:firstLine="0"/>
              <w:rPr>
                <w:rFonts w:eastAsia="Calibri" w:cs="Arial"/>
                <w:sz w:val="16"/>
                <w:szCs w:val="16"/>
                <w:lang w:eastAsia="en-US"/>
              </w:rPr>
            </w:pPr>
          </w:p>
        </w:tc>
      </w:tr>
      <w:tr w:rsidRPr="008F0B6A" w:rsidR="00562385" w:rsidTr="00E80A06" w14:paraId="43728B7D" w14:textId="77777777">
        <w:trPr>
          <w:gridAfter w:val="11"/>
          <w:wAfter w:w="1952" w:type="dxa"/>
          <w:cantSplit/>
          <w:trHeight w:val="403"/>
        </w:trPr>
        <w:tc>
          <w:tcPr>
            <w:tcW w:w="693" w:type="dxa"/>
            <w:shd w:val="clear" w:color="auto" w:fill="FFFFFF"/>
            <w:vAlign w:val="center"/>
          </w:tcPr>
          <w:p w:rsidRPr="009C438A" w:rsidR="00562385" w:rsidP="00562385" w:rsidRDefault="00562385" w14:paraId="31CA307B" w14:textId="77777777">
            <w:pPr>
              <w:spacing w:line="276" w:lineRule="auto"/>
              <w:ind w:firstLine="0"/>
              <w:rPr>
                <w:rFonts w:eastAsia="Calibri" w:cs="Arial"/>
                <w:sz w:val="16"/>
                <w:szCs w:val="16"/>
                <w:lang w:eastAsia="en-US"/>
              </w:rPr>
            </w:pPr>
          </w:p>
        </w:tc>
        <w:tc>
          <w:tcPr>
            <w:tcW w:w="6531" w:type="dxa"/>
            <w:gridSpan w:val="5"/>
            <w:shd w:val="clear" w:color="auto" w:fill="FFFFFF"/>
            <w:vAlign w:val="center"/>
          </w:tcPr>
          <w:p w:rsidRPr="009C438A" w:rsidR="00562385" w:rsidP="00562385" w:rsidRDefault="00562385" w14:paraId="34B29E60" w14:textId="77777777">
            <w:pPr>
              <w:ind w:firstLine="0"/>
              <w:rPr>
                <w:rFonts w:cs="Arial"/>
                <w:b/>
                <w:sz w:val="16"/>
                <w:szCs w:val="16"/>
              </w:rPr>
            </w:pPr>
            <w:r w:rsidRPr="009C438A">
              <w:rPr>
                <w:rFonts w:eastAsia="Calibri" w:cs="Arial"/>
                <w:b/>
                <w:sz w:val="16"/>
                <w:szCs w:val="16"/>
                <w:lang w:eastAsia="en-US"/>
              </w:rPr>
              <w:t>Specifieke elementen</w:t>
            </w:r>
            <w:r w:rsidRPr="009C438A">
              <w:rPr>
                <w:rFonts w:cs="Arial"/>
                <w:b/>
                <w:sz w:val="16"/>
                <w:szCs w:val="16"/>
              </w:rPr>
              <w:br/>
            </w:r>
            <w:r w:rsidRPr="009C438A">
              <w:rPr>
                <w:rFonts w:eastAsia="Calibri" w:cs="Arial"/>
                <w:i/>
                <w:sz w:val="16"/>
                <w:szCs w:val="16"/>
                <w:lang w:eastAsia="en-US"/>
              </w:rPr>
              <w:t>Verdragstoegang en –voordelen</w:t>
            </w:r>
          </w:p>
        </w:tc>
      </w:tr>
      <w:tr w:rsidRPr="009C438A" w:rsidR="00562385" w:rsidTr="00E80A06" w14:paraId="4C8E3C30" w14:textId="77777777">
        <w:trPr>
          <w:trHeight w:val="255"/>
        </w:trPr>
        <w:tc>
          <w:tcPr>
            <w:tcW w:w="693" w:type="dxa"/>
            <w:shd w:val="clear" w:color="auto" w:fill="BFBFBF"/>
            <w:vAlign w:val="center"/>
          </w:tcPr>
          <w:p w:rsidRPr="009C438A" w:rsidR="00562385" w:rsidP="00562385" w:rsidRDefault="00562385" w14:paraId="1C5E003F" w14:textId="77777777">
            <w:pPr>
              <w:spacing w:line="276" w:lineRule="auto"/>
              <w:ind w:firstLine="0"/>
              <w:rPr>
                <w:rFonts w:eastAsia="Calibri" w:cs="Arial"/>
                <w:sz w:val="16"/>
                <w:szCs w:val="16"/>
                <w:lang w:eastAsia="en-US"/>
              </w:rPr>
            </w:pPr>
            <w:r w:rsidRPr="009C438A">
              <w:rPr>
                <w:rFonts w:eastAsia="Calibri" w:cs="Arial"/>
                <w:sz w:val="16"/>
                <w:szCs w:val="16"/>
                <w:lang w:eastAsia="en-US"/>
              </w:rPr>
              <w:t>2.2.1</w:t>
            </w:r>
          </w:p>
        </w:tc>
        <w:tc>
          <w:tcPr>
            <w:tcW w:w="6352" w:type="dxa"/>
            <w:gridSpan w:val="2"/>
            <w:shd w:val="clear" w:color="auto" w:fill="007BC7"/>
            <w:vAlign w:val="center"/>
          </w:tcPr>
          <w:p w:rsidRPr="009C438A" w:rsidR="00562385" w:rsidP="00562385" w:rsidRDefault="00562385" w14:paraId="5D3C2F73" w14:textId="77777777">
            <w:pPr>
              <w:spacing w:line="276" w:lineRule="auto"/>
              <w:ind w:firstLine="0"/>
              <w:rPr>
                <w:rFonts w:eastAsia="Calibri" w:cs="Arial"/>
                <w:color w:val="FFFFFF"/>
                <w:sz w:val="16"/>
                <w:szCs w:val="16"/>
                <w:lang w:eastAsia="en-US"/>
              </w:rPr>
            </w:pPr>
            <w:r w:rsidRPr="009C438A">
              <w:rPr>
                <w:rFonts w:eastAsia="Calibri" w:cs="Arial"/>
                <w:color w:val="FFFFFF"/>
                <w:sz w:val="16"/>
                <w:szCs w:val="16"/>
                <w:lang w:eastAsia="en-US"/>
              </w:rPr>
              <w:t>Vastgelegd is dat een lichaam wordt geacht aan belasting in een verdragsluitende staat onderworpen te zijn, indien dat lichaam wordt beheerst door de wetten van die staat of zijn plaats van leiding in die staat heeft</w:t>
            </w:r>
          </w:p>
        </w:tc>
        <w:tc>
          <w:tcPr>
            <w:tcW w:w="356" w:type="dxa"/>
            <w:gridSpan w:val="5"/>
            <w:shd w:val="clear" w:color="auto" w:fill="BFBFBF"/>
            <w:vAlign w:val="center"/>
          </w:tcPr>
          <w:p w:rsidRPr="009C438A" w:rsidR="00562385" w:rsidP="00562385" w:rsidRDefault="00562385" w14:paraId="68F54251" w14:textId="77777777">
            <w:pPr>
              <w:spacing w:line="276" w:lineRule="auto"/>
              <w:ind w:firstLine="0"/>
              <w:rPr>
                <w:rFonts w:eastAsia="Calibri" w:cs="Arial"/>
                <w:b/>
                <w:color w:val="007BC7"/>
                <w:sz w:val="16"/>
                <w:szCs w:val="16"/>
                <w:lang w:eastAsia="en-US"/>
              </w:rPr>
            </w:pPr>
          </w:p>
        </w:tc>
        <w:tc>
          <w:tcPr>
            <w:tcW w:w="355" w:type="dxa"/>
            <w:gridSpan w:val="3"/>
            <w:shd w:val="clear" w:color="auto" w:fill="BFBFBF"/>
            <w:vAlign w:val="center"/>
          </w:tcPr>
          <w:p w:rsidRPr="009C438A" w:rsidR="00562385" w:rsidP="00562385" w:rsidRDefault="00562385" w14:paraId="23FDFAB7" w14:textId="77777777">
            <w:pPr>
              <w:spacing w:line="276" w:lineRule="auto"/>
              <w:ind w:firstLine="0"/>
              <w:rPr>
                <w:rFonts w:eastAsia="Calibri" w:cs="Arial"/>
                <w:b/>
                <w:color w:val="007BC7"/>
                <w:sz w:val="16"/>
                <w:szCs w:val="16"/>
                <w:lang w:eastAsia="en-US"/>
              </w:rPr>
            </w:pPr>
          </w:p>
        </w:tc>
        <w:tc>
          <w:tcPr>
            <w:tcW w:w="428" w:type="dxa"/>
            <w:gridSpan w:val="2"/>
            <w:shd w:val="clear" w:color="auto" w:fill="BFBFBF"/>
            <w:vAlign w:val="center"/>
          </w:tcPr>
          <w:p w:rsidRPr="009C438A" w:rsidR="00562385" w:rsidP="00562385" w:rsidRDefault="00562385" w14:paraId="6187F76D" w14:textId="77777777">
            <w:pPr>
              <w:spacing w:line="276" w:lineRule="auto"/>
              <w:ind w:firstLine="0"/>
              <w:rPr>
                <w:rFonts w:eastAsia="Calibri" w:cs="Arial"/>
                <w:b/>
                <w:color w:val="007BC7"/>
                <w:sz w:val="16"/>
                <w:szCs w:val="16"/>
                <w:lang w:eastAsia="en-US"/>
              </w:rPr>
            </w:pPr>
          </w:p>
        </w:tc>
        <w:tc>
          <w:tcPr>
            <w:tcW w:w="433" w:type="dxa"/>
            <w:gridSpan w:val="3"/>
            <w:shd w:val="clear" w:color="auto" w:fill="BFBFBF"/>
            <w:vAlign w:val="center"/>
          </w:tcPr>
          <w:p w:rsidRPr="009C438A" w:rsidR="00562385" w:rsidP="00562385" w:rsidRDefault="00562385" w14:paraId="382BEC3C" w14:textId="77777777">
            <w:pPr>
              <w:spacing w:line="276" w:lineRule="auto"/>
              <w:ind w:firstLine="0"/>
              <w:rPr>
                <w:rFonts w:eastAsia="Calibri" w:cs="Arial"/>
                <w:b/>
                <w:color w:val="007BC7"/>
                <w:sz w:val="16"/>
                <w:szCs w:val="16"/>
                <w:lang w:eastAsia="en-US"/>
              </w:rPr>
            </w:pPr>
            <w:r w:rsidRPr="009C438A">
              <w:rPr>
                <w:rFonts w:eastAsia="Calibri" w:cs="Arial"/>
                <w:b/>
                <w:color w:val="007BC7"/>
                <w:sz w:val="16"/>
                <w:szCs w:val="16"/>
                <w:lang w:eastAsia="en-US"/>
              </w:rPr>
              <w:t>X</w:t>
            </w:r>
          </w:p>
        </w:tc>
        <w:tc>
          <w:tcPr>
            <w:tcW w:w="559" w:type="dxa"/>
            <w:shd w:val="clear" w:color="auto" w:fill="BFBFBF"/>
            <w:vAlign w:val="center"/>
          </w:tcPr>
          <w:p w:rsidRPr="009C438A" w:rsidR="00562385" w:rsidP="00562385" w:rsidRDefault="00562385" w14:paraId="08129942" w14:textId="77777777">
            <w:pPr>
              <w:spacing w:line="276" w:lineRule="auto"/>
              <w:ind w:firstLine="0"/>
              <w:rPr>
                <w:rFonts w:eastAsia="Calibri" w:cs="Arial"/>
                <w:sz w:val="16"/>
                <w:szCs w:val="16"/>
                <w:lang w:eastAsia="en-US"/>
              </w:rPr>
            </w:pPr>
          </w:p>
        </w:tc>
      </w:tr>
      <w:tr w:rsidRPr="009C438A" w:rsidR="00562385" w:rsidTr="00E80A06" w14:paraId="057F1AED" w14:textId="77777777">
        <w:trPr>
          <w:trHeight w:val="255"/>
        </w:trPr>
        <w:tc>
          <w:tcPr>
            <w:tcW w:w="693" w:type="dxa"/>
            <w:shd w:val="clear" w:color="auto" w:fill="BFBFBF"/>
            <w:vAlign w:val="center"/>
          </w:tcPr>
          <w:p w:rsidRPr="009C438A" w:rsidR="00562385" w:rsidP="00562385" w:rsidRDefault="00562385" w14:paraId="07A7D4A8" w14:textId="77777777">
            <w:pPr>
              <w:spacing w:line="276" w:lineRule="auto"/>
              <w:ind w:firstLine="0"/>
              <w:rPr>
                <w:rFonts w:eastAsia="Calibri" w:cs="Arial"/>
                <w:sz w:val="16"/>
                <w:szCs w:val="16"/>
                <w:lang w:eastAsia="en-US"/>
              </w:rPr>
            </w:pPr>
            <w:r w:rsidRPr="009C438A">
              <w:rPr>
                <w:rFonts w:eastAsia="Calibri" w:cs="Arial"/>
                <w:sz w:val="16"/>
                <w:szCs w:val="16"/>
                <w:lang w:eastAsia="en-US"/>
              </w:rPr>
              <w:t>2.2.1</w:t>
            </w:r>
          </w:p>
        </w:tc>
        <w:tc>
          <w:tcPr>
            <w:tcW w:w="6352" w:type="dxa"/>
            <w:gridSpan w:val="2"/>
            <w:shd w:val="clear" w:color="auto" w:fill="007BC7"/>
            <w:vAlign w:val="center"/>
          </w:tcPr>
          <w:p w:rsidRPr="009C438A" w:rsidR="00562385" w:rsidP="00562385" w:rsidRDefault="00562385" w14:paraId="4C95F4FE" w14:textId="77777777">
            <w:pPr>
              <w:spacing w:line="276" w:lineRule="auto"/>
              <w:ind w:firstLine="0"/>
              <w:rPr>
                <w:rFonts w:eastAsia="Calibri" w:cs="Arial"/>
                <w:color w:val="FFFFFF"/>
                <w:sz w:val="16"/>
                <w:szCs w:val="16"/>
                <w:lang w:eastAsia="en-US"/>
              </w:rPr>
            </w:pPr>
            <w:r w:rsidRPr="009C438A">
              <w:rPr>
                <w:rFonts w:eastAsia="Calibri" w:cs="Arial"/>
                <w:color w:val="FFFFFF"/>
                <w:sz w:val="16"/>
                <w:szCs w:val="16"/>
                <w:lang w:eastAsia="en-US"/>
              </w:rPr>
              <w:t>De vbi komt voor sommige verdragsvoordelen niet in aanmerking</w:t>
            </w:r>
            <w:r>
              <w:rPr>
                <w:rStyle w:val="Voetnootmarkering"/>
                <w:rFonts w:eastAsia="Calibri" w:cs="Arial"/>
                <w:color w:val="FFFFFF"/>
                <w:sz w:val="16"/>
                <w:szCs w:val="16"/>
                <w:lang w:eastAsia="en-US"/>
              </w:rPr>
              <w:footnoteReference w:id="7"/>
            </w:r>
          </w:p>
        </w:tc>
        <w:tc>
          <w:tcPr>
            <w:tcW w:w="356" w:type="dxa"/>
            <w:gridSpan w:val="5"/>
            <w:shd w:val="clear" w:color="auto" w:fill="BFBFBF"/>
            <w:vAlign w:val="center"/>
          </w:tcPr>
          <w:p w:rsidRPr="009C438A" w:rsidR="00562385" w:rsidP="00562385" w:rsidRDefault="000A2618" w14:paraId="2FE48473" w14:textId="77777777">
            <w:pPr>
              <w:spacing w:line="276" w:lineRule="auto"/>
              <w:ind w:firstLine="0"/>
              <w:rPr>
                <w:rFonts w:eastAsia="Calibri" w:cs="Arial"/>
                <w:b/>
                <w:color w:val="007BC7"/>
                <w:sz w:val="16"/>
                <w:szCs w:val="16"/>
                <w:lang w:eastAsia="en-US"/>
              </w:rPr>
            </w:pPr>
            <w:r w:rsidRPr="009C438A">
              <w:rPr>
                <w:rFonts w:eastAsia="Calibri" w:cs="Arial"/>
                <w:b/>
                <w:color w:val="007BC7"/>
                <w:sz w:val="16"/>
                <w:szCs w:val="16"/>
                <w:lang w:eastAsia="en-US"/>
              </w:rPr>
              <w:t>X</w:t>
            </w:r>
          </w:p>
        </w:tc>
        <w:tc>
          <w:tcPr>
            <w:tcW w:w="355" w:type="dxa"/>
            <w:gridSpan w:val="3"/>
            <w:shd w:val="clear" w:color="auto" w:fill="BFBFBF"/>
            <w:vAlign w:val="center"/>
          </w:tcPr>
          <w:p w:rsidRPr="009C438A" w:rsidR="00562385" w:rsidP="00562385" w:rsidRDefault="00562385" w14:paraId="6CB9F0E3" w14:textId="77777777">
            <w:pPr>
              <w:spacing w:line="276" w:lineRule="auto"/>
              <w:ind w:firstLine="0"/>
              <w:rPr>
                <w:rFonts w:eastAsia="Calibri" w:cs="Arial"/>
                <w:b/>
                <w:color w:val="007BC7"/>
                <w:sz w:val="16"/>
                <w:szCs w:val="16"/>
                <w:lang w:eastAsia="en-US"/>
              </w:rPr>
            </w:pPr>
          </w:p>
        </w:tc>
        <w:tc>
          <w:tcPr>
            <w:tcW w:w="428" w:type="dxa"/>
            <w:gridSpan w:val="2"/>
            <w:shd w:val="clear" w:color="auto" w:fill="BFBFBF"/>
            <w:vAlign w:val="center"/>
          </w:tcPr>
          <w:p w:rsidRPr="009C438A" w:rsidR="00562385" w:rsidP="00562385" w:rsidRDefault="00562385" w14:paraId="345B2EC0" w14:textId="77777777">
            <w:pPr>
              <w:spacing w:line="276" w:lineRule="auto"/>
              <w:ind w:firstLine="0"/>
              <w:rPr>
                <w:rFonts w:eastAsia="Calibri" w:cs="Arial"/>
                <w:b/>
                <w:color w:val="007BC7"/>
                <w:sz w:val="16"/>
                <w:szCs w:val="16"/>
                <w:lang w:eastAsia="en-US"/>
              </w:rPr>
            </w:pPr>
          </w:p>
        </w:tc>
        <w:tc>
          <w:tcPr>
            <w:tcW w:w="433" w:type="dxa"/>
            <w:gridSpan w:val="3"/>
            <w:shd w:val="clear" w:color="auto" w:fill="BFBFBF"/>
            <w:vAlign w:val="center"/>
          </w:tcPr>
          <w:p w:rsidRPr="009C438A" w:rsidR="00562385" w:rsidP="00562385" w:rsidRDefault="00562385" w14:paraId="291D4003" w14:textId="77777777">
            <w:pPr>
              <w:spacing w:line="276" w:lineRule="auto"/>
              <w:ind w:firstLine="0"/>
              <w:rPr>
                <w:rFonts w:eastAsia="Calibri" w:cs="Arial"/>
                <w:b/>
                <w:color w:val="007BC7"/>
                <w:sz w:val="16"/>
                <w:szCs w:val="16"/>
                <w:lang w:eastAsia="en-US"/>
              </w:rPr>
            </w:pPr>
          </w:p>
        </w:tc>
        <w:tc>
          <w:tcPr>
            <w:tcW w:w="559" w:type="dxa"/>
            <w:shd w:val="clear" w:color="auto" w:fill="BFBFBF"/>
            <w:vAlign w:val="center"/>
          </w:tcPr>
          <w:p w:rsidRPr="009C438A" w:rsidR="00562385" w:rsidP="00562385" w:rsidRDefault="00DC09C7" w14:paraId="622D78C5" w14:textId="77777777">
            <w:pPr>
              <w:spacing w:line="276" w:lineRule="auto"/>
              <w:ind w:firstLine="0"/>
              <w:rPr>
                <w:rFonts w:eastAsia="Calibri" w:cs="Arial"/>
                <w:sz w:val="16"/>
                <w:szCs w:val="16"/>
                <w:lang w:eastAsia="en-US"/>
              </w:rPr>
            </w:pPr>
            <w:r>
              <w:rPr>
                <w:rFonts w:eastAsia="Calibri" w:cs="Arial"/>
                <w:sz w:val="16"/>
                <w:szCs w:val="16"/>
                <w:lang w:eastAsia="en-US"/>
              </w:rPr>
              <w:t>II.4</w:t>
            </w:r>
          </w:p>
        </w:tc>
      </w:tr>
      <w:tr w:rsidRPr="009C438A" w:rsidR="00562385" w:rsidTr="00E80A06" w14:paraId="0333DBE9" w14:textId="77777777">
        <w:trPr>
          <w:trHeight w:val="255"/>
        </w:trPr>
        <w:tc>
          <w:tcPr>
            <w:tcW w:w="693" w:type="dxa"/>
            <w:shd w:val="clear" w:color="auto" w:fill="BFBFBF"/>
            <w:vAlign w:val="center"/>
          </w:tcPr>
          <w:p w:rsidRPr="009C438A" w:rsidR="00562385" w:rsidP="00562385" w:rsidRDefault="00562385" w14:paraId="7838A526" w14:textId="77777777">
            <w:pPr>
              <w:spacing w:line="276" w:lineRule="auto"/>
              <w:ind w:firstLine="0"/>
              <w:rPr>
                <w:rFonts w:eastAsia="Calibri" w:cs="Arial"/>
                <w:sz w:val="16"/>
                <w:szCs w:val="16"/>
                <w:lang w:eastAsia="en-US"/>
              </w:rPr>
            </w:pPr>
            <w:r w:rsidRPr="009C438A">
              <w:rPr>
                <w:rFonts w:eastAsia="Calibri" w:cs="Arial"/>
                <w:sz w:val="16"/>
                <w:szCs w:val="16"/>
                <w:lang w:eastAsia="en-US"/>
              </w:rPr>
              <w:t>2.2.1</w:t>
            </w:r>
            <w:r w:rsidRPr="009C438A">
              <w:rPr>
                <w:rFonts w:eastAsia="Calibri" w:cs="Arial"/>
                <w:sz w:val="16"/>
                <w:szCs w:val="16"/>
                <w:lang w:eastAsia="en-US"/>
              </w:rPr>
              <w:br/>
              <w:t>/II.2</w:t>
            </w:r>
          </w:p>
        </w:tc>
        <w:tc>
          <w:tcPr>
            <w:tcW w:w="6352" w:type="dxa"/>
            <w:gridSpan w:val="2"/>
            <w:shd w:val="clear" w:color="auto" w:fill="007BC7"/>
            <w:vAlign w:val="center"/>
          </w:tcPr>
          <w:p w:rsidRPr="009C438A" w:rsidR="00562385" w:rsidP="00562385" w:rsidRDefault="00562385" w14:paraId="3024A5B5" w14:textId="77777777">
            <w:pPr>
              <w:spacing w:line="276" w:lineRule="auto"/>
              <w:ind w:firstLine="0"/>
              <w:rPr>
                <w:rFonts w:eastAsia="Calibri" w:cs="Arial"/>
                <w:color w:val="FFFFFF"/>
                <w:sz w:val="16"/>
                <w:szCs w:val="16"/>
                <w:lang w:eastAsia="en-US"/>
              </w:rPr>
            </w:pPr>
            <w:r w:rsidRPr="009C438A">
              <w:rPr>
                <w:rFonts w:eastAsia="Calibri" w:cs="Arial"/>
                <w:color w:val="FFFFFF"/>
                <w:sz w:val="16"/>
                <w:szCs w:val="16"/>
                <w:lang w:eastAsia="en-US"/>
              </w:rPr>
              <w:t>Duidelijkheid is gegeven over de verdragstoegang van en aanspraak op verdragsvoordelen door pensioen- en overheidsfondsen</w:t>
            </w:r>
          </w:p>
        </w:tc>
        <w:tc>
          <w:tcPr>
            <w:tcW w:w="356" w:type="dxa"/>
            <w:gridSpan w:val="5"/>
            <w:shd w:val="clear" w:color="auto" w:fill="BFBFBF"/>
            <w:vAlign w:val="center"/>
          </w:tcPr>
          <w:p w:rsidRPr="009C438A" w:rsidR="00562385" w:rsidP="00562385" w:rsidRDefault="00562385" w14:paraId="08F5D0D2" w14:textId="77777777">
            <w:pPr>
              <w:spacing w:line="276" w:lineRule="auto"/>
              <w:ind w:firstLine="0"/>
              <w:rPr>
                <w:rFonts w:eastAsia="Calibri" w:cs="Arial"/>
                <w:b/>
                <w:color w:val="007BC7"/>
                <w:sz w:val="16"/>
                <w:szCs w:val="16"/>
                <w:lang w:eastAsia="en-US"/>
              </w:rPr>
            </w:pPr>
            <w:r>
              <w:rPr>
                <w:rFonts w:eastAsia="Calibri" w:cs="Arial"/>
                <w:b/>
                <w:color w:val="007BC7"/>
                <w:sz w:val="16"/>
                <w:szCs w:val="16"/>
                <w:lang w:eastAsia="en-US"/>
              </w:rPr>
              <w:t>X</w:t>
            </w:r>
          </w:p>
        </w:tc>
        <w:tc>
          <w:tcPr>
            <w:tcW w:w="355" w:type="dxa"/>
            <w:gridSpan w:val="3"/>
            <w:shd w:val="clear" w:color="auto" w:fill="BFBFBF"/>
            <w:vAlign w:val="center"/>
          </w:tcPr>
          <w:p w:rsidRPr="009C438A" w:rsidR="00562385" w:rsidP="00562385" w:rsidRDefault="00562385" w14:paraId="5958C761" w14:textId="77777777">
            <w:pPr>
              <w:spacing w:line="276" w:lineRule="auto"/>
              <w:ind w:firstLine="0"/>
              <w:rPr>
                <w:rFonts w:eastAsia="Calibri" w:cs="Arial"/>
                <w:b/>
                <w:color w:val="007BC7"/>
                <w:sz w:val="16"/>
                <w:szCs w:val="16"/>
                <w:lang w:eastAsia="en-US"/>
              </w:rPr>
            </w:pPr>
          </w:p>
        </w:tc>
        <w:tc>
          <w:tcPr>
            <w:tcW w:w="428" w:type="dxa"/>
            <w:gridSpan w:val="2"/>
            <w:shd w:val="clear" w:color="auto" w:fill="BFBFBF"/>
            <w:vAlign w:val="center"/>
          </w:tcPr>
          <w:p w:rsidRPr="009C438A" w:rsidR="00562385" w:rsidP="00562385" w:rsidRDefault="00562385" w14:paraId="3DE5ABD4" w14:textId="77777777">
            <w:pPr>
              <w:spacing w:line="276" w:lineRule="auto"/>
              <w:ind w:firstLine="0"/>
              <w:rPr>
                <w:rFonts w:eastAsia="Calibri" w:cs="Arial"/>
                <w:b/>
                <w:color w:val="007BC7"/>
                <w:sz w:val="16"/>
                <w:szCs w:val="16"/>
                <w:lang w:eastAsia="en-US"/>
              </w:rPr>
            </w:pPr>
          </w:p>
        </w:tc>
        <w:tc>
          <w:tcPr>
            <w:tcW w:w="433" w:type="dxa"/>
            <w:gridSpan w:val="3"/>
            <w:shd w:val="clear" w:color="auto" w:fill="BFBFBF"/>
            <w:vAlign w:val="center"/>
          </w:tcPr>
          <w:p w:rsidRPr="009C438A" w:rsidR="00562385" w:rsidP="00562385" w:rsidRDefault="00562385" w14:paraId="2EFDCAD2" w14:textId="77777777">
            <w:pPr>
              <w:spacing w:line="276" w:lineRule="auto"/>
              <w:ind w:firstLine="0"/>
              <w:rPr>
                <w:rFonts w:eastAsia="Calibri" w:cs="Arial"/>
                <w:b/>
                <w:color w:val="007BC7"/>
                <w:sz w:val="16"/>
                <w:szCs w:val="16"/>
                <w:lang w:eastAsia="en-US"/>
              </w:rPr>
            </w:pPr>
          </w:p>
        </w:tc>
        <w:tc>
          <w:tcPr>
            <w:tcW w:w="559" w:type="dxa"/>
            <w:shd w:val="clear" w:color="auto" w:fill="BFBFBF"/>
            <w:vAlign w:val="center"/>
          </w:tcPr>
          <w:p w:rsidRPr="00B1331A" w:rsidR="00562385" w:rsidP="00562385" w:rsidRDefault="00562385" w14:paraId="595A95DB" w14:textId="77777777">
            <w:pPr>
              <w:spacing w:line="276" w:lineRule="auto"/>
              <w:ind w:firstLine="0"/>
              <w:rPr>
                <w:rFonts w:eastAsia="Calibri" w:cs="Arial"/>
                <w:sz w:val="16"/>
                <w:szCs w:val="16"/>
                <w:lang w:eastAsia="en-US"/>
              </w:rPr>
            </w:pPr>
            <w:r>
              <w:rPr>
                <w:rFonts w:eastAsia="Calibri" w:cs="Arial"/>
                <w:sz w:val="16"/>
                <w:szCs w:val="16"/>
                <w:lang w:eastAsia="en-US"/>
              </w:rPr>
              <w:t>II.4</w:t>
            </w:r>
          </w:p>
        </w:tc>
      </w:tr>
      <w:tr w:rsidRPr="009C438A" w:rsidR="00562385" w:rsidTr="00E80A06" w14:paraId="5DB0AFE8" w14:textId="77777777">
        <w:trPr>
          <w:trHeight w:val="255"/>
        </w:trPr>
        <w:tc>
          <w:tcPr>
            <w:tcW w:w="693" w:type="dxa"/>
            <w:shd w:val="clear" w:color="auto" w:fill="BFBFBF"/>
            <w:vAlign w:val="center"/>
          </w:tcPr>
          <w:p w:rsidRPr="009C438A" w:rsidR="00562385" w:rsidP="00562385" w:rsidRDefault="00562385" w14:paraId="77883BF4" w14:textId="77777777">
            <w:pPr>
              <w:spacing w:line="276" w:lineRule="auto"/>
              <w:ind w:firstLine="0"/>
              <w:rPr>
                <w:rFonts w:eastAsia="Calibri" w:cs="Arial"/>
                <w:sz w:val="16"/>
                <w:szCs w:val="16"/>
                <w:lang w:eastAsia="en-US"/>
              </w:rPr>
            </w:pPr>
            <w:r w:rsidRPr="009C438A">
              <w:rPr>
                <w:rFonts w:eastAsia="Calibri" w:cs="Arial"/>
                <w:sz w:val="16"/>
                <w:szCs w:val="16"/>
                <w:lang w:eastAsia="en-US"/>
              </w:rPr>
              <w:t>2.2.2</w:t>
            </w:r>
          </w:p>
        </w:tc>
        <w:tc>
          <w:tcPr>
            <w:tcW w:w="6352" w:type="dxa"/>
            <w:gridSpan w:val="2"/>
            <w:shd w:val="clear" w:color="auto" w:fill="007BC7"/>
            <w:vAlign w:val="center"/>
          </w:tcPr>
          <w:p w:rsidRPr="009C438A" w:rsidR="00562385" w:rsidP="00562385" w:rsidRDefault="00562385" w14:paraId="4070F654" w14:textId="77777777">
            <w:pPr>
              <w:spacing w:line="276" w:lineRule="auto"/>
              <w:ind w:firstLine="0"/>
              <w:rPr>
                <w:rFonts w:eastAsia="Calibri" w:cs="Arial"/>
                <w:color w:val="FFFFFF"/>
                <w:sz w:val="16"/>
                <w:szCs w:val="16"/>
                <w:lang w:eastAsia="en-US"/>
              </w:rPr>
            </w:pPr>
            <w:r w:rsidRPr="009C438A">
              <w:rPr>
                <w:rFonts w:eastAsia="Calibri" w:cs="Arial"/>
                <w:color w:val="FFFFFF"/>
                <w:sz w:val="16"/>
                <w:szCs w:val="16"/>
                <w:lang w:eastAsia="en-US"/>
              </w:rPr>
              <w:t>Corporate tiebreaker op basis van plaats van werkelijke leiding opgenomen</w:t>
            </w:r>
          </w:p>
        </w:tc>
        <w:tc>
          <w:tcPr>
            <w:tcW w:w="356" w:type="dxa"/>
            <w:gridSpan w:val="5"/>
            <w:shd w:val="clear" w:color="auto" w:fill="BFBFBF"/>
            <w:vAlign w:val="center"/>
          </w:tcPr>
          <w:p w:rsidRPr="009C438A" w:rsidR="00562385" w:rsidP="00562385" w:rsidRDefault="00562385" w14:paraId="48A6DAA5" w14:textId="77777777">
            <w:pPr>
              <w:spacing w:line="276" w:lineRule="auto"/>
              <w:ind w:firstLine="0"/>
              <w:rPr>
                <w:rFonts w:eastAsia="Calibri" w:cs="Arial"/>
                <w:b/>
                <w:color w:val="007BC7"/>
                <w:sz w:val="16"/>
                <w:szCs w:val="16"/>
                <w:lang w:eastAsia="en-US"/>
              </w:rPr>
            </w:pPr>
          </w:p>
        </w:tc>
        <w:tc>
          <w:tcPr>
            <w:tcW w:w="355" w:type="dxa"/>
            <w:gridSpan w:val="3"/>
            <w:shd w:val="clear" w:color="auto" w:fill="BFBFBF"/>
            <w:vAlign w:val="center"/>
          </w:tcPr>
          <w:p w:rsidRPr="009C438A" w:rsidR="00562385" w:rsidP="00562385" w:rsidRDefault="00562385" w14:paraId="441EB585" w14:textId="77777777">
            <w:pPr>
              <w:spacing w:line="276" w:lineRule="auto"/>
              <w:ind w:firstLine="0"/>
              <w:rPr>
                <w:rFonts w:eastAsia="Calibri" w:cs="Arial"/>
                <w:b/>
                <w:color w:val="007BC7"/>
                <w:sz w:val="16"/>
                <w:szCs w:val="16"/>
                <w:lang w:eastAsia="en-US"/>
              </w:rPr>
            </w:pPr>
          </w:p>
        </w:tc>
        <w:tc>
          <w:tcPr>
            <w:tcW w:w="428" w:type="dxa"/>
            <w:gridSpan w:val="2"/>
            <w:shd w:val="clear" w:color="auto" w:fill="BFBFBF"/>
            <w:vAlign w:val="center"/>
          </w:tcPr>
          <w:p w:rsidRPr="009C438A" w:rsidR="00562385" w:rsidP="00562385" w:rsidRDefault="00562385" w14:paraId="69269764" w14:textId="77777777">
            <w:pPr>
              <w:spacing w:line="276" w:lineRule="auto"/>
              <w:ind w:firstLine="0"/>
              <w:rPr>
                <w:rFonts w:eastAsia="Calibri" w:cs="Arial"/>
                <w:b/>
                <w:color w:val="007BC7"/>
                <w:sz w:val="16"/>
                <w:szCs w:val="16"/>
                <w:lang w:eastAsia="en-US"/>
              </w:rPr>
            </w:pPr>
            <w:r w:rsidRPr="009C438A">
              <w:rPr>
                <w:rFonts w:eastAsia="Calibri" w:cs="Arial"/>
                <w:b/>
                <w:color w:val="007BC7"/>
                <w:sz w:val="16"/>
                <w:szCs w:val="16"/>
                <w:lang w:eastAsia="en-US"/>
              </w:rPr>
              <w:t>X</w:t>
            </w:r>
          </w:p>
        </w:tc>
        <w:tc>
          <w:tcPr>
            <w:tcW w:w="433" w:type="dxa"/>
            <w:gridSpan w:val="3"/>
            <w:shd w:val="clear" w:color="auto" w:fill="BFBFBF"/>
            <w:vAlign w:val="center"/>
          </w:tcPr>
          <w:p w:rsidRPr="009C438A" w:rsidR="00562385" w:rsidP="00562385" w:rsidRDefault="00562385" w14:paraId="088ABCA3" w14:textId="77777777">
            <w:pPr>
              <w:spacing w:line="276" w:lineRule="auto"/>
              <w:ind w:firstLine="0"/>
              <w:rPr>
                <w:rFonts w:eastAsia="Calibri" w:cs="Arial"/>
                <w:b/>
                <w:color w:val="007BC7"/>
                <w:sz w:val="16"/>
                <w:szCs w:val="16"/>
                <w:lang w:eastAsia="en-US"/>
              </w:rPr>
            </w:pPr>
          </w:p>
        </w:tc>
        <w:tc>
          <w:tcPr>
            <w:tcW w:w="559" w:type="dxa"/>
            <w:shd w:val="clear" w:color="auto" w:fill="BFBFBF"/>
            <w:vAlign w:val="center"/>
          </w:tcPr>
          <w:p w:rsidRPr="009C438A" w:rsidR="00562385" w:rsidP="00562385" w:rsidRDefault="00562385" w14:paraId="4D735C81" w14:textId="77777777">
            <w:pPr>
              <w:spacing w:line="276" w:lineRule="auto"/>
              <w:ind w:firstLine="0"/>
              <w:rPr>
                <w:rFonts w:eastAsia="Calibri" w:cs="Arial"/>
                <w:sz w:val="16"/>
                <w:szCs w:val="16"/>
                <w:lang w:eastAsia="en-US"/>
              </w:rPr>
            </w:pPr>
            <w:r>
              <w:rPr>
                <w:rFonts w:eastAsia="Calibri" w:cs="Arial"/>
                <w:sz w:val="16"/>
                <w:szCs w:val="16"/>
                <w:lang w:eastAsia="en-US"/>
              </w:rPr>
              <w:t>II.4</w:t>
            </w:r>
          </w:p>
        </w:tc>
      </w:tr>
      <w:tr w:rsidRPr="00562385" w:rsidR="00562385" w:rsidTr="00E80A06" w14:paraId="5FE9F869" w14:textId="77777777">
        <w:trPr>
          <w:trHeight w:val="255"/>
        </w:trPr>
        <w:tc>
          <w:tcPr>
            <w:tcW w:w="693" w:type="dxa"/>
            <w:shd w:val="clear" w:color="auto" w:fill="BFBFBF"/>
            <w:vAlign w:val="center"/>
          </w:tcPr>
          <w:p w:rsidRPr="009C438A" w:rsidR="00562385" w:rsidP="00562385" w:rsidRDefault="00562385" w14:paraId="5E593876" w14:textId="77777777">
            <w:pPr>
              <w:spacing w:line="276" w:lineRule="auto"/>
              <w:ind w:firstLine="0"/>
              <w:rPr>
                <w:rFonts w:eastAsia="Calibri" w:cs="Arial"/>
                <w:sz w:val="16"/>
                <w:szCs w:val="16"/>
                <w:lang w:eastAsia="en-US"/>
              </w:rPr>
            </w:pPr>
            <w:r w:rsidRPr="009C438A">
              <w:rPr>
                <w:rFonts w:eastAsia="Calibri" w:cs="Arial"/>
                <w:sz w:val="16"/>
                <w:szCs w:val="16"/>
                <w:lang w:eastAsia="en-US"/>
              </w:rPr>
              <w:t>2.3</w:t>
            </w:r>
          </w:p>
        </w:tc>
        <w:tc>
          <w:tcPr>
            <w:tcW w:w="6352" w:type="dxa"/>
            <w:gridSpan w:val="2"/>
            <w:shd w:val="clear" w:color="auto" w:fill="007BC7"/>
            <w:vAlign w:val="center"/>
          </w:tcPr>
          <w:p w:rsidRPr="009C438A" w:rsidR="00562385" w:rsidP="00562385" w:rsidRDefault="00562385" w14:paraId="1FD7F743" w14:textId="77777777">
            <w:pPr>
              <w:spacing w:line="276" w:lineRule="auto"/>
              <w:ind w:firstLine="0"/>
              <w:rPr>
                <w:rFonts w:eastAsia="Calibri" w:cs="Arial"/>
                <w:color w:val="FFFFFF"/>
                <w:sz w:val="16"/>
                <w:szCs w:val="16"/>
                <w:lang w:eastAsia="en-US"/>
              </w:rPr>
            </w:pPr>
            <w:r w:rsidRPr="009C438A">
              <w:rPr>
                <w:rFonts w:eastAsia="Calibri" w:cs="Arial"/>
                <w:color w:val="FFFFFF"/>
                <w:sz w:val="16"/>
                <w:szCs w:val="16"/>
                <w:lang w:eastAsia="en-US"/>
              </w:rPr>
              <w:t xml:space="preserve">Regeling voor oplossing dubbele heffing en vrijstelling ten aanzien van hybride (rechts)vormen opgenomen </w:t>
            </w:r>
          </w:p>
        </w:tc>
        <w:tc>
          <w:tcPr>
            <w:tcW w:w="356" w:type="dxa"/>
            <w:gridSpan w:val="5"/>
            <w:shd w:val="clear" w:color="auto" w:fill="BFBFBF"/>
            <w:vAlign w:val="center"/>
          </w:tcPr>
          <w:p w:rsidRPr="009C438A" w:rsidR="00562385" w:rsidP="00562385" w:rsidRDefault="00562385" w14:paraId="3B358A80" w14:textId="77777777">
            <w:pPr>
              <w:spacing w:line="276" w:lineRule="auto"/>
              <w:ind w:firstLine="0"/>
              <w:rPr>
                <w:rFonts w:eastAsia="Calibri" w:cs="Arial"/>
                <w:b/>
                <w:color w:val="007BC7"/>
                <w:sz w:val="16"/>
                <w:szCs w:val="16"/>
                <w:lang w:eastAsia="en-US"/>
              </w:rPr>
            </w:pPr>
            <w:r w:rsidRPr="009C438A">
              <w:rPr>
                <w:rFonts w:eastAsia="Calibri" w:cs="Arial"/>
                <w:b/>
                <w:color w:val="007BC7"/>
                <w:sz w:val="16"/>
                <w:szCs w:val="16"/>
                <w:lang w:eastAsia="en-US"/>
              </w:rPr>
              <w:t>X</w:t>
            </w:r>
          </w:p>
        </w:tc>
        <w:tc>
          <w:tcPr>
            <w:tcW w:w="355" w:type="dxa"/>
            <w:gridSpan w:val="3"/>
            <w:shd w:val="clear" w:color="auto" w:fill="BFBFBF"/>
            <w:vAlign w:val="center"/>
          </w:tcPr>
          <w:p w:rsidRPr="009C438A" w:rsidR="00562385" w:rsidP="00562385" w:rsidRDefault="00562385" w14:paraId="100F1D14" w14:textId="77777777">
            <w:pPr>
              <w:spacing w:line="276" w:lineRule="auto"/>
              <w:ind w:firstLine="0"/>
              <w:rPr>
                <w:rFonts w:eastAsia="Calibri" w:cs="Arial"/>
                <w:b/>
                <w:color w:val="007BC7"/>
                <w:sz w:val="16"/>
                <w:szCs w:val="16"/>
                <w:lang w:eastAsia="en-US"/>
              </w:rPr>
            </w:pPr>
          </w:p>
        </w:tc>
        <w:tc>
          <w:tcPr>
            <w:tcW w:w="428" w:type="dxa"/>
            <w:gridSpan w:val="2"/>
            <w:shd w:val="clear" w:color="auto" w:fill="BFBFBF"/>
            <w:vAlign w:val="center"/>
          </w:tcPr>
          <w:p w:rsidRPr="009C438A" w:rsidR="00562385" w:rsidP="00562385" w:rsidRDefault="00562385" w14:paraId="2EDB542B" w14:textId="77777777">
            <w:pPr>
              <w:spacing w:line="276" w:lineRule="auto"/>
              <w:ind w:firstLine="0"/>
              <w:rPr>
                <w:rFonts w:eastAsia="Calibri" w:cs="Arial"/>
                <w:b/>
                <w:color w:val="007BC7"/>
                <w:sz w:val="16"/>
                <w:szCs w:val="16"/>
                <w:lang w:eastAsia="en-US"/>
              </w:rPr>
            </w:pPr>
          </w:p>
        </w:tc>
        <w:tc>
          <w:tcPr>
            <w:tcW w:w="433" w:type="dxa"/>
            <w:gridSpan w:val="3"/>
            <w:shd w:val="clear" w:color="auto" w:fill="BFBFBF"/>
            <w:vAlign w:val="center"/>
          </w:tcPr>
          <w:p w:rsidRPr="009C438A" w:rsidR="00562385" w:rsidP="00562385" w:rsidRDefault="00562385" w14:paraId="2F38CF89" w14:textId="77777777">
            <w:pPr>
              <w:spacing w:line="276" w:lineRule="auto"/>
              <w:ind w:firstLine="0"/>
              <w:rPr>
                <w:rFonts w:eastAsia="Calibri" w:cs="Arial"/>
                <w:b/>
                <w:color w:val="007BC7"/>
                <w:sz w:val="16"/>
                <w:szCs w:val="16"/>
                <w:lang w:eastAsia="en-US"/>
              </w:rPr>
            </w:pPr>
          </w:p>
        </w:tc>
        <w:tc>
          <w:tcPr>
            <w:tcW w:w="559" w:type="dxa"/>
            <w:shd w:val="clear" w:color="auto" w:fill="BFBFBF"/>
            <w:vAlign w:val="center"/>
          </w:tcPr>
          <w:p w:rsidRPr="009C438A" w:rsidR="00562385" w:rsidP="00562385" w:rsidRDefault="00562385" w14:paraId="317E9369" w14:textId="77777777">
            <w:pPr>
              <w:spacing w:line="276" w:lineRule="auto"/>
              <w:ind w:firstLine="0"/>
              <w:rPr>
                <w:rFonts w:eastAsia="Calibri" w:cs="Arial"/>
                <w:sz w:val="16"/>
                <w:szCs w:val="16"/>
                <w:lang w:eastAsia="en-US"/>
              </w:rPr>
            </w:pPr>
            <w:r>
              <w:rPr>
                <w:rFonts w:eastAsia="Calibri" w:cs="Arial"/>
                <w:sz w:val="16"/>
                <w:szCs w:val="16"/>
                <w:lang w:eastAsia="en-US"/>
              </w:rPr>
              <w:t>II.2</w:t>
            </w:r>
            <w:r>
              <w:rPr>
                <w:rFonts w:eastAsia="Calibri" w:cs="Arial"/>
                <w:sz w:val="16"/>
                <w:szCs w:val="16"/>
                <w:lang w:eastAsia="en-US"/>
              </w:rPr>
              <w:br/>
              <w:t>II.18</w:t>
            </w:r>
          </w:p>
        </w:tc>
      </w:tr>
      <w:tr w:rsidRPr="00562385" w:rsidR="00562385" w:rsidTr="00E80A06" w14:paraId="5720BD3D" w14:textId="77777777">
        <w:trPr>
          <w:trHeight w:val="255"/>
        </w:trPr>
        <w:tc>
          <w:tcPr>
            <w:tcW w:w="693" w:type="dxa"/>
            <w:shd w:val="clear" w:color="auto" w:fill="BFBFBF"/>
            <w:vAlign w:val="center"/>
          </w:tcPr>
          <w:p w:rsidRPr="009C438A" w:rsidR="00562385" w:rsidP="00562385" w:rsidRDefault="00562385" w14:paraId="2DEBC91C" w14:textId="77777777">
            <w:pPr>
              <w:spacing w:line="276" w:lineRule="auto"/>
              <w:ind w:firstLine="0"/>
              <w:rPr>
                <w:rFonts w:eastAsia="Calibri" w:cs="Arial"/>
                <w:sz w:val="16"/>
                <w:szCs w:val="16"/>
                <w:lang w:eastAsia="en-US"/>
              </w:rPr>
            </w:pPr>
            <w:r w:rsidRPr="009C438A">
              <w:rPr>
                <w:rFonts w:eastAsia="Calibri" w:cs="Arial"/>
                <w:sz w:val="16"/>
                <w:szCs w:val="16"/>
                <w:lang w:eastAsia="en-US"/>
              </w:rPr>
              <w:t>2.4</w:t>
            </w:r>
          </w:p>
        </w:tc>
        <w:tc>
          <w:tcPr>
            <w:tcW w:w="6352" w:type="dxa"/>
            <w:gridSpan w:val="2"/>
            <w:shd w:val="clear" w:color="auto" w:fill="007BC7"/>
            <w:vAlign w:val="center"/>
          </w:tcPr>
          <w:p w:rsidRPr="009C438A" w:rsidR="00562385" w:rsidP="00562385" w:rsidRDefault="00562385" w14:paraId="498EFF67" w14:textId="77777777">
            <w:pPr>
              <w:spacing w:line="276" w:lineRule="auto"/>
              <w:ind w:firstLine="0"/>
              <w:rPr>
                <w:rFonts w:eastAsia="Calibri" w:cs="Arial"/>
                <w:color w:val="FFFFFF"/>
                <w:sz w:val="16"/>
                <w:szCs w:val="16"/>
                <w:lang w:eastAsia="en-US"/>
              </w:rPr>
            </w:pPr>
            <w:r w:rsidRPr="009C438A">
              <w:rPr>
                <w:rFonts w:eastAsia="Calibri" w:cs="Arial"/>
                <w:color w:val="FFFFFF"/>
                <w:sz w:val="16"/>
                <w:szCs w:val="16"/>
                <w:lang w:eastAsia="en-US"/>
              </w:rPr>
              <w:t>Overeenstemming over fiscale behandeling besloten FGR’s als asset poolinginstrument</w:t>
            </w:r>
          </w:p>
        </w:tc>
        <w:tc>
          <w:tcPr>
            <w:tcW w:w="356" w:type="dxa"/>
            <w:gridSpan w:val="5"/>
            <w:shd w:val="clear" w:color="auto" w:fill="BFBFBF"/>
            <w:vAlign w:val="center"/>
          </w:tcPr>
          <w:p w:rsidRPr="009C438A" w:rsidR="00562385" w:rsidP="00562385" w:rsidRDefault="00562385" w14:paraId="0DE8F028" w14:textId="77777777">
            <w:pPr>
              <w:spacing w:line="276" w:lineRule="auto"/>
              <w:ind w:firstLine="0"/>
              <w:rPr>
                <w:rFonts w:eastAsia="Calibri" w:cs="Arial"/>
                <w:b/>
                <w:color w:val="007BC7"/>
                <w:sz w:val="16"/>
                <w:szCs w:val="16"/>
                <w:lang w:eastAsia="en-US"/>
              </w:rPr>
            </w:pPr>
          </w:p>
        </w:tc>
        <w:tc>
          <w:tcPr>
            <w:tcW w:w="355" w:type="dxa"/>
            <w:gridSpan w:val="3"/>
            <w:shd w:val="clear" w:color="auto" w:fill="BFBFBF"/>
            <w:vAlign w:val="center"/>
          </w:tcPr>
          <w:p w:rsidRPr="009C438A" w:rsidR="00562385" w:rsidP="00562385" w:rsidRDefault="00562385" w14:paraId="3C51EAED" w14:textId="77777777">
            <w:pPr>
              <w:spacing w:line="276" w:lineRule="auto"/>
              <w:ind w:firstLine="0"/>
              <w:rPr>
                <w:rFonts w:eastAsia="Calibri" w:cs="Arial"/>
                <w:b/>
                <w:color w:val="007BC7"/>
                <w:sz w:val="16"/>
                <w:szCs w:val="16"/>
                <w:lang w:eastAsia="en-US"/>
              </w:rPr>
            </w:pPr>
          </w:p>
        </w:tc>
        <w:tc>
          <w:tcPr>
            <w:tcW w:w="428" w:type="dxa"/>
            <w:gridSpan w:val="2"/>
            <w:shd w:val="clear" w:color="auto" w:fill="BFBFBF"/>
            <w:vAlign w:val="center"/>
          </w:tcPr>
          <w:p w:rsidRPr="009C438A" w:rsidR="00562385" w:rsidP="00562385" w:rsidRDefault="00562385" w14:paraId="2DAE4903" w14:textId="77777777">
            <w:pPr>
              <w:spacing w:line="276" w:lineRule="auto"/>
              <w:ind w:firstLine="0"/>
              <w:rPr>
                <w:rFonts w:eastAsia="Calibri" w:cs="Arial"/>
                <w:b/>
                <w:color w:val="007BC7"/>
                <w:sz w:val="16"/>
                <w:szCs w:val="16"/>
                <w:lang w:eastAsia="en-US"/>
              </w:rPr>
            </w:pPr>
          </w:p>
        </w:tc>
        <w:tc>
          <w:tcPr>
            <w:tcW w:w="433" w:type="dxa"/>
            <w:gridSpan w:val="3"/>
            <w:shd w:val="clear" w:color="auto" w:fill="BFBFBF"/>
            <w:vAlign w:val="center"/>
          </w:tcPr>
          <w:p w:rsidRPr="009C438A" w:rsidR="00562385" w:rsidP="00562385" w:rsidRDefault="00562385" w14:paraId="1233B370" w14:textId="77777777">
            <w:pPr>
              <w:spacing w:line="276" w:lineRule="auto"/>
              <w:ind w:firstLine="0"/>
              <w:rPr>
                <w:rFonts w:eastAsia="Calibri" w:cs="Arial"/>
                <w:b/>
                <w:color w:val="007BC7"/>
                <w:sz w:val="16"/>
                <w:szCs w:val="16"/>
                <w:lang w:eastAsia="en-US"/>
              </w:rPr>
            </w:pPr>
            <w:r w:rsidRPr="009C438A">
              <w:rPr>
                <w:rFonts w:eastAsia="Calibri" w:cs="Arial"/>
                <w:b/>
                <w:color w:val="007BC7"/>
                <w:sz w:val="16"/>
                <w:szCs w:val="16"/>
                <w:lang w:eastAsia="en-US"/>
              </w:rPr>
              <w:t>X</w:t>
            </w:r>
          </w:p>
        </w:tc>
        <w:tc>
          <w:tcPr>
            <w:tcW w:w="559" w:type="dxa"/>
            <w:shd w:val="clear" w:color="auto" w:fill="BFBFBF"/>
            <w:vAlign w:val="center"/>
          </w:tcPr>
          <w:p w:rsidRPr="009C438A" w:rsidR="00562385" w:rsidP="00562385" w:rsidRDefault="00562385" w14:paraId="64777DC4" w14:textId="77777777">
            <w:pPr>
              <w:spacing w:line="276" w:lineRule="auto"/>
              <w:ind w:firstLine="0"/>
              <w:rPr>
                <w:rFonts w:eastAsia="Calibri" w:cs="Arial"/>
                <w:sz w:val="16"/>
                <w:szCs w:val="16"/>
                <w:lang w:eastAsia="en-US"/>
              </w:rPr>
            </w:pPr>
          </w:p>
        </w:tc>
      </w:tr>
      <w:tr w:rsidRPr="009C438A" w:rsidR="00562385" w:rsidTr="00E80A06" w14:paraId="78D6CDF3" w14:textId="77777777">
        <w:trPr>
          <w:trHeight w:val="255"/>
        </w:trPr>
        <w:tc>
          <w:tcPr>
            <w:tcW w:w="693" w:type="dxa"/>
            <w:shd w:val="clear" w:color="auto" w:fill="BFBFBF"/>
            <w:vAlign w:val="center"/>
          </w:tcPr>
          <w:p w:rsidRPr="009C438A" w:rsidR="00562385" w:rsidP="00562385" w:rsidRDefault="00562385" w14:paraId="1E08C2BA" w14:textId="77777777">
            <w:pPr>
              <w:spacing w:line="276" w:lineRule="auto"/>
              <w:ind w:firstLine="0"/>
              <w:rPr>
                <w:rFonts w:eastAsia="Calibri" w:cs="Arial"/>
                <w:sz w:val="16"/>
                <w:szCs w:val="16"/>
                <w:lang w:eastAsia="en-US"/>
              </w:rPr>
            </w:pPr>
            <w:r w:rsidRPr="009C438A">
              <w:rPr>
                <w:rFonts w:eastAsia="Calibri" w:cs="Arial"/>
                <w:sz w:val="16"/>
                <w:szCs w:val="16"/>
                <w:lang w:eastAsia="en-US"/>
              </w:rPr>
              <w:t>2.5</w:t>
            </w:r>
          </w:p>
        </w:tc>
        <w:tc>
          <w:tcPr>
            <w:tcW w:w="6352" w:type="dxa"/>
            <w:gridSpan w:val="2"/>
            <w:shd w:val="clear" w:color="auto" w:fill="007BC7"/>
            <w:vAlign w:val="center"/>
          </w:tcPr>
          <w:p w:rsidRPr="009C438A" w:rsidR="00562385" w:rsidP="00562385" w:rsidRDefault="00562385" w14:paraId="51230CD2" w14:textId="77777777">
            <w:pPr>
              <w:spacing w:line="276" w:lineRule="auto"/>
              <w:ind w:firstLine="0"/>
              <w:rPr>
                <w:rFonts w:eastAsia="Calibri" w:cs="Arial"/>
                <w:color w:val="FFFFFF"/>
                <w:sz w:val="16"/>
                <w:szCs w:val="16"/>
                <w:lang w:eastAsia="en-US"/>
              </w:rPr>
            </w:pPr>
            <w:r w:rsidRPr="009C438A">
              <w:rPr>
                <w:rFonts w:eastAsia="Calibri" w:cs="Arial"/>
                <w:color w:val="FFFFFF"/>
                <w:sz w:val="16"/>
                <w:szCs w:val="16"/>
                <w:lang w:eastAsia="en-US"/>
              </w:rPr>
              <w:t>Afgezonderde Particuliere Vermogens tijdens onderhandelingen besproken en zo nodig geadresseerd in het verdrag</w:t>
            </w:r>
          </w:p>
        </w:tc>
        <w:tc>
          <w:tcPr>
            <w:tcW w:w="356" w:type="dxa"/>
            <w:gridSpan w:val="5"/>
            <w:shd w:val="clear" w:color="auto" w:fill="BFBFBF"/>
            <w:vAlign w:val="center"/>
          </w:tcPr>
          <w:p w:rsidRPr="009C438A" w:rsidR="00562385" w:rsidP="00562385" w:rsidRDefault="00562385" w14:paraId="48AFB76B" w14:textId="77777777">
            <w:pPr>
              <w:spacing w:line="276" w:lineRule="auto"/>
              <w:ind w:firstLine="0"/>
              <w:rPr>
                <w:rFonts w:eastAsia="Calibri" w:cs="Arial"/>
                <w:b/>
                <w:color w:val="007BC7"/>
                <w:sz w:val="16"/>
                <w:szCs w:val="16"/>
                <w:lang w:eastAsia="en-US"/>
              </w:rPr>
            </w:pPr>
          </w:p>
        </w:tc>
        <w:tc>
          <w:tcPr>
            <w:tcW w:w="355" w:type="dxa"/>
            <w:gridSpan w:val="3"/>
            <w:shd w:val="clear" w:color="auto" w:fill="BFBFBF"/>
            <w:vAlign w:val="center"/>
          </w:tcPr>
          <w:p w:rsidRPr="009C438A" w:rsidR="00562385" w:rsidP="00562385" w:rsidRDefault="00562385" w14:paraId="181C69A0" w14:textId="77777777">
            <w:pPr>
              <w:spacing w:line="276" w:lineRule="auto"/>
              <w:ind w:firstLine="0"/>
              <w:rPr>
                <w:rFonts w:eastAsia="Calibri" w:cs="Arial"/>
                <w:b/>
                <w:color w:val="007BC7"/>
                <w:sz w:val="16"/>
                <w:szCs w:val="16"/>
                <w:lang w:eastAsia="en-US"/>
              </w:rPr>
            </w:pPr>
          </w:p>
        </w:tc>
        <w:tc>
          <w:tcPr>
            <w:tcW w:w="428" w:type="dxa"/>
            <w:gridSpan w:val="2"/>
            <w:shd w:val="clear" w:color="auto" w:fill="BFBFBF"/>
            <w:vAlign w:val="center"/>
          </w:tcPr>
          <w:p w:rsidRPr="009C438A" w:rsidR="00562385" w:rsidP="00562385" w:rsidRDefault="00562385" w14:paraId="150CEC3B" w14:textId="77777777">
            <w:pPr>
              <w:spacing w:line="276" w:lineRule="auto"/>
              <w:ind w:firstLine="0"/>
              <w:rPr>
                <w:rFonts w:eastAsia="Calibri" w:cs="Arial"/>
                <w:b/>
                <w:color w:val="007BC7"/>
                <w:sz w:val="16"/>
                <w:szCs w:val="16"/>
                <w:lang w:eastAsia="en-US"/>
              </w:rPr>
            </w:pPr>
          </w:p>
        </w:tc>
        <w:tc>
          <w:tcPr>
            <w:tcW w:w="433" w:type="dxa"/>
            <w:gridSpan w:val="3"/>
            <w:shd w:val="clear" w:color="auto" w:fill="BFBFBF"/>
            <w:vAlign w:val="center"/>
          </w:tcPr>
          <w:p w:rsidRPr="009C438A" w:rsidR="00562385" w:rsidP="00562385" w:rsidRDefault="00562385" w14:paraId="2BCF4364" w14:textId="77777777">
            <w:pPr>
              <w:spacing w:line="276" w:lineRule="auto"/>
              <w:ind w:firstLine="0"/>
              <w:rPr>
                <w:rFonts w:eastAsia="Calibri" w:cs="Arial"/>
                <w:b/>
                <w:color w:val="007BC7"/>
                <w:sz w:val="16"/>
                <w:szCs w:val="16"/>
                <w:lang w:eastAsia="en-US"/>
              </w:rPr>
            </w:pPr>
            <w:r w:rsidRPr="009C438A">
              <w:rPr>
                <w:rFonts w:eastAsia="Calibri" w:cs="Arial"/>
                <w:b/>
                <w:color w:val="007BC7"/>
                <w:sz w:val="16"/>
                <w:szCs w:val="16"/>
                <w:lang w:eastAsia="en-US"/>
              </w:rPr>
              <w:t>X</w:t>
            </w:r>
          </w:p>
        </w:tc>
        <w:tc>
          <w:tcPr>
            <w:tcW w:w="559" w:type="dxa"/>
            <w:shd w:val="clear" w:color="auto" w:fill="BFBFBF"/>
            <w:vAlign w:val="center"/>
          </w:tcPr>
          <w:p w:rsidRPr="009C438A" w:rsidR="00562385" w:rsidP="00562385" w:rsidRDefault="00562385" w14:paraId="49591065" w14:textId="77777777">
            <w:pPr>
              <w:spacing w:line="276" w:lineRule="auto"/>
              <w:ind w:firstLine="0"/>
              <w:rPr>
                <w:rFonts w:eastAsia="Calibri" w:cs="Arial"/>
                <w:sz w:val="16"/>
                <w:szCs w:val="16"/>
                <w:lang w:eastAsia="en-US"/>
              </w:rPr>
            </w:pPr>
          </w:p>
        </w:tc>
      </w:tr>
      <w:tr w:rsidRPr="009C438A" w:rsidR="00562385" w:rsidTr="00E80A06" w14:paraId="34EE4DFB" w14:textId="77777777">
        <w:trPr>
          <w:gridAfter w:val="11"/>
          <w:wAfter w:w="1952" w:type="dxa"/>
          <w:cantSplit/>
          <w:trHeight w:val="403"/>
        </w:trPr>
        <w:tc>
          <w:tcPr>
            <w:tcW w:w="693" w:type="dxa"/>
            <w:shd w:val="clear" w:color="auto" w:fill="FFFFFF"/>
            <w:vAlign w:val="center"/>
          </w:tcPr>
          <w:p w:rsidRPr="009C438A" w:rsidR="00562385" w:rsidP="00562385" w:rsidRDefault="00562385" w14:paraId="63A7EC9E" w14:textId="77777777">
            <w:pPr>
              <w:spacing w:line="276" w:lineRule="auto"/>
              <w:ind w:firstLine="0"/>
              <w:rPr>
                <w:rFonts w:eastAsia="Calibri" w:cs="Arial"/>
                <w:i/>
                <w:sz w:val="16"/>
                <w:szCs w:val="16"/>
                <w:lang w:eastAsia="en-US"/>
              </w:rPr>
            </w:pPr>
          </w:p>
        </w:tc>
        <w:tc>
          <w:tcPr>
            <w:tcW w:w="6531" w:type="dxa"/>
            <w:gridSpan w:val="5"/>
            <w:shd w:val="clear" w:color="auto" w:fill="FFFFFF"/>
            <w:vAlign w:val="center"/>
          </w:tcPr>
          <w:p w:rsidRPr="009C438A" w:rsidR="00562385" w:rsidP="00562385" w:rsidRDefault="00562385" w14:paraId="3C2D67A7" w14:textId="77777777">
            <w:pPr>
              <w:ind w:firstLine="0"/>
              <w:rPr>
                <w:rFonts w:eastAsia="Calibri" w:cs="Arial"/>
                <w:i/>
                <w:sz w:val="16"/>
                <w:szCs w:val="16"/>
                <w:lang w:eastAsia="en-US"/>
              </w:rPr>
            </w:pPr>
            <w:r w:rsidRPr="009C438A">
              <w:rPr>
                <w:rFonts w:eastAsia="Calibri" w:cs="Arial"/>
                <w:i/>
                <w:sz w:val="16"/>
                <w:szCs w:val="16"/>
                <w:lang w:eastAsia="en-US"/>
              </w:rPr>
              <w:t>Ondernemingswinsten</w:t>
            </w:r>
          </w:p>
        </w:tc>
      </w:tr>
      <w:tr w:rsidRPr="009C438A" w:rsidR="00562385" w:rsidTr="00E80A06" w14:paraId="580FFA66" w14:textId="77777777">
        <w:trPr>
          <w:trHeight w:val="255"/>
        </w:trPr>
        <w:tc>
          <w:tcPr>
            <w:tcW w:w="693" w:type="dxa"/>
            <w:shd w:val="clear" w:color="auto" w:fill="BFBFBF"/>
            <w:vAlign w:val="center"/>
          </w:tcPr>
          <w:p w:rsidRPr="009C438A" w:rsidR="00562385" w:rsidP="00562385" w:rsidRDefault="00562385" w14:paraId="353267A2" w14:textId="77777777">
            <w:pPr>
              <w:spacing w:line="276" w:lineRule="auto"/>
              <w:ind w:firstLine="0"/>
              <w:rPr>
                <w:rFonts w:eastAsia="Calibri" w:cs="Arial"/>
                <w:sz w:val="16"/>
                <w:szCs w:val="16"/>
                <w:lang w:eastAsia="en-US"/>
              </w:rPr>
            </w:pPr>
            <w:r w:rsidRPr="009C438A">
              <w:rPr>
                <w:rFonts w:eastAsia="Calibri" w:cs="Arial"/>
                <w:sz w:val="16"/>
                <w:szCs w:val="16"/>
                <w:lang w:eastAsia="en-US"/>
              </w:rPr>
              <w:t>2.6.2</w:t>
            </w:r>
          </w:p>
        </w:tc>
        <w:tc>
          <w:tcPr>
            <w:tcW w:w="6352" w:type="dxa"/>
            <w:gridSpan w:val="2"/>
            <w:shd w:val="clear" w:color="auto" w:fill="007BC7"/>
            <w:vAlign w:val="center"/>
          </w:tcPr>
          <w:p w:rsidRPr="009C438A" w:rsidR="00562385" w:rsidP="00562385" w:rsidRDefault="00562385" w14:paraId="69BE7655" w14:textId="77777777">
            <w:pPr>
              <w:spacing w:line="276" w:lineRule="auto"/>
              <w:ind w:firstLine="0"/>
              <w:rPr>
                <w:rFonts w:eastAsia="Calibri" w:cs="Arial"/>
                <w:color w:val="FFFFFF"/>
                <w:sz w:val="16"/>
                <w:szCs w:val="16"/>
                <w:lang w:eastAsia="en-US"/>
              </w:rPr>
            </w:pPr>
            <w:r w:rsidRPr="009C438A">
              <w:rPr>
                <w:rFonts w:eastAsia="Calibri" w:cs="Arial"/>
                <w:color w:val="FFFFFF"/>
                <w:sz w:val="16"/>
                <w:szCs w:val="16"/>
                <w:lang w:eastAsia="en-US"/>
              </w:rPr>
              <w:t>Definitie ‘vaste inrichting’ in overeenstemming met OESO-beginselen</w:t>
            </w:r>
          </w:p>
        </w:tc>
        <w:tc>
          <w:tcPr>
            <w:tcW w:w="356" w:type="dxa"/>
            <w:gridSpan w:val="5"/>
            <w:shd w:val="clear" w:color="auto" w:fill="BFBFBF"/>
            <w:vAlign w:val="center"/>
          </w:tcPr>
          <w:p w:rsidRPr="009C438A" w:rsidR="00562385" w:rsidP="00562385" w:rsidRDefault="00562385" w14:paraId="4ACE9BD5" w14:textId="77777777">
            <w:pPr>
              <w:spacing w:line="276" w:lineRule="auto"/>
              <w:ind w:firstLine="0"/>
              <w:rPr>
                <w:rFonts w:eastAsia="Calibri" w:cs="Arial"/>
                <w:b/>
                <w:color w:val="007BC7"/>
                <w:sz w:val="16"/>
                <w:szCs w:val="16"/>
                <w:lang w:eastAsia="en-US"/>
              </w:rPr>
            </w:pPr>
            <w:r w:rsidRPr="009C438A">
              <w:rPr>
                <w:rFonts w:eastAsia="Calibri" w:cs="Arial"/>
                <w:b/>
                <w:color w:val="007BC7"/>
                <w:sz w:val="16"/>
                <w:szCs w:val="16"/>
                <w:lang w:eastAsia="en-US"/>
              </w:rPr>
              <w:t>X</w:t>
            </w:r>
          </w:p>
        </w:tc>
        <w:tc>
          <w:tcPr>
            <w:tcW w:w="355" w:type="dxa"/>
            <w:gridSpan w:val="3"/>
            <w:shd w:val="clear" w:color="auto" w:fill="BFBFBF"/>
            <w:vAlign w:val="center"/>
          </w:tcPr>
          <w:p w:rsidRPr="009C438A" w:rsidR="00562385" w:rsidP="00562385" w:rsidRDefault="00562385" w14:paraId="733D0501" w14:textId="77777777">
            <w:pPr>
              <w:spacing w:line="276" w:lineRule="auto"/>
              <w:ind w:firstLine="0"/>
              <w:rPr>
                <w:rFonts w:eastAsia="Calibri" w:cs="Arial"/>
                <w:b/>
                <w:color w:val="007BC7"/>
                <w:sz w:val="16"/>
                <w:szCs w:val="16"/>
                <w:lang w:eastAsia="en-US"/>
              </w:rPr>
            </w:pPr>
          </w:p>
        </w:tc>
        <w:tc>
          <w:tcPr>
            <w:tcW w:w="428" w:type="dxa"/>
            <w:gridSpan w:val="2"/>
            <w:shd w:val="clear" w:color="auto" w:fill="BFBFBF"/>
            <w:vAlign w:val="center"/>
          </w:tcPr>
          <w:p w:rsidRPr="009C438A" w:rsidR="00562385" w:rsidP="00562385" w:rsidRDefault="00562385" w14:paraId="06F5F446" w14:textId="77777777">
            <w:pPr>
              <w:spacing w:line="276" w:lineRule="auto"/>
              <w:ind w:firstLine="0"/>
              <w:rPr>
                <w:rFonts w:eastAsia="Calibri" w:cs="Arial"/>
                <w:b/>
                <w:color w:val="007BC7"/>
                <w:sz w:val="16"/>
                <w:szCs w:val="16"/>
                <w:lang w:eastAsia="en-US"/>
              </w:rPr>
            </w:pPr>
          </w:p>
        </w:tc>
        <w:tc>
          <w:tcPr>
            <w:tcW w:w="433" w:type="dxa"/>
            <w:gridSpan w:val="3"/>
            <w:shd w:val="clear" w:color="auto" w:fill="BFBFBF"/>
            <w:vAlign w:val="center"/>
          </w:tcPr>
          <w:p w:rsidRPr="009C438A" w:rsidR="00562385" w:rsidP="00562385" w:rsidRDefault="00562385" w14:paraId="24A8CD1D" w14:textId="77777777">
            <w:pPr>
              <w:spacing w:line="276" w:lineRule="auto"/>
              <w:ind w:firstLine="0"/>
              <w:rPr>
                <w:rFonts w:eastAsia="Calibri" w:cs="Arial"/>
                <w:b/>
                <w:color w:val="007BC7"/>
                <w:sz w:val="16"/>
                <w:szCs w:val="16"/>
                <w:lang w:eastAsia="en-US"/>
              </w:rPr>
            </w:pPr>
          </w:p>
        </w:tc>
        <w:tc>
          <w:tcPr>
            <w:tcW w:w="559" w:type="dxa"/>
            <w:shd w:val="clear" w:color="auto" w:fill="BFBFBF"/>
            <w:vAlign w:val="center"/>
          </w:tcPr>
          <w:p w:rsidRPr="009C438A" w:rsidR="00562385" w:rsidP="00562385" w:rsidRDefault="00562385" w14:paraId="7AD1A766" w14:textId="77777777">
            <w:pPr>
              <w:spacing w:line="276" w:lineRule="auto"/>
              <w:ind w:firstLine="0"/>
              <w:rPr>
                <w:rFonts w:eastAsia="Calibri" w:cs="Arial"/>
                <w:sz w:val="16"/>
                <w:szCs w:val="16"/>
                <w:lang w:eastAsia="en-US"/>
              </w:rPr>
            </w:pPr>
            <w:r>
              <w:rPr>
                <w:rFonts w:eastAsia="Calibri" w:cs="Arial"/>
                <w:sz w:val="16"/>
                <w:szCs w:val="16"/>
                <w:lang w:eastAsia="en-US"/>
              </w:rPr>
              <w:t>II.5</w:t>
            </w:r>
          </w:p>
        </w:tc>
      </w:tr>
      <w:tr w:rsidRPr="00B1331A" w:rsidR="00562385" w:rsidTr="00E80A06" w14:paraId="3CCD64B9" w14:textId="77777777">
        <w:trPr>
          <w:trHeight w:val="255"/>
        </w:trPr>
        <w:tc>
          <w:tcPr>
            <w:tcW w:w="693" w:type="dxa"/>
            <w:shd w:val="clear" w:color="auto" w:fill="BFBFBF"/>
            <w:vAlign w:val="center"/>
          </w:tcPr>
          <w:p w:rsidRPr="009C438A" w:rsidR="00562385" w:rsidP="00562385" w:rsidRDefault="00562385" w14:paraId="78060F1E" w14:textId="77777777">
            <w:pPr>
              <w:spacing w:line="276" w:lineRule="auto"/>
              <w:ind w:firstLine="0"/>
              <w:rPr>
                <w:rFonts w:eastAsia="Calibri" w:cs="Arial"/>
                <w:sz w:val="16"/>
                <w:szCs w:val="16"/>
                <w:lang w:eastAsia="en-US"/>
              </w:rPr>
            </w:pPr>
            <w:r w:rsidRPr="009C438A">
              <w:rPr>
                <w:rFonts w:eastAsia="Calibri" w:cs="Arial"/>
                <w:sz w:val="16"/>
                <w:szCs w:val="16"/>
                <w:lang w:eastAsia="en-US"/>
              </w:rPr>
              <w:t>2.6.3</w:t>
            </w:r>
          </w:p>
        </w:tc>
        <w:tc>
          <w:tcPr>
            <w:tcW w:w="6352" w:type="dxa"/>
            <w:gridSpan w:val="2"/>
            <w:shd w:val="clear" w:color="auto" w:fill="007BC7"/>
            <w:vAlign w:val="center"/>
          </w:tcPr>
          <w:p w:rsidRPr="009C438A" w:rsidR="00562385" w:rsidP="00562385" w:rsidRDefault="00562385" w14:paraId="1B7ED99A" w14:textId="77777777">
            <w:pPr>
              <w:spacing w:line="276" w:lineRule="auto"/>
              <w:ind w:firstLine="0"/>
              <w:rPr>
                <w:rFonts w:eastAsia="Calibri" w:cs="Arial"/>
                <w:color w:val="FFFFFF"/>
                <w:sz w:val="16"/>
                <w:szCs w:val="16"/>
                <w:lang w:eastAsia="en-US"/>
              </w:rPr>
            </w:pPr>
            <w:r w:rsidRPr="009C438A">
              <w:rPr>
                <w:rFonts w:eastAsia="Calibri" w:cs="Arial"/>
                <w:color w:val="FFFFFF"/>
                <w:sz w:val="16"/>
                <w:szCs w:val="16"/>
                <w:lang w:eastAsia="en-US"/>
              </w:rPr>
              <w:t>Specifieke bepaling in artikel inzake ‘vaste inrichting’ ter behoud van heffingsrecht over winsten behaald met werkzaamheden buitengaats opgenomen</w:t>
            </w:r>
          </w:p>
        </w:tc>
        <w:tc>
          <w:tcPr>
            <w:tcW w:w="356" w:type="dxa"/>
            <w:gridSpan w:val="5"/>
            <w:shd w:val="clear" w:color="auto" w:fill="BFBFBF"/>
            <w:vAlign w:val="center"/>
          </w:tcPr>
          <w:p w:rsidRPr="009C438A" w:rsidR="00562385" w:rsidP="00562385" w:rsidRDefault="00562385" w14:paraId="6C6EAB68" w14:textId="77777777">
            <w:pPr>
              <w:spacing w:line="276" w:lineRule="auto"/>
              <w:ind w:firstLine="0"/>
              <w:rPr>
                <w:rFonts w:eastAsia="Calibri" w:cs="Arial"/>
                <w:b/>
                <w:color w:val="007BC7"/>
                <w:sz w:val="16"/>
                <w:szCs w:val="16"/>
                <w:lang w:eastAsia="en-US"/>
              </w:rPr>
            </w:pPr>
          </w:p>
        </w:tc>
        <w:tc>
          <w:tcPr>
            <w:tcW w:w="355" w:type="dxa"/>
            <w:gridSpan w:val="3"/>
            <w:shd w:val="clear" w:color="auto" w:fill="BFBFBF"/>
            <w:vAlign w:val="center"/>
          </w:tcPr>
          <w:p w:rsidRPr="009C438A" w:rsidR="00562385" w:rsidP="00562385" w:rsidRDefault="00562385" w14:paraId="6CB2930A" w14:textId="77777777">
            <w:pPr>
              <w:spacing w:line="276" w:lineRule="auto"/>
              <w:ind w:firstLine="0"/>
              <w:rPr>
                <w:rFonts w:eastAsia="Calibri" w:cs="Arial"/>
                <w:b/>
                <w:color w:val="007BC7"/>
                <w:sz w:val="16"/>
                <w:szCs w:val="16"/>
                <w:lang w:eastAsia="en-US"/>
              </w:rPr>
            </w:pPr>
          </w:p>
        </w:tc>
        <w:tc>
          <w:tcPr>
            <w:tcW w:w="428" w:type="dxa"/>
            <w:gridSpan w:val="2"/>
            <w:shd w:val="clear" w:color="auto" w:fill="BFBFBF"/>
            <w:vAlign w:val="center"/>
          </w:tcPr>
          <w:p w:rsidRPr="009C438A" w:rsidR="00562385" w:rsidP="00562385" w:rsidRDefault="00562385" w14:paraId="19BFD3F5" w14:textId="77777777">
            <w:pPr>
              <w:spacing w:line="276" w:lineRule="auto"/>
              <w:ind w:firstLine="0"/>
              <w:rPr>
                <w:rFonts w:eastAsia="Calibri" w:cs="Arial"/>
                <w:b/>
                <w:color w:val="007BC7"/>
                <w:sz w:val="16"/>
                <w:szCs w:val="16"/>
                <w:lang w:eastAsia="en-US"/>
              </w:rPr>
            </w:pPr>
          </w:p>
        </w:tc>
        <w:tc>
          <w:tcPr>
            <w:tcW w:w="433" w:type="dxa"/>
            <w:gridSpan w:val="3"/>
            <w:shd w:val="clear" w:color="auto" w:fill="BFBFBF"/>
            <w:vAlign w:val="center"/>
          </w:tcPr>
          <w:p w:rsidRPr="009C438A" w:rsidR="00562385" w:rsidP="00562385" w:rsidRDefault="00562385" w14:paraId="6F331214" w14:textId="77777777">
            <w:pPr>
              <w:spacing w:line="276" w:lineRule="auto"/>
              <w:ind w:firstLine="0"/>
              <w:rPr>
                <w:rFonts w:eastAsia="Calibri" w:cs="Arial"/>
                <w:b/>
                <w:color w:val="007BC7"/>
                <w:sz w:val="16"/>
                <w:szCs w:val="16"/>
                <w:lang w:eastAsia="en-US"/>
              </w:rPr>
            </w:pPr>
            <w:r w:rsidRPr="009C438A">
              <w:rPr>
                <w:rFonts w:eastAsia="Calibri" w:cs="Arial"/>
                <w:b/>
                <w:color w:val="007BC7"/>
                <w:sz w:val="16"/>
                <w:szCs w:val="16"/>
                <w:lang w:eastAsia="en-US"/>
              </w:rPr>
              <w:t>X</w:t>
            </w:r>
          </w:p>
        </w:tc>
        <w:tc>
          <w:tcPr>
            <w:tcW w:w="559" w:type="dxa"/>
            <w:shd w:val="clear" w:color="auto" w:fill="BFBFBF"/>
            <w:vAlign w:val="center"/>
          </w:tcPr>
          <w:p w:rsidRPr="009C438A" w:rsidR="00562385" w:rsidP="00562385" w:rsidRDefault="00562385" w14:paraId="15496C53" w14:textId="77777777">
            <w:pPr>
              <w:spacing w:line="276" w:lineRule="auto"/>
              <w:ind w:firstLine="0"/>
              <w:rPr>
                <w:rFonts w:eastAsia="Calibri" w:cs="Arial"/>
                <w:sz w:val="16"/>
                <w:szCs w:val="16"/>
                <w:lang w:eastAsia="en-US"/>
              </w:rPr>
            </w:pPr>
          </w:p>
        </w:tc>
      </w:tr>
      <w:tr w:rsidRPr="00B1331A" w:rsidR="00562385" w:rsidTr="00E80A06" w14:paraId="2A89CAEF" w14:textId="77777777">
        <w:trPr>
          <w:trHeight w:val="255"/>
        </w:trPr>
        <w:tc>
          <w:tcPr>
            <w:tcW w:w="693" w:type="dxa"/>
            <w:shd w:val="clear" w:color="auto" w:fill="BFBFBF"/>
            <w:vAlign w:val="center"/>
          </w:tcPr>
          <w:p w:rsidRPr="009C438A" w:rsidR="00562385" w:rsidP="00562385" w:rsidRDefault="00562385" w14:paraId="2E9DEC5E" w14:textId="77777777">
            <w:pPr>
              <w:spacing w:line="276" w:lineRule="auto"/>
              <w:ind w:firstLine="0"/>
              <w:rPr>
                <w:rFonts w:eastAsia="Calibri" w:cs="Arial"/>
                <w:sz w:val="16"/>
                <w:szCs w:val="16"/>
                <w:lang w:eastAsia="en-US"/>
              </w:rPr>
            </w:pPr>
            <w:r w:rsidRPr="009C438A">
              <w:rPr>
                <w:rFonts w:eastAsia="Calibri" w:cs="Arial"/>
                <w:sz w:val="16"/>
                <w:szCs w:val="16"/>
                <w:lang w:eastAsia="en-US"/>
              </w:rPr>
              <w:t>2.6.4</w:t>
            </w:r>
          </w:p>
        </w:tc>
        <w:tc>
          <w:tcPr>
            <w:tcW w:w="6352" w:type="dxa"/>
            <w:gridSpan w:val="2"/>
            <w:shd w:val="clear" w:color="auto" w:fill="007BC7"/>
            <w:vAlign w:val="center"/>
          </w:tcPr>
          <w:p w:rsidRPr="009C438A" w:rsidR="00562385" w:rsidP="00562385" w:rsidRDefault="00562385" w14:paraId="7B819FD9" w14:textId="77777777">
            <w:pPr>
              <w:spacing w:line="276" w:lineRule="auto"/>
              <w:ind w:firstLine="0"/>
              <w:rPr>
                <w:rFonts w:eastAsia="Calibri" w:cs="Arial"/>
                <w:color w:val="FFFFFF"/>
                <w:sz w:val="16"/>
                <w:szCs w:val="16"/>
                <w:lang w:eastAsia="en-US"/>
              </w:rPr>
            </w:pPr>
            <w:r w:rsidRPr="009C438A">
              <w:rPr>
                <w:rFonts w:eastAsia="Calibri" w:cs="Arial"/>
                <w:color w:val="FFFFFF"/>
                <w:sz w:val="16"/>
                <w:szCs w:val="16"/>
                <w:lang w:eastAsia="en-US"/>
              </w:rPr>
              <w:t>Winsttoerekening vaste inrichtingen conform artikel 7 OESO-modelverdrag</w:t>
            </w:r>
          </w:p>
        </w:tc>
        <w:tc>
          <w:tcPr>
            <w:tcW w:w="356" w:type="dxa"/>
            <w:gridSpan w:val="5"/>
            <w:shd w:val="clear" w:color="auto" w:fill="BFBFBF"/>
            <w:vAlign w:val="center"/>
          </w:tcPr>
          <w:p w:rsidRPr="009C438A" w:rsidR="00562385" w:rsidP="00562385" w:rsidRDefault="00562385" w14:paraId="36DE2F89" w14:textId="77777777">
            <w:pPr>
              <w:spacing w:line="276" w:lineRule="auto"/>
              <w:ind w:firstLine="0"/>
              <w:rPr>
                <w:rFonts w:eastAsia="Calibri" w:cs="Arial"/>
                <w:b/>
                <w:color w:val="007BC7"/>
                <w:sz w:val="16"/>
                <w:szCs w:val="16"/>
                <w:lang w:eastAsia="en-US"/>
              </w:rPr>
            </w:pPr>
            <w:r w:rsidRPr="009C438A">
              <w:rPr>
                <w:rFonts w:eastAsia="Calibri" w:cs="Arial"/>
                <w:b/>
                <w:color w:val="007BC7"/>
                <w:sz w:val="16"/>
                <w:szCs w:val="16"/>
                <w:lang w:eastAsia="en-US"/>
              </w:rPr>
              <w:t>X</w:t>
            </w:r>
          </w:p>
        </w:tc>
        <w:tc>
          <w:tcPr>
            <w:tcW w:w="355" w:type="dxa"/>
            <w:gridSpan w:val="3"/>
            <w:shd w:val="clear" w:color="auto" w:fill="BFBFBF"/>
            <w:vAlign w:val="center"/>
          </w:tcPr>
          <w:p w:rsidRPr="009C438A" w:rsidR="00562385" w:rsidP="00562385" w:rsidRDefault="00562385" w14:paraId="04D25D3C" w14:textId="77777777">
            <w:pPr>
              <w:spacing w:line="276" w:lineRule="auto"/>
              <w:ind w:firstLine="0"/>
              <w:rPr>
                <w:rFonts w:eastAsia="Calibri" w:cs="Arial"/>
                <w:b/>
                <w:color w:val="007BC7"/>
                <w:sz w:val="16"/>
                <w:szCs w:val="16"/>
                <w:lang w:eastAsia="en-US"/>
              </w:rPr>
            </w:pPr>
          </w:p>
        </w:tc>
        <w:tc>
          <w:tcPr>
            <w:tcW w:w="428" w:type="dxa"/>
            <w:gridSpan w:val="2"/>
            <w:shd w:val="clear" w:color="auto" w:fill="BFBFBF"/>
            <w:vAlign w:val="center"/>
          </w:tcPr>
          <w:p w:rsidRPr="009C438A" w:rsidR="00562385" w:rsidP="00562385" w:rsidRDefault="00562385" w14:paraId="154F7EB2" w14:textId="77777777">
            <w:pPr>
              <w:spacing w:line="276" w:lineRule="auto"/>
              <w:ind w:firstLine="0"/>
              <w:rPr>
                <w:rFonts w:eastAsia="Calibri" w:cs="Arial"/>
                <w:b/>
                <w:color w:val="007BC7"/>
                <w:sz w:val="16"/>
                <w:szCs w:val="16"/>
                <w:lang w:eastAsia="en-US"/>
              </w:rPr>
            </w:pPr>
          </w:p>
        </w:tc>
        <w:tc>
          <w:tcPr>
            <w:tcW w:w="433" w:type="dxa"/>
            <w:gridSpan w:val="3"/>
            <w:shd w:val="clear" w:color="auto" w:fill="BFBFBF"/>
            <w:vAlign w:val="center"/>
          </w:tcPr>
          <w:p w:rsidRPr="009C438A" w:rsidR="00562385" w:rsidP="00562385" w:rsidRDefault="00562385" w14:paraId="25BC3979" w14:textId="77777777">
            <w:pPr>
              <w:spacing w:line="276" w:lineRule="auto"/>
              <w:ind w:firstLine="0"/>
              <w:rPr>
                <w:rFonts w:eastAsia="Calibri" w:cs="Arial"/>
                <w:b/>
                <w:color w:val="007BC7"/>
                <w:sz w:val="16"/>
                <w:szCs w:val="16"/>
                <w:lang w:eastAsia="en-US"/>
              </w:rPr>
            </w:pPr>
          </w:p>
        </w:tc>
        <w:tc>
          <w:tcPr>
            <w:tcW w:w="559" w:type="dxa"/>
            <w:shd w:val="clear" w:color="auto" w:fill="BFBFBF"/>
            <w:vAlign w:val="center"/>
          </w:tcPr>
          <w:p w:rsidRPr="009C438A" w:rsidR="00562385" w:rsidP="00562385" w:rsidRDefault="00562385" w14:paraId="40F5A362" w14:textId="77777777">
            <w:pPr>
              <w:spacing w:line="276" w:lineRule="auto"/>
              <w:ind w:firstLine="0"/>
              <w:rPr>
                <w:rFonts w:eastAsia="Calibri" w:cs="Arial"/>
                <w:sz w:val="16"/>
                <w:szCs w:val="16"/>
                <w:lang w:eastAsia="en-US"/>
              </w:rPr>
            </w:pPr>
            <w:r>
              <w:rPr>
                <w:rFonts w:eastAsia="Calibri" w:cs="Arial"/>
                <w:sz w:val="16"/>
                <w:szCs w:val="16"/>
                <w:lang w:eastAsia="en-US"/>
              </w:rPr>
              <w:t>II.6</w:t>
            </w:r>
          </w:p>
        </w:tc>
      </w:tr>
      <w:tr w:rsidRPr="009C438A" w:rsidR="00562385" w:rsidTr="00E80A06" w14:paraId="58091B59" w14:textId="77777777">
        <w:trPr>
          <w:trHeight w:val="255"/>
        </w:trPr>
        <w:tc>
          <w:tcPr>
            <w:tcW w:w="693" w:type="dxa"/>
            <w:shd w:val="clear" w:color="auto" w:fill="BFBFBF"/>
            <w:vAlign w:val="center"/>
          </w:tcPr>
          <w:p w:rsidRPr="009C438A" w:rsidR="00562385" w:rsidP="00562385" w:rsidRDefault="00562385" w14:paraId="033AEE9F" w14:textId="77777777">
            <w:pPr>
              <w:spacing w:line="276" w:lineRule="auto"/>
              <w:ind w:firstLine="0"/>
              <w:rPr>
                <w:rFonts w:eastAsia="Calibri" w:cs="Arial"/>
                <w:sz w:val="16"/>
                <w:szCs w:val="16"/>
                <w:lang w:eastAsia="en-US"/>
              </w:rPr>
            </w:pPr>
            <w:r w:rsidRPr="009C438A">
              <w:rPr>
                <w:rFonts w:eastAsia="Calibri" w:cs="Arial"/>
                <w:sz w:val="16"/>
                <w:szCs w:val="16"/>
                <w:lang w:eastAsia="en-US"/>
              </w:rPr>
              <w:lastRenderedPageBreak/>
              <w:t>2.6.4</w:t>
            </w:r>
          </w:p>
        </w:tc>
        <w:tc>
          <w:tcPr>
            <w:tcW w:w="6352" w:type="dxa"/>
            <w:gridSpan w:val="2"/>
            <w:shd w:val="clear" w:color="auto" w:fill="007BC7"/>
            <w:vAlign w:val="center"/>
          </w:tcPr>
          <w:p w:rsidRPr="009C438A" w:rsidR="00562385" w:rsidP="00562385" w:rsidRDefault="00562385" w14:paraId="06E0FB4B" w14:textId="77777777">
            <w:pPr>
              <w:spacing w:line="276" w:lineRule="auto"/>
              <w:ind w:firstLine="0"/>
              <w:rPr>
                <w:rFonts w:eastAsia="Calibri" w:cs="Arial"/>
                <w:color w:val="FFFFFF"/>
                <w:sz w:val="16"/>
                <w:szCs w:val="16"/>
                <w:lang w:eastAsia="en-US"/>
              </w:rPr>
            </w:pPr>
            <w:r w:rsidRPr="009C438A">
              <w:rPr>
                <w:rFonts w:eastAsia="Calibri" w:cs="Arial"/>
                <w:color w:val="FFFFFF"/>
                <w:sz w:val="16"/>
                <w:szCs w:val="16"/>
                <w:lang w:eastAsia="en-US"/>
              </w:rPr>
              <w:t>Toegang tot onderlingoverlegprocedure en arbitrage in kwesties over winsttoerekening en verrekenprijzen</w:t>
            </w:r>
          </w:p>
        </w:tc>
        <w:tc>
          <w:tcPr>
            <w:tcW w:w="356" w:type="dxa"/>
            <w:gridSpan w:val="5"/>
            <w:shd w:val="clear" w:color="auto" w:fill="BFBFBF"/>
            <w:vAlign w:val="center"/>
          </w:tcPr>
          <w:p w:rsidRPr="009C438A" w:rsidR="00562385" w:rsidP="00562385" w:rsidRDefault="00562385" w14:paraId="00152233" w14:textId="77777777">
            <w:pPr>
              <w:spacing w:line="276" w:lineRule="auto"/>
              <w:ind w:firstLine="0"/>
              <w:rPr>
                <w:rFonts w:eastAsia="Calibri" w:cs="Arial"/>
                <w:b/>
                <w:color w:val="007BC7"/>
                <w:sz w:val="16"/>
                <w:szCs w:val="16"/>
                <w:lang w:eastAsia="en-US"/>
              </w:rPr>
            </w:pPr>
            <w:r w:rsidRPr="009C438A">
              <w:rPr>
                <w:rFonts w:eastAsia="Calibri" w:cs="Arial"/>
                <w:b/>
                <w:color w:val="007BC7"/>
                <w:sz w:val="16"/>
                <w:szCs w:val="16"/>
                <w:lang w:eastAsia="en-US"/>
              </w:rPr>
              <w:t>X</w:t>
            </w:r>
          </w:p>
        </w:tc>
        <w:tc>
          <w:tcPr>
            <w:tcW w:w="355" w:type="dxa"/>
            <w:gridSpan w:val="3"/>
            <w:shd w:val="clear" w:color="auto" w:fill="BFBFBF"/>
            <w:vAlign w:val="center"/>
          </w:tcPr>
          <w:p w:rsidRPr="009C438A" w:rsidR="00562385" w:rsidP="00562385" w:rsidRDefault="00562385" w14:paraId="45CDC09B" w14:textId="77777777">
            <w:pPr>
              <w:spacing w:line="276" w:lineRule="auto"/>
              <w:ind w:firstLine="0"/>
              <w:rPr>
                <w:rFonts w:eastAsia="Calibri" w:cs="Arial"/>
                <w:b/>
                <w:color w:val="007BC7"/>
                <w:sz w:val="16"/>
                <w:szCs w:val="16"/>
                <w:lang w:eastAsia="en-US"/>
              </w:rPr>
            </w:pPr>
          </w:p>
        </w:tc>
        <w:tc>
          <w:tcPr>
            <w:tcW w:w="428" w:type="dxa"/>
            <w:gridSpan w:val="2"/>
            <w:shd w:val="clear" w:color="auto" w:fill="BFBFBF"/>
            <w:vAlign w:val="center"/>
          </w:tcPr>
          <w:p w:rsidRPr="009C438A" w:rsidR="00562385" w:rsidP="00562385" w:rsidRDefault="00562385" w14:paraId="0162CCD7" w14:textId="77777777">
            <w:pPr>
              <w:spacing w:line="276" w:lineRule="auto"/>
              <w:ind w:firstLine="0"/>
              <w:rPr>
                <w:rFonts w:eastAsia="Calibri" w:cs="Arial"/>
                <w:b/>
                <w:color w:val="007BC7"/>
                <w:sz w:val="16"/>
                <w:szCs w:val="16"/>
                <w:lang w:eastAsia="en-US"/>
              </w:rPr>
            </w:pPr>
          </w:p>
        </w:tc>
        <w:tc>
          <w:tcPr>
            <w:tcW w:w="433" w:type="dxa"/>
            <w:gridSpan w:val="3"/>
            <w:shd w:val="clear" w:color="auto" w:fill="BFBFBF"/>
            <w:vAlign w:val="center"/>
          </w:tcPr>
          <w:p w:rsidRPr="009C438A" w:rsidR="00562385" w:rsidP="00562385" w:rsidRDefault="00562385" w14:paraId="4658F5C0" w14:textId="77777777">
            <w:pPr>
              <w:spacing w:line="276" w:lineRule="auto"/>
              <w:ind w:firstLine="0"/>
              <w:rPr>
                <w:rFonts w:eastAsia="Calibri" w:cs="Arial"/>
                <w:b/>
                <w:color w:val="007BC7"/>
                <w:sz w:val="16"/>
                <w:szCs w:val="16"/>
                <w:lang w:eastAsia="en-US"/>
              </w:rPr>
            </w:pPr>
          </w:p>
        </w:tc>
        <w:tc>
          <w:tcPr>
            <w:tcW w:w="559" w:type="dxa"/>
            <w:shd w:val="clear" w:color="auto" w:fill="BFBFBF"/>
            <w:vAlign w:val="center"/>
          </w:tcPr>
          <w:p w:rsidRPr="009C438A" w:rsidR="00562385" w:rsidP="00562385" w:rsidRDefault="00562385" w14:paraId="5DD88F94" w14:textId="77777777">
            <w:pPr>
              <w:spacing w:line="276" w:lineRule="auto"/>
              <w:ind w:firstLine="0"/>
              <w:rPr>
                <w:rFonts w:eastAsia="Calibri" w:cs="Arial"/>
                <w:sz w:val="16"/>
                <w:szCs w:val="16"/>
                <w:lang w:eastAsia="en-US"/>
              </w:rPr>
            </w:pPr>
            <w:r>
              <w:rPr>
                <w:rFonts w:eastAsia="Calibri" w:cs="Arial"/>
                <w:sz w:val="16"/>
                <w:szCs w:val="16"/>
                <w:lang w:eastAsia="en-US"/>
              </w:rPr>
              <w:t>II.</w:t>
            </w:r>
            <w:r w:rsidR="000504C1">
              <w:rPr>
                <w:rFonts w:eastAsia="Calibri" w:cs="Arial"/>
                <w:sz w:val="16"/>
                <w:szCs w:val="16"/>
                <w:lang w:eastAsia="en-US"/>
              </w:rPr>
              <w:t>12</w:t>
            </w:r>
          </w:p>
        </w:tc>
      </w:tr>
      <w:tr w:rsidRPr="009C438A" w:rsidR="00562385" w:rsidTr="00E80A06" w14:paraId="6B66F35E" w14:textId="77777777">
        <w:trPr>
          <w:trHeight w:val="255"/>
        </w:trPr>
        <w:tc>
          <w:tcPr>
            <w:tcW w:w="693" w:type="dxa"/>
            <w:shd w:val="clear" w:color="auto" w:fill="BFBFBF"/>
            <w:vAlign w:val="center"/>
          </w:tcPr>
          <w:p w:rsidRPr="009C438A" w:rsidR="00562385" w:rsidP="00562385" w:rsidRDefault="00562385" w14:paraId="706B0576" w14:textId="77777777">
            <w:pPr>
              <w:spacing w:line="276" w:lineRule="auto"/>
              <w:ind w:firstLine="0"/>
              <w:rPr>
                <w:rFonts w:eastAsia="Calibri" w:cs="Arial"/>
                <w:sz w:val="16"/>
                <w:szCs w:val="16"/>
                <w:lang w:eastAsia="en-US"/>
              </w:rPr>
            </w:pPr>
            <w:r w:rsidRPr="009C438A">
              <w:rPr>
                <w:rFonts w:eastAsia="Calibri" w:cs="Arial"/>
                <w:sz w:val="16"/>
                <w:szCs w:val="16"/>
                <w:lang w:eastAsia="en-US"/>
              </w:rPr>
              <w:t>2.6.5</w:t>
            </w:r>
          </w:p>
        </w:tc>
        <w:tc>
          <w:tcPr>
            <w:tcW w:w="6352" w:type="dxa"/>
            <w:gridSpan w:val="2"/>
            <w:shd w:val="clear" w:color="auto" w:fill="007BC7"/>
            <w:vAlign w:val="center"/>
          </w:tcPr>
          <w:p w:rsidRPr="009C438A" w:rsidR="00562385" w:rsidP="00562385" w:rsidRDefault="00562385" w14:paraId="54BD81CB" w14:textId="77777777">
            <w:pPr>
              <w:spacing w:line="276" w:lineRule="auto"/>
              <w:ind w:firstLine="0"/>
              <w:rPr>
                <w:rFonts w:eastAsia="Calibri" w:cs="Arial"/>
                <w:color w:val="FFFFFF"/>
                <w:sz w:val="16"/>
                <w:szCs w:val="16"/>
                <w:lang w:eastAsia="en-US"/>
              </w:rPr>
            </w:pPr>
            <w:r w:rsidRPr="009C438A">
              <w:rPr>
                <w:rFonts w:eastAsia="Calibri" w:cs="Arial"/>
                <w:color w:val="FFFFFF"/>
                <w:sz w:val="16"/>
                <w:szCs w:val="16"/>
                <w:lang w:eastAsia="en-US"/>
              </w:rPr>
              <w:t xml:space="preserve">Toekenning heffingsrecht scheep- en luchtvaartwinsten behaald in het internationale verkeer aan de staat van de werkelijke leiding van de onderneming </w:t>
            </w:r>
          </w:p>
        </w:tc>
        <w:tc>
          <w:tcPr>
            <w:tcW w:w="356" w:type="dxa"/>
            <w:gridSpan w:val="5"/>
            <w:shd w:val="clear" w:color="auto" w:fill="BFBFBF"/>
            <w:vAlign w:val="center"/>
          </w:tcPr>
          <w:p w:rsidRPr="009C438A" w:rsidR="00562385" w:rsidP="00562385" w:rsidRDefault="00562385" w14:paraId="05292164" w14:textId="77777777">
            <w:pPr>
              <w:spacing w:line="276" w:lineRule="auto"/>
              <w:ind w:firstLine="0"/>
              <w:rPr>
                <w:rFonts w:eastAsia="Calibri" w:cs="Arial"/>
                <w:b/>
                <w:color w:val="007BC7"/>
                <w:sz w:val="16"/>
                <w:szCs w:val="16"/>
                <w:lang w:eastAsia="en-US"/>
              </w:rPr>
            </w:pPr>
          </w:p>
        </w:tc>
        <w:tc>
          <w:tcPr>
            <w:tcW w:w="355" w:type="dxa"/>
            <w:gridSpan w:val="3"/>
            <w:shd w:val="clear" w:color="auto" w:fill="BFBFBF"/>
            <w:vAlign w:val="center"/>
          </w:tcPr>
          <w:p w:rsidRPr="009C438A" w:rsidR="00562385" w:rsidP="00562385" w:rsidRDefault="00562385" w14:paraId="15F2A83C" w14:textId="77777777">
            <w:pPr>
              <w:spacing w:line="276" w:lineRule="auto"/>
              <w:ind w:firstLine="0"/>
              <w:rPr>
                <w:rFonts w:eastAsia="Calibri" w:cs="Arial"/>
                <w:b/>
                <w:color w:val="007BC7"/>
                <w:sz w:val="16"/>
                <w:szCs w:val="16"/>
                <w:lang w:eastAsia="en-US"/>
              </w:rPr>
            </w:pPr>
          </w:p>
        </w:tc>
        <w:tc>
          <w:tcPr>
            <w:tcW w:w="428" w:type="dxa"/>
            <w:gridSpan w:val="2"/>
            <w:shd w:val="clear" w:color="auto" w:fill="BFBFBF"/>
            <w:vAlign w:val="center"/>
          </w:tcPr>
          <w:p w:rsidRPr="009C438A" w:rsidR="00562385" w:rsidP="00562385" w:rsidRDefault="00562385" w14:paraId="192CD466" w14:textId="77777777">
            <w:pPr>
              <w:spacing w:line="276" w:lineRule="auto"/>
              <w:ind w:firstLine="0"/>
              <w:rPr>
                <w:rFonts w:eastAsia="Calibri" w:cs="Arial"/>
                <w:b/>
                <w:color w:val="007BC7"/>
                <w:sz w:val="16"/>
                <w:szCs w:val="16"/>
                <w:lang w:eastAsia="en-US"/>
              </w:rPr>
            </w:pPr>
          </w:p>
        </w:tc>
        <w:tc>
          <w:tcPr>
            <w:tcW w:w="433" w:type="dxa"/>
            <w:gridSpan w:val="3"/>
            <w:shd w:val="clear" w:color="auto" w:fill="BFBFBF"/>
            <w:vAlign w:val="center"/>
          </w:tcPr>
          <w:p w:rsidRPr="009C438A" w:rsidR="00562385" w:rsidP="00562385" w:rsidRDefault="00562385" w14:paraId="67DD1549" w14:textId="77777777">
            <w:pPr>
              <w:spacing w:line="276" w:lineRule="auto"/>
              <w:ind w:firstLine="0"/>
              <w:rPr>
                <w:rFonts w:eastAsia="Calibri" w:cs="Arial"/>
                <w:b/>
                <w:color w:val="007BC7"/>
                <w:sz w:val="16"/>
                <w:szCs w:val="16"/>
                <w:lang w:eastAsia="en-US"/>
              </w:rPr>
            </w:pPr>
            <w:r w:rsidRPr="009C438A">
              <w:rPr>
                <w:rFonts w:eastAsia="Calibri" w:cs="Arial"/>
                <w:b/>
                <w:color w:val="007BC7"/>
                <w:sz w:val="16"/>
                <w:szCs w:val="16"/>
                <w:lang w:eastAsia="en-US"/>
              </w:rPr>
              <w:t>X</w:t>
            </w:r>
          </w:p>
        </w:tc>
        <w:tc>
          <w:tcPr>
            <w:tcW w:w="559" w:type="dxa"/>
            <w:shd w:val="clear" w:color="auto" w:fill="BFBFBF"/>
            <w:vAlign w:val="center"/>
          </w:tcPr>
          <w:p w:rsidRPr="009C438A" w:rsidR="00562385" w:rsidP="00562385" w:rsidRDefault="00562385" w14:paraId="27866F42" w14:textId="77777777">
            <w:pPr>
              <w:spacing w:line="276" w:lineRule="auto"/>
              <w:ind w:firstLine="0"/>
              <w:rPr>
                <w:rFonts w:eastAsia="Calibri" w:cs="Arial"/>
                <w:sz w:val="16"/>
                <w:szCs w:val="16"/>
                <w:lang w:eastAsia="en-US"/>
              </w:rPr>
            </w:pPr>
          </w:p>
        </w:tc>
      </w:tr>
      <w:tr w:rsidRPr="009C438A" w:rsidR="00562385" w:rsidTr="00E80A06" w14:paraId="6ECB68D0" w14:textId="77777777">
        <w:trPr>
          <w:trHeight w:val="255"/>
        </w:trPr>
        <w:tc>
          <w:tcPr>
            <w:tcW w:w="693" w:type="dxa"/>
            <w:shd w:val="clear" w:color="auto" w:fill="BFBFBF"/>
            <w:vAlign w:val="center"/>
          </w:tcPr>
          <w:p w:rsidRPr="009C438A" w:rsidR="00562385" w:rsidP="00562385" w:rsidRDefault="00562385" w14:paraId="6793466C" w14:textId="77777777">
            <w:pPr>
              <w:spacing w:line="276" w:lineRule="auto"/>
              <w:ind w:firstLine="0"/>
              <w:rPr>
                <w:rFonts w:eastAsia="Calibri" w:cs="Arial"/>
                <w:sz w:val="16"/>
                <w:szCs w:val="16"/>
                <w:lang w:eastAsia="en-US"/>
              </w:rPr>
            </w:pPr>
            <w:r w:rsidRPr="009C438A">
              <w:rPr>
                <w:rFonts w:eastAsia="Calibri" w:cs="Arial"/>
                <w:sz w:val="16"/>
                <w:szCs w:val="16"/>
                <w:lang w:eastAsia="en-US"/>
              </w:rPr>
              <w:t>2.6.5</w:t>
            </w:r>
          </w:p>
        </w:tc>
        <w:tc>
          <w:tcPr>
            <w:tcW w:w="1350" w:type="dxa"/>
            <w:shd w:val="clear" w:color="auto" w:fill="BFBFBF"/>
            <w:vAlign w:val="center"/>
          </w:tcPr>
          <w:p w:rsidRPr="009C438A" w:rsidR="00562385" w:rsidP="00562385" w:rsidRDefault="00562385" w14:paraId="18017F05" w14:textId="77777777">
            <w:pPr>
              <w:spacing w:line="276" w:lineRule="auto"/>
              <w:ind w:firstLine="0"/>
              <w:rPr>
                <w:rFonts w:cs="Arial"/>
                <w:color w:val="000000"/>
                <w:sz w:val="16"/>
                <w:szCs w:val="16"/>
              </w:rPr>
            </w:pPr>
            <w:r w:rsidRPr="009C438A">
              <w:rPr>
                <w:rFonts w:eastAsia="Calibri" w:cs="Arial"/>
                <w:color w:val="000000"/>
                <w:sz w:val="16"/>
                <w:szCs w:val="16"/>
                <w:lang w:eastAsia="en-US"/>
              </w:rPr>
              <w:t>Terugvaloptie:</w:t>
            </w:r>
          </w:p>
        </w:tc>
        <w:tc>
          <w:tcPr>
            <w:tcW w:w="5002" w:type="dxa"/>
            <w:shd w:val="clear" w:color="auto" w:fill="007BC7"/>
            <w:vAlign w:val="center"/>
          </w:tcPr>
          <w:p w:rsidRPr="009C438A" w:rsidR="00562385" w:rsidP="00562385" w:rsidRDefault="00562385" w14:paraId="0C7297DE" w14:textId="77777777">
            <w:pPr>
              <w:spacing w:line="276" w:lineRule="auto"/>
              <w:ind w:firstLine="0"/>
              <w:rPr>
                <w:rFonts w:cs="Arial"/>
                <w:color w:val="FFFFFF"/>
                <w:sz w:val="16"/>
                <w:szCs w:val="16"/>
              </w:rPr>
            </w:pPr>
            <w:r w:rsidRPr="009C438A">
              <w:rPr>
                <w:rFonts w:eastAsia="Calibri" w:cs="Arial"/>
                <w:color w:val="FFFFFF"/>
                <w:sz w:val="16"/>
                <w:szCs w:val="16"/>
                <w:lang w:eastAsia="en-US"/>
              </w:rPr>
              <w:t>Beperkte bronstaatsheffing scheep- en luchtvaartwinsten</w:t>
            </w:r>
          </w:p>
        </w:tc>
        <w:tc>
          <w:tcPr>
            <w:tcW w:w="356" w:type="dxa"/>
            <w:gridSpan w:val="5"/>
            <w:shd w:val="clear" w:color="auto" w:fill="BFBFBF"/>
            <w:vAlign w:val="center"/>
          </w:tcPr>
          <w:p w:rsidRPr="009C438A" w:rsidR="00562385" w:rsidP="00562385" w:rsidRDefault="00562385" w14:paraId="2338EA34" w14:textId="77777777">
            <w:pPr>
              <w:spacing w:line="276" w:lineRule="auto"/>
              <w:ind w:firstLine="0"/>
              <w:rPr>
                <w:rFonts w:eastAsia="Calibri" w:cs="Arial"/>
                <w:b/>
                <w:color w:val="007BC7"/>
                <w:sz w:val="16"/>
                <w:szCs w:val="16"/>
                <w:lang w:eastAsia="en-US"/>
              </w:rPr>
            </w:pPr>
          </w:p>
        </w:tc>
        <w:tc>
          <w:tcPr>
            <w:tcW w:w="355" w:type="dxa"/>
            <w:gridSpan w:val="3"/>
            <w:shd w:val="clear" w:color="auto" w:fill="BFBFBF"/>
            <w:vAlign w:val="center"/>
          </w:tcPr>
          <w:p w:rsidRPr="009C438A" w:rsidR="00562385" w:rsidP="00562385" w:rsidRDefault="00562385" w14:paraId="597D9C77" w14:textId="77777777">
            <w:pPr>
              <w:spacing w:line="276" w:lineRule="auto"/>
              <w:ind w:firstLine="0"/>
              <w:rPr>
                <w:rFonts w:eastAsia="Calibri" w:cs="Arial"/>
                <w:b/>
                <w:color w:val="007BC7"/>
                <w:sz w:val="16"/>
                <w:szCs w:val="16"/>
                <w:lang w:eastAsia="en-US"/>
              </w:rPr>
            </w:pPr>
          </w:p>
        </w:tc>
        <w:tc>
          <w:tcPr>
            <w:tcW w:w="428" w:type="dxa"/>
            <w:gridSpan w:val="2"/>
            <w:shd w:val="clear" w:color="auto" w:fill="BFBFBF"/>
            <w:vAlign w:val="center"/>
          </w:tcPr>
          <w:p w:rsidRPr="009C438A" w:rsidR="00562385" w:rsidP="00562385" w:rsidRDefault="00562385" w14:paraId="42E85753" w14:textId="77777777">
            <w:pPr>
              <w:spacing w:line="276" w:lineRule="auto"/>
              <w:ind w:firstLine="0"/>
              <w:rPr>
                <w:rFonts w:eastAsia="Calibri" w:cs="Arial"/>
                <w:b/>
                <w:color w:val="007BC7"/>
                <w:sz w:val="16"/>
                <w:szCs w:val="16"/>
                <w:lang w:eastAsia="en-US"/>
              </w:rPr>
            </w:pPr>
          </w:p>
        </w:tc>
        <w:tc>
          <w:tcPr>
            <w:tcW w:w="433" w:type="dxa"/>
            <w:gridSpan w:val="3"/>
            <w:shd w:val="clear" w:color="auto" w:fill="BFBFBF"/>
            <w:vAlign w:val="center"/>
          </w:tcPr>
          <w:p w:rsidRPr="009C438A" w:rsidR="00562385" w:rsidP="00562385" w:rsidRDefault="00562385" w14:paraId="666AD9AD" w14:textId="77777777">
            <w:pPr>
              <w:spacing w:line="276" w:lineRule="auto"/>
              <w:ind w:firstLine="0"/>
              <w:rPr>
                <w:rFonts w:eastAsia="Calibri" w:cs="Arial"/>
                <w:b/>
                <w:color w:val="007BC7"/>
                <w:sz w:val="16"/>
                <w:szCs w:val="16"/>
                <w:lang w:eastAsia="en-US"/>
              </w:rPr>
            </w:pPr>
            <w:r w:rsidRPr="009C438A">
              <w:rPr>
                <w:rFonts w:eastAsia="Calibri" w:cs="Arial"/>
                <w:b/>
                <w:color w:val="007BC7"/>
                <w:sz w:val="16"/>
                <w:szCs w:val="16"/>
                <w:lang w:eastAsia="en-US"/>
              </w:rPr>
              <w:t>X</w:t>
            </w:r>
          </w:p>
        </w:tc>
        <w:tc>
          <w:tcPr>
            <w:tcW w:w="559" w:type="dxa"/>
            <w:shd w:val="clear" w:color="auto" w:fill="BFBFBF"/>
            <w:vAlign w:val="center"/>
          </w:tcPr>
          <w:p w:rsidRPr="009C438A" w:rsidR="00562385" w:rsidP="00562385" w:rsidRDefault="00562385" w14:paraId="2C2DA97A" w14:textId="77777777">
            <w:pPr>
              <w:spacing w:line="276" w:lineRule="auto"/>
              <w:ind w:firstLine="0"/>
              <w:rPr>
                <w:rFonts w:eastAsia="Calibri" w:cs="Arial"/>
                <w:sz w:val="16"/>
                <w:szCs w:val="16"/>
                <w:lang w:eastAsia="en-US"/>
              </w:rPr>
            </w:pPr>
          </w:p>
        </w:tc>
      </w:tr>
      <w:tr w:rsidRPr="009C438A" w:rsidR="00562385" w:rsidTr="00E80A06" w14:paraId="3A73913E" w14:textId="77777777">
        <w:trPr>
          <w:trHeight w:val="255"/>
        </w:trPr>
        <w:tc>
          <w:tcPr>
            <w:tcW w:w="693" w:type="dxa"/>
            <w:shd w:val="clear" w:color="auto" w:fill="BFBFBF"/>
            <w:vAlign w:val="center"/>
          </w:tcPr>
          <w:p w:rsidRPr="009C438A" w:rsidR="00562385" w:rsidP="00562385" w:rsidRDefault="00562385" w14:paraId="0C80D5F2" w14:textId="77777777">
            <w:pPr>
              <w:spacing w:line="276" w:lineRule="auto"/>
              <w:ind w:firstLine="0"/>
              <w:rPr>
                <w:rFonts w:eastAsia="Calibri" w:cs="Arial"/>
                <w:sz w:val="16"/>
                <w:szCs w:val="16"/>
                <w:lang w:eastAsia="en-US"/>
              </w:rPr>
            </w:pPr>
            <w:r w:rsidRPr="009C438A">
              <w:rPr>
                <w:rFonts w:eastAsia="Calibri" w:cs="Arial"/>
                <w:sz w:val="16"/>
                <w:szCs w:val="16"/>
                <w:lang w:eastAsia="en-US"/>
              </w:rPr>
              <w:t>2.6.5</w:t>
            </w:r>
          </w:p>
        </w:tc>
        <w:tc>
          <w:tcPr>
            <w:tcW w:w="6352" w:type="dxa"/>
            <w:gridSpan w:val="2"/>
            <w:shd w:val="clear" w:color="auto" w:fill="007BC7"/>
            <w:vAlign w:val="center"/>
          </w:tcPr>
          <w:p w:rsidRPr="009C438A" w:rsidR="00562385" w:rsidP="00562385" w:rsidRDefault="00562385" w14:paraId="459C6B6C" w14:textId="77777777">
            <w:pPr>
              <w:spacing w:line="276" w:lineRule="auto"/>
              <w:ind w:firstLine="0"/>
              <w:rPr>
                <w:rFonts w:cs="Arial"/>
                <w:color w:val="FFFFFF"/>
              </w:rPr>
            </w:pPr>
            <w:r w:rsidRPr="009C438A">
              <w:rPr>
                <w:rFonts w:eastAsia="Calibri" w:cs="Arial"/>
                <w:color w:val="FFFFFF"/>
                <w:sz w:val="16"/>
                <w:szCs w:val="16"/>
                <w:lang w:eastAsia="en-US"/>
              </w:rPr>
              <w:t>Vrijwaring van heffingen over de omzet behaald met passagiers- en vrachtvervoer</w:t>
            </w:r>
          </w:p>
        </w:tc>
        <w:tc>
          <w:tcPr>
            <w:tcW w:w="356" w:type="dxa"/>
            <w:gridSpan w:val="5"/>
            <w:shd w:val="clear" w:color="auto" w:fill="BFBFBF"/>
            <w:vAlign w:val="center"/>
          </w:tcPr>
          <w:p w:rsidRPr="009C438A" w:rsidR="00562385" w:rsidP="00562385" w:rsidRDefault="00562385" w14:paraId="1CD1E527" w14:textId="77777777">
            <w:pPr>
              <w:spacing w:line="276" w:lineRule="auto"/>
              <w:ind w:firstLine="0"/>
              <w:rPr>
                <w:rFonts w:eastAsia="Calibri" w:cs="Arial"/>
                <w:b/>
                <w:color w:val="007BC7"/>
                <w:sz w:val="16"/>
                <w:szCs w:val="16"/>
                <w:lang w:eastAsia="en-US"/>
              </w:rPr>
            </w:pPr>
          </w:p>
        </w:tc>
        <w:tc>
          <w:tcPr>
            <w:tcW w:w="355" w:type="dxa"/>
            <w:gridSpan w:val="3"/>
            <w:shd w:val="clear" w:color="auto" w:fill="BFBFBF"/>
            <w:vAlign w:val="center"/>
          </w:tcPr>
          <w:p w:rsidRPr="009C438A" w:rsidR="00562385" w:rsidP="00562385" w:rsidRDefault="00562385" w14:paraId="3B50D79E" w14:textId="77777777">
            <w:pPr>
              <w:spacing w:line="276" w:lineRule="auto"/>
              <w:ind w:firstLine="0"/>
              <w:rPr>
                <w:rFonts w:eastAsia="Calibri" w:cs="Arial"/>
                <w:b/>
                <w:color w:val="007BC7"/>
                <w:sz w:val="16"/>
                <w:szCs w:val="16"/>
                <w:lang w:eastAsia="en-US"/>
              </w:rPr>
            </w:pPr>
          </w:p>
        </w:tc>
        <w:tc>
          <w:tcPr>
            <w:tcW w:w="428" w:type="dxa"/>
            <w:gridSpan w:val="2"/>
            <w:shd w:val="clear" w:color="auto" w:fill="BFBFBF"/>
            <w:vAlign w:val="center"/>
          </w:tcPr>
          <w:p w:rsidRPr="009C438A" w:rsidR="00562385" w:rsidP="00562385" w:rsidRDefault="00562385" w14:paraId="276CA90F" w14:textId="77777777">
            <w:pPr>
              <w:spacing w:line="276" w:lineRule="auto"/>
              <w:ind w:firstLine="0"/>
              <w:rPr>
                <w:rFonts w:eastAsia="Calibri" w:cs="Arial"/>
                <w:b/>
                <w:color w:val="007BC7"/>
                <w:sz w:val="16"/>
                <w:szCs w:val="16"/>
                <w:lang w:eastAsia="en-US"/>
              </w:rPr>
            </w:pPr>
          </w:p>
        </w:tc>
        <w:tc>
          <w:tcPr>
            <w:tcW w:w="433" w:type="dxa"/>
            <w:gridSpan w:val="3"/>
            <w:shd w:val="clear" w:color="auto" w:fill="BFBFBF"/>
            <w:vAlign w:val="center"/>
          </w:tcPr>
          <w:p w:rsidRPr="009C438A" w:rsidR="00562385" w:rsidP="00562385" w:rsidRDefault="00562385" w14:paraId="0E9E6411" w14:textId="77777777">
            <w:pPr>
              <w:spacing w:line="276" w:lineRule="auto"/>
              <w:ind w:firstLine="0"/>
              <w:rPr>
                <w:rFonts w:eastAsia="Calibri" w:cs="Arial"/>
                <w:b/>
                <w:color w:val="007BC7"/>
                <w:sz w:val="16"/>
                <w:szCs w:val="16"/>
                <w:lang w:eastAsia="en-US"/>
              </w:rPr>
            </w:pPr>
            <w:r w:rsidRPr="009C438A">
              <w:rPr>
                <w:rFonts w:eastAsia="Calibri" w:cs="Arial"/>
                <w:b/>
                <w:color w:val="007BC7"/>
                <w:sz w:val="16"/>
                <w:szCs w:val="16"/>
                <w:lang w:eastAsia="en-US"/>
              </w:rPr>
              <w:t>X</w:t>
            </w:r>
          </w:p>
        </w:tc>
        <w:tc>
          <w:tcPr>
            <w:tcW w:w="559" w:type="dxa"/>
            <w:shd w:val="clear" w:color="auto" w:fill="BFBFBF"/>
            <w:vAlign w:val="center"/>
          </w:tcPr>
          <w:p w:rsidRPr="009C438A" w:rsidR="00562385" w:rsidP="00562385" w:rsidRDefault="00562385" w14:paraId="6D719BD1" w14:textId="77777777">
            <w:pPr>
              <w:spacing w:line="276" w:lineRule="auto"/>
              <w:ind w:firstLine="0"/>
              <w:rPr>
                <w:rFonts w:eastAsia="Calibri" w:cs="Arial"/>
                <w:sz w:val="16"/>
                <w:szCs w:val="16"/>
                <w:lang w:eastAsia="en-US"/>
              </w:rPr>
            </w:pPr>
          </w:p>
        </w:tc>
      </w:tr>
      <w:tr w:rsidRPr="009C438A" w:rsidR="00562385" w:rsidTr="00E80A06" w14:paraId="5D98284C" w14:textId="77777777">
        <w:trPr>
          <w:gridAfter w:val="11"/>
          <w:wAfter w:w="1952" w:type="dxa"/>
          <w:cantSplit/>
          <w:trHeight w:val="403"/>
        </w:trPr>
        <w:tc>
          <w:tcPr>
            <w:tcW w:w="693" w:type="dxa"/>
            <w:shd w:val="clear" w:color="auto" w:fill="FFFFFF"/>
            <w:vAlign w:val="center"/>
          </w:tcPr>
          <w:p w:rsidRPr="009C438A" w:rsidR="00562385" w:rsidP="00562385" w:rsidRDefault="00562385" w14:paraId="7E97DC26" w14:textId="77777777">
            <w:pPr>
              <w:spacing w:line="276" w:lineRule="auto"/>
              <w:ind w:left="113" w:right="113" w:firstLine="0"/>
              <w:rPr>
                <w:rFonts w:eastAsia="Calibri" w:cs="Arial"/>
                <w:sz w:val="16"/>
                <w:szCs w:val="16"/>
                <w:lang w:eastAsia="en-US"/>
              </w:rPr>
            </w:pPr>
            <w:r w:rsidRPr="009C438A">
              <w:rPr>
                <w:rFonts w:eastAsia="Calibri" w:cs="Arial"/>
                <w:sz w:val="16"/>
                <w:szCs w:val="16"/>
                <w:lang w:eastAsia="en-US"/>
              </w:rPr>
              <w:br w:type="page"/>
            </w:r>
          </w:p>
        </w:tc>
        <w:tc>
          <w:tcPr>
            <w:tcW w:w="6531" w:type="dxa"/>
            <w:gridSpan w:val="5"/>
            <w:shd w:val="clear" w:color="auto" w:fill="FFFFFF"/>
            <w:vAlign w:val="center"/>
          </w:tcPr>
          <w:p w:rsidRPr="009C438A" w:rsidR="00562385" w:rsidP="00562385" w:rsidRDefault="00562385" w14:paraId="22E59BD6" w14:textId="77777777">
            <w:pPr>
              <w:ind w:firstLine="0"/>
              <w:rPr>
                <w:rFonts w:cs="Arial"/>
                <w:i/>
                <w:sz w:val="16"/>
                <w:szCs w:val="16"/>
              </w:rPr>
            </w:pPr>
            <w:r w:rsidRPr="009C438A">
              <w:rPr>
                <w:rFonts w:eastAsia="Calibri" w:cs="Arial"/>
                <w:i/>
                <w:sz w:val="16"/>
                <w:szCs w:val="16"/>
                <w:lang w:eastAsia="en-US"/>
              </w:rPr>
              <w:t>Vermogensinkomsten en -winsten</w:t>
            </w:r>
          </w:p>
        </w:tc>
      </w:tr>
      <w:tr w:rsidRPr="009C438A" w:rsidR="00562385" w:rsidTr="00E80A06" w14:paraId="6C7A2D54" w14:textId="77777777">
        <w:trPr>
          <w:trHeight w:val="255"/>
        </w:trPr>
        <w:tc>
          <w:tcPr>
            <w:tcW w:w="693" w:type="dxa"/>
            <w:shd w:val="clear" w:color="auto" w:fill="BFBFBF"/>
            <w:vAlign w:val="center"/>
          </w:tcPr>
          <w:p w:rsidRPr="009C438A" w:rsidR="00562385" w:rsidP="00562385" w:rsidRDefault="00562385" w14:paraId="314ED75C" w14:textId="77777777">
            <w:pPr>
              <w:spacing w:line="276" w:lineRule="auto"/>
              <w:ind w:firstLine="0"/>
              <w:rPr>
                <w:rFonts w:eastAsia="Calibri" w:cs="Arial"/>
                <w:sz w:val="16"/>
                <w:szCs w:val="16"/>
                <w:lang w:eastAsia="en-US"/>
              </w:rPr>
            </w:pPr>
            <w:r w:rsidRPr="009C438A">
              <w:rPr>
                <w:rFonts w:eastAsia="Calibri" w:cs="Arial"/>
                <w:sz w:val="16"/>
                <w:szCs w:val="16"/>
                <w:lang w:eastAsia="en-US"/>
              </w:rPr>
              <w:t>2.7.1</w:t>
            </w:r>
          </w:p>
        </w:tc>
        <w:tc>
          <w:tcPr>
            <w:tcW w:w="6352" w:type="dxa"/>
            <w:gridSpan w:val="2"/>
            <w:shd w:val="clear" w:color="auto" w:fill="007BC7"/>
            <w:vAlign w:val="center"/>
          </w:tcPr>
          <w:p w:rsidRPr="009C438A" w:rsidR="00562385" w:rsidP="00562385" w:rsidRDefault="00562385" w14:paraId="38A89F8B" w14:textId="77777777">
            <w:pPr>
              <w:spacing w:line="276" w:lineRule="auto"/>
              <w:ind w:firstLine="0"/>
              <w:rPr>
                <w:rFonts w:eastAsia="Calibri" w:cs="Arial"/>
                <w:color w:val="FFFFFF"/>
                <w:sz w:val="16"/>
                <w:szCs w:val="16"/>
                <w:lang w:eastAsia="en-US"/>
              </w:rPr>
            </w:pPr>
            <w:r w:rsidRPr="009C438A">
              <w:rPr>
                <w:rFonts w:eastAsia="Calibri" w:cs="Arial"/>
                <w:color w:val="FFFFFF"/>
                <w:sz w:val="16"/>
                <w:szCs w:val="16"/>
                <w:lang w:eastAsia="en-US"/>
              </w:rPr>
              <w:t>Uitsluitende woonstaatheffing voor deelnemingsdividenden</w:t>
            </w:r>
          </w:p>
        </w:tc>
        <w:tc>
          <w:tcPr>
            <w:tcW w:w="356" w:type="dxa"/>
            <w:gridSpan w:val="5"/>
            <w:shd w:val="clear" w:color="auto" w:fill="BFBFBF"/>
            <w:vAlign w:val="center"/>
          </w:tcPr>
          <w:p w:rsidRPr="009C438A" w:rsidR="00562385" w:rsidP="00562385" w:rsidRDefault="00562385" w14:paraId="37FD5709" w14:textId="77777777">
            <w:pPr>
              <w:spacing w:line="276" w:lineRule="auto"/>
              <w:ind w:firstLine="0"/>
              <w:rPr>
                <w:rFonts w:eastAsia="Calibri" w:cs="Arial"/>
                <w:b/>
                <w:color w:val="007BC7"/>
                <w:sz w:val="16"/>
                <w:szCs w:val="16"/>
                <w:lang w:eastAsia="en-US"/>
              </w:rPr>
            </w:pPr>
          </w:p>
        </w:tc>
        <w:tc>
          <w:tcPr>
            <w:tcW w:w="355" w:type="dxa"/>
            <w:gridSpan w:val="3"/>
            <w:shd w:val="clear" w:color="auto" w:fill="BFBFBF"/>
            <w:vAlign w:val="center"/>
          </w:tcPr>
          <w:p w:rsidRPr="009C438A" w:rsidR="00562385" w:rsidP="00562385" w:rsidRDefault="00562385" w14:paraId="0D00CF50" w14:textId="77777777">
            <w:pPr>
              <w:spacing w:line="276" w:lineRule="auto"/>
              <w:ind w:firstLine="0"/>
              <w:rPr>
                <w:rFonts w:eastAsia="Calibri" w:cs="Arial"/>
                <w:b/>
                <w:color w:val="007BC7"/>
                <w:sz w:val="16"/>
                <w:szCs w:val="16"/>
                <w:lang w:eastAsia="en-US"/>
              </w:rPr>
            </w:pPr>
          </w:p>
        </w:tc>
        <w:tc>
          <w:tcPr>
            <w:tcW w:w="428" w:type="dxa"/>
            <w:gridSpan w:val="2"/>
            <w:shd w:val="clear" w:color="auto" w:fill="BFBFBF"/>
            <w:vAlign w:val="center"/>
          </w:tcPr>
          <w:p w:rsidRPr="009C438A" w:rsidR="00562385" w:rsidP="00562385" w:rsidRDefault="00562385" w14:paraId="731DD7C6" w14:textId="77777777">
            <w:pPr>
              <w:spacing w:line="276" w:lineRule="auto"/>
              <w:ind w:firstLine="0"/>
              <w:rPr>
                <w:rFonts w:eastAsia="Calibri" w:cs="Arial"/>
                <w:b/>
                <w:color w:val="007BC7"/>
                <w:sz w:val="16"/>
                <w:szCs w:val="16"/>
                <w:lang w:eastAsia="en-US"/>
              </w:rPr>
            </w:pPr>
          </w:p>
        </w:tc>
        <w:tc>
          <w:tcPr>
            <w:tcW w:w="433" w:type="dxa"/>
            <w:gridSpan w:val="3"/>
            <w:shd w:val="clear" w:color="auto" w:fill="BFBFBF"/>
            <w:vAlign w:val="center"/>
          </w:tcPr>
          <w:p w:rsidRPr="009C438A" w:rsidR="00562385" w:rsidP="00562385" w:rsidRDefault="00562385" w14:paraId="5AEBAB1C" w14:textId="77777777">
            <w:pPr>
              <w:spacing w:line="276" w:lineRule="auto"/>
              <w:ind w:firstLine="0"/>
              <w:rPr>
                <w:rFonts w:eastAsia="Calibri" w:cs="Arial"/>
                <w:b/>
                <w:color w:val="007BC7"/>
                <w:sz w:val="16"/>
                <w:szCs w:val="16"/>
                <w:lang w:eastAsia="en-US"/>
              </w:rPr>
            </w:pPr>
            <w:r w:rsidRPr="009C438A">
              <w:rPr>
                <w:rFonts w:eastAsia="Calibri" w:cs="Arial"/>
                <w:b/>
                <w:color w:val="007BC7"/>
                <w:sz w:val="16"/>
                <w:szCs w:val="16"/>
                <w:lang w:eastAsia="en-US"/>
              </w:rPr>
              <w:t>X</w:t>
            </w:r>
          </w:p>
        </w:tc>
        <w:tc>
          <w:tcPr>
            <w:tcW w:w="559" w:type="dxa"/>
            <w:shd w:val="clear" w:color="auto" w:fill="BFBFBF"/>
            <w:vAlign w:val="center"/>
          </w:tcPr>
          <w:p w:rsidRPr="009C438A" w:rsidR="00562385" w:rsidP="00562385" w:rsidRDefault="00562385" w14:paraId="1E102578" w14:textId="77777777">
            <w:pPr>
              <w:spacing w:line="276" w:lineRule="auto"/>
              <w:ind w:firstLine="0"/>
              <w:rPr>
                <w:rFonts w:eastAsia="Calibri" w:cs="Arial"/>
                <w:sz w:val="16"/>
                <w:szCs w:val="16"/>
                <w:lang w:eastAsia="en-US"/>
              </w:rPr>
            </w:pPr>
          </w:p>
        </w:tc>
      </w:tr>
      <w:tr w:rsidRPr="009C438A" w:rsidR="00562385" w:rsidTr="00E80A06" w14:paraId="5CC61251" w14:textId="77777777">
        <w:trPr>
          <w:trHeight w:val="255"/>
        </w:trPr>
        <w:tc>
          <w:tcPr>
            <w:tcW w:w="693" w:type="dxa"/>
            <w:shd w:val="clear" w:color="auto" w:fill="BFBFBF"/>
            <w:vAlign w:val="center"/>
          </w:tcPr>
          <w:p w:rsidRPr="009C438A" w:rsidR="00562385" w:rsidP="00562385" w:rsidRDefault="00562385" w14:paraId="2629ED52" w14:textId="77777777">
            <w:pPr>
              <w:spacing w:line="276" w:lineRule="auto"/>
              <w:ind w:firstLine="0"/>
              <w:rPr>
                <w:rFonts w:eastAsia="Calibri" w:cs="Arial"/>
                <w:sz w:val="16"/>
                <w:szCs w:val="16"/>
                <w:lang w:eastAsia="en-US"/>
              </w:rPr>
            </w:pPr>
            <w:r w:rsidRPr="009C438A">
              <w:rPr>
                <w:rFonts w:eastAsia="Calibri" w:cs="Arial"/>
                <w:sz w:val="16"/>
                <w:szCs w:val="16"/>
                <w:lang w:eastAsia="en-US"/>
              </w:rPr>
              <w:t>2.7.2</w:t>
            </w:r>
          </w:p>
        </w:tc>
        <w:tc>
          <w:tcPr>
            <w:tcW w:w="6352" w:type="dxa"/>
            <w:gridSpan w:val="2"/>
            <w:shd w:val="clear" w:color="auto" w:fill="007BC7"/>
            <w:vAlign w:val="center"/>
          </w:tcPr>
          <w:p w:rsidRPr="009C438A" w:rsidR="00562385" w:rsidP="00562385" w:rsidRDefault="00562385" w14:paraId="31823BBB" w14:textId="77777777">
            <w:pPr>
              <w:spacing w:line="276" w:lineRule="auto"/>
              <w:ind w:firstLine="0"/>
              <w:rPr>
                <w:rFonts w:eastAsia="Calibri" w:cs="Arial"/>
                <w:color w:val="FFFFFF"/>
                <w:sz w:val="16"/>
                <w:szCs w:val="16"/>
                <w:lang w:eastAsia="en-US"/>
              </w:rPr>
            </w:pPr>
            <w:r w:rsidRPr="009C438A">
              <w:rPr>
                <w:rFonts w:eastAsia="Calibri" w:cs="Arial"/>
                <w:color w:val="FFFFFF"/>
                <w:sz w:val="16"/>
                <w:szCs w:val="16"/>
                <w:lang w:eastAsia="en-US"/>
              </w:rPr>
              <w:t>Tarief portfoliodividenden t.a.v. Nederland niet lager dan 15%</w:t>
            </w:r>
          </w:p>
        </w:tc>
        <w:tc>
          <w:tcPr>
            <w:tcW w:w="356" w:type="dxa"/>
            <w:gridSpan w:val="5"/>
            <w:shd w:val="clear" w:color="auto" w:fill="BFBFBF"/>
            <w:vAlign w:val="center"/>
          </w:tcPr>
          <w:p w:rsidRPr="009C438A" w:rsidR="00562385" w:rsidP="00562385" w:rsidRDefault="00562385" w14:paraId="6C3A3FB6" w14:textId="77777777">
            <w:pPr>
              <w:spacing w:line="276" w:lineRule="auto"/>
              <w:ind w:firstLine="0"/>
              <w:rPr>
                <w:rFonts w:eastAsia="Calibri" w:cs="Arial"/>
                <w:b/>
                <w:color w:val="007BC7"/>
                <w:sz w:val="16"/>
                <w:szCs w:val="16"/>
                <w:lang w:eastAsia="en-US"/>
              </w:rPr>
            </w:pPr>
          </w:p>
        </w:tc>
        <w:tc>
          <w:tcPr>
            <w:tcW w:w="355" w:type="dxa"/>
            <w:gridSpan w:val="3"/>
            <w:shd w:val="clear" w:color="auto" w:fill="BFBFBF"/>
            <w:vAlign w:val="center"/>
          </w:tcPr>
          <w:p w:rsidRPr="009C438A" w:rsidR="00562385" w:rsidP="00562385" w:rsidRDefault="00562385" w14:paraId="11AB0D99" w14:textId="77777777">
            <w:pPr>
              <w:spacing w:line="276" w:lineRule="auto"/>
              <w:ind w:firstLine="0"/>
              <w:rPr>
                <w:rFonts w:eastAsia="Calibri" w:cs="Arial"/>
                <w:b/>
                <w:color w:val="007BC7"/>
                <w:sz w:val="16"/>
                <w:szCs w:val="16"/>
                <w:lang w:eastAsia="en-US"/>
              </w:rPr>
            </w:pPr>
          </w:p>
        </w:tc>
        <w:tc>
          <w:tcPr>
            <w:tcW w:w="428" w:type="dxa"/>
            <w:gridSpan w:val="2"/>
            <w:shd w:val="clear" w:color="auto" w:fill="BFBFBF"/>
            <w:vAlign w:val="center"/>
          </w:tcPr>
          <w:p w:rsidRPr="009C438A" w:rsidR="00562385" w:rsidP="00562385" w:rsidRDefault="00562385" w14:paraId="6A357062" w14:textId="77777777">
            <w:pPr>
              <w:spacing w:line="276" w:lineRule="auto"/>
              <w:ind w:firstLine="0"/>
              <w:rPr>
                <w:rFonts w:eastAsia="Calibri" w:cs="Arial"/>
                <w:b/>
                <w:color w:val="007BC7"/>
                <w:sz w:val="16"/>
                <w:szCs w:val="16"/>
                <w:lang w:eastAsia="en-US"/>
              </w:rPr>
            </w:pPr>
          </w:p>
        </w:tc>
        <w:tc>
          <w:tcPr>
            <w:tcW w:w="433" w:type="dxa"/>
            <w:gridSpan w:val="3"/>
            <w:shd w:val="clear" w:color="auto" w:fill="BFBFBF"/>
            <w:vAlign w:val="center"/>
          </w:tcPr>
          <w:p w:rsidRPr="009C438A" w:rsidR="00562385" w:rsidP="00562385" w:rsidRDefault="00562385" w14:paraId="1F255C96" w14:textId="77777777">
            <w:pPr>
              <w:spacing w:line="276" w:lineRule="auto"/>
              <w:ind w:firstLine="0"/>
              <w:rPr>
                <w:rFonts w:eastAsia="Calibri" w:cs="Arial"/>
                <w:b/>
                <w:color w:val="007BC7"/>
                <w:sz w:val="16"/>
                <w:szCs w:val="16"/>
                <w:lang w:eastAsia="en-US"/>
              </w:rPr>
            </w:pPr>
            <w:r w:rsidRPr="009C438A">
              <w:rPr>
                <w:rFonts w:eastAsia="Calibri" w:cs="Arial"/>
                <w:b/>
                <w:color w:val="007BC7"/>
                <w:sz w:val="16"/>
                <w:szCs w:val="16"/>
                <w:lang w:eastAsia="en-US"/>
              </w:rPr>
              <w:t>X</w:t>
            </w:r>
          </w:p>
        </w:tc>
        <w:tc>
          <w:tcPr>
            <w:tcW w:w="559" w:type="dxa"/>
            <w:shd w:val="clear" w:color="auto" w:fill="BFBFBF"/>
            <w:vAlign w:val="center"/>
          </w:tcPr>
          <w:p w:rsidRPr="009C438A" w:rsidR="00562385" w:rsidP="00562385" w:rsidRDefault="00562385" w14:paraId="775D9911" w14:textId="77777777">
            <w:pPr>
              <w:spacing w:line="276" w:lineRule="auto"/>
              <w:ind w:firstLine="0"/>
              <w:rPr>
                <w:rFonts w:eastAsia="Calibri" w:cs="Arial"/>
                <w:sz w:val="16"/>
                <w:szCs w:val="16"/>
                <w:lang w:eastAsia="en-US"/>
              </w:rPr>
            </w:pPr>
          </w:p>
        </w:tc>
      </w:tr>
      <w:tr w:rsidRPr="00B1331A" w:rsidR="00562385" w:rsidTr="00E80A06" w14:paraId="41B786E9" w14:textId="77777777">
        <w:trPr>
          <w:trHeight w:val="255"/>
        </w:trPr>
        <w:tc>
          <w:tcPr>
            <w:tcW w:w="693" w:type="dxa"/>
            <w:shd w:val="clear" w:color="auto" w:fill="BFBFBF"/>
            <w:vAlign w:val="center"/>
          </w:tcPr>
          <w:p w:rsidRPr="009C438A" w:rsidR="00562385" w:rsidP="00562385" w:rsidRDefault="00562385" w14:paraId="35B9920E" w14:textId="77777777">
            <w:pPr>
              <w:spacing w:line="276" w:lineRule="auto"/>
              <w:ind w:firstLine="0"/>
              <w:rPr>
                <w:rFonts w:eastAsia="Calibri" w:cs="Arial"/>
                <w:sz w:val="16"/>
                <w:szCs w:val="16"/>
                <w:lang w:eastAsia="en-US"/>
              </w:rPr>
            </w:pPr>
            <w:r w:rsidRPr="009C438A">
              <w:rPr>
                <w:rFonts w:eastAsia="Calibri" w:cs="Arial"/>
                <w:sz w:val="16"/>
                <w:szCs w:val="16"/>
                <w:lang w:eastAsia="en-US"/>
              </w:rPr>
              <w:t>2.8.1</w:t>
            </w:r>
          </w:p>
        </w:tc>
        <w:tc>
          <w:tcPr>
            <w:tcW w:w="6352" w:type="dxa"/>
            <w:gridSpan w:val="2"/>
            <w:shd w:val="clear" w:color="auto" w:fill="007BC7"/>
            <w:vAlign w:val="center"/>
          </w:tcPr>
          <w:p w:rsidRPr="009C438A" w:rsidR="00562385" w:rsidP="00562385" w:rsidRDefault="00562385" w14:paraId="2B24FAC1" w14:textId="77777777">
            <w:pPr>
              <w:spacing w:line="276" w:lineRule="auto"/>
              <w:ind w:firstLine="0"/>
              <w:rPr>
                <w:rFonts w:eastAsia="Calibri" w:cs="Arial"/>
                <w:color w:val="FFFFFF"/>
                <w:sz w:val="16"/>
                <w:szCs w:val="16"/>
                <w:lang w:eastAsia="en-US"/>
              </w:rPr>
            </w:pPr>
            <w:r w:rsidRPr="009C438A">
              <w:rPr>
                <w:rFonts w:eastAsia="Calibri" w:cs="Arial"/>
                <w:color w:val="FFFFFF"/>
                <w:sz w:val="16"/>
                <w:szCs w:val="16"/>
                <w:lang w:eastAsia="en-US"/>
              </w:rPr>
              <w:t>Uitsluitende woonstaatheffing interest &amp; royalty’s</w:t>
            </w:r>
          </w:p>
        </w:tc>
        <w:tc>
          <w:tcPr>
            <w:tcW w:w="356" w:type="dxa"/>
            <w:gridSpan w:val="5"/>
            <w:shd w:val="clear" w:color="auto" w:fill="BFBFBF"/>
            <w:vAlign w:val="center"/>
          </w:tcPr>
          <w:p w:rsidRPr="009C438A" w:rsidR="00562385" w:rsidP="00562385" w:rsidRDefault="00562385" w14:paraId="44B48585" w14:textId="77777777">
            <w:pPr>
              <w:spacing w:line="276" w:lineRule="auto"/>
              <w:ind w:firstLine="0"/>
              <w:rPr>
                <w:rFonts w:eastAsia="Calibri" w:cs="Arial"/>
                <w:b/>
                <w:color w:val="007BC7"/>
                <w:sz w:val="16"/>
                <w:szCs w:val="16"/>
                <w:lang w:eastAsia="en-US"/>
              </w:rPr>
            </w:pPr>
          </w:p>
        </w:tc>
        <w:tc>
          <w:tcPr>
            <w:tcW w:w="355" w:type="dxa"/>
            <w:gridSpan w:val="3"/>
            <w:shd w:val="clear" w:color="auto" w:fill="BFBFBF"/>
            <w:vAlign w:val="center"/>
          </w:tcPr>
          <w:p w:rsidRPr="009C438A" w:rsidR="00562385" w:rsidP="00562385" w:rsidRDefault="00562385" w14:paraId="5C731D20" w14:textId="77777777">
            <w:pPr>
              <w:spacing w:line="276" w:lineRule="auto"/>
              <w:ind w:firstLine="0"/>
              <w:rPr>
                <w:rFonts w:eastAsia="Calibri" w:cs="Arial"/>
                <w:b/>
                <w:color w:val="007BC7"/>
                <w:sz w:val="16"/>
                <w:szCs w:val="16"/>
                <w:lang w:eastAsia="en-US"/>
              </w:rPr>
            </w:pPr>
          </w:p>
        </w:tc>
        <w:tc>
          <w:tcPr>
            <w:tcW w:w="428" w:type="dxa"/>
            <w:gridSpan w:val="2"/>
            <w:shd w:val="clear" w:color="auto" w:fill="BFBFBF"/>
            <w:vAlign w:val="center"/>
          </w:tcPr>
          <w:p w:rsidRPr="009C438A" w:rsidR="00562385" w:rsidP="00562385" w:rsidRDefault="00562385" w14:paraId="47313E59" w14:textId="77777777">
            <w:pPr>
              <w:spacing w:line="276" w:lineRule="auto"/>
              <w:ind w:firstLine="0"/>
              <w:rPr>
                <w:rFonts w:eastAsia="Calibri" w:cs="Arial"/>
                <w:b/>
                <w:color w:val="007BC7"/>
                <w:sz w:val="16"/>
                <w:szCs w:val="16"/>
                <w:lang w:eastAsia="en-US"/>
              </w:rPr>
            </w:pPr>
          </w:p>
        </w:tc>
        <w:tc>
          <w:tcPr>
            <w:tcW w:w="433" w:type="dxa"/>
            <w:gridSpan w:val="3"/>
            <w:shd w:val="clear" w:color="auto" w:fill="BFBFBF"/>
            <w:vAlign w:val="center"/>
          </w:tcPr>
          <w:p w:rsidRPr="009C438A" w:rsidR="00562385" w:rsidP="00562385" w:rsidRDefault="00562385" w14:paraId="4731C17C" w14:textId="77777777">
            <w:pPr>
              <w:spacing w:line="276" w:lineRule="auto"/>
              <w:ind w:firstLine="0"/>
              <w:rPr>
                <w:rFonts w:eastAsia="Calibri" w:cs="Arial"/>
                <w:b/>
                <w:color w:val="007BC7"/>
                <w:sz w:val="16"/>
                <w:szCs w:val="16"/>
                <w:lang w:eastAsia="en-US"/>
              </w:rPr>
            </w:pPr>
            <w:r w:rsidRPr="009C438A">
              <w:rPr>
                <w:rFonts w:eastAsia="Calibri" w:cs="Arial"/>
                <w:b/>
                <w:color w:val="007BC7"/>
                <w:sz w:val="16"/>
                <w:szCs w:val="16"/>
                <w:lang w:eastAsia="en-US"/>
              </w:rPr>
              <w:t>X</w:t>
            </w:r>
          </w:p>
        </w:tc>
        <w:tc>
          <w:tcPr>
            <w:tcW w:w="559" w:type="dxa"/>
            <w:shd w:val="clear" w:color="auto" w:fill="BFBFBF"/>
            <w:vAlign w:val="center"/>
          </w:tcPr>
          <w:p w:rsidRPr="009C438A" w:rsidR="00562385" w:rsidP="00562385" w:rsidRDefault="00562385" w14:paraId="5AD89420" w14:textId="77777777">
            <w:pPr>
              <w:spacing w:line="276" w:lineRule="auto"/>
              <w:ind w:firstLine="0"/>
              <w:rPr>
                <w:rFonts w:eastAsia="Calibri" w:cs="Arial"/>
                <w:sz w:val="16"/>
                <w:szCs w:val="16"/>
                <w:lang w:eastAsia="en-US"/>
              </w:rPr>
            </w:pPr>
          </w:p>
        </w:tc>
      </w:tr>
      <w:tr w:rsidRPr="00562385" w:rsidR="00562385" w:rsidTr="00E80A06" w14:paraId="34A23666" w14:textId="77777777">
        <w:trPr>
          <w:trHeight w:val="255"/>
        </w:trPr>
        <w:tc>
          <w:tcPr>
            <w:tcW w:w="693" w:type="dxa"/>
            <w:shd w:val="clear" w:color="auto" w:fill="BFBFBF"/>
            <w:vAlign w:val="center"/>
          </w:tcPr>
          <w:p w:rsidRPr="009C438A" w:rsidR="00562385" w:rsidP="00562385" w:rsidRDefault="00562385" w14:paraId="38BF7914" w14:textId="77777777">
            <w:pPr>
              <w:spacing w:line="276" w:lineRule="auto"/>
              <w:ind w:firstLine="0"/>
              <w:rPr>
                <w:rFonts w:eastAsia="Calibri" w:cs="Arial"/>
                <w:sz w:val="16"/>
                <w:szCs w:val="16"/>
                <w:lang w:eastAsia="en-US"/>
              </w:rPr>
            </w:pPr>
            <w:r w:rsidRPr="009C438A">
              <w:rPr>
                <w:rFonts w:eastAsia="Calibri" w:cs="Arial"/>
                <w:sz w:val="16"/>
                <w:szCs w:val="16"/>
                <w:lang w:eastAsia="en-US"/>
              </w:rPr>
              <w:t>2.8.1</w:t>
            </w:r>
          </w:p>
        </w:tc>
        <w:tc>
          <w:tcPr>
            <w:tcW w:w="1350" w:type="dxa"/>
            <w:shd w:val="clear" w:color="auto" w:fill="BFBFBF"/>
            <w:vAlign w:val="center"/>
          </w:tcPr>
          <w:p w:rsidRPr="00B1331A" w:rsidR="00562385" w:rsidP="00562385" w:rsidRDefault="00562385" w14:paraId="2494C557" w14:textId="77777777">
            <w:pPr>
              <w:spacing w:line="276" w:lineRule="auto"/>
              <w:ind w:firstLine="0"/>
              <w:rPr>
                <w:rFonts w:cs="Arial"/>
                <w:color w:val="000000"/>
                <w:sz w:val="16"/>
                <w:szCs w:val="16"/>
              </w:rPr>
            </w:pPr>
            <w:r w:rsidRPr="009C438A">
              <w:rPr>
                <w:rFonts w:eastAsia="Calibri" w:cs="Arial"/>
                <w:color w:val="000000"/>
                <w:sz w:val="16"/>
                <w:szCs w:val="16"/>
                <w:lang w:eastAsia="en-US"/>
              </w:rPr>
              <w:t>Terugvaloptie:</w:t>
            </w:r>
          </w:p>
        </w:tc>
        <w:tc>
          <w:tcPr>
            <w:tcW w:w="5002" w:type="dxa"/>
            <w:shd w:val="clear" w:color="auto" w:fill="007BC7"/>
            <w:vAlign w:val="center"/>
          </w:tcPr>
          <w:p w:rsidRPr="00B1331A" w:rsidR="00562385" w:rsidP="00562385" w:rsidRDefault="00562385" w14:paraId="7A63629C" w14:textId="77777777">
            <w:pPr>
              <w:spacing w:line="276" w:lineRule="auto"/>
              <w:ind w:firstLine="0"/>
              <w:rPr>
                <w:rFonts w:cs="Arial"/>
                <w:color w:val="FFFFFF"/>
                <w:sz w:val="16"/>
                <w:szCs w:val="16"/>
              </w:rPr>
            </w:pPr>
            <w:r w:rsidRPr="009C438A">
              <w:rPr>
                <w:rFonts w:eastAsia="Calibri" w:cs="Arial"/>
                <w:color w:val="FFFFFF"/>
                <w:sz w:val="16"/>
                <w:szCs w:val="16"/>
                <w:lang w:eastAsia="en-US"/>
              </w:rPr>
              <w:t>Uitzonderingen bronheffingsrecht</w:t>
            </w:r>
          </w:p>
        </w:tc>
        <w:tc>
          <w:tcPr>
            <w:tcW w:w="356" w:type="dxa"/>
            <w:gridSpan w:val="5"/>
            <w:shd w:val="clear" w:color="auto" w:fill="BFBFBF"/>
            <w:vAlign w:val="center"/>
          </w:tcPr>
          <w:p w:rsidRPr="009C438A" w:rsidR="00562385" w:rsidP="00562385" w:rsidRDefault="00562385" w14:paraId="51CAE9DD" w14:textId="77777777">
            <w:pPr>
              <w:spacing w:line="276" w:lineRule="auto"/>
              <w:ind w:firstLine="0"/>
              <w:rPr>
                <w:rFonts w:eastAsia="Calibri" w:cs="Arial"/>
                <w:b/>
                <w:color w:val="007BC7"/>
                <w:sz w:val="16"/>
                <w:szCs w:val="16"/>
                <w:lang w:eastAsia="en-US"/>
              </w:rPr>
            </w:pPr>
            <w:r w:rsidRPr="009C438A">
              <w:rPr>
                <w:rFonts w:eastAsia="Calibri" w:cs="Arial"/>
                <w:b/>
                <w:color w:val="007BC7"/>
                <w:sz w:val="16"/>
                <w:szCs w:val="16"/>
                <w:lang w:eastAsia="en-US"/>
              </w:rPr>
              <w:t>X</w:t>
            </w:r>
          </w:p>
        </w:tc>
        <w:tc>
          <w:tcPr>
            <w:tcW w:w="355" w:type="dxa"/>
            <w:gridSpan w:val="3"/>
            <w:shd w:val="clear" w:color="auto" w:fill="BFBFBF"/>
            <w:vAlign w:val="center"/>
          </w:tcPr>
          <w:p w:rsidRPr="009C438A" w:rsidR="00562385" w:rsidP="00562385" w:rsidRDefault="00562385" w14:paraId="707AB267" w14:textId="77777777">
            <w:pPr>
              <w:spacing w:line="276" w:lineRule="auto"/>
              <w:ind w:firstLine="0"/>
              <w:rPr>
                <w:rFonts w:eastAsia="Calibri" w:cs="Arial"/>
                <w:b/>
                <w:color w:val="007BC7"/>
                <w:sz w:val="16"/>
                <w:szCs w:val="16"/>
                <w:lang w:eastAsia="en-US"/>
              </w:rPr>
            </w:pPr>
          </w:p>
        </w:tc>
        <w:tc>
          <w:tcPr>
            <w:tcW w:w="428" w:type="dxa"/>
            <w:gridSpan w:val="2"/>
            <w:shd w:val="clear" w:color="auto" w:fill="BFBFBF"/>
            <w:vAlign w:val="center"/>
          </w:tcPr>
          <w:p w:rsidRPr="009C438A" w:rsidR="00562385" w:rsidP="00562385" w:rsidRDefault="00562385" w14:paraId="2E1B0192" w14:textId="77777777">
            <w:pPr>
              <w:spacing w:line="276" w:lineRule="auto"/>
              <w:ind w:firstLine="0"/>
              <w:rPr>
                <w:rFonts w:eastAsia="Calibri" w:cs="Arial"/>
                <w:b/>
                <w:color w:val="007BC7"/>
                <w:sz w:val="16"/>
                <w:szCs w:val="16"/>
                <w:lang w:eastAsia="en-US"/>
              </w:rPr>
            </w:pPr>
          </w:p>
        </w:tc>
        <w:tc>
          <w:tcPr>
            <w:tcW w:w="433" w:type="dxa"/>
            <w:gridSpan w:val="3"/>
            <w:shd w:val="clear" w:color="auto" w:fill="BFBFBF"/>
            <w:vAlign w:val="center"/>
          </w:tcPr>
          <w:p w:rsidRPr="009C438A" w:rsidR="00562385" w:rsidP="00562385" w:rsidRDefault="00562385" w14:paraId="5D180418" w14:textId="77777777">
            <w:pPr>
              <w:spacing w:line="276" w:lineRule="auto"/>
              <w:ind w:firstLine="0"/>
              <w:rPr>
                <w:rFonts w:eastAsia="Calibri" w:cs="Arial"/>
                <w:b/>
                <w:color w:val="007BC7"/>
                <w:sz w:val="16"/>
                <w:szCs w:val="16"/>
                <w:lang w:eastAsia="en-US"/>
              </w:rPr>
            </w:pPr>
          </w:p>
        </w:tc>
        <w:tc>
          <w:tcPr>
            <w:tcW w:w="559" w:type="dxa"/>
            <w:shd w:val="clear" w:color="auto" w:fill="BFBFBF"/>
            <w:vAlign w:val="center"/>
          </w:tcPr>
          <w:p w:rsidRPr="00562385" w:rsidR="00562385" w:rsidP="00562385" w:rsidRDefault="00562385" w14:paraId="7D62068C" w14:textId="77777777">
            <w:pPr>
              <w:spacing w:line="276" w:lineRule="auto"/>
              <w:ind w:firstLine="0"/>
              <w:rPr>
                <w:rFonts w:eastAsia="Calibri" w:cs="Arial"/>
                <w:sz w:val="16"/>
                <w:szCs w:val="16"/>
                <w:lang w:eastAsia="en-US"/>
              </w:rPr>
            </w:pPr>
            <w:r>
              <w:rPr>
                <w:rFonts w:eastAsia="Calibri" w:cs="Arial"/>
                <w:sz w:val="16"/>
                <w:szCs w:val="16"/>
                <w:lang w:eastAsia="en-US"/>
              </w:rPr>
              <w:t>II.8</w:t>
            </w:r>
            <w:r>
              <w:rPr>
                <w:rFonts w:eastAsia="Calibri" w:cs="Arial"/>
                <w:sz w:val="16"/>
                <w:szCs w:val="16"/>
                <w:lang w:eastAsia="en-US"/>
              </w:rPr>
              <w:br/>
              <w:t>II.20</w:t>
            </w:r>
          </w:p>
        </w:tc>
      </w:tr>
      <w:tr w:rsidRPr="00562385" w:rsidR="00562385" w:rsidTr="00E80A06" w14:paraId="457F7B72"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4E0DC58A" w14:textId="77777777">
            <w:pPr>
              <w:spacing w:line="276" w:lineRule="auto"/>
              <w:ind w:firstLine="0"/>
              <w:rPr>
                <w:rFonts w:eastAsia="Calibri" w:cs="Arial"/>
                <w:sz w:val="16"/>
                <w:szCs w:val="16"/>
                <w:lang w:eastAsia="en-US"/>
              </w:rPr>
            </w:pPr>
            <w:r w:rsidRPr="009C438A">
              <w:rPr>
                <w:rFonts w:eastAsia="Calibri" w:cs="Arial"/>
                <w:sz w:val="16"/>
                <w:szCs w:val="16"/>
                <w:lang w:eastAsia="en-US"/>
              </w:rPr>
              <w:t>2.9.3</w:t>
            </w:r>
          </w:p>
        </w:tc>
        <w:tc>
          <w:tcPr>
            <w:tcW w:w="6352"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562385" w:rsidP="00562385" w:rsidRDefault="00562385" w14:paraId="01601AD9" w14:textId="77777777">
            <w:pPr>
              <w:spacing w:line="276" w:lineRule="auto"/>
              <w:ind w:firstLine="0"/>
              <w:rPr>
                <w:rFonts w:eastAsia="Calibri" w:cs="Arial"/>
                <w:color w:val="FFFFFF"/>
                <w:sz w:val="16"/>
                <w:szCs w:val="16"/>
                <w:lang w:eastAsia="en-US"/>
              </w:rPr>
            </w:pPr>
            <w:r w:rsidRPr="009C438A">
              <w:rPr>
                <w:rFonts w:eastAsia="Calibri" w:cs="Arial"/>
                <w:color w:val="FFFFFF"/>
                <w:sz w:val="16"/>
                <w:szCs w:val="16"/>
                <w:lang w:eastAsia="en-US"/>
              </w:rPr>
              <w:t>Aanmerkelijkbelangvoorbehoud opgenomen</w:t>
            </w:r>
          </w:p>
        </w:tc>
        <w:tc>
          <w:tcPr>
            <w:tcW w:w="356"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5EF2B6E5" w14:textId="77777777">
            <w:pPr>
              <w:spacing w:line="276" w:lineRule="auto"/>
              <w:ind w:firstLine="0"/>
              <w:rPr>
                <w:rFonts w:eastAsia="Calibri" w:cs="Arial"/>
                <w:b/>
                <w:color w:val="007BC7"/>
                <w:sz w:val="16"/>
                <w:szCs w:val="16"/>
                <w:lang w:eastAsia="en-US"/>
              </w:rPr>
            </w:pPr>
          </w:p>
        </w:tc>
        <w:tc>
          <w:tcPr>
            <w:tcW w:w="355"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205F54A6" w14:textId="77777777">
            <w:pPr>
              <w:spacing w:line="276" w:lineRule="auto"/>
              <w:ind w:firstLine="0"/>
              <w:rPr>
                <w:rFonts w:eastAsia="Calibri" w:cs="Arial"/>
                <w:b/>
                <w:color w:val="007BC7"/>
                <w:sz w:val="16"/>
                <w:szCs w:val="16"/>
                <w:lang w:eastAsia="en-US"/>
              </w:rPr>
            </w:pPr>
          </w:p>
        </w:tc>
        <w:tc>
          <w:tcPr>
            <w:tcW w:w="428"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043F2100" w14:textId="77777777">
            <w:pPr>
              <w:spacing w:line="276" w:lineRule="auto"/>
              <w:ind w:firstLine="0"/>
              <w:rPr>
                <w:rFonts w:eastAsia="Calibri" w:cs="Arial"/>
                <w:b/>
                <w:color w:val="007BC7"/>
                <w:sz w:val="16"/>
                <w:szCs w:val="16"/>
                <w:lang w:eastAsia="en-US"/>
              </w:rPr>
            </w:pPr>
          </w:p>
        </w:tc>
        <w:tc>
          <w:tcPr>
            <w:tcW w:w="433"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04E1B56D" w14:textId="77777777">
            <w:pPr>
              <w:spacing w:line="276" w:lineRule="auto"/>
              <w:ind w:firstLine="0"/>
              <w:rPr>
                <w:rFonts w:eastAsia="Calibri" w:cs="Arial"/>
                <w:b/>
                <w:color w:val="007BC7"/>
                <w:sz w:val="16"/>
                <w:szCs w:val="16"/>
                <w:lang w:eastAsia="en-US"/>
              </w:rPr>
            </w:pPr>
            <w:r w:rsidRPr="009C438A">
              <w:rPr>
                <w:rFonts w:eastAsia="Calibri" w:cs="Arial"/>
                <w:b/>
                <w:color w:val="007BC7"/>
                <w:sz w:val="16"/>
                <w:szCs w:val="16"/>
                <w:lang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61F9C174" w14:textId="77777777">
            <w:pPr>
              <w:spacing w:line="276" w:lineRule="auto"/>
              <w:ind w:firstLine="0"/>
              <w:rPr>
                <w:rFonts w:eastAsia="Calibri" w:cs="Arial"/>
                <w:sz w:val="16"/>
                <w:szCs w:val="16"/>
                <w:lang w:eastAsia="en-US"/>
              </w:rPr>
            </w:pPr>
          </w:p>
        </w:tc>
      </w:tr>
      <w:tr w:rsidRPr="009C438A" w:rsidR="00562385" w:rsidTr="00E80A06" w14:paraId="1B1E39ED" w14:textId="77777777">
        <w:trPr>
          <w:trHeight w:val="255"/>
        </w:trPr>
        <w:tc>
          <w:tcPr>
            <w:tcW w:w="693" w:type="dxa"/>
            <w:shd w:val="clear" w:color="auto" w:fill="BFBFBF"/>
            <w:vAlign w:val="center"/>
          </w:tcPr>
          <w:p w:rsidRPr="009C438A" w:rsidR="00562385" w:rsidP="00562385" w:rsidRDefault="00562385" w14:paraId="46AFAB5E" w14:textId="77777777">
            <w:pPr>
              <w:spacing w:line="276" w:lineRule="auto"/>
              <w:ind w:firstLine="0"/>
              <w:rPr>
                <w:rFonts w:eastAsia="Calibri" w:cs="Arial"/>
                <w:sz w:val="16"/>
                <w:szCs w:val="16"/>
                <w:lang w:eastAsia="en-US"/>
              </w:rPr>
            </w:pPr>
            <w:r w:rsidRPr="009C438A">
              <w:rPr>
                <w:rFonts w:eastAsia="Calibri" w:cs="Arial"/>
                <w:sz w:val="16"/>
                <w:szCs w:val="16"/>
                <w:lang w:eastAsia="en-US"/>
              </w:rPr>
              <w:t>2.9.3</w:t>
            </w:r>
          </w:p>
        </w:tc>
        <w:tc>
          <w:tcPr>
            <w:tcW w:w="1350" w:type="dxa"/>
            <w:shd w:val="clear" w:color="auto" w:fill="BFBFBF"/>
            <w:vAlign w:val="center"/>
          </w:tcPr>
          <w:p w:rsidRPr="00562385" w:rsidR="00562385" w:rsidP="00562385" w:rsidRDefault="00562385" w14:paraId="5C4DFEA7" w14:textId="77777777">
            <w:pPr>
              <w:spacing w:line="276" w:lineRule="auto"/>
              <w:ind w:firstLine="0"/>
              <w:rPr>
                <w:rFonts w:cs="Arial"/>
                <w:color w:val="000000"/>
                <w:sz w:val="16"/>
                <w:szCs w:val="16"/>
              </w:rPr>
            </w:pPr>
            <w:r w:rsidRPr="009C438A">
              <w:rPr>
                <w:rFonts w:eastAsia="Calibri" w:cs="Arial"/>
                <w:color w:val="000000"/>
                <w:sz w:val="16"/>
                <w:szCs w:val="16"/>
                <w:lang w:eastAsia="en-US"/>
              </w:rPr>
              <w:t>Zo nodig:</w:t>
            </w:r>
          </w:p>
        </w:tc>
        <w:tc>
          <w:tcPr>
            <w:tcW w:w="5002" w:type="dxa"/>
            <w:shd w:val="clear" w:color="auto" w:fill="007BC7"/>
            <w:vAlign w:val="center"/>
          </w:tcPr>
          <w:p w:rsidRPr="009C438A" w:rsidR="00562385" w:rsidP="00562385" w:rsidRDefault="00562385" w14:paraId="372F2DC7" w14:textId="77777777">
            <w:pPr>
              <w:spacing w:line="276" w:lineRule="auto"/>
              <w:ind w:firstLine="0"/>
              <w:rPr>
                <w:rFonts w:eastAsia="Calibri" w:cs="Arial"/>
                <w:color w:val="FFFFFF"/>
                <w:sz w:val="16"/>
                <w:szCs w:val="16"/>
                <w:lang w:eastAsia="en-US"/>
              </w:rPr>
            </w:pPr>
            <w:r w:rsidRPr="009C438A">
              <w:rPr>
                <w:rFonts w:eastAsia="Calibri" w:cs="Arial"/>
                <w:color w:val="FFFFFF"/>
                <w:sz w:val="16"/>
                <w:szCs w:val="16"/>
                <w:lang w:eastAsia="en-US"/>
              </w:rPr>
              <w:t>Uitbreiding aanmerkelijkbelangvoorbehoud indien verdragspartner waardeaangroei niet belast</w:t>
            </w:r>
          </w:p>
        </w:tc>
        <w:tc>
          <w:tcPr>
            <w:tcW w:w="356" w:type="dxa"/>
            <w:gridSpan w:val="5"/>
            <w:shd w:val="clear" w:color="auto" w:fill="BFBFBF"/>
            <w:vAlign w:val="center"/>
          </w:tcPr>
          <w:p w:rsidRPr="009C438A" w:rsidR="00562385" w:rsidP="00562385" w:rsidRDefault="00562385" w14:paraId="27FBEE5B" w14:textId="77777777">
            <w:pPr>
              <w:spacing w:line="276" w:lineRule="auto"/>
              <w:ind w:firstLine="0"/>
              <w:rPr>
                <w:rFonts w:eastAsia="Calibri" w:cs="Arial"/>
                <w:b/>
                <w:color w:val="007BC7"/>
                <w:sz w:val="16"/>
                <w:szCs w:val="16"/>
                <w:lang w:eastAsia="en-US"/>
              </w:rPr>
            </w:pPr>
          </w:p>
        </w:tc>
        <w:tc>
          <w:tcPr>
            <w:tcW w:w="355" w:type="dxa"/>
            <w:gridSpan w:val="3"/>
            <w:shd w:val="clear" w:color="auto" w:fill="BFBFBF"/>
            <w:vAlign w:val="center"/>
          </w:tcPr>
          <w:p w:rsidRPr="009C438A" w:rsidR="00562385" w:rsidP="00562385" w:rsidRDefault="00562385" w14:paraId="06F3E258" w14:textId="77777777">
            <w:pPr>
              <w:spacing w:line="276" w:lineRule="auto"/>
              <w:ind w:firstLine="0"/>
              <w:rPr>
                <w:rFonts w:eastAsia="Calibri" w:cs="Arial"/>
                <w:b/>
                <w:color w:val="007BC7"/>
                <w:sz w:val="16"/>
                <w:szCs w:val="16"/>
                <w:lang w:eastAsia="en-US"/>
              </w:rPr>
            </w:pPr>
          </w:p>
        </w:tc>
        <w:tc>
          <w:tcPr>
            <w:tcW w:w="428" w:type="dxa"/>
            <w:gridSpan w:val="2"/>
            <w:shd w:val="clear" w:color="auto" w:fill="BFBFBF"/>
            <w:vAlign w:val="center"/>
          </w:tcPr>
          <w:p w:rsidRPr="009C438A" w:rsidR="00562385" w:rsidP="00562385" w:rsidRDefault="00562385" w14:paraId="553EEFCE" w14:textId="77777777">
            <w:pPr>
              <w:spacing w:line="276" w:lineRule="auto"/>
              <w:ind w:firstLine="0"/>
              <w:rPr>
                <w:rFonts w:eastAsia="Calibri" w:cs="Arial"/>
                <w:b/>
                <w:color w:val="007BC7"/>
                <w:sz w:val="16"/>
                <w:szCs w:val="16"/>
                <w:lang w:eastAsia="en-US"/>
              </w:rPr>
            </w:pPr>
          </w:p>
        </w:tc>
        <w:tc>
          <w:tcPr>
            <w:tcW w:w="433" w:type="dxa"/>
            <w:gridSpan w:val="3"/>
            <w:shd w:val="clear" w:color="auto" w:fill="BFBFBF"/>
            <w:vAlign w:val="center"/>
          </w:tcPr>
          <w:p w:rsidRPr="009C438A" w:rsidR="00562385" w:rsidP="00562385" w:rsidRDefault="00562385" w14:paraId="6A82A79F" w14:textId="77777777">
            <w:pPr>
              <w:spacing w:line="276" w:lineRule="auto"/>
              <w:ind w:firstLine="0"/>
              <w:rPr>
                <w:rFonts w:eastAsia="Calibri" w:cs="Arial"/>
                <w:b/>
                <w:color w:val="007BC7"/>
                <w:sz w:val="16"/>
                <w:szCs w:val="16"/>
                <w:lang w:eastAsia="en-US"/>
              </w:rPr>
            </w:pPr>
            <w:r w:rsidRPr="009C438A">
              <w:rPr>
                <w:rFonts w:eastAsia="Calibri" w:cs="Arial"/>
                <w:b/>
                <w:color w:val="007BC7"/>
                <w:sz w:val="16"/>
                <w:szCs w:val="16"/>
                <w:lang w:eastAsia="en-US"/>
              </w:rPr>
              <w:t>X</w:t>
            </w:r>
          </w:p>
        </w:tc>
        <w:tc>
          <w:tcPr>
            <w:tcW w:w="559" w:type="dxa"/>
            <w:shd w:val="clear" w:color="auto" w:fill="BFBFBF"/>
            <w:vAlign w:val="center"/>
          </w:tcPr>
          <w:p w:rsidRPr="009C438A" w:rsidR="00562385" w:rsidP="00562385" w:rsidRDefault="00562385" w14:paraId="31656D48" w14:textId="77777777">
            <w:pPr>
              <w:spacing w:line="276" w:lineRule="auto"/>
              <w:ind w:firstLine="0"/>
              <w:rPr>
                <w:rFonts w:eastAsia="Calibri" w:cs="Arial"/>
                <w:sz w:val="16"/>
                <w:szCs w:val="16"/>
                <w:lang w:eastAsia="en-US"/>
              </w:rPr>
            </w:pPr>
          </w:p>
        </w:tc>
      </w:tr>
      <w:tr w:rsidRPr="009C438A" w:rsidR="00562385" w:rsidTr="00E80A06" w14:paraId="471AC5B2"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71A0F99C" w14:textId="77777777">
            <w:pPr>
              <w:spacing w:line="276" w:lineRule="auto"/>
              <w:ind w:firstLine="0"/>
              <w:rPr>
                <w:rFonts w:eastAsia="Calibri" w:cs="Arial"/>
                <w:sz w:val="16"/>
                <w:szCs w:val="16"/>
                <w:lang w:eastAsia="en-US"/>
              </w:rPr>
            </w:pPr>
            <w:r w:rsidRPr="009C438A">
              <w:rPr>
                <w:rFonts w:eastAsia="Calibri" w:cs="Arial"/>
                <w:sz w:val="16"/>
                <w:szCs w:val="16"/>
                <w:lang w:eastAsia="en-US"/>
              </w:rPr>
              <w:t>2.9.4</w:t>
            </w:r>
          </w:p>
        </w:tc>
        <w:tc>
          <w:tcPr>
            <w:tcW w:w="1350"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4794BE92" w14:textId="77777777">
            <w:pPr>
              <w:spacing w:line="276" w:lineRule="auto"/>
              <w:ind w:firstLine="0"/>
              <w:rPr>
                <w:rFonts w:cs="Arial"/>
                <w:color w:val="000000"/>
                <w:sz w:val="16"/>
                <w:szCs w:val="16"/>
              </w:rPr>
            </w:pPr>
            <w:r w:rsidRPr="009C438A">
              <w:rPr>
                <w:rFonts w:eastAsia="Calibri" w:cs="Arial"/>
                <w:color w:val="000000"/>
                <w:sz w:val="16"/>
                <w:szCs w:val="16"/>
                <w:lang w:eastAsia="en-US"/>
              </w:rPr>
              <w:t>Zo nodig:</w:t>
            </w:r>
          </w:p>
        </w:tc>
        <w:tc>
          <w:tcPr>
            <w:tcW w:w="5002" w:type="dxa"/>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562385" w:rsidP="00562385" w:rsidRDefault="00562385" w14:paraId="305FCC45" w14:textId="77777777">
            <w:pPr>
              <w:spacing w:line="276" w:lineRule="auto"/>
              <w:ind w:firstLine="0"/>
              <w:rPr>
                <w:rFonts w:eastAsia="Calibri" w:cs="Arial"/>
                <w:color w:val="FFFFFF"/>
                <w:sz w:val="16"/>
                <w:szCs w:val="16"/>
                <w:lang w:eastAsia="en-US"/>
              </w:rPr>
            </w:pPr>
            <w:r w:rsidRPr="009C438A">
              <w:rPr>
                <w:rFonts w:eastAsia="Calibri" w:cs="Arial"/>
                <w:color w:val="FFFFFF"/>
                <w:sz w:val="16"/>
                <w:szCs w:val="16"/>
                <w:lang w:eastAsia="en-US"/>
              </w:rPr>
              <w:t>Heffingsmogelijkheid bronstaat indien verdragspartner door Nederlands lichaam betaalde dividenden effectief niet belast</w:t>
            </w:r>
          </w:p>
        </w:tc>
        <w:tc>
          <w:tcPr>
            <w:tcW w:w="356"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662C35C0" w14:textId="77777777">
            <w:pPr>
              <w:spacing w:line="276" w:lineRule="auto"/>
              <w:ind w:firstLine="0"/>
              <w:rPr>
                <w:rFonts w:eastAsia="Calibri" w:cs="Arial"/>
                <w:b/>
                <w:color w:val="007BC7"/>
                <w:sz w:val="16"/>
                <w:szCs w:val="16"/>
                <w:lang w:eastAsia="en-US"/>
              </w:rPr>
            </w:pPr>
          </w:p>
        </w:tc>
        <w:tc>
          <w:tcPr>
            <w:tcW w:w="355"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4916F9EA" w14:textId="77777777">
            <w:pPr>
              <w:spacing w:line="276" w:lineRule="auto"/>
              <w:ind w:firstLine="0"/>
              <w:rPr>
                <w:rFonts w:eastAsia="Calibri" w:cs="Arial"/>
                <w:b/>
                <w:color w:val="007BC7"/>
                <w:sz w:val="16"/>
                <w:szCs w:val="16"/>
                <w:lang w:eastAsia="en-US"/>
              </w:rPr>
            </w:pPr>
          </w:p>
        </w:tc>
        <w:tc>
          <w:tcPr>
            <w:tcW w:w="428"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117E66D1" w14:textId="77777777">
            <w:pPr>
              <w:spacing w:line="276" w:lineRule="auto"/>
              <w:ind w:firstLine="0"/>
              <w:rPr>
                <w:rFonts w:eastAsia="Calibri" w:cs="Arial"/>
                <w:b/>
                <w:color w:val="007BC7"/>
                <w:sz w:val="16"/>
                <w:szCs w:val="16"/>
                <w:lang w:eastAsia="en-US"/>
              </w:rPr>
            </w:pPr>
          </w:p>
        </w:tc>
        <w:tc>
          <w:tcPr>
            <w:tcW w:w="433"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393B2D7A" w14:textId="77777777">
            <w:pPr>
              <w:spacing w:line="276" w:lineRule="auto"/>
              <w:ind w:firstLine="0"/>
              <w:rPr>
                <w:rFonts w:eastAsia="Calibri" w:cs="Arial"/>
                <w:b/>
                <w:color w:val="007BC7"/>
                <w:sz w:val="16"/>
                <w:szCs w:val="16"/>
                <w:lang w:eastAsia="en-US"/>
              </w:rPr>
            </w:pPr>
            <w:r w:rsidRPr="009C438A">
              <w:rPr>
                <w:rFonts w:eastAsia="Calibri" w:cs="Arial"/>
                <w:b/>
                <w:color w:val="007BC7"/>
                <w:sz w:val="16"/>
                <w:szCs w:val="16"/>
                <w:lang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2E4C7B16" w14:textId="77777777">
            <w:pPr>
              <w:spacing w:line="276" w:lineRule="auto"/>
              <w:ind w:firstLine="0"/>
              <w:rPr>
                <w:rFonts w:eastAsia="Calibri" w:cs="Arial"/>
                <w:sz w:val="16"/>
                <w:szCs w:val="16"/>
                <w:lang w:eastAsia="en-US"/>
              </w:rPr>
            </w:pPr>
          </w:p>
        </w:tc>
      </w:tr>
      <w:tr w:rsidRPr="009C438A" w:rsidR="00562385" w:rsidTr="00E80A06" w14:paraId="5C8A6A6D"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691F1B2C" w14:textId="77777777">
            <w:pPr>
              <w:spacing w:line="276" w:lineRule="auto"/>
              <w:ind w:firstLine="0"/>
              <w:rPr>
                <w:rFonts w:eastAsia="Calibri" w:cs="Arial"/>
                <w:sz w:val="16"/>
                <w:szCs w:val="16"/>
                <w:lang w:eastAsia="en-US"/>
              </w:rPr>
            </w:pPr>
            <w:r w:rsidRPr="009C438A">
              <w:rPr>
                <w:rFonts w:eastAsia="Calibri" w:cs="Arial"/>
                <w:sz w:val="16"/>
                <w:szCs w:val="16"/>
                <w:lang w:eastAsia="en-US"/>
              </w:rPr>
              <w:t>2.9.5</w:t>
            </w:r>
          </w:p>
        </w:tc>
        <w:tc>
          <w:tcPr>
            <w:tcW w:w="6352" w:type="dxa"/>
            <w:gridSpan w:val="2"/>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562385" w:rsidP="00562385" w:rsidRDefault="00562385" w14:paraId="69625B32" w14:textId="77777777">
            <w:pPr>
              <w:spacing w:line="276" w:lineRule="auto"/>
              <w:ind w:firstLine="0"/>
              <w:rPr>
                <w:rFonts w:eastAsia="Calibri" w:cs="Arial"/>
                <w:color w:val="FFFFFF"/>
                <w:sz w:val="16"/>
                <w:szCs w:val="16"/>
                <w:lang w:eastAsia="en-US"/>
              </w:rPr>
            </w:pPr>
            <w:r w:rsidRPr="009C438A">
              <w:rPr>
                <w:rFonts w:eastAsia="Calibri" w:cs="Arial"/>
                <w:color w:val="FFFFFF"/>
                <w:sz w:val="16"/>
                <w:szCs w:val="16"/>
                <w:lang w:eastAsia="en-US"/>
              </w:rPr>
              <w:t>Bepaling dat inkoop van aandelen en liquidatie worden beheerst door het dividendartikel</w:t>
            </w:r>
          </w:p>
        </w:tc>
        <w:tc>
          <w:tcPr>
            <w:tcW w:w="356"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7D5182CC" w14:textId="77777777">
            <w:pPr>
              <w:spacing w:line="276" w:lineRule="auto"/>
              <w:ind w:firstLine="0"/>
              <w:rPr>
                <w:rFonts w:eastAsia="Calibri" w:cs="Arial"/>
                <w:b/>
                <w:color w:val="007BC7"/>
                <w:sz w:val="16"/>
                <w:szCs w:val="16"/>
                <w:lang w:eastAsia="en-US"/>
              </w:rPr>
            </w:pPr>
            <w:r w:rsidRPr="009C438A">
              <w:rPr>
                <w:rFonts w:eastAsia="Calibri" w:cs="Arial"/>
                <w:b/>
                <w:color w:val="007BC7"/>
                <w:sz w:val="16"/>
                <w:szCs w:val="16"/>
                <w:lang w:eastAsia="en-US"/>
              </w:rPr>
              <w:t>X</w:t>
            </w:r>
          </w:p>
        </w:tc>
        <w:tc>
          <w:tcPr>
            <w:tcW w:w="355"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3B13D30E" w14:textId="77777777">
            <w:pPr>
              <w:spacing w:line="276" w:lineRule="auto"/>
              <w:ind w:firstLine="0"/>
              <w:rPr>
                <w:rFonts w:eastAsia="Calibri" w:cs="Arial"/>
                <w:b/>
                <w:color w:val="007BC7"/>
                <w:sz w:val="16"/>
                <w:szCs w:val="16"/>
                <w:lang w:eastAsia="en-US"/>
              </w:rPr>
            </w:pPr>
          </w:p>
        </w:tc>
        <w:tc>
          <w:tcPr>
            <w:tcW w:w="428"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02949F2D" w14:textId="77777777">
            <w:pPr>
              <w:spacing w:line="276" w:lineRule="auto"/>
              <w:ind w:firstLine="0"/>
              <w:rPr>
                <w:rFonts w:eastAsia="Calibri" w:cs="Arial"/>
                <w:b/>
                <w:color w:val="007BC7"/>
                <w:sz w:val="16"/>
                <w:szCs w:val="16"/>
                <w:lang w:eastAsia="en-US"/>
              </w:rPr>
            </w:pPr>
          </w:p>
        </w:tc>
        <w:tc>
          <w:tcPr>
            <w:tcW w:w="433"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1AAB21B8" w14:textId="77777777">
            <w:pPr>
              <w:spacing w:line="276" w:lineRule="auto"/>
              <w:ind w:firstLine="0"/>
              <w:rPr>
                <w:rFonts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0504C1" w:rsidRDefault="00562385" w14:paraId="3239554E" w14:textId="77777777">
            <w:pPr>
              <w:spacing w:line="276" w:lineRule="auto"/>
              <w:ind w:firstLine="0"/>
              <w:rPr>
                <w:rFonts w:eastAsia="Calibri" w:cs="Arial"/>
                <w:sz w:val="16"/>
                <w:szCs w:val="16"/>
                <w:lang w:eastAsia="en-US"/>
              </w:rPr>
            </w:pPr>
            <w:r>
              <w:rPr>
                <w:rFonts w:eastAsia="Calibri" w:cs="Arial"/>
                <w:sz w:val="16"/>
                <w:szCs w:val="16"/>
                <w:lang w:eastAsia="en-US"/>
              </w:rPr>
              <w:t>II.</w:t>
            </w:r>
            <w:r w:rsidR="000504C1">
              <w:rPr>
                <w:rFonts w:eastAsia="Calibri" w:cs="Arial"/>
                <w:sz w:val="16"/>
                <w:szCs w:val="16"/>
                <w:lang w:eastAsia="en-US"/>
              </w:rPr>
              <w:t>20</w:t>
            </w:r>
          </w:p>
        </w:tc>
      </w:tr>
      <w:tr w:rsidRPr="009C438A" w:rsidR="00562385" w:rsidTr="00E80A06" w14:paraId="19B85974" w14:textId="77777777">
        <w:trPr>
          <w:gridAfter w:val="12"/>
          <w:wAfter w:w="2094" w:type="dxa"/>
          <w:cantSplit/>
          <w:trHeight w:val="403"/>
        </w:trPr>
        <w:tc>
          <w:tcPr>
            <w:tcW w:w="693" w:type="dxa"/>
            <w:shd w:val="clear" w:color="auto" w:fill="FFFFFF"/>
            <w:vAlign w:val="center"/>
          </w:tcPr>
          <w:p w:rsidRPr="009C438A" w:rsidR="00562385" w:rsidP="00562385" w:rsidRDefault="00562385" w14:paraId="4521B050" w14:textId="77777777">
            <w:pPr>
              <w:rPr>
                <w:rFonts w:cs="Arial"/>
                <w:b/>
                <w:sz w:val="16"/>
                <w:szCs w:val="16"/>
              </w:rPr>
            </w:pPr>
          </w:p>
        </w:tc>
        <w:tc>
          <w:tcPr>
            <w:tcW w:w="6389" w:type="dxa"/>
            <w:gridSpan w:val="4"/>
            <w:shd w:val="clear" w:color="auto" w:fill="FFFFFF"/>
            <w:vAlign w:val="center"/>
          </w:tcPr>
          <w:p w:rsidRPr="009C438A" w:rsidR="00562385" w:rsidP="00562385" w:rsidRDefault="00562385" w14:paraId="3875C94D" w14:textId="77777777">
            <w:pPr>
              <w:ind w:firstLine="0"/>
              <w:rPr>
                <w:rFonts w:cs="Arial"/>
                <w:i/>
                <w:sz w:val="16"/>
                <w:szCs w:val="16"/>
              </w:rPr>
            </w:pPr>
            <w:r w:rsidRPr="009C438A">
              <w:rPr>
                <w:rFonts w:eastAsia="Calibri" w:cs="Arial"/>
                <w:i/>
                <w:sz w:val="16"/>
                <w:szCs w:val="16"/>
                <w:lang w:eastAsia="en-US"/>
              </w:rPr>
              <w:t>Arbeid</w:t>
            </w:r>
          </w:p>
        </w:tc>
      </w:tr>
      <w:tr w:rsidRPr="009C438A" w:rsidR="00562385" w:rsidTr="00E80A06" w14:paraId="51602AAE" w14:textId="77777777">
        <w:trPr>
          <w:trHeight w:val="83"/>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504C7FBF" w14:textId="77777777">
            <w:pPr>
              <w:spacing w:line="276" w:lineRule="auto"/>
              <w:ind w:firstLine="0"/>
              <w:rPr>
                <w:rFonts w:eastAsia="Calibri" w:cs="Arial"/>
                <w:sz w:val="16"/>
                <w:szCs w:val="16"/>
                <w:lang w:eastAsia="en-US"/>
              </w:rPr>
            </w:pPr>
            <w:r w:rsidRPr="009C438A">
              <w:rPr>
                <w:rFonts w:eastAsia="Calibri" w:cs="Arial"/>
                <w:sz w:val="16"/>
                <w:szCs w:val="16"/>
                <w:lang w:eastAsia="en-US"/>
              </w:rPr>
              <w:t>2.10</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562385" w:rsidP="00562385" w:rsidRDefault="00562385" w14:paraId="21CD9C9A" w14:textId="77777777">
            <w:pPr>
              <w:spacing w:line="276" w:lineRule="auto"/>
              <w:ind w:firstLine="0"/>
              <w:rPr>
                <w:rFonts w:eastAsia="Calibri" w:cs="Arial"/>
                <w:color w:val="FFFFFF"/>
                <w:sz w:val="16"/>
                <w:szCs w:val="16"/>
                <w:lang w:eastAsia="en-US"/>
              </w:rPr>
            </w:pPr>
            <w:r w:rsidRPr="009C438A">
              <w:rPr>
                <w:rFonts w:eastAsia="Calibri" w:cs="Arial"/>
                <w:color w:val="FFFFFF"/>
                <w:sz w:val="16"/>
                <w:szCs w:val="16"/>
                <w:lang w:eastAsia="en-US"/>
              </w:rPr>
              <w:t>183-dagenbepaling opgenomen voor inkomsten uit dienstbetrekking</w:t>
            </w:r>
          </w:p>
        </w:tc>
        <w:tc>
          <w:tcPr>
            <w:tcW w:w="423" w:type="dxa"/>
            <w:gridSpan w:val="6"/>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67FD8E18" w14:textId="77777777">
            <w:pPr>
              <w:spacing w:line="276" w:lineRule="auto"/>
              <w:ind w:firstLine="0"/>
              <w:rPr>
                <w:rFonts w:eastAsia="Calibri" w:cs="Arial"/>
                <w:b/>
                <w:color w:val="007BC7"/>
                <w:sz w:val="16"/>
                <w:szCs w:val="16"/>
                <w:lang w:eastAsia="en-US"/>
              </w:rPr>
            </w:pP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054119DF" w14:textId="77777777">
            <w:pPr>
              <w:spacing w:line="276" w:lineRule="auto"/>
              <w:ind w:left="-70" w:firstLine="0"/>
              <w:rPr>
                <w:rFonts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2D8A29C0" w14:textId="77777777">
            <w:pPr>
              <w:spacing w:line="276" w:lineRule="auto"/>
              <w:ind w:firstLine="0"/>
              <w:rPr>
                <w:rFonts w:eastAsia="Calibri" w:cs="Arial"/>
                <w:b/>
                <w:color w:val="007BC7"/>
                <w:sz w:val="16"/>
                <w:szCs w:val="16"/>
                <w:lang w:eastAsia="en-US"/>
              </w:rPr>
            </w:pP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287064E5" w14:textId="77777777">
            <w:pPr>
              <w:spacing w:line="276" w:lineRule="auto"/>
              <w:ind w:firstLine="0"/>
              <w:rPr>
                <w:rFonts w:eastAsia="Calibri" w:cs="Arial"/>
                <w:b/>
                <w:color w:val="007BC7"/>
                <w:sz w:val="16"/>
                <w:szCs w:val="16"/>
                <w:lang w:eastAsia="en-US"/>
              </w:rPr>
            </w:pPr>
            <w:r w:rsidRPr="009C438A">
              <w:rPr>
                <w:rFonts w:eastAsia="Calibri" w:cs="Arial"/>
                <w:b/>
                <w:color w:val="007BC7"/>
                <w:sz w:val="16"/>
                <w:szCs w:val="16"/>
                <w:lang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7ADB7D3B" w14:textId="77777777">
            <w:pPr>
              <w:spacing w:line="276" w:lineRule="auto"/>
              <w:ind w:firstLine="0"/>
              <w:rPr>
                <w:rFonts w:eastAsia="Calibri" w:cs="Arial"/>
                <w:sz w:val="16"/>
                <w:szCs w:val="16"/>
                <w:lang w:eastAsia="en-US"/>
              </w:rPr>
            </w:pPr>
          </w:p>
        </w:tc>
      </w:tr>
      <w:tr w:rsidRPr="00B1331A" w:rsidR="00562385" w:rsidTr="00E80A06" w14:paraId="5301A733"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715244ED" w14:textId="77777777">
            <w:pPr>
              <w:spacing w:line="276" w:lineRule="auto"/>
              <w:ind w:firstLine="0"/>
              <w:rPr>
                <w:rFonts w:eastAsia="Calibri" w:cs="Arial"/>
                <w:sz w:val="16"/>
                <w:szCs w:val="16"/>
                <w:lang w:eastAsia="en-US"/>
              </w:rPr>
            </w:pPr>
            <w:r w:rsidRPr="009C438A">
              <w:rPr>
                <w:rFonts w:eastAsia="Calibri" w:cs="Arial"/>
                <w:sz w:val="16"/>
                <w:szCs w:val="16"/>
                <w:lang w:eastAsia="en-US"/>
              </w:rPr>
              <w:t>2.11.1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562385" w:rsidP="00562385" w:rsidRDefault="00562385" w14:paraId="7C2B31A1" w14:textId="77777777">
            <w:pPr>
              <w:spacing w:line="276" w:lineRule="auto"/>
              <w:ind w:firstLine="0"/>
              <w:rPr>
                <w:rFonts w:eastAsia="Calibri" w:cs="Arial"/>
                <w:color w:val="FFFFFF"/>
                <w:sz w:val="16"/>
                <w:szCs w:val="16"/>
                <w:lang w:eastAsia="en-US"/>
              </w:rPr>
            </w:pPr>
            <w:r w:rsidRPr="009C438A">
              <w:rPr>
                <w:rFonts w:eastAsia="Calibri" w:cs="Arial"/>
                <w:color w:val="FFFFFF"/>
                <w:sz w:val="16"/>
                <w:szCs w:val="16"/>
                <w:lang w:eastAsia="en-US"/>
              </w:rPr>
              <w:t>Bronstaatheffing voor gefacilieerd opgebouwde pensioenen, onafhankelijk van de behandeling van de pensioenen in de woonstaat</w:t>
            </w:r>
          </w:p>
        </w:tc>
        <w:tc>
          <w:tcPr>
            <w:tcW w:w="423" w:type="dxa"/>
            <w:gridSpan w:val="6"/>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201BDF4E" w14:textId="77777777">
            <w:pPr>
              <w:spacing w:line="276" w:lineRule="auto"/>
              <w:ind w:firstLine="0"/>
              <w:rPr>
                <w:rFonts w:eastAsia="Calibri" w:cs="Arial"/>
                <w:b/>
                <w:color w:val="007BC7"/>
                <w:sz w:val="16"/>
                <w:szCs w:val="16"/>
                <w:lang w:eastAsia="en-US"/>
              </w:rPr>
            </w:pPr>
            <w:r w:rsidRPr="009C438A">
              <w:rPr>
                <w:rFonts w:eastAsia="Calibri" w:cs="Arial"/>
                <w:b/>
                <w:color w:val="007BC7"/>
                <w:sz w:val="16"/>
                <w:szCs w:val="16"/>
                <w:lang w:eastAsia="en-US"/>
              </w:rPr>
              <w:t>X</w:t>
            </w: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685289E0" w14:textId="77777777">
            <w:pPr>
              <w:spacing w:line="276" w:lineRule="auto"/>
              <w:ind w:left="-77" w:firstLine="77"/>
              <w:rPr>
                <w:rFonts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41804EB6" w14:textId="77777777">
            <w:pPr>
              <w:spacing w:line="276" w:lineRule="auto"/>
              <w:ind w:firstLine="0"/>
              <w:rPr>
                <w:rFonts w:eastAsia="Calibri" w:cs="Arial"/>
                <w:b/>
                <w:color w:val="007BC7"/>
                <w:sz w:val="16"/>
                <w:szCs w:val="16"/>
                <w:lang w:eastAsia="en-US"/>
              </w:rPr>
            </w:pP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72586B04" w14:textId="77777777">
            <w:pPr>
              <w:spacing w:line="276" w:lineRule="auto"/>
              <w:ind w:firstLine="0"/>
              <w:rPr>
                <w:rFonts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450E5C8F" w14:textId="77777777">
            <w:pPr>
              <w:spacing w:line="276" w:lineRule="auto"/>
              <w:ind w:firstLine="0"/>
              <w:rPr>
                <w:rFonts w:eastAsia="Calibri" w:cs="Arial"/>
                <w:sz w:val="16"/>
                <w:szCs w:val="16"/>
                <w:lang w:eastAsia="en-US"/>
              </w:rPr>
            </w:pPr>
            <w:r>
              <w:rPr>
                <w:rFonts w:eastAsia="Calibri" w:cs="Arial"/>
                <w:sz w:val="16"/>
                <w:szCs w:val="16"/>
                <w:lang w:eastAsia="en-US"/>
              </w:rPr>
              <w:t>II.10</w:t>
            </w:r>
          </w:p>
        </w:tc>
      </w:tr>
      <w:tr w:rsidRPr="00B1331A" w:rsidR="00562385" w:rsidTr="00E80A06" w14:paraId="376D87EC" w14:textId="77777777">
        <w:trPr>
          <w:trHeight w:val="255"/>
        </w:trPr>
        <w:tc>
          <w:tcPr>
            <w:tcW w:w="693" w:type="dxa"/>
            <w:shd w:val="clear" w:color="auto" w:fill="BFBFBF"/>
            <w:vAlign w:val="center"/>
          </w:tcPr>
          <w:p w:rsidRPr="009C438A" w:rsidR="00562385" w:rsidP="00562385" w:rsidRDefault="00562385" w14:paraId="017833C9" w14:textId="77777777">
            <w:pPr>
              <w:spacing w:line="276" w:lineRule="auto"/>
              <w:ind w:firstLine="0"/>
              <w:rPr>
                <w:rFonts w:eastAsia="Calibri" w:cs="Arial"/>
                <w:sz w:val="16"/>
                <w:szCs w:val="16"/>
                <w:lang w:eastAsia="en-US"/>
              </w:rPr>
            </w:pPr>
            <w:r w:rsidRPr="009C438A">
              <w:rPr>
                <w:rFonts w:eastAsia="Calibri" w:cs="Arial"/>
                <w:sz w:val="16"/>
                <w:szCs w:val="16"/>
                <w:lang w:eastAsia="en-US"/>
              </w:rPr>
              <w:t>2.11.2</w:t>
            </w:r>
          </w:p>
        </w:tc>
        <w:tc>
          <w:tcPr>
            <w:tcW w:w="1350" w:type="dxa"/>
            <w:shd w:val="clear" w:color="auto" w:fill="BFBFBF"/>
            <w:vAlign w:val="center"/>
          </w:tcPr>
          <w:p w:rsidRPr="00B1331A" w:rsidR="00562385" w:rsidP="00562385" w:rsidRDefault="00562385" w14:paraId="7B675AD7" w14:textId="77777777">
            <w:pPr>
              <w:spacing w:line="276" w:lineRule="auto"/>
              <w:ind w:firstLine="0"/>
              <w:rPr>
                <w:rFonts w:cs="Arial"/>
                <w:color w:val="000000"/>
                <w:sz w:val="16"/>
                <w:szCs w:val="16"/>
              </w:rPr>
            </w:pPr>
            <w:r w:rsidRPr="009C438A">
              <w:rPr>
                <w:rFonts w:eastAsia="Calibri" w:cs="Arial"/>
                <w:color w:val="000000"/>
                <w:sz w:val="16"/>
                <w:szCs w:val="16"/>
                <w:lang w:eastAsia="en-US"/>
              </w:rPr>
              <w:t>Indien Ja:</w:t>
            </w:r>
          </w:p>
        </w:tc>
        <w:tc>
          <w:tcPr>
            <w:tcW w:w="5023" w:type="dxa"/>
            <w:gridSpan w:val="2"/>
            <w:shd w:val="clear" w:color="auto" w:fill="007BC7"/>
            <w:vAlign w:val="center"/>
          </w:tcPr>
          <w:p w:rsidRPr="009C438A" w:rsidR="00562385" w:rsidP="00562385" w:rsidRDefault="00562385" w14:paraId="4714EC7B" w14:textId="77777777">
            <w:pPr>
              <w:spacing w:line="276" w:lineRule="auto"/>
              <w:ind w:firstLine="0"/>
              <w:rPr>
                <w:rFonts w:eastAsia="Calibri" w:cs="Arial"/>
                <w:color w:val="FFFFFF"/>
                <w:sz w:val="16"/>
                <w:szCs w:val="16"/>
                <w:lang w:eastAsia="en-US"/>
              </w:rPr>
            </w:pPr>
            <w:r w:rsidRPr="009C438A">
              <w:rPr>
                <w:rFonts w:eastAsia="Calibri" w:cs="Arial"/>
                <w:color w:val="FFFFFF"/>
                <w:sz w:val="16"/>
                <w:szCs w:val="16"/>
                <w:lang w:eastAsia="en-US"/>
              </w:rPr>
              <w:t>Geen splitsing particuliere en privaatrechtelijke pensioenen indien bronstaatheffing</w:t>
            </w:r>
          </w:p>
        </w:tc>
        <w:tc>
          <w:tcPr>
            <w:tcW w:w="423" w:type="dxa"/>
            <w:gridSpan w:val="6"/>
            <w:shd w:val="clear" w:color="auto" w:fill="BFBFBF"/>
            <w:vAlign w:val="center"/>
          </w:tcPr>
          <w:p w:rsidRPr="009C438A" w:rsidR="00562385" w:rsidP="00562385" w:rsidRDefault="00562385" w14:paraId="08C1122A" w14:textId="77777777">
            <w:pPr>
              <w:spacing w:line="276" w:lineRule="auto"/>
              <w:ind w:firstLine="0"/>
              <w:rPr>
                <w:rFonts w:eastAsia="Calibri" w:cs="Arial"/>
                <w:b/>
                <w:color w:val="007BC7"/>
                <w:sz w:val="16"/>
                <w:szCs w:val="16"/>
                <w:lang w:eastAsia="en-US"/>
              </w:rPr>
            </w:pPr>
          </w:p>
        </w:tc>
        <w:tc>
          <w:tcPr>
            <w:tcW w:w="353" w:type="dxa"/>
            <w:gridSpan w:val="2"/>
            <w:shd w:val="clear" w:color="auto" w:fill="BFBFBF"/>
            <w:vAlign w:val="center"/>
          </w:tcPr>
          <w:p w:rsidRPr="009C438A" w:rsidR="00562385" w:rsidP="00562385" w:rsidRDefault="00562385" w14:paraId="71E282D0" w14:textId="77777777">
            <w:pPr>
              <w:spacing w:line="276" w:lineRule="auto"/>
              <w:ind w:firstLine="0"/>
              <w:rPr>
                <w:rFonts w:eastAsia="Calibri" w:cs="Arial"/>
                <w:b/>
                <w:color w:val="007BC7"/>
                <w:sz w:val="16"/>
                <w:szCs w:val="16"/>
                <w:lang w:eastAsia="en-US"/>
              </w:rPr>
            </w:pPr>
          </w:p>
        </w:tc>
        <w:tc>
          <w:tcPr>
            <w:tcW w:w="422" w:type="dxa"/>
            <w:gridSpan w:val="2"/>
            <w:shd w:val="clear" w:color="auto" w:fill="BFBFBF"/>
            <w:vAlign w:val="center"/>
          </w:tcPr>
          <w:p w:rsidRPr="009C438A" w:rsidR="00562385" w:rsidP="00562385" w:rsidRDefault="00562385" w14:paraId="19C15030" w14:textId="77777777">
            <w:pPr>
              <w:spacing w:line="276" w:lineRule="auto"/>
              <w:ind w:firstLine="0"/>
              <w:rPr>
                <w:rFonts w:eastAsia="Calibri" w:cs="Arial"/>
                <w:b/>
                <w:color w:val="007BC7"/>
                <w:sz w:val="16"/>
                <w:szCs w:val="16"/>
                <w:lang w:eastAsia="en-US"/>
              </w:rPr>
            </w:pPr>
            <w:r w:rsidRPr="009C438A">
              <w:rPr>
                <w:rFonts w:eastAsia="Calibri" w:cs="Arial"/>
                <w:b/>
                <w:color w:val="007BC7"/>
                <w:sz w:val="16"/>
                <w:szCs w:val="16"/>
                <w:lang w:eastAsia="en-US"/>
              </w:rPr>
              <w:t>X</w:t>
            </w:r>
          </w:p>
        </w:tc>
        <w:tc>
          <w:tcPr>
            <w:tcW w:w="353" w:type="dxa"/>
            <w:gridSpan w:val="2"/>
            <w:shd w:val="clear" w:color="auto" w:fill="BFBFBF"/>
            <w:vAlign w:val="center"/>
          </w:tcPr>
          <w:p w:rsidRPr="009C438A" w:rsidR="00562385" w:rsidP="00562385" w:rsidRDefault="00562385" w14:paraId="282E0733" w14:textId="77777777">
            <w:pPr>
              <w:spacing w:line="276" w:lineRule="auto"/>
              <w:ind w:firstLine="0"/>
              <w:rPr>
                <w:rFonts w:eastAsia="Calibri" w:cs="Arial"/>
                <w:b/>
                <w:color w:val="007BC7"/>
                <w:sz w:val="16"/>
                <w:szCs w:val="16"/>
                <w:lang w:eastAsia="en-US"/>
              </w:rPr>
            </w:pPr>
          </w:p>
        </w:tc>
        <w:tc>
          <w:tcPr>
            <w:tcW w:w="559" w:type="dxa"/>
            <w:shd w:val="clear" w:color="auto" w:fill="BFBFBF"/>
            <w:vAlign w:val="center"/>
          </w:tcPr>
          <w:p w:rsidRPr="009C438A" w:rsidR="00562385" w:rsidP="00562385" w:rsidRDefault="00562385" w14:paraId="08D6E721" w14:textId="77777777">
            <w:pPr>
              <w:spacing w:line="276" w:lineRule="auto"/>
              <w:ind w:firstLine="0"/>
              <w:rPr>
                <w:rFonts w:eastAsia="Calibri" w:cs="Arial"/>
                <w:sz w:val="16"/>
                <w:szCs w:val="16"/>
                <w:lang w:eastAsia="en-US"/>
              </w:rPr>
            </w:pPr>
            <w:r>
              <w:rPr>
                <w:rFonts w:eastAsia="Calibri" w:cs="Arial"/>
                <w:sz w:val="16"/>
                <w:szCs w:val="16"/>
                <w:lang w:eastAsia="en-US"/>
              </w:rPr>
              <w:t>II.10</w:t>
            </w:r>
          </w:p>
        </w:tc>
      </w:tr>
      <w:tr w:rsidRPr="000E6B89" w:rsidR="00562385" w:rsidTr="00E80A06" w14:paraId="3713228E" w14:textId="77777777">
        <w:trPr>
          <w:trHeight w:val="255"/>
        </w:trPr>
        <w:tc>
          <w:tcPr>
            <w:tcW w:w="693" w:type="dxa"/>
            <w:shd w:val="clear" w:color="auto" w:fill="BFBFBF"/>
            <w:vAlign w:val="center"/>
          </w:tcPr>
          <w:p w:rsidRPr="009C438A" w:rsidR="00562385" w:rsidP="00562385" w:rsidRDefault="00562385" w14:paraId="000445A6" w14:textId="77777777">
            <w:pPr>
              <w:spacing w:line="276" w:lineRule="auto"/>
              <w:ind w:firstLine="0"/>
              <w:rPr>
                <w:rFonts w:eastAsia="Calibri" w:cs="Arial"/>
                <w:sz w:val="16"/>
                <w:szCs w:val="16"/>
                <w:lang w:eastAsia="en-US"/>
              </w:rPr>
            </w:pPr>
            <w:r w:rsidRPr="009C438A">
              <w:rPr>
                <w:rFonts w:eastAsia="Calibri" w:cs="Arial"/>
                <w:sz w:val="16"/>
                <w:szCs w:val="16"/>
                <w:lang w:eastAsia="en-US"/>
              </w:rPr>
              <w:t>2.11.1</w:t>
            </w:r>
          </w:p>
        </w:tc>
        <w:tc>
          <w:tcPr>
            <w:tcW w:w="1350" w:type="dxa"/>
            <w:shd w:val="clear" w:color="auto" w:fill="BFBFBF"/>
            <w:vAlign w:val="center"/>
          </w:tcPr>
          <w:p w:rsidRPr="00B03003" w:rsidR="00562385" w:rsidP="00562385" w:rsidRDefault="00562385" w14:paraId="3EF0ADC6" w14:textId="77777777">
            <w:pPr>
              <w:spacing w:line="276" w:lineRule="auto"/>
              <w:ind w:firstLine="0"/>
              <w:rPr>
                <w:rFonts w:cs="Arial"/>
                <w:color w:val="000000"/>
                <w:sz w:val="16"/>
                <w:szCs w:val="16"/>
              </w:rPr>
            </w:pPr>
            <w:r w:rsidRPr="009C438A">
              <w:rPr>
                <w:rFonts w:eastAsia="Calibri" w:cs="Arial"/>
                <w:color w:val="000000"/>
                <w:sz w:val="16"/>
                <w:szCs w:val="16"/>
                <w:lang w:eastAsia="en-US"/>
              </w:rPr>
              <w:t>Terugvaloptie:</w:t>
            </w:r>
          </w:p>
        </w:tc>
        <w:tc>
          <w:tcPr>
            <w:tcW w:w="5023" w:type="dxa"/>
            <w:gridSpan w:val="2"/>
            <w:shd w:val="clear" w:color="auto" w:fill="007BC7"/>
            <w:vAlign w:val="center"/>
          </w:tcPr>
          <w:p w:rsidRPr="009C438A" w:rsidR="00562385" w:rsidP="00562385" w:rsidRDefault="00562385" w14:paraId="32474ED0" w14:textId="77777777">
            <w:pPr>
              <w:spacing w:line="276" w:lineRule="auto"/>
              <w:ind w:firstLine="0"/>
              <w:rPr>
                <w:rFonts w:eastAsia="Calibri" w:cs="Arial"/>
                <w:color w:val="FFFFFF"/>
                <w:sz w:val="16"/>
                <w:szCs w:val="16"/>
                <w:lang w:eastAsia="en-US"/>
              </w:rPr>
            </w:pPr>
            <w:r w:rsidRPr="009C438A">
              <w:rPr>
                <w:rFonts w:eastAsia="Calibri" w:cs="Arial"/>
                <w:color w:val="FFFFFF"/>
                <w:sz w:val="16"/>
                <w:szCs w:val="16"/>
                <w:lang w:eastAsia="en-US"/>
              </w:rPr>
              <w:t xml:space="preserve">Beperkt bronheffingsrecht </w:t>
            </w:r>
          </w:p>
        </w:tc>
        <w:tc>
          <w:tcPr>
            <w:tcW w:w="423" w:type="dxa"/>
            <w:gridSpan w:val="6"/>
            <w:shd w:val="clear" w:color="auto" w:fill="BFBFBF"/>
            <w:vAlign w:val="center"/>
          </w:tcPr>
          <w:p w:rsidRPr="009C438A" w:rsidR="00562385" w:rsidP="00562385" w:rsidRDefault="00562385" w14:paraId="74A746A5" w14:textId="77777777">
            <w:pPr>
              <w:spacing w:line="276" w:lineRule="auto"/>
              <w:ind w:firstLine="0"/>
              <w:rPr>
                <w:rFonts w:eastAsia="Calibri" w:cs="Arial"/>
                <w:b/>
                <w:color w:val="007BC7"/>
                <w:sz w:val="16"/>
                <w:szCs w:val="16"/>
                <w:lang w:eastAsia="en-US"/>
              </w:rPr>
            </w:pPr>
          </w:p>
        </w:tc>
        <w:tc>
          <w:tcPr>
            <w:tcW w:w="353" w:type="dxa"/>
            <w:gridSpan w:val="2"/>
            <w:shd w:val="clear" w:color="auto" w:fill="BFBFBF"/>
            <w:vAlign w:val="center"/>
          </w:tcPr>
          <w:p w:rsidRPr="009C438A" w:rsidR="00562385" w:rsidP="00562385" w:rsidRDefault="00562385" w14:paraId="504E13EA" w14:textId="77777777">
            <w:pPr>
              <w:spacing w:line="276" w:lineRule="auto"/>
              <w:ind w:firstLine="0"/>
              <w:rPr>
                <w:rFonts w:eastAsia="Calibri" w:cs="Arial"/>
                <w:b/>
                <w:color w:val="007BC7"/>
                <w:sz w:val="16"/>
                <w:szCs w:val="16"/>
                <w:lang w:eastAsia="en-US"/>
              </w:rPr>
            </w:pPr>
          </w:p>
        </w:tc>
        <w:tc>
          <w:tcPr>
            <w:tcW w:w="422" w:type="dxa"/>
            <w:gridSpan w:val="2"/>
            <w:shd w:val="clear" w:color="auto" w:fill="BFBFBF"/>
            <w:vAlign w:val="center"/>
          </w:tcPr>
          <w:p w:rsidRPr="009C438A" w:rsidR="00562385" w:rsidP="00562385" w:rsidRDefault="00562385" w14:paraId="5E5EC81B" w14:textId="77777777">
            <w:pPr>
              <w:spacing w:line="276" w:lineRule="auto"/>
              <w:ind w:firstLine="0"/>
              <w:rPr>
                <w:rFonts w:eastAsia="Calibri" w:cs="Arial"/>
                <w:b/>
                <w:color w:val="007BC7"/>
                <w:sz w:val="16"/>
                <w:szCs w:val="16"/>
                <w:lang w:eastAsia="en-US"/>
              </w:rPr>
            </w:pPr>
          </w:p>
        </w:tc>
        <w:tc>
          <w:tcPr>
            <w:tcW w:w="353" w:type="dxa"/>
            <w:gridSpan w:val="2"/>
            <w:shd w:val="clear" w:color="auto" w:fill="BFBFBF"/>
            <w:vAlign w:val="center"/>
          </w:tcPr>
          <w:p w:rsidRPr="009C438A" w:rsidR="00562385" w:rsidP="00562385" w:rsidRDefault="00562385" w14:paraId="752F9450" w14:textId="77777777">
            <w:pPr>
              <w:spacing w:line="276" w:lineRule="auto"/>
              <w:ind w:firstLine="0"/>
              <w:rPr>
                <w:rFonts w:eastAsia="Calibri" w:cs="Arial"/>
                <w:b/>
                <w:color w:val="007BC7"/>
                <w:sz w:val="16"/>
                <w:szCs w:val="16"/>
                <w:lang w:eastAsia="en-US"/>
              </w:rPr>
            </w:pPr>
            <w:r w:rsidRPr="009C438A">
              <w:rPr>
                <w:rFonts w:eastAsia="Calibri" w:cs="Arial"/>
                <w:b/>
                <w:color w:val="007BC7"/>
                <w:sz w:val="16"/>
                <w:szCs w:val="16"/>
                <w:lang w:eastAsia="en-US"/>
              </w:rPr>
              <w:t>X</w:t>
            </w:r>
          </w:p>
        </w:tc>
        <w:tc>
          <w:tcPr>
            <w:tcW w:w="559" w:type="dxa"/>
            <w:shd w:val="clear" w:color="auto" w:fill="BFBFBF"/>
            <w:vAlign w:val="center"/>
          </w:tcPr>
          <w:p w:rsidRPr="009C438A" w:rsidR="00562385" w:rsidP="00562385" w:rsidRDefault="00562385" w14:paraId="3D59BF78" w14:textId="77777777">
            <w:pPr>
              <w:spacing w:line="276" w:lineRule="auto"/>
              <w:ind w:firstLine="0"/>
              <w:rPr>
                <w:rFonts w:eastAsia="Calibri" w:cs="Arial"/>
                <w:sz w:val="16"/>
                <w:szCs w:val="16"/>
                <w:lang w:eastAsia="en-US"/>
              </w:rPr>
            </w:pPr>
          </w:p>
        </w:tc>
      </w:tr>
      <w:tr w:rsidRPr="009C438A" w:rsidR="00562385" w:rsidTr="00E80A06" w14:paraId="450C7A10"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742171C2" w14:textId="77777777">
            <w:pPr>
              <w:spacing w:line="276" w:lineRule="auto"/>
              <w:ind w:firstLine="0"/>
              <w:rPr>
                <w:rFonts w:eastAsia="Calibri" w:cs="Arial"/>
                <w:sz w:val="16"/>
                <w:szCs w:val="16"/>
                <w:lang w:eastAsia="en-US"/>
              </w:rPr>
            </w:pPr>
            <w:r w:rsidRPr="009C438A">
              <w:rPr>
                <w:rFonts w:eastAsia="Calibri" w:cs="Arial"/>
                <w:sz w:val="16"/>
                <w:szCs w:val="16"/>
                <w:lang w:eastAsia="en-US"/>
              </w:rPr>
              <w:t>2.11.5</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562385" w:rsidP="00562385" w:rsidRDefault="00562385" w14:paraId="421606F4" w14:textId="77777777">
            <w:pPr>
              <w:spacing w:line="276" w:lineRule="auto"/>
              <w:ind w:firstLine="0"/>
              <w:rPr>
                <w:rFonts w:eastAsia="Calibri" w:cs="Arial"/>
                <w:color w:val="FFFFFF"/>
                <w:sz w:val="16"/>
                <w:szCs w:val="16"/>
                <w:lang w:eastAsia="en-US"/>
              </w:rPr>
            </w:pPr>
            <w:r w:rsidRPr="009C438A">
              <w:rPr>
                <w:rFonts w:eastAsia="Calibri" w:cs="Arial"/>
                <w:color w:val="FFFFFF"/>
                <w:sz w:val="16"/>
                <w:szCs w:val="16"/>
                <w:lang w:eastAsia="en-US"/>
              </w:rPr>
              <w:t>Regeling voortgezette pensioenpremieaftrek in of bij non- discriminatieartikel</w:t>
            </w:r>
          </w:p>
        </w:tc>
        <w:tc>
          <w:tcPr>
            <w:tcW w:w="423" w:type="dxa"/>
            <w:gridSpan w:val="6"/>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621592A2" w14:textId="77777777">
            <w:pPr>
              <w:spacing w:line="276" w:lineRule="auto"/>
              <w:ind w:firstLine="0"/>
              <w:rPr>
                <w:rFonts w:eastAsia="Calibri" w:cs="Arial"/>
                <w:b/>
                <w:color w:val="007BC7"/>
                <w:sz w:val="16"/>
                <w:szCs w:val="16"/>
                <w:lang w:eastAsia="en-US"/>
              </w:rPr>
            </w:pP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70A74271" w14:textId="77777777">
            <w:pPr>
              <w:spacing w:line="276" w:lineRule="auto"/>
              <w:ind w:firstLine="0"/>
              <w:rPr>
                <w:rFonts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5BACD0FA" w14:textId="77777777">
            <w:pPr>
              <w:spacing w:line="276" w:lineRule="auto"/>
              <w:ind w:firstLine="0"/>
              <w:rPr>
                <w:rFonts w:eastAsia="Calibri" w:cs="Arial"/>
                <w:b/>
                <w:color w:val="007BC7"/>
                <w:sz w:val="16"/>
                <w:szCs w:val="16"/>
                <w:lang w:eastAsia="en-US"/>
              </w:rPr>
            </w:pP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0FD9DE44" w14:textId="77777777">
            <w:pPr>
              <w:spacing w:line="276" w:lineRule="auto"/>
              <w:ind w:firstLine="0"/>
              <w:rPr>
                <w:rFonts w:eastAsia="Calibri" w:cs="Arial"/>
                <w:b/>
                <w:color w:val="007BC7"/>
                <w:sz w:val="16"/>
                <w:szCs w:val="16"/>
                <w:lang w:eastAsia="en-US"/>
              </w:rPr>
            </w:pPr>
            <w:r w:rsidRPr="009C438A">
              <w:rPr>
                <w:rFonts w:eastAsia="Calibri" w:cs="Arial"/>
                <w:b/>
                <w:color w:val="007BC7"/>
                <w:sz w:val="16"/>
                <w:szCs w:val="16"/>
                <w:lang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34308935" w14:textId="77777777">
            <w:pPr>
              <w:spacing w:line="276" w:lineRule="auto"/>
              <w:ind w:firstLine="0"/>
              <w:rPr>
                <w:rFonts w:eastAsia="Calibri" w:cs="Arial"/>
                <w:sz w:val="16"/>
                <w:szCs w:val="16"/>
                <w:lang w:eastAsia="en-US"/>
              </w:rPr>
            </w:pPr>
          </w:p>
        </w:tc>
      </w:tr>
      <w:tr w:rsidRPr="009C438A" w:rsidR="00562385" w:rsidTr="00E80A06" w14:paraId="7A2DBAF4"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0AB3A06A" w14:textId="77777777">
            <w:pPr>
              <w:spacing w:line="276" w:lineRule="auto"/>
              <w:ind w:firstLine="0"/>
              <w:rPr>
                <w:rFonts w:eastAsia="Calibri" w:cs="Arial"/>
                <w:sz w:val="16"/>
                <w:szCs w:val="16"/>
                <w:lang w:eastAsia="en-US"/>
              </w:rPr>
            </w:pPr>
            <w:r w:rsidRPr="009C438A">
              <w:rPr>
                <w:rFonts w:eastAsia="Calibri" w:cs="Arial"/>
                <w:sz w:val="16"/>
                <w:szCs w:val="16"/>
                <w:lang w:eastAsia="en-US"/>
              </w:rPr>
              <w:t>2.12</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562385" w:rsidP="00562385" w:rsidRDefault="00562385" w14:paraId="281DCBDD" w14:textId="77777777">
            <w:pPr>
              <w:spacing w:line="276" w:lineRule="auto"/>
              <w:ind w:firstLine="0"/>
              <w:rPr>
                <w:rFonts w:eastAsia="Calibri" w:cs="Arial"/>
                <w:color w:val="FFFFFF"/>
                <w:sz w:val="16"/>
                <w:szCs w:val="16"/>
                <w:lang w:eastAsia="en-US"/>
              </w:rPr>
            </w:pPr>
            <w:r w:rsidRPr="009C438A">
              <w:rPr>
                <w:rFonts w:eastAsia="Calibri" w:cs="Arial"/>
                <w:color w:val="FFFFFF"/>
                <w:sz w:val="16"/>
                <w:szCs w:val="16"/>
                <w:lang w:eastAsia="en-US"/>
              </w:rPr>
              <w:t>Inkomsten sporters &amp; artiesten vallen onder bepalingen inkomsten uit onderneming of dienstverband</w:t>
            </w:r>
          </w:p>
        </w:tc>
        <w:tc>
          <w:tcPr>
            <w:tcW w:w="423" w:type="dxa"/>
            <w:gridSpan w:val="6"/>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1A22B075" w14:textId="77777777">
            <w:pPr>
              <w:spacing w:line="276" w:lineRule="auto"/>
              <w:ind w:firstLine="0"/>
              <w:rPr>
                <w:rFonts w:eastAsia="Calibri" w:cs="Arial"/>
                <w:b/>
                <w:color w:val="007BC7"/>
                <w:sz w:val="16"/>
                <w:szCs w:val="16"/>
                <w:lang w:eastAsia="en-US"/>
              </w:rPr>
            </w:pP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3FD843CF" w14:textId="77777777">
            <w:pPr>
              <w:spacing w:line="276" w:lineRule="auto"/>
              <w:ind w:firstLine="0"/>
              <w:rPr>
                <w:rFonts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66AE24BA" w14:textId="77777777">
            <w:pPr>
              <w:spacing w:line="276" w:lineRule="auto"/>
              <w:ind w:firstLine="0"/>
              <w:rPr>
                <w:rFonts w:eastAsia="Calibri" w:cs="Arial"/>
                <w:b/>
                <w:color w:val="007BC7"/>
                <w:sz w:val="16"/>
                <w:szCs w:val="16"/>
                <w:lang w:eastAsia="en-US"/>
              </w:rPr>
            </w:pP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41C3ED2E" w14:textId="77777777">
            <w:pPr>
              <w:spacing w:line="276" w:lineRule="auto"/>
              <w:ind w:firstLine="0"/>
              <w:rPr>
                <w:rFonts w:eastAsia="Calibri" w:cs="Arial"/>
                <w:b/>
                <w:color w:val="007BC7"/>
                <w:sz w:val="16"/>
                <w:szCs w:val="16"/>
                <w:lang w:eastAsia="en-US"/>
              </w:rPr>
            </w:pPr>
            <w:r w:rsidRPr="009C438A">
              <w:rPr>
                <w:rFonts w:eastAsia="Calibri" w:cs="Arial"/>
                <w:b/>
                <w:color w:val="007BC7"/>
                <w:sz w:val="16"/>
                <w:szCs w:val="16"/>
                <w:lang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146ECFFC" w14:textId="77777777">
            <w:pPr>
              <w:spacing w:line="276" w:lineRule="auto"/>
              <w:ind w:firstLine="0"/>
              <w:rPr>
                <w:rFonts w:eastAsia="Calibri" w:cs="Arial"/>
                <w:sz w:val="16"/>
                <w:szCs w:val="16"/>
                <w:lang w:eastAsia="en-US"/>
              </w:rPr>
            </w:pPr>
          </w:p>
        </w:tc>
      </w:tr>
      <w:tr w:rsidRPr="009C438A" w:rsidR="00562385" w:rsidTr="00E80A06" w14:paraId="2450B796"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476A1CA0" w14:textId="77777777">
            <w:pPr>
              <w:spacing w:line="276" w:lineRule="auto"/>
              <w:ind w:firstLine="0"/>
              <w:rPr>
                <w:rFonts w:eastAsia="Calibri" w:cs="Arial"/>
                <w:sz w:val="16"/>
                <w:szCs w:val="16"/>
                <w:lang w:eastAsia="en-US"/>
              </w:rPr>
            </w:pPr>
            <w:r w:rsidRPr="009C438A">
              <w:rPr>
                <w:rFonts w:eastAsia="Calibri" w:cs="Arial"/>
                <w:sz w:val="16"/>
                <w:szCs w:val="16"/>
                <w:lang w:eastAsia="en-US"/>
              </w:rPr>
              <w:t>2.12</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562385" w:rsidP="00562385" w:rsidRDefault="00562385" w14:paraId="4CD8F4E0" w14:textId="77777777">
            <w:pPr>
              <w:spacing w:line="276" w:lineRule="auto"/>
              <w:ind w:firstLine="0"/>
              <w:rPr>
                <w:rFonts w:eastAsia="Calibri" w:cs="Arial"/>
                <w:color w:val="FFFFFF"/>
                <w:sz w:val="16"/>
                <w:szCs w:val="16"/>
                <w:lang w:eastAsia="en-US"/>
              </w:rPr>
            </w:pPr>
            <w:r w:rsidRPr="009C438A">
              <w:rPr>
                <w:rFonts w:eastAsia="Calibri" w:cs="Arial"/>
                <w:color w:val="FFFFFF"/>
                <w:sz w:val="16"/>
                <w:szCs w:val="16"/>
                <w:lang w:eastAsia="en-US"/>
              </w:rPr>
              <w:t>Risico dubbele vrijstelling sporters &amp; artiesten geadresseerd</w:t>
            </w:r>
          </w:p>
        </w:tc>
        <w:tc>
          <w:tcPr>
            <w:tcW w:w="423" w:type="dxa"/>
            <w:gridSpan w:val="6"/>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3A370B8B" w14:textId="77777777">
            <w:pPr>
              <w:spacing w:line="276" w:lineRule="auto"/>
              <w:ind w:firstLine="0"/>
              <w:rPr>
                <w:rFonts w:eastAsia="Calibri" w:cs="Arial"/>
                <w:b/>
                <w:color w:val="007BC7"/>
                <w:sz w:val="16"/>
                <w:szCs w:val="16"/>
                <w:lang w:eastAsia="en-US"/>
              </w:rPr>
            </w:pP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6CC2A8FD" w14:textId="77777777">
            <w:pPr>
              <w:spacing w:line="276" w:lineRule="auto"/>
              <w:ind w:firstLine="0"/>
              <w:rPr>
                <w:rFonts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02D9D56B" w14:textId="77777777">
            <w:pPr>
              <w:spacing w:line="276" w:lineRule="auto"/>
              <w:ind w:firstLine="0"/>
              <w:rPr>
                <w:rFonts w:eastAsia="Calibri" w:cs="Arial"/>
                <w:b/>
                <w:color w:val="007BC7"/>
                <w:sz w:val="16"/>
                <w:szCs w:val="16"/>
                <w:lang w:eastAsia="en-US"/>
              </w:rPr>
            </w:pP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79DD25BC" w14:textId="77777777">
            <w:pPr>
              <w:spacing w:line="276" w:lineRule="auto"/>
              <w:ind w:firstLine="0"/>
              <w:rPr>
                <w:rFonts w:eastAsia="Calibri" w:cs="Arial"/>
                <w:b/>
                <w:color w:val="007BC7"/>
                <w:sz w:val="16"/>
                <w:szCs w:val="16"/>
                <w:lang w:eastAsia="en-US"/>
              </w:rPr>
            </w:pPr>
            <w:r w:rsidRPr="009C438A">
              <w:rPr>
                <w:rFonts w:eastAsia="Calibri" w:cs="Arial"/>
                <w:b/>
                <w:color w:val="007BC7"/>
                <w:sz w:val="16"/>
                <w:szCs w:val="16"/>
                <w:lang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33FDA286" w14:textId="77777777">
            <w:pPr>
              <w:spacing w:line="276" w:lineRule="auto"/>
              <w:ind w:firstLine="0"/>
              <w:rPr>
                <w:rFonts w:eastAsia="Calibri" w:cs="Arial"/>
                <w:sz w:val="16"/>
                <w:szCs w:val="16"/>
                <w:lang w:eastAsia="en-US"/>
              </w:rPr>
            </w:pPr>
          </w:p>
        </w:tc>
      </w:tr>
      <w:tr w:rsidRPr="009C438A" w:rsidR="00562385" w:rsidTr="00E80A06" w14:paraId="3D4619A1"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479FC537" w14:textId="77777777">
            <w:pPr>
              <w:spacing w:line="276" w:lineRule="auto"/>
              <w:ind w:firstLine="0"/>
              <w:rPr>
                <w:rFonts w:eastAsia="Calibri" w:cs="Arial"/>
                <w:sz w:val="16"/>
                <w:szCs w:val="16"/>
                <w:lang w:eastAsia="en-US"/>
              </w:rPr>
            </w:pPr>
            <w:r w:rsidRPr="009C438A">
              <w:rPr>
                <w:rFonts w:eastAsia="Calibri" w:cs="Arial"/>
                <w:sz w:val="16"/>
                <w:szCs w:val="16"/>
                <w:lang w:eastAsia="en-US"/>
              </w:rPr>
              <w:t>2.13</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562385" w:rsidP="00562385" w:rsidRDefault="00562385" w14:paraId="575DB302" w14:textId="77777777">
            <w:pPr>
              <w:spacing w:line="276" w:lineRule="auto"/>
              <w:ind w:firstLine="0"/>
              <w:rPr>
                <w:rFonts w:eastAsia="Calibri" w:cs="Arial"/>
                <w:color w:val="FFFFFF"/>
                <w:sz w:val="16"/>
                <w:szCs w:val="16"/>
                <w:lang w:eastAsia="en-US"/>
              </w:rPr>
            </w:pPr>
            <w:r w:rsidRPr="009C438A">
              <w:rPr>
                <w:rFonts w:eastAsia="Calibri" w:cs="Arial"/>
                <w:color w:val="FFFFFF"/>
                <w:sz w:val="16"/>
                <w:szCs w:val="16"/>
                <w:lang w:eastAsia="en-US"/>
              </w:rPr>
              <w:t>Specifieke bepaling (hoog)leraren achterwege gelaten</w:t>
            </w:r>
          </w:p>
        </w:tc>
        <w:tc>
          <w:tcPr>
            <w:tcW w:w="423" w:type="dxa"/>
            <w:gridSpan w:val="6"/>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40A9405F" w14:textId="77777777">
            <w:pPr>
              <w:spacing w:line="276" w:lineRule="auto"/>
              <w:ind w:firstLine="0"/>
              <w:rPr>
                <w:rFonts w:eastAsia="Calibri" w:cs="Arial"/>
                <w:b/>
                <w:color w:val="007BC7"/>
                <w:sz w:val="16"/>
                <w:szCs w:val="16"/>
                <w:lang w:eastAsia="en-US"/>
              </w:rPr>
            </w:pP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381764E3" w14:textId="77777777">
            <w:pPr>
              <w:spacing w:line="276" w:lineRule="auto"/>
              <w:ind w:firstLine="0"/>
              <w:rPr>
                <w:rFonts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74863346" w14:textId="77777777">
            <w:pPr>
              <w:spacing w:line="276" w:lineRule="auto"/>
              <w:ind w:firstLine="0"/>
              <w:rPr>
                <w:rFonts w:eastAsia="Calibri" w:cs="Arial"/>
                <w:b/>
                <w:color w:val="007BC7"/>
                <w:sz w:val="16"/>
                <w:szCs w:val="16"/>
                <w:lang w:eastAsia="en-US"/>
              </w:rPr>
            </w:pP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5B6A0A53" w14:textId="77777777">
            <w:pPr>
              <w:spacing w:line="276" w:lineRule="auto"/>
              <w:ind w:firstLine="0"/>
              <w:rPr>
                <w:rFonts w:eastAsia="Calibri" w:cs="Arial"/>
                <w:b/>
                <w:color w:val="007BC7"/>
                <w:sz w:val="16"/>
                <w:szCs w:val="16"/>
                <w:lang w:eastAsia="en-US"/>
              </w:rPr>
            </w:pPr>
            <w:r w:rsidRPr="009C438A">
              <w:rPr>
                <w:rFonts w:eastAsia="Calibri" w:cs="Arial"/>
                <w:b/>
                <w:color w:val="007BC7"/>
                <w:sz w:val="16"/>
                <w:szCs w:val="16"/>
                <w:lang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0E1B02C6" w14:textId="77777777">
            <w:pPr>
              <w:spacing w:line="276" w:lineRule="auto"/>
              <w:ind w:firstLine="0"/>
              <w:rPr>
                <w:rFonts w:eastAsia="Calibri" w:cs="Arial"/>
                <w:sz w:val="16"/>
                <w:szCs w:val="16"/>
                <w:lang w:eastAsia="en-US"/>
              </w:rPr>
            </w:pPr>
          </w:p>
        </w:tc>
      </w:tr>
      <w:tr w:rsidRPr="009C438A" w:rsidR="00562385" w:rsidTr="00E80A06" w14:paraId="2701EB3E" w14:textId="77777777">
        <w:trPr>
          <w:gridAfter w:val="11"/>
          <w:wAfter w:w="1952" w:type="dxa"/>
          <w:cantSplit/>
          <w:trHeight w:val="403"/>
        </w:trPr>
        <w:tc>
          <w:tcPr>
            <w:tcW w:w="693" w:type="dxa"/>
            <w:shd w:val="clear" w:color="auto" w:fill="FFFFFF"/>
            <w:vAlign w:val="center"/>
          </w:tcPr>
          <w:p w:rsidRPr="009C438A" w:rsidR="00562385" w:rsidP="00562385" w:rsidRDefault="00562385" w14:paraId="45521C11" w14:textId="77777777">
            <w:pPr>
              <w:spacing w:line="276" w:lineRule="auto"/>
              <w:ind w:firstLine="0"/>
              <w:rPr>
                <w:rFonts w:eastAsia="Calibri" w:cs="Arial"/>
                <w:sz w:val="16"/>
                <w:szCs w:val="16"/>
                <w:lang w:eastAsia="en-US"/>
              </w:rPr>
            </w:pPr>
          </w:p>
        </w:tc>
        <w:tc>
          <w:tcPr>
            <w:tcW w:w="6531" w:type="dxa"/>
            <w:gridSpan w:val="5"/>
            <w:shd w:val="clear" w:color="auto" w:fill="FFFFFF"/>
            <w:vAlign w:val="center"/>
          </w:tcPr>
          <w:p w:rsidRPr="009C438A" w:rsidR="00562385" w:rsidP="00562385" w:rsidRDefault="00562385" w14:paraId="7A0B8533" w14:textId="77777777">
            <w:pPr>
              <w:ind w:firstLine="0"/>
              <w:rPr>
                <w:rFonts w:cs="Arial"/>
                <w:i/>
                <w:sz w:val="16"/>
                <w:szCs w:val="16"/>
              </w:rPr>
            </w:pPr>
            <w:r w:rsidRPr="009C438A">
              <w:rPr>
                <w:rFonts w:eastAsia="Calibri" w:cs="Arial"/>
                <w:i/>
                <w:sz w:val="16"/>
                <w:szCs w:val="16"/>
                <w:lang w:eastAsia="en-US"/>
              </w:rPr>
              <w:t>Voorkomingsmethodiek</w:t>
            </w:r>
          </w:p>
        </w:tc>
      </w:tr>
      <w:tr w:rsidRPr="009C438A" w:rsidR="00562385" w:rsidTr="00E80A06" w14:paraId="28E11842"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0FAA6ACA" w14:textId="77777777">
            <w:pPr>
              <w:spacing w:line="276" w:lineRule="auto"/>
              <w:ind w:firstLine="0"/>
              <w:rPr>
                <w:rFonts w:eastAsia="Calibri" w:cs="Arial"/>
                <w:sz w:val="16"/>
                <w:szCs w:val="16"/>
                <w:lang w:eastAsia="en-US"/>
              </w:rPr>
            </w:pPr>
            <w:r w:rsidRPr="009C438A">
              <w:rPr>
                <w:rFonts w:eastAsia="Calibri" w:cs="Arial"/>
                <w:sz w:val="16"/>
                <w:szCs w:val="16"/>
                <w:lang w:eastAsia="en-US"/>
              </w:rPr>
              <w:t>2.15.1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562385" w:rsidP="00562385" w:rsidRDefault="00562385" w14:paraId="17CF82E1" w14:textId="77777777">
            <w:pPr>
              <w:spacing w:line="276" w:lineRule="auto"/>
              <w:ind w:firstLine="0"/>
              <w:rPr>
                <w:rFonts w:eastAsia="Calibri" w:cs="Arial"/>
                <w:color w:val="FFFFFF"/>
                <w:sz w:val="16"/>
                <w:szCs w:val="16"/>
                <w:lang w:eastAsia="en-US"/>
              </w:rPr>
            </w:pPr>
            <w:r w:rsidRPr="009C438A">
              <w:rPr>
                <w:rFonts w:eastAsia="Calibri" w:cs="Arial"/>
                <w:color w:val="FFFFFF"/>
                <w:sz w:val="16"/>
                <w:szCs w:val="16"/>
                <w:lang w:eastAsia="en-US"/>
              </w:rPr>
              <w:t xml:space="preserve">Nederlandse voorkomingsmethodiek opgenomen </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0EDCADC2" w14:textId="77777777">
            <w:pPr>
              <w:spacing w:line="276" w:lineRule="auto"/>
              <w:ind w:firstLine="0"/>
              <w:rPr>
                <w:rFonts w:eastAsia="Calibri" w:cs="Arial"/>
                <w:b/>
                <w:color w:val="007BC7"/>
                <w:sz w:val="16"/>
                <w:szCs w:val="16"/>
                <w:lang w:eastAsia="en-US"/>
              </w:rPr>
            </w:pPr>
            <w:r>
              <w:rPr>
                <w:rFonts w:eastAsia="Calibri" w:cs="Arial"/>
                <w:b/>
                <w:color w:val="007BC7"/>
                <w:sz w:val="16"/>
                <w:szCs w:val="16"/>
                <w:lang w:eastAsia="en-US"/>
              </w:rPr>
              <w:t>X</w:t>
            </w: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4302B1E9" w14:textId="77777777">
            <w:pPr>
              <w:spacing w:line="276" w:lineRule="auto"/>
              <w:ind w:firstLine="0"/>
              <w:rPr>
                <w:rFonts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59700797" w14:textId="77777777">
            <w:pPr>
              <w:spacing w:line="276" w:lineRule="auto"/>
              <w:ind w:firstLine="0"/>
              <w:rPr>
                <w:rFonts w:eastAsia="Calibri" w:cs="Arial"/>
                <w:b/>
                <w:color w:val="007BC7"/>
                <w:sz w:val="16"/>
                <w:szCs w:val="16"/>
                <w:lang w:eastAsia="en-US"/>
              </w:rPr>
            </w:pP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39E024CA" w14:textId="77777777">
            <w:pPr>
              <w:spacing w:line="276" w:lineRule="auto"/>
              <w:ind w:firstLine="0"/>
              <w:rPr>
                <w:rFonts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D60B6" w:rsidR="00562385" w:rsidP="00562385" w:rsidRDefault="00562385" w14:paraId="66F039AA" w14:textId="77777777">
            <w:pPr>
              <w:spacing w:line="276" w:lineRule="auto"/>
              <w:ind w:firstLine="0"/>
              <w:rPr>
                <w:rFonts w:eastAsia="Calibri" w:cs="Arial"/>
                <w:sz w:val="16"/>
                <w:szCs w:val="16"/>
                <w:lang w:eastAsia="en-US"/>
              </w:rPr>
            </w:pPr>
            <w:r w:rsidRPr="006D60B6">
              <w:rPr>
                <w:rFonts w:eastAsia="Calibri" w:cs="Arial"/>
                <w:sz w:val="16"/>
                <w:szCs w:val="16"/>
                <w:lang w:eastAsia="en-US"/>
              </w:rPr>
              <w:t>II.11</w:t>
            </w:r>
          </w:p>
        </w:tc>
      </w:tr>
      <w:tr w:rsidRPr="009C438A" w:rsidR="00562385" w:rsidTr="00E80A06" w14:paraId="6376CF6A"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5E6C6C39" w14:textId="77777777">
            <w:pPr>
              <w:spacing w:line="276" w:lineRule="auto"/>
              <w:ind w:firstLine="0"/>
              <w:rPr>
                <w:rFonts w:eastAsia="Calibri" w:cs="Arial"/>
                <w:sz w:val="16"/>
                <w:szCs w:val="16"/>
                <w:lang w:eastAsia="en-US"/>
              </w:rPr>
            </w:pPr>
            <w:r w:rsidRPr="009C438A">
              <w:rPr>
                <w:rFonts w:eastAsia="Calibri" w:cs="Arial"/>
                <w:sz w:val="16"/>
                <w:szCs w:val="16"/>
                <w:lang w:eastAsia="en-US"/>
              </w:rPr>
              <w:t>2.15.2</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562385" w:rsidP="00562385" w:rsidRDefault="00562385" w14:paraId="0080B528" w14:textId="77777777">
            <w:pPr>
              <w:spacing w:line="276" w:lineRule="auto"/>
              <w:ind w:firstLine="0"/>
              <w:rPr>
                <w:rFonts w:eastAsia="Calibri" w:cs="Arial"/>
                <w:color w:val="FFFFFF"/>
                <w:sz w:val="16"/>
                <w:szCs w:val="16"/>
                <w:lang w:eastAsia="en-US"/>
              </w:rPr>
            </w:pPr>
            <w:r w:rsidRPr="009C438A">
              <w:rPr>
                <w:rFonts w:eastAsia="Calibri" w:cs="Arial"/>
                <w:color w:val="FFFFFF"/>
                <w:sz w:val="16"/>
                <w:szCs w:val="16"/>
                <w:lang w:eastAsia="en-US"/>
              </w:rPr>
              <w:t>Geen tax sparing credit opgenomen</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64B268F7" w14:textId="77777777">
            <w:pPr>
              <w:spacing w:line="276" w:lineRule="auto"/>
              <w:ind w:firstLine="0"/>
              <w:rPr>
                <w:rFonts w:eastAsia="Calibri" w:cs="Arial"/>
                <w:b/>
                <w:color w:val="007BC7"/>
                <w:sz w:val="16"/>
                <w:szCs w:val="16"/>
                <w:lang w:eastAsia="en-US"/>
              </w:rPr>
            </w:pP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2B71B6BB" w14:textId="77777777">
            <w:pPr>
              <w:spacing w:line="276" w:lineRule="auto"/>
              <w:ind w:firstLine="0"/>
              <w:rPr>
                <w:rFonts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447BF18F" w14:textId="77777777">
            <w:pPr>
              <w:spacing w:line="276" w:lineRule="auto"/>
              <w:ind w:firstLine="0"/>
              <w:rPr>
                <w:rFonts w:eastAsia="Calibri" w:cs="Arial"/>
                <w:b/>
                <w:color w:val="007BC7"/>
                <w:sz w:val="16"/>
                <w:szCs w:val="16"/>
                <w:lang w:eastAsia="en-US"/>
              </w:rPr>
            </w:pP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61EEDBAE" w14:textId="77777777">
            <w:pPr>
              <w:spacing w:line="276" w:lineRule="auto"/>
              <w:ind w:firstLine="0"/>
              <w:rPr>
                <w:rFonts w:eastAsia="Calibri" w:cs="Arial"/>
                <w:b/>
                <w:color w:val="007BC7"/>
                <w:sz w:val="16"/>
                <w:szCs w:val="16"/>
                <w:lang w:eastAsia="en-US"/>
              </w:rPr>
            </w:pPr>
            <w:r w:rsidRPr="009C438A">
              <w:rPr>
                <w:rFonts w:eastAsia="Calibri" w:cs="Arial"/>
                <w:b/>
                <w:color w:val="007BC7"/>
                <w:sz w:val="16"/>
                <w:szCs w:val="16"/>
                <w:lang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D60B6" w:rsidR="00562385" w:rsidP="00562385" w:rsidRDefault="00562385" w14:paraId="236E8F29" w14:textId="77777777">
            <w:pPr>
              <w:spacing w:line="276" w:lineRule="auto"/>
              <w:ind w:firstLine="0"/>
              <w:rPr>
                <w:rFonts w:eastAsia="Calibri" w:cs="Arial"/>
                <w:sz w:val="16"/>
                <w:szCs w:val="16"/>
                <w:lang w:eastAsia="en-US"/>
              </w:rPr>
            </w:pPr>
          </w:p>
        </w:tc>
      </w:tr>
      <w:tr w:rsidRPr="006D60B6" w:rsidR="00562385" w:rsidTr="00E80A06" w14:paraId="5BC75767" w14:textId="77777777">
        <w:trPr>
          <w:gridAfter w:val="11"/>
          <w:wAfter w:w="1952" w:type="dxa"/>
          <w:cantSplit/>
          <w:trHeight w:val="403"/>
        </w:trPr>
        <w:tc>
          <w:tcPr>
            <w:tcW w:w="693" w:type="dxa"/>
            <w:shd w:val="clear" w:color="auto" w:fill="FFFFFF"/>
            <w:vAlign w:val="center"/>
          </w:tcPr>
          <w:p w:rsidRPr="009C438A" w:rsidR="00562385" w:rsidP="00562385" w:rsidRDefault="00562385" w14:paraId="60000633" w14:textId="77777777">
            <w:pPr>
              <w:spacing w:line="276" w:lineRule="auto"/>
              <w:ind w:firstLine="0"/>
              <w:rPr>
                <w:rFonts w:eastAsia="Calibri" w:cs="Arial"/>
                <w:sz w:val="16"/>
                <w:szCs w:val="16"/>
                <w:lang w:eastAsia="en-US"/>
              </w:rPr>
            </w:pPr>
          </w:p>
        </w:tc>
        <w:tc>
          <w:tcPr>
            <w:tcW w:w="6531" w:type="dxa"/>
            <w:gridSpan w:val="5"/>
            <w:shd w:val="clear" w:color="auto" w:fill="FFFFFF"/>
            <w:vAlign w:val="center"/>
          </w:tcPr>
          <w:p w:rsidRPr="009C438A" w:rsidR="00562385" w:rsidP="00562385" w:rsidRDefault="00562385" w14:paraId="7BFAB38E" w14:textId="77777777">
            <w:pPr>
              <w:ind w:firstLine="0"/>
              <w:rPr>
                <w:rFonts w:cs="Arial"/>
                <w:i/>
                <w:sz w:val="16"/>
                <w:szCs w:val="16"/>
              </w:rPr>
            </w:pPr>
            <w:r w:rsidRPr="009C438A">
              <w:rPr>
                <w:rFonts w:eastAsia="Calibri" w:cs="Arial"/>
                <w:i/>
                <w:sz w:val="16"/>
                <w:szCs w:val="16"/>
                <w:lang w:eastAsia="en-US"/>
              </w:rPr>
              <w:t>Administratieve samenwerking en overig</w:t>
            </w:r>
          </w:p>
        </w:tc>
      </w:tr>
      <w:tr w:rsidRPr="00562385" w:rsidR="00562385" w:rsidTr="00E80A06" w14:paraId="2138BFF4"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0970FE56" w14:textId="77777777">
            <w:pPr>
              <w:spacing w:line="276" w:lineRule="auto"/>
              <w:ind w:firstLine="0"/>
              <w:rPr>
                <w:rFonts w:eastAsia="Calibri" w:cs="Arial"/>
                <w:sz w:val="16"/>
                <w:szCs w:val="16"/>
                <w:lang w:eastAsia="en-US"/>
              </w:rPr>
            </w:pPr>
            <w:r w:rsidRPr="009C438A">
              <w:rPr>
                <w:rFonts w:eastAsia="Calibri" w:cs="Arial"/>
                <w:sz w:val="16"/>
                <w:szCs w:val="16"/>
                <w:lang w:eastAsia="en-US"/>
              </w:rPr>
              <w:t>2.16.1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562385" w:rsidP="00562385" w:rsidRDefault="00562385" w14:paraId="4ED9DCA4" w14:textId="77777777">
            <w:pPr>
              <w:spacing w:line="276" w:lineRule="auto"/>
              <w:ind w:firstLine="0"/>
              <w:rPr>
                <w:rFonts w:eastAsia="Calibri" w:cs="Arial"/>
                <w:color w:val="FFFFFF"/>
                <w:sz w:val="16"/>
                <w:szCs w:val="16"/>
                <w:lang w:eastAsia="en-US"/>
              </w:rPr>
            </w:pPr>
            <w:r w:rsidRPr="009C438A">
              <w:rPr>
                <w:rFonts w:eastAsia="Calibri" w:cs="Arial"/>
                <w:color w:val="FFFFFF"/>
                <w:sz w:val="16"/>
                <w:szCs w:val="16"/>
                <w:lang w:eastAsia="en-US"/>
              </w:rPr>
              <w:t>Verdergaande informatie-uitwisseling mogelijk dan uitwisseling op verzoek</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16F270A6" w14:textId="77777777">
            <w:pPr>
              <w:spacing w:line="276" w:lineRule="auto"/>
              <w:ind w:firstLine="0"/>
              <w:rPr>
                <w:rFonts w:eastAsia="Calibri" w:cs="Arial"/>
                <w:b/>
                <w:color w:val="007BC7"/>
                <w:sz w:val="16"/>
                <w:szCs w:val="16"/>
                <w:lang w:eastAsia="en-US"/>
              </w:rPr>
            </w:pPr>
            <w:r w:rsidRPr="009C438A">
              <w:rPr>
                <w:rFonts w:eastAsia="Calibri" w:cs="Arial"/>
                <w:b/>
                <w:color w:val="007BC7"/>
                <w:sz w:val="16"/>
                <w:szCs w:val="16"/>
                <w:lang w:eastAsia="en-US"/>
              </w:rPr>
              <w:t>X</w:t>
            </w: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6DD84773" w14:textId="77777777">
            <w:pPr>
              <w:spacing w:line="276" w:lineRule="auto"/>
              <w:ind w:firstLine="0"/>
              <w:rPr>
                <w:rFonts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1D39FAFE" w14:textId="77777777">
            <w:pPr>
              <w:spacing w:line="276" w:lineRule="auto"/>
              <w:ind w:firstLine="0"/>
              <w:rPr>
                <w:rFonts w:eastAsia="Calibri" w:cs="Arial"/>
                <w:b/>
                <w:color w:val="007BC7"/>
                <w:sz w:val="16"/>
                <w:szCs w:val="16"/>
                <w:lang w:eastAsia="en-US"/>
              </w:rPr>
            </w:pP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545EB19F" w14:textId="77777777">
            <w:pPr>
              <w:spacing w:line="276" w:lineRule="auto"/>
              <w:ind w:firstLine="0"/>
              <w:rPr>
                <w:rFonts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D60B6" w:rsidR="00562385" w:rsidP="006D60B6" w:rsidRDefault="00562385" w14:paraId="4FD10850" w14:textId="77777777">
            <w:pPr>
              <w:spacing w:line="276" w:lineRule="auto"/>
              <w:ind w:firstLine="0"/>
              <w:rPr>
                <w:rFonts w:eastAsia="Calibri" w:cs="Arial"/>
                <w:sz w:val="16"/>
                <w:szCs w:val="16"/>
                <w:lang w:eastAsia="en-US"/>
              </w:rPr>
            </w:pPr>
            <w:r w:rsidRPr="006D60B6">
              <w:rPr>
                <w:rFonts w:eastAsia="Calibri" w:cs="Arial"/>
                <w:sz w:val="16"/>
                <w:szCs w:val="16"/>
                <w:lang w:eastAsia="en-US"/>
              </w:rPr>
              <w:t>II.13</w:t>
            </w:r>
            <w:r w:rsidRPr="006D60B6">
              <w:rPr>
                <w:rFonts w:eastAsia="Calibri" w:cs="Arial"/>
                <w:sz w:val="16"/>
                <w:szCs w:val="16"/>
                <w:lang w:eastAsia="en-US"/>
              </w:rPr>
              <w:br/>
              <w:t>II.2</w:t>
            </w:r>
            <w:r w:rsidRPr="00A50949" w:rsidR="006D60B6">
              <w:rPr>
                <w:rFonts w:eastAsia="Calibri" w:cs="Arial"/>
                <w:sz w:val="16"/>
                <w:szCs w:val="16"/>
                <w:lang w:eastAsia="en-US"/>
              </w:rPr>
              <w:t>6</w:t>
            </w:r>
            <w:r w:rsidRPr="006D60B6">
              <w:rPr>
                <w:rFonts w:eastAsia="Calibri" w:cs="Arial"/>
                <w:sz w:val="16"/>
                <w:szCs w:val="16"/>
                <w:lang w:eastAsia="en-US"/>
              </w:rPr>
              <w:br/>
              <w:t>II.2</w:t>
            </w:r>
            <w:r w:rsidRPr="00A50949" w:rsidR="006D60B6">
              <w:rPr>
                <w:rFonts w:eastAsia="Calibri" w:cs="Arial"/>
                <w:sz w:val="16"/>
                <w:szCs w:val="16"/>
                <w:lang w:eastAsia="en-US"/>
              </w:rPr>
              <w:t>7</w:t>
            </w:r>
          </w:p>
        </w:tc>
      </w:tr>
      <w:tr w:rsidRPr="00562385" w:rsidR="00562385" w:rsidTr="00E80A06" w14:paraId="60314CDF"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1928B3C8" w14:textId="77777777">
            <w:pPr>
              <w:spacing w:line="276" w:lineRule="auto"/>
              <w:ind w:firstLine="0"/>
              <w:rPr>
                <w:rFonts w:eastAsia="Calibri" w:cs="Arial"/>
                <w:sz w:val="16"/>
                <w:szCs w:val="16"/>
                <w:lang w:eastAsia="en-US"/>
              </w:rPr>
            </w:pPr>
            <w:r w:rsidRPr="009C438A">
              <w:rPr>
                <w:rFonts w:eastAsia="Calibri" w:cs="Arial"/>
                <w:sz w:val="16"/>
                <w:szCs w:val="16"/>
                <w:lang w:eastAsia="en-US"/>
              </w:rPr>
              <w:t>2.16.2</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562385" w:rsidP="00562385" w:rsidRDefault="00562385" w14:paraId="4985C5B7" w14:textId="77777777">
            <w:pPr>
              <w:spacing w:line="276" w:lineRule="auto"/>
              <w:ind w:firstLine="0"/>
              <w:rPr>
                <w:rFonts w:eastAsia="Calibri" w:cs="Arial"/>
                <w:color w:val="FFFFFF"/>
                <w:sz w:val="16"/>
                <w:szCs w:val="16"/>
                <w:lang w:eastAsia="en-US"/>
              </w:rPr>
            </w:pPr>
            <w:r w:rsidRPr="009C438A">
              <w:rPr>
                <w:rFonts w:eastAsia="Calibri" w:cs="Arial"/>
                <w:color w:val="FFFFFF"/>
                <w:sz w:val="16"/>
                <w:szCs w:val="16"/>
                <w:lang w:eastAsia="en-US"/>
              </w:rPr>
              <w:t>Invorderingsbepaling opgenomen</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2BFED0F4" w14:textId="77777777">
            <w:pPr>
              <w:spacing w:line="276" w:lineRule="auto"/>
              <w:ind w:firstLine="0"/>
              <w:rPr>
                <w:rFonts w:eastAsia="Calibri" w:cs="Arial"/>
                <w:b/>
                <w:color w:val="007BC7"/>
                <w:sz w:val="16"/>
                <w:szCs w:val="16"/>
                <w:lang w:eastAsia="en-US"/>
              </w:rPr>
            </w:pPr>
            <w:r w:rsidRPr="009C438A">
              <w:rPr>
                <w:rFonts w:eastAsia="Calibri" w:cs="Arial"/>
                <w:b/>
                <w:color w:val="007BC7"/>
                <w:sz w:val="16"/>
                <w:szCs w:val="16"/>
                <w:lang w:eastAsia="en-US"/>
              </w:rPr>
              <w:t>X</w:t>
            </w: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69A2E174" w14:textId="77777777">
            <w:pPr>
              <w:spacing w:line="276" w:lineRule="auto"/>
              <w:ind w:firstLine="0"/>
              <w:rPr>
                <w:rFonts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28AFFD8D" w14:textId="77777777">
            <w:pPr>
              <w:spacing w:line="276" w:lineRule="auto"/>
              <w:ind w:firstLine="0"/>
              <w:rPr>
                <w:rFonts w:eastAsia="Calibri" w:cs="Arial"/>
                <w:b/>
                <w:color w:val="007BC7"/>
                <w:sz w:val="16"/>
                <w:szCs w:val="16"/>
                <w:lang w:eastAsia="en-US"/>
              </w:rPr>
            </w:pP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029EDEF8" w14:textId="77777777">
            <w:pPr>
              <w:spacing w:line="276" w:lineRule="auto"/>
              <w:ind w:firstLine="0"/>
              <w:rPr>
                <w:rFonts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D60B6" w:rsidR="00562385" w:rsidP="006D60B6" w:rsidRDefault="00562385" w14:paraId="23DC9448" w14:textId="77777777">
            <w:pPr>
              <w:spacing w:line="276" w:lineRule="auto"/>
              <w:ind w:firstLine="0"/>
              <w:rPr>
                <w:rFonts w:eastAsia="Calibri" w:cs="Arial"/>
                <w:sz w:val="16"/>
                <w:szCs w:val="16"/>
                <w:lang w:eastAsia="en-US"/>
              </w:rPr>
            </w:pPr>
            <w:r w:rsidRPr="006D60B6">
              <w:rPr>
                <w:rFonts w:eastAsia="Calibri" w:cs="Arial"/>
                <w:sz w:val="16"/>
                <w:szCs w:val="16"/>
                <w:lang w:eastAsia="en-US"/>
              </w:rPr>
              <w:t>II.14</w:t>
            </w:r>
            <w:r w:rsidRPr="006D60B6">
              <w:rPr>
                <w:rFonts w:eastAsia="Calibri" w:cs="Arial"/>
                <w:sz w:val="16"/>
                <w:szCs w:val="16"/>
                <w:lang w:eastAsia="en-US"/>
              </w:rPr>
              <w:br/>
            </w:r>
            <w:r w:rsidRPr="006D60B6">
              <w:rPr>
                <w:rFonts w:eastAsia="Calibri" w:cs="Arial"/>
                <w:sz w:val="16"/>
                <w:szCs w:val="16"/>
                <w:lang w:eastAsia="en-US"/>
              </w:rPr>
              <w:br/>
              <w:t>II.2</w:t>
            </w:r>
            <w:r w:rsidRPr="00A50949" w:rsidR="006D60B6">
              <w:rPr>
                <w:rFonts w:eastAsia="Calibri" w:cs="Arial"/>
                <w:sz w:val="16"/>
                <w:szCs w:val="16"/>
                <w:lang w:eastAsia="en-US"/>
              </w:rPr>
              <w:t>7</w:t>
            </w:r>
          </w:p>
        </w:tc>
      </w:tr>
      <w:tr w:rsidRPr="00562385" w:rsidR="00562385" w:rsidTr="00E80A06" w14:paraId="3C9397BE"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5E5EF920" w14:textId="77777777">
            <w:pPr>
              <w:spacing w:line="276" w:lineRule="auto"/>
              <w:ind w:firstLine="0"/>
              <w:rPr>
                <w:rFonts w:eastAsia="Calibri" w:cs="Arial"/>
                <w:sz w:val="16"/>
                <w:szCs w:val="16"/>
                <w:lang w:eastAsia="en-US"/>
              </w:rPr>
            </w:pPr>
            <w:r w:rsidRPr="009C438A">
              <w:rPr>
                <w:rFonts w:eastAsia="Calibri" w:cs="Arial"/>
                <w:sz w:val="16"/>
                <w:szCs w:val="16"/>
                <w:lang w:eastAsia="en-US"/>
              </w:rPr>
              <w:t>2.17.1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562385" w:rsidP="00562385" w:rsidRDefault="00562385" w14:paraId="7C8832F6" w14:textId="77777777">
            <w:pPr>
              <w:spacing w:line="276" w:lineRule="auto"/>
              <w:ind w:firstLine="0"/>
              <w:rPr>
                <w:rFonts w:eastAsia="Calibri" w:cs="Arial"/>
                <w:color w:val="FFFFFF"/>
                <w:sz w:val="16"/>
                <w:szCs w:val="16"/>
                <w:lang w:eastAsia="en-US"/>
              </w:rPr>
            </w:pPr>
            <w:r w:rsidRPr="009C438A">
              <w:rPr>
                <w:rFonts w:eastAsia="Calibri" w:cs="Arial"/>
                <w:color w:val="FFFFFF"/>
                <w:sz w:val="16"/>
                <w:szCs w:val="16"/>
                <w:lang w:eastAsia="en-US"/>
              </w:rPr>
              <w:t>Arbitragemogelijkheid opgenomen</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10180E9E" w14:textId="77777777">
            <w:pPr>
              <w:spacing w:line="276" w:lineRule="auto"/>
              <w:ind w:firstLine="0"/>
              <w:rPr>
                <w:rFonts w:eastAsia="Calibri" w:cs="Arial"/>
                <w:b/>
                <w:color w:val="007BC7"/>
                <w:sz w:val="16"/>
                <w:szCs w:val="16"/>
                <w:lang w:eastAsia="en-US"/>
              </w:rPr>
            </w:pPr>
            <w:r w:rsidRPr="009C438A">
              <w:rPr>
                <w:rFonts w:eastAsia="Calibri" w:cs="Arial"/>
                <w:b/>
                <w:color w:val="007BC7"/>
                <w:sz w:val="16"/>
                <w:szCs w:val="16"/>
                <w:lang w:eastAsia="en-US"/>
              </w:rPr>
              <w:t>X</w:t>
            </w: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05F571A2" w14:textId="77777777">
            <w:pPr>
              <w:spacing w:line="276" w:lineRule="auto"/>
              <w:ind w:firstLine="0"/>
              <w:rPr>
                <w:rFonts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34150A1A" w14:textId="77777777">
            <w:pPr>
              <w:spacing w:line="276" w:lineRule="auto"/>
              <w:ind w:firstLine="0"/>
              <w:rPr>
                <w:rFonts w:eastAsia="Calibri" w:cs="Arial"/>
                <w:b/>
                <w:color w:val="007BC7"/>
                <w:sz w:val="16"/>
                <w:szCs w:val="16"/>
                <w:lang w:eastAsia="en-US"/>
              </w:rPr>
            </w:pP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26314E68" w14:textId="77777777">
            <w:pPr>
              <w:spacing w:line="276" w:lineRule="auto"/>
              <w:ind w:firstLine="0"/>
              <w:rPr>
                <w:rFonts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D60B6" w:rsidR="00562385" w:rsidP="00562385" w:rsidRDefault="00562385" w14:paraId="4C999FC8" w14:textId="77777777">
            <w:pPr>
              <w:spacing w:line="276" w:lineRule="auto"/>
              <w:ind w:firstLine="0"/>
              <w:rPr>
                <w:rFonts w:eastAsia="Calibri" w:cs="Arial"/>
                <w:sz w:val="16"/>
                <w:szCs w:val="16"/>
                <w:lang w:eastAsia="en-US"/>
              </w:rPr>
            </w:pPr>
            <w:r w:rsidRPr="006D60B6">
              <w:rPr>
                <w:rFonts w:eastAsia="Calibri" w:cs="Arial"/>
                <w:sz w:val="16"/>
                <w:szCs w:val="16"/>
                <w:lang w:eastAsia="en-US"/>
              </w:rPr>
              <w:t>II.12</w:t>
            </w:r>
          </w:p>
        </w:tc>
      </w:tr>
      <w:tr w:rsidRPr="009C438A" w:rsidR="00562385" w:rsidTr="00E80A06" w14:paraId="4208DF3B"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053136EF" w14:textId="77777777">
            <w:pPr>
              <w:spacing w:line="276" w:lineRule="auto"/>
              <w:ind w:firstLine="0"/>
              <w:rPr>
                <w:rFonts w:eastAsia="Calibri" w:cs="Arial"/>
                <w:sz w:val="16"/>
                <w:szCs w:val="16"/>
                <w:lang w:eastAsia="en-US"/>
              </w:rPr>
            </w:pPr>
            <w:r w:rsidRPr="009C438A">
              <w:rPr>
                <w:rFonts w:eastAsia="Calibri" w:cs="Arial"/>
                <w:sz w:val="16"/>
                <w:szCs w:val="16"/>
                <w:lang w:eastAsia="en-US"/>
              </w:rPr>
              <w:t>2.17.1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562385" w:rsidP="00562385" w:rsidRDefault="00562385" w14:paraId="4C15194F" w14:textId="77777777">
            <w:pPr>
              <w:spacing w:line="276" w:lineRule="auto"/>
              <w:ind w:firstLine="0"/>
              <w:rPr>
                <w:rFonts w:eastAsia="Calibri" w:cs="Arial"/>
                <w:color w:val="FFFFFF"/>
                <w:sz w:val="16"/>
                <w:szCs w:val="16"/>
                <w:lang w:eastAsia="en-US"/>
              </w:rPr>
            </w:pPr>
            <w:r w:rsidRPr="009C438A">
              <w:rPr>
                <w:rFonts w:eastAsia="Calibri" w:cs="Arial"/>
                <w:color w:val="FFFFFF"/>
                <w:sz w:val="16"/>
                <w:szCs w:val="16"/>
                <w:lang w:eastAsia="en-US"/>
              </w:rPr>
              <w:t>Arbitrage ook mogelijk in gevallen waarin definitieve gerechtelijke uitspraak is gedaan</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6078C529" w14:textId="77777777">
            <w:pPr>
              <w:spacing w:line="276" w:lineRule="auto"/>
              <w:ind w:firstLine="0"/>
              <w:rPr>
                <w:rFonts w:eastAsia="Calibri" w:cs="Arial"/>
                <w:b/>
                <w:color w:val="007BC7"/>
                <w:sz w:val="16"/>
                <w:szCs w:val="16"/>
                <w:lang w:eastAsia="en-US"/>
              </w:rPr>
            </w:pP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1430B174" w14:textId="77777777">
            <w:pPr>
              <w:spacing w:line="276" w:lineRule="auto"/>
              <w:ind w:firstLine="0"/>
              <w:rPr>
                <w:rFonts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2B1476C6" w14:textId="77777777">
            <w:pPr>
              <w:spacing w:line="276" w:lineRule="auto"/>
              <w:ind w:firstLine="0"/>
              <w:rPr>
                <w:rFonts w:eastAsia="Calibri" w:cs="Arial"/>
                <w:b/>
                <w:color w:val="007BC7"/>
                <w:sz w:val="16"/>
                <w:szCs w:val="16"/>
                <w:lang w:eastAsia="en-US"/>
              </w:rPr>
            </w:pPr>
            <w:r w:rsidRPr="009C438A">
              <w:rPr>
                <w:rFonts w:eastAsia="Calibri" w:cs="Arial"/>
                <w:b/>
                <w:color w:val="007BC7"/>
                <w:sz w:val="16"/>
                <w:szCs w:val="16"/>
                <w:lang w:eastAsia="en-US"/>
              </w:rPr>
              <w:t>X</w:t>
            </w: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4B1D5648" w14:textId="77777777">
            <w:pPr>
              <w:spacing w:line="276" w:lineRule="auto"/>
              <w:ind w:firstLine="0"/>
              <w:rPr>
                <w:rFonts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D60B6" w:rsidR="00562385" w:rsidP="00562385" w:rsidRDefault="00562385" w14:paraId="3F83E584" w14:textId="77777777">
            <w:pPr>
              <w:spacing w:line="276" w:lineRule="auto"/>
              <w:ind w:firstLine="0"/>
              <w:rPr>
                <w:rFonts w:eastAsia="Calibri" w:cs="Arial"/>
                <w:sz w:val="16"/>
                <w:szCs w:val="16"/>
                <w:lang w:eastAsia="en-US"/>
              </w:rPr>
            </w:pPr>
            <w:r w:rsidRPr="006D60B6">
              <w:rPr>
                <w:rFonts w:eastAsia="Calibri" w:cs="Arial"/>
                <w:sz w:val="16"/>
                <w:szCs w:val="16"/>
                <w:lang w:eastAsia="en-US"/>
              </w:rPr>
              <w:t>II.12</w:t>
            </w:r>
          </w:p>
        </w:tc>
      </w:tr>
      <w:tr w:rsidRPr="009C438A" w:rsidR="00562385" w:rsidTr="00E80A06" w14:paraId="1E844F46"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6968B1F3" w14:textId="77777777">
            <w:pPr>
              <w:spacing w:line="276" w:lineRule="auto"/>
              <w:ind w:firstLine="0"/>
              <w:rPr>
                <w:rFonts w:eastAsia="Calibri" w:cs="Arial"/>
                <w:sz w:val="16"/>
                <w:szCs w:val="16"/>
                <w:lang w:eastAsia="en-US"/>
              </w:rPr>
            </w:pPr>
            <w:r w:rsidRPr="009C438A">
              <w:rPr>
                <w:rFonts w:eastAsia="Calibri" w:cs="Arial"/>
                <w:sz w:val="16"/>
                <w:szCs w:val="16"/>
                <w:lang w:eastAsia="en-US"/>
              </w:rPr>
              <w:t>2.21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562385" w:rsidP="00562385" w:rsidRDefault="00562385" w14:paraId="707F971C" w14:textId="77777777">
            <w:pPr>
              <w:spacing w:line="276" w:lineRule="auto"/>
              <w:ind w:firstLine="0"/>
              <w:rPr>
                <w:rFonts w:eastAsia="Calibri" w:cs="Arial"/>
                <w:color w:val="FFFFFF"/>
                <w:sz w:val="16"/>
                <w:szCs w:val="16"/>
                <w:lang w:eastAsia="en-US"/>
              </w:rPr>
            </w:pPr>
            <w:r w:rsidRPr="009C438A">
              <w:rPr>
                <w:rFonts w:eastAsia="Calibri" w:cs="Arial"/>
                <w:color w:val="FFFFFF"/>
                <w:sz w:val="16"/>
                <w:szCs w:val="16"/>
                <w:lang w:eastAsia="en-US"/>
              </w:rPr>
              <w:t>Terug- en overnameclausule opgenomen in geval regeling nog niet was overeengekomen</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69D4F339" w14:textId="77777777">
            <w:pPr>
              <w:spacing w:line="276" w:lineRule="auto"/>
              <w:ind w:firstLine="0"/>
              <w:rPr>
                <w:rFonts w:eastAsia="Calibri" w:cs="Arial"/>
                <w:b/>
                <w:color w:val="007BC7"/>
                <w:sz w:val="16"/>
                <w:szCs w:val="16"/>
                <w:lang w:eastAsia="en-US"/>
              </w:rPr>
            </w:pP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2983BAD5" w14:textId="77777777">
            <w:pPr>
              <w:spacing w:line="276" w:lineRule="auto"/>
              <w:ind w:firstLine="0"/>
              <w:rPr>
                <w:rFonts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3DA35126" w14:textId="77777777">
            <w:pPr>
              <w:spacing w:line="276" w:lineRule="auto"/>
              <w:ind w:firstLine="0"/>
              <w:rPr>
                <w:rFonts w:eastAsia="Calibri" w:cs="Arial"/>
                <w:b/>
                <w:color w:val="007BC7"/>
                <w:sz w:val="16"/>
                <w:szCs w:val="16"/>
                <w:lang w:eastAsia="en-US"/>
              </w:rPr>
            </w:pP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3D6CFB7E" w14:textId="77777777">
            <w:pPr>
              <w:spacing w:line="276" w:lineRule="auto"/>
              <w:ind w:firstLine="0"/>
              <w:rPr>
                <w:rFonts w:eastAsia="Calibri" w:cs="Arial"/>
                <w:b/>
                <w:color w:val="007BC7"/>
                <w:sz w:val="16"/>
                <w:szCs w:val="16"/>
                <w:lang w:eastAsia="en-US"/>
              </w:rPr>
            </w:pPr>
            <w:r w:rsidRPr="009C438A">
              <w:rPr>
                <w:rFonts w:eastAsia="Calibri" w:cs="Arial"/>
                <w:b/>
                <w:color w:val="007BC7"/>
                <w:sz w:val="16"/>
                <w:szCs w:val="16"/>
                <w:lang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D60B6" w:rsidR="00562385" w:rsidP="00562385" w:rsidRDefault="00562385" w14:paraId="18F8DEB4" w14:textId="77777777">
            <w:pPr>
              <w:spacing w:line="276" w:lineRule="auto"/>
              <w:ind w:firstLine="0"/>
              <w:rPr>
                <w:rFonts w:eastAsia="Calibri" w:cs="Arial"/>
                <w:sz w:val="16"/>
                <w:szCs w:val="16"/>
                <w:lang w:eastAsia="en-US"/>
              </w:rPr>
            </w:pPr>
          </w:p>
        </w:tc>
      </w:tr>
      <w:tr w:rsidRPr="006D60B6" w:rsidR="00562385" w:rsidTr="00E80A06" w14:paraId="662B4034" w14:textId="77777777">
        <w:trPr>
          <w:gridAfter w:val="11"/>
          <w:wAfter w:w="1952" w:type="dxa"/>
          <w:cantSplit/>
          <w:trHeight w:val="403"/>
        </w:trPr>
        <w:tc>
          <w:tcPr>
            <w:tcW w:w="693" w:type="dxa"/>
            <w:shd w:val="clear" w:color="auto" w:fill="FFFFFF"/>
            <w:vAlign w:val="center"/>
          </w:tcPr>
          <w:p w:rsidRPr="009C438A" w:rsidR="00562385" w:rsidP="00562385" w:rsidRDefault="00562385" w14:paraId="54E1E687" w14:textId="77777777">
            <w:pPr>
              <w:spacing w:line="276" w:lineRule="auto"/>
              <w:ind w:firstLine="0"/>
              <w:rPr>
                <w:rFonts w:eastAsia="Calibri" w:cs="Arial"/>
                <w:sz w:val="16"/>
                <w:szCs w:val="16"/>
                <w:lang w:eastAsia="en-US"/>
              </w:rPr>
            </w:pPr>
          </w:p>
        </w:tc>
        <w:tc>
          <w:tcPr>
            <w:tcW w:w="6531" w:type="dxa"/>
            <w:gridSpan w:val="5"/>
            <w:shd w:val="clear" w:color="auto" w:fill="FFFFFF"/>
            <w:vAlign w:val="center"/>
          </w:tcPr>
          <w:p w:rsidRPr="009C438A" w:rsidR="00562385" w:rsidP="00562385" w:rsidRDefault="00562385" w14:paraId="7955A86C" w14:textId="77777777">
            <w:pPr>
              <w:ind w:firstLine="0"/>
              <w:rPr>
                <w:rFonts w:cs="Arial"/>
                <w:i/>
                <w:sz w:val="16"/>
                <w:szCs w:val="16"/>
              </w:rPr>
            </w:pPr>
            <w:r w:rsidRPr="009C438A">
              <w:rPr>
                <w:rFonts w:eastAsia="Calibri" w:cs="Arial"/>
                <w:i/>
                <w:sz w:val="16"/>
                <w:szCs w:val="16"/>
                <w:lang w:eastAsia="en-US"/>
              </w:rPr>
              <w:t>Instrumentarium voorkomen verdragsmisbruik</w:t>
            </w:r>
          </w:p>
        </w:tc>
      </w:tr>
      <w:tr w:rsidRPr="009C438A" w:rsidR="00562385" w:rsidTr="00E80A06" w14:paraId="1E642836"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244AE63B" w14:textId="77777777">
            <w:pPr>
              <w:spacing w:line="276" w:lineRule="auto"/>
              <w:ind w:firstLine="0"/>
              <w:rPr>
                <w:rFonts w:eastAsia="Calibri" w:cs="Arial"/>
                <w:sz w:val="16"/>
                <w:szCs w:val="16"/>
                <w:lang w:eastAsia="en-US"/>
              </w:rPr>
            </w:pPr>
            <w:r w:rsidRPr="009C438A">
              <w:rPr>
                <w:rFonts w:eastAsia="Calibri" w:cs="Arial"/>
                <w:sz w:val="16"/>
                <w:szCs w:val="16"/>
                <w:lang w:eastAsia="en-US"/>
              </w:rPr>
              <w:t>2.20.1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562385" w:rsidP="00562385" w:rsidRDefault="00562385" w14:paraId="686F2904" w14:textId="77777777">
            <w:pPr>
              <w:spacing w:line="276" w:lineRule="auto"/>
              <w:ind w:firstLine="0"/>
              <w:rPr>
                <w:rFonts w:eastAsia="Calibri" w:cs="Arial"/>
                <w:color w:val="FFFFFF"/>
                <w:sz w:val="16"/>
                <w:szCs w:val="16"/>
                <w:lang w:eastAsia="en-US"/>
              </w:rPr>
            </w:pPr>
            <w:r w:rsidRPr="009C438A">
              <w:rPr>
                <w:rFonts w:eastAsia="Calibri" w:cs="Arial"/>
                <w:color w:val="FFFFFF"/>
                <w:sz w:val="16"/>
                <w:szCs w:val="16"/>
                <w:lang w:eastAsia="en-US"/>
              </w:rPr>
              <w:t>Indien aansluiting is gezocht bij nationale antimisbruikleerstukken is consultatie en/of onderlingoverlegmogelijkheid overeengekomen</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0B857884" w14:textId="77777777">
            <w:pPr>
              <w:spacing w:line="276" w:lineRule="auto"/>
              <w:ind w:firstLine="0"/>
              <w:rPr>
                <w:rFonts w:eastAsia="Calibri" w:cs="Arial"/>
                <w:b/>
                <w:color w:val="007BC7"/>
                <w:sz w:val="16"/>
                <w:szCs w:val="16"/>
                <w:lang w:eastAsia="en-US"/>
              </w:rPr>
            </w:pP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1A6D0F4F" w14:textId="77777777">
            <w:pPr>
              <w:spacing w:line="276" w:lineRule="auto"/>
              <w:ind w:firstLine="0"/>
              <w:rPr>
                <w:rFonts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64F11BBE" w14:textId="77777777">
            <w:pPr>
              <w:spacing w:line="276" w:lineRule="auto"/>
              <w:ind w:firstLine="0"/>
              <w:rPr>
                <w:rFonts w:eastAsia="Calibri" w:cs="Arial"/>
                <w:b/>
                <w:color w:val="007BC7"/>
                <w:sz w:val="16"/>
                <w:szCs w:val="16"/>
                <w:lang w:eastAsia="en-US"/>
              </w:rPr>
            </w:pP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10C24442" w14:textId="77777777">
            <w:pPr>
              <w:spacing w:line="276" w:lineRule="auto"/>
              <w:ind w:firstLine="0"/>
              <w:rPr>
                <w:rFonts w:eastAsia="Calibri" w:cs="Arial"/>
                <w:b/>
                <w:color w:val="007BC7"/>
                <w:sz w:val="16"/>
                <w:szCs w:val="16"/>
                <w:lang w:eastAsia="en-US"/>
              </w:rPr>
            </w:pPr>
            <w:r w:rsidRPr="009C438A">
              <w:rPr>
                <w:rFonts w:eastAsia="Calibri" w:cs="Arial"/>
                <w:b/>
                <w:color w:val="007BC7"/>
                <w:sz w:val="16"/>
                <w:szCs w:val="16"/>
                <w:lang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D60B6" w:rsidR="00562385" w:rsidP="00562385" w:rsidRDefault="00562385" w14:paraId="07C1519A" w14:textId="77777777">
            <w:pPr>
              <w:spacing w:line="276" w:lineRule="auto"/>
              <w:ind w:firstLine="0"/>
              <w:rPr>
                <w:rFonts w:eastAsia="Calibri" w:cs="Arial"/>
                <w:sz w:val="16"/>
                <w:szCs w:val="16"/>
                <w:lang w:eastAsia="en-US"/>
              </w:rPr>
            </w:pPr>
          </w:p>
        </w:tc>
      </w:tr>
      <w:tr w:rsidRPr="009C438A" w:rsidR="00562385" w:rsidTr="00E80A06" w14:paraId="4FF6F557"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036759FE" w14:textId="77777777">
            <w:pPr>
              <w:spacing w:line="276" w:lineRule="auto"/>
              <w:ind w:firstLine="0"/>
              <w:rPr>
                <w:rFonts w:eastAsia="Calibri" w:cs="Arial"/>
                <w:sz w:val="16"/>
                <w:szCs w:val="16"/>
                <w:lang w:eastAsia="en-US"/>
              </w:rPr>
            </w:pPr>
            <w:r w:rsidRPr="009C438A">
              <w:rPr>
                <w:rFonts w:eastAsia="Calibri" w:cs="Arial"/>
                <w:sz w:val="16"/>
                <w:szCs w:val="16"/>
                <w:lang w:eastAsia="en-US"/>
              </w:rPr>
              <w:t>2.20.2</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562385" w:rsidP="00562385" w:rsidRDefault="00562385" w14:paraId="2EF4057E" w14:textId="77777777">
            <w:pPr>
              <w:spacing w:line="276" w:lineRule="auto"/>
              <w:ind w:firstLine="0"/>
              <w:rPr>
                <w:rFonts w:eastAsia="Calibri" w:cs="Arial"/>
                <w:color w:val="FFFFFF"/>
                <w:sz w:val="16"/>
                <w:szCs w:val="16"/>
                <w:lang w:eastAsia="en-US"/>
              </w:rPr>
            </w:pPr>
            <w:r w:rsidRPr="009C438A">
              <w:rPr>
                <w:rFonts w:eastAsia="Calibri" w:cs="Arial"/>
                <w:color w:val="FFFFFF"/>
                <w:sz w:val="16"/>
                <w:szCs w:val="16"/>
                <w:lang w:eastAsia="en-US"/>
              </w:rPr>
              <w:t>Verdragsvoordeelbeperkende bepalingen opgenomen waar interactie tussen betrokken stelsels verdragsmisbruik meebrengen</w:t>
            </w:r>
          </w:p>
        </w:tc>
        <w:tc>
          <w:tcPr>
            <w:tcW w:w="358"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628390A8" w14:textId="77777777">
            <w:pPr>
              <w:spacing w:line="276" w:lineRule="auto"/>
              <w:ind w:firstLine="0"/>
              <w:rPr>
                <w:rFonts w:eastAsia="Calibri" w:cs="Arial"/>
                <w:b/>
                <w:color w:val="007BC7"/>
                <w:sz w:val="16"/>
                <w:szCs w:val="16"/>
                <w:lang w:eastAsia="en-US"/>
              </w:rPr>
            </w:pPr>
            <w:r w:rsidRPr="009C438A">
              <w:rPr>
                <w:rFonts w:eastAsia="Calibri" w:cs="Arial"/>
                <w:b/>
                <w:color w:val="007BC7"/>
                <w:sz w:val="16"/>
                <w:szCs w:val="16"/>
                <w:lang w:eastAsia="en-US"/>
              </w:rPr>
              <w:t>X</w:t>
            </w:r>
          </w:p>
        </w:tc>
        <w:tc>
          <w:tcPr>
            <w:tcW w:w="418"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6C516DB9" w14:textId="77777777">
            <w:pPr>
              <w:spacing w:line="276" w:lineRule="auto"/>
              <w:ind w:firstLine="0"/>
              <w:rPr>
                <w:rFonts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0AEB333E" w14:textId="77777777">
            <w:pPr>
              <w:spacing w:line="276" w:lineRule="auto"/>
              <w:ind w:firstLine="0"/>
              <w:rPr>
                <w:rFonts w:eastAsia="Calibri" w:cs="Arial"/>
                <w:b/>
                <w:color w:val="007BC7"/>
                <w:sz w:val="16"/>
                <w:szCs w:val="16"/>
                <w:lang w:eastAsia="en-US"/>
              </w:rPr>
            </w:pP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7C198DB0" w14:textId="77777777">
            <w:pPr>
              <w:spacing w:line="276" w:lineRule="auto"/>
              <w:ind w:firstLine="0"/>
              <w:rPr>
                <w:rFonts w:eastAsia="Calibri" w:cs="Arial"/>
                <w:b/>
                <w:color w:val="007BC7"/>
                <w:sz w:val="16"/>
                <w:szCs w:val="16"/>
                <w:lang w:eastAsia="en-US"/>
              </w:rPr>
            </w:pP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6D60B6" w:rsidR="00562385" w:rsidP="00562385" w:rsidRDefault="00562385" w14:paraId="7B5D93AB" w14:textId="77777777">
            <w:pPr>
              <w:spacing w:line="276" w:lineRule="auto"/>
              <w:ind w:firstLine="0"/>
              <w:rPr>
                <w:rFonts w:eastAsia="Calibri" w:cs="Arial"/>
                <w:sz w:val="16"/>
                <w:szCs w:val="16"/>
                <w:lang w:eastAsia="en-US"/>
              </w:rPr>
            </w:pPr>
            <w:r w:rsidRPr="006D60B6">
              <w:rPr>
                <w:rFonts w:eastAsia="Calibri" w:cs="Arial"/>
                <w:sz w:val="16"/>
                <w:szCs w:val="16"/>
                <w:lang w:eastAsia="en-US"/>
              </w:rPr>
              <w:t>II.15</w:t>
            </w:r>
          </w:p>
        </w:tc>
      </w:tr>
      <w:tr w:rsidRPr="009C438A" w:rsidR="00562385" w:rsidTr="00E80A06" w14:paraId="27DD7173" w14:textId="77777777">
        <w:trPr>
          <w:gridAfter w:val="11"/>
          <w:wAfter w:w="1952" w:type="dxa"/>
          <w:cantSplit/>
          <w:trHeight w:val="403"/>
        </w:trPr>
        <w:tc>
          <w:tcPr>
            <w:tcW w:w="693" w:type="dxa"/>
            <w:shd w:val="clear" w:color="auto" w:fill="FFFFFF"/>
            <w:vAlign w:val="center"/>
          </w:tcPr>
          <w:p w:rsidRPr="009C438A" w:rsidR="00562385" w:rsidP="00562385" w:rsidRDefault="00562385" w14:paraId="502EEBF0" w14:textId="77777777">
            <w:pPr>
              <w:spacing w:line="276" w:lineRule="auto"/>
              <w:ind w:firstLine="0"/>
              <w:rPr>
                <w:rFonts w:eastAsia="Calibri" w:cs="Arial"/>
                <w:b/>
                <w:sz w:val="16"/>
                <w:szCs w:val="16"/>
                <w:lang w:eastAsia="en-US"/>
              </w:rPr>
            </w:pPr>
          </w:p>
        </w:tc>
        <w:tc>
          <w:tcPr>
            <w:tcW w:w="6531" w:type="dxa"/>
            <w:gridSpan w:val="5"/>
            <w:shd w:val="clear" w:color="auto" w:fill="FFFFFF"/>
            <w:vAlign w:val="center"/>
          </w:tcPr>
          <w:p w:rsidRPr="009C438A" w:rsidR="00562385" w:rsidP="00562385" w:rsidRDefault="00562385" w14:paraId="331E2E28" w14:textId="77777777">
            <w:pPr>
              <w:ind w:firstLine="0"/>
              <w:rPr>
                <w:rFonts w:eastAsia="Calibri" w:cs="Arial"/>
                <w:b/>
                <w:sz w:val="16"/>
                <w:szCs w:val="16"/>
                <w:lang w:eastAsia="en-US"/>
              </w:rPr>
            </w:pPr>
            <w:r w:rsidRPr="009C438A">
              <w:rPr>
                <w:rFonts w:eastAsia="Calibri" w:cs="Arial"/>
                <w:b/>
                <w:sz w:val="16"/>
                <w:szCs w:val="16"/>
                <w:lang w:eastAsia="en-US"/>
              </w:rPr>
              <w:t>Ontwikkelingslanden</w:t>
            </w:r>
          </w:p>
        </w:tc>
      </w:tr>
      <w:tr w:rsidRPr="009C438A" w:rsidR="00562385" w:rsidTr="00E80A06" w14:paraId="2EBFAC94"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7556161A" w14:textId="77777777">
            <w:pPr>
              <w:spacing w:line="276" w:lineRule="auto"/>
              <w:ind w:firstLine="0"/>
              <w:rPr>
                <w:rFonts w:eastAsia="Calibri" w:cs="Arial"/>
                <w:sz w:val="16"/>
                <w:szCs w:val="16"/>
                <w:lang w:eastAsia="en-US"/>
              </w:rPr>
            </w:pPr>
            <w:r w:rsidRPr="009C438A">
              <w:rPr>
                <w:rFonts w:eastAsia="Calibri" w:cs="Arial"/>
                <w:sz w:val="16"/>
                <w:szCs w:val="16"/>
                <w:lang w:eastAsia="en-US"/>
              </w:rPr>
              <w:t>2.6.2</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562385" w:rsidP="00562385" w:rsidRDefault="00562385" w14:paraId="029ACEAC" w14:textId="77777777">
            <w:pPr>
              <w:spacing w:line="276" w:lineRule="auto"/>
              <w:ind w:firstLine="0"/>
              <w:rPr>
                <w:rFonts w:eastAsia="Calibri" w:cs="Arial"/>
                <w:color w:val="FFFFFF"/>
                <w:sz w:val="16"/>
                <w:szCs w:val="16"/>
                <w:lang w:eastAsia="en-US"/>
              </w:rPr>
            </w:pPr>
            <w:r w:rsidRPr="009C438A">
              <w:rPr>
                <w:rFonts w:eastAsia="Calibri" w:cs="Arial"/>
                <w:color w:val="FFFFFF"/>
                <w:sz w:val="16"/>
                <w:szCs w:val="16"/>
                <w:lang w:eastAsia="en-US"/>
              </w:rPr>
              <w:t>Uitgebreidere definitie ‘vaste inrichting’</w:t>
            </w:r>
          </w:p>
        </w:tc>
        <w:tc>
          <w:tcPr>
            <w:tcW w:w="283"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07F74D44" w14:textId="77777777">
            <w:pPr>
              <w:spacing w:line="276" w:lineRule="auto"/>
              <w:ind w:firstLine="0"/>
              <w:rPr>
                <w:rFonts w:eastAsia="Calibri" w:cs="Arial"/>
                <w:b/>
                <w:color w:val="007BC7"/>
                <w:sz w:val="16"/>
                <w:szCs w:val="16"/>
                <w:lang w:eastAsia="en-US"/>
              </w:rPr>
            </w:pPr>
          </w:p>
        </w:tc>
        <w:tc>
          <w:tcPr>
            <w:tcW w:w="493"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355BE6B3" w14:textId="77777777">
            <w:pPr>
              <w:spacing w:line="276" w:lineRule="auto"/>
              <w:ind w:firstLine="0"/>
              <w:rPr>
                <w:rFonts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21AE25F4" w14:textId="77777777">
            <w:pPr>
              <w:spacing w:line="276" w:lineRule="auto"/>
              <w:ind w:firstLine="0"/>
              <w:rPr>
                <w:rFonts w:eastAsia="Calibri" w:cs="Arial"/>
                <w:b/>
                <w:color w:val="007BC7"/>
                <w:sz w:val="16"/>
                <w:szCs w:val="16"/>
                <w:lang w:eastAsia="en-US"/>
              </w:rPr>
            </w:pP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30F2D06E" w14:textId="77777777">
            <w:pPr>
              <w:spacing w:line="276" w:lineRule="auto"/>
              <w:ind w:firstLine="0"/>
              <w:rPr>
                <w:rFonts w:eastAsia="Calibri" w:cs="Arial"/>
                <w:b/>
                <w:color w:val="007BC7"/>
                <w:sz w:val="16"/>
                <w:szCs w:val="16"/>
                <w:lang w:eastAsia="en-US"/>
              </w:rPr>
            </w:pPr>
            <w:r w:rsidRPr="009C438A">
              <w:rPr>
                <w:rFonts w:eastAsia="Calibri" w:cs="Arial"/>
                <w:b/>
                <w:color w:val="007BC7"/>
                <w:sz w:val="16"/>
                <w:szCs w:val="16"/>
                <w:lang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6E32D26E" w14:textId="77777777">
            <w:pPr>
              <w:spacing w:line="276" w:lineRule="auto"/>
              <w:ind w:firstLine="0"/>
              <w:rPr>
                <w:rFonts w:eastAsia="Calibri" w:cs="Arial"/>
                <w:sz w:val="16"/>
                <w:szCs w:val="16"/>
                <w:lang w:eastAsia="en-US"/>
              </w:rPr>
            </w:pPr>
          </w:p>
        </w:tc>
      </w:tr>
      <w:tr w:rsidRPr="009C438A" w:rsidR="00562385" w:rsidTr="00E80A06" w14:paraId="040F1F6C"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0A4C6723" w14:textId="77777777">
            <w:pPr>
              <w:spacing w:line="276" w:lineRule="auto"/>
              <w:ind w:firstLine="0"/>
              <w:rPr>
                <w:rFonts w:eastAsia="Calibri" w:cs="Arial"/>
                <w:sz w:val="16"/>
                <w:szCs w:val="16"/>
                <w:lang w:eastAsia="en-US"/>
              </w:rPr>
            </w:pPr>
            <w:r w:rsidRPr="009C438A">
              <w:rPr>
                <w:rFonts w:eastAsia="Calibri" w:cs="Arial"/>
                <w:sz w:val="16"/>
                <w:szCs w:val="16"/>
                <w:lang w:eastAsia="en-US"/>
              </w:rPr>
              <w:lastRenderedPageBreak/>
              <w:t>2.7.1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562385" w:rsidP="00562385" w:rsidRDefault="00562385" w14:paraId="301D5420" w14:textId="77777777">
            <w:pPr>
              <w:spacing w:line="276" w:lineRule="auto"/>
              <w:ind w:firstLine="0"/>
              <w:rPr>
                <w:rFonts w:eastAsia="Calibri" w:cs="Arial"/>
                <w:color w:val="FFFFFF"/>
                <w:sz w:val="16"/>
                <w:szCs w:val="16"/>
                <w:lang w:eastAsia="en-US"/>
              </w:rPr>
            </w:pPr>
            <w:r w:rsidRPr="009C438A">
              <w:rPr>
                <w:rFonts w:eastAsia="Calibri" w:cs="Arial"/>
                <w:color w:val="FFFFFF"/>
                <w:sz w:val="16"/>
                <w:szCs w:val="16"/>
                <w:lang w:eastAsia="en-US"/>
              </w:rPr>
              <w:t>Bronbelasting op deelnemingsdividenden toegestaan</w:t>
            </w:r>
          </w:p>
        </w:tc>
        <w:tc>
          <w:tcPr>
            <w:tcW w:w="283"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7031221E" w14:textId="77777777">
            <w:pPr>
              <w:spacing w:line="276" w:lineRule="auto"/>
              <w:ind w:firstLine="0"/>
              <w:rPr>
                <w:rFonts w:eastAsia="Calibri" w:cs="Arial"/>
                <w:b/>
                <w:color w:val="007BC7"/>
                <w:sz w:val="16"/>
                <w:szCs w:val="16"/>
                <w:lang w:eastAsia="en-US"/>
              </w:rPr>
            </w:pPr>
          </w:p>
        </w:tc>
        <w:tc>
          <w:tcPr>
            <w:tcW w:w="493"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27F6D894" w14:textId="77777777">
            <w:pPr>
              <w:spacing w:line="276" w:lineRule="auto"/>
              <w:ind w:firstLine="0"/>
              <w:rPr>
                <w:rFonts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43DF6D06" w14:textId="77777777">
            <w:pPr>
              <w:spacing w:line="276" w:lineRule="auto"/>
              <w:ind w:firstLine="0"/>
              <w:rPr>
                <w:rFonts w:eastAsia="Calibri" w:cs="Arial"/>
                <w:b/>
                <w:color w:val="007BC7"/>
                <w:sz w:val="16"/>
                <w:szCs w:val="16"/>
                <w:lang w:eastAsia="en-US"/>
              </w:rPr>
            </w:pP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6D664F0D" w14:textId="77777777">
            <w:pPr>
              <w:spacing w:line="276" w:lineRule="auto"/>
              <w:ind w:firstLine="0"/>
              <w:rPr>
                <w:rFonts w:eastAsia="Calibri" w:cs="Arial"/>
                <w:b/>
                <w:color w:val="007BC7"/>
                <w:sz w:val="16"/>
                <w:szCs w:val="16"/>
                <w:lang w:eastAsia="en-US"/>
              </w:rPr>
            </w:pPr>
            <w:r w:rsidRPr="009C438A">
              <w:rPr>
                <w:rFonts w:eastAsia="Calibri" w:cs="Arial"/>
                <w:b/>
                <w:color w:val="007BC7"/>
                <w:sz w:val="16"/>
                <w:szCs w:val="16"/>
                <w:lang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08F397B1" w14:textId="77777777">
            <w:pPr>
              <w:spacing w:line="276" w:lineRule="auto"/>
              <w:ind w:firstLine="0"/>
              <w:rPr>
                <w:rFonts w:eastAsia="Calibri" w:cs="Arial"/>
                <w:sz w:val="16"/>
                <w:szCs w:val="16"/>
                <w:lang w:eastAsia="en-US"/>
              </w:rPr>
            </w:pPr>
          </w:p>
        </w:tc>
      </w:tr>
      <w:tr w:rsidRPr="009C438A" w:rsidR="00562385" w:rsidTr="00E80A06" w14:paraId="0E1190B0"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5335159A" w14:textId="77777777">
            <w:pPr>
              <w:spacing w:line="276" w:lineRule="auto"/>
              <w:ind w:firstLine="0"/>
              <w:rPr>
                <w:rFonts w:eastAsia="Calibri" w:cs="Arial"/>
                <w:sz w:val="16"/>
                <w:szCs w:val="16"/>
                <w:lang w:eastAsia="en-US"/>
              </w:rPr>
            </w:pPr>
            <w:r w:rsidRPr="009C438A">
              <w:rPr>
                <w:rFonts w:eastAsia="Calibri" w:cs="Arial"/>
                <w:sz w:val="16"/>
                <w:szCs w:val="16"/>
                <w:lang w:eastAsia="en-US"/>
              </w:rPr>
              <w:t>2.8.1</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562385" w:rsidP="00562385" w:rsidRDefault="00562385" w14:paraId="368A8498" w14:textId="77777777">
            <w:pPr>
              <w:spacing w:line="276" w:lineRule="auto"/>
              <w:ind w:firstLine="0"/>
              <w:rPr>
                <w:rFonts w:eastAsia="Calibri" w:cs="Arial"/>
                <w:color w:val="FFFFFF"/>
                <w:sz w:val="16"/>
                <w:szCs w:val="16"/>
                <w:lang w:eastAsia="en-US"/>
              </w:rPr>
            </w:pPr>
            <w:r w:rsidRPr="009C438A">
              <w:rPr>
                <w:rFonts w:eastAsia="Calibri" w:cs="Arial"/>
                <w:color w:val="FFFFFF"/>
                <w:sz w:val="16"/>
                <w:szCs w:val="16"/>
                <w:lang w:eastAsia="en-US"/>
              </w:rPr>
              <w:t>Bronbelasting op interest &amp; royalty</w:t>
            </w:r>
            <w:r w:rsidR="0010725F">
              <w:rPr>
                <w:rFonts w:eastAsia="Calibri" w:cs="Arial"/>
                <w:color w:val="FFFFFF"/>
                <w:sz w:val="16"/>
                <w:szCs w:val="16"/>
                <w:lang w:eastAsia="en-US"/>
              </w:rPr>
              <w:t>’</w:t>
            </w:r>
            <w:r w:rsidRPr="009C438A">
              <w:rPr>
                <w:rFonts w:eastAsia="Calibri" w:cs="Arial"/>
                <w:color w:val="FFFFFF"/>
                <w:sz w:val="16"/>
                <w:szCs w:val="16"/>
                <w:lang w:eastAsia="en-US"/>
              </w:rPr>
              <w:t>s toegestaan</w:t>
            </w:r>
          </w:p>
        </w:tc>
        <w:tc>
          <w:tcPr>
            <w:tcW w:w="283"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7B0D9847" w14:textId="77777777">
            <w:pPr>
              <w:spacing w:line="276" w:lineRule="auto"/>
              <w:ind w:firstLine="0"/>
              <w:rPr>
                <w:rFonts w:eastAsia="Calibri" w:cs="Arial"/>
                <w:b/>
                <w:color w:val="007BC7"/>
                <w:sz w:val="16"/>
                <w:szCs w:val="16"/>
                <w:lang w:eastAsia="en-US"/>
              </w:rPr>
            </w:pPr>
          </w:p>
        </w:tc>
        <w:tc>
          <w:tcPr>
            <w:tcW w:w="493"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5397CC8F" w14:textId="77777777">
            <w:pPr>
              <w:spacing w:line="276" w:lineRule="auto"/>
              <w:ind w:firstLine="0"/>
              <w:rPr>
                <w:rFonts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018F7207" w14:textId="77777777">
            <w:pPr>
              <w:spacing w:line="276" w:lineRule="auto"/>
              <w:ind w:firstLine="0"/>
              <w:rPr>
                <w:rFonts w:eastAsia="Calibri" w:cs="Arial"/>
                <w:b/>
                <w:color w:val="007BC7"/>
                <w:sz w:val="16"/>
                <w:szCs w:val="16"/>
                <w:lang w:eastAsia="en-US"/>
              </w:rPr>
            </w:pP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7716357B" w14:textId="77777777">
            <w:pPr>
              <w:spacing w:line="276" w:lineRule="auto"/>
              <w:ind w:firstLine="0"/>
              <w:rPr>
                <w:rFonts w:eastAsia="Calibri" w:cs="Arial"/>
                <w:b/>
                <w:color w:val="007BC7"/>
                <w:sz w:val="16"/>
                <w:szCs w:val="16"/>
                <w:lang w:eastAsia="en-US"/>
              </w:rPr>
            </w:pPr>
            <w:r w:rsidRPr="009C438A">
              <w:rPr>
                <w:rFonts w:eastAsia="Calibri" w:cs="Arial"/>
                <w:b/>
                <w:color w:val="007BC7"/>
                <w:sz w:val="16"/>
                <w:szCs w:val="16"/>
                <w:lang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2A0E9FB4" w14:textId="77777777">
            <w:pPr>
              <w:spacing w:line="276" w:lineRule="auto"/>
              <w:ind w:firstLine="0"/>
              <w:rPr>
                <w:rFonts w:eastAsia="Calibri" w:cs="Arial"/>
                <w:sz w:val="16"/>
                <w:szCs w:val="16"/>
                <w:lang w:eastAsia="en-US"/>
              </w:rPr>
            </w:pPr>
          </w:p>
        </w:tc>
      </w:tr>
      <w:tr w:rsidRPr="009C438A" w:rsidR="00562385" w:rsidTr="00E80A06" w14:paraId="75D0EAB1"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52E870AD" w14:textId="77777777">
            <w:pPr>
              <w:spacing w:line="276" w:lineRule="auto"/>
              <w:ind w:firstLine="0"/>
              <w:rPr>
                <w:rFonts w:eastAsia="Calibri" w:cs="Arial"/>
                <w:sz w:val="16"/>
                <w:szCs w:val="16"/>
                <w:lang w:eastAsia="en-US"/>
              </w:rPr>
            </w:pP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562385" w:rsidP="00562385" w:rsidRDefault="00562385" w14:paraId="3A37744A" w14:textId="77777777">
            <w:pPr>
              <w:spacing w:line="276" w:lineRule="auto"/>
              <w:ind w:firstLine="0"/>
              <w:rPr>
                <w:rFonts w:eastAsia="Calibri" w:cs="Arial"/>
                <w:color w:val="FFFFFF"/>
                <w:sz w:val="16"/>
                <w:szCs w:val="16"/>
                <w:lang w:eastAsia="en-US"/>
              </w:rPr>
            </w:pPr>
            <w:r w:rsidRPr="009C438A">
              <w:rPr>
                <w:rFonts w:eastAsia="Calibri" w:cs="Arial"/>
                <w:color w:val="FFFFFF"/>
                <w:sz w:val="16"/>
                <w:szCs w:val="16"/>
                <w:lang w:eastAsia="en-US"/>
              </w:rPr>
              <w:t xml:space="preserve">Risico’s verdragsmisbruik tijdens onderhandelingen op initiatief van Nederland besproken en zo nodig geadresseerd in het verdrag </w:t>
            </w:r>
          </w:p>
        </w:tc>
        <w:tc>
          <w:tcPr>
            <w:tcW w:w="283"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7C7513BF" w14:textId="77777777">
            <w:pPr>
              <w:spacing w:line="276" w:lineRule="auto"/>
              <w:ind w:firstLine="0"/>
              <w:rPr>
                <w:rFonts w:eastAsia="Calibri" w:cs="Arial"/>
                <w:b/>
                <w:color w:val="007BC7"/>
                <w:sz w:val="16"/>
                <w:szCs w:val="16"/>
                <w:lang w:eastAsia="en-US"/>
              </w:rPr>
            </w:pPr>
          </w:p>
        </w:tc>
        <w:tc>
          <w:tcPr>
            <w:tcW w:w="493"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32837090" w14:textId="77777777">
            <w:pPr>
              <w:spacing w:line="276" w:lineRule="auto"/>
              <w:ind w:firstLine="0"/>
              <w:rPr>
                <w:rFonts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7782069F" w14:textId="77777777">
            <w:pPr>
              <w:spacing w:line="276" w:lineRule="auto"/>
              <w:ind w:firstLine="0"/>
              <w:rPr>
                <w:rFonts w:eastAsia="Calibri" w:cs="Arial"/>
                <w:b/>
                <w:color w:val="007BC7"/>
                <w:sz w:val="16"/>
                <w:szCs w:val="16"/>
                <w:lang w:eastAsia="en-US"/>
              </w:rPr>
            </w:pP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5244F873" w14:textId="77777777">
            <w:pPr>
              <w:spacing w:line="276" w:lineRule="auto"/>
              <w:ind w:firstLine="0"/>
              <w:rPr>
                <w:rFonts w:eastAsia="Calibri" w:cs="Arial"/>
                <w:b/>
                <w:color w:val="007BC7"/>
                <w:sz w:val="16"/>
                <w:szCs w:val="16"/>
                <w:lang w:eastAsia="en-US"/>
              </w:rPr>
            </w:pPr>
            <w:r>
              <w:rPr>
                <w:rFonts w:eastAsia="Calibri" w:cs="Arial"/>
                <w:b/>
                <w:color w:val="007BC7"/>
                <w:sz w:val="16"/>
                <w:szCs w:val="16"/>
                <w:lang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3AFC22D4" w14:textId="77777777">
            <w:pPr>
              <w:spacing w:line="276" w:lineRule="auto"/>
              <w:ind w:firstLine="0"/>
              <w:rPr>
                <w:rFonts w:eastAsia="Calibri" w:cs="Arial"/>
                <w:sz w:val="16"/>
                <w:szCs w:val="16"/>
                <w:lang w:eastAsia="en-US"/>
              </w:rPr>
            </w:pPr>
          </w:p>
        </w:tc>
      </w:tr>
      <w:tr w:rsidRPr="009C438A" w:rsidR="00562385" w:rsidTr="00E80A06" w14:paraId="16BED378" w14:textId="77777777">
        <w:trPr>
          <w:trHeight w:val="255"/>
        </w:trPr>
        <w:tc>
          <w:tcPr>
            <w:tcW w:w="693"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6AC873AC" w14:textId="77777777">
            <w:pPr>
              <w:spacing w:line="276" w:lineRule="auto"/>
              <w:ind w:firstLine="0"/>
              <w:rPr>
                <w:rFonts w:eastAsia="Calibri" w:cs="Arial"/>
                <w:sz w:val="16"/>
                <w:szCs w:val="16"/>
                <w:lang w:eastAsia="en-US"/>
              </w:rPr>
            </w:pPr>
            <w:r w:rsidRPr="009C438A">
              <w:rPr>
                <w:rFonts w:eastAsia="Calibri" w:cs="Arial"/>
                <w:sz w:val="16"/>
                <w:szCs w:val="16"/>
                <w:lang w:eastAsia="en-US"/>
              </w:rPr>
              <w:t>II.2</w:t>
            </w:r>
          </w:p>
        </w:tc>
        <w:tc>
          <w:tcPr>
            <w:tcW w:w="6373" w:type="dxa"/>
            <w:gridSpan w:val="3"/>
            <w:tcBorders>
              <w:top w:val="single" w:color="FFFFFF" w:sz="12" w:space="0"/>
              <w:left w:val="single" w:color="FFFFFF" w:sz="12" w:space="0"/>
              <w:bottom w:val="single" w:color="FFFFFF" w:sz="12" w:space="0"/>
              <w:right w:val="single" w:color="FFFFFF" w:sz="12" w:space="0"/>
            </w:tcBorders>
            <w:shd w:val="clear" w:color="auto" w:fill="007BC7"/>
            <w:vAlign w:val="center"/>
          </w:tcPr>
          <w:p w:rsidRPr="009C438A" w:rsidR="00562385" w:rsidP="00562385" w:rsidRDefault="00562385" w14:paraId="270A7291" w14:textId="77777777">
            <w:pPr>
              <w:spacing w:line="276" w:lineRule="auto"/>
              <w:ind w:firstLine="0"/>
              <w:rPr>
                <w:rFonts w:eastAsia="Calibri" w:cs="Arial"/>
                <w:color w:val="FFFFFF"/>
                <w:sz w:val="16"/>
                <w:szCs w:val="16"/>
                <w:lang w:eastAsia="en-US"/>
              </w:rPr>
            </w:pPr>
            <w:r w:rsidRPr="009C438A">
              <w:rPr>
                <w:rFonts w:eastAsia="Calibri" w:cs="Arial"/>
                <w:color w:val="FFFFFF"/>
                <w:sz w:val="16"/>
                <w:szCs w:val="16"/>
                <w:lang w:eastAsia="en-US"/>
              </w:rPr>
              <w:t>Overige onderdelen van het VN-model geaccepteerd ter ondersteuning van de fiscale ontwikkeling van het ontwikkelingsland</w:t>
            </w:r>
          </w:p>
        </w:tc>
        <w:tc>
          <w:tcPr>
            <w:tcW w:w="283" w:type="dxa"/>
            <w:gridSpan w:val="3"/>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56D9D980" w14:textId="77777777">
            <w:pPr>
              <w:spacing w:line="276" w:lineRule="auto"/>
              <w:ind w:firstLine="0"/>
              <w:rPr>
                <w:rFonts w:eastAsia="Calibri" w:cs="Arial"/>
                <w:b/>
                <w:color w:val="007BC7"/>
                <w:sz w:val="16"/>
                <w:szCs w:val="16"/>
                <w:lang w:eastAsia="en-US"/>
              </w:rPr>
            </w:pPr>
          </w:p>
        </w:tc>
        <w:tc>
          <w:tcPr>
            <w:tcW w:w="493" w:type="dxa"/>
            <w:gridSpan w:val="5"/>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7E79DF82" w14:textId="77777777">
            <w:pPr>
              <w:spacing w:line="276" w:lineRule="auto"/>
              <w:ind w:firstLine="0"/>
              <w:rPr>
                <w:rFonts w:eastAsia="Calibri" w:cs="Arial"/>
                <w:b/>
                <w:color w:val="007BC7"/>
                <w:sz w:val="16"/>
                <w:szCs w:val="16"/>
                <w:lang w:eastAsia="en-US"/>
              </w:rPr>
            </w:pPr>
          </w:p>
        </w:tc>
        <w:tc>
          <w:tcPr>
            <w:tcW w:w="422"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24808087" w14:textId="77777777">
            <w:pPr>
              <w:spacing w:line="276" w:lineRule="auto"/>
              <w:ind w:firstLine="0"/>
              <w:rPr>
                <w:rFonts w:eastAsia="Calibri" w:cs="Arial"/>
                <w:b/>
                <w:color w:val="007BC7"/>
                <w:sz w:val="16"/>
                <w:szCs w:val="16"/>
                <w:lang w:eastAsia="en-US"/>
              </w:rPr>
            </w:pPr>
          </w:p>
        </w:tc>
        <w:tc>
          <w:tcPr>
            <w:tcW w:w="353" w:type="dxa"/>
            <w:gridSpan w:val="2"/>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70CF9015" w14:textId="77777777">
            <w:pPr>
              <w:spacing w:line="276" w:lineRule="auto"/>
              <w:ind w:firstLine="0"/>
              <w:rPr>
                <w:rFonts w:eastAsia="Calibri" w:cs="Arial"/>
                <w:b/>
                <w:color w:val="007BC7"/>
                <w:sz w:val="16"/>
                <w:szCs w:val="16"/>
                <w:lang w:eastAsia="en-US"/>
              </w:rPr>
            </w:pPr>
            <w:r w:rsidRPr="009C438A">
              <w:rPr>
                <w:rFonts w:eastAsia="Calibri" w:cs="Arial"/>
                <w:b/>
                <w:color w:val="007BC7"/>
                <w:sz w:val="16"/>
                <w:szCs w:val="16"/>
                <w:lang w:eastAsia="en-US"/>
              </w:rPr>
              <w:t>X</w:t>
            </w:r>
          </w:p>
        </w:tc>
        <w:tc>
          <w:tcPr>
            <w:tcW w:w="559" w:type="dxa"/>
            <w:tcBorders>
              <w:top w:val="single" w:color="FFFFFF" w:sz="12" w:space="0"/>
              <w:left w:val="single" w:color="FFFFFF" w:sz="12" w:space="0"/>
              <w:bottom w:val="single" w:color="FFFFFF" w:sz="12" w:space="0"/>
              <w:right w:val="single" w:color="FFFFFF" w:sz="12" w:space="0"/>
            </w:tcBorders>
            <w:shd w:val="clear" w:color="auto" w:fill="BFBFBF"/>
            <w:vAlign w:val="center"/>
          </w:tcPr>
          <w:p w:rsidRPr="009C438A" w:rsidR="00562385" w:rsidP="00562385" w:rsidRDefault="00562385" w14:paraId="65D77C0C" w14:textId="77777777">
            <w:pPr>
              <w:spacing w:line="276" w:lineRule="auto"/>
              <w:ind w:firstLine="0"/>
              <w:rPr>
                <w:rFonts w:eastAsia="Calibri" w:cs="Arial"/>
                <w:sz w:val="16"/>
                <w:szCs w:val="16"/>
                <w:lang w:eastAsia="en-US"/>
              </w:rPr>
            </w:pPr>
          </w:p>
        </w:tc>
      </w:tr>
    </w:tbl>
    <w:p w:rsidRPr="00646CF0" w:rsidR="00646CF0" w:rsidP="00646CF0" w:rsidRDefault="00646CF0" w14:paraId="31C366C8" w14:textId="77777777">
      <w:pPr>
        <w:pBdr>
          <w:top w:val="single" w:color="auto" w:sz="4" w:space="1"/>
          <w:left w:val="single" w:color="auto" w:sz="4" w:space="0"/>
          <w:bottom w:val="single" w:color="auto" w:sz="4" w:space="1"/>
          <w:right w:val="single" w:color="auto" w:sz="4" w:space="4"/>
        </w:pBdr>
        <w:rPr>
          <w:b/>
        </w:rPr>
      </w:pPr>
      <w:r w:rsidRPr="00646CF0">
        <w:rPr>
          <w:b/>
          <w:sz w:val="16"/>
          <w:szCs w:val="16"/>
        </w:rPr>
        <w:t>Toelichting</w:t>
      </w:r>
      <w:r w:rsidRPr="00646CF0">
        <w:rPr>
          <w:sz w:val="16"/>
          <w:szCs w:val="16"/>
        </w:rPr>
        <w:br/>
        <w:t>In bovenstaand toetsschema met standaardcriteria voor het sluiten van belastingverdragen zijn de standaardcriteria opgenomen zoals geformuleerd en toegelicht in de N</w:t>
      </w:r>
      <w:r w:rsidR="00A377A7">
        <w:rPr>
          <w:sz w:val="16"/>
          <w:szCs w:val="16"/>
        </w:rPr>
        <w:t>FV</w:t>
      </w:r>
      <w:r w:rsidR="00DC09C7">
        <w:rPr>
          <w:sz w:val="16"/>
          <w:szCs w:val="16"/>
        </w:rPr>
        <w:t xml:space="preserve"> </w:t>
      </w:r>
      <w:r w:rsidRPr="00646CF0">
        <w:rPr>
          <w:sz w:val="16"/>
          <w:szCs w:val="16"/>
        </w:rPr>
        <w:t>2011. Dit schema biedt tevens uitvoering aan de motie-Van Vliet</w:t>
      </w:r>
      <w:r>
        <w:rPr>
          <w:rStyle w:val="Voetnootmarkering"/>
          <w:sz w:val="16"/>
          <w:szCs w:val="16"/>
        </w:rPr>
        <w:footnoteReference w:id="8"/>
      </w:r>
      <w:r w:rsidRPr="00646CF0">
        <w:rPr>
          <w:sz w:val="16"/>
          <w:szCs w:val="16"/>
        </w:rPr>
        <w:t xml:space="preserve"> en </w:t>
      </w:r>
      <w:r w:rsidR="004D5AC3">
        <w:rPr>
          <w:sz w:val="16"/>
          <w:szCs w:val="16"/>
        </w:rPr>
        <w:t>wordt</w:t>
      </w:r>
      <w:r w:rsidRPr="00646CF0" w:rsidR="004D5AC3">
        <w:rPr>
          <w:sz w:val="16"/>
          <w:szCs w:val="16"/>
        </w:rPr>
        <w:t xml:space="preserve"> </w:t>
      </w:r>
      <w:r w:rsidRPr="00646CF0">
        <w:rPr>
          <w:sz w:val="16"/>
          <w:szCs w:val="16"/>
        </w:rPr>
        <w:t>gevoegd bij elke toelichting bij nieuwe belastingverdragen. Per onderdeel word</w:t>
      </w:r>
      <w:r w:rsidR="004D5AC3">
        <w:rPr>
          <w:sz w:val="16"/>
          <w:szCs w:val="16"/>
        </w:rPr>
        <w:t>t</w:t>
      </w:r>
      <w:r w:rsidRPr="00646CF0">
        <w:rPr>
          <w:sz w:val="16"/>
          <w:szCs w:val="16"/>
        </w:rPr>
        <w:t xml:space="preserve"> aangegeven of de inzet geconcretiseerd is in het </w:t>
      </w:r>
      <w:r w:rsidR="001115F9">
        <w:rPr>
          <w:sz w:val="16"/>
          <w:szCs w:val="16"/>
        </w:rPr>
        <w:t>v</w:t>
      </w:r>
      <w:r w:rsidRPr="00646CF0">
        <w:rPr>
          <w:sz w:val="16"/>
          <w:szCs w:val="16"/>
        </w:rPr>
        <w:t>erdrag en word</w:t>
      </w:r>
      <w:r w:rsidR="004D5AC3">
        <w:rPr>
          <w:sz w:val="16"/>
          <w:szCs w:val="16"/>
        </w:rPr>
        <w:t>t</w:t>
      </w:r>
      <w:r w:rsidRPr="00646CF0">
        <w:rPr>
          <w:sz w:val="16"/>
          <w:szCs w:val="16"/>
        </w:rPr>
        <w:t xml:space="preserve"> verwezen naar de relevante passage in de toelichting.</w:t>
      </w:r>
    </w:p>
    <w:p w:rsidRPr="00646CF0" w:rsidR="00646CF0" w:rsidP="00646CF0" w:rsidRDefault="00646CF0" w14:paraId="304AC55F" w14:textId="77777777"/>
    <w:p w:rsidRPr="00B411D1" w:rsidR="00F915C8" w:rsidP="008F3067" w:rsidRDefault="00F915C8" w14:paraId="3F82A8A0" w14:textId="77777777">
      <w:pPr>
        <w:ind w:firstLine="0"/>
        <w:outlineLvl w:val="3"/>
      </w:pPr>
      <w:r>
        <w:rPr>
          <w:rFonts w:cs="Arial"/>
          <w:b/>
          <w:bCs/>
          <w:i/>
          <w:iCs/>
          <w:szCs w:val="20"/>
        </w:rPr>
        <w:t xml:space="preserve">II. ARTIKELSGEWIJZE TOELICHTING </w:t>
      </w:r>
    </w:p>
    <w:p w:rsidR="002A2E29" w:rsidP="008F3067" w:rsidRDefault="002A2E29" w14:paraId="128BD72C" w14:textId="77777777">
      <w:pPr>
        <w:pStyle w:val="Kop1"/>
        <w:numPr>
          <w:ilvl w:val="0"/>
          <w:numId w:val="0"/>
        </w:numPr>
      </w:pPr>
    </w:p>
    <w:p w:rsidR="003C7178" w:rsidP="008F3067" w:rsidRDefault="00D8638C" w14:paraId="19CA6CAF" w14:textId="77777777">
      <w:pPr>
        <w:ind w:firstLine="0"/>
        <w:rPr>
          <w:i/>
        </w:rPr>
      </w:pPr>
      <w:r w:rsidRPr="00D8638C">
        <w:rPr>
          <w:i/>
        </w:rPr>
        <w:t>II.</w:t>
      </w:r>
      <w:r w:rsidR="00634114">
        <w:rPr>
          <w:i/>
        </w:rPr>
        <w:t>1</w:t>
      </w:r>
      <w:r w:rsidRPr="00D8638C">
        <w:rPr>
          <w:i/>
        </w:rPr>
        <w:t xml:space="preserve">. </w:t>
      </w:r>
      <w:r w:rsidR="00857CEE">
        <w:rPr>
          <w:i/>
        </w:rPr>
        <w:t>Titel en preambule</w:t>
      </w:r>
      <w:r w:rsidRPr="00D8638C">
        <w:rPr>
          <w:i/>
        </w:rPr>
        <w:t xml:space="preserve"> (artikel</w:t>
      </w:r>
      <w:r w:rsidR="00D63AAA">
        <w:rPr>
          <w:i/>
        </w:rPr>
        <w:t>en</w:t>
      </w:r>
      <w:r w:rsidRPr="00D8638C">
        <w:rPr>
          <w:i/>
        </w:rPr>
        <w:t xml:space="preserve"> </w:t>
      </w:r>
      <w:r w:rsidR="00105C67">
        <w:rPr>
          <w:i/>
        </w:rPr>
        <w:t>1</w:t>
      </w:r>
      <w:r w:rsidR="003C7178">
        <w:rPr>
          <w:i/>
        </w:rPr>
        <w:t xml:space="preserve"> </w:t>
      </w:r>
      <w:r w:rsidR="00D63AAA">
        <w:rPr>
          <w:i/>
        </w:rPr>
        <w:t xml:space="preserve">en </w:t>
      </w:r>
      <w:r w:rsidR="00105C67">
        <w:rPr>
          <w:i/>
        </w:rPr>
        <w:t>17</w:t>
      </w:r>
      <w:r w:rsidR="00D63AAA">
        <w:rPr>
          <w:i/>
        </w:rPr>
        <w:t xml:space="preserve"> </w:t>
      </w:r>
      <w:r w:rsidR="003C7178">
        <w:rPr>
          <w:i/>
        </w:rPr>
        <w:t>van het Wijzigingsprotocol)</w:t>
      </w:r>
    </w:p>
    <w:p w:rsidR="00857CEE" w:rsidP="00857CEE" w:rsidRDefault="00857CEE" w14:paraId="05B823CF" w14:textId="77777777">
      <w:pPr>
        <w:ind w:firstLine="708"/>
        <w:rPr>
          <w:i/>
        </w:rPr>
      </w:pPr>
    </w:p>
    <w:p w:rsidR="00946D96" w:rsidP="00857CEE" w:rsidRDefault="00946D96" w14:paraId="04427274" w14:textId="019DA2D9">
      <w:pPr>
        <w:ind w:firstLine="708"/>
        <w:rPr>
          <w:rFonts w:cs="Arial"/>
          <w:szCs w:val="20"/>
        </w:rPr>
      </w:pPr>
      <w:r w:rsidRPr="00946D96">
        <w:rPr>
          <w:rFonts w:cs="Arial"/>
          <w:szCs w:val="20"/>
        </w:rPr>
        <w:t xml:space="preserve">Om verdragsmisbruik tegen te gaan, zijn in het rapport van </w:t>
      </w:r>
      <w:r w:rsidR="005F6881">
        <w:rPr>
          <w:rFonts w:cs="Arial"/>
          <w:szCs w:val="20"/>
        </w:rPr>
        <w:t>a</w:t>
      </w:r>
      <w:r w:rsidRPr="00946D96">
        <w:rPr>
          <w:rFonts w:cs="Arial"/>
          <w:szCs w:val="20"/>
        </w:rPr>
        <w:t xml:space="preserve">ctiepunt 6 van het BEPS-project over </w:t>
      </w:r>
      <w:r w:rsidRPr="00946D96">
        <w:rPr>
          <w:rFonts w:cs="Arial"/>
          <w:i/>
          <w:szCs w:val="20"/>
        </w:rPr>
        <w:t>Preventing the Granting of Treaty Benefits in Inappropriate Circumstances</w:t>
      </w:r>
      <w:r w:rsidRPr="00946D96">
        <w:rPr>
          <w:rFonts w:cs="Arial"/>
          <w:szCs w:val="20"/>
        </w:rPr>
        <w:t xml:space="preserve"> een aantal minimumstandaarden vastgelegd, </w:t>
      </w:r>
      <w:r w:rsidR="00D753CF">
        <w:rPr>
          <w:rFonts w:cs="Arial"/>
          <w:szCs w:val="20"/>
        </w:rPr>
        <w:t>onder andere</w:t>
      </w:r>
      <w:r w:rsidRPr="00946D96" w:rsidR="00D753CF">
        <w:rPr>
          <w:rFonts w:cs="Arial"/>
          <w:szCs w:val="20"/>
        </w:rPr>
        <w:t xml:space="preserve"> </w:t>
      </w:r>
      <w:r w:rsidR="00D753CF">
        <w:rPr>
          <w:rFonts w:cs="Arial"/>
          <w:szCs w:val="20"/>
        </w:rPr>
        <w:t>met betrekking tot</w:t>
      </w:r>
      <w:r w:rsidRPr="00946D96" w:rsidR="00D753CF">
        <w:rPr>
          <w:rFonts w:cs="Arial"/>
          <w:szCs w:val="20"/>
        </w:rPr>
        <w:t xml:space="preserve"> </w:t>
      </w:r>
      <w:r w:rsidRPr="00946D96">
        <w:rPr>
          <w:rFonts w:cs="Arial"/>
          <w:szCs w:val="20"/>
        </w:rPr>
        <w:t>de titel en de preambule van een belastingverdrag.</w:t>
      </w:r>
      <w:r w:rsidRPr="00D82170">
        <w:rPr>
          <w:rStyle w:val="Voetnootmarkering"/>
          <w:rFonts w:cs="Arial"/>
          <w:szCs w:val="20"/>
        </w:rPr>
        <w:footnoteReference w:id="9"/>
      </w:r>
      <w:r w:rsidRPr="00946D96">
        <w:rPr>
          <w:rFonts w:cs="Arial"/>
          <w:szCs w:val="20"/>
        </w:rPr>
        <w:t xml:space="preserve"> In verband hiermee worden de titel en de preambule van het Verdrag vervangen door een nieuwe titel en preambule, waarin expliciet wordt vermeld dat het Verdrag bedoeld is om dubbele belasting te </w:t>
      </w:r>
      <w:r w:rsidR="00E9651B">
        <w:rPr>
          <w:rFonts w:cs="Arial"/>
          <w:szCs w:val="20"/>
        </w:rPr>
        <w:t>vermijden</w:t>
      </w:r>
      <w:r w:rsidRPr="00946D96">
        <w:rPr>
          <w:rFonts w:cs="Arial"/>
          <w:szCs w:val="20"/>
        </w:rPr>
        <w:t>, zonder daarmee mogelijkheden te creëren voor dubbele niet-heffing of verlaagde heffing door belastingontduiking of belastingontwijking</w:t>
      </w:r>
      <w:r w:rsidR="00E9651B">
        <w:rPr>
          <w:rFonts w:cs="Arial"/>
          <w:szCs w:val="20"/>
        </w:rPr>
        <w:t>, ongeacht de soort belasting</w:t>
      </w:r>
      <w:r w:rsidRPr="00946D96">
        <w:rPr>
          <w:rFonts w:cs="Arial"/>
          <w:szCs w:val="20"/>
        </w:rPr>
        <w:t xml:space="preserve">. Daarbij wordt ook verwezen naar </w:t>
      </w:r>
      <w:r w:rsidRPr="00BA4A93">
        <w:rPr>
          <w:rFonts w:cs="Arial"/>
          <w:szCs w:val="20"/>
        </w:rPr>
        <w:t>treaty</w:t>
      </w:r>
      <w:r w:rsidRPr="00BA4A93" w:rsidR="00D53F0A">
        <w:rPr>
          <w:rFonts w:cs="Arial"/>
          <w:szCs w:val="20"/>
        </w:rPr>
        <w:t>-</w:t>
      </w:r>
      <w:r w:rsidRPr="00BA4A93">
        <w:rPr>
          <w:rFonts w:cs="Arial"/>
          <w:szCs w:val="20"/>
        </w:rPr>
        <w:t>shopping</w:t>
      </w:r>
      <w:r w:rsidR="00D53F0A">
        <w:rPr>
          <w:rFonts w:cs="Arial"/>
          <w:i/>
          <w:szCs w:val="20"/>
        </w:rPr>
        <w:t>-</w:t>
      </w:r>
      <w:r w:rsidRPr="00946D96">
        <w:rPr>
          <w:rFonts w:cs="Arial"/>
          <w:szCs w:val="20"/>
        </w:rPr>
        <w:t>constructies.</w:t>
      </w:r>
      <w:r w:rsidR="000034DF">
        <w:rPr>
          <w:rFonts w:cs="Arial"/>
          <w:szCs w:val="20"/>
        </w:rPr>
        <w:t xml:space="preserve"> </w:t>
      </w:r>
    </w:p>
    <w:p w:rsidR="00857CEE" w:rsidP="00857CEE" w:rsidRDefault="00B75038" w14:paraId="042D6CBD" w14:textId="77777777">
      <w:pPr>
        <w:ind w:firstLine="708"/>
      </w:pPr>
      <w:r>
        <w:rPr>
          <w:rFonts w:cs="Arial"/>
          <w:szCs w:val="20"/>
        </w:rPr>
        <w:t xml:space="preserve">In het verlengde hiervan </w:t>
      </w:r>
      <w:r w:rsidR="00D63AAA">
        <w:rPr>
          <w:rFonts w:cs="Arial"/>
          <w:szCs w:val="20"/>
        </w:rPr>
        <w:t>is</w:t>
      </w:r>
      <w:r w:rsidRPr="00D63AAA" w:rsidR="00D63AAA">
        <w:rPr>
          <w:rFonts w:cs="Arial"/>
          <w:szCs w:val="20"/>
        </w:rPr>
        <w:t xml:space="preserve"> </w:t>
      </w:r>
      <w:r w:rsidR="00D63AAA">
        <w:rPr>
          <w:rFonts w:cs="Arial"/>
          <w:szCs w:val="20"/>
        </w:rPr>
        <w:t xml:space="preserve">de </w:t>
      </w:r>
      <w:r w:rsidR="00D6204B">
        <w:rPr>
          <w:rFonts w:cs="Arial"/>
          <w:szCs w:val="20"/>
        </w:rPr>
        <w:t xml:space="preserve">preambule </w:t>
      </w:r>
      <w:r w:rsidR="00D63AAA">
        <w:rPr>
          <w:rFonts w:cs="Arial"/>
          <w:szCs w:val="20"/>
        </w:rPr>
        <w:t xml:space="preserve">van het Protocol </w:t>
      </w:r>
      <w:r w:rsidR="0073365D">
        <w:rPr>
          <w:rFonts w:cs="Arial"/>
          <w:szCs w:val="20"/>
        </w:rPr>
        <w:t xml:space="preserve">bij het Verdrag </w:t>
      </w:r>
      <w:r w:rsidR="00FD2FFE">
        <w:rPr>
          <w:rFonts w:cs="Arial"/>
          <w:szCs w:val="20"/>
        </w:rPr>
        <w:t xml:space="preserve">aangepast </w:t>
      </w:r>
      <w:r w:rsidR="0039026C">
        <w:rPr>
          <w:rFonts w:cs="Arial"/>
          <w:szCs w:val="20"/>
        </w:rPr>
        <w:t xml:space="preserve">en in overeenstemming gebracht met de wijzigingen </w:t>
      </w:r>
      <w:r w:rsidRPr="00BC154A" w:rsidR="0039026C">
        <w:rPr>
          <w:rFonts w:cs="Arial"/>
          <w:szCs w:val="20"/>
        </w:rPr>
        <w:t>in de titel van het Verdrag</w:t>
      </w:r>
      <w:r w:rsidRPr="00BC154A" w:rsidR="00FD2FFE">
        <w:rPr>
          <w:rFonts w:cs="Arial"/>
          <w:szCs w:val="20"/>
        </w:rPr>
        <w:t xml:space="preserve">. </w:t>
      </w:r>
      <w:r w:rsidR="00E9651B">
        <w:rPr>
          <w:rFonts w:cs="Arial"/>
          <w:szCs w:val="20"/>
        </w:rPr>
        <w:t xml:space="preserve">Hierop ziet </w:t>
      </w:r>
      <w:r w:rsidRPr="00BC154A" w:rsidR="00A0736B">
        <w:rPr>
          <w:rFonts w:cs="Arial"/>
          <w:szCs w:val="20"/>
        </w:rPr>
        <w:t xml:space="preserve">artikel </w:t>
      </w:r>
      <w:r w:rsidR="00105C67">
        <w:rPr>
          <w:rFonts w:cs="Arial"/>
          <w:szCs w:val="20"/>
        </w:rPr>
        <w:t>17</w:t>
      </w:r>
      <w:r w:rsidRPr="00BC154A" w:rsidR="00D63AAA">
        <w:rPr>
          <w:rFonts w:cs="Arial"/>
          <w:szCs w:val="20"/>
        </w:rPr>
        <w:t xml:space="preserve"> van het Wijzi</w:t>
      </w:r>
      <w:r w:rsidRPr="00BC154A" w:rsidR="00FD2FFE">
        <w:rPr>
          <w:rFonts w:cs="Arial"/>
          <w:szCs w:val="20"/>
        </w:rPr>
        <w:t>gingsprotocol.</w:t>
      </w:r>
      <w:r w:rsidR="00857CEE">
        <w:rPr>
          <w:rFonts w:cs="Arial"/>
          <w:szCs w:val="20"/>
        </w:rPr>
        <w:br/>
      </w:r>
    </w:p>
    <w:p w:rsidR="004F2F00" w:rsidP="004F2F00" w:rsidRDefault="004F2F00" w14:paraId="5DB142A9" w14:textId="77777777">
      <w:pPr>
        <w:ind w:firstLine="0"/>
        <w:rPr>
          <w:i/>
        </w:rPr>
      </w:pPr>
      <w:r w:rsidRPr="00D8638C">
        <w:rPr>
          <w:i/>
        </w:rPr>
        <w:t>II.</w:t>
      </w:r>
      <w:r>
        <w:rPr>
          <w:i/>
        </w:rPr>
        <w:t>2</w:t>
      </w:r>
      <w:r w:rsidRPr="00D8638C">
        <w:rPr>
          <w:i/>
        </w:rPr>
        <w:t xml:space="preserve">. </w:t>
      </w:r>
      <w:r>
        <w:rPr>
          <w:i/>
        </w:rPr>
        <w:t xml:space="preserve">Personen op wie het Verdrag van toepassing is </w:t>
      </w:r>
      <w:r w:rsidR="00C01C02">
        <w:rPr>
          <w:i/>
        </w:rPr>
        <w:t>(artikelen 2 en 18</w:t>
      </w:r>
      <w:r>
        <w:rPr>
          <w:i/>
        </w:rPr>
        <w:t xml:space="preserve"> van het Wijzigingsprotocol</w:t>
      </w:r>
      <w:r w:rsidR="00C01C02">
        <w:rPr>
          <w:i/>
        </w:rPr>
        <w:t xml:space="preserve">, artikel 2 van het Verdrag en artikel I </w:t>
      </w:r>
      <w:r w:rsidRPr="00BC154A" w:rsidR="00C01C02">
        <w:rPr>
          <w:rFonts w:cs="Arial"/>
          <w:i/>
          <w:szCs w:val="20"/>
        </w:rPr>
        <w:t>van het Protocol bij het Verdrag</w:t>
      </w:r>
      <w:r w:rsidRPr="00BC154A" w:rsidR="00C01C02">
        <w:rPr>
          <w:i/>
        </w:rPr>
        <w:t>)</w:t>
      </w:r>
      <w:r w:rsidR="00090F3C">
        <w:rPr>
          <w:i/>
        </w:rPr>
        <w:br/>
      </w:r>
    </w:p>
    <w:p w:rsidRPr="00602810" w:rsidR="004F2F00" w:rsidP="009E1DAA" w:rsidRDefault="00555144" w14:paraId="7457297B" w14:textId="177D0978">
      <w:pPr>
        <w:pStyle w:val="Kop2"/>
        <w:numPr>
          <w:ilvl w:val="0"/>
          <w:numId w:val="0"/>
        </w:numPr>
        <w:spacing w:before="0" w:after="0"/>
        <w:ind w:firstLine="708"/>
        <w:rPr>
          <w:b w:val="0"/>
          <w:bCs w:val="0"/>
          <w:iCs w:val="0"/>
          <w:szCs w:val="24"/>
        </w:rPr>
      </w:pPr>
      <w:r w:rsidRPr="00602810">
        <w:rPr>
          <w:b w:val="0"/>
          <w:bCs w:val="0"/>
          <w:iCs w:val="0"/>
          <w:szCs w:val="24"/>
        </w:rPr>
        <w:t>Met artikel 2</w:t>
      </w:r>
      <w:r w:rsidRPr="00602810" w:rsidR="004F2F00">
        <w:rPr>
          <w:b w:val="0"/>
          <w:bCs w:val="0"/>
          <w:iCs w:val="0"/>
          <w:szCs w:val="24"/>
        </w:rPr>
        <w:t xml:space="preserve"> van het Wijzigingsprotocol word</w:t>
      </w:r>
      <w:r w:rsidRPr="00602810">
        <w:rPr>
          <w:b w:val="0"/>
          <w:bCs w:val="0"/>
          <w:iCs w:val="0"/>
          <w:szCs w:val="24"/>
        </w:rPr>
        <w:t xml:space="preserve">t aan artikel 1 van het Verdrag </w:t>
      </w:r>
      <w:r w:rsidRPr="00602810" w:rsidR="00602810">
        <w:rPr>
          <w:b w:val="0"/>
          <w:bCs w:val="0"/>
          <w:iCs w:val="0"/>
          <w:szCs w:val="24"/>
        </w:rPr>
        <w:t>een</w:t>
      </w:r>
      <w:r w:rsidR="00D85E84">
        <w:rPr>
          <w:b w:val="0"/>
          <w:bCs w:val="0"/>
          <w:iCs w:val="0"/>
          <w:szCs w:val="24"/>
        </w:rPr>
        <w:t xml:space="preserve"> nieuw</w:t>
      </w:r>
      <w:r w:rsidRPr="00602810" w:rsidR="00602810">
        <w:rPr>
          <w:b w:val="0"/>
          <w:bCs w:val="0"/>
          <w:iCs w:val="0"/>
          <w:szCs w:val="24"/>
        </w:rPr>
        <w:t xml:space="preserve"> tweede lid </w:t>
      </w:r>
      <w:r w:rsidRPr="00602810">
        <w:rPr>
          <w:b w:val="0"/>
          <w:bCs w:val="0"/>
          <w:iCs w:val="0"/>
          <w:szCs w:val="24"/>
        </w:rPr>
        <w:t>toegevoegd</w:t>
      </w:r>
      <w:r w:rsidRPr="00602810" w:rsidR="00602810">
        <w:rPr>
          <w:b w:val="0"/>
          <w:bCs w:val="0"/>
          <w:iCs w:val="0"/>
          <w:szCs w:val="24"/>
        </w:rPr>
        <w:t xml:space="preserve">. Dit tweede </w:t>
      </w:r>
      <w:r w:rsidRPr="00602810" w:rsidR="004F2F00">
        <w:rPr>
          <w:b w:val="0"/>
          <w:bCs w:val="0"/>
          <w:iCs w:val="0"/>
          <w:szCs w:val="24"/>
        </w:rPr>
        <w:t xml:space="preserve">lid heeft betrekking op entiteiten die in de ene staat volgens nationaal recht worden aangemerkt als een fiscaal zelfstandig lichaam, maar volgens het nationale recht van de andere staat als fiscaal transparant worden beschouwd. Men spreekt in dit verband wel van hybride entiteiten. De andere staat ziet dan geen zelfstandig belastingplichtig lichaam maar kijkt voor de belastingheffing naar de achterliggende personen die in de desbetreffende entiteit deelnemen. Dat betekent dat die andere staat de inkomsten fiscaal niet toerekent aan de entiteit, maar aan de daarin deelnemende, achterliggende personen. Een dergelijk verschil in kwalificatie van entiteiten leidt tot </w:t>
      </w:r>
      <w:r w:rsidRPr="00602810" w:rsidR="004F2F00">
        <w:rPr>
          <w:b w:val="0"/>
          <w:bCs w:val="0"/>
          <w:iCs w:val="0"/>
          <w:szCs w:val="24"/>
        </w:rPr>
        <w:lastRenderedPageBreak/>
        <w:t>vragen over de verdragsgerechtigdheid van de entiteit of van de daarin deelnemende personen, en kan leiden tot dubbele vrijstelling of dubbele belasting van inkomen.</w:t>
      </w:r>
    </w:p>
    <w:p w:rsidRPr="00555144" w:rsidR="00555144" w:rsidP="009E1DAA" w:rsidRDefault="004F2F00" w14:paraId="4EDF3697" w14:textId="4995935D">
      <w:pPr>
        <w:ind w:firstLine="720"/>
      </w:pPr>
      <w:r w:rsidRPr="00602810">
        <w:t>In paragraaf 435 van het rapport bij actiepunt 2 van het BEPS-project</w:t>
      </w:r>
      <w:r w:rsidRPr="00A8387E" w:rsidR="00A8387E">
        <w:rPr>
          <w:vertAlign w:val="superscript"/>
        </w:rPr>
        <w:footnoteReference w:id="10"/>
      </w:r>
      <w:r w:rsidRPr="00602810">
        <w:t xml:space="preserve"> is een voorstel gedaan voor een </w:t>
      </w:r>
      <w:r>
        <w:t xml:space="preserve">specifieke verdragsbepaling met betrekking tot deze problematiek. De daarbij voorgestelde bepaling heeft </w:t>
      </w:r>
      <w:r w:rsidR="00C53AA6">
        <w:t xml:space="preserve">haar </w:t>
      </w:r>
      <w:r>
        <w:t xml:space="preserve">weg gevonden naar het </w:t>
      </w:r>
      <w:r w:rsidR="00207702">
        <w:t xml:space="preserve">MLI </w:t>
      </w:r>
      <w:r>
        <w:t xml:space="preserve">(artikel 3 daarvan) en is inmiddels ook opgenomen in </w:t>
      </w:r>
      <w:r w:rsidR="006D4003">
        <w:t xml:space="preserve">het </w:t>
      </w:r>
      <w:r>
        <w:t xml:space="preserve">OESO-modelverdrag. </w:t>
      </w:r>
      <w:r w:rsidR="003A19C1">
        <w:t xml:space="preserve">De </w:t>
      </w:r>
      <w:r w:rsidR="00D00570">
        <w:t xml:space="preserve">nu in artikel 1, </w:t>
      </w:r>
      <w:r>
        <w:t>tweede lid</w:t>
      </w:r>
      <w:r w:rsidR="00D00570">
        <w:t xml:space="preserve">, van het Verdrag opgenomen bepaling </w:t>
      </w:r>
      <w:r>
        <w:t xml:space="preserve">sluit hierbij aan, en het opnemen van deze bepaling is ook in overeenstemming met het Nederlandse verdragsbeleid op dit punt (zoals verwoord in paragraaf 2.2.6. van de reeds in </w:t>
      </w:r>
      <w:r w:rsidR="003A19C1">
        <w:t xml:space="preserve">onderdeel </w:t>
      </w:r>
      <w:r>
        <w:t>I.</w:t>
      </w:r>
      <w:r w:rsidR="00DF6A9A">
        <w:t>1</w:t>
      </w:r>
      <w:r>
        <w:t xml:space="preserve">. </w:t>
      </w:r>
      <w:r w:rsidR="003A19C1">
        <w:t xml:space="preserve">van deze toelichtende nota </w:t>
      </w:r>
      <w:r>
        <w:t xml:space="preserve">genoemde brief van </w:t>
      </w:r>
      <w:r w:rsidRPr="00235C60">
        <w:t xml:space="preserve">28 oktober 2016 </w:t>
      </w:r>
      <w:r>
        <w:t xml:space="preserve">over het </w:t>
      </w:r>
      <w:r w:rsidR="00207702">
        <w:t>MLI</w:t>
      </w:r>
      <w:r w:rsidR="00602810">
        <w:t>).</w:t>
      </w:r>
    </w:p>
    <w:p w:rsidR="004F2F00" w:rsidP="009E1DAA" w:rsidRDefault="004F2F00" w14:paraId="643E0FB4" w14:textId="0A4342E9">
      <w:pPr>
        <w:ind w:firstLine="720"/>
        <w:rPr>
          <w:rFonts w:cs="Arial"/>
          <w:szCs w:val="20"/>
        </w:rPr>
      </w:pPr>
      <w:r>
        <w:t xml:space="preserve">De eerste zin van het </w:t>
      </w:r>
      <w:r w:rsidR="00D85E84">
        <w:t xml:space="preserve">nieuwe </w:t>
      </w:r>
      <w:r>
        <w:t xml:space="preserve">tweede lid bepaalt dat </w:t>
      </w:r>
      <w:r w:rsidRPr="003A7682">
        <w:rPr>
          <w:rFonts w:cs="Arial"/>
          <w:szCs w:val="20"/>
        </w:rPr>
        <w:t xml:space="preserve">als een verdragsluitende staat </w:t>
      </w:r>
      <w:r>
        <w:rPr>
          <w:rFonts w:cs="Arial"/>
          <w:szCs w:val="20"/>
        </w:rPr>
        <w:t xml:space="preserve">het </w:t>
      </w:r>
      <w:r w:rsidRPr="003A7682">
        <w:rPr>
          <w:rFonts w:cs="Arial"/>
          <w:szCs w:val="20"/>
        </w:rPr>
        <w:t>door of via een hybride entiteit verkregen inkomen in aanmerking neemt als inkomen van een inwoner</w:t>
      </w:r>
      <w:r>
        <w:rPr>
          <w:rFonts w:cs="Arial"/>
          <w:szCs w:val="20"/>
        </w:rPr>
        <w:t xml:space="preserve"> van die staat</w:t>
      </w:r>
      <w:r w:rsidRPr="003A7682">
        <w:rPr>
          <w:rFonts w:cs="Arial"/>
          <w:szCs w:val="20"/>
        </w:rPr>
        <w:t>, dit inkomen ook voor de toepassing van het Verdrag als zod</w:t>
      </w:r>
      <w:r>
        <w:rPr>
          <w:rFonts w:cs="Arial"/>
          <w:szCs w:val="20"/>
        </w:rPr>
        <w:t>anig moet worden behandeld. De</w:t>
      </w:r>
      <w:r w:rsidRPr="003A7682">
        <w:rPr>
          <w:rFonts w:cs="Arial"/>
          <w:szCs w:val="20"/>
        </w:rPr>
        <w:t xml:space="preserve"> bepaling voorkomt </w:t>
      </w:r>
      <w:r>
        <w:rPr>
          <w:rFonts w:cs="Arial"/>
          <w:szCs w:val="20"/>
        </w:rPr>
        <w:t>daarmee</w:t>
      </w:r>
      <w:r w:rsidRPr="003A7682">
        <w:rPr>
          <w:rFonts w:cs="Arial"/>
          <w:szCs w:val="20"/>
        </w:rPr>
        <w:t xml:space="preserve"> dat </w:t>
      </w:r>
      <w:r>
        <w:rPr>
          <w:rFonts w:cs="Arial"/>
          <w:szCs w:val="20"/>
        </w:rPr>
        <w:t xml:space="preserve">de inwoner van de ene staat </w:t>
      </w:r>
      <w:r w:rsidRPr="0011244C">
        <w:t xml:space="preserve">geen aanspraak </w:t>
      </w:r>
      <w:r>
        <w:t>zou kunnen</w:t>
      </w:r>
      <w:r w:rsidRPr="0011244C">
        <w:t xml:space="preserve"> maken op</w:t>
      </w:r>
      <w:r>
        <w:t xml:space="preserve"> </w:t>
      </w:r>
      <w:r>
        <w:rPr>
          <w:rFonts w:cs="Arial"/>
          <w:szCs w:val="20"/>
        </w:rPr>
        <w:t xml:space="preserve">de verdragsvoordelen met betrekking tot dat inkomen omdat de andere staat (de bronstaat) dat inkomen, volgens de eigen kwalificatie van de hybride entiteit, aan een andere persoon zou toerekenen. Aan de andere kant stelt de bepaling ook buiten twijfel dat er geen verdragsvoordelen worden verleend </w:t>
      </w:r>
      <w:r w:rsidRPr="00972705">
        <w:rPr>
          <w:rFonts w:cs="Arial"/>
          <w:szCs w:val="20"/>
        </w:rPr>
        <w:t>voor inkom</w:t>
      </w:r>
      <w:r>
        <w:rPr>
          <w:rFonts w:cs="Arial"/>
          <w:szCs w:val="20"/>
        </w:rPr>
        <w:t>en</w:t>
      </w:r>
      <w:r w:rsidRPr="00972705">
        <w:rPr>
          <w:rFonts w:cs="Arial"/>
          <w:szCs w:val="20"/>
        </w:rPr>
        <w:t xml:space="preserve"> </w:t>
      </w:r>
      <w:r w:rsidR="00101D9C">
        <w:rPr>
          <w:rFonts w:cs="Arial"/>
          <w:szCs w:val="20"/>
        </w:rPr>
        <w:t>dat</w:t>
      </w:r>
      <w:r w:rsidRPr="00972705">
        <w:rPr>
          <w:rFonts w:cs="Arial"/>
          <w:szCs w:val="20"/>
        </w:rPr>
        <w:t xml:space="preserve"> bij geen van de verdrags</w:t>
      </w:r>
      <w:r>
        <w:rPr>
          <w:rFonts w:cs="Arial"/>
          <w:szCs w:val="20"/>
        </w:rPr>
        <w:t xml:space="preserve">luitende staten </w:t>
      </w:r>
      <w:r w:rsidRPr="00972705">
        <w:rPr>
          <w:rFonts w:cs="Arial"/>
          <w:szCs w:val="20"/>
        </w:rPr>
        <w:t>in aanmerking word</w:t>
      </w:r>
      <w:r w:rsidR="00B1671E">
        <w:rPr>
          <w:rFonts w:cs="Arial"/>
          <w:szCs w:val="20"/>
        </w:rPr>
        <w:t>t</w:t>
      </w:r>
      <w:r w:rsidRPr="00972705">
        <w:rPr>
          <w:rFonts w:cs="Arial"/>
          <w:szCs w:val="20"/>
        </w:rPr>
        <w:t xml:space="preserve"> genomen als inkomen van een inwoner</w:t>
      </w:r>
      <w:r>
        <w:rPr>
          <w:rFonts w:cs="Arial"/>
          <w:szCs w:val="20"/>
        </w:rPr>
        <w:t>.</w:t>
      </w:r>
    </w:p>
    <w:p w:rsidR="004F2F00" w:rsidP="004F2F00" w:rsidRDefault="004F2F00" w14:paraId="3BED45DB" w14:textId="4016A033">
      <w:pPr>
        <w:ind w:firstLine="720"/>
        <w:rPr>
          <w:rFonts w:cs="Arial"/>
          <w:szCs w:val="20"/>
        </w:rPr>
      </w:pPr>
      <w:r>
        <w:rPr>
          <w:rFonts w:cs="Arial"/>
          <w:szCs w:val="20"/>
        </w:rPr>
        <w:t xml:space="preserve">Volgens de tweede zin </w:t>
      </w:r>
      <w:r w:rsidR="00D00570">
        <w:rPr>
          <w:rFonts w:cs="Arial"/>
          <w:szCs w:val="20"/>
        </w:rPr>
        <w:t xml:space="preserve">van het nieuwe tweede lid </w:t>
      </w:r>
      <w:r>
        <w:rPr>
          <w:rFonts w:cs="Arial"/>
          <w:szCs w:val="20"/>
        </w:rPr>
        <w:t xml:space="preserve">heeft het bepaalde in de eerste zin niet tot gevolg dat een verdragsluitende staat wordt beperkt in het belasten van </w:t>
      </w:r>
      <w:r w:rsidR="00583D69">
        <w:rPr>
          <w:rFonts w:cs="Arial"/>
          <w:szCs w:val="20"/>
        </w:rPr>
        <w:t xml:space="preserve">de </w:t>
      </w:r>
      <w:r>
        <w:rPr>
          <w:rFonts w:cs="Arial"/>
          <w:szCs w:val="20"/>
        </w:rPr>
        <w:t xml:space="preserve">eigen inwoners. Dit ziet bijvoorbeeld op de situatie dat de hybride entiteit als inwoner belastingplichtig is in de verdragsluitende staat waar het inkomen van die entiteit opkomt. Vanuit deze staat bezien </w:t>
      </w:r>
      <w:r w:rsidRPr="00950B3C">
        <w:rPr>
          <w:rFonts w:cs="Arial"/>
          <w:szCs w:val="20"/>
        </w:rPr>
        <w:t>is dan sprake van een zuiver binnenlandse situatie</w:t>
      </w:r>
      <w:r>
        <w:rPr>
          <w:rFonts w:cs="Arial"/>
          <w:szCs w:val="20"/>
        </w:rPr>
        <w:t xml:space="preserve">. In dat geval hoeft de verdragsluitende staat waar het inkomen opkomt </w:t>
      </w:r>
      <w:r w:rsidR="00602810">
        <w:rPr>
          <w:rFonts w:cs="Arial"/>
          <w:szCs w:val="20"/>
        </w:rPr>
        <w:t xml:space="preserve">de bepalingen van de eerste zin </w:t>
      </w:r>
      <w:r>
        <w:rPr>
          <w:rFonts w:cs="Arial"/>
          <w:szCs w:val="20"/>
        </w:rPr>
        <w:t>niet toe te passen. O</w:t>
      </w:r>
      <w:r w:rsidRPr="00D122CA">
        <w:rPr>
          <w:rFonts w:cs="Arial"/>
          <w:szCs w:val="20"/>
        </w:rPr>
        <w:t xml:space="preserve">p deze manier wordt voorkomen </w:t>
      </w:r>
      <w:r>
        <w:rPr>
          <w:rFonts w:cs="Arial"/>
          <w:szCs w:val="20"/>
        </w:rPr>
        <w:t>dat de heffingsrechten van een v</w:t>
      </w:r>
      <w:r w:rsidRPr="00D122CA">
        <w:rPr>
          <w:rFonts w:cs="Arial"/>
          <w:szCs w:val="20"/>
        </w:rPr>
        <w:t>erdragsluitende</w:t>
      </w:r>
      <w:r>
        <w:rPr>
          <w:rFonts w:cs="Arial"/>
          <w:szCs w:val="20"/>
        </w:rPr>
        <w:t xml:space="preserve"> staat</w:t>
      </w:r>
      <w:r w:rsidRPr="00D122CA">
        <w:rPr>
          <w:rFonts w:cs="Arial"/>
          <w:szCs w:val="20"/>
        </w:rPr>
        <w:t xml:space="preserve"> beperkt zou</w:t>
      </w:r>
      <w:r>
        <w:rPr>
          <w:rFonts w:cs="Arial"/>
          <w:szCs w:val="20"/>
        </w:rPr>
        <w:t>den</w:t>
      </w:r>
      <w:r w:rsidRPr="00D122CA">
        <w:rPr>
          <w:rFonts w:cs="Arial"/>
          <w:szCs w:val="20"/>
        </w:rPr>
        <w:t xml:space="preserve"> worden voor </w:t>
      </w:r>
      <w:r>
        <w:rPr>
          <w:rFonts w:cs="Arial"/>
          <w:szCs w:val="20"/>
        </w:rPr>
        <w:t xml:space="preserve">inkomen van een eigen inwoner (niet-transparante entiteit) omdat de andere verdragsluitende staat </w:t>
      </w:r>
      <w:r w:rsidRPr="00D122CA">
        <w:rPr>
          <w:rFonts w:cs="Arial"/>
          <w:szCs w:val="20"/>
        </w:rPr>
        <w:t>deze entiteit als transparant aanmerkt (en inkomen bij de achterliggende deelnemers in aanmerking neemt).</w:t>
      </w:r>
    </w:p>
    <w:p w:rsidR="009A18C4" w:rsidP="009A18C4" w:rsidRDefault="004F2F00" w14:paraId="189DB7C1" w14:textId="3F0CA75C">
      <w:pPr>
        <w:ind w:firstLine="720"/>
        <w:rPr>
          <w:rFonts w:cs="Arial"/>
          <w:szCs w:val="20"/>
        </w:rPr>
      </w:pPr>
      <w:r>
        <w:rPr>
          <w:rFonts w:cs="Arial"/>
          <w:szCs w:val="20"/>
        </w:rPr>
        <w:t xml:space="preserve"> </w:t>
      </w:r>
      <w:r w:rsidRPr="00225027">
        <w:rPr>
          <w:rFonts w:cs="Arial"/>
          <w:szCs w:val="20"/>
        </w:rPr>
        <w:t xml:space="preserve">Wat betreft de kwalificatie van hybride entiteiten door Nederland </w:t>
      </w:r>
      <w:r>
        <w:rPr>
          <w:rFonts w:cs="Arial"/>
          <w:szCs w:val="20"/>
        </w:rPr>
        <w:t>wordt</w:t>
      </w:r>
      <w:r w:rsidRPr="00225027">
        <w:rPr>
          <w:rFonts w:cs="Arial"/>
          <w:szCs w:val="20"/>
        </w:rPr>
        <w:t xml:space="preserve"> verwezen naar het Besluit van de Staatssecretaris van Financiën van 11 december 2009, nr. CPP2009/519M (</w:t>
      </w:r>
      <w:r w:rsidRPr="00EC6801">
        <w:rPr>
          <w:rFonts w:cs="Arial"/>
          <w:i/>
          <w:szCs w:val="20"/>
        </w:rPr>
        <w:t>Stcrt.</w:t>
      </w:r>
      <w:r w:rsidRPr="00225027">
        <w:rPr>
          <w:rFonts w:cs="Arial"/>
          <w:szCs w:val="20"/>
        </w:rPr>
        <w:t xml:space="preserve"> 2009, 19749). Daarin zijn criteria opgenomen voor </w:t>
      </w:r>
      <w:r>
        <w:rPr>
          <w:rFonts w:cs="Arial"/>
          <w:szCs w:val="20"/>
        </w:rPr>
        <w:t>de kwalificatie van</w:t>
      </w:r>
      <w:r w:rsidRPr="00225027">
        <w:rPr>
          <w:rFonts w:cs="Arial"/>
          <w:szCs w:val="20"/>
        </w:rPr>
        <w:t xml:space="preserve"> een buitenlands samenwerkingsverband voor de toepassing van de Nederlandse belastingwetten</w:t>
      </w:r>
      <w:r>
        <w:rPr>
          <w:rFonts w:cs="Arial"/>
          <w:szCs w:val="20"/>
        </w:rPr>
        <w:t>.</w:t>
      </w:r>
    </w:p>
    <w:p w:rsidR="009A18C4" w:rsidP="009A18C4" w:rsidRDefault="009A18C4" w14:paraId="759F2EBE" w14:textId="5A3E65DB">
      <w:pPr>
        <w:ind w:firstLine="720"/>
        <w:rPr>
          <w:rFonts w:cs="Arial"/>
          <w:szCs w:val="20"/>
        </w:rPr>
      </w:pPr>
      <w:r w:rsidRPr="009A18C4">
        <w:rPr>
          <w:rFonts w:cs="Arial"/>
          <w:szCs w:val="20"/>
        </w:rPr>
        <w:t>Voor de goede orde wordt opgemerkt dat ook in artikel I van het Protocol bij het Verdrag een</w:t>
      </w:r>
      <w:r>
        <w:rPr>
          <w:rFonts w:cs="Arial"/>
          <w:szCs w:val="20"/>
        </w:rPr>
        <w:t xml:space="preserve"> bepaling </w:t>
      </w:r>
      <w:r w:rsidR="00260CDB">
        <w:rPr>
          <w:rFonts w:cs="Arial"/>
          <w:szCs w:val="20"/>
        </w:rPr>
        <w:t>was</w:t>
      </w:r>
      <w:r>
        <w:rPr>
          <w:rFonts w:cs="Arial"/>
          <w:szCs w:val="20"/>
        </w:rPr>
        <w:t xml:space="preserve"> opgenomen voor hybride entiteiten. Hierin </w:t>
      </w:r>
      <w:r w:rsidR="00260CDB">
        <w:rPr>
          <w:rFonts w:cs="Arial"/>
          <w:szCs w:val="20"/>
        </w:rPr>
        <w:t>was</w:t>
      </w:r>
      <w:r w:rsidRPr="00090F3C">
        <w:rPr>
          <w:rFonts w:cs="Arial"/>
          <w:szCs w:val="20"/>
        </w:rPr>
        <w:t xml:space="preserve"> vastgelegd dat bij kwalificatieverschillen de bevoegde autoriteiten, na onderling overleg, zodanige maatregelen nemen </w:t>
      </w:r>
      <w:r>
        <w:rPr>
          <w:rFonts w:cs="Arial"/>
          <w:szCs w:val="20"/>
        </w:rPr>
        <w:t>om</w:t>
      </w:r>
      <w:r w:rsidRPr="00090F3C">
        <w:rPr>
          <w:rFonts w:cs="Arial"/>
          <w:szCs w:val="20"/>
        </w:rPr>
        <w:t xml:space="preserve"> dubbele belasting of dubbele vrijstelling als gevolg van toepassing van het Verdrag </w:t>
      </w:r>
      <w:r>
        <w:rPr>
          <w:rFonts w:cs="Arial"/>
          <w:szCs w:val="20"/>
        </w:rPr>
        <w:t>te</w:t>
      </w:r>
      <w:r w:rsidRPr="00090F3C">
        <w:rPr>
          <w:rFonts w:cs="Arial"/>
          <w:szCs w:val="20"/>
        </w:rPr>
        <w:t xml:space="preserve"> voorkomen.</w:t>
      </w:r>
      <w:r>
        <w:rPr>
          <w:rFonts w:cs="Arial"/>
          <w:szCs w:val="20"/>
        </w:rPr>
        <w:t xml:space="preserve"> Door het </w:t>
      </w:r>
      <w:r w:rsidR="00BE7A49">
        <w:rPr>
          <w:rFonts w:cs="Arial"/>
          <w:szCs w:val="20"/>
        </w:rPr>
        <w:t>opnemen</w:t>
      </w:r>
      <w:r w:rsidR="00E645DD">
        <w:rPr>
          <w:rFonts w:cs="Arial"/>
          <w:szCs w:val="20"/>
        </w:rPr>
        <w:t xml:space="preserve"> </w:t>
      </w:r>
      <w:r>
        <w:rPr>
          <w:rFonts w:cs="Arial"/>
          <w:szCs w:val="20"/>
        </w:rPr>
        <w:t xml:space="preserve">van het nieuwe tweede lid in artikel </w:t>
      </w:r>
      <w:r w:rsidR="000931E2">
        <w:rPr>
          <w:rFonts w:cs="Arial"/>
          <w:szCs w:val="20"/>
        </w:rPr>
        <w:t>1</w:t>
      </w:r>
      <w:r>
        <w:rPr>
          <w:rFonts w:cs="Arial"/>
          <w:szCs w:val="20"/>
        </w:rPr>
        <w:t xml:space="preserve"> van het Verdrag is er geen behoefte meer aan deze bepaling en met </w:t>
      </w:r>
      <w:r>
        <w:t>artikel 1</w:t>
      </w:r>
      <w:r w:rsidR="00570871">
        <w:t>8</w:t>
      </w:r>
      <w:r w:rsidRPr="00433BB5">
        <w:t xml:space="preserve"> </w:t>
      </w:r>
      <w:r>
        <w:t xml:space="preserve">van het Wijzigingsprotocol wordt </w:t>
      </w:r>
      <w:r w:rsidR="000931E2">
        <w:t xml:space="preserve">dat </w:t>
      </w:r>
      <w:r>
        <w:t xml:space="preserve">artikel </w:t>
      </w:r>
      <w:r w:rsidRPr="00433BB5">
        <w:t>I van het Protocol bij het Verdrag daarom geschrapt</w:t>
      </w:r>
      <w:r>
        <w:t>.</w:t>
      </w:r>
    </w:p>
    <w:p w:rsidR="00E82D65" w:rsidP="00E82D65" w:rsidRDefault="002013BF" w14:paraId="76D121BC" w14:textId="77777777">
      <w:pPr>
        <w:ind w:firstLine="0"/>
        <w:rPr>
          <w:i/>
        </w:rPr>
      </w:pPr>
      <w:r>
        <w:rPr>
          <w:rFonts w:cs="Arial"/>
          <w:i/>
          <w:iCs/>
          <w:szCs w:val="20"/>
        </w:rPr>
        <w:lastRenderedPageBreak/>
        <w:br/>
      </w:r>
      <w:r w:rsidRPr="00902E6E" w:rsidR="00FE6D57">
        <w:rPr>
          <w:rFonts w:cs="Arial"/>
          <w:i/>
          <w:iCs/>
          <w:szCs w:val="20"/>
        </w:rPr>
        <w:t xml:space="preserve">II.3. </w:t>
      </w:r>
      <w:r w:rsidR="00A0736B">
        <w:rPr>
          <w:rFonts w:cs="Arial"/>
          <w:i/>
          <w:iCs/>
          <w:szCs w:val="20"/>
        </w:rPr>
        <w:t>Algemene begripsbepalingen</w:t>
      </w:r>
      <w:r w:rsidRPr="00902E6E" w:rsidR="00FE6D57">
        <w:rPr>
          <w:rFonts w:cs="Arial"/>
          <w:i/>
          <w:iCs/>
          <w:szCs w:val="20"/>
        </w:rPr>
        <w:t xml:space="preserve"> (</w:t>
      </w:r>
      <w:r w:rsidRPr="00902E6E" w:rsidR="00FE6D57">
        <w:rPr>
          <w:i/>
        </w:rPr>
        <w:t xml:space="preserve">artikel </w:t>
      </w:r>
      <w:r>
        <w:rPr>
          <w:i/>
        </w:rPr>
        <w:t>3</w:t>
      </w:r>
      <w:r w:rsidR="00FD2FFE">
        <w:rPr>
          <w:i/>
        </w:rPr>
        <w:t xml:space="preserve"> </w:t>
      </w:r>
      <w:r w:rsidRPr="00902E6E" w:rsidR="00FE6D57">
        <w:rPr>
          <w:i/>
        </w:rPr>
        <w:t xml:space="preserve">van het Wijzigingsprotocol, artikel </w:t>
      </w:r>
      <w:r w:rsidR="00A0736B">
        <w:rPr>
          <w:i/>
        </w:rPr>
        <w:t>3</w:t>
      </w:r>
      <w:r w:rsidRPr="00902E6E" w:rsidR="00FE6D57">
        <w:rPr>
          <w:i/>
        </w:rPr>
        <w:t xml:space="preserve"> van het Verdrag)</w:t>
      </w:r>
      <w:r w:rsidR="005D75C9">
        <w:rPr>
          <w:i/>
        </w:rPr>
        <w:br/>
      </w:r>
    </w:p>
    <w:p w:rsidR="00A54FB2" w:rsidP="00A54FB2" w:rsidRDefault="00A0736B" w14:paraId="50082D18" w14:textId="08028DF9">
      <w:pPr>
        <w:ind w:firstLine="720"/>
        <w:rPr>
          <w:rFonts w:cs="Arial"/>
          <w:szCs w:val="20"/>
        </w:rPr>
      </w:pPr>
      <w:r w:rsidRPr="00A0736B">
        <w:rPr>
          <w:rFonts w:cs="Arial"/>
          <w:szCs w:val="20"/>
        </w:rPr>
        <w:t>Artikel 3</w:t>
      </w:r>
      <w:r w:rsidR="003D1668">
        <w:rPr>
          <w:rFonts w:cs="Arial"/>
          <w:szCs w:val="20"/>
        </w:rPr>
        <w:t xml:space="preserve"> van het Verdrag</w:t>
      </w:r>
      <w:r w:rsidRPr="00A0736B">
        <w:rPr>
          <w:rFonts w:cs="Arial"/>
          <w:szCs w:val="20"/>
        </w:rPr>
        <w:t xml:space="preserve"> bevat definities voor uitdrukkingen die in het Verdrag voorkomen.</w:t>
      </w:r>
      <w:r>
        <w:rPr>
          <w:rFonts w:cs="Arial"/>
          <w:szCs w:val="20"/>
        </w:rPr>
        <w:t xml:space="preserve"> Met </w:t>
      </w:r>
      <w:r w:rsidRPr="00AB6591">
        <w:t xml:space="preserve">artikel </w:t>
      </w:r>
      <w:r w:rsidR="002013BF">
        <w:t>3</w:t>
      </w:r>
      <w:r w:rsidRPr="00AB6591">
        <w:t xml:space="preserve"> van het Wijzigin</w:t>
      </w:r>
      <w:r>
        <w:t>gsprotocol</w:t>
      </w:r>
      <w:r w:rsidR="00626C50">
        <w:t xml:space="preserve"> </w:t>
      </w:r>
      <w:r w:rsidRPr="00626C50" w:rsidR="00626C50">
        <w:rPr>
          <w:rFonts w:cs="Arial"/>
          <w:szCs w:val="20"/>
        </w:rPr>
        <w:t>wordt een nieuw onderdeel j ingevoegd in artikel 3, eerste lid, van het Verdrag, houdende een definitie van de uitdrukking ‘</w:t>
      </w:r>
      <w:r w:rsidR="00946D96">
        <w:rPr>
          <w:rFonts w:cs="Arial"/>
          <w:szCs w:val="20"/>
        </w:rPr>
        <w:t xml:space="preserve">erkend </w:t>
      </w:r>
      <w:r w:rsidRPr="00626C50" w:rsidR="00626C50">
        <w:rPr>
          <w:rFonts w:cs="Arial"/>
          <w:szCs w:val="20"/>
        </w:rPr>
        <w:t>pensioenfonds’.</w:t>
      </w:r>
      <w:r w:rsidR="00626C50">
        <w:t xml:space="preserve"> Deze definitie stemt overeen met de definitie van de </w:t>
      </w:r>
      <w:r w:rsidRPr="000E5C99" w:rsidR="00626C50">
        <w:t xml:space="preserve">uitdrukking </w:t>
      </w:r>
      <w:r w:rsidR="00E425E8">
        <w:t>‘</w:t>
      </w:r>
      <w:r w:rsidR="00754BDC">
        <w:t xml:space="preserve">erkend </w:t>
      </w:r>
      <w:r w:rsidRPr="00626C50" w:rsidR="00626C50">
        <w:rPr>
          <w:rFonts w:cs="Arial"/>
          <w:szCs w:val="20"/>
        </w:rPr>
        <w:t>pensioenfonds</w:t>
      </w:r>
      <w:r w:rsidR="00E425E8">
        <w:rPr>
          <w:rFonts w:cs="Arial"/>
          <w:szCs w:val="20"/>
        </w:rPr>
        <w:t>’</w:t>
      </w:r>
      <w:r w:rsidRPr="00626C50" w:rsidR="00626C50">
        <w:rPr>
          <w:rFonts w:cs="Arial"/>
          <w:szCs w:val="20"/>
        </w:rPr>
        <w:t xml:space="preserve"> die is opgenomen in artikel 3</w:t>
      </w:r>
      <w:r w:rsidR="00D00570">
        <w:rPr>
          <w:rFonts w:cs="Arial"/>
          <w:szCs w:val="20"/>
        </w:rPr>
        <w:t>, eerste lid, onderdeel i,</w:t>
      </w:r>
      <w:r w:rsidRPr="00626C50" w:rsidR="00626C50">
        <w:rPr>
          <w:rFonts w:cs="Arial"/>
          <w:szCs w:val="20"/>
        </w:rPr>
        <w:t xml:space="preserve"> van het OESO-modelverdrag</w:t>
      </w:r>
      <w:r w:rsidR="00A54FB2">
        <w:rPr>
          <w:rFonts w:cs="Arial"/>
          <w:szCs w:val="20"/>
        </w:rPr>
        <w:t>.</w:t>
      </w:r>
    </w:p>
    <w:p w:rsidR="00A54FB2" w:rsidP="00A54FB2" w:rsidRDefault="00626C50" w14:paraId="64B6DF0A" w14:textId="77777777">
      <w:pPr>
        <w:ind w:firstLine="720"/>
        <w:rPr>
          <w:rFonts w:cs="Arial"/>
          <w:szCs w:val="20"/>
        </w:rPr>
      </w:pPr>
      <w:r w:rsidRPr="00626C50">
        <w:rPr>
          <w:rFonts w:cs="Arial"/>
          <w:szCs w:val="20"/>
        </w:rPr>
        <w:t xml:space="preserve">De uitdrukking wordt gebruikt in </w:t>
      </w:r>
      <w:r>
        <w:rPr>
          <w:rFonts w:cs="Arial"/>
          <w:szCs w:val="20"/>
        </w:rPr>
        <w:t>het nieuwe artikel 4, eerste lid</w:t>
      </w:r>
      <w:r w:rsidR="00260CDB">
        <w:rPr>
          <w:rFonts w:cs="Arial"/>
          <w:szCs w:val="20"/>
        </w:rPr>
        <w:t>,</w:t>
      </w:r>
      <w:r>
        <w:rPr>
          <w:rFonts w:cs="Arial"/>
          <w:szCs w:val="20"/>
        </w:rPr>
        <w:t xml:space="preserve"> van het Verdrag (</w:t>
      </w:r>
      <w:r w:rsidR="00E425E8">
        <w:rPr>
          <w:rFonts w:cs="Arial"/>
          <w:szCs w:val="20"/>
        </w:rPr>
        <w:t>i</w:t>
      </w:r>
      <w:r>
        <w:rPr>
          <w:rFonts w:cs="Arial"/>
          <w:szCs w:val="20"/>
        </w:rPr>
        <w:t xml:space="preserve">nwoner), het nieuwe </w:t>
      </w:r>
      <w:r w:rsidRPr="00626C50">
        <w:rPr>
          <w:rFonts w:cs="Arial"/>
          <w:szCs w:val="20"/>
        </w:rPr>
        <w:t xml:space="preserve">artikel 10, </w:t>
      </w:r>
      <w:r>
        <w:rPr>
          <w:rFonts w:cs="Arial"/>
          <w:szCs w:val="20"/>
        </w:rPr>
        <w:t>tweede</w:t>
      </w:r>
      <w:r w:rsidRPr="00626C50">
        <w:rPr>
          <w:rFonts w:cs="Arial"/>
          <w:szCs w:val="20"/>
        </w:rPr>
        <w:t xml:space="preserve"> lid</w:t>
      </w:r>
      <w:r>
        <w:rPr>
          <w:rFonts w:cs="Arial"/>
          <w:szCs w:val="20"/>
        </w:rPr>
        <w:t>, onderdeel a</w:t>
      </w:r>
      <w:r w:rsidR="00260CDB">
        <w:rPr>
          <w:rFonts w:cs="Arial"/>
          <w:szCs w:val="20"/>
        </w:rPr>
        <w:t>,</w:t>
      </w:r>
      <w:r w:rsidRPr="00626C50">
        <w:rPr>
          <w:rFonts w:cs="Arial"/>
          <w:szCs w:val="20"/>
        </w:rPr>
        <w:t xml:space="preserve"> van het Verdrag (dividenden), </w:t>
      </w:r>
      <w:r>
        <w:rPr>
          <w:rFonts w:cs="Arial"/>
          <w:szCs w:val="20"/>
        </w:rPr>
        <w:t>het nieuwe artikel 11, derde lid</w:t>
      </w:r>
      <w:r w:rsidR="00E425E8">
        <w:rPr>
          <w:rFonts w:cs="Arial"/>
          <w:szCs w:val="20"/>
        </w:rPr>
        <w:t>, onderdeel f</w:t>
      </w:r>
      <w:r w:rsidR="00260CDB">
        <w:rPr>
          <w:rFonts w:cs="Arial"/>
          <w:szCs w:val="20"/>
        </w:rPr>
        <w:t>,</w:t>
      </w:r>
      <w:r w:rsidR="00E425E8">
        <w:rPr>
          <w:rFonts w:cs="Arial"/>
          <w:szCs w:val="20"/>
        </w:rPr>
        <w:t xml:space="preserve"> van het Verdrag (i</w:t>
      </w:r>
      <w:r>
        <w:rPr>
          <w:rFonts w:cs="Arial"/>
          <w:szCs w:val="20"/>
        </w:rPr>
        <w:t>nterest)</w:t>
      </w:r>
      <w:r w:rsidR="006E425C">
        <w:rPr>
          <w:rFonts w:cs="Arial"/>
          <w:szCs w:val="20"/>
        </w:rPr>
        <w:t xml:space="preserve"> en</w:t>
      </w:r>
      <w:r>
        <w:rPr>
          <w:rFonts w:cs="Arial"/>
          <w:szCs w:val="20"/>
        </w:rPr>
        <w:t xml:space="preserve"> het nieuwe </w:t>
      </w:r>
      <w:r w:rsidR="00DC01A2">
        <w:rPr>
          <w:rFonts w:cs="Arial"/>
          <w:szCs w:val="20"/>
        </w:rPr>
        <w:t xml:space="preserve">artikel 13, </w:t>
      </w:r>
      <w:r w:rsidR="00180DF0">
        <w:rPr>
          <w:rFonts w:cs="Arial"/>
          <w:szCs w:val="20"/>
        </w:rPr>
        <w:t xml:space="preserve">lid </w:t>
      </w:r>
      <w:r w:rsidR="00E425E8">
        <w:rPr>
          <w:rFonts w:cs="Arial"/>
          <w:szCs w:val="20"/>
        </w:rPr>
        <w:t>3a</w:t>
      </w:r>
      <w:r w:rsidR="00260CDB">
        <w:rPr>
          <w:rFonts w:cs="Arial"/>
          <w:szCs w:val="20"/>
        </w:rPr>
        <w:t>,</w:t>
      </w:r>
      <w:r w:rsidR="00E425E8">
        <w:rPr>
          <w:rFonts w:cs="Arial"/>
          <w:szCs w:val="20"/>
        </w:rPr>
        <w:t xml:space="preserve"> </w:t>
      </w:r>
      <w:r w:rsidR="00B436F4">
        <w:rPr>
          <w:rFonts w:cs="Arial"/>
          <w:szCs w:val="20"/>
        </w:rPr>
        <w:t xml:space="preserve">van het Verdrag </w:t>
      </w:r>
      <w:r w:rsidR="00E425E8">
        <w:rPr>
          <w:rFonts w:cs="Arial"/>
          <w:szCs w:val="20"/>
        </w:rPr>
        <w:t>(vermogenswinsten)</w:t>
      </w:r>
      <w:r w:rsidR="006E425C">
        <w:rPr>
          <w:rFonts w:cs="Arial"/>
          <w:szCs w:val="20"/>
        </w:rPr>
        <w:t>.</w:t>
      </w:r>
    </w:p>
    <w:p w:rsidRPr="00E425E8" w:rsidR="00626C50" w:rsidP="00A54FB2" w:rsidRDefault="00A54FB2" w14:paraId="56975CFF" w14:textId="650D3D15">
      <w:pPr>
        <w:ind w:firstLine="720"/>
        <w:rPr>
          <w:rFonts w:cs="Arial"/>
          <w:szCs w:val="20"/>
        </w:rPr>
      </w:pPr>
      <w:r>
        <w:rPr>
          <w:rFonts w:cs="Arial"/>
          <w:szCs w:val="20"/>
        </w:rPr>
        <w:t xml:space="preserve">Daarbij wordt opgemerkt dat het criterium van vrijstelling van belastingheffing, zoals in veel andere door Nederland gesloten belastingverdragen wel het geval is, niet wordt gebruikt bij de afbakening van de uitdrukking ‘erkend pensioenfonds’. Van een ‘erkend pensioenfonds’ kan dus sprake zijn ongeacht of het pensioenfonds is vrijgesteld van belastingheffing naar het inkomen in het land van vestiging of niet. Op de positie van een ‘erkend pensioenfonds’ dat in het land van vestiging wél is vrijgesteld van belastingheffing naar het inkomen wordt in onderdeel II.4. (inwoner) nader </w:t>
      </w:r>
      <w:r w:rsidR="00D42CFD">
        <w:rPr>
          <w:rFonts w:cs="Arial"/>
          <w:szCs w:val="20"/>
        </w:rPr>
        <w:t>ingegaan</w:t>
      </w:r>
      <w:r>
        <w:rPr>
          <w:rFonts w:cs="Arial"/>
          <w:szCs w:val="20"/>
        </w:rPr>
        <w:t>.</w:t>
      </w:r>
    </w:p>
    <w:p w:rsidR="00A0736B" w:rsidRDefault="00A0736B" w14:paraId="07D77EBA" w14:textId="77777777">
      <w:pPr>
        <w:ind w:firstLine="0"/>
        <w:rPr>
          <w:i/>
        </w:rPr>
      </w:pPr>
    </w:p>
    <w:p w:rsidRPr="00A0736B" w:rsidR="00A0736B" w:rsidP="00A0736B" w:rsidRDefault="00A0736B" w14:paraId="7125621C" w14:textId="77777777">
      <w:pPr>
        <w:ind w:firstLine="0"/>
        <w:rPr>
          <w:i/>
        </w:rPr>
      </w:pPr>
      <w:r w:rsidRPr="00902E6E">
        <w:rPr>
          <w:rFonts w:cs="Arial"/>
          <w:i/>
          <w:iCs/>
          <w:szCs w:val="20"/>
        </w:rPr>
        <w:t>II.</w:t>
      </w:r>
      <w:r>
        <w:rPr>
          <w:rFonts w:cs="Arial"/>
          <w:i/>
          <w:iCs/>
          <w:szCs w:val="20"/>
        </w:rPr>
        <w:t>4</w:t>
      </w:r>
      <w:r w:rsidRPr="00902E6E">
        <w:rPr>
          <w:rFonts w:cs="Arial"/>
          <w:i/>
          <w:iCs/>
          <w:szCs w:val="20"/>
        </w:rPr>
        <w:t>. Inwoner (</w:t>
      </w:r>
      <w:r w:rsidRPr="00902E6E">
        <w:rPr>
          <w:i/>
        </w:rPr>
        <w:t>artikel</w:t>
      </w:r>
      <w:r w:rsidR="009E1DAA">
        <w:rPr>
          <w:i/>
        </w:rPr>
        <w:t xml:space="preserve"> 4 </w:t>
      </w:r>
      <w:r w:rsidRPr="00902E6E">
        <w:rPr>
          <w:i/>
        </w:rPr>
        <w:t xml:space="preserve">van het Wijzigingsprotocol, artikel </w:t>
      </w:r>
      <w:r>
        <w:rPr>
          <w:i/>
        </w:rPr>
        <w:t>4</w:t>
      </w:r>
      <w:r w:rsidRPr="00902E6E">
        <w:rPr>
          <w:i/>
        </w:rPr>
        <w:t xml:space="preserve"> van het </w:t>
      </w:r>
      <w:r w:rsidRPr="00BC154A">
        <w:rPr>
          <w:i/>
        </w:rPr>
        <w:t>Verdrag)</w:t>
      </w:r>
      <w:r>
        <w:rPr>
          <w:i/>
        </w:rPr>
        <w:br/>
      </w:r>
    </w:p>
    <w:p w:rsidR="00A54FB2" w:rsidRDefault="00E82D65" w14:paraId="4231C362" w14:textId="77777777">
      <w:pPr>
        <w:ind w:firstLine="0"/>
      </w:pPr>
      <w:r>
        <w:rPr>
          <w:i/>
        </w:rPr>
        <w:tab/>
      </w:r>
      <w:r w:rsidRPr="00E82D65" w:rsidR="00FE6D57">
        <w:t xml:space="preserve">Artikel 4 </w:t>
      </w:r>
      <w:r w:rsidRPr="00E82D65" w:rsidR="00797329">
        <w:t xml:space="preserve">van het Verdrag </w:t>
      </w:r>
      <w:r w:rsidRPr="00E82D65" w:rsidR="00FE6D57">
        <w:t xml:space="preserve">bevat bepalingen ter invulling van het begrip </w:t>
      </w:r>
      <w:r w:rsidR="00D46E6D">
        <w:t>‘</w:t>
      </w:r>
      <w:r w:rsidRPr="00E82D65" w:rsidR="00FE6D57">
        <w:t>inwoner</w:t>
      </w:r>
      <w:r w:rsidR="00D46E6D">
        <w:t>’</w:t>
      </w:r>
      <w:r w:rsidRPr="00E82D65" w:rsidR="002A1E90">
        <w:t xml:space="preserve"> voor </w:t>
      </w:r>
      <w:r w:rsidR="00AB5704">
        <w:t xml:space="preserve">de </w:t>
      </w:r>
      <w:r w:rsidRPr="00E82D65" w:rsidR="002A1E90">
        <w:t>toepassing van het Verdrag</w:t>
      </w:r>
      <w:r w:rsidRPr="00AB6591" w:rsidR="00AB6591">
        <w:t xml:space="preserve">. </w:t>
      </w:r>
      <w:r w:rsidR="00A0736B">
        <w:t xml:space="preserve">In </w:t>
      </w:r>
      <w:r w:rsidRPr="003F6B35" w:rsidR="00A0736B">
        <w:t xml:space="preserve">overeenstemming met het </w:t>
      </w:r>
      <w:r w:rsidRPr="003F6B35" w:rsidR="00A0736B">
        <w:rPr>
          <w:rFonts w:cs="Arial"/>
          <w:szCs w:val="20"/>
        </w:rPr>
        <w:t>OESO</w:t>
      </w:r>
      <w:r w:rsidRPr="00AF065F" w:rsidR="00A0736B">
        <w:rPr>
          <w:rFonts w:cs="Arial"/>
          <w:szCs w:val="20"/>
        </w:rPr>
        <w:t>-m</w:t>
      </w:r>
      <w:r w:rsidR="00A0736B">
        <w:rPr>
          <w:rFonts w:cs="Arial"/>
          <w:szCs w:val="20"/>
        </w:rPr>
        <w:t xml:space="preserve">odelverdrag wordt </w:t>
      </w:r>
      <w:r w:rsidR="00B64A22">
        <w:rPr>
          <w:rFonts w:cs="Arial"/>
          <w:szCs w:val="20"/>
        </w:rPr>
        <w:t xml:space="preserve">nu </w:t>
      </w:r>
      <w:r w:rsidR="00A0736B">
        <w:t xml:space="preserve">met </w:t>
      </w:r>
      <w:r w:rsidRPr="00A47B63" w:rsidR="00A0736B">
        <w:t xml:space="preserve">artikel </w:t>
      </w:r>
      <w:r w:rsidRPr="00A47B63" w:rsidR="003F6B35">
        <w:t xml:space="preserve">4, eerste lid, </w:t>
      </w:r>
      <w:r w:rsidRPr="00A47B63" w:rsidR="00A0736B">
        <w:t>van het Wijzigingsprotocol</w:t>
      </w:r>
      <w:r w:rsidRPr="00A47B63" w:rsidR="00A0736B">
        <w:rPr>
          <w:rFonts w:cs="Arial"/>
          <w:szCs w:val="20"/>
        </w:rPr>
        <w:t xml:space="preserve"> in </w:t>
      </w:r>
      <w:r w:rsidRPr="00A47B63" w:rsidR="00A0736B">
        <w:t xml:space="preserve">artikel 4, </w:t>
      </w:r>
      <w:r w:rsidRPr="00A47B63" w:rsidR="003F6B35">
        <w:t>eerste</w:t>
      </w:r>
      <w:r w:rsidRPr="00A47B63" w:rsidR="00A0736B">
        <w:t xml:space="preserve"> lid, van het Verdrag vastgelegd dat </w:t>
      </w:r>
      <w:r w:rsidRPr="00A47B63" w:rsidR="007E0B85">
        <w:t xml:space="preserve">de uitdrukking </w:t>
      </w:r>
      <w:r w:rsidRPr="00A47B63" w:rsidR="0031611A">
        <w:t>‘</w:t>
      </w:r>
      <w:r w:rsidRPr="00A47B63" w:rsidR="00A0736B">
        <w:t>inwoner</w:t>
      </w:r>
      <w:r w:rsidRPr="00A47B63" w:rsidR="0031611A">
        <w:rPr>
          <w:rFonts w:ascii="Verdana" w:hAnsi="Verdana" w:eastAsia="Calibri"/>
          <w:sz w:val="18"/>
          <w:szCs w:val="22"/>
        </w:rPr>
        <w:t xml:space="preserve"> </w:t>
      </w:r>
      <w:r w:rsidRPr="00A47B63" w:rsidR="0031611A">
        <w:t xml:space="preserve">van een </w:t>
      </w:r>
      <w:r w:rsidR="008F53D9">
        <w:t>v</w:t>
      </w:r>
      <w:r w:rsidRPr="00A47B63" w:rsidR="0031611A">
        <w:t xml:space="preserve">erdragsluitende </w:t>
      </w:r>
      <w:r w:rsidR="008F53D9">
        <w:t>s</w:t>
      </w:r>
      <w:r w:rsidRPr="00A47B63" w:rsidR="0031611A">
        <w:t>taat’</w:t>
      </w:r>
      <w:r w:rsidRPr="00A47B63" w:rsidR="003F6B35">
        <w:t xml:space="preserve"> tevens een erkend pensioenfonds van die staat</w:t>
      </w:r>
      <w:r w:rsidRPr="00A47B63" w:rsidR="00A0736B">
        <w:t xml:space="preserve"> omvat</w:t>
      </w:r>
      <w:r w:rsidR="009807F7">
        <w:t>.</w:t>
      </w:r>
    </w:p>
    <w:p w:rsidR="00AF1085" w:rsidP="002610C3" w:rsidRDefault="00A54FB2" w14:paraId="0A216025" w14:textId="47ED2E3D">
      <w:pPr>
        <w:ind w:firstLine="708"/>
      </w:pPr>
      <w:r>
        <w:t>Zoals in onderdeel II.3</w:t>
      </w:r>
      <w:r w:rsidR="0044045B">
        <w:t>.</w:t>
      </w:r>
      <w:r>
        <w:t xml:space="preserve"> reeds is opgemerkt, kan van een ‘erkend pensioenfonds’ sprake zijn ongeacht of het in de staat van vestiging van belastingheffing naar het inkomen is vrijgesteld of niet. Daarmee komt de vraag op of een van belastingheffing vrijgesteld ‘erkend pensioenfonds’ wel een inwoner van een verdragsluitende staat is volgens de bepalingen van artikel 4 van het </w:t>
      </w:r>
      <w:r w:rsidR="000A0E2F">
        <w:t>V</w:t>
      </w:r>
      <w:r>
        <w:t>erdrag. Daarvoor is</w:t>
      </w:r>
      <w:r w:rsidR="004A65BE">
        <w:t xml:space="preserve"> volgens het eerste lid</w:t>
      </w:r>
      <w:r>
        <w:t xml:space="preserve"> immers </w:t>
      </w:r>
      <w:r w:rsidR="00137B6F">
        <w:t>‘</w:t>
      </w:r>
      <w:r>
        <w:t>onderworpenheid aan de belastingheffing</w:t>
      </w:r>
      <w:r w:rsidR="00137B6F">
        <w:t>’</w:t>
      </w:r>
      <w:r>
        <w:t xml:space="preserve"> vereist</w:t>
      </w:r>
      <w:r w:rsidR="00AF1085">
        <w:t xml:space="preserve"> en dientengevolge kan onduidelijk zijn of een algemene belastingvrijstelling van ‘erkende pensioenfondsen’ daaraan afdoet</w:t>
      </w:r>
      <w:r>
        <w:t xml:space="preserve">. </w:t>
      </w:r>
      <w:r w:rsidR="00AF1085">
        <w:t>Aangezien Nederland en Polen het wenselijk vinden dat erkend</w:t>
      </w:r>
      <w:r w:rsidR="004A65BE">
        <w:t>e</w:t>
      </w:r>
      <w:r w:rsidR="00AF1085">
        <w:t xml:space="preserve"> pensioenfondsen voor de verdragsvoordelen in aanmerking kunnen komen, wordt daarom </w:t>
      </w:r>
      <w:r>
        <w:t>in artikel 4, eerste lid, van het Verdrag een ‘erkend pensioenfonds’ uitdrukkelijk aan</w:t>
      </w:r>
      <w:r w:rsidR="00AF1085">
        <w:t xml:space="preserve">gemerkt </w:t>
      </w:r>
      <w:r>
        <w:t>als een inwoner van een verdragsluitende staat</w:t>
      </w:r>
      <w:r w:rsidR="00CB38E2">
        <w:t xml:space="preserve">. Bij zulke </w:t>
      </w:r>
      <w:r w:rsidR="00AF1085">
        <w:t>pensioenfondsen</w:t>
      </w:r>
      <w:r w:rsidR="00CB38E2">
        <w:t xml:space="preserve"> wordt dus</w:t>
      </w:r>
      <w:r w:rsidR="00AF1085">
        <w:t>, net als de uitdrukkelijk als inwoner aangemerkte overheidsorganisatie</w:t>
      </w:r>
      <w:r w:rsidR="00CB38E2">
        <w:t>,</w:t>
      </w:r>
      <w:r w:rsidR="00AF1085">
        <w:t xml:space="preserve"> voorbijgegaan aan een eventuele vrijstelling van belastingheffing.</w:t>
      </w:r>
      <w:r w:rsidR="000C08D0">
        <w:t xml:space="preserve"> </w:t>
      </w:r>
      <w:r w:rsidR="00AF1085">
        <w:t xml:space="preserve">Overigens wordt </w:t>
      </w:r>
      <w:r w:rsidR="000C08D0">
        <w:t xml:space="preserve">opgemerkt dat van belastingheffing vrijgestelde pensioenfondsen reeds volgens artikel 4, vierde lid, </w:t>
      </w:r>
      <w:r w:rsidR="00FA63D5">
        <w:t xml:space="preserve">van het Verdrag </w:t>
      </w:r>
      <w:r w:rsidR="0008036A">
        <w:t>als</w:t>
      </w:r>
      <w:r w:rsidR="000C08D0">
        <w:t xml:space="preserve"> </w:t>
      </w:r>
      <w:r w:rsidR="000C02CE">
        <w:t xml:space="preserve">inwoners in de zin van het Verdrag werden </w:t>
      </w:r>
      <w:r w:rsidR="0008036A">
        <w:t>aangemerkt</w:t>
      </w:r>
      <w:r w:rsidR="000C02CE">
        <w:t xml:space="preserve">. In die zin treedt er inhoudelijk geen wijziging op met betrekking tot de verdragsrechtelijke positie van </w:t>
      </w:r>
      <w:r w:rsidR="000C02CE">
        <w:lastRenderedPageBreak/>
        <w:t>pensioenfondsen, maar is een re</w:t>
      </w:r>
      <w:r w:rsidR="000226A3">
        <w:t>d</w:t>
      </w:r>
      <w:r w:rsidR="000C02CE">
        <w:t>a</w:t>
      </w:r>
      <w:r w:rsidR="000226A3">
        <w:t>c</w:t>
      </w:r>
      <w:r w:rsidR="000C02CE">
        <w:t>tion</w:t>
      </w:r>
      <w:r w:rsidR="000226A3">
        <w:t>e</w:t>
      </w:r>
      <w:r w:rsidR="000C02CE">
        <w:t>le aansluiting gezocht op dit punt bij artikel 4, eerste lid, van het OESO-modelverdrag.</w:t>
      </w:r>
    </w:p>
    <w:p w:rsidRPr="00A47B63" w:rsidR="005C12E5" w:rsidP="002610C3" w:rsidRDefault="00657F62" w14:paraId="3D72213E" w14:textId="1A9FC4AD">
      <w:pPr>
        <w:ind w:firstLine="708"/>
      </w:pPr>
      <w:r>
        <w:t xml:space="preserve">Met verwijzing naar </w:t>
      </w:r>
      <w:r w:rsidR="00833064">
        <w:t>het arrest van de Hoge Raad van 4 december 2009</w:t>
      </w:r>
      <w:r w:rsidR="00173FEF">
        <w:t>, ECLI:NL:HR:2009:BF0938</w:t>
      </w:r>
      <w:r w:rsidR="00726891">
        <w:t>,</w:t>
      </w:r>
      <w:r w:rsidR="008B038C">
        <w:t xml:space="preserve"> en </w:t>
      </w:r>
      <w:r w:rsidR="006C76C8">
        <w:t xml:space="preserve">onderdeel 2.2.1 </w:t>
      </w:r>
      <w:r w:rsidR="008B038C">
        <w:t>van de NFV</w:t>
      </w:r>
      <w:r w:rsidR="00DC09C7">
        <w:t xml:space="preserve"> </w:t>
      </w:r>
      <w:r w:rsidR="008B038C">
        <w:t xml:space="preserve">2011 </w:t>
      </w:r>
      <w:r w:rsidR="008D571C">
        <w:t>betekent dit overigens dat andere van belastingheffing vrijgesteld</w:t>
      </w:r>
      <w:r w:rsidR="009661C7">
        <w:t>e</w:t>
      </w:r>
      <w:r w:rsidR="008D571C">
        <w:t xml:space="preserve"> entiteiten, zoals de Nederlandse vrijgestelde beleggingsinstelling (</w:t>
      </w:r>
      <w:r w:rsidRPr="0055146C" w:rsidR="00DC09C7">
        <w:rPr>
          <w:rFonts w:cs="Arial"/>
          <w:szCs w:val="20"/>
        </w:rPr>
        <w:t xml:space="preserve">hierna: </w:t>
      </w:r>
      <w:r w:rsidR="00DC09C7">
        <w:rPr>
          <w:rFonts w:cs="Arial"/>
          <w:szCs w:val="20"/>
        </w:rPr>
        <w:t>‘</w:t>
      </w:r>
      <w:r w:rsidR="008D571C">
        <w:t>VBI</w:t>
      </w:r>
      <w:r w:rsidR="00DC09C7">
        <w:t>’</w:t>
      </w:r>
      <w:r w:rsidR="008D571C">
        <w:t xml:space="preserve">) in beginsel niet als verdragsinwoners worden beschouwd en </w:t>
      </w:r>
      <w:r w:rsidR="00BE23F8">
        <w:t xml:space="preserve">daardoor </w:t>
      </w:r>
      <w:r w:rsidR="008D571C">
        <w:t>ook niet in aanmerking komen voor de verdragsvoordelen.</w:t>
      </w:r>
    </w:p>
    <w:p w:rsidR="00A47B63" w:rsidP="009F3281" w:rsidRDefault="00A0736B" w14:paraId="5E720B08" w14:textId="7E48E5B4">
      <w:pPr>
        <w:ind w:firstLine="708"/>
        <w:rPr>
          <w:rFonts w:cs="Arial"/>
          <w:szCs w:val="20"/>
        </w:rPr>
      </w:pPr>
      <w:r w:rsidRPr="00A47B63">
        <w:t>Daarnaast wordt</w:t>
      </w:r>
      <w:r w:rsidRPr="00A47B63" w:rsidR="00A47B63">
        <w:t xml:space="preserve"> met </w:t>
      </w:r>
      <w:r w:rsidRPr="00A47B63" w:rsidR="003F6B35">
        <w:rPr>
          <w:rFonts w:cs="Arial"/>
          <w:szCs w:val="20"/>
        </w:rPr>
        <w:t xml:space="preserve">artikel 4, tweede lid, van het Wijzigingsprotocol </w:t>
      </w:r>
      <w:r w:rsidRPr="00A47B63" w:rsidR="00743174">
        <w:rPr>
          <w:rFonts w:cs="Arial"/>
          <w:szCs w:val="20"/>
        </w:rPr>
        <w:t xml:space="preserve">de zogenoemde </w:t>
      </w:r>
      <w:r w:rsidRPr="00A47B63" w:rsidR="00743174">
        <w:rPr>
          <w:rFonts w:cs="Arial"/>
          <w:i/>
          <w:szCs w:val="20"/>
        </w:rPr>
        <w:t>corporate tiebreaker</w:t>
      </w:r>
      <w:r w:rsidR="00A47B63">
        <w:rPr>
          <w:rFonts w:cs="Arial"/>
          <w:szCs w:val="20"/>
        </w:rPr>
        <w:t xml:space="preserve"> in </w:t>
      </w:r>
      <w:r w:rsidRPr="00A47B63" w:rsidR="00A47B63">
        <w:rPr>
          <w:rFonts w:cs="Arial"/>
          <w:szCs w:val="20"/>
        </w:rPr>
        <w:t>artikel 4, derde lid, van het Verdrag</w:t>
      </w:r>
      <w:r w:rsidRPr="00A47B63" w:rsidR="00743174">
        <w:rPr>
          <w:rFonts w:cs="Arial"/>
          <w:szCs w:val="20"/>
        </w:rPr>
        <w:t xml:space="preserve"> gewijzigd voor situaties waarin een lichaam op grond van de bepalingen van het eerste lid als inwoner van beide verdragsluitende staten wordt beschouwd. Deze bepaling </w:t>
      </w:r>
      <w:r w:rsidR="00130B0C">
        <w:rPr>
          <w:rFonts w:cs="Arial"/>
          <w:szCs w:val="20"/>
        </w:rPr>
        <w:t xml:space="preserve">is in lijn met de in het kader van actiepunt 6 van het BEPS-project voorgestelde wijziging van de </w:t>
      </w:r>
      <w:r w:rsidRPr="000A2618" w:rsidR="00130B0C">
        <w:rPr>
          <w:rFonts w:cs="Arial"/>
          <w:i/>
          <w:szCs w:val="20"/>
        </w:rPr>
        <w:t>corporate tiebreaker</w:t>
      </w:r>
      <w:r w:rsidR="000D15CC">
        <w:rPr>
          <w:rFonts w:cs="Arial"/>
          <w:szCs w:val="20"/>
        </w:rPr>
        <w:t xml:space="preserve"> </w:t>
      </w:r>
      <w:r w:rsidRPr="00A47B63" w:rsidR="000D15CC">
        <w:rPr>
          <w:rFonts w:cs="Arial"/>
          <w:szCs w:val="20"/>
        </w:rPr>
        <w:t>om het risico op onbedoelde verdragstoepassing door een lichaam dat als inwoner van beide verdragsluitende staten wordt beschouwd te verkleinen</w:t>
      </w:r>
      <w:r w:rsidR="00AB121E">
        <w:rPr>
          <w:rFonts w:cs="Arial"/>
          <w:szCs w:val="20"/>
        </w:rPr>
        <w:t xml:space="preserve">, </w:t>
      </w:r>
      <w:r w:rsidR="00056DE1">
        <w:rPr>
          <w:rFonts w:cs="Arial"/>
          <w:szCs w:val="20"/>
        </w:rPr>
        <w:t xml:space="preserve">en </w:t>
      </w:r>
      <w:r w:rsidR="000D15CC">
        <w:rPr>
          <w:rFonts w:cs="Arial"/>
          <w:szCs w:val="20"/>
        </w:rPr>
        <w:t>die inmiddels ook aldus is opgenomen in artikel 4, derde lid, v</w:t>
      </w:r>
      <w:r w:rsidR="00693791">
        <w:rPr>
          <w:rFonts w:cs="Arial"/>
          <w:szCs w:val="20"/>
        </w:rPr>
        <w:t>a</w:t>
      </w:r>
      <w:r w:rsidR="000D15CC">
        <w:rPr>
          <w:rFonts w:cs="Arial"/>
          <w:szCs w:val="20"/>
        </w:rPr>
        <w:t xml:space="preserve">n het OESO-modelverdrag (en in </w:t>
      </w:r>
      <w:r w:rsidR="009F3281">
        <w:rPr>
          <w:rFonts w:cs="Arial"/>
          <w:szCs w:val="20"/>
        </w:rPr>
        <w:t xml:space="preserve">artikel 4 van het </w:t>
      </w:r>
      <w:r w:rsidR="00207702">
        <w:t>MLI</w:t>
      </w:r>
      <w:r w:rsidR="000D15CC">
        <w:t>).</w:t>
      </w:r>
      <w:r w:rsidRPr="00A47B63" w:rsidR="00743174">
        <w:rPr>
          <w:rFonts w:cs="Arial"/>
          <w:szCs w:val="20"/>
        </w:rPr>
        <w:t xml:space="preserve"> Op grond van het nieuwe </w:t>
      </w:r>
      <w:r w:rsidRPr="00A47B63" w:rsidR="003F6B35">
        <w:rPr>
          <w:rFonts w:cs="Arial"/>
          <w:szCs w:val="20"/>
        </w:rPr>
        <w:t>artikel 4, derde lid, van het Verdrag</w:t>
      </w:r>
      <w:r w:rsidRPr="00A47B63" w:rsidR="00743174">
        <w:rPr>
          <w:rFonts w:cs="Arial"/>
          <w:szCs w:val="20"/>
        </w:rPr>
        <w:t xml:space="preserve"> zullen </w:t>
      </w:r>
      <w:r w:rsidR="00AB121E">
        <w:rPr>
          <w:rFonts w:cs="Arial"/>
          <w:szCs w:val="20"/>
        </w:rPr>
        <w:t xml:space="preserve">de </w:t>
      </w:r>
      <w:r w:rsidRPr="00A47B63" w:rsidR="00743174">
        <w:rPr>
          <w:rFonts w:cs="Arial"/>
          <w:szCs w:val="20"/>
        </w:rPr>
        <w:t xml:space="preserve">bevoegde autoriteiten </w:t>
      </w:r>
      <w:r w:rsidR="00AB121E">
        <w:rPr>
          <w:rFonts w:cs="Arial"/>
          <w:szCs w:val="20"/>
        </w:rPr>
        <w:t xml:space="preserve">van de verdragsluitende staten </w:t>
      </w:r>
      <w:r w:rsidRPr="00A47B63" w:rsidR="00743174">
        <w:rPr>
          <w:rFonts w:cs="Arial"/>
          <w:szCs w:val="20"/>
        </w:rPr>
        <w:t>voortaan in dergelijke situaties met elkaar in overleg treden om het inwonerschap van het lichaam voor de toepassing van het Verdrag te bepalen. Daarbij zal rekening worden gehouden met de plaats van feitelijke leiding en de plaats van oprichting van dat lichaam, en alle andere relevante factoren, waaronder mede begrepen het (fiscale) motief van een lichaam voor vestiging in een verdragsluitende staat. Zolang de bevoegde autoriteiten niet hebben vastgesteld van welke verdragsluitende staat het lichaam inwoner is voor de toepassing van het Verdrag of als hier</w:t>
      </w:r>
      <w:r w:rsidR="00FA63D5">
        <w:rPr>
          <w:rFonts w:cs="Arial"/>
          <w:szCs w:val="20"/>
        </w:rPr>
        <w:t>over</w:t>
      </w:r>
      <w:r w:rsidRPr="00A47B63" w:rsidR="00743174">
        <w:rPr>
          <w:rFonts w:cs="Arial"/>
          <w:szCs w:val="20"/>
        </w:rPr>
        <w:t xml:space="preserve"> geen overeenstemming wordt bereikt, heeft het lichaam geen recht op een belastingvermindering of -vrijstelling op grond van het Verdrag</w:t>
      </w:r>
      <w:r w:rsidR="000D0348">
        <w:rPr>
          <w:rFonts w:cs="Arial"/>
          <w:szCs w:val="20"/>
        </w:rPr>
        <w:t>,</w:t>
      </w:r>
      <w:r w:rsidR="00CB38E2">
        <w:rPr>
          <w:rFonts w:cs="Arial"/>
          <w:szCs w:val="20"/>
        </w:rPr>
        <w:t xml:space="preserve"> behoudens voor zover de bevoegde autoriteiten zulks mochten overeenkomen.</w:t>
      </w:r>
      <w:r w:rsidRPr="00D122CA" w:rsidR="00743174">
        <w:rPr>
          <w:rFonts w:cs="Arial"/>
          <w:szCs w:val="20"/>
        </w:rPr>
        <w:t xml:space="preserve"> </w:t>
      </w:r>
    </w:p>
    <w:p w:rsidR="00A47B63" w:rsidP="00A47B63" w:rsidRDefault="00056DE1" w14:paraId="581E24FF" w14:textId="77777777">
      <w:pPr>
        <w:ind w:firstLine="708"/>
        <w:rPr>
          <w:rFonts w:cs="Arial"/>
          <w:szCs w:val="20"/>
        </w:rPr>
      </w:pPr>
      <w:r>
        <w:rPr>
          <w:rFonts w:cs="Arial"/>
          <w:szCs w:val="20"/>
        </w:rPr>
        <w:t>D</w:t>
      </w:r>
      <w:r w:rsidRPr="00A47B63" w:rsidR="00A47B63">
        <w:rPr>
          <w:rFonts w:cs="Arial"/>
          <w:szCs w:val="20"/>
        </w:rPr>
        <w:t>oor de opname van de definitie van de uitdrukking ‘</w:t>
      </w:r>
      <w:r w:rsidR="00CB38E2">
        <w:rPr>
          <w:rFonts w:cs="Arial"/>
          <w:szCs w:val="20"/>
        </w:rPr>
        <w:t xml:space="preserve">erkend </w:t>
      </w:r>
      <w:r w:rsidRPr="00626C50" w:rsidR="00A47B63">
        <w:rPr>
          <w:rFonts w:cs="Arial"/>
          <w:szCs w:val="20"/>
        </w:rPr>
        <w:t>pensioenfonds</w:t>
      </w:r>
      <w:r w:rsidR="00A47B63">
        <w:rPr>
          <w:rFonts w:cs="Arial"/>
          <w:szCs w:val="20"/>
        </w:rPr>
        <w:t>’</w:t>
      </w:r>
      <w:r w:rsidRPr="00626C50" w:rsidR="00A47B63">
        <w:rPr>
          <w:rFonts w:cs="Arial"/>
          <w:szCs w:val="20"/>
        </w:rPr>
        <w:t xml:space="preserve"> in</w:t>
      </w:r>
      <w:r w:rsidR="00A47B63">
        <w:rPr>
          <w:rFonts w:cs="Arial"/>
          <w:szCs w:val="20"/>
        </w:rPr>
        <w:t xml:space="preserve"> het nieuwe</w:t>
      </w:r>
      <w:r w:rsidRPr="00626C50" w:rsidR="00A47B63">
        <w:rPr>
          <w:rFonts w:cs="Arial"/>
          <w:szCs w:val="20"/>
        </w:rPr>
        <w:t xml:space="preserve"> artikel 3</w:t>
      </w:r>
      <w:r w:rsidR="00A47B63">
        <w:rPr>
          <w:rFonts w:cs="Arial"/>
          <w:szCs w:val="20"/>
        </w:rPr>
        <w:t xml:space="preserve">, </w:t>
      </w:r>
      <w:r w:rsidR="00FA63D5">
        <w:rPr>
          <w:rFonts w:cs="Arial"/>
          <w:szCs w:val="20"/>
        </w:rPr>
        <w:t xml:space="preserve">eerste </w:t>
      </w:r>
      <w:r w:rsidR="00A47B63">
        <w:rPr>
          <w:rFonts w:cs="Arial"/>
          <w:szCs w:val="20"/>
        </w:rPr>
        <w:t xml:space="preserve">lid, onderdeel j, van het Verdrag en de aanpassing in </w:t>
      </w:r>
      <w:r w:rsidRPr="00A47B63" w:rsidR="00A47B63">
        <w:rPr>
          <w:rFonts w:cs="Arial"/>
          <w:szCs w:val="20"/>
        </w:rPr>
        <w:t xml:space="preserve">artikel 4, eerste lid, van het Verdrag </w:t>
      </w:r>
      <w:r>
        <w:rPr>
          <w:rFonts w:cs="Arial"/>
          <w:szCs w:val="20"/>
        </w:rPr>
        <w:t xml:space="preserve">is er </w:t>
      </w:r>
      <w:r w:rsidRPr="00A47B63" w:rsidR="00A47B63">
        <w:rPr>
          <w:rFonts w:cs="Arial"/>
          <w:szCs w:val="20"/>
        </w:rPr>
        <w:t>geen behoefte meer aan artikel</w:t>
      </w:r>
      <w:r w:rsidR="00A47B63">
        <w:t xml:space="preserve"> 4, vierde lid</w:t>
      </w:r>
      <w:r w:rsidR="00631606">
        <w:t>,</w:t>
      </w:r>
      <w:r w:rsidR="00A47B63">
        <w:t xml:space="preserve"> van het Verdrag</w:t>
      </w:r>
      <w:r w:rsidR="002E2B8F">
        <w:t>. M</w:t>
      </w:r>
      <w:r w:rsidR="00A47B63">
        <w:t xml:space="preserve">et </w:t>
      </w:r>
      <w:r w:rsidRPr="00A47B63" w:rsidR="00A47B63">
        <w:rPr>
          <w:rFonts w:cs="Arial"/>
          <w:szCs w:val="20"/>
        </w:rPr>
        <w:t xml:space="preserve">artikel 4, </w:t>
      </w:r>
      <w:r w:rsidR="00A47B63">
        <w:rPr>
          <w:rFonts w:cs="Arial"/>
          <w:szCs w:val="20"/>
        </w:rPr>
        <w:t>derde</w:t>
      </w:r>
      <w:r w:rsidRPr="00A47B63" w:rsidR="00A47B63">
        <w:rPr>
          <w:rFonts w:cs="Arial"/>
          <w:szCs w:val="20"/>
        </w:rPr>
        <w:t xml:space="preserve"> lid, van het Wijzigingsprotocol</w:t>
      </w:r>
      <w:r w:rsidR="00A47B63">
        <w:rPr>
          <w:rFonts w:cs="Arial"/>
          <w:szCs w:val="20"/>
        </w:rPr>
        <w:t xml:space="preserve"> wordt deze bepaling daarom geschrapt. </w:t>
      </w:r>
    </w:p>
    <w:p w:rsidR="00A47B63" w:rsidP="00554088" w:rsidRDefault="00A47B63" w14:paraId="177E247B" w14:textId="77777777">
      <w:pPr>
        <w:ind w:firstLine="0"/>
        <w:rPr>
          <w:rFonts w:cs="Arial"/>
          <w:i/>
          <w:iCs/>
          <w:szCs w:val="20"/>
        </w:rPr>
      </w:pPr>
    </w:p>
    <w:p w:rsidRPr="00090F3C" w:rsidR="00554088" w:rsidP="00554088" w:rsidRDefault="00554088" w14:paraId="5D4A2DFE" w14:textId="77777777">
      <w:pPr>
        <w:ind w:firstLine="0"/>
        <w:rPr>
          <w:i/>
        </w:rPr>
      </w:pPr>
      <w:r w:rsidRPr="00090F3C">
        <w:rPr>
          <w:rFonts w:cs="Arial"/>
          <w:i/>
          <w:iCs/>
          <w:szCs w:val="20"/>
        </w:rPr>
        <w:t>II.5. Vaste inrichting (</w:t>
      </w:r>
      <w:r w:rsidRPr="00090F3C">
        <w:rPr>
          <w:i/>
        </w:rPr>
        <w:t xml:space="preserve">artikel </w:t>
      </w:r>
      <w:r w:rsidRPr="00090F3C" w:rsidR="009E1DAA">
        <w:rPr>
          <w:i/>
        </w:rPr>
        <w:t>5</w:t>
      </w:r>
      <w:r w:rsidRPr="00090F3C" w:rsidR="00BC154A">
        <w:rPr>
          <w:i/>
        </w:rPr>
        <w:t xml:space="preserve"> </w:t>
      </w:r>
      <w:r w:rsidRPr="00090F3C">
        <w:rPr>
          <w:i/>
        </w:rPr>
        <w:t>van het Wijzigingsprotocol, artikel 5 van het Verdrag)</w:t>
      </w:r>
      <w:r w:rsidRPr="00090F3C">
        <w:rPr>
          <w:i/>
        </w:rPr>
        <w:br/>
      </w:r>
    </w:p>
    <w:p w:rsidRPr="001C5D43" w:rsidR="0006652E" w:rsidP="0006652E" w:rsidRDefault="000C63B1" w14:paraId="01D342AB" w14:textId="61670CD9">
      <w:pPr>
        <w:ind w:firstLine="720"/>
      </w:pPr>
      <w:r w:rsidRPr="00090F3C">
        <w:rPr>
          <w:rFonts w:cs="Arial"/>
          <w:szCs w:val="20"/>
        </w:rPr>
        <w:t>M</w:t>
      </w:r>
      <w:r w:rsidRPr="00090F3C" w:rsidR="002204DB">
        <w:rPr>
          <w:rFonts w:cs="Arial"/>
          <w:szCs w:val="20"/>
        </w:rPr>
        <w:t xml:space="preserve">et </w:t>
      </w:r>
      <w:r w:rsidR="00A74136">
        <w:rPr>
          <w:rFonts w:cs="Arial"/>
          <w:szCs w:val="20"/>
        </w:rPr>
        <w:t xml:space="preserve">de in </w:t>
      </w:r>
      <w:r w:rsidRPr="00090F3C" w:rsidR="002204DB">
        <w:t xml:space="preserve">artikel </w:t>
      </w:r>
      <w:r w:rsidR="002E2B8F">
        <w:t>5</w:t>
      </w:r>
      <w:r w:rsidRPr="00090F3C" w:rsidR="002204DB">
        <w:t xml:space="preserve"> van het Wijzigingsprotocol </w:t>
      </w:r>
      <w:r w:rsidR="00A74136">
        <w:t xml:space="preserve">opgenomen aanpassingen van </w:t>
      </w:r>
      <w:r w:rsidRPr="00090F3C" w:rsidR="002204DB">
        <w:t>artikel 5 van het Verdrag</w:t>
      </w:r>
      <w:r w:rsidRPr="00090F3C">
        <w:t xml:space="preserve"> </w:t>
      </w:r>
      <w:r w:rsidR="00A74136">
        <w:t>wordt d</w:t>
      </w:r>
      <w:r w:rsidR="00BE5C35">
        <w:t>a</w:t>
      </w:r>
      <w:r w:rsidR="00A74136">
        <w:t xml:space="preserve">t artikel </w:t>
      </w:r>
      <w:r w:rsidRPr="00090F3C">
        <w:t xml:space="preserve">in lijn gebracht met </w:t>
      </w:r>
      <w:r w:rsidR="00631606">
        <w:t>artikel 5 van het OESO-modelverdrag</w:t>
      </w:r>
      <w:r w:rsidR="00B23574">
        <w:t>,</w:t>
      </w:r>
      <w:r w:rsidR="00052798">
        <w:t xml:space="preserve"> waarin, op 21 november 2017, de voorstellen zijn verwerkt voor </w:t>
      </w:r>
      <w:r w:rsidRPr="00090F3C" w:rsidR="000D7F0C">
        <w:t xml:space="preserve">de </w:t>
      </w:r>
      <w:r w:rsidR="00052798">
        <w:t xml:space="preserve">aanpassing van </w:t>
      </w:r>
      <w:r w:rsidR="003D5655">
        <w:t xml:space="preserve">de definitie van </w:t>
      </w:r>
      <w:r w:rsidR="00052798">
        <w:t xml:space="preserve">het </w:t>
      </w:r>
      <w:r w:rsidR="003D5655">
        <w:t xml:space="preserve">begrip </w:t>
      </w:r>
      <w:r w:rsidR="00052798">
        <w:t>vaste inrichting die zij</w:t>
      </w:r>
      <w:r w:rsidR="00015196">
        <w:t>n</w:t>
      </w:r>
      <w:r w:rsidR="00052798">
        <w:t xml:space="preserve"> gedaan in het </w:t>
      </w:r>
      <w:r w:rsidR="00D31AD3">
        <w:t xml:space="preserve">rapport bij actiepunt 7 van het BEPS-project. Een en ander sluit ook aan bij </w:t>
      </w:r>
      <w:r w:rsidRPr="00090F3C" w:rsidR="000D7F0C">
        <w:rPr>
          <w:rFonts w:cs="Arial"/>
          <w:szCs w:val="20"/>
        </w:rPr>
        <w:t xml:space="preserve">de artikelen 12, 13 en 15 van het </w:t>
      </w:r>
      <w:r w:rsidR="00207702">
        <w:t>MLI</w:t>
      </w:r>
      <w:r w:rsidRPr="00090F3C" w:rsidR="000D7F0C">
        <w:t xml:space="preserve"> die zijn gebaseerd op </w:t>
      </w:r>
      <w:r w:rsidRPr="00090F3C" w:rsidR="000D7F0C">
        <w:rPr>
          <w:rFonts w:cs="Arial"/>
          <w:szCs w:val="20"/>
        </w:rPr>
        <w:t xml:space="preserve">het rapport bij BEPS-actiepunt 7. </w:t>
      </w:r>
      <w:r w:rsidR="00077ABA">
        <w:rPr>
          <w:rFonts w:cs="Arial"/>
          <w:szCs w:val="20"/>
        </w:rPr>
        <w:t xml:space="preserve">Daarbij wordt opgemerkt dat de </w:t>
      </w:r>
      <w:r w:rsidR="00015196">
        <w:rPr>
          <w:rFonts w:cs="Arial"/>
          <w:szCs w:val="20"/>
        </w:rPr>
        <w:t xml:space="preserve">in </w:t>
      </w:r>
      <w:r w:rsidR="005A6634">
        <w:rPr>
          <w:rFonts w:cs="Arial"/>
          <w:szCs w:val="20"/>
        </w:rPr>
        <w:t xml:space="preserve">artikel 14 van het </w:t>
      </w:r>
      <w:r w:rsidR="00207702">
        <w:rPr>
          <w:rFonts w:cs="Arial"/>
          <w:szCs w:val="20"/>
        </w:rPr>
        <w:t>MLI</w:t>
      </w:r>
      <w:r w:rsidR="005A6634">
        <w:rPr>
          <w:rFonts w:cs="Arial"/>
          <w:szCs w:val="20"/>
        </w:rPr>
        <w:t xml:space="preserve"> </w:t>
      </w:r>
      <w:r w:rsidR="008D58B3">
        <w:rPr>
          <w:rFonts w:cs="Arial"/>
          <w:szCs w:val="20"/>
        </w:rPr>
        <w:t>opgenomen</w:t>
      </w:r>
      <w:r w:rsidR="005A6634">
        <w:rPr>
          <w:rFonts w:cs="Arial"/>
          <w:szCs w:val="20"/>
        </w:rPr>
        <w:t xml:space="preserve">, </w:t>
      </w:r>
      <w:r w:rsidR="00EF70F0">
        <w:t>zogenoemde</w:t>
      </w:r>
      <w:r w:rsidR="00B23574">
        <w:t>,</w:t>
      </w:r>
      <w:r w:rsidR="00EF70F0">
        <w:t xml:space="preserve"> </w:t>
      </w:r>
      <w:r w:rsidRPr="00A50949" w:rsidR="001C5D43">
        <w:t>splitting-up</w:t>
      </w:r>
      <w:r w:rsidRPr="00A50949" w:rsidR="003B4347">
        <w:t>-</w:t>
      </w:r>
      <w:r w:rsidRPr="00A50949" w:rsidR="001C5D43">
        <w:t>of</w:t>
      </w:r>
      <w:r w:rsidRPr="00A50949" w:rsidR="003B4347">
        <w:t>-</w:t>
      </w:r>
      <w:r w:rsidRPr="00A50949" w:rsidR="001C5D43">
        <w:t>contracts</w:t>
      </w:r>
      <w:r w:rsidRPr="00436C12" w:rsidR="001C5D43">
        <w:t>-</w:t>
      </w:r>
      <w:r w:rsidR="001C5D43">
        <w:t xml:space="preserve">bepaling </w:t>
      </w:r>
      <w:r w:rsidR="00EF70F0">
        <w:t xml:space="preserve">waarmee wordt </w:t>
      </w:r>
      <w:r w:rsidRPr="00EF70F0" w:rsidR="00EF70F0">
        <w:t>beoog</w:t>
      </w:r>
      <w:r w:rsidR="00D47754">
        <w:t>d</w:t>
      </w:r>
      <w:r w:rsidRPr="00EF70F0" w:rsidR="00EF70F0">
        <w:t xml:space="preserve"> te voorkomen dat op kunstmatige wijze contracten worden opgeknipt </w:t>
      </w:r>
      <w:r w:rsidR="00015196">
        <w:t>om zo de kwalificatie van vaste inrichting in de zin van artikel 5, derde lid, te ontlopen, niet is opgenomen.</w:t>
      </w:r>
      <w:r w:rsidR="00977371">
        <w:t xml:space="preserve"> Zowel Nederland als Polen menen, conform paragraaf 52 van het Commentaar bij artikel 5, derde lid, van het OESO-modelverdrag, dat </w:t>
      </w:r>
      <w:r w:rsidR="00834CF3">
        <w:t xml:space="preserve">de nu in het Verdrag opgenomen </w:t>
      </w:r>
      <w:r w:rsidRPr="0078010A" w:rsidR="00090F3C">
        <w:rPr>
          <w:i/>
          <w:szCs w:val="18"/>
        </w:rPr>
        <w:t xml:space="preserve">principal </w:t>
      </w:r>
      <w:r w:rsidRPr="0078010A" w:rsidR="00090F3C">
        <w:rPr>
          <w:i/>
          <w:szCs w:val="18"/>
        </w:rPr>
        <w:lastRenderedPageBreak/>
        <w:t>purposes test</w:t>
      </w:r>
      <w:r w:rsidRPr="0078010A" w:rsidR="00090F3C">
        <w:rPr>
          <w:szCs w:val="18"/>
        </w:rPr>
        <w:t xml:space="preserve"> </w:t>
      </w:r>
      <w:r w:rsidR="00834CF3">
        <w:rPr>
          <w:szCs w:val="18"/>
        </w:rPr>
        <w:t>(</w:t>
      </w:r>
      <w:r w:rsidR="00090F3C">
        <w:rPr>
          <w:szCs w:val="18"/>
        </w:rPr>
        <w:t>artikel 29 van het Verdrag</w:t>
      </w:r>
      <w:r w:rsidR="00834CF3">
        <w:rPr>
          <w:szCs w:val="18"/>
        </w:rPr>
        <w:t xml:space="preserve">, </w:t>
      </w:r>
      <w:r w:rsidR="00834CF3">
        <w:t xml:space="preserve">artikel 15 van het </w:t>
      </w:r>
      <w:r w:rsidR="00834CF3">
        <w:rPr>
          <w:szCs w:val="18"/>
        </w:rPr>
        <w:t>Wijzigingsprotocol) voldoende handvatten biedt om dergelijke kunstm</w:t>
      </w:r>
      <w:r w:rsidR="00A74136">
        <w:rPr>
          <w:szCs w:val="18"/>
        </w:rPr>
        <w:t>a</w:t>
      </w:r>
      <w:r w:rsidR="00834CF3">
        <w:rPr>
          <w:szCs w:val="18"/>
        </w:rPr>
        <w:t>tige situat</w:t>
      </w:r>
      <w:r w:rsidR="00A74136">
        <w:rPr>
          <w:szCs w:val="18"/>
        </w:rPr>
        <w:t>i</w:t>
      </w:r>
      <w:r w:rsidR="00834CF3">
        <w:rPr>
          <w:szCs w:val="18"/>
        </w:rPr>
        <w:t>es te bestrijden.</w:t>
      </w:r>
      <w:r w:rsidR="0006652E">
        <w:t xml:space="preserve"> </w:t>
      </w:r>
    </w:p>
    <w:p w:rsidR="0006652E" w:rsidP="0006652E" w:rsidRDefault="0006652E" w14:paraId="20B141FC" w14:textId="77777777">
      <w:pPr>
        <w:ind w:firstLine="720"/>
        <w:rPr>
          <w:rFonts w:cs="Arial"/>
          <w:szCs w:val="20"/>
        </w:rPr>
      </w:pPr>
      <w:r>
        <w:t xml:space="preserve">Het </w:t>
      </w:r>
      <w:r w:rsidR="00AE60DC">
        <w:t xml:space="preserve">nieuwe </w:t>
      </w:r>
      <w:r>
        <w:t xml:space="preserve">vierde lid </w:t>
      </w:r>
      <w:r w:rsidRPr="00D122CA">
        <w:rPr>
          <w:rFonts w:cs="Arial"/>
          <w:szCs w:val="20"/>
        </w:rPr>
        <w:t>omschrijft een aantal situaties waarin geen vaste inrichting aanwezig wordt geacht</w:t>
      </w:r>
      <w:r w:rsidR="007F708A">
        <w:rPr>
          <w:rFonts w:cs="Arial"/>
          <w:szCs w:val="20"/>
        </w:rPr>
        <w:t>,</w:t>
      </w:r>
      <w:r>
        <w:rPr>
          <w:rFonts w:cs="Arial"/>
          <w:szCs w:val="20"/>
        </w:rPr>
        <w:t xml:space="preserve"> en in overeenstemming met het rapport bij BEPS-actiepunt 7 is het </w:t>
      </w:r>
      <w:r w:rsidRPr="00D122CA">
        <w:rPr>
          <w:rFonts w:cs="Arial"/>
          <w:szCs w:val="20"/>
        </w:rPr>
        <w:t xml:space="preserve">voorbereidende en ondersteunende karakter </w:t>
      </w:r>
      <w:r>
        <w:rPr>
          <w:rFonts w:cs="Arial"/>
          <w:szCs w:val="20"/>
        </w:rPr>
        <w:t>voor al deze</w:t>
      </w:r>
      <w:r w:rsidRPr="00D122CA">
        <w:rPr>
          <w:rFonts w:cs="Arial"/>
          <w:szCs w:val="20"/>
        </w:rPr>
        <w:t xml:space="preserve"> activiteiten </w:t>
      </w:r>
      <w:r>
        <w:rPr>
          <w:rFonts w:cs="Arial"/>
          <w:szCs w:val="20"/>
        </w:rPr>
        <w:t xml:space="preserve">voortaan </w:t>
      </w:r>
      <w:r w:rsidRPr="00D122CA">
        <w:rPr>
          <w:rFonts w:cs="Arial"/>
          <w:szCs w:val="20"/>
        </w:rPr>
        <w:t xml:space="preserve">als </w:t>
      </w:r>
      <w:r>
        <w:rPr>
          <w:rFonts w:cs="Arial"/>
          <w:szCs w:val="20"/>
        </w:rPr>
        <w:t xml:space="preserve">expliciete eis vastgelegd. </w:t>
      </w:r>
    </w:p>
    <w:p w:rsidR="0006652E" w:rsidP="0006652E" w:rsidRDefault="0006652E" w14:paraId="4B3D2C4D" w14:textId="4964BC8B">
      <w:pPr>
        <w:ind w:firstLine="720"/>
        <w:rPr>
          <w:rFonts w:cs="Arial"/>
          <w:szCs w:val="20"/>
        </w:rPr>
      </w:pPr>
      <w:r>
        <w:rPr>
          <w:rFonts w:cs="Arial"/>
          <w:szCs w:val="20"/>
        </w:rPr>
        <w:t xml:space="preserve">Daarbij is van belang dat het </w:t>
      </w:r>
      <w:r w:rsidR="007F708A">
        <w:rPr>
          <w:rFonts w:cs="Arial"/>
          <w:szCs w:val="20"/>
        </w:rPr>
        <w:t xml:space="preserve">nieuwe </w:t>
      </w:r>
      <w:r>
        <w:rPr>
          <w:rFonts w:cs="Arial"/>
          <w:szCs w:val="20"/>
        </w:rPr>
        <w:t xml:space="preserve">vijfde lid waarborgt dat de uitzonderingen van het vierde lid niet op kunstmatige wijze kunnen worden opgezocht. Deze bepaling is ontleend aan de in paragraaf 15 van het rapport bij BEPS-actiepunt 7 voorgestelde antifragmentatiebepaling. Volgens onderdeel a </w:t>
      </w:r>
      <w:r w:rsidR="00E23356">
        <w:rPr>
          <w:rFonts w:cs="Arial"/>
          <w:szCs w:val="20"/>
        </w:rPr>
        <w:t xml:space="preserve">van het vijfde lid </w:t>
      </w:r>
      <w:r>
        <w:rPr>
          <w:rFonts w:cs="Arial"/>
          <w:szCs w:val="20"/>
        </w:rPr>
        <w:t xml:space="preserve">gelden de uitzonderingen van het </w:t>
      </w:r>
      <w:r w:rsidR="00102FE5">
        <w:rPr>
          <w:rFonts w:cs="Arial"/>
          <w:szCs w:val="20"/>
        </w:rPr>
        <w:t xml:space="preserve">vierde </w:t>
      </w:r>
      <w:r>
        <w:rPr>
          <w:rFonts w:cs="Arial"/>
          <w:szCs w:val="20"/>
        </w:rPr>
        <w:t xml:space="preserve">lid niet als de onderneming, of een daarmee nauw verbonden onderneming, in dezelfde staat samenhangende activiteiten uitoefent waarvoor een </w:t>
      </w:r>
      <w:r>
        <w:t>vaste inrichting aanwezig wordt geacht. Volgens onderdeel b</w:t>
      </w:r>
      <w:r>
        <w:rPr>
          <w:rFonts w:cs="Arial"/>
          <w:szCs w:val="20"/>
        </w:rPr>
        <w:t xml:space="preserve"> </w:t>
      </w:r>
      <w:r w:rsidR="00E23356">
        <w:rPr>
          <w:rFonts w:cs="Arial"/>
          <w:szCs w:val="20"/>
        </w:rPr>
        <w:t xml:space="preserve">van het vijfde lid </w:t>
      </w:r>
      <w:r>
        <w:rPr>
          <w:rFonts w:cs="Arial"/>
          <w:szCs w:val="20"/>
        </w:rPr>
        <w:t xml:space="preserve">gelden de uitzonderingen van het vierde lid voorts niet als de activiteiten van een onderneming en een daarmee nauw verbonden onderneming </w:t>
      </w:r>
      <w:r w:rsidR="00102FE5">
        <w:rPr>
          <w:rFonts w:cs="Arial"/>
          <w:szCs w:val="20"/>
        </w:rPr>
        <w:t xml:space="preserve">op </w:t>
      </w:r>
      <w:r w:rsidR="00515243">
        <w:rPr>
          <w:rFonts w:cs="Arial"/>
          <w:szCs w:val="20"/>
        </w:rPr>
        <w:t>dezelfde</w:t>
      </w:r>
      <w:r w:rsidR="00102FE5">
        <w:rPr>
          <w:rFonts w:cs="Arial"/>
          <w:szCs w:val="20"/>
        </w:rPr>
        <w:t xml:space="preserve"> plaats </w:t>
      </w:r>
      <w:r>
        <w:rPr>
          <w:rFonts w:cs="Arial"/>
          <w:szCs w:val="20"/>
        </w:rPr>
        <w:t>tezamen genomen</w:t>
      </w:r>
      <w:r w:rsidRPr="00ED1BCA">
        <w:rPr>
          <w:rFonts w:cs="Arial"/>
          <w:szCs w:val="20"/>
        </w:rPr>
        <w:t xml:space="preserve"> </w:t>
      </w:r>
      <w:r>
        <w:rPr>
          <w:rFonts w:cs="Arial"/>
          <w:szCs w:val="20"/>
        </w:rPr>
        <w:t xml:space="preserve">niet van </w:t>
      </w:r>
      <w:r w:rsidRPr="00D122CA">
        <w:rPr>
          <w:rFonts w:cs="Arial"/>
          <w:szCs w:val="20"/>
        </w:rPr>
        <w:t xml:space="preserve">voorbereidende aard </w:t>
      </w:r>
      <w:r>
        <w:rPr>
          <w:rFonts w:cs="Arial"/>
          <w:szCs w:val="20"/>
        </w:rPr>
        <w:t>of ondersteunend van karakter zijn.</w:t>
      </w:r>
    </w:p>
    <w:p w:rsidR="002B5930" w:rsidP="0006652E" w:rsidRDefault="0006652E" w14:paraId="04D968F5" w14:textId="3AF07130">
      <w:pPr>
        <w:ind w:firstLine="720"/>
        <w:rPr>
          <w:rFonts w:cs="Arial"/>
          <w:szCs w:val="20"/>
        </w:rPr>
      </w:pPr>
      <w:r>
        <w:t xml:space="preserve">Het </w:t>
      </w:r>
      <w:r w:rsidR="007F708A">
        <w:t xml:space="preserve">nieuwe </w:t>
      </w:r>
      <w:r w:rsidRPr="008F2F79">
        <w:rPr>
          <w:rFonts w:cs="Arial"/>
          <w:szCs w:val="20"/>
        </w:rPr>
        <w:t xml:space="preserve">zesde lid gaat om situaties waarin een persoon – die geen onafhankelijke </w:t>
      </w:r>
      <w:r w:rsidR="003911C4">
        <w:rPr>
          <w:rFonts w:cs="Arial"/>
          <w:szCs w:val="20"/>
        </w:rPr>
        <w:t xml:space="preserve">agent </w:t>
      </w:r>
      <w:r w:rsidRPr="008F2F79">
        <w:rPr>
          <w:rFonts w:cs="Arial"/>
          <w:szCs w:val="20"/>
        </w:rPr>
        <w:t xml:space="preserve">is als bedoeld in het </w:t>
      </w:r>
      <w:r>
        <w:rPr>
          <w:rFonts w:cs="Arial"/>
          <w:szCs w:val="20"/>
        </w:rPr>
        <w:t>zevende</w:t>
      </w:r>
      <w:r w:rsidRPr="008F2F79">
        <w:rPr>
          <w:rFonts w:cs="Arial"/>
          <w:szCs w:val="20"/>
        </w:rPr>
        <w:t xml:space="preserve"> lid – uit de aard van zijn werkzaamheden </w:t>
      </w:r>
      <w:r w:rsidR="008066AC">
        <w:rPr>
          <w:rFonts w:cs="Arial"/>
          <w:szCs w:val="20"/>
        </w:rPr>
        <w:t xml:space="preserve">in een staat een </w:t>
      </w:r>
      <w:r w:rsidRPr="008F2F79">
        <w:rPr>
          <w:rFonts w:cs="Arial"/>
          <w:szCs w:val="20"/>
        </w:rPr>
        <w:t xml:space="preserve">onderneming (principaal) </w:t>
      </w:r>
      <w:r w:rsidR="008066AC">
        <w:rPr>
          <w:rFonts w:cs="Arial"/>
          <w:szCs w:val="20"/>
        </w:rPr>
        <w:t xml:space="preserve">van de andere staat </w:t>
      </w:r>
      <w:r w:rsidRPr="008F2F79">
        <w:rPr>
          <w:rFonts w:cs="Arial"/>
          <w:szCs w:val="20"/>
        </w:rPr>
        <w:t xml:space="preserve">in een bepaalde mate betrekt bij economische activiteiten in </w:t>
      </w:r>
      <w:r w:rsidR="008066AC">
        <w:rPr>
          <w:rFonts w:cs="Arial"/>
          <w:szCs w:val="20"/>
        </w:rPr>
        <w:t>die staat (de afhankelijke agent)</w:t>
      </w:r>
      <w:r w:rsidRPr="008F2F79">
        <w:rPr>
          <w:rFonts w:cs="Arial"/>
          <w:szCs w:val="20"/>
        </w:rPr>
        <w:t xml:space="preserve">. </w:t>
      </w:r>
      <w:r w:rsidR="008066AC">
        <w:rPr>
          <w:rFonts w:cs="Arial"/>
          <w:szCs w:val="20"/>
        </w:rPr>
        <w:t xml:space="preserve">In dat geval wordt die onderneming geacht voor die activiteiten een vaste inrichting te hebben in die staat. </w:t>
      </w:r>
      <w:r w:rsidR="00D11E07">
        <w:rPr>
          <w:rFonts w:cs="Arial"/>
          <w:szCs w:val="20"/>
        </w:rPr>
        <w:t>Een zodanige bepaling</w:t>
      </w:r>
      <w:r w:rsidR="000229ED">
        <w:rPr>
          <w:rFonts w:cs="Arial"/>
          <w:szCs w:val="20"/>
        </w:rPr>
        <w:t>, gebaseerd op het OESO-modelverdrag naar de tekstversie van 1995,</w:t>
      </w:r>
      <w:r w:rsidR="00D11E07">
        <w:rPr>
          <w:rFonts w:cs="Arial"/>
          <w:szCs w:val="20"/>
        </w:rPr>
        <w:t xml:space="preserve"> was ook opgenomen in het oorspronkelijke vijfde lid van artikel 5 van het Verdrag</w:t>
      </w:r>
      <w:r w:rsidR="000229ED">
        <w:rPr>
          <w:rFonts w:cs="Arial"/>
          <w:szCs w:val="20"/>
        </w:rPr>
        <w:t xml:space="preserve">. In het </w:t>
      </w:r>
      <w:r w:rsidR="00D11E07">
        <w:rPr>
          <w:rFonts w:cs="Arial"/>
          <w:szCs w:val="20"/>
        </w:rPr>
        <w:t xml:space="preserve">rapport bij BEPS-actiepunt 7 </w:t>
      </w:r>
      <w:r w:rsidR="000229ED">
        <w:rPr>
          <w:rFonts w:cs="Arial"/>
          <w:szCs w:val="20"/>
        </w:rPr>
        <w:t>is evenwel aangegeven dat de bepaling in die vorm aanknopingspunten bood voor (commissionair)structuren om de aanwezigheid van een vaste inrichting te ontlopen</w:t>
      </w:r>
      <w:r w:rsidR="002B5930">
        <w:rPr>
          <w:rFonts w:cs="Arial"/>
          <w:szCs w:val="20"/>
        </w:rPr>
        <w:t xml:space="preserve"> en is in dat kader een aanscherping van deze bepaling ontwikkeld</w:t>
      </w:r>
      <w:r w:rsidR="000229ED">
        <w:rPr>
          <w:rFonts w:cs="Arial"/>
          <w:szCs w:val="20"/>
        </w:rPr>
        <w:t xml:space="preserve">. </w:t>
      </w:r>
      <w:r w:rsidR="00F660FF">
        <w:rPr>
          <w:rFonts w:cs="Arial"/>
          <w:szCs w:val="20"/>
        </w:rPr>
        <w:t xml:space="preserve">Deze bepaling is inmiddels ook opgenomen in artikel 5, vijfde lid, van het OESO-modelverdrag, en is als artikel 12 opgenomen in </w:t>
      </w:r>
      <w:r w:rsidR="00733E96">
        <w:rPr>
          <w:rFonts w:cs="Arial"/>
          <w:szCs w:val="20"/>
        </w:rPr>
        <w:t xml:space="preserve">het </w:t>
      </w:r>
      <w:r w:rsidR="00F660FF">
        <w:rPr>
          <w:rFonts w:cs="Arial"/>
          <w:szCs w:val="20"/>
        </w:rPr>
        <w:t xml:space="preserve">MLI. </w:t>
      </w:r>
      <w:r w:rsidR="000229ED">
        <w:rPr>
          <w:rFonts w:cs="Arial"/>
          <w:szCs w:val="20"/>
        </w:rPr>
        <w:t xml:space="preserve">In aansluiting bij </w:t>
      </w:r>
      <w:r w:rsidR="002B5930">
        <w:rPr>
          <w:rFonts w:cs="Arial"/>
          <w:szCs w:val="20"/>
        </w:rPr>
        <w:t xml:space="preserve">de in </w:t>
      </w:r>
      <w:r w:rsidR="003A19C1">
        <w:rPr>
          <w:rFonts w:cs="Arial"/>
          <w:szCs w:val="20"/>
        </w:rPr>
        <w:t xml:space="preserve">onderdeel </w:t>
      </w:r>
      <w:r w:rsidR="002B5930">
        <w:rPr>
          <w:rFonts w:cs="Arial"/>
          <w:szCs w:val="20"/>
        </w:rPr>
        <w:t xml:space="preserve">I.1. </w:t>
      </w:r>
      <w:r w:rsidR="003A19C1">
        <w:rPr>
          <w:rFonts w:cs="Arial"/>
          <w:szCs w:val="20"/>
        </w:rPr>
        <w:t xml:space="preserve">van deze </w:t>
      </w:r>
      <w:r w:rsidR="003A19C1">
        <w:t xml:space="preserve">toelichtende nota </w:t>
      </w:r>
      <w:r w:rsidR="002B5930">
        <w:rPr>
          <w:rFonts w:cs="Arial"/>
          <w:szCs w:val="20"/>
        </w:rPr>
        <w:t>genoemde k</w:t>
      </w:r>
      <w:r w:rsidRPr="002B5930" w:rsidR="002B5930">
        <w:rPr>
          <w:rFonts w:cs="Arial"/>
          <w:szCs w:val="20"/>
        </w:rPr>
        <w:t xml:space="preserve">abinetsappreciatie van de op 5 oktober 2015 gepubliceerde definitieve </w:t>
      </w:r>
      <w:r w:rsidR="002B5930">
        <w:rPr>
          <w:rFonts w:cs="Arial"/>
          <w:szCs w:val="20"/>
        </w:rPr>
        <w:t>BEPS-</w:t>
      </w:r>
      <w:r w:rsidRPr="002B5930" w:rsidR="002B5930">
        <w:rPr>
          <w:rFonts w:cs="Arial"/>
          <w:szCs w:val="20"/>
        </w:rPr>
        <w:t>actierapporten</w:t>
      </w:r>
      <w:r w:rsidR="002B5930">
        <w:rPr>
          <w:rFonts w:cs="Arial"/>
          <w:szCs w:val="20"/>
        </w:rPr>
        <w:t xml:space="preserve"> is deze bepaling, op voorstel van Nederland, </w:t>
      </w:r>
      <w:r w:rsidR="00F660FF">
        <w:rPr>
          <w:rFonts w:cs="Arial"/>
          <w:szCs w:val="20"/>
        </w:rPr>
        <w:t xml:space="preserve">nu </w:t>
      </w:r>
      <w:r w:rsidR="002B5930">
        <w:rPr>
          <w:rFonts w:cs="Arial"/>
          <w:szCs w:val="20"/>
        </w:rPr>
        <w:t>in artikel 5 van het Verdrag opgenomen.</w:t>
      </w:r>
    </w:p>
    <w:p w:rsidR="004E3AF6" w:rsidP="0006652E" w:rsidRDefault="002B5930" w14:paraId="239C3075" w14:textId="77777777">
      <w:pPr>
        <w:ind w:firstLine="720"/>
        <w:rPr>
          <w:rFonts w:cs="Arial"/>
          <w:szCs w:val="20"/>
        </w:rPr>
      </w:pPr>
      <w:r>
        <w:rPr>
          <w:rFonts w:cs="Arial"/>
          <w:szCs w:val="20"/>
        </w:rPr>
        <w:t xml:space="preserve">Gelet op het </w:t>
      </w:r>
      <w:r w:rsidR="00F660FF">
        <w:rPr>
          <w:rFonts w:cs="Arial"/>
          <w:szCs w:val="20"/>
        </w:rPr>
        <w:t xml:space="preserve">voorbehoud dat Nederland uiteindelijk heeft gemaakt bij artikel </w:t>
      </w:r>
      <w:r w:rsidR="00447249">
        <w:rPr>
          <w:rFonts w:cs="Arial"/>
          <w:szCs w:val="20"/>
        </w:rPr>
        <w:t>12</w:t>
      </w:r>
      <w:r w:rsidR="00F660FF">
        <w:rPr>
          <w:rFonts w:cs="Arial"/>
          <w:szCs w:val="20"/>
        </w:rPr>
        <w:t xml:space="preserve"> van </w:t>
      </w:r>
      <w:r w:rsidR="002A203E">
        <w:rPr>
          <w:rFonts w:cs="Arial"/>
          <w:szCs w:val="20"/>
        </w:rPr>
        <w:t xml:space="preserve">het </w:t>
      </w:r>
      <w:r w:rsidR="00207702">
        <w:rPr>
          <w:rFonts w:cs="Arial"/>
          <w:szCs w:val="20"/>
        </w:rPr>
        <w:t>MLI</w:t>
      </w:r>
      <w:r w:rsidR="004E3AF6">
        <w:rPr>
          <w:rStyle w:val="Voetnootmarkering"/>
          <w:rFonts w:cs="Arial"/>
          <w:szCs w:val="20"/>
        </w:rPr>
        <w:footnoteReference w:id="11"/>
      </w:r>
      <w:r w:rsidR="00F660FF">
        <w:rPr>
          <w:rFonts w:cs="Arial"/>
          <w:szCs w:val="20"/>
        </w:rPr>
        <w:t xml:space="preserve"> </w:t>
      </w:r>
      <w:r w:rsidR="004E3AF6">
        <w:rPr>
          <w:rFonts w:cs="Arial"/>
          <w:szCs w:val="20"/>
        </w:rPr>
        <w:t xml:space="preserve">is hierbij van belang dat met het Wijzigingsprotocol de bepaling in het Verdrag over de aan vaste inrichtingen toe te rekenen winst (artikel 7 van het Verdrag, artikel 6 van het Wijzigingsprotocol) in lijn wordt gebracht met de actuele bepaling van het OESO-modelverdrag en dat in het nieuwe artikel 26 van het Verdrag (artikel 12 van het Wijzigingsprotocol) wordt voorzien in </w:t>
      </w:r>
      <w:r w:rsidRPr="004E3AF6" w:rsidR="004E3AF6">
        <w:rPr>
          <w:rFonts w:cs="Arial"/>
          <w:szCs w:val="20"/>
        </w:rPr>
        <w:t>verplichte en bindende arbitrage als sluitstuk van de onderlinge ov</w:t>
      </w:r>
      <w:r w:rsidR="004E3AF6">
        <w:rPr>
          <w:rFonts w:cs="Arial"/>
          <w:szCs w:val="20"/>
        </w:rPr>
        <w:t xml:space="preserve">erlegprocedure. </w:t>
      </w:r>
    </w:p>
    <w:p w:rsidR="0006652E" w:rsidP="0006652E" w:rsidRDefault="004E3AF6" w14:paraId="39FBCDD9" w14:textId="77777777">
      <w:pPr>
        <w:ind w:firstLine="720"/>
        <w:rPr>
          <w:rFonts w:cs="Arial"/>
          <w:szCs w:val="20"/>
        </w:rPr>
      </w:pPr>
      <w:r>
        <w:rPr>
          <w:rFonts w:cs="Arial"/>
          <w:szCs w:val="20"/>
        </w:rPr>
        <w:t>Het zesde lid bepaalt concreet dat a</w:t>
      </w:r>
      <w:r w:rsidRPr="008F2F79" w:rsidR="0006652E">
        <w:rPr>
          <w:rFonts w:cs="Arial"/>
          <w:szCs w:val="20"/>
        </w:rPr>
        <w:t xml:space="preserve">ls een </w:t>
      </w:r>
      <w:r w:rsidRPr="00A9006D" w:rsidR="0006652E">
        <w:rPr>
          <w:rFonts w:cs="Arial"/>
          <w:szCs w:val="20"/>
        </w:rPr>
        <w:t xml:space="preserve">persoon gewoonlijk contracten afsluit of gewoonlijk de belangrijkste rol vervult bij het afsluiten van contracten die stelselmatig worden afgesloten zonder materiële aanpassing door de principaal, een vaste inrichting aanwezig </w:t>
      </w:r>
      <w:r w:rsidR="003911C4">
        <w:rPr>
          <w:rFonts w:cs="Arial"/>
          <w:szCs w:val="20"/>
        </w:rPr>
        <w:t xml:space="preserve">wordt </w:t>
      </w:r>
      <w:r w:rsidRPr="00A9006D" w:rsidR="0006652E">
        <w:rPr>
          <w:rFonts w:cs="Arial"/>
          <w:szCs w:val="20"/>
        </w:rPr>
        <w:t xml:space="preserve">geacht als de contracten </w:t>
      </w:r>
      <w:r w:rsidR="00A474EE">
        <w:rPr>
          <w:rFonts w:cs="Arial"/>
          <w:szCs w:val="20"/>
        </w:rPr>
        <w:lastRenderedPageBreak/>
        <w:t>(</w:t>
      </w:r>
      <w:r w:rsidR="00F177FB">
        <w:rPr>
          <w:rFonts w:cs="Arial"/>
          <w:szCs w:val="20"/>
        </w:rPr>
        <w:t xml:space="preserve">a) </w:t>
      </w:r>
      <w:r w:rsidRPr="00A9006D" w:rsidR="0006652E">
        <w:rPr>
          <w:rFonts w:cs="Arial"/>
          <w:szCs w:val="20"/>
        </w:rPr>
        <w:t>op naam van de</w:t>
      </w:r>
      <w:r w:rsidRPr="008F2F79" w:rsidR="0006652E">
        <w:rPr>
          <w:rFonts w:cs="Arial"/>
          <w:szCs w:val="20"/>
        </w:rPr>
        <w:t xml:space="preserve"> principaal worden afgesloten, </w:t>
      </w:r>
      <w:r w:rsidR="00A474EE">
        <w:rPr>
          <w:rFonts w:cs="Arial"/>
          <w:szCs w:val="20"/>
        </w:rPr>
        <w:t>(</w:t>
      </w:r>
      <w:r w:rsidR="00F177FB">
        <w:rPr>
          <w:rFonts w:cs="Arial"/>
          <w:szCs w:val="20"/>
        </w:rPr>
        <w:t xml:space="preserve">b) </w:t>
      </w:r>
      <w:r w:rsidRPr="008F2F79" w:rsidR="0006652E">
        <w:rPr>
          <w:rFonts w:cs="Arial"/>
          <w:szCs w:val="20"/>
        </w:rPr>
        <w:t xml:space="preserve">betrekking hebben op </w:t>
      </w:r>
      <w:r w:rsidR="00F177FB">
        <w:rPr>
          <w:rFonts w:cs="Arial"/>
          <w:szCs w:val="20"/>
        </w:rPr>
        <w:t xml:space="preserve">de </w:t>
      </w:r>
      <w:r w:rsidRPr="008F2F79" w:rsidR="0006652E">
        <w:rPr>
          <w:rFonts w:cs="Arial"/>
          <w:szCs w:val="20"/>
        </w:rPr>
        <w:t>eigendomsoverdracht of het verlenen van een gebruiksrecht aan een klant van goederen die aan de principaal toebehoren of waarvan de onderneming het gebruiksrecht heeft</w:t>
      </w:r>
      <w:r w:rsidR="00F177FB">
        <w:rPr>
          <w:rFonts w:cs="Arial"/>
          <w:szCs w:val="20"/>
        </w:rPr>
        <w:t xml:space="preserve">, </w:t>
      </w:r>
      <w:r w:rsidRPr="008F2F79" w:rsidR="0006652E">
        <w:rPr>
          <w:rFonts w:cs="Arial"/>
          <w:szCs w:val="20"/>
        </w:rPr>
        <w:t xml:space="preserve">of </w:t>
      </w:r>
      <w:r w:rsidR="00A474EE">
        <w:rPr>
          <w:rFonts w:cs="Arial"/>
          <w:szCs w:val="20"/>
        </w:rPr>
        <w:t>(</w:t>
      </w:r>
      <w:r w:rsidR="00F177FB">
        <w:rPr>
          <w:rFonts w:cs="Arial"/>
          <w:szCs w:val="20"/>
        </w:rPr>
        <w:t xml:space="preserve">c) betrekking hebben </w:t>
      </w:r>
      <w:r w:rsidRPr="008F2F79" w:rsidR="0006652E">
        <w:rPr>
          <w:rFonts w:cs="Arial"/>
          <w:szCs w:val="20"/>
        </w:rPr>
        <w:t xml:space="preserve">op het verstrekken van diensten aan een klant door de principaal. Een vaste inrichting wordt echter niet aanwezig geacht als de activiteiten </w:t>
      </w:r>
      <w:r w:rsidR="00F177FB">
        <w:rPr>
          <w:rFonts w:cs="Arial"/>
          <w:szCs w:val="20"/>
        </w:rPr>
        <w:t xml:space="preserve">beperkt zijn tot de in het vierde lid bedoelde hulp- en nevenactiviteiten die </w:t>
      </w:r>
      <w:r w:rsidRPr="008F2F79" w:rsidR="0006652E">
        <w:rPr>
          <w:rFonts w:cs="Arial"/>
          <w:szCs w:val="20"/>
        </w:rPr>
        <w:t>niet zouden leiden tot een vaste inrichting als deze activiteiten door de onderneming (principaal) zelf zouden worden uitgeoefend.</w:t>
      </w:r>
    </w:p>
    <w:p w:rsidR="0006652E" w:rsidP="0006652E" w:rsidRDefault="00D73480" w14:paraId="0C14D367" w14:textId="35331608">
      <w:pPr>
        <w:ind w:firstLine="720"/>
        <w:rPr>
          <w:rFonts w:cs="Arial"/>
          <w:szCs w:val="20"/>
        </w:rPr>
      </w:pPr>
      <w:r>
        <w:rPr>
          <w:rFonts w:cs="Arial"/>
          <w:szCs w:val="20"/>
        </w:rPr>
        <w:t xml:space="preserve">Het zevende lid betreft een uitzondering </w:t>
      </w:r>
      <w:r w:rsidRPr="00D73480">
        <w:rPr>
          <w:rFonts w:cs="Arial"/>
          <w:szCs w:val="20"/>
        </w:rPr>
        <w:t xml:space="preserve">op de </w:t>
      </w:r>
      <w:r>
        <w:rPr>
          <w:rFonts w:cs="Arial"/>
          <w:szCs w:val="20"/>
        </w:rPr>
        <w:t xml:space="preserve">toepassing van de </w:t>
      </w:r>
      <w:r w:rsidRPr="00D73480">
        <w:rPr>
          <w:rFonts w:cs="Arial"/>
          <w:szCs w:val="20"/>
        </w:rPr>
        <w:t>bepaling</w:t>
      </w:r>
      <w:r>
        <w:rPr>
          <w:rFonts w:cs="Arial"/>
          <w:szCs w:val="20"/>
        </w:rPr>
        <w:t xml:space="preserve">en van het zesde lid in het geval waarin </w:t>
      </w:r>
      <w:r w:rsidRPr="00D73480">
        <w:rPr>
          <w:rFonts w:cs="Arial"/>
          <w:szCs w:val="20"/>
        </w:rPr>
        <w:t xml:space="preserve">de persoon </w:t>
      </w:r>
      <w:r>
        <w:rPr>
          <w:rFonts w:cs="Arial"/>
          <w:szCs w:val="20"/>
        </w:rPr>
        <w:t xml:space="preserve">die voor een onderneming optreedt in </w:t>
      </w:r>
      <w:r w:rsidRPr="00D73480">
        <w:rPr>
          <w:rFonts w:cs="Arial"/>
          <w:szCs w:val="20"/>
        </w:rPr>
        <w:t xml:space="preserve">de andere staat een bedrijf voert als onafhankelijke agent en handelt in de context van dat bedrijf. </w:t>
      </w:r>
      <w:r>
        <w:rPr>
          <w:rFonts w:cs="Arial"/>
          <w:szCs w:val="20"/>
        </w:rPr>
        <w:t xml:space="preserve">Maar volgens de tweede </w:t>
      </w:r>
      <w:r w:rsidR="00F177FB">
        <w:rPr>
          <w:rFonts w:cs="Arial"/>
          <w:szCs w:val="20"/>
        </w:rPr>
        <w:t>zin</w:t>
      </w:r>
      <w:r>
        <w:rPr>
          <w:rFonts w:cs="Arial"/>
          <w:szCs w:val="20"/>
        </w:rPr>
        <w:t xml:space="preserve"> van het zevende lid is van een zodanige </w:t>
      </w:r>
      <w:r w:rsidRPr="00D73480">
        <w:rPr>
          <w:rFonts w:cs="Arial"/>
          <w:szCs w:val="20"/>
        </w:rPr>
        <w:t xml:space="preserve">onafhankelijke agent geen sprake wanneer deze uitsluitend of vrijwel uitsluitend optreedt voor een </w:t>
      </w:r>
      <w:r>
        <w:rPr>
          <w:rFonts w:cs="Arial"/>
          <w:szCs w:val="20"/>
        </w:rPr>
        <w:t xml:space="preserve">met hem </w:t>
      </w:r>
      <w:r w:rsidRPr="00D73480">
        <w:rPr>
          <w:rFonts w:cs="Arial"/>
          <w:szCs w:val="20"/>
        </w:rPr>
        <w:t>nauw verbonden onderneming.</w:t>
      </w:r>
      <w:r w:rsidRPr="0065389C" w:rsidR="0006652E">
        <w:rPr>
          <w:rFonts w:cs="Arial"/>
          <w:szCs w:val="20"/>
        </w:rPr>
        <w:t xml:space="preserve"> </w:t>
      </w:r>
    </w:p>
    <w:p w:rsidRPr="000A2618" w:rsidR="0006652E" w:rsidP="000A2618" w:rsidRDefault="0006652E" w14:paraId="15FEDA88" w14:textId="77777777">
      <w:pPr>
        <w:outlineLvl w:val="2"/>
        <w:rPr>
          <w:rFonts w:cs="Arial"/>
          <w:szCs w:val="20"/>
        </w:rPr>
      </w:pPr>
      <w:r w:rsidRPr="001E3E42">
        <w:rPr>
          <w:rFonts w:cs="Arial"/>
          <w:szCs w:val="20"/>
        </w:rPr>
        <w:t xml:space="preserve">In het achtste lid wordt omschreven wanneer een persoon of onderneming voor de toepassing van artikel 5 nauw verbonden is met een onderneming. Dit is van belang voor de bepalingen van het </w:t>
      </w:r>
      <w:r w:rsidR="00F177FB">
        <w:rPr>
          <w:rFonts w:cs="Arial"/>
          <w:szCs w:val="20"/>
        </w:rPr>
        <w:t xml:space="preserve">vierde, </w:t>
      </w:r>
      <w:r w:rsidRPr="001E3E42">
        <w:rPr>
          <w:rFonts w:cs="Arial"/>
          <w:szCs w:val="20"/>
        </w:rPr>
        <w:t>vijfde en zevende lid.</w:t>
      </w:r>
    </w:p>
    <w:p w:rsidR="0006652E" w:rsidP="0006652E" w:rsidRDefault="0006652E" w14:paraId="6D124B27" w14:textId="77777777">
      <w:pPr>
        <w:ind w:firstLine="708"/>
        <w:rPr>
          <w:rFonts w:eastAsia="SimSun" w:cs="Arial"/>
          <w:kern w:val="3"/>
          <w:szCs w:val="20"/>
          <w:lang w:eastAsia="zh-CN" w:bidi="hi-IN"/>
        </w:rPr>
      </w:pPr>
      <w:r w:rsidRPr="001E3E42">
        <w:rPr>
          <w:rFonts w:cs="Arial"/>
          <w:szCs w:val="20"/>
        </w:rPr>
        <w:t xml:space="preserve">Het negende lid </w:t>
      </w:r>
      <w:r>
        <w:rPr>
          <w:rFonts w:cs="Arial"/>
          <w:szCs w:val="20"/>
        </w:rPr>
        <w:t>stemt overeen met</w:t>
      </w:r>
      <w:r w:rsidRPr="001E3E42">
        <w:rPr>
          <w:rFonts w:eastAsia="SimSun" w:cs="Arial"/>
          <w:kern w:val="3"/>
          <w:szCs w:val="20"/>
          <w:lang w:eastAsia="zh-CN" w:bidi="hi-IN"/>
        </w:rPr>
        <w:t xml:space="preserve"> het </w:t>
      </w:r>
      <w:r w:rsidR="00DE7640">
        <w:rPr>
          <w:rFonts w:eastAsia="SimSun" w:cs="Arial"/>
          <w:kern w:val="3"/>
          <w:szCs w:val="20"/>
          <w:lang w:eastAsia="zh-CN" w:bidi="hi-IN"/>
        </w:rPr>
        <w:t xml:space="preserve">oorspronkelijke </w:t>
      </w:r>
      <w:r>
        <w:rPr>
          <w:rFonts w:eastAsia="SimSun" w:cs="Arial"/>
          <w:kern w:val="3"/>
          <w:szCs w:val="20"/>
          <w:lang w:eastAsia="zh-CN" w:bidi="hi-IN"/>
        </w:rPr>
        <w:t>zevende</w:t>
      </w:r>
      <w:r w:rsidRPr="001E3E42">
        <w:rPr>
          <w:rFonts w:eastAsia="SimSun" w:cs="Arial"/>
          <w:kern w:val="3"/>
          <w:szCs w:val="20"/>
          <w:lang w:eastAsia="zh-CN" w:bidi="hi-IN"/>
        </w:rPr>
        <w:t xml:space="preserve"> lid en bepaalt dat de enkele omstandigheid dat een lichaam </w:t>
      </w:r>
      <w:r w:rsidR="00F53868">
        <w:rPr>
          <w:rFonts w:eastAsia="SimSun" w:cs="Arial"/>
          <w:kern w:val="3"/>
          <w:szCs w:val="20"/>
          <w:lang w:eastAsia="zh-CN" w:bidi="hi-IN"/>
        </w:rPr>
        <w:t>dat</w:t>
      </w:r>
      <w:r w:rsidRPr="001E3E42" w:rsidR="00F53868">
        <w:rPr>
          <w:rFonts w:eastAsia="SimSun" w:cs="Arial"/>
          <w:kern w:val="3"/>
          <w:szCs w:val="20"/>
          <w:lang w:eastAsia="zh-CN" w:bidi="hi-IN"/>
        </w:rPr>
        <w:t xml:space="preserve"> </w:t>
      </w:r>
      <w:r w:rsidRPr="001E3E42">
        <w:rPr>
          <w:rFonts w:eastAsia="SimSun" w:cs="Arial"/>
          <w:kern w:val="3"/>
          <w:szCs w:val="20"/>
          <w:lang w:eastAsia="zh-CN" w:bidi="hi-IN"/>
        </w:rPr>
        <w:t>inwoner is van een verdragsluitende staat, een lichaam beheerst dat in de andere verdragsluitende staat is gevestigd, dan wel in die andere staat door middel van een vaste inrichting of anderszins zaken doet, niet meebrengt dat een van deze lichamen een vaste inrichting vormt van het andere lichaam.</w:t>
      </w:r>
      <w:r>
        <w:rPr>
          <w:rFonts w:eastAsia="SimSun" w:cs="Arial"/>
          <w:kern w:val="3"/>
          <w:szCs w:val="20"/>
          <w:lang w:eastAsia="zh-CN" w:bidi="hi-IN"/>
        </w:rPr>
        <w:br/>
      </w:r>
    </w:p>
    <w:p w:rsidRPr="00A0736B" w:rsidR="0006652E" w:rsidP="0006652E" w:rsidRDefault="0006652E" w14:paraId="71D9F666" w14:textId="77777777">
      <w:pPr>
        <w:ind w:firstLine="0"/>
        <w:rPr>
          <w:i/>
        </w:rPr>
      </w:pPr>
      <w:r w:rsidRPr="00902E6E">
        <w:rPr>
          <w:rFonts w:cs="Arial"/>
          <w:i/>
          <w:iCs/>
          <w:szCs w:val="20"/>
        </w:rPr>
        <w:t>II.</w:t>
      </w:r>
      <w:r>
        <w:rPr>
          <w:rFonts w:cs="Arial"/>
          <w:i/>
          <w:iCs/>
          <w:szCs w:val="20"/>
        </w:rPr>
        <w:t>6</w:t>
      </w:r>
      <w:r w:rsidRPr="00902E6E">
        <w:rPr>
          <w:rFonts w:cs="Arial"/>
          <w:i/>
          <w:iCs/>
          <w:szCs w:val="20"/>
        </w:rPr>
        <w:t xml:space="preserve">. </w:t>
      </w:r>
      <w:r>
        <w:rPr>
          <w:rFonts w:cs="Arial"/>
          <w:i/>
          <w:iCs/>
          <w:szCs w:val="20"/>
        </w:rPr>
        <w:t>Winst uit onderneming</w:t>
      </w:r>
      <w:r w:rsidRPr="00902E6E">
        <w:rPr>
          <w:rFonts w:cs="Arial"/>
          <w:i/>
          <w:iCs/>
          <w:szCs w:val="20"/>
        </w:rPr>
        <w:t xml:space="preserve"> (</w:t>
      </w:r>
      <w:r>
        <w:rPr>
          <w:i/>
        </w:rPr>
        <w:t xml:space="preserve">artikel 6 </w:t>
      </w:r>
      <w:r w:rsidRPr="00902E6E">
        <w:rPr>
          <w:i/>
        </w:rPr>
        <w:t xml:space="preserve">van het </w:t>
      </w:r>
      <w:r>
        <w:rPr>
          <w:i/>
        </w:rPr>
        <w:t xml:space="preserve">Wijzigingsprotocol, artikel 7 van het </w:t>
      </w:r>
      <w:r w:rsidRPr="00BC154A">
        <w:rPr>
          <w:i/>
        </w:rPr>
        <w:t>Verdrag)</w:t>
      </w:r>
      <w:r>
        <w:rPr>
          <w:i/>
        </w:rPr>
        <w:br/>
      </w:r>
    </w:p>
    <w:p w:rsidR="0006652E" w:rsidP="0006652E" w:rsidRDefault="0006652E" w14:paraId="51CEA229" w14:textId="3EB7C6E7">
      <w:pPr>
        <w:ind w:firstLine="720"/>
        <w:rPr>
          <w:rFonts w:cs="Arial"/>
          <w:szCs w:val="20"/>
        </w:rPr>
      </w:pPr>
      <w:r>
        <w:rPr>
          <w:rFonts w:cs="Arial"/>
          <w:szCs w:val="20"/>
        </w:rPr>
        <w:t xml:space="preserve">Met artikel 6 van het Wijzigingsprotocol wordt op verzoek van Nederland artikel 7 van het Verdrag betreffende </w:t>
      </w:r>
      <w:r w:rsidRPr="00725A1F">
        <w:rPr>
          <w:rFonts w:cs="Arial"/>
          <w:szCs w:val="20"/>
        </w:rPr>
        <w:t>de verdeling van heffingsrechten over ondernemingswinsten</w:t>
      </w:r>
      <w:r>
        <w:rPr>
          <w:rFonts w:cs="Arial"/>
          <w:szCs w:val="20"/>
        </w:rPr>
        <w:t xml:space="preserve"> geactualiseerd en</w:t>
      </w:r>
      <w:r w:rsidR="009D6B28">
        <w:rPr>
          <w:rFonts w:cs="Arial"/>
          <w:szCs w:val="20"/>
        </w:rPr>
        <w:t xml:space="preserve"> is</w:t>
      </w:r>
      <w:r w:rsidR="00303C33">
        <w:rPr>
          <w:rFonts w:cs="Arial"/>
          <w:szCs w:val="20"/>
        </w:rPr>
        <w:t xml:space="preserve"> dat artikel</w:t>
      </w:r>
      <w:r w:rsidR="009D6B28">
        <w:rPr>
          <w:rFonts w:cs="Arial"/>
          <w:szCs w:val="20"/>
        </w:rPr>
        <w:t xml:space="preserve">, behoudens een afwijking in het derde lid, </w:t>
      </w:r>
      <w:r w:rsidRPr="00E83765">
        <w:rPr>
          <w:rFonts w:cs="Arial"/>
          <w:szCs w:val="20"/>
        </w:rPr>
        <w:t>geheel</w:t>
      </w:r>
      <w:r>
        <w:rPr>
          <w:rFonts w:cs="Arial"/>
          <w:szCs w:val="20"/>
        </w:rPr>
        <w:t xml:space="preserve"> in overeenstemming gebracht met artikel 7 van het OESO-modelverdrag. </w:t>
      </w:r>
    </w:p>
    <w:p w:rsidRPr="00A3307A" w:rsidR="0006652E" w:rsidP="00A50949" w:rsidRDefault="00A3307A" w14:paraId="7F2FE984" w14:textId="77777777">
      <w:pPr>
        <w:ind w:firstLine="720"/>
        <w:rPr>
          <w:rFonts w:cs="Arial"/>
          <w:szCs w:val="20"/>
        </w:rPr>
      </w:pPr>
      <w:r w:rsidRPr="00A50949">
        <w:rPr>
          <w:rFonts w:cs="Arial"/>
          <w:szCs w:val="20"/>
        </w:rPr>
        <w:t xml:space="preserve">Het uitgangspunt in het eerste lid is dat de winsten van een onderneming van een verdragsluitende staat slechts in de andere verdragsluitende staat mogen worden belast, voor zover die winsten aan een vaste inrichting in die andere staat zijn toe te rekenen. </w:t>
      </w:r>
    </w:p>
    <w:p w:rsidR="0006652E" w:rsidP="0006652E" w:rsidRDefault="0006652E" w14:paraId="6C1E58FF" w14:textId="77777777">
      <w:pPr>
        <w:ind w:firstLine="708"/>
      </w:pPr>
      <w:r w:rsidRPr="008B776E">
        <w:t>In het tweede lid is bepaald dat de winst die aan de vaste inrichting wordt toegerekend de winst is die een zelfstandig lichaam geacht zou worden te maken als het onder vergelijkbare omstandigheden vergelijkbare activiteiten zou ontwikkelen</w:t>
      </w:r>
      <w:r>
        <w:t xml:space="preserve"> (de zogenoemde </w:t>
      </w:r>
      <w:r w:rsidRPr="00D122CA">
        <w:rPr>
          <w:i/>
        </w:rPr>
        <w:t>functionally separate entity approach</w:t>
      </w:r>
      <w:r>
        <w:t>)</w:t>
      </w:r>
      <w:r w:rsidRPr="008B776E">
        <w:t xml:space="preserve">. </w:t>
      </w:r>
    </w:p>
    <w:p w:rsidR="0006652E" w:rsidP="0006652E" w:rsidRDefault="0006652E" w14:paraId="63492C24" w14:textId="2EC3BB8B">
      <w:pPr>
        <w:ind w:firstLine="708"/>
      </w:pPr>
      <w:r w:rsidRPr="008B776E">
        <w:t>In het derde lid is vastgelegd dat ingeval een van d</w:t>
      </w:r>
      <w:r>
        <w:t>e verdragsluitende staten – in overeen</w:t>
      </w:r>
      <w:r w:rsidRPr="008B776E">
        <w:t xml:space="preserve">stemming met het tweede lid – een winstcorrectie aanbrengt ter zake van aan een vaste inrichting toe te rekenen winst, </w:t>
      </w:r>
      <w:r>
        <w:t>de</w:t>
      </w:r>
      <w:r w:rsidRPr="008B776E">
        <w:t xml:space="preserve"> andere </w:t>
      </w:r>
      <w:r>
        <w:t>staat</w:t>
      </w:r>
      <w:r w:rsidRPr="008B776E">
        <w:t>, ter vermijding van dubbele belasting, een</w:t>
      </w:r>
      <w:r>
        <w:t xml:space="preserve"> passende </w:t>
      </w:r>
      <w:r w:rsidRPr="008B776E">
        <w:t>correctie aanbrengt</w:t>
      </w:r>
      <w:r>
        <w:t xml:space="preserve"> </w:t>
      </w:r>
      <w:r w:rsidR="002A56E1">
        <w:t xml:space="preserve">indien die andere staat </w:t>
      </w:r>
      <w:r>
        <w:t>instem</w:t>
      </w:r>
      <w:r w:rsidR="002A56E1">
        <w:t>t</w:t>
      </w:r>
      <w:r>
        <w:t xml:space="preserve"> </w:t>
      </w:r>
      <w:r w:rsidRPr="008B776E">
        <w:t xml:space="preserve">met de correctie van </w:t>
      </w:r>
      <w:r>
        <w:t>de</w:t>
      </w:r>
      <w:r w:rsidRPr="008B776E">
        <w:t xml:space="preserve"> eerstbedoelde </w:t>
      </w:r>
      <w:r>
        <w:t>staat</w:t>
      </w:r>
      <w:r w:rsidRPr="008B776E">
        <w:t xml:space="preserve">. Op dit punt is aangesloten bij de in paragraaf 68 van het </w:t>
      </w:r>
      <w:r w:rsidR="00965413">
        <w:t>c</w:t>
      </w:r>
      <w:r w:rsidRPr="008B776E">
        <w:t xml:space="preserve">ommentaar </w:t>
      </w:r>
      <w:r w:rsidR="00965413">
        <w:t>bij</w:t>
      </w:r>
      <w:r w:rsidRPr="008B776E">
        <w:t xml:space="preserve"> artikel 7 van het OESO-modelverdrag voorgestelde redactie. Bij het ontbreken van </w:t>
      </w:r>
      <w:r>
        <w:t xml:space="preserve">overeenstemming over een </w:t>
      </w:r>
      <w:r w:rsidR="00665DDB">
        <w:t>winst</w:t>
      </w:r>
      <w:r w:rsidRPr="008B776E">
        <w:t xml:space="preserve">correctie, </w:t>
      </w:r>
      <w:r w:rsidRPr="008B776E">
        <w:lastRenderedPageBreak/>
        <w:t xml:space="preserve">zullen </w:t>
      </w:r>
      <w:r>
        <w:t>de verdragsluitende staten</w:t>
      </w:r>
      <w:r w:rsidRPr="008B776E">
        <w:t xml:space="preserve"> in onderling overleg </w:t>
      </w:r>
      <w:r w:rsidR="0030374A">
        <w:t xml:space="preserve">de </w:t>
      </w:r>
      <w:r w:rsidRPr="008B776E">
        <w:t>daaruit voortvloeiende dubbele bela</w:t>
      </w:r>
      <w:r>
        <w:t xml:space="preserve">sting </w:t>
      </w:r>
      <w:r w:rsidR="00BB4BF7">
        <w:t xml:space="preserve">trachten te </w:t>
      </w:r>
      <w:r>
        <w:t xml:space="preserve">vermijden. </w:t>
      </w:r>
    </w:p>
    <w:p w:rsidRPr="00CF275F" w:rsidR="0006652E" w:rsidP="0006652E" w:rsidRDefault="0006652E" w14:paraId="092F4483" w14:textId="77777777">
      <w:pPr>
        <w:ind w:firstLine="708"/>
      </w:pPr>
      <w:r w:rsidRPr="008B776E">
        <w:t>In het vierde lid is bepaald dat als winsten van een vaste inrichting ook o</w:t>
      </w:r>
      <w:r>
        <w:t xml:space="preserve">nder een andere bepaling van het Verdrag </w:t>
      </w:r>
      <w:r w:rsidRPr="008B776E">
        <w:t xml:space="preserve">vallen, </w:t>
      </w:r>
      <w:r>
        <w:t>die andere</w:t>
      </w:r>
      <w:r w:rsidRPr="008B776E">
        <w:t xml:space="preserve"> bepaling voorgaat</w:t>
      </w:r>
      <w:r>
        <w:t>. Te denken valt aan de toepassing van artikel 10 (dividenden) ter zake van dividenden die een onderneming van een verdragsluitende staat verkrijgt uit de andere staat</w:t>
      </w:r>
      <w:r w:rsidRPr="008B776E">
        <w:t>.</w:t>
      </w:r>
      <w:r>
        <w:br/>
      </w:r>
    </w:p>
    <w:p w:rsidR="0006652E" w:rsidP="0006652E" w:rsidRDefault="0006652E" w14:paraId="75640A7C" w14:textId="77777777">
      <w:pPr>
        <w:ind w:firstLine="0"/>
      </w:pPr>
      <w:r w:rsidRPr="00902E6E">
        <w:rPr>
          <w:rFonts w:cs="Arial"/>
          <w:i/>
          <w:iCs/>
          <w:szCs w:val="20"/>
        </w:rPr>
        <w:t>II.</w:t>
      </w:r>
      <w:r>
        <w:rPr>
          <w:rFonts w:cs="Arial"/>
          <w:i/>
          <w:iCs/>
          <w:szCs w:val="20"/>
        </w:rPr>
        <w:t>7</w:t>
      </w:r>
      <w:r w:rsidRPr="00902E6E">
        <w:rPr>
          <w:rFonts w:cs="Arial"/>
          <w:i/>
          <w:iCs/>
          <w:szCs w:val="20"/>
        </w:rPr>
        <w:t xml:space="preserve">. </w:t>
      </w:r>
      <w:r>
        <w:rPr>
          <w:rFonts w:cs="Arial"/>
          <w:i/>
          <w:iCs/>
          <w:szCs w:val="20"/>
        </w:rPr>
        <w:t>Dividenden</w:t>
      </w:r>
      <w:r w:rsidRPr="00902E6E">
        <w:rPr>
          <w:rFonts w:cs="Arial"/>
          <w:i/>
          <w:iCs/>
          <w:szCs w:val="20"/>
        </w:rPr>
        <w:t xml:space="preserve"> (</w:t>
      </w:r>
      <w:r>
        <w:rPr>
          <w:i/>
        </w:rPr>
        <w:t xml:space="preserve">artikel 7 </w:t>
      </w:r>
      <w:r w:rsidRPr="00902E6E">
        <w:rPr>
          <w:i/>
        </w:rPr>
        <w:t xml:space="preserve">van het </w:t>
      </w:r>
      <w:r>
        <w:rPr>
          <w:i/>
        </w:rPr>
        <w:t xml:space="preserve">Wijzigingsprotocol, artikel 10 van het </w:t>
      </w:r>
      <w:r w:rsidRPr="00BC154A">
        <w:rPr>
          <w:i/>
        </w:rPr>
        <w:t>Verdrag)</w:t>
      </w:r>
      <w:r>
        <w:rPr>
          <w:i/>
        </w:rPr>
        <w:br/>
      </w:r>
    </w:p>
    <w:p w:rsidR="00EC4599" w:rsidP="0006652E" w:rsidRDefault="0006652E" w14:paraId="19F34065" w14:textId="2E750325">
      <w:pPr>
        <w:ind w:firstLine="720"/>
        <w:rPr>
          <w:rFonts w:cs="Arial"/>
          <w:szCs w:val="20"/>
        </w:rPr>
      </w:pPr>
      <w:r w:rsidRPr="00042B4E">
        <w:rPr>
          <w:rFonts w:cs="Arial"/>
          <w:szCs w:val="20"/>
        </w:rPr>
        <w:t>Artikel 1</w:t>
      </w:r>
      <w:r>
        <w:rPr>
          <w:rFonts w:cs="Arial"/>
          <w:szCs w:val="20"/>
        </w:rPr>
        <w:t>0</w:t>
      </w:r>
      <w:r w:rsidRPr="00042B4E">
        <w:rPr>
          <w:rFonts w:cs="Arial"/>
          <w:szCs w:val="20"/>
        </w:rPr>
        <w:t xml:space="preserve"> </w:t>
      </w:r>
      <w:r>
        <w:rPr>
          <w:rFonts w:cs="Arial"/>
          <w:szCs w:val="20"/>
        </w:rPr>
        <w:t xml:space="preserve">van het Verdrag </w:t>
      </w:r>
      <w:r w:rsidRPr="00042B4E">
        <w:rPr>
          <w:rFonts w:cs="Arial"/>
          <w:szCs w:val="20"/>
        </w:rPr>
        <w:t>betreft de verdeling va</w:t>
      </w:r>
      <w:r>
        <w:rPr>
          <w:rFonts w:cs="Arial"/>
          <w:szCs w:val="20"/>
        </w:rPr>
        <w:t xml:space="preserve">n heffingsrechten over dividenden. Op verzoek van Nederland wordt met artikel 7 van het Wijzigingsprotocol in artikel 10, tweede lid, </w:t>
      </w:r>
      <w:r w:rsidR="00D413C2">
        <w:rPr>
          <w:rFonts w:cs="Arial"/>
          <w:szCs w:val="20"/>
        </w:rPr>
        <w:t xml:space="preserve">van het Verdrag </w:t>
      </w:r>
      <w:r>
        <w:rPr>
          <w:rFonts w:cs="Arial"/>
          <w:szCs w:val="20"/>
        </w:rPr>
        <w:t xml:space="preserve">een </w:t>
      </w:r>
      <w:r>
        <w:rPr>
          <w:szCs w:val="18"/>
        </w:rPr>
        <w:t xml:space="preserve">bronstaatvrijstelling opgenomen voor dividenden </w:t>
      </w:r>
      <w:r w:rsidR="00D413C2">
        <w:rPr>
          <w:szCs w:val="18"/>
        </w:rPr>
        <w:t xml:space="preserve">die worden betaald </w:t>
      </w:r>
      <w:r w:rsidR="009D6B28">
        <w:rPr>
          <w:szCs w:val="18"/>
        </w:rPr>
        <w:t xml:space="preserve">aan </w:t>
      </w:r>
      <w:r>
        <w:rPr>
          <w:szCs w:val="18"/>
        </w:rPr>
        <w:t xml:space="preserve">een erkend </w:t>
      </w:r>
      <w:r w:rsidRPr="00CF275F">
        <w:rPr>
          <w:rFonts w:cs="Arial"/>
          <w:szCs w:val="20"/>
        </w:rPr>
        <w:t>pensioenfonds</w:t>
      </w:r>
      <w:r w:rsidR="00EC4599">
        <w:rPr>
          <w:rFonts w:cs="Arial"/>
          <w:szCs w:val="20"/>
        </w:rPr>
        <w:t xml:space="preserve"> dat </w:t>
      </w:r>
      <w:r w:rsidRPr="00CF275F">
        <w:rPr>
          <w:rFonts w:cs="Arial"/>
          <w:szCs w:val="20"/>
        </w:rPr>
        <w:t xml:space="preserve">in het algemeen </w:t>
      </w:r>
      <w:r w:rsidR="00D413C2">
        <w:rPr>
          <w:rFonts w:cs="Arial"/>
          <w:szCs w:val="20"/>
        </w:rPr>
        <w:t xml:space="preserve">is </w:t>
      </w:r>
      <w:r w:rsidRPr="00CF275F">
        <w:rPr>
          <w:rFonts w:cs="Arial"/>
          <w:szCs w:val="20"/>
        </w:rPr>
        <w:t xml:space="preserve">vrijgesteld van belasting in </w:t>
      </w:r>
      <w:r>
        <w:rPr>
          <w:rFonts w:cs="Arial"/>
          <w:szCs w:val="20"/>
        </w:rPr>
        <w:t>de staat waar het pensioenfonds is gevestigd.</w:t>
      </w:r>
      <w:r w:rsidRPr="00562385">
        <w:rPr>
          <w:rFonts w:cs="Arial"/>
          <w:szCs w:val="20"/>
        </w:rPr>
        <w:t xml:space="preserve"> </w:t>
      </w:r>
      <w:r w:rsidR="00EC4599">
        <w:rPr>
          <w:rFonts w:cs="Arial"/>
          <w:szCs w:val="20"/>
        </w:rPr>
        <w:t xml:space="preserve">Met deze vrijstelling voor van belastingheffing vrijgestelde erkende pensioenfondsen wordt aangehaakt bij de in </w:t>
      </w:r>
      <w:r w:rsidR="004F27EF">
        <w:rPr>
          <w:rFonts w:cs="Arial"/>
          <w:szCs w:val="20"/>
        </w:rPr>
        <w:t>paragraaf</w:t>
      </w:r>
      <w:r w:rsidR="00EC4599">
        <w:rPr>
          <w:rFonts w:cs="Arial"/>
          <w:szCs w:val="20"/>
        </w:rPr>
        <w:t xml:space="preserve"> 13.1 van het </w:t>
      </w:r>
      <w:r w:rsidR="002B439C">
        <w:rPr>
          <w:rFonts w:cs="Arial"/>
          <w:szCs w:val="20"/>
        </w:rPr>
        <w:t>c</w:t>
      </w:r>
      <w:r w:rsidR="00EC4599">
        <w:rPr>
          <w:rFonts w:cs="Arial"/>
          <w:szCs w:val="20"/>
        </w:rPr>
        <w:t xml:space="preserve">ommentaar </w:t>
      </w:r>
      <w:r w:rsidR="002B439C">
        <w:rPr>
          <w:rFonts w:cs="Arial"/>
          <w:szCs w:val="20"/>
        </w:rPr>
        <w:t xml:space="preserve">bij </w:t>
      </w:r>
      <w:r w:rsidR="00EC4599">
        <w:rPr>
          <w:rFonts w:cs="Arial"/>
          <w:szCs w:val="20"/>
        </w:rPr>
        <w:t>artikel 10 van het OESO-modelverdrag opgenomen aanbeveling.</w:t>
      </w:r>
    </w:p>
    <w:p w:rsidR="0006652E" w:rsidP="0006652E" w:rsidRDefault="00D413C2" w14:paraId="23FA1439" w14:textId="77777777">
      <w:pPr>
        <w:ind w:firstLine="720"/>
        <w:rPr>
          <w:rFonts w:cs="Arial"/>
          <w:szCs w:val="20"/>
        </w:rPr>
      </w:pPr>
      <w:r>
        <w:rPr>
          <w:rFonts w:cs="Arial"/>
          <w:szCs w:val="20"/>
        </w:rPr>
        <w:t xml:space="preserve">Deze nieuwe bronstaatvrijstelling is opgenomen in een nieuw onderdeel a van het tweede lid, waarbij de al bestaande onderdelen a en b zijn vernummerd in onderdeel b onderscheidenlijk onderdeel c. </w:t>
      </w:r>
    </w:p>
    <w:p w:rsidR="0006652E" w:rsidP="0006652E" w:rsidRDefault="0006652E" w14:paraId="4BE684A8" w14:textId="77777777">
      <w:pPr>
        <w:ind w:firstLine="708"/>
      </w:pPr>
      <w:r>
        <w:br/>
        <w:t xml:space="preserve"> </w:t>
      </w:r>
      <w:r w:rsidRPr="00902E6E">
        <w:rPr>
          <w:rFonts w:cs="Arial"/>
          <w:i/>
          <w:iCs/>
          <w:szCs w:val="20"/>
        </w:rPr>
        <w:t>II.</w:t>
      </w:r>
      <w:r>
        <w:rPr>
          <w:rFonts w:cs="Arial"/>
          <w:i/>
          <w:iCs/>
          <w:szCs w:val="20"/>
        </w:rPr>
        <w:t>8</w:t>
      </w:r>
      <w:r w:rsidRPr="00902E6E">
        <w:rPr>
          <w:rFonts w:cs="Arial"/>
          <w:i/>
          <w:iCs/>
          <w:szCs w:val="20"/>
        </w:rPr>
        <w:t xml:space="preserve">. </w:t>
      </w:r>
      <w:r>
        <w:rPr>
          <w:rFonts w:cs="Arial"/>
          <w:i/>
          <w:iCs/>
          <w:szCs w:val="20"/>
        </w:rPr>
        <w:t>Interest</w:t>
      </w:r>
      <w:r w:rsidRPr="00902E6E">
        <w:rPr>
          <w:rFonts w:cs="Arial"/>
          <w:i/>
          <w:iCs/>
          <w:szCs w:val="20"/>
        </w:rPr>
        <w:t xml:space="preserve"> (</w:t>
      </w:r>
      <w:r>
        <w:rPr>
          <w:i/>
        </w:rPr>
        <w:t xml:space="preserve">artikel 8 </w:t>
      </w:r>
      <w:r w:rsidRPr="00902E6E">
        <w:rPr>
          <w:i/>
        </w:rPr>
        <w:t xml:space="preserve">van het </w:t>
      </w:r>
      <w:r>
        <w:rPr>
          <w:i/>
        </w:rPr>
        <w:t xml:space="preserve">Wijzigingsprotocol, artikel 11 van het </w:t>
      </w:r>
      <w:r w:rsidRPr="00BC154A">
        <w:rPr>
          <w:i/>
        </w:rPr>
        <w:t>Verdrag)</w:t>
      </w:r>
      <w:r>
        <w:rPr>
          <w:i/>
        </w:rPr>
        <w:br/>
      </w:r>
    </w:p>
    <w:p w:rsidR="0006652E" w:rsidP="0006652E" w:rsidRDefault="0006652E" w14:paraId="657BF27A" w14:textId="4B882F67">
      <w:pPr>
        <w:ind w:firstLine="720"/>
        <w:rPr>
          <w:rFonts w:cs="Arial"/>
          <w:szCs w:val="20"/>
        </w:rPr>
      </w:pPr>
      <w:r w:rsidRPr="00042B4E">
        <w:rPr>
          <w:rFonts w:cs="Arial"/>
          <w:szCs w:val="20"/>
        </w:rPr>
        <w:t>Artikel 1</w:t>
      </w:r>
      <w:r>
        <w:rPr>
          <w:rFonts w:cs="Arial"/>
          <w:szCs w:val="20"/>
        </w:rPr>
        <w:t>1</w:t>
      </w:r>
      <w:r w:rsidRPr="00042B4E">
        <w:rPr>
          <w:rFonts w:cs="Arial"/>
          <w:szCs w:val="20"/>
        </w:rPr>
        <w:t xml:space="preserve"> </w:t>
      </w:r>
      <w:r>
        <w:rPr>
          <w:rFonts w:cs="Arial"/>
          <w:szCs w:val="20"/>
        </w:rPr>
        <w:t xml:space="preserve">van het Verdrag </w:t>
      </w:r>
      <w:r w:rsidRPr="00042B4E">
        <w:rPr>
          <w:rFonts w:cs="Arial"/>
          <w:szCs w:val="20"/>
        </w:rPr>
        <w:t>betreft de verdeling va</w:t>
      </w:r>
      <w:r>
        <w:rPr>
          <w:rFonts w:cs="Arial"/>
          <w:szCs w:val="20"/>
        </w:rPr>
        <w:t>n heffingsrechten over interest. Op verzoek van Nederland wordt met artikel 8 van het Wijzigingsprotocol in artikel 11, derde lid, onderdeel f</w:t>
      </w:r>
      <w:r w:rsidR="00D413C2">
        <w:rPr>
          <w:rFonts w:cs="Arial"/>
          <w:szCs w:val="20"/>
        </w:rPr>
        <w:t>, van het Verdrag</w:t>
      </w:r>
      <w:r>
        <w:rPr>
          <w:rFonts w:cs="Arial"/>
          <w:szCs w:val="20"/>
        </w:rPr>
        <w:t xml:space="preserve"> </w:t>
      </w:r>
      <w:r w:rsidR="00D413C2">
        <w:rPr>
          <w:rFonts w:cs="Arial"/>
          <w:szCs w:val="20"/>
        </w:rPr>
        <w:t xml:space="preserve">een </w:t>
      </w:r>
      <w:r>
        <w:rPr>
          <w:szCs w:val="18"/>
        </w:rPr>
        <w:t xml:space="preserve">bronstaatvrijstelling </w:t>
      </w:r>
      <w:r w:rsidR="00D413C2">
        <w:rPr>
          <w:szCs w:val="18"/>
        </w:rPr>
        <w:t xml:space="preserve">toegevoegd </w:t>
      </w:r>
      <w:r>
        <w:rPr>
          <w:szCs w:val="18"/>
        </w:rPr>
        <w:t xml:space="preserve">voor </w:t>
      </w:r>
      <w:r w:rsidR="00D413C2">
        <w:rPr>
          <w:szCs w:val="18"/>
        </w:rPr>
        <w:t>interest betaal</w:t>
      </w:r>
      <w:r w:rsidR="006514BA">
        <w:rPr>
          <w:szCs w:val="18"/>
        </w:rPr>
        <w:t>d</w:t>
      </w:r>
      <w:r w:rsidR="00D413C2">
        <w:rPr>
          <w:szCs w:val="18"/>
        </w:rPr>
        <w:t xml:space="preserve"> aan </w:t>
      </w:r>
      <w:r>
        <w:rPr>
          <w:szCs w:val="18"/>
        </w:rPr>
        <w:t xml:space="preserve">een erkend </w:t>
      </w:r>
      <w:r w:rsidRPr="00CF275F">
        <w:rPr>
          <w:rFonts w:cs="Arial"/>
          <w:szCs w:val="20"/>
        </w:rPr>
        <w:t xml:space="preserve">pensioenfonds. </w:t>
      </w:r>
      <w:r w:rsidR="00D413C2">
        <w:rPr>
          <w:rFonts w:cs="Arial"/>
          <w:szCs w:val="20"/>
        </w:rPr>
        <w:t xml:space="preserve">Evenals bij de bronstaatvrijstelling voor dividenden betaald aan een erkend pensioenfonds het geval is, is daarbij de voorwaarde opgenomen dat </w:t>
      </w:r>
      <w:r w:rsidRPr="00CF275F">
        <w:rPr>
          <w:rFonts w:cs="Arial"/>
          <w:szCs w:val="20"/>
        </w:rPr>
        <w:t>het erkend</w:t>
      </w:r>
      <w:r w:rsidR="00D413C2">
        <w:rPr>
          <w:rFonts w:cs="Arial"/>
          <w:szCs w:val="20"/>
        </w:rPr>
        <w:t>e</w:t>
      </w:r>
      <w:r w:rsidRPr="00CF275F">
        <w:rPr>
          <w:rFonts w:cs="Arial"/>
          <w:szCs w:val="20"/>
        </w:rPr>
        <w:t xml:space="preserve"> pensioenfonds in het algemeen </w:t>
      </w:r>
      <w:r w:rsidR="00D413C2">
        <w:rPr>
          <w:rFonts w:cs="Arial"/>
          <w:szCs w:val="20"/>
        </w:rPr>
        <w:t xml:space="preserve">is </w:t>
      </w:r>
      <w:r w:rsidRPr="00CF275F">
        <w:rPr>
          <w:rFonts w:cs="Arial"/>
          <w:szCs w:val="20"/>
        </w:rPr>
        <w:t xml:space="preserve">vrijgesteld van belasting in </w:t>
      </w:r>
      <w:r>
        <w:rPr>
          <w:rFonts w:cs="Arial"/>
          <w:szCs w:val="20"/>
        </w:rPr>
        <w:t>de staat waar het pensioenfonds is gevestigd</w:t>
      </w:r>
      <w:r w:rsidR="00EC4599">
        <w:rPr>
          <w:rFonts w:cs="Arial"/>
          <w:szCs w:val="20"/>
        </w:rPr>
        <w:t xml:space="preserve">, in aansluiting ook bij de in </w:t>
      </w:r>
      <w:r w:rsidR="004F27EF">
        <w:rPr>
          <w:rFonts w:cs="Arial"/>
          <w:szCs w:val="20"/>
        </w:rPr>
        <w:t xml:space="preserve">paragraaf </w:t>
      </w:r>
      <w:r w:rsidR="00EC4599">
        <w:rPr>
          <w:rFonts w:cs="Arial"/>
          <w:szCs w:val="20"/>
        </w:rPr>
        <w:t xml:space="preserve">7.10 van het </w:t>
      </w:r>
      <w:r w:rsidR="003D5655">
        <w:rPr>
          <w:rFonts w:cs="Arial"/>
          <w:szCs w:val="20"/>
        </w:rPr>
        <w:t>c</w:t>
      </w:r>
      <w:r w:rsidR="00EC4599">
        <w:rPr>
          <w:rFonts w:cs="Arial"/>
          <w:szCs w:val="20"/>
        </w:rPr>
        <w:t xml:space="preserve">ommentaar </w:t>
      </w:r>
      <w:r w:rsidR="003D5655">
        <w:rPr>
          <w:rFonts w:cs="Arial"/>
          <w:szCs w:val="20"/>
        </w:rPr>
        <w:t xml:space="preserve">bij </w:t>
      </w:r>
      <w:r w:rsidR="00EC4599">
        <w:rPr>
          <w:rFonts w:cs="Arial"/>
          <w:szCs w:val="20"/>
        </w:rPr>
        <w:t>artikel 11 van het OESO-modelverdrag opgenomen aanbeveling.</w:t>
      </w:r>
    </w:p>
    <w:p w:rsidR="0006652E" w:rsidP="0006652E" w:rsidRDefault="0006652E" w14:paraId="5F121D2B" w14:textId="77777777">
      <w:pPr>
        <w:ind w:firstLine="0"/>
        <w:rPr>
          <w:rFonts w:cs="Arial"/>
          <w:i/>
          <w:iCs/>
          <w:szCs w:val="20"/>
        </w:rPr>
      </w:pPr>
    </w:p>
    <w:p w:rsidR="001640EA" w:rsidP="001640EA" w:rsidRDefault="001640EA" w14:paraId="54F5D535" w14:textId="77777777">
      <w:pPr>
        <w:ind w:firstLine="0"/>
      </w:pPr>
      <w:r w:rsidRPr="00902E6E">
        <w:rPr>
          <w:rFonts w:cs="Arial"/>
          <w:i/>
          <w:iCs/>
          <w:szCs w:val="20"/>
        </w:rPr>
        <w:t>II</w:t>
      </w:r>
      <w:r>
        <w:rPr>
          <w:rFonts w:cs="Arial"/>
          <w:i/>
          <w:iCs/>
          <w:szCs w:val="20"/>
        </w:rPr>
        <w:t>.9</w:t>
      </w:r>
      <w:r w:rsidRPr="00902E6E">
        <w:rPr>
          <w:rFonts w:cs="Arial"/>
          <w:i/>
          <w:iCs/>
          <w:szCs w:val="20"/>
        </w:rPr>
        <w:t xml:space="preserve">. </w:t>
      </w:r>
      <w:r>
        <w:rPr>
          <w:rFonts w:cs="Arial"/>
          <w:i/>
          <w:iCs/>
          <w:szCs w:val="20"/>
        </w:rPr>
        <w:t>Vermogenswinsten</w:t>
      </w:r>
      <w:r w:rsidRPr="00902E6E">
        <w:rPr>
          <w:rFonts w:cs="Arial"/>
          <w:i/>
          <w:iCs/>
          <w:szCs w:val="20"/>
        </w:rPr>
        <w:t xml:space="preserve"> (</w:t>
      </w:r>
      <w:r>
        <w:rPr>
          <w:i/>
        </w:rPr>
        <w:t xml:space="preserve">artikel 9 </w:t>
      </w:r>
      <w:r w:rsidRPr="00902E6E">
        <w:rPr>
          <w:i/>
        </w:rPr>
        <w:t xml:space="preserve">van het </w:t>
      </w:r>
      <w:r>
        <w:rPr>
          <w:i/>
        </w:rPr>
        <w:t xml:space="preserve">Wijzigingsprotocol, artikel 13 van het </w:t>
      </w:r>
      <w:r w:rsidRPr="00BC154A">
        <w:rPr>
          <w:i/>
        </w:rPr>
        <w:t>Verdrag)</w:t>
      </w:r>
      <w:r>
        <w:rPr>
          <w:i/>
        </w:rPr>
        <w:br/>
      </w:r>
    </w:p>
    <w:p w:rsidR="008700AB" w:rsidP="008700AB" w:rsidRDefault="001640EA" w14:paraId="7601433E" w14:textId="77777777">
      <w:pPr>
        <w:ind w:firstLine="708"/>
        <w:rPr>
          <w:rFonts w:cs="Arial"/>
        </w:rPr>
      </w:pPr>
      <w:r w:rsidRPr="002E2B8F">
        <w:t xml:space="preserve">Artikel 13 van het Verdrag heeft betrekking op de verdeling van heffingsrechten over vermogenswinsten. </w:t>
      </w:r>
      <w:r>
        <w:rPr>
          <w:rFonts w:cs="Arial"/>
          <w:szCs w:val="20"/>
        </w:rPr>
        <w:t>Op verzoek van Polen wordt met artikel 9</w:t>
      </w:r>
      <w:r w:rsidR="00833C7C">
        <w:rPr>
          <w:rFonts w:cs="Arial"/>
          <w:szCs w:val="20"/>
        </w:rPr>
        <w:t>, eerste lid,</w:t>
      </w:r>
      <w:r>
        <w:rPr>
          <w:rFonts w:cs="Arial"/>
          <w:szCs w:val="20"/>
        </w:rPr>
        <w:t xml:space="preserve"> van het Wijzigingsprotocol in </w:t>
      </w:r>
      <w:r w:rsidR="0053588B">
        <w:rPr>
          <w:rFonts w:cs="Arial"/>
          <w:szCs w:val="20"/>
        </w:rPr>
        <w:t xml:space="preserve">een nieuw </w:t>
      </w:r>
      <w:r>
        <w:rPr>
          <w:rFonts w:cs="Arial"/>
          <w:szCs w:val="20"/>
        </w:rPr>
        <w:t>artikel 13, lid 3a</w:t>
      </w:r>
      <w:r w:rsidR="0053588B">
        <w:rPr>
          <w:rFonts w:cs="Arial"/>
          <w:szCs w:val="20"/>
        </w:rPr>
        <w:t>,</w:t>
      </w:r>
      <w:r>
        <w:rPr>
          <w:rFonts w:cs="Arial"/>
          <w:szCs w:val="20"/>
        </w:rPr>
        <w:t xml:space="preserve"> </w:t>
      </w:r>
      <w:r>
        <w:t>het heffingsrecht</w:t>
      </w:r>
      <w:r w:rsidRPr="002E2B8F">
        <w:t xml:space="preserve"> over vermogenswinsten behaald met de vervreemding van aandelen of vergelijkbare belangen in zogenoemde onroerendezaaklichamen</w:t>
      </w:r>
      <w:r>
        <w:t xml:space="preserve"> </w:t>
      </w:r>
      <w:r w:rsidR="0053588B">
        <w:t xml:space="preserve">(lichamen </w:t>
      </w:r>
      <w:r w:rsidR="002B209F">
        <w:t xml:space="preserve">waarvan de </w:t>
      </w:r>
      <w:r w:rsidR="0053588B">
        <w:t xml:space="preserve">aandelen </w:t>
      </w:r>
      <w:r w:rsidRPr="002E2B8F" w:rsidR="00A3307A">
        <w:t xml:space="preserve">of vergelijkbare belangen </w:t>
      </w:r>
      <w:r w:rsidR="0053588B">
        <w:t xml:space="preserve">hun waarde vooral ontlenen aan het bezit van onroerende zaken) </w:t>
      </w:r>
      <w:r>
        <w:t>toegewezen aan de staat waar</w:t>
      </w:r>
      <w:r w:rsidR="00FA63D5">
        <w:t>in</w:t>
      </w:r>
      <w:r>
        <w:t xml:space="preserve"> de onroerende zaken zijn gelegen </w:t>
      </w:r>
      <w:r w:rsidRPr="002E2B8F">
        <w:t>(de situsstaat</w:t>
      </w:r>
      <w:r w:rsidR="0031339D">
        <w:t xml:space="preserve">). </w:t>
      </w:r>
      <w:r w:rsidR="0053588B">
        <w:t xml:space="preserve">Hiermee wordt aangesloten bij het sinds </w:t>
      </w:r>
      <w:r w:rsidRPr="002E2B8F">
        <w:rPr>
          <w:rFonts w:cs="Arial"/>
        </w:rPr>
        <w:t xml:space="preserve">2003 </w:t>
      </w:r>
      <w:r w:rsidR="0053588B">
        <w:rPr>
          <w:rFonts w:cs="Arial"/>
        </w:rPr>
        <w:t xml:space="preserve">in artikel 13, vierde lid, van het </w:t>
      </w:r>
      <w:r w:rsidR="00056DE1">
        <w:rPr>
          <w:rFonts w:cs="Arial"/>
        </w:rPr>
        <w:t>OESO</w:t>
      </w:r>
      <w:r w:rsidR="0053588B">
        <w:rPr>
          <w:rFonts w:cs="Arial"/>
        </w:rPr>
        <w:t>-modelverdrag opgenomen heffingsrecht voor de situ</w:t>
      </w:r>
      <w:r w:rsidR="00A85D0D">
        <w:rPr>
          <w:rFonts w:cs="Arial"/>
        </w:rPr>
        <w:t>sstaat</w:t>
      </w:r>
      <w:r w:rsidR="001C7918">
        <w:rPr>
          <w:rFonts w:cs="Arial"/>
        </w:rPr>
        <w:t xml:space="preserve">. </w:t>
      </w:r>
      <w:r w:rsidR="0053588B">
        <w:rPr>
          <w:rFonts w:cs="Arial"/>
        </w:rPr>
        <w:t>Z</w:t>
      </w:r>
      <w:r w:rsidR="008700AB">
        <w:rPr>
          <w:rFonts w:cs="Arial"/>
        </w:rPr>
        <w:t>o</w:t>
      </w:r>
      <w:r w:rsidR="0053588B">
        <w:rPr>
          <w:rFonts w:cs="Arial"/>
        </w:rPr>
        <w:t>als ook in onderdeel 2.9.2 van de NFV</w:t>
      </w:r>
      <w:r w:rsidR="00A85D0D">
        <w:rPr>
          <w:rFonts w:cs="Arial"/>
        </w:rPr>
        <w:t xml:space="preserve"> </w:t>
      </w:r>
      <w:r w:rsidR="0053588B">
        <w:rPr>
          <w:rFonts w:cs="Arial"/>
        </w:rPr>
        <w:t xml:space="preserve">2011 is toegelicht, strekt deze bepaling ertoe </w:t>
      </w:r>
      <w:r w:rsidRPr="002E2B8F">
        <w:rPr>
          <w:rFonts w:cs="Arial"/>
        </w:rPr>
        <w:t xml:space="preserve">te voorkomen dat </w:t>
      </w:r>
      <w:r w:rsidRPr="008700AB" w:rsidR="008700AB">
        <w:rPr>
          <w:rFonts w:cs="Arial"/>
        </w:rPr>
        <w:t xml:space="preserve">vermogenswinsten behaald met </w:t>
      </w:r>
      <w:r w:rsidR="008700AB">
        <w:rPr>
          <w:rFonts w:cs="Arial"/>
        </w:rPr>
        <w:t xml:space="preserve">de verkoop van </w:t>
      </w:r>
      <w:r w:rsidRPr="008700AB" w:rsidR="008700AB">
        <w:rPr>
          <w:rFonts w:cs="Arial"/>
        </w:rPr>
        <w:t xml:space="preserve">onroerende </w:t>
      </w:r>
      <w:r w:rsidRPr="008700AB" w:rsidR="008700AB">
        <w:rPr>
          <w:rFonts w:cs="Arial"/>
        </w:rPr>
        <w:lastRenderedPageBreak/>
        <w:t>zaken aan de</w:t>
      </w:r>
      <w:r w:rsidR="008700AB">
        <w:rPr>
          <w:rFonts w:cs="Arial"/>
        </w:rPr>
        <w:t xml:space="preserve"> belasting</w:t>
      </w:r>
      <w:r w:rsidRPr="008700AB" w:rsidR="008700AB">
        <w:rPr>
          <w:rFonts w:cs="Arial"/>
        </w:rPr>
        <w:t xml:space="preserve">heffing door de situsstaat zouden kunnen worden onttrokken door </w:t>
      </w:r>
      <w:r w:rsidR="008700AB">
        <w:rPr>
          <w:rFonts w:cs="Arial"/>
        </w:rPr>
        <w:t xml:space="preserve">de onroerende zaken in een vennootschap </w:t>
      </w:r>
      <w:r w:rsidR="001C7918">
        <w:rPr>
          <w:rFonts w:cs="Arial"/>
        </w:rPr>
        <w:t xml:space="preserve">onder </w:t>
      </w:r>
      <w:r w:rsidR="008700AB">
        <w:rPr>
          <w:rFonts w:cs="Arial"/>
        </w:rPr>
        <w:t>te brengen en in plaats van de onroerende zaken</w:t>
      </w:r>
      <w:r w:rsidR="00A85D0D">
        <w:rPr>
          <w:rFonts w:cs="Arial"/>
        </w:rPr>
        <w:t>,</w:t>
      </w:r>
      <w:r w:rsidR="008700AB">
        <w:rPr>
          <w:rFonts w:cs="Arial"/>
        </w:rPr>
        <w:t xml:space="preserve"> de aandelen in die vennootschap te verkopen.</w:t>
      </w:r>
      <w:r w:rsidRPr="002E2B8F">
        <w:rPr>
          <w:rFonts w:cs="Arial"/>
        </w:rPr>
        <w:t xml:space="preserve"> In dat geval zou, conform artikel 13, vijfde lid van het OESO-modelverdrag, de belastingheffing </w:t>
      </w:r>
      <w:r w:rsidR="008700AB">
        <w:rPr>
          <w:rFonts w:cs="Arial"/>
        </w:rPr>
        <w:t xml:space="preserve">over de verkoopwinst volgens artikel 13, vierde lid, van het Verdrag, </w:t>
      </w:r>
      <w:r w:rsidRPr="002E2B8F">
        <w:rPr>
          <w:rFonts w:cs="Arial"/>
        </w:rPr>
        <w:t>toekomen aan de woonstaat van de vervreemder van de aandelen</w:t>
      </w:r>
      <w:r w:rsidRPr="00E55516">
        <w:rPr>
          <w:rFonts w:cs="Arial"/>
        </w:rPr>
        <w:t>.</w:t>
      </w:r>
    </w:p>
    <w:p w:rsidR="00A85D0D" w:rsidP="008700AB" w:rsidRDefault="002E2B8F" w14:paraId="297D9E6E" w14:textId="428F5A89">
      <w:pPr>
        <w:ind w:firstLine="708"/>
      </w:pPr>
      <w:r w:rsidRPr="002E2B8F">
        <w:t>Nederland</w:t>
      </w:r>
      <w:r w:rsidR="006D32D3">
        <w:t xml:space="preserve"> </w:t>
      </w:r>
      <w:r w:rsidR="008700AB">
        <w:t xml:space="preserve">heeft </w:t>
      </w:r>
      <w:r w:rsidR="006D32D3">
        <w:t>in</w:t>
      </w:r>
      <w:r w:rsidRPr="002E2B8F">
        <w:t xml:space="preserve"> het kader van een totaalcompromis </w:t>
      </w:r>
      <w:r w:rsidR="008700AB">
        <w:t xml:space="preserve">ingestemd met de wens van Polen een dergelijke bepaling in het Verdrag op te nemen, maar </w:t>
      </w:r>
      <w:r w:rsidR="00A85D0D">
        <w:t xml:space="preserve">daarbij zijn </w:t>
      </w:r>
      <w:r w:rsidR="006514BA">
        <w:t xml:space="preserve">er </w:t>
      </w:r>
      <w:r w:rsidR="00A85D0D">
        <w:t xml:space="preserve">wel enkele beperkingen overeengekomen, in aansluiting bij </w:t>
      </w:r>
      <w:r w:rsidRPr="002E2B8F">
        <w:t>het Nederlandse verdragsbeleid dat is beschreven in onderdeel 2.9.2 van de NFV 2011</w:t>
      </w:r>
      <w:r w:rsidR="00A85D0D">
        <w:t xml:space="preserve"> en waarmee naar het oordeel van Nederland het antimisbruikkarakter van de bepaling duidelijker gestalte krijgt</w:t>
      </w:r>
      <w:r w:rsidR="00F3255A">
        <w:t>.</w:t>
      </w:r>
      <w:r w:rsidR="00A85D0D">
        <w:rPr>
          <w:rStyle w:val="Voetnootmarkering"/>
        </w:rPr>
        <w:footnoteReference w:id="12"/>
      </w:r>
      <w:r w:rsidR="002E026C">
        <w:t xml:space="preserve"> Aan de andere kant heeft Nederland ingestemd met het opnemen </w:t>
      </w:r>
      <w:r w:rsidR="00ED407B">
        <w:t xml:space="preserve">van twee uitbreidingen </w:t>
      </w:r>
      <w:r w:rsidR="002E026C">
        <w:t>(</w:t>
      </w:r>
      <w:r w:rsidR="00AF05DF">
        <w:t xml:space="preserve">een uitbreiding naar met aandelen </w:t>
      </w:r>
      <w:r w:rsidR="00DE4889">
        <w:t>‘</w:t>
      </w:r>
      <w:r w:rsidR="00AF05DF">
        <w:t>vergelijkbare belangen</w:t>
      </w:r>
      <w:r w:rsidR="00137B6F">
        <w:t>’</w:t>
      </w:r>
      <w:r w:rsidR="00AF05DF">
        <w:t xml:space="preserve"> en een </w:t>
      </w:r>
      <w:r w:rsidR="002E026C">
        <w:t xml:space="preserve">hierna toe te lichten </w:t>
      </w:r>
      <w:r w:rsidR="00137B6F">
        <w:t>‘</w:t>
      </w:r>
      <w:r w:rsidR="002E026C">
        <w:t>365-dagentoets</w:t>
      </w:r>
      <w:r w:rsidR="00137B6F">
        <w:t>’</w:t>
      </w:r>
      <w:r w:rsidR="00AF05DF">
        <w:t>)</w:t>
      </w:r>
      <w:r w:rsidR="002E026C">
        <w:t xml:space="preserve"> die </w:t>
      </w:r>
      <w:r w:rsidR="00AF05DF">
        <w:t xml:space="preserve">zijn </w:t>
      </w:r>
      <w:r w:rsidR="002E026C">
        <w:t xml:space="preserve">ontleend aan het BEPS-project </w:t>
      </w:r>
      <w:r w:rsidR="00480CCC">
        <w:t xml:space="preserve">(actiepunt 6) </w:t>
      </w:r>
      <w:r w:rsidR="002E026C">
        <w:t xml:space="preserve">en die inmiddels ook </w:t>
      </w:r>
      <w:r w:rsidR="00AF05DF">
        <w:t xml:space="preserve">zijn </w:t>
      </w:r>
      <w:r w:rsidR="002E026C">
        <w:t xml:space="preserve">opgenomen in artikel 13, vierde lid, van het </w:t>
      </w:r>
      <w:r w:rsidR="00056DE1">
        <w:t>OESO</w:t>
      </w:r>
      <w:r w:rsidR="002E026C">
        <w:t xml:space="preserve">-modelverdrag. </w:t>
      </w:r>
      <w:r w:rsidR="00480CCC">
        <w:t xml:space="preserve">Het opnemen van deze uitbreidingen is in lijn met de positie die Nederland op dit punt heeft ingenomen </w:t>
      </w:r>
      <w:r w:rsidR="006514BA">
        <w:t xml:space="preserve">in het kader van het </w:t>
      </w:r>
      <w:r w:rsidR="00733E96">
        <w:t>MLI</w:t>
      </w:r>
      <w:r w:rsidR="006514BA">
        <w:t>.</w:t>
      </w:r>
    </w:p>
    <w:p w:rsidR="002E026C" w:rsidP="008700AB" w:rsidRDefault="002E2B8F" w14:paraId="5333B402" w14:textId="266B3336">
      <w:pPr>
        <w:ind w:firstLine="708"/>
      </w:pPr>
      <w:r w:rsidRPr="002E2B8F">
        <w:t xml:space="preserve">Allereerst is bepaald dat de bronstaatheffing over vermogenswinsten behaald met </w:t>
      </w:r>
      <w:r w:rsidR="002E026C">
        <w:t xml:space="preserve">de </w:t>
      </w:r>
      <w:r w:rsidRPr="002E2B8F">
        <w:t xml:space="preserve">vervreemding van aandelen </w:t>
      </w:r>
      <w:r w:rsidR="002E026C">
        <w:t xml:space="preserve">of vergelijkbare belangen </w:t>
      </w:r>
      <w:r w:rsidRPr="002E2B8F">
        <w:t>in een onroerendezaaklichaam pas van toepassing is indien de waarde van de</w:t>
      </w:r>
      <w:r w:rsidR="002E026C">
        <w:t>ze</w:t>
      </w:r>
      <w:r w:rsidRPr="002E2B8F">
        <w:t xml:space="preserve"> aandelen of vergelijkbare belangen voor meer dan 75% ontleend wordt aan in de situsstaat gelegen onroerende zaken</w:t>
      </w:r>
      <w:r w:rsidR="002E026C">
        <w:t xml:space="preserve">, in plaats van 50% zoals in artikel 13, vierde lid, van het </w:t>
      </w:r>
      <w:r w:rsidR="00056DE1">
        <w:t>OESO</w:t>
      </w:r>
      <w:r w:rsidR="002E026C">
        <w:t>-modelverdrag het geval is.</w:t>
      </w:r>
      <w:r w:rsidR="00AF05DF">
        <w:t xml:space="preserve"> De al genoemde uitbreiding naar met aandelen vergelijkbare belangen, zoals een belang in een samenwerkingsverband (</w:t>
      </w:r>
      <w:r w:rsidRPr="000A2618" w:rsidR="00AF05DF">
        <w:rPr>
          <w:i/>
        </w:rPr>
        <w:t>partnership</w:t>
      </w:r>
      <w:r w:rsidR="00AF05DF">
        <w:t xml:space="preserve">) of een trust, </w:t>
      </w:r>
      <w:r w:rsidR="00480CCC">
        <w:t xml:space="preserve">werd vóór de actualisering van het </w:t>
      </w:r>
      <w:r w:rsidR="00056DE1">
        <w:t>OESO</w:t>
      </w:r>
      <w:r w:rsidR="00480CCC">
        <w:t xml:space="preserve">-modelverdrag per 21 november 2017 al geopperd in het </w:t>
      </w:r>
      <w:r w:rsidR="003D5655">
        <w:t>c</w:t>
      </w:r>
      <w:r w:rsidR="00480CCC">
        <w:t xml:space="preserve">ommentaar </w:t>
      </w:r>
      <w:r w:rsidR="003D5655">
        <w:t xml:space="preserve">bij </w:t>
      </w:r>
      <w:r w:rsidR="00480CCC">
        <w:t xml:space="preserve">artikel 13, vierde lid, van het </w:t>
      </w:r>
      <w:r w:rsidR="00056DE1">
        <w:t>OESO</w:t>
      </w:r>
      <w:r w:rsidR="00480CCC">
        <w:t>-modelverdrag en is al</w:t>
      </w:r>
      <w:r w:rsidR="00303C33">
        <w:t>s</w:t>
      </w:r>
      <w:r w:rsidR="00480CCC">
        <w:t xml:space="preserve"> uitvloeisel van het BEPS-project in de modelbepaling opgenomen.</w:t>
      </w:r>
      <w:r w:rsidR="00AF05DF">
        <w:t xml:space="preserve"> </w:t>
      </w:r>
      <w:r w:rsidRPr="005270CA" w:rsidR="005270CA">
        <w:t xml:space="preserve">Met deze </w:t>
      </w:r>
      <w:r w:rsidR="005270CA">
        <w:t>uitbreiding w</w:t>
      </w:r>
      <w:r w:rsidRPr="005270CA" w:rsidR="005270CA">
        <w:t>ordt beoogd te voorkomen dat bepaalde entiteiten buiten de werkingssfeer van artikel 13, lid 3a</w:t>
      </w:r>
      <w:r w:rsidR="00C049D9">
        <w:t>,</w:t>
      </w:r>
      <w:r w:rsidRPr="005270CA" w:rsidR="005270CA">
        <w:t xml:space="preserve"> van het Verdrag vallen omdat zij geen aandelen uitgeven.</w:t>
      </w:r>
    </w:p>
    <w:p w:rsidR="005270CA" w:rsidP="005270CA" w:rsidRDefault="005270CA" w14:paraId="018D8699" w14:textId="77777777">
      <w:pPr>
        <w:ind w:firstLine="708"/>
        <w:rPr>
          <w:rFonts w:cs="Arial"/>
          <w:szCs w:val="20"/>
        </w:rPr>
      </w:pPr>
      <w:r>
        <w:t xml:space="preserve">In aansluiting bij het </w:t>
      </w:r>
      <w:r w:rsidR="00056DE1">
        <w:t>OESO</w:t>
      </w:r>
      <w:r>
        <w:t>-modelverdrag wordt bij het toetsen van het waardecriterium (van 75%)</w:t>
      </w:r>
      <w:r w:rsidRPr="002E2B8F" w:rsidR="002E2B8F">
        <w:rPr>
          <w:rFonts w:cs="Arial"/>
          <w:szCs w:val="20"/>
        </w:rPr>
        <w:t xml:space="preserve"> </w:t>
      </w:r>
      <w:r>
        <w:rPr>
          <w:rFonts w:cs="Arial"/>
          <w:szCs w:val="20"/>
        </w:rPr>
        <w:t xml:space="preserve">gekeken of op enig moment </w:t>
      </w:r>
      <w:r w:rsidRPr="002E2B8F" w:rsidR="002E2B8F">
        <w:rPr>
          <w:rFonts w:cs="Arial"/>
          <w:szCs w:val="20"/>
        </w:rPr>
        <w:t xml:space="preserve">gedurende een periode van 365 dagen voorafgaand aan een vervreemding de waarde van de aandelen </w:t>
      </w:r>
      <w:r>
        <w:rPr>
          <w:rFonts w:cs="Arial"/>
          <w:szCs w:val="20"/>
        </w:rPr>
        <w:t xml:space="preserve">of vergelijkbare belangen </w:t>
      </w:r>
      <w:r w:rsidRPr="002E2B8F" w:rsidR="002E2B8F">
        <w:rPr>
          <w:rFonts w:cs="Arial"/>
          <w:szCs w:val="20"/>
        </w:rPr>
        <w:t>voor meer dan 75% is ontleend</w:t>
      </w:r>
      <w:r>
        <w:rPr>
          <w:rFonts w:cs="Arial"/>
          <w:szCs w:val="20"/>
        </w:rPr>
        <w:t xml:space="preserve">, direct of indirect, </w:t>
      </w:r>
      <w:r w:rsidRPr="002E2B8F" w:rsidR="002E2B8F">
        <w:rPr>
          <w:rFonts w:cs="Arial"/>
          <w:szCs w:val="20"/>
        </w:rPr>
        <w:t xml:space="preserve">aan onroerende zaken gelegen in de situsstaat. </w:t>
      </w:r>
      <w:r>
        <w:rPr>
          <w:rFonts w:cs="Arial"/>
          <w:szCs w:val="20"/>
        </w:rPr>
        <w:t xml:space="preserve">Met deze </w:t>
      </w:r>
      <w:r w:rsidR="00137B6F">
        <w:rPr>
          <w:rFonts w:cs="Arial"/>
          <w:szCs w:val="20"/>
        </w:rPr>
        <w:t>‘</w:t>
      </w:r>
      <w:r>
        <w:rPr>
          <w:rFonts w:cs="Arial"/>
          <w:szCs w:val="20"/>
        </w:rPr>
        <w:t>365-dagentoets</w:t>
      </w:r>
      <w:r w:rsidR="00137B6F">
        <w:rPr>
          <w:rFonts w:cs="Arial"/>
          <w:szCs w:val="20"/>
        </w:rPr>
        <w:t>’</w:t>
      </w:r>
      <w:r>
        <w:rPr>
          <w:rFonts w:cs="Arial"/>
          <w:szCs w:val="20"/>
        </w:rPr>
        <w:t xml:space="preserve"> wordt beoogd </w:t>
      </w:r>
      <w:r w:rsidRPr="002E2B8F" w:rsidR="002E2B8F">
        <w:rPr>
          <w:rFonts w:cs="Arial"/>
          <w:szCs w:val="20"/>
        </w:rPr>
        <w:t xml:space="preserve">misbruik door middel van zogenoemde ‘oppompconstructies’ te bestrijden. Daarbij wordt </w:t>
      </w:r>
      <w:r>
        <w:rPr>
          <w:rFonts w:cs="Arial"/>
          <w:szCs w:val="20"/>
        </w:rPr>
        <w:t xml:space="preserve">bijvoorbeeld </w:t>
      </w:r>
      <w:r w:rsidRPr="002E2B8F" w:rsidR="002E2B8F">
        <w:rPr>
          <w:rFonts w:cs="Arial"/>
          <w:szCs w:val="20"/>
        </w:rPr>
        <w:t xml:space="preserve">vlak voor </w:t>
      </w:r>
      <w:r>
        <w:rPr>
          <w:rFonts w:cs="Arial"/>
          <w:szCs w:val="20"/>
        </w:rPr>
        <w:t>een</w:t>
      </w:r>
      <w:r w:rsidRPr="002E2B8F" w:rsidR="002E2B8F">
        <w:rPr>
          <w:rFonts w:cs="Arial"/>
          <w:szCs w:val="20"/>
        </w:rPr>
        <w:t xml:space="preserve"> vervreemding van aandelen een grote hoeveelheid kasgeld als eigen vermogen in de vennootschap ingebracht</w:t>
      </w:r>
      <w:r w:rsidR="00AC2E33">
        <w:rPr>
          <w:rFonts w:cs="Arial"/>
          <w:szCs w:val="20"/>
        </w:rPr>
        <w:t xml:space="preserve"> waardoor de waarde van de aandelen minder wordt ontleend aan de </w:t>
      </w:r>
      <w:r w:rsidRPr="002E2B8F" w:rsidR="002E2B8F">
        <w:rPr>
          <w:rFonts w:cs="Arial"/>
          <w:szCs w:val="20"/>
        </w:rPr>
        <w:t>onroerende zaken</w:t>
      </w:r>
      <w:r w:rsidR="00AC2E33">
        <w:rPr>
          <w:rFonts w:cs="Arial"/>
          <w:szCs w:val="20"/>
        </w:rPr>
        <w:t xml:space="preserve">. Hierdoor zou </w:t>
      </w:r>
      <w:r w:rsidRPr="002E2B8F" w:rsidR="002E2B8F">
        <w:rPr>
          <w:rFonts w:cs="Arial"/>
          <w:szCs w:val="20"/>
        </w:rPr>
        <w:t xml:space="preserve">zonder deze </w:t>
      </w:r>
      <w:r w:rsidR="00137B6F">
        <w:rPr>
          <w:rFonts w:cs="Arial"/>
          <w:szCs w:val="20"/>
        </w:rPr>
        <w:t>‘</w:t>
      </w:r>
      <w:r w:rsidR="00AC2E33">
        <w:rPr>
          <w:rFonts w:cs="Arial"/>
          <w:szCs w:val="20"/>
        </w:rPr>
        <w:t>365-dagentoets</w:t>
      </w:r>
      <w:r w:rsidR="00137B6F">
        <w:rPr>
          <w:rFonts w:cs="Arial"/>
          <w:szCs w:val="20"/>
        </w:rPr>
        <w:t>‘</w:t>
      </w:r>
      <w:r w:rsidR="00AC2E33">
        <w:rPr>
          <w:rFonts w:cs="Arial"/>
          <w:szCs w:val="20"/>
        </w:rPr>
        <w:t xml:space="preserve"> </w:t>
      </w:r>
      <w:r w:rsidRPr="002E2B8F" w:rsidR="002E2B8F">
        <w:rPr>
          <w:rFonts w:cs="Arial"/>
          <w:szCs w:val="20"/>
        </w:rPr>
        <w:t xml:space="preserve">de vermogenswinst niet ter heffing zijn toegewezen aan de situsstaat. </w:t>
      </w:r>
    </w:p>
    <w:p w:rsidR="00C049D9" w:rsidP="00B436B7" w:rsidRDefault="00C049D9" w14:paraId="2D715534" w14:textId="6649D517">
      <w:pPr>
        <w:ind w:firstLine="708"/>
      </w:pPr>
      <w:r>
        <w:rPr>
          <w:rFonts w:cs="Arial"/>
          <w:szCs w:val="20"/>
        </w:rPr>
        <w:t xml:space="preserve">Een </w:t>
      </w:r>
      <w:r w:rsidRPr="002E2B8F" w:rsidR="005270CA">
        <w:t xml:space="preserve">uitzondering </w:t>
      </w:r>
      <w:r>
        <w:t xml:space="preserve">is voorts </w:t>
      </w:r>
      <w:r w:rsidRPr="002E2B8F" w:rsidR="005270CA">
        <w:t>op</w:t>
      </w:r>
      <w:r w:rsidR="00AC2E33">
        <w:t xml:space="preserve">genomen voor vervreemdingswinsten die worden behaald door een erkend pensioenfonds dat inwoner is van de niet-situsstaat, mits dat pensioenfonds in die andere </w:t>
      </w:r>
      <w:r w:rsidR="00AC2E33">
        <w:lastRenderedPageBreak/>
        <w:t xml:space="preserve">staat is vrijgesteld van belasting. Deze uitzondering sluit aan bij de suggestie die wordt gedaan in paragraaf 28.8 van het </w:t>
      </w:r>
      <w:r w:rsidR="003D5655">
        <w:t>c</w:t>
      </w:r>
      <w:r w:rsidR="00AC2E33">
        <w:t xml:space="preserve">ommentaar </w:t>
      </w:r>
      <w:r w:rsidR="003D5655">
        <w:t xml:space="preserve">bij </w:t>
      </w:r>
      <w:r w:rsidR="00AC2E33">
        <w:t xml:space="preserve">artikel 13, vierde lid, van het </w:t>
      </w:r>
      <w:r w:rsidR="00056DE1">
        <w:t>OESO</w:t>
      </w:r>
      <w:r w:rsidR="00AC2E33">
        <w:t>-modelverdrag.</w:t>
      </w:r>
    </w:p>
    <w:p w:rsidRPr="001640EA" w:rsidR="005270CA" w:rsidP="00B436B7" w:rsidRDefault="00C049D9" w14:paraId="6FDE7984" w14:textId="77777777">
      <w:pPr>
        <w:ind w:firstLine="708"/>
        <w:rPr>
          <w:szCs w:val="18"/>
        </w:rPr>
      </w:pPr>
      <w:r>
        <w:t>V</w:t>
      </w:r>
      <w:r w:rsidR="009E40DA">
        <w:t xml:space="preserve">olledigheidshalve </w:t>
      </w:r>
      <w:r>
        <w:t xml:space="preserve">wordt nog </w:t>
      </w:r>
      <w:r w:rsidR="009E40DA">
        <w:t xml:space="preserve">opgemerkt dat </w:t>
      </w:r>
      <w:r>
        <w:t xml:space="preserve">de heffingsrechten voor de situsstaat mogelijk nog beperkt kunnen zijn als </w:t>
      </w:r>
      <w:r w:rsidR="009E40DA">
        <w:t xml:space="preserve">in het kader van </w:t>
      </w:r>
      <w:r>
        <w:t xml:space="preserve">een </w:t>
      </w:r>
      <w:r w:rsidR="009E40DA">
        <w:t xml:space="preserve">interne reorganisatie </w:t>
      </w:r>
      <w:r>
        <w:t>binnen een groep van vennootschappen een beroep kan worden gedaan op</w:t>
      </w:r>
      <w:r w:rsidR="009E40DA">
        <w:t xml:space="preserve"> de fiscale faciliteiten </w:t>
      </w:r>
      <w:r>
        <w:t xml:space="preserve">van </w:t>
      </w:r>
      <w:r w:rsidR="009E40DA">
        <w:t>de Europese fusierichtlijn</w:t>
      </w:r>
      <w:r w:rsidR="009E40DA">
        <w:rPr>
          <w:rStyle w:val="Voetnootmarkering"/>
        </w:rPr>
        <w:footnoteReference w:id="13"/>
      </w:r>
      <w:r w:rsidR="005F7CDF">
        <w:t>.</w:t>
      </w:r>
    </w:p>
    <w:p w:rsidRPr="002E2B8F" w:rsidR="002E2B8F" w:rsidP="002E2B8F" w:rsidRDefault="00833C7C" w14:paraId="44E8A930" w14:textId="3980D342">
      <w:pPr>
        <w:rPr>
          <w:rFonts w:cs="Arial"/>
          <w:szCs w:val="20"/>
        </w:rPr>
      </w:pPr>
      <w:r>
        <w:rPr>
          <w:rFonts w:cs="Arial"/>
          <w:szCs w:val="20"/>
        </w:rPr>
        <w:t>De in artikel 9, tweede lid, opgenomen wijziging van artikel 13, vierde lid, vloeit voort uit het opnemen van het nieuwe artikel 13, lid 3a, van het Verdrag en is redactioneel van aard.</w:t>
      </w:r>
    </w:p>
    <w:p w:rsidRPr="00FF4329" w:rsidR="00CC5302" w:rsidP="00FF4329" w:rsidRDefault="00562385" w14:paraId="2CAF6BC8" w14:textId="77777777">
      <w:pPr>
        <w:ind w:firstLine="0"/>
      </w:pPr>
      <w:r>
        <w:br/>
      </w:r>
      <w:r w:rsidRPr="00902E6E" w:rsidR="00CC5302">
        <w:rPr>
          <w:rFonts w:cs="Arial"/>
          <w:i/>
          <w:iCs/>
          <w:szCs w:val="20"/>
        </w:rPr>
        <w:t>II</w:t>
      </w:r>
      <w:r w:rsidR="00FF4329">
        <w:rPr>
          <w:rFonts w:cs="Arial"/>
          <w:i/>
          <w:iCs/>
          <w:szCs w:val="20"/>
        </w:rPr>
        <w:t>.10</w:t>
      </w:r>
      <w:r w:rsidRPr="00902E6E" w:rsidR="00CC5302">
        <w:rPr>
          <w:rFonts w:cs="Arial"/>
          <w:i/>
          <w:iCs/>
          <w:szCs w:val="20"/>
        </w:rPr>
        <w:t xml:space="preserve">. </w:t>
      </w:r>
      <w:r w:rsidRPr="00FD250D" w:rsidR="00CC5302">
        <w:rPr>
          <w:rFonts w:cs="Arial"/>
          <w:i/>
          <w:iCs/>
          <w:szCs w:val="20"/>
        </w:rPr>
        <w:t xml:space="preserve">Pensioenen, lijfrenten en socialezekerheidsuitkeringen (artikel </w:t>
      </w:r>
      <w:r w:rsidR="00E4728C">
        <w:rPr>
          <w:rFonts w:cs="Arial"/>
          <w:i/>
          <w:iCs/>
          <w:szCs w:val="20"/>
        </w:rPr>
        <w:t>10</w:t>
      </w:r>
      <w:r w:rsidRPr="00FD250D" w:rsidR="00CC5302">
        <w:rPr>
          <w:rFonts w:cs="Arial"/>
          <w:i/>
          <w:iCs/>
          <w:szCs w:val="20"/>
        </w:rPr>
        <w:t xml:space="preserve"> van het Wijzigingsprotocol, artikel 18 van het Verdrag)</w:t>
      </w:r>
    </w:p>
    <w:p w:rsidRPr="00CC5302" w:rsidR="00CC5302" w:rsidP="00CC5302" w:rsidRDefault="00CC5302" w14:paraId="60C6AD39" w14:textId="77777777"/>
    <w:p w:rsidR="00F245A2" w:rsidP="00CC5302" w:rsidRDefault="00FF4329" w14:paraId="40F04E2E" w14:textId="77777777">
      <w:pPr>
        <w:ind w:firstLine="720"/>
        <w:rPr>
          <w:rFonts w:cs="Arial"/>
          <w:szCs w:val="20"/>
        </w:rPr>
      </w:pPr>
      <w:r>
        <w:rPr>
          <w:rFonts w:cs="Arial"/>
          <w:szCs w:val="20"/>
        </w:rPr>
        <w:t>Met artikel 10</w:t>
      </w:r>
      <w:r w:rsidRPr="005678B1" w:rsidR="005678B1">
        <w:rPr>
          <w:rFonts w:cs="Arial"/>
          <w:szCs w:val="20"/>
        </w:rPr>
        <w:t xml:space="preserve"> van het Wijzigingsprotocol wordt artikel 18 van het Verdrag in zijn geheel vervangen door een nieuw artikel 18.</w:t>
      </w:r>
      <w:r w:rsidR="00553FEA">
        <w:t xml:space="preserve"> </w:t>
      </w:r>
      <w:r>
        <w:t>In</w:t>
      </w:r>
      <w:r w:rsidRPr="00CC5302" w:rsidR="00CC5302">
        <w:rPr>
          <w:rFonts w:cs="Arial"/>
          <w:szCs w:val="20"/>
        </w:rPr>
        <w:t xml:space="preserve"> het oorspronkelijke artikel 18 van het Verdrag </w:t>
      </w:r>
      <w:r w:rsidR="006C4A99">
        <w:rPr>
          <w:rFonts w:cs="Arial"/>
          <w:szCs w:val="20"/>
        </w:rPr>
        <w:t xml:space="preserve">gold </w:t>
      </w:r>
      <w:r w:rsidRPr="00CC5302" w:rsidR="00CC5302">
        <w:rPr>
          <w:rFonts w:cs="Arial"/>
          <w:szCs w:val="20"/>
        </w:rPr>
        <w:t>voor pensioen</w:t>
      </w:r>
      <w:r w:rsidR="00397F52">
        <w:rPr>
          <w:rFonts w:cs="Arial"/>
          <w:szCs w:val="20"/>
        </w:rPr>
        <w:t>en</w:t>
      </w:r>
      <w:r w:rsidR="00634274">
        <w:rPr>
          <w:rFonts w:cs="Arial"/>
          <w:szCs w:val="20"/>
        </w:rPr>
        <w:t xml:space="preserve"> en andere soortgelijke beloningen ter zake van een vroegere </w:t>
      </w:r>
      <w:r w:rsidR="00EB1D8A">
        <w:rPr>
          <w:rFonts w:cs="Arial"/>
          <w:szCs w:val="20"/>
        </w:rPr>
        <w:t>(</w:t>
      </w:r>
      <w:r w:rsidR="004F27EF">
        <w:rPr>
          <w:rFonts w:cs="Arial"/>
          <w:szCs w:val="20"/>
        </w:rPr>
        <w:t>niet-overheids</w:t>
      </w:r>
      <w:r w:rsidR="00EB1D8A">
        <w:rPr>
          <w:rFonts w:cs="Arial"/>
          <w:szCs w:val="20"/>
        </w:rPr>
        <w:t>)</w:t>
      </w:r>
      <w:r w:rsidR="00AF3E91">
        <w:rPr>
          <w:rFonts w:cs="Arial"/>
          <w:szCs w:val="20"/>
        </w:rPr>
        <w:t xml:space="preserve"> </w:t>
      </w:r>
      <w:r w:rsidR="00634274">
        <w:rPr>
          <w:rFonts w:cs="Arial"/>
          <w:szCs w:val="20"/>
        </w:rPr>
        <w:t>dienstbetrekking, en</w:t>
      </w:r>
      <w:r w:rsidR="00AA715A">
        <w:rPr>
          <w:rFonts w:cs="Arial"/>
          <w:szCs w:val="20"/>
        </w:rPr>
        <w:t xml:space="preserve"> voor </w:t>
      </w:r>
      <w:r w:rsidRPr="00CC5302" w:rsidR="00CC5302">
        <w:rPr>
          <w:rFonts w:cs="Arial"/>
          <w:szCs w:val="20"/>
        </w:rPr>
        <w:t>lijfrenten</w:t>
      </w:r>
      <w:r w:rsidR="00634274">
        <w:rPr>
          <w:rFonts w:cs="Arial"/>
          <w:szCs w:val="20"/>
        </w:rPr>
        <w:t>,</w:t>
      </w:r>
      <w:r w:rsidRPr="00CC5302" w:rsidR="00CC5302">
        <w:rPr>
          <w:rFonts w:cs="Arial"/>
          <w:szCs w:val="20"/>
        </w:rPr>
        <w:t xml:space="preserve"> als uitgangspunt een woonstaatheffing. </w:t>
      </w:r>
      <w:r w:rsidR="00397F52">
        <w:rPr>
          <w:rFonts w:cs="Arial"/>
          <w:szCs w:val="20"/>
        </w:rPr>
        <w:t>Onder bepaalde voorwaarden mocht</w:t>
      </w:r>
      <w:r w:rsidR="007773B5">
        <w:rPr>
          <w:rFonts w:cs="Arial"/>
          <w:szCs w:val="20"/>
        </w:rPr>
        <w:t>en</w:t>
      </w:r>
      <w:r w:rsidR="00397F52">
        <w:rPr>
          <w:rFonts w:cs="Arial"/>
          <w:szCs w:val="20"/>
        </w:rPr>
        <w:t xml:space="preserve"> </w:t>
      </w:r>
      <w:r w:rsidR="007773B5">
        <w:rPr>
          <w:rFonts w:cs="Arial"/>
          <w:szCs w:val="20"/>
        </w:rPr>
        <w:t>dez</w:t>
      </w:r>
      <w:r w:rsidR="00397F52">
        <w:rPr>
          <w:rFonts w:cs="Arial"/>
          <w:szCs w:val="20"/>
        </w:rPr>
        <w:t>e</w:t>
      </w:r>
      <w:r w:rsidR="007773B5">
        <w:rPr>
          <w:rFonts w:cs="Arial"/>
          <w:szCs w:val="20"/>
        </w:rPr>
        <w:t xml:space="preserve"> inkomsten e</w:t>
      </w:r>
      <w:r w:rsidR="00397F52">
        <w:rPr>
          <w:rFonts w:cs="Arial"/>
          <w:szCs w:val="20"/>
        </w:rPr>
        <w:t xml:space="preserve">venwel ook </w:t>
      </w:r>
      <w:r w:rsidR="007773B5">
        <w:rPr>
          <w:rFonts w:cs="Arial"/>
          <w:szCs w:val="20"/>
        </w:rPr>
        <w:t xml:space="preserve">door het </w:t>
      </w:r>
      <w:r w:rsidR="00137B6F">
        <w:rPr>
          <w:rFonts w:cs="Arial"/>
          <w:szCs w:val="20"/>
        </w:rPr>
        <w:t>’</w:t>
      </w:r>
      <w:r w:rsidR="007773B5">
        <w:rPr>
          <w:rFonts w:cs="Arial"/>
          <w:szCs w:val="20"/>
        </w:rPr>
        <w:t>bronland</w:t>
      </w:r>
      <w:r w:rsidR="00137B6F">
        <w:rPr>
          <w:rFonts w:cs="Arial"/>
          <w:szCs w:val="20"/>
        </w:rPr>
        <w:t>’</w:t>
      </w:r>
      <w:r w:rsidR="007773B5">
        <w:rPr>
          <w:rFonts w:cs="Arial"/>
          <w:szCs w:val="20"/>
        </w:rPr>
        <w:t xml:space="preserve"> worden belast</w:t>
      </w:r>
      <w:r w:rsidR="002E44A8">
        <w:rPr>
          <w:rFonts w:cs="Arial"/>
          <w:szCs w:val="20"/>
        </w:rPr>
        <w:t>. Kort gezegd</w:t>
      </w:r>
      <w:r w:rsidR="00833C7C">
        <w:rPr>
          <w:rFonts w:cs="Arial"/>
          <w:szCs w:val="20"/>
        </w:rPr>
        <w:t>,</w:t>
      </w:r>
      <w:r w:rsidR="002E44A8">
        <w:rPr>
          <w:rFonts w:cs="Arial"/>
          <w:szCs w:val="20"/>
        </w:rPr>
        <w:t xml:space="preserve"> was dat het geval voor zover de aanspraak op het pensioen of de lijfrente door het bronland </w:t>
      </w:r>
      <w:r w:rsidR="004F27EF">
        <w:rPr>
          <w:rFonts w:cs="Arial"/>
          <w:szCs w:val="20"/>
        </w:rPr>
        <w:t xml:space="preserve">fiscaal </w:t>
      </w:r>
      <w:r w:rsidR="002E44A8">
        <w:rPr>
          <w:rFonts w:cs="Arial"/>
          <w:szCs w:val="20"/>
        </w:rPr>
        <w:t xml:space="preserve">was gefacilieerd, </w:t>
      </w:r>
      <w:r w:rsidR="00F245A2">
        <w:rPr>
          <w:rFonts w:cs="Arial"/>
          <w:szCs w:val="20"/>
        </w:rPr>
        <w:t xml:space="preserve">het pensioen of de lijfrente door het </w:t>
      </w:r>
      <w:r w:rsidR="00137B6F">
        <w:rPr>
          <w:rFonts w:cs="Arial"/>
          <w:szCs w:val="20"/>
        </w:rPr>
        <w:t>’</w:t>
      </w:r>
      <w:r w:rsidR="00F245A2">
        <w:rPr>
          <w:rFonts w:cs="Arial"/>
          <w:szCs w:val="20"/>
        </w:rPr>
        <w:t>woonland</w:t>
      </w:r>
      <w:r w:rsidR="00137B6F">
        <w:rPr>
          <w:rFonts w:cs="Arial"/>
          <w:szCs w:val="20"/>
        </w:rPr>
        <w:t>’</w:t>
      </w:r>
      <w:r w:rsidR="00F245A2">
        <w:rPr>
          <w:rFonts w:cs="Arial"/>
          <w:szCs w:val="20"/>
        </w:rPr>
        <w:t xml:space="preserve"> niet regulier werd belast én het brutobedrag van de in een jaar ontvangen pensioen- of lijfrente-uitkering of uitkering volgens het socialezekerheidsstel</w:t>
      </w:r>
      <w:r w:rsidR="002D084B">
        <w:rPr>
          <w:rFonts w:cs="Arial"/>
          <w:szCs w:val="20"/>
        </w:rPr>
        <w:t>s</w:t>
      </w:r>
      <w:r w:rsidR="00F245A2">
        <w:rPr>
          <w:rFonts w:cs="Arial"/>
          <w:szCs w:val="20"/>
        </w:rPr>
        <w:t>el van het bronland meer bedroeg dan € 20.000.</w:t>
      </w:r>
      <w:r w:rsidR="00A70352">
        <w:rPr>
          <w:rFonts w:cs="Arial"/>
          <w:szCs w:val="20"/>
        </w:rPr>
        <w:t xml:space="preserve"> Voorts mochten pensioenen en andere uitkeringen betaald volgens het sociale</w:t>
      </w:r>
      <w:r w:rsidR="00CD6386">
        <w:rPr>
          <w:rFonts w:cs="Arial"/>
          <w:szCs w:val="20"/>
        </w:rPr>
        <w:t>zekerheidsstelsel</w:t>
      </w:r>
      <w:r w:rsidR="00A70352">
        <w:rPr>
          <w:rFonts w:cs="Arial"/>
          <w:szCs w:val="20"/>
        </w:rPr>
        <w:t xml:space="preserve"> van een staat aan een inwoner van de an</w:t>
      </w:r>
      <w:r w:rsidR="00CD6386">
        <w:rPr>
          <w:rFonts w:cs="Arial"/>
          <w:szCs w:val="20"/>
        </w:rPr>
        <w:t>d</w:t>
      </w:r>
      <w:r w:rsidR="00A70352">
        <w:rPr>
          <w:rFonts w:cs="Arial"/>
          <w:szCs w:val="20"/>
        </w:rPr>
        <w:t xml:space="preserve">ere staat in de eerstbedoelde staat, zonder </w:t>
      </w:r>
      <w:r w:rsidR="00CD6386">
        <w:rPr>
          <w:rFonts w:cs="Arial"/>
          <w:szCs w:val="20"/>
        </w:rPr>
        <w:t>de voor werknemerspensioenen en lijfrenten geldende beperkingen, worden belast.</w:t>
      </w:r>
    </w:p>
    <w:p w:rsidR="000B3773" w:rsidP="0032717B" w:rsidRDefault="005678B1" w14:paraId="5DF418D2" w14:textId="77777777">
      <w:pPr>
        <w:ind w:firstLine="720"/>
        <w:rPr>
          <w:rFonts w:cs="Arial"/>
          <w:szCs w:val="20"/>
        </w:rPr>
      </w:pPr>
      <w:r w:rsidRPr="005678B1">
        <w:rPr>
          <w:rFonts w:cs="Arial"/>
          <w:szCs w:val="20"/>
        </w:rPr>
        <w:t>In overeenstemming met onderdeel 2.11 van de NFV</w:t>
      </w:r>
      <w:r w:rsidR="00DE4FC4">
        <w:rPr>
          <w:rFonts w:cs="Arial"/>
          <w:szCs w:val="20"/>
        </w:rPr>
        <w:t xml:space="preserve"> 2011</w:t>
      </w:r>
      <w:r w:rsidR="001D0BE0">
        <w:rPr>
          <w:rFonts w:cs="Arial"/>
          <w:szCs w:val="20"/>
        </w:rPr>
        <w:t>, en zulks in afwijking van artikel 1</w:t>
      </w:r>
      <w:r w:rsidR="003B5746">
        <w:rPr>
          <w:rFonts w:cs="Arial"/>
          <w:szCs w:val="20"/>
        </w:rPr>
        <w:t>8</w:t>
      </w:r>
      <w:r w:rsidR="001D0BE0">
        <w:rPr>
          <w:rFonts w:cs="Arial"/>
          <w:szCs w:val="20"/>
        </w:rPr>
        <w:t xml:space="preserve"> van het OESO-modelverdrag,</w:t>
      </w:r>
      <w:r w:rsidRPr="005678B1">
        <w:rPr>
          <w:rFonts w:cs="Arial"/>
          <w:szCs w:val="20"/>
        </w:rPr>
        <w:t xml:space="preserve"> heeft Nederland een aanpassing van de toewijzingsregels </w:t>
      </w:r>
      <w:r w:rsidR="006241DF">
        <w:rPr>
          <w:rFonts w:cs="Arial"/>
          <w:szCs w:val="20"/>
        </w:rPr>
        <w:t xml:space="preserve">voor </w:t>
      </w:r>
      <w:r w:rsidR="007F26C8">
        <w:rPr>
          <w:rFonts w:cs="Arial"/>
          <w:szCs w:val="20"/>
        </w:rPr>
        <w:t>de</w:t>
      </w:r>
      <w:r w:rsidR="004F27EF">
        <w:rPr>
          <w:rFonts w:cs="Arial"/>
          <w:szCs w:val="20"/>
        </w:rPr>
        <w:t>ze</w:t>
      </w:r>
      <w:r w:rsidR="007F26C8">
        <w:rPr>
          <w:rFonts w:cs="Arial"/>
          <w:szCs w:val="20"/>
        </w:rPr>
        <w:t xml:space="preserve"> pensioenen en lijfrenten </w:t>
      </w:r>
      <w:r w:rsidRPr="005678B1">
        <w:rPr>
          <w:rFonts w:cs="Arial"/>
          <w:szCs w:val="20"/>
        </w:rPr>
        <w:t xml:space="preserve">voorgesteld in de zin dat de bronstaat een heffingsrecht verkrijgt zonder de </w:t>
      </w:r>
      <w:r w:rsidR="0085622A">
        <w:rPr>
          <w:rFonts w:cs="Arial"/>
          <w:szCs w:val="20"/>
        </w:rPr>
        <w:t xml:space="preserve">voorwaarden </w:t>
      </w:r>
      <w:r w:rsidRPr="005678B1">
        <w:rPr>
          <w:rFonts w:cs="Arial"/>
          <w:szCs w:val="20"/>
        </w:rPr>
        <w:t xml:space="preserve">wat betreft de reguliere belastingheffing in de woonstaat en de </w:t>
      </w:r>
      <w:r w:rsidR="000B3773">
        <w:rPr>
          <w:rFonts w:cs="Arial"/>
          <w:szCs w:val="20"/>
        </w:rPr>
        <w:t xml:space="preserve">minimale omvang </w:t>
      </w:r>
      <w:r w:rsidR="0085622A">
        <w:rPr>
          <w:rFonts w:cs="Arial"/>
          <w:szCs w:val="20"/>
        </w:rPr>
        <w:t>van in een jaar genoten uitkeringen.</w:t>
      </w:r>
      <w:r w:rsidRPr="005678B1">
        <w:rPr>
          <w:rFonts w:cs="Arial"/>
          <w:szCs w:val="20"/>
        </w:rPr>
        <w:t xml:space="preserve"> Met een zodanig hieruit voortvloeiend generiek heffingsrecht voor de bronstaat kon </w:t>
      </w:r>
      <w:r w:rsidR="0032717B">
        <w:rPr>
          <w:rFonts w:cs="Arial"/>
          <w:szCs w:val="20"/>
        </w:rPr>
        <w:t>Polen uiteindelijk</w:t>
      </w:r>
      <w:r w:rsidRPr="0032717B" w:rsidR="0032717B">
        <w:rPr>
          <w:rFonts w:cs="Arial"/>
          <w:szCs w:val="20"/>
        </w:rPr>
        <w:t xml:space="preserve"> instemmen.</w:t>
      </w:r>
      <w:r w:rsidR="00E05941">
        <w:rPr>
          <w:rFonts w:cs="Arial"/>
          <w:szCs w:val="20"/>
        </w:rPr>
        <w:t xml:space="preserve"> </w:t>
      </w:r>
      <w:r w:rsidR="000B3773">
        <w:rPr>
          <w:rFonts w:cs="Arial"/>
          <w:szCs w:val="20"/>
        </w:rPr>
        <w:t xml:space="preserve">Met het opnemen in het </w:t>
      </w:r>
      <w:r w:rsidR="003569D3">
        <w:rPr>
          <w:rFonts w:cs="Arial"/>
          <w:szCs w:val="20"/>
        </w:rPr>
        <w:t>V</w:t>
      </w:r>
      <w:r w:rsidR="000B3773">
        <w:rPr>
          <w:rFonts w:cs="Arial"/>
          <w:szCs w:val="20"/>
        </w:rPr>
        <w:t>erdrag van een geheel nieuw artikel 18 wordt deze nader overeengekomen heffingsrechtverdeling verwezenlijkt.</w:t>
      </w:r>
    </w:p>
    <w:p w:rsidR="00627CB4" w:rsidP="0032717B" w:rsidRDefault="003569D3" w14:paraId="78690F85" w14:textId="77777777">
      <w:pPr>
        <w:ind w:firstLine="720"/>
        <w:rPr>
          <w:rFonts w:cs="Arial"/>
          <w:szCs w:val="20"/>
        </w:rPr>
      </w:pPr>
      <w:r>
        <w:rPr>
          <w:rFonts w:cs="Arial"/>
          <w:szCs w:val="20"/>
        </w:rPr>
        <w:t xml:space="preserve">Volgens </w:t>
      </w:r>
      <w:r w:rsidRPr="005678B1" w:rsidR="005678B1">
        <w:rPr>
          <w:rFonts w:cs="Arial"/>
          <w:szCs w:val="20"/>
        </w:rPr>
        <w:t>het eerste</w:t>
      </w:r>
      <w:r w:rsidR="0032717B">
        <w:rPr>
          <w:rFonts w:cs="Arial"/>
          <w:szCs w:val="20"/>
        </w:rPr>
        <w:t xml:space="preserve"> </w:t>
      </w:r>
      <w:r>
        <w:rPr>
          <w:rFonts w:cs="Arial"/>
          <w:szCs w:val="20"/>
        </w:rPr>
        <w:t xml:space="preserve">lid van artikel 18 van het Verdrag </w:t>
      </w:r>
      <w:r w:rsidR="00AB5EF9">
        <w:rPr>
          <w:rFonts w:cs="Arial"/>
          <w:szCs w:val="20"/>
        </w:rPr>
        <w:t xml:space="preserve">mogen </w:t>
      </w:r>
      <w:r w:rsidR="00995371">
        <w:rPr>
          <w:rFonts w:cs="Arial"/>
          <w:szCs w:val="20"/>
        </w:rPr>
        <w:t>(</w:t>
      </w:r>
      <w:r w:rsidR="00AB5EF9">
        <w:rPr>
          <w:rFonts w:cs="Arial"/>
          <w:szCs w:val="20"/>
        </w:rPr>
        <w:t>voortaan</w:t>
      </w:r>
      <w:r w:rsidR="00995371">
        <w:rPr>
          <w:rFonts w:cs="Arial"/>
          <w:szCs w:val="20"/>
        </w:rPr>
        <w:t>)</w:t>
      </w:r>
      <w:r w:rsidR="00AB5EF9">
        <w:rPr>
          <w:rFonts w:cs="Arial"/>
          <w:szCs w:val="20"/>
        </w:rPr>
        <w:t xml:space="preserve"> uit een staat </w:t>
      </w:r>
      <w:r w:rsidR="00137B6F">
        <w:rPr>
          <w:rFonts w:cs="Arial"/>
          <w:szCs w:val="20"/>
        </w:rPr>
        <w:t>‘</w:t>
      </w:r>
      <w:r w:rsidR="00AB5EF9">
        <w:rPr>
          <w:rFonts w:cs="Arial"/>
          <w:szCs w:val="20"/>
        </w:rPr>
        <w:t>afkomstige</w:t>
      </w:r>
      <w:r w:rsidR="00137B6F">
        <w:rPr>
          <w:rFonts w:cs="Arial"/>
          <w:szCs w:val="20"/>
        </w:rPr>
        <w:t>’</w:t>
      </w:r>
      <w:r w:rsidR="00AB5EF9">
        <w:rPr>
          <w:rFonts w:cs="Arial"/>
          <w:szCs w:val="20"/>
        </w:rPr>
        <w:t xml:space="preserve"> pensioenen en andere soortgelijke beloningen (niet zijnde overheidspensioenen waarop artikel 19, tweede lid, van het Verdrag betrekking heeft</w:t>
      </w:r>
      <w:r w:rsidR="006C599B">
        <w:rPr>
          <w:rFonts w:cs="Arial"/>
          <w:szCs w:val="20"/>
        </w:rPr>
        <w:t>), en lijfrenten,</w:t>
      </w:r>
      <w:r w:rsidR="00343C69">
        <w:rPr>
          <w:rFonts w:cs="Arial"/>
          <w:szCs w:val="20"/>
        </w:rPr>
        <w:t xml:space="preserve"> zonder </w:t>
      </w:r>
      <w:r w:rsidR="00E05941">
        <w:rPr>
          <w:rFonts w:cs="Arial"/>
          <w:szCs w:val="20"/>
        </w:rPr>
        <w:t xml:space="preserve">meer </w:t>
      </w:r>
      <w:r w:rsidR="00343C69">
        <w:rPr>
          <w:rFonts w:cs="Arial"/>
          <w:szCs w:val="20"/>
        </w:rPr>
        <w:t xml:space="preserve">in die staat worden belast. </w:t>
      </w:r>
      <w:r w:rsidR="006C599B">
        <w:rPr>
          <w:rFonts w:cs="Arial"/>
          <w:szCs w:val="20"/>
        </w:rPr>
        <w:t xml:space="preserve">Daarbij is er wat betreft de pensioenuitkeringen en andere soortgelijke beloningen </w:t>
      </w:r>
      <w:r w:rsidR="00E05941">
        <w:rPr>
          <w:rFonts w:cs="Arial"/>
          <w:szCs w:val="20"/>
        </w:rPr>
        <w:t xml:space="preserve">overigens </w:t>
      </w:r>
      <w:r w:rsidR="003B5746">
        <w:rPr>
          <w:rFonts w:cs="Arial"/>
          <w:szCs w:val="20"/>
        </w:rPr>
        <w:t xml:space="preserve">ook </w:t>
      </w:r>
      <w:r w:rsidR="006C599B">
        <w:rPr>
          <w:rFonts w:cs="Arial"/>
          <w:szCs w:val="20"/>
        </w:rPr>
        <w:t xml:space="preserve">geen beperking meer aangebracht </w:t>
      </w:r>
      <w:r w:rsidR="001D0BE0">
        <w:rPr>
          <w:rFonts w:cs="Arial"/>
          <w:szCs w:val="20"/>
        </w:rPr>
        <w:t xml:space="preserve">met betrekking tot beloningen die verband houden met een vroegere </w:t>
      </w:r>
      <w:r w:rsidRPr="00A50949" w:rsidR="001D0BE0">
        <w:rPr>
          <w:rFonts w:cs="Arial"/>
          <w:szCs w:val="20"/>
        </w:rPr>
        <w:t>dienstbetrekking</w:t>
      </w:r>
      <w:r w:rsidR="001D0BE0">
        <w:rPr>
          <w:rFonts w:cs="Arial"/>
          <w:szCs w:val="20"/>
        </w:rPr>
        <w:t xml:space="preserve">. </w:t>
      </w:r>
      <w:r w:rsidR="003B5746">
        <w:rPr>
          <w:rFonts w:cs="Arial"/>
          <w:szCs w:val="20"/>
        </w:rPr>
        <w:t xml:space="preserve">Dit betekent dat bijvoorbeeld ook de pensioenen die door vrije </w:t>
      </w:r>
      <w:r w:rsidR="003B5746">
        <w:rPr>
          <w:rFonts w:cs="Arial"/>
          <w:szCs w:val="20"/>
        </w:rPr>
        <w:lastRenderedPageBreak/>
        <w:t>beroepsbeoefenaar</w:t>
      </w:r>
      <w:r w:rsidR="00E05941">
        <w:rPr>
          <w:rFonts w:cs="Arial"/>
          <w:szCs w:val="20"/>
        </w:rPr>
        <w:t>s</w:t>
      </w:r>
      <w:r w:rsidR="003B5746">
        <w:rPr>
          <w:rFonts w:cs="Arial"/>
          <w:szCs w:val="20"/>
        </w:rPr>
        <w:t>, zoals notarissen, worden opgebouwd</w:t>
      </w:r>
      <w:r w:rsidR="00627CB4">
        <w:rPr>
          <w:rFonts w:cs="Arial"/>
          <w:szCs w:val="20"/>
        </w:rPr>
        <w:t xml:space="preserve">, kunnen worden aangemerkt als </w:t>
      </w:r>
      <w:r w:rsidRPr="00A50949" w:rsidR="00627CB4">
        <w:rPr>
          <w:rFonts w:cs="Arial"/>
          <w:szCs w:val="20"/>
        </w:rPr>
        <w:t>pensioenen</w:t>
      </w:r>
      <w:r w:rsidR="00627CB4">
        <w:rPr>
          <w:rFonts w:cs="Arial"/>
          <w:szCs w:val="20"/>
        </w:rPr>
        <w:t xml:space="preserve"> waarop het eerste lid betrekking heeft. </w:t>
      </w:r>
      <w:r w:rsidR="00A135D9">
        <w:rPr>
          <w:rFonts w:cs="Arial"/>
          <w:szCs w:val="20"/>
        </w:rPr>
        <w:t>D</w:t>
      </w:r>
      <w:r w:rsidR="00627CB4">
        <w:rPr>
          <w:rFonts w:cs="Arial"/>
          <w:szCs w:val="20"/>
        </w:rPr>
        <w:t xml:space="preserve">it heeft verder </w:t>
      </w:r>
      <w:r w:rsidR="00A135D9">
        <w:rPr>
          <w:rFonts w:cs="Arial"/>
          <w:szCs w:val="20"/>
        </w:rPr>
        <w:t xml:space="preserve">echter </w:t>
      </w:r>
      <w:r w:rsidR="00627CB4">
        <w:rPr>
          <w:rFonts w:cs="Arial"/>
          <w:szCs w:val="20"/>
        </w:rPr>
        <w:t xml:space="preserve">geen materieel gevolg aangezien dergelijke pensioenen ook zijn aan te merken als lijfrenten in de zin van zowel het eerste lid van het </w:t>
      </w:r>
      <w:r w:rsidR="00833C7C">
        <w:rPr>
          <w:rFonts w:cs="Arial"/>
          <w:szCs w:val="20"/>
        </w:rPr>
        <w:t>oorspronkelijke</w:t>
      </w:r>
      <w:r w:rsidR="00627CB4">
        <w:rPr>
          <w:rFonts w:cs="Arial"/>
          <w:szCs w:val="20"/>
        </w:rPr>
        <w:t xml:space="preserve"> artikel 18 als in de zin van het eerste lid van het nieuwe artikel 18. In beide gevallen </w:t>
      </w:r>
      <w:r w:rsidR="000466C0">
        <w:rPr>
          <w:rFonts w:cs="Arial"/>
          <w:szCs w:val="20"/>
        </w:rPr>
        <w:t xml:space="preserve">werd en </w:t>
      </w:r>
      <w:r w:rsidR="00627CB4">
        <w:rPr>
          <w:rFonts w:cs="Arial"/>
          <w:szCs w:val="20"/>
        </w:rPr>
        <w:t xml:space="preserve">wordt het </w:t>
      </w:r>
      <w:r w:rsidR="00833C7C">
        <w:rPr>
          <w:rFonts w:cs="Arial"/>
          <w:szCs w:val="20"/>
        </w:rPr>
        <w:t>heffingsrecht</w:t>
      </w:r>
      <w:r w:rsidR="00627CB4">
        <w:rPr>
          <w:rFonts w:cs="Arial"/>
          <w:szCs w:val="20"/>
        </w:rPr>
        <w:t xml:space="preserve"> ter zake bepaald door de regels die in artikel 18 zijn en waren opgenomen.</w:t>
      </w:r>
    </w:p>
    <w:p w:rsidRPr="00716504" w:rsidR="00716504" w:rsidP="000A2618" w:rsidRDefault="00AA715A" w14:paraId="71855C59" w14:textId="6E7C31F8">
      <w:pPr>
        <w:ind w:firstLine="720"/>
        <w:rPr>
          <w:rFonts w:cs="Arial"/>
          <w:szCs w:val="20"/>
        </w:rPr>
      </w:pPr>
      <w:r>
        <w:rPr>
          <w:rFonts w:cs="Arial"/>
          <w:szCs w:val="20"/>
        </w:rPr>
        <w:t>Volgens het tweede lid mogen ook pensioenen en andere betalingen die worden gedaan volgens de socialezekerheid</w:t>
      </w:r>
      <w:r w:rsidR="00733C03">
        <w:rPr>
          <w:rFonts w:cs="Arial"/>
          <w:szCs w:val="20"/>
        </w:rPr>
        <w:t>s</w:t>
      </w:r>
      <w:r>
        <w:rPr>
          <w:rFonts w:cs="Arial"/>
          <w:szCs w:val="20"/>
        </w:rPr>
        <w:t>wetgeving van een staat aan een inwo</w:t>
      </w:r>
      <w:r w:rsidR="00733C03">
        <w:rPr>
          <w:rFonts w:cs="Arial"/>
          <w:szCs w:val="20"/>
        </w:rPr>
        <w:t>n</w:t>
      </w:r>
      <w:r>
        <w:rPr>
          <w:rFonts w:cs="Arial"/>
          <w:szCs w:val="20"/>
        </w:rPr>
        <w:t xml:space="preserve">er van de andere staat in de eerstbedoelde staat worden belast. </w:t>
      </w:r>
      <w:r w:rsidR="00733C03">
        <w:rPr>
          <w:rFonts w:cs="Arial"/>
          <w:szCs w:val="20"/>
        </w:rPr>
        <w:t>Dit was ook zo geregeld in (het vijfde lid van</w:t>
      </w:r>
      <w:r w:rsidR="00995371">
        <w:rPr>
          <w:rFonts w:cs="Arial"/>
          <w:szCs w:val="20"/>
        </w:rPr>
        <w:t>)</w:t>
      </w:r>
      <w:r w:rsidR="00733C03">
        <w:rPr>
          <w:rFonts w:cs="Arial"/>
          <w:szCs w:val="20"/>
        </w:rPr>
        <w:t xml:space="preserve"> het nu vervallen artikel 18 van het Verdrag, zodat er op dit punt geen sprake is van een wijziging van de heffingsrechten.</w:t>
      </w:r>
      <w:r w:rsidR="00716504">
        <w:rPr>
          <w:rFonts w:cs="Arial"/>
          <w:szCs w:val="20"/>
        </w:rPr>
        <w:br/>
      </w:r>
      <w:r w:rsidR="00716504">
        <w:rPr>
          <w:rFonts w:cs="Arial"/>
          <w:szCs w:val="20"/>
        </w:rPr>
        <w:tab/>
        <w:t xml:space="preserve">Tegen de achtergrond van </w:t>
      </w:r>
      <w:r w:rsidR="004A6C7B">
        <w:rPr>
          <w:rFonts w:cs="Arial"/>
          <w:szCs w:val="20"/>
        </w:rPr>
        <w:t xml:space="preserve">de onduidelijkheid die er kennelijk heeft bestaan over de belastingheffing in Nederland en Polen over uit Nederland </w:t>
      </w:r>
      <w:r w:rsidR="00AC1971">
        <w:rPr>
          <w:rFonts w:cs="Arial"/>
          <w:szCs w:val="20"/>
        </w:rPr>
        <w:t>afkomstige</w:t>
      </w:r>
      <w:r w:rsidR="004A6C7B">
        <w:rPr>
          <w:rFonts w:cs="Arial"/>
          <w:szCs w:val="20"/>
        </w:rPr>
        <w:t xml:space="preserve"> AOW-uitkeringen</w:t>
      </w:r>
      <w:r w:rsidR="004A6C7B">
        <w:rPr>
          <w:rStyle w:val="Voetnootmarkering"/>
          <w:rFonts w:cs="Arial"/>
          <w:szCs w:val="20"/>
        </w:rPr>
        <w:footnoteReference w:id="14"/>
      </w:r>
      <w:r w:rsidR="00AC1971">
        <w:rPr>
          <w:rFonts w:cs="Arial"/>
          <w:szCs w:val="20"/>
        </w:rPr>
        <w:t xml:space="preserve"> wordt opgemerkt dat de overeengekomen heffingsrechtverdeling over AOW-uitkeringen en andere </w:t>
      </w:r>
      <w:r w:rsidR="00DC074E">
        <w:rPr>
          <w:rFonts w:cs="Arial"/>
          <w:szCs w:val="20"/>
        </w:rPr>
        <w:t xml:space="preserve">Nederlandse </w:t>
      </w:r>
      <w:r w:rsidR="00AC1971">
        <w:rPr>
          <w:rFonts w:cs="Arial"/>
          <w:szCs w:val="20"/>
        </w:rPr>
        <w:t>sociale</w:t>
      </w:r>
      <w:r w:rsidR="00D15B8A">
        <w:rPr>
          <w:rFonts w:cs="Arial"/>
          <w:szCs w:val="20"/>
        </w:rPr>
        <w:t>zekerheidsuitkeringen</w:t>
      </w:r>
      <w:r w:rsidR="00AC1971">
        <w:rPr>
          <w:rFonts w:cs="Arial"/>
          <w:szCs w:val="20"/>
        </w:rPr>
        <w:t>, ev</w:t>
      </w:r>
      <w:r w:rsidR="00DC074E">
        <w:rPr>
          <w:rFonts w:cs="Arial"/>
          <w:szCs w:val="20"/>
        </w:rPr>
        <w:t>e</w:t>
      </w:r>
      <w:r w:rsidR="00AC1971">
        <w:rPr>
          <w:rFonts w:cs="Arial"/>
          <w:szCs w:val="20"/>
        </w:rPr>
        <w:t xml:space="preserve">nals </w:t>
      </w:r>
      <w:r w:rsidR="00D15B8A">
        <w:rPr>
          <w:rFonts w:cs="Arial"/>
          <w:szCs w:val="20"/>
        </w:rPr>
        <w:t xml:space="preserve">over </w:t>
      </w:r>
      <w:r w:rsidR="00DC074E">
        <w:rPr>
          <w:rFonts w:cs="Arial"/>
          <w:szCs w:val="20"/>
        </w:rPr>
        <w:t xml:space="preserve">uit Nederland afkomstige </w:t>
      </w:r>
      <w:r w:rsidR="00AC1971">
        <w:rPr>
          <w:rFonts w:cs="Arial"/>
          <w:szCs w:val="20"/>
        </w:rPr>
        <w:t>pensioenen, soortgelijke belon</w:t>
      </w:r>
      <w:r w:rsidR="00DC074E">
        <w:rPr>
          <w:rFonts w:cs="Arial"/>
          <w:szCs w:val="20"/>
        </w:rPr>
        <w:t xml:space="preserve">ingen </w:t>
      </w:r>
      <w:r w:rsidR="00AC1971">
        <w:rPr>
          <w:rFonts w:cs="Arial"/>
          <w:szCs w:val="20"/>
        </w:rPr>
        <w:t>en lijfrente</w:t>
      </w:r>
      <w:r w:rsidR="00DC074E">
        <w:rPr>
          <w:rFonts w:cs="Arial"/>
          <w:szCs w:val="20"/>
        </w:rPr>
        <w:t>n</w:t>
      </w:r>
      <w:r w:rsidR="00AC1971">
        <w:rPr>
          <w:rFonts w:cs="Arial"/>
          <w:szCs w:val="20"/>
        </w:rPr>
        <w:t xml:space="preserve">, </w:t>
      </w:r>
      <w:r w:rsidR="00DC074E">
        <w:rPr>
          <w:rFonts w:cs="Arial"/>
          <w:szCs w:val="20"/>
        </w:rPr>
        <w:t xml:space="preserve">het volgende </w:t>
      </w:r>
      <w:r w:rsidR="00AC1971">
        <w:rPr>
          <w:rFonts w:cs="Arial"/>
          <w:szCs w:val="20"/>
        </w:rPr>
        <w:t xml:space="preserve">betekent </w:t>
      </w:r>
      <w:r w:rsidR="00DC074E">
        <w:rPr>
          <w:rFonts w:cs="Arial"/>
          <w:szCs w:val="20"/>
        </w:rPr>
        <w:t xml:space="preserve">voor de belastingheffing in Nederland en Polen. Als </w:t>
      </w:r>
      <w:r w:rsidR="00D15B8A">
        <w:rPr>
          <w:rFonts w:cs="Arial"/>
          <w:szCs w:val="20"/>
        </w:rPr>
        <w:t>Nederland volgens de bepalingen van artikel 18 bevoegd is tot belastingheffing over</w:t>
      </w:r>
      <w:r w:rsidR="009E1F7A">
        <w:rPr>
          <w:rFonts w:cs="Arial"/>
          <w:szCs w:val="20"/>
        </w:rPr>
        <w:t xml:space="preserve"> </w:t>
      </w:r>
      <w:r w:rsidR="00D15B8A">
        <w:rPr>
          <w:rFonts w:cs="Arial"/>
          <w:szCs w:val="20"/>
        </w:rPr>
        <w:t>het desb</w:t>
      </w:r>
      <w:r w:rsidR="009E1F7A">
        <w:rPr>
          <w:rFonts w:cs="Arial"/>
          <w:szCs w:val="20"/>
        </w:rPr>
        <w:t>e</w:t>
      </w:r>
      <w:r w:rsidR="00D15B8A">
        <w:rPr>
          <w:rFonts w:cs="Arial"/>
          <w:szCs w:val="20"/>
        </w:rPr>
        <w:t>tr</w:t>
      </w:r>
      <w:r w:rsidR="009E1F7A">
        <w:rPr>
          <w:rFonts w:cs="Arial"/>
          <w:szCs w:val="20"/>
        </w:rPr>
        <w:t>e</w:t>
      </w:r>
      <w:r w:rsidR="00D15B8A">
        <w:rPr>
          <w:rFonts w:cs="Arial"/>
          <w:szCs w:val="20"/>
        </w:rPr>
        <w:t xml:space="preserve">ffende inkomen van inwoners van Polen, dan zal dat inkomen in Nederland worden belast </w:t>
      </w:r>
      <w:r w:rsidR="009E1F7A">
        <w:rPr>
          <w:rFonts w:cs="Arial"/>
          <w:szCs w:val="20"/>
        </w:rPr>
        <w:t>met loon- en eventueel inkomstenbelasting. Ook zal Polen gerechtigd zijn tot belastingheffing</w:t>
      </w:r>
      <w:r w:rsidR="004540B7">
        <w:rPr>
          <w:rFonts w:cs="Arial"/>
          <w:szCs w:val="20"/>
        </w:rPr>
        <w:t xml:space="preserve"> (en daarvan </w:t>
      </w:r>
      <w:r w:rsidR="00E875FD">
        <w:rPr>
          <w:rFonts w:cs="Arial"/>
          <w:szCs w:val="20"/>
        </w:rPr>
        <w:t xml:space="preserve">zal </w:t>
      </w:r>
      <w:r w:rsidR="004540B7">
        <w:rPr>
          <w:rFonts w:cs="Arial"/>
          <w:szCs w:val="20"/>
        </w:rPr>
        <w:t>dus ook aang</w:t>
      </w:r>
      <w:r w:rsidR="00C07294">
        <w:rPr>
          <w:rFonts w:cs="Arial"/>
          <w:szCs w:val="20"/>
        </w:rPr>
        <w:t>i</w:t>
      </w:r>
      <w:r w:rsidR="004540B7">
        <w:rPr>
          <w:rFonts w:cs="Arial"/>
          <w:szCs w:val="20"/>
        </w:rPr>
        <w:t xml:space="preserve">fte </w:t>
      </w:r>
      <w:r w:rsidR="00E875FD">
        <w:rPr>
          <w:rFonts w:cs="Arial"/>
          <w:szCs w:val="20"/>
        </w:rPr>
        <w:t xml:space="preserve">moeten worden </w:t>
      </w:r>
      <w:r w:rsidR="004540B7">
        <w:rPr>
          <w:rFonts w:cs="Arial"/>
          <w:szCs w:val="20"/>
        </w:rPr>
        <w:t xml:space="preserve">gedaan </w:t>
      </w:r>
      <w:r w:rsidR="00C07294">
        <w:rPr>
          <w:rFonts w:cs="Arial"/>
          <w:szCs w:val="20"/>
        </w:rPr>
        <w:t>volgens de Poolse wetgeving</w:t>
      </w:r>
      <w:r w:rsidR="009E1F7A">
        <w:rPr>
          <w:rFonts w:cs="Arial"/>
          <w:szCs w:val="20"/>
        </w:rPr>
        <w:t xml:space="preserve">, </w:t>
      </w:r>
      <w:r w:rsidR="00B04E3C">
        <w:rPr>
          <w:rFonts w:cs="Arial"/>
          <w:szCs w:val="20"/>
        </w:rPr>
        <w:t>aangezien</w:t>
      </w:r>
      <w:r w:rsidR="009E1F7A">
        <w:rPr>
          <w:rFonts w:cs="Arial"/>
          <w:szCs w:val="20"/>
        </w:rPr>
        <w:t xml:space="preserve"> het inkomen betreft van inwoners van Polen</w:t>
      </w:r>
      <w:r w:rsidR="00DB5D59">
        <w:rPr>
          <w:rFonts w:cs="Arial"/>
          <w:szCs w:val="20"/>
        </w:rPr>
        <w:t>)</w:t>
      </w:r>
      <w:r w:rsidR="00C07294">
        <w:rPr>
          <w:rFonts w:cs="Arial"/>
          <w:szCs w:val="20"/>
        </w:rPr>
        <w:t xml:space="preserve">. </w:t>
      </w:r>
      <w:r w:rsidR="009E1F7A">
        <w:rPr>
          <w:rFonts w:cs="Arial"/>
          <w:szCs w:val="20"/>
        </w:rPr>
        <w:t xml:space="preserve">Polen </w:t>
      </w:r>
      <w:r w:rsidR="00B04E3C">
        <w:rPr>
          <w:rFonts w:cs="Arial"/>
          <w:szCs w:val="20"/>
        </w:rPr>
        <w:t xml:space="preserve">is dan wel </w:t>
      </w:r>
      <w:r w:rsidR="009E1F7A">
        <w:rPr>
          <w:rFonts w:cs="Arial"/>
          <w:szCs w:val="20"/>
        </w:rPr>
        <w:t>gehouden een aftrek te verlenen ter vermijding van dubbele belasting overeen</w:t>
      </w:r>
      <w:r w:rsidR="00B04E3C">
        <w:rPr>
          <w:rFonts w:cs="Arial"/>
          <w:szCs w:val="20"/>
        </w:rPr>
        <w:t xml:space="preserve">komstig </w:t>
      </w:r>
      <w:r w:rsidR="009E1F7A">
        <w:rPr>
          <w:rFonts w:cs="Arial"/>
          <w:szCs w:val="20"/>
        </w:rPr>
        <w:t>de bepalingen van artikel 23</w:t>
      </w:r>
      <w:r w:rsidR="00B04E3C">
        <w:rPr>
          <w:rFonts w:cs="Arial"/>
          <w:szCs w:val="20"/>
        </w:rPr>
        <w:t xml:space="preserve">, </w:t>
      </w:r>
      <w:r w:rsidR="00C5691F">
        <w:rPr>
          <w:rFonts w:cs="Arial"/>
          <w:szCs w:val="20"/>
        </w:rPr>
        <w:t xml:space="preserve">vijfde </w:t>
      </w:r>
      <w:r w:rsidR="00B04E3C">
        <w:rPr>
          <w:rFonts w:cs="Arial"/>
          <w:szCs w:val="20"/>
        </w:rPr>
        <w:t>lid,</w:t>
      </w:r>
      <w:r w:rsidR="009E1F7A">
        <w:rPr>
          <w:rFonts w:cs="Arial"/>
          <w:szCs w:val="20"/>
        </w:rPr>
        <w:t xml:space="preserve"> van het Verdrag</w:t>
      </w:r>
      <w:r w:rsidR="005E46AF">
        <w:rPr>
          <w:rFonts w:cs="Arial"/>
          <w:szCs w:val="20"/>
        </w:rPr>
        <w:t xml:space="preserve">, zoals dat overigens ook geldt voor </w:t>
      </w:r>
      <w:r w:rsidR="007F687A">
        <w:rPr>
          <w:rFonts w:cs="Arial"/>
          <w:szCs w:val="20"/>
        </w:rPr>
        <w:t xml:space="preserve">het </w:t>
      </w:r>
      <w:r w:rsidR="005E46AF">
        <w:rPr>
          <w:rFonts w:cs="Arial"/>
          <w:szCs w:val="20"/>
        </w:rPr>
        <w:t xml:space="preserve">andere inkomen </w:t>
      </w:r>
      <w:r w:rsidR="007F687A">
        <w:rPr>
          <w:rFonts w:cs="Arial"/>
          <w:szCs w:val="20"/>
        </w:rPr>
        <w:t xml:space="preserve">dat </w:t>
      </w:r>
      <w:r w:rsidR="004540B7">
        <w:rPr>
          <w:rFonts w:cs="Arial"/>
          <w:szCs w:val="20"/>
        </w:rPr>
        <w:t xml:space="preserve">ter belastingheffing </w:t>
      </w:r>
      <w:r w:rsidR="007F687A">
        <w:rPr>
          <w:rFonts w:cs="Arial"/>
          <w:szCs w:val="20"/>
        </w:rPr>
        <w:t xml:space="preserve">is </w:t>
      </w:r>
      <w:r w:rsidR="004540B7">
        <w:rPr>
          <w:rFonts w:cs="Arial"/>
          <w:szCs w:val="20"/>
        </w:rPr>
        <w:t xml:space="preserve">toegewezen aan Nederland als </w:t>
      </w:r>
      <w:r w:rsidR="00137B6F">
        <w:rPr>
          <w:rFonts w:cs="Arial"/>
          <w:szCs w:val="20"/>
        </w:rPr>
        <w:t>‘</w:t>
      </w:r>
      <w:r w:rsidR="004540B7">
        <w:rPr>
          <w:rFonts w:cs="Arial"/>
          <w:szCs w:val="20"/>
        </w:rPr>
        <w:t>bronstaat</w:t>
      </w:r>
      <w:r w:rsidR="00137B6F">
        <w:rPr>
          <w:rFonts w:cs="Arial"/>
          <w:szCs w:val="20"/>
        </w:rPr>
        <w:t>’</w:t>
      </w:r>
      <w:r w:rsidR="004540B7">
        <w:rPr>
          <w:rFonts w:cs="Arial"/>
          <w:szCs w:val="20"/>
        </w:rPr>
        <w:t xml:space="preserve"> en Polen als </w:t>
      </w:r>
      <w:r w:rsidR="00137B6F">
        <w:rPr>
          <w:rFonts w:cs="Arial"/>
          <w:szCs w:val="20"/>
        </w:rPr>
        <w:t>’</w:t>
      </w:r>
      <w:r w:rsidR="004540B7">
        <w:rPr>
          <w:rFonts w:cs="Arial"/>
          <w:szCs w:val="20"/>
        </w:rPr>
        <w:t>woonstaat</w:t>
      </w:r>
      <w:r w:rsidR="00137B6F">
        <w:rPr>
          <w:rFonts w:cs="Arial"/>
          <w:szCs w:val="20"/>
        </w:rPr>
        <w:t>’</w:t>
      </w:r>
      <w:r w:rsidR="004540B7">
        <w:rPr>
          <w:rFonts w:cs="Arial"/>
          <w:szCs w:val="20"/>
        </w:rPr>
        <w:t>.</w:t>
      </w:r>
      <w:r w:rsidR="009E1F7A">
        <w:rPr>
          <w:rFonts w:cs="Arial"/>
          <w:szCs w:val="20"/>
        </w:rPr>
        <w:t xml:space="preserve"> </w:t>
      </w:r>
      <w:r w:rsidR="005E46AF">
        <w:rPr>
          <w:rFonts w:cs="Arial"/>
          <w:szCs w:val="20"/>
        </w:rPr>
        <w:t>Op basis daarvan zal Polen een verrekening toestaan van de door Nederland geheven belasting met de belasting die op basis van de Poolse belastingwetgeving verschuldigd is over het desb</w:t>
      </w:r>
      <w:r w:rsidR="004540B7">
        <w:rPr>
          <w:rFonts w:cs="Arial"/>
          <w:szCs w:val="20"/>
        </w:rPr>
        <w:t>e</w:t>
      </w:r>
      <w:r w:rsidR="005E46AF">
        <w:rPr>
          <w:rFonts w:cs="Arial"/>
          <w:szCs w:val="20"/>
        </w:rPr>
        <w:t>t</w:t>
      </w:r>
      <w:r w:rsidR="004540B7">
        <w:rPr>
          <w:rFonts w:cs="Arial"/>
          <w:szCs w:val="20"/>
        </w:rPr>
        <w:t xml:space="preserve">reffende </w:t>
      </w:r>
      <w:r w:rsidR="005E46AF">
        <w:rPr>
          <w:rFonts w:cs="Arial"/>
          <w:szCs w:val="20"/>
        </w:rPr>
        <w:t>inkomen.</w:t>
      </w:r>
      <w:r w:rsidR="00525A1F">
        <w:rPr>
          <w:rFonts w:cs="Arial"/>
          <w:szCs w:val="20"/>
        </w:rPr>
        <w:t xml:space="preserve"> Deze </w:t>
      </w:r>
      <w:r w:rsidR="005A4241">
        <w:rPr>
          <w:rFonts w:cs="Arial"/>
          <w:szCs w:val="20"/>
        </w:rPr>
        <w:t>–</w:t>
      </w:r>
      <w:r w:rsidR="00525A1F">
        <w:rPr>
          <w:rFonts w:cs="Arial"/>
          <w:szCs w:val="20"/>
        </w:rPr>
        <w:t xml:space="preserve"> internationaal ook gebruikelijke </w:t>
      </w:r>
      <w:r w:rsidR="005A4241">
        <w:rPr>
          <w:rFonts w:cs="Arial"/>
          <w:szCs w:val="20"/>
        </w:rPr>
        <w:t xml:space="preserve">– </w:t>
      </w:r>
      <w:r w:rsidR="00525A1F">
        <w:rPr>
          <w:rFonts w:cs="Arial"/>
          <w:szCs w:val="20"/>
        </w:rPr>
        <w:t>systematiek gold overigens evenzeer voor het oorspronkelijke artikel 18 en geldt even</w:t>
      </w:r>
      <w:r w:rsidR="00257805">
        <w:rPr>
          <w:rFonts w:cs="Arial"/>
          <w:szCs w:val="20"/>
        </w:rPr>
        <w:t>eens</w:t>
      </w:r>
      <w:r w:rsidR="00525A1F">
        <w:rPr>
          <w:rFonts w:cs="Arial"/>
          <w:szCs w:val="20"/>
        </w:rPr>
        <w:t xml:space="preserve"> voor pensioenen ter zake van in overheidsdienst vervulde werkzaamheden als bedoeld in artikel 19 van het Verdrag. </w:t>
      </w:r>
    </w:p>
    <w:p w:rsidR="0032717B" w:rsidP="0045419E" w:rsidRDefault="005678B1" w14:paraId="2434A610" w14:textId="2D95DFC5">
      <w:pPr>
        <w:ind w:firstLine="720"/>
        <w:rPr>
          <w:rFonts w:cs="Arial"/>
          <w:szCs w:val="20"/>
        </w:rPr>
      </w:pPr>
      <w:r w:rsidRPr="005678B1">
        <w:rPr>
          <w:rFonts w:cs="Arial"/>
          <w:szCs w:val="20"/>
        </w:rPr>
        <w:t xml:space="preserve">In het </w:t>
      </w:r>
      <w:r w:rsidR="0032717B">
        <w:rPr>
          <w:rFonts w:cs="Arial"/>
          <w:szCs w:val="20"/>
        </w:rPr>
        <w:t>derde</w:t>
      </w:r>
      <w:r w:rsidRPr="005678B1">
        <w:rPr>
          <w:rFonts w:cs="Arial"/>
          <w:szCs w:val="20"/>
        </w:rPr>
        <w:t xml:space="preserve"> lid is bepaald wanneer een pensioen</w:t>
      </w:r>
      <w:r w:rsidR="00733C03">
        <w:rPr>
          <w:rFonts w:cs="Arial"/>
          <w:szCs w:val="20"/>
        </w:rPr>
        <w:t xml:space="preserve">, andere soortgelijke beloning of een lijfrente, </w:t>
      </w:r>
      <w:r w:rsidRPr="005678B1">
        <w:rPr>
          <w:rFonts w:cs="Arial"/>
          <w:szCs w:val="20"/>
        </w:rPr>
        <w:t xml:space="preserve">geacht wordt uit een Staat </w:t>
      </w:r>
      <w:r w:rsidR="00137B6F">
        <w:rPr>
          <w:rFonts w:cs="Arial"/>
          <w:szCs w:val="20"/>
        </w:rPr>
        <w:t>’</w:t>
      </w:r>
      <w:r w:rsidRPr="005678B1">
        <w:rPr>
          <w:rFonts w:cs="Arial"/>
          <w:szCs w:val="20"/>
        </w:rPr>
        <w:t>afkomstig</w:t>
      </w:r>
      <w:r w:rsidR="00137B6F">
        <w:rPr>
          <w:rFonts w:cs="Arial"/>
          <w:szCs w:val="20"/>
        </w:rPr>
        <w:t>’</w:t>
      </w:r>
      <w:r w:rsidRPr="005678B1">
        <w:rPr>
          <w:rFonts w:cs="Arial"/>
          <w:szCs w:val="20"/>
        </w:rPr>
        <w:t xml:space="preserve"> te zijn</w:t>
      </w:r>
      <w:r w:rsidR="002D33F5">
        <w:rPr>
          <w:rFonts w:cs="Arial"/>
          <w:szCs w:val="20"/>
        </w:rPr>
        <w:t xml:space="preserve"> (de </w:t>
      </w:r>
      <w:r w:rsidR="00137B6F">
        <w:rPr>
          <w:rFonts w:cs="Arial"/>
          <w:szCs w:val="20"/>
        </w:rPr>
        <w:t>‘</w:t>
      </w:r>
      <w:r w:rsidR="002D33F5">
        <w:rPr>
          <w:rFonts w:cs="Arial"/>
          <w:szCs w:val="20"/>
        </w:rPr>
        <w:t>herkomststaat</w:t>
      </w:r>
      <w:r w:rsidR="00137B6F">
        <w:rPr>
          <w:rFonts w:cs="Arial"/>
          <w:szCs w:val="20"/>
        </w:rPr>
        <w:t>’</w:t>
      </w:r>
      <w:r w:rsidR="002D33F5">
        <w:rPr>
          <w:rFonts w:cs="Arial"/>
          <w:szCs w:val="20"/>
        </w:rPr>
        <w:t>)</w:t>
      </w:r>
      <w:r w:rsidRPr="005678B1">
        <w:rPr>
          <w:rFonts w:cs="Arial"/>
          <w:szCs w:val="20"/>
        </w:rPr>
        <w:t xml:space="preserve">. Dat is het geval voor zover de met </w:t>
      </w:r>
      <w:r w:rsidR="00733C03">
        <w:rPr>
          <w:rFonts w:cs="Arial"/>
          <w:szCs w:val="20"/>
        </w:rPr>
        <w:t>deze uitkeringen samenhangende bijdragen of betalingen</w:t>
      </w:r>
      <w:r w:rsidRPr="005678B1">
        <w:rPr>
          <w:rFonts w:cs="Arial"/>
          <w:szCs w:val="20"/>
        </w:rPr>
        <w:t xml:space="preserve">, dan wel de aanspraken op </w:t>
      </w:r>
      <w:r w:rsidR="00C653DD">
        <w:rPr>
          <w:rFonts w:cs="Arial"/>
          <w:szCs w:val="20"/>
        </w:rPr>
        <w:t xml:space="preserve">deze uitkeringen, </w:t>
      </w:r>
      <w:r w:rsidRPr="005678B1">
        <w:rPr>
          <w:rFonts w:cs="Arial"/>
          <w:szCs w:val="20"/>
        </w:rPr>
        <w:t xml:space="preserve">in die Staat </w:t>
      </w:r>
      <w:r w:rsidR="000C670B">
        <w:rPr>
          <w:rFonts w:cs="Arial"/>
          <w:szCs w:val="20"/>
        </w:rPr>
        <w:t xml:space="preserve">bij de verkrijging van deze rechten </w:t>
      </w:r>
      <w:r w:rsidRPr="005678B1">
        <w:rPr>
          <w:rFonts w:cs="Arial"/>
          <w:szCs w:val="20"/>
        </w:rPr>
        <w:t xml:space="preserve">in aanmerking zijn gekomen voor een fiscale tegemoetkoming. </w:t>
      </w:r>
      <w:r w:rsidR="00C653DD">
        <w:rPr>
          <w:rFonts w:cs="Arial"/>
          <w:szCs w:val="20"/>
        </w:rPr>
        <w:t xml:space="preserve">Ter verduidelijking </w:t>
      </w:r>
      <w:r w:rsidR="0032717B">
        <w:rPr>
          <w:rFonts w:cs="Arial"/>
          <w:szCs w:val="20"/>
        </w:rPr>
        <w:t xml:space="preserve">wordt </w:t>
      </w:r>
      <w:r w:rsidR="00C653DD">
        <w:rPr>
          <w:rFonts w:cs="Arial"/>
          <w:szCs w:val="20"/>
        </w:rPr>
        <w:t xml:space="preserve">daarbij </w:t>
      </w:r>
      <w:r w:rsidR="0032717B">
        <w:rPr>
          <w:rFonts w:cs="Arial"/>
          <w:szCs w:val="20"/>
        </w:rPr>
        <w:t xml:space="preserve">bepaald dat </w:t>
      </w:r>
      <w:r w:rsidRPr="0032717B" w:rsidR="0032717B">
        <w:rPr>
          <w:rFonts w:cs="Arial"/>
          <w:szCs w:val="20"/>
        </w:rPr>
        <w:t>de overdracht van een pensioen</w:t>
      </w:r>
      <w:r w:rsidR="00C653DD">
        <w:rPr>
          <w:rFonts w:cs="Arial"/>
          <w:szCs w:val="20"/>
        </w:rPr>
        <w:t>, andere soortgelijke beloning, of lijfrente,</w:t>
      </w:r>
      <w:r w:rsidRPr="0032717B" w:rsidR="0032717B">
        <w:rPr>
          <w:rFonts w:cs="Arial"/>
          <w:szCs w:val="20"/>
        </w:rPr>
        <w:t xml:space="preserve"> van een pensioenfonds of een verzekeringsmaatschappij van een </w:t>
      </w:r>
      <w:r w:rsidR="00180DF0">
        <w:rPr>
          <w:rFonts w:cs="Arial"/>
          <w:szCs w:val="20"/>
        </w:rPr>
        <w:t>v</w:t>
      </w:r>
      <w:r w:rsidRPr="0032717B" w:rsidR="0032717B">
        <w:rPr>
          <w:rFonts w:cs="Arial"/>
          <w:szCs w:val="20"/>
        </w:rPr>
        <w:t xml:space="preserve">erdragsluitende </w:t>
      </w:r>
      <w:r w:rsidR="00180DF0">
        <w:rPr>
          <w:rFonts w:cs="Arial"/>
          <w:szCs w:val="20"/>
        </w:rPr>
        <w:t>s</w:t>
      </w:r>
      <w:r w:rsidRPr="0032717B" w:rsidR="0032717B">
        <w:rPr>
          <w:rFonts w:cs="Arial"/>
          <w:szCs w:val="20"/>
        </w:rPr>
        <w:t xml:space="preserve">taat naar een pensioenfonds of een verzekeringsmaatschappij </w:t>
      </w:r>
      <w:r w:rsidR="00C653DD">
        <w:rPr>
          <w:rFonts w:cs="Arial"/>
          <w:szCs w:val="20"/>
        </w:rPr>
        <w:t xml:space="preserve">van </w:t>
      </w:r>
      <w:r w:rsidRPr="0032717B" w:rsidR="0032717B">
        <w:rPr>
          <w:rFonts w:cs="Arial"/>
          <w:szCs w:val="20"/>
        </w:rPr>
        <w:t xml:space="preserve">enige andere </w:t>
      </w:r>
      <w:r w:rsidR="006D32D3">
        <w:rPr>
          <w:rFonts w:cs="Arial"/>
          <w:szCs w:val="20"/>
        </w:rPr>
        <w:t>s</w:t>
      </w:r>
      <w:r w:rsidRPr="0032717B" w:rsidR="0032717B">
        <w:rPr>
          <w:rFonts w:cs="Arial"/>
          <w:szCs w:val="20"/>
        </w:rPr>
        <w:t xml:space="preserve">taat het heffingsrecht van de </w:t>
      </w:r>
      <w:r w:rsidR="00634FC9">
        <w:rPr>
          <w:rFonts w:cs="Arial"/>
          <w:szCs w:val="20"/>
        </w:rPr>
        <w:t>herkomststaat</w:t>
      </w:r>
      <w:r w:rsidRPr="0032717B" w:rsidR="0032717B">
        <w:rPr>
          <w:rFonts w:cs="Arial"/>
          <w:szCs w:val="20"/>
        </w:rPr>
        <w:t xml:space="preserve"> niet aantast</w:t>
      </w:r>
      <w:r w:rsidR="0032717B">
        <w:rPr>
          <w:rFonts w:cs="Arial"/>
          <w:szCs w:val="20"/>
        </w:rPr>
        <w:t xml:space="preserve">. </w:t>
      </w:r>
      <w:r w:rsidRPr="005678B1">
        <w:rPr>
          <w:rFonts w:cs="Arial"/>
          <w:szCs w:val="20"/>
        </w:rPr>
        <w:lastRenderedPageBreak/>
        <w:t>De</w:t>
      </w:r>
      <w:r w:rsidR="0032717B">
        <w:rPr>
          <w:rFonts w:cs="Arial"/>
          <w:szCs w:val="20"/>
        </w:rPr>
        <w:t>ze</w:t>
      </w:r>
      <w:r w:rsidRPr="005678B1">
        <w:rPr>
          <w:rFonts w:cs="Arial"/>
          <w:szCs w:val="20"/>
        </w:rPr>
        <w:t xml:space="preserve"> bepaling is gelijkluidend aan het oorspronkelijke artikel 18, vierde lid. </w:t>
      </w:r>
      <w:r w:rsidR="000C670B">
        <w:rPr>
          <w:rFonts w:cs="Arial"/>
          <w:szCs w:val="20"/>
        </w:rPr>
        <w:t xml:space="preserve">Voor de goede orde </w:t>
      </w:r>
      <w:r w:rsidR="007F687A">
        <w:rPr>
          <w:rFonts w:cs="Arial"/>
          <w:szCs w:val="20"/>
        </w:rPr>
        <w:t xml:space="preserve">wordt </w:t>
      </w:r>
      <w:r w:rsidR="000C670B">
        <w:rPr>
          <w:rFonts w:cs="Arial"/>
          <w:szCs w:val="20"/>
        </w:rPr>
        <w:t xml:space="preserve">nog vermeld dat de uitkeringen volgens een nettopensioen- of nettolijfrenteregeling in de zin van afdeling 5.3B onderscheidenlijk afdeling 5.3A van de Wet </w:t>
      </w:r>
      <w:r w:rsidR="0045419E">
        <w:rPr>
          <w:rFonts w:cs="Arial"/>
          <w:szCs w:val="20"/>
        </w:rPr>
        <w:t>inkomstenbelasting</w:t>
      </w:r>
      <w:r w:rsidR="000C670B">
        <w:rPr>
          <w:rFonts w:cs="Arial"/>
          <w:szCs w:val="20"/>
        </w:rPr>
        <w:t xml:space="preserve"> 2001 </w:t>
      </w:r>
      <w:r w:rsidR="0045419E">
        <w:rPr>
          <w:rFonts w:cs="Arial"/>
          <w:szCs w:val="20"/>
        </w:rPr>
        <w:t xml:space="preserve">op basis van dit derde lid niet geacht kunnen worden afkomstig te zijn uit Nederland aangezien de verkrijging van de aanspraak op een zodanige uitkering in Nederland niet fiscaal wordt tegemoetgekomen. </w:t>
      </w:r>
      <w:r w:rsidRPr="0045419E" w:rsidR="0045419E">
        <w:rPr>
          <w:rFonts w:cs="Arial"/>
          <w:szCs w:val="20"/>
        </w:rPr>
        <w:t>Hiervoor bestaat immers geen recht op</w:t>
      </w:r>
      <w:r w:rsidR="0045419E">
        <w:rPr>
          <w:rFonts w:cs="Arial"/>
          <w:szCs w:val="20"/>
        </w:rPr>
        <w:t xml:space="preserve"> </w:t>
      </w:r>
      <w:r w:rsidRPr="0045419E" w:rsidR="0045419E">
        <w:rPr>
          <w:rFonts w:cs="Arial"/>
          <w:szCs w:val="20"/>
        </w:rPr>
        <w:t>premieaftrek en geldt, kort gezegd, de omkeerregel niet</w:t>
      </w:r>
      <w:r w:rsidR="0045419E">
        <w:rPr>
          <w:rFonts w:cs="Arial"/>
          <w:szCs w:val="20"/>
        </w:rPr>
        <w:t>.</w:t>
      </w:r>
      <w:r w:rsidR="000C670B">
        <w:rPr>
          <w:rFonts w:cs="Arial"/>
          <w:szCs w:val="20"/>
        </w:rPr>
        <w:t xml:space="preserve"> </w:t>
      </w:r>
    </w:p>
    <w:p w:rsidRPr="0032717B" w:rsidR="0032717B" w:rsidP="0032717B" w:rsidRDefault="005678B1" w14:paraId="12D384AA" w14:textId="77777777">
      <w:pPr>
        <w:ind w:firstLine="720"/>
        <w:rPr>
          <w:rFonts w:cs="Arial"/>
          <w:szCs w:val="20"/>
        </w:rPr>
      </w:pPr>
      <w:r w:rsidRPr="005678B1">
        <w:rPr>
          <w:rFonts w:cs="Arial"/>
          <w:szCs w:val="20"/>
        </w:rPr>
        <w:t xml:space="preserve">In het </w:t>
      </w:r>
      <w:r w:rsidR="0032717B">
        <w:rPr>
          <w:rFonts w:cs="Arial"/>
          <w:szCs w:val="20"/>
        </w:rPr>
        <w:t>vierde</w:t>
      </w:r>
      <w:r w:rsidRPr="005678B1">
        <w:rPr>
          <w:rFonts w:cs="Arial"/>
          <w:szCs w:val="20"/>
        </w:rPr>
        <w:t xml:space="preserve"> lid is een definitie opgenomen van het begrip </w:t>
      </w:r>
      <w:r w:rsidR="00137B6F">
        <w:rPr>
          <w:rFonts w:cs="Arial"/>
          <w:szCs w:val="20"/>
        </w:rPr>
        <w:t>‘</w:t>
      </w:r>
      <w:r w:rsidRPr="005678B1">
        <w:rPr>
          <w:rFonts w:cs="Arial"/>
          <w:szCs w:val="20"/>
        </w:rPr>
        <w:t>lijfrente</w:t>
      </w:r>
      <w:r w:rsidR="00137B6F">
        <w:rPr>
          <w:rFonts w:cs="Arial"/>
          <w:szCs w:val="20"/>
        </w:rPr>
        <w:t>’</w:t>
      </w:r>
      <w:r w:rsidRPr="005678B1">
        <w:rPr>
          <w:rFonts w:cs="Arial"/>
          <w:szCs w:val="20"/>
        </w:rPr>
        <w:t xml:space="preserve">. Deze is gelijkluidend aan de definitie die is opgenomen in artikel 18, </w:t>
      </w:r>
      <w:r w:rsidR="0032717B">
        <w:rPr>
          <w:rFonts w:cs="Arial"/>
          <w:szCs w:val="20"/>
        </w:rPr>
        <w:t>zevende</w:t>
      </w:r>
      <w:r w:rsidRPr="005678B1">
        <w:rPr>
          <w:rFonts w:cs="Arial"/>
          <w:szCs w:val="20"/>
        </w:rPr>
        <w:t xml:space="preserve"> lid, van het oorspronkelijke artikel 18.</w:t>
      </w:r>
    </w:p>
    <w:p w:rsidR="00CC5302" w:rsidP="00CC5302" w:rsidRDefault="00CC5302" w14:paraId="579520DC" w14:textId="299E7A4F">
      <w:pPr>
        <w:ind w:firstLine="720"/>
        <w:rPr>
          <w:rFonts w:cs="Arial"/>
          <w:szCs w:val="20"/>
        </w:rPr>
      </w:pPr>
      <w:r w:rsidRPr="00CC5302">
        <w:rPr>
          <w:rFonts w:cs="Arial"/>
          <w:szCs w:val="20"/>
        </w:rPr>
        <w:t xml:space="preserve">In het vijfde lid </w:t>
      </w:r>
      <w:r w:rsidR="0045419E">
        <w:rPr>
          <w:rFonts w:cs="Arial"/>
          <w:szCs w:val="20"/>
        </w:rPr>
        <w:t>is</w:t>
      </w:r>
      <w:r w:rsidR="00435724">
        <w:rPr>
          <w:rFonts w:cs="Arial"/>
          <w:szCs w:val="20"/>
        </w:rPr>
        <w:t>, deels</w:t>
      </w:r>
      <w:r w:rsidR="0045419E">
        <w:rPr>
          <w:rFonts w:cs="Arial"/>
          <w:szCs w:val="20"/>
        </w:rPr>
        <w:t xml:space="preserve"> </w:t>
      </w:r>
      <w:r w:rsidR="000037BC">
        <w:rPr>
          <w:rFonts w:cs="Arial"/>
          <w:szCs w:val="20"/>
        </w:rPr>
        <w:t>ter verduidelijking</w:t>
      </w:r>
      <w:r w:rsidR="00435724">
        <w:rPr>
          <w:rFonts w:cs="Arial"/>
          <w:szCs w:val="20"/>
        </w:rPr>
        <w:t>,</w:t>
      </w:r>
      <w:r w:rsidR="000037BC">
        <w:rPr>
          <w:rFonts w:cs="Arial"/>
          <w:szCs w:val="20"/>
        </w:rPr>
        <w:t xml:space="preserve"> </w:t>
      </w:r>
      <w:r w:rsidRPr="00CC5302">
        <w:rPr>
          <w:rFonts w:cs="Arial"/>
          <w:szCs w:val="20"/>
        </w:rPr>
        <w:t>bepaald dat het onderhavige artikel ook van toepassing is op afkoopsommen van pensioenen, andere soortgelijke beloningen en lijfrenten</w:t>
      </w:r>
      <w:r w:rsidR="000037BC">
        <w:rPr>
          <w:rFonts w:cs="Arial"/>
          <w:szCs w:val="20"/>
        </w:rPr>
        <w:t xml:space="preserve">. Nu in het eerste lid een </w:t>
      </w:r>
      <w:r w:rsidR="00833F31">
        <w:rPr>
          <w:rFonts w:cs="Arial"/>
          <w:szCs w:val="20"/>
        </w:rPr>
        <w:t>in feite ongeclausuleerd heffingsrecht is opgenomen voor een staat over uit die staat afkomstige pensioenen, soortgelijke beloningen en lijfrenten, is ook de belastingheffing door die staat gewaarborgd in</w:t>
      </w:r>
      <w:r w:rsidR="00435724">
        <w:rPr>
          <w:rFonts w:cs="Arial"/>
          <w:szCs w:val="20"/>
        </w:rPr>
        <w:t xml:space="preserve"> het </w:t>
      </w:r>
      <w:r w:rsidR="00833F31">
        <w:rPr>
          <w:rFonts w:cs="Arial"/>
          <w:szCs w:val="20"/>
        </w:rPr>
        <w:t xml:space="preserve">geval </w:t>
      </w:r>
      <w:r w:rsidR="00435724">
        <w:rPr>
          <w:rFonts w:cs="Arial"/>
          <w:szCs w:val="20"/>
        </w:rPr>
        <w:t xml:space="preserve">van afkoop van </w:t>
      </w:r>
      <w:r w:rsidR="00157948">
        <w:rPr>
          <w:rFonts w:cs="Arial"/>
          <w:szCs w:val="20"/>
        </w:rPr>
        <w:t xml:space="preserve">pensioenrechten aangezien een zodanige afkoop wordt beschouwd als een </w:t>
      </w:r>
      <w:r w:rsidR="00137B6F">
        <w:rPr>
          <w:rFonts w:cs="Arial"/>
          <w:szCs w:val="20"/>
        </w:rPr>
        <w:t>‘</w:t>
      </w:r>
      <w:r w:rsidR="00157948">
        <w:rPr>
          <w:rFonts w:cs="Arial"/>
          <w:szCs w:val="20"/>
        </w:rPr>
        <w:t>soortgelijke beloning</w:t>
      </w:r>
      <w:r w:rsidR="00137B6F">
        <w:rPr>
          <w:rFonts w:cs="Arial"/>
          <w:szCs w:val="20"/>
        </w:rPr>
        <w:t>’</w:t>
      </w:r>
      <w:r w:rsidR="00157948">
        <w:rPr>
          <w:rFonts w:cs="Arial"/>
          <w:szCs w:val="20"/>
        </w:rPr>
        <w:t xml:space="preserve"> in de zin van het eerste lid. Maar voor de afkoop van een lijfrente ligt dat anders</w:t>
      </w:r>
      <w:r w:rsidR="00296684">
        <w:rPr>
          <w:rFonts w:cs="Arial"/>
          <w:szCs w:val="20"/>
        </w:rPr>
        <w:t>; dergelijk inkomen word</w:t>
      </w:r>
      <w:r w:rsidR="007F687A">
        <w:rPr>
          <w:rFonts w:cs="Arial"/>
          <w:szCs w:val="20"/>
        </w:rPr>
        <w:t>t</w:t>
      </w:r>
      <w:r w:rsidR="002D33F5">
        <w:rPr>
          <w:rFonts w:cs="Arial"/>
          <w:szCs w:val="20"/>
        </w:rPr>
        <w:t xml:space="preserve">, gelet op de redactie van het eerste lid, niet door het eerste lid bestreken. Zonder de in het vijfde lid opgenomen bepaling zou dus de belastingheffing over de afkoop van een lijfrente niet aan de herkomststaat toegewezen zijn. </w:t>
      </w:r>
      <w:r w:rsidR="00634FC9">
        <w:rPr>
          <w:rFonts w:cs="Arial"/>
          <w:szCs w:val="20"/>
        </w:rPr>
        <w:t xml:space="preserve">Opgemerkt wordt nog dat ook het </w:t>
      </w:r>
      <w:r w:rsidR="006F55B8">
        <w:rPr>
          <w:rFonts w:cs="Arial"/>
          <w:szCs w:val="20"/>
        </w:rPr>
        <w:t xml:space="preserve">oorspronkelijke artikel </w:t>
      </w:r>
      <w:r w:rsidR="006B72BC">
        <w:rPr>
          <w:rFonts w:cs="Arial"/>
          <w:szCs w:val="20"/>
        </w:rPr>
        <w:t xml:space="preserve">18 </w:t>
      </w:r>
      <w:r w:rsidR="006F55B8">
        <w:rPr>
          <w:rFonts w:cs="Arial"/>
          <w:szCs w:val="20"/>
        </w:rPr>
        <w:t>voorzag in een volledig heffingsrecht voor het herkomstland ter zake van afkoopsommen.</w:t>
      </w:r>
      <w:r w:rsidR="008D3DC6">
        <w:rPr>
          <w:rFonts w:cs="Arial"/>
          <w:szCs w:val="20"/>
        </w:rPr>
        <w:br/>
      </w:r>
      <w:r w:rsidR="008D3DC6">
        <w:rPr>
          <w:rFonts w:cs="Arial"/>
          <w:szCs w:val="20"/>
        </w:rPr>
        <w:tab/>
        <w:t xml:space="preserve">Als uitvloeisel van het opnemen van </w:t>
      </w:r>
      <w:r w:rsidR="00F30ED4">
        <w:rPr>
          <w:rFonts w:cs="Arial"/>
          <w:szCs w:val="20"/>
        </w:rPr>
        <w:t xml:space="preserve">het </w:t>
      </w:r>
      <w:r w:rsidR="008D3DC6">
        <w:rPr>
          <w:rFonts w:cs="Arial"/>
          <w:szCs w:val="20"/>
        </w:rPr>
        <w:t>nieuw</w:t>
      </w:r>
      <w:r w:rsidR="00F30ED4">
        <w:rPr>
          <w:rFonts w:cs="Arial"/>
          <w:szCs w:val="20"/>
        </w:rPr>
        <w:t>e</w:t>
      </w:r>
      <w:r w:rsidR="008D3DC6">
        <w:rPr>
          <w:rFonts w:cs="Arial"/>
          <w:szCs w:val="20"/>
        </w:rPr>
        <w:t xml:space="preserve"> artikel 18 in het Verdrag kon de in artikel X van het </w:t>
      </w:r>
      <w:r w:rsidR="00F30ED4">
        <w:rPr>
          <w:rFonts w:cs="Arial"/>
          <w:szCs w:val="20"/>
        </w:rPr>
        <w:t>P</w:t>
      </w:r>
      <w:r w:rsidR="008D3DC6">
        <w:rPr>
          <w:rFonts w:cs="Arial"/>
          <w:szCs w:val="20"/>
        </w:rPr>
        <w:t>rotocol bij het Verdrag opgenomen bepaling vervallen. Deze bepaling voorzag in een mogelijk</w:t>
      </w:r>
      <w:r w:rsidR="008C1DF0">
        <w:rPr>
          <w:rFonts w:cs="Arial"/>
          <w:szCs w:val="20"/>
        </w:rPr>
        <w:t>heid</w:t>
      </w:r>
      <w:r w:rsidR="008D3DC6">
        <w:rPr>
          <w:rFonts w:cs="Arial"/>
          <w:szCs w:val="20"/>
        </w:rPr>
        <w:t xml:space="preserve"> tot onderling overleg over de </w:t>
      </w:r>
      <w:r w:rsidR="00F30ED4">
        <w:rPr>
          <w:rFonts w:cs="Arial"/>
          <w:szCs w:val="20"/>
        </w:rPr>
        <w:t xml:space="preserve">– </w:t>
      </w:r>
      <w:r w:rsidR="008D3DC6">
        <w:rPr>
          <w:rFonts w:cs="Arial"/>
          <w:szCs w:val="20"/>
        </w:rPr>
        <w:t xml:space="preserve">hiervoor al aangehaalde </w:t>
      </w:r>
      <w:r w:rsidR="00F30ED4">
        <w:rPr>
          <w:rFonts w:cs="Arial"/>
          <w:szCs w:val="20"/>
        </w:rPr>
        <w:t xml:space="preserve">– </w:t>
      </w:r>
      <w:r w:rsidR="008D3DC6">
        <w:rPr>
          <w:rFonts w:cs="Arial"/>
          <w:szCs w:val="20"/>
        </w:rPr>
        <w:t>in het vervallen artikel 18, tweede lid, onderdeel c, van het Verdrag opgenomen grensbedrag van € 20.000</w:t>
      </w:r>
      <w:r w:rsidR="00DB5D59">
        <w:rPr>
          <w:rFonts w:cs="Arial"/>
          <w:szCs w:val="20"/>
        </w:rPr>
        <w:t>.</w:t>
      </w:r>
      <w:r w:rsidR="008D3DC6">
        <w:rPr>
          <w:rFonts w:cs="Arial"/>
          <w:szCs w:val="20"/>
        </w:rPr>
        <w:t xml:space="preserve"> Met artikel 2</w:t>
      </w:r>
      <w:r w:rsidR="007B23B1">
        <w:rPr>
          <w:rFonts w:cs="Arial"/>
          <w:szCs w:val="20"/>
        </w:rPr>
        <w:t>4</w:t>
      </w:r>
      <w:r w:rsidR="008D3DC6">
        <w:rPr>
          <w:rFonts w:cs="Arial"/>
          <w:szCs w:val="20"/>
        </w:rPr>
        <w:t xml:space="preserve"> van dit Wijzigingsprotocol is artikel </w:t>
      </w:r>
      <w:r w:rsidR="00DE4FC4">
        <w:rPr>
          <w:rFonts w:cs="Arial"/>
          <w:szCs w:val="20"/>
        </w:rPr>
        <w:t>X</w:t>
      </w:r>
      <w:r w:rsidR="008D3DC6">
        <w:rPr>
          <w:rFonts w:cs="Arial"/>
          <w:szCs w:val="20"/>
        </w:rPr>
        <w:t xml:space="preserve"> van het Protocol bij het </w:t>
      </w:r>
      <w:r w:rsidR="008C1DF0">
        <w:rPr>
          <w:rFonts w:cs="Arial"/>
          <w:szCs w:val="20"/>
        </w:rPr>
        <w:t>V</w:t>
      </w:r>
      <w:r w:rsidR="008D3DC6">
        <w:rPr>
          <w:rFonts w:cs="Arial"/>
          <w:szCs w:val="20"/>
        </w:rPr>
        <w:t>erdrag geschrapt.</w:t>
      </w:r>
    </w:p>
    <w:p w:rsidR="0032717B" w:rsidP="0032717B" w:rsidRDefault="0032717B" w14:paraId="0F1A6D1E" w14:textId="77777777">
      <w:pPr>
        <w:ind w:firstLine="0"/>
        <w:rPr>
          <w:rFonts w:ascii="Verdana" w:hAnsi="Verdana"/>
          <w:i/>
          <w:sz w:val="18"/>
          <w:szCs w:val="18"/>
        </w:rPr>
      </w:pPr>
    </w:p>
    <w:p w:rsidRPr="0032717B" w:rsidR="0032717B" w:rsidP="0032717B" w:rsidRDefault="0032717B" w14:paraId="03D8DF89" w14:textId="77777777">
      <w:pPr>
        <w:ind w:firstLine="0"/>
        <w:rPr>
          <w:rFonts w:cs="Arial"/>
          <w:i/>
          <w:szCs w:val="20"/>
        </w:rPr>
      </w:pPr>
      <w:r w:rsidRPr="0032717B">
        <w:rPr>
          <w:rFonts w:cs="Arial"/>
          <w:i/>
          <w:szCs w:val="20"/>
        </w:rPr>
        <w:t xml:space="preserve">II.11. Vermijding van dubbele belasting (artikel </w:t>
      </w:r>
      <w:r w:rsidR="00373C54">
        <w:rPr>
          <w:rFonts w:cs="Arial"/>
          <w:i/>
          <w:szCs w:val="20"/>
        </w:rPr>
        <w:t>11</w:t>
      </w:r>
      <w:r w:rsidRPr="0032717B">
        <w:rPr>
          <w:rFonts w:cs="Arial"/>
          <w:i/>
          <w:szCs w:val="20"/>
        </w:rPr>
        <w:t xml:space="preserve"> van het Wijzigingsprotocol, artikel 23 van het Verdrag)</w:t>
      </w:r>
    </w:p>
    <w:p w:rsidRPr="0032717B" w:rsidR="0032717B" w:rsidP="0032717B" w:rsidRDefault="0032717B" w14:paraId="320430C2" w14:textId="77777777">
      <w:pPr>
        <w:ind w:firstLine="708"/>
      </w:pPr>
    </w:p>
    <w:p w:rsidR="00373C54" w:rsidP="00373C54" w:rsidRDefault="005678B1" w14:paraId="65CF5FD6" w14:textId="77777777">
      <w:pPr>
        <w:ind w:firstLine="720"/>
        <w:rPr>
          <w:rFonts w:cs="Arial"/>
          <w:szCs w:val="20"/>
        </w:rPr>
      </w:pPr>
      <w:r w:rsidRPr="005678B1">
        <w:rPr>
          <w:rFonts w:cs="Arial"/>
          <w:szCs w:val="20"/>
        </w:rPr>
        <w:t>In artikel 2</w:t>
      </w:r>
      <w:r w:rsidR="00373C54">
        <w:rPr>
          <w:rFonts w:cs="Arial"/>
          <w:szCs w:val="20"/>
        </w:rPr>
        <w:t>3</w:t>
      </w:r>
      <w:r w:rsidRPr="005678B1">
        <w:rPr>
          <w:rFonts w:cs="Arial"/>
          <w:szCs w:val="20"/>
        </w:rPr>
        <w:t xml:space="preserve"> van het Verdrag is neergelegd op welke manier beide </w:t>
      </w:r>
      <w:r w:rsidR="00180DF0">
        <w:rPr>
          <w:rFonts w:cs="Arial"/>
          <w:szCs w:val="20"/>
        </w:rPr>
        <w:t>v</w:t>
      </w:r>
      <w:r w:rsidRPr="005678B1">
        <w:rPr>
          <w:rFonts w:cs="Arial"/>
          <w:szCs w:val="20"/>
        </w:rPr>
        <w:t xml:space="preserve">erdragsluitende </w:t>
      </w:r>
      <w:r w:rsidR="00180DF0">
        <w:rPr>
          <w:rFonts w:cs="Arial"/>
          <w:szCs w:val="20"/>
        </w:rPr>
        <w:t>s</w:t>
      </w:r>
      <w:r w:rsidRPr="005678B1">
        <w:rPr>
          <w:rFonts w:cs="Arial"/>
          <w:szCs w:val="20"/>
        </w:rPr>
        <w:t xml:space="preserve">taten voor hun inwoners dubbele belasting vermijden. </w:t>
      </w:r>
      <w:r w:rsidR="00373C54">
        <w:rPr>
          <w:rFonts w:cs="Arial"/>
          <w:szCs w:val="20"/>
        </w:rPr>
        <w:t>Met artikel 11</w:t>
      </w:r>
      <w:r w:rsidRPr="005678B1">
        <w:rPr>
          <w:rFonts w:cs="Arial"/>
          <w:szCs w:val="20"/>
        </w:rPr>
        <w:t xml:space="preserve"> van het Wijzigingsprotocol wordt artikel 2</w:t>
      </w:r>
      <w:r w:rsidR="00E6584C">
        <w:rPr>
          <w:rFonts w:cs="Arial"/>
          <w:szCs w:val="20"/>
        </w:rPr>
        <w:t>3</w:t>
      </w:r>
      <w:r w:rsidRPr="005678B1">
        <w:rPr>
          <w:rFonts w:cs="Arial"/>
          <w:szCs w:val="20"/>
        </w:rPr>
        <w:t xml:space="preserve"> van het Verdrag geactualiseerd mede naar aanleiding van de wijzigingen die dit Wijzigingsprotocol tot gevolg heeft.</w:t>
      </w:r>
      <w:r w:rsidR="00373C54">
        <w:rPr>
          <w:rFonts w:cs="Arial"/>
          <w:szCs w:val="20"/>
        </w:rPr>
        <w:t xml:space="preserve"> Het eerste, tweede, derde, </w:t>
      </w:r>
      <w:r w:rsidRPr="005678B1">
        <w:rPr>
          <w:rFonts w:cs="Arial"/>
          <w:szCs w:val="20"/>
        </w:rPr>
        <w:t xml:space="preserve">vierde </w:t>
      </w:r>
      <w:r w:rsidR="00373C54">
        <w:rPr>
          <w:rFonts w:cs="Arial"/>
          <w:szCs w:val="20"/>
        </w:rPr>
        <w:t xml:space="preserve">en zevende </w:t>
      </w:r>
      <w:r w:rsidRPr="005678B1">
        <w:rPr>
          <w:rFonts w:cs="Arial"/>
          <w:szCs w:val="20"/>
        </w:rPr>
        <w:t xml:space="preserve">lid </w:t>
      </w:r>
      <w:r w:rsidR="00E30637">
        <w:rPr>
          <w:rFonts w:cs="Arial"/>
          <w:szCs w:val="20"/>
        </w:rPr>
        <w:t xml:space="preserve">van artikel 23 van het Verdrag </w:t>
      </w:r>
      <w:r w:rsidRPr="005678B1">
        <w:rPr>
          <w:rFonts w:cs="Arial"/>
          <w:szCs w:val="20"/>
        </w:rPr>
        <w:t xml:space="preserve">zien op inwoners van Nederland, en het vijfde </w:t>
      </w:r>
      <w:r w:rsidR="00373C54">
        <w:rPr>
          <w:rFonts w:cs="Arial"/>
          <w:szCs w:val="20"/>
        </w:rPr>
        <w:t xml:space="preserve">en zesde </w:t>
      </w:r>
      <w:r w:rsidRPr="005678B1">
        <w:rPr>
          <w:rFonts w:cs="Arial"/>
          <w:szCs w:val="20"/>
        </w:rPr>
        <w:t xml:space="preserve">lid </w:t>
      </w:r>
      <w:r w:rsidR="0025002C">
        <w:rPr>
          <w:rFonts w:cs="Arial"/>
          <w:szCs w:val="20"/>
        </w:rPr>
        <w:t xml:space="preserve">van dat artikel </w:t>
      </w:r>
      <w:r w:rsidRPr="005678B1">
        <w:rPr>
          <w:rFonts w:cs="Arial"/>
          <w:szCs w:val="20"/>
        </w:rPr>
        <w:t>zie</w:t>
      </w:r>
      <w:r w:rsidR="00E6584C">
        <w:rPr>
          <w:rFonts w:cs="Arial"/>
          <w:szCs w:val="20"/>
        </w:rPr>
        <w:t>n</w:t>
      </w:r>
      <w:r w:rsidRPr="005678B1">
        <w:rPr>
          <w:rFonts w:cs="Arial"/>
          <w:szCs w:val="20"/>
        </w:rPr>
        <w:t xml:space="preserve"> op inwoners van </w:t>
      </w:r>
      <w:r w:rsidR="00373C54">
        <w:rPr>
          <w:rFonts w:cs="Arial"/>
          <w:szCs w:val="20"/>
        </w:rPr>
        <w:t>Polen</w:t>
      </w:r>
      <w:r w:rsidRPr="005678B1">
        <w:rPr>
          <w:rFonts w:cs="Arial"/>
          <w:szCs w:val="20"/>
        </w:rPr>
        <w:t xml:space="preserve">. </w:t>
      </w:r>
      <w:r w:rsidR="00373C54">
        <w:rPr>
          <w:rFonts w:cs="Arial"/>
          <w:szCs w:val="20"/>
        </w:rPr>
        <w:br/>
      </w:r>
      <w:r w:rsidR="00373C54">
        <w:rPr>
          <w:rFonts w:cs="Arial"/>
          <w:szCs w:val="20"/>
        </w:rPr>
        <w:tab/>
      </w:r>
      <w:r w:rsidR="006B56F6">
        <w:rPr>
          <w:rFonts w:cs="Arial"/>
          <w:szCs w:val="20"/>
        </w:rPr>
        <w:t xml:space="preserve">In </w:t>
      </w:r>
      <w:r w:rsidR="00373C54">
        <w:rPr>
          <w:rFonts w:cs="Arial"/>
          <w:szCs w:val="20"/>
        </w:rPr>
        <w:t>het tweede</w:t>
      </w:r>
      <w:r w:rsidR="00447050">
        <w:rPr>
          <w:rFonts w:cs="Arial"/>
          <w:szCs w:val="20"/>
        </w:rPr>
        <w:t xml:space="preserve"> en</w:t>
      </w:r>
      <w:r w:rsidR="00373C54">
        <w:rPr>
          <w:rFonts w:cs="Arial"/>
          <w:szCs w:val="20"/>
        </w:rPr>
        <w:t xml:space="preserve"> derde lid van artikel 23 van het Verdrag </w:t>
      </w:r>
      <w:r w:rsidR="006B56F6">
        <w:rPr>
          <w:rFonts w:cs="Arial"/>
          <w:szCs w:val="20"/>
        </w:rPr>
        <w:t xml:space="preserve">worden </w:t>
      </w:r>
      <w:r w:rsidRPr="005678B1">
        <w:rPr>
          <w:rFonts w:cs="Arial"/>
          <w:szCs w:val="20"/>
        </w:rPr>
        <w:t>als uitvloeisel van de wijzigingen van artikel</w:t>
      </w:r>
      <w:r w:rsidR="00273A21">
        <w:rPr>
          <w:rFonts w:cs="Arial"/>
          <w:szCs w:val="20"/>
        </w:rPr>
        <w:t xml:space="preserve"> 13 van het Verdrag (Vermogenswinsten) en</w:t>
      </w:r>
      <w:r w:rsidRPr="005678B1">
        <w:rPr>
          <w:rFonts w:cs="Arial"/>
          <w:szCs w:val="20"/>
        </w:rPr>
        <w:t xml:space="preserve"> </w:t>
      </w:r>
      <w:r w:rsidR="00273A21">
        <w:rPr>
          <w:rFonts w:cs="Arial"/>
          <w:szCs w:val="20"/>
        </w:rPr>
        <w:t xml:space="preserve">artikel </w:t>
      </w:r>
      <w:r w:rsidRPr="005678B1">
        <w:rPr>
          <w:rFonts w:cs="Arial"/>
          <w:szCs w:val="20"/>
        </w:rPr>
        <w:t>18 van het Verdrag (Pensioenen, lijfrenten en socialezekerheidsuitkeringen), de verwijzing</w:t>
      </w:r>
      <w:r w:rsidR="00431EEC">
        <w:rPr>
          <w:rFonts w:cs="Arial"/>
          <w:szCs w:val="20"/>
        </w:rPr>
        <w:t xml:space="preserve">en </w:t>
      </w:r>
      <w:r w:rsidR="006B56F6">
        <w:rPr>
          <w:rFonts w:cs="Arial"/>
          <w:szCs w:val="20"/>
        </w:rPr>
        <w:t xml:space="preserve">naar deze artikelen </w:t>
      </w:r>
      <w:r w:rsidR="00431EEC">
        <w:rPr>
          <w:rFonts w:cs="Arial"/>
          <w:szCs w:val="20"/>
        </w:rPr>
        <w:t>aangepast.</w:t>
      </w:r>
    </w:p>
    <w:p w:rsidR="00447050" w:rsidP="00447050" w:rsidRDefault="0032717B" w14:paraId="5F9C7B05" w14:textId="77777777">
      <w:pPr>
        <w:ind w:firstLine="708"/>
      </w:pPr>
      <w:r w:rsidRPr="0032717B">
        <w:rPr>
          <w:rFonts w:cs="Arial"/>
          <w:szCs w:val="20"/>
        </w:rPr>
        <w:t xml:space="preserve">In </w:t>
      </w:r>
      <w:r w:rsidR="004C2952">
        <w:rPr>
          <w:rFonts w:cs="Arial"/>
          <w:szCs w:val="20"/>
        </w:rPr>
        <w:t xml:space="preserve">het </w:t>
      </w:r>
      <w:r w:rsidRPr="0032717B">
        <w:rPr>
          <w:rFonts w:cs="Arial"/>
          <w:szCs w:val="20"/>
        </w:rPr>
        <w:t xml:space="preserve">tweede lid van artikel 23 van het Verdrag wordt </w:t>
      </w:r>
      <w:r w:rsidR="00447050">
        <w:rPr>
          <w:rFonts w:cs="Arial"/>
          <w:szCs w:val="20"/>
        </w:rPr>
        <w:t>de</w:t>
      </w:r>
      <w:r w:rsidR="00525A1F">
        <w:rPr>
          <w:rFonts w:cs="Arial"/>
          <w:szCs w:val="20"/>
        </w:rPr>
        <w:t xml:space="preserve"> </w:t>
      </w:r>
      <w:r w:rsidRPr="0032717B">
        <w:rPr>
          <w:rFonts w:cs="Arial"/>
          <w:szCs w:val="20"/>
        </w:rPr>
        <w:t xml:space="preserve">verwijzing naar </w:t>
      </w:r>
      <w:r w:rsidR="00525A1F">
        <w:rPr>
          <w:rFonts w:cs="Arial"/>
          <w:szCs w:val="20"/>
        </w:rPr>
        <w:t xml:space="preserve">artikel </w:t>
      </w:r>
      <w:r w:rsidR="00447050">
        <w:rPr>
          <w:rFonts w:cs="Arial"/>
          <w:szCs w:val="20"/>
        </w:rPr>
        <w:t>18, tweede en vijfde lid</w:t>
      </w:r>
      <w:r w:rsidR="00525A1F">
        <w:rPr>
          <w:rFonts w:cs="Arial"/>
          <w:szCs w:val="20"/>
        </w:rPr>
        <w:t>,</w:t>
      </w:r>
      <w:r w:rsidRPr="0032717B">
        <w:rPr>
          <w:rFonts w:cs="Arial"/>
          <w:szCs w:val="20"/>
        </w:rPr>
        <w:t xml:space="preserve"> van het Verdrag</w:t>
      </w:r>
      <w:r w:rsidR="00525A1F">
        <w:rPr>
          <w:rFonts w:cs="Arial"/>
          <w:szCs w:val="20"/>
        </w:rPr>
        <w:t xml:space="preserve"> </w:t>
      </w:r>
      <w:r w:rsidR="00447050">
        <w:rPr>
          <w:rFonts w:cs="Arial"/>
          <w:szCs w:val="20"/>
        </w:rPr>
        <w:t>vervangen door een verwijzing naar artikel 18, eerste en tweede lid, van het Verdrag</w:t>
      </w:r>
      <w:r w:rsidRPr="0032717B">
        <w:rPr>
          <w:rFonts w:cs="Arial"/>
          <w:szCs w:val="20"/>
        </w:rPr>
        <w:t>.</w:t>
      </w:r>
      <w:r w:rsidRPr="00447050" w:rsidR="00447050">
        <w:t xml:space="preserve"> </w:t>
      </w:r>
      <w:r w:rsidR="00447050">
        <w:t xml:space="preserve">Op basis hiervan wordt voorzien in een door Nederland te verlenen vermindering ter voorkoming van dubbele belasting (volgens de vrijstellingsmethode) ter zake van door inwoners van </w:t>
      </w:r>
      <w:r w:rsidR="00447050">
        <w:lastRenderedPageBreak/>
        <w:t>Nederland ontvangen reguliere p</w:t>
      </w:r>
      <w:r w:rsidRPr="006C0B64" w:rsidR="00447050">
        <w:t>ensioenen, lijfrenten en socialezekerheidsuitkeringen</w:t>
      </w:r>
      <w:r w:rsidR="00447050">
        <w:t xml:space="preserve">, die volgens artikel 18, eerste en </w:t>
      </w:r>
      <w:r w:rsidR="00F501EE">
        <w:t>tweede lid, van het Verdrag,</w:t>
      </w:r>
      <w:r w:rsidR="00447050">
        <w:t xml:space="preserve"> in Polen mogen worden belast.</w:t>
      </w:r>
    </w:p>
    <w:p w:rsidRPr="0032717B" w:rsidR="0032717B" w:rsidP="002610C3" w:rsidRDefault="0032717B" w14:paraId="11284656" w14:textId="77777777">
      <w:pPr>
        <w:ind w:firstLine="708"/>
      </w:pPr>
      <w:r w:rsidRPr="0032717B">
        <w:t>In het derde lid van</w:t>
      </w:r>
      <w:r w:rsidRPr="0032717B">
        <w:rPr>
          <w:rFonts w:cs="Arial"/>
          <w:szCs w:val="20"/>
        </w:rPr>
        <w:t xml:space="preserve"> artikel 23 van het Verdrag wordt </w:t>
      </w:r>
      <w:r w:rsidR="00F501EE">
        <w:rPr>
          <w:rFonts w:cs="Arial"/>
          <w:szCs w:val="20"/>
        </w:rPr>
        <w:t xml:space="preserve">een verwijzing naar artikel 13, lid 3a, van het Verdrag ingevoegd. Met deze wijziging wordt voorzien in een door Nederland te verlenen vermindering ter voorkoming van dubbele belasting (volgens de verrekeningsmethode) </w:t>
      </w:r>
      <w:r w:rsidRPr="0032717B" w:rsidR="00631E30">
        <w:t>ter zake van door inwoners van Nederland ontvangen vermogenswinsten behaald met de vervreemding van aandelen of vergelijkbare belangen in zogenoemde onroerendezaaklichamen, die volgens artikel 13, lid 3a, van het Verdrag,</w:t>
      </w:r>
      <w:r w:rsidR="00631E30">
        <w:t xml:space="preserve"> ook</w:t>
      </w:r>
      <w:r w:rsidRPr="0032717B" w:rsidR="00631E30">
        <w:t xml:space="preserve"> in Polen mogen worden belast.</w:t>
      </w:r>
      <w:r w:rsidR="00631E30">
        <w:t xml:space="preserve"> Daarnaast wordt in het derde lid van artikel 23 van het Verdrag </w:t>
      </w:r>
      <w:r w:rsidRPr="0032717B">
        <w:rPr>
          <w:rFonts w:cs="Arial"/>
          <w:szCs w:val="20"/>
        </w:rPr>
        <w:t>de verwijzing naar artikel 18</w:t>
      </w:r>
      <w:r w:rsidR="00525A1F">
        <w:rPr>
          <w:rFonts w:cs="Arial"/>
          <w:szCs w:val="20"/>
        </w:rPr>
        <w:t>, derde lid,</w:t>
      </w:r>
      <w:r w:rsidRPr="0032717B">
        <w:rPr>
          <w:rFonts w:cs="Arial"/>
          <w:szCs w:val="20"/>
        </w:rPr>
        <w:t xml:space="preserve"> van het Verdrag vervangen door </w:t>
      </w:r>
      <w:r w:rsidR="00525A1F">
        <w:rPr>
          <w:rFonts w:cs="Arial"/>
          <w:szCs w:val="20"/>
        </w:rPr>
        <w:t xml:space="preserve">een </w:t>
      </w:r>
      <w:r w:rsidRPr="0032717B">
        <w:rPr>
          <w:rFonts w:cs="Arial"/>
          <w:szCs w:val="20"/>
        </w:rPr>
        <w:t>verwijzing artikel 18</w:t>
      </w:r>
      <w:r w:rsidR="00525A1F">
        <w:rPr>
          <w:rFonts w:cs="Arial"/>
          <w:szCs w:val="20"/>
        </w:rPr>
        <w:t>, vijfde lid,</w:t>
      </w:r>
      <w:r w:rsidRPr="0032717B">
        <w:rPr>
          <w:rFonts w:cs="Arial"/>
          <w:szCs w:val="20"/>
        </w:rPr>
        <w:t xml:space="preserve"> van het Verdrag. Deze wijziging houdt verband met </w:t>
      </w:r>
      <w:r w:rsidR="006F4437">
        <w:rPr>
          <w:rFonts w:cs="Arial"/>
          <w:szCs w:val="20"/>
        </w:rPr>
        <w:t xml:space="preserve">het feit dat in het nieuwe </w:t>
      </w:r>
      <w:r w:rsidRPr="0032717B">
        <w:rPr>
          <w:rFonts w:cs="Arial"/>
          <w:szCs w:val="20"/>
        </w:rPr>
        <w:t>artikel 18 (</w:t>
      </w:r>
      <w:r w:rsidRPr="0032717B">
        <w:t>Pensioenen, lijfrenten en socialezekerheidsuitkeringen) van het Verdrag</w:t>
      </w:r>
      <w:r w:rsidR="006F4437">
        <w:t xml:space="preserve"> de bepalingen over afkoop van – kort gezegd – pensioenen en lijfrenten</w:t>
      </w:r>
      <w:r w:rsidR="005369CD">
        <w:t xml:space="preserve"> voortaan</w:t>
      </w:r>
      <w:r w:rsidR="006F4437">
        <w:t xml:space="preserve"> in dat vijfde lid is opgenomen</w:t>
      </w:r>
      <w:r w:rsidR="005369CD">
        <w:t>.</w:t>
      </w:r>
    </w:p>
    <w:p w:rsidR="00431EEC" w:rsidP="00431EEC" w:rsidRDefault="0032717B" w14:paraId="511F0AB6" w14:textId="77777777">
      <w:pPr>
        <w:ind w:firstLine="708"/>
      </w:pPr>
      <w:r w:rsidRPr="0032717B">
        <w:rPr>
          <w:rFonts w:cs="Arial"/>
          <w:szCs w:val="20"/>
        </w:rPr>
        <w:t xml:space="preserve">Met het </w:t>
      </w:r>
      <w:r w:rsidRPr="0032717B">
        <w:t xml:space="preserve">nieuwe vijfde </w:t>
      </w:r>
      <w:r w:rsidR="00431EEC">
        <w:t>en zesde</w:t>
      </w:r>
      <w:r w:rsidRPr="0032717B">
        <w:t xml:space="preserve"> lid van artikel 23 van het Verdrag wordt de Poolse voorkomingsbepaling geactualiseerd. Polen hanteert als methode ter voorkoming van dubbele belasting de verrekeningsmethode. Ondanks de </w:t>
      </w:r>
      <w:r w:rsidR="00DE4FC4">
        <w:t>aanvankelijk</w:t>
      </w:r>
      <w:r w:rsidRPr="0032717B">
        <w:t xml:space="preserve"> geuite wens van Polen om </w:t>
      </w:r>
      <w:r w:rsidR="00543F64">
        <w:t xml:space="preserve">in plaats van </w:t>
      </w:r>
      <w:r w:rsidRPr="0032717B">
        <w:t xml:space="preserve">de verrekeningsmethode voor bepaald inkomen uit arbeid en pensioen te </w:t>
      </w:r>
      <w:r w:rsidR="00543F64">
        <w:t>kiezen voor</w:t>
      </w:r>
      <w:r w:rsidRPr="0032717B">
        <w:t xml:space="preserve"> een vrijstellingsmethode</w:t>
      </w:r>
      <w:r w:rsidR="00431EEC">
        <w:t>,</w:t>
      </w:r>
      <w:r w:rsidRPr="0032717B">
        <w:t xml:space="preserve"> heeft Polen aangegeven het huidige nationale beleid omtrent vermijding van dubbele belasting conform de keuze van Polen onder het </w:t>
      </w:r>
      <w:r w:rsidR="00207702">
        <w:t>MLI</w:t>
      </w:r>
      <w:r w:rsidRPr="0032717B">
        <w:t xml:space="preserve"> te hebben aangepast naar enkel de verrekeningsmethode.</w:t>
      </w:r>
    </w:p>
    <w:p w:rsidRPr="00431EEC" w:rsidR="00431EEC" w:rsidP="00431EEC" w:rsidRDefault="00431EEC" w14:paraId="2EEACE2C" w14:textId="3FC6EE15">
      <w:pPr>
        <w:ind w:firstLine="708"/>
        <w:rPr>
          <w:rFonts w:cs="Arial"/>
          <w:szCs w:val="20"/>
        </w:rPr>
      </w:pPr>
      <w:r w:rsidRPr="00431EEC">
        <w:rPr>
          <w:rFonts w:cs="Arial"/>
          <w:szCs w:val="20"/>
        </w:rPr>
        <w:t xml:space="preserve">Het opnemen van het nieuwe </w:t>
      </w:r>
      <w:r>
        <w:rPr>
          <w:rFonts w:cs="Arial"/>
          <w:szCs w:val="20"/>
        </w:rPr>
        <w:t>zevende</w:t>
      </w:r>
      <w:r w:rsidRPr="00431EEC">
        <w:rPr>
          <w:rFonts w:cs="Arial"/>
          <w:szCs w:val="20"/>
        </w:rPr>
        <w:t xml:space="preserve"> lid van artikel 2</w:t>
      </w:r>
      <w:r>
        <w:rPr>
          <w:rFonts w:cs="Arial"/>
          <w:szCs w:val="20"/>
        </w:rPr>
        <w:t>3</w:t>
      </w:r>
      <w:r w:rsidRPr="00431EEC">
        <w:rPr>
          <w:rFonts w:cs="Arial"/>
          <w:szCs w:val="20"/>
        </w:rPr>
        <w:t xml:space="preserve"> van het Verdrag vloeit voort uit </w:t>
      </w:r>
      <w:r w:rsidR="000427DD">
        <w:rPr>
          <w:rFonts w:cs="Arial"/>
          <w:szCs w:val="20"/>
        </w:rPr>
        <w:t>a</w:t>
      </w:r>
      <w:r w:rsidRPr="00431EEC">
        <w:rPr>
          <w:rFonts w:cs="Arial"/>
          <w:szCs w:val="20"/>
        </w:rPr>
        <w:t>ctiepunt 2 van het BEPS-project en heeft betrekking op de toepassing van de in artikel 2</w:t>
      </w:r>
      <w:r>
        <w:rPr>
          <w:rFonts w:cs="Arial"/>
          <w:szCs w:val="20"/>
        </w:rPr>
        <w:t>3</w:t>
      </w:r>
      <w:r w:rsidRPr="00431EEC">
        <w:rPr>
          <w:rFonts w:cs="Arial"/>
          <w:szCs w:val="20"/>
        </w:rPr>
        <w:t xml:space="preserve">, tweede lid opgenomen vrijstellingsmethode. Uit het </w:t>
      </w:r>
      <w:r>
        <w:rPr>
          <w:rFonts w:cs="Arial"/>
          <w:szCs w:val="20"/>
        </w:rPr>
        <w:t>zevende</w:t>
      </w:r>
      <w:r w:rsidRPr="00431EEC">
        <w:rPr>
          <w:rFonts w:cs="Arial"/>
          <w:szCs w:val="20"/>
        </w:rPr>
        <w:t xml:space="preserve"> lid blijkt dat Nederland niet verplicht </w:t>
      </w:r>
      <w:r>
        <w:rPr>
          <w:rFonts w:cs="Arial"/>
          <w:szCs w:val="20"/>
        </w:rPr>
        <w:t xml:space="preserve">is de in het tweede lid </w:t>
      </w:r>
      <w:r w:rsidRPr="00431EEC">
        <w:rPr>
          <w:rFonts w:cs="Arial"/>
          <w:szCs w:val="20"/>
        </w:rPr>
        <w:t xml:space="preserve">opgenomen vrijstellingsmethode toe te passen ter zake van het inkomen van een inwoner indien de andere </w:t>
      </w:r>
      <w:r>
        <w:rPr>
          <w:rFonts w:cs="Arial"/>
          <w:szCs w:val="20"/>
        </w:rPr>
        <w:t>v</w:t>
      </w:r>
      <w:r w:rsidRPr="00431EEC">
        <w:rPr>
          <w:rFonts w:cs="Arial"/>
          <w:szCs w:val="20"/>
        </w:rPr>
        <w:t xml:space="preserve">erdragsluitende </w:t>
      </w:r>
      <w:r>
        <w:rPr>
          <w:rFonts w:cs="Arial"/>
          <w:szCs w:val="20"/>
        </w:rPr>
        <w:t>s</w:t>
      </w:r>
      <w:r w:rsidRPr="00431EEC">
        <w:rPr>
          <w:rFonts w:cs="Arial"/>
          <w:szCs w:val="20"/>
        </w:rPr>
        <w:t>taat dat inkomen op basis van de bepalingen van het Verdrag geheel niet in de heffing betrekt of de heffing volgens artikel 10, tweede lid</w:t>
      </w:r>
      <w:r>
        <w:rPr>
          <w:rFonts w:cs="Arial"/>
          <w:szCs w:val="20"/>
        </w:rPr>
        <w:t xml:space="preserve"> of artikel 11</w:t>
      </w:r>
      <w:r w:rsidRPr="00543F64" w:rsidR="00543F64">
        <w:rPr>
          <w:rFonts w:cs="Arial"/>
          <w:szCs w:val="20"/>
        </w:rPr>
        <w:t>, tweede lid,</w:t>
      </w:r>
      <w:r w:rsidRPr="00431EEC">
        <w:rPr>
          <w:rFonts w:cs="Arial"/>
          <w:szCs w:val="20"/>
        </w:rPr>
        <w:t xml:space="preserve"> beperkt. Hiermee wordt voorkomen dat inkomen als gevolg van een verschillende toepassing van de verdragsbepalingen in beide</w:t>
      </w:r>
      <w:r>
        <w:rPr>
          <w:rFonts w:cs="Arial"/>
          <w:szCs w:val="20"/>
        </w:rPr>
        <w:t xml:space="preserve"> v</w:t>
      </w:r>
      <w:r w:rsidRPr="00431EEC">
        <w:rPr>
          <w:rFonts w:cs="Arial"/>
          <w:szCs w:val="20"/>
        </w:rPr>
        <w:t xml:space="preserve">erdragsluitende </w:t>
      </w:r>
      <w:r>
        <w:rPr>
          <w:rFonts w:cs="Arial"/>
          <w:szCs w:val="20"/>
        </w:rPr>
        <w:t>s</w:t>
      </w:r>
      <w:r w:rsidRPr="00431EEC">
        <w:rPr>
          <w:rFonts w:cs="Arial"/>
          <w:szCs w:val="20"/>
        </w:rPr>
        <w:t xml:space="preserve">taten geheel niet of maar ten dele in de belastingheffing wordt betrokken. </w:t>
      </w:r>
      <w:r w:rsidR="008C1DF0">
        <w:rPr>
          <w:rFonts w:cs="Arial"/>
          <w:szCs w:val="20"/>
        </w:rPr>
        <w:t>Gedacht kan bijvoorbeeld worden aan de situatie dat vanuit Nederlands perspectief, op basis van een beoordeling van de</w:t>
      </w:r>
      <w:r w:rsidR="006478C4">
        <w:rPr>
          <w:rFonts w:cs="Arial"/>
          <w:szCs w:val="20"/>
        </w:rPr>
        <w:t xml:space="preserve"> </w:t>
      </w:r>
      <w:r w:rsidR="008C1DF0">
        <w:rPr>
          <w:rFonts w:cs="Arial"/>
          <w:szCs w:val="20"/>
        </w:rPr>
        <w:t>feiten en omsta</w:t>
      </w:r>
      <w:r w:rsidR="006478C4">
        <w:rPr>
          <w:rFonts w:cs="Arial"/>
          <w:szCs w:val="20"/>
        </w:rPr>
        <w:t>n</w:t>
      </w:r>
      <w:r w:rsidR="008C1DF0">
        <w:rPr>
          <w:rFonts w:cs="Arial"/>
          <w:szCs w:val="20"/>
        </w:rPr>
        <w:t>digh</w:t>
      </w:r>
      <w:r w:rsidR="006478C4">
        <w:rPr>
          <w:rFonts w:cs="Arial"/>
          <w:szCs w:val="20"/>
        </w:rPr>
        <w:t>e</w:t>
      </w:r>
      <w:r w:rsidR="008C1DF0">
        <w:rPr>
          <w:rFonts w:cs="Arial"/>
          <w:szCs w:val="20"/>
        </w:rPr>
        <w:t>den van het concrete geval, sprake is van een vaste inrichting die is gevestigd in Polen, terwijl dat volge</w:t>
      </w:r>
      <w:r w:rsidR="006478C4">
        <w:rPr>
          <w:rFonts w:cs="Arial"/>
          <w:szCs w:val="20"/>
        </w:rPr>
        <w:t>ns</w:t>
      </w:r>
      <w:r w:rsidR="008C1DF0">
        <w:rPr>
          <w:rFonts w:cs="Arial"/>
          <w:szCs w:val="20"/>
        </w:rPr>
        <w:t xml:space="preserve"> Polen niet het geval is, </w:t>
      </w:r>
      <w:r w:rsidR="006478C4">
        <w:rPr>
          <w:rFonts w:cs="Arial"/>
          <w:szCs w:val="20"/>
        </w:rPr>
        <w:t xml:space="preserve">of aan de situatie dat er </w:t>
      </w:r>
      <w:r w:rsidRPr="00AF3E91" w:rsidR="006478C4">
        <w:rPr>
          <w:rFonts w:cs="Arial"/>
          <w:i/>
          <w:szCs w:val="20"/>
        </w:rPr>
        <w:t>zowel</w:t>
      </w:r>
      <w:r w:rsidR="006478C4">
        <w:rPr>
          <w:rFonts w:cs="Arial"/>
          <w:szCs w:val="20"/>
        </w:rPr>
        <w:t xml:space="preserve"> vanuit Nederlands </w:t>
      </w:r>
      <w:r w:rsidR="00A31AD5">
        <w:rPr>
          <w:rFonts w:cs="Arial"/>
          <w:szCs w:val="20"/>
        </w:rPr>
        <w:t>als</w:t>
      </w:r>
      <w:r w:rsidR="006478C4">
        <w:rPr>
          <w:rFonts w:cs="Arial"/>
          <w:szCs w:val="20"/>
        </w:rPr>
        <w:t xml:space="preserve"> Pools perspectief sprake is van een in Polen gevestigde vaste inrichting maar dat Nederland een hogere winst aan die vaste inrichting toereken</w:t>
      </w:r>
      <w:r w:rsidR="00A31AD5">
        <w:rPr>
          <w:rFonts w:cs="Arial"/>
          <w:szCs w:val="20"/>
        </w:rPr>
        <w:t>t</w:t>
      </w:r>
      <w:r w:rsidR="006478C4">
        <w:rPr>
          <w:rFonts w:cs="Arial"/>
          <w:szCs w:val="20"/>
        </w:rPr>
        <w:t xml:space="preserve"> volgens de bepalingen van artikel 7 van het Verdrag dan Polen dat op basis van dat artikel doet.</w:t>
      </w:r>
    </w:p>
    <w:p w:rsidRPr="0032717B" w:rsidR="0032717B" w:rsidP="0032717B" w:rsidRDefault="0032717B" w14:paraId="00F4309A" w14:textId="77777777">
      <w:pPr>
        <w:ind w:firstLine="708"/>
      </w:pPr>
    </w:p>
    <w:p w:rsidRPr="00F47ABE" w:rsidR="0032717B" w:rsidP="0032717B" w:rsidRDefault="005678B1" w14:paraId="32F9236B" w14:textId="77777777">
      <w:pPr>
        <w:ind w:firstLine="0"/>
        <w:rPr>
          <w:rFonts w:cs="Arial"/>
          <w:i/>
          <w:szCs w:val="20"/>
        </w:rPr>
      </w:pPr>
      <w:r w:rsidRPr="00F47ABE">
        <w:rPr>
          <w:rFonts w:cs="Arial"/>
          <w:i/>
          <w:szCs w:val="20"/>
        </w:rPr>
        <w:t>II.12. Procedure voor onderling overleg (artikel 12 van het Wijzigingsprotocol, artikel 26 van het Verdrag)</w:t>
      </w:r>
      <w:r w:rsidRPr="00F47ABE">
        <w:rPr>
          <w:rFonts w:cs="Arial"/>
          <w:i/>
          <w:szCs w:val="20"/>
        </w:rPr>
        <w:br/>
      </w:r>
    </w:p>
    <w:p w:rsidR="008D67A6" w:rsidP="008D67A6" w:rsidRDefault="005678B1" w14:paraId="1AD07E71" w14:textId="77777777">
      <w:pPr>
        <w:ind w:firstLine="720"/>
        <w:rPr>
          <w:rFonts w:cs="Arial"/>
          <w:szCs w:val="20"/>
        </w:rPr>
      </w:pPr>
      <w:r w:rsidRPr="00F47ABE">
        <w:rPr>
          <w:rFonts w:cs="Arial"/>
          <w:szCs w:val="20"/>
        </w:rPr>
        <w:t>Met artikel 12 van het Wijzigingsprotocol wordt artikel 26 van het Verdrag</w:t>
      </w:r>
      <w:r w:rsidR="008D67A6">
        <w:rPr>
          <w:rFonts w:cs="Arial"/>
          <w:szCs w:val="20"/>
        </w:rPr>
        <w:t xml:space="preserve">, dat betrekking heeft op de </w:t>
      </w:r>
      <w:r w:rsidRPr="008D67A6" w:rsidR="008D67A6">
        <w:rPr>
          <w:rFonts w:cs="Arial"/>
          <w:szCs w:val="20"/>
        </w:rPr>
        <w:t>mogelijkheid tot het voeren van een onderling</w:t>
      </w:r>
      <w:r w:rsidR="00D160A2">
        <w:rPr>
          <w:rFonts w:cs="Arial"/>
          <w:szCs w:val="20"/>
        </w:rPr>
        <w:t>e</w:t>
      </w:r>
      <w:r w:rsidRPr="008D67A6" w:rsidR="008D67A6">
        <w:rPr>
          <w:rFonts w:cs="Arial"/>
          <w:szCs w:val="20"/>
        </w:rPr>
        <w:t xml:space="preserve"> overlegprocedure tussen de bevoegde </w:t>
      </w:r>
      <w:r w:rsidRPr="008D67A6" w:rsidR="008D67A6">
        <w:rPr>
          <w:rFonts w:cs="Arial"/>
          <w:szCs w:val="20"/>
        </w:rPr>
        <w:lastRenderedPageBreak/>
        <w:t>autoriteiten van beide verdragsluitende staten over de toepassing van het Verdrag</w:t>
      </w:r>
      <w:r w:rsidR="008D67A6">
        <w:rPr>
          <w:rFonts w:cs="Arial"/>
          <w:szCs w:val="20"/>
        </w:rPr>
        <w:t xml:space="preserve">, </w:t>
      </w:r>
      <w:r w:rsidRPr="00F47ABE">
        <w:rPr>
          <w:rFonts w:cs="Arial"/>
          <w:szCs w:val="20"/>
        </w:rPr>
        <w:t>in zijn geheel vervangen door een nieuw artikel 26. De belangrijkste wijzigingen ten opzichte van het oorspronkelijke artikel 26 van het Verdrag hebben betrekking op het eerste lid en het vijfde lid.</w:t>
      </w:r>
    </w:p>
    <w:p w:rsidRPr="008D67A6" w:rsidR="008D67A6" w:rsidP="008D67A6" w:rsidRDefault="008D67A6" w14:paraId="4B8F675D" w14:textId="388D3BA0">
      <w:pPr>
        <w:ind w:firstLine="720"/>
      </w:pPr>
      <w:r w:rsidRPr="008D67A6">
        <w:t>Volledigheidshalve wordt opgemerkt dat inmiddels ook de</w:t>
      </w:r>
      <w:r w:rsidR="00840966">
        <w:t xml:space="preserve"> arbitragerichtlijn tot stand is gekomen.</w:t>
      </w:r>
      <w:r w:rsidR="00840966">
        <w:rPr>
          <w:rStyle w:val="Voetnootmarkering"/>
        </w:rPr>
        <w:footnoteReference w:id="15"/>
      </w:r>
      <w:r w:rsidR="00840966">
        <w:t xml:space="preserve"> </w:t>
      </w:r>
      <w:r w:rsidRPr="008D67A6">
        <w:t xml:space="preserve">Deze richtlijn, die voor Nederland is geïmplementeerd in de Wet fiscale arbitrage bevat eveneens een procedure voor onderling overleg tussen de bevoegde autoriteiten van de betrokken lidstaten en een procedure voor arbitrage. De procedures van het Verdrag en van de arbitragerichtlijn </w:t>
      </w:r>
      <w:r w:rsidR="00D160A2">
        <w:t>be</w:t>
      </w:r>
      <w:r w:rsidRPr="008D67A6">
        <w:t xml:space="preserve">staan in beginsel naast elkaar en kunnen ook op onderdelen verschillen. </w:t>
      </w:r>
    </w:p>
    <w:p w:rsidRPr="00F47ABE" w:rsidR="0032717B" w:rsidP="00D6661F" w:rsidRDefault="005678B1" w14:paraId="577D46B8" w14:textId="20E37D8F">
      <w:pPr>
        <w:ind w:firstLine="720"/>
        <w:rPr>
          <w:rFonts w:cs="Helvetica"/>
        </w:rPr>
      </w:pPr>
      <w:r w:rsidRPr="00F47ABE">
        <w:rPr>
          <w:rFonts w:cs="Arial"/>
          <w:szCs w:val="20"/>
        </w:rPr>
        <w:t xml:space="preserve">In het eerste lid van artikel 26 van het Verdrag is neergelegd dat een belastingplichtige een verzoek kan indienen voor </w:t>
      </w:r>
      <w:r w:rsidR="006478C4">
        <w:rPr>
          <w:rFonts w:cs="Arial"/>
          <w:szCs w:val="20"/>
        </w:rPr>
        <w:t xml:space="preserve">een </w:t>
      </w:r>
      <w:r w:rsidRPr="00F47ABE">
        <w:rPr>
          <w:rFonts w:cs="Arial"/>
          <w:szCs w:val="20"/>
        </w:rPr>
        <w:t>onderlinge overlegprocedure</w:t>
      </w:r>
      <w:r w:rsidRPr="00F47ABE">
        <w:rPr>
          <w:rFonts w:cs="Helvetica"/>
        </w:rPr>
        <w:t xml:space="preserve"> indien in zijn ogen sprake is van belastingheffing in strijd met de bepalingen van het </w:t>
      </w:r>
      <w:r w:rsidR="00FF53DC">
        <w:rPr>
          <w:rFonts w:cs="Helvetica"/>
        </w:rPr>
        <w:t>Verdrag</w:t>
      </w:r>
      <w:r w:rsidRPr="00F47ABE">
        <w:rPr>
          <w:rFonts w:cs="Helvetica"/>
        </w:rPr>
        <w:t xml:space="preserve">. </w:t>
      </w:r>
      <w:r w:rsidRPr="00F47ABE">
        <w:rPr>
          <w:rFonts w:cs="Arial"/>
          <w:szCs w:val="20"/>
        </w:rPr>
        <w:t xml:space="preserve">In lijn met artikel 16 van het </w:t>
      </w:r>
      <w:r w:rsidR="00207702">
        <w:rPr>
          <w:rFonts w:cs="Arial"/>
          <w:szCs w:val="20"/>
        </w:rPr>
        <w:t>MLI</w:t>
      </w:r>
      <w:r w:rsidRPr="00F47ABE">
        <w:rPr>
          <w:rFonts w:cs="Arial"/>
          <w:szCs w:val="20"/>
        </w:rPr>
        <w:t xml:space="preserve"> en </w:t>
      </w:r>
      <w:r w:rsidR="009D111B">
        <w:rPr>
          <w:rFonts w:cs="Arial"/>
          <w:szCs w:val="20"/>
        </w:rPr>
        <w:t>a</w:t>
      </w:r>
      <w:r w:rsidRPr="00F47ABE">
        <w:rPr>
          <w:rFonts w:cs="Arial"/>
          <w:szCs w:val="20"/>
        </w:rPr>
        <w:t xml:space="preserve">ctiepunt 14 van het BEPS-project heeft Nederland voorgesteld om op te nemen dat </w:t>
      </w:r>
      <w:r w:rsidRPr="00F47ABE">
        <w:t xml:space="preserve">een belastingplichtige dit verzoek kan indienen bij de aangewezen bevoegde autoriteit van elk van de verdragsluitende staten. Polen gaf </w:t>
      </w:r>
      <w:r w:rsidR="009271F1">
        <w:t xml:space="preserve">echter </w:t>
      </w:r>
      <w:r w:rsidRPr="00F47ABE">
        <w:t xml:space="preserve">aan – in aansluiting bij de Poolse inzet bij het </w:t>
      </w:r>
      <w:r w:rsidR="00207702">
        <w:t>MLI</w:t>
      </w:r>
      <w:r w:rsidRPr="00F47ABE">
        <w:t xml:space="preserve"> – voorkeur te hebben voor </w:t>
      </w:r>
      <w:r w:rsidR="006478C4">
        <w:t xml:space="preserve">het in het BEPS-project ontwikkelde </w:t>
      </w:r>
      <w:r w:rsidRPr="00F47ABE">
        <w:t>alternatie</w:t>
      </w:r>
      <w:r w:rsidR="006478C4">
        <w:t>f</w:t>
      </w:r>
      <w:r w:rsidRPr="00F47ABE">
        <w:t xml:space="preserve"> waar</w:t>
      </w:r>
      <w:r w:rsidR="006478C4">
        <w:t xml:space="preserve">bij </w:t>
      </w:r>
      <w:r w:rsidRPr="00F47ABE">
        <w:t xml:space="preserve">een bilaterale notificatie of consultatieprocedure wordt </w:t>
      </w:r>
      <w:r w:rsidR="006478C4">
        <w:t>afgesproken</w:t>
      </w:r>
      <w:r w:rsidRPr="00F47ABE">
        <w:t xml:space="preserve"> voor zaken die in de </w:t>
      </w:r>
      <w:r w:rsidRPr="00F47ABE" w:rsidR="00E05941">
        <w:t>verdragsluitende</w:t>
      </w:r>
      <w:r w:rsidRPr="00F47ABE">
        <w:t xml:space="preserve"> staat waarvan de belastingplichtige inwoner is, ongegrond zijn verklaard. Aangezien met deze alternatieve </w:t>
      </w:r>
      <w:r w:rsidR="008D67A6">
        <w:t xml:space="preserve">benadering </w:t>
      </w:r>
      <w:r w:rsidRPr="00F47ABE">
        <w:t xml:space="preserve">ook wordt voldaan aan de </w:t>
      </w:r>
      <w:r w:rsidR="008D67A6">
        <w:t>zogenoemde</w:t>
      </w:r>
      <w:r w:rsidR="00137B6F">
        <w:t xml:space="preserve"> ‘</w:t>
      </w:r>
      <w:r w:rsidRPr="00F47ABE">
        <w:rPr>
          <w:rFonts w:cs="Helvetica"/>
        </w:rPr>
        <w:t>minimumstandaard</w:t>
      </w:r>
      <w:r w:rsidR="00137B6F">
        <w:rPr>
          <w:rFonts w:cs="Helvetica"/>
        </w:rPr>
        <w:t>’</w:t>
      </w:r>
      <w:r w:rsidRPr="00F47ABE">
        <w:rPr>
          <w:rFonts w:cs="Helvetica"/>
        </w:rPr>
        <w:t xml:space="preserve"> van het BEPS-project, heeft Nederland deze wens </w:t>
      </w:r>
      <w:r w:rsidR="00E366AA">
        <w:rPr>
          <w:rFonts w:cs="Helvetica"/>
        </w:rPr>
        <w:t xml:space="preserve">van </w:t>
      </w:r>
      <w:r w:rsidRPr="00F47ABE">
        <w:rPr>
          <w:rFonts w:cs="Helvetica"/>
        </w:rPr>
        <w:t>Polen geaccepteerd.</w:t>
      </w:r>
    </w:p>
    <w:p w:rsidRPr="00F47ABE" w:rsidR="0032717B" w:rsidP="0032717B" w:rsidRDefault="005678B1" w14:paraId="7C0EE099" w14:textId="525490B8">
      <w:pPr>
        <w:ind w:firstLine="720"/>
        <w:rPr>
          <w:szCs w:val="20"/>
        </w:rPr>
      </w:pPr>
      <w:r w:rsidRPr="00F47ABE">
        <w:rPr>
          <w:rFonts w:cs="Helvetica"/>
          <w:szCs w:val="20"/>
        </w:rPr>
        <w:t xml:space="preserve">Het tweede lid </w:t>
      </w:r>
      <w:r w:rsidRPr="00F47ABE">
        <w:rPr>
          <w:rFonts w:cs="Arial"/>
          <w:szCs w:val="20"/>
        </w:rPr>
        <w:t xml:space="preserve">van artikel 26 van het Verdrag </w:t>
      </w:r>
      <w:r w:rsidRPr="00F47ABE">
        <w:rPr>
          <w:szCs w:val="20"/>
        </w:rPr>
        <w:t xml:space="preserve">bevat een inspanningsverplichting voor de bevoegde autoriteiten om – indien </w:t>
      </w:r>
      <w:r w:rsidR="00944FB4">
        <w:rPr>
          <w:szCs w:val="20"/>
        </w:rPr>
        <w:t xml:space="preserve">het </w:t>
      </w:r>
      <w:r w:rsidRPr="00F47ABE">
        <w:rPr>
          <w:szCs w:val="20"/>
        </w:rPr>
        <w:t xml:space="preserve">een </w:t>
      </w:r>
      <w:r w:rsidRPr="00F47ABE" w:rsidR="00944FB4">
        <w:rPr>
          <w:szCs w:val="20"/>
        </w:rPr>
        <w:t xml:space="preserve">gegrond </w:t>
      </w:r>
      <w:r w:rsidRPr="00F47ABE">
        <w:rPr>
          <w:szCs w:val="20"/>
        </w:rPr>
        <w:t xml:space="preserve">verzoek </w:t>
      </w:r>
      <w:r w:rsidR="00944FB4">
        <w:rPr>
          <w:szCs w:val="20"/>
        </w:rPr>
        <w:t>lijkt te betreffen</w:t>
      </w:r>
      <w:r w:rsidRPr="00F47ABE">
        <w:rPr>
          <w:szCs w:val="20"/>
        </w:rPr>
        <w:t xml:space="preserve"> – in onderling overleg eventuele belastingheffing die in strijd is met het belastingverdrag weg te nemen. In de tweede zin is conform artikel 25, tweede lid van het OESO-modelverdrag de verplichting opgenomen voor de staten om niettegenstaande de termijnen in hun nationale wetgeving de uitkomst van een procedure voor onderling overleg te implementeren. </w:t>
      </w:r>
    </w:p>
    <w:p w:rsidRPr="00D8397B" w:rsidR="0032717B" w:rsidP="0032717B" w:rsidRDefault="005678B1" w14:paraId="61CB5307" w14:textId="1140BE69">
      <w:pPr>
        <w:ind w:firstLine="720"/>
        <w:rPr>
          <w:szCs w:val="20"/>
        </w:rPr>
      </w:pPr>
      <w:r w:rsidRPr="00F47ABE">
        <w:rPr>
          <w:szCs w:val="20"/>
        </w:rPr>
        <w:t xml:space="preserve">Het derde lid van </w:t>
      </w:r>
      <w:r w:rsidRPr="00F47ABE">
        <w:rPr>
          <w:rFonts w:cs="Arial"/>
          <w:szCs w:val="20"/>
        </w:rPr>
        <w:t xml:space="preserve">artikel 26 van het Verdrag komt overeen met het derde lid van artikel 25 van </w:t>
      </w:r>
      <w:r w:rsidRPr="00F47ABE">
        <w:rPr>
          <w:szCs w:val="20"/>
        </w:rPr>
        <w:t xml:space="preserve">het OESO-modelverdrag. Op grond van dit artikel </w:t>
      </w:r>
      <w:r w:rsidR="008A0934">
        <w:rPr>
          <w:szCs w:val="20"/>
        </w:rPr>
        <w:t xml:space="preserve">kunnen de bevoegde autoriteiten </w:t>
      </w:r>
      <w:r w:rsidRPr="00D8397B">
        <w:rPr>
          <w:szCs w:val="20"/>
        </w:rPr>
        <w:t xml:space="preserve">in onderling overleg moeilijkheden en twijfelpunten die ontstaan bij de uitleg en toepassing van </w:t>
      </w:r>
      <w:r w:rsidR="008A434E">
        <w:rPr>
          <w:szCs w:val="20"/>
        </w:rPr>
        <w:t>het</w:t>
      </w:r>
      <w:r w:rsidRPr="00D8397B">
        <w:rPr>
          <w:szCs w:val="20"/>
        </w:rPr>
        <w:t xml:space="preserve"> </w:t>
      </w:r>
      <w:r w:rsidR="006E0196">
        <w:rPr>
          <w:szCs w:val="20"/>
        </w:rPr>
        <w:t>V</w:t>
      </w:r>
      <w:r w:rsidRPr="00D8397B">
        <w:rPr>
          <w:szCs w:val="20"/>
        </w:rPr>
        <w:t xml:space="preserve">erdrag </w:t>
      </w:r>
      <w:r w:rsidR="008A434E">
        <w:rPr>
          <w:szCs w:val="20"/>
        </w:rPr>
        <w:t xml:space="preserve">trachten </w:t>
      </w:r>
      <w:r w:rsidRPr="00D8397B">
        <w:rPr>
          <w:szCs w:val="20"/>
        </w:rPr>
        <w:t xml:space="preserve">weg te nemen. Uit de tweede zin volgt dat ook in overleg </w:t>
      </w:r>
      <w:r w:rsidR="006E0196">
        <w:rPr>
          <w:szCs w:val="20"/>
        </w:rPr>
        <w:t>ge</w:t>
      </w:r>
      <w:r w:rsidRPr="00D8397B">
        <w:rPr>
          <w:szCs w:val="20"/>
        </w:rPr>
        <w:t xml:space="preserve">treden </w:t>
      </w:r>
      <w:r w:rsidR="006E0196">
        <w:rPr>
          <w:szCs w:val="20"/>
        </w:rPr>
        <w:t xml:space="preserve">kan worden om </w:t>
      </w:r>
      <w:r w:rsidRPr="00D8397B">
        <w:rPr>
          <w:szCs w:val="20"/>
        </w:rPr>
        <w:t xml:space="preserve">dubbele belastingheffing </w:t>
      </w:r>
      <w:r w:rsidR="006E0196">
        <w:rPr>
          <w:szCs w:val="20"/>
        </w:rPr>
        <w:t xml:space="preserve">weg te nemen in gevallen </w:t>
      </w:r>
      <w:r w:rsidRPr="00D8397B">
        <w:rPr>
          <w:szCs w:val="20"/>
        </w:rPr>
        <w:t xml:space="preserve">die niet in het </w:t>
      </w:r>
      <w:r w:rsidR="006E0196">
        <w:rPr>
          <w:szCs w:val="20"/>
        </w:rPr>
        <w:t>V</w:t>
      </w:r>
      <w:r w:rsidRPr="00D8397B">
        <w:rPr>
          <w:szCs w:val="20"/>
        </w:rPr>
        <w:t xml:space="preserve">erdrag zijn geregeld. </w:t>
      </w:r>
    </w:p>
    <w:p w:rsidRPr="00D8397B" w:rsidR="00D6661F" w:rsidP="00D6661F" w:rsidRDefault="005678B1" w14:paraId="503D20B6" w14:textId="77777777">
      <w:pPr>
        <w:ind w:firstLine="720"/>
        <w:rPr>
          <w:szCs w:val="20"/>
        </w:rPr>
      </w:pPr>
      <w:r w:rsidRPr="00D8397B">
        <w:rPr>
          <w:szCs w:val="20"/>
        </w:rPr>
        <w:t xml:space="preserve">In het vierde lid van artikel 26 van het Verdrag is conform het vierde lid van </w:t>
      </w:r>
      <w:r w:rsidRPr="00D8397B">
        <w:rPr>
          <w:rFonts w:cs="Arial"/>
          <w:szCs w:val="20"/>
        </w:rPr>
        <w:t xml:space="preserve">artikel 25 van </w:t>
      </w:r>
      <w:r w:rsidRPr="00D8397B">
        <w:rPr>
          <w:szCs w:val="20"/>
        </w:rPr>
        <w:t>het OESO-modelverdrag geregeld dat rechtstreeks overleg kan plaatsvinden tussen de bevoegde autoriteiten van de verdragsluitende staten om overeenstemming te bereiken in het kader van een onderlinge overlegprocedure. Dit overleg tussen de bevoegde autoriteiten van de verdragsluitende staten kan geschieden in een gezamenlijke commissie.</w:t>
      </w:r>
    </w:p>
    <w:p w:rsidRPr="00F47ABE" w:rsidR="00D6661F" w:rsidP="0032717B" w:rsidRDefault="005678B1" w14:paraId="541CD8E8" w14:textId="77777777">
      <w:pPr>
        <w:ind w:firstLine="720"/>
        <w:rPr>
          <w:rFonts w:cs="Arial"/>
          <w:szCs w:val="18"/>
        </w:rPr>
      </w:pPr>
      <w:r w:rsidRPr="00F47ABE">
        <w:t xml:space="preserve">Het vijfde lid van artikel 26 van het Verdrag bevat bepalingen over verplichte en bindende arbitrage als sluitstuk van de onderlinge overlegprocedure. In het oorspronkelijke vijfde lid </w:t>
      </w:r>
      <w:r w:rsidR="00C10B03">
        <w:t>was</w:t>
      </w:r>
      <w:r w:rsidRPr="00F47ABE">
        <w:t xml:space="preserve"> de mogelijkheid gecreëerd om geschillen over de toepassing of interpretatie van het Verdrag, die in </w:t>
      </w:r>
      <w:r w:rsidRPr="00F47ABE">
        <w:lastRenderedPageBreak/>
        <w:t xml:space="preserve">onderling overleg tussen de autoriteiten niet </w:t>
      </w:r>
      <w:r w:rsidR="00EA30E3">
        <w:t xml:space="preserve">konden </w:t>
      </w:r>
      <w:r w:rsidRPr="00F47ABE">
        <w:t xml:space="preserve">worden opgelost, te beslechten via een arbitrageprocedure op verzoek van een van de verdragsluitende staten. Op verzoek van Nederland is deze bepaling in lijn gebracht met </w:t>
      </w:r>
      <w:r w:rsidRPr="00F47ABE">
        <w:rPr>
          <w:rFonts w:cs="Arial"/>
          <w:szCs w:val="20"/>
        </w:rPr>
        <w:t xml:space="preserve">het vijfde lid van artikel 25 van </w:t>
      </w:r>
      <w:r w:rsidRPr="00F47ABE">
        <w:t xml:space="preserve">het OESO-modelverdrag. </w:t>
      </w:r>
    </w:p>
    <w:p w:rsidRPr="00F47ABE" w:rsidR="0032717B" w:rsidP="0032717B" w:rsidRDefault="005678B1" w14:paraId="71BA209C" w14:textId="46DA68C3">
      <w:pPr>
        <w:ind w:firstLine="720"/>
      </w:pPr>
      <w:r w:rsidRPr="00F47ABE">
        <w:t xml:space="preserve">Dit betekent dat </w:t>
      </w:r>
      <w:r w:rsidRPr="00F47ABE">
        <w:rPr>
          <w:rFonts w:cs="Arial"/>
          <w:szCs w:val="20"/>
        </w:rPr>
        <w:t>geschillen over de toepassing of interpretatie van het Verdrag, die niet binnen een tijdvak van drie jaar in onderling overleg door de bevoegde autoriteiten van de verdragsluitende staten worden opgelost, voortaan op verzoek van de belastingplichtige worden beslecht via een arbitrageprocedure. Daar</w:t>
      </w:r>
      <w:r w:rsidR="00EA30E3">
        <w:rPr>
          <w:rFonts w:cs="Arial"/>
          <w:szCs w:val="20"/>
        </w:rPr>
        <w:t xml:space="preserve">bij </w:t>
      </w:r>
      <w:r w:rsidRPr="00F47ABE">
        <w:rPr>
          <w:rFonts w:cs="Arial"/>
          <w:szCs w:val="20"/>
        </w:rPr>
        <w:t>wordt</w:t>
      </w:r>
      <w:r w:rsidR="00EA30E3">
        <w:rPr>
          <w:rFonts w:cs="Arial"/>
          <w:szCs w:val="20"/>
        </w:rPr>
        <w:t xml:space="preserve">, </w:t>
      </w:r>
      <w:r w:rsidRPr="00F47ABE">
        <w:t>conform artikel 25 van het OESO-modelverdrag</w:t>
      </w:r>
      <w:r w:rsidR="006401F5">
        <w:t>,</w:t>
      </w:r>
      <w:r w:rsidRPr="00F47ABE">
        <w:t xml:space="preserve"> geregeld dat zaken die reeds zijn behandeld door een rechterlijke instantie of administratieve rechtbank van een verdragsluitende staat niet voor arbitrage in aanmerking komen. Voorts wordt in lijn met het OESO-modelverdrag overeengekomen dat verdragsluitende staten gebonden zijn aan de uitkomst van een arbitrageprocedure en dat de uitkomst van een procedure voor onderling overleg ook buiten de nationale termijn voor aanpassing van belastingaanslagen moet worden geïmplementeerd</w:t>
      </w:r>
      <w:r w:rsidR="007719D4">
        <w:t>,</w:t>
      </w:r>
      <w:r w:rsidRPr="00F47ABE">
        <w:t xml:space="preserve"> tenzij de belastingplichtige niet akkoord gaat met de uitkomst van de arbitrageprocedure.</w:t>
      </w:r>
      <w:r w:rsidR="003D536C">
        <w:t xml:space="preserve"> Tot slot is in de laatste </w:t>
      </w:r>
      <w:r w:rsidRPr="00F47ABE" w:rsidR="003D536C">
        <w:t xml:space="preserve">zin opgenomen dat de toepassing van </w:t>
      </w:r>
      <w:r w:rsidR="003D536C">
        <w:t xml:space="preserve">het vijfde lid door de bevoegde autoriteiten </w:t>
      </w:r>
      <w:r w:rsidRPr="00F47ABE" w:rsidR="003D536C">
        <w:t xml:space="preserve">in onderling overleg </w:t>
      </w:r>
      <w:r w:rsidR="003D536C">
        <w:t xml:space="preserve">nader </w:t>
      </w:r>
      <w:r w:rsidRPr="00F47ABE" w:rsidR="003D536C">
        <w:t xml:space="preserve">kan worden </w:t>
      </w:r>
      <w:r w:rsidR="003D536C">
        <w:t>geregeld</w:t>
      </w:r>
      <w:r w:rsidRPr="00F47ABE" w:rsidR="003D536C">
        <w:t>.</w:t>
      </w:r>
      <w:r w:rsidR="003D536C">
        <w:t xml:space="preserve"> </w:t>
      </w:r>
      <w:r w:rsidRPr="007E712A" w:rsidR="007E712A">
        <w:rPr>
          <w:rFonts w:cs="Arial"/>
          <w:szCs w:val="20"/>
        </w:rPr>
        <w:t xml:space="preserve">Indien </w:t>
      </w:r>
      <w:r w:rsidR="007E712A">
        <w:rPr>
          <w:rFonts w:cs="Arial"/>
          <w:szCs w:val="20"/>
        </w:rPr>
        <w:t>dit</w:t>
      </w:r>
      <w:r w:rsidRPr="007E712A" w:rsidR="007E712A">
        <w:rPr>
          <w:rFonts w:cs="Arial"/>
          <w:szCs w:val="20"/>
        </w:rPr>
        <w:t xml:space="preserve"> wordt vastgelegd in een verdrag kan dit beschouwd worden als een uitvoeringsverdrag dat op grond van artikel 7, onderdeel b, van de Rijkswet goedkeuring en bekendmaking verdragen geen parlementaire goedkeuring behoeft, behoudens het bepaalde in artikel 8 van die Rijkswet.</w:t>
      </w:r>
    </w:p>
    <w:p w:rsidRPr="00F47ABE" w:rsidR="0032717B" w:rsidP="0032717B" w:rsidRDefault="005678B1" w14:paraId="0C81E2D5" w14:textId="77777777">
      <w:pPr>
        <w:ind w:firstLine="0"/>
        <w:rPr>
          <w:b/>
          <w:i/>
        </w:rPr>
      </w:pPr>
      <w:r w:rsidRPr="00F47ABE">
        <w:br/>
      </w:r>
      <w:r w:rsidRPr="00F47ABE">
        <w:rPr>
          <w:rFonts w:cs="Arial"/>
          <w:i/>
          <w:szCs w:val="20"/>
        </w:rPr>
        <w:t>II.13. Uitwisseling van informatie (artikel 13 van het Wijzigingsprotocol, artikel 27 van het Verdrag)</w:t>
      </w:r>
      <w:r w:rsidRPr="00F47ABE">
        <w:rPr>
          <w:b/>
          <w:i/>
        </w:rPr>
        <w:br/>
      </w:r>
    </w:p>
    <w:p w:rsidRPr="00F47ABE" w:rsidR="0032717B" w:rsidP="0032717B" w:rsidRDefault="0058228D" w14:paraId="6DE7B70E" w14:textId="77777777">
      <w:pPr>
        <w:ind w:firstLine="720"/>
      </w:pPr>
      <w:r>
        <w:t>Met artikel 13 van het Wijzigingsprotocol wordt a</w:t>
      </w:r>
      <w:r w:rsidRPr="00F47ABE" w:rsidR="005678B1">
        <w:t xml:space="preserve">rtikel 27 van het Verdrag </w:t>
      </w:r>
      <w:r>
        <w:t xml:space="preserve">dat betrekking heeft op de </w:t>
      </w:r>
      <w:r w:rsidRPr="00F47ABE" w:rsidR="005678B1">
        <w:rPr>
          <w:rFonts w:cs="Arial"/>
          <w:szCs w:val="20"/>
        </w:rPr>
        <w:t>verplicht</w:t>
      </w:r>
      <w:r>
        <w:rPr>
          <w:rFonts w:cs="Arial"/>
          <w:szCs w:val="20"/>
        </w:rPr>
        <w:t>ing</w:t>
      </w:r>
      <w:r w:rsidR="00C8237D">
        <w:rPr>
          <w:rFonts w:cs="Arial"/>
          <w:szCs w:val="20"/>
        </w:rPr>
        <w:t xml:space="preserve"> van </w:t>
      </w:r>
      <w:r w:rsidRPr="00F47ABE" w:rsidR="005678B1">
        <w:rPr>
          <w:rFonts w:cs="Arial"/>
          <w:szCs w:val="20"/>
        </w:rPr>
        <w:t>de verdragsluitende staten om informatie uit te wisselen</w:t>
      </w:r>
      <w:r w:rsidR="00C8237D">
        <w:rPr>
          <w:rFonts w:cs="Arial"/>
          <w:szCs w:val="20"/>
        </w:rPr>
        <w:t xml:space="preserve">, vervangen door een nieuw </w:t>
      </w:r>
      <w:r w:rsidRPr="00F47ABE" w:rsidR="005678B1">
        <w:rPr>
          <w:rFonts w:cs="Arial"/>
          <w:szCs w:val="20"/>
        </w:rPr>
        <w:t>artikel 27 van het Verdrag</w:t>
      </w:r>
      <w:r w:rsidR="00C8237D">
        <w:rPr>
          <w:rFonts w:cs="Arial"/>
          <w:szCs w:val="20"/>
        </w:rPr>
        <w:t>, dat</w:t>
      </w:r>
      <w:r w:rsidR="003D536C">
        <w:rPr>
          <w:rFonts w:cs="Arial"/>
          <w:szCs w:val="20"/>
        </w:rPr>
        <w:t>,</w:t>
      </w:r>
      <w:r w:rsidR="00C8237D">
        <w:rPr>
          <w:rFonts w:cs="Arial"/>
          <w:szCs w:val="20"/>
        </w:rPr>
        <w:t xml:space="preserve"> </w:t>
      </w:r>
      <w:r w:rsidRPr="00F47ABE" w:rsidR="005678B1">
        <w:t>op enkele punten na, overeen</w:t>
      </w:r>
      <w:r w:rsidR="00C8237D">
        <w:t xml:space="preserve">stemt </w:t>
      </w:r>
      <w:r w:rsidRPr="00F47ABE" w:rsidR="005678B1">
        <w:t xml:space="preserve">met </w:t>
      </w:r>
      <w:r w:rsidR="00C8237D">
        <w:t xml:space="preserve">(de actuele versie van) </w:t>
      </w:r>
      <w:r w:rsidRPr="00F47ABE" w:rsidR="005678B1">
        <w:t xml:space="preserve">artikel 26 van het OESO-modelverdrag en </w:t>
      </w:r>
      <w:r w:rsidR="006401F5">
        <w:t xml:space="preserve">dat </w:t>
      </w:r>
      <w:r w:rsidRPr="00F47ABE" w:rsidR="005678B1">
        <w:t xml:space="preserve">in lijn </w:t>
      </w:r>
      <w:r w:rsidR="006401F5">
        <w:t xml:space="preserve">is </w:t>
      </w:r>
      <w:r w:rsidRPr="00F47ABE" w:rsidR="005678B1">
        <w:t>met het Nederlandse verdragsbeleid.</w:t>
      </w:r>
    </w:p>
    <w:p w:rsidRPr="00F47ABE" w:rsidR="0032717B" w:rsidP="0032717B" w:rsidRDefault="005678B1" w14:paraId="6D667E55" w14:textId="2FEC1C0F">
      <w:pPr>
        <w:ind w:firstLine="720"/>
      </w:pPr>
      <w:r w:rsidRPr="00F47ABE">
        <w:t>Uit het eerste lid van artikel 27 van het Verdrag volgt de werkingssfeer van de informatie-uitwisseling</w:t>
      </w:r>
      <w:r w:rsidR="006401F5">
        <w:t>sverplichting</w:t>
      </w:r>
      <w:r w:rsidRPr="00F47ABE">
        <w:t xml:space="preserve">. Volgens de tweede zin is de informatie-uitwisseling niet beperkt tot informatie ten aanzien van inwoners van de verdragsluitende staten en evenmin tot de belastingen waarop het Verdrag van toepassing is. In de derde zin is </w:t>
      </w:r>
      <w:r w:rsidR="00470D7D">
        <w:t xml:space="preserve">op </w:t>
      </w:r>
      <w:r w:rsidRPr="00F47ABE">
        <w:t xml:space="preserve">verzoek van Nederland opgenomen dat de toepassing van dit artikel </w:t>
      </w:r>
      <w:r w:rsidR="00470D7D">
        <w:t xml:space="preserve">door de bevoegde </w:t>
      </w:r>
      <w:r w:rsidR="00E366AA">
        <w:t xml:space="preserve">autoriteiten </w:t>
      </w:r>
      <w:r w:rsidRPr="00F47ABE">
        <w:t xml:space="preserve">in onderling overleg </w:t>
      </w:r>
      <w:r w:rsidR="00470D7D">
        <w:t xml:space="preserve">nader </w:t>
      </w:r>
      <w:r w:rsidRPr="00F47ABE">
        <w:t xml:space="preserve">kan worden </w:t>
      </w:r>
      <w:r w:rsidR="00470D7D">
        <w:t>geregeld</w:t>
      </w:r>
      <w:r w:rsidRPr="00F47ABE">
        <w:t>.</w:t>
      </w:r>
      <w:r w:rsidR="003D536C">
        <w:t xml:space="preserve"> </w:t>
      </w:r>
      <w:r w:rsidRPr="007E712A" w:rsidR="007E712A">
        <w:rPr>
          <w:rFonts w:cs="Arial"/>
          <w:szCs w:val="20"/>
        </w:rPr>
        <w:t xml:space="preserve">Indien </w:t>
      </w:r>
      <w:r w:rsidR="007E712A">
        <w:rPr>
          <w:rFonts w:cs="Arial"/>
          <w:szCs w:val="20"/>
        </w:rPr>
        <w:t>dit</w:t>
      </w:r>
      <w:r w:rsidRPr="007E712A" w:rsidR="007E712A">
        <w:rPr>
          <w:rFonts w:cs="Arial"/>
          <w:szCs w:val="20"/>
        </w:rPr>
        <w:t xml:space="preserve"> wordt vastgelegd in een verdrag kan dit beschouwd worden als een uitvoeringsverdrag dat op grond van artikel 7, onderdeel b, van de Rijkswet goedkeuring en bekendmaking verdragen geen parlementaire goedkeuring behoeft, behoudens het bepaalde in artikel 8 van die Rijkswet.</w:t>
      </w:r>
    </w:p>
    <w:p w:rsidRPr="00F47ABE" w:rsidR="0032717B" w:rsidP="0032717B" w:rsidRDefault="005678B1" w14:paraId="1009729A" w14:textId="77777777">
      <w:pPr>
        <w:ind w:firstLine="720"/>
      </w:pPr>
      <w:r w:rsidRPr="00F47ABE">
        <w:t xml:space="preserve">Het tweede lid regelt hoe de verdragsluitende staat die informatie ontvangt van de andere verdragsluitende staat met deze informatie dient om te gaan in termen van vertrouwelijkheid. Overeenkomstig het tweede lid van artikel 26 </w:t>
      </w:r>
      <w:r w:rsidR="0025002C">
        <w:t xml:space="preserve">van het </w:t>
      </w:r>
      <w:r w:rsidRPr="00F47ABE">
        <w:t xml:space="preserve">OESO-modelverdrag bevat het tweede lid van artikel 27 van het Verdrag ook de toevoeging dat </w:t>
      </w:r>
      <w:r w:rsidRPr="00F47ABE">
        <w:rPr>
          <w:rFonts w:cs="Arial"/>
          <w:szCs w:val="20"/>
        </w:rPr>
        <w:t>de ontvangende staat de informatie onder voorwaarden ook voor niet-fiscale doeleinden mag gebruiken</w:t>
      </w:r>
      <w:r w:rsidR="001A2B49">
        <w:t>, n</w:t>
      </w:r>
      <w:r w:rsidRPr="00F47ABE">
        <w:t xml:space="preserve">amelijk indien dat in elk van de verdragsluitende staten wettelijk is toegestaan en mits de aanleverende bevoegde autoriteit dit toestaat. </w:t>
      </w:r>
    </w:p>
    <w:p w:rsidRPr="00F47ABE" w:rsidR="0032717B" w:rsidP="0032717B" w:rsidRDefault="005678B1" w14:paraId="557E2AD4" w14:textId="77777777">
      <w:pPr>
        <w:ind w:firstLine="720"/>
      </w:pPr>
      <w:r w:rsidRPr="00F47ABE">
        <w:rPr>
          <w:rFonts w:cs="Arial"/>
          <w:szCs w:val="20"/>
        </w:rPr>
        <w:lastRenderedPageBreak/>
        <w:t xml:space="preserve">In het derde lid </w:t>
      </w:r>
      <w:r w:rsidRPr="00F47ABE">
        <w:t xml:space="preserve">wordt aangegeven onder welke omstandigheden een verdragsluitende staat geen informatie hoeft te verstrekken aan de andere verdragsluitende staat. </w:t>
      </w:r>
    </w:p>
    <w:p w:rsidRPr="00F47ABE" w:rsidR="0032717B" w:rsidP="0032717B" w:rsidRDefault="008D671E" w14:paraId="643DD949" w14:textId="77777777">
      <w:pPr>
        <w:ind w:firstLine="720"/>
      </w:pPr>
      <w:r>
        <w:t>In h</w:t>
      </w:r>
      <w:r w:rsidRPr="00F47ABE" w:rsidR="005678B1">
        <w:t xml:space="preserve">et vierde lid wordt geregeld dat een </w:t>
      </w:r>
      <w:r w:rsidRPr="00F47ABE" w:rsidR="00E05941">
        <w:t>verdragsluitende</w:t>
      </w:r>
      <w:r w:rsidRPr="00F47ABE" w:rsidR="005678B1">
        <w:t xml:space="preserve"> staat niet kan weigeren informatie uit te wisselen op grond van het feit dat deze staat de informatie niet nodig heeft voor de eigen belastingheffing.</w:t>
      </w:r>
    </w:p>
    <w:p w:rsidR="000C3E77" w:rsidP="00180DF0" w:rsidRDefault="005678B1" w14:paraId="33C5B04B" w14:textId="77777777">
      <w:pPr>
        <w:ind w:firstLine="720"/>
      </w:pPr>
      <w:r w:rsidRPr="00F47ABE">
        <w:t>Tot slot bepaalt het vijfde lid dat het enkele feit dat informatie in het bezit is van bijvoorbeeld een bank, een andere financiële instelling of een zaakwaarnemer, of dat de informatie betrekking heeft op eigendomsverhoudingen, niet de grond mag zijn op basis waarvan informatie niet wordt uitgewisseld.</w:t>
      </w:r>
    </w:p>
    <w:p w:rsidRPr="00D3747A" w:rsidR="00D3747A" w:rsidP="00180DF0" w:rsidRDefault="000C3E77" w14:paraId="420900DE" w14:textId="14EC3E23">
      <w:pPr>
        <w:ind w:firstLine="720"/>
      </w:pPr>
      <w:r>
        <w:t>Voorts wordt opgemerkt dat volgens een nieuw artikel XI van het Protocol bij het Verdrag de bepalingen van artikel 27 van het Verdrag ook van toepassing zijn op inkomens</w:t>
      </w:r>
      <w:r w:rsidR="00DA2E8C">
        <w:t>gerelateerde</w:t>
      </w:r>
      <w:r>
        <w:t xml:space="preserve"> </w:t>
      </w:r>
      <w:r w:rsidR="00EF396C">
        <w:t>voorschriften</w:t>
      </w:r>
      <w:r>
        <w:t xml:space="preserve"> (toeslagen). Hierop ziet artikel 27 van dit Wijzigingsprotocol.</w:t>
      </w:r>
      <w:r w:rsidR="00180DF0">
        <w:br/>
      </w:r>
    </w:p>
    <w:p w:rsidRPr="00F47ABE" w:rsidR="0032717B" w:rsidP="0032717B" w:rsidRDefault="005678B1" w14:paraId="6E731365" w14:textId="77777777">
      <w:pPr>
        <w:ind w:firstLine="0"/>
        <w:rPr>
          <w:rFonts w:cs="Arial"/>
          <w:i/>
          <w:szCs w:val="20"/>
        </w:rPr>
      </w:pPr>
      <w:r w:rsidRPr="00F47ABE">
        <w:rPr>
          <w:rFonts w:cs="Arial"/>
          <w:i/>
          <w:szCs w:val="20"/>
        </w:rPr>
        <w:t xml:space="preserve">II.14. Bijstand bij de invordering van belastingen (artikel </w:t>
      </w:r>
      <w:r w:rsidRPr="00F47ABE" w:rsidR="00070842">
        <w:rPr>
          <w:rFonts w:cs="Arial"/>
          <w:i/>
          <w:szCs w:val="20"/>
        </w:rPr>
        <w:t>14</w:t>
      </w:r>
      <w:r w:rsidRPr="00F47ABE">
        <w:rPr>
          <w:rFonts w:cs="Arial"/>
          <w:i/>
          <w:szCs w:val="20"/>
        </w:rPr>
        <w:t xml:space="preserve"> van het Wijzigingsprotocol, artikel 28 van het Verdrag)</w:t>
      </w:r>
      <w:r w:rsidR="005369CD">
        <w:rPr>
          <w:rFonts w:cs="Arial"/>
          <w:i/>
          <w:szCs w:val="20"/>
        </w:rPr>
        <w:br/>
      </w:r>
    </w:p>
    <w:p w:rsidRPr="00F47ABE" w:rsidR="0032717B" w:rsidP="0032717B" w:rsidRDefault="005678B1" w14:paraId="4FBC0639" w14:textId="77777777">
      <w:pPr>
        <w:ind w:firstLine="720"/>
      </w:pPr>
      <w:r w:rsidRPr="00F47ABE">
        <w:t>In artikel 28 van het Verdrag zijn de verdragsluitende staten samenwerking bij de invordering van belastingen overeengekomen. Artikel 14 van het Wijzigingsprotocol vervangt het oude artikel 28 van het Verdrag door een nieuwe bepaling in overeenstemming met artikel 27 van het OESO-modelverdrag en in lijn met het Nederlandse verdragsbeleid.</w:t>
      </w:r>
    </w:p>
    <w:p w:rsidRPr="007E712A" w:rsidR="0032717B" w:rsidP="0032717B" w:rsidRDefault="005678B1" w14:paraId="7B478E59" w14:textId="7E3BE8E2">
      <w:pPr>
        <w:ind w:firstLine="720"/>
      </w:pPr>
      <w:r w:rsidRPr="00F47ABE">
        <w:t xml:space="preserve">Het eerste lid van artikel 28 van het Verdrag bevat de verplichting tot het verlenen van de bijstand. Net als het geval is bij de uitwisseling van informatie, is de bijstand bij invordering niet beperkt tot inwoners van de verdragsluitende staten en evenmin tot de belastingen waarop het Verdrag van toepassing is. </w:t>
      </w:r>
      <w:r w:rsidRPr="00F47ABE" w:rsidR="003D536C">
        <w:t xml:space="preserve">In de derde zin is opgenomen dat de toepassing van dit artikel </w:t>
      </w:r>
      <w:r w:rsidR="003D536C">
        <w:t xml:space="preserve">door de bevoegde autoriteiten </w:t>
      </w:r>
      <w:r w:rsidRPr="00F47ABE" w:rsidR="003D536C">
        <w:t xml:space="preserve">in onderling overleg </w:t>
      </w:r>
      <w:r w:rsidR="003D536C">
        <w:t xml:space="preserve">nader </w:t>
      </w:r>
      <w:r w:rsidRPr="00F47ABE" w:rsidR="003D536C">
        <w:t xml:space="preserve">kan worden </w:t>
      </w:r>
      <w:r w:rsidR="003D536C">
        <w:t>geregeld</w:t>
      </w:r>
      <w:r w:rsidRPr="00F47ABE" w:rsidR="003D536C">
        <w:t>.</w:t>
      </w:r>
      <w:r w:rsidR="003D536C">
        <w:t xml:space="preserve"> </w:t>
      </w:r>
      <w:r w:rsidRPr="007E712A" w:rsidR="007E712A">
        <w:rPr>
          <w:rFonts w:cs="Arial"/>
          <w:szCs w:val="20"/>
        </w:rPr>
        <w:t xml:space="preserve">Indien </w:t>
      </w:r>
      <w:r w:rsidR="007E712A">
        <w:rPr>
          <w:rFonts w:cs="Arial"/>
          <w:szCs w:val="20"/>
        </w:rPr>
        <w:t>dit</w:t>
      </w:r>
      <w:r w:rsidRPr="007E712A" w:rsidR="007E712A">
        <w:rPr>
          <w:rFonts w:cs="Arial"/>
          <w:szCs w:val="20"/>
        </w:rPr>
        <w:t xml:space="preserve"> wordt vastgelegd in een verdrag kan dit beschouwd worden als een uitvoeringsverdrag dat op grond van artikel 7, onderdeel b, van de Rijkswet goedkeuring en bekendmaking verdragen geen parlementaire goedkeuring behoeft, behoudens het bepaalde in artikel 8 van die Rijkswet.</w:t>
      </w:r>
    </w:p>
    <w:p w:rsidRPr="00F47ABE" w:rsidR="0032717B" w:rsidP="0032717B" w:rsidRDefault="005678B1" w14:paraId="032CDDC7" w14:textId="77777777">
      <w:pPr>
        <w:ind w:firstLine="720"/>
      </w:pPr>
      <w:r w:rsidRPr="00F47ABE">
        <w:t>Het tweede lid van artikel 28 van het Verdrag bepaalt wat voor de toepassing van dit artikel wordt verstaan onder een ‘belastingvordering’. Het gaat om belastingvorderingen met betrekking tot alle soorten belastingen, met inbegrip van bijkomende kosten. Vorderingen die betrekking hebben op belastingen geheven op een wijze die in strijd is met het Verdrag zelf of met andere verdragen waarbij de staten partij zijn, worden van de invorderingsbijstand uitgezonderd. Bijkomende kosten die onder de invorderingsbijstand vallen zijn interest, bestuursrechtelijke boetes en de kosten van invordering of van conservatoire maatregelen.</w:t>
      </w:r>
    </w:p>
    <w:p w:rsidRPr="00F47ABE" w:rsidR="0032717B" w:rsidP="0032717B" w:rsidRDefault="005678B1" w14:paraId="6B44CF11" w14:textId="77777777">
      <w:pPr>
        <w:ind w:firstLine="708"/>
      </w:pPr>
      <w:r w:rsidRPr="00F47ABE">
        <w:t>Ingevolge het derde lid van artikel 28 van het Verdrag kan een verdragsluitende staat om bijstand bij invordering verzoeken wanneer een belastingvordering volgens de wetgeving van die staat kan worden ingevorderd en aan een belastingschuldige geen (rechts)middelen meer ter beschikking staan om de invordering tegen te houden.</w:t>
      </w:r>
    </w:p>
    <w:p w:rsidRPr="00F47ABE" w:rsidR="0032717B" w:rsidP="0032717B" w:rsidRDefault="005678B1" w14:paraId="49C8ACB9" w14:textId="77777777">
      <w:pPr>
        <w:ind w:firstLine="708"/>
      </w:pPr>
      <w:r w:rsidRPr="00F47ABE">
        <w:t xml:space="preserve">Het vierde lid van artikel 28 van het Verdrag ziet op het nemen van conservatoire maatregelen. De aangezochte staat dient voor de invordering van een buitenlandse belastingschuld </w:t>
      </w:r>
      <w:r w:rsidRPr="00F47ABE">
        <w:lastRenderedPageBreak/>
        <w:t>dezelfde conservatoire maatregelen te nemen die deze staat zou nemen voor de invordering van een binnenlandse schuld. De aangezochte staat zal reeds ingaan op een verzoek om conservatoire maatregelen te nemen, ook al is de belastingschuld nog niet invorderbaar of nog vatbaar voor bezwaar en beroep.</w:t>
      </w:r>
      <w:r w:rsidR="00505942">
        <w:t xml:space="preserve"> </w:t>
      </w:r>
    </w:p>
    <w:p w:rsidRPr="00F47ABE" w:rsidR="0032717B" w:rsidP="0032717B" w:rsidRDefault="005678B1" w14:paraId="32971531" w14:textId="77777777">
      <w:pPr>
        <w:ind w:firstLine="708"/>
      </w:pPr>
      <w:r w:rsidRPr="00F47ABE">
        <w:t xml:space="preserve">Het vijfde lid van artikel 28 van het Verdrag bevat twee voorbehouden op het in het derde en vierde lid neergelegde verzoek voor de aangezochte staat om de buitenlandse belastingschuld in te vorderen als ware het een binnenlandse belastingschuld. Ten eerste gelden de nationale regels met betrekking tot verjaring van de invordering van belastingschulden niet voor buitenlandse belastingvorderingen. Ten tweede is bepaald dat aan buitenlandse belastingvorderingen geen voorrang wordt verleend. </w:t>
      </w:r>
    </w:p>
    <w:p w:rsidRPr="00F47ABE" w:rsidR="0032717B" w:rsidP="0032717B" w:rsidRDefault="005678B1" w14:paraId="6914C66D" w14:textId="77777777">
      <w:pPr>
        <w:ind w:firstLine="708"/>
      </w:pPr>
      <w:r w:rsidRPr="00F47ABE">
        <w:t xml:space="preserve">Ingevolge het zesde lid kunnen procedures inzake het bestaan, de geldigheid of het bedrag van een belastingvordering van een verzoekende staat niet voor een rechterlijke instantie of administratiefrechtelijk lichaam van een aangezochte staat worden gebracht. </w:t>
      </w:r>
    </w:p>
    <w:p w:rsidRPr="00F47ABE" w:rsidR="0032717B" w:rsidP="0032717B" w:rsidRDefault="005678B1" w14:paraId="5D0D2454" w14:textId="77777777">
      <w:pPr>
        <w:ind w:firstLine="708"/>
      </w:pPr>
      <w:r w:rsidRPr="00F47ABE">
        <w:t>Uit het zevende lid volgt dat wanneer niet langer is voldaan aan de voorwaarden voor het doen van een verzoek tot invordering, bijvoorbeeld omdat een vordering niet langer invorderbaar is in de verzoekende staat, de verzoekende staat de aangezochte staat onverwijld op de hoogte dient te brengen van deze gewijzigde omstandigheden.</w:t>
      </w:r>
    </w:p>
    <w:p w:rsidRPr="00F47ABE" w:rsidR="0032717B" w:rsidP="0032717B" w:rsidRDefault="005678B1" w14:paraId="5C379776" w14:textId="5B6231FE">
      <w:pPr>
        <w:ind w:firstLine="708"/>
      </w:pPr>
      <w:r w:rsidRPr="00F47ABE">
        <w:t>In het achtste lid is een aantal beperkingen opgenomen ten aanzien van de verplichting van de aangezochte staat om aan een bijstandsverzoek van de verzoekende staat te voldoen, waaronder een proportionaliteitstoets; die bepaalt dat bijstand niet hoeft te worden verleend in gevallen waarin de administratieve last voor de aangezochte staat duidelijk onevenredig is ten opzichte van het voordeel dat door de verzoekende staat kan worden behaald.</w:t>
      </w:r>
      <w:r w:rsidR="002F320D">
        <w:br/>
      </w:r>
      <w:r w:rsidR="002F320D">
        <w:tab/>
      </w:r>
      <w:r w:rsidRPr="00180DF0" w:rsidDel="00025CE2" w:rsidR="00180DF0">
        <w:t xml:space="preserve"> </w:t>
      </w:r>
      <w:r w:rsidRPr="000C3E77" w:rsidR="000C3E77">
        <w:t xml:space="preserve">Voorts wordt opgemerkt dat </w:t>
      </w:r>
      <w:r w:rsidR="000C3E77">
        <w:t xml:space="preserve">volgens </w:t>
      </w:r>
      <w:r w:rsidRPr="000C3E77" w:rsidR="000C3E77">
        <w:t>een nieuw artikel XI van het Protocol bij het Verdrag de bepalingen van artikel 2</w:t>
      </w:r>
      <w:r w:rsidR="000C3E77">
        <w:t>8</w:t>
      </w:r>
      <w:r w:rsidRPr="000C3E77" w:rsidR="000C3E77">
        <w:t xml:space="preserve"> van het Verdrag ook van toepassing zijn op inkomens</w:t>
      </w:r>
      <w:r w:rsidR="00160D5D">
        <w:t>gerelateerde</w:t>
      </w:r>
      <w:r w:rsidRPr="000C3E77" w:rsidR="000C3E77">
        <w:t xml:space="preserve"> </w:t>
      </w:r>
      <w:r w:rsidR="00EF396C">
        <w:t xml:space="preserve">voorschriften </w:t>
      </w:r>
      <w:r w:rsidRPr="000C3E77" w:rsidR="000C3E77">
        <w:t>(toeslagen). Hierop ziet artikel 27 van dit Wijzigingsprotocol.</w:t>
      </w:r>
    </w:p>
    <w:p w:rsidRPr="0032717B" w:rsidR="0032717B" w:rsidP="0032717B" w:rsidRDefault="0032717B" w14:paraId="5BBA67C0" w14:textId="77777777">
      <w:pPr>
        <w:rPr>
          <w:b/>
          <w:i/>
        </w:rPr>
      </w:pPr>
    </w:p>
    <w:p w:rsidRPr="0032717B" w:rsidR="0032717B" w:rsidP="0032717B" w:rsidRDefault="0032717B" w14:paraId="192B2172" w14:textId="77777777">
      <w:pPr>
        <w:ind w:firstLine="0"/>
        <w:rPr>
          <w:rFonts w:cs="Arial"/>
          <w:i/>
          <w:szCs w:val="20"/>
        </w:rPr>
      </w:pPr>
      <w:r w:rsidRPr="00373C54">
        <w:rPr>
          <w:rFonts w:cs="Arial"/>
          <w:i/>
          <w:szCs w:val="20"/>
        </w:rPr>
        <w:t>II.</w:t>
      </w:r>
      <w:r w:rsidRPr="00373C54" w:rsidR="00373C54">
        <w:rPr>
          <w:rFonts w:cs="Arial"/>
          <w:i/>
          <w:szCs w:val="20"/>
        </w:rPr>
        <w:t>15</w:t>
      </w:r>
      <w:r w:rsidR="004E3AF6">
        <w:rPr>
          <w:rFonts w:cs="Arial"/>
          <w:i/>
          <w:szCs w:val="20"/>
        </w:rPr>
        <w:t>.</w:t>
      </w:r>
      <w:r w:rsidRPr="00373C54">
        <w:rPr>
          <w:rFonts w:cs="Arial"/>
          <w:i/>
          <w:szCs w:val="20"/>
        </w:rPr>
        <w:t xml:space="preserve"> </w:t>
      </w:r>
      <w:r w:rsidRPr="0032717B">
        <w:rPr>
          <w:rFonts w:cs="Arial"/>
          <w:i/>
          <w:szCs w:val="20"/>
        </w:rPr>
        <w:t xml:space="preserve">Recht op voordelen (artikel </w:t>
      </w:r>
      <w:r w:rsidR="005C6D32">
        <w:rPr>
          <w:rFonts w:cs="Arial"/>
          <w:i/>
          <w:szCs w:val="20"/>
        </w:rPr>
        <w:t>15</w:t>
      </w:r>
      <w:r w:rsidRPr="0032717B">
        <w:rPr>
          <w:rFonts w:cs="Arial"/>
          <w:i/>
          <w:szCs w:val="20"/>
        </w:rPr>
        <w:t xml:space="preserve"> van het Wijzigingsprotocol, artikel 29 van het Verdrag)</w:t>
      </w:r>
    </w:p>
    <w:p w:rsidR="005C6D32" w:rsidP="005C6D32" w:rsidRDefault="005C6D32" w14:paraId="26AECD16" w14:textId="77777777">
      <w:pPr>
        <w:ind w:firstLine="708"/>
        <w:rPr>
          <w:rFonts w:cs="Arial"/>
          <w:szCs w:val="20"/>
        </w:rPr>
      </w:pPr>
    </w:p>
    <w:p w:rsidRPr="005C6D32" w:rsidR="005C6D32" w:rsidP="005C6D32" w:rsidRDefault="005C6D32" w14:paraId="1AFE8116" w14:textId="6124BBE8">
      <w:pPr>
        <w:ind w:firstLine="708"/>
        <w:rPr>
          <w:rFonts w:cs="Arial"/>
          <w:szCs w:val="20"/>
        </w:rPr>
      </w:pPr>
      <w:r w:rsidRPr="005C6D32">
        <w:rPr>
          <w:rFonts w:cs="Arial"/>
          <w:szCs w:val="20"/>
        </w:rPr>
        <w:t xml:space="preserve">In </w:t>
      </w:r>
      <w:r w:rsidR="00E8006B">
        <w:rPr>
          <w:rFonts w:cs="Arial"/>
          <w:szCs w:val="20"/>
        </w:rPr>
        <w:t>a</w:t>
      </w:r>
      <w:r w:rsidRPr="005C6D32">
        <w:rPr>
          <w:rFonts w:cs="Arial"/>
          <w:szCs w:val="20"/>
        </w:rPr>
        <w:t xml:space="preserve">ctiepunt 6 van het BEPS-project dat ziet op </w:t>
      </w:r>
      <w:r w:rsidRPr="005C6D32">
        <w:rPr>
          <w:rFonts w:cs="Arial"/>
          <w:i/>
          <w:szCs w:val="20"/>
        </w:rPr>
        <w:t>‘Preventing the Granting of Treaty Benefits in Inappropriate Circumstances’</w:t>
      </w:r>
      <w:r w:rsidRPr="005C6D32">
        <w:rPr>
          <w:rFonts w:cs="Arial"/>
          <w:szCs w:val="20"/>
        </w:rPr>
        <w:t xml:space="preserve"> is een minimumstandaard geformuleerd voor het bestrijden van “treaty shopping”</w:t>
      </w:r>
      <w:r w:rsidRPr="00D82170">
        <w:rPr>
          <w:rStyle w:val="Voetnootmarkering"/>
          <w:rFonts w:cs="Arial"/>
          <w:szCs w:val="20"/>
        </w:rPr>
        <w:footnoteReference w:id="16"/>
      </w:r>
      <w:r w:rsidR="005F7CDF">
        <w:rPr>
          <w:rFonts w:cs="Arial"/>
          <w:szCs w:val="20"/>
        </w:rPr>
        <w:t>.</w:t>
      </w:r>
      <w:r w:rsidRPr="005C6D32">
        <w:rPr>
          <w:rFonts w:cs="Arial"/>
          <w:szCs w:val="20"/>
        </w:rPr>
        <w:t xml:space="preserve"> Aan deze minimumstandaard kan, onder meer, worden voldaan door in een belastingverdrag een bepaling op te nemen die een zogenoemde </w:t>
      </w:r>
      <w:r w:rsidRPr="0078010A" w:rsidR="000034DF">
        <w:rPr>
          <w:i/>
          <w:szCs w:val="18"/>
        </w:rPr>
        <w:t>principal purposes test</w:t>
      </w:r>
      <w:r w:rsidRPr="0078010A" w:rsidR="000034DF">
        <w:rPr>
          <w:szCs w:val="18"/>
        </w:rPr>
        <w:t xml:space="preserve"> </w:t>
      </w:r>
      <w:r w:rsidRPr="005C6D32">
        <w:rPr>
          <w:rFonts w:cs="Arial"/>
          <w:szCs w:val="20"/>
        </w:rPr>
        <w:t xml:space="preserve">bevat. Met artikel </w:t>
      </w:r>
      <w:r>
        <w:rPr>
          <w:rFonts w:cs="Arial"/>
          <w:szCs w:val="20"/>
        </w:rPr>
        <w:t>15</w:t>
      </w:r>
      <w:r w:rsidRPr="005C6D32">
        <w:rPr>
          <w:rFonts w:cs="Arial"/>
          <w:szCs w:val="20"/>
        </w:rPr>
        <w:t xml:space="preserve"> van het Wijzigingsprotocol wordt dit bewerkstelligd door het opnemen van deze test in een nieuw artikel </w:t>
      </w:r>
      <w:r>
        <w:rPr>
          <w:rFonts w:cs="Arial"/>
          <w:szCs w:val="20"/>
        </w:rPr>
        <w:t>29</w:t>
      </w:r>
      <w:r w:rsidRPr="005C6D32">
        <w:rPr>
          <w:rFonts w:cs="Arial"/>
          <w:szCs w:val="20"/>
        </w:rPr>
        <w:t xml:space="preserve">. </w:t>
      </w:r>
      <w:r w:rsidR="006401F5">
        <w:rPr>
          <w:rFonts w:cs="Arial"/>
          <w:szCs w:val="20"/>
        </w:rPr>
        <w:t xml:space="preserve">Dit sluit aan bij de in onderdeel I.1. van deze </w:t>
      </w:r>
      <w:r w:rsidR="003A19C1">
        <w:t xml:space="preserve">toelichtende nota </w:t>
      </w:r>
      <w:r w:rsidR="006401F5">
        <w:rPr>
          <w:rFonts w:cs="Arial"/>
          <w:szCs w:val="20"/>
        </w:rPr>
        <w:t xml:space="preserve">reeds genoemde </w:t>
      </w:r>
      <w:r w:rsidRPr="005C6D32">
        <w:rPr>
          <w:rFonts w:cs="Arial"/>
          <w:szCs w:val="20"/>
        </w:rPr>
        <w:t xml:space="preserve">kabinetsreactie van 28 oktober 2016 op het </w:t>
      </w:r>
      <w:r w:rsidRPr="006401F5" w:rsidR="006401F5">
        <w:rPr>
          <w:rFonts w:cs="Arial"/>
          <w:szCs w:val="20"/>
        </w:rPr>
        <w:t xml:space="preserve">door de OESO ontwikkelde </w:t>
      </w:r>
      <w:r w:rsidR="00207702">
        <w:rPr>
          <w:rFonts w:cs="Arial"/>
          <w:szCs w:val="20"/>
        </w:rPr>
        <w:t>MLI</w:t>
      </w:r>
      <w:r w:rsidRPr="005C6D32">
        <w:rPr>
          <w:rFonts w:cs="Arial"/>
          <w:szCs w:val="20"/>
        </w:rPr>
        <w:t xml:space="preserve">. </w:t>
      </w:r>
    </w:p>
    <w:p w:rsidRPr="00373C54" w:rsidR="0032717B" w:rsidP="0032717B" w:rsidRDefault="0032717B" w14:paraId="30AAF665" w14:textId="77777777">
      <w:pPr>
        <w:ind w:firstLine="720"/>
      </w:pPr>
      <w:r w:rsidRPr="00373C54">
        <w:t>Op grond van het eerste lid van artikel 29 van het Verdrag worden verdragsvoordelen niet toegekend voor een inkomensbestanddeel indien het verkrijgen van dit verdragsvoordeel één van de voornaamste redenen was voor een constructie of transactie die tot dat voordeel heeft geleid.</w:t>
      </w:r>
      <w:r w:rsidR="005C6D32">
        <w:t xml:space="preserve"> </w:t>
      </w:r>
      <w:r w:rsidRPr="005C6D32" w:rsidR="005C6D32">
        <w:rPr>
          <w:rFonts w:cs="Arial"/>
          <w:szCs w:val="20"/>
        </w:rPr>
        <w:t xml:space="preserve">De </w:t>
      </w:r>
      <w:r w:rsidRPr="0078010A" w:rsidR="000034DF">
        <w:rPr>
          <w:i/>
          <w:szCs w:val="18"/>
        </w:rPr>
        <w:lastRenderedPageBreak/>
        <w:t>principal purposes test</w:t>
      </w:r>
      <w:r w:rsidRPr="0078010A" w:rsidR="000034DF">
        <w:rPr>
          <w:szCs w:val="18"/>
        </w:rPr>
        <w:t xml:space="preserve"> </w:t>
      </w:r>
      <w:r w:rsidRPr="005C6D32" w:rsidR="005C6D32">
        <w:rPr>
          <w:rFonts w:cs="Arial"/>
          <w:szCs w:val="20"/>
        </w:rPr>
        <w:t>richt zich dus op een specifieke transactie en niet zozeer op de persoon die bij een transactie betrokken is.</w:t>
      </w:r>
    </w:p>
    <w:p w:rsidRPr="004608DF" w:rsidR="004608DF" w:rsidP="004608DF" w:rsidRDefault="0032717B" w14:paraId="29BB4C85" w14:textId="2F1980DE">
      <w:pPr>
        <w:ind w:firstLine="708"/>
      </w:pPr>
      <w:r w:rsidRPr="00373C54">
        <w:t xml:space="preserve">In het tweede lid </w:t>
      </w:r>
      <w:r w:rsidRPr="00373C54" w:rsidR="00AD7487">
        <w:t xml:space="preserve">van artikel 29 van het Verdrag </w:t>
      </w:r>
      <w:r w:rsidR="0024236B">
        <w:t xml:space="preserve">is, in lijn met een in paragaaf 184 van het </w:t>
      </w:r>
      <w:r w:rsidR="0025002C">
        <w:t>c</w:t>
      </w:r>
      <w:r w:rsidR="0024236B">
        <w:t xml:space="preserve">ommentaar </w:t>
      </w:r>
      <w:r w:rsidR="0025002C">
        <w:t xml:space="preserve">bij </w:t>
      </w:r>
      <w:r w:rsidR="0024236B">
        <w:t>artikel 29 (</w:t>
      </w:r>
      <w:r w:rsidRPr="00D138FD" w:rsidR="0024236B">
        <w:rPr>
          <w:i/>
        </w:rPr>
        <w:t>entitlement to benefits</w:t>
      </w:r>
      <w:r w:rsidR="0024236B">
        <w:t>) van het OESO-modelverdrag opgenomen voorstel</w:t>
      </w:r>
      <w:r w:rsidR="002A5517">
        <w:t>,</w:t>
      </w:r>
      <w:r w:rsidR="0024236B">
        <w:t xml:space="preserve"> een zogenoemde </w:t>
      </w:r>
      <w:r w:rsidR="00981AA6">
        <w:t>‘</w:t>
      </w:r>
      <w:r w:rsidR="00F2784C">
        <w:t>vangnetbepaling</w:t>
      </w:r>
      <w:r w:rsidR="00981AA6">
        <w:t>’</w:t>
      </w:r>
      <w:r w:rsidR="0024236B">
        <w:t xml:space="preserve"> opgenomen.</w:t>
      </w:r>
      <w:r w:rsidR="002A5517">
        <w:t xml:space="preserve"> In de </w:t>
      </w:r>
      <w:r w:rsidR="00B555AE">
        <w:t xml:space="preserve">eerste zin </w:t>
      </w:r>
      <w:r w:rsidRPr="00373C54">
        <w:t xml:space="preserve">is bepaald dat op verzoek van een belastingplichtige </w:t>
      </w:r>
      <w:r w:rsidRPr="0032717B">
        <w:t xml:space="preserve">de bevoegde autoriteit van de staat waarvan verdragsvoordelen worden gevraagd (veelal het bronland) de mogelijkheid heeft verdragsvoordelen toch toe te kennen voor zover wordt vastgesteld dat bij afwezigheid van een </w:t>
      </w:r>
      <w:r w:rsidRPr="00373C54">
        <w:t>transactie of constructie bedoeld in het eerste lid,</w:t>
      </w:r>
      <w:r w:rsidRPr="0032717B">
        <w:t xml:space="preserve"> verdragsvoordelen ook gegeven zouden zijn. In de tweede zin </w:t>
      </w:r>
      <w:r w:rsidR="006F793F">
        <w:t xml:space="preserve">is </w:t>
      </w:r>
      <w:r w:rsidRPr="0032717B">
        <w:t xml:space="preserve">geregeld dat </w:t>
      </w:r>
      <w:r w:rsidRPr="00373C54">
        <w:t xml:space="preserve">voordat een verdragsluitende staat aan een belastingplichtige verdragsvoordelen op grond van </w:t>
      </w:r>
      <w:r w:rsidR="001D30E2">
        <w:t xml:space="preserve">de eerste zin </w:t>
      </w:r>
      <w:r w:rsidRPr="00373C54">
        <w:t xml:space="preserve">weigert, de </w:t>
      </w:r>
      <w:r w:rsidR="001D30E2">
        <w:t xml:space="preserve">bevoegde autoriteit van de andere </w:t>
      </w:r>
      <w:r w:rsidRPr="00373C54">
        <w:t xml:space="preserve">verdragsluitende staat daarover </w:t>
      </w:r>
      <w:r w:rsidR="00BF73EB">
        <w:t>wordt ge</w:t>
      </w:r>
      <w:r w:rsidRPr="00373C54">
        <w:t>raadpleeg</w:t>
      </w:r>
      <w:r w:rsidR="00BF73EB">
        <w:t>d</w:t>
      </w:r>
      <w:r w:rsidRPr="00373C54">
        <w:t xml:space="preserve"> (verplichte voorafgaande consultatie).</w:t>
      </w:r>
      <w:r w:rsidR="002A5517">
        <w:t xml:space="preserve"> Voor de goede orde zij daarbij opgemerkt dat </w:t>
      </w:r>
      <w:r w:rsidR="00DD68E9">
        <w:t xml:space="preserve">de bevoegde autoriteit van een </w:t>
      </w:r>
      <w:r w:rsidR="002A5517">
        <w:t xml:space="preserve">staat niet de instemming nodig heeft van de </w:t>
      </w:r>
      <w:r w:rsidR="00DD68E9">
        <w:t>bevoegde autoriteit van de andere staat voor het weigeren van verd</w:t>
      </w:r>
      <w:r w:rsidR="0098067A">
        <w:t>r</w:t>
      </w:r>
      <w:r w:rsidR="00DD68E9">
        <w:t xml:space="preserve">agsvoordelen ingeval een beroep gedaan is op de vangnetbepaling. Maar de consultatie vooraf kan </w:t>
      </w:r>
      <w:r w:rsidR="0098067A">
        <w:t xml:space="preserve">wel </w:t>
      </w:r>
      <w:r w:rsidR="00DD68E9">
        <w:t xml:space="preserve">een </w:t>
      </w:r>
      <w:r w:rsidR="0098067A">
        <w:t>bijdrage</w:t>
      </w:r>
      <w:r w:rsidR="00DD68E9">
        <w:t xml:space="preserve"> leveren aan </w:t>
      </w:r>
      <w:r w:rsidR="0098067A">
        <w:t xml:space="preserve">een eenduidige toepassing door beide staten van de bepaling en waarborgen dat de relevante feiten en omstandigheden over een </w:t>
      </w:r>
      <w:r w:rsidR="004608DF">
        <w:t>voorgelegde</w:t>
      </w:r>
      <w:r w:rsidR="0098067A">
        <w:t xml:space="preserve"> situatie voldoende kenbaar zijn</w:t>
      </w:r>
      <w:r w:rsidR="004608DF">
        <w:t>.</w:t>
      </w:r>
      <w:r w:rsidR="004608DF">
        <w:br/>
      </w:r>
      <w:r w:rsidR="004608DF">
        <w:tab/>
        <w:t xml:space="preserve">Volledigheidshalve wordt nog opgemerkt dat </w:t>
      </w:r>
      <w:r w:rsidR="00387B09">
        <w:t xml:space="preserve">aan de bepaling die in </w:t>
      </w:r>
      <w:r w:rsidR="006F793F">
        <w:t xml:space="preserve">het oorspronkelijke </w:t>
      </w:r>
      <w:r w:rsidR="00387B09">
        <w:t xml:space="preserve">artikel 29 </w:t>
      </w:r>
      <w:r w:rsidR="00F036CD">
        <w:t xml:space="preserve">van het Verdrag </w:t>
      </w:r>
      <w:r w:rsidR="00387B09">
        <w:t xml:space="preserve">was opgenomen over de beperking van de </w:t>
      </w:r>
      <w:r w:rsidR="00C32F37">
        <w:t xml:space="preserve">toepassing van de artikelen </w:t>
      </w:r>
      <w:r w:rsidR="00387B09">
        <w:t>over uitwisseling van informatie en bijstand bij invordering geen behoefte meer bestaat door de actualisering van de</w:t>
      </w:r>
      <w:r w:rsidR="00C32F37">
        <w:t>ze</w:t>
      </w:r>
      <w:r w:rsidR="00387B09">
        <w:t xml:space="preserve"> </w:t>
      </w:r>
      <w:r w:rsidR="00C32F37">
        <w:t>artikelen</w:t>
      </w:r>
      <w:r w:rsidR="00387B09">
        <w:t xml:space="preserve"> (artikelen 27 en 28 van het Verdrag)</w:t>
      </w:r>
      <w:r w:rsidR="00641549">
        <w:t>,</w:t>
      </w:r>
      <w:r w:rsidR="00884B55">
        <w:t xml:space="preserve"> </w:t>
      </w:r>
      <w:r w:rsidR="00641549">
        <w:t xml:space="preserve">omdat </w:t>
      </w:r>
      <w:r w:rsidR="00884B55">
        <w:t>deze beperkingen nu in deze artikelen zel</w:t>
      </w:r>
      <w:r w:rsidR="00641549">
        <w:t>f</w:t>
      </w:r>
      <w:r w:rsidR="00884B55">
        <w:t xml:space="preserve"> </w:t>
      </w:r>
      <w:r w:rsidR="00A019CF">
        <w:t xml:space="preserve">zijn opgenomen </w:t>
      </w:r>
      <w:r w:rsidR="00884B55">
        <w:t xml:space="preserve">(te weten in artikel 27, </w:t>
      </w:r>
      <w:r w:rsidR="00A019CF">
        <w:t>derde lid, en artikel 28, achtste lid)</w:t>
      </w:r>
      <w:r w:rsidR="00387B09">
        <w:t>.</w:t>
      </w:r>
    </w:p>
    <w:p w:rsidRPr="00373C54" w:rsidR="0032717B" w:rsidP="0032717B" w:rsidRDefault="0032717B" w14:paraId="11735D44" w14:textId="77777777">
      <w:pPr>
        <w:ind w:firstLine="0"/>
      </w:pPr>
    </w:p>
    <w:p w:rsidRPr="00025CE2" w:rsidR="0032717B" w:rsidP="0032717B" w:rsidRDefault="0032717B" w14:paraId="11CDB01B" w14:textId="77777777">
      <w:pPr>
        <w:ind w:firstLine="0"/>
        <w:rPr>
          <w:rFonts w:cs="Arial"/>
          <w:i/>
          <w:szCs w:val="20"/>
        </w:rPr>
      </w:pPr>
      <w:r w:rsidRPr="00025CE2">
        <w:rPr>
          <w:rFonts w:cs="Arial"/>
          <w:i/>
          <w:szCs w:val="20"/>
        </w:rPr>
        <w:t>II.</w:t>
      </w:r>
      <w:r w:rsidRPr="00025CE2" w:rsidR="00373C54">
        <w:rPr>
          <w:rFonts w:cs="Arial"/>
          <w:i/>
          <w:szCs w:val="20"/>
        </w:rPr>
        <w:t>1</w:t>
      </w:r>
      <w:r w:rsidRPr="00025CE2" w:rsidR="005C6D32">
        <w:rPr>
          <w:rFonts w:cs="Arial"/>
          <w:i/>
          <w:szCs w:val="20"/>
        </w:rPr>
        <w:t>6</w:t>
      </w:r>
      <w:r w:rsidR="003A19C1">
        <w:rPr>
          <w:rFonts w:cs="Arial"/>
          <w:i/>
          <w:szCs w:val="20"/>
        </w:rPr>
        <w:t>.</w:t>
      </w:r>
      <w:r w:rsidRPr="00025CE2">
        <w:rPr>
          <w:rFonts w:cs="Arial"/>
          <w:i/>
          <w:szCs w:val="20"/>
        </w:rPr>
        <w:t xml:space="preserve"> Uitbreiding tot andere gebieden (artikel </w:t>
      </w:r>
      <w:r w:rsidRPr="00025CE2" w:rsidR="005C6D32">
        <w:rPr>
          <w:rFonts w:cs="Arial"/>
          <w:i/>
          <w:szCs w:val="20"/>
        </w:rPr>
        <w:t xml:space="preserve">16 </w:t>
      </w:r>
      <w:r w:rsidRPr="002D72F3">
        <w:rPr>
          <w:rFonts w:cs="Arial"/>
          <w:i/>
          <w:szCs w:val="20"/>
        </w:rPr>
        <w:t>van het Wijzigingsprotocol, artikel 31 van het Verdrag)</w:t>
      </w:r>
      <w:r w:rsidRPr="00025CE2" w:rsidR="00373C54">
        <w:rPr>
          <w:rFonts w:cs="Arial"/>
          <w:i/>
          <w:szCs w:val="20"/>
        </w:rPr>
        <w:br/>
      </w:r>
    </w:p>
    <w:p w:rsidRPr="004F5AA5" w:rsidR="004F5AA5" w:rsidP="00180DF0" w:rsidRDefault="006F793F" w14:paraId="1AE9AA57" w14:textId="77777777">
      <w:pPr>
        <w:ind w:firstLine="720"/>
      </w:pPr>
      <w:r>
        <w:t>Met artikel 16 van het Wijzigingsprotocol wordt artikel 31 van het Verdrag redactioneel aangepast i</w:t>
      </w:r>
      <w:r w:rsidRPr="00025CE2" w:rsidR="005C6D32">
        <w:t xml:space="preserve">n het kader van de staatkundige hervorming van het Koninkrijk </w:t>
      </w:r>
      <w:r>
        <w:t xml:space="preserve">die </w:t>
      </w:r>
      <w:r w:rsidRPr="00025CE2" w:rsidR="005C6D32">
        <w:t xml:space="preserve">op 10 oktober 2010 </w:t>
      </w:r>
      <w:r>
        <w:t>heeft plaatsgevonden</w:t>
      </w:r>
      <w:r w:rsidRPr="00025CE2" w:rsidR="005C6D32">
        <w:rPr>
          <w:rFonts w:cs="Arial"/>
          <w:szCs w:val="20"/>
        </w:rPr>
        <w:t>.</w:t>
      </w:r>
      <w:r w:rsidRPr="00025CE2" w:rsidR="00652F91">
        <w:rPr>
          <w:rFonts w:cs="Arial"/>
          <w:szCs w:val="20"/>
        </w:rPr>
        <w:t xml:space="preserve"> </w:t>
      </w:r>
      <w:r>
        <w:rPr>
          <w:rFonts w:cs="Arial"/>
          <w:szCs w:val="20"/>
        </w:rPr>
        <w:t xml:space="preserve">Hierop is </w:t>
      </w:r>
      <w:r w:rsidRPr="00025CE2" w:rsidR="00652F91">
        <w:rPr>
          <w:rFonts w:cs="Arial"/>
          <w:szCs w:val="20"/>
        </w:rPr>
        <w:t xml:space="preserve">reeds in </w:t>
      </w:r>
      <w:r w:rsidR="003A19C1">
        <w:rPr>
          <w:rFonts w:cs="Arial"/>
          <w:szCs w:val="20"/>
        </w:rPr>
        <w:t>onderdeel</w:t>
      </w:r>
      <w:r w:rsidRPr="00025CE2" w:rsidR="003A19C1">
        <w:rPr>
          <w:rFonts w:cs="Arial"/>
          <w:szCs w:val="20"/>
        </w:rPr>
        <w:t xml:space="preserve"> </w:t>
      </w:r>
      <w:r w:rsidRPr="00025CE2" w:rsidR="00652F91">
        <w:rPr>
          <w:rFonts w:cs="Arial"/>
          <w:szCs w:val="20"/>
        </w:rPr>
        <w:t>I.6</w:t>
      </w:r>
      <w:r w:rsidR="003A19C1">
        <w:rPr>
          <w:rFonts w:cs="Arial"/>
          <w:szCs w:val="20"/>
        </w:rPr>
        <w:t>.</w:t>
      </w:r>
      <w:r w:rsidRPr="00025CE2" w:rsidR="00652F91">
        <w:rPr>
          <w:rFonts w:cs="Arial"/>
          <w:szCs w:val="20"/>
        </w:rPr>
        <w:t xml:space="preserve"> van deze </w:t>
      </w:r>
      <w:r w:rsidR="0044045B">
        <w:t xml:space="preserve">toelichtende nota </w:t>
      </w:r>
      <w:r w:rsidRPr="00025CE2" w:rsidR="00652F91">
        <w:rPr>
          <w:rFonts w:cs="Arial"/>
          <w:szCs w:val="20"/>
        </w:rPr>
        <w:t>ingegaan.</w:t>
      </w:r>
      <w:r w:rsidR="00180DF0">
        <w:rPr>
          <w:rFonts w:cs="Arial"/>
          <w:szCs w:val="20"/>
        </w:rPr>
        <w:br/>
      </w:r>
    </w:p>
    <w:p w:rsidR="00090F3C" w:rsidP="00090F3C" w:rsidRDefault="00090F3C" w14:paraId="11389DBB" w14:textId="77777777">
      <w:pPr>
        <w:pStyle w:val="Kop2"/>
        <w:numPr>
          <w:ilvl w:val="0"/>
          <w:numId w:val="0"/>
        </w:numPr>
        <w:spacing w:before="0" w:after="0"/>
        <w:rPr>
          <w:rFonts w:cs="Arial"/>
          <w:b w:val="0"/>
          <w:bCs w:val="0"/>
          <w:i/>
          <w:szCs w:val="20"/>
        </w:rPr>
      </w:pPr>
      <w:r w:rsidRPr="007F15F8">
        <w:rPr>
          <w:b w:val="0"/>
          <w:i/>
        </w:rPr>
        <w:t>II.</w:t>
      </w:r>
      <w:r>
        <w:rPr>
          <w:rFonts w:cs="Arial"/>
          <w:b w:val="0"/>
          <w:bCs w:val="0"/>
          <w:i/>
          <w:szCs w:val="20"/>
        </w:rPr>
        <w:t>17</w:t>
      </w:r>
      <w:r w:rsidR="003A19C1">
        <w:rPr>
          <w:rFonts w:cs="Arial"/>
          <w:b w:val="0"/>
          <w:bCs w:val="0"/>
          <w:i/>
          <w:szCs w:val="20"/>
        </w:rPr>
        <w:t>.</w:t>
      </w:r>
      <w:r w:rsidRPr="00802848">
        <w:rPr>
          <w:rFonts w:cs="Arial"/>
          <w:b w:val="0"/>
          <w:bCs w:val="0"/>
          <w:i/>
          <w:szCs w:val="20"/>
        </w:rPr>
        <w:t xml:space="preserve"> </w:t>
      </w:r>
      <w:r>
        <w:rPr>
          <w:rFonts w:cs="Arial"/>
          <w:b w:val="0"/>
          <w:bCs w:val="0"/>
          <w:i/>
          <w:szCs w:val="20"/>
        </w:rPr>
        <w:t>Preambule</w:t>
      </w:r>
      <w:r w:rsidRPr="00802848">
        <w:rPr>
          <w:rFonts w:cs="Arial"/>
          <w:b w:val="0"/>
          <w:bCs w:val="0"/>
          <w:i/>
          <w:szCs w:val="20"/>
        </w:rPr>
        <w:t xml:space="preserve"> van het Protocol</w:t>
      </w:r>
      <w:r w:rsidR="00E63AFC">
        <w:rPr>
          <w:rFonts w:cs="Arial"/>
          <w:b w:val="0"/>
          <w:bCs w:val="0"/>
          <w:i/>
          <w:szCs w:val="20"/>
        </w:rPr>
        <w:t xml:space="preserve"> bij het Verdrag</w:t>
      </w:r>
      <w:r w:rsidRPr="00802848">
        <w:rPr>
          <w:rFonts w:cs="Arial"/>
          <w:b w:val="0"/>
          <w:bCs w:val="0"/>
          <w:i/>
          <w:szCs w:val="20"/>
        </w:rPr>
        <w:t xml:space="preserve"> (artikel </w:t>
      </w:r>
      <w:r>
        <w:rPr>
          <w:rFonts w:cs="Arial"/>
          <w:b w:val="0"/>
          <w:bCs w:val="0"/>
          <w:i/>
          <w:szCs w:val="20"/>
        </w:rPr>
        <w:t>17</w:t>
      </w:r>
      <w:r w:rsidRPr="00802848">
        <w:rPr>
          <w:rFonts w:cs="Arial"/>
          <w:b w:val="0"/>
          <w:bCs w:val="0"/>
          <w:i/>
          <w:szCs w:val="20"/>
        </w:rPr>
        <w:t xml:space="preserve"> van het Wijzigingsprotoco</w:t>
      </w:r>
      <w:r>
        <w:rPr>
          <w:rFonts w:cs="Arial"/>
          <w:b w:val="0"/>
          <w:bCs w:val="0"/>
          <w:i/>
          <w:szCs w:val="20"/>
        </w:rPr>
        <w:t>l</w:t>
      </w:r>
      <w:r w:rsidRPr="00802848">
        <w:rPr>
          <w:rFonts w:cs="Arial"/>
          <w:b w:val="0"/>
          <w:bCs w:val="0"/>
          <w:i/>
          <w:szCs w:val="20"/>
        </w:rPr>
        <w:t>)</w:t>
      </w:r>
    </w:p>
    <w:p w:rsidRPr="00880E7A" w:rsidR="00090F3C" w:rsidP="00090F3C" w:rsidRDefault="00090F3C" w14:paraId="4407C568" w14:textId="77777777"/>
    <w:p w:rsidR="00090F3C" w:rsidP="00090F3C" w:rsidRDefault="00090F3C" w14:paraId="792D02A4" w14:textId="77777777">
      <w:r>
        <w:t xml:space="preserve">De in </w:t>
      </w:r>
      <w:r w:rsidR="003D19A0">
        <w:t xml:space="preserve">artikel 17 van het Wijzigingsprotocol </w:t>
      </w:r>
      <w:r>
        <w:t xml:space="preserve">opgenomen wijziging van de preambule van het Protocol </w:t>
      </w:r>
      <w:r w:rsidR="00E63AFC">
        <w:t xml:space="preserve">bij het Verdrag </w:t>
      </w:r>
      <w:r>
        <w:t xml:space="preserve">is reeds toegelicht </w:t>
      </w:r>
      <w:r w:rsidR="004A3A57">
        <w:rPr>
          <w:rFonts w:cs="Arial"/>
          <w:szCs w:val="20"/>
        </w:rPr>
        <w:t>in</w:t>
      </w:r>
      <w:r w:rsidRPr="009A18C4" w:rsidR="004A3A57">
        <w:rPr>
          <w:rFonts w:cs="Arial"/>
          <w:szCs w:val="20"/>
        </w:rPr>
        <w:t xml:space="preserve"> </w:t>
      </w:r>
      <w:r w:rsidR="004A3A57">
        <w:rPr>
          <w:rFonts w:cs="Arial"/>
          <w:szCs w:val="20"/>
        </w:rPr>
        <w:t>onderdeel</w:t>
      </w:r>
      <w:r w:rsidRPr="009A18C4" w:rsidR="004A3A57">
        <w:rPr>
          <w:rFonts w:cs="Arial"/>
          <w:szCs w:val="20"/>
        </w:rPr>
        <w:t xml:space="preserve"> </w:t>
      </w:r>
      <w:r>
        <w:t xml:space="preserve">II.1 van deze </w:t>
      </w:r>
      <w:r w:rsidR="004A3A57">
        <w:t>toelichtende nota</w:t>
      </w:r>
      <w:r>
        <w:t>.</w:t>
      </w:r>
      <w:r>
        <w:br/>
      </w:r>
    </w:p>
    <w:p w:rsidR="00090F3C" w:rsidP="00090F3C" w:rsidRDefault="00090F3C" w14:paraId="4ECB41F1" w14:textId="77777777">
      <w:pPr>
        <w:pStyle w:val="Kop2"/>
        <w:numPr>
          <w:ilvl w:val="0"/>
          <w:numId w:val="0"/>
        </w:numPr>
        <w:spacing w:before="0" w:after="0"/>
        <w:rPr>
          <w:rFonts w:cs="Arial"/>
          <w:b w:val="0"/>
          <w:bCs w:val="0"/>
          <w:i/>
          <w:szCs w:val="20"/>
        </w:rPr>
      </w:pPr>
      <w:r w:rsidRPr="007F15F8">
        <w:rPr>
          <w:b w:val="0"/>
          <w:i/>
        </w:rPr>
        <w:t>II.</w:t>
      </w:r>
      <w:r>
        <w:rPr>
          <w:rFonts w:cs="Arial"/>
          <w:b w:val="0"/>
          <w:bCs w:val="0"/>
          <w:i/>
          <w:szCs w:val="20"/>
        </w:rPr>
        <w:t>18</w:t>
      </w:r>
      <w:r w:rsidR="003A19C1">
        <w:rPr>
          <w:rFonts w:cs="Arial"/>
          <w:b w:val="0"/>
          <w:bCs w:val="0"/>
          <w:i/>
          <w:szCs w:val="20"/>
        </w:rPr>
        <w:t>.</w:t>
      </w:r>
      <w:r w:rsidRPr="00802848">
        <w:rPr>
          <w:rFonts w:cs="Arial"/>
          <w:b w:val="0"/>
          <w:bCs w:val="0"/>
          <w:i/>
          <w:szCs w:val="20"/>
        </w:rPr>
        <w:t xml:space="preserve"> </w:t>
      </w:r>
      <w:r>
        <w:rPr>
          <w:rFonts w:cs="Arial"/>
          <w:b w:val="0"/>
          <w:bCs w:val="0"/>
          <w:i/>
          <w:szCs w:val="20"/>
        </w:rPr>
        <w:t>Hybride entiteiten</w:t>
      </w:r>
      <w:r w:rsidRPr="00802848">
        <w:rPr>
          <w:rFonts w:cs="Arial"/>
          <w:b w:val="0"/>
          <w:bCs w:val="0"/>
          <w:i/>
          <w:szCs w:val="20"/>
        </w:rPr>
        <w:t xml:space="preserve"> (artikel </w:t>
      </w:r>
      <w:r>
        <w:rPr>
          <w:rFonts w:cs="Arial"/>
          <w:b w:val="0"/>
          <w:bCs w:val="0"/>
          <w:i/>
          <w:szCs w:val="20"/>
        </w:rPr>
        <w:t>18</w:t>
      </w:r>
      <w:r w:rsidRPr="00802848">
        <w:rPr>
          <w:rFonts w:cs="Arial"/>
          <w:b w:val="0"/>
          <w:bCs w:val="0"/>
          <w:i/>
          <w:szCs w:val="20"/>
        </w:rPr>
        <w:t xml:space="preserve"> van het Wijzigingsprotoco</w:t>
      </w:r>
      <w:r>
        <w:rPr>
          <w:rFonts w:cs="Arial"/>
          <w:b w:val="0"/>
          <w:bCs w:val="0"/>
          <w:i/>
          <w:szCs w:val="20"/>
        </w:rPr>
        <w:t>l</w:t>
      </w:r>
      <w:r w:rsidR="009A18C4">
        <w:rPr>
          <w:rFonts w:cs="Arial"/>
          <w:b w:val="0"/>
          <w:bCs w:val="0"/>
          <w:i/>
          <w:szCs w:val="20"/>
        </w:rPr>
        <w:t xml:space="preserve"> </w:t>
      </w:r>
      <w:r w:rsidRPr="009A18C4" w:rsidR="009A18C4">
        <w:rPr>
          <w:rFonts w:cs="Arial"/>
          <w:b w:val="0"/>
          <w:bCs w:val="0"/>
          <w:i/>
          <w:szCs w:val="20"/>
        </w:rPr>
        <w:t>en artikel I van het Protocol bij het Verdrag</w:t>
      </w:r>
      <w:r w:rsidRPr="00802848">
        <w:rPr>
          <w:rFonts w:cs="Arial"/>
          <w:b w:val="0"/>
          <w:bCs w:val="0"/>
          <w:i/>
          <w:szCs w:val="20"/>
        </w:rPr>
        <w:t>)</w:t>
      </w:r>
    </w:p>
    <w:p w:rsidR="00090F3C" w:rsidP="00090F3C" w:rsidRDefault="00090F3C" w14:paraId="66AD97D6" w14:textId="77777777">
      <w:pPr>
        <w:ind w:firstLine="720"/>
        <w:rPr>
          <w:rFonts w:cs="Arial"/>
          <w:szCs w:val="20"/>
        </w:rPr>
      </w:pPr>
    </w:p>
    <w:p w:rsidRPr="009A18C4" w:rsidR="00090F3C" w:rsidP="00C01C02" w:rsidRDefault="00570871" w14:paraId="2CA6CC0D" w14:textId="77777777">
      <w:pPr>
        <w:ind w:firstLine="720"/>
      </w:pPr>
      <w:r>
        <w:rPr>
          <w:rFonts w:cs="Arial"/>
          <w:szCs w:val="20"/>
        </w:rPr>
        <w:t>Met artikel 18 van het Wijzigingsprotocol wordt artikel I van het Protocol bij het Verdrag geschrapt. In d</w:t>
      </w:r>
      <w:r w:rsidR="004A3A57">
        <w:rPr>
          <w:rFonts w:cs="Arial"/>
          <w:szCs w:val="20"/>
        </w:rPr>
        <w:t>a</w:t>
      </w:r>
      <w:r>
        <w:rPr>
          <w:rFonts w:cs="Arial"/>
          <w:szCs w:val="20"/>
        </w:rPr>
        <w:t>t artikel I was een bepaling opgenomen over de verdrag</w:t>
      </w:r>
      <w:r w:rsidR="00C66248">
        <w:rPr>
          <w:rFonts w:cs="Arial"/>
          <w:szCs w:val="20"/>
        </w:rPr>
        <w:t>s</w:t>
      </w:r>
      <w:r>
        <w:rPr>
          <w:rFonts w:cs="Arial"/>
          <w:szCs w:val="20"/>
        </w:rPr>
        <w:t xml:space="preserve">toepassing </w:t>
      </w:r>
      <w:r w:rsidR="00C66248">
        <w:rPr>
          <w:rFonts w:cs="Arial"/>
          <w:szCs w:val="20"/>
        </w:rPr>
        <w:t xml:space="preserve">ingeval inkomen wordt genoten door of via zogenoemde </w:t>
      </w:r>
      <w:r w:rsidR="00137B6F">
        <w:rPr>
          <w:rFonts w:cs="Arial"/>
          <w:szCs w:val="20"/>
        </w:rPr>
        <w:t>‘</w:t>
      </w:r>
      <w:r w:rsidR="00C66248">
        <w:rPr>
          <w:rFonts w:cs="Arial"/>
          <w:szCs w:val="20"/>
        </w:rPr>
        <w:t>hybride entiteiten</w:t>
      </w:r>
      <w:r w:rsidR="00137B6F">
        <w:rPr>
          <w:rFonts w:cs="Arial"/>
          <w:szCs w:val="20"/>
        </w:rPr>
        <w:t>’</w:t>
      </w:r>
      <w:r w:rsidR="00C66248">
        <w:rPr>
          <w:rFonts w:cs="Arial"/>
          <w:szCs w:val="20"/>
        </w:rPr>
        <w:t xml:space="preserve">. Nu hiervoor in artikel 1, tweede lid, van het </w:t>
      </w:r>
      <w:r w:rsidR="00C66248">
        <w:rPr>
          <w:rFonts w:cs="Arial"/>
          <w:szCs w:val="20"/>
        </w:rPr>
        <w:lastRenderedPageBreak/>
        <w:t xml:space="preserve">Verdrag een regeling is </w:t>
      </w:r>
      <w:r w:rsidR="00063A4B">
        <w:rPr>
          <w:rFonts w:cs="Arial"/>
          <w:szCs w:val="20"/>
        </w:rPr>
        <w:t>opgenomen, is de bepaling van artikel I van het Protocol bij het Verdrag overbodig geworden,</w:t>
      </w:r>
      <w:r w:rsidR="00DC09C7">
        <w:rPr>
          <w:rFonts w:cs="Arial"/>
          <w:szCs w:val="20"/>
        </w:rPr>
        <w:t xml:space="preserve"> </w:t>
      </w:r>
      <w:r w:rsidR="00E63AFC">
        <w:rPr>
          <w:rFonts w:cs="Arial"/>
          <w:szCs w:val="20"/>
        </w:rPr>
        <w:t xml:space="preserve">zoals ook is </w:t>
      </w:r>
      <w:r w:rsidRPr="009A18C4" w:rsidR="009A18C4">
        <w:rPr>
          <w:rFonts w:cs="Arial"/>
          <w:szCs w:val="20"/>
        </w:rPr>
        <w:t xml:space="preserve">toegelicht </w:t>
      </w:r>
      <w:r w:rsidR="004A3A57">
        <w:rPr>
          <w:rFonts w:cs="Arial"/>
          <w:szCs w:val="20"/>
        </w:rPr>
        <w:t>in</w:t>
      </w:r>
      <w:r w:rsidRPr="009A18C4" w:rsidR="004A3A57">
        <w:rPr>
          <w:rFonts w:cs="Arial"/>
          <w:szCs w:val="20"/>
        </w:rPr>
        <w:t xml:space="preserve"> </w:t>
      </w:r>
      <w:r w:rsidR="004A3A57">
        <w:rPr>
          <w:rFonts w:cs="Arial"/>
          <w:szCs w:val="20"/>
        </w:rPr>
        <w:t>onderdeel</w:t>
      </w:r>
      <w:r w:rsidRPr="009A18C4" w:rsidR="004A3A57">
        <w:rPr>
          <w:rFonts w:cs="Arial"/>
          <w:szCs w:val="20"/>
        </w:rPr>
        <w:t xml:space="preserve"> </w:t>
      </w:r>
      <w:r w:rsidRPr="009A18C4" w:rsidR="009A18C4">
        <w:rPr>
          <w:rFonts w:cs="Arial"/>
          <w:szCs w:val="20"/>
        </w:rPr>
        <w:t xml:space="preserve">ll.2. van deze </w:t>
      </w:r>
      <w:r w:rsidR="004A3A57">
        <w:t>toelichtende nota</w:t>
      </w:r>
      <w:r w:rsidRPr="009A18C4" w:rsidR="009A18C4">
        <w:rPr>
          <w:rFonts w:cs="Arial"/>
          <w:szCs w:val="20"/>
        </w:rPr>
        <w:t>.</w:t>
      </w:r>
    </w:p>
    <w:p w:rsidRPr="00880E7A" w:rsidR="00090F3C" w:rsidP="00090F3C" w:rsidRDefault="00090F3C" w14:paraId="15EEEA5D" w14:textId="77777777"/>
    <w:p w:rsidR="004145A3" w:rsidP="004145A3" w:rsidRDefault="004145A3" w14:paraId="09A1AAE2" w14:textId="77777777">
      <w:pPr>
        <w:pStyle w:val="Kop2"/>
        <w:numPr>
          <w:ilvl w:val="0"/>
          <w:numId w:val="0"/>
        </w:numPr>
        <w:spacing w:before="0" w:after="0"/>
        <w:rPr>
          <w:rFonts w:cs="Arial"/>
          <w:b w:val="0"/>
          <w:bCs w:val="0"/>
          <w:i/>
          <w:szCs w:val="20"/>
        </w:rPr>
      </w:pPr>
      <w:r w:rsidRPr="007F15F8">
        <w:rPr>
          <w:b w:val="0"/>
          <w:i/>
        </w:rPr>
        <w:t>II.</w:t>
      </w:r>
      <w:r>
        <w:rPr>
          <w:rFonts w:cs="Arial"/>
          <w:b w:val="0"/>
          <w:bCs w:val="0"/>
          <w:i/>
          <w:szCs w:val="20"/>
        </w:rPr>
        <w:t>19</w:t>
      </w:r>
      <w:r w:rsidR="003A19C1">
        <w:rPr>
          <w:rFonts w:cs="Arial"/>
          <w:b w:val="0"/>
          <w:bCs w:val="0"/>
          <w:i/>
          <w:szCs w:val="20"/>
        </w:rPr>
        <w:t>.</w:t>
      </w:r>
      <w:r w:rsidRPr="00802848">
        <w:rPr>
          <w:rFonts w:cs="Arial"/>
          <w:b w:val="0"/>
          <w:bCs w:val="0"/>
          <w:i/>
          <w:szCs w:val="20"/>
        </w:rPr>
        <w:t xml:space="preserve"> </w:t>
      </w:r>
      <w:r w:rsidR="00815168">
        <w:rPr>
          <w:rFonts w:cs="Arial"/>
          <w:b w:val="0"/>
          <w:bCs w:val="0"/>
          <w:i/>
          <w:szCs w:val="20"/>
        </w:rPr>
        <w:t xml:space="preserve">Vernummering </w:t>
      </w:r>
      <w:r w:rsidRPr="0041345D" w:rsidR="0041345D">
        <w:rPr>
          <w:rFonts w:cs="Arial"/>
          <w:b w:val="0"/>
          <w:bCs w:val="0"/>
          <w:i/>
          <w:szCs w:val="20"/>
        </w:rPr>
        <w:t xml:space="preserve">artikelen van het Protocol bij het Verdrag </w:t>
      </w:r>
      <w:r w:rsidR="00815168">
        <w:rPr>
          <w:rFonts w:cs="Arial"/>
          <w:b w:val="0"/>
          <w:bCs w:val="0"/>
          <w:i/>
          <w:szCs w:val="20"/>
        </w:rPr>
        <w:t>(</w:t>
      </w:r>
      <w:r w:rsidR="002A33E9">
        <w:rPr>
          <w:rFonts w:cs="Arial"/>
          <w:b w:val="0"/>
          <w:bCs w:val="0"/>
          <w:i/>
          <w:szCs w:val="20"/>
        </w:rPr>
        <w:t>A</w:t>
      </w:r>
      <w:r w:rsidRPr="00802848">
        <w:rPr>
          <w:rFonts w:cs="Arial"/>
          <w:b w:val="0"/>
          <w:bCs w:val="0"/>
          <w:i/>
          <w:szCs w:val="20"/>
        </w:rPr>
        <w:t xml:space="preserve">rtikel </w:t>
      </w:r>
      <w:r>
        <w:rPr>
          <w:rFonts w:cs="Arial"/>
          <w:b w:val="0"/>
          <w:bCs w:val="0"/>
          <w:i/>
          <w:szCs w:val="20"/>
        </w:rPr>
        <w:t>19</w:t>
      </w:r>
      <w:r w:rsidRPr="00802848">
        <w:rPr>
          <w:rFonts w:cs="Arial"/>
          <w:b w:val="0"/>
          <w:bCs w:val="0"/>
          <w:i/>
          <w:szCs w:val="20"/>
        </w:rPr>
        <w:t xml:space="preserve"> van het Wijzigingsprotoco</w:t>
      </w:r>
      <w:r>
        <w:rPr>
          <w:rFonts w:cs="Arial"/>
          <w:b w:val="0"/>
          <w:bCs w:val="0"/>
          <w:i/>
          <w:szCs w:val="20"/>
        </w:rPr>
        <w:t xml:space="preserve">l </w:t>
      </w:r>
      <w:r w:rsidRPr="009A18C4">
        <w:rPr>
          <w:rFonts w:cs="Arial"/>
          <w:b w:val="0"/>
          <w:bCs w:val="0"/>
          <w:i/>
          <w:szCs w:val="20"/>
        </w:rPr>
        <w:t>en artikel</w:t>
      </w:r>
      <w:r w:rsidR="002A33E9">
        <w:rPr>
          <w:rFonts w:cs="Arial"/>
          <w:b w:val="0"/>
          <w:bCs w:val="0"/>
          <w:i/>
          <w:szCs w:val="20"/>
        </w:rPr>
        <w:t>en I, II, III</w:t>
      </w:r>
      <w:r w:rsidRPr="009A18C4">
        <w:rPr>
          <w:rFonts w:cs="Arial"/>
          <w:b w:val="0"/>
          <w:bCs w:val="0"/>
          <w:i/>
          <w:szCs w:val="20"/>
        </w:rPr>
        <w:t xml:space="preserve"> </w:t>
      </w:r>
      <w:r w:rsidR="002A33E9">
        <w:rPr>
          <w:rFonts w:cs="Arial"/>
          <w:b w:val="0"/>
          <w:bCs w:val="0"/>
          <w:i/>
          <w:szCs w:val="20"/>
        </w:rPr>
        <w:t>en IV</w:t>
      </w:r>
      <w:r w:rsidRPr="009A18C4">
        <w:rPr>
          <w:rFonts w:cs="Arial"/>
          <w:b w:val="0"/>
          <w:bCs w:val="0"/>
          <w:i/>
          <w:szCs w:val="20"/>
        </w:rPr>
        <w:t xml:space="preserve"> </w:t>
      </w:r>
      <w:r w:rsidR="005369CD">
        <w:rPr>
          <w:rFonts w:cs="Arial"/>
          <w:b w:val="0"/>
          <w:bCs w:val="0"/>
          <w:i/>
          <w:szCs w:val="20"/>
        </w:rPr>
        <w:t xml:space="preserve">(nieuw) </w:t>
      </w:r>
      <w:r w:rsidRPr="009A18C4">
        <w:rPr>
          <w:rFonts w:cs="Arial"/>
          <w:b w:val="0"/>
          <w:bCs w:val="0"/>
          <w:i/>
          <w:szCs w:val="20"/>
        </w:rPr>
        <w:t>van het Protocol bij het Verdrag</w:t>
      </w:r>
      <w:r w:rsidR="00815168">
        <w:rPr>
          <w:rFonts w:cs="Arial"/>
          <w:b w:val="0"/>
          <w:bCs w:val="0"/>
          <w:i/>
          <w:szCs w:val="20"/>
        </w:rPr>
        <w:t>)</w:t>
      </w:r>
    </w:p>
    <w:p w:rsidR="002A33E9" w:rsidP="00E366AA" w:rsidRDefault="002A33E9" w14:paraId="1A256351" w14:textId="77777777">
      <w:pPr>
        <w:rPr>
          <w:rFonts w:cs="Arial"/>
          <w:szCs w:val="20"/>
        </w:rPr>
      </w:pPr>
    </w:p>
    <w:p w:rsidRPr="00E366AA" w:rsidR="007147A4" w:rsidP="00A50949" w:rsidRDefault="007147A4" w14:paraId="275FCB48" w14:textId="77777777">
      <w:r>
        <w:t>Als gevolg van het vervallen van artikel I</w:t>
      </w:r>
      <w:r w:rsidRPr="00CC5302">
        <w:t xml:space="preserve"> van het Protocol bij het Verdrag </w:t>
      </w:r>
      <w:r>
        <w:t xml:space="preserve">worden </w:t>
      </w:r>
      <w:r w:rsidR="005F7CDF">
        <w:t xml:space="preserve">de </w:t>
      </w:r>
      <w:r>
        <w:t xml:space="preserve">artikelen </w:t>
      </w:r>
      <w:r>
        <w:rPr>
          <w:rFonts w:cs="Arial"/>
          <w:szCs w:val="20"/>
        </w:rPr>
        <w:t xml:space="preserve">II, III, IV en V van het Protocol bij het Verdrag </w:t>
      </w:r>
      <w:r w:rsidR="00BA4EAE">
        <w:rPr>
          <w:rFonts w:cs="Arial"/>
          <w:szCs w:val="20"/>
        </w:rPr>
        <w:t xml:space="preserve">met artikel 19 van het Wijzigingsprotocol </w:t>
      </w:r>
      <w:r>
        <w:t xml:space="preserve">vernummerd tot artikelen I, </w:t>
      </w:r>
      <w:r>
        <w:rPr>
          <w:rFonts w:cs="Arial"/>
          <w:szCs w:val="20"/>
        </w:rPr>
        <w:t>II, III en IV.</w:t>
      </w:r>
    </w:p>
    <w:p w:rsidR="00BA4EAE" w:rsidP="009A18C4" w:rsidRDefault="00BA4EAE" w14:paraId="21064D1E" w14:textId="77777777">
      <w:pPr>
        <w:pStyle w:val="Kop2"/>
        <w:numPr>
          <w:ilvl w:val="0"/>
          <w:numId w:val="0"/>
        </w:numPr>
        <w:spacing w:before="0" w:after="0"/>
        <w:rPr>
          <w:b w:val="0"/>
          <w:i/>
        </w:rPr>
      </w:pPr>
    </w:p>
    <w:p w:rsidR="009A18C4" w:rsidP="009A18C4" w:rsidRDefault="009A18C4" w14:paraId="09C94813" w14:textId="77777777">
      <w:pPr>
        <w:pStyle w:val="Kop2"/>
        <w:numPr>
          <w:ilvl w:val="0"/>
          <w:numId w:val="0"/>
        </w:numPr>
        <w:spacing w:before="0" w:after="0"/>
        <w:rPr>
          <w:rFonts w:cs="Arial"/>
          <w:b w:val="0"/>
          <w:bCs w:val="0"/>
          <w:i/>
          <w:szCs w:val="20"/>
        </w:rPr>
      </w:pPr>
      <w:r w:rsidRPr="007F15F8">
        <w:rPr>
          <w:b w:val="0"/>
          <w:i/>
        </w:rPr>
        <w:t>II.</w:t>
      </w:r>
      <w:r w:rsidR="00596E36">
        <w:rPr>
          <w:rFonts w:cs="Arial"/>
          <w:b w:val="0"/>
          <w:bCs w:val="0"/>
          <w:i/>
          <w:szCs w:val="20"/>
        </w:rPr>
        <w:t>20</w:t>
      </w:r>
      <w:r w:rsidR="003A19C1">
        <w:rPr>
          <w:rFonts w:cs="Arial"/>
          <w:b w:val="0"/>
          <w:bCs w:val="0"/>
          <w:i/>
          <w:szCs w:val="20"/>
        </w:rPr>
        <w:t>.</w:t>
      </w:r>
      <w:r w:rsidRPr="00802848">
        <w:rPr>
          <w:rFonts w:cs="Arial"/>
          <w:b w:val="0"/>
          <w:bCs w:val="0"/>
          <w:i/>
          <w:szCs w:val="20"/>
        </w:rPr>
        <w:t xml:space="preserve"> </w:t>
      </w:r>
      <w:r>
        <w:rPr>
          <w:rFonts w:cs="Arial"/>
          <w:b w:val="0"/>
          <w:bCs w:val="0"/>
          <w:i/>
          <w:szCs w:val="20"/>
        </w:rPr>
        <w:t>Dividenden</w:t>
      </w:r>
      <w:r w:rsidRPr="00802848">
        <w:rPr>
          <w:rFonts w:cs="Arial"/>
          <w:b w:val="0"/>
          <w:bCs w:val="0"/>
          <w:i/>
          <w:szCs w:val="20"/>
        </w:rPr>
        <w:t xml:space="preserve"> (artikel </w:t>
      </w:r>
      <w:r w:rsidR="004145A3">
        <w:rPr>
          <w:rFonts w:cs="Arial"/>
          <w:b w:val="0"/>
          <w:bCs w:val="0"/>
          <w:i/>
          <w:szCs w:val="20"/>
        </w:rPr>
        <w:t>20</w:t>
      </w:r>
      <w:r w:rsidRPr="00802848">
        <w:rPr>
          <w:rFonts w:cs="Arial"/>
          <w:b w:val="0"/>
          <w:bCs w:val="0"/>
          <w:i/>
          <w:szCs w:val="20"/>
        </w:rPr>
        <w:t xml:space="preserve"> van het Wijzigingsprotoco</w:t>
      </w:r>
      <w:r>
        <w:rPr>
          <w:rFonts w:cs="Arial"/>
          <w:b w:val="0"/>
          <w:bCs w:val="0"/>
          <w:i/>
          <w:szCs w:val="20"/>
        </w:rPr>
        <w:t xml:space="preserve">l </w:t>
      </w:r>
      <w:r w:rsidRPr="009A18C4">
        <w:rPr>
          <w:rFonts w:cs="Arial"/>
          <w:b w:val="0"/>
          <w:bCs w:val="0"/>
          <w:i/>
          <w:szCs w:val="20"/>
        </w:rPr>
        <w:t xml:space="preserve">en artikel </w:t>
      </w:r>
      <w:r>
        <w:rPr>
          <w:rFonts w:cs="Arial"/>
          <w:b w:val="0"/>
          <w:bCs w:val="0"/>
          <w:i/>
          <w:szCs w:val="20"/>
        </w:rPr>
        <w:t>V</w:t>
      </w:r>
      <w:r w:rsidR="005F7CDF">
        <w:rPr>
          <w:rFonts w:cs="Arial"/>
          <w:b w:val="0"/>
          <w:bCs w:val="0"/>
          <w:i/>
          <w:szCs w:val="20"/>
        </w:rPr>
        <w:t xml:space="preserve"> </w:t>
      </w:r>
      <w:r w:rsidR="005C4324">
        <w:rPr>
          <w:rFonts w:cs="Arial"/>
          <w:b w:val="0"/>
          <w:bCs w:val="0"/>
          <w:i/>
          <w:szCs w:val="20"/>
        </w:rPr>
        <w:t>(nieuw)</w:t>
      </w:r>
      <w:r w:rsidRPr="009A18C4">
        <w:rPr>
          <w:rFonts w:cs="Arial"/>
          <w:b w:val="0"/>
          <w:bCs w:val="0"/>
          <w:i/>
          <w:szCs w:val="20"/>
        </w:rPr>
        <w:t xml:space="preserve"> van het Protocol bij het Verdrag</w:t>
      </w:r>
      <w:r w:rsidRPr="00802848">
        <w:rPr>
          <w:rFonts w:cs="Arial"/>
          <w:b w:val="0"/>
          <w:bCs w:val="0"/>
          <w:i/>
          <w:szCs w:val="20"/>
        </w:rPr>
        <w:t>)</w:t>
      </w:r>
    </w:p>
    <w:p w:rsidR="009A18C4" w:rsidP="009A18C4" w:rsidRDefault="009A18C4" w14:paraId="09DEC205" w14:textId="77777777">
      <w:pPr>
        <w:ind w:firstLine="720"/>
        <w:rPr>
          <w:rFonts w:cs="Arial"/>
          <w:szCs w:val="20"/>
        </w:rPr>
      </w:pPr>
    </w:p>
    <w:p w:rsidR="003F2DE0" w:rsidP="009A18C4" w:rsidRDefault="006F793F" w14:paraId="41C5E75F" w14:textId="77777777">
      <w:pPr>
        <w:ind w:firstLine="720"/>
        <w:rPr>
          <w:rFonts w:cs="Arial"/>
          <w:szCs w:val="20"/>
        </w:rPr>
      </w:pPr>
      <w:r>
        <w:rPr>
          <w:rFonts w:cs="Arial"/>
          <w:szCs w:val="20"/>
        </w:rPr>
        <w:t>M</w:t>
      </w:r>
      <w:r w:rsidRPr="00766607" w:rsidR="009A18C4">
        <w:rPr>
          <w:rFonts w:cs="Arial"/>
          <w:szCs w:val="20"/>
        </w:rPr>
        <w:t xml:space="preserve">et artikel </w:t>
      </w:r>
      <w:r w:rsidR="009578DA">
        <w:rPr>
          <w:rFonts w:cs="Arial"/>
          <w:szCs w:val="20"/>
        </w:rPr>
        <w:t xml:space="preserve">20 </w:t>
      </w:r>
      <w:r w:rsidR="009A18C4">
        <w:rPr>
          <w:rFonts w:cs="Arial"/>
          <w:szCs w:val="20"/>
        </w:rPr>
        <w:t xml:space="preserve">van het Wijzigingsprotocol </w:t>
      </w:r>
      <w:r>
        <w:rPr>
          <w:rFonts w:cs="Arial"/>
          <w:szCs w:val="20"/>
        </w:rPr>
        <w:t xml:space="preserve">wordt een nieuw artikel V opgenomen </w:t>
      </w:r>
      <w:r w:rsidR="003F2DE0">
        <w:rPr>
          <w:rFonts w:cs="Arial"/>
          <w:szCs w:val="20"/>
        </w:rPr>
        <w:t>in het Protocol bij het Verdrag</w:t>
      </w:r>
      <w:r>
        <w:rPr>
          <w:rFonts w:cs="Arial"/>
          <w:szCs w:val="20"/>
        </w:rPr>
        <w:t xml:space="preserve">. Dit </w:t>
      </w:r>
      <w:r w:rsidRPr="00766607" w:rsidR="009A18C4">
        <w:rPr>
          <w:rFonts w:cs="Arial"/>
          <w:szCs w:val="20"/>
        </w:rPr>
        <w:t xml:space="preserve">nieuwe artikel </w:t>
      </w:r>
      <w:r w:rsidR="009A18C4">
        <w:rPr>
          <w:rFonts w:cs="Arial"/>
          <w:szCs w:val="20"/>
        </w:rPr>
        <w:t>V</w:t>
      </w:r>
      <w:r w:rsidR="003F2DE0">
        <w:rPr>
          <w:rFonts w:cs="Arial"/>
          <w:szCs w:val="20"/>
        </w:rPr>
        <w:t xml:space="preserve"> bevat bepalingen die betrekking hebben op de toepassing van artikel 10 (dividenden) van het Verdrag.</w:t>
      </w:r>
    </w:p>
    <w:p w:rsidR="00F90512" w:rsidP="00F90512" w:rsidRDefault="003F2DE0" w14:paraId="604A1222" w14:textId="007183F8">
      <w:pPr>
        <w:ind w:firstLine="720"/>
        <w:rPr>
          <w:rFonts w:ascii="Times New Roman" w:hAnsi="Times New Roman"/>
          <w:sz w:val="24"/>
        </w:rPr>
      </w:pPr>
      <w:r>
        <w:rPr>
          <w:rFonts w:cs="Arial"/>
          <w:szCs w:val="20"/>
        </w:rPr>
        <w:t>Het</w:t>
      </w:r>
      <w:r w:rsidRPr="00766607" w:rsidR="009A18C4">
        <w:rPr>
          <w:rFonts w:cs="Arial"/>
          <w:szCs w:val="20"/>
        </w:rPr>
        <w:t xml:space="preserve"> eerste lid van </w:t>
      </w:r>
      <w:r w:rsidRPr="00E366AA">
        <w:rPr>
          <w:rFonts w:cs="Arial"/>
          <w:szCs w:val="20"/>
        </w:rPr>
        <w:t>artikel V</w:t>
      </w:r>
      <w:r w:rsidR="00BF55D4">
        <w:rPr>
          <w:rFonts w:cs="Arial"/>
          <w:szCs w:val="20"/>
        </w:rPr>
        <w:t xml:space="preserve"> bepaalt</w:t>
      </w:r>
      <w:r w:rsidRPr="00766607" w:rsidR="009A18C4">
        <w:rPr>
          <w:rFonts w:cs="Arial"/>
          <w:szCs w:val="20"/>
        </w:rPr>
        <w:t xml:space="preserve"> dat </w:t>
      </w:r>
      <w:r w:rsidR="009A18C4">
        <w:rPr>
          <w:rFonts w:cs="Arial"/>
          <w:szCs w:val="20"/>
        </w:rPr>
        <w:t>het verlaagde tarief van 5%</w:t>
      </w:r>
      <w:r w:rsidRPr="00766607" w:rsidR="009A18C4">
        <w:rPr>
          <w:rFonts w:cs="Arial"/>
          <w:szCs w:val="20"/>
        </w:rPr>
        <w:t xml:space="preserve"> voor deelnemingsdividenden volgens artikel 10, derde lid</w:t>
      </w:r>
      <w:r w:rsidR="00BF55D4">
        <w:rPr>
          <w:rFonts w:cs="Arial"/>
          <w:szCs w:val="20"/>
        </w:rPr>
        <w:t>,</w:t>
      </w:r>
      <w:r w:rsidRPr="00766607" w:rsidR="009A18C4">
        <w:rPr>
          <w:rFonts w:cs="Arial"/>
          <w:szCs w:val="20"/>
        </w:rPr>
        <w:t xml:space="preserve"> </w:t>
      </w:r>
      <w:r w:rsidR="002413E0">
        <w:rPr>
          <w:rFonts w:cs="Arial"/>
          <w:szCs w:val="20"/>
        </w:rPr>
        <w:t xml:space="preserve">onderdeel b, </w:t>
      </w:r>
      <w:r w:rsidRPr="00766607" w:rsidR="009A18C4">
        <w:rPr>
          <w:rFonts w:cs="Arial"/>
          <w:szCs w:val="20"/>
        </w:rPr>
        <w:t xml:space="preserve">van het </w:t>
      </w:r>
      <w:r w:rsidRPr="00766607" w:rsidR="009961E2">
        <w:rPr>
          <w:rFonts w:cs="Arial"/>
          <w:szCs w:val="20"/>
        </w:rPr>
        <w:t>Verdrag</w:t>
      </w:r>
      <w:r w:rsidR="009961E2">
        <w:rPr>
          <w:rFonts w:cs="Arial"/>
          <w:szCs w:val="20"/>
        </w:rPr>
        <w:t xml:space="preserve">, </w:t>
      </w:r>
      <w:r w:rsidRPr="00766607" w:rsidR="009A18C4">
        <w:rPr>
          <w:rFonts w:cs="Arial"/>
          <w:szCs w:val="20"/>
        </w:rPr>
        <w:t xml:space="preserve">niet </w:t>
      </w:r>
      <w:r w:rsidR="00BF55D4">
        <w:rPr>
          <w:rFonts w:cs="Arial"/>
          <w:szCs w:val="20"/>
        </w:rPr>
        <w:t xml:space="preserve">van toepassing </w:t>
      </w:r>
      <w:r w:rsidR="00DE40CD">
        <w:rPr>
          <w:rFonts w:cs="Arial"/>
          <w:szCs w:val="20"/>
        </w:rPr>
        <w:t xml:space="preserve">is </w:t>
      </w:r>
      <w:r w:rsidR="00BF55D4">
        <w:rPr>
          <w:rFonts w:cs="Arial"/>
          <w:szCs w:val="20"/>
        </w:rPr>
        <w:t>op dividend dat wor</w:t>
      </w:r>
      <w:r w:rsidR="009961E2">
        <w:rPr>
          <w:rFonts w:cs="Arial"/>
          <w:szCs w:val="20"/>
        </w:rPr>
        <w:t>d</w:t>
      </w:r>
      <w:r w:rsidR="00BF55D4">
        <w:rPr>
          <w:rFonts w:cs="Arial"/>
          <w:szCs w:val="20"/>
        </w:rPr>
        <w:t>t betaald of ontvangen d</w:t>
      </w:r>
      <w:r w:rsidRPr="00766607" w:rsidR="009A18C4">
        <w:rPr>
          <w:rFonts w:cs="Arial"/>
          <w:szCs w:val="20"/>
        </w:rPr>
        <w:t>oor</w:t>
      </w:r>
      <w:r w:rsidR="00BF55D4">
        <w:rPr>
          <w:rFonts w:cs="Arial"/>
          <w:szCs w:val="20"/>
        </w:rPr>
        <w:t xml:space="preserve"> een</w:t>
      </w:r>
      <w:r w:rsidRPr="00766607" w:rsidR="009A18C4">
        <w:rPr>
          <w:rFonts w:cs="Arial"/>
          <w:szCs w:val="20"/>
        </w:rPr>
        <w:t xml:space="preserve"> Nederlandse </w:t>
      </w:r>
      <w:r w:rsidRPr="00942047" w:rsidR="009A18C4">
        <w:rPr>
          <w:rFonts w:cs="Arial"/>
          <w:szCs w:val="20"/>
        </w:rPr>
        <w:t xml:space="preserve">fiscale beleggingsinstelling </w:t>
      </w:r>
      <w:r w:rsidR="00DE40CD">
        <w:rPr>
          <w:rFonts w:cs="Arial"/>
          <w:szCs w:val="20"/>
        </w:rPr>
        <w:t>of</w:t>
      </w:r>
      <w:r w:rsidRPr="00942047" w:rsidR="00DE40CD">
        <w:rPr>
          <w:rFonts w:cs="Arial"/>
          <w:szCs w:val="20"/>
        </w:rPr>
        <w:t xml:space="preserve"> </w:t>
      </w:r>
      <w:r w:rsidRPr="00942047" w:rsidR="00BF55D4">
        <w:rPr>
          <w:rFonts w:cs="Arial"/>
          <w:szCs w:val="20"/>
        </w:rPr>
        <w:t xml:space="preserve">een </w:t>
      </w:r>
      <w:r w:rsidRPr="00942047" w:rsidR="009A18C4">
        <w:rPr>
          <w:rFonts w:cs="Arial"/>
          <w:szCs w:val="20"/>
        </w:rPr>
        <w:t xml:space="preserve">in Polen vrijgesteld </w:t>
      </w:r>
      <w:r w:rsidRPr="00942047" w:rsidR="009A18C4">
        <w:rPr>
          <w:rFonts w:cs="Arial"/>
          <w:i/>
          <w:szCs w:val="20"/>
        </w:rPr>
        <w:t>open-end</w:t>
      </w:r>
      <w:r w:rsidRPr="00942047" w:rsidR="009A18C4">
        <w:rPr>
          <w:rFonts w:cs="Arial"/>
          <w:szCs w:val="20"/>
        </w:rPr>
        <w:t xml:space="preserve"> beleggingsfonds.</w:t>
      </w:r>
      <w:r w:rsidRPr="00942047" w:rsidR="009A18C4">
        <w:rPr>
          <w:rFonts w:ascii="Times New Roman" w:hAnsi="Times New Roman"/>
          <w:sz w:val="24"/>
        </w:rPr>
        <w:t xml:space="preserve"> </w:t>
      </w:r>
      <w:r w:rsidRPr="00942047" w:rsidR="00F90512">
        <w:rPr>
          <w:rFonts w:cs="Arial"/>
          <w:szCs w:val="20"/>
        </w:rPr>
        <w:t xml:space="preserve">Dit sluit aan bij het uitgangspunt dat </w:t>
      </w:r>
      <w:r w:rsidR="00081EF0">
        <w:rPr>
          <w:rFonts w:cs="Arial"/>
          <w:szCs w:val="20"/>
        </w:rPr>
        <w:t>het</w:t>
      </w:r>
      <w:r w:rsidRPr="00942047" w:rsidR="00F90512">
        <w:rPr>
          <w:rFonts w:cs="Arial"/>
          <w:szCs w:val="20"/>
        </w:rPr>
        <w:t xml:space="preserve"> voorziene </w:t>
      </w:r>
      <w:r w:rsidRPr="00942047" w:rsidR="00942047">
        <w:rPr>
          <w:rFonts w:cs="Arial"/>
          <w:szCs w:val="20"/>
        </w:rPr>
        <w:t xml:space="preserve">tarief </w:t>
      </w:r>
      <w:r w:rsidRPr="00942047" w:rsidR="00F90512">
        <w:rPr>
          <w:rFonts w:cs="Arial"/>
          <w:szCs w:val="20"/>
        </w:rPr>
        <w:t xml:space="preserve">voor deelnemingsdividenden niet is bedoeld voor beleggingsdividenden, zoals ook tot uitdrukking </w:t>
      </w:r>
      <w:r w:rsidR="00DE40CD">
        <w:rPr>
          <w:rFonts w:cs="Arial"/>
          <w:szCs w:val="20"/>
        </w:rPr>
        <w:t xml:space="preserve">is </w:t>
      </w:r>
      <w:r w:rsidRPr="00942047" w:rsidR="00F90512">
        <w:rPr>
          <w:rFonts w:cs="Arial"/>
          <w:szCs w:val="20"/>
        </w:rPr>
        <w:t xml:space="preserve">gebracht in bijvoorbeeld artikel 4 van de Wet op de dividendbelasting 1965, artikel 13, </w:t>
      </w:r>
      <w:r w:rsidR="00081EF0">
        <w:rPr>
          <w:rFonts w:cs="Arial"/>
          <w:szCs w:val="20"/>
        </w:rPr>
        <w:t xml:space="preserve">achtste </w:t>
      </w:r>
      <w:r w:rsidRPr="00942047" w:rsidR="00F90512">
        <w:rPr>
          <w:rFonts w:cs="Arial"/>
          <w:szCs w:val="20"/>
        </w:rPr>
        <w:t>lid</w:t>
      </w:r>
      <w:r w:rsidR="00081EF0">
        <w:rPr>
          <w:rFonts w:cs="Arial"/>
          <w:szCs w:val="20"/>
        </w:rPr>
        <w:t>,</w:t>
      </w:r>
      <w:r w:rsidRPr="00942047" w:rsidR="00F90512">
        <w:rPr>
          <w:rFonts w:cs="Arial"/>
          <w:szCs w:val="20"/>
        </w:rPr>
        <w:t xml:space="preserve"> van de Wet </w:t>
      </w:r>
      <w:r w:rsidR="00081EF0">
        <w:rPr>
          <w:rFonts w:cs="Arial"/>
          <w:szCs w:val="20"/>
        </w:rPr>
        <w:t xml:space="preserve">op de vennootschapsbelasting 1969, </w:t>
      </w:r>
      <w:r w:rsidRPr="00F90512" w:rsidR="00F90512">
        <w:rPr>
          <w:rFonts w:cs="Arial"/>
          <w:szCs w:val="20"/>
        </w:rPr>
        <w:t xml:space="preserve">en </w:t>
      </w:r>
      <w:r w:rsidR="00081EF0">
        <w:rPr>
          <w:rFonts w:cs="Arial"/>
          <w:szCs w:val="20"/>
        </w:rPr>
        <w:t xml:space="preserve">ook </w:t>
      </w:r>
      <w:r w:rsidRPr="00F90512" w:rsidR="00F90512">
        <w:rPr>
          <w:rFonts w:cs="Arial"/>
          <w:szCs w:val="20"/>
        </w:rPr>
        <w:t xml:space="preserve">in paragraaf 17 van het </w:t>
      </w:r>
      <w:r w:rsidR="0025002C">
        <w:rPr>
          <w:rFonts w:cs="Arial"/>
          <w:szCs w:val="20"/>
        </w:rPr>
        <w:t>c</w:t>
      </w:r>
      <w:r w:rsidRPr="00F90512" w:rsidR="00F90512">
        <w:rPr>
          <w:rFonts w:cs="Arial"/>
          <w:szCs w:val="20"/>
        </w:rPr>
        <w:t xml:space="preserve">ommentaar bij artikel 10 van het OESO-modelverdrag. Voor de goede orde wordt opgemerkt dat de uitsluiting twee kanten op werkt: het ziet op zowel dividenden die door een </w:t>
      </w:r>
      <w:r w:rsidRPr="00766607" w:rsidR="00942047">
        <w:rPr>
          <w:rFonts w:cs="Arial"/>
          <w:szCs w:val="20"/>
        </w:rPr>
        <w:t xml:space="preserve">Nederlandse </w:t>
      </w:r>
      <w:r w:rsidRPr="00942047" w:rsidR="00942047">
        <w:rPr>
          <w:rFonts w:cs="Arial"/>
          <w:szCs w:val="20"/>
        </w:rPr>
        <w:t xml:space="preserve">fiscale beleggingsinstelling </w:t>
      </w:r>
      <w:r w:rsidR="00DE40CD">
        <w:rPr>
          <w:rFonts w:cs="Arial"/>
          <w:szCs w:val="20"/>
        </w:rPr>
        <w:t>of</w:t>
      </w:r>
      <w:r w:rsidRPr="00942047" w:rsidR="00DE40CD">
        <w:rPr>
          <w:rFonts w:cs="Arial"/>
          <w:szCs w:val="20"/>
        </w:rPr>
        <w:t xml:space="preserve"> </w:t>
      </w:r>
      <w:r w:rsidRPr="00942047" w:rsidR="00942047">
        <w:rPr>
          <w:rFonts w:cs="Arial"/>
          <w:szCs w:val="20"/>
        </w:rPr>
        <w:t xml:space="preserve">een in Polen vrijgesteld </w:t>
      </w:r>
      <w:r w:rsidRPr="00942047" w:rsidR="00942047">
        <w:rPr>
          <w:rFonts w:cs="Arial"/>
          <w:i/>
          <w:szCs w:val="20"/>
        </w:rPr>
        <w:t>open-end</w:t>
      </w:r>
      <w:r w:rsidRPr="00942047" w:rsidR="00942047">
        <w:rPr>
          <w:rFonts w:cs="Arial"/>
          <w:szCs w:val="20"/>
        </w:rPr>
        <w:t xml:space="preserve"> beleggingsfonds</w:t>
      </w:r>
      <w:r w:rsidRPr="00F90512" w:rsidR="00942047">
        <w:rPr>
          <w:rFonts w:cs="Arial"/>
          <w:szCs w:val="20"/>
        </w:rPr>
        <w:t xml:space="preserve"> </w:t>
      </w:r>
      <w:r w:rsidRPr="00F90512" w:rsidR="00F90512">
        <w:rPr>
          <w:rFonts w:cs="Arial"/>
          <w:szCs w:val="20"/>
        </w:rPr>
        <w:t xml:space="preserve">worden ontvangen als op dividenden die door een </w:t>
      </w:r>
      <w:r w:rsidRPr="00766607" w:rsidR="00942047">
        <w:rPr>
          <w:rFonts w:cs="Arial"/>
          <w:szCs w:val="20"/>
        </w:rPr>
        <w:t xml:space="preserve">Nederlandse </w:t>
      </w:r>
      <w:r w:rsidRPr="00942047" w:rsidR="00942047">
        <w:rPr>
          <w:rFonts w:cs="Arial"/>
          <w:szCs w:val="20"/>
        </w:rPr>
        <w:t xml:space="preserve">fiscale beleggingsinstelling </w:t>
      </w:r>
      <w:r w:rsidR="00DE40CD">
        <w:rPr>
          <w:rFonts w:cs="Arial"/>
          <w:szCs w:val="20"/>
        </w:rPr>
        <w:t>of</w:t>
      </w:r>
      <w:r w:rsidRPr="00942047" w:rsidR="00DE40CD">
        <w:rPr>
          <w:rFonts w:cs="Arial"/>
          <w:szCs w:val="20"/>
        </w:rPr>
        <w:t xml:space="preserve"> </w:t>
      </w:r>
      <w:r w:rsidRPr="00942047" w:rsidR="00942047">
        <w:rPr>
          <w:rFonts w:cs="Arial"/>
          <w:szCs w:val="20"/>
        </w:rPr>
        <w:t xml:space="preserve">een in Polen vrijgesteld </w:t>
      </w:r>
      <w:r w:rsidRPr="00942047" w:rsidR="00942047">
        <w:rPr>
          <w:rFonts w:cs="Arial"/>
          <w:i/>
          <w:szCs w:val="20"/>
        </w:rPr>
        <w:t>open-end</w:t>
      </w:r>
      <w:r w:rsidRPr="00942047" w:rsidR="00942047">
        <w:rPr>
          <w:rFonts w:cs="Arial"/>
          <w:szCs w:val="20"/>
        </w:rPr>
        <w:t xml:space="preserve"> beleggingsfonds</w:t>
      </w:r>
      <w:r w:rsidRPr="00F90512" w:rsidR="00942047">
        <w:rPr>
          <w:rFonts w:cs="Arial"/>
          <w:szCs w:val="20"/>
        </w:rPr>
        <w:t xml:space="preserve"> </w:t>
      </w:r>
      <w:r w:rsidRPr="00F90512" w:rsidR="00F90512">
        <w:rPr>
          <w:rFonts w:cs="Arial"/>
          <w:szCs w:val="20"/>
        </w:rPr>
        <w:t>worden betaald.</w:t>
      </w:r>
    </w:p>
    <w:p w:rsidR="009A18C4" w:rsidP="009A18C4" w:rsidRDefault="00E93870" w14:paraId="14A68E67" w14:textId="77777777">
      <w:pPr>
        <w:ind w:firstLine="720"/>
        <w:rPr>
          <w:rFonts w:cs="Arial"/>
          <w:szCs w:val="20"/>
        </w:rPr>
      </w:pPr>
      <w:r>
        <w:rPr>
          <w:rFonts w:cs="Arial"/>
          <w:szCs w:val="20"/>
        </w:rPr>
        <w:t>In h</w:t>
      </w:r>
      <w:r w:rsidRPr="00766607" w:rsidR="009A18C4">
        <w:rPr>
          <w:rFonts w:cs="Arial"/>
          <w:szCs w:val="20"/>
        </w:rPr>
        <w:t xml:space="preserve">et </w:t>
      </w:r>
      <w:r w:rsidR="009A18C4">
        <w:rPr>
          <w:rFonts w:cs="Arial"/>
          <w:szCs w:val="20"/>
        </w:rPr>
        <w:t>tweede</w:t>
      </w:r>
      <w:r w:rsidRPr="00766607" w:rsidR="009A18C4">
        <w:rPr>
          <w:rFonts w:cs="Arial"/>
          <w:szCs w:val="20"/>
        </w:rPr>
        <w:t xml:space="preserve"> lid </w:t>
      </w:r>
      <w:r w:rsidR="009A18C4">
        <w:rPr>
          <w:rFonts w:cs="Arial"/>
          <w:szCs w:val="20"/>
        </w:rPr>
        <w:t xml:space="preserve">wordt </w:t>
      </w:r>
      <w:r w:rsidRPr="000048E8" w:rsidR="009A18C4">
        <w:rPr>
          <w:rFonts w:cs="Arial"/>
          <w:szCs w:val="20"/>
        </w:rPr>
        <w:t xml:space="preserve">bepaald dat inkomsten die worden genoten uit de (gedeeltelijke) liquidatie van een </w:t>
      </w:r>
      <w:r w:rsidR="009A18C4">
        <w:rPr>
          <w:rFonts w:cs="Arial"/>
          <w:szCs w:val="20"/>
        </w:rPr>
        <w:t>lichaam</w:t>
      </w:r>
      <w:r w:rsidR="00454004">
        <w:rPr>
          <w:rFonts w:cs="Arial"/>
          <w:szCs w:val="20"/>
        </w:rPr>
        <w:t xml:space="preserve"> of </w:t>
      </w:r>
      <w:r w:rsidR="00752209">
        <w:rPr>
          <w:rFonts w:cs="Arial"/>
          <w:szCs w:val="20"/>
        </w:rPr>
        <w:t xml:space="preserve">bij </w:t>
      </w:r>
      <w:r w:rsidRPr="000048E8" w:rsidR="009A18C4">
        <w:rPr>
          <w:rFonts w:cs="Arial"/>
          <w:szCs w:val="20"/>
        </w:rPr>
        <w:t xml:space="preserve">de inkoop van </w:t>
      </w:r>
      <w:r w:rsidR="00454004">
        <w:rPr>
          <w:rFonts w:cs="Arial"/>
          <w:szCs w:val="20"/>
        </w:rPr>
        <w:t xml:space="preserve">eigen </w:t>
      </w:r>
      <w:r w:rsidRPr="000048E8" w:rsidR="009A18C4">
        <w:rPr>
          <w:rFonts w:cs="Arial"/>
          <w:szCs w:val="20"/>
        </w:rPr>
        <w:t xml:space="preserve">aandelen voor de toepassing van het Verdrag worden aangemerkt als dividend. Dit sluit aan bij het in onderdeel 2.9.5 van de NFV 2011 uiteengezette </w:t>
      </w:r>
      <w:r w:rsidR="00081EF0">
        <w:rPr>
          <w:rFonts w:cs="Arial"/>
          <w:szCs w:val="20"/>
        </w:rPr>
        <w:t>verdrags</w:t>
      </w:r>
      <w:r w:rsidRPr="000048E8" w:rsidR="009A18C4">
        <w:rPr>
          <w:rFonts w:cs="Arial"/>
          <w:szCs w:val="20"/>
        </w:rPr>
        <w:t>beleid.</w:t>
      </w:r>
    </w:p>
    <w:p w:rsidRPr="009A18C4" w:rsidR="00090F3C" w:rsidP="009A18C4" w:rsidRDefault="009A18C4" w14:paraId="54B1B60C" w14:textId="09B71FC4">
      <w:pPr>
        <w:ind w:firstLine="720"/>
        <w:rPr>
          <w:rFonts w:cs="Arial"/>
          <w:szCs w:val="20"/>
        </w:rPr>
      </w:pPr>
      <w:r>
        <w:rPr>
          <w:rFonts w:cs="Arial"/>
          <w:szCs w:val="20"/>
        </w:rPr>
        <w:t>In h</w:t>
      </w:r>
      <w:r w:rsidRPr="00766607">
        <w:rPr>
          <w:rFonts w:cs="Arial"/>
          <w:szCs w:val="20"/>
        </w:rPr>
        <w:t xml:space="preserve">et </w:t>
      </w:r>
      <w:r w:rsidR="00454004">
        <w:rPr>
          <w:rFonts w:cs="Arial"/>
          <w:szCs w:val="20"/>
        </w:rPr>
        <w:t xml:space="preserve">derde </w:t>
      </w:r>
      <w:r w:rsidRPr="00766607">
        <w:rPr>
          <w:rFonts w:cs="Arial"/>
          <w:szCs w:val="20"/>
        </w:rPr>
        <w:t>lid</w:t>
      </w:r>
      <w:r>
        <w:rPr>
          <w:rFonts w:cs="Arial"/>
          <w:szCs w:val="20"/>
        </w:rPr>
        <w:t xml:space="preserve"> </w:t>
      </w:r>
      <w:r w:rsidRPr="00056D9A">
        <w:rPr>
          <w:rFonts w:cs="Arial"/>
          <w:szCs w:val="20"/>
        </w:rPr>
        <w:t>is op verzoek van</w:t>
      </w:r>
      <w:r>
        <w:rPr>
          <w:rFonts w:cs="Arial"/>
          <w:szCs w:val="20"/>
        </w:rPr>
        <w:t xml:space="preserve"> Polen</w:t>
      </w:r>
      <w:r w:rsidRPr="00056D9A">
        <w:rPr>
          <w:rFonts w:cs="Arial"/>
          <w:szCs w:val="20"/>
        </w:rPr>
        <w:t xml:space="preserve"> ter verduidelijking vastgelegd dat uitdelingen op certificaten van of deelnemingen in een investeringsfonds worden behandeld als inkom</w:t>
      </w:r>
      <w:r w:rsidR="0094501D">
        <w:rPr>
          <w:rFonts w:cs="Arial"/>
          <w:szCs w:val="20"/>
        </w:rPr>
        <w:t>st</w:t>
      </w:r>
      <w:r w:rsidRPr="00056D9A">
        <w:rPr>
          <w:rFonts w:cs="Arial"/>
          <w:szCs w:val="20"/>
        </w:rPr>
        <w:t>en uit aandelen.</w:t>
      </w:r>
      <w:r w:rsidRPr="00056D9A" w:rsidDel="005C3454" w:rsidR="005C3454">
        <w:rPr>
          <w:rFonts w:cs="Arial"/>
          <w:szCs w:val="20"/>
        </w:rPr>
        <w:t xml:space="preserve"> </w:t>
      </w:r>
      <w:r w:rsidR="00E130AC">
        <w:rPr>
          <w:rFonts w:cs="Arial"/>
          <w:szCs w:val="20"/>
        </w:rPr>
        <w:t xml:space="preserve">Dit stemt overeen met het </w:t>
      </w:r>
      <w:r w:rsidR="00F43A23">
        <w:rPr>
          <w:rFonts w:cs="Arial"/>
          <w:szCs w:val="20"/>
        </w:rPr>
        <w:t>c</w:t>
      </w:r>
      <w:r w:rsidRPr="008B776E" w:rsidR="00E130AC">
        <w:t xml:space="preserve">ommentaar </w:t>
      </w:r>
      <w:r w:rsidR="00F43A23">
        <w:t>bij</w:t>
      </w:r>
      <w:r w:rsidRPr="008B776E" w:rsidR="00F43A23">
        <w:t xml:space="preserve"> </w:t>
      </w:r>
      <w:r w:rsidRPr="008B776E" w:rsidR="00E130AC">
        <w:t xml:space="preserve">artikel </w:t>
      </w:r>
      <w:r w:rsidR="00180DF0">
        <w:t>10</w:t>
      </w:r>
      <w:r w:rsidRPr="008B776E" w:rsidR="00E130AC">
        <w:t xml:space="preserve"> van het OESO-modelverdrag</w:t>
      </w:r>
      <w:r w:rsidR="00180DF0">
        <w:t xml:space="preserve">. </w:t>
      </w:r>
      <w:r>
        <w:br/>
      </w:r>
    </w:p>
    <w:p w:rsidR="0032188D" w:rsidP="0032188D" w:rsidRDefault="0032188D" w14:paraId="40A1BFC7" w14:textId="77777777">
      <w:pPr>
        <w:pStyle w:val="Kop2"/>
        <w:numPr>
          <w:ilvl w:val="0"/>
          <w:numId w:val="0"/>
        </w:numPr>
        <w:spacing w:before="0" w:after="0"/>
        <w:rPr>
          <w:rFonts w:cs="Arial"/>
          <w:b w:val="0"/>
          <w:bCs w:val="0"/>
          <w:i/>
          <w:szCs w:val="20"/>
        </w:rPr>
      </w:pPr>
      <w:r w:rsidRPr="007F15F8">
        <w:rPr>
          <w:b w:val="0"/>
          <w:i/>
        </w:rPr>
        <w:t>II.</w:t>
      </w:r>
      <w:r>
        <w:rPr>
          <w:rFonts w:cs="Arial"/>
          <w:b w:val="0"/>
          <w:bCs w:val="0"/>
          <w:i/>
          <w:szCs w:val="20"/>
        </w:rPr>
        <w:t>2</w:t>
      </w:r>
      <w:r w:rsidR="007147A4">
        <w:rPr>
          <w:rFonts w:cs="Arial"/>
          <w:b w:val="0"/>
          <w:bCs w:val="0"/>
          <w:i/>
          <w:szCs w:val="20"/>
        </w:rPr>
        <w:t>1</w:t>
      </w:r>
      <w:r w:rsidR="003A19C1">
        <w:rPr>
          <w:rFonts w:cs="Arial"/>
          <w:b w:val="0"/>
          <w:bCs w:val="0"/>
          <w:i/>
          <w:szCs w:val="20"/>
        </w:rPr>
        <w:t>.</w:t>
      </w:r>
      <w:r>
        <w:rPr>
          <w:rFonts w:cs="Arial"/>
          <w:b w:val="0"/>
          <w:bCs w:val="0"/>
          <w:i/>
          <w:szCs w:val="20"/>
        </w:rPr>
        <w:t xml:space="preserve"> Interest</w:t>
      </w:r>
      <w:r w:rsidRPr="00802848">
        <w:rPr>
          <w:rFonts w:cs="Arial"/>
          <w:b w:val="0"/>
          <w:bCs w:val="0"/>
          <w:i/>
          <w:szCs w:val="20"/>
        </w:rPr>
        <w:t xml:space="preserve"> (artikel </w:t>
      </w:r>
      <w:r>
        <w:rPr>
          <w:rFonts w:cs="Arial"/>
          <w:b w:val="0"/>
          <w:bCs w:val="0"/>
          <w:i/>
          <w:szCs w:val="20"/>
        </w:rPr>
        <w:t>2</w:t>
      </w:r>
      <w:r w:rsidR="007147A4">
        <w:rPr>
          <w:rFonts w:cs="Arial"/>
          <w:b w:val="0"/>
          <w:bCs w:val="0"/>
          <w:i/>
          <w:szCs w:val="20"/>
        </w:rPr>
        <w:t>1</w:t>
      </w:r>
      <w:r w:rsidRPr="00802848">
        <w:rPr>
          <w:rFonts w:cs="Arial"/>
          <w:b w:val="0"/>
          <w:bCs w:val="0"/>
          <w:i/>
          <w:szCs w:val="20"/>
        </w:rPr>
        <w:t xml:space="preserve"> van het Wijzigingsprotoco</w:t>
      </w:r>
      <w:r>
        <w:rPr>
          <w:rFonts w:cs="Arial"/>
          <w:b w:val="0"/>
          <w:bCs w:val="0"/>
          <w:i/>
          <w:szCs w:val="20"/>
        </w:rPr>
        <w:t xml:space="preserve">l </w:t>
      </w:r>
      <w:r w:rsidRPr="009A18C4">
        <w:rPr>
          <w:rFonts w:cs="Arial"/>
          <w:b w:val="0"/>
          <w:bCs w:val="0"/>
          <w:i/>
          <w:szCs w:val="20"/>
        </w:rPr>
        <w:t xml:space="preserve">en artikel </w:t>
      </w:r>
      <w:r>
        <w:rPr>
          <w:rFonts w:cs="Arial"/>
          <w:b w:val="0"/>
          <w:bCs w:val="0"/>
          <w:i/>
          <w:szCs w:val="20"/>
        </w:rPr>
        <w:t>VI</w:t>
      </w:r>
      <w:r w:rsidR="005369CD">
        <w:rPr>
          <w:rFonts w:cs="Arial"/>
          <w:b w:val="0"/>
          <w:bCs w:val="0"/>
          <w:i/>
          <w:szCs w:val="20"/>
        </w:rPr>
        <w:t xml:space="preserve"> (nieuw)</w:t>
      </w:r>
      <w:r w:rsidRPr="009A18C4">
        <w:rPr>
          <w:rFonts w:cs="Arial"/>
          <w:b w:val="0"/>
          <w:bCs w:val="0"/>
          <w:i/>
          <w:szCs w:val="20"/>
        </w:rPr>
        <w:t xml:space="preserve"> van het Protocol bij het Verdrag</w:t>
      </w:r>
      <w:r w:rsidRPr="00802848">
        <w:rPr>
          <w:rFonts w:cs="Arial"/>
          <w:b w:val="0"/>
          <w:bCs w:val="0"/>
          <w:i/>
          <w:szCs w:val="20"/>
        </w:rPr>
        <w:t>)</w:t>
      </w:r>
    </w:p>
    <w:p w:rsidR="0032188D" w:rsidP="0032188D" w:rsidRDefault="0032188D" w14:paraId="184711D5" w14:textId="77777777">
      <w:pPr>
        <w:ind w:firstLine="720"/>
        <w:rPr>
          <w:rFonts w:cs="Arial"/>
          <w:szCs w:val="20"/>
        </w:rPr>
      </w:pPr>
    </w:p>
    <w:p w:rsidR="00BA723F" w:rsidP="0032188D" w:rsidRDefault="0032188D" w14:paraId="7983D85D" w14:textId="77777777">
      <w:pPr>
        <w:ind w:firstLine="720"/>
        <w:rPr>
          <w:rFonts w:cs="Arial"/>
          <w:szCs w:val="20"/>
        </w:rPr>
      </w:pPr>
      <w:r>
        <w:rPr>
          <w:rFonts w:cs="Arial"/>
          <w:szCs w:val="20"/>
        </w:rPr>
        <w:t>M</w:t>
      </w:r>
      <w:r w:rsidRPr="00766607">
        <w:rPr>
          <w:rFonts w:cs="Arial"/>
          <w:szCs w:val="20"/>
        </w:rPr>
        <w:t xml:space="preserve">et artikel </w:t>
      </w:r>
      <w:r>
        <w:rPr>
          <w:rFonts w:cs="Arial"/>
          <w:szCs w:val="20"/>
        </w:rPr>
        <w:t>2</w:t>
      </w:r>
      <w:r w:rsidR="007147A4">
        <w:rPr>
          <w:rFonts w:cs="Arial"/>
          <w:szCs w:val="20"/>
        </w:rPr>
        <w:t>1</w:t>
      </w:r>
      <w:r>
        <w:rPr>
          <w:rFonts w:cs="Arial"/>
          <w:szCs w:val="20"/>
        </w:rPr>
        <w:t xml:space="preserve"> van het Wijzigingsprotocol wordt</w:t>
      </w:r>
      <w:r w:rsidRPr="00766607">
        <w:rPr>
          <w:rFonts w:cs="Arial"/>
          <w:szCs w:val="20"/>
        </w:rPr>
        <w:t xml:space="preserve"> </w:t>
      </w:r>
      <w:r w:rsidR="00BA723F">
        <w:rPr>
          <w:rFonts w:cs="Arial"/>
          <w:szCs w:val="20"/>
        </w:rPr>
        <w:t>artikel V</w:t>
      </w:r>
      <w:r w:rsidR="002908AA">
        <w:rPr>
          <w:rFonts w:cs="Arial"/>
          <w:szCs w:val="20"/>
        </w:rPr>
        <w:t>I</w:t>
      </w:r>
      <w:r w:rsidR="00BA723F">
        <w:rPr>
          <w:rFonts w:cs="Arial"/>
          <w:szCs w:val="20"/>
        </w:rPr>
        <w:t xml:space="preserve"> van het Protocol bij het Verdrag vervangen door een nieuw artikel V</w:t>
      </w:r>
      <w:r w:rsidR="002908AA">
        <w:rPr>
          <w:rFonts w:cs="Arial"/>
          <w:szCs w:val="20"/>
        </w:rPr>
        <w:t>I</w:t>
      </w:r>
      <w:r w:rsidR="00BA723F">
        <w:rPr>
          <w:rFonts w:cs="Arial"/>
          <w:szCs w:val="20"/>
        </w:rPr>
        <w:t>.</w:t>
      </w:r>
    </w:p>
    <w:p w:rsidR="001B20A7" w:rsidP="0032188D" w:rsidRDefault="00BA723F" w14:paraId="52106CA2" w14:textId="77777777">
      <w:pPr>
        <w:ind w:firstLine="720"/>
        <w:rPr>
          <w:rFonts w:cs="Arial"/>
          <w:szCs w:val="20"/>
        </w:rPr>
      </w:pPr>
      <w:r>
        <w:rPr>
          <w:rFonts w:cs="Arial"/>
          <w:szCs w:val="20"/>
        </w:rPr>
        <w:lastRenderedPageBreak/>
        <w:t xml:space="preserve">Allereerst wordt </w:t>
      </w:r>
      <w:r w:rsidR="005068D6">
        <w:rPr>
          <w:rFonts w:cs="Arial"/>
          <w:szCs w:val="20"/>
        </w:rPr>
        <w:t xml:space="preserve">hierover opgemerkt </w:t>
      </w:r>
      <w:r w:rsidR="000368C3">
        <w:rPr>
          <w:rFonts w:cs="Arial"/>
          <w:szCs w:val="20"/>
        </w:rPr>
        <w:t xml:space="preserve">dat </w:t>
      </w:r>
      <w:r w:rsidR="00F52854">
        <w:rPr>
          <w:rFonts w:cs="Arial"/>
          <w:szCs w:val="20"/>
        </w:rPr>
        <w:t>artikel VI van het P</w:t>
      </w:r>
      <w:r w:rsidR="000368C3">
        <w:rPr>
          <w:rFonts w:cs="Arial"/>
          <w:szCs w:val="20"/>
        </w:rPr>
        <w:t xml:space="preserve">rotocol bij het Verdrag </w:t>
      </w:r>
      <w:r w:rsidR="00EF005E">
        <w:rPr>
          <w:rFonts w:cs="Arial"/>
          <w:szCs w:val="20"/>
        </w:rPr>
        <w:t xml:space="preserve">op verzoek van Polen </w:t>
      </w:r>
      <w:r w:rsidR="000368C3">
        <w:rPr>
          <w:rFonts w:cs="Arial"/>
          <w:szCs w:val="20"/>
        </w:rPr>
        <w:t xml:space="preserve">wordt geschrapt. </w:t>
      </w:r>
      <w:r w:rsidR="00E46C4D">
        <w:rPr>
          <w:rFonts w:cs="Arial"/>
          <w:szCs w:val="20"/>
        </w:rPr>
        <w:t xml:space="preserve">In het huidige </w:t>
      </w:r>
      <w:r w:rsidR="000368C3">
        <w:rPr>
          <w:rFonts w:cs="Arial"/>
          <w:szCs w:val="20"/>
        </w:rPr>
        <w:t xml:space="preserve">artikel VI </w:t>
      </w:r>
      <w:r w:rsidR="00E46C4D">
        <w:rPr>
          <w:rFonts w:cs="Arial"/>
          <w:szCs w:val="20"/>
        </w:rPr>
        <w:t>is bepaald dat</w:t>
      </w:r>
      <w:r w:rsidR="00524C41">
        <w:rPr>
          <w:rFonts w:cs="Arial"/>
          <w:szCs w:val="20"/>
        </w:rPr>
        <w:t xml:space="preserve"> verzoeken om teruggaaf van </w:t>
      </w:r>
      <w:r w:rsidR="00F52854">
        <w:rPr>
          <w:rFonts w:cs="Arial"/>
          <w:szCs w:val="20"/>
        </w:rPr>
        <w:t xml:space="preserve">belasting die </w:t>
      </w:r>
      <w:r w:rsidR="00524C41">
        <w:rPr>
          <w:rFonts w:cs="Arial"/>
          <w:szCs w:val="20"/>
        </w:rPr>
        <w:t xml:space="preserve">het </w:t>
      </w:r>
      <w:r w:rsidR="00F52854">
        <w:rPr>
          <w:rFonts w:cs="Arial"/>
          <w:szCs w:val="20"/>
        </w:rPr>
        <w:t xml:space="preserve">belastingbedrag </w:t>
      </w:r>
      <w:r w:rsidR="00524C41">
        <w:rPr>
          <w:rFonts w:cs="Arial"/>
          <w:szCs w:val="20"/>
        </w:rPr>
        <w:t>dat ingevolge de bepalingen van artikel 10, 11 of 12</w:t>
      </w:r>
      <w:r w:rsidR="00F52854">
        <w:rPr>
          <w:rFonts w:cs="Arial"/>
          <w:szCs w:val="20"/>
        </w:rPr>
        <w:t xml:space="preserve"> van het Verdrag mag worden gegeven te boven gaat,</w:t>
      </w:r>
      <w:r w:rsidR="00E46C4D">
        <w:rPr>
          <w:rFonts w:cs="Arial"/>
          <w:szCs w:val="20"/>
        </w:rPr>
        <w:t xml:space="preserve"> moeten</w:t>
      </w:r>
      <w:r w:rsidR="00F52854">
        <w:rPr>
          <w:rFonts w:cs="Arial"/>
          <w:szCs w:val="20"/>
        </w:rPr>
        <w:t xml:space="preserve"> worden ingediend bij de bevoegde autoriteiten van de desbetreffende Staat binnen een tijdvak van drie jaar na afloop van het kalenderjaar waarin de belasting is geheven. Als gevolg van het </w:t>
      </w:r>
      <w:r w:rsidR="000A5A2B">
        <w:rPr>
          <w:rFonts w:cs="Arial"/>
          <w:szCs w:val="20"/>
        </w:rPr>
        <w:t xml:space="preserve">schrappen </w:t>
      </w:r>
      <w:r w:rsidR="00F52854">
        <w:rPr>
          <w:rFonts w:cs="Arial"/>
          <w:szCs w:val="20"/>
        </w:rPr>
        <w:t>van artikel VI van</w:t>
      </w:r>
      <w:r w:rsidR="00BB7F29">
        <w:rPr>
          <w:rFonts w:cs="Arial"/>
          <w:szCs w:val="20"/>
        </w:rPr>
        <w:t xml:space="preserve"> het</w:t>
      </w:r>
      <w:r w:rsidR="00F52854">
        <w:rPr>
          <w:rFonts w:cs="Arial"/>
          <w:szCs w:val="20"/>
        </w:rPr>
        <w:t xml:space="preserve"> Protocol </w:t>
      </w:r>
      <w:r w:rsidR="00BB7F29">
        <w:rPr>
          <w:rFonts w:cs="Arial"/>
          <w:szCs w:val="20"/>
        </w:rPr>
        <w:t xml:space="preserve">bij het Verdrag </w:t>
      </w:r>
      <w:r w:rsidR="00F52854">
        <w:rPr>
          <w:rFonts w:cs="Arial"/>
          <w:szCs w:val="20"/>
        </w:rPr>
        <w:t xml:space="preserve">zal </w:t>
      </w:r>
      <w:r w:rsidR="00691EEC">
        <w:rPr>
          <w:rFonts w:cs="Arial"/>
          <w:szCs w:val="20"/>
        </w:rPr>
        <w:t xml:space="preserve">voortaan het nationale recht van de </w:t>
      </w:r>
      <w:r w:rsidR="000A5A2B">
        <w:rPr>
          <w:rFonts w:cs="Arial"/>
          <w:szCs w:val="20"/>
        </w:rPr>
        <w:t>s</w:t>
      </w:r>
      <w:r w:rsidR="00691EEC">
        <w:rPr>
          <w:rFonts w:cs="Arial"/>
          <w:szCs w:val="20"/>
        </w:rPr>
        <w:t xml:space="preserve">taat die de belasting heeft geheven bepalen binnen welke termijn een verzoek om teruggaaf kan worden ingediend. Thans geldt op basis van het nationale recht van zowel Nederland als Polen dat het verzoek om teruggaaf van belasting moet worden ingediend binnen een tijdvak van vijf jaar na afloop van het kalenderjaar waarin de belasting is geheven. </w:t>
      </w:r>
    </w:p>
    <w:p w:rsidR="0032188D" w:rsidP="0032188D" w:rsidRDefault="001B20A7" w14:paraId="5B245EA3" w14:textId="2EB40421">
      <w:pPr>
        <w:ind w:firstLine="720"/>
      </w:pPr>
      <w:r>
        <w:rPr>
          <w:rFonts w:cs="Arial"/>
          <w:szCs w:val="20"/>
        </w:rPr>
        <w:t>H</w:t>
      </w:r>
      <w:r w:rsidRPr="00766607" w:rsidR="0032188D">
        <w:rPr>
          <w:rFonts w:cs="Arial"/>
          <w:szCs w:val="20"/>
        </w:rPr>
        <w:t xml:space="preserve">et nieuwe artikel </w:t>
      </w:r>
      <w:r w:rsidR="0032188D">
        <w:rPr>
          <w:rFonts w:cs="Arial"/>
          <w:szCs w:val="20"/>
        </w:rPr>
        <w:t>V</w:t>
      </w:r>
      <w:r w:rsidR="00DF4C35">
        <w:rPr>
          <w:rFonts w:cs="Arial"/>
          <w:szCs w:val="20"/>
        </w:rPr>
        <w:t>I</w:t>
      </w:r>
      <w:r w:rsidRPr="00766607" w:rsidR="0032188D">
        <w:rPr>
          <w:rFonts w:cs="Arial"/>
          <w:szCs w:val="20"/>
        </w:rPr>
        <w:t xml:space="preserve"> van het Protocol bij het </w:t>
      </w:r>
      <w:r w:rsidRPr="00707F34" w:rsidR="0032188D">
        <w:t xml:space="preserve">Verdrag </w:t>
      </w:r>
      <w:r w:rsidR="00DF4C35">
        <w:t>heeft betrekking op artikel 11 (</w:t>
      </w:r>
      <w:r w:rsidR="001164B1">
        <w:t>interest</w:t>
      </w:r>
      <w:r w:rsidR="00DF4C35">
        <w:t>) van het Verdrag.</w:t>
      </w:r>
      <w:r w:rsidR="005369CD">
        <w:t xml:space="preserve"> </w:t>
      </w:r>
      <w:r w:rsidR="00DF4C35">
        <w:t xml:space="preserve">In het eerste lid wordt </w:t>
      </w:r>
      <w:r w:rsidRPr="00707F34" w:rsidR="00707F34">
        <w:t>op verzoek van Polen</w:t>
      </w:r>
      <w:r w:rsidR="000A5A2B">
        <w:t>,</w:t>
      </w:r>
      <w:r w:rsidR="00BF19D5">
        <w:t xml:space="preserve"> </w:t>
      </w:r>
      <w:r w:rsidR="000A5A2B">
        <w:t xml:space="preserve">omdat </w:t>
      </w:r>
      <w:r w:rsidR="00FC08E1">
        <w:t xml:space="preserve">daarover in het verleden kennelijk </w:t>
      </w:r>
      <w:r w:rsidR="00BB71F9">
        <w:t xml:space="preserve">vragen </w:t>
      </w:r>
      <w:r w:rsidR="000A5A2B">
        <w:t xml:space="preserve">rezen </w:t>
      </w:r>
      <w:r w:rsidR="00677F15">
        <w:t>in Polen</w:t>
      </w:r>
      <w:r w:rsidR="00FC08E1">
        <w:t xml:space="preserve">, </w:t>
      </w:r>
      <w:r w:rsidR="00BB71F9">
        <w:t xml:space="preserve">een </w:t>
      </w:r>
      <w:r w:rsidR="00BF19D5">
        <w:t xml:space="preserve">verduidelijking gegeven over de behandeling van inkomen uit </w:t>
      </w:r>
      <w:r w:rsidRPr="00BF19D5" w:rsidR="00BF19D5">
        <w:t>converteerbare obligatielening</w:t>
      </w:r>
      <w:r w:rsidR="00BF19D5">
        <w:t>en</w:t>
      </w:r>
      <w:r w:rsidR="00707F34">
        <w:t xml:space="preserve">. In overeenstemming met </w:t>
      </w:r>
      <w:r w:rsidRPr="00707F34" w:rsidR="00707F34">
        <w:t xml:space="preserve">paragraaf 19 van het </w:t>
      </w:r>
      <w:r w:rsidR="00F43A23">
        <w:t>c</w:t>
      </w:r>
      <w:r w:rsidRPr="00707F34" w:rsidR="00707F34">
        <w:t>ommentaar bij artikel 11 van het</w:t>
      </w:r>
      <w:r w:rsidR="00707F34">
        <w:t xml:space="preserve"> OESO-modelverdrag wordt bevestigd dat onder </w:t>
      </w:r>
      <w:r w:rsidR="00677F15">
        <w:t xml:space="preserve">de uitdrukking </w:t>
      </w:r>
      <w:r w:rsidR="00707F34">
        <w:t>‘een lening van welke soort’ in de zin van artikel 11, derde lid, onderdeel c</w:t>
      </w:r>
      <w:r w:rsidR="00F43A23">
        <w:t>,</w:t>
      </w:r>
      <w:r w:rsidR="00707F34">
        <w:t xml:space="preserve"> van het Verdrag</w:t>
      </w:r>
      <w:r w:rsidR="00677F15">
        <w:t>,</w:t>
      </w:r>
      <w:r w:rsidR="00707F34">
        <w:t xml:space="preserve"> ook converteerbare obligatieleningen </w:t>
      </w:r>
      <w:r w:rsidR="00225F76">
        <w:t xml:space="preserve">worden begrepen, </w:t>
      </w:r>
      <w:r w:rsidR="00707F34">
        <w:t xml:space="preserve">en dat </w:t>
      </w:r>
      <w:r w:rsidR="001164B1">
        <w:t xml:space="preserve">de uitdrukking </w:t>
      </w:r>
      <w:r w:rsidR="000A5A2B">
        <w:t>‘</w:t>
      </w:r>
      <w:r w:rsidRPr="00707F34" w:rsidR="00707F34">
        <w:t>interest</w:t>
      </w:r>
      <w:r w:rsidR="000A5A2B">
        <w:t>’</w:t>
      </w:r>
      <w:r w:rsidRPr="00707F34" w:rsidR="00707F34">
        <w:t xml:space="preserve"> als </w:t>
      </w:r>
      <w:r w:rsidR="00FC08E1">
        <w:t xml:space="preserve">bedoeld </w:t>
      </w:r>
      <w:r w:rsidRPr="00707F34" w:rsidR="00707F34">
        <w:t>in artikel 11</w:t>
      </w:r>
      <w:r w:rsidR="00707F34">
        <w:t xml:space="preserve">, </w:t>
      </w:r>
      <w:r w:rsidR="00FC08E1">
        <w:t>vijfde</w:t>
      </w:r>
      <w:r w:rsidR="00707F34">
        <w:t xml:space="preserve"> lid</w:t>
      </w:r>
      <w:r w:rsidR="00FC08E1">
        <w:t>,</w:t>
      </w:r>
      <w:r w:rsidR="00707F34">
        <w:t xml:space="preserve"> van het Verdrag</w:t>
      </w:r>
      <w:r w:rsidRPr="00707F34" w:rsidR="00707F34">
        <w:t xml:space="preserve"> ook inkomen uit converte</w:t>
      </w:r>
      <w:r w:rsidR="00707F34">
        <w:t xml:space="preserve">erbare obligatieleningen omvat </w:t>
      </w:r>
      <w:r w:rsidRPr="00707F34" w:rsidR="00707F34">
        <w:t xml:space="preserve">tot het moment dat de obligaties daadwerkelijk worden geconverteerd in aandelen. </w:t>
      </w:r>
      <w:r w:rsidRPr="00562385" w:rsidR="00707F34">
        <w:t>Voorts wordt in de laatste zin bepaal</w:t>
      </w:r>
      <w:r w:rsidR="00FC08E1">
        <w:t>d</w:t>
      </w:r>
      <w:r w:rsidRPr="00562385" w:rsidR="00707F34">
        <w:t xml:space="preserve"> dat de uitdrukking ‘interest’ </w:t>
      </w:r>
      <w:r w:rsidR="00FC08E1">
        <w:t xml:space="preserve">geen bestanddelen van het inkomen bevat die </w:t>
      </w:r>
      <w:r w:rsidRPr="00562385" w:rsidR="00707F34">
        <w:t>reeds vallen onder artikel 10 van het Verdrag (dividenden).</w:t>
      </w:r>
    </w:p>
    <w:p w:rsidRPr="007D2E72" w:rsidR="0032188D" w:rsidP="007D2E72" w:rsidRDefault="00227BF6" w14:paraId="0E05C202" w14:textId="78A51B3F">
      <w:pPr>
        <w:ind w:firstLine="720"/>
        <w:rPr>
          <w:rFonts w:cs="Arial"/>
          <w:szCs w:val="20"/>
        </w:rPr>
      </w:pPr>
      <w:r>
        <w:t>In h</w:t>
      </w:r>
      <w:r w:rsidRPr="00562385" w:rsidR="00707F34">
        <w:t>et tweede lid</w:t>
      </w:r>
      <w:r w:rsidR="00707F34">
        <w:t xml:space="preserve"> </w:t>
      </w:r>
      <w:r w:rsidR="00562385">
        <w:t xml:space="preserve">wordt </w:t>
      </w:r>
      <w:r w:rsidRPr="00562385" w:rsidR="00562385">
        <w:t xml:space="preserve">de </w:t>
      </w:r>
      <w:r>
        <w:t xml:space="preserve">in artikel 11, </w:t>
      </w:r>
      <w:r w:rsidR="00985749">
        <w:t xml:space="preserve">derde lid, van het Verdrag opgenomen </w:t>
      </w:r>
      <w:r w:rsidRPr="00562385" w:rsidR="00562385">
        <w:t xml:space="preserve">bronstaatvrijstelling </w:t>
      </w:r>
      <w:r w:rsidR="00985749">
        <w:t xml:space="preserve">voor interest </w:t>
      </w:r>
      <w:r w:rsidRPr="00562385" w:rsidR="00562385">
        <w:t xml:space="preserve">uitgebreid </w:t>
      </w:r>
      <w:r w:rsidR="00985749">
        <w:t xml:space="preserve">naar interest die (als </w:t>
      </w:r>
      <w:r w:rsidRPr="00562385" w:rsidR="00562385">
        <w:t>uiteindelijk gerechtigde</w:t>
      </w:r>
      <w:r w:rsidR="00985749">
        <w:t xml:space="preserve">) wordt ontvangen door </w:t>
      </w:r>
      <w:r w:rsidRPr="00562385" w:rsidR="00562385">
        <w:t xml:space="preserve">de Nederlandse Financieringsmaatschappij voor Ontwikkelingslanden N.V. of haar </w:t>
      </w:r>
      <w:r w:rsidR="00752209">
        <w:t xml:space="preserve">eventuele </w:t>
      </w:r>
      <w:r w:rsidRPr="00562385" w:rsidR="00562385">
        <w:t>rechtsopvolger (onderdeel a), Atradius State Business NV ter zake van leningen verstrekt, goedgekeurd, gewaarborgd of verzekerd door de regering van Nederland (onderdeel b)</w:t>
      </w:r>
      <w:r w:rsidR="00AF7ED4">
        <w:t>, en</w:t>
      </w:r>
      <w:r w:rsidR="00EF7D9B">
        <w:t xml:space="preserve"> de daarmee vergelijkbare Poolse instellingen</w:t>
      </w:r>
      <w:r w:rsidR="00752209">
        <w:t xml:space="preserve"> - </w:t>
      </w:r>
      <w:r w:rsidRPr="00562385" w:rsidR="00562385">
        <w:t xml:space="preserve">de </w:t>
      </w:r>
      <w:r w:rsidRPr="00A50949" w:rsidR="00562385">
        <w:rPr>
          <w:i/>
        </w:rPr>
        <w:t>Korporacja Ubezpieczeń Kredytów Eksportowych S.A.</w:t>
      </w:r>
      <w:r w:rsidRPr="00562385" w:rsidR="00562385">
        <w:t xml:space="preserve"> (KUKE S.A.)</w:t>
      </w:r>
      <w:r w:rsidR="00EF7D9B">
        <w:t xml:space="preserve"> en</w:t>
      </w:r>
      <w:r w:rsidRPr="00562385" w:rsidR="00562385">
        <w:t xml:space="preserve"> </w:t>
      </w:r>
      <w:r w:rsidRPr="00A50949" w:rsidR="00562385">
        <w:rPr>
          <w:i/>
        </w:rPr>
        <w:t>Bank Gospodarstwa Krajowego S.A.</w:t>
      </w:r>
      <w:r w:rsidRPr="00562385" w:rsidR="00562385">
        <w:t xml:space="preserve"> </w:t>
      </w:r>
      <w:r w:rsidR="00752209">
        <w:t xml:space="preserve">- </w:t>
      </w:r>
      <w:r w:rsidRPr="00562385" w:rsidR="00562385">
        <w:t xml:space="preserve">(onderdeel c). </w:t>
      </w:r>
      <w:r w:rsidR="00562385">
        <w:rPr>
          <w:rFonts w:cs="Arial"/>
          <w:szCs w:val="20"/>
        </w:rPr>
        <w:t>De</w:t>
      </w:r>
      <w:r w:rsidR="005A5F9E">
        <w:rPr>
          <w:rFonts w:cs="Arial"/>
          <w:szCs w:val="20"/>
        </w:rPr>
        <w:t>ze</w:t>
      </w:r>
      <w:r w:rsidR="00562385">
        <w:rPr>
          <w:rFonts w:cs="Arial"/>
          <w:szCs w:val="20"/>
        </w:rPr>
        <w:t xml:space="preserve"> </w:t>
      </w:r>
      <w:r w:rsidR="005A5F9E">
        <w:rPr>
          <w:rFonts w:cs="Arial"/>
          <w:szCs w:val="20"/>
        </w:rPr>
        <w:t xml:space="preserve">uitbreiding </w:t>
      </w:r>
      <w:r w:rsidR="00562385">
        <w:rPr>
          <w:rFonts w:cs="Arial"/>
          <w:szCs w:val="20"/>
        </w:rPr>
        <w:t xml:space="preserve">sluit aan bij </w:t>
      </w:r>
      <w:r w:rsidR="005A5F9E">
        <w:rPr>
          <w:rFonts w:cs="Arial"/>
          <w:szCs w:val="20"/>
        </w:rPr>
        <w:t>de in par</w:t>
      </w:r>
      <w:r w:rsidR="009961E2">
        <w:rPr>
          <w:rFonts w:cs="Arial"/>
          <w:szCs w:val="20"/>
        </w:rPr>
        <w:t>a</w:t>
      </w:r>
      <w:r w:rsidR="005A5F9E">
        <w:rPr>
          <w:rFonts w:cs="Arial"/>
          <w:szCs w:val="20"/>
        </w:rPr>
        <w:t xml:space="preserve">graaf 7.6 van </w:t>
      </w:r>
      <w:r w:rsidR="00562385">
        <w:rPr>
          <w:rFonts w:cs="Arial"/>
          <w:szCs w:val="20"/>
        </w:rPr>
        <w:t xml:space="preserve">het </w:t>
      </w:r>
      <w:r w:rsidR="007F1F6D">
        <w:rPr>
          <w:rFonts w:cs="Arial"/>
          <w:szCs w:val="20"/>
        </w:rPr>
        <w:t>c</w:t>
      </w:r>
      <w:r w:rsidR="00562385">
        <w:rPr>
          <w:rFonts w:cs="Arial"/>
          <w:szCs w:val="20"/>
        </w:rPr>
        <w:t>ommentaar bij artikel 11 van het OESO-modelverdrag</w:t>
      </w:r>
      <w:r w:rsidR="005A5F9E">
        <w:rPr>
          <w:rFonts w:cs="Arial"/>
          <w:szCs w:val="20"/>
        </w:rPr>
        <w:t xml:space="preserve"> </w:t>
      </w:r>
      <w:r w:rsidR="007F1F6D">
        <w:rPr>
          <w:rFonts w:cs="Arial"/>
          <w:szCs w:val="20"/>
        </w:rPr>
        <w:t xml:space="preserve">opgenomen </w:t>
      </w:r>
      <w:r w:rsidR="005A5F9E">
        <w:rPr>
          <w:rFonts w:cs="Arial"/>
          <w:szCs w:val="20"/>
        </w:rPr>
        <w:t>vrijstellingen in het</w:t>
      </w:r>
      <w:r w:rsidR="009961E2">
        <w:rPr>
          <w:rFonts w:cs="Arial"/>
          <w:szCs w:val="20"/>
        </w:rPr>
        <w:t xml:space="preserve"> kader van export finan</w:t>
      </w:r>
      <w:r w:rsidR="005A5F9E">
        <w:rPr>
          <w:rFonts w:cs="Arial"/>
          <w:szCs w:val="20"/>
        </w:rPr>
        <w:t>ciering</w:t>
      </w:r>
      <w:r w:rsidR="00562385">
        <w:rPr>
          <w:rFonts w:cs="Arial"/>
          <w:szCs w:val="20"/>
        </w:rPr>
        <w:t xml:space="preserve">. </w:t>
      </w:r>
    </w:p>
    <w:p w:rsidR="00525639" w:rsidP="0032717B" w:rsidRDefault="00525639" w14:paraId="0DF07855" w14:textId="77777777">
      <w:pPr>
        <w:ind w:firstLine="0"/>
        <w:rPr>
          <w:b/>
        </w:rPr>
      </w:pPr>
    </w:p>
    <w:p w:rsidR="00AE2B10" w:rsidP="00AE2B10" w:rsidRDefault="00AE2B10" w14:paraId="5D4511CB" w14:textId="77777777">
      <w:pPr>
        <w:pStyle w:val="Kop2"/>
        <w:numPr>
          <w:ilvl w:val="0"/>
          <w:numId w:val="0"/>
        </w:numPr>
        <w:spacing w:before="0" w:after="0"/>
        <w:rPr>
          <w:rFonts w:cs="Arial"/>
          <w:b w:val="0"/>
          <w:bCs w:val="0"/>
          <w:i/>
          <w:szCs w:val="20"/>
        </w:rPr>
      </w:pPr>
      <w:r w:rsidRPr="007F15F8">
        <w:rPr>
          <w:b w:val="0"/>
          <w:i/>
        </w:rPr>
        <w:t>II.</w:t>
      </w:r>
      <w:r>
        <w:rPr>
          <w:rFonts w:cs="Arial"/>
          <w:b w:val="0"/>
          <w:bCs w:val="0"/>
          <w:i/>
          <w:szCs w:val="20"/>
        </w:rPr>
        <w:t>22</w:t>
      </w:r>
      <w:r w:rsidR="003A19C1">
        <w:rPr>
          <w:rFonts w:cs="Arial"/>
          <w:b w:val="0"/>
          <w:bCs w:val="0"/>
          <w:i/>
          <w:szCs w:val="20"/>
        </w:rPr>
        <w:t>.</w:t>
      </w:r>
      <w:r>
        <w:rPr>
          <w:rFonts w:cs="Arial"/>
          <w:b w:val="0"/>
          <w:bCs w:val="0"/>
          <w:i/>
          <w:szCs w:val="20"/>
        </w:rPr>
        <w:t xml:space="preserve"> Dividenden</w:t>
      </w:r>
      <w:r w:rsidRPr="00802848">
        <w:rPr>
          <w:rFonts w:cs="Arial"/>
          <w:b w:val="0"/>
          <w:bCs w:val="0"/>
          <w:i/>
          <w:szCs w:val="20"/>
        </w:rPr>
        <w:t xml:space="preserve"> (artikel </w:t>
      </w:r>
      <w:r>
        <w:rPr>
          <w:rFonts w:cs="Arial"/>
          <w:b w:val="0"/>
          <w:bCs w:val="0"/>
          <w:i/>
          <w:szCs w:val="20"/>
        </w:rPr>
        <w:t>22</w:t>
      </w:r>
      <w:r w:rsidRPr="00802848">
        <w:rPr>
          <w:rFonts w:cs="Arial"/>
          <w:b w:val="0"/>
          <w:bCs w:val="0"/>
          <w:i/>
          <w:szCs w:val="20"/>
        </w:rPr>
        <w:t xml:space="preserve"> van het Wijzigingsprotoco</w:t>
      </w:r>
      <w:r>
        <w:rPr>
          <w:rFonts w:cs="Arial"/>
          <w:b w:val="0"/>
          <w:bCs w:val="0"/>
          <w:i/>
          <w:szCs w:val="20"/>
        </w:rPr>
        <w:t xml:space="preserve">l </w:t>
      </w:r>
      <w:r w:rsidRPr="009A18C4">
        <w:rPr>
          <w:rFonts w:cs="Arial"/>
          <w:b w:val="0"/>
          <w:bCs w:val="0"/>
          <w:i/>
          <w:szCs w:val="20"/>
        </w:rPr>
        <w:t xml:space="preserve">en artikel </w:t>
      </w:r>
      <w:r>
        <w:rPr>
          <w:rFonts w:cs="Arial"/>
          <w:b w:val="0"/>
          <w:bCs w:val="0"/>
          <w:i/>
          <w:szCs w:val="20"/>
        </w:rPr>
        <w:t>VII</w:t>
      </w:r>
      <w:r w:rsidRPr="009A18C4">
        <w:rPr>
          <w:rFonts w:cs="Arial"/>
          <w:b w:val="0"/>
          <w:bCs w:val="0"/>
          <w:i/>
          <w:szCs w:val="20"/>
        </w:rPr>
        <w:t xml:space="preserve"> van het Protocol bij het Verdrag</w:t>
      </w:r>
      <w:r w:rsidRPr="00802848">
        <w:rPr>
          <w:rFonts w:cs="Arial"/>
          <w:b w:val="0"/>
          <w:bCs w:val="0"/>
          <w:i/>
          <w:szCs w:val="20"/>
        </w:rPr>
        <w:t>)</w:t>
      </w:r>
    </w:p>
    <w:p w:rsidR="000368C3" w:rsidP="00AE2B10" w:rsidRDefault="000368C3" w14:paraId="3DC88C70" w14:textId="77777777">
      <w:pPr>
        <w:ind w:firstLine="720"/>
        <w:rPr>
          <w:rFonts w:cs="Arial"/>
          <w:szCs w:val="20"/>
        </w:rPr>
      </w:pPr>
    </w:p>
    <w:p w:rsidR="000368C3" w:rsidP="000368C3" w:rsidRDefault="000368C3" w14:paraId="51C0698C" w14:textId="77777777">
      <w:pPr>
        <w:ind w:firstLine="720"/>
        <w:rPr>
          <w:rFonts w:cs="Arial"/>
          <w:szCs w:val="20"/>
        </w:rPr>
      </w:pPr>
      <w:r>
        <w:rPr>
          <w:rFonts w:cs="Arial"/>
          <w:szCs w:val="20"/>
        </w:rPr>
        <w:t xml:space="preserve">Met artikel 22 van het Wijzigingsprotocol wordt artikel VII van het Protocol bij het Verdrag geschrapt. Nu Polen (sinds 1 mei 2004) lid is van de Europese Unie is er geen behoefte meer aan de in het vervallen artikel VII van het Protocol bij het </w:t>
      </w:r>
      <w:r w:rsidR="000C3E77">
        <w:rPr>
          <w:rFonts w:cs="Arial"/>
          <w:szCs w:val="20"/>
        </w:rPr>
        <w:t>V</w:t>
      </w:r>
      <w:r>
        <w:rPr>
          <w:rFonts w:cs="Arial"/>
          <w:szCs w:val="20"/>
        </w:rPr>
        <w:t>erdrag opgenomen bepaling over de behandeling van deelnemingsdividend vooruitlopend op</w:t>
      </w:r>
      <w:r w:rsidR="00E46C4D">
        <w:rPr>
          <w:rFonts w:cs="Arial"/>
          <w:szCs w:val="20"/>
        </w:rPr>
        <w:t xml:space="preserve"> de</w:t>
      </w:r>
      <w:r>
        <w:rPr>
          <w:rFonts w:cs="Arial"/>
          <w:szCs w:val="20"/>
        </w:rPr>
        <w:t>, destijds</w:t>
      </w:r>
      <w:r w:rsidR="003048ED">
        <w:rPr>
          <w:rFonts w:cs="Arial"/>
          <w:szCs w:val="20"/>
        </w:rPr>
        <w:t xml:space="preserve"> aanstaande</w:t>
      </w:r>
      <w:r>
        <w:rPr>
          <w:rFonts w:cs="Arial"/>
          <w:szCs w:val="20"/>
        </w:rPr>
        <w:t>, toetreding van Polen tot de Europese Unie.</w:t>
      </w:r>
    </w:p>
    <w:p w:rsidR="00AE2B10" w:rsidP="00AE2B10" w:rsidRDefault="00AE2B10" w14:paraId="5D9DF6ED" w14:textId="77777777">
      <w:pPr>
        <w:ind w:firstLine="720"/>
        <w:rPr>
          <w:rFonts w:cs="Arial"/>
          <w:szCs w:val="20"/>
        </w:rPr>
      </w:pPr>
    </w:p>
    <w:p w:rsidR="00691EEC" w:rsidP="00691EEC" w:rsidRDefault="00691EEC" w14:paraId="1016BE7D" w14:textId="0538D710">
      <w:pPr>
        <w:pStyle w:val="Kop2"/>
        <w:numPr>
          <w:ilvl w:val="0"/>
          <w:numId w:val="0"/>
        </w:numPr>
        <w:spacing w:before="0" w:after="0"/>
        <w:rPr>
          <w:rFonts w:cs="Arial"/>
          <w:b w:val="0"/>
          <w:bCs w:val="0"/>
          <w:i/>
          <w:szCs w:val="20"/>
        </w:rPr>
      </w:pPr>
      <w:r>
        <w:rPr>
          <w:rFonts w:cs="Arial"/>
          <w:b w:val="0"/>
          <w:bCs w:val="0"/>
          <w:i/>
          <w:szCs w:val="20"/>
        </w:rPr>
        <w:lastRenderedPageBreak/>
        <w:t>II.</w:t>
      </w:r>
      <w:r w:rsidRPr="00B14B93">
        <w:rPr>
          <w:rFonts w:cs="Arial"/>
          <w:b w:val="0"/>
          <w:bCs w:val="0"/>
          <w:i/>
          <w:szCs w:val="20"/>
        </w:rPr>
        <w:t>23</w:t>
      </w:r>
      <w:r w:rsidRPr="00B14B93" w:rsidR="003A19C1">
        <w:rPr>
          <w:rFonts w:cs="Arial"/>
          <w:b w:val="0"/>
          <w:bCs w:val="0"/>
          <w:i/>
          <w:szCs w:val="20"/>
        </w:rPr>
        <w:t>.</w:t>
      </w:r>
      <w:r w:rsidRPr="00B14B93">
        <w:rPr>
          <w:rFonts w:cs="Arial"/>
          <w:b w:val="0"/>
          <w:bCs w:val="0"/>
          <w:i/>
          <w:szCs w:val="20"/>
        </w:rPr>
        <w:t xml:space="preserve"> </w:t>
      </w:r>
      <w:r w:rsidRPr="00B14B93" w:rsidR="003048ED">
        <w:rPr>
          <w:rFonts w:cs="Arial"/>
          <w:b w:val="0"/>
          <w:bCs w:val="0"/>
          <w:i/>
          <w:szCs w:val="20"/>
        </w:rPr>
        <w:t>Vernummering</w:t>
      </w:r>
      <w:r w:rsidR="003048ED">
        <w:rPr>
          <w:rFonts w:cs="Arial"/>
          <w:b w:val="0"/>
          <w:bCs w:val="0"/>
          <w:i/>
          <w:szCs w:val="20"/>
        </w:rPr>
        <w:t xml:space="preserve"> </w:t>
      </w:r>
      <w:r w:rsidRPr="0041345D" w:rsidR="0041345D">
        <w:rPr>
          <w:rFonts w:cs="Arial"/>
          <w:b w:val="0"/>
          <w:bCs w:val="0"/>
          <w:i/>
          <w:szCs w:val="20"/>
        </w:rPr>
        <w:t xml:space="preserve">artikelen van het Protocol bij het Verdrag </w:t>
      </w:r>
      <w:r w:rsidR="003048ED">
        <w:rPr>
          <w:rFonts w:cs="Arial"/>
          <w:b w:val="0"/>
          <w:bCs w:val="0"/>
          <w:i/>
          <w:szCs w:val="20"/>
        </w:rPr>
        <w:t>(</w:t>
      </w:r>
      <w:r w:rsidR="00D90458">
        <w:rPr>
          <w:rFonts w:cs="Arial"/>
          <w:b w:val="0"/>
          <w:bCs w:val="0"/>
          <w:i/>
          <w:szCs w:val="20"/>
        </w:rPr>
        <w:t>a</w:t>
      </w:r>
      <w:r w:rsidRPr="00802848">
        <w:rPr>
          <w:rFonts w:cs="Arial"/>
          <w:b w:val="0"/>
          <w:bCs w:val="0"/>
          <w:i/>
          <w:szCs w:val="20"/>
        </w:rPr>
        <w:t xml:space="preserve">rtikel </w:t>
      </w:r>
      <w:r>
        <w:rPr>
          <w:rFonts w:cs="Arial"/>
          <w:b w:val="0"/>
          <w:bCs w:val="0"/>
          <w:i/>
          <w:szCs w:val="20"/>
        </w:rPr>
        <w:t>23</w:t>
      </w:r>
      <w:r w:rsidRPr="00802848">
        <w:rPr>
          <w:rFonts w:cs="Arial"/>
          <w:b w:val="0"/>
          <w:bCs w:val="0"/>
          <w:i/>
          <w:szCs w:val="20"/>
        </w:rPr>
        <w:t xml:space="preserve"> van het Wijzigingsprotoco</w:t>
      </w:r>
      <w:r>
        <w:rPr>
          <w:rFonts w:cs="Arial"/>
          <w:b w:val="0"/>
          <w:bCs w:val="0"/>
          <w:i/>
          <w:szCs w:val="20"/>
        </w:rPr>
        <w:t xml:space="preserve">l </w:t>
      </w:r>
      <w:r w:rsidRPr="009A18C4">
        <w:rPr>
          <w:rFonts w:cs="Arial"/>
          <w:b w:val="0"/>
          <w:bCs w:val="0"/>
          <w:i/>
          <w:szCs w:val="20"/>
        </w:rPr>
        <w:t>en artikel</w:t>
      </w:r>
      <w:r>
        <w:rPr>
          <w:rFonts w:cs="Arial"/>
          <w:b w:val="0"/>
          <w:bCs w:val="0"/>
          <w:i/>
          <w:szCs w:val="20"/>
        </w:rPr>
        <w:t>en V</w:t>
      </w:r>
      <w:r w:rsidR="005C4324">
        <w:rPr>
          <w:rFonts w:cs="Arial"/>
          <w:b w:val="0"/>
          <w:bCs w:val="0"/>
          <w:i/>
          <w:szCs w:val="20"/>
        </w:rPr>
        <w:t xml:space="preserve">II en </w:t>
      </w:r>
      <w:r w:rsidR="00E46C4D">
        <w:rPr>
          <w:rFonts w:cs="Arial"/>
          <w:b w:val="0"/>
          <w:bCs w:val="0"/>
          <w:i/>
          <w:szCs w:val="20"/>
        </w:rPr>
        <w:t>VIII</w:t>
      </w:r>
      <w:r w:rsidRPr="009A18C4">
        <w:rPr>
          <w:rFonts w:cs="Arial"/>
          <w:b w:val="0"/>
          <w:bCs w:val="0"/>
          <w:i/>
          <w:szCs w:val="20"/>
        </w:rPr>
        <w:t xml:space="preserve"> </w:t>
      </w:r>
      <w:r w:rsidR="00E46C4D">
        <w:rPr>
          <w:rFonts w:cs="Arial"/>
          <w:b w:val="0"/>
          <w:bCs w:val="0"/>
          <w:i/>
          <w:szCs w:val="20"/>
        </w:rPr>
        <w:t>(nieuw)</w:t>
      </w:r>
      <w:r w:rsidRPr="009A18C4" w:rsidR="00E46C4D">
        <w:rPr>
          <w:rFonts w:cs="Arial"/>
          <w:b w:val="0"/>
          <w:bCs w:val="0"/>
          <w:i/>
          <w:szCs w:val="20"/>
        </w:rPr>
        <w:t xml:space="preserve"> </w:t>
      </w:r>
      <w:r w:rsidRPr="009A18C4">
        <w:rPr>
          <w:rFonts w:cs="Arial"/>
          <w:b w:val="0"/>
          <w:bCs w:val="0"/>
          <w:i/>
          <w:szCs w:val="20"/>
        </w:rPr>
        <w:t>van het Protocol bij het Verdrag</w:t>
      </w:r>
      <w:r w:rsidR="003048ED">
        <w:rPr>
          <w:rFonts w:cs="Arial"/>
          <w:b w:val="0"/>
          <w:bCs w:val="0"/>
          <w:i/>
          <w:szCs w:val="20"/>
        </w:rPr>
        <w:t>)</w:t>
      </w:r>
    </w:p>
    <w:p w:rsidR="00691EEC" w:rsidP="00691EEC" w:rsidRDefault="00691EEC" w14:paraId="53967376" w14:textId="77777777">
      <w:pPr>
        <w:rPr>
          <w:rFonts w:cs="Arial"/>
          <w:szCs w:val="20"/>
        </w:rPr>
      </w:pPr>
    </w:p>
    <w:p w:rsidR="005C4324" w:rsidP="00691EEC" w:rsidRDefault="00691EEC" w14:paraId="4DD85C98" w14:textId="77777777">
      <w:pPr>
        <w:rPr>
          <w:rFonts w:cs="Arial"/>
          <w:szCs w:val="20"/>
        </w:rPr>
      </w:pPr>
      <w:r>
        <w:t xml:space="preserve">Als gevolg van het vervallen van artikel </w:t>
      </w:r>
      <w:r w:rsidR="005C4324">
        <w:t>VI</w:t>
      </w:r>
      <w:r>
        <w:t>I</w:t>
      </w:r>
      <w:r w:rsidRPr="00CC5302">
        <w:t xml:space="preserve"> van het Protocol bij het Verdrag </w:t>
      </w:r>
      <w:r>
        <w:t>worden</w:t>
      </w:r>
      <w:r w:rsidR="003048ED">
        <w:t xml:space="preserve"> met artikel 23 van het Wijzigingsprotocol de</w:t>
      </w:r>
      <w:r>
        <w:t xml:space="preserve"> artikelen </w:t>
      </w:r>
      <w:r>
        <w:rPr>
          <w:rFonts w:cs="Arial"/>
          <w:szCs w:val="20"/>
        </w:rPr>
        <w:t>V</w:t>
      </w:r>
      <w:r w:rsidR="005C4324">
        <w:rPr>
          <w:rFonts w:cs="Arial"/>
          <w:szCs w:val="20"/>
        </w:rPr>
        <w:t>III en IX</w:t>
      </w:r>
      <w:r>
        <w:rPr>
          <w:rFonts w:cs="Arial"/>
          <w:szCs w:val="20"/>
        </w:rPr>
        <w:t xml:space="preserve"> van het Protocol bij het Verdrag </w:t>
      </w:r>
      <w:r>
        <w:t xml:space="preserve">vernummerd tot artikelen </w:t>
      </w:r>
      <w:r>
        <w:rPr>
          <w:rFonts w:cs="Arial"/>
          <w:szCs w:val="20"/>
        </w:rPr>
        <w:t>V</w:t>
      </w:r>
      <w:r w:rsidR="005C4324">
        <w:rPr>
          <w:rFonts w:cs="Arial"/>
          <w:szCs w:val="20"/>
        </w:rPr>
        <w:t>II en VIII.</w:t>
      </w:r>
    </w:p>
    <w:p w:rsidR="00691EEC" w:rsidP="00691EEC" w:rsidRDefault="00691EEC" w14:paraId="00650E30" w14:textId="77777777">
      <w:pPr>
        <w:rPr>
          <w:rFonts w:cs="Arial"/>
          <w:szCs w:val="20"/>
        </w:rPr>
      </w:pPr>
      <w:r>
        <w:rPr>
          <w:rFonts w:cs="Arial"/>
          <w:szCs w:val="20"/>
        </w:rPr>
        <w:t>.</w:t>
      </w:r>
    </w:p>
    <w:p w:rsidR="00525639" w:rsidP="00525639" w:rsidRDefault="00525639" w14:paraId="3FDDE82E" w14:textId="77777777">
      <w:pPr>
        <w:pStyle w:val="Kop2"/>
        <w:numPr>
          <w:ilvl w:val="0"/>
          <w:numId w:val="0"/>
        </w:numPr>
        <w:spacing w:before="0" w:after="0"/>
        <w:rPr>
          <w:rFonts w:cs="Arial"/>
          <w:b w:val="0"/>
          <w:bCs w:val="0"/>
          <w:i/>
          <w:szCs w:val="20"/>
        </w:rPr>
      </w:pPr>
      <w:r w:rsidRPr="007F15F8">
        <w:rPr>
          <w:b w:val="0"/>
          <w:i/>
        </w:rPr>
        <w:t>II.</w:t>
      </w:r>
      <w:r>
        <w:rPr>
          <w:rFonts w:cs="Arial"/>
          <w:b w:val="0"/>
          <w:bCs w:val="0"/>
          <w:i/>
          <w:szCs w:val="20"/>
        </w:rPr>
        <w:t>2</w:t>
      </w:r>
      <w:r w:rsidR="00EC7016">
        <w:rPr>
          <w:rFonts w:cs="Arial"/>
          <w:b w:val="0"/>
          <w:bCs w:val="0"/>
          <w:i/>
          <w:szCs w:val="20"/>
        </w:rPr>
        <w:t>4</w:t>
      </w:r>
      <w:r w:rsidR="00883815">
        <w:rPr>
          <w:rFonts w:cs="Arial"/>
          <w:b w:val="0"/>
          <w:bCs w:val="0"/>
          <w:i/>
          <w:szCs w:val="20"/>
        </w:rPr>
        <w:t xml:space="preserve"> </w:t>
      </w:r>
      <w:r w:rsidRPr="00525639">
        <w:rPr>
          <w:rFonts w:cs="Arial"/>
          <w:b w:val="0"/>
          <w:i/>
          <w:iCs w:val="0"/>
          <w:szCs w:val="20"/>
        </w:rPr>
        <w:t>Pensioenen, lijfrenten</w:t>
      </w:r>
      <w:r>
        <w:rPr>
          <w:rFonts w:cs="Arial"/>
          <w:b w:val="0"/>
          <w:i/>
          <w:iCs w:val="0"/>
          <w:szCs w:val="20"/>
        </w:rPr>
        <w:t xml:space="preserve"> en socialezekerheidsuitkeringen </w:t>
      </w:r>
      <w:r w:rsidRPr="00802848">
        <w:rPr>
          <w:rFonts w:cs="Arial"/>
          <w:b w:val="0"/>
          <w:bCs w:val="0"/>
          <w:i/>
          <w:szCs w:val="20"/>
        </w:rPr>
        <w:t xml:space="preserve">(artikel </w:t>
      </w:r>
      <w:r>
        <w:rPr>
          <w:rFonts w:cs="Arial"/>
          <w:b w:val="0"/>
          <w:bCs w:val="0"/>
          <w:i/>
          <w:szCs w:val="20"/>
        </w:rPr>
        <w:t>2</w:t>
      </w:r>
      <w:r w:rsidR="00EC7016">
        <w:rPr>
          <w:rFonts w:cs="Arial"/>
          <w:b w:val="0"/>
          <w:bCs w:val="0"/>
          <w:i/>
          <w:szCs w:val="20"/>
        </w:rPr>
        <w:t>4</w:t>
      </w:r>
      <w:r w:rsidR="003D74FC">
        <w:rPr>
          <w:rFonts w:cs="Arial"/>
          <w:b w:val="0"/>
          <w:bCs w:val="0"/>
          <w:i/>
          <w:szCs w:val="20"/>
        </w:rPr>
        <w:t xml:space="preserve"> </w:t>
      </w:r>
      <w:r w:rsidRPr="00802848">
        <w:rPr>
          <w:rFonts w:cs="Arial"/>
          <w:b w:val="0"/>
          <w:bCs w:val="0"/>
          <w:i/>
          <w:szCs w:val="20"/>
        </w:rPr>
        <w:t>van het Wijzigingsprotoco</w:t>
      </w:r>
      <w:r>
        <w:rPr>
          <w:rFonts w:cs="Arial"/>
          <w:b w:val="0"/>
          <w:bCs w:val="0"/>
          <w:i/>
          <w:szCs w:val="20"/>
        </w:rPr>
        <w:t>l en artikel X</w:t>
      </w:r>
      <w:r w:rsidRPr="009A18C4">
        <w:rPr>
          <w:rFonts w:cs="Arial"/>
          <w:b w:val="0"/>
          <w:bCs w:val="0"/>
          <w:i/>
          <w:szCs w:val="20"/>
        </w:rPr>
        <w:t xml:space="preserve"> van het Protocol bij het Verdrag</w:t>
      </w:r>
      <w:r w:rsidRPr="00802848">
        <w:rPr>
          <w:rFonts w:cs="Arial"/>
          <w:b w:val="0"/>
          <w:bCs w:val="0"/>
          <w:i/>
          <w:szCs w:val="20"/>
        </w:rPr>
        <w:t>)</w:t>
      </w:r>
    </w:p>
    <w:p w:rsidR="00F47ABE" w:rsidP="00883815" w:rsidRDefault="00F47ABE" w14:paraId="3F211503" w14:textId="77777777">
      <w:pPr>
        <w:ind w:firstLine="720"/>
        <w:rPr>
          <w:rFonts w:cs="Arial"/>
          <w:szCs w:val="20"/>
        </w:rPr>
      </w:pPr>
    </w:p>
    <w:p w:rsidRPr="001D56B8" w:rsidR="00F47ABE" w:rsidP="001D56B8" w:rsidRDefault="00525639" w14:paraId="732FF651" w14:textId="77777777">
      <w:pPr>
        <w:ind w:firstLine="720"/>
      </w:pPr>
      <w:r w:rsidRPr="00CC5302">
        <w:rPr>
          <w:rFonts w:cs="Arial"/>
          <w:szCs w:val="20"/>
        </w:rPr>
        <w:t>Met het nieuwe artikel 18 van het Verdrag</w:t>
      </w:r>
      <w:r w:rsidR="00CC451E">
        <w:rPr>
          <w:rFonts w:cs="Arial"/>
          <w:szCs w:val="20"/>
        </w:rPr>
        <w:t>,</w:t>
      </w:r>
      <w:r w:rsidRPr="00CC5302">
        <w:rPr>
          <w:rFonts w:cs="Arial"/>
          <w:szCs w:val="20"/>
        </w:rPr>
        <w:t xml:space="preserve"> waarin </w:t>
      </w:r>
      <w:r w:rsidR="00752209">
        <w:rPr>
          <w:rFonts w:cs="Arial"/>
          <w:szCs w:val="20"/>
        </w:rPr>
        <w:t xml:space="preserve">een </w:t>
      </w:r>
      <w:r w:rsidRPr="00CC5302">
        <w:rPr>
          <w:rFonts w:cs="Arial"/>
          <w:szCs w:val="20"/>
        </w:rPr>
        <w:t xml:space="preserve">volledige </w:t>
      </w:r>
      <w:r w:rsidR="00AF5AA8">
        <w:rPr>
          <w:rFonts w:cs="Arial"/>
          <w:szCs w:val="20"/>
        </w:rPr>
        <w:t>bron</w:t>
      </w:r>
      <w:r w:rsidRPr="00CC5302">
        <w:rPr>
          <w:rFonts w:cs="Arial"/>
          <w:szCs w:val="20"/>
        </w:rPr>
        <w:t>staatheffing voor</w:t>
      </w:r>
      <w:r w:rsidR="003552F6">
        <w:rPr>
          <w:rFonts w:cs="Arial"/>
          <w:szCs w:val="20"/>
        </w:rPr>
        <w:t xml:space="preserve"> de daarin bedoelde (</w:t>
      </w:r>
      <w:r w:rsidRPr="00CC5302">
        <w:rPr>
          <w:rFonts w:cs="Arial"/>
          <w:szCs w:val="20"/>
        </w:rPr>
        <w:t>pensioen</w:t>
      </w:r>
      <w:r w:rsidR="003552F6">
        <w:rPr>
          <w:rFonts w:cs="Arial"/>
          <w:szCs w:val="20"/>
        </w:rPr>
        <w:t xml:space="preserve">)uitkeringen </w:t>
      </w:r>
      <w:r w:rsidRPr="00CC5302">
        <w:rPr>
          <w:rFonts w:cs="Arial"/>
          <w:szCs w:val="20"/>
        </w:rPr>
        <w:t>is overeengekomen</w:t>
      </w:r>
      <w:r w:rsidR="00CC451E">
        <w:rPr>
          <w:rFonts w:cs="Arial"/>
          <w:szCs w:val="20"/>
        </w:rPr>
        <w:t>,</w:t>
      </w:r>
      <w:r w:rsidRPr="00CC5302">
        <w:rPr>
          <w:rFonts w:cs="Arial"/>
          <w:szCs w:val="20"/>
        </w:rPr>
        <w:t xml:space="preserve"> is er geen behoefte meer aan artikel X</w:t>
      </w:r>
      <w:r w:rsidRPr="00CC5302">
        <w:rPr>
          <w:szCs w:val="28"/>
        </w:rPr>
        <w:t xml:space="preserve"> van het Protocol bij het Verdrag</w:t>
      </w:r>
      <w:r w:rsidRPr="00CC5302">
        <w:t xml:space="preserve"> </w:t>
      </w:r>
      <w:r w:rsidR="003552F6">
        <w:t>dat een indexatiemogelijkheid bevatte voor het in het vervangen artikel 18 opgenomen drempelbedrag</w:t>
      </w:r>
      <w:r w:rsidRPr="00CC5302">
        <w:t xml:space="preserve">. Met artikel </w:t>
      </w:r>
      <w:r w:rsidR="0032610F">
        <w:t>2</w:t>
      </w:r>
      <w:r w:rsidR="000C3E77">
        <w:t>4</w:t>
      </w:r>
      <w:r w:rsidRPr="00CC5302">
        <w:t xml:space="preserve"> van het Wijzigingsprotocol wordt artikel X van het Protocol bij het Verdrag daarom geschrapt</w:t>
      </w:r>
      <w:r w:rsidR="00883815">
        <w:t>.</w:t>
      </w:r>
      <w:r w:rsidR="003D74FC">
        <w:t xml:space="preserve"> </w:t>
      </w:r>
    </w:p>
    <w:p w:rsidR="003D74FC" w:rsidP="003D74FC" w:rsidRDefault="00883815" w14:paraId="120986A7" w14:textId="77777777">
      <w:pPr>
        <w:pStyle w:val="Kop2"/>
        <w:numPr>
          <w:ilvl w:val="0"/>
          <w:numId w:val="0"/>
        </w:numPr>
        <w:rPr>
          <w:rFonts w:cs="Arial"/>
          <w:b w:val="0"/>
          <w:bCs w:val="0"/>
          <w:i/>
          <w:szCs w:val="20"/>
        </w:rPr>
      </w:pPr>
      <w:r w:rsidRPr="00883815">
        <w:rPr>
          <w:b w:val="0"/>
          <w:i/>
        </w:rPr>
        <w:t>II.</w:t>
      </w:r>
      <w:r w:rsidRPr="00883815">
        <w:rPr>
          <w:rFonts w:cs="Arial"/>
          <w:b w:val="0"/>
          <w:bCs w:val="0"/>
          <w:i/>
          <w:szCs w:val="20"/>
        </w:rPr>
        <w:t>2</w:t>
      </w:r>
      <w:r w:rsidR="00EC7016">
        <w:rPr>
          <w:rFonts w:cs="Arial"/>
          <w:b w:val="0"/>
          <w:bCs w:val="0"/>
          <w:i/>
          <w:szCs w:val="20"/>
        </w:rPr>
        <w:t>5</w:t>
      </w:r>
      <w:r w:rsidR="003A19C1">
        <w:rPr>
          <w:rFonts w:cs="Arial"/>
          <w:b w:val="0"/>
          <w:bCs w:val="0"/>
          <w:i/>
          <w:szCs w:val="20"/>
        </w:rPr>
        <w:t>.</w:t>
      </w:r>
      <w:r>
        <w:rPr>
          <w:rFonts w:cs="Arial"/>
          <w:b w:val="0"/>
          <w:bCs w:val="0"/>
          <w:i/>
          <w:szCs w:val="20"/>
        </w:rPr>
        <w:t xml:space="preserve"> </w:t>
      </w:r>
      <w:r w:rsidR="00B14B93">
        <w:rPr>
          <w:rFonts w:cs="Arial"/>
          <w:b w:val="0"/>
          <w:bCs w:val="0"/>
          <w:i/>
          <w:szCs w:val="20"/>
        </w:rPr>
        <w:t>Vernummering</w:t>
      </w:r>
      <w:r w:rsidR="00070073">
        <w:rPr>
          <w:rFonts w:cs="Arial"/>
          <w:b w:val="0"/>
          <w:bCs w:val="0"/>
          <w:i/>
          <w:szCs w:val="20"/>
        </w:rPr>
        <w:t xml:space="preserve"> </w:t>
      </w:r>
      <w:r w:rsidRPr="0041345D" w:rsidR="0041345D">
        <w:rPr>
          <w:rFonts w:cs="Arial"/>
          <w:b w:val="0"/>
          <w:bCs w:val="0"/>
          <w:i/>
          <w:szCs w:val="20"/>
        </w:rPr>
        <w:t xml:space="preserve">artikelen van het Protocol bij het Verdrag </w:t>
      </w:r>
      <w:r w:rsidR="00070073">
        <w:rPr>
          <w:rFonts w:cs="Arial"/>
          <w:b w:val="0"/>
          <w:bCs w:val="0"/>
          <w:i/>
          <w:szCs w:val="20"/>
        </w:rPr>
        <w:t>(a</w:t>
      </w:r>
      <w:r w:rsidRPr="00802848">
        <w:rPr>
          <w:rFonts w:cs="Arial"/>
          <w:b w:val="0"/>
          <w:bCs w:val="0"/>
          <w:i/>
          <w:szCs w:val="20"/>
        </w:rPr>
        <w:t xml:space="preserve">rtikel </w:t>
      </w:r>
      <w:r>
        <w:rPr>
          <w:rFonts w:cs="Arial"/>
          <w:b w:val="0"/>
          <w:bCs w:val="0"/>
          <w:i/>
          <w:szCs w:val="20"/>
        </w:rPr>
        <w:t>2</w:t>
      </w:r>
      <w:r w:rsidR="004145A3">
        <w:rPr>
          <w:rFonts w:cs="Arial"/>
          <w:b w:val="0"/>
          <w:bCs w:val="0"/>
          <w:i/>
          <w:szCs w:val="20"/>
        </w:rPr>
        <w:t>5</w:t>
      </w:r>
      <w:r>
        <w:rPr>
          <w:rFonts w:cs="Arial"/>
          <w:b w:val="0"/>
          <w:bCs w:val="0"/>
          <w:i/>
          <w:szCs w:val="20"/>
        </w:rPr>
        <w:t xml:space="preserve"> </w:t>
      </w:r>
      <w:r w:rsidRPr="00802848">
        <w:rPr>
          <w:rFonts w:cs="Arial"/>
          <w:b w:val="0"/>
          <w:bCs w:val="0"/>
          <w:i/>
          <w:szCs w:val="20"/>
        </w:rPr>
        <w:t>van het Wijzigingsprotoco</w:t>
      </w:r>
      <w:r>
        <w:rPr>
          <w:rFonts w:cs="Arial"/>
          <w:b w:val="0"/>
          <w:bCs w:val="0"/>
          <w:i/>
          <w:szCs w:val="20"/>
        </w:rPr>
        <w:t xml:space="preserve">l en artikel </w:t>
      </w:r>
      <w:r w:rsidR="00E46C4D">
        <w:rPr>
          <w:rFonts w:cs="Arial"/>
          <w:b w:val="0"/>
          <w:bCs w:val="0"/>
          <w:i/>
          <w:szCs w:val="20"/>
        </w:rPr>
        <w:t>I</w:t>
      </w:r>
      <w:r>
        <w:rPr>
          <w:rFonts w:cs="Arial"/>
          <w:b w:val="0"/>
          <w:bCs w:val="0"/>
          <w:i/>
          <w:szCs w:val="20"/>
        </w:rPr>
        <w:t>X</w:t>
      </w:r>
      <w:r w:rsidR="00E46C4D">
        <w:rPr>
          <w:rFonts w:cs="Arial"/>
          <w:b w:val="0"/>
          <w:bCs w:val="0"/>
          <w:i/>
          <w:szCs w:val="20"/>
        </w:rPr>
        <w:t xml:space="preserve"> (nieuw)</w:t>
      </w:r>
      <w:r>
        <w:rPr>
          <w:rFonts w:cs="Arial"/>
          <w:b w:val="0"/>
          <w:bCs w:val="0"/>
          <w:i/>
          <w:szCs w:val="20"/>
        </w:rPr>
        <w:t xml:space="preserve"> </w:t>
      </w:r>
      <w:r w:rsidRPr="009A18C4">
        <w:rPr>
          <w:rFonts w:cs="Arial"/>
          <w:b w:val="0"/>
          <w:bCs w:val="0"/>
          <w:i/>
          <w:szCs w:val="20"/>
        </w:rPr>
        <w:t>van het Protocol bij het Verdrag</w:t>
      </w:r>
      <w:r w:rsidR="00070073">
        <w:rPr>
          <w:rFonts w:cs="Arial"/>
          <w:b w:val="0"/>
          <w:bCs w:val="0"/>
          <w:i/>
          <w:szCs w:val="20"/>
        </w:rPr>
        <w:t>)</w:t>
      </w:r>
    </w:p>
    <w:p w:rsidR="00F47ABE" w:rsidP="00883815" w:rsidRDefault="00F47ABE" w14:paraId="127F66A6" w14:textId="77777777"/>
    <w:p w:rsidRPr="00883815" w:rsidR="00883815" w:rsidP="00DC09C7" w:rsidRDefault="00883815" w14:paraId="3C91A7B3" w14:textId="2940AE8E">
      <w:r>
        <w:t xml:space="preserve">Als gevolg van het vervallen van artikel </w:t>
      </w:r>
      <w:r w:rsidRPr="00CC5302">
        <w:t xml:space="preserve">X van het Protocol bij het Verdrag </w:t>
      </w:r>
      <w:r>
        <w:t xml:space="preserve">wordt </w:t>
      </w:r>
      <w:r w:rsidR="00B14B93">
        <w:t xml:space="preserve">met artikel 25 van het Wijzigingsprotocol </w:t>
      </w:r>
      <w:r>
        <w:t>artikel XI van het Protocol bij het Verdrag vernummer</w:t>
      </w:r>
      <w:r w:rsidR="00AF5AA8">
        <w:t>d</w:t>
      </w:r>
      <w:r>
        <w:t xml:space="preserve"> tot </w:t>
      </w:r>
      <w:r w:rsidR="007F1F6D">
        <w:t>a</w:t>
      </w:r>
      <w:r>
        <w:t xml:space="preserve">rtikel </w:t>
      </w:r>
      <w:r w:rsidR="004145A3">
        <w:t>I</w:t>
      </w:r>
      <w:r>
        <w:t>X.</w:t>
      </w:r>
      <w:r w:rsidR="00DC09C7">
        <w:br/>
      </w:r>
    </w:p>
    <w:p w:rsidR="00525639" w:rsidP="00525639" w:rsidRDefault="00525639" w14:paraId="3ADB5D1D" w14:textId="77777777">
      <w:pPr>
        <w:pStyle w:val="Kop2"/>
        <w:numPr>
          <w:ilvl w:val="0"/>
          <w:numId w:val="0"/>
        </w:numPr>
        <w:spacing w:before="0" w:after="0"/>
        <w:rPr>
          <w:rFonts w:cs="Arial"/>
          <w:b w:val="0"/>
          <w:bCs w:val="0"/>
          <w:i/>
          <w:szCs w:val="20"/>
        </w:rPr>
      </w:pPr>
      <w:r w:rsidRPr="007F15F8">
        <w:rPr>
          <w:b w:val="0"/>
          <w:i/>
        </w:rPr>
        <w:t>II.</w:t>
      </w:r>
      <w:r w:rsidR="00883815">
        <w:rPr>
          <w:rFonts w:cs="Arial"/>
          <w:b w:val="0"/>
          <w:bCs w:val="0"/>
          <w:i/>
          <w:szCs w:val="20"/>
        </w:rPr>
        <w:t>2</w:t>
      </w:r>
      <w:r w:rsidR="00EC7016">
        <w:rPr>
          <w:rFonts w:cs="Arial"/>
          <w:b w:val="0"/>
          <w:bCs w:val="0"/>
          <w:i/>
          <w:szCs w:val="20"/>
        </w:rPr>
        <w:t>6</w:t>
      </w:r>
      <w:r w:rsidR="003A19C1">
        <w:rPr>
          <w:rFonts w:cs="Arial"/>
          <w:b w:val="0"/>
          <w:bCs w:val="0"/>
          <w:i/>
          <w:szCs w:val="20"/>
        </w:rPr>
        <w:t>.</w:t>
      </w:r>
      <w:r w:rsidR="00883815">
        <w:rPr>
          <w:rFonts w:cs="Arial"/>
          <w:b w:val="0"/>
          <w:bCs w:val="0"/>
          <w:i/>
          <w:szCs w:val="20"/>
        </w:rPr>
        <w:t xml:space="preserve"> </w:t>
      </w:r>
      <w:r w:rsidRPr="00883815" w:rsidR="00883815">
        <w:rPr>
          <w:rFonts w:cs="Arial"/>
          <w:b w:val="0"/>
          <w:i/>
          <w:szCs w:val="20"/>
        </w:rPr>
        <w:t>Uitwisseling van informatie</w:t>
      </w:r>
      <w:r w:rsidRPr="00883815" w:rsidR="00883815">
        <w:rPr>
          <w:rFonts w:cs="Arial"/>
          <w:i/>
          <w:szCs w:val="20"/>
        </w:rPr>
        <w:t xml:space="preserve"> </w:t>
      </w:r>
      <w:r w:rsidRPr="00802848">
        <w:rPr>
          <w:rFonts w:cs="Arial"/>
          <w:b w:val="0"/>
          <w:bCs w:val="0"/>
          <w:i/>
          <w:szCs w:val="20"/>
        </w:rPr>
        <w:t xml:space="preserve">(artikel </w:t>
      </w:r>
      <w:r w:rsidR="00070073">
        <w:rPr>
          <w:rFonts w:cs="Arial"/>
          <w:b w:val="0"/>
          <w:bCs w:val="0"/>
          <w:i/>
          <w:szCs w:val="20"/>
        </w:rPr>
        <w:t>2</w:t>
      </w:r>
      <w:r w:rsidR="00EC7016">
        <w:rPr>
          <w:rFonts w:cs="Arial"/>
          <w:b w:val="0"/>
          <w:bCs w:val="0"/>
          <w:i/>
          <w:szCs w:val="20"/>
        </w:rPr>
        <w:t>6</w:t>
      </w:r>
      <w:r w:rsidR="00070073">
        <w:rPr>
          <w:rFonts w:cs="Arial"/>
          <w:b w:val="0"/>
          <w:bCs w:val="0"/>
          <w:i/>
          <w:szCs w:val="20"/>
        </w:rPr>
        <w:t xml:space="preserve"> van het Wijzigingsprotocol en artikel X</w:t>
      </w:r>
      <w:r w:rsidR="00CB176F">
        <w:rPr>
          <w:rFonts w:cs="Arial"/>
          <w:b w:val="0"/>
          <w:bCs w:val="0"/>
          <w:i/>
          <w:szCs w:val="20"/>
        </w:rPr>
        <w:t xml:space="preserve"> (nieuw)</w:t>
      </w:r>
      <w:r w:rsidR="00070073">
        <w:rPr>
          <w:rFonts w:cs="Arial"/>
          <w:b w:val="0"/>
          <w:bCs w:val="0"/>
          <w:i/>
          <w:szCs w:val="20"/>
        </w:rPr>
        <w:t xml:space="preserve"> </w:t>
      </w:r>
      <w:r w:rsidRPr="009A18C4" w:rsidR="00070073">
        <w:rPr>
          <w:rFonts w:cs="Arial"/>
          <w:b w:val="0"/>
          <w:bCs w:val="0"/>
          <w:i/>
          <w:szCs w:val="20"/>
        </w:rPr>
        <w:t>van het Protocol bij het Verdrag</w:t>
      </w:r>
      <w:r w:rsidR="00070073">
        <w:rPr>
          <w:rFonts w:cs="Arial"/>
          <w:b w:val="0"/>
          <w:bCs w:val="0"/>
          <w:i/>
          <w:szCs w:val="20"/>
        </w:rPr>
        <w:t>)</w:t>
      </w:r>
    </w:p>
    <w:p w:rsidR="00F47ABE" w:rsidP="003D74FC" w:rsidRDefault="00F47ABE" w14:paraId="0C8FE845" w14:textId="77777777">
      <w:pPr>
        <w:ind w:firstLine="0"/>
      </w:pPr>
    </w:p>
    <w:p w:rsidRPr="00F47ABE" w:rsidR="00F47ABE" w:rsidP="00DC09C7" w:rsidRDefault="00EF663B" w14:paraId="07CE6487" w14:textId="77777777">
      <w:pPr>
        <w:ind w:firstLine="720"/>
      </w:pPr>
      <w:r>
        <w:rPr>
          <w:rFonts w:cs="Arial"/>
          <w:szCs w:val="20"/>
        </w:rPr>
        <w:t xml:space="preserve">Met </w:t>
      </w:r>
      <w:r w:rsidRPr="00F47ABE" w:rsidR="003D74FC">
        <w:t xml:space="preserve">artikel </w:t>
      </w:r>
      <w:r w:rsidRPr="00F47ABE" w:rsidR="00070073">
        <w:t>2</w:t>
      </w:r>
      <w:r w:rsidR="00EC7016">
        <w:t>6</w:t>
      </w:r>
      <w:r w:rsidRPr="00F47ABE" w:rsidR="003D74FC">
        <w:t xml:space="preserve"> van het Wijzigingsprotocol </w:t>
      </w:r>
      <w:r>
        <w:t xml:space="preserve">wordt in </w:t>
      </w:r>
      <w:r w:rsidR="00752209">
        <w:t xml:space="preserve">artikel X van </w:t>
      </w:r>
      <w:r>
        <w:t xml:space="preserve">het Protocol bij het Verdrag </w:t>
      </w:r>
      <w:r w:rsidR="008F53D9">
        <w:t xml:space="preserve">een </w:t>
      </w:r>
      <w:r w:rsidRPr="00F47ABE" w:rsidR="003D74FC">
        <w:t xml:space="preserve">bepaling opgenomen </w:t>
      </w:r>
      <w:r w:rsidR="00752209">
        <w:t xml:space="preserve">waarmee wordt verduidelijkt dat </w:t>
      </w:r>
      <w:r w:rsidR="001575C7">
        <w:t xml:space="preserve">de </w:t>
      </w:r>
      <w:r w:rsidR="003D3B61">
        <w:t xml:space="preserve">geheimhoudingsplicht </w:t>
      </w:r>
      <w:r w:rsidR="001575C7">
        <w:t xml:space="preserve">in </w:t>
      </w:r>
      <w:r w:rsidR="003D3B61">
        <w:t xml:space="preserve">de zin van artikel 27, tweede lid, van het Verdrag, met betrekking tot de uitwisseling van informatie ook geldt voor </w:t>
      </w:r>
      <w:r w:rsidRPr="00F47ABE" w:rsidR="003D74FC">
        <w:rPr>
          <w:rFonts w:cs="Arial"/>
          <w:szCs w:val="20"/>
        </w:rPr>
        <w:t>de arbiter</w:t>
      </w:r>
      <w:r w:rsidR="0047130D">
        <w:rPr>
          <w:rFonts w:cs="Arial"/>
          <w:szCs w:val="20"/>
        </w:rPr>
        <w:t>s</w:t>
      </w:r>
      <w:r w:rsidR="003D3B61">
        <w:rPr>
          <w:rFonts w:cs="Arial"/>
          <w:szCs w:val="20"/>
        </w:rPr>
        <w:t xml:space="preserve"> die betrokken zijn bij een arbitr</w:t>
      </w:r>
      <w:r w:rsidR="00740879">
        <w:rPr>
          <w:rFonts w:cs="Arial"/>
          <w:szCs w:val="20"/>
        </w:rPr>
        <w:t>a</w:t>
      </w:r>
      <w:r w:rsidR="003D3B61">
        <w:rPr>
          <w:rFonts w:cs="Arial"/>
          <w:szCs w:val="20"/>
        </w:rPr>
        <w:t>geprocedure op de voet van artikel 26, vijfde lid, van het Verdrag.</w:t>
      </w:r>
      <w:r w:rsidR="00DC09C7">
        <w:rPr>
          <w:rFonts w:cs="Arial"/>
          <w:szCs w:val="20"/>
        </w:rPr>
        <w:br/>
      </w:r>
    </w:p>
    <w:p w:rsidR="00525639" w:rsidP="00525639" w:rsidRDefault="00525639" w14:paraId="13F35122" w14:textId="77777777">
      <w:pPr>
        <w:pStyle w:val="Kop2"/>
        <w:numPr>
          <w:ilvl w:val="0"/>
          <w:numId w:val="0"/>
        </w:numPr>
        <w:spacing w:before="0" w:after="0"/>
        <w:rPr>
          <w:rFonts w:cs="Arial"/>
          <w:b w:val="0"/>
          <w:bCs w:val="0"/>
          <w:i/>
          <w:szCs w:val="20"/>
        </w:rPr>
      </w:pPr>
      <w:r w:rsidRPr="007F15F8">
        <w:rPr>
          <w:b w:val="0"/>
          <w:i/>
        </w:rPr>
        <w:t>II</w:t>
      </w:r>
      <w:r>
        <w:rPr>
          <w:b w:val="0"/>
          <w:i/>
        </w:rPr>
        <w:t>.</w:t>
      </w:r>
      <w:r w:rsidR="00070073">
        <w:rPr>
          <w:rFonts w:cs="Arial"/>
          <w:b w:val="0"/>
          <w:bCs w:val="0"/>
          <w:i/>
          <w:szCs w:val="20"/>
        </w:rPr>
        <w:t>2</w:t>
      </w:r>
      <w:r w:rsidR="00EC7016">
        <w:rPr>
          <w:rFonts w:cs="Arial"/>
          <w:b w:val="0"/>
          <w:bCs w:val="0"/>
          <w:i/>
          <w:szCs w:val="20"/>
        </w:rPr>
        <w:t>7</w:t>
      </w:r>
      <w:r w:rsidR="003A19C1">
        <w:rPr>
          <w:rFonts w:cs="Arial"/>
          <w:b w:val="0"/>
          <w:bCs w:val="0"/>
          <w:i/>
          <w:szCs w:val="20"/>
        </w:rPr>
        <w:t>.</w:t>
      </w:r>
      <w:r w:rsidR="00070073">
        <w:rPr>
          <w:rFonts w:cs="Arial"/>
          <w:b w:val="0"/>
          <w:bCs w:val="0"/>
          <w:i/>
          <w:szCs w:val="20"/>
        </w:rPr>
        <w:t xml:space="preserve"> </w:t>
      </w:r>
      <w:r w:rsidRPr="00883815" w:rsidR="00070073">
        <w:rPr>
          <w:rFonts w:cs="Arial"/>
          <w:b w:val="0"/>
          <w:i/>
          <w:szCs w:val="20"/>
        </w:rPr>
        <w:t>Uitwisseling van informatie</w:t>
      </w:r>
      <w:r w:rsidRPr="00883815" w:rsidR="00070073">
        <w:rPr>
          <w:rFonts w:cs="Arial"/>
          <w:i/>
          <w:szCs w:val="20"/>
        </w:rPr>
        <w:t xml:space="preserve"> </w:t>
      </w:r>
      <w:r w:rsidRPr="00070073" w:rsidR="00070073">
        <w:rPr>
          <w:rFonts w:cs="Arial"/>
          <w:b w:val="0"/>
          <w:i/>
          <w:szCs w:val="20"/>
        </w:rPr>
        <w:t>en bijstand bij de invordering van belastingen</w:t>
      </w:r>
      <w:r w:rsidRPr="00070073" w:rsidR="00070073">
        <w:rPr>
          <w:rFonts w:cs="Arial"/>
          <w:i/>
          <w:szCs w:val="20"/>
        </w:rPr>
        <w:t xml:space="preserve"> </w:t>
      </w:r>
      <w:r w:rsidRPr="00802848">
        <w:rPr>
          <w:rFonts w:cs="Arial"/>
          <w:b w:val="0"/>
          <w:bCs w:val="0"/>
          <w:i/>
          <w:szCs w:val="20"/>
        </w:rPr>
        <w:t xml:space="preserve">(artikel </w:t>
      </w:r>
      <w:r w:rsidR="00070073">
        <w:rPr>
          <w:rFonts w:cs="Arial"/>
          <w:b w:val="0"/>
          <w:bCs w:val="0"/>
          <w:i/>
          <w:szCs w:val="20"/>
        </w:rPr>
        <w:t>2</w:t>
      </w:r>
      <w:r w:rsidR="00EC7016">
        <w:rPr>
          <w:rFonts w:cs="Arial"/>
          <w:b w:val="0"/>
          <w:bCs w:val="0"/>
          <w:i/>
          <w:szCs w:val="20"/>
        </w:rPr>
        <w:t>7</w:t>
      </w:r>
      <w:r w:rsidRPr="00802848">
        <w:rPr>
          <w:rFonts w:cs="Arial"/>
          <w:b w:val="0"/>
          <w:bCs w:val="0"/>
          <w:i/>
          <w:szCs w:val="20"/>
        </w:rPr>
        <w:t xml:space="preserve"> van het Wijzigingsprotoco</w:t>
      </w:r>
      <w:r>
        <w:rPr>
          <w:rFonts w:cs="Arial"/>
          <w:b w:val="0"/>
          <w:bCs w:val="0"/>
          <w:i/>
          <w:szCs w:val="20"/>
        </w:rPr>
        <w:t xml:space="preserve">l </w:t>
      </w:r>
      <w:r w:rsidRPr="009A18C4">
        <w:rPr>
          <w:rFonts w:cs="Arial"/>
          <w:b w:val="0"/>
          <w:bCs w:val="0"/>
          <w:i/>
          <w:szCs w:val="20"/>
        </w:rPr>
        <w:t xml:space="preserve">en artikel </w:t>
      </w:r>
      <w:r w:rsidR="00F47ABE">
        <w:rPr>
          <w:rFonts w:cs="Arial"/>
          <w:b w:val="0"/>
          <w:bCs w:val="0"/>
          <w:i/>
          <w:szCs w:val="20"/>
        </w:rPr>
        <w:t>XI</w:t>
      </w:r>
      <w:r w:rsidR="00CB176F">
        <w:rPr>
          <w:rFonts w:cs="Arial"/>
          <w:b w:val="0"/>
          <w:bCs w:val="0"/>
          <w:i/>
          <w:szCs w:val="20"/>
        </w:rPr>
        <w:t xml:space="preserve"> (nieuw)</w:t>
      </w:r>
      <w:r w:rsidR="00070073">
        <w:rPr>
          <w:rFonts w:cs="Arial"/>
          <w:b w:val="0"/>
          <w:bCs w:val="0"/>
          <w:i/>
          <w:szCs w:val="20"/>
        </w:rPr>
        <w:t xml:space="preserve"> </w:t>
      </w:r>
      <w:r w:rsidRPr="009A18C4">
        <w:rPr>
          <w:rFonts w:cs="Arial"/>
          <w:b w:val="0"/>
          <w:bCs w:val="0"/>
          <w:i/>
          <w:szCs w:val="20"/>
        </w:rPr>
        <w:t>van het Protocol bij het Verdrag</w:t>
      </w:r>
      <w:r w:rsidRPr="00802848">
        <w:rPr>
          <w:rFonts w:cs="Arial"/>
          <w:b w:val="0"/>
          <w:bCs w:val="0"/>
          <w:i/>
          <w:szCs w:val="20"/>
        </w:rPr>
        <w:t>)</w:t>
      </w:r>
    </w:p>
    <w:p w:rsidR="00F47ABE" w:rsidP="003D74FC" w:rsidRDefault="00F47ABE" w14:paraId="787C40C4" w14:textId="77777777">
      <w:pPr>
        <w:ind w:firstLine="720"/>
        <w:rPr>
          <w:rFonts w:cs="Arial"/>
          <w:szCs w:val="20"/>
        </w:rPr>
      </w:pPr>
    </w:p>
    <w:p w:rsidRPr="00BB01C4" w:rsidR="003D74FC" w:rsidP="003D74FC" w:rsidRDefault="00F47ABE" w14:paraId="51CDA0FA" w14:textId="317533C3">
      <w:pPr>
        <w:ind w:firstLine="720"/>
        <w:rPr>
          <w:rFonts w:cs="Arial"/>
          <w:szCs w:val="20"/>
          <w:highlight w:val="yellow"/>
        </w:rPr>
      </w:pPr>
      <w:r>
        <w:rPr>
          <w:rFonts w:cs="Arial"/>
          <w:szCs w:val="20"/>
        </w:rPr>
        <w:t>Met artikel 2</w:t>
      </w:r>
      <w:r w:rsidR="004145A3">
        <w:rPr>
          <w:rFonts w:cs="Arial"/>
          <w:szCs w:val="20"/>
        </w:rPr>
        <w:t>7</w:t>
      </w:r>
      <w:r>
        <w:rPr>
          <w:rFonts w:cs="Arial"/>
          <w:szCs w:val="20"/>
        </w:rPr>
        <w:t xml:space="preserve"> van het Wijzigingsprotocol is </w:t>
      </w:r>
      <w:r w:rsidRPr="00F47ABE" w:rsidR="003D74FC">
        <w:rPr>
          <w:rFonts w:cs="Arial"/>
          <w:szCs w:val="20"/>
        </w:rPr>
        <w:t>op verzoek van Ned</w:t>
      </w:r>
      <w:r>
        <w:rPr>
          <w:rFonts w:cs="Arial"/>
          <w:szCs w:val="20"/>
        </w:rPr>
        <w:t>erland, in een nieuw artikel XI</w:t>
      </w:r>
      <w:r w:rsidRPr="00F47ABE" w:rsidR="003D74FC">
        <w:rPr>
          <w:rFonts w:cs="Arial"/>
          <w:szCs w:val="20"/>
        </w:rPr>
        <w:t xml:space="preserve"> van het Protocol bij het Verdrag</w:t>
      </w:r>
      <w:r w:rsidR="00950AEB">
        <w:rPr>
          <w:rFonts w:cs="Arial"/>
          <w:szCs w:val="20"/>
        </w:rPr>
        <w:t>,</w:t>
      </w:r>
      <w:r w:rsidRPr="00F47ABE" w:rsidR="003D74FC">
        <w:rPr>
          <w:rFonts w:cs="Arial"/>
          <w:szCs w:val="20"/>
        </w:rPr>
        <w:t xml:space="preserve"> vastgelegd dat de bepalingen over de uitwisseling van informatie en de bijstand bij invordering eveneens van toepassing zijn op de Nederlandse inkomens</w:t>
      </w:r>
      <w:r w:rsidR="00635253">
        <w:rPr>
          <w:rFonts w:cs="Arial"/>
          <w:szCs w:val="20"/>
        </w:rPr>
        <w:t>gerelateerde</w:t>
      </w:r>
      <w:r w:rsidRPr="00F47ABE" w:rsidR="003D74FC">
        <w:rPr>
          <w:rFonts w:cs="Arial"/>
          <w:szCs w:val="20"/>
        </w:rPr>
        <w:t xml:space="preserve"> </w:t>
      </w:r>
      <w:r w:rsidR="00EF396C">
        <w:rPr>
          <w:rFonts w:cs="Arial"/>
          <w:szCs w:val="20"/>
        </w:rPr>
        <w:t>voorschriften</w:t>
      </w:r>
      <w:r w:rsidR="00780B10">
        <w:rPr>
          <w:rFonts w:cs="Arial"/>
          <w:szCs w:val="20"/>
        </w:rPr>
        <w:t xml:space="preserve"> </w:t>
      </w:r>
      <w:r w:rsidRPr="00F47ABE" w:rsidR="003D74FC">
        <w:rPr>
          <w:rFonts w:cs="Arial"/>
          <w:szCs w:val="20"/>
        </w:rPr>
        <w:t>(toeslagen).</w:t>
      </w:r>
    </w:p>
    <w:p w:rsidRPr="003D74FC" w:rsidR="003D74FC" w:rsidP="003D74FC" w:rsidRDefault="003D74FC" w14:paraId="58A587BC" w14:textId="77777777"/>
    <w:p w:rsidR="00525639" w:rsidP="00525639" w:rsidRDefault="00525639" w14:paraId="61552D3B" w14:textId="77777777">
      <w:pPr>
        <w:pStyle w:val="Kop2"/>
        <w:numPr>
          <w:ilvl w:val="0"/>
          <w:numId w:val="0"/>
        </w:numPr>
        <w:spacing w:before="0" w:after="0"/>
        <w:rPr>
          <w:rFonts w:cs="Arial"/>
          <w:b w:val="0"/>
          <w:bCs w:val="0"/>
          <w:i/>
          <w:szCs w:val="20"/>
        </w:rPr>
      </w:pPr>
      <w:r>
        <w:rPr>
          <w:b w:val="0"/>
          <w:i/>
        </w:rPr>
        <w:t>II</w:t>
      </w:r>
      <w:r w:rsidRPr="007F15F8">
        <w:rPr>
          <w:b w:val="0"/>
          <w:i/>
        </w:rPr>
        <w:t>.</w:t>
      </w:r>
      <w:r>
        <w:rPr>
          <w:rFonts w:cs="Arial"/>
          <w:b w:val="0"/>
          <w:bCs w:val="0"/>
          <w:i/>
          <w:szCs w:val="20"/>
        </w:rPr>
        <w:t>2</w:t>
      </w:r>
      <w:r w:rsidR="004145A3">
        <w:rPr>
          <w:rFonts w:cs="Arial"/>
          <w:b w:val="0"/>
          <w:bCs w:val="0"/>
          <w:i/>
          <w:szCs w:val="20"/>
        </w:rPr>
        <w:t>8</w:t>
      </w:r>
      <w:r w:rsidR="003A19C1">
        <w:rPr>
          <w:rFonts w:cs="Arial"/>
          <w:b w:val="0"/>
          <w:bCs w:val="0"/>
          <w:i/>
          <w:szCs w:val="20"/>
        </w:rPr>
        <w:t>.</w:t>
      </w:r>
      <w:r w:rsidR="00070073">
        <w:rPr>
          <w:rFonts w:cs="Arial"/>
          <w:b w:val="0"/>
          <w:bCs w:val="0"/>
          <w:i/>
          <w:szCs w:val="20"/>
        </w:rPr>
        <w:t xml:space="preserve"> </w:t>
      </w:r>
      <w:r w:rsidRPr="00070073" w:rsidR="00070073">
        <w:rPr>
          <w:rFonts w:cs="Arial"/>
          <w:b w:val="0"/>
          <w:i/>
          <w:szCs w:val="20"/>
        </w:rPr>
        <w:t xml:space="preserve">Inwerkingtreding </w:t>
      </w:r>
      <w:r w:rsidRPr="00802848">
        <w:rPr>
          <w:rFonts w:cs="Arial"/>
          <w:b w:val="0"/>
          <w:bCs w:val="0"/>
          <w:i/>
          <w:szCs w:val="20"/>
        </w:rPr>
        <w:t xml:space="preserve">(artikel </w:t>
      </w:r>
      <w:r w:rsidR="00070073">
        <w:rPr>
          <w:rFonts w:cs="Arial"/>
          <w:b w:val="0"/>
          <w:bCs w:val="0"/>
          <w:i/>
          <w:szCs w:val="20"/>
        </w:rPr>
        <w:t>2</w:t>
      </w:r>
      <w:r w:rsidR="004145A3">
        <w:rPr>
          <w:rFonts w:cs="Arial"/>
          <w:b w:val="0"/>
          <w:bCs w:val="0"/>
          <w:i/>
          <w:szCs w:val="20"/>
        </w:rPr>
        <w:t>8</w:t>
      </w:r>
      <w:r w:rsidRPr="00802848">
        <w:rPr>
          <w:rFonts w:cs="Arial"/>
          <w:b w:val="0"/>
          <w:bCs w:val="0"/>
          <w:i/>
          <w:szCs w:val="20"/>
        </w:rPr>
        <w:t xml:space="preserve"> van het Wijzigingsprotoco</w:t>
      </w:r>
      <w:r>
        <w:rPr>
          <w:rFonts w:cs="Arial"/>
          <w:b w:val="0"/>
          <w:bCs w:val="0"/>
          <w:i/>
          <w:szCs w:val="20"/>
        </w:rPr>
        <w:t>l</w:t>
      </w:r>
      <w:r w:rsidRPr="00802848">
        <w:rPr>
          <w:rFonts w:cs="Arial"/>
          <w:b w:val="0"/>
          <w:bCs w:val="0"/>
          <w:i/>
          <w:szCs w:val="20"/>
        </w:rPr>
        <w:t>)</w:t>
      </w:r>
    </w:p>
    <w:p w:rsidR="00F47ABE" w:rsidP="00070073" w:rsidRDefault="00F47ABE" w14:paraId="1BB52CE4" w14:textId="77777777">
      <w:pPr>
        <w:rPr>
          <w:rFonts w:cs="Arial"/>
          <w:szCs w:val="20"/>
        </w:rPr>
      </w:pPr>
    </w:p>
    <w:p w:rsidRPr="00070073" w:rsidR="00070073" w:rsidP="00070073" w:rsidRDefault="00070073" w14:paraId="1087F55B" w14:textId="77777777">
      <w:pPr>
        <w:rPr>
          <w:rFonts w:cs="Arial"/>
          <w:szCs w:val="20"/>
        </w:rPr>
      </w:pPr>
      <w:r>
        <w:rPr>
          <w:rFonts w:cs="Arial"/>
          <w:szCs w:val="20"/>
        </w:rPr>
        <w:lastRenderedPageBreak/>
        <w:t>Artikel 2</w:t>
      </w:r>
      <w:r w:rsidR="004145A3">
        <w:rPr>
          <w:rFonts w:cs="Arial"/>
          <w:szCs w:val="20"/>
        </w:rPr>
        <w:t>8</w:t>
      </w:r>
      <w:r w:rsidRPr="00070073">
        <w:rPr>
          <w:rFonts w:cs="Arial"/>
          <w:szCs w:val="20"/>
        </w:rPr>
        <w:t xml:space="preserve"> van het Wijzigingsprotocol regelt de inwerkingtreding van het Wijzigingsprotocol. Volgens </w:t>
      </w:r>
      <w:r w:rsidR="00752209">
        <w:rPr>
          <w:rFonts w:cs="Arial"/>
          <w:szCs w:val="20"/>
        </w:rPr>
        <w:t>dit</w:t>
      </w:r>
      <w:r w:rsidRPr="00070073">
        <w:rPr>
          <w:rFonts w:cs="Arial"/>
          <w:szCs w:val="20"/>
        </w:rPr>
        <w:t xml:space="preserve"> artikel stellen de </w:t>
      </w:r>
      <w:r w:rsidR="0047130D">
        <w:rPr>
          <w:rFonts w:cs="Arial"/>
          <w:szCs w:val="20"/>
        </w:rPr>
        <w:t>v</w:t>
      </w:r>
      <w:r w:rsidRPr="00070073">
        <w:rPr>
          <w:rFonts w:cs="Arial"/>
          <w:szCs w:val="20"/>
        </w:rPr>
        <w:t xml:space="preserve">erdragsluitende </w:t>
      </w:r>
      <w:r w:rsidR="0047130D">
        <w:rPr>
          <w:rFonts w:cs="Arial"/>
          <w:szCs w:val="20"/>
        </w:rPr>
        <w:t>s</w:t>
      </w:r>
      <w:r w:rsidRPr="00070073">
        <w:rPr>
          <w:rFonts w:cs="Arial"/>
          <w:szCs w:val="20"/>
        </w:rPr>
        <w:t xml:space="preserve">taten elkaar </w:t>
      </w:r>
      <w:r w:rsidRPr="00070073" w:rsidR="003048ED">
        <w:rPr>
          <w:rFonts w:cs="Arial"/>
          <w:szCs w:val="20"/>
        </w:rPr>
        <w:t>er</w:t>
      </w:r>
      <w:r w:rsidR="003048ED">
        <w:rPr>
          <w:rFonts w:cs="Arial"/>
          <w:szCs w:val="20"/>
        </w:rPr>
        <w:t xml:space="preserve"> </w:t>
      </w:r>
      <w:r w:rsidRPr="00070073">
        <w:rPr>
          <w:rFonts w:cs="Arial"/>
          <w:szCs w:val="20"/>
        </w:rPr>
        <w:t xml:space="preserve">via diplomatieke </w:t>
      </w:r>
      <w:r w:rsidR="00770647">
        <w:rPr>
          <w:rFonts w:cs="Arial"/>
          <w:szCs w:val="20"/>
        </w:rPr>
        <w:t>kennisgeving</w:t>
      </w:r>
      <w:r w:rsidRPr="00070073" w:rsidR="00770647">
        <w:rPr>
          <w:rFonts w:cs="Arial"/>
          <w:szCs w:val="20"/>
        </w:rPr>
        <w:t xml:space="preserve"> </w:t>
      </w:r>
      <w:r w:rsidR="003048ED">
        <w:rPr>
          <w:rFonts w:cs="Arial"/>
          <w:szCs w:val="20"/>
        </w:rPr>
        <w:t xml:space="preserve">te zijner tijd </w:t>
      </w:r>
      <w:r w:rsidRPr="00070073">
        <w:rPr>
          <w:rFonts w:cs="Arial"/>
          <w:szCs w:val="20"/>
        </w:rPr>
        <w:t xml:space="preserve">van in kennis dat </w:t>
      </w:r>
      <w:r w:rsidRPr="00070073" w:rsidR="003048ED">
        <w:rPr>
          <w:rFonts w:cs="Arial"/>
          <w:szCs w:val="20"/>
        </w:rPr>
        <w:t xml:space="preserve">de </w:t>
      </w:r>
      <w:r w:rsidRPr="00070073">
        <w:rPr>
          <w:rFonts w:cs="Arial"/>
          <w:szCs w:val="20"/>
        </w:rPr>
        <w:t xml:space="preserve">in hun </w:t>
      </w:r>
      <w:r w:rsidR="0047130D">
        <w:rPr>
          <w:rFonts w:cs="Arial"/>
          <w:szCs w:val="20"/>
        </w:rPr>
        <w:t>s</w:t>
      </w:r>
      <w:r w:rsidRPr="00070073">
        <w:rPr>
          <w:rFonts w:cs="Arial"/>
          <w:szCs w:val="20"/>
        </w:rPr>
        <w:t xml:space="preserve">taat </w:t>
      </w:r>
      <w:r w:rsidR="00770647">
        <w:rPr>
          <w:rFonts w:cs="Arial"/>
          <w:szCs w:val="20"/>
        </w:rPr>
        <w:t>grond</w:t>
      </w:r>
      <w:r w:rsidRPr="00070073">
        <w:rPr>
          <w:rFonts w:cs="Arial"/>
          <w:szCs w:val="20"/>
        </w:rPr>
        <w:t xml:space="preserve">wettelijk </w:t>
      </w:r>
      <w:r w:rsidRPr="00070073" w:rsidR="00770647">
        <w:rPr>
          <w:rFonts w:cs="Arial"/>
          <w:szCs w:val="20"/>
        </w:rPr>
        <w:t xml:space="preserve">vereiste </w:t>
      </w:r>
      <w:r w:rsidR="00770647">
        <w:rPr>
          <w:rFonts w:cs="Arial"/>
          <w:szCs w:val="20"/>
        </w:rPr>
        <w:t xml:space="preserve">formaliteiten </w:t>
      </w:r>
      <w:r w:rsidRPr="00070073">
        <w:rPr>
          <w:rFonts w:cs="Arial"/>
          <w:szCs w:val="20"/>
        </w:rPr>
        <w:t xml:space="preserve">voor de </w:t>
      </w:r>
      <w:r w:rsidR="00931879">
        <w:rPr>
          <w:rFonts w:cs="Arial"/>
          <w:szCs w:val="20"/>
        </w:rPr>
        <w:t>goedkeuring</w:t>
      </w:r>
      <w:r w:rsidRPr="00070073" w:rsidR="00931879">
        <w:rPr>
          <w:rFonts w:cs="Arial"/>
          <w:szCs w:val="20"/>
        </w:rPr>
        <w:t xml:space="preserve"> </w:t>
      </w:r>
      <w:r w:rsidRPr="00070073">
        <w:rPr>
          <w:rFonts w:cs="Arial"/>
          <w:szCs w:val="20"/>
        </w:rPr>
        <w:t xml:space="preserve">van het Wijzigingsprotocol zijn vervuld. Het Wijzigingsprotocol treedt </w:t>
      </w:r>
      <w:r w:rsidR="00931879">
        <w:rPr>
          <w:rFonts w:cs="Arial"/>
          <w:szCs w:val="20"/>
        </w:rPr>
        <w:t>vervolgens</w:t>
      </w:r>
      <w:r w:rsidRPr="00070073" w:rsidR="00931879">
        <w:rPr>
          <w:rFonts w:cs="Arial"/>
          <w:szCs w:val="20"/>
        </w:rPr>
        <w:t xml:space="preserve"> </w:t>
      </w:r>
      <w:r w:rsidRPr="00070073">
        <w:rPr>
          <w:rFonts w:cs="Arial"/>
          <w:szCs w:val="20"/>
        </w:rPr>
        <w:t xml:space="preserve">in werking op de laatste dag van de </w:t>
      </w:r>
      <w:r w:rsidR="0075451C">
        <w:rPr>
          <w:rFonts w:cs="Arial"/>
          <w:szCs w:val="20"/>
        </w:rPr>
        <w:t xml:space="preserve">derde </w:t>
      </w:r>
      <w:r w:rsidRPr="00070073">
        <w:rPr>
          <w:rFonts w:cs="Arial"/>
          <w:szCs w:val="20"/>
        </w:rPr>
        <w:t>maand volgend op de maand waarin de laatste kennisgeving is ontvangen. Het Wijzigingsprotocol vindt vervolgens toepassing op belastingjaren en tijdvakken beginnend, of belastbare feiten die zich voordoen op of na 1 januari van het kalenderjaar dat volgt op het kalenderjaar waarin het Wijzigingsprotocol in werking is getreden.</w:t>
      </w:r>
    </w:p>
    <w:p w:rsidRPr="00070073" w:rsidR="00070073" w:rsidP="00070073" w:rsidRDefault="00070073" w14:paraId="4ADC6552" w14:textId="77777777">
      <w:pPr>
        <w:rPr>
          <w:rFonts w:cs="Arial"/>
          <w:szCs w:val="20"/>
        </w:rPr>
      </w:pPr>
      <w:r w:rsidRPr="00070073">
        <w:rPr>
          <w:rFonts w:cs="Arial"/>
          <w:szCs w:val="20"/>
        </w:rPr>
        <w:t xml:space="preserve"> </w:t>
      </w:r>
    </w:p>
    <w:p w:rsidRPr="00525639" w:rsidR="00525639" w:rsidP="00525639" w:rsidRDefault="00525639" w14:paraId="0427DCA6" w14:textId="77777777"/>
    <w:p w:rsidRPr="00525639" w:rsidR="00525639" w:rsidP="00525639" w:rsidRDefault="00525639" w14:paraId="08488853" w14:textId="77777777"/>
    <w:p w:rsidRPr="00BC11FE" w:rsidR="00C72822" w:rsidP="00F47ABE" w:rsidRDefault="00562385" w14:paraId="61A29E95" w14:textId="77777777">
      <w:pPr>
        <w:ind w:firstLine="0"/>
        <w:rPr>
          <w:rFonts w:cs="Arial"/>
          <w:b/>
          <w:szCs w:val="20"/>
        </w:rPr>
      </w:pPr>
      <w:r>
        <w:rPr>
          <w:b/>
        </w:rPr>
        <w:br/>
      </w:r>
      <w:r w:rsidR="000B7B9C">
        <w:rPr>
          <w:rFonts w:ascii="Verdana" w:hAnsi="Verdana" w:cs="Arial"/>
          <w:iCs/>
          <w:sz w:val="18"/>
          <w:szCs w:val="18"/>
        </w:rPr>
        <w:t xml:space="preserve"> </w:t>
      </w:r>
      <w:r w:rsidRPr="00E366AA" w:rsidR="00C72822">
        <w:rPr>
          <w:rFonts w:cs="Arial"/>
          <w:iCs/>
          <w:szCs w:val="20"/>
        </w:rPr>
        <w:t>De Staatssecretaris van Financiën,</w:t>
      </w:r>
    </w:p>
    <w:p w:rsidRPr="00E366AA" w:rsidR="00C72822" w:rsidP="00C72822" w:rsidRDefault="00C72822" w14:paraId="4D3FB19F" w14:textId="77777777">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rPr>
          <w:rFonts w:cs="Arial"/>
          <w:iCs/>
          <w:szCs w:val="20"/>
        </w:rPr>
      </w:pPr>
    </w:p>
    <w:p w:rsidRPr="00E366AA" w:rsidR="000B7B9C" w:rsidP="00C72822" w:rsidRDefault="000B7B9C" w14:paraId="1F8E010C" w14:textId="77777777">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rPr>
          <w:rFonts w:cs="Arial"/>
          <w:iCs/>
          <w:szCs w:val="20"/>
        </w:rPr>
      </w:pPr>
    </w:p>
    <w:p w:rsidRPr="00BC11FE" w:rsidR="000B7B9C" w:rsidP="000B7B9C" w:rsidRDefault="000B7B9C" w14:paraId="25CAEC7F" w14:textId="77777777">
      <w:pPr>
        <w:pStyle w:val="Kop2"/>
        <w:numPr>
          <w:ilvl w:val="0"/>
          <w:numId w:val="0"/>
        </w:numPr>
        <w:rPr>
          <w:rFonts w:cs="Arial"/>
          <w:szCs w:val="20"/>
        </w:rPr>
      </w:pPr>
    </w:p>
    <w:p w:rsidRPr="00E366AA" w:rsidR="000B7B9C" w:rsidP="00C72822" w:rsidRDefault="000B7B9C" w14:paraId="74DF9462" w14:textId="77777777">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rPr>
          <w:rFonts w:cs="Arial"/>
          <w:iCs/>
          <w:szCs w:val="20"/>
        </w:rPr>
      </w:pPr>
    </w:p>
    <w:p w:rsidRPr="00E366AA" w:rsidR="000B7B9C" w:rsidP="00C72822" w:rsidRDefault="000B7B9C" w14:paraId="404C620C" w14:textId="77777777">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rPr>
          <w:rFonts w:cs="Arial"/>
          <w:iCs/>
          <w:szCs w:val="20"/>
        </w:rPr>
      </w:pPr>
    </w:p>
    <w:p w:rsidRPr="00E366AA" w:rsidR="00C72822" w:rsidP="000B7B9C" w:rsidRDefault="00C72822" w14:paraId="4D5A364F" w14:textId="77777777">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ind w:firstLine="0"/>
        <w:rPr>
          <w:rFonts w:cs="Arial"/>
          <w:iCs/>
          <w:szCs w:val="20"/>
        </w:rPr>
      </w:pPr>
      <w:r w:rsidRPr="00E366AA">
        <w:rPr>
          <w:rFonts w:cs="Arial"/>
          <w:iCs/>
          <w:szCs w:val="20"/>
        </w:rPr>
        <w:t>De Minister van Buitenlandse Zaken,</w:t>
      </w:r>
    </w:p>
    <w:p w:rsidRPr="00746B8A" w:rsidR="0032717B" w:rsidP="0032717B" w:rsidRDefault="0032717B" w14:paraId="18E24746" w14:textId="77777777"/>
    <w:sectPr w:rsidRPr="00746B8A" w:rsidR="0032717B" w:rsidSect="00B67D2E">
      <w:footerReference w:type="default" r:id="rId12"/>
      <w:pgSz w:w="11906" w:h="16838"/>
      <w:pgMar w:top="1276" w:right="1417" w:bottom="1417" w:left="1417" w:header="708" w:footer="708" w:gutter="0"/>
      <w:cols w:space="708"/>
      <w:docGrid w:linePitch="360"/>
      <w:paperSrc w:first="4" w:other="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94DD62" w16cid:durableId="1D728870"/>
  <w16cid:commentId w16cid:paraId="490A0858" w16cid:durableId="1D72884D"/>
  <w16cid:commentId w16cid:paraId="6766C08E" w16cid:durableId="1D7288A8"/>
  <w16cid:commentId w16cid:paraId="720CFA3D" w16cid:durableId="1D7288D3"/>
  <w16cid:commentId w16cid:paraId="20EEE7EB" w16cid:durableId="1D72884E"/>
  <w16cid:commentId w16cid:paraId="0843F4F2" w16cid:durableId="1D72884F"/>
  <w16cid:commentId w16cid:paraId="3218A1D6" w16cid:durableId="1D728850"/>
  <w16cid:commentId w16cid:paraId="760551E0" w16cid:durableId="1D728851"/>
  <w16cid:commentId w16cid:paraId="4522F4FD" w16cid:durableId="1D728852"/>
  <w16cid:commentId w16cid:paraId="691D5610" w16cid:durableId="1D728853"/>
  <w16cid:commentId w16cid:paraId="6B73589B" w16cid:durableId="1D728A08"/>
  <w16cid:commentId w16cid:paraId="257BA0F2" w16cid:durableId="1D728854"/>
  <w16cid:commentId w16cid:paraId="21FCA2DE" w16cid:durableId="1D728A54"/>
  <w16cid:commentId w16cid:paraId="12DA246E" w16cid:durableId="1D728855"/>
  <w16cid:commentId w16cid:paraId="4AC0060F" w16cid:durableId="1D728AD2"/>
  <w16cid:commentId w16cid:paraId="55B4527F" w16cid:durableId="1D728856"/>
  <w16cid:commentId w16cid:paraId="01CDB75E" w16cid:durableId="1D728857"/>
  <w16cid:commentId w16cid:paraId="4C0053D6" w16cid:durableId="1D728858"/>
  <w16cid:commentId w16cid:paraId="439D058C" w16cid:durableId="1D728859"/>
  <w16cid:commentId w16cid:paraId="39CCD323" w16cid:durableId="1D728C61"/>
  <w16cid:commentId w16cid:paraId="79EA9D4E" w16cid:durableId="1D72885A"/>
  <w16cid:commentId w16cid:paraId="38A1A42F" w16cid:durableId="1D72885B"/>
  <w16cid:commentId w16cid:paraId="1E410CE8" w16cid:durableId="1D728CFE"/>
  <w16cid:commentId w16cid:paraId="2C2479D0" w16cid:durableId="1D72885C"/>
  <w16cid:commentId w16cid:paraId="0E61F922" w16cid:durableId="1D72885D"/>
  <w16cid:commentId w16cid:paraId="5D0E3084" w16cid:durableId="1D728DDB"/>
  <w16cid:commentId w16cid:paraId="5F9F3549" w16cid:durableId="1D72885E"/>
  <w16cid:commentId w16cid:paraId="4010EC7D" w16cid:durableId="1D7295E7"/>
  <w16cid:commentId w16cid:paraId="79CC2A9A" w16cid:durableId="1D72885F"/>
  <w16cid:commentId w16cid:paraId="7E6A39F8" w16cid:durableId="1D728EDB"/>
  <w16cid:commentId w16cid:paraId="57FD150C" w16cid:durableId="1D728EFE"/>
  <w16cid:commentId w16cid:paraId="288B442B" w16cid:durableId="1D728860"/>
  <w16cid:commentId w16cid:paraId="01C2E098" w16cid:durableId="1D728861"/>
  <w16cid:commentId w16cid:paraId="2E0E64EF" w16cid:durableId="1D728F41"/>
  <w16cid:commentId w16cid:paraId="2C2ED8D3" w16cid:durableId="1D728862"/>
  <w16cid:commentId w16cid:paraId="755FFA96" w16cid:durableId="1D728FFF"/>
  <w16cid:commentId w16cid:paraId="0A7EF935" w16cid:durableId="1D72907D"/>
  <w16cid:commentId w16cid:paraId="7E016C5D" w16cid:durableId="1D728864"/>
  <w16cid:commentId w16cid:paraId="5E930462" w16cid:durableId="1D729097"/>
  <w16cid:commentId w16cid:paraId="17A7344F" w16cid:durableId="1D728865"/>
  <w16cid:commentId w16cid:paraId="048E6C61" w16cid:durableId="1D728866"/>
  <w16cid:commentId w16cid:paraId="445AFAF0" w16cid:durableId="1D72912E"/>
  <w16cid:commentId w16cid:paraId="66E0891F" w16cid:durableId="1D728867"/>
  <w16cid:commentId w16cid:paraId="1BFC2B95" w16cid:durableId="1D72886A"/>
  <w16cid:commentId w16cid:paraId="20D22FB2" w16cid:durableId="1D7295CA"/>
  <w16cid:commentId w16cid:paraId="03759B6B" w16cid:durableId="1D7294F4"/>
  <w16cid:commentId w16cid:paraId="51D7FC96" w16cid:durableId="1D7294F3"/>
  <w16cid:commentId w16cid:paraId="3420BAE9" w16cid:durableId="1D72886B"/>
  <w16cid:commentId w16cid:paraId="66AF56EE" w16cid:durableId="1D72886C"/>
  <w16cid:commentId w16cid:paraId="46F26A08" w16cid:durableId="1D7295B2"/>
  <w16cid:commentId w16cid:paraId="6FA6E3F1" w16cid:durableId="1D72886D"/>
  <w16cid:commentId w16cid:paraId="5BE7E3A4" w16cid:durableId="1D72964E"/>
  <w16cid:commentId w16cid:paraId="70837B93" w16cid:durableId="1D72886E"/>
  <w16cid:commentId w16cid:paraId="635D3DBA" w16cid:durableId="1D7297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BC30D" w14:textId="77777777" w:rsidR="00B61405" w:rsidRDefault="00B61405">
      <w:pPr>
        <w:spacing w:line="240" w:lineRule="auto"/>
      </w:pPr>
      <w:r>
        <w:separator/>
      </w:r>
    </w:p>
  </w:endnote>
  <w:endnote w:type="continuationSeparator" w:id="0">
    <w:p w14:paraId="60852F08" w14:textId="77777777" w:rsidR="00B61405" w:rsidRDefault="00B614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unga">
    <w:altName w:val="Courier New"/>
    <w:panose1 w:val="000004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1DCDB" w14:textId="25BC675E" w:rsidR="008A2927" w:rsidRPr="006B3122" w:rsidRDefault="008A2927" w:rsidP="006B3122">
    <w:pPr>
      <w:pStyle w:val="Voettekst"/>
      <w:ind w:firstLine="0"/>
    </w:pPr>
    <w:r>
      <w:tab/>
    </w:r>
    <w:r>
      <w:rPr>
        <w:rStyle w:val="Paginanummer"/>
      </w:rPr>
      <w:fldChar w:fldCharType="begin"/>
    </w:r>
    <w:r>
      <w:rPr>
        <w:rStyle w:val="Paginanummer"/>
      </w:rPr>
      <w:instrText xml:space="preserve"> PAGE </w:instrText>
    </w:r>
    <w:r>
      <w:rPr>
        <w:rStyle w:val="Paginanummer"/>
      </w:rPr>
      <w:fldChar w:fldCharType="separate"/>
    </w:r>
    <w:r w:rsidR="00B67D2E">
      <w:rPr>
        <w:rStyle w:val="Paginanummer"/>
        <w:noProof/>
      </w:rPr>
      <w:t>1</w:t>
    </w:r>
    <w:r>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57032" w14:textId="77777777" w:rsidR="00B61405" w:rsidRDefault="00B61405">
      <w:pPr>
        <w:spacing w:line="240" w:lineRule="auto"/>
      </w:pPr>
      <w:r>
        <w:separator/>
      </w:r>
    </w:p>
  </w:footnote>
  <w:footnote w:type="continuationSeparator" w:id="0">
    <w:p w14:paraId="4343E41E" w14:textId="77777777" w:rsidR="00B61405" w:rsidRDefault="00B61405">
      <w:pPr>
        <w:spacing w:line="240" w:lineRule="auto"/>
      </w:pPr>
      <w:r>
        <w:continuationSeparator/>
      </w:r>
    </w:p>
  </w:footnote>
  <w:footnote w:id="1">
    <w:p w14:paraId="52BD4111" w14:textId="77777777" w:rsidR="008A2927" w:rsidRPr="004C490E" w:rsidRDefault="008A2927">
      <w:pPr>
        <w:pStyle w:val="Voetnoottekst"/>
        <w:rPr>
          <w:sz w:val="16"/>
          <w:szCs w:val="16"/>
        </w:rPr>
      </w:pPr>
      <w:r>
        <w:rPr>
          <w:rStyle w:val="Voetnootmarkering"/>
        </w:rPr>
        <w:footnoteRef/>
      </w:r>
      <w:r w:rsidRPr="00A50949">
        <w:rPr>
          <w:lang w:val="en-US"/>
        </w:rPr>
        <w:t xml:space="preserve"> </w:t>
      </w:r>
      <w:r w:rsidRPr="004948DC">
        <w:rPr>
          <w:sz w:val="16"/>
          <w:szCs w:val="16"/>
          <w:lang w:val="en-US"/>
        </w:rPr>
        <w:t xml:space="preserve">OECD (2017), Model Tax Convention on Income and on Capital: Condensed Version 2017, OECD Publishing. </w:t>
      </w:r>
      <w:r w:rsidRPr="004948DC">
        <w:rPr>
          <w:sz w:val="16"/>
          <w:szCs w:val="16"/>
        </w:rPr>
        <w:t>Gepubliceerd op: http://dx.doi.org/10.1787/mtc_cond-2017-en.</w:t>
      </w:r>
    </w:p>
  </w:footnote>
  <w:footnote w:id="2">
    <w:p w14:paraId="4175FA66" w14:textId="1CE7C681" w:rsidR="008A2927" w:rsidRPr="004C490E" w:rsidRDefault="008A2927">
      <w:pPr>
        <w:pStyle w:val="Voetnoottekst"/>
        <w:rPr>
          <w:sz w:val="16"/>
          <w:szCs w:val="16"/>
        </w:rPr>
      </w:pPr>
      <w:r w:rsidRPr="004C490E">
        <w:rPr>
          <w:rStyle w:val="Voetnootmarkering"/>
          <w:sz w:val="16"/>
          <w:szCs w:val="16"/>
        </w:rPr>
        <w:footnoteRef/>
      </w:r>
      <w:r w:rsidRPr="004C490E">
        <w:rPr>
          <w:sz w:val="16"/>
          <w:szCs w:val="16"/>
        </w:rPr>
        <w:t xml:space="preserve"> </w:t>
      </w:r>
      <w:r w:rsidRPr="004948DC">
        <w:rPr>
          <w:sz w:val="16"/>
          <w:szCs w:val="16"/>
        </w:rPr>
        <w:t>Bijlage bij Kamerstukken II 2010/11, 25087, nr. 7.</w:t>
      </w:r>
    </w:p>
  </w:footnote>
  <w:footnote w:id="3">
    <w:p w14:paraId="6613F0FF" w14:textId="02B6F84B" w:rsidR="008A2927" w:rsidRPr="004C490E" w:rsidRDefault="008A2927">
      <w:pPr>
        <w:pStyle w:val="Voetnoottekst"/>
        <w:rPr>
          <w:sz w:val="16"/>
          <w:szCs w:val="16"/>
        </w:rPr>
      </w:pPr>
      <w:r w:rsidRPr="004C490E">
        <w:rPr>
          <w:rStyle w:val="Voetnootmarkering"/>
          <w:sz w:val="16"/>
          <w:szCs w:val="16"/>
        </w:rPr>
        <w:footnoteRef/>
      </w:r>
      <w:r w:rsidRPr="004C490E">
        <w:rPr>
          <w:sz w:val="16"/>
          <w:szCs w:val="16"/>
        </w:rPr>
        <w:t xml:space="preserve"> </w:t>
      </w:r>
      <w:r w:rsidRPr="004948DC">
        <w:rPr>
          <w:sz w:val="16"/>
          <w:szCs w:val="16"/>
        </w:rPr>
        <w:t>Kamerstukken II 2015/16, 25087, nr. 112.</w:t>
      </w:r>
    </w:p>
  </w:footnote>
  <w:footnote w:id="4">
    <w:p w14:paraId="26114D97" w14:textId="405FF5EA" w:rsidR="008A2927" w:rsidRPr="004C490E" w:rsidRDefault="008A2927">
      <w:pPr>
        <w:pStyle w:val="Voetnoottekst"/>
        <w:rPr>
          <w:sz w:val="16"/>
          <w:szCs w:val="16"/>
        </w:rPr>
      </w:pPr>
      <w:r w:rsidRPr="004C490E">
        <w:rPr>
          <w:rStyle w:val="Voetnootmarkering"/>
          <w:sz w:val="16"/>
          <w:szCs w:val="16"/>
        </w:rPr>
        <w:footnoteRef/>
      </w:r>
      <w:r w:rsidRPr="004C490E">
        <w:rPr>
          <w:sz w:val="16"/>
          <w:szCs w:val="16"/>
        </w:rPr>
        <w:t xml:space="preserve"> </w:t>
      </w:r>
      <w:r w:rsidRPr="004948DC">
        <w:rPr>
          <w:sz w:val="16"/>
          <w:szCs w:val="16"/>
        </w:rPr>
        <w:t>Kamerstukken II 2016/17, 25087, nr. 135.</w:t>
      </w:r>
    </w:p>
  </w:footnote>
  <w:footnote w:id="5">
    <w:p w14:paraId="00DA635D" w14:textId="77777777" w:rsidR="008A2927" w:rsidRPr="004C490E" w:rsidRDefault="008A2927">
      <w:pPr>
        <w:pStyle w:val="Voetnoottekst"/>
        <w:rPr>
          <w:sz w:val="16"/>
          <w:szCs w:val="16"/>
        </w:rPr>
      </w:pPr>
      <w:r w:rsidRPr="004C490E">
        <w:rPr>
          <w:rStyle w:val="Voetnootmarkering"/>
          <w:sz w:val="16"/>
          <w:szCs w:val="16"/>
        </w:rPr>
        <w:footnoteRef/>
      </w:r>
      <w:r w:rsidRPr="004C490E">
        <w:rPr>
          <w:sz w:val="16"/>
          <w:szCs w:val="16"/>
        </w:rPr>
        <w:t xml:space="preserve"> </w:t>
      </w:r>
      <w:r w:rsidRPr="004948DC">
        <w:rPr>
          <w:sz w:val="16"/>
          <w:szCs w:val="16"/>
        </w:rPr>
        <w:t>Het op 24 november 2016 te Parijs tot stand gekomen Multilateraal Verdrag ter implementatie van aan belastingverdragen gerelateerde maatregelen ter voorkoming van grondslaguitholling en winstverschuiving, Trb. 2017, 86, en Trb. 2017, 194.</w:t>
      </w:r>
    </w:p>
  </w:footnote>
  <w:footnote w:id="6">
    <w:p w14:paraId="5522A187" w14:textId="47A93F93" w:rsidR="008A2927" w:rsidRPr="004948DC" w:rsidRDefault="008A2927" w:rsidP="00EA03C1">
      <w:pPr>
        <w:pStyle w:val="Voetnoottekst"/>
        <w:rPr>
          <w:sz w:val="16"/>
          <w:szCs w:val="16"/>
        </w:rPr>
      </w:pPr>
      <w:r w:rsidRPr="004948DC">
        <w:rPr>
          <w:rStyle w:val="Voetnootmarkering"/>
          <w:sz w:val="16"/>
          <w:szCs w:val="16"/>
        </w:rPr>
        <w:footnoteRef/>
      </w:r>
      <w:r w:rsidRPr="004948DC">
        <w:rPr>
          <w:sz w:val="16"/>
          <w:szCs w:val="16"/>
        </w:rPr>
        <w:t xml:space="preserve"> Reeds aangegeven in Kamerstukken II 2017/18, 34853 (R 2096), nr. 3, p. 12.</w:t>
      </w:r>
    </w:p>
  </w:footnote>
  <w:footnote w:id="7">
    <w:p w14:paraId="2C9BA178" w14:textId="42F8C49E" w:rsidR="008A2927" w:rsidRPr="004C490E" w:rsidRDefault="008A2927" w:rsidP="00A50949">
      <w:pPr>
        <w:pStyle w:val="Voetnoottekst"/>
        <w:spacing w:line="240" w:lineRule="auto"/>
        <w:ind w:firstLine="708"/>
        <w:rPr>
          <w:sz w:val="16"/>
          <w:szCs w:val="16"/>
        </w:rPr>
      </w:pPr>
      <w:r w:rsidRPr="004C490E">
        <w:rPr>
          <w:rStyle w:val="Voetnootmarkering"/>
          <w:sz w:val="16"/>
          <w:szCs w:val="16"/>
        </w:rPr>
        <w:footnoteRef/>
      </w:r>
      <w:r w:rsidRPr="004C490E">
        <w:rPr>
          <w:sz w:val="16"/>
          <w:szCs w:val="16"/>
        </w:rPr>
        <w:t xml:space="preserve"> Kamerstukken II 2010/11, 25087, nr. 13.</w:t>
      </w:r>
    </w:p>
  </w:footnote>
  <w:footnote w:id="8">
    <w:p w14:paraId="698E4D56" w14:textId="5C9BAF8C" w:rsidR="008A2927" w:rsidRPr="004948DC" w:rsidRDefault="008A2927" w:rsidP="00A50949">
      <w:pPr>
        <w:pStyle w:val="Voetnoottekst"/>
        <w:ind w:firstLine="708"/>
        <w:rPr>
          <w:rFonts w:ascii="Tunga" w:hAnsi="Tunga" w:cs="Tunga"/>
          <w:sz w:val="16"/>
          <w:szCs w:val="16"/>
        </w:rPr>
      </w:pPr>
      <w:r w:rsidRPr="004948DC">
        <w:rPr>
          <w:rStyle w:val="Voetnootmarkering"/>
          <w:rFonts w:cs="Arial"/>
          <w:sz w:val="16"/>
          <w:szCs w:val="16"/>
        </w:rPr>
        <w:footnoteRef/>
      </w:r>
      <w:r w:rsidRPr="004948DC">
        <w:rPr>
          <w:rFonts w:cs="Arial"/>
          <w:sz w:val="16"/>
          <w:szCs w:val="16"/>
        </w:rPr>
        <w:t xml:space="preserve"> Kamerstukken II 2010/11, 25087, nr. 8 (Van Vliet, PVV).</w:t>
      </w:r>
    </w:p>
  </w:footnote>
  <w:footnote w:id="9">
    <w:p w14:paraId="1339C6CB" w14:textId="77777777" w:rsidR="008A2927" w:rsidRPr="004948DC" w:rsidRDefault="008A2927" w:rsidP="003B4347">
      <w:pPr>
        <w:pStyle w:val="Voetnoottekst"/>
        <w:rPr>
          <w:rFonts w:cs="Arial"/>
          <w:sz w:val="16"/>
          <w:szCs w:val="16"/>
          <w:lang w:val="en-US"/>
        </w:rPr>
      </w:pPr>
      <w:r w:rsidRPr="004948DC">
        <w:rPr>
          <w:rStyle w:val="Voetnootmarkering"/>
          <w:rFonts w:cs="Arial"/>
          <w:sz w:val="16"/>
          <w:szCs w:val="16"/>
        </w:rPr>
        <w:footnoteRef/>
      </w:r>
      <w:r w:rsidRPr="004948DC">
        <w:rPr>
          <w:rFonts w:cs="Arial"/>
          <w:sz w:val="16"/>
          <w:szCs w:val="16"/>
          <w:lang w:val="en-US"/>
        </w:rPr>
        <w:t xml:space="preserve"> OECD (2015), Preventing the Granting of Treaty Benefits in Inappropriate Circumstances, Action 6 Final Report, OECD/G20 Base Erosion and Profit Shifting Project, OECD Publishing, Paris.</w:t>
      </w:r>
    </w:p>
  </w:footnote>
  <w:footnote w:id="10">
    <w:p w14:paraId="2A8C1876" w14:textId="77777777" w:rsidR="008A2927" w:rsidRPr="004C490E" w:rsidRDefault="008A2927" w:rsidP="00A50949">
      <w:pPr>
        <w:pStyle w:val="Voetnoottekst"/>
        <w:ind w:firstLine="708"/>
        <w:rPr>
          <w:rFonts w:cs="Arial"/>
          <w:sz w:val="16"/>
          <w:szCs w:val="16"/>
          <w:lang w:val="en-US"/>
        </w:rPr>
      </w:pPr>
      <w:r w:rsidRPr="004C490E">
        <w:rPr>
          <w:rStyle w:val="Voetnootmarkering"/>
          <w:rFonts w:cs="Arial"/>
          <w:sz w:val="16"/>
          <w:szCs w:val="16"/>
        </w:rPr>
        <w:footnoteRef/>
      </w:r>
      <w:r w:rsidRPr="004C490E">
        <w:rPr>
          <w:rFonts w:cs="Arial"/>
          <w:sz w:val="16"/>
          <w:szCs w:val="16"/>
          <w:lang w:val="en-US"/>
        </w:rPr>
        <w:t xml:space="preserve"> OECD (2015), Neutralising the Effects of Hybrid Mismatch Arrangements, Action 2 - 2015 Final Report, OECD/G20 Base Erosion and Profit Shifting Project, OECD Publishing, Paris.</w:t>
      </w:r>
    </w:p>
  </w:footnote>
  <w:footnote w:id="11">
    <w:p w14:paraId="5B9341FB" w14:textId="77777777" w:rsidR="008A2927" w:rsidRPr="004C490E" w:rsidRDefault="008A2927">
      <w:pPr>
        <w:pStyle w:val="Voetnoottekst"/>
        <w:rPr>
          <w:sz w:val="16"/>
          <w:szCs w:val="16"/>
        </w:rPr>
      </w:pPr>
      <w:r w:rsidRPr="004C490E">
        <w:rPr>
          <w:rStyle w:val="Voetnootmarkering"/>
          <w:sz w:val="16"/>
          <w:szCs w:val="16"/>
        </w:rPr>
        <w:footnoteRef/>
      </w:r>
      <w:r w:rsidRPr="004C490E">
        <w:rPr>
          <w:sz w:val="16"/>
          <w:szCs w:val="16"/>
        </w:rPr>
        <w:t xml:space="preserve"> </w:t>
      </w:r>
      <w:r w:rsidRPr="004948DC">
        <w:rPr>
          <w:sz w:val="16"/>
          <w:szCs w:val="16"/>
        </w:rPr>
        <w:t>Artikel 2 van de Rijkswet van 6 maart 2019, houdende goedkeuring van het op 24 november 2016 te Parijs tot stand gekomen Multilateraal Verdrag ter implementatie van aan belastingverdragen gerelateerde maatregelen ter voorkoming van grondslaguitholling en winstverschuiving (Trb. 2017, 86, en Trb. 2017, 194) (</w:t>
      </w:r>
      <w:r w:rsidRPr="004948DC">
        <w:rPr>
          <w:i/>
          <w:sz w:val="16"/>
          <w:szCs w:val="16"/>
        </w:rPr>
        <w:t>Stb</w:t>
      </w:r>
      <w:r w:rsidRPr="004948DC">
        <w:rPr>
          <w:sz w:val="16"/>
          <w:szCs w:val="16"/>
        </w:rPr>
        <w:t>. 2019, 113).</w:t>
      </w:r>
    </w:p>
  </w:footnote>
  <w:footnote w:id="12">
    <w:p w14:paraId="3B570F3A" w14:textId="35F111D3" w:rsidR="008A2927" w:rsidRPr="004948DC" w:rsidRDefault="008A2927">
      <w:pPr>
        <w:pStyle w:val="Voetnoottekst"/>
        <w:rPr>
          <w:sz w:val="16"/>
          <w:szCs w:val="16"/>
        </w:rPr>
      </w:pPr>
      <w:r w:rsidRPr="004C490E">
        <w:rPr>
          <w:rStyle w:val="Voetnootmarkering"/>
          <w:sz w:val="16"/>
          <w:szCs w:val="16"/>
        </w:rPr>
        <w:footnoteRef/>
      </w:r>
      <w:r w:rsidRPr="004C490E">
        <w:rPr>
          <w:sz w:val="16"/>
          <w:szCs w:val="16"/>
        </w:rPr>
        <w:t xml:space="preserve"> </w:t>
      </w:r>
      <w:r w:rsidRPr="004948DC">
        <w:rPr>
          <w:sz w:val="16"/>
          <w:szCs w:val="16"/>
        </w:rPr>
        <w:t>Gewezen wordt ook op de mogelijke beperkingen die worden genoemd in de paragrafen 28.6 – 28.8. van het commentaar bij artikel 13, vierde lid, van het OESO-modelverdrag.</w:t>
      </w:r>
    </w:p>
  </w:footnote>
  <w:footnote w:id="13">
    <w:p w14:paraId="15F00422" w14:textId="15B7664D" w:rsidR="008A2927" w:rsidRPr="004948DC" w:rsidRDefault="008A2927" w:rsidP="00DB5D59">
      <w:pPr>
        <w:pStyle w:val="Voetnoottekst"/>
        <w:rPr>
          <w:sz w:val="16"/>
          <w:szCs w:val="16"/>
        </w:rPr>
      </w:pPr>
      <w:r w:rsidRPr="004C490E">
        <w:rPr>
          <w:rStyle w:val="Voetnootmarkering"/>
          <w:sz w:val="16"/>
          <w:szCs w:val="16"/>
        </w:rPr>
        <w:footnoteRef/>
      </w:r>
      <w:r w:rsidRPr="004C490E">
        <w:rPr>
          <w:sz w:val="16"/>
          <w:szCs w:val="16"/>
        </w:rPr>
        <w:t xml:space="preserve"> </w:t>
      </w:r>
      <w:r w:rsidRPr="004948DC">
        <w:rPr>
          <w:sz w:val="16"/>
          <w:szCs w:val="16"/>
        </w:rPr>
        <w:t xml:space="preserve">Richtlijn 2009/133/EG van de Raad van 19 oktober 2009 betreffende de gemeenschappelijke fiscale regeling voor fusies, splitsingen, gedeeltelijke splitsingen, inbreng van activa en aandelenruil met betrekking tot vennootschappen uit verschillende lidstaten en voor de verplaatsing van de statutaire zetel van een SE of een SCE van een lidstaat naar een andere lidstaat (PbEU 2009, L 310). Laatst gewijzigd op 13 mei 2013 (PbEU 2013, L 141). </w:t>
      </w:r>
    </w:p>
  </w:footnote>
  <w:footnote w:id="14">
    <w:p w14:paraId="33DB3A95" w14:textId="77777777" w:rsidR="008A2927" w:rsidRPr="004C490E" w:rsidRDefault="008A2927">
      <w:pPr>
        <w:pStyle w:val="Voetnoottekst"/>
        <w:rPr>
          <w:sz w:val="16"/>
          <w:szCs w:val="16"/>
        </w:rPr>
      </w:pPr>
      <w:r w:rsidRPr="004C490E">
        <w:rPr>
          <w:rStyle w:val="Voetnootmarkering"/>
          <w:sz w:val="16"/>
          <w:szCs w:val="16"/>
        </w:rPr>
        <w:footnoteRef/>
      </w:r>
      <w:r w:rsidRPr="004C490E">
        <w:rPr>
          <w:sz w:val="16"/>
          <w:szCs w:val="16"/>
        </w:rPr>
        <w:t xml:space="preserve"> </w:t>
      </w:r>
      <w:r w:rsidRPr="004948DC">
        <w:rPr>
          <w:sz w:val="16"/>
          <w:szCs w:val="16"/>
        </w:rPr>
        <w:t>Gewezen kan bijvoorbeeld worden op de publicatie van februari 2018 door de Rijksoverheid over “Nederlands pensioen, uitkering en kinderbijslag in Polen” (https://www.nederlandwereldwijd.nl/landen/polen/wonen-en-werken/pensioen-uitkering-en-kinderbijslag) en de daarbij gevoegde brief van de Poolse belastingautoriteiten.</w:t>
      </w:r>
    </w:p>
  </w:footnote>
  <w:footnote w:id="15">
    <w:p w14:paraId="7C6342BD" w14:textId="17A8CCD5" w:rsidR="008A2927" w:rsidRPr="004C490E" w:rsidRDefault="008A2927">
      <w:pPr>
        <w:pStyle w:val="Voetnoottekst"/>
        <w:rPr>
          <w:sz w:val="16"/>
          <w:szCs w:val="16"/>
        </w:rPr>
      </w:pPr>
      <w:r w:rsidRPr="004948DC">
        <w:rPr>
          <w:rStyle w:val="Voetnootmarkering"/>
          <w:sz w:val="16"/>
          <w:szCs w:val="16"/>
        </w:rPr>
        <w:footnoteRef/>
      </w:r>
      <w:r w:rsidRPr="004948DC">
        <w:rPr>
          <w:rStyle w:val="Voetnootmarkering"/>
          <w:sz w:val="16"/>
          <w:szCs w:val="16"/>
        </w:rPr>
        <w:t xml:space="preserve"> </w:t>
      </w:r>
      <w:r w:rsidRPr="004948DC">
        <w:rPr>
          <w:sz w:val="16"/>
          <w:szCs w:val="16"/>
        </w:rPr>
        <w:t xml:space="preserve">Richtlijn (EU) 2017/1852 van de Raad van 10 oktober 2017 betreffende mechanismen ter beslechting van belastinggeschillen in de Europese Unie (PbEU 2017, L 265). </w:t>
      </w:r>
    </w:p>
  </w:footnote>
  <w:footnote w:id="16">
    <w:p w14:paraId="48312C9F" w14:textId="77777777" w:rsidR="008A2927" w:rsidRPr="004948DC" w:rsidRDefault="008A2927" w:rsidP="005C6D32">
      <w:pPr>
        <w:pStyle w:val="Voetnoottekst"/>
        <w:rPr>
          <w:rFonts w:cs="Arial"/>
          <w:sz w:val="16"/>
          <w:szCs w:val="16"/>
          <w:lang w:val="en-US"/>
        </w:rPr>
      </w:pPr>
      <w:r w:rsidRPr="004948DC">
        <w:rPr>
          <w:rStyle w:val="Voetnootmarkering"/>
          <w:rFonts w:cs="Arial"/>
          <w:sz w:val="16"/>
          <w:szCs w:val="16"/>
        </w:rPr>
        <w:footnoteRef/>
      </w:r>
      <w:r w:rsidRPr="004948DC">
        <w:rPr>
          <w:rFonts w:cs="Arial"/>
          <w:sz w:val="16"/>
          <w:szCs w:val="16"/>
          <w:lang w:val="en-US"/>
        </w:rPr>
        <w:t xml:space="preserve"> OECD, Preventing the Granting of Treaty Benefits in Inappropriate Circumstances, Action 6 Final Report, OECD/G20 Base Erosion and Profit Shifting Project, (OECD Publishing, 2015).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B3943"/>
    <w:multiLevelType w:val="hybridMultilevel"/>
    <w:tmpl w:val="39B42498"/>
    <w:lvl w:ilvl="0" w:tplc="74B81EA0">
      <w:numFmt w:val="bullet"/>
      <w:lvlText w:val="-"/>
      <w:lvlJc w:val="left"/>
      <w:pPr>
        <w:ind w:left="1069" w:hanging="360"/>
      </w:pPr>
      <w:rPr>
        <w:rFonts w:ascii="Arial" w:eastAsia="Times New Roman" w:hAnsi="Arial" w:cs="Aria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 w15:restartNumberingAfterBreak="0">
    <w:nsid w:val="1F9E15D0"/>
    <w:multiLevelType w:val="hybridMultilevel"/>
    <w:tmpl w:val="341CA68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6C0853"/>
    <w:multiLevelType w:val="hybridMultilevel"/>
    <w:tmpl w:val="903E42EE"/>
    <w:lvl w:ilvl="0" w:tplc="8BE65AC0">
      <w:start w:val="1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5C8042A"/>
    <w:multiLevelType w:val="hybridMultilevel"/>
    <w:tmpl w:val="E8247108"/>
    <w:lvl w:ilvl="0" w:tplc="FFFFFFFF">
      <w:start w:val="1"/>
      <w:numFmt w:val="decimal"/>
      <w:lvlText w:val="%1."/>
      <w:lvlJc w:val="left"/>
      <w:pPr>
        <w:ind w:left="1065" w:hanging="705"/>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7754F44"/>
    <w:multiLevelType w:val="multilevel"/>
    <w:tmpl w:val="E07CA4C2"/>
    <w:lvl w:ilvl="0">
      <w:start w:val="1"/>
      <w:numFmt w:val="upperRoman"/>
      <w:pStyle w:val="Kop1"/>
      <w:lvlText w:val="%1."/>
      <w:lvlJc w:val="left"/>
      <w:pPr>
        <w:ind w:left="0" w:firstLine="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numFmt w:val="decimal"/>
      <w:pStyle w:val="Kop2"/>
      <w:lvlText w:val="%1.%2."/>
      <w:lvlJc w:val="left"/>
      <w:pPr>
        <w:ind w:left="3261" w:firstLine="0"/>
      </w:pPr>
      <w:rPr>
        <w:rFonts w:hint="default"/>
      </w:rPr>
    </w:lvl>
    <w:lvl w:ilvl="2">
      <w:start w:val="1"/>
      <w:numFmt w:val="decimal"/>
      <w:pStyle w:val="Kop3"/>
      <w:lvlText w:val="%1.%2.%3."/>
      <w:lvlJc w:val="left"/>
      <w:pPr>
        <w:ind w:left="1440" w:firstLine="0"/>
      </w:pPr>
      <w:rPr>
        <w:rFonts w:hint="default"/>
      </w:rPr>
    </w:lvl>
    <w:lvl w:ilvl="3">
      <w:start w:val="1"/>
      <w:numFmt w:val="lowerLetter"/>
      <w:pStyle w:val="Kop4"/>
      <w:lvlText w:val="%4)"/>
      <w:lvlJc w:val="left"/>
      <w:pPr>
        <w:ind w:left="2160" w:firstLine="0"/>
      </w:pPr>
      <w:rPr>
        <w:rFonts w:hint="default"/>
      </w:rPr>
    </w:lvl>
    <w:lvl w:ilvl="4">
      <w:start w:val="1"/>
      <w:numFmt w:val="decimal"/>
      <w:pStyle w:val="Kop5"/>
      <w:lvlText w:val="(%5)"/>
      <w:lvlJc w:val="left"/>
      <w:pPr>
        <w:ind w:left="2880" w:firstLine="0"/>
      </w:pPr>
      <w:rPr>
        <w:rFonts w:hint="default"/>
      </w:rPr>
    </w:lvl>
    <w:lvl w:ilvl="5">
      <w:start w:val="1"/>
      <w:numFmt w:val="lowerLetter"/>
      <w:pStyle w:val="Kop6"/>
      <w:lvlText w:val="(%6)"/>
      <w:lvlJc w:val="left"/>
      <w:pPr>
        <w:ind w:left="3600" w:firstLine="0"/>
      </w:pPr>
      <w:rPr>
        <w:rFonts w:hint="default"/>
      </w:rPr>
    </w:lvl>
    <w:lvl w:ilvl="6">
      <w:start w:val="1"/>
      <w:numFmt w:val="lowerRoman"/>
      <w:pStyle w:val="Kop7"/>
      <w:lvlText w:val="(%7)"/>
      <w:lvlJc w:val="left"/>
      <w:pPr>
        <w:ind w:left="4320" w:firstLine="0"/>
      </w:pPr>
      <w:rPr>
        <w:rFonts w:hint="default"/>
      </w:rPr>
    </w:lvl>
    <w:lvl w:ilvl="7">
      <w:start w:val="1"/>
      <w:numFmt w:val="lowerLetter"/>
      <w:pStyle w:val="Kop8"/>
      <w:lvlText w:val="(%8)"/>
      <w:lvlJc w:val="left"/>
      <w:pPr>
        <w:ind w:left="5040" w:firstLine="0"/>
      </w:pPr>
      <w:rPr>
        <w:rFonts w:hint="default"/>
      </w:rPr>
    </w:lvl>
    <w:lvl w:ilvl="8">
      <w:start w:val="1"/>
      <w:numFmt w:val="lowerRoman"/>
      <w:pStyle w:val="Kop9"/>
      <w:lvlText w:val="(%9)"/>
      <w:lvlJc w:val="left"/>
      <w:pPr>
        <w:ind w:left="5760" w:firstLine="0"/>
      </w:pPr>
      <w:rPr>
        <w:rFonts w:hint="default"/>
      </w:rPr>
    </w:lvl>
  </w:abstractNum>
  <w:abstractNum w:abstractNumId="5" w15:restartNumberingAfterBreak="0">
    <w:nsid w:val="3B335B00"/>
    <w:multiLevelType w:val="hybridMultilevel"/>
    <w:tmpl w:val="7E5ABA2E"/>
    <w:lvl w:ilvl="0" w:tplc="446EA702">
      <w:numFmt w:val="bullet"/>
      <w:lvlText w:val="-"/>
      <w:lvlJc w:val="left"/>
      <w:pPr>
        <w:ind w:left="1069" w:hanging="360"/>
      </w:pPr>
      <w:rPr>
        <w:rFonts w:ascii="Arial" w:eastAsia="Times New Roman" w:hAnsi="Arial" w:cs="Aria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6" w15:restartNumberingAfterBreak="0">
    <w:nsid w:val="4CE77FCA"/>
    <w:multiLevelType w:val="hybridMultilevel"/>
    <w:tmpl w:val="683AED76"/>
    <w:lvl w:ilvl="0" w:tplc="E5BCDE08">
      <w:start w:val="1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1"/>
  </w:num>
  <w:num w:numId="5">
    <w:abstractNumId w:val="3"/>
  </w:num>
  <w:num w:numId="6">
    <w:abstractNumId w:val="5"/>
  </w:num>
  <w:num w:numId="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60C"/>
    <w:rsid w:val="00000B2B"/>
    <w:rsid w:val="00001229"/>
    <w:rsid w:val="0000191F"/>
    <w:rsid w:val="00001A71"/>
    <w:rsid w:val="0000249F"/>
    <w:rsid w:val="000034C4"/>
    <w:rsid w:val="000034DF"/>
    <w:rsid w:val="000037BC"/>
    <w:rsid w:val="00003B6E"/>
    <w:rsid w:val="000048E8"/>
    <w:rsid w:val="00005536"/>
    <w:rsid w:val="000056D6"/>
    <w:rsid w:val="00010B49"/>
    <w:rsid w:val="0001102D"/>
    <w:rsid w:val="00012DAE"/>
    <w:rsid w:val="00013811"/>
    <w:rsid w:val="000138C7"/>
    <w:rsid w:val="00014FC3"/>
    <w:rsid w:val="00015196"/>
    <w:rsid w:val="000153C2"/>
    <w:rsid w:val="00016A25"/>
    <w:rsid w:val="0001722D"/>
    <w:rsid w:val="00017298"/>
    <w:rsid w:val="0002096B"/>
    <w:rsid w:val="000226A3"/>
    <w:rsid w:val="000229ED"/>
    <w:rsid w:val="0002421B"/>
    <w:rsid w:val="000242A1"/>
    <w:rsid w:val="0002485B"/>
    <w:rsid w:val="00025CE2"/>
    <w:rsid w:val="0002641F"/>
    <w:rsid w:val="00026DC9"/>
    <w:rsid w:val="00027771"/>
    <w:rsid w:val="00030143"/>
    <w:rsid w:val="000318E7"/>
    <w:rsid w:val="000331B6"/>
    <w:rsid w:val="00033B0D"/>
    <w:rsid w:val="00033C11"/>
    <w:rsid w:val="00034576"/>
    <w:rsid w:val="00035E98"/>
    <w:rsid w:val="0003677C"/>
    <w:rsid w:val="000368C3"/>
    <w:rsid w:val="00037C02"/>
    <w:rsid w:val="00041D57"/>
    <w:rsid w:val="000427DD"/>
    <w:rsid w:val="00042800"/>
    <w:rsid w:val="00042A1A"/>
    <w:rsid w:val="00042B4E"/>
    <w:rsid w:val="00043654"/>
    <w:rsid w:val="00043C6D"/>
    <w:rsid w:val="000444D8"/>
    <w:rsid w:val="0004567D"/>
    <w:rsid w:val="000463D9"/>
    <w:rsid w:val="000466C0"/>
    <w:rsid w:val="000473DD"/>
    <w:rsid w:val="0004751F"/>
    <w:rsid w:val="000504C1"/>
    <w:rsid w:val="000506DD"/>
    <w:rsid w:val="00052510"/>
    <w:rsid w:val="00052798"/>
    <w:rsid w:val="000532C1"/>
    <w:rsid w:val="000553E8"/>
    <w:rsid w:val="00055A86"/>
    <w:rsid w:val="00056D9A"/>
    <w:rsid w:val="00056DE1"/>
    <w:rsid w:val="00057026"/>
    <w:rsid w:val="00060B15"/>
    <w:rsid w:val="00061429"/>
    <w:rsid w:val="00061793"/>
    <w:rsid w:val="00062AF3"/>
    <w:rsid w:val="00062D60"/>
    <w:rsid w:val="00063A4B"/>
    <w:rsid w:val="00064340"/>
    <w:rsid w:val="0006652E"/>
    <w:rsid w:val="00070073"/>
    <w:rsid w:val="00070842"/>
    <w:rsid w:val="00071DD2"/>
    <w:rsid w:val="00071F3F"/>
    <w:rsid w:val="00072607"/>
    <w:rsid w:val="0007300F"/>
    <w:rsid w:val="00073811"/>
    <w:rsid w:val="00073F1F"/>
    <w:rsid w:val="000757D9"/>
    <w:rsid w:val="00076C17"/>
    <w:rsid w:val="00077ABA"/>
    <w:rsid w:val="00080359"/>
    <w:rsid w:val="0008036A"/>
    <w:rsid w:val="000806A0"/>
    <w:rsid w:val="00080779"/>
    <w:rsid w:val="00081031"/>
    <w:rsid w:val="00081665"/>
    <w:rsid w:val="00081EF0"/>
    <w:rsid w:val="000831B7"/>
    <w:rsid w:val="00084D6D"/>
    <w:rsid w:val="00087340"/>
    <w:rsid w:val="00087DCB"/>
    <w:rsid w:val="000907BD"/>
    <w:rsid w:val="00090A4E"/>
    <w:rsid w:val="00090F3C"/>
    <w:rsid w:val="00091C6D"/>
    <w:rsid w:val="00092171"/>
    <w:rsid w:val="00092220"/>
    <w:rsid w:val="00092449"/>
    <w:rsid w:val="00092DAD"/>
    <w:rsid w:val="000931E2"/>
    <w:rsid w:val="00094877"/>
    <w:rsid w:val="00095BCF"/>
    <w:rsid w:val="00095BF3"/>
    <w:rsid w:val="0009602B"/>
    <w:rsid w:val="00096A4E"/>
    <w:rsid w:val="00097477"/>
    <w:rsid w:val="0009763A"/>
    <w:rsid w:val="000A0E2F"/>
    <w:rsid w:val="000A1766"/>
    <w:rsid w:val="000A2618"/>
    <w:rsid w:val="000A2B7D"/>
    <w:rsid w:val="000A36E3"/>
    <w:rsid w:val="000A3FFB"/>
    <w:rsid w:val="000A554F"/>
    <w:rsid w:val="000A5A2B"/>
    <w:rsid w:val="000A7547"/>
    <w:rsid w:val="000A7D12"/>
    <w:rsid w:val="000B02F5"/>
    <w:rsid w:val="000B03F6"/>
    <w:rsid w:val="000B206C"/>
    <w:rsid w:val="000B3773"/>
    <w:rsid w:val="000B3B63"/>
    <w:rsid w:val="000B51B6"/>
    <w:rsid w:val="000B5CA1"/>
    <w:rsid w:val="000B5D4A"/>
    <w:rsid w:val="000B5E9A"/>
    <w:rsid w:val="000B70AE"/>
    <w:rsid w:val="000B76E2"/>
    <w:rsid w:val="000B7B9C"/>
    <w:rsid w:val="000B7F96"/>
    <w:rsid w:val="000C0098"/>
    <w:rsid w:val="000C00E7"/>
    <w:rsid w:val="000C02CE"/>
    <w:rsid w:val="000C02E1"/>
    <w:rsid w:val="000C08D0"/>
    <w:rsid w:val="000C0F2B"/>
    <w:rsid w:val="000C132C"/>
    <w:rsid w:val="000C311B"/>
    <w:rsid w:val="000C3E77"/>
    <w:rsid w:val="000C4024"/>
    <w:rsid w:val="000C4D87"/>
    <w:rsid w:val="000C5A11"/>
    <w:rsid w:val="000C63B1"/>
    <w:rsid w:val="000C670B"/>
    <w:rsid w:val="000C6A22"/>
    <w:rsid w:val="000C6A96"/>
    <w:rsid w:val="000C6CE2"/>
    <w:rsid w:val="000D0348"/>
    <w:rsid w:val="000D15CC"/>
    <w:rsid w:val="000D1FE0"/>
    <w:rsid w:val="000D37DA"/>
    <w:rsid w:val="000D3892"/>
    <w:rsid w:val="000D44CD"/>
    <w:rsid w:val="000D5EE5"/>
    <w:rsid w:val="000D709E"/>
    <w:rsid w:val="000D7F0C"/>
    <w:rsid w:val="000E47A3"/>
    <w:rsid w:val="000E527E"/>
    <w:rsid w:val="000E64F0"/>
    <w:rsid w:val="000E6B89"/>
    <w:rsid w:val="000F0014"/>
    <w:rsid w:val="000F0E45"/>
    <w:rsid w:val="000F14B5"/>
    <w:rsid w:val="000F1E01"/>
    <w:rsid w:val="000F268D"/>
    <w:rsid w:val="000F42BA"/>
    <w:rsid w:val="000F437D"/>
    <w:rsid w:val="000F5040"/>
    <w:rsid w:val="000F752B"/>
    <w:rsid w:val="000F774F"/>
    <w:rsid w:val="000F79B3"/>
    <w:rsid w:val="000F7F20"/>
    <w:rsid w:val="001010DF"/>
    <w:rsid w:val="00101D9C"/>
    <w:rsid w:val="00102FE5"/>
    <w:rsid w:val="001042F2"/>
    <w:rsid w:val="0010485F"/>
    <w:rsid w:val="00105C67"/>
    <w:rsid w:val="001062B0"/>
    <w:rsid w:val="0010725F"/>
    <w:rsid w:val="00107A02"/>
    <w:rsid w:val="00110E2D"/>
    <w:rsid w:val="001113DD"/>
    <w:rsid w:val="001115F9"/>
    <w:rsid w:val="00111B13"/>
    <w:rsid w:val="00112457"/>
    <w:rsid w:val="001140EF"/>
    <w:rsid w:val="0011413C"/>
    <w:rsid w:val="00114161"/>
    <w:rsid w:val="001141E6"/>
    <w:rsid w:val="0011450B"/>
    <w:rsid w:val="00114EC9"/>
    <w:rsid w:val="00115166"/>
    <w:rsid w:val="0011529F"/>
    <w:rsid w:val="001158CD"/>
    <w:rsid w:val="001164B1"/>
    <w:rsid w:val="00116C65"/>
    <w:rsid w:val="00117CA7"/>
    <w:rsid w:val="00117E52"/>
    <w:rsid w:val="001230CF"/>
    <w:rsid w:val="0012453C"/>
    <w:rsid w:val="00124BB9"/>
    <w:rsid w:val="00126545"/>
    <w:rsid w:val="0012719A"/>
    <w:rsid w:val="00127576"/>
    <w:rsid w:val="001275F5"/>
    <w:rsid w:val="00130B0C"/>
    <w:rsid w:val="00131158"/>
    <w:rsid w:val="00131D19"/>
    <w:rsid w:val="00131E11"/>
    <w:rsid w:val="00131FDE"/>
    <w:rsid w:val="00133B0D"/>
    <w:rsid w:val="00133B51"/>
    <w:rsid w:val="00134C77"/>
    <w:rsid w:val="00134F6C"/>
    <w:rsid w:val="001353A3"/>
    <w:rsid w:val="00135CD3"/>
    <w:rsid w:val="0013645B"/>
    <w:rsid w:val="00137890"/>
    <w:rsid w:val="00137B6F"/>
    <w:rsid w:val="00141EBC"/>
    <w:rsid w:val="00143311"/>
    <w:rsid w:val="0014369A"/>
    <w:rsid w:val="00143BAD"/>
    <w:rsid w:val="00143EA0"/>
    <w:rsid w:val="0014408E"/>
    <w:rsid w:val="001454F8"/>
    <w:rsid w:val="00145ADA"/>
    <w:rsid w:val="00146B6D"/>
    <w:rsid w:val="0015193B"/>
    <w:rsid w:val="00153A7E"/>
    <w:rsid w:val="00153B0D"/>
    <w:rsid w:val="00153B87"/>
    <w:rsid w:val="0015468C"/>
    <w:rsid w:val="0015702B"/>
    <w:rsid w:val="001575C7"/>
    <w:rsid w:val="00157948"/>
    <w:rsid w:val="00160208"/>
    <w:rsid w:val="00160D5D"/>
    <w:rsid w:val="00160F43"/>
    <w:rsid w:val="001637D7"/>
    <w:rsid w:val="001640EA"/>
    <w:rsid w:val="001654C4"/>
    <w:rsid w:val="00167948"/>
    <w:rsid w:val="00171D96"/>
    <w:rsid w:val="00172E61"/>
    <w:rsid w:val="001738EF"/>
    <w:rsid w:val="00173B66"/>
    <w:rsid w:val="00173F05"/>
    <w:rsid w:val="00173FEF"/>
    <w:rsid w:val="001759C0"/>
    <w:rsid w:val="00176590"/>
    <w:rsid w:val="0018030D"/>
    <w:rsid w:val="00180457"/>
    <w:rsid w:val="00180DF0"/>
    <w:rsid w:val="00182D3C"/>
    <w:rsid w:val="00184962"/>
    <w:rsid w:val="00185071"/>
    <w:rsid w:val="00186ABE"/>
    <w:rsid w:val="00187E5D"/>
    <w:rsid w:val="00190C18"/>
    <w:rsid w:val="00191131"/>
    <w:rsid w:val="00191832"/>
    <w:rsid w:val="00191C99"/>
    <w:rsid w:val="00193F92"/>
    <w:rsid w:val="00194549"/>
    <w:rsid w:val="00196947"/>
    <w:rsid w:val="00197665"/>
    <w:rsid w:val="001A05EC"/>
    <w:rsid w:val="001A15A6"/>
    <w:rsid w:val="001A1723"/>
    <w:rsid w:val="001A1B69"/>
    <w:rsid w:val="001A1D95"/>
    <w:rsid w:val="001A2B49"/>
    <w:rsid w:val="001A34D0"/>
    <w:rsid w:val="001A47F8"/>
    <w:rsid w:val="001A498C"/>
    <w:rsid w:val="001A4CDF"/>
    <w:rsid w:val="001B0564"/>
    <w:rsid w:val="001B20A7"/>
    <w:rsid w:val="001B2792"/>
    <w:rsid w:val="001B2D08"/>
    <w:rsid w:val="001B3122"/>
    <w:rsid w:val="001B4DD4"/>
    <w:rsid w:val="001B4EA9"/>
    <w:rsid w:val="001B60BF"/>
    <w:rsid w:val="001B70AA"/>
    <w:rsid w:val="001B7394"/>
    <w:rsid w:val="001B75B7"/>
    <w:rsid w:val="001B786F"/>
    <w:rsid w:val="001C3519"/>
    <w:rsid w:val="001C4207"/>
    <w:rsid w:val="001C42A1"/>
    <w:rsid w:val="001C47EC"/>
    <w:rsid w:val="001C4AA8"/>
    <w:rsid w:val="001C4CFC"/>
    <w:rsid w:val="001C5D43"/>
    <w:rsid w:val="001C69CB"/>
    <w:rsid w:val="001C6AD3"/>
    <w:rsid w:val="001C6D98"/>
    <w:rsid w:val="001C7030"/>
    <w:rsid w:val="001C7132"/>
    <w:rsid w:val="001C7918"/>
    <w:rsid w:val="001C7993"/>
    <w:rsid w:val="001D093B"/>
    <w:rsid w:val="001D0BE0"/>
    <w:rsid w:val="001D1AAA"/>
    <w:rsid w:val="001D24DC"/>
    <w:rsid w:val="001D2D72"/>
    <w:rsid w:val="001D2F71"/>
    <w:rsid w:val="001D2FDE"/>
    <w:rsid w:val="001D30E2"/>
    <w:rsid w:val="001D3410"/>
    <w:rsid w:val="001D3F60"/>
    <w:rsid w:val="001D41B3"/>
    <w:rsid w:val="001D4323"/>
    <w:rsid w:val="001D4C40"/>
    <w:rsid w:val="001D56B8"/>
    <w:rsid w:val="001D70F5"/>
    <w:rsid w:val="001D7DFD"/>
    <w:rsid w:val="001E3D67"/>
    <w:rsid w:val="001E3E06"/>
    <w:rsid w:val="001E3E42"/>
    <w:rsid w:val="001E4597"/>
    <w:rsid w:val="001E54ED"/>
    <w:rsid w:val="001E59E5"/>
    <w:rsid w:val="001E63AD"/>
    <w:rsid w:val="001E745D"/>
    <w:rsid w:val="001F03CA"/>
    <w:rsid w:val="001F1493"/>
    <w:rsid w:val="001F3D20"/>
    <w:rsid w:val="001F3E4E"/>
    <w:rsid w:val="001F528D"/>
    <w:rsid w:val="001F593D"/>
    <w:rsid w:val="001F7ABE"/>
    <w:rsid w:val="00200830"/>
    <w:rsid w:val="00200843"/>
    <w:rsid w:val="00200A4B"/>
    <w:rsid w:val="002013BF"/>
    <w:rsid w:val="00201790"/>
    <w:rsid w:val="002020AE"/>
    <w:rsid w:val="00202306"/>
    <w:rsid w:val="002037C3"/>
    <w:rsid w:val="00203EE8"/>
    <w:rsid w:val="00204FEC"/>
    <w:rsid w:val="00205012"/>
    <w:rsid w:val="0020550B"/>
    <w:rsid w:val="0020693C"/>
    <w:rsid w:val="00206A10"/>
    <w:rsid w:val="00206A3B"/>
    <w:rsid w:val="00206F43"/>
    <w:rsid w:val="00206FD0"/>
    <w:rsid w:val="002073D2"/>
    <w:rsid w:val="00207702"/>
    <w:rsid w:val="00207B1E"/>
    <w:rsid w:val="00207F13"/>
    <w:rsid w:val="00212F02"/>
    <w:rsid w:val="00213FD8"/>
    <w:rsid w:val="00214E90"/>
    <w:rsid w:val="0021554F"/>
    <w:rsid w:val="002166C1"/>
    <w:rsid w:val="00216FBA"/>
    <w:rsid w:val="00217F6A"/>
    <w:rsid w:val="002204DB"/>
    <w:rsid w:val="002205F5"/>
    <w:rsid w:val="00220A9E"/>
    <w:rsid w:val="00221A4D"/>
    <w:rsid w:val="00221E29"/>
    <w:rsid w:val="0022226C"/>
    <w:rsid w:val="0022345A"/>
    <w:rsid w:val="002236F2"/>
    <w:rsid w:val="00223CCD"/>
    <w:rsid w:val="002253CA"/>
    <w:rsid w:val="00225F76"/>
    <w:rsid w:val="002267C8"/>
    <w:rsid w:val="002268F9"/>
    <w:rsid w:val="00226C3B"/>
    <w:rsid w:val="002273F9"/>
    <w:rsid w:val="00227BF6"/>
    <w:rsid w:val="00227EA5"/>
    <w:rsid w:val="00230B9B"/>
    <w:rsid w:val="00232959"/>
    <w:rsid w:val="002331D3"/>
    <w:rsid w:val="00233B8B"/>
    <w:rsid w:val="00235751"/>
    <w:rsid w:val="00240300"/>
    <w:rsid w:val="00240586"/>
    <w:rsid w:val="002413E0"/>
    <w:rsid w:val="00241E6A"/>
    <w:rsid w:val="0024236B"/>
    <w:rsid w:val="002442F4"/>
    <w:rsid w:val="00244325"/>
    <w:rsid w:val="002456EC"/>
    <w:rsid w:val="002461E8"/>
    <w:rsid w:val="00246E0F"/>
    <w:rsid w:val="0025002C"/>
    <w:rsid w:val="002511EA"/>
    <w:rsid w:val="00251F01"/>
    <w:rsid w:val="00256760"/>
    <w:rsid w:val="00256F4C"/>
    <w:rsid w:val="00257805"/>
    <w:rsid w:val="00257EC4"/>
    <w:rsid w:val="00260CDB"/>
    <w:rsid w:val="00260F39"/>
    <w:rsid w:val="002610C3"/>
    <w:rsid w:val="00261F51"/>
    <w:rsid w:val="00262822"/>
    <w:rsid w:val="00262DE0"/>
    <w:rsid w:val="00263B46"/>
    <w:rsid w:val="002642D5"/>
    <w:rsid w:val="00264312"/>
    <w:rsid w:val="002644C1"/>
    <w:rsid w:val="002652D4"/>
    <w:rsid w:val="0026636C"/>
    <w:rsid w:val="0026798E"/>
    <w:rsid w:val="002709A3"/>
    <w:rsid w:val="00273249"/>
    <w:rsid w:val="00273A21"/>
    <w:rsid w:val="00273C6D"/>
    <w:rsid w:val="00273D09"/>
    <w:rsid w:val="00274D45"/>
    <w:rsid w:val="002768DC"/>
    <w:rsid w:val="002774B0"/>
    <w:rsid w:val="00282E7D"/>
    <w:rsid w:val="00286C0E"/>
    <w:rsid w:val="0028740C"/>
    <w:rsid w:val="00290260"/>
    <w:rsid w:val="002908AA"/>
    <w:rsid w:val="00294BEF"/>
    <w:rsid w:val="0029507E"/>
    <w:rsid w:val="002952C2"/>
    <w:rsid w:val="00296684"/>
    <w:rsid w:val="00296EC3"/>
    <w:rsid w:val="00297C67"/>
    <w:rsid w:val="002A0BBD"/>
    <w:rsid w:val="002A1B40"/>
    <w:rsid w:val="002A1E3B"/>
    <w:rsid w:val="002A1E90"/>
    <w:rsid w:val="002A203E"/>
    <w:rsid w:val="002A2E29"/>
    <w:rsid w:val="002A2E36"/>
    <w:rsid w:val="002A33E9"/>
    <w:rsid w:val="002A517B"/>
    <w:rsid w:val="002A5517"/>
    <w:rsid w:val="002A56E1"/>
    <w:rsid w:val="002A5F88"/>
    <w:rsid w:val="002A6E3E"/>
    <w:rsid w:val="002A7BD9"/>
    <w:rsid w:val="002B05E1"/>
    <w:rsid w:val="002B0627"/>
    <w:rsid w:val="002B0BEF"/>
    <w:rsid w:val="002B209F"/>
    <w:rsid w:val="002B26AF"/>
    <w:rsid w:val="002B37CB"/>
    <w:rsid w:val="002B439C"/>
    <w:rsid w:val="002B4E17"/>
    <w:rsid w:val="002B5930"/>
    <w:rsid w:val="002B5B4B"/>
    <w:rsid w:val="002B6D94"/>
    <w:rsid w:val="002C058A"/>
    <w:rsid w:val="002C178B"/>
    <w:rsid w:val="002C3AD3"/>
    <w:rsid w:val="002C4178"/>
    <w:rsid w:val="002C4A17"/>
    <w:rsid w:val="002D084B"/>
    <w:rsid w:val="002D159A"/>
    <w:rsid w:val="002D160C"/>
    <w:rsid w:val="002D3119"/>
    <w:rsid w:val="002D333E"/>
    <w:rsid w:val="002D33F5"/>
    <w:rsid w:val="002D3401"/>
    <w:rsid w:val="002D5840"/>
    <w:rsid w:val="002D6E4A"/>
    <w:rsid w:val="002D7178"/>
    <w:rsid w:val="002D72F3"/>
    <w:rsid w:val="002D7AD8"/>
    <w:rsid w:val="002E026C"/>
    <w:rsid w:val="002E0321"/>
    <w:rsid w:val="002E04F8"/>
    <w:rsid w:val="002E1B62"/>
    <w:rsid w:val="002E1C4D"/>
    <w:rsid w:val="002E2B8F"/>
    <w:rsid w:val="002E308D"/>
    <w:rsid w:val="002E3537"/>
    <w:rsid w:val="002E44A8"/>
    <w:rsid w:val="002E5047"/>
    <w:rsid w:val="002E647C"/>
    <w:rsid w:val="002E6933"/>
    <w:rsid w:val="002E779B"/>
    <w:rsid w:val="002E7D1C"/>
    <w:rsid w:val="002E7E8F"/>
    <w:rsid w:val="002E7FC7"/>
    <w:rsid w:val="002F05A1"/>
    <w:rsid w:val="002F12A1"/>
    <w:rsid w:val="002F139D"/>
    <w:rsid w:val="002F1B13"/>
    <w:rsid w:val="002F24F5"/>
    <w:rsid w:val="002F2C70"/>
    <w:rsid w:val="002F320D"/>
    <w:rsid w:val="002F3F34"/>
    <w:rsid w:val="002F468A"/>
    <w:rsid w:val="002F6456"/>
    <w:rsid w:val="002F68C1"/>
    <w:rsid w:val="002F79D9"/>
    <w:rsid w:val="002F7BA4"/>
    <w:rsid w:val="002F7BE9"/>
    <w:rsid w:val="0030052F"/>
    <w:rsid w:val="003009AB"/>
    <w:rsid w:val="00300D3C"/>
    <w:rsid w:val="00301204"/>
    <w:rsid w:val="00302498"/>
    <w:rsid w:val="00302AA0"/>
    <w:rsid w:val="00302E2A"/>
    <w:rsid w:val="0030374A"/>
    <w:rsid w:val="00303C33"/>
    <w:rsid w:val="0030407D"/>
    <w:rsid w:val="003048ED"/>
    <w:rsid w:val="00305EB8"/>
    <w:rsid w:val="00306AF3"/>
    <w:rsid w:val="00310D60"/>
    <w:rsid w:val="00311F10"/>
    <w:rsid w:val="0031275F"/>
    <w:rsid w:val="0031339D"/>
    <w:rsid w:val="00314EC5"/>
    <w:rsid w:val="0031508B"/>
    <w:rsid w:val="0031611A"/>
    <w:rsid w:val="003201A8"/>
    <w:rsid w:val="0032188D"/>
    <w:rsid w:val="00322E3C"/>
    <w:rsid w:val="00323BBD"/>
    <w:rsid w:val="0032610F"/>
    <w:rsid w:val="0032694B"/>
    <w:rsid w:val="00326BAB"/>
    <w:rsid w:val="00326C7C"/>
    <w:rsid w:val="0032717B"/>
    <w:rsid w:val="0033049F"/>
    <w:rsid w:val="003317A7"/>
    <w:rsid w:val="00332550"/>
    <w:rsid w:val="00332D7C"/>
    <w:rsid w:val="00334E09"/>
    <w:rsid w:val="00335F2F"/>
    <w:rsid w:val="0033646B"/>
    <w:rsid w:val="00336A37"/>
    <w:rsid w:val="00337B0C"/>
    <w:rsid w:val="00343C5E"/>
    <w:rsid w:val="00343C69"/>
    <w:rsid w:val="00343CB4"/>
    <w:rsid w:val="003478BD"/>
    <w:rsid w:val="003506F4"/>
    <w:rsid w:val="003506FD"/>
    <w:rsid w:val="00350F17"/>
    <w:rsid w:val="00351DD5"/>
    <w:rsid w:val="003524B3"/>
    <w:rsid w:val="00352609"/>
    <w:rsid w:val="00352A96"/>
    <w:rsid w:val="003552F6"/>
    <w:rsid w:val="00355B88"/>
    <w:rsid w:val="0035610E"/>
    <w:rsid w:val="003569D3"/>
    <w:rsid w:val="00357099"/>
    <w:rsid w:val="00360AE4"/>
    <w:rsid w:val="00362191"/>
    <w:rsid w:val="00362223"/>
    <w:rsid w:val="003628FE"/>
    <w:rsid w:val="00362D1F"/>
    <w:rsid w:val="00367D5B"/>
    <w:rsid w:val="00370F8C"/>
    <w:rsid w:val="003710A9"/>
    <w:rsid w:val="00373C54"/>
    <w:rsid w:val="00376B02"/>
    <w:rsid w:val="00380642"/>
    <w:rsid w:val="00380CB9"/>
    <w:rsid w:val="00381236"/>
    <w:rsid w:val="00381460"/>
    <w:rsid w:val="003827DE"/>
    <w:rsid w:val="00382F88"/>
    <w:rsid w:val="003830FE"/>
    <w:rsid w:val="00383CAC"/>
    <w:rsid w:val="00384E61"/>
    <w:rsid w:val="00384EEA"/>
    <w:rsid w:val="0038629B"/>
    <w:rsid w:val="00386753"/>
    <w:rsid w:val="00386F71"/>
    <w:rsid w:val="00387B09"/>
    <w:rsid w:val="0039026C"/>
    <w:rsid w:val="003911C4"/>
    <w:rsid w:val="0039374B"/>
    <w:rsid w:val="00394069"/>
    <w:rsid w:val="00394137"/>
    <w:rsid w:val="003954A4"/>
    <w:rsid w:val="00395A74"/>
    <w:rsid w:val="00395C69"/>
    <w:rsid w:val="00395F5A"/>
    <w:rsid w:val="00397677"/>
    <w:rsid w:val="00397B64"/>
    <w:rsid w:val="00397F52"/>
    <w:rsid w:val="003A1199"/>
    <w:rsid w:val="003A19C1"/>
    <w:rsid w:val="003A1C10"/>
    <w:rsid w:val="003A29F7"/>
    <w:rsid w:val="003A3A6A"/>
    <w:rsid w:val="003A3ACC"/>
    <w:rsid w:val="003A4275"/>
    <w:rsid w:val="003A5956"/>
    <w:rsid w:val="003A60FA"/>
    <w:rsid w:val="003A729E"/>
    <w:rsid w:val="003A7324"/>
    <w:rsid w:val="003A7F65"/>
    <w:rsid w:val="003B0F78"/>
    <w:rsid w:val="003B2980"/>
    <w:rsid w:val="003B2F54"/>
    <w:rsid w:val="003B3B86"/>
    <w:rsid w:val="003B3BE9"/>
    <w:rsid w:val="003B4347"/>
    <w:rsid w:val="003B4359"/>
    <w:rsid w:val="003B440B"/>
    <w:rsid w:val="003B535B"/>
    <w:rsid w:val="003B5746"/>
    <w:rsid w:val="003B6928"/>
    <w:rsid w:val="003B6A47"/>
    <w:rsid w:val="003B732A"/>
    <w:rsid w:val="003B7EE3"/>
    <w:rsid w:val="003C1F19"/>
    <w:rsid w:val="003C5445"/>
    <w:rsid w:val="003C7178"/>
    <w:rsid w:val="003C783F"/>
    <w:rsid w:val="003D0111"/>
    <w:rsid w:val="003D1668"/>
    <w:rsid w:val="003D19A0"/>
    <w:rsid w:val="003D1EBD"/>
    <w:rsid w:val="003D35CA"/>
    <w:rsid w:val="003D3760"/>
    <w:rsid w:val="003D3B61"/>
    <w:rsid w:val="003D3E88"/>
    <w:rsid w:val="003D49CE"/>
    <w:rsid w:val="003D4EF2"/>
    <w:rsid w:val="003D536C"/>
    <w:rsid w:val="003D5655"/>
    <w:rsid w:val="003D74FC"/>
    <w:rsid w:val="003D793F"/>
    <w:rsid w:val="003E1069"/>
    <w:rsid w:val="003E39EA"/>
    <w:rsid w:val="003E4488"/>
    <w:rsid w:val="003E448D"/>
    <w:rsid w:val="003E6185"/>
    <w:rsid w:val="003E6EEB"/>
    <w:rsid w:val="003F063F"/>
    <w:rsid w:val="003F18C7"/>
    <w:rsid w:val="003F1951"/>
    <w:rsid w:val="003F1EAD"/>
    <w:rsid w:val="003F2DE0"/>
    <w:rsid w:val="003F34ED"/>
    <w:rsid w:val="003F3BA6"/>
    <w:rsid w:val="003F6B35"/>
    <w:rsid w:val="003F6ECD"/>
    <w:rsid w:val="003F7C31"/>
    <w:rsid w:val="004001D0"/>
    <w:rsid w:val="004001F5"/>
    <w:rsid w:val="004025C0"/>
    <w:rsid w:val="00403F7B"/>
    <w:rsid w:val="0040400D"/>
    <w:rsid w:val="00405ECD"/>
    <w:rsid w:val="004060B8"/>
    <w:rsid w:val="00406BAE"/>
    <w:rsid w:val="00407037"/>
    <w:rsid w:val="0041074E"/>
    <w:rsid w:val="004131CB"/>
    <w:rsid w:val="004131DF"/>
    <w:rsid w:val="0041345D"/>
    <w:rsid w:val="004145A3"/>
    <w:rsid w:val="0041583B"/>
    <w:rsid w:val="00416E80"/>
    <w:rsid w:val="00421772"/>
    <w:rsid w:val="00421B3B"/>
    <w:rsid w:val="004220E2"/>
    <w:rsid w:val="00423A50"/>
    <w:rsid w:val="0042518D"/>
    <w:rsid w:val="0042570C"/>
    <w:rsid w:val="00426999"/>
    <w:rsid w:val="00430C5E"/>
    <w:rsid w:val="00431EEC"/>
    <w:rsid w:val="00433793"/>
    <w:rsid w:val="00433BB5"/>
    <w:rsid w:val="00435724"/>
    <w:rsid w:val="00436782"/>
    <w:rsid w:val="00436919"/>
    <w:rsid w:val="00436C12"/>
    <w:rsid w:val="004400A1"/>
    <w:rsid w:val="0044045B"/>
    <w:rsid w:val="00442245"/>
    <w:rsid w:val="00442A66"/>
    <w:rsid w:val="00443430"/>
    <w:rsid w:val="00443CD5"/>
    <w:rsid w:val="00444C11"/>
    <w:rsid w:val="00445D85"/>
    <w:rsid w:val="0044700D"/>
    <w:rsid w:val="00447050"/>
    <w:rsid w:val="00447249"/>
    <w:rsid w:val="00451D65"/>
    <w:rsid w:val="00451FC3"/>
    <w:rsid w:val="004528ED"/>
    <w:rsid w:val="00453E2A"/>
    <w:rsid w:val="00454004"/>
    <w:rsid w:val="004540B7"/>
    <w:rsid w:val="0045419E"/>
    <w:rsid w:val="004544A8"/>
    <w:rsid w:val="00455057"/>
    <w:rsid w:val="00456079"/>
    <w:rsid w:val="004560C1"/>
    <w:rsid w:val="0045721B"/>
    <w:rsid w:val="004577F9"/>
    <w:rsid w:val="00457948"/>
    <w:rsid w:val="00457B58"/>
    <w:rsid w:val="004608DF"/>
    <w:rsid w:val="00461944"/>
    <w:rsid w:val="00461F42"/>
    <w:rsid w:val="00462578"/>
    <w:rsid w:val="00462CFB"/>
    <w:rsid w:val="00463AE1"/>
    <w:rsid w:val="00464746"/>
    <w:rsid w:val="00465AA9"/>
    <w:rsid w:val="00465BD0"/>
    <w:rsid w:val="004679E5"/>
    <w:rsid w:val="00470D7D"/>
    <w:rsid w:val="0047130D"/>
    <w:rsid w:val="004751EA"/>
    <w:rsid w:val="004752B2"/>
    <w:rsid w:val="00475BA5"/>
    <w:rsid w:val="004761C6"/>
    <w:rsid w:val="00476DA7"/>
    <w:rsid w:val="00480CCC"/>
    <w:rsid w:val="004816BA"/>
    <w:rsid w:val="00482344"/>
    <w:rsid w:val="00484164"/>
    <w:rsid w:val="004843E0"/>
    <w:rsid w:val="00484C81"/>
    <w:rsid w:val="00485F72"/>
    <w:rsid w:val="004862BA"/>
    <w:rsid w:val="004866DE"/>
    <w:rsid w:val="004872FF"/>
    <w:rsid w:val="00491CCB"/>
    <w:rsid w:val="00491E65"/>
    <w:rsid w:val="004942BE"/>
    <w:rsid w:val="004948DC"/>
    <w:rsid w:val="004A0F74"/>
    <w:rsid w:val="004A3A57"/>
    <w:rsid w:val="004A4601"/>
    <w:rsid w:val="004A5504"/>
    <w:rsid w:val="004A65BE"/>
    <w:rsid w:val="004A6C7B"/>
    <w:rsid w:val="004A7DA2"/>
    <w:rsid w:val="004B0300"/>
    <w:rsid w:val="004B1688"/>
    <w:rsid w:val="004B3390"/>
    <w:rsid w:val="004B57D7"/>
    <w:rsid w:val="004B643E"/>
    <w:rsid w:val="004B6550"/>
    <w:rsid w:val="004C0CD1"/>
    <w:rsid w:val="004C257E"/>
    <w:rsid w:val="004C2940"/>
    <w:rsid w:val="004C2952"/>
    <w:rsid w:val="004C2B0D"/>
    <w:rsid w:val="004C2DD9"/>
    <w:rsid w:val="004C2EDA"/>
    <w:rsid w:val="004C490E"/>
    <w:rsid w:val="004C4C15"/>
    <w:rsid w:val="004C5166"/>
    <w:rsid w:val="004C65AE"/>
    <w:rsid w:val="004C7341"/>
    <w:rsid w:val="004C76B1"/>
    <w:rsid w:val="004D04D5"/>
    <w:rsid w:val="004D33D8"/>
    <w:rsid w:val="004D5AC3"/>
    <w:rsid w:val="004D6379"/>
    <w:rsid w:val="004D6CC6"/>
    <w:rsid w:val="004D7622"/>
    <w:rsid w:val="004D7A18"/>
    <w:rsid w:val="004D7A8C"/>
    <w:rsid w:val="004E08EE"/>
    <w:rsid w:val="004E1F6D"/>
    <w:rsid w:val="004E3AF6"/>
    <w:rsid w:val="004E5E60"/>
    <w:rsid w:val="004E61F1"/>
    <w:rsid w:val="004E62B4"/>
    <w:rsid w:val="004E77E4"/>
    <w:rsid w:val="004F1060"/>
    <w:rsid w:val="004F20B0"/>
    <w:rsid w:val="004F27EF"/>
    <w:rsid w:val="004F2D46"/>
    <w:rsid w:val="004F2F00"/>
    <w:rsid w:val="004F360F"/>
    <w:rsid w:val="004F5AA5"/>
    <w:rsid w:val="004F5D92"/>
    <w:rsid w:val="0050025C"/>
    <w:rsid w:val="00500389"/>
    <w:rsid w:val="0050070E"/>
    <w:rsid w:val="00500E43"/>
    <w:rsid w:val="0050395E"/>
    <w:rsid w:val="0050408D"/>
    <w:rsid w:val="00504B98"/>
    <w:rsid w:val="0050580E"/>
    <w:rsid w:val="00505942"/>
    <w:rsid w:val="00505CFA"/>
    <w:rsid w:val="005067B7"/>
    <w:rsid w:val="005068D6"/>
    <w:rsid w:val="00507AE4"/>
    <w:rsid w:val="00510B32"/>
    <w:rsid w:val="005118DC"/>
    <w:rsid w:val="00511E29"/>
    <w:rsid w:val="00511EC5"/>
    <w:rsid w:val="00511FAA"/>
    <w:rsid w:val="0051272D"/>
    <w:rsid w:val="00512B2C"/>
    <w:rsid w:val="00512F13"/>
    <w:rsid w:val="00513513"/>
    <w:rsid w:val="0051425F"/>
    <w:rsid w:val="00514C3A"/>
    <w:rsid w:val="00515243"/>
    <w:rsid w:val="00516512"/>
    <w:rsid w:val="00516C6A"/>
    <w:rsid w:val="00517EB3"/>
    <w:rsid w:val="005218C8"/>
    <w:rsid w:val="00522BBD"/>
    <w:rsid w:val="005235D6"/>
    <w:rsid w:val="00523B40"/>
    <w:rsid w:val="00524348"/>
    <w:rsid w:val="005249C7"/>
    <w:rsid w:val="00524C41"/>
    <w:rsid w:val="005255C2"/>
    <w:rsid w:val="00525639"/>
    <w:rsid w:val="00525A1F"/>
    <w:rsid w:val="00525C00"/>
    <w:rsid w:val="0052625D"/>
    <w:rsid w:val="005270CA"/>
    <w:rsid w:val="00531824"/>
    <w:rsid w:val="005322A8"/>
    <w:rsid w:val="005323C7"/>
    <w:rsid w:val="005328A0"/>
    <w:rsid w:val="00532D86"/>
    <w:rsid w:val="005335E6"/>
    <w:rsid w:val="00535461"/>
    <w:rsid w:val="0053588B"/>
    <w:rsid w:val="00535C23"/>
    <w:rsid w:val="00535F0C"/>
    <w:rsid w:val="005369CD"/>
    <w:rsid w:val="00536D72"/>
    <w:rsid w:val="005378F6"/>
    <w:rsid w:val="0053799A"/>
    <w:rsid w:val="00541F36"/>
    <w:rsid w:val="00542C8F"/>
    <w:rsid w:val="00543F64"/>
    <w:rsid w:val="00544281"/>
    <w:rsid w:val="0054555B"/>
    <w:rsid w:val="005455F7"/>
    <w:rsid w:val="0054629B"/>
    <w:rsid w:val="005505AC"/>
    <w:rsid w:val="00550965"/>
    <w:rsid w:val="0055099F"/>
    <w:rsid w:val="00550B6B"/>
    <w:rsid w:val="00551309"/>
    <w:rsid w:val="0055146C"/>
    <w:rsid w:val="005533AC"/>
    <w:rsid w:val="00553D20"/>
    <w:rsid w:val="00553EA2"/>
    <w:rsid w:val="00553FEA"/>
    <w:rsid w:val="0055407D"/>
    <w:rsid w:val="00554088"/>
    <w:rsid w:val="00554D66"/>
    <w:rsid w:val="00554FFA"/>
    <w:rsid w:val="00555144"/>
    <w:rsid w:val="005557E1"/>
    <w:rsid w:val="00556609"/>
    <w:rsid w:val="00556DA2"/>
    <w:rsid w:val="00556EAE"/>
    <w:rsid w:val="005576CA"/>
    <w:rsid w:val="005579C9"/>
    <w:rsid w:val="00560FB9"/>
    <w:rsid w:val="00560FC1"/>
    <w:rsid w:val="00562385"/>
    <w:rsid w:val="00562691"/>
    <w:rsid w:val="00562B71"/>
    <w:rsid w:val="00562E02"/>
    <w:rsid w:val="005638FE"/>
    <w:rsid w:val="00563CA5"/>
    <w:rsid w:val="005643A7"/>
    <w:rsid w:val="00565792"/>
    <w:rsid w:val="00566ACD"/>
    <w:rsid w:val="00567385"/>
    <w:rsid w:val="005678B1"/>
    <w:rsid w:val="00570871"/>
    <w:rsid w:val="00572301"/>
    <w:rsid w:val="005724DD"/>
    <w:rsid w:val="005727F6"/>
    <w:rsid w:val="0057459B"/>
    <w:rsid w:val="005774AA"/>
    <w:rsid w:val="0057761B"/>
    <w:rsid w:val="0058024C"/>
    <w:rsid w:val="005809C7"/>
    <w:rsid w:val="00580F31"/>
    <w:rsid w:val="0058146F"/>
    <w:rsid w:val="0058228D"/>
    <w:rsid w:val="00582784"/>
    <w:rsid w:val="00583D69"/>
    <w:rsid w:val="00584818"/>
    <w:rsid w:val="00584EE5"/>
    <w:rsid w:val="00585015"/>
    <w:rsid w:val="00585B56"/>
    <w:rsid w:val="00591991"/>
    <w:rsid w:val="0059205C"/>
    <w:rsid w:val="005941E0"/>
    <w:rsid w:val="00594266"/>
    <w:rsid w:val="005945BA"/>
    <w:rsid w:val="0059615F"/>
    <w:rsid w:val="0059632E"/>
    <w:rsid w:val="0059647B"/>
    <w:rsid w:val="00596E36"/>
    <w:rsid w:val="005A0C3E"/>
    <w:rsid w:val="005A1083"/>
    <w:rsid w:val="005A2F7A"/>
    <w:rsid w:val="005A4241"/>
    <w:rsid w:val="005A5172"/>
    <w:rsid w:val="005A5F9E"/>
    <w:rsid w:val="005A617F"/>
    <w:rsid w:val="005A6560"/>
    <w:rsid w:val="005A6634"/>
    <w:rsid w:val="005A676F"/>
    <w:rsid w:val="005A6B56"/>
    <w:rsid w:val="005A6E47"/>
    <w:rsid w:val="005A6E6D"/>
    <w:rsid w:val="005A7348"/>
    <w:rsid w:val="005A76D4"/>
    <w:rsid w:val="005B533B"/>
    <w:rsid w:val="005B628B"/>
    <w:rsid w:val="005B70A0"/>
    <w:rsid w:val="005B70BB"/>
    <w:rsid w:val="005B7207"/>
    <w:rsid w:val="005B73AA"/>
    <w:rsid w:val="005C0182"/>
    <w:rsid w:val="005C07D5"/>
    <w:rsid w:val="005C12E5"/>
    <w:rsid w:val="005C294B"/>
    <w:rsid w:val="005C2F43"/>
    <w:rsid w:val="005C3454"/>
    <w:rsid w:val="005C3463"/>
    <w:rsid w:val="005C4324"/>
    <w:rsid w:val="005C47CD"/>
    <w:rsid w:val="005C5FF6"/>
    <w:rsid w:val="005C6D32"/>
    <w:rsid w:val="005C77B0"/>
    <w:rsid w:val="005D3CA5"/>
    <w:rsid w:val="005D4A5B"/>
    <w:rsid w:val="005D53CD"/>
    <w:rsid w:val="005D74AF"/>
    <w:rsid w:val="005D75C9"/>
    <w:rsid w:val="005D7BA9"/>
    <w:rsid w:val="005E0309"/>
    <w:rsid w:val="005E1074"/>
    <w:rsid w:val="005E28C0"/>
    <w:rsid w:val="005E36C0"/>
    <w:rsid w:val="005E411A"/>
    <w:rsid w:val="005E41D0"/>
    <w:rsid w:val="005E46AF"/>
    <w:rsid w:val="005E561B"/>
    <w:rsid w:val="005E6D9B"/>
    <w:rsid w:val="005E7E26"/>
    <w:rsid w:val="005F3C2A"/>
    <w:rsid w:val="005F436A"/>
    <w:rsid w:val="005F4F9D"/>
    <w:rsid w:val="005F50D9"/>
    <w:rsid w:val="005F5375"/>
    <w:rsid w:val="005F6881"/>
    <w:rsid w:val="005F6976"/>
    <w:rsid w:val="005F7455"/>
    <w:rsid w:val="005F7CDF"/>
    <w:rsid w:val="00600D5D"/>
    <w:rsid w:val="0060267E"/>
    <w:rsid w:val="00602810"/>
    <w:rsid w:val="00602CB2"/>
    <w:rsid w:val="0060329A"/>
    <w:rsid w:val="00603ACD"/>
    <w:rsid w:val="00604C6C"/>
    <w:rsid w:val="00607AC7"/>
    <w:rsid w:val="00607B9E"/>
    <w:rsid w:val="00607C30"/>
    <w:rsid w:val="00610086"/>
    <w:rsid w:val="0061077B"/>
    <w:rsid w:val="00611278"/>
    <w:rsid w:val="006117D3"/>
    <w:rsid w:val="0061180E"/>
    <w:rsid w:val="006124E4"/>
    <w:rsid w:val="0061575F"/>
    <w:rsid w:val="006161AF"/>
    <w:rsid w:val="00616516"/>
    <w:rsid w:val="006214AD"/>
    <w:rsid w:val="0062192A"/>
    <w:rsid w:val="00621F0B"/>
    <w:rsid w:val="006232FC"/>
    <w:rsid w:val="00623B1F"/>
    <w:rsid w:val="00623D69"/>
    <w:rsid w:val="006241DF"/>
    <w:rsid w:val="0062496A"/>
    <w:rsid w:val="00625965"/>
    <w:rsid w:val="00625AFD"/>
    <w:rsid w:val="00625B44"/>
    <w:rsid w:val="00625EC4"/>
    <w:rsid w:val="0062650C"/>
    <w:rsid w:val="00626562"/>
    <w:rsid w:val="00626B1B"/>
    <w:rsid w:val="00626C50"/>
    <w:rsid w:val="00627282"/>
    <w:rsid w:val="00627CB4"/>
    <w:rsid w:val="00630585"/>
    <w:rsid w:val="00630733"/>
    <w:rsid w:val="00631478"/>
    <w:rsid w:val="00631606"/>
    <w:rsid w:val="00631E30"/>
    <w:rsid w:val="00632838"/>
    <w:rsid w:val="00632C1F"/>
    <w:rsid w:val="00633C8F"/>
    <w:rsid w:val="00633E53"/>
    <w:rsid w:val="00634114"/>
    <w:rsid w:val="00634274"/>
    <w:rsid w:val="00634FC9"/>
    <w:rsid w:val="00635031"/>
    <w:rsid w:val="00635253"/>
    <w:rsid w:val="006353A6"/>
    <w:rsid w:val="006357A4"/>
    <w:rsid w:val="006364BB"/>
    <w:rsid w:val="00636C8E"/>
    <w:rsid w:val="006401F5"/>
    <w:rsid w:val="006410A0"/>
    <w:rsid w:val="006414B1"/>
    <w:rsid w:val="00641549"/>
    <w:rsid w:val="00641E5F"/>
    <w:rsid w:val="00641FC3"/>
    <w:rsid w:val="00642012"/>
    <w:rsid w:val="006427D9"/>
    <w:rsid w:val="00642B1B"/>
    <w:rsid w:val="00643AEB"/>
    <w:rsid w:val="00643C36"/>
    <w:rsid w:val="00644B6A"/>
    <w:rsid w:val="006454C0"/>
    <w:rsid w:val="00646C0A"/>
    <w:rsid w:val="00646CF0"/>
    <w:rsid w:val="0064755F"/>
    <w:rsid w:val="006478C4"/>
    <w:rsid w:val="00647D30"/>
    <w:rsid w:val="00647E93"/>
    <w:rsid w:val="006514BA"/>
    <w:rsid w:val="00651D67"/>
    <w:rsid w:val="006525B7"/>
    <w:rsid w:val="00652F55"/>
    <w:rsid w:val="00652F91"/>
    <w:rsid w:val="0065389C"/>
    <w:rsid w:val="00653BFA"/>
    <w:rsid w:val="0065480B"/>
    <w:rsid w:val="00655520"/>
    <w:rsid w:val="00655F1B"/>
    <w:rsid w:val="006566C3"/>
    <w:rsid w:val="00657F62"/>
    <w:rsid w:val="006607AD"/>
    <w:rsid w:val="006608F2"/>
    <w:rsid w:val="00660DB9"/>
    <w:rsid w:val="006626A4"/>
    <w:rsid w:val="00662A7F"/>
    <w:rsid w:val="0066321F"/>
    <w:rsid w:val="00664303"/>
    <w:rsid w:val="00665B42"/>
    <w:rsid w:val="00665DDB"/>
    <w:rsid w:val="00667EA7"/>
    <w:rsid w:val="006704B4"/>
    <w:rsid w:val="006707FE"/>
    <w:rsid w:val="00671643"/>
    <w:rsid w:val="00671DE8"/>
    <w:rsid w:val="00671FF3"/>
    <w:rsid w:val="00672B9A"/>
    <w:rsid w:val="006733FC"/>
    <w:rsid w:val="006734AB"/>
    <w:rsid w:val="006735F4"/>
    <w:rsid w:val="0067372B"/>
    <w:rsid w:val="006737EA"/>
    <w:rsid w:val="00673B4C"/>
    <w:rsid w:val="0067581E"/>
    <w:rsid w:val="006759BE"/>
    <w:rsid w:val="006772BF"/>
    <w:rsid w:val="0067751D"/>
    <w:rsid w:val="00677BE4"/>
    <w:rsid w:val="00677F15"/>
    <w:rsid w:val="0068022C"/>
    <w:rsid w:val="00680880"/>
    <w:rsid w:val="006812F0"/>
    <w:rsid w:val="0068300C"/>
    <w:rsid w:val="00683642"/>
    <w:rsid w:val="00684678"/>
    <w:rsid w:val="0068569D"/>
    <w:rsid w:val="00685718"/>
    <w:rsid w:val="0068609D"/>
    <w:rsid w:val="0069095A"/>
    <w:rsid w:val="00690E4F"/>
    <w:rsid w:val="00691048"/>
    <w:rsid w:val="00691392"/>
    <w:rsid w:val="006916B7"/>
    <w:rsid w:val="006916ED"/>
    <w:rsid w:val="006917BC"/>
    <w:rsid w:val="00691EEC"/>
    <w:rsid w:val="00692537"/>
    <w:rsid w:val="00692568"/>
    <w:rsid w:val="006933BF"/>
    <w:rsid w:val="00693791"/>
    <w:rsid w:val="00695DEC"/>
    <w:rsid w:val="00695F45"/>
    <w:rsid w:val="00696572"/>
    <w:rsid w:val="00696911"/>
    <w:rsid w:val="00697E56"/>
    <w:rsid w:val="00697E6A"/>
    <w:rsid w:val="006A05F3"/>
    <w:rsid w:val="006A0FB3"/>
    <w:rsid w:val="006A2A8B"/>
    <w:rsid w:val="006A2D8C"/>
    <w:rsid w:val="006A3544"/>
    <w:rsid w:val="006A6A20"/>
    <w:rsid w:val="006A7060"/>
    <w:rsid w:val="006B0D54"/>
    <w:rsid w:val="006B18E4"/>
    <w:rsid w:val="006B25C8"/>
    <w:rsid w:val="006B2D76"/>
    <w:rsid w:val="006B3122"/>
    <w:rsid w:val="006B5616"/>
    <w:rsid w:val="006B56F6"/>
    <w:rsid w:val="006B72BC"/>
    <w:rsid w:val="006B7C68"/>
    <w:rsid w:val="006C0305"/>
    <w:rsid w:val="006C0B64"/>
    <w:rsid w:val="006C1811"/>
    <w:rsid w:val="006C18C6"/>
    <w:rsid w:val="006C2D1E"/>
    <w:rsid w:val="006C4A99"/>
    <w:rsid w:val="006C4E25"/>
    <w:rsid w:val="006C508F"/>
    <w:rsid w:val="006C599B"/>
    <w:rsid w:val="006C5C1B"/>
    <w:rsid w:val="006C622D"/>
    <w:rsid w:val="006C6E19"/>
    <w:rsid w:val="006C747C"/>
    <w:rsid w:val="006C76C8"/>
    <w:rsid w:val="006D0266"/>
    <w:rsid w:val="006D04EE"/>
    <w:rsid w:val="006D0862"/>
    <w:rsid w:val="006D0A89"/>
    <w:rsid w:val="006D2A38"/>
    <w:rsid w:val="006D2BB5"/>
    <w:rsid w:val="006D32D3"/>
    <w:rsid w:val="006D3AD6"/>
    <w:rsid w:val="006D4003"/>
    <w:rsid w:val="006D4C78"/>
    <w:rsid w:val="006D5ABC"/>
    <w:rsid w:val="006D60B6"/>
    <w:rsid w:val="006D62AA"/>
    <w:rsid w:val="006D6F6D"/>
    <w:rsid w:val="006E0196"/>
    <w:rsid w:val="006E1DF1"/>
    <w:rsid w:val="006E2D0D"/>
    <w:rsid w:val="006E3838"/>
    <w:rsid w:val="006E3C1C"/>
    <w:rsid w:val="006E425C"/>
    <w:rsid w:val="006E70A3"/>
    <w:rsid w:val="006E715D"/>
    <w:rsid w:val="006F139F"/>
    <w:rsid w:val="006F3F0C"/>
    <w:rsid w:val="006F4437"/>
    <w:rsid w:val="006F476F"/>
    <w:rsid w:val="006F491E"/>
    <w:rsid w:val="006F4EF7"/>
    <w:rsid w:val="006F55B8"/>
    <w:rsid w:val="006F5E57"/>
    <w:rsid w:val="006F5EC9"/>
    <w:rsid w:val="006F70C7"/>
    <w:rsid w:val="006F7388"/>
    <w:rsid w:val="006F7885"/>
    <w:rsid w:val="006F793F"/>
    <w:rsid w:val="006F7CFA"/>
    <w:rsid w:val="00701993"/>
    <w:rsid w:val="007019BE"/>
    <w:rsid w:val="00702170"/>
    <w:rsid w:val="0070268A"/>
    <w:rsid w:val="00705268"/>
    <w:rsid w:val="00705B77"/>
    <w:rsid w:val="00706CFC"/>
    <w:rsid w:val="0070754A"/>
    <w:rsid w:val="00707810"/>
    <w:rsid w:val="00707B5A"/>
    <w:rsid w:val="00707F34"/>
    <w:rsid w:val="00711A72"/>
    <w:rsid w:val="00711FA8"/>
    <w:rsid w:val="007120ED"/>
    <w:rsid w:val="007143BE"/>
    <w:rsid w:val="00714444"/>
    <w:rsid w:val="007146E8"/>
    <w:rsid w:val="007147A4"/>
    <w:rsid w:val="00715154"/>
    <w:rsid w:val="00716504"/>
    <w:rsid w:val="0071689E"/>
    <w:rsid w:val="00717020"/>
    <w:rsid w:val="007207A0"/>
    <w:rsid w:val="00720CA3"/>
    <w:rsid w:val="00721995"/>
    <w:rsid w:val="00721BE8"/>
    <w:rsid w:val="00724171"/>
    <w:rsid w:val="007243E6"/>
    <w:rsid w:val="00724529"/>
    <w:rsid w:val="0072488F"/>
    <w:rsid w:val="00724E35"/>
    <w:rsid w:val="00725A32"/>
    <w:rsid w:val="00726891"/>
    <w:rsid w:val="00726D22"/>
    <w:rsid w:val="00726EF1"/>
    <w:rsid w:val="00730765"/>
    <w:rsid w:val="00731505"/>
    <w:rsid w:val="00732486"/>
    <w:rsid w:val="00732945"/>
    <w:rsid w:val="0073365D"/>
    <w:rsid w:val="00733C03"/>
    <w:rsid w:val="00733CC4"/>
    <w:rsid w:val="00733E96"/>
    <w:rsid w:val="00734254"/>
    <w:rsid w:val="007342EA"/>
    <w:rsid w:val="0073491C"/>
    <w:rsid w:val="0073558A"/>
    <w:rsid w:val="007369C5"/>
    <w:rsid w:val="007373C9"/>
    <w:rsid w:val="007374DB"/>
    <w:rsid w:val="00737D89"/>
    <w:rsid w:val="00740085"/>
    <w:rsid w:val="00740879"/>
    <w:rsid w:val="007412C8"/>
    <w:rsid w:val="00742539"/>
    <w:rsid w:val="00743174"/>
    <w:rsid w:val="007436A1"/>
    <w:rsid w:val="00744042"/>
    <w:rsid w:val="00746B8A"/>
    <w:rsid w:val="00747D2A"/>
    <w:rsid w:val="00751BD1"/>
    <w:rsid w:val="00752039"/>
    <w:rsid w:val="00752209"/>
    <w:rsid w:val="00752D54"/>
    <w:rsid w:val="00752DAF"/>
    <w:rsid w:val="007539F0"/>
    <w:rsid w:val="00753E22"/>
    <w:rsid w:val="0075451C"/>
    <w:rsid w:val="00754BDC"/>
    <w:rsid w:val="00755325"/>
    <w:rsid w:val="00755B27"/>
    <w:rsid w:val="00760275"/>
    <w:rsid w:val="0076192E"/>
    <w:rsid w:val="007622C3"/>
    <w:rsid w:val="0076289A"/>
    <w:rsid w:val="007632B2"/>
    <w:rsid w:val="0076354F"/>
    <w:rsid w:val="00764B9C"/>
    <w:rsid w:val="007655CC"/>
    <w:rsid w:val="00765727"/>
    <w:rsid w:val="007664A2"/>
    <w:rsid w:val="00766607"/>
    <w:rsid w:val="00766AB4"/>
    <w:rsid w:val="00767B99"/>
    <w:rsid w:val="00770287"/>
    <w:rsid w:val="00770647"/>
    <w:rsid w:val="00770A7F"/>
    <w:rsid w:val="00771648"/>
    <w:rsid w:val="00771783"/>
    <w:rsid w:val="007719D4"/>
    <w:rsid w:val="00772FD6"/>
    <w:rsid w:val="00773366"/>
    <w:rsid w:val="00774577"/>
    <w:rsid w:val="00774EC9"/>
    <w:rsid w:val="00775A04"/>
    <w:rsid w:val="00776484"/>
    <w:rsid w:val="00776A77"/>
    <w:rsid w:val="007773B5"/>
    <w:rsid w:val="007778B1"/>
    <w:rsid w:val="00777B31"/>
    <w:rsid w:val="0078002E"/>
    <w:rsid w:val="0078010A"/>
    <w:rsid w:val="00780B10"/>
    <w:rsid w:val="00782419"/>
    <w:rsid w:val="00782421"/>
    <w:rsid w:val="00785F8B"/>
    <w:rsid w:val="007868CE"/>
    <w:rsid w:val="00787BE1"/>
    <w:rsid w:val="00787DFF"/>
    <w:rsid w:val="00790836"/>
    <w:rsid w:val="00791391"/>
    <w:rsid w:val="00791723"/>
    <w:rsid w:val="0079293F"/>
    <w:rsid w:val="00795045"/>
    <w:rsid w:val="00797329"/>
    <w:rsid w:val="00797B01"/>
    <w:rsid w:val="007A08A2"/>
    <w:rsid w:val="007A0A4B"/>
    <w:rsid w:val="007A0BA7"/>
    <w:rsid w:val="007A1B0C"/>
    <w:rsid w:val="007A2D3D"/>
    <w:rsid w:val="007A40D3"/>
    <w:rsid w:val="007A465A"/>
    <w:rsid w:val="007A48E6"/>
    <w:rsid w:val="007A491E"/>
    <w:rsid w:val="007A4A0B"/>
    <w:rsid w:val="007A5627"/>
    <w:rsid w:val="007A5B38"/>
    <w:rsid w:val="007A6556"/>
    <w:rsid w:val="007A679F"/>
    <w:rsid w:val="007A6F16"/>
    <w:rsid w:val="007A735D"/>
    <w:rsid w:val="007A7543"/>
    <w:rsid w:val="007B0FED"/>
    <w:rsid w:val="007B23B1"/>
    <w:rsid w:val="007B2435"/>
    <w:rsid w:val="007B3983"/>
    <w:rsid w:val="007B43A0"/>
    <w:rsid w:val="007B43BD"/>
    <w:rsid w:val="007B4684"/>
    <w:rsid w:val="007C0D3D"/>
    <w:rsid w:val="007C23EC"/>
    <w:rsid w:val="007C3137"/>
    <w:rsid w:val="007C4999"/>
    <w:rsid w:val="007C5F23"/>
    <w:rsid w:val="007C5F34"/>
    <w:rsid w:val="007C6194"/>
    <w:rsid w:val="007C6D2A"/>
    <w:rsid w:val="007D03CB"/>
    <w:rsid w:val="007D0716"/>
    <w:rsid w:val="007D18D8"/>
    <w:rsid w:val="007D2C08"/>
    <w:rsid w:val="007D2E72"/>
    <w:rsid w:val="007D446C"/>
    <w:rsid w:val="007D6A58"/>
    <w:rsid w:val="007E0B85"/>
    <w:rsid w:val="007E1BFF"/>
    <w:rsid w:val="007E1F3D"/>
    <w:rsid w:val="007E2AE6"/>
    <w:rsid w:val="007E43D5"/>
    <w:rsid w:val="007E4544"/>
    <w:rsid w:val="007E48BF"/>
    <w:rsid w:val="007E5599"/>
    <w:rsid w:val="007E5AC4"/>
    <w:rsid w:val="007E712A"/>
    <w:rsid w:val="007E7715"/>
    <w:rsid w:val="007F0A37"/>
    <w:rsid w:val="007F1DEF"/>
    <w:rsid w:val="007F1F6D"/>
    <w:rsid w:val="007F26C8"/>
    <w:rsid w:val="007F2CE2"/>
    <w:rsid w:val="007F5C64"/>
    <w:rsid w:val="007F5F1F"/>
    <w:rsid w:val="007F6392"/>
    <w:rsid w:val="007F63DD"/>
    <w:rsid w:val="007F63E2"/>
    <w:rsid w:val="007F6609"/>
    <w:rsid w:val="007F6681"/>
    <w:rsid w:val="007F6814"/>
    <w:rsid w:val="007F687A"/>
    <w:rsid w:val="007F708A"/>
    <w:rsid w:val="007F756D"/>
    <w:rsid w:val="007F797E"/>
    <w:rsid w:val="0080125B"/>
    <w:rsid w:val="0080147A"/>
    <w:rsid w:val="00801493"/>
    <w:rsid w:val="00801EC4"/>
    <w:rsid w:val="00802AB5"/>
    <w:rsid w:val="00802AC1"/>
    <w:rsid w:val="00803458"/>
    <w:rsid w:val="00803A29"/>
    <w:rsid w:val="0080469F"/>
    <w:rsid w:val="008062E1"/>
    <w:rsid w:val="008066AC"/>
    <w:rsid w:val="00807A3C"/>
    <w:rsid w:val="00810753"/>
    <w:rsid w:val="00811027"/>
    <w:rsid w:val="008114B7"/>
    <w:rsid w:val="008114EE"/>
    <w:rsid w:val="00812D5E"/>
    <w:rsid w:val="0081354B"/>
    <w:rsid w:val="008146B8"/>
    <w:rsid w:val="00815168"/>
    <w:rsid w:val="008171D1"/>
    <w:rsid w:val="00817491"/>
    <w:rsid w:val="00820246"/>
    <w:rsid w:val="0082644C"/>
    <w:rsid w:val="00827DDA"/>
    <w:rsid w:val="008305C0"/>
    <w:rsid w:val="0083114F"/>
    <w:rsid w:val="008320A4"/>
    <w:rsid w:val="00833064"/>
    <w:rsid w:val="0083349C"/>
    <w:rsid w:val="00833C7C"/>
    <w:rsid w:val="00833CB4"/>
    <w:rsid w:val="00833F31"/>
    <w:rsid w:val="00834650"/>
    <w:rsid w:val="00834AD6"/>
    <w:rsid w:val="00834CF3"/>
    <w:rsid w:val="00835AD4"/>
    <w:rsid w:val="00836035"/>
    <w:rsid w:val="00836795"/>
    <w:rsid w:val="00840966"/>
    <w:rsid w:val="00840FFD"/>
    <w:rsid w:val="00842C64"/>
    <w:rsid w:val="00842E6D"/>
    <w:rsid w:val="00843F51"/>
    <w:rsid w:val="008454AA"/>
    <w:rsid w:val="008467F4"/>
    <w:rsid w:val="00850FB5"/>
    <w:rsid w:val="008511E6"/>
    <w:rsid w:val="008524B4"/>
    <w:rsid w:val="00853AD1"/>
    <w:rsid w:val="0085622A"/>
    <w:rsid w:val="00856740"/>
    <w:rsid w:val="00856931"/>
    <w:rsid w:val="00857CEE"/>
    <w:rsid w:val="00860B3F"/>
    <w:rsid w:val="00863EA6"/>
    <w:rsid w:val="00864AA6"/>
    <w:rsid w:val="00865BB4"/>
    <w:rsid w:val="00866967"/>
    <w:rsid w:val="00866A88"/>
    <w:rsid w:val="008700AB"/>
    <w:rsid w:val="0087017D"/>
    <w:rsid w:val="008710F5"/>
    <w:rsid w:val="00871848"/>
    <w:rsid w:val="00871BC4"/>
    <w:rsid w:val="00873269"/>
    <w:rsid w:val="0087392F"/>
    <w:rsid w:val="0087442E"/>
    <w:rsid w:val="0087502B"/>
    <w:rsid w:val="00876499"/>
    <w:rsid w:val="00876775"/>
    <w:rsid w:val="00876DA5"/>
    <w:rsid w:val="008771D7"/>
    <w:rsid w:val="0087772A"/>
    <w:rsid w:val="0088028F"/>
    <w:rsid w:val="00880E7A"/>
    <w:rsid w:val="00882531"/>
    <w:rsid w:val="008835DB"/>
    <w:rsid w:val="008837A3"/>
    <w:rsid w:val="00883815"/>
    <w:rsid w:val="00884B55"/>
    <w:rsid w:val="00884EC5"/>
    <w:rsid w:val="0088734B"/>
    <w:rsid w:val="008875D7"/>
    <w:rsid w:val="008879E6"/>
    <w:rsid w:val="00890EBB"/>
    <w:rsid w:val="00892200"/>
    <w:rsid w:val="0089250F"/>
    <w:rsid w:val="00895FAF"/>
    <w:rsid w:val="00896EEE"/>
    <w:rsid w:val="00897B57"/>
    <w:rsid w:val="008A0934"/>
    <w:rsid w:val="008A1A6F"/>
    <w:rsid w:val="008A1F0A"/>
    <w:rsid w:val="008A2927"/>
    <w:rsid w:val="008A434E"/>
    <w:rsid w:val="008A6E87"/>
    <w:rsid w:val="008B038C"/>
    <w:rsid w:val="008B1884"/>
    <w:rsid w:val="008B1AFC"/>
    <w:rsid w:val="008B3329"/>
    <w:rsid w:val="008B3A3F"/>
    <w:rsid w:val="008B4027"/>
    <w:rsid w:val="008B42F9"/>
    <w:rsid w:val="008B5052"/>
    <w:rsid w:val="008B58CE"/>
    <w:rsid w:val="008B5E72"/>
    <w:rsid w:val="008B61E9"/>
    <w:rsid w:val="008B6E8A"/>
    <w:rsid w:val="008B6E97"/>
    <w:rsid w:val="008C0338"/>
    <w:rsid w:val="008C0CB1"/>
    <w:rsid w:val="008C185B"/>
    <w:rsid w:val="008C1DF0"/>
    <w:rsid w:val="008C1E04"/>
    <w:rsid w:val="008C2C1A"/>
    <w:rsid w:val="008C5168"/>
    <w:rsid w:val="008C6A4B"/>
    <w:rsid w:val="008C6EAE"/>
    <w:rsid w:val="008C7963"/>
    <w:rsid w:val="008D17A0"/>
    <w:rsid w:val="008D1ACE"/>
    <w:rsid w:val="008D1E88"/>
    <w:rsid w:val="008D3DC6"/>
    <w:rsid w:val="008D4733"/>
    <w:rsid w:val="008D571C"/>
    <w:rsid w:val="008D58B3"/>
    <w:rsid w:val="008D671E"/>
    <w:rsid w:val="008D67A6"/>
    <w:rsid w:val="008D73B7"/>
    <w:rsid w:val="008D78BD"/>
    <w:rsid w:val="008D7FF4"/>
    <w:rsid w:val="008E05C4"/>
    <w:rsid w:val="008E064B"/>
    <w:rsid w:val="008E11A5"/>
    <w:rsid w:val="008E2932"/>
    <w:rsid w:val="008E32D1"/>
    <w:rsid w:val="008E64A9"/>
    <w:rsid w:val="008E6CBB"/>
    <w:rsid w:val="008F0B6A"/>
    <w:rsid w:val="008F1AD3"/>
    <w:rsid w:val="008F1F83"/>
    <w:rsid w:val="008F272E"/>
    <w:rsid w:val="008F289C"/>
    <w:rsid w:val="008F2A80"/>
    <w:rsid w:val="008F2F79"/>
    <w:rsid w:val="008F3067"/>
    <w:rsid w:val="008F34E8"/>
    <w:rsid w:val="008F4107"/>
    <w:rsid w:val="008F4522"/>
    <w:rsid w:val="008F4525"/>
    <w:rsid w:val="008F53D9"/>
    <w:rsid w:val="008F655E"/>
    <w:rsid w:val="008F6D56"/>
    <w:rsid w:val="008F7900"/>
    <w:rsid w:val="00900051"/>
    <w:rsid w:val="00901A16"/>
    <w:rsid w:val="00902BED"/>
    <w:rsid w:val="00902D96"/>
    <w:rsid w:val="00902E6E"/>
    <w:rsid w:val="009037BA"/>
    <w:rsid w:val="00903A97"/>
    <w:rsid w:val="00904A98"/>
    <w:rsid w:val="00904DA5"/>
    <w:rsid w:val="00906E12"/>
    <w:rsid w:val="00906F66"/>
    <w:rsid w:val="009109CD"/>
    <w:rsid w:val="0091145A"/>
    <w:rsid w:val="009126C2"/>
    <w:rsid w:val="00912744"/>
    <w:rsid w:val="00912F05"/>
    <w:rsid w:val="00913B57"/>
    <w:rsid w:val="00913E31"/>
    <w:rsid w:val="009142D0"/>
    <w:rsid w:val="00916A81"/>
    <w:rsid w:val="00922CFC"/>
    <w:rsid w:val="0092323F"/>
    <w:rsid w:val="00923329"/>
    <w:rsid w:val="00923C75"/>
    <w:rsid w:val="00926396"/>
    <w:rsid w:val="00926986"/>
    <w:rsid w:val="009271F1"/>
    <w:rsid w:val="00931879"/>
    <w:rsid w:val="009324DA"/>
    <w:rsid w:val="00933A74"/>
    <w:rsid w:val="00933B8C"/>
    <w:rsid w:val="00933D2D"/>
    <w:rsid w:val="00933F65"/>
    <w:rsid w:val="00934300"/>
    <w:rsid w:val="009344A0"/>
    <w:rsid w:val="00934809"/>
    <w:rsid w:val="00934B49"/>
    <w:rsid w:val="00934DDD"/>
    <w:rsid w:val="009352F9"/>
    <w:rsid w:val="00935B08"/>
    <w:rsid w:val="00936116"/>
    <w:rsid w:val="00936BAB"/>
    <w:rsid w:val="00936D10"/>
    <w:rsid w:val="0093781B"/>
    <w:rsid w:val="00940608"/>
    <w:rsid w:val="00940C6C"/>
    <w:rsid w:val="00941DA3"/>
    <w:rsid w:val="00942047"/>
    <w:rsid w:val="00944FB4"/>
    <w:rsid w:val="0094501D"/>
    <w:rsid w:val="00945779"/>
    <w:rsid w:val="00946367"/>
    <w:rsid w:val="009467E7"/>
    <w:rsid w:val="00946D96"/>
    <w:rsid w:val="00950AEB"/>
    <w:rsid w:val="00951574"/>
    <w:rsid w:val="00951748"/>
    <w:rsid w:val="00951C73"/>
    <w:rsid w:val="009530BF"/>
    <w:rsid w:val="009578DA"/>
    <w:rsid w:val="00960F33"/>
    <w:rsid w:val="00964DD0"/>
    <w:rsid w:val="00965413"/>
    <w:rsid w:val="00965D72"/>
    <w:rsid w:val="009661C7"/>
    <w:rsid w:val="00966898"/>
    <w:rsid w:val="00967532"/>
    <w:rsid w:val="0097191A"/>
    <w:rsid w:val="009725C9"/>
    <w:rsid w:val="0097425D"/>
    <w:rsid w:val="00975CE9"/>
    <w:rsid w:val="00977371"/>
    <w:rsid w:val="00980520"/>
    <w:rsid w:val="0098067A"/>
    <w:rsid w:val="009807F7"/>
    <w:rsid w:val="00980AA6"/>
    <w:rsid w:val="00981145"/>
    <w:rsid w:val="00981AA6"/>
    <w:rsid w:val="0098247B"/>
    <w:rsid w:val="00983C3C"/>
    <w:rsid w:val="0098550F"/>
    <w:rsid w:val="00985749"/>
    <w:rsid w:val="009859E4"/>
    <w:rsid w:val="009864A8"/>
    <w:rsid w:val="0098721A"/>
    <w:rsid w:val="00990AAC"/>
    <w:rsid w:val="00990F06"/>
    <w:rsid w:val="0099206B"/>
    <w:rsid w:val="00992EB8"/>
    <w:rsid w:val="00995371"/>
    <w:rsid w:val="009958D6"/>
    <w:rsid w:val="009961E2"/>
    <w:rsid w:val="009978C2"/>
    <w:rsid w:val="009A0B5B"/>
    <w:rsid w:val="009A1129"/>
    <w:rsid w:val="009A16BF"/>
    <w:rsid w:val="009A1812"/>
    <w:rsid w:val="009A18C4"/>
    <w:rsid w:val="009A1E0A"/>
    <w:rsid w:val="009A279A"/>
    <w:rsid w:val="009A2ED9"/>
    <w:rsid w:val="009A41DD"/>
    <w:rsid w:val="009A4475"/>
    <w:rsid w:val="009A4B09"/>
    <w:rsid w:val="009A4B48"/>
    <w:rsid w:val="009A5025"/>
    <w:rsid w:val="009A5055"/>
    <w:rsid w:val="009A5CAB"/>
    <w:rsid w:val="009A62ED"/>
    <w:rsid w:val="009A7556"/>
    <w:rsid w:val="009A799B"/>
    <w:rsid w:val="009B02F1"/>
    <w:rsid w:val="009B52EA"/>
    <w:rsid w:val="009B6B87"/>
    <w:rsid w:val="009B739F"/>
    <w:rsid w:val="009B74EB"/>
    <w:rsid w:val="009B7753"/>
    <w:rsid w:val="009C1269"/>
    <w:rsid w:val="009C2AE0"/>
    <w:rsid w:val="009C32F5"/>
    <w:rsid w:val="009C438A"/>
    <w:rsid w:val="009C5492"/>
    <w:rsid w:val="009C6E2F"/>
    <w:rsid w:val="009C70E4"/>
    <w:rsid w:val="009C76D4"/>
    <w:rsid w:val="009C7D91"/>
    <w:rsid w:val="009D0A74"/>
    <w:rsid w:val="009D111B"/>
    <w:rsid w:val="009D19FF"/>
    <w:rsid w:val="009D1C4B"/>
    <w:rsid w:val="009D2689"/>
    <w:rsid w:val="009D2B1A"/>
    <w:rsid w:val="009D2E19"/>
    <w:rsid w:val="009D4378"/>
    <w:rsid w:val="009D480F"/>
    <w:rsid w:val="009D5622"/>
    <w:rsid w:val="009D5DCA"/>
    <w:rsid w:val="009D652F"/>
    <w:rsid w:val="009D6B28"/>
    <w:rsid w:val="009D700D"/>
    <w:rsid w:val="009E1591"/>
    <w:rsid w:val="009E1DAA"/>
    <w:rsid w:val="009E1F7A"/>
    <w:rsid w:val="009E3DDD"/>
    <w:rsid w:val="009E40DA"/>
    <w:rsid w:val="009E43E8"/>
    <w:rsid w:val="009E54AF"/>
    <w:rsid w:val="009F14B0"/>
    <w:rsid w:val="009F2BC9"/>
    <w:rsid w:val="009F3281"/>
    <w:rsid w:val="009F3C8E"/>
    <w:rsid w:val="009F3EDA"/>
    <w:rsid w:val="009F65B1"/>
    <w:rsid w:val="009F65EB"/>
    <w:rsid w:val="009F7591"/>
    <w:rsid w:val="009F7A99"/>
    <w:rsid w:val="00A004FC"/>
    <w:rsid w:val="00A00C73"/>
    <w:rsid w:val="00A00C93"/>
    <w:rsid w:val="00A00DD7"/>
    <w:rsid w:val="00A00F2A"/>
    <w:rsid w:val="00A019CF"/>
    <w:rsid w:val="00A020B6"/>
    <w:rsid w:val="00A02BF5"/>
    <w:rsid w:val="00A03D7F"/>
    <w:rsid w:val="00A0403F"/>
    <w:rsid w:val="00A04445"/>
    <w:rsid w:val="00A044C1"/>
    <w:rsid w:val="00A04633"/>
    <w:rsid w:val="00A05199"/>
    <w:rsid w:val="00A066DA"/>
    <w:rsid w:val="00A06FA7"/>
    <w:rsid w:val="00A0736B"/>
    <w:rsid w:val="00A104EF"/>
    <w:rsid w:val="00A135D9"/>
    <w:rsid w:val="00A13EBD"/>
    <w:rsid w:val="00A14019"/>
    <w:rsid w:val="00A14ECF"/>
    <w:rsid w:val="00A15624"/>
    <w:rsid w:val="00A1626D"/>
    <w:rsid w:val="00A179BB"/>
    <w:rsid w:val="00A2002E"/>
    <w:rsid w:val="00A203FF"/>
    <w:rsid w:val="00A21A57"/>
    <w:rsid w:val="00A21B5C"/>
    <w:rsid w:val="00A223F2"/>
    <w:rsid w:val="00A22683"/>
    <w:rsid w:val="00A22F21"/>
    <w:rsid w:val="00A2342E"/>
    <w:rsid w:val="00A2365E"/>
    <w:rsid w:val="00A23DAC"/>
    <w:rsid w:val="00A24153"/>
    <w:rsid w:val="00A242C4"/>
    <w:rsid w:val="00A24F22"/>
    <w:rsid w:val="00A25E15"/>
    <w:rsid w:val="00A262C4"/>
    <w:rsid w:val="00A277ED"/>
    <w:rsid w:val="00A27F9B"/>
    <w:rsid w:val="00A30851"/>
    <w:rsid w:val="00A31021"/>
    <w:rsid w:val="00A31AD5"/>
    <w:rsid w:val="00A3307A"/>
    <w:rsid w:val="00A3358E"/>
    <w:rsid w:val="00A33C80"/>
    <w:rsid w:val="00A35C7A"/>
    <w:rsid w:val="00A35F70"/>
    <w:rsid w:val="00A36073"/>
    <w:rsid w:val="00A376A4"/>
    <w:rsid w:val="00A377A7"/>
    <w:rsid w:val="00A37DFB"/>
    <w:rsid w:val="00A40273"/>
    <w:rsid w:val="00A40719"/>
    <w:rsid w:val="00A41821"/>
    <w:rsid w:val="00A421DD"/>
    <w:rsid w:val="00A422AE"/>
    <w:rsid w:val="00A427F5"/>
    <w:rsid w:val="00A42D48"/>
    <w:rsid w:val="00A447C0"/>
    <w:rsid w:val="00A45685"/>
    <w:rsid w:val="00A45B80"/>
    <w:rsid w:val="00A46A46"/>
    <w:rsid w:val="00A474EE"/>
    <w:rsid w:val="00A479C9"/>
    <w:rsid w:val="00A47B63"/>
    <w:rsid w:val="00A508FB"/>
    <w:rsid w:val="00A50949"/>
    <w:rsid w:val="00A51F75"/>
    <w:rsid w:val="00A52963"/>
    <w:rsid w:val="00A529B5"/>
    <w:rsid w:val="00A533E4"/>
    <w:rsid w:val="00A54FB2"/>
    <w:rsid w:val="00A5593D"/>
    <w:rsid w:val="00A562D7"/>
    <w:rsid w:val="00A579D9"/>
    <w:rsid w:val="00A638E9"/>
    <w:rsid w:val="00A64E2A"/>
    <w:rsid w:val="00A65E88"/>
    <w:rsid w:val="00A665D2"/>
    <w:rsid w:val="00A666E7"/>
    <w:rsid w:val="00A66A33"/>
    <w:rsid w:val="00A66F96"/>
    <w:rsid w:val="00A7028C"/>
    <w:rsid w:val="00A70352"/>
    <w:rsid w:val="00A70734"/>
    <w:rsid w:val="00A71419"/>
    <w:rsid w:val="00A71512"/>
    <w:rsid w:val="00A7210A"/>
    <w:rsid w:val="00A72762"/>
    <w:rsid w:val="00A72F01"/>
    <w:rsid w:val="00A73211"/>
    <w:rsid w:val="00A73BEF"/>
    <w:rsid w:val="00A74136"/>
    <w:rsid w:val="00A778F0"/>
    <w:rsid w:val="00A80292"/>
    <w:rsid w:val="00A80B65"/>
    <w:rsid w:val="00A81526"/>
    <w:rsid w:val="00A8155B"/>
    <w:rsid w:val="00A82C75"/>
    <w:rsid w:val="00A8387E"/>
    <w:rsid w:val="00A85D0D"/>
    <w:rsid w:val="00A86368"/>
    <w:rsid w:val="00A86573"/>
    <w:rsid w:val="00A9006D"/>
    <w:rsid w:val="00A907C6"/>
    <w:rsid w:val="00A9455F"/>
    <w:rsid w:val="00A94E4A"/>
    <w:rsid w:val="00A9632A"/>
    <w:rsid w:val="00AA00E2"/>
    <w:rsid w:val="00AA0798"/>
    <w:rsid w:val="00AA19C0"/>
    <w:rsid w:val="00AA1C88"/>
    <w:rsid w:val="00AA4BFB"/>
    <w:rsid w:val="00AA5A07"/>
    <w:rsid w:val="00AA5CDE"/>
    <w:rsid w:val="00AA715A"/>
    <w:rsid w:val="00AA71FE"/>
    <w:rsid w:val="00AB0932"/>
    <w:rsid w:val="00AB121E"/>
    <w:rsid w:val="00AB1DDC"/>
    <w:rsid w:val="00AB3AEB"/>
    <w:rsid w:val="00AB5704"/>
    <w:rsid w:val="00AB5EF9"/>
    <w:rsid w:val="00AB6591"/>
    <w:rsid w:val="00AB65A0"/>
    <w:rsid w:val="00AC1883"/>
    <w:rsid w:val="00AC1971"/>
    <w:rsid w:val="00AC1DFB"/>
    <w:rsid w:val="00AC26EC"/>
    <w:rsid w:val="00AC2E33"/>
    <w:rsid w:val="00AC3C3D"/>
    <w:rsid w:val="00AC4B2B"/>
    <w:rsid w:val="00AC4B9F"/>
    <w:rsid w:val="00AC4D07"/>
    <w:rsid w:val="00AC55A1"/>
    <w:rsid w:val="00AC6DD2"/>
    <w:rsid w:val="00AD10C1"/>
    <w:rsid w:val="00AD1189"/>
    <w:rsid w:val="00AD135A"/>
    <w:rsid w:val="00AD1B43"/>
    <w:rsid w:val="00AD1E0F"/>
    <w:rsid w:val="00AD315F"/>
    <w:rsid w:val="00AD3D78"/>
    <w:rsid w:val="00AD4272"/>
    <w:rsid w:val="00AD7487"/>
    <w:rsid w:val="00AD7574"/>
    <w:rsid w:val="00AD7942"/>
    <w:rsid w:val="00AE1CA0"/>
    <w:rsid w:val="00AE2189"/>
    <w:rsid w:val="00AE2B10"/>
    <w:rsid w:val="00AE5528"/>
    <w:rsid w:val="00AE60DC"/>
    <w:rsid w:val="00AE7208"/>
    <w:rsid w:val="00AE73BF"/>
    <w:rsid w:val="00AF05DF"/>
    <w:rsid w:val="00AF065F"/>
    <w:rsid w:val="00AF1085"/>
    <w:rsid w:val="00AF22C7"/>
    <w:rsid w:val="00AF3135"/>
    <w:rsid w:val="00AF3E91"/>
    <w:rsid w:val="00AF4D49"/>
    <w:rsid w:val="00AF53D3"/>
    <w:rsid w:val="00AF57DA"/>
    <w:rsid w:val="00AF5803"/>
    <w:rsid w:val="00AF5AA8"/>
    <w:rsid w:val="00AF7ED4"/>
    <w:rsid w:val="00B006FB"/>
    <w:rsid w:val="00B01531"/>
    <w:rsid w:val="00B023EC"/>
    <w:rsid w:val="00B02411"/>
    <w:rsid w:val="00B03003"/>
    <w:rsid w:val="00B03231"/>
    <w:rsid w:val="00B0370A"/>
    <w:rsid w:val="00B04E3C"/>
    <w:rsid w:val="00B051FC"/>
    <w:rsid w:val="00B06512"/>
    <w:rsid w:val="00B069A2"/>
    <w:rsid w:val="00B10392"/>
    <w:rsid w:val="00B10766"/>
    <w:rsid w:val="00B109C6"/>
    <w:rsid w:val="00B1185C"/>
    <w:rsid w:val="00B11C95"/>
    <w:rsid w:val="00B1331A"/>
    <w:rsid w:val="00B14B93"/>
    <w:rsid w:val="00B165B9"/>
    <w:rsid w:val="00B1671E"/>
    <w:rsid w:val="00B17B5A"/>
    <w:rsid w:val="00B17F5C"/>
    <w:rsid w:val="00B2175B"/>
    <w:rsid w:val="00B21BF0"/>
    <w:rsid w:val="00B220BD"/>
    <w:rsid w:val="00B22319"/>
    <w:rsid w:val="00B2234B"/>
    <w:rsid w:val="00B23574"/>
    <w:rsid w:val="00B24AC8"/>
    <w:rsid w:val="00B24F3E"/>
    <w:rsid w:val="00B2627A"/>
    <w:rsid w:val="00B26438"/>
    <w:rsid w:val="00B26AD3"/>
    <w:rsid w:val="00B27096"/>
    <w:rsid w:val="00B30517"/>
    <w:rsid w:val="00B30B0D"/>
    <w:rsid w:val="00B31876"/>
    <w:rsid w:val="00B3215C"/>
    <w:rsid w:val="00B33C1B"/>
    <w:rsid w:val="00B34172"/>
    <w:rsid w:val="00B35611"/>
    <w:rsid w:val="00B35C69"/>
    <w:rsid w:val="00B35F18"/>
    <w:rsid w:val="00B411D1"/>
    <w:rsid w:val="00B41451"/>
    <w:rsid w:val="00B42F64"/>
    <w:rsid w:val="00B436B7"/>
    <w:rsid w:val="00B436F4"/>
    <w:rsid w:val="00B453D8"/>
    <w:rsid w:val="00B458F0"/>
    <w:rsid w:val="00B45D4D"/>
    <w:rsid w:val="00B46498"/>
    <w:rsid w:val="00B46963"/>
    <w:rsid w:val="00B46DE0"/>
    <w:rsid w:val="00B4735D"/>
    <w:rsid w:val="00B478C4"/>
    <w:rsid w:val="00B50CA6"/>
    <w:rsid w:val="00B51972"/>
    <w:rsid w:val="00B52039"/>
    <w:rsid w:val="00B5253F"/>
    <w:rsid w:val="00B528BA"/>
    <w:rsid w:val="00B52DDD"/>
    <w:rsid w:val="00B5543E"/>
    <w:rsid w:val="00B555AE"/>
    <w:rsid w:val="00B55CED"/>
    <w:rsid w:val="00B56285"/>
    <w:rsid w:val="00B56C11"/>
    <w:rsid w:val="00B572DB"/>
    <w:rsid w:val="00B61405"/>
    <w:rsid w:val="00B6389B"/>
    <w:rsid w:val="00B63983"/>
    <w:rsid w:val="00B64116"/>
    <w:rsid w:val="00B644E6"/>
    <w:rsid w:val="00B644E7"/>
    <w:rsid w:val="00B6458D"/>
    <w:rsid w:val="00B64A22"/>
    <w:rsid w:val="00B6609A"/>
    <w:rsid w:val="00B66921"/>
    <w:rsid w:val="00B66DEC"/>
    <w:rsid w:val="00B67615"/>
    <w:rsid w:val="00B67919"/>
    <w:rsid w:val="00B67D2E"/>
    <w:rsid w:val="00B72A19"/>
    <w:rsid w:val="00B72A73"/>
    <w:rsid w:val="00B73CC0"/>
    <w:rsid w:val="00B749E3"/>
    <w:rsid w:val="00B74ECE"/>
    <w:rsid w:val="00B75038"/>
    <w:rsid w:val="00B757A0"/>
    <w:rsid w:val="00B7705F"/>
    <w:rsid w:val="00B77EC4"/>
    <w:rsid w:val="00B80FB4"/>
    <w:rsid w:val="00B83A2A"/>
    <w:rsid w:val="00B85F7A"/>
    <w:rsid w:val="00B905DE"/>
    <w:rsid w:val="00B91081"/>
    <w:rsid w:val="00B920DD"/>
    <w:rsid w:val="00B92B69"/>
    <w:rsid w:val="00B97E7D"/>
    <w:rsid w:val="00BA34E0"/>
    <w:rsid w:val="00BA36C4"/>
    <w:rsid w:val="00BA3C6F"/>
    <w:rsid w:val="00BA3EB1"/>
    <w:rsid w:val="00BA4A93"/>
    <w:rsid w:val="00BA4EAE"/>
    <w:rsid w:val="00BA5E9E"/>
    <w:rsid w:val="00BA6828"/>
    <w:rsid w:val="00BA6972"/>
    <w:rsid w:val="00BA723F"/>
    <w:rsid w:val="00BA7707"/>
    <w:rsid w:val="00BB01C4"/>
    <w:rsid w:val="00BB106C"/>
    <w:rsid w:val="00BB24DB"/>
    <w:rsid w:val="00BB2FE6"/>
    <w:rsid w:val="00BB332A"/>
    <w:rsid w:val="00BB3CF2"/>
    <w:rsid w:val="00BB4BF7"/>
    <w:rsid w:val="00BB6F8E"/>
    <w:rsid w:val="00BB71F9"/>
    <w:rsid w:val="00BB791C"/>
    <w:rsid w:val="00BB7F29"/>
    <w:rsid w:val="00BB7FBF"/>
    <w:rsid w:val="00BC1167"/>
    <w:rsid w:val="00BC11FE"/>
    <w:rsid w:val="00BC154A"/>
    <w:rsid w:val="00BC2EF0"/>
    <w:rsid w:val="00BC3C9F"/>
    <w:rsid w:val="00BC3EBB"/>
    <w:rsid w:val="00BC49E4"/>
    <w:rsid w:val="00BC5FA4"/>
    <w:rsid w:val="00BC642C"/>
    <w:rsid w:val="00BC6488"/>
    <w:rsid w:val="00BC7582"/>
    <w:rsid w:val="00BD0510"/>
    <w:rsid w:val="00BD13CC"/>
    <w:rsid w:val="00BD1AE1"/>
    <w:rsid w:val="00BD246C"/>
    <w:rsid w:val="00BD36B2"/>
    <w:rsid w:val="00BD51E3"/>
    <w:rsid w:val="00BD593A"/>
    <w:rsid w:val="00BD60AE"/>
    <w:rsid w:val="00BD6703"/>
    <w:rsid w:val="00BD6731"/>
    <w:rsid w:val="00BD681F"/>
    <w:rsid w:val="00BD7BC6"/>
    <w:rsid w:val="00BE0F19"/>
    <w:rsid w:val="00BE19CD"/>
    <w:rsid w:val="00BE1AA5"/>
    <w:rsid w:val="00BE2300"/>
    <w:rsid w:val="00BE23F8"/>
    <w:rsid w:val="00BE2516"/>
    <w:rsid w:val="00BE2B96"/>
    <w:rsid w:val="00BE5C35"/>
    <w:rsid w:val="00BE629B"/>
    <w:rsid w:val="00BE7A49"/>
    <w:rsid w:val="00BF008E"/>
    <w:rsid w:val="00BF07C3"/>
    <w:rsid w:val="00BF1686"/>
    <w:rsid w:val="00BF19D5"/>
    <w:rsid w:val="00BF1FA7"/>
    <w:rsid w:val="00BF231E"/>
    <w:rsid w:val="00BF4C9A"/>
    <w:rsid w:val="00BF4EFB"/>
    <w:rsid w:val="00BF5289"/>
    <w:rsid w:val="00BF55D4"/>
    <w:rsid w:val="00BF590E"/>
    <w:rsid w:val="00BF63EA"/>
    <w:rsid w:val="00BF73EB"/>
    <w:rsid w:val="00BF75B4"/>
    <w:rsid w:val="00C01C02"/>
    <w:rsid w:val="00C049D9"/>
    <w:rsid w:val="00C05ABC"/>
    <w:rsid w:val="00C07294"/>
    <w:rsid w:val="00C07A2E"/>
    <w:rsid w:val="00C10B03"/>
    <w:rsid w:val="00C10BC0"/>
    <w:rsid w:val="00C12A70"/>
    <w:rsid w:val="00C14540"/>
    <w:rsid w:val="00C145E9"/>
    <w:rsid w:val="00C1464B"/>
    <w:rsid w:val="00C1584D"/>
    <w:rsid w:val="00C15D0E"/>
    <w:rsid w:val="00C22B2E"/>
    <w:rsid w:val="00C23150"/>
    <w:rsid w:val="00C23AB6"/>
    <w:rsid w:val="00C24500"/>
    <w:rsid w:val="00C24605"/>
    <w:rsid w:val="00C2694C"/>
    <w:rsid w:val="00C2797C"/>
    <w:rsid w:val="00C3060A"/>
    <w:rsid w:val="00C30947"/>
    <w:rsid w:val="00C32A63"/>
    <w:rsid w:val="00C32F37"/>
    <w:rsid w:val="00C35D8B"/>
    <w:rsid w:val="00C36A66"/>
    <w:rsid w:val="00C36FF2"/>
    <w:rsid w:val="00C41625"/>
    <w:rsid w:val="00C4188E"/>
    <w:rsid w:val="00C41D7B"/>
    <w:rsid w:val="00C42009"/>
    <w:rsid w:val="00C426AD"/>
    <w:rsid w:val="00C45997"/>
    <w:rsid w:val="00C463E4"/>
    <w:rsid w:val="00C46469"/>
    <w:rsid w:val="00C46DBA"/>
    <w:rsid w:val="00C471F1"/>
    <w:rsid w:val="00C5017B"/>
    <w:rsid w:val="00C501F8"/>
    <w:rsid w:val="00C51757"/>
    <w:rsid w:val="00C521FD"/>
    <w:rsid w:val="00C52531"/>
    <w:rsid w:val="00C5259B"/>
    <w:rsid w:val="00C52862"/>
    <w:rsid w:val="00C52E02"/>
    <w:rsid w:val="00C530B1"/>
    <w:rsid w:val="00C5311A"/>
    <w:rsid w:val="00C53AA6"/>
    <w:rsid w:val="00C5482B"/>
    <w:rsid w:val="00C5691F"/>
    <w:rsid w:val="00C569C1"/>
    <w:rsid w:val="00C56E2F"/>
    <w:rsid w:val="00C609B7"/>
    <w:rsid w:val="00C61977"/>
    <w:rsid w:val="00C6277E"/>
    <w:rsid w:val="00C62A44"/>
    <w:rsid w:val="00C64D60"/>
    <w:rsid w:val="00C653DD"/>
    <w:rsid w:val="00C65848"/>
    <w:rsid w:val="00C66248"/>
    <w:rsid w:val="00C67C31"/>
    <w:rsid w:val="00C67D5C"/>
    <w:rsid w:val="00C70101"/>
    <w:rsid w:val="00C713FF"/>
    <w:rsid w:val="00C71CC1"/>
    <w:rsid w:val="00C71D8B"/>
    <w:rsid w:val="00C724CE"/>
    <w:rsid w:val="00C72822"/>
    <w:rsid w:val="00C72F62"/>
    <w:rsid w:val="00C73FCF"/>
    <w:rsid w:val="00C8152D"/>
    <w:rsid w:val="00C819ED"/>
    <w:rsid w:val="00C820EB"/>
    <w:rsid w:val="00C82228"/>
    <w:rsid w:val="00C8237D"/>
    <w:rsid w:val="00C82CEA"/>
    <w:rsid w:val="00C83815"/>
    <w:rsid w:val="00C850A5"/>
    <w:rsid w:val="00C8688F"/>
    <w:rsid w:val="00C86A23"/>
    <w:rsid w:val="00C86B6B"/>
    <w:rsid w:val="00C902E5"/>
    <w:rsid w:val="00C91027"/>
    <w:rsid w:val="00C92ECF"/>
    <w:rsid w:val="00C92EE0"/>
    <w:rsid w:val="00C94416"/>
    <w:rsid w:val="00C95278"/>
    <w:rsid w:val="00C96206"/>
    <w:rsid w:val="00C96E24"/>
    <w:rsid w:val="00CA0806"/>
    <w:rsid w:val="00CA12A9"/>
    <w:rsid w:val="00CA294F"/>
    <w:rsid w:val="00CA2E0C"/>
    <w:rsid w:val="00CA2F63"/>
    <w:rsid w:val="00CA3196"/>
    <w:rsid w:val="00CA4450"/>
    <w:rsid w:val="00CA4496"/>
    <w:rsid w:val="00CA5EEB"/>
    <w:rsid w:val="00CB0031"/>
    <w:rsid w:val="00CB0363"/>
    <w:rsid w:val="00CB156D"/>
    <w:rsid w:val="00CB176F"/>
    <w:rsid w:val="00CB3471"/>
    <w:rsid w:val="00CB38E2"/>
    <w:rsid w:val="00CB3E68"/>
    <w:rsid w:val="00CB4A9A"/>
    <w:rsid w:val="00CB5098"/>
    <w:rsid w:val="00CB55EB"/>
    <w:rsid w:val="00CB670E"/>
    <w:rsid w:val="00CC07FF"/>
    <w:rsid w:val="00CC0CEB"/>
    <w:rsid w:val="00CC0E4F"/>
    <w:rsid w:val="00CC0FEE"/>
    <w:rsid w:val="00CC117D"/>
    <w:rsid w:val="00CC15C2"/>
    <w:rsid w:val="00CC18B8"/>
    <w:rsid w:val="00CC2C4D"/>
    <w:rsid w:val="00CC2D56"/>
    <w:rsid w:val="00CC3AFE"/>
    <w:rsid w:val="00CC451E"/>
    <w:rsid w:val="00CC4E2B"/>
    <w:rsid w:val="00CC5302"/>
    <w:rsid w:val="00CC78A2"/>
    <w:rsid w:val="00CD0CA3"/>
    <w:rsid w:val="00CD10B6"/>
    <w:rsid w:val="00CD38FA"/>
    <w:rsid w:val="00CD5635"/>
    <w:rsid w:val="00CD56C3"/>
    <w:rsid w:val="00CD5A32"/>
    <w:rsid w:val="00CD5F1A"/>
    <w:rsid w:val="00CD633C"/>
    <w:rsid w:val="00CD6386"/>
    <w:rsid w:val="00CD7288"/>
    <w:rsid w:val="00CD79E2"/>
    <w:rsid w:val="00CE1D4D"/>
    <w:rsid w:val="00CE2CB2"/>
    <w:rsid w:val="00CE3D1B"/>
    <w:rsid w:val="00CE4267"/>
    <w:rsid w:val="00CE49AB"/>
    <w:rsid w:val="00CE5906"/>
    <w:rsid w:val="00CE6D37"/>
    <w:rsid w:val="00CE7EC3"/>
    <w:rsid w:val="00CF0B62"/>
    <w:rsid w:val="00CF11C7"/>
    <w:rsid w:val="00CF12C2"/>
    <w:rsid w:val="00CF275F"/>
    <w:rsid w:val="00CF2EAF"/>
    <w:rsid w:val="00CF58FE"/>
    <w:rsid w:val="00CF5EE7"/>
    <w:rsid w:val="00CF7453"/>
    <w:rsid w:val="00CF79A8"/>
    <w:rsid w:val="00CF79D0"/>
    <w:rsid w:val="00CF7DB0"/>
    <w:rsid w:val="00CF7EC9"/>
    <w:rsid w:val="00D00402"/>
    <w:rsid w:val="00D00570"/>
    <w:rsid w:val="00D0146E"/>
    <w:rsid w:val="00D01A2D"/>
    <w:rsid w:val="00D026B6"/>
    <w:rsid w:val="00D02995"/>
    <w:rsid w:val="00D02F86"/>
    <w:rsid w:val="00D04B1B"/>
    <w:rsid w:val="00D04F4F"/>
    <w:rsid w:val="00D04F5D"/>
    <w:rsid w:val="00D055E5"/>
    <w:rsid w:val="00D05BE1"/>
    <w:rsid w:val="00D07616"/>
    <w:rsid w:val="00D102EC"/>
    <w:rsid w:val="00D11E07"/>
    <w:rsid w:val="00D12B53"/>
    <w:rsid w:val="00D138FD"/>
    <w:rsid w:val="00D14746"/>
    <w:rsid w:val="00D14E0D"/>
    <w:rsid w:val="00D15B8A"/>
    <w:rsid w:val="00D160A2"/>
    <w:rsid w:val="00D17443"/>
    <w:rsid w:val="00D17F14"/>
    <w:rsid w:val="00D2245C"/>
    <w:rsid w:val="00D22BB3"/>
    <w:rsid w:val="00D23BCD"/>
    <w:rsid w:val="00D24BD4"/>
    <w:rsid w:val="00D24D40"/>
    <w:rsid w:val="00D2590F"/>
    <w:rsid w:val="00D25FF9"/>
    <w:rsid w:val="00D278D8"/>
    <w:rsid w:val="00D313D0"/>
    <w:rsid w:val="00D31AD3"/>
    <w:rsid w:val="00D33D65"/>
    <w:rsid w:val="00D3487F"/>
    <w:rsid w:val="00D35454"/>
    <w:rsid w:val="00D36C6A"/>
    <w:rsid w:val="00D3747A"/>
    <w:rsid w:val="00D37C40"/>
    <w:rsid w:val="00D409DF"/>
    <w:rsid w:val="00D413C2"/>
    <w:rsid w:val="00D42754"/>
    <w:rsid w:val="00D428FD"/>
    <w:rsid w:val="00D42CFD"/>
    <w:rsid w:val="00D4363D"/>
    <w:rsid w:val="00D457B2"/>
    <w:rsid w:val="00D462CE"/>
    <w:rsid w:val="00D46E6D"/>
    <w:rsid w:val="00D4704C"/>
    <w:rsid w:val="00D47754"/>
    <w:rsid w:val="00D478FF"/>
    <w:rsid w:val="00D47B82"/>
    <w:rsid w:val="00D50410"/>
    <w:rsid w:val="00D50A01"/>
    <w:rsid w:val="00D51DD2"/>
    <w:rsid w:val="00D52783"/>
    <w:rsid w:val="00D53CC8"/>
    <w:rsid w:val="00D53E8E"/>
    <w:rsid w:val="00D53F0A"/>
    <w:rsid w:val="00D54603"/>
    <w:rsid w:val="00D54698"/>
    <w:rsid w:val="00D5595C"/>
    <w:rsid w:val="00D561D7"/>
    <w:rsid w:val="00D569E1"/>
    <w:rsid w:val="00D5766B"/>
    <w:rsid w:val="00D60C59"/>
    <w:rsid w:val="00D60C8C"/>
    <w:rsid w:val="00D6204B"/>
    <w:rsid w:val="00D62B98"/>
    <w:rsid w:val="00D636AE"/>
    <w:rsid w:val="00D63AAA"/>
    <w:rsid w:val="00D6661F"/>
    <w:rsid w:val="00D671DA"/>
    <w:rsid w:val="00D67FC7"/>
    <w:rsid w:val="00D721C7"/>
    <w:rsid w:val="00D73480"/>
    <w:rsid w:val="00D73B5F"/>
    <w:rsid w:val="00D73D24"/>
    <w:rsid w:val="00D74950"/>
    <w:rsid w:val="00D74B99"/>
    <w:rsid w:val="00D74F88"/>
    <w:rsid w:val="00D753CF"/>
    <w:rsid w:val="00D76F71"/>
    <w:rsid w:val="00D76FFA"/>
    <w:rsid w:val="00D77704"/>
    <w:rsid w:val="00D80C6A"/>
    <w:rsid w:val="00D82BA6"/>
    <w:rsid w:val="00D8382A"/>
    <w:rsid w:val="00D8397B"/>
    <w:rsid w:val="00D83E5E"/>
    <w:rsid w:val="00D85E84"/>
    <w:rsid w:val="00D8638C"/>
    <w:rsid w:val="00D86A39"/>
    <w:rsid w:val="00D87362"/>
    <w:rsid w:val="00D87ECF"/>
    <w:rsid w:val="00D900C9"/>
    <w:rsid w:val="00D903FB"/>
    <w:rsid w:val="00D90458"/>
    <w:rsid w:val="00D9056E"/>
    <w:rsid w:val="00D9236D"/>
    <w:rsid w:val="00D928DF"/>
    <w:rsid w:val="00D929B2"/>
    <w:rsid w:val="00D933C2"/>
    <w:rsid w:val="00D96053"/>
    <w:rsid w:val="00D96168"/>
    <w:rsid w:val="00DA0008"/>
    <w:rsid w:val="00DA0685"/>
    <w:rsid w:val="00DA1CC2"/>
    <w:rsid w:val="00DA20D3"/>
    <w:rsid w:val="00DA29EA"/>
    <w:rsid w:val="00DA2E8C"/>
    <w:rsid w:val="00DA3028"/>
    <w:rsid w:val="00DA48AA"/>
    <w:rsid w:val="00DA529B"/>
    <w:rsid w:val="00DA59B2"/>
    <w:rsid w:val="00DA78CE"/>
    <w:rsid w:val="00DA7BC7"/>
    <w:rsid w:val="00DA7D8D"/>
    <w:rsid w:val="00DB137D"/>
    <w:rsid w:val="00DB47C8"/>
    <w:rsid w:val="00DB52ED"/>
    <w:rsid w:val="00DB587A"/>
    <w:rsid w:val="00DB5D59"/>
    <w:rsid w:val="00DB74C7"/>
    <w:rsid w:val="00DB7510"/>
    <w:rsid w:val="00DB7B89"/>
    <w:rsid w:val="00DC01A2"/>
    <w:rsid w:val="00DC074E"/>
    <w:rsid w:val="00DC09C7"/>
    <w:rsid w:val="00DC166D"/>
    <w:rsid w:val="00DC1AA8"/>
    <w:rsid w:val="00DC2D4C"/>
    <w:rsid w:val="00DC38A2"/>
    <w:rsid w:val="00DC3D6E"/>
    <w:rsid w:val="00DC5BCD"/>
    <w:rsid w:val="00DC69F1"/>
    <w:rsid w:val="00DC7DC4"/>
    <w:rsid w:val="00DC7F60"/>
    <w:rsid w:val="00DD019D"/>
    <w:rsid w:val="00DD0484"/>
    <w:rsid w:val="00DD060A"/>
    <w:rsid w:val="00DD0E9C"/>
    <w:rsid w:val="00DD3252"/>
    <w:rsid w:val="00DD39EA"/>
    <w:rsid w:val="00DD3AEA"/>
    <w:rsid w:val="00DD5F05"/>
    <w:rsid w:val="00DD667E"/>
    <w:rsid w:val="00DD685B"/>
    <w:rsid w:val="00DD68E9"/>
    <w:rsid w:val="00DD72A8"/>
    <w:rsid w:val="00DE0FF8"/>
    <w:rsid w:val="00DE19E1"/>
    <w:rsid w:val="00DE1AC9"/>
    <w:rsid w:val="00DE1C4A"/>
    <w:rsid w:val="00DE27C1"/>
    <w:rsid w:val="00DE40CD"/>
    <w:rsid w:val="00DE41A3"/>
    <w:rsid w:val="00DE4889"/>
    <w:rsid w:val="00DE4FC4"/>
    <w:rsid w:val="00DE5226"/>
    <w:rsid w:val="00DE5312"/>
    <w:rsid w:val="00DE59D0"/>
    <w:rsid w:val="00DE6425"/>
    <w:rsid w:val="00DE72DE"/>
    <w:rsid w:val="00DE73A5"/>
    <w:rsid w:val="00DE7640"/>
    <w:rsid w:val="00DE795D"/>
    <w:rsid w:val="00DF06AC"/>
    <w:rsid w:val="00DF084C"/>
    <w:rsid w:val="00DF08DD"/>
    <w:rsid w:val="00DF23D7"/>
    <w:rsid w:val="00DF2A59"/>
    <w:rsid w:val="00DF3F40"/>
    <w:rsid w:val="00DF4BA6"/>
    <w:rsid w:val="00DF4C35"/>
    <w:rsid w:val="00DF53CE"/>
    <w:rsid w:val="00DF578F"/>
    <w:rsid w:val="00DF6A9A"/>
    <w:rsid w:val="00DF7A06"/>
    <w:rsid w:val="00DF7B0E"/>
    <w:rsid w:val="00E005E0"/>
    <w:rsid w:val="00E01299"/>
    <w:rsid w:val="00E01530"/>
    <w:rsid w:val="00E016CD"/>
    <w:rsid w:val="00E01AB0"/>
    <w:rsid w:val="00E03039"/>
    <w:rsid w:val="00E0494E"/>
    <w:rsid w:val="00E04F2C"/>
    <w:rsid w:val="00E0553C"/>
    <w:rsid w:val="00E05941"/>
    <w:rsid w:val="00E05C2C"/>
    <w:rsid w:val="00E05F7A"/>
    <w:rsid w:val="00E107DB"/>
    <w:rsid w:val="00E12BD1"/>
    <w:rsid w:val="00E130AC"/>
    <w:rsid w:val="00E13681"/>
    <w:rsid w:val="00E13A0F"/>
    <w:rsid w:val="00E13AF2"/>
    <w:rsid w:val="00E165EC"/>
    <w:rsid w:val="00E166DD"/>
    <w:rsid w:val="00E16776"/>
    <w:rsid w:val="00E1794D"/>
    <w:rsid w:val="00E20ED3"/>
    <w:rsid w:val="00E20F23"/>
    <w:rsid w:val="00E21292"/>
    <w:rsid w:val="00E22551"/>
    <w:rsid w:val="00E23356"/>
    <w:rsid w:val="00E23BE2"/>
    <w:rsid w:val="00E245B8"/>
    <w:rsid w:val="00E25113"/>
    <w:rsid w:val="00E2757C"/>
    <w:rsid w:val="00E277B4"/>
    <w:rsid w:val="00E30637"/>
    <w:rsid w:val="00E31638"/>
    <w:rsid w:val="00E32020"/>
    <w:rsid w:val="00E32ABC"/>
    <w:rsid w:val="00E34B17"/>
    <w:rsid w:val="00E34F87"/>
    <w:rsid w:val="00E35439"/>
    <w:rsid w:val="00E358E1"/>
    <w:rsid w:val="00E366AA"/>
    <w:rsid w:val="00E371F5"/>
    <w:rsid w:val="00E40AA7"/>
    <w:rsid w:val="00E41959"/>
    <w:rsid w:val="00E41CA3"/>
    <w:rsid w:val="00E425E8"/>
    <w:rsid w:val="00E42668"/>
    <w:rsid w:val="00E44AFA"/>
    <w:rsid w:val="00E45797"/>
    <w:rsid w:val="00E45FD9"/>
    <w:rsid w:val="00E46C4D"/>
    <w:rsid w:val="00E46D5C"/>
    <w:rsid w:val="00E47114"/>
    <w:rsid w:val="00E4728C"/>
    <w:rsid w:val="00E472A5"/>
    <w:rsid w:val="00E473D2"/>
    <w:rsid w:val="00E50351"/>
    <w:rsid w:val="00E5040C"/>
    <w:rsid w:val="00E5182C"/>
    <w:rsid w:val="00E5204A"/>
    <w:rsid w:val="00E53942"/>
    <w:rsid w:val="00E53EE0"/>
    <w:rsid w:val="00E55516"/>
    <w:rsid w:val="00E56119"/>
    <w:rsid w:val="00E562A1"/>
    <w:rsid w:val="00E56DFE"/>
    <w:rsid w:val="00E56EF2"/>
    <w:rsid w:val="00E609DE"/>
    <w:rsid w:val="00E60DE7"/>
    <w:rsid w:val="00E610A0"/>
    <w:rsid w:val="00E61201"/>
    <w:rsid w:val="00E6160A"/>
    <w:rsid w:val="00E617B7"/>
    <w:rsid w:val="00E62189"/>
    <w:rsid w:val="00E62D53"/>
    <w:rsid w:val="00E63282"/>
    <w:rsid w:val="00E63AC2"/>
    <w:rsid w:val="00E63AFC"/>
    <w:rsid w:val="00E6451E"/>
    <w:rsid w:val="00E645DD"/>
    <w:rsid w:val="00E647B0"/>
    <w:rsid w:val="00E6584C"/>
    <w:rsid w:val="00E65D30"/>
    <w:rsid w:val="00E714B1"/>
    <w:rsid w:val="00E728B5"/>
    <w:rsid w:val="00E7380F"/>
    <w:rsid w:val="00E73DC3"/>
    <w:rsid w:val="00E73EDC"/>
    <w:rsid w:val="00E75B85"/>
    <w:rsid w:val="00E76F19"/>
    <w:rsid w:val="00E8006B"/>
    <w:rsid w:val="00E80833"/>
    <w:rsid w:val="00E80A06"/>
    <w:rsid w:val="00E81B38"/>
    <w:rsid w:val="00E81D9C"/>
    <w:rsid w:val="00E82D65"/>
    <w:rsid w:val="00E84066"/>
    <w:rsid w:val="00E8447D"/>
    <w:rsid w:val="00E85CC8"/>
    <w:rsid w:val="00E863F7"/>
    <w:rsid w:val="00E869DB"/>
    <w:rsid w:val="00E87573"/>
    <w:rsid w:val="00E875BF"/>
    <w:rsid w:val="00E875FD"/>
    <w:rsid w:val="00E87FD4"/>
    <w:rsid w:val="00E9141C"/>
    <w:rsid w:val="00E918D9"/>
    <w:rsid w:val="00E921AF"/>
    <w:rsid w:val="00E926BB"/>
    <w:rsid w:val="00E92DC9"/>
    <w:rsid w:val="00E93870"/>
    <w:rsid w:val="00E95205"/>
    <w:rsid w:val="00E9651B"/>
    <w:rsid w:val="00E9672A"/>
    <w:rsid w:val="00E972C6"/>
    <w:rsid w:val="00EA0125"/>
    <w:rsid w:val="00EA03C1"/>
    <w:rsid w:val="00EA12BB"/>
    <w:rsid w:val="00EA20AC"/>
    <w:rsid w:val="00EA2AA4"/>
    <w:rsid w:val="00EA2D8F"/>
    <w:rsid w:val="00EA30E3"/>
    <w:rsid w:val="00EA4ECD"/>
    <w:rsid w:val="00EA546F"/>
    <w:rsid w:val="00EA7087"/>
    <w:rsid w:val="00EA7E27"/>
    <w:rsid w:val="00EB1D8A"/>
    <w:rsid w:val="00EB28D1"/>
    <w:rsid w:val="00EB3376"/>
    <w:rsid w:val="00EB40FC"/>
    <w:rsid w:val="00EB4708"/>
    <w:rsid w:val="00EB5895"/>
    <w:rsid w:val="00EB7346"/>
    <w:rsid w:val="00EB7C84"/>
    <w:rsid w:val="00EB7D52"/>
    <w:rsid w:val="00EC269F"/>
    <w:rsid w:val="00EC2EE8"/>
    <w:rsid w:val="00EC2FF3"/>
    <w:rsid w:val="00EC3EB0"/>
    <w:rsid w:val="00EC4599"/>
    <w:rsid w:val="00EC5A3E"/>
    <w:rsid w:val="00EC61A5"/>
    <w:rsid w:val="00EC6C25"/>
    <w:rsid w:val="00EC7016"/>
    <w:rsid w:val="00EC7192"/>
    <w:rsid w:val="00EC75F3"/>
    <w:rsid w:val="00EC7D7B"/>
    <w:rsid w:val="00ED00E7"/>
    <w:rsid w:val="00ED0B1E"/>
    <w:rsid w:val="00ED12EF"/>
    <w:rsid w:val="00ED2E70"/>
    <w:rsid w:val="00ED2EFE"/>
    <w:rsid w:val="00ED2F2B"/>
    <w:rsid w:val="00ED30EB"/>
    <w:rsid w:val="00ED407B"/>
    <w:rsid w:val="00ED588C"/>
    <w:rsid w:val="00ED59A2"/>
    <w:rsid w:val="00ED6351"/>
    <w:rsid w:val="00EE00DD"/>
    <w:rsid w:val="00EE058A"/>
    <w:rsid w:val="00EE21DA"/>
    <w:rsid w:val="00EE446F"/>
    <w:rsid w:val="00EE46AD"/>
    <w:rsid w:val="00EE4C7B"/>
    <w:rsid w:val="00EE4D91"/>
    <w:rsid w:val="00EE77EA"/>
    <w:rsid w:val="00EF005E"/>
    <w:rsid w:val="00EF19B1"/>
    <w:rsid w:val="00EF2B89"/>
    <w:rsid w:val="00EF2DEB"/>
    <w:rsid w:val="00EF396C"/>
    <w:rsid w:val="00EF3A81"/>
    <w:rsid w:val="00EF4C19"/>
    <w:rsid w:val="00EF54F0"/>
    <w:rsid w:val="00EF57DF"/>
    <w:rsid w:val="00EF663B"/>
    <w:rsid w:val="00EF70F0"/>
    <w:rsid w:val="00EF7D9B"/>
    <w:rsid w:val="00F01450"/>
    <w:rsid w:val="00F02A17"/>
    <w:rsid w:val="00F036CD"/>
    <w:rsid w:val="00F05102"/>
    <w:rsid w:val="00F066C2"/>
    <w:rsid w:val="00F10456"/>
    <w:rsid w:val="00F1181F"/>
    <w:rsid w:val="00F11BC3"/>
    <w:rsid w:val="00F12972"/>
    <w:rsid w:val="00F129EF"/>
    <w:rsid w:val="00F12B78"/>
    <w:rsid w:val="00F14C51"/>
    <w:rsid w:val="00F1601C"/>
    <w:rsid w:val="00F16680"/>
    <w:rsid w:val="00F166A6"/>
    <w:rsid w:val="00F1764D"/>
    <w:rsid w:val="00F177FB"/>
    <w:rsid w:val="00F17E85"/>
    <w:rsid w:val="00F21250"/>
    <w:rsid w:val="00F22EA2"/>
    <w:rsid w:val="00F2322B"/>
    <w:rsid w:val="00F245A2"/>
    <w:rsid w:val="00F24C52"/>
    <w:rsid w:val="00F24EE5"/>
    <w:rsid w:val="00F25433"/>
    <w:rsid w:val="00F25794"/>
    <w:rsid w:val="00F25ECA"/>
    <w:rsid w:val="00F2784C"/>
    <w:rsid w:val="00F30ED4"/>
    <w:rsid w:val="00F32179"/>
    <w:rsid w:val="00F32208"/>
    <w:rsid w:val="00F3255A"/>
    <w:rsid w:val="00F329E7"/>
    <w:rsid w:val="00F32C6A"/>
    <w:rsid w:val="00F341EB"/>
    <w:rsid w:val="00F34978"/>
    <w:rsid w:val="00F34FF8"/>
    <w:rsid w:val="00F36166"/>
    <w:rsid w:val="00F36941"/>
    <w:rsid w:val="00F377C7"/>
    <w:rsid w:val="00F40547"/>
    <w:rsid w:val="00F40BF4"/>
    <w:rsid w:val="00F40C5B"/>
    <w:rsid w:val="00F412E0"/>
    <w:rsid w:val="00F41E88"/>
    <w:rsid w:val="00F42BD2"/>
    <w:rsid w:val="00F42F3F"/>
    <w:rsid w:val="00F43A23"/>
    <w:rsid w:val="00F43B34"/>
    <w:rsid w:val="00F4580A"/>
    <w:rsid w:val="00F45A01"/>
    <w:rsid w:val="00F45B1E"/>
    <w:rsid w:val="00F461DC"/>
    <w:rsid w:val="00F470EE"/>
    <w:rsid w:val="00F47ABE"/>
    <w:rsid w:val="00F47B9D"/>
    <w:rsid w:val="00F5008B"/>
    <w:rsid w:val="00F501EE"/>
    <w:rsid w:val="00F50248"/>
    <w:rsid w:val="00F51D8F"/>
    <w:rsid w:val="00F5238C"/>
    <w:rsid w:val="00F52854"/>
    <w:rsid w:val="00F52B18"/>
    <w:rsid w:val="00F52FF0"/>
    <w:rsid w:val="00F53868"/>
    <w:rsid w:val="00F54070"/>
    <w:rsid w:val="00F55638"/>
    <w:rsid w:val="00F57775"/>
    <w:rsid w:val="00F57D10"/>
    <w:rsid w:val="00F600C0"/>
    <w:rsid w:val="00F62141"/>
    <w:rsid w:val="00F64DE9"/>
    <w:rsid w:val="00F6503A"/>
    <w:rsid w:val="00F654EF"/>
    <w:rsid w:val="00F660FF"/>
    <w:rsid w:val="00F70848"/>
    <w:rsid w:val="00F7105D"/>
    <w:rsid w:val="00F71550"/>
    <w:rsid w:val="00F71DF8"/>
    <w:rsid w:val="00F736F7"/>
    <w:rsid w:val="00F76F9E"/>
    <w:rsid w:val="00F831E4"/>
    <w:rsid w:val="00F844F6"/>
    <w:rsid w:val="00F84951"/>
    <w:rsid w:val="00F85A0F"/>
    <w:rsid w:val="00F85EE6"/>
    <w:rsid w:val="00F8634A"/>
    <w:rsid w:val="00F90512"/>
    <w:rsid w:val="00F915C8"/>
    <w:rsid w:val="00F91C91"/>
    <w:rsid w:val="00F92BE2"/>
    <w:rsid w:val="00F93305"/>
    <w:rsid w:val="00F938EC"/>
    <w:rsid w:val="00F94E24"/>
    <w:rsid w:val="00F96215"/>
    <w:rsid w:val="00F97A02"/>
    <w:rsid w:val="00FA14E3"/>
    <w:rsid w:val="00FA28EE"/>
    <w:rsid w:val="00FA36D1"/>
    <w:rsid w:val="00FA5124"/>
    <w:rsid w:val="00FA6100"/>
    <w:rsid w:val="00FA63D5"/>
    <w:rsid w:val="00FA6E33"/>
    <w:rsid w:val="00FA7043"/>
    <w:rsid w:val="00FB03D4"/>
    <w:rsid w:val="00FB290D"/>
    <w:rsid w:val="00FB3A0C"/>
    <w:rsid w:val="00FB5520"/>
    <w:rsid w:val="00FB6ADE"/>
    <w:rsid w:val="00FB782A"/>
    <w:rsid w:val="00FB79B5"/>
    <w:rsid w:val="00FC080F"/>
    <w:rsid w:val="00FC08E1"/>
    <w:rsid w:val="00FC0E3B"/>
    <w:rsid w:val="00FC2A33"/>
    <w:rsid w:val="00FC32CB"/>
    <w:rsid w:val="00FC3A0A"/>
    <w:rsid w:val="00FC3CA1"/>
    <w:rsid w:val="00FC47C5"/>
    <w:rsid w:val="00FC5047"/>
    <w:rsid w:val="00FC5FE3"/>
    <w:rsid w:val="00FC69D5"/>
    <w:rsid w:val="00FC6F61"/>
    <w:rsid w:val="00FC760A"/>
    <w:rsid w:val="00FC7DB3"/>
    <w:rsid w:val="00FD040C"/>
    <w:rsid w:val="00FD10BD"/>
    <w:rsid w:val="00FD11C8"/>
    <w:rsid w:val="00FD161E"/>
    <w:rsid w:val="00FD250D"/>
    <w:rsid w:val="00FD2FFE"/>
    <w:rsid w:val="00FD4298"/>
    <w:rsid w:val="00FD50B8"/>
    <w:rsid w:val="00FD7040"/>
    <w:rsid w:val="00FD79E8"/>
    <w:rsid w:val="00FD7A8A"/>
    <w:rsid w:val="00FD7FBC"/>
    <w:rsid w:val="00FE18E4"/>
    <w:rsid w:val="00FE200B"/>
    <w:rsid w:val="00FE40D9"/>
    <w:rsid w:val="00FE49A0"/>
    <w:rsid w:val="00FE6D57"/>
    <w:rsid w:val="00FE7B8D"/>
    <w:rsid w:val="00FF03FB"/>
    <w:rsid w:val="00FF0596"/>
    <w:rsid w:val="00FF0AEC"/>
    <w:rsid w:val="00FF1C46"/>
    <w:rsid w:val="00FF2326"/>
    <w:rsid w:val="00FF2BD2"/>
    <w:rsid w:val="00FF4329"/>
    <w:rsid w:val="00FF5085"/>
    <w:rsid w:val="00FF515A"/>
    <w:rsid w:val="00FF53DC"/>
    <w:rsid w:val="00FF637E"/>
    <w:rsid w:val="00FF6536"/>
    <w:rsid w:val="00FF67BF"/>
    <w:rsid w:val="00FF6E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C4957"/>
  <w15:docId w15:val="{99839F88-A132-4D56-BE0F-D09FC9614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Kop2"/>
    <w:qFormat/>
    <w:rsid w:val="00FE40D9"/>
    <w:pPr>
      <w:spacing w:line="360" w:lineRule="auto"/>
      <w:ind w:firstLine="709"/>
    </w:pPr>
    <w:rPr>
      <w:rFonts w:ascii="Arial" w:hAnsi="Arial"/>
      <w:szCs w:val="24"/>
    </w:rPr>
  </w:style>
  <w:style w:type="paragraph" w:styleId="Kop1">
    <w:name w:val="heading 1"/>
    <w:basedOn w:val="Standaard"/>
    <w:next w:val="Standaard"/>
    <w:link w:val="Kop1Char"/>
    <w:uiPriority w:val="9"/>
    <w:qFormat/>
    <w:rsid w:val="00ED0B1E"/>
    <w:pPr>
      <w:numPr>
        <w:numId w:val="1"/>
      </w:numPr>
      <w:outlineLvl w:val="0"/>
    </w:pPr>
    <w:rPr>
      <w:b/>
    </w:rPr>
  </w:style>
  <w:style w:type="paragraph" w:styleId="Kop2">
    <w:name w:val="heading 2"/>
    <w:basedOn w:val="Kop1"/>
    <w:next w:val="Standaard"/>
    <w:link w:val="Kop2Char"/>
    <w:uiPriority w:val="9"/>
    <w:qFormat/>
    <w:rsid w:val="008320A4"/>
    <w:pPr>
      <w:keepNext/>
      <w:numPr>
        <w:ilvl w:val="1"/>
      </w:numPr>
      <w:spacing w:before="240" w:after="60"/>
      <w:ind w:left="0"/>
      <w:outlineLvl w:val="1"/>
    </w:pPr>
    <w:rPr>
      <w:bCs/>
      <w:iCs/>
      <w:szCs w:val="28"/>
    </w:rPr>
  </w:style>
  <w:style w:type="paragraph" w:styleId="Kop3">
    <w:name w:val="heading 3"/>
    <w:basedOn w:val="Standaard"/>
    <w:next w:val="Standaard"/>
    <w:link w:val="Kop3Char"/>
    <w:uiPriority w:val="9"/>
    <w:qFormat/>
    <w:rsid w:val="00D67FC7"/>
    <w:pPr>
      <w:keepNext/>
      <w:numPr>
        <w:ilvl w:val="2"/>
        <w:numId w:val="1"/>
      </w:numPr>
      <w:spacing w:before="240" w:after="60"/>
      <w:outlineLvl w:val="2"/>
    </w:pPr>
    <w:rPr>
      <w:b/>
      <w:bCs/>
      <w:szCs w:val="20"/>
    </w:rPr>
  </w:style>
  <w:style w:type="paragraph" w:styleId="Kop4">
    <w:name w:val="heading 4"/>
    <w:basedOn w:val="Standaard"/>
    <w:next w:val="Standaard"/>
    <w:link w:val="Kop4Char"/>
    <w:uiPriority w:val="9"/>
    <w:qFormat/>
    <w:rsid w:val="00ED0B1E"/>
    <w:pPr>
      <w:keepNext/>
      <w:numPr>
        <w:ilvl w:val="3"/>
        <w:numId w:val="1"/>
      </w:numPr>
      <w:spacing w:before="240" w:after="60"/>
      <w:outlineLvl w:val="3"/>
    </w:pPr>
    <w:rPr>
      <w:rFonts w:ascii="Calibri" w:hAnsi="Calibri"/>
      <w:b/>
      <w:bCs/>
      <w:sz w:val="28"/>
      <w:szCs w:val="28"/>
    </w:rPr>
  </w:style>
  <w:style w:type="paragraph" w:styleId="Kop5">
    <w:name w:val="heading 5"/>
    <w:basedOn w:val="Standaard"/>
    <w:next w:val="Standaard"/>
    <w:link w:val="Kop5Char"/>
    <w:uiPriority w:val="9"/>
    <w:qFormat/>
    <w:rsid w:val="00ED0B1E"/>
    <w:pPr>
      <w:numPr>
        <w:ilvl w:val="4"/>
        <w:numId w:val="1"/>
      </w:numPr>
      <w:spacing w:before="240" w:after="60"/>
      <w:outlineLvl w:val="4"/>
    </w:pPr>
    <w:rPr>
      <w:rFonts w:ascii="Calibri" w:hAnsi="Calibri"/>
      <w:b/>
      <w:bCs/>
      <w:i/>
      <w:iCs/>
      <w:sz w:val="26"/>
      <w:szCs w:val="26"/>
    </w:rPr>
  </w:style>
  <w:style w:type="paragraph" w:styleId="Kop6">
    <w:name w:val="heading 6"/>
    <w:basedOn w:val="Standaard"/>
    <w:next w:val="Standaard"/>
    <w:link w:val="Kop6Char"/>
    <w:uiPriority w:val="9"/>
    <w:qFormat/>
    <w:rsid w:val="00ED0B1E"/>
    <w:pPr>
      <w:numPr>
        <w:ilvl w:val="5"/>
        <w:numId w:val="1"/>
      </w:numPr>
      <w:spacing w:before="240" w:after="60"/>
      <w:outlineLvl w:val="5"/>
    </w:pPr>
    <w:rPr>
      <w:rFonts w:ascii="Calibri" w:hAnsi="Calibri"/>
      <w:b/>
      <w:bCs/>
      <w:sz w:val="22"/>
      <w:szCs w:val="22"/>
    </w:rPr>
  </w:style>
  <w:style w:type="paragraph" w:styleId="Kop7">
    <w:name w:val="heading 7"/>
    <w:basedOn w:val="Standaard"/>
    <w:next w:val="Standaard"/>
    <w:link w:val="Kop7Char"/>
    <w:uiPriority w:val="9"/>
    <w:qFormat/>
    <w:rsid w:val="00ED0B1E"/>
    <w:pPr>
      <w:numPr>
        <w:ilvl w:val="6"/>
        <w:numId w:val="1"/>
      </w:numPr>
      <w:spacing w:before="240" w:after="60"/>
      <w:outlineLvl w:val="6"/>
    </w:pPr>
    <w:rPr>
      <w:rFonts w:ascii="Calibri" w:hAnsi="Calibri"/>
      <w:sz w:val="24"/>
    </w:rPr>
  </w:style>
  <w:style w:type="paragraph" w:styleId="Kop8">
    <w:name w:val="heading 8"/>
    <w:basedOn w:val="Standaard"/>
    <w:next w:val="Standaard"/>
    <w:link w:val="Kop8Char"/>
    <w:uiPriority w:val="9"/>
    <w:qFormat/>
    <w:rsid w:val="00ED0B1E"/>
    <w:pPr>
      <w:numPr>
        <w:ilvl w:val="7"/>
        <w:numId w:val="1"/>
      </w:numPr>
      <w:spacing w:before="240" w:after="60"/>
      <w:outlineLvl w:val="7"/>
    </w:pPr>
    <w:rPr>
      <w:rFonts w:ascii="Calibri" w:hAnsi="Calibri"/>
      <w:i/>
      <w:iCs/>
      <w:sz w:val="24"/>
    </w:rPr>
  </w:style>
  <w:style w:type="paragraph" w:styleId="Kop9">
    <w:name w:val="heading 9"/>
    <w:basedOn w:val="Standaard"/>
    <w:next w:val="Standaard"/>
    <w:link w:val="Kop9Char"/>
    <w:uiPriority w:val="9"/>
    <w:qFormat/>
    <w:rsid w:val="00ED0B1E"/>
    <w:pPr>
      <w:numPr>
        <w:ilvl w:val="8"/>
        <w:numId w:val="1"/>
      </w:numPr>
      <w:spacing w:before="240" w:after="60"/>
      <w:outlineLvl w:val="8"/>
    </w:pPr>
    <w:rPr>
      <w:rFonts w:ascii="Cambria" w:hAnsi="Cambria"/>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sid w:val="002D160C"/>
    <w:rPr>
      <w:color w:val="0000FF"/>
      <w:u w:val="single"/>
    </w:rPr>
  </w:style>
  <w:style w:type="character" w:customStyle="1" w:styleId="VoetnoottekstChar">
    <w:name w:val="Voetnoottekst Char"/>
    <w:link w:val="Voetnoottekst"/>
    <w:uiPriority w:val="99"/>
    <w:rsid w:val="002D160C"/>
    <w:rPr>
      <w:rFonts w:ascii="Arial" w:hAnsi="Arial"/>
      <w:szCs w:val="24"/>
      <w:lang w:val="en-GB" w:eastAsia="nl-NL" w:bidi="ar-SA"/>
    </w:rPr>
  </w:style>
  <w:style w:type="paragraph" w:styleId="Voetnoottekst">
    <w:name w:val="footnote text"/>
    <w:basedOn w:val="Standaard"/>
    <w:link w:val="VoetnoottekstChar"/>
    <w:uiPriority w:val="99"/>
    <w:rsid w:val="002D160C"/>
    <w:pPr>
      <w:widowControl w:val="0"/>
    </w:pPr>
  </w:style>
  <w:style w:type="character" w:customStyle="1" w:styleId="TekstopmerkingChar">
    <w:name w:val="Tekst opmerking Char"/>
    <w:link w:val="Tekstopmerking"/>
    <w:uiPriority w:val="99"/>
    <w:rsid w:val="002D160C"/>
    <w:rPr>
      <w:rFonts w:ascii="Arial" w:hAnsi="Arial"/>
      <w:szCs w:val="24"/>
      <w:lang w:val="en-GB" w:eastAsia="nl-NL" w:bidi="ar-SA"/>
    </w:rPr>
  </w:style>
  <w:style w:type="paragraph" w:styleId="Tekstopmerking">
    <w:name w:val="annotation text"/>
    <w:basedOn w:val="Standaard"/>
    <w:link w:val="TekstopmerkingChar"/>
    <w:uiPriority w:val="99"/>
    <w:rsid w:val="002D160C"/>
  </w:style>
  <w:style w:type="character" w:customStyle="1" w:styleId="PlattetekstChar">
    <w:name w:val="Platte tekst Char"/>
    <w:link w:val="Plattetekst"/>
    <w:rsid w:val="002D160C"/>
    <w:rPr>
      <w:rFonts w:ascii="Verdana" w:hAnsi="Verdana"/>
      <w:sz w:val="18"/>
      <w:szCs w:val="24"/>
      <w:lang w:val="en-GB" w:eastAsia="en-US" w:bidi="ar-SA"/>
    </w:rPr>
  </w:style>
  <w:style w:type="paragraph" w:styleId="Plattetekst">
    <w:name w:val="Body Text"/>
    <w:basedOn w:val="Standaard"/>
    <w:link w:val="PlattetekstChar"/>
    <w:rsid w:val="002D160C"/>
    <w:pPr>
      <w:spacing w:line="240" w:lineRule="exact"/>
      <w:ind w:firstLine="0"/>
    </w:pPr>
    <w:rPr>
      <w:rFonts w:ascii="Verdana" w:hAnsi="Verdana"/>
      <w:sz w:val="18"/>
      <w:lang w:eastAsia="en-US"/>
    </w:rPr>
  </w:style>
  <w:style w:type="character" w:styleId="Voetnootmarkering">
    <w:name w:val="footnote reference"/>
    <w:uiPriority w:val="99"/>
    <w:rsid w:val="002D160C"/>
    <w:rPr>
      <w:vertAlign w:val="superscript"/>
    </w:rPr>
  </w:style>
  <w:style w:type="character" w:styleId="Verwijzingopmerking">
    <w:name w:val="annotation reference"/>
    <w:uiPriority w:val="99"/>
    <w:semiHidden/>
    <w:rsid w:val="002D160C"/>
    <w:rPr>
      <w:sz w:val="16"/>
      <w:szCs w:val="16"/>
    </w:rPr>
  </w:style>
  <w:style w:type="paragraph" w:styleId="Ballontekst">
    <w:name w:val="Balloon Text"/>
    <w:basedOn w:val="Standaard"/>
    <w:semiHidden/>
    <w:rsid w:val="002D160C"/>
    <w:rPr>
      <w:rFonts w:ascii="Tahoma" w:hAnsi="Tahoma" w:cs="Tahoma"/>
      <w:sz w:val="16"/>
      <w:szCs w:val="16"/>
    </w:rPr>
  </w:style>
  <w:style w:type="paragraph" w:customStyle="1" w:styleId="CharCharCharCharChar">
    <w:name w:val="Char Char Char Char Char"/>
    <w:basedOn w:val="Standaard"/>
    <w:rsid w:val="00802AB5"/>
    <w:pPr>
      <w:spacing w:after="160" w:line="240" w:lineRule="exact"/>
      <w:ind w:firstLine="0"/>
    </w:pPr>
    <w:rPr>
      <w:rFonts w:ascii="Tahoma" w:hAnsi="Tahoma"/>
      <w:szCs w:val="20"/>
      <w:lang w:val="en-US" w:eastAsia="en-US"/>
    </w:rPr>
  </w:style>
  <w:style w:type="paragraph" w:styleId="Onderwerpvanopmerking">
    <w:name w:val="annotation subject"/>
    <w:basedOn w:val="Tekstopmerking"/>
    <w:next w:val="Tekstopmerking"/>
    <w:link w:val="OnderwerpvanopmerkingChar"/>
    <w:uiPriority w:val="99"/>
    <w:semiHidden/>
    <w:unhideWhenUsed/>
    <w:rsid w:val="00DD0484"/>
    <w:rPr>
      <w:b/>
      <w:bCs/>
    </w:rPr>
  </w:style>
  <w:style w:type="character" w:customStyle="1" w:styleId="OnderwerpvanopmerkingChar">
    <w:name w:val="Onderwerp van opmerking Char"/>
    <w:link w:val="Onderwerpvanopmerking"/>
    <w:uiPriority w:val="99"/>
    <w:semiHidden/>
    <w:rsid w:val="00DD0484"/>
    <w:rPr>
      <w:rFonts w:ascii="Arial" w:hAnsi="Arial"/>
      <w:b/>
      <w:bCs/>
      <w:szCs w:val="24"/>
      <w:lang w:val="en-GB" w:eastAsia="nl-NL" w:bidi="ar-SA"/>
    </w:rPr>
  </w:style>
  <w:style w:type="paragraph" w:styleId="Koptekst">
    <w:name w:val="header"/>
    <w:basedOn w:val="Standaard"/>
    <w:rsid w:val="006B3122"/>
    <w:pPr>
      <w:tabs>
        <w:tab w:val="center" w:pos="4536"/>
        <w:tab w:val="right" w:pos="9072"/>
      </w:tabs>
    </w:pPr>
  </w:style>
  <w:style w:type="paragraph" w:styleId="Voettekst">
    <w:name w:val="footer"/>
    <w:basedOn w:val="Standaard"/>
    <w:rsid w:val="006B3122"/>
    <w:pPr>
      <w:tabs>
        <w:tab w:val="center" w:pos="4536"/>
        <w:tab w:val="right" w:pos="9072"/>
      </w:tabs>
    </w:pPr>
  </w:style>
  <w:style w:type="character" w:styleId="Paginanummer">
    <w:name w:val="page number"/>
    <w:basedOn w:val="Standaardalinea-lettertype"/>
    <w:rsid w:val="006B3122"/>
  </w:style>
  <w:style w:type="character" w:customStyle="1" w:styleId="Kop1Char">
    <w:name w:val="Kop 1 Char"/>
    <w:link w:val="Kop1"/>
    <w:uiPriority w:val="9"/>
    <w:rsid w:val="00ED0B1E"/>
    <w:rPr>
      <w:rFonts w:ascii="Arial" w:hAnsi="Arial"/>
      <w:b/>
      <w:szCs w:val="24"/>
      <w:lang w:val="en-GB"/>
    </w:rPr>
  </w:style>
  <w:style w:type="paragraph" w:styleId="Titel">
    <w:name w:val="Title"/>
    <w:basedOn w:val="Standaard"/>
    <w:next w:val="Standaard"/>
    <w:link w:val="TitelChar"/>
    <w:uiPriority w:val="10"/>
    <w:qFormat/>
    <w:rsid w:val="00FE40D9"/>
    <w:pPr>
      <w:ind w:firstLine="0"/>
    </w:pPr>
    <w:rPr>
      <w:u w:val="single"/>
    </w:rPr>
  </w:style>
  <w:style w:type="character" w:customStyle="1" w:styleId="TitelChar">
    <w:name w:val="Titel Char"/>
    <w:link w:val="Titel"/>
    <w:uiPriority w:val="10"/>
    <w:rsid w:val="00FE40D9"/>
    <w:rPr>
      <w:rFonts w:ascii="Arial" w:hAnsi="Arial"/>
      <w:szCs w:val="24"/>
      <w:u w:val="single"/>
    </w:rPr>
  </w:style>
  <w:style w:type="character" w:customStyle="1" w:styleId="Kop3Char">
    <w:name w:val="Kop 3 Char"/>
    <w:link w:val="Kop3"/>
    <w:uiPriority w:val="9"/>
    <w:rsid w:val="00D67FC7"/>
    <w:rPr>
      <w:rFonts w:ascii="Arial" w:hAnsi="Arial"/>
      <w:b/>
      <w:bCs/>
      <w:lang w:val="en-GB"/>
    </w:rPr>
  </w:style>
  <w:style w:type="character" w:customStyle="1" w:styleId="Kop2Char">
    <w:name w:val="Kop 2 Char"/>
    <w:link w:val="Kop2"/>
    <w:uiPriority w:val="9"/>
    <w:rsid w:val="008320A4"/>
    <w:rPr>
      <w:rFonts w:ascii="Arial" w:hAnsi="Arial"/>
      <w:b/>
      <w:bCs/>
      <w:iCs/>
      <w:szCs w:val="28"/>
      <w:lang w:val="en-GB"/>
    </w:rPr>
  </w:style>
  <w:style w:type="character" w:customStyle="1" w:styleId="Kop4Char">
    <w:name w:val="Kop 4 Char"/>
    <w:link w:val="Kop4"/>
    <w:uiPriority w:val="9"/>
    <w:rsid w:val="00ED0B1E"/>
    <w:rPr>
      <w:rFonts w:ascii="Calibri" w:hAnsi="Calibri"/>
      <w:b/>
      <w:bCs/>
      <w:sz w:val="28"/>
      <w:szCs w:val="28"/>
      <w:lang w:val="en-GB"/>
    </w:rPr>
  </w:style>
  <w:style w:type="character" w:customStyle="1" w:styleId="Kop5Char">
    <w:name w:val="Kop 5 Char"/>
    <w:link w:val="Kop5"/>
    <w:uiPriority w:val="9"/>
    <w:rsid w:val="00ED0B1E"/>
    <w:rPr>
      <w:rFonts w:ascii="Calibri" w:hAnsi="Calibri"/>
      <w:b/>
      <w:bCs/>
      <w:i/>
      <w:iCs/>
      <w:sz w:val="26"/>
      <w:szCs w:val="26"/>
      <w:lang w:val="en-GB"/>
    </w:rPr>
  </w:style>
  <w:style w:type="character" w:customStyle="1" w:styleId="Kop6Char">
    <w:name w:val="Kop 6 Char"/>
    <w:link w:val="Kop6"/>
    <w:uiPriority w:val="9"/>
    <w:rsid w:val="00ED0B1E"/>
    <w:rPr>
      <w:rFonts w:ascii="Calibri" w:hAnsi="Calibri"/>
      <w:b/>
      <w:bCs/>
      <w:sz w:val="22"/>
      <w:szCs w:val="22"/>
      <w:lang w:val="en-GB"/>
    </w:rPr>
  </w:style>
  <w:style w:type="character" w:customStyle="1" w:styleId="Kop7Char">
    <w:name w:val="Kop 7 Char"/>
    <w:link w:val="Kop7"/>
    <w:uiPriority w:val="9"/>
    <w:rsid w:val="00ED0B1E"/>
    <w:rPr>
      <w:rFonts w:ascii="Calibri" w:hAnsi="Calibri"/>
      <w:sz w:val="24"/>
      <w:szCs w:val="24"/>
      <w:lang w:val="en-GB"/>
    </w:rPr>
  </w:style>
  <w:style w:type="character" w:customStyle="1" w:styleId="Kop8Char">
    <w:name w:val="Kop 8 Char"/>
    <w:link w:val="Kop8"/>
    <w:uiPriority w:val="9"/>
    <w:rsid w:val="00ED0B1E"/>
    <w:rPr>
      <w:rFonts w:ascii="Calibri" w:hAnsi="Calibri"/>
      <w:i/>
      <w:iCs/>
      <w:sz w:val="24"/>
      <w:szCs w:val="24"/>
      <w:lang w:val="en-GB"/>
    </w:rPr>
  </w:style>
  <w:style w:type="character" w:customStyle="1" w:styleId="Kop9Char">
    <w:name w:val="Kop 9 Char"/>
    <w:link w:val="Kop9"/>
    <w:uiPriority w:val="9"/>
    <w:rsid w:val="00ED0B1E"/>
    <w:rPr>
      <w:rFonts w:ascii="Cambria" w:hAnsi="Cambria"/>
      <w:sz w:val="22"/>
      <w:szCs w:val="22"/>
      <w:lang w:val="en-GB"/>
    </w:rPr>
  </w:style>
  <w:style w:type="character" w:styleId="GevolgdeHyperlink">
    <w:name w:val="FollowedHyperlink"/>
    <w:uiPriority w:val="99"/>
    <w:semiHidden/>
    <w:unhideWhenUsed/>
    <w:rsid w:val="00F8634A"/>
    <w:rPr>
      <w:color w:val="800080"/>
      <w:u w:val="single"/>
    </w:rPr>
  </w:style>
  <w:style w:type="character" w:styleId="Nadruk">
    <w:name w:val="Emphasis"/>
    <w:basedOn w:val="Standaardalinea-lettertype"/>
    <w:uiPriority w:val="20"/>
    <w:qFormat/>
    <w:rsid w:val="000B5D4A"/>
    <w:rPr>
      <w:i/>
      <w:iCs/>
    </w:rPr>
  </w:style>
  <w:style w:type="character" w:customStyle="1" w:styleId="ol1">
    <w:name w:val="ol1"/>
    <w:basedOn w:val="Standaardalinea-lettertype"/>
    <w:rsid w:val="000B5D4A"/>
  </w:style>
  <w:style w:type="paragraph" w:customStyle="1" w:styleId="labeled2">
    <w:name w:val="labeled2"/>
    <w:basedOn w:val="Standaard"/>
    <w:rsid w:val="000B5D4A"/>
    <w:pPr>
      <w:spacing w:line="240" w:lineRule="auto"/>
      <w:ind w:left="1200" w:firstLine="0"/>
    </w:pPr>
    <w:rPr>
      <w:rFonts w:ascii="Times New Roman" w:hAnsi="Times New Roman"/>
      <w:sz w:val="24"/>
    </w:rPr>
  </w:style>
  <w:style w:type="paragraph" w:styleId="Lijstalinea">
    <w:name w:val="List Paragraph"/>
    <w:basedOn w:val="Standaard"/>
    <w:uiPriority w:val="34"/>
    <w:qFormat/>
    <w:rsid w:val="004560C1"/>
    <w:pPr>
      <w:spacing w:after="200" w:line="276" w:lineRule="auto"/>
      <w:ind w:left="720" w:firstLine="0"/>
      <w:contextualSpacing/>
    </w:pPr>
    <w:rPr>
      <w:rFonts w:ascii="Calibri" w:hAnsi="Calibri"/>
      <w:sz w:val="22"/>
      <w:szCs w:val="22"/>
    </w:rPr>
  </w:style>
  <w:style w:type="character" w:customStyle="1" w:styleId="emph-i">
    <w:name w:val="emph-i"/>
    <w:basedOn w:val="Standaardalinea-lettertype"/>
    <w:rsid w:val="00E472A5"/>
  </w:style>
  <w:style w:type="character" w:customStyle="1" w:styleId="apple-converted-space">
    <w:name w:val="apple-converted-space"/>
    <w:basedOn w:val="Standaardalinea-lettertype"/>
    <w:rsid w:val="00E472A5"/>
  </w:style>
  <w:style w:type="character" w:customStyle="1" w:styleId="st1">
    <w:name w:val="st1"/>
    <w:basedOn w:val="Standaardalinea-lettertype"/>
    <w:rsid w:val="003E1069"/>
  </w:style>
  <w:style w:type="paragraph" w:styleId="Revisie">
    <w:name w:val="Revision"/>
    <w:hidden/>
    <w:uiPriority w:val="99"/>
    <w:semiHidden/>
    <w:rsid w:val="00206A3B"/>
    <w:rPr>
      <w:rFonts w:ascii="Arial" w:hAnsi="Arial"/>
      <w:szCs w:val="24"/>
      <w:lang w:val="en-GB"/>
    </w:rPr>
  </w:style>
  <w:style w:type="character" w:customStyle="1" w:styleId="CommentTextChar">
    <w:name w:val="Comment Text Char"/>
    <w:uiPriority w:val="99"/>
    <w:semiHidden/>
    <w:rsid w:val="00205012"/>
    <w:rPr>
      <w:rFonts w:ascii="Arial" w:hAnsi="Arial"/>
      <w:szCs w:val="24"/>
      <w:lang w:val="en-GB" w:eastAsia="nl-NL" w:bidi="ar-SA"/>
    </w:rPr>
  </w:style>
  <w:style w:type="paragraph" w:customStyle="1" w:styleId="labeled">
    <w:name w:val="labeled"/>
    <w:basedOn w:val="Standaard"/>
    <w:rsid w:val="00C6277E"/>
    <w:pPr>
      <w:spacing w:before="100" w:beforeAutospacing="1" w:after="100" w:afterAutospacing="1" w:line="240" w:lineRule="auto"/>
      <w:ind w:firstLine="0"/>
    </w:pPr>
    <w:rPr>
      <w:rFonts w:ascii="Times New Roman" w:hAnsi="Times New Roman"/>
      <w:sz w:val="24"/>
    </w:rPr>
  </w:style>
  <w:style w:type="character" w:customStyle="1" w:styleId="ol">
    <w:name w:val="ol"/>
    <w:basedOn w:val="Standaardalinea-lettertype"/>
    <w:rsid w:val="00C6277E"/>
  </w:style>
  <w:style w:type="paragraph" w:customStyle="1" w:styleId="lid">
    <w:name w:val="lid"/>
    <w:basedOn w:val="Standaard"/>
    <w:rsid w:val="003E6185"/>
    <w:pPr>
      <w:spacing w:before="100" w:beforeAutospacing="1" w:after="100" w:afterAutospacing="1" w:line="240" w:lineRule="auto"/>
      <w:ind w:firstLine="0"/>
    </w:pPr>
    <w:rPr>
      <w:rFonts w:ascii="Times New Roman" w:hAnsi="Times New Roman"/>
      <w:sz w:val="24"/>
    </w:rPr>
  </w:style>
  <w:style w:type="paragraph" w:styleId="Normaalweb">
    <w:name w:val="Normal (Web)"/>
    <w:basedOn w:val="Standaard"/>
    <w:uiPriority w:val="99"/>
    <w:unhideWhenUsed/>
    <w:rsid w:val="00AF065F"/>
    <w:pPr>
      <w:spacing w:after="200" w:line="276" w:lineRule="auto"/>
      <w:ind w:firstLine="0"/>
    </w:pPr>
    <w:rPr>
      <w:rFonts w:ascii="Times New Roman" w:eastAsiaTheme="minorHAnsi" w:hAnsi="Times New Roman"/>
      <w:sz w:val="24"/>
      <w:lang w:eastAsia="en-US"/>
    </w:rPr>
  </w:style>
  <w:style w:type="paragraph" w:customStyle="1" w:styleId="Default">
    <w:name w:val="Default"/>
    <w:rsid w:val="001D7DFD"/>
    <w:pPr>
      <w:autoSpaceDE w:val="0"/>
      <w:autoSpaceDN w:val="0"/>
      <w:adjustRightInd w:val="0"/>
    </w:pPr>
    <w:rPr>
      <w:rFonts w:ascii="Verdana" w:hAnsi="Verdana" w:cs="Verdana"/>
      <w:color w:val="000000"/>
      <w:sz w:val="24"/>
      <w:szCs w:val="24"/>
    </w:rPr>
  </w:style>
  <w:style w:type="paragraph" w:styleId="Geenafstand">
    <w:name w:val="No Spacing"/>
    <w:uiPriority w:val="1"/>
    <w:qFormat/>
    <w:rsid w:val="0032188D"/>
    <w:rPr>
      <w:rFonts w:ascii="Verdana" w:eastAsiaTheme="minorHAnsi" w:hAnsi="Verdana" w:cstheme="minorBidi"/>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3400">
      <w:bodyDiv w:val="1"/>
      <w:marLeft w:val="0"/>
      <w:marRight w:val="0"/>
      <w:marTop w:val="0"/>
      <w:marBottom w:val="0"/>
      <w:divBdr>
        <w:top w:val="none" w:sz="0" w:space="0" w:color="auto"/>
        <w:left w:val="none" w:sz="0" w:space="0" w:color="auto"/>
        <w:bottom w:val="none" w:sz="0" w:space="0" w:color="auto"/>
        <w:right w:val="none" w:sz="0" w:space="0" w:color="auto"/>
      </w:divBdr>
      <w:divsChild>
        <w:div w:id="174737563">
          <w:marLeft w:val="0"/>
          <w:marRight w:val="0"/>
          <w:marTop w:val="0"/>
          <w:marBottom w:val="0"/>
          <w:divBdr>
            <w:top w:val="none" w:sz="0" w:space="0" w:color="auto"/>
            <w:left w:val="none" w:sz="0" w:space="0" w:color="auto"/>
            <w:bottom w:val="none" w:sz="0" w:space="0" w:color="auto"/>
            <w:right w:val="none" w:sz="0" w:space="0" w:color="auto"/>
          </w:divBdr>
          <w:divsChild>
            <w:div w:id="415171367">
              <w:marLeft w:val="0"/>
              <w:marRight w:val="0"/>
              <w:marTop w:val="0"/>
              <w:marBottom w:val="0"/>
              <w:divBdr>
                <w:top w:val="none" w:sz="0" w:space="0" w:color="auto"/>
                <w:left w:val="none" w:sz="0" w:space="0" w:color="auto"/>
                <w:bottom w:val="none" w:sz="0" w:space="0" w:color="auto"/>
                <w:right w:val="none" w:sz="0" w:space="0" w:color="auto"/>
              </w:divBdr>
              <w:divsChild>
                <w:div w:id="1620991797">
                  <w:marLeft w:val="0"/>
                  <w:marRight w:val="0"/>
                  <w:marTop w:val="0"/>
                  <w:marBottom w:val="0"/>
                  <w:divBdr>
                    <w:top w:val="none" w:sz="0" w:space="0" w:color="auto"/>
                    <w:left w:val="none" w:sz="0" w:space="0" w:color="auto"/>
                    <w:bottom w:val="none" w:sz="0" w:space="0" w:color="auto"/>
                    <w:right w:val="none" w:sz="0" w:space="0" w:color="auto"/>
                  </w:divBdr>
                  <w:divsChild>
                    <w:div w:id="357238250">
                      <w:marLeft w:val="0"/>
                      <w:marRight w:val="0"/>
                      <w:marTop w:val="0"/>
                      <w:marBottom w:val="0"/>
                      <w:divBdr>
                        <w:top w:val="none" w:sz="0" w:space="0" w:color="auto"/>
                        <w:left w:val="none" w:sz="0" w:space="0" w:color="auto"/>
                        <w:bottom w:val="none" w:sz="0" w:space="0" w:color="auto"/>
                        <w:right w:val="none" w:sz="0" w:space="0" w:color="auto"/>
                      </w:divBdr>
                      <w:divsChild>
                        <w:div w:id="1099175187">
                          <w:marLeft w:val="0"/>
                          <w:marRight w:val="0"/>
                          <w:marTop w:val="0"/>
                          <w:marBottom w:val="0"/>
                          <w:divBdr>
                            <w:top w:val="none" w:sz="0" w:space="0" w:color="auto"/>
                            <w:left w:val="none" w:sz="0" w:space="0" w:color="auto"/>
                            <w:bottom w:val="none" w:sz="0" w:space="0" w:color="auto"/>
                            <w:right w:val="none" w:sz="0" w:space="0" w:color="auto"/>
                          </w:divBdr>
                          <w:divsChild>
                            <w:div w:id="58746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80644">
      <w:bodyDiv w:val="1"/>
      <w:marLeft w:val="0"/>
      <w:marRight w:val="0"/>
      <w:marTop w:val="0"/>
      <w:marBottom w:val="0"/>
      <w:divBdr>
        <w:top w:val="none" w:sz="0" w:space="0" w:color="auto"/>
        <w:left w:val="none" w:sz="0" w:space="0" w:color="auto"/>
        <w:bottom w:val="none" w:sz="0" w:space="0" w:color="auto"/>
        <w:right w:val="none" w:sz="0" w:space="0" w:color="auto"/>
      </w:divBdr>
      <w:divsChild>
        <w:div w:id="197134073">
          <w:marLeft w:val="0"/>
          <w:marRight w:val="0"/>
          <w:marTop w:val="0"/>
          <w:marBottom w:val="0"/>
          <w:divBdr>
            <w:top w:val="none" w:sz="0" w:space="0" w:color="auto"/>
            <w:left w:val="none" w:sz="0" w:space="0" w:color="auto"/>
            <w:bottom w:val="none" w:sz="0" w:space="0" w:color="auto"/>
            <w:right w:val="none" w:sz="0" w:space="0" w:color="auto"/>
          </w:divBdr>
          <w:divsChild>
            <w:div w:id="418597727">
              <w:marLeft w:val="0"/>
              <w:marRight w:val="0"/>
              <w:marTop w:val="0"/>
              <w:marBottom w:val="0"/>
              <w:divBdr>
                <w:top w:val="none" w:sz="0" w:space="0" w:color="auto"/>
                <w:left w:val="none" w:sz="0" w:space="0" w:color="auto"/>
                <w:bottom w:val="none" w:sz="0" w:space="0" w:color="auto"/>
                <w:right w:val="none" w:sz="0" w:space="0" w:color="auto"/>
              </w:divBdr>
              <w:divsChild>
                <w:div w:id="1815491071">
                  <w:marLeft w:val="0"/>
                  <w:marRight w:val="0"/>
                  <w:marTop w:val="0"/>
                  <w:marBottom w:val="0"/>
                  <w:divBdr>
                    <w:top w:val="none" w:sz="0" w:space="0" w:color="auto"/>
                    <w:left w:val="none" w:sz="0" w:space="0" w:color="auto"/>
                    <w:bottom w:val="none" w:sz="0" w:space="0" w:color="auto"/>
                    <w:right w:val="none" w:sz="0" w:space="0" w:color="auto"/>
                  </w:divBdr>
                  <w:divsChild>
                    <w:div w:id="1750929946">
                      <w:marLeft w:val="0"/>
                      <w:marRight w:val="0"/>
                      <w:marTop w:val="0"/>
                      <w:marBottom w:val="0"/>
                      <w:divBdr>
                        <w:top w:val="none" w:sz="0" w:space="0" w:color="auto"/>
                        <w:left w:val="none" w:sz="0" w:space="0" w:color="auto"/>
                        <w:bottom w:val="none" w:sz="0" w:space="0" w:color="auto"/>
                        <w:right w:val="none" w:sz="0" w:space="0" w:color="auto"/>
                      </w:divBdr>
                      <w:divsChild>
                        <w:div w:id="822967754">
                          <w:marLeft w:val="0"/>
                          <w:marRight w:val="0"/>
                          <w:marTop w:val="0"/>
                          <w:marBottom w:val="0"/>
                          <w:divBdr>
                            <w:top w:val="none" w:sz="0" w:space="0" w:color="auto"/>
                            <w:left w:val="none" w:sz="0" w:space="0" w:color="auto"/>
                            <w:bottom w:val="none" w:sz="0" w:space="0" w:color="auto"/>
                            <w:right w:val="none" w:sz="0" w:space="0" w:color="auto"/>
                          </w:divBdr>
                          <w:divsChild>
                            <w:div w:id="47476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59158">
      <w:bodyDiv w:val="1"/>
      <w:marLeft w:val="0"/>
      <w:marRight w:val="0"/>
      <w:marTop w:val="0"/>
      <w:marBottom w:val="0"/>
      <w:divBdr>
        <w:top w:val="none" w:sz="0" w:space="0" w:color="auto"/>
        <w:left w:val="none" w:sz="0" w:space="0" w:color="auto"/>
        <w:bottom w:val="none" w:sz="0" w:space="0" w:color="auto"/>
        <w:right w:val="none" w:sz="0" w:space="0" w:color="auto"/>
      </w:divBdr>
      <w:divsChild>
        <w:div w:id="205027163">
          <w:marLeft w:val="0"/>
          <w:marRight w:val="0"/>
          <w:marTop w:val="0"/>
          <w:marBottom w:val="0"/>
          <w:divBdr>
            <w:top w:val="none" w:sz="0" w:space="0" w:color="auto"/>
            <w:left w:val="none" w:sz="0" w:space="0" w:color="auto"/>
            <w:bottom w:val="none" w:sz="0" w:space="0" w:color="auto"/>
            <w:right w:val="none" w:sz="0" w:space="0" w:color="auto"/>
          </w:divBdr>
          <w:divsChild>
            <w:div w:id="1268730952">
              <w:marLeft w:val="0"/>
              <w:marRight w:val="0"/>
              <w:marTop w:val="0"/>
              <w:marBottom w:val="0"/>
              <w:divBdr>
                <w:top w:val="none" w:sz="0" w:space="0" w:color="auto"/>
                <w:left w:val="none" w:sz="0" w:space="0" w:color="auto"/>
                <w:bottom w:val="none" w:sz="0" w:space="0" w:color="auto"/>
                <w:right w:val="none" w:sz="0" w:space="0" w:color="auto"/>
              </w:divBdr>
              <w:divsChild>
                <w:div w:id="30887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8058">
      <w:bodyDiv w:val="1"/>
      <w:marLeft w:val="0"/>
      <w:marRight w:val="0"/>
      <w:marTop w:val="0"/>
      <w:marBottom w:val="0"/>
      <w:divBdr>
        <w:top w:val="none" w:sz="0" w:space="0" w:color="auto"/>
        <w:left w:val="none" w:sz="0" w:space="0" w:color="auto"/>
        <w:bottom w:val="none" w:sz="0" w:space="0" w:color="auto"/>
        <w:right w:val="none" w:sz="0" w:space="0" w:color="auto"/>
      </w:divBdr>
    </w:div>
    <w:div w:id="203908414">
      <w:bodyDiv w:val="1"/>
      <w:marLeft w:val="0"/>
      <w:marRight w:val="0"/>
      <w:marTop w:val="0"/>
      <w:marBottom w:val="0"/>
      <w:divBdr>
        <w:top w:val="none" w:sz="0" w:space="0" w:color="auto"/>
        <w:left w:val="none" w:sz="0" w:space="0" w:color="auto"/>
        <w:bottom w:val="none" w:sz="0" w:space="0" w:color="auto"/>
        <w:right w:val="none" w:sz="0" w:space="0" w:color="auto"/>
      </w:divBdr>
    </w:div>
    <w:div w:id="209539260">
      <w:bodyDiv w:val="1"/>
      <w:marLeft w:val="0"/>
      <w:marRight w:val="0"/>
      <w:marTop w:val="0"/>
      <w:marBottom w:val="0"/>
      <w:divBdr>
        <w:top w:val="none" w:sz="0" w:space="0" w:color="auto"/>
        <w:left w:val="none" w:sz="0" w:space="0" w:color="auto"/>
        <w:bottom w:val="none" w:sz="0" w:space="0" w:color="auto"/>
        <w:right w:val="none" w:sz="0" w:space="0" w:color="auto"/>
      </w:divBdr>
      <w:divsChild>
        <w:div w:id="991910748">
          <w:marLeft w:val="0"/>
          <w:marRight w:val="0"/>
          <w:marTop w:val="0"/>
          <w:marBottom w:val="0"/>
          <w:divBdr>
            <w:top w:val="none" w:sz="0" w:space="0" w:color="auto"/>
            <w:left w:val="none" w:sz="0" w:space="0" w:color="auto"/>
            <w:bottom w:val="none" w:sz="0" w:space="0" w:color="auto"/>
            <w:right w:val="none" w:sz="0" w:space="0" w:color="auto"/>
          </w:divBdr>
          <w:divsChild>
            <w:div w:id="630019757">
              <w:marLeft w:val="0"/>
              <w:marRight w:val="0"/>
              <w:marTop w:val="0"/>
              <w:marBottom w:val="0"/>
              <w:divBdr>
                <w:top w:val="none" w:sz="0" w:space="0" w:color="auto"/>
                <w:left w:val="none" w:sz="0" w:space="0" w:color="auto"/>
                <w:bottom w:val="none" w:sz="0" w:space="0" w:color="auto"/>
                <w:right w:val="none" w:sz="0" w:space="0" w:color="auto"/>
              </w:divBdr>
              <w:divsChild>
                <w:div w:id="870142109">
                  <w:marLeft w:val="0"/>
                  <w:marRight w:val="0"/>
                  <w:marTop w:val="0"/>
                  <w:marBottom w:val="0"/>
                  <w:divBdr>
                    <w:top w:val="none" w:sz="0" w:space="0" w:color="auto"/>
                    <w:left w:val="none" w:sz="0" w:space="0" w:color="auto"/>
                    <w:bottom w:val="none" w:sz="0" w:space="0" w:color="auto"/>
                    <w:right w:val="none" w:sz="0" w:space="0" w:color="auto"/>
                  </w:divBdr>
                  <w:divsChild>
                    <w:div w:id="34159825">
                      <w:marLeft w:val="0"/>
                      <w:marRight w:val="0"/>
                      <w:marTop w:val="0"/>
                      <w:marBottom w:val="0"/>
                      <w:divBdr>
                        <w:top w:val="none" w:sz="0" w:space="0" w:color="auto"/>
                        <w:left w:val="none" w:sz="0" w:space="0" w:color="auto"/>
                        <w:bottom w:val="none" w:sz="0" w:space="0" w:color="auto"/>
                        <w:right w:val="none" w:sz="0" w:space="0" w:color="auto"/>
                      </w:divBdr>
                      <w:divsChild>
                        <w:div w:id="1780300604">
                          <w:marLeft w:val="0"/>
                          <w:marRight w:val="0"/>
                          <w:marTop w:val="0"/>
                          <w:marBottom w:val="0"/>
                          <w:divBdr>
                            <w:top w:val="none" w:sz="0" w:space="0" w:color="auto"/>
                            <w:left w:val="none" w:sz="0" w:space="0" w:color="auto"/>
                            <w:bottom w:val="none" w:sz="0" w:space="0" w:color="auto"/>
                            <w:right w:val="none" w:sz="0" w:space="0" w:color="auto"/>
                          </w:divBdr>
                          <w:divsChild>
                            <w:div w:id="119418856">
                              <w:marLeft w:val="0"/>
                              <w:marRight w:val="0"/>
                              <w:marTop w:val="0"/>
                              <w:marBottom w:val="0"/>
                              <w:divBdr>
                                <w:top w:val="none" w:sz="0" w:space="0" w:color="auto"/>
                                <w:left w:val="none" w:sz="0" w:space="0" w:color="auto"/>
                                <w:bottom w:val="none" w:sz="0" w:space="0" w:color="auto"/>
                                <w:right w:val="none" w:sz="0" w:space="0" w:color="auto"/>
                              </w:divBdr>
                              <w:divsChild>
                                <w:div w:id="1063723551">
                                  <w:marLeft w:val="0"/>
                                  <w:marRight w:val="0"/>
                                  <w:marTop w:val="0"/>
                                  <w:marBottom w:val="0"/>
                                  <w:divBdr>
                                    <w:top w:val="none" w:sz="0" w:space="0" w:color="auto"/>
                                    <w:left w:val="none" w:sz="0" w:space="0" w:color="auto"/>
                                    <w:bottom w:val="none" w:sz="0" w:space="0" w:color="auto"/>
                                    <w:right w:val="none" w:sz="0" w:space="0" w:color="auto"/>
                                  </w:divBdr>
                                  <w:divsChild>
                                    <w:div w:id="913854438">
                                      <w:marLeft w:val="0"/>
                                      <w:marRight w:val="0"/>
                                      <w:marTop w:val="240"/>
                                      <w:marBottom w:val="0"/>
                                      <w:divBdr>
                                        <w:top w:val="none" w:sz="0" w:space="0" w:color="auto"/>
                                        <w:left w:val="none" w:sz="0" w:space="0" w:color="auto"/>
                                        <w:bottom w:val="none" w:sz="0" w:space="0" w:color="auto"/>
                                        <w:right w:val="none" w:sz="0" w:space="0" w:color="auto"/>
                                      </w:divBdr>
                                    </w:div>
                                    <w:div w:id="92518959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7414372">
      <w:bodyDiv w:val="1"/>
      <w:marLeft w:val="0"/>
      <w:marRight w:val="0"/>
      <w:marTop w:val="0"/>
      <w:marBottom w:val="0"/>
      <w:divBdr>
        <w:top w:val="none" w:sz="0" w:space="0" w:color="auto"/>
        <w:left w:val="none" w:sz="0" w:space="0" w:color="auto"/>
        <w:bottom w:val="none" w:sz="0" w:space="0" w:color="auto"/>
        <w:right w:val="none" w:sz="0" w:space="0" w:color="auto"/>
      </w:divBdr>
      <w:divsChild>
        <w:div w:id="1373188777">
          <w:marLeft w:val="0"/>
          <w:marRight w:val="0"/>
          <w:marTop w:val="0"/>
          <w:marBottom w:val="0"/>
          <w:divBdr>
            <w:top w:val="none" w:sz="0" w:space="0" w:color="auto"/>
            <w:left w:val="none" w:sz="0" w:space="0" w:color="auto"/>
            <w:bottom w:val="none" w:sz="0" w:space="0" w:color="auto"/>
            <w:right w:val="none" w:sz="0" w:space="0" w:color="auto"/>
          </w:divBdr>
          <w:divsChild>
            <w:div w:id="266741765">
              <w:marLeft w:val="0"/>
              <w:marRight w:val="0"/>
              <w:marTop w:val="0"/>
              <w:marBottom w:val="0"/>
              <w:divBdr>
                <w:top w:val="none" w:sz="0" w:space="0" w:color="auto"/>
                <w:left w:val="none" w:sz="0" w:space="0" w:color="auto"/>
                <w:bottom w:val="none" w:sz="0" w:space="0" w:color="auto"/>
                <w:right w:val="none" w:sz="0" w:space="0" w:color="auto"/>
              </w:divBdr>
              <w:divsChild>
                <w:div w:id="9034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31546">
      <w:bodyDiv w:val="1"/>
      <w:marLeft w:val="0"/>
      <w:marRight w:val="0"/>
      <w:marTop w:val="0"/>
      <w:marBottom w:val="0"/>
      <w:divBdr>
        <w:top w:val="none" w:sz="0" w:space="0" w:color="auto"/>
        <w:left w:val="none" w:sz="0" w:space="0" w:color="auto"/>
        <w:bottom w:val="none" w:sz="0" w:space="0" w:color="auto"/>
        <w:right w:val="none" w:sz="0" w:space="0" w:color="auto"/>
      </w:divBdr>
      <w:divsChild>
        <w:div w:id="1330325324">
          <w:marLeft w:val="150"/>
          <w:marRight w:val="0"/>
          <w:marTop w:val="0"/>
          <w:marBottom w:val="0"/>
          <w:divBdr>
            <w:top w:val="none" w:sz="0" w:space="0" w:color="auto"/>
            <w:left w:val="none" w:sz="0" w:space="0" w:color="auto"/>
            <w:bottom w:val="none" w:sz="0" w:space="0" w:color="auto"/>
            <w:right w:val="none" w:sz="0" w:space="0" w:color="auto"/>
          </w:divBdr>
          <w:divsChild>
            <w:div w:id="1527795669">
              <w:marLeft w:val="0"/>
              <w:marRight w:val="0"/>
              <w:marTop w:val="0"/>
              <w:marBottom w:val="0"/>
              <w:divBdr>
                <w:top w:val="none" w:sz="0" w:space="0" w:color="auto"/>
                <w:left w:val="none" w:sz="0" w:space="0" w:color="auto"/>
                <w:bottom w:val="none" w:sz="0" w:space="0" w:color="auto"/>
                <w:right w:val="none" w:sz="0" w:space="0" w:color="auto"/>
              </w:divBdr>
              <w:divsChild>
                <w:div w:id="9797323">
                  <w:marLeft w:val="0"/>
                  <w:marRight w:val="0"/>
                  <w:marTop w:val="0"/>
                  <w:marBottom w:val="0"/>
                  <w:divBdr>
                    <w:top w:val="none" w:sz="0" w:space="0" w:color="auto"/>
                    <w:left w:val="none" w:sz="0" w:space="0" w:color="auto"/>
                    <w:bottom w:val="none" w:sz="0" w:space="0" w:color="auto"/>
                    <w:right w:val="none" w:sz="0" w:space="0" w:color="auto"/>
                  </w:divBdr>
                  <w:divsChild>
                    <w:div w:id="1956213127">
                      <w:marLeft w:val="0"/>
                      <w:marRight w:val="0"/>
                      <w:marTop w:val="0"/>
                      <w:marBottom w:val="0"/>
                      <w:divBdr>
                        <w:top w:val="none" w:sz="0" w:space="0" w:color="auto"/>
                        <w:left w:val="none" w:sz="0" w:space="0" w:color="auto"/>
                        <w:bottom w:val="none" w:sz="0" w:space="0" w:color="auto"/>
                        <w:right w:val="none" w:sz="0" w:space="0" w:color="auto"/>
                      </w:divBdr>
                      <w:divsChild>
                        <w:div w:id="1448506743">
                          <w:marLeft w:val="0"/>
                          <w:marRight w:val="0"/>
                          <w:marTop w:val="0"/>
                          <w:marBottom w:val="0"/>
                          <w:divBdr>
                            <w:top w:val="none" w:sz="0" w:space="0" w:color="auto"/>
                            <w:left w:val="none" w:sz="0" w:space="0" w:color="auto"/>
                            <w:bottom w:val="none" w:sz="0" w:space="0" w:color="auto"/>
                            <w:right w:val="none" w:sz="0" w:space="0" w:color="auto"/>
                          </w:divBdr>
                          <w:divsChild>
                            <w:div w:id="533035402">
                              <w:marLeft w:val="0"/>
                              <w:marRight w:val="0"/>
                              <w:marTop w:val="0"/>
                              <w:marBottom w:val="0"/>
                              <w:divBdr>
                                <w:top w:val="none" w:sz="0" w:space="0" w:color="auto"/>
                                <w:left w:val="none" w:sz="0" w:space="0" w:color="auto"/>
                                <w:bottom w:val="none" w:sz="0" w:space="0" w:color="auto"/>
                                <w:right w:val="none" w:sz="0" w:space="0" w:color="auto"/>
                              </w:divBdr>
                              <w:divsChild>
                                <w:div w:id="185143548">
                                  <w:marLeft w:val="0"/>
                                  <w:marRight w:val="0"/>
                                  <w:marTop w:val="0"/>
                                  <w:marBottom w:val="0"/>
                                  <w:divBdr>
                                    <w:top w:val="none" w:sz="0" w:space="0" w:color="auto"/>
                                    <w:left w:val="none" w:sz="0" w:space="0" w:color="auto"/>
                                    <w:bottom w:val="none" w:sz="0" w:space="0" w:color="auto"/>
                                    <w:right w:val="none" w:sz="0" w:space="0" w:color="auto"/>
                                  </w:divBdr>
                                  <w:divsChild>
                                    <w:div w:id="1226332110">
                                      <w:marLeft w:val="0"/>
                                      <w:marRight w:val="0"/>
                                      <w:marTop w:val="0"/>
                                      <w:marBottom w:val="0"/>
                                      <w:divBdr>
                                        <w:top w:val="none" w:sz="0" w:space="0" w:color="auto"/>
                                        <w:left w:val="none" w:sz="0" w:space="0" w:color="auto"/>
                                        <w:bottom w:val="none" w:sz="0" w:space="0" w:color="auto"/>
                                        <w:right w:val="none" w:sz="0" w:space="0" w:color="auto"/>
                                      </w:divBdr>
                                      <w:divsChild>
                                        <w:div w:id="1587106360">
                                          <w:marLeft w:val="0"/>
                                          <w:marRight w:val="0"/>
                                          <w:marTop w:val="0"/>
                                          <w:marBottom w:val="0"/>
                                          <w:divBdr>
                                            <w:top w:val="none" w:sz="0" w:space="0" w:color="auto"/>
                                            <w:left w:val="none" w:sz="0" w:space="0" w:color="auto"/>
                                            <w:bottom w:val="none" w:sz="0" w:space="0" w:color="auto"/>
                                            <w:right w:val="none" w:sz="0" w:space="0" w:color="auto"/>
                                          </w:divBdr>
                                          <w:divsChild>
                                            <w:div w:id="653291110">
                                              <w:marLeft w:val="0"/>
                                              <w:marRight w:val="0"/>
                                              <w:marTop w:val="0"/>
                                              <w:marBottom w:val="0"/>
                                              <w:divBdr>
                                                <w:top w:val="none" w:sz="0" w:space="0" w:color="auto"/>
                                                <w:left w:val="none" w:sz="0" w:space="0" w:color="auto"/>
                                                <w:bottom w:val="none" w:sz="0" w:space="0" w:color="auto"/>
                                                <w:right w:val="none" w:sz="0" w:space="0" w:color="auto"/>
                                              </w:divBdr>
                                              <w:divsChild>
                                                <w:div w:id="623195377">
                                                  <w:marLeft w:val="0"/>
                                                  <w:marRight w:val="0"/>
                                                  <w:marTop w:val="0"/>
                                                  <w:marBottom w:val="0"/>
                                                  <w:divBdr>
                                                    <w:top w:val="none" w:sz="0" w:space="0" w:color="auto"/>
                                                    <w:left w:val="none" w:sz="0" w:space="0" w:color="auto"/>
                                                    <w:bottom w:val="none" w:sz="0" w:space="0" w:color="auto"/>
                                                    <w:right w:val="none" w:sz="0" w:space="0" w:color="auto"/>
                                                  </w:divBdr>
                                                  <w:divsChild>
                                                    <w:div w:id="6157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8473786">
      <w:bodyDiv w:val="1"/>
      <w:marLeft w:val="0"/>
      <w:marRight w:val="0"/>
      <w:marTop w:val="0"/>
      <w:marBottom w:val="0"/>
      <w:divBdr>
        <w:top w:val="none" w:sz="0" w:space="0" w:color="auto"/>
        <w:left w:val="none" w:sz="0" w:space="0" w:color="auto"/>
        <w:bottom w:val="none" w:sz="0" w:space="0" w:color="auto"/>
        <w:right w:val="none" w:sz="0" w:space="0" w:color="auto"/>
      </w:divBdr>
    </w:div>
    <w:div w:id="489759669">
      <w:bodyDiv w:val="1"/>
      <w:marLeft w:val="0"/>
      <w:marRight w:val="0"/>
      <w:marTop w:val="0"/>
      <w:marBottom w:val="0"/>
      <w:divBdr>
        <w:top w:val="none" w:sz="0" w:space="0" w:color="auto"/>
        <w:left w:val="none" w:sz="0" w:space="0" w:color="auto"/>
        <w:bottom w:val="none" w:sz="0" w:space="0" w:color="auto"/>
        <w:right w:val="none" w:sz="0" w:space="0" w:color="auto"/>
      </w:divBdr>
    </w:div>
    <w:div w:id="505441179">
      <w:bodyDiv w:val="1"/>
      <w:marLeft w:val="0"/>
      <w:marRight w:val="0"/>
      <w:marTop w:val="0"/>
      <w:marBottom w:val="0"/>
      <w:divBdr>
        <w:top w:val="none" w:sz="0" w:space="0" w:color="auto"/>
        <w:left w:val="none" w:sz="0" w:space="0" w:color="auto"/>
        <w:bottom w:val="none" w:sz="0" w:space="0" w:color="auto"/>
        <w:right w:val="none" w:sz="0" w:space="0" w:color="auto"/>
      </w:divBdr>
      <w:divsChild>
        <w:div w:id="240020795">
          <w:marLeft w:val="0"/>
          <w:marRight w:val="0"/>
          <w:marTop w:val="0"/>
          <w:marBottom w:val="0"/>
          <w:divBdr>
            <w:top w:val="none" w:sz="0" w:space="0" w:color="auto"/>
            <w:left w:val="none" w:sz="0" w:space="0" w:color="auto"/>
            <w:bottom w:val="none" w:sz="0" w:space="0" w:color="auto"/>
            <w:right w:val="none" w:sz="0" w:space="0" w:color="auto"/>
          </w:divBdr>
          <w:divsChild>
            <w:div w:id="1745881669">
              <w:marLeft w:val="0"/>
              <w:marRight w:val="0"/>
              <w:marTop w:val="0"/>
              <w:marBottom w:val="0"/>
              <w:divBdr>
                <w:top w:val="none" w:sz="0" w:space="0" w:color="auto"/>
                <w:left w:val="none" w:sz="0" w:space="0" w:color="auto"/>
                <w:bottom w:val="none" w:sz="0" w:space="0" w:color="auto"/>
                <w:right w:val="none" w:sz="0" w:space="0" w:color="auto"/>
              </w:divBdr>
              <w:divsChild>
                <w:div w:id="499932002">
                  <w:marLeft w:val="0"/>
                  <w:marRight w:val="0"/>
                  <w:marTop w:val="0"/>
                  <w:marBottom w:val="0"/>
                  <w:divBdr>
                    <w:top w:val="none" w:sz="0" w:space="0" w:color="auto"/>
                    <w:left w:val="none" w:sz="0" w:space="0" w:color="auto"/>
                    <w:bottom w:val="none" w:sz="0" w:space="0" w:color="auto"/>
                    <w:right w:val="none" w:sz="0" w:space="0" w:color="auto"/>
                  </w:divBdr>
                  <w:divsChild>
                    <w:div w:id="984773174">
                      <w:marLeft w:val="0"/>
                      <w:marRight w:val="0"/>
                      <w:marTop w:val="0"/>
                      <w:marBottom w:val="0"/>
                      <w:divBdr>
                        <w:top w:val="none" w:sz="0" w:space="0" w:color="auto"/>
                        <w:left w:val="none" w:sz="0" w:space="0" w:color="auto"/>
                        <w:bottom w:val="none" w:sz="0" w:space="0" w:color="auto"/>
                        <w:right w:val="none" w:sz="0" w:space="0" w:color="auto"/>
                      </w:divBdr>
                      <w:divsChild>
                        <w:div w:id="1882938736">
                          <w:marLeft w:val="0"/>
                          <w:marRight w:val="0"/>
                          <w:marTop w:val="0"/>
                          <w:marBottom w:val="0"/>
                          <w:divBdr>
                            <w:top w:val="none" w:sz="0" w:space="0" w:color="auto"/>
                            <w:left w:val="none" w:sz="0" w:space="0" w:color="auto"/>
                            <w:bottom w:val="none" w:sz="0" w:space="0" w:color="auto"/>
                            <w:right w:val="none" w:sz="0" w:space="0" w:color="auto"/>
                          </w:divBdr>
                          <w:divsChild>
                            <w:div w:id="19266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031188">
      <w:bodyDiv w:val="1"/>
      <w:marLeft w:val="0"/>
      <w:marRight w:val="0"/>
      <w:marTop w:val="0"/>
      <w:marBottom w:val="0"/>
      <w:divBdr>
        <w:top w:val="none" w:sz="0" w:space="0" w:color="auto"/>
        <w:left w:val="none" w:sz="0" w:space="0" w:color="auto"/>
        <w:bottom w:val="none" w:sz="0" w:space="0" w:color="auto"/>
        <w:right w:val="none" w:sz="0" w:space="0" w:color="auto"/>
      </w:divBdr>
    </w:div>
    <w:div w:id="550962063">
      <w:bodyDiv w:val="1"/>
      <w:marLeft w:val="0"/>
      <w:marRight w:val="0"/>
      <w:marTop w:val="0"/>
      <w:marBottom w:val="0"/>
      <w:divBdr>
        <w:top w:val="none" w:sz="0" w:space="0" w:color="auto"/>
        <w:left w:val="none" w:sz="0" w:space="0" w:color="auto"/>
        <w:bottom w:val="none" w:sz="0" w:space="0" w:color="auto"/>
        <w:right w:val="none" w:sz="0" w:space="0" w:color="auto"/>
      </w:divBdr>
      <w:divsChild>
        <w:div w:id="2091274593">
          <w:marLeft w:val="150"/>
          <w:marRight w:val="0"/>
          <w:marTop w:val="0"/>
          <w:marBottom w:val="0"/>
          <w:divBdr>
            <w:top w:val="none" w:sz="0" w:space="0" w:color="auto"/>
            <w:left w:val="none" w:sz="0" w:space="0" w:color="auto"/>
            <w:bottom w:val="none" w:sz="0" w:space="0" w:color="auto"/>
            <w:right w:val="none" w:sz="0" w:space="0" w:color="auto"/>
          </w:divBdr>
          <w:divsChild>
            <w:div w:id="748576594">
              <w:marLeft w:val="0"/>
              <w:marRight w:val="0"/>
              <w:marTop w:val="0"/>
              <w:marBottom w:val="0"/>
              <w:divBdr>
                <w:top w:val="none" w:sz="0" w:space="0" w:color="auto"/>
                <w:left w:val="none" w:sz="0" w:space="0" w:color="auto"/>
                <w:bottom w:val="none" w:sz="0" w:space="0" w:color="auto"/>
                <w:right w:val="none" w:sz="0" w:space="0" w:color="auto"/>
              </w:divBdr>
              <w:divsChild>
                <w:div w:id="1935817169">
                  <w:marLeft w:val="0"/>
                  <w:marRight w:val="0"/>
                  <w:marTop w:val="0"/>
                  <w:marBottom w:val="0"/>
                  <w:divBdr>
                    <w:top w:val="none" w:sz="0" w:space="0" w:color="auto"/>
                    <w:left w:val="none" w:sz="0" w:space="0" w:color="auto"/>
                    <w:bottom w:val="none" w:sz="0" w:space="0" w:color="auto"/>
                    <w:right w:val="none" w:sz="0" w:space="0" w:color="auto"/>
                  </w:divBdr>
                  <w:divsChild>
                    <w:div w:id="612858331">
                      <w:marLeft w:val="0"/>
                      <w:marRight w:val="0"/>
                      <w:marTop w:val="0"/>
                      <w:marBottom w:val="0"/>
                      <w:divBdr>
                        <w:top w:val="none" w:sz="0" w:space="0" w:color="auto"/>
                        <w:left w:val="none" w:sz="0" w:space="0" w:color="auto"/>
                        <w:bottom w:val="none" w:sz="0" w:space="0" w:color="auto"/>
                        <w:right w:val="none" w:sz="0" w:space="0" w:color="auto"/>
                      </w:divBdr>
                      <w:divsChild>
                        <w:div w:id="1597058038">
                          <w:marLeft w:val="0"/>
                          <w:marRight w:val="0"/>
                          <w:marTop w:val="0"/>
                          <w:marBottom w:val="0"/>
                          <w:divBdr>
                            <w:top w:val="none" w:sz="0" w:space="0" w:color="auto"/>
                            <w:left w:val="none" w:sz="0" w:space="0" w:color="auto"/>
                            <w:bottom w:val="none" w:sz="0" w:space="0" w:color="auto"/>
                            <w:right w:val="none" w:sz="0" w:space="0" w:color="auto"/>
                          </w:divBdr>
                          <w:divsChild>
                            <w:div w:id="702097286">
                              <w:marLeft w:val="0"/>
                              <w:marRight w:val="0"/>
                              <w:marTop w:val="0"/>
                              <w:marBottom w:val="0"/>
                              <w:divBdr>
                                <w:top w:val="none" w:sz="0" w:space="0" w:color="auto"/>
                                <w:left w:val="none" w:sz="0" w:space="0" w:color="auto"/>
                                <w:bottom w:val="none" w:sz="0" w:space="0" w:color="auto"/>
                                <w:right w:val="none" w:sz="0" w:space="0" w:color="auto"/>
                              </w:divBdr>
                              <w:divsChild>
                                <w:div w:id="179857800">
                                  <w:marLeft w:val="0"/>
                                  <w:marRight w:val="0"/>
                                  <w:marTop w:val="0"/>
                                  <w:marBottom w:val="0"/>
                                  <w:divBdr>
                                    <w:top w:val="none" w:sz="0" w:space="0" w:color="auto"/>
                                    <w:left w:val="none" w:sz="0" w:space="0" w:color="auto"/>
                                    <w:bottom w:val="none" w:sz="0" w:space="0" w:color="auto"/>
                                    <w:right w:val="none" w:sz="0" w:space="0" w:color="auto"/>
                                  </w:divBdr>
                                  <w:divsChild>
                                    <w:div w:id="1357775946">
                                      <w:marLeft w:val="0"/>
                                      <w:marRight w:val="0"/>
                                      <w:marTop w:val="0"/>
                                      <w:marBottom w:val="0"/>
                                      <w:divBdr>
                                        <w:top w:val="none" w:sz="0" w:space="0" w:color="auto"/>
                                        <w:left w:val="none" w:sz="0" w:space="0" w:color="auto"/>
                                        <w:bottom w:val="none" w:sz="0" w:space="0" w:color="auto"/>
                                        <w:right w:val="none" w:sz="0" w:space="0" w:color="auto"/>
                                      </w:divBdr>
                                      <w:divsChild>
                                        <w:div w:id="94441552">
                                          <w:marLeft w:val="0"/>
                                          <w:marRight w:val="0"/>
                                          <w:marTop w:val="0"/>
                                          <w:marBottom w:val="0"/>
                                          <w:divBdr>
                                            <w:top w:val="none" w:sz="0" w:space="0" w:color="auto"/>
                                            <w:left w:val="none" w:sz="0" w:space="0" w:color="auto"/>
                                            <w:bottom w:val="none" w:sz="0" w:space="0" w:color="auto"/>
                                            <w:right w:val="none" w:sz="0" w:space="0" w:color="auto"/>
                                          </w:divBdr>
                                          <w:divsChild>
                                            <w:div w:id="724452834">
                                              <w:marLeft w:val="0"/>
                                              <w:marRight w:val="0"/>
                                              <w:marTop w:val="0"/>
                                              <w:marBottom w:val="0"/>
                                              <w:divBdr>
                                                <w:top w:val="none" w:sz="0" w:space="0" w:color="auto"/>
                                                <w:left w:val="none" w:sz="0" w:space="0" w:color="auto"/>
                                                <w:bottom w:val="none" w:sz="0" w:space="0" w:color="auto"/>
                                                <w:right w:val="none" w:sz="0" w:space="0" w:color="auto"/>
                                              </w:divBdr>
                                              <w:divsChild>
                                                <w:div w:id="2091386771">
                                                  <w:marLeft w:val="0"/>
                                                  <w:marRight w:val="0"/>
                                                  <w:marTop w:val="0"/>
                                                  <w:marBottom w:val="0"/>
                                                  <w:divBdr>
                                                    <w:top w:val="none" w:sz="0" w:space="0" w:color="auto"/>
                                                    <w:left w:val="none" w:sz="0" w:space="0" w:color="auto"/>
                                                    <w:bottom w:val="none" w:sz="0" w:space="0" w:color="auto"/>
                                                    <w:right w:val="none" w:sz="0" w:space="0" w:color="auto"/>
                                                  </w:divBdr>
                                                  <w:divsChild>
                                                    <w:div w:id="19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8274616">
      <w:bodyDiv w:val="1"/>
      <w:marLeft w:val="0"/>
      <w:marRight w:val="0"/>
      <w:marTop w:val="0"/>
      <w:marBottom w:val="0"/>
      <w:divBdr>
        <w:top w:val="none" w:sz="0" w:space="0" w:color="auto"/>
        <w:left w:val="none" w:sz="0" w:space="0" w:color="auto"/>
        <w:bottom w:val="none" w:sz="0" w:space="0" w:color="auto"/>
        <w:right w:val="none" w:sz="0" w:space="0" w:color="auto"/>
      </w:divBdr>
    </w:div>
    <w:div w:id="579678244">
      <w:bodyDiv w:val="1"/>
      <w:marLeft w:val="0"/>
      <w:marRight w:val="0"/>
      <w:marTop w:val="0"/>
      <w:marBottom w:val="0"/>
      <w:divBdr>
        <w:top w:val="none" w:sz="0" w:space="0" w:color="auto"/>
        <w:left w:val="none" w:sz="0" w:space="0" w:color="auto"/>
        <w:bottom w:val="none" w:sz="0" w:space="0" w:color="auto"/>
        <w:right w:val="none" w:sz="0" w:space="0" w:color="auto"/>
      </w:divBdr>
      <w:divsChild>
        <w:div w:id="1583445338">
          <w:marLeft w:val="0"/>
          <w:marRight w:val="0"/>
          <w:marTop w:val="0"/>
          <w:marBottom w:val="0"/>
          <w:divBdr>
            <w:top w:val="none" w:sz="0" w:space="0" w:color="auto"/>
            <w:left w:val="none" w:sz="0" w:space="0" w:color="auto"/>
            <w:bottom w:val="none" w:sz="0" w:space="0" w:color="auto"/>
            <w:right w:val="none" w:sz="0" w:space="0" w:color="auto"/>
          </w:divBdr>
          <w:divsChild>
            <w:div w:id="135686594">
              <w:marLeft w:val="0"/>
              <w:marRight w:val="0"/>
              <w:marTop w:val="0"/>
              <w:marBottom w:val="0"/>
              <w:divBdr>
                <w:top w:val="none" w:sz="0" w:space="0" w:color="auto"/>
                <w:left w:val="none" w:sz="0" w:space="0" w:color="auto"/>
                <w:bottom w:val="none" w:sz="0" w:space="0" w:color="auto"/>
                <w:right w:val="none" w:sz="0" w:space="0" w:color="auto"/>
              </w:divBdr>
              <w:divsChild>
                <w:div w:id="1866481895">
                  <w:marLeft w:val="0"/>
                  <w:marRight w:val="0"/>
                  <w:marTop w:val="0"/>
                  <w:marBottom w:val="0"/>
                  <w:divBdr>
                    <w:top w:val="none" w:sz="0" w:space="0" w:color="auto"/>
                    <w:left w:val="none" w:sz="0" w:space="0" w:color="auto"/>
                    <w:bottom w:val="none" w:sz="0" w:space="0" w:color="auto"/>
                    <w:right w:val="none" w:sz="0" w:space="0" w:color="auto"/>
                  </w:divBdr>
                  <w:divsChild>
                    <w:div w:id="1676420208">
                      <w:marLeft w:val="0"/>
                      <w:marRight w:val="0"/>
                      <w:marTop w:val="0"/>
                      <w:marBottom w:val="0"/>
                      <w:divBdr>
                        <w:top w:val="none" w:sz="0" w:space="0" w:color="auto"/>
                        <w:left w:val="none" w:sz="0" w:space="0" w:color="auto"/>
                        <w:bottom w:val="none" w:sz="0" w:space="0" w:color="auto"/>
                        <w:right w:val="none" w:sz="0" w:space="0" w:color="auto"/>
                      </w:divBdr>
                      <w:divsChild>
                        <w:div w:id="1609464656">
                          <w:marLeft w:val="0"/>
                          <w:marRight w:val="0"/>
                          <w:marTop w:val="0"/>
                          <w:marBottom w:val="0"/>
                          <w:divBdr>
                            <w:top w:val="none" w:sz="0" w:space="0" w:color="auto"/>
                            <w:left w:val="none" w:sz="0" w:space="0" w:color="auto"/>
                            <w:bottom w:val="none" w:sz="0" w:space="0" w:color="auto"/>
                            <w:right w:val="none" w:sz="0" w:space="0" w:color="auto"/>
                          </w:divBdr>
                          <w:divsChild>
                            <w:div w:id="213471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594741">
      <w:bodyDiv w:val="1"/>
      <w:marLeft w:val="0"/>
      <w:marRight w:val="0"/>
      <w:marTop w:val="0"/>
      <w:marBottom w:val="0"/>
      <w:divBdr>
        <w:top w:val="none" w:sz="0" w:space="0" w:color="auto"/>
        <w:left w:val="none" w:sz="0" w:space="0" w:color="auto"/>
        <w:bottom w:val="none" w:sz="0" w:space="0" w:color="auto"/>
        <w:right w:val="none" w:sz="0" w:space="0" w:color="auto"/>
      </w:divBdr>
    </w:div>
    <w:div w:id="601185631">
      <w:bodyDiv w:val="1"/>
      <w:marLeft w:val="0"/>
      <w:marRight w:val="0"/>
      <w:marTop w:val="0"/>
      <w:marBottom w:val="0"/>
      <w:divBdr>
        <w:top w:val="none" w:sz="0" w:space="0" w:color="auto"/>
        <w:left w:val="none" w:sz="0" w:space="0" w:color="auto"/>
        <w:bottom w:val="none" w:sz="0" w:space="0" w:color="auto"/>
        <w:right w:val="none" w:sz="0" w:space="0" w:color="auto"/>
      </w:divBdr>
    </w:div>
    <w:div w:id="601188721">
      <w:bodyDiv w:val="1"/>
      <w:marLeft w:val="0"/>
      <w:marRight w:val="0"/>
      <w:marTop w:val="0"/>
      <w:marBottom w:val="0"/>
      <w:divBdr>
        <w:top w:val="none" w:sz="0" w:space="0" w:color="auto"/>
        <w:left w:val="none" w:sz="0" w:space="0" w:color="auto"/>
        <w:bottom w:val="none" w:sz="0" w:space="0" w:color="auto"/>
        <w:right w:val="none" w:sz="0" w:space="0" w:color="auto"/>
      </w:divBdr>
      <w:divsChild>
        <w:div w:id="480662389">
          <w:marLeft w:val="0"/>
          <w:marRight w:val="0"/>
          <w:marTop w:val="135"/>
          <w:marBottom w:val="135"/>
          <w:divBdr>
            <w:top w:val="none" w:sz="0" w:space="0" w:color="auto"/>
            <w:left w:val="none" w:sz="0" w:space="0" w:color="auto"/>
            <w:bottom w:val="none" w:sz="0" w:space="0" w:color="auto"/>
            <w:right w:val="none" w:sz="0" w:space="0" w:color="auto"/>
          </w:divBdr>
        </w:div>
        <w:div w:id="1137991833">
          <w:marLeft w:val="0"/>
          <w:marRight w:val="0"/>
          <w:marTop w:val="135"/>
          <w:marBottom w:val="135"/>
          <w:divBdr>
            <w:top w:val="none" w:sz="0" w:space="0" w:color="auto"/>
            <w:left w:val="none" w:sz="0" w:space="0" w:color="auto"/>
            <w:bottom w:val="none" w:sz="0" w:space="0" w:color="auto"/>
            <w:right w:val="none" w:sz="0" w:space="0" w:color="auto"/>
          </w:divBdr>
        </w:div>
        <w:div w:id="1351762551">
          <w:marLeft w:val="0"/>
          <w:marRight w:val="0"/>
          <w:marTop w:val="135"/>
          <w:marBottom w:val="135"/>
          <w:divBdr>
            <w:top w:val="none" w:sz="0" w:space="0" w:color="auto"/>
            <w:left w:val="none" w:sz="0" w:space="0" w:color="auto"/>
            <w:bottom w:val="none" w:sz="0" w:space="0" w:color="auto"/>
            <w:right w:val="none" w:sz="0" w:space="0" w:color="auto"/>
          </w:divBdr>
        </w:div>
        <w:div w:id="1608998459">
          <w:marLeft w:val="0"/>
          <w:marRight w:val="0"/>
          <w:marTop w:val="135"/>
          <w:marBottom w:val="135"/>
          <w:divBdr>
            <w:top w:val="none" w:sz="0" w:space="0" w:color="auto"/>
            <w:left w:val="none" w:sz="0" w:space="0" w:color="auto"/>
            <w:bottom w:val="none" w:sz="0" w:space="0" w:color="auto"/>
            <w:right w:val="none" w:sz="0" w:space="0" w:color="auto"/>
          </w:divBdr>
        </w:div>
        <w:div w:id="1828782382">
          <w:marLeft w:val="0"/>
          <w:marRight w:val="0"/>
          <w:marTop w:val="135"/>
          <w:marBottom w:val="135"/>
          <w:divBdr>
            <w:top w:val="none" w:sz="0" w:space="0" w:color="auto"/>
            <w:left w:val="none" w:sz="0" w:space="0" w:color="auto"/>
            <w:bottom w:val="none" w:sz="0" w:space="0" w:color="auto"/>
            <w:right w:val="none" w:sz="0" w:space="0" w:color="auto"/>
          </w:divBdr>
        </w:div>
      </w:divsChild>
    </w:div>
    <w:div w:id="604963407">
      <w:bodyDiv w:val="1"/>
      <w:marLeft w:val="0"/>
      <w:marRight w:val="0"/>
      <w:marTop w:val="0"/>
      <w:marBottom w:val="0"/>
      <w:divBdr>
        <w:top w:val="none" w:sz="0" w:space="0" w:color="auto"/>
        <w:left w:val="none" w:sz="0" w:space="0" w:color="auto"/>
        <w:bottom w:val="none" w:sz="0" w:space="0" w:color="auto"/>
        <w:right w:val="none" w:sz="0" w:space="0" w:color="auto"/>
      </w:divBdr>
      <w:divsChild>
        <w:div w:id="2137141416">
          <w:marLeft w:val="0"/>
          <w:marRight w:val="0"/>
          <w:marTop w:val="0"/>
          <w:marBottom w:val="0"/>
          <w:divBdr>
            <w:top w:val="none" w:sz="0" w:space="0" w:color="auto"/>
            <w:left w:val="none" w:sz="0" w:space="0" w:color="auto"/>
            <w:bottom w:val="none" w:sz="0" w:space="0" w:color="auto"/>
            <w:right w:val="none" w:sz="0" w:space="0" w:color="auto"/>
          </w:divBdr>
          <w:divsChild>
            <w:div w:id="611861886">
              <w:marLeft w:val="0"/>
              <w:marRight w:val="0"/>
              <w:marTop w:val="200"/>
              <w:marBottom w:val="0"/>
              <w:divBdr>
                <w:top w:val="none" w:sz="0" w:space="0" w:color="auto"/>
                <w:left w:val="none" w:sz="0" w:space="0" w:color="auto"/>
                <w:bottom w:val="none" w:sz="0" w:space="0" w:color="auto"/>
                <w:right w:val="none" w:sz="0" w:space="0" w:color="auto"/>
              </w:divBdr>
              <w:divsChild>
                <w:div w:id="602610077">
                  <w:marLeft w:val="0"/>
                  <w:marRight w:val="0"/>
                  <w:marTop w:val="200"/>
                  <w:marBottom w:val="0"/>
                  <w:divBdr>
                    <w:top w:val="none" w:sz="0" w:space="0" w:color="auto"/>
                    <w:left w:val="none" w:sz="0" w:space="0" w:color="auto"/>
                    <w:bottom w:val="none" w:sz="0" w:space="0" w:color="auto"/>
                    <w:right w:val="none" w:sz="0" w:space="0" w:color="auto"/>
                  </w:divBdr>
                  <w:divsChild>
                    <w:div w:id="391001916">
                      <w:marLeft w:val="0"/>
                      <w:marRight w:val="0"/>
                      <w:marTop w:val="200"/>
                      <w:marBottom w:val="0"/>
                      <w:divBdr>
                        <w:top w:val="none" w:sz="0" w:space="0" w:color="auto"/>
                        <w:left w:val="none" w:sz="0" w:space="0" w:color="auto"/>
                        <w:bottom w:val="none" w:sz="0" w:space="0" w:color="auto"/>
                        <w:right w:val="none" w:sz="0" w:space="0" w:color="auto"/>
                      </w:divBdr>
                      <w:divsChild>
                        <w:div w:id="295718444">
                          <w:marLeft w:val="0"/>
                          <w:marRight w:val="0"/>
                          <w:marTop w:val="0"/>
                          <w:marBottom w:val="0"/>
                          <w:divBdr>
                            <w:top w:val="none" w:sz="0" w:space="0" w:color="auto"/>
                            <w:left w:val="none" w:sz="0" w:space="0" w:color="auto"/>
                            <w:bottom w:val="none" w:sz="0" w:space="0" w:color="auto"/>
                            <w:right w:val="none" w:sz="0" w:space="0" w:color="auto"/>
                          </w:divBdr>
                          <w:divsChild>
                            <w:div w:id="777526563">
                              <w:marLeft w:val="0"/>
                              <w:marRight w:val="0"/>
                              <w:marTop w:val="135"/>
                              <w:marBottom w:val="135"/>
                              <w:divBdr>
                                <w:top w:val="none" w:sz="0" w:space="0" w:color="auto"/>
                                <w:left w:val="none" w:sz="0" w:space="0" w:color="auto"/>
                                <w:bottom w:val="none" w:sz="0" w:space="0" w:color="auto"/>
                                <w:right w:val="none" w:sz="0" w:space="0" w:color="auto"/>
                              </w:divBdr>
                            </w:div>
                            <w:div w:id="1397241400">
                              <w:marLeft w:val="0"/>
                              <w:marRight w:val="0"/>
                              <w:marTop w:val="135"/>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237019">
      <w:bodyDiv w:val="1"/>
      <w:marLeft w:val="0"/>
      <w:marRight w:val="0"/>
      <w:marTop w:val="0"/>
      <w:marBottom w:val="0"/>
      <w:divBdr>
        <w:top w:val="none" w:sz="0" w:space="0" w:color="auto"/>
        <w:left w:val="none" w:sz="0" w:space="0" w:color="auto"/>
        <w:bottom w:val="none" w:sz="0" w:space="0" w:color="auto"/>
        <w:right w:val="none" w:sz="0" w:space="0" w:color="auto"/>
      </w:divBdr>
    </w:div>
    <w:div w:id="680592654">
      <w:bodyDiv w:val="1"/>
      <w:marLeft w:val="0"/>
      <w:marRight w:val="0"/>
      <w:marTop w:val="0"/>
      <w:marBottom w:val="0"/>
      <w:divBdr>
        <w:top w:val="none" w:sz="0" w:space="0" w:color="auto"/>
        <w:left w:val="none" w:sz="0" w:space="0" w:color="auto"/>
        <w:bottom w:val="none" w:sz="0" w:space="0" w:color="auto"/>
        <w:right w:val="none" w:sz="0" w:space="0" w:color="auto"/>
      </w:divBdr>
      <w:divsChild>
        <w:div w:id="142935468">
          <w:marLeft w:val="0"/>
          <w:marRight w:val="0"/>
          <w:marTop w:val="0"/>
          <w:marBottom w:val="0"/>
          <w:divBdr>
            <w:top w:val="none" w:sz="0" w:space="0" w:color="auto"/>
            <w:left w:val="none" w:sz="0" w:space="0" w:color="auto"/>
            <w:bottom w:val="none" w:sz="0" w:space="0" w:color="auto"/>
            <w:right w:val="none" w:sz="0" w:space="0" w:color="auto"/>
          </w:divBdr>
          <w:divsChild>
            <w:div w:id="206824">
              <w:marLeft w:val="0"/>
              <w:marRight w:val="0"/>
              <w:marTop w:val="0"/>
              <w:marBottom w:val="0"/>
              <w:divBdr>
                <w:top w:val="none" w:sz="0" w:space="0" w:color="auto"/>
                <w:left w:val="none" w:sz="0" w:space="0" w:color="auto"/>
                <w:bottom w:val="none" w:sz="0" w:space="0" w:color="auto"/>
                <w:right w:val="none" w:sz="0" w:space="0" w:color="auto"/>
              </w:divBdr>
              <w:divsChild>
                <w:div w:id="413429958">
                  <w:marLeft w:val="0"/>
                  <w:marRight w:val="0"/>
                  <w:marTop w:val="0"/>
                  <w:marBottom w:val="0"/>
                  <w:divBdr>
                    <w:top w:val="none" w:sz="0" w:space="0" w:color="auto"/>
                    <w:left w:val="none" w:sz="0" w:space="0" w:color="auto"/>
                    <w:bottom w:val="none" w:sz="0" w:space="0" w:color="auto"/>
                    <w:right w:val="none" w:sz="0" w:space="0" w:color="auto"/>
                  </w:divBdr>
                  <w:divsChild>
                    <w:div w:id="675229153">
                      <w:marLeft w:val="0"/>
                      <w:marRight w:val="0"/>
                      <w:marTop w:val="0"/>
                      <w:marBottom w:val="0"/>
                      <w:divBdr>
                        <w:top w:val="none" w:sz="0" w:space="0" w:color="auto"/>
                        <w:left w:val="none" w:sz="0" w:space="0" w:color="auto"/>
                        <w:bottom w:val="none" w:sz="0" w:space="0" w:color="auto"/>
                        <w:right w:val="none" w:sz="0" w:space="0" w:color="auto"/>
                      </w:divBdr>
                      <w:divsChild>
                        <w:div w:id="1101875756">
                          <w:marLeft w:val="0"/>
                          <w:marRight w:val="0"/>
                          <w:marTop w:val="0"/>
                          <w:marBottom w:val="0"/>
                          <w:divBdr>
                            <w:top w:val="none" w:sz="0" w:space="0" w:color="auto"/>
                            <w:left w:val="none" w:sz="0" w:space="0" w:color="auto"/>
                            <w:bottom w:val="none" w:sz="0" w:space="0" w:color="auto"/>
                            <w:right w:val="none" w:sz="0" w:space="0" w:color="auto"/>
                          </w:divBdr>
                          <w:divsChild>
                            <w:div w:id="15243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994613">
      <w:bodyDiv w:val="1"/>
      <w:marLeft w:val="0"/>
      <w:marRight w:val="0"/>
      <w:marTop w:val="0"/>
      <w:marBottom w:val="0"/>
      <w:divBdr>
        <w:top w:val="none" w:sz="0" w:space="0" w:color="auto"/>
        <w:left w:val="none" w:sz="0" w:space="0" w:color="auto"/>
        <w:bottom w:val="none" w:sz="0" w:space="0" w:color="auto"/>
        <w:right w:val="none" w:sz="0" w:space="0" w:color="auto"/>
      </w:divBdr>
    </w:div>
    <w:div w:id="742990422">
      <w:bodyDiv w:val="1"/>
      <w:marLeft w:val="0"/>
      <w:marRight w:val="0"/>
      <w:marTop w:val="0"/>
      <w:marBottom w:val="0"/>
      <w:divBdr>
        <w:top w:val="none" w:sz="0" w:space="0" w:color="auto"/>
        <w:left w:val="none" w:sz="0" w:space="0" w:color="auto"/>
        <w:bottom w:val="none" w:sz="0" w:space="0" w:color="auto"/>
        <w:right w:val="none" w:sz="0" w:space="0" w:color="auto"/>
      </w:divBdr>
      <w:divsChild>
        <w:div w:id="381373356">
          <w:marLeft w:val="0"/>
          <w:marRight w:val="0"/>
          <w:marTop w:val="0"/>
          <w:marBottom w:val="0"/>
          <w:divBdr>
            <w:top w:val="none" w:sz="0" w:space="0" w:color="auto"/>
            <w:left w:val="none" w:sz="0" w:space="0" w:color="auto"/>
            <w:bottom w:val="none" w:sz="0" w:space="0" w:color="auto"/>
            <w:right w:val="none" w:sz="0" w:space="0" w:color="auto"/>
          </w:divBdr>
          <w:divsChild>
            <w:div w:id="2132897877">
              <w:marLeft w:val="0"/>
              <w:marRight w:val="0"/>
              <w:marTop w:val="0"/>
              <w:marBottom w:val="0"/>
              <w:divBdr>
                <w:top w:val="none" w:sz="0" w:space="0" w:color="auto"/>
                <w:left w:val="none" w:sz="0" w:space="0" w:color="auto"/>
                <w:bottom w:val="none" w:sz="0" w:space="0" w:color="auto"/>
                <w:right w:val="none" w:sz="0" w:space="0" w:color="auto"/>
              </w:divBdr>
              <w:divsChild>
                <w:div w:id="754014865">
                  <w:marLeft w:val="0"/>
                  <w:marRight w:val="0"/>
                  <w:marTop w:val="0"/>
                  <w:marBottom w:val="0"/>
                  <w:divBdr>
                    <w:top w:val="none" w:sz="0" w:space="0" w:color="auto"/>
                    <w:left w:val="none" w:sz="0" w:space="0" w:color="auto"/>
                    <w:bottom w:val="none" w:sz="0" w:space="0" w:color="auto"/>
                    <w:right w:val="none" w:sz="0" w:space="0" w:color="auto"/>
                  </w:divBdr>
                  <w:divsChild>
                    <w:div w:id="738330799">
                      <w:marLeft w:val="0"/>
                      <w:marRight w:val="0"/>
                      <w:marTop w:val="0"/>
                      <w:marBottom w:val="0"/>
                      <w:divBdr>
                        <w:top w:val="none" w:sz="0" w:space="0" w:color="auto"/>
                        <w:left w:val="none" w:sz="0" w:space="0" w:color="auto"/>
                        <w:bottom w:val="none" w:sz="0" w:space="0" w:color="auto"/>
                        <w:right w:val="none" w:sz="0" w:space="0" w:color="auto"/>
                      </w:divBdr>
                      <w:divsChild>
                        <w:div w:id="1150441249">
                          <w:marLeft w:val="0"/>
                          <w:marRight w:val="0"/>
                          <w:marTop w:val="0"/>
                          <w:marBottom w:val="0"/>
                          <w:divBdr>
                            <w:top w:val="none" w:sz="0" w:space="0" w:color="auto"/>
                            <w:left w:val="none" w:sz="0" w:space="0" w:color="auto"/>
                            <w:bottom w:val="none" w:sz="0" w:space="0" w:color="auto"/>
                            <w:right w:val="none" w:sz="0" w:space="0" w:color="auto"/>
                          </w:divBdr>
                          <w:divsChild>
                            <w:div w:id="143859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157163">
      <w:bodyDiv w:val="1"/>
      <w:marLeft w:val="0"/>
      <w:marRight w:val="0"/>
      <w:marTop w:val="0"/>
      <w:marBottom w:val="0"/>
      <w:divBdr>
        <w:top w:val="none" w:sz="0" w:space="0" w:color="auto"/>
        <w:left w:val="none" w:sz="0" w:space="0" w:color="auto"/>
        <w:bottom w:val="none" w:sz="0" w:space="0" w:color="auto"/>
        <w:right w:val="none" w:sz="0" w:space="0" w:color="auto"/>
      </w:divBdr>
    </w:div>
    <w:div w:id="783312173">
      <w:bodyDiv w:val="1"/>
      <w:marLeft w:val="0"/>
      <w:marRight w:val="0"/>
      <w:marTop w:val="0"/>
      <w:marBottom w:val="0"/>
      <w:divBdr>
        <w:top w:val="none" w:sz="0" w:space="0" w:color="auto"/>
        <w:left w:val="none" w:sz="0" w:space="0" w:color="auto"/>
        <w:bottom w:val="none" w:sz="0" w:space="0" w:color="auto"/>
        <w:right w:val="none" w:sz="0" w:space="0" w:color="auto"/>
      </w:divBdr>
    </w:div>
    <w:div w:id="851460050">
      <w:bodyDiv w:val="1"/>
      <w:marLeft w:val="0"/>
      <w:marRight w:val="0"/>
      <w:marTop w:val="0"/>
      <w:marBottom w:val="0"/>
      <w:divBdr>
        <w:top w:val="none" w:sz="0" w:space="0" w:color="auto"/>
        <w:left w:val="none" w:sz="0" w:space="0" w:color="auto"/>
        <w:bottom w:val="none" w:sz="0" w:space="0" w:color="auto"/>
        <w:right w:val="none" w:sz="0" w:space="0" w:color="auto"/>
      </w:divBdr>
    </w:div>
    <w:div w:id="862859456">
      <w:bodyDiv w:val="1"/>
      <w:marLeft w:val="0"/>
      <w:marRight w:val="0"/>
      <w:marTop w:val="0"/>
      <w:marBottom w:val="0"/>
      <w:divBdr>
        <w:top w:val="none" w:sz="0" w:space="0" w:color="auto"/>
        <w:left w:val="none" w:sz="0" w:space="0" w:color="auto"/>
        <w:bottom w:val="none" w:sz="0" w:space="0" w:color="auto"/>
        <w:right w:val="none" w:sz="0" w:space="0" w:color="auto"/>
      </w:divBdr>
    </w:div>
    <w:div w:id="972783409">
      <w:bodyDiv w:val="1"/>
      <w:marLeft w:val="0"/>
      <w:marRight w:val="0"/>
      <w:marTop w:val="0"/>
      <w:marBottom w:val="0"/>
      <w:divBdr>
        <w:top w:val="none" w:sz="0" w:space="0" w:color="auto"/>
        <w:left w:val="none" w:sz="0" w:space="0" w:color="auto"/>
        <w:bottom w:val="none" w:sz="0" w:space="0" w:color="auto"/>
        <w:right w:val="none" w:sz="0" w:space="0" w:color="auto"/>
      </w:divBdr>
    </w:div>
    <w:div w:id="990522764">
      <w:bodyDiv w:val="1"/>
      <w:marLeft w:val="0"/>
      <w:marRight w:val="0"/>
      <w:marTop w:val="0"/>
      <w:marBottom w:val="0"/>
      <w:divBdr>
        <w:top w:val="none" w:sz="0" w:space="0" w:color="auto"/>
        <w:left w:val="none" w:sz="0" w:space="0" w:color="auto"/>
        <w:bottom w:val="none" w:sz="0" w:space="0" w:color="auto"/>
        <w:right w:val="none" w:sz="0" w:space="0" w:color="auto"/>
      </w:divBdr>
      <w:divsChild>
        <w:div w:id="1403453802">
          <w:marLeft w:val="0"/>
          <w:marRight w:val="0"/>
          <w:marTop w:val="0"/>
          <w:marBottom w:val="0"/>
          <w:divBdr>
            <w:top w:val="none" w:sz="0" w:space="0" w:color="auto"/>
            <w:left w:val="none" w:sz="0" w:space="0" w:color="auto"/>
            <w:bottom w:val="none" w:sz="0" w:space="0" w:color="auto"/>
            <w:right w:val="none" w:sz="0" w:space="0" w:color="auto"/>
          </w:divBdr>
          <w:divsChild>
            <w:div w:id="1244949504">
              <w:marLeft w:val="0"/>
              <w:marRight w:val="0"/>
              <w:marTop w:val="0"/>
              <w:marBottom w:val="0"/>
              <w:divBdr>
                <w:top w:val="none" w:sz="0" w:space="0" w:color="auto"/>
                <w:left w:val="none" w:sz="0" w:space="0" w:color="auto"/>
                <w:bottom w:val="none" w:sz="0" w:space="0" w:color="auto"/>
                <w:right w:val="none" w:sz="0" w:space="0" w:color="auto"/>
              </w:divBdr>
              <w:divsChild>
                <w:div w:id="826090597">
                  <w:marLeft w:val="0"/>
                  <w:marRight w:val="0"/>
                  <w:marTop w:val="0"/>
                  <w:marBottom w:val="0"/>
                  <w:divBdr>
                    <w:top w:val="none" w:sz="0" w:space="0" w:color="auto"/>
                    <w:left w:val="none" w:sz="0" w:space="0" w:color="auto"/>
                    <w:bottom w:val="none" w:sz="0" w:space="0" w:color="auto"/>
                    <w:right w:val="none" w:sz="0" w:space="0" w:color="auto"/>
                  </w:divBdr>
                  <w:divsChild>
                    <w:div w:id="1554729203">
                      <w:marLeft w:val="0"/>
                      <w:marRight w:val="0"/>
                      <w:marTop w:val="0"/>
                      <w:marBottom w:val="0"/>
                      <w:divBdr>
                        <w:top w:val="none" w:sz="0" w:space="0" w:color="auto"/>
                        <w:left w:val="none" w:sz="0" w:space="0" w:color="auto"/>
                        <w:bottom w:val="none" w:sz="0" w:space="0" w:color="auto"/>
                        <w:right w:val="none" w:sz="0" w:space="0" w:color="auto"/>
                      </w:divBdr>
                      <w:divsChild>
                        <w:div w:id="2102872975">
                          <w:marLeft w:val="0"/>
                          <w:marRight w:val="0"/>
                          <w:marTop w:val="0"/>
                          <w:marBottom w:val="0"/>
                          <w:divBdr>
                            <w:top w:val="none" w:sz="0" w:space="0" w:color="auto"/>
                            <w:left w:val="none" w:sz="0" w:space="0" w:color="auto"/>
                            <w:bottom w:val="none" w:sz="0" w:space="0" w:color="auto"/>
                            <w:right w:val="none" w:sz="0" w:space="0" w:color="auto"/>
                          </w:divBdr>
                          <w:divsChild>
                            <w:div w:id="687800707">
                              <w:marLeft w:val="0"/>
                              <w:marRight w:val="0"/>
                              <w:marTop w:val="0"/>
                              <w:marBottom w:val="0"/>
                              <w:divBdr>
                                <w:top w:val="none" w:sz="0" w:space="0" w:color="auto"/>
                                <w:left w:val="none" w:sz="0" w:space="0" w:color="auto"/>
                                <w:bottom w:val="none" w:sz="0" w:space="0" w:color="auto"/>
                                <w:right w:val="none" w:sz="0" w:space="0" w:color="auto"/>
                              </w:divBdr>
                              <w:divsChild>
                                <w:div w:id="11417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771902">
      <w:bodyDiv w:val="1"/>
      <w:marLeft w:val="0"/>
      <w:marRight w:val="0"/>
      <w:marTop w:val="0"/>
      <w:marBottom w:val="0"/>
      <w:divBdr>
        <w:top w:val="none" w:sz="0" w:space="0" w:color="auto"/>
        <w:left w:val="none" w:sz="0" w:space="0" w:color="auto"/>
        <w:bottom w:val="none" w:sz="0" w:space="0" w:color="auto"/>
        <w:right w:val="none" w:sz="0" w:space="0" w:color="auto"/>
      </w:divBdr>
      <w:divsChild>
        <w:div w:id="672685498">
          <w:marLeft w:val="0"/>
          <w:marRight w:val="0"/>
          <w:marTop w:val="0"/>
          <w:marBottom w:val="0"/>
          <w:divBdr>
            <w:top w:val="none" w:sz="0" w:space="0" w:color="auto"/>
            <w:left w:val="none" w:sz="0" w:space="0" w:color="auto"/>
            <w:bottom w:val="none" w:sz="0" w:space="0" w:color="auto"/>
            <w:right w:val="none" w:sz="0" w:space="0" w:color="auto"/>
          </w:divBdr>
          <w:divsChild>
            <w:div w:id="37357279">
              <w:marLeft w:val="0"/>
              <w:marRight w:val="0"/>
              <w:marTop w:val="200"/>
              <w:marBottom w:val="0"/>
              <w:divBdr>
                <w:top w:val="none" w:sz="0" w:space="0" w:color="auto"/>
                <w:left w:val="none" w:sz="0" w:space="0" w:color="auto"/>
                <w:bottom w:val="none" w:sz="0" w:space="0" w:color="auto"/>
                <w:right w:val="none" w:sz="0" w:space="0" w:color="auto"/>
              </w:divBdr>
              <w:divsChild>
                <w:div w:id="2125148163">
                  <w:marLeft w:val="0"/>
                  <w:marRight w:val="0"/>
                  <w:marTop w:val="200"/>
                  <w:marBottom w:val="0"/>
                  <w:divBdr>
                    <w:top w:val="none" w:sz="0" w:space="0" w:color="auto"/>
                    <w:left w:val="none" w:sz="0" w:space="0" w:color="auto"/>
                    <w:bottom w:val="none" w:sz="0" w:space="0" w:color="auto"/>
                    <w:right w:val="none" w:sz="0" w:space="0" w:color="auto"/>
                  </w:divBdr>
                  <w:divsChild>
                    <w:div w:id="1579166429">
                      <w:marLeft w:val="0"/>
                      <w:marRight w:val="0"/>
                      <w:marTop w:val="200"/>
                      <w:marBottom w:val="0"/>
                      <w:divBdr>
                        <w:top w:val="none" w:sz="0" w:space="0" w:color="auto"/>
                        <w:left w:val="none" w:sz="0" w:space="0" w:color="auto"/>
                        <w:bottom w:val="none" w:sz="0" w:space="0" w:color="auto"/>
                        <w:right w:val="none" w:sz="0" w:space="0" w:color="auto"/>
                      </w:divBdr>
                      <w:divsChild>
                        <w:div w:id="1569068389">
                          <w:marLeft w:val="0"/>
                          <w:marRight w:val="0"/>
                          <w:marTop w:val="200"/>
                          <w:marBottom w:val="0"/>
                          <w:divBdr>
                            <w:top w:val="none" w:sz="0" w:space="0" w:color="auto"/>
                            <w:left w:val="none" w:sz="0" w:space="0" w:color="auto"/>
                            <w:bottom w:val="none" w:sz="0" w:space="0" w:color="auto"/>
                            <w:right w:val="none" w:sz="0" w:space="0" w:color="auto"/>
                          </w:divBdr>
                          <w:divsChild>
                            <w:div w:id="184175016">
                              <w:marLeft w:val="0"/>
                              <w:marRight w:val="0"/>
                              <w:marTop w:val="0"/>
                              <w:marBottom w:val="0"/>
                              <w:divBdr>
                                <w:top w:val="none" w:sz="0" w:space="0" w:color="auto"/>
                                <w:left w:val="none" w:sz="0" w:space="0" w:color="auto"/>
                                <w:bottom w:val="none" w:sz="0" w:space="0" w:color="auto"/>
                                <w:right w:val="none" w:sz="0" w:space="0" w:color="auto"/>
                              </w:divBdr>
                              <w:divsChild>
                                <w:div w:id="37053591">
                                  <w:marLeft w:val="0"/>
                                  <w:marRight w:val="0"/>
                                  <w:marTop w:val="135"/>
                                  <w:marBottom w:val="135"/>
                                  <w:divBdr>
                                    <w:top w:val="none" w:sz="0" w:space="0" w:color="auto"/>
                                    <w:left w:val="none" w:sz="0" w:space="0" w:color="auto"/>
                                    <w:bottom w:val="none" w:sz="0" w:space="0" w:color="auto"/>
                                    <w:right w:val="none" w:sz="0" w:space="0" w:color="auto"/>
                                  </w:divBdr>
                                </w:div>
                                <w:div w:id="1845896365">
                                  <w:marLeft w:val="0"/>
                                  <w:marRight w:val="0"/>
                                  <w:marTop w:val="135"/>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248708">
      <w:bodyDiv w:val="1"/>
      <w:marLeft w:val="0"/>
      <w:marRight w:val="0"/>
      <w:marTop w:val="0"/>
      <w:marBottom w:val="0"/>
      <w:divBdr>
        <w:top w:val="none" w:sz="0" w:space="0" w:color="auto"/>
        <w:left w:val="none" w:sz="0" w:space="0" w:color="auto"/>
        <w:bottom w:val="none" w:sz="0" w:space="0" w:color="auto"/>
        <w:right w:val="none" w:sz="0" w:space="0" w:color="auto"/>
      </w:divBdr>
      <w:divsChild>
        <w:div w:id="1579557605">
          <w:marLeft w:val="150"/>
          <w:marRight w:val="0"/>
          <w:marTop w:val="0"/>
          <w:marBottom w:val="0"/>
          <w:divBdr>
            <w:top w:val="none" w:sz="0" w:space="0" w:color="auto"/>
            <w:left w:val="none" w:sz="0" w:space="0" w:color="auto"/>
            <w:bottom w:val="none" w:sz="0" w:space="0" w:color="auto"/>
            <w:right w:val="none" w:sz="0" w:space="0" w:color="auto"/>
          </w:divBdr>
          <w:divsChild>
            <w:div w:id="2082093676">
              <w:marLeft w:val="0"/>
              <w:marRight w:val="0"/>
              <w:marTop w:val="0"/>
              <w:marBottom w:val="0"/>
              <w:divBdr>
                <w:top w:val="none" w:sz="0" w:space="0" w:color="auto"/>
                <w:left w:val="none" w:sz="0" w:space="0" w:color="auto"/>
                <w:bottom w:val="none" w:sz="0" w:space="0" w:color="auto"/>
                <w:right w:val="none" w:sz="0" w:space="0" w:color="auto"/>
              </w:divBdr>
              <w:divsChild>
                <w:div w:id="158154012">
                  <w:marLeft w:val="0"/>
                  <w:marRight w:val="0"/>
                  <w:marTop w:val="0"/>
                  <w:marBottom w:val="0"/>
                  <w:divBdr>
                    <w:top w:val="none" w:sz="0" w:space="0" w:color="auto"/>
                    <w:left w:val="none" w:sz="0" w:space="0" w:color="auto"/>
                    <w:bottom w:val="none" w:sz="0" w:space="0" w:color="auto"/>
                    <w:right w:val="none" w:sz="0" w:space="0" w:color="auto"/>
                  </w:divBdr>
                  <w:divsChild>
                    <w:div w:id="2135127679">
                      <w:marLeft w:val="0"/>
                      <w:marRight w:val="0"/>
                      <w:marTop w:val="0"/>
                      <w:marBottom w:val="0"/>
                      <w:divBdr>
                        <w:top w:val="none" w:sz="0" w:space="0" w:color="auto"/>
                        <w:left w:val="none" w:sz="0" w:space="0" w:color="auto"/>
                        <w:bottom w:val="none" w:sz="0" w:space="0" w:color="auto"/>
                        <w:right w:val="none" w:sz="0" w:space="0" w:color="auto"/>
                      </w:divBdr>
                      <w:divsChild>
                        <w:div w:id="902718164">
                          <w:marLeft w:val="0"/>
                          <w:marRight w:val="0"/>
                          <w:marTop w:val="0"/>
                          <w:marBottom w:val="0"/>
                          <w:divBdr>
                            <w:top w:val="none" w:sz="0" w:space="0" w:color="auto"/>
                            <w:left w:val="none" w:sz="0" w:space="0" w:color="auto"/>
                            <w:bottom w:val="none" w:sz="0" w:space="0" w:color="auto"/>
                            <w:right w:val="none" w:sz="0" w:space="0" w:color="auto"/>
                          </w:divBdr>
                          <w:divsChild>
                            <w:div w:id="957299757">
                              <w:marLeft w:val="0"/>
                              <w:marRight w:val="0"/>
                              <w:marTop w:val="0"/>
                              <w:marBottom w:val="0"/>
                              <w:divBdr>
                                <w:top w:val="none" w:sz="0" w:space="0" w:color="auto"/>
                                <w:left w:val="none" w:sz="0" w:space="0" w:color="auto"/>
                                <w:bottom w:val="none" w:sz="0" w:space="0" w:color="auto"/>
                                <w:right w:val="none" w:sz="0" w:space="0" w:color="auto"/>
                              </w:divBdr>
                              <w:divsChild>
                                <w:div w:id="1218250137">
                                  <w:marLeft w:val="0"/>
                                  <w:marRight w:val="0"/>
                                  <w:marTop w:val="0"/>
                                  <w:marBottom w:val="0"/>
                                  <w:divBdr>
                                    <w:top w:val="none" w:sz="0" w:space="0" w:color="auto"/>
                                    <w:left w:val="none" w:sz="0" w:space="0" w:color="auto"/>
                                    <w:bottom w:val="none" w:sz="0" w:space="0" w:color="auto"/>
                                    <w:right w:val="none" w:sz="0" w:space="0" w:color="auto"/>
                                  </w:divBdr>
                                  <w:divsChild>
                                    <w:div w:id="1385179738">
                                      <w:marLeft w:val="0"/>
                                      <w:marRight w:val="0"/>
                                      <w:marTop w:val="0"/>
                                      <w:marBottom w:val="0"/>
                                      <w:divBdr>
                                        <w:top w:val="none" w:sz="0" w:space="0" w:color="auto"/>
                                        <w:left w:val="none" w:sz="0" w:space="0" w:color="auto"/>
                                        <w:bottom w:val="none" w:sz="0" w:space="0" w:color="auto"/>
                                        <w:right w:val="none" w:sz="0" w:space="0" w:color="auto"/>
                                      </w:divBdr>
                                      <w:divsChild>
                                        <w:div w:id="432017998">
                                          <w:marLeft w:val="0"/>
                                          <w:marRight w:val="0"/>
                                          <w:marTop w:val="0"/>
                                          <w:marBottom w:val="0"/>
                                          <w:divBdr>
                                            <w:top w:val="none" w:sz="0" w:space="0" w:color="auto"/>
                                            <w:left w:val="none" w:sz="0" w:space="0" w:color="auto"/>
                                            <w:bottom w:val="none" w:sz="0" w:space="0" w:color="auto"/>
                                            <w:right w:val="none" w:sz="0" w:space="0" w:color="auto"/>
                                          </w:divBdr>
                                          <w:divsChild>
                                            <w:div w:id="1809398328">
                                              <w:marLeft w:val="0"/>
                                              <w:marRight w:val="0"/>
                                              <w:marTop w:val="0"/>
                                              <w:marBottom w:val="0"/>
                                              <w:divBdr>
                                                <w:top w:val="none" w:sz="0" w:space="0" w:color="auto"/>
                                                <w:left w:val="none" w:sz="0" w:space="0" w:color="auto"/>
                                                <w:bottom w:val="none" w:sz="0" w:space="0" w:color="auto"/>
                                                <w:right w:val="none" w:sz="0" w:space="0" w:color="auto"/>
                                              </w:divBdr>
                                              <w:divsChild>
                                                <w:div w:id="917134635">
                                                  <w:marLeft w:val="0"/>
                                                  <w:marRight w:val="0"/>
                                                  <w:marTop w:val="0"/>
                                                  <w:marBottom w:val="0"/>
                                                  <w:divBdr>
                                                    <w:top w:val="none" w:sz="0" w:space="0" w:color="auto"/>
                                                    <w:left w:val="none" w:sz="0" w:space="0" w:color="auto"/>
                                                    <w:bottom w:val="none" w:sz="0" w:space="0" w:color="auto"/>
                                                    <w:right w:val="none" w:sz="0" w:space="0" w:color="auto"/>
                                                  </w:divBdr>
                                                  <w:divsChild>
                                                    <w:div w:id="94400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1288601">
      <w:bodyDiv w:val="1"/>
      <w:marLeft w:val="0"/>
      <w:marRight w:val="0"/>
      <w:marTop w:val="0"/>
      <w:marBottom w:val="0"/>
      <w:divBdr>
        <w:top w:val="none" w:sz="0" w:space="0" w:color="auto"/>
        <w:left w:val="none" w:sz="0" w:space="0" w:color="auto"/>
        <w:bottom w:val="none" w:sz="0" w:space="0" w:color="auto"/>
        <w:right w:val="none" w:sz="0" w:space="0" w:color="auto"/>
      </w:divBdr>
      <w:divsChild>
        <w:div w:id="219754601">
          <w:marLeft w:val="0"/>
          <w:marRight w:val="0"/>
          <w:marTop w:val="0"/>
          <w:marBottom w:val="0"/>
          <w:divBdr>
            <w:top w:val="none" w:sz="0" w:space="0" w:color="auto"/>
            <w:left w:val="none" w:sz="0" w:space="0" w:color="auto"/>
            <w:bottom w:val="none" w:sz="0" w:space="0" w:color="auto"/>
            <w:right w:val="none" w:sz="0" w:space="0" w:color="auto"/>
          </w:divBdr>
          <w:divsChild>
            <w:div w:id="1541823648">
              <w:marLeft w:val="0"/>
              <w:marRight w:val="0"/>
              <w:marTop w:val="0"/>
              <w:marBottom w:val="0"/>
              <w:divBdr>
                <w:top w:val="none" w:sz="0" w:space="0" w:color="auto"/>
                <w:left w:val="none" w:sz="0" w:space="0" w:color="auto"/>
                <w:bottom w:val="none" w:sz="0" w:space="0" w:color="auto"/>
                <w:right w:val="none" w:sz="0" w:space="0" w:color="auto"/>
              </w:divBdr>
              <w:divsChild>
                <w:div w:id="950086107">
                  <w:marLeft w:val="0"/>
                  <w:marRight w:val="0"/>
                  <w:marTop w:val="0"/>
                  <w:marBottom w:val="0"/>
                  <w:divBdr>
                    <w:top w:val="none" w:sz="0" w:space="0" w:color="auto"/>
                    <w:left w:val="none" w:sz="0" w:space="0" w:color="auto"/>
                    <w:bottom w:val="none" w:sz="0" w:space="0" w:color="auto"/>
                    <w:right w:val="none" w:sz="0" w:space="0" w:color="auto"/>
                  </w:divBdr>
                  <w:divsChild>
                    <w:div w:id="459110927">
                      <w:marLeft w:val="0"/>
                      <w:marRight w:val="0"/>
                      <w:marTop w:val="0"/>
                      <w:marBottom w:val="0"/>
                      <w:divBdr>
                        <w:top w:val="none" w:sz="0" w:space="0" w:color="auto"/>
                        <w:left w:val="none" w:sz="0" w:space="0" w:color="auto"/>
                        <w:bottom w:val="none" w:sz="0" w:space="0" w:color="auto"/>
                        <w:right w:val="none" w:sz="0" w:space="0" w:color="auto"/>
                      </w:divBdr>
                      <w:divsChild>
                        <w:div w:id="947464222">
                          <w:marLeft w:val="0"/>
                          <w:marRight w:val="0"/>
                          <w:marTop w:val="0"/>
                          <w:marBottom w:val="0"/>
                          <w:divBdr>
                            <w:top w:val="none" w:sz="0" w:space="0" w:color="auto"/>
                            <w:left w:val="none" w:sz="0" w:space="0" w:color="auto"/>
                            <w:bottom w:val="none" w:sz="0" w:space="0" w:color="auto"/>
                            <w:right w:val="none" w:sz="0" w:space="0" w:color="auto"/>
                          </w:divBdr>
                          <w:divsChild>
                            <w:div w:id="65611350">
                              <w:marLeft w:val="0"/>
                              <w:marRight w:val="0"/>
                              <w:marTop w:val="0"/>
                              <w:marBottom w:val="0"/>
                              <w:divBdr>
                                <w:top w:val="none" w:sz="0" w:space="0" w:color="auto"/>
                                <w:left w:val="none" w:sz="0" w:space="0" w:color="auto"/>
                                <w:bottom w:val="none" w:sz="0" w:space="0" w:color="auto"/>
                                <w:right w:val="none" w:sz="0" w:space="0" w:color="auto"/>
                              </w:divBdr>
                              <w:divsChild>
                                <w:div w:id="642270750">
                                  <w:marLeft w:val="0"/>
                                  <w:marRight w:val="0"/>
                                  <w:marTop w:val="0"/>
                                  <w:marBottom w:val="0"/>
                                  <w:divBdr>
                                    <w:top w:val="none" w:sz="0" w:space="0" w:color="auto"/>
                                    <w:left w:val="none" w:sz="0" w:space="0" w:color="auto"/>
                                    <w:bottom w:val="none" w:sz="0" w:space="0" w:color="auto"/>
                                    <w:right w:val="none" w:sz="0" w:space="0" w:color="auto"/>
                                  </w:divBdr>
                                  <w:divsChild>
                                    <w:div w:id="1435205622">
                                      <w:marLeft w:val="0"/>
                                      <w:marRight w:val="0"/>
                                      <w:marTop w:val="0"/>
                                      <w:marBottom w:val="0"/>
                                      <w:divBdr>
                                        <w:top w:val="none" w:sz="0" w:space="0" w:color="auto"/>
                                        <w:left w:val="none" w:sz="0" w:space="0" w:color="auto"/>
                                        <w:bottom w:val="none" w:sz="0" w:space="0" w:color="auto"/>
                                        <w:right w:val="none" w:sz="0" w:space="0" w:color="auto"/>
                                      </w:divBdr>
                                      <w:divsChild>
                                        <w:div w:id="1721512315">
                                          <w:marLeft w:val="0"/>
                                          <w:marRight w:val="0"/>
                                          <w:marTop w:val="0"/>
                                          <w:marBottom w:val="240"/>
                                          <w:divBdr>
                                            <w:top w:val="none" w:sz="0" w:space="0" w:color="auto"/>
                                            <w:left w:val="none" w:sz="0" w:space="0" w:color="auto"/>
                                            <w:bottom w:val="none" w:sz="0" w:space="0" w:color="auto"/>
                                            <w:right w:val="none" w:sz="0" w:space="0" w:color="auto"/>
                                          </w:divBdr>
                                          <w:divsChild>
                                            <w:div w:id="79259619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041412">
      <w:bodyDiv w:val="1"/>
      <w:marLeft w:val="0"/>
      <w:marRight w:val="0"/>
      <w:marTop w:val="0"/>
      <w:marBottom w:val="0"/>
      <w:divBdr>
        <w:top w:val="none" w:sz="0" w:space="0" w:color="auto"/>
        <w:left w:val="none" w:sz="0" w:space="0" w:color="auto"/>
        <w:bottom w:val="none" w:sz="0" w:space="0" w:color="auto"/>
        <w:right w:val="none" w:sz="0" w:space="0" w:color="auto"/>
      </w:divBdr>
      <w:divsChild>
        <w:div w:id="1814832219">
          <w:marLeft w:val="150"/>
          <w:marRight w:val="0"/>
          <w:marTop w:val="0"/>
          <w:marBottom w:val="0"/>
          <w:divBdr>
            <w:top w:val="none" w:sz="0" w:space="0" w:color="auto"/>
            <w:left w:val="none" w:sz="0" w:space="0" w:color="auto"/>
            <w:bottom w:val="none" w:sz="0" w:space="0" w:color="auto"/>
            <w:right w:val="none" w:sz="0" w:space="0" w:color="auto"/>
          </w:divBdr>
          <w:divsChild>
            <w:div w:id="1403987073">
              <w:marLeft w:val="0"/>
              <w:marRight w:val="0"/>
              <w:marTop w:val="0"/>
              <w:marBottom w:val="0"/>
              <w:divBdr>
                <w:top w:val="none" w:sz="0" w:space="0" w:color="auto"/>
                <w:left w:val="none" w:sz="0" w:space="0" w:color="auto"/>
                <w:bottom w:val="none" w:sz="0" w:space="0" w:color="auto"/>
                <w:right w:val="none" w:sz="0" w:space="0" w:color="auto"/>
              </w:divBdr>
              <w:divsChild>
                <w:div w:id="1533807726">
                  <w:marLeft w:val="0"/>
                  <w:marRight w:val="0"/>
                  <w:marTop w:val="0"/>
                  <w:marBottom w:val="0"/>
                  <w:divBdr>
                    <w:top w:val="none" w:sz="0" w:space="0" w:color="auto"/>
                    <w:left w:val="none" w:sz="0" w:space="0" w:color="auto"/>
                    <w:bottom w:val="none" w:sz="0" w:space="0" w:color="auto"/>
                    <w:right w:val="none" w:sz="0" w:space="0" w:color="auto"/>
                  </w:divBdr>
                  <w:divsChild>
                    <w:div w:id="375279871">
                      <w:marLeft w:val="0"/>
                      <w:marRight w:val="0"/>
                      <w:marTop w:val="0"/>
                      <w:marBottom w:val="0"/>
                      <w:divBdr>
                        <w:top w:val="none" w:sz="0" w:space="0" w:color="auto"/>
                        <w:left w:val="none" w:sz="0" w:space="0" w:color="auto"/>
                        <w:bottom w:val="none" w:sz="0" w:space="0" w:color="auto"/>
                        <w:right w:val="none" w:sz="0" w:space="0" w:color="auto"/>
                      </w:divBdr>
                      <w:divsChild>
                        <w:div w:id="1010178097">
                          <w:marLeft w:val="0"/>
                          <w:marRight w:val="0"/>
                          <w:marTop w:val="0"/>
                          <w:marBottom w:val="0"/>
                          <w:divBdr>
                            <w:top w:val="none" w:sz="0" w:space="0" w:color="auto"/>
                            <w:left w:val="none" w:sz="0" w:space="0" w:color="auto"/>
                            <w:bottom w:val="none" w:sz="0" w:space="0" w:color="auto"/>
                            <w:right w:val="none" w:sz="0" w:space="0" w:color="auto"/>
                          </w:divBdr>
                          <w:divsChild>
                            <w:div w:id="1244296312">
                              <w:marLeft w:val="0"/>
                              <w:marRight w:val="0"/>
                              <w:marTop w:val="0"/>
                              <w:marBottom w:val="0"/>
                              <w:divBdr>
                                <w:top w:val="none" w:sz="0" w:space="0" w:color="auto"/>
                                <w:left w:val="none" w:sz="0" w:space="0" w:color="auto"/>
                                <w:bottom w:val="none" w:sz="0" w:space="0" w:color="auto"/>
                                <w:right w:val="none" w:sz="0" w:space="0" w:color="auto"/>
                              </w:divBdr>
                              <w:divsChild>
                                <w:div w:id="1969778087">
                                  <w:marLeft w:val="0"/>
                                  <w:marRight w:val="0"/>
                                  <w:marTop w:val="0"/>
                                  <w:marBottom w:val="0"/>
                                  <w:divBdr>
                                    <w:top w:val="none" w:sz="0" w:space="0" w:color="auto"/>
                                    <w:left w:val="none" w:sz="0" w:space="0" w:color="auto"/>
                                    <w:bottom w:val="none" w:sz="0" w:space="0" w:color="auto"/>
                                    <w:right w:val="none" w:sz="0" w:space="0" w:color="auto"/>
                                  </w:divBdr>
                                  <w:divsChild>
                                    <w:div w:id="2108384399">
                                      <w:marLeft w:val="0"/>
                                      <w:marRight w:val="0"/>
                                      <w:marTop w:val="0"/>
                                      <w:marBottom w:val="0"/>
                                      <w:divBdr>
                                        <w:top w:val="none" w:sz="0" w:space="0" w:color="auto"/>
                                        <w:left w:val="none" w:sz="0" w:space="0" w:color="auto"/>
                                        <w:bottom w:val="none" w:sz="0" w:space="0" w:color="auto"/>
                                        <w:right w:val="none" w:sz="0" w:space="0" w:color="auto"/>
                                      </w:divBdr>
                                      <w:divsChild>
                                        <w:div w:id="540364498">
                                          <w:marLeft w:val="0"/>
                                          <w:marRight w:val="0"/>
                                          <w:marTop w:val="0"/>
                                          <w:marBottom w:val="0"/>
                                          <w:divBdr>
                                            <w:top w:val="none" w:sz="0" w:space="0" w:color="auto"/>
                                            <w:left w:val="none" w:sz="0" w:space="0" w:color="auto"/>
                                            <w:bottom w:val="none" w:sz="0" w:space="0" w:color="auto"/>
                                            <w:right w:val="none" w:sz="0" w:space="0" w:color="auto"/>
                                          </w:divBdr>
                                          <w:divsChild>
                                            <w:div w:id="223879448">
                                              <w:marLeft w:val="0"/>
                                              <w:marRight w:val="0"/>
                                              <w:marTop w:val="0"/>
                                              <w:marBottom w:val="0"/>
                                              <w:divBdr>
                                                <w:top w:val="none" w:sz="0" w:space="0" w:color="auto"/>
                                                <w:left w:val="none" w:sz="0" w:space="0" w:color="auto"/>
                                                <w:bottom w:val="none" w:sz="0" w:space="0" w:color="auto"/>
                                                <w:right w:val="none" w:sz="0" w:space="0" w:color="auto"/>
                                              </w:divBdr>
                                              <w:divsChild>
                                                <w:div w:id="268977611">
                                                  <w:marLeft w:val="0"/>
                                                  <w:marRight w:val="0"/>
                                                  <w:marTop w:val="0"/>
                                                  <w:marBottom w:val="0"/>
                                                  <w:divBdr>
                                                    <w:top w:val="none" w:sz="0" w:space="0" w:color="auto"/>
                                                    <w:left w:val="none" w:sz="0" w:space="0" w:color="auto"/>
                                                    <w:bottom w:val="none" w:sz="0" w:space="0" w:color="auto"/>
                                                    <w:right w:val="none" w:sz="0" w:space="0" w:color="auto"/>
                                                  </w:divBdr>
                                                  <w:divsChild>
                                                    <w:div w:id="658119699">
                                                      <w:marLeft w:val="0"/>
                                                      <w:marRight w:val="0"/>
                                                      <w:marTop w:val="0"/>
                                                      <w:marBottom w:val="0"/>
                                                      <w:divBdr>
                                                        <w:top w:val="none" w:sz="0" w:space="0" w:color="auto"/>
                                                        <w:left w:val="none" w:sz="0" w:space="0" w:color="auto"/>
                                                        <w:bottom w:val="none" w:sz="0" w:space="0" w:color="auto"/>
                                                        <w:right w:val="none" w:sz="0" w:space="0" w:color="auto"/>
                                                      </w:divBdr>
                                                    </w:div>
                                                    <w:div w:id="18503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0582706">
      <w:bodyDiv w:val="1"/>
      <w:marLeft w:val="0"/>
      <w:marRight w:val="0"/>
      <w:marTop w:val="0"/>
      <w:marBottom w:val="0"/>
      <w:divBdr>
        <w:top w:val="none" w:sz="0" w:space="0" w:color="auto"/>
        <w:left w:val="none" w:sz="0" w:space="0" w:color="auto"/>
        <w:bottom w:val="none" w:sz="0" w:space="0" w:color="auto"/>
        <w:right w:val="none" w:sz="0" w:space="0" w:color="auto"/>
      </w:divBdr>
    </w:div>
    <w:div w:id="1183864719">
      <w:bodyDiv w:val="1"/>
      <w:marLeft w:val="0"/>
      <w:marRight w:val="0"/>
      <w:marTop w:val="0"/>
      <w:marBottom w:val="0"/>
      <w:divBdr>
        <w:top w:val="none" w:sz="0" w:space="0" w:color="auto"/>
        <w:left w:val="none" w:sz="0" w:space="0" w:color="auto"/>
        <w:bottom w:val="none" w:sz="0" w:space="0" w:color="auto"/>
        <w:right w:val="none" w:sz="0" w:space="0" w:color="auto"/>
      </w:divBdr>
    </w:div>
    <w:div w:id="1224147499">
      <w:bodyDiv w:val="1"/>
      <w:marLeft w:val="0"/>
      <w:marRight w:val="0"/>
      <w:marTop w:val="0"/>
      <w:marBottom w:val="0"/>
      <w:divBdr>
        <w:top w:val="none" w:sz="0" w:space="0" w:color="auto"/>
        <w:left w:val="none" w:sz="0" w:space="0" w:color="auto"/>
        <w:bottom w:val="none" w:sz="0" w:space="0" w:color="auto"/>
        <w:right w:val="none" w:sz="0" w:space="0" w:color="auto"/>
      </w:divBdr>
    </w:div>
    <w:div w:id="1394616314">
      <w:bodyDiv w:val="1"/>
      <w:marLeft w:val="0"/>
      <w:marRight w:val="0"/>
      <w:marTop w:val="0"/>
      <w:marBottom w:val="0"/>
      <w:divBdr>
        <w:top w:val="none" w:sz="0" w:space="0" w:color="auto"/>
        <w:left w:val="none" w:sz="0" w:space="0" w:color="auto"/>
        <w:bottom w:val="none" w:sz="0" w:space="0" w:color="auto"/>
        <w:right w:val="none" w:sz="0" w:space="0" w:color="auto"/>
      </w:divBdr>
    </w:div>
    <w:div w:id="1436441129">
      <w:bodyDiv w:val="1"/>
      <w:marLeft w:val="0"/>
      <w:marRight w:val="0"/>
      <w:marTop w:val="0"/>
      <w:marBottom w:val="0"/>
      <w:divBdr>
        <w:top w:val="none" w:sz="0" w:space="0" w:color="auto"/>
        <w:left w:val="none" w:sz="0" w:space="0" w:color="auto"/>
        <w:bottom w:val="none" w:sz="0" w:space="0" w:color="auto"/>
        <w:right w:val="none" w:sz="0" w:space="0" w:color="auto"/>
      </w:divBdr>
    </w:div>
    <w:div w:id="1451822950">
      <w:bodyDiv w:val="1"/>
      <w:marLeft w:val="0"/>
      <w:marRight w:val="0"/>
      <w:marTop w:val="0"/>
      <w:marBottom w:val="0"/>
      <w:divBdr>
        <w:top w:val="none" w:sz="0" w:space="0" w:color="auto"/>
        <w:left w:val="none" w:sz="0" w:space="0" w:color="auto"/>
        <w:bottom w:val="none" w:sz="0" w:space="0" w:color="auto"/>
        <w:right w:val="none" w:sz="0" w:space="0" w:color="auto"/>
      </w:divBdr>
    </w:div>
    <w:div w:id="1455708602">
      <w:bodyDiv w:val="1"/>
      <w:marLeft w:val="0"/>
      <w:marRight w:val="0"/>
      <w:marTop w:val="0"/>
      <w:marBottom w:val="0"/>
      <w:divBdr>
        <w:top w:val="none" w:sz="0" w:space="0" w:color="auto"/>
        <w:left w:val="none" w:sz="0" w:space="0" w:color="auto"/>
        <w:bottom w:val="none" w:sz="0" w:space="0" w:color="auto"/>
        <w:right w:val="none" w:sz="0" w:space="0" w:color="auto"/>
      </w:divBdr>
      <w:divsChild>
        <w:div w:id="109977818">
          <w:marLeft w:val="0"/>
          <w:marRight w:val="0"/>
          <w:marTop w:val="0"/>
          <w:marBottom w:val="0"/>
          <w:divBdr>
            <w:top w:val="none" w:sz="0" w:space="0" w:color="auto"/>
            <w:left w:val="none" w:sz="0" w:space="0" w:color="auto"/>
            <w:bottom w:val="none" w:sz="0" w:space="0" w:color="auto"/>
            <w:right w:val="none" w:sz="0" w:space="0" w:color="auto"/>
          </w:divBdr>
          <w:divsChild>
            <w:div w:id="315883907">
              <w:marLeft w:val="0"/>
              <w:marRight w:val="0"/>
              <w:marTop w:val="0"/>
              <w:marBottom w:val="0"/>
              <w:divBdr>
                <w:top w:val="none" w:sz="0" w:space="0" w:color="auto"/>
                <w:left w:val="none" w:sz="0" w:space="0" w:color="auto"/>
                <w:bottom w:val="none" w:sz="0" w:space="0" w:color="auto"/>
                <w:right w:val="none" w:sz="0" w:space="0" w:color="auto"/>
              </w:divBdr>
              <w:divsChild>
                <w:div w:id="1752045083">
                  <w:marLeft w:val="0"/>
                  <w:marRight w:val="0"/>
                  <w:marTop w:val="0"/>
                  <w:marBottom w:val="0"/>
                  <w:divBdr>
                    <w:top w:val="none" w:sz="0" w:space="0" w:color="auto"/>
                    <w:left w:val="none" w:sz="0" w:space="0" w:color="auto"/>
                    <w:bottom w:val="none" w:sz="0" w:space="0" w:color="auto"/>
                    <w:right w:val="none" w:sz="0" w:space="0" w:color="auto"/>
                  </w:divBdr>
                  <w:divsChild>
                    <w:div w:id="2061781166">
                      <w:marLeft w:val="0"/>
                      <w:marRight w:val="0"/>
                      <w:marTop w:val="0"/>
                      <w:marBottom w:val="0"/>
                      <w:divBdr>
                        <w:top w:val="none" w:sz="0" w:space="0" w:color="auto"/>
                        <w:left w:val="none" w:sz="0" w:space="0" w:color="auto"/>
                        <w:bottom w:val="none" w:sz="0" w:space="0" w:color="auto"/>
                        <w:right w:val="none" w:sz="0" w:space="0" w:color="auto"/>
                      </w:divBdr>
                      <w:divsChild>
                        <w:div w:id="821853072">
                          <w:marLeft w:val="0"/>
                          <w:marRight w:val="0"/>
                          <w:marTop w:val="0"/>
                          <w:marBottom w:val="0"/>
                          <w:divBdr>
                            <w:top w:val="none" w:sz="0" w:space="0" w:color="auto"/>
                            <w:left w:val="none" w:sz="0" w:space="0" w:color="auto"/>
                            <w:bottom w:val="none" w:sz="0" w:space="0" w:color="auto"/>
                            <w:right w:val="none" w:sz="0" w:space="0" w:color="auto"/>
                          </w:divBdr>
                          <w:divsChild>
                            <w:div w:id="1122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665395">
      <w:bodyDiv w:val="1"/>
      <w:marLeft w:val="0"/>
      <w:marRight w:val="0"/>
      <w:marTop w:val="0"/>
      <w:marBottom w:val="0"/>
      <w:divBdr>
        <w:top w:val="none" w:sz="0" w:space="0" w:color="auto"/>
        <w:left w:val="none" w:sz="0" w:space="0" w:color="auto"/>
        <w:bottom w:val="none" w:sz="0" w:space="0" w:color="auto"/>
        <w:right w:val="none" w:sz="0" w:space="0" w:color="auto"/>
      </w:divBdr>
      <w:divsChild>
        <w:div w:id="1667048750">
          <w:marLeft w:val="0"/>
          <w:marRight w:val="0"/>
          <w:marTop w:val="0"/>
          <w:marBottom w:val="150"/>
          <w:divBdr>
            <w:top w:val="none" w:sz="0" w:space="0" w:color="auto"/>
            <w:left w:val="none" w:sz="0" w:space="0" w:color="auto"/>
            <w:bottom w:val="none" w:sz="0" w:space="0" w:color="auto"/>
            <w:right w:val="none" w:sz="0" w:space="0" w:color="auto"/>
          </w:divBdr>
          <w:divsChild>
            <w:div w:id="402684832">
              <w:marLeft w:val="0"/>
              <w:marRight w:val="0"/>
              <w:marTop w:val="0"/>
              <w:marBottom w:val="0"/>
              <w:divBdr>
                <w:top w:val="none" w:sz="0" w:space="0" w:color="auto"/>
                <w:left w:val="none" w:sz="0" w:space="0" w:color="auto"/>
                <w:bottom w:val="none" w:sz="0" w:space="0" w:color="auto"/>
                <w:right w:val="none" w:sz="0" w:space="0" w:color="auto"/>
              </w:divBdr>
              <w:divsChild>
                <w:div w:id="641689304">
                  <w:marLeft w:val="0"/>
                  <w:marRight w:val="0"/>
                  <w:marTop w:val="0"/>
                  <w:marBottom w:val="0"/>
                  <w:divBdr>
                    <w:top w:val="none" w:sz="0" w:space="0" w:color="auto"/>
                    <w:left w:val="none" w:sz="0" w:space="0" w:color="auto"/>
                    <w:bottom w:val="none" w:sz="0" w:space="0" w:color="auto"/>
                    <w:right w:val="none" w:sz="0" w:space="0" w:color="auto"/>
                  </w:divBdr>
                  <w:divsChild>
                    <w:div w:id="1822697102">
                      <w:marLeft w:val="0"/>
                      <w:marRight w:val="0"/>
                      <w:marTop w:val="0"/>
                      <w:marBottom w:val="0"/>
                      <w:divBdr>
                        <w:top w:val="none" w:sz="0" w:space="0" w:color="auto"/>
                        <w:left w:val="none" w:sz="0" w:space="0" w:color="auto"/>
                        <w:bottom w:val="none" w:sz="0" w:space="0" w:color="auto"/>
                        <w:right w:val="none" w:sz="0" w:space="0" w:color="auto"/>
                      </w:divBdr>
                      <w:divsChild>
                        <w:div w:id="1765103103">
                          <w:marLeft w:val="0"/>
                          <w:marRight w:val="0"/>
                          <w:marTop w:val="0"/>
                          <w:marBottom w:val="0"/>
                          <w:divBdr>
                            <w:top w:val="none" w:sz="0" w:space="0" w:color="auto"/>
                            <w:left w:val="none" w:sz="0" w:space="0" w:color="auto"/>
                            <w:bottom w:val="none" w:sz="0" w:space="0" w:color="auto"/>
                            <w:right w:val="none" w:sz="0" w:space="0" w:color="auto"/>
                          </w:divBdr>
                        </w:div>
                        <w:div w:id="74942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376067">
      <w:bodyDiv w:val="1"/>
      <w:marLeft w:val="0"/>
      <w:marRight w:val="0"/>
      <w:marTop w:val="0"/>
      <w:marBottom w:val="0"/>
      <w:divBdr>
        <w:top w:val="none" w:sz="0" w:space="0" w:color="auto"/>
        <w:left w:val="none" w:sz="0" w:space="0" w:color="auto"/>
        <w:bottom w:val="none" w:sz="0" w:space="0" w:color="auto"/>
        <w:right w:val="none" w:sz="0" w:space="0" w:color="auto"/>
      </w:divBdr>
    </w:div>
    <w:div w:id="1779716472">
      <w:bodyDiv w:val="1"/>
      <w:marLeft w:val="0"/>
      <w:marRight w:val="0"/>
      <w:marTop w:val="0"/>
      <w:marBottom w:val="0"/>
      <w:divBdr>
        <w:top w:val="none" w:sz="0" w:space="0" w:color="auto"/>
        <w:left w:val="none" w:sz="0" w:space="0" w:color="auto"/>
        <w:bottom w:val="none" w:sz="0" w:space="0" w:color="auto"/>
        <w:right w:val="none" w:sz="0" w:space="0" w:color="auto"/>
      </w:divBdr>
    </w:div>
    <w:div w:id="1888181561">
      <w:bodyDiv w:val="1"/>
      <w:marLeft w:val="0"/>
      <w:marRight w:val="0"/>
      <w:marTop w:val="0"/>
      <w:marBottom w:val="0"/>
      <w:divBdr>
        <w:top w:val="none" w:sz="0" w:space="0" w:color="auto"/>
        <w:left w:val="none" w:sz="0" w:space="0" w:color="auto"/>
        <w:bottom w:val="none" w:sz="0" w:space="0" w:color="auto"/>
        <w:right w:val="none" w:sz="0" w:space="0" w:color="auto"/>
      </w:divBdr>
      <w:divsChild>
        <w:div w:id="393507621">
          <w:marLeft w:val="0"/>
          <w:marRight w:val="0"/>
          <w:marTop w:val="0"/>
          <w:marBottom w:val="0"/>
          <w:divBdr>
            <w:top w:val="none" w:sz="0" w:space="0" w:color="auto"/>
            <w:left w:val="none" w:sz="0" w:space="0" w:color="auto"/>
            <w:bottom w:val="none" w:sz="0" w:space="0" w:color="auto"/>
            <w:right w:val="none" w:sz="0" w:space="0" w:color="auto"/>
          </w:divBdr>
          <w:divsChild>
            <w:div w:id="470631236">
              <w:marLeft w:val="0"/>
              <w:marRight w:val="0"/>
              <w:marTop w:val="0"/>
              <w:marBottom w:val="0"/>
              <w:divBdr>
                <w:top w:val="none" w:sz="0" w:space="0" w:color="auto"/>
                <w:left w:val="none" w:sz="0" w:space="0" w:color="auto"/>
                <w:bottom w:val="none" w:sz="0" w:space="0" w:color="auto"/>
                <w:right w:val="none" w:sz="0" w:space="0" w:color="auto"/>
              </w:divBdr>
              <w:divsChild>
                <w:div w:id="773868126">
                  <w:marLeft w:val="0"/>
                  <w:marRight w:val="0"/>
                  <w:marTop w:val="0"/>
                  <w:marBottom w:val="0"/>
                  <w:divBdr>
                    <w:top w:val="none" w:sz="0" w:space="0" w:color="auto"/>
                    <w:left w:val="none" w:sz="0" w:space="0" w:color="auto"/>
                    <w:bottom w:val="none" w:sz="0" w:space="0" w:color="auto"/>
                    <w:right w:val="none" w:sz="0" w:space="0" w:color="auto"/>
                  </w:divBdr>
                  <w:divsChild>
                    <w:div w:id="836386234">
                      <w:marLeft w:val="0"/>
                      <w:marRight w:val="0"/>
                      <w:marTop w:val="0"/>
                      <w:marBottom w:val="0"/>
                      <w:divBdr>
                        <w:top w:val="none" w:sz="0" w:space="0" w:color="auto"/>
                        <w:left w:val="none" w:sz="0" w:space="0" w:color="auto"/>
                        <w:bottom w:val="none" w:sz="0" w:space="0" w:color="auto"/>
                        <w:right w:val="none" w:sz="0" w:space="0" w:color="auto"/>
                      </w:divBdr>
                      <w:divsChild>
                        <w:div w:id="158738423">
                          <w:marLeft w:val="0"/>
                          <w:marRight w:val="0"/>
                          <w:marTop w:val="0"/>
                          <w:marBottom w:val="0"/>
                          <w:divBdr>
                            <w:top w:val="none" w:sz="0" w:space="0" w:color="auto"/>
                            <w:left w:val="none" w:sz="0" w:space="0" w:color="auto"/>
                            <w:bottom w:val="none" w:sz="0" w:space="0" w:color="auto"/>
                            <w:right w:val="none" w:sz="0" w:space="0" w:color="auto"/>
                          </w:divBdr>
                          <w:divsChild>
                            <w:div w:id="13857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4063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742">
          <w:marLeft w:val="0"/>
          <w:marRight w:val="0"/>
          <w:marTop w:val="0"/>
          <w:marBottom w:val="0"/>
          <w:divBdr>
            <w:top w:val="none" w:sz="0" w:space="0" w:color="auto"/>
            <w:left w:val="none" w:sz="0" w:space="0" w:color="auto"/>
            <w:bottom w:val="none" w:sz="0" w:space="0" w:color="auto"/>
            <w:right w:val="none" w:sz="0" w:space="0" w:color="auto"/>
          </w:divBdr>
          <w:divsChild>
            <w:div w:id="1124150764">
              <w:marLeft w:val="0"/>
              <w:marRight w:val="0"/>
              <w:marTop w:val="0"/>
              <w:marBottom w:val="0"/>
              <w:divBdr>
                <w:top w:val="none" w:sz="0" w:space="0" w:color="auto"/>
                <w:left w:val="none" w:sz="0" w:space="0" w:color="auto"/>
                <w:bottom w:val="none" w:sz="0" w:space="0" w:color="auto"/>
                <w:right w:val="none" w:sz="0" w:space="0" w:color="auto"/>
              </w:divBdr>
              <w:divsChild>
                <w:div w:id="1067266900">
                  <w:marLeft w:val="0"/>
                  <w:marRight w:val="0"/>
                  <w:marTop w:val="0"/>
                  <w:marBottom w:val="0"/>
                  <w:divBdr>
                    <w:top w:val="none" w:sz="0" w:space="0" w:color="auto"/>
                    <w:left w:val="none" w:sz="0" w:space="0" w:color="auto"/>
                    <w:bottom w:val="none" w:sz="0" w:space="0" w:color="auto"/>
                    <w:right w:val="none" w:sz="0" w:space="0" w:color="auto"/>
                  </w:divBdr>
                  <w:divsChild>
                    <w:div w:id="585504087">
                      <w:marLeft w:val="0"/>
                      <w:marRight w:val="0"/>
                      <w:marTop w:val="0"/>
                      <w:marBottom w:val="0"/>
                      <w:divBdr>
                        <w:top w:val="none" w:sz="0" w:space="0" w:color="auto"/>
                        <w:left w:val="none" w:sz="0" w:space="0" w:color="auto"/>
                        <w:bottom w:val="none" w:sz="0" w:space="0" w:color="auto"/>
                        <w:right w:val="none" w:sz="0" w:space="0" w:color="auto"/>
                      </w:divBdr>
                      <w:divsChild>
                        <w:div w:id="1304576135">
                          <w:marLeft w:val="0"/>
                          <w:marRight w:val="0"/>
                          <w:marTop w:val="0"/>
                          <w:marBottom w:val="0"/>
                          <w:divBdr>
                            <w:top w:val="none" w:sz="0" w:space="0" w:color="auto"/>
                            <w:left w:val="none" w:sz="0" w:space="0" w:color="auto"/>
                            <w:bottom w:val="none" w:sz="0" w:space="0" w:color="auto"/>
                            <w:right w:val="none" w:sz="0" w:space="0" w:color="auto"/>
                          </w:divBdr>
                          <w:divsChild>
                            <w:div w:id="1424569106">
                              <w:marLeft w:val="0"/>
                              <w:marRight w:val="0"/>
                              <w:marTop w:val="0"/>
                              <w:marBottom w:val="0"/>
                              <w:divBdr>
                                <w:top w:val="none" w:sz="0" w:space="0" w:color="auto"/>
                                <w:left w:val="none" w:sz="0" w:space="0" w:color="auto"/>
                                <w:bottom w:val="none" w:sz="0" w:space="0" w:color="auto"/>
                                <w:right w:val="none" w:sz="0" w:space="0" w:color="auto"/>
                              </w:divBdr>
                              <w:divsChild>
                                <w:div w:id="833449373">
                                  <w:marLeft w:val="0"/>
                                  <w:marRight w:val="0"/>
                                  <w:marTop w:val="0"/>
                                  <w:marBottom w:val="0"/>
                                  <w:divBdr>
                                    <w:top w:val="none" w:sz="0" w:space="0" w:color="auto"/>
                                    <w:left w:val="none" w:sz="0" w:space="0" w:color="auto"/>
                                    <w:bottom w:val="none" w:sz="0" w:space="0" w:color="auto"/>
                                    <w:right w:val="none" w:sz="0" w:space="0" w:color="auto"/>
                                  </w:divBdr>
                                  <w:divsChild>
                                    <w:div w:id="167610368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557036">
      <w:bodyDiv w:val="1"/>
      <w:marLeft w:val="0"/>
      <w:marRight w:val="0"/>
      <w:marTop w:val="0"/>
      <w:marBottom w:val="0"/>
      <w:divBdr>
        <w:top w:val="none" w:sz="0" w:space="0" w:color="auto"/>
        <w:left w:val="none" w:sz="0" w:space="0" w:color="auto"/>
        <w:bottom w:val="none" w:sz="0" w:space="0" w:color="auto"/>
        <w:right w:val="none" w:sz="0" w:space="0" w:color="auto"/>
      </w:divBdr>
      <w:divsChild>
        <w:div w:id="1407804533">
          <w:marLeft w:val="0"/>
          <w:marRight w:val="0"/>
          <w:marTop w:val="0"/>
          <w:marBottom w:val="0"/>
          <w:divBdr>
            <w:top w:val="none" w:sz="0" w:space="0" w:color="auto"/>
            <w:left w:val="none" w:sz="0" w:space="0" w:color="auto"/>
            <w:bottom w:val="none" w:sz="0" w:space="0" w:color="auto"/>
            <w:right w:val="none" w:sz="0" w:space="0" w:color="auto"/>
          </w:divBdr>
          <w:divsChild>
            <w:div w:id="740255293">
              <w:marLeft w:val="0"/>
              <w:marRight w:val="0"/>
              <w:marTop w:val="0"/>
              <w:marBottom w:val="0"/>
              <w:divBdr>
                <w:top w:val="none" w:sz="0" w:space="0" w:color="auto"/>
                <w:left w:val="none" w:sz="0" w:space="0" w:color="auto"/>
                <w:bottom w:val="none" w:sz="0" w:space="0" w:color="auto"/>
                <w:right w:val="none" w:sz="0" w:space="0" w:color="auto"/>
              </w:divBdr>
              <w:divsChild>
                <w:div w:id="833954029">
                  <w:marLeft w:val="0"/>
                  <w:marRight w:val="0"/>
                  <w:marTop w:val="0"/>
                  <w:marBottom w:val="0"/>
                  <w:divBdr>
                    <w:top w:val="none" w:sz="0" w:space="0" w:color="auto"/>
                    <w:left w:val="none" w:sz="0" w:space="0" w:color="auto"/>
                    <w:bottom w:val="none" w:sz="0" w:space="0" w:color="auto"/>
                    <w:right w:val="none" w:sz="0" w:space="0" w:color="auto"/>
                  </w:divBdr>
                  <w:divsChild>
                    <w:div w:id="1488470862">
                      <w:marLeft w:val="0"/>
                      <w:marRight w:val="0"/>
                      <w:marTop w:val="0"/>
                      <w:marBottom w:val="0"/>
                      <w:divBdr>
                        <w:top w:val="none" w:sz="0" w:space="0" w:color="auto"/>
                        <w:left w:val="none" w:sz="0" w:space="0" w:color="auto"/>
                        <w:bottom w:val="none" w:sz="0" w:space="0" w:color="auto"/>
                        <w:right w:val="none" w:sz="0" w:space="0" w:color="auto"/>
                      </w:divBdr>
                      <w:divsChild>
                        <w:div w:id="1601639781">
                          <w:marLeft w:val="0"/>
                          <w:marRight w:val="0"/>
                          <w:marTop w:val="0"/>
                          <w:marBottom w:val="0"/>
                          <w:divBdr>
                            <w:top w:val="none" w:sz="0" w:space="0" w:color="auto"/>
                            <w:left w:val="none" w:sz="0" w:space="0" w:color="auto"/>
                            <w:bottom w:val="none" w:sz="0" w:space="0" w:color="auto"/>
                            <w:right w:val="none" w:sz="0" w:space="0" w:color="auto"/>
                          </w:divBdr>
                          <w:divsChild>
                            <w:div w:id="28589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007550">
      <w:bodyDiv w:val="1"/>
      <w:marLeft w:val="0"/>
      <w:marRight w:val="0"/>
      <w:marTop w:val="0"/>
      <w:marBottom w:val="0"/>
      <w:divBdr>
        <w:top w:val="none" w:sz="0" w:space="0" w:color="auto"/>
        <w:left w:val="none" w:sz="0" w:space="0" w:color="auto"/>
        <w:bottom w:val="none" w:sz="0" w:space="0" w:color="auto"/>
        <w:right w:val="none" w:sz="0" w:space="0" w:color="auto"/>
      </w:divBdr>
    </w:div>
    <w:div w:id="2005276641">
      <w:bodyDiv w:val="1"/>
      <w:marLeft w:val="0"/>
      <w:marRight w:val="0"/>
      <w:marTop w:val="0"/>
      <w:marBottom w:val="0"/>
      <w:divBdr>
        <w:top w:val="none" w:sz="0" w:space="0" w:color="auto"/>
        <w:left w:val="none" w:sz="0" w:space="0" w:color="auto"/>
        <w:bottom w:val="none" w:sz="0" w:space="0" w:color="auto"/>
        <w:right w:val="none" w:sz="0" w:space="0" w:color="auto"/>
      </w:divBdr>
    </w:div>
    <w:div w:id="2010254006">
      <w:bodyDiv w:val="1"/>
      <w:marLeft w:val="0"/>
      <w:marRight w:val="0"/>
      <w:marTop w:val="0"/>
      <w:marBottom w:val="0"/>
      <w:divBdr>
        <w:top w:val="none" w:sz="0" w:space="0" w:color="auto"/>
        <w:left w:val="none" w:sz="0" w:space="0" w:color="auto"/>
        <w:bottom w:val="none" w:sz="0" w:space="0" w:color="auto"/>
        <w:right w:val="none" w:sz="0" w:space="0" w:color="auto"/>
      </w:divBdr>
    </w:div>
    <w:div w:id="2042053860">
      <w:bodyDiv w:val="1"/>
      <w:marLeft w:val="0"/>
      <w:marRight w:val="0"/>
      <w:marTop w:val="0"/>
      <w:marBottom w:val="0"/>
      <w:divBdr>
        <w:top w:val="none" w:sz="0" w:space="0" w:color="auto"/>
        <w:left w:val="none" w:sz="0" w:space="0" w:color="auto"/>
        <w:bottom w:val="none" w:sz="0" w:space="0" w:color="auto"/>
        <w:right w:val="none" w:sz="0" w:space="0" w:color="auto"/>
      </w:divBdr>
      <w:divsChild>
        <w:div w:id="1789470192">
          <w:marLeft w:val="0"/>
          <w:marRight w:val="0"/>
          <w:marTop w:val="0"/>
          <w:marBottom w:val="0"/>
          <w:divBdr>
            <w:top w:val="none" w:sz="0" w:space="0" w:color="auto"/>
            <w:left w:val="none" w:sz="0" w:space="0" w:color="auto"/>
            <w:bottom w:val="none" w:sz="0" w:space="0" w:color="auto"/>
            <w:right w:val="none" w:sz="0" w:space="0" w:color="auto"/>
          </w:divBdr>
          <w:divsChild>
            <w:div w:id="1360202916">
              <w:marLeft w:val="0"/>
              <w:marRight w:val="0"/>
              <w:marTop w:val="0"/>
              <w:marBottom w:val="0"/>
              <w:divBdr>
                <w:top w:val="none" w:sz="0" w:space="0" w:color="auto"/>
                <w:left w:val="none" w:sz="0" w:space="0" w:color="auto"/>
                <w:bottom w:val="none" w:sz="0" w:space="0" w:color="auto"/>
                <w:right w:val="none" w:sz="0" w:space="0" w:color="auto"/>
              </w:divBdr>
              <w:divsChild>
                <w:div w:id="1437750970">
                  <w:marLeft w:val="0"/>
                  <w:marRight w:val="0"/>
                  <w:marTop w:val="0"/>
                  <w:marBottom w:val="0"/>
                  <w:divBdr>
                    <w:top w:val="none" w:sz="0" w:space="0" w:color="auto"/>
                    <w:left w:val="none" w:sz="0" w:space="0" w:color="auto"/>
                    <w:bottom w:val="none" w:sz="0" w:space="0" w:color="auto"/>
                    <w:right w:val="none" w:sz="0" w:space="0" w:color="auto"/>
                  </w:divBdr>
                  <w:divsChild>
                    <w:div w:id="1937515184">
                      <w:marLeft w:val="0"/>
                      <w:marRight w:val="0"/>
                      <w:marTop w:val="0"/>
                      <w:marBottom w:val="0"/>
                      <w:divBdr>
                        <w:top w:val="none" w:sz="0" w:space="0" w:color="auto"/>
                        <w:left w:val="none" w:sz="0" w:space="0" w:color="auto"/>
                        <w:bottom w:val="none" w:sz="0" w:space="0" w:color="auto"/>
                        <w:right w:val="none" w:sz="0" w:space="0" w:color="auto"/>
                      </w:divBdr>
                      <w:divsChild>
                        <w:div w:id="547258123">
                          <w:marLeft w:val="0"/>
                          <w:marRight w:val="0"/>
                          <w:marTop w:val="0"/>
                          <w:marBottom w:val="0"/>
                          <w:divBdr>
                            <w:top w:val="none" w:sz="0" w:space="0" w:color="auto"/>
                            <w:left w:val="none" w:sz="0" w:space="0" w:color="auto"/>
                            <w:bottom w:val="none" w:sz="0" w:space="0" w:color="auto"/>
                            <w:right w:val="none" w:sz="0" w:space="0" w:color="auto"/>
                          </w:divBdr>
                          <w:divsChild>
                            <w:div w:id="1703094419">
                              <w:marLeft w:val="0"/>
                              <w:marRight w:val="0"/>
                              <w:marTop w:val="0"/>
                              <w:marBottom w:val="0"/>
                              <w:divBdr>
                                <w:top w:val="none" w:sz="0" w:space="0" w:color="auto"/>
                                <w:left w:val="none" w:sz="0" w:space="0" w:color="auto"/>
                                <w:bottom w:val="none" w:sz="0" w:space="0" w:color="auto"/>
                                <w:right w:val="none" w:sz="0" w:space="0" w:color="auto"/>
                              </w:divBdr>
                              <w:divsChild>
                                <w:div w:id="2017075488">
                                  <w:marLeft w:val="0"/>
                                  <w:marRight w:val="0"/>
                                  <w:marTop w:val="0"/>
                                  <w:marBottom w:val="0"/>
                                  <w:divBdr>
                                    <w:top w:val="none" w:sz="0" w:space="0" w:color="auto"/>
                                    <w:left w:val="none" w:sz="0" w:space="0" w:color="auto"/>
                                    <w:bottom w:val="none" w:sz="0" w:space="0" w:color="auto"/>
                                    <w:right w:val="none" w:sz="0" w:space="0" w:color="auto"/>
                                  </w:divBdr>
                                  <w:divsChild>
                                    <w:div w:id="459228518">
                                      <w:marLeft w:val="0"/>
                                      <w:marRight w:val="0"/>
                                      <w:marTop w:val="240"/>
                                      <w:marBottom w:val="0"/>
                                      <w:divBdr>
                                        <w:top w:val="none" w:sz="0" w:space="0" w:color="auto"/>
                                        <w:left w:val="none" w:sz="0" w:space="0" w:color="auto"/>
                                        <w:bottom w:val="none" w:sz="0" w:space="0" w:color="auto"/>
                                        <w:right w:val="none" w:sz="0" w:space="0" w:color="auto"/>
                                      </w:divBdr>
                                    </w:div>
                                    <w:div w:id="213066040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409625">
      <w:bodyDiv w:val="1"/>
      <w:marLeft w:val="0"/>
      <w:marRight w:val="0"/>
      <w:marTop w:val="0"/>
      <w:marBottom w:val="0"/>
      <w:divBdr>
        <w:top w:val="none" w:sz="0" w:space="0" w:color="auto"/>
        <w:left w:val="none" w:sz="0" w:space="0" w:color="auto"/>
        <w:bottom w:val="none" w:sz="0" w:space="0" w:color="auto"/>
        <w:right w:val="none" w:sz="0" w:space="0" w:color="auto"/>
      </w:divBdr>
      <w:divsChild>
        <w:div w:id="1326933326">
          <w:marLeft w:val="0"/>
          <w:marRight w:val="0"/>
          <w:marTop w:val="0"/>
          <w:marBottom w:val="0"/>
          <w:divBdr>
            <w:top w:val="none" w:sz="0" w:space="0" w:color="auto"/>
            <w:left w:val="none" w:sz="0" w:space="0" w:color="auto"/>
            <w:bottom w:val="none" w:sz="0" w:space="0" w:color="auto"/>
            <w:right w:val="none" w:sz="0" w:space="0" w:color="auto"/>
          </w:divBdr>
          <w:divsChild>
            <w:div w:id="1116675373">
              <w:marLeft w:val="0"/>
              <w:marRight w:val="0"/>
              <w:marTop w:val="520"/>
              <w:marBottom w:val="0"/>
              <w:divBdr>
                <w:top w:val="none" w:sz="0" w:space="0" w:color="auto"/>
                <w:left w:val="none" w:sz="0" w:space="0" w:color="auto"/>
                <w:bottom w:val="none" w:sz="0" w:space="0" w:color="auto"/>
                <w:right w:val="none" w:sz="0" w:space="0" w:color="auto"/>
              </w:divBdr>
              <w:divsChild>
                <w:div w:id="213658014">
                  <w:marLeft w:val="0"/>
                  <w:marRight w:val="0"/>
                  <w:marTop w:val="0"/>
                  <w:marBottom w:val="0"/>
                  <w:divBdr>
                    <w:top w:val="none" w:sz="0" w:space="0" w:color="auto"/>
                    <w:left w:val="none" w:sz="0" w:space="0" w:color="auto"/>
                    <w:bottom w:val="none" w:sz="0" w:space="0" w:color="auto"/>
                    <w:right w:val="none" w:sz="0" w:space="0" w:color="auto"/>
                  </w:divBdr>
                  <w:divsChild>
                    <w:div w:id="1948930598">
                      <w:marLeft w:val="0"/>
                      <w:marRight w:val="0"/>
                      <w:marTop w:val="0"/>
                      <w:marBottom w:val="0"/>
                      <w:divBdr>
                        <w:top w:val="none" w:sz="0" w:space="0" w:color="auto"/>
                        <w:left w:val="none" w:sz="0" w:space="0" w:color="auto"/>
                        <w:bottom w:val="none" w:sz="0" w:space="0" w:color="auto"/>
                        <w:right w:val="none" w:sz="0" w:space="0" w:color="auto"/>
                      </w:divBdr>
                    </w:div>
                  </w:divsChild>
                </w:div>
                <w:div w:id="1649744249">
                  <w:marLeft w:val="0"/>
                  <w:marRight w:val="0"/>
                  <w:marTop w:val="0"/>
                  <w:marBottom w:val="0"/>
                  <w:divBdr>
                    <w:top w:val="none" w:sz="0" w:space="0" w:color="auto"/>
                    <w:left w:val="none" w:sz="0" w:space="0" w:color="auto"/>
                    <w:bottom w:val="none" w:sz="0" w:space="0" w:color="auto"/>
                    <w:right w:val="none" w:sz="0" w:space="0" w:color="auto"/>
                  </w:divBdr>
                  <w:divsChild>
                    <w:div w:id="1113131682">
                      <w:marLeft w:val="0"/>
                      <w:marRight w:val="0"/>
                      <w:marTop w:val="0"/>
                      <w:marBottom w:val="0"/>
                      <w:divBdr>
                        <w:top w:val="none" w:sz="0" w:space="0" w:color="auto"/>
                        <w:left w:val="none" w:sz="0" w:space="0" w:color="auto"/>
                        <w:bottom w:val="none" w:sz="0" w:space="0" w:color="auto"/>
                        <w:right w:val="none" w:sz="0" w:space="0" w:color="auto"/>
                      </w:divBdr>
                    </w:div>
                    <w:div w:id="1823816851">
                      <w:marLeft w:val="0"/>
                      <w:marRight w:val="0"/>
                      <w:marTop w:val="0"/>
                      <w:marBottom w:val="0"/>
                      <w:divBdr>
                        <w:top w:val="none" w:sz="0" w:space="0" w:color="auto"/>
                        <w:left w:val="none" w:sz="0" w:space="0" w:color="auto"/>
                        <w:bottom w:val="none" w:sz="0" w:space="0" w:color="auto"/>
                        <w:right w:val="none" w:sz="0" w:space="0" w:color="auto"/>
                      </w:divBdr>
                    </w:div>
                  </w:divsChild>
                </w:div>
                <w:div w:id="1897548050">
                  <w:marLeft w:val="0"/>
                  <w:marRight w:val="0"/>
                  <w:marTop w:val="0"/>
                  <w:marBottom w:val="0"/>
                  <w:divBdr>
                    <w:top w:val="none" w:sz="0" w:space="0" w:color="auto"/>
                    <w:left w:val="none" w:sz="0" w:space="0" w:color="auto"/>
                    <w:bottom w:val="none" w:sz="0" w:space="0" w:color="auto"/>
                    <w:right w:val="none" w:sz="0" w:space="0" w:color="auto"/>
                  </w:divBdr>
                  <w:divsChild>
                    <w:div w:id="366494681">
                      <w:marLeft w:val="0"/>
                      <w:marRight w:val="0"/>
                      <w:marTop w:val="0"/>
                      <w:marBottom w:val="0"/>
                      <w:divBdr>
                        <w:top w:val="none" w:sz="0" w:space="0" w:color="auto"/>
                        <w:left w:val="none" w:sz="0" w:space="0" w:color="auto"/>
                        <w:bottom w:val="none" w:sz="0" w:space="0" w:color="auto"/>
                        <w:right w:val="none" w:sz="0" w:space="0" w:color="auto"/>
                      </w:divBdr>
                    </w:div>
                    <w:div w:id="17970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287081">
      <w:bodyDiv w:val="1"/>
      <w:marLeft w:val="0"/>
      <w:marRight w:val="0"/>
      <w:marTop w:val="0"/>
      <w:marBottom w:val="0"/>
      <w:divBdr>
        <w:top w:val="none" w:sz="0" w:space="0" w:color="auto"/>
        <w:left w:val="none" w:sz="0" w:space="0" w:color="auto"/>
        <w:bottom w:val="none" w:sz="0" w:space="0" w:color="auto"/>
        <w:right w:val="none" w:sz="0" w:space="0" w:color="auto"/>
      </w:divBdr>
    </w:div>
    <w:div w:id="2128087121">
      <w:bodyDiv w:val="1"/>
      <w:marLeft w:val="0"/>
      <w:marRight w:val="0"/>
      <w:marTop w:val="0"/>
      <w:marBottom w:val="0"/>
      <w:divBdr>
        <w:top w:val="none" w:sz="0" w:space="0" w:color="auto"/>
        <w:left w:val="none" w:sz="0" w:space="0" w:color="auto"/>
        <w:bottom w:val="none" w:sz="0" w:space="0" w:color="auto"/>
        <w:right w:val="none" w:sz="0" w:space="0" w:color="auto"/>
      </w:divBdr>
    </w:div>
    <w:div w:id="213150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microsoft.com/office/2016/09/relationships/commentsIds" Target="commentsIds.xml" Id="rId25"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27</ap:Pages>
  <ap:Words>12569</ap:Words>
  <ap:Characters>69134</ap:Characters>
  <ap:DocSecurity>4</ap:DocSecurity>
  <ap:Lines>576</ap:Lines>
  <ap:Paragraphs>163</ap:Paragraphs>
  <ap:ScaleCrop>false</ap:ScaleCrop>
  <ap:HeadingPairs>
    <vt:vector baseType="variant" size="6">
      <vt:variant>
        <vt:lpstr>Title</vt:lpstr>
      </vt:variant>
      <vt:variant>
        <vt:i4>1</vt:i4>
      </vt:variant>
      <vt:variant>
        <vt:lpstr>Titel</vt:lpstr>
      </vt:variant>
      <vt:variant>
        <vt:i4>1</vt:i4>
      </vt:variant>
      <vt:variant>
        <vt:lpstr>Koppen</vt:lpstr>
      </vt:variant>
      <vt:variant>
        <vt:i4>21</vt:i4>
      </vt:variant>
    </vt:vector>
  </ap:HeadingPairs>
  <ap:TitlesOfParts>
    <vt:vector baseType="lpstr" size="23">
      <vt:lpstr>Goedkeuring van het op 6 oktober 2010 te Den Haag tot stand gekomen Verdrag tussen het Koninkrijk der Nederlanden en de Republ</vt:lpstr>
      <vt:lpstr>Goedkeuring van het op 6 oktober 2010 te Den Haag tot stand gekomen Verdrag tussen het Koninkrijk der Nederlanden en de Republ</vt:lpstr>
      <vt:lpstr>    </vt:lpstr>
      <vt:lpstr/>
      <vt:lpstr>    I.7. Toetsschema Standaardcriteria Fiscaal Verdragsbeleid</vt:lpstr>
      <vt:lpstr>    Het Toetsschema Standaardcriteria Fiscaal Verdragsbeleid 2011 is hieronder opgen</vt:lpstr>
      <vt:lpstr/>
      <vt:lpstr>    Met artikel 2 van het Wijzigingsprotocol wordt aan artikel 1 van het Verdrag een</vt:lpstr>
      <vt:lpstr>        In het achtste lid wordt omschreven wanneer een persoon of onderneming voor de t</vt:lpstr>
      <vt:lpstr>    II.17. Preambule van het Protocol bij het Verdrag (artikel 17 van het Wijzigings</vt:lpstr>
      <vt:lpstr>    II.18. Hybride entiteiten (artikel 18 van het Wijzigingsprotocol en artikel I va</vt:lpstr>
      <vt:lpstr>    II.19. Vernummering artikelen van het Protocol bij het Verdrag (Artikel 19 van h</vt:lpstr>
      <vt:lpstr>    </vt:lpstr>
      <vt:lpstr>    II.20. Dividenden (artikel 20 van het Wijzigingsprotocol en artikel V (nieuw) va</vt:lpstr>
      <vt:lpstr>    II.21. Interest (artikel 21 van het Wijzigingsprotocol en artikel VI (nieuw) van</vt:lpstr>
      <vt:lpstr>    II.22. Dividenden (artikel 22 van het Wijzigingsprotocol en artikel VII van het </vt:lpstr>
      <vt:lpstr>    II.23. Vernummering artikelen van het Protocol bij het Verdrag (artikel 23 van h</vt:lpstr>
      <vt:lpstr>    II.24 Pensioenen, lijfrenten en socialezekerheidsuitkeringen (artikel 24 van het</vt:lpstr>
      <vt:lpstr>    II.25. Vernummering artikelen van het Protocol bij het Verdrag (artikel 25 van h</vt:lpstr>
      <vt:lpstr>    II.26. Uitwisseling van informatie (artikel 26 van het Wijzigingsprotocol en art</vt:lpstr>
      <vt:lpstr>    II.27. Uitwisseling van informatie en bijstand bij de invordering van belastinge</vt:lpstr>
      <vt:lpstr>    II.28. Inwerkingtreding (artikel 28 van het Wijzigingsprotocol)</vt:lpstr>
      <vt:lpstr>    </vt:lpstr>
    </vt:vector>
  </ap:TitlesOfParts>
  <ap:LinksUpToDate>false</ap:LinksUpToDate>
  <ap:CharactersWithSpaces>81540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2019-07-11T07:47:00.0000000Z</lastPrinted>
  <dcterms:created xsi:type="dcterms:W3CDTF">2021-05-25T09:58:00.0000000Z</dcterms:created>
  <dcterms:modified xsi:type="dcterms:W3CDTF">2021-05-25T09:58:00.0000000Z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0x0101006DC804831188CD48A82230B84784C5D0</vt:lpwstr>
  </property>
</Properties>
</file>