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Pr="00482304" w:rsidR="00D2526B" w:rsidP="00D2526B" w:rsidRDefault="00977969">
          <w:pPr>
            <w:tabs>
              <w:tab w:val="left" w:pos="3686"/>
            </w:tabs>
            <w:rPr>
              <w:lang w:val="en-GB"/>
            </w:rPr>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304" w:rsidR="00907421">
            <w:rPr>
              <w:lang w:val="en-GB"/>
            </w:rPr>
            <w:t>No.</w:t>
          </w:r>
          <w:sdt>
            <w:sdtPr>
              <w:alias w:val="ZaakNummerPlus"/>
              <w:tag w:val="ZaakNummerPlus"/>
              <w:id w:val="-1666084793"/>
              <w:lock w:val="sdtContentLocked"/>
              <w:placeholder>
                <w:docPart w:val="D4CFDB6C696D4A60944E1E577854833F"/>
              </w:placeholder>
              <w:text/>
            </w:sdtPr>
            <w:sdtEndPr/>
            <w:sdtContent>
              <w:r w:rsidRPr="00482304">
                <w:rPr>
                  <w:caps/>
                  <w:lang w:val="en-GB"/>
                </w:rPr>
                <w:t>W04.20.0359/I</w:t>
              </w:r>
            </w:sdtContent>
          </w:sdt>
          <w:r w:rsidRPr="00482304" w:rsidR="00D2526B">
            <w:rPr>
              <w:lang w:val="en-GB"/>
            </w:rPr>
            <w:tab/>
            <w:t xml:space="preserve">'s-Gravenhage, </w:t>
          </w:r>
          <w:sdt>
            <w:sdtPr>
              <w:alias w:val="DatumAdvies"/>
              <w:tag w:val="DatumAdvies"/>
              <w:id w:val="-287518040"/>
              <w:lock w:val="sdtContentLocked"/>
              <w:placeholder>
                <w:docPart w:val="48FC23674C4A4B198BB982E556E53853"/>
              </w:placeholder>
              <w:text/>
            </w:sdtPr>
            <w:sdtEndPr/>
            <w:sdtContent>
              <w:r w:rsidRPr="00482304">
                <w:rPr>
                  <w:lang w:val="en-GB"/>
                </w:rPr>
                <w:t>2 december 2020</w:t>
              </w:r>
            </w:sdtContent>
          </w:sdt>
        </w:p>
        <w:p w:rsidRPr="00482304" w:rsidR="001410FD" w:rsidP="00AC5AD9" w:rsidRDefault="001410FD">
          <w:pPr>
            <w:tabs>
              <w:tab w:val="left" w:pos="3686"/>
            </w:tabs>
            <w:rPr>
              <w:lang w:val="en-GB"/>
            </w:rPr>
          </w:pPr>
        </w:p>
        <w:p w:rsidRPr="00482304" w:rsidR="00636D17" w:rsidP="00636D17" w:rsidRDefault="00636D17">
          <w:pPr>
            <w:tabs>
              <w:tab w:val="left" w:pos="3685"/>
            </w:tabs>
            <w:rPr>
              <w:lang w:val="en-GB"/>
            </w:rPr>
          </w:pPr>
        </w:p>
        <w:p w:rsidRPr="00482304" w:rsidR="00636D17" w:rsidP="00636D17" w:rsidRDefault="00636D17">
          <w:pPr>
            <w:tabs>
              <w:tab w:val="left" w:pos="3685"/>
            </w:tabs>
            <w:rPr>
              <w:lang w:val="en-GB"/>
            </w:rPr>
          </w:pPr>
        </w:p>
        <w:sdt>
          <w:sdtPr>
            <w:alias w:val="Aanhef"/>
            <w:tag w:val="Aanhef"/>
            <w:id w:val="2074146362"/>
            <w:lock w:val="sdtContentLocked"/>
            <w:placeholder>
              <w:docPart w:val="48FC23674C4A4B198BB982E556E53853"/>
            </w:placeholder>
            <w:text w:multiLine="1"/>
          </w:sdtPr>
          <w:sdtEndPr/>
          <w:sdtContent>
            <w:p w:rsidR="00021FB8" w:rsidRDefault="00482304">
              <w:r>
                <w:t>Bij Kabinetsmissive van 9 oktober 2020, no.2020002061, heeft Uwe Majesteit, op voordracht van de Staatssecretaris van Binnenlandse Zaken en Koninkrijksrelaties, bij de Afdeling advisering van de Raad van State ter overweging aanhangig gemaakt het voorstel van wet tot wijziging van de Wet basisregistratie personen in verband met de invoering van een centrale voorziening ter ondersteuning van de colleges van burgemeester en wethouders bij het onderzoek of een persoon als ingezetene in de basisregistratie personen op een adres in de gemeente dient te worden ingeschreven alsmede naar de juistheid van de gegevens betreffende het adres van een ingezetene in de basisregistratie personen, met memorie van toelichting.</w:t>
              </w:r>
            </w:p>
          </w:sdtContent>
        </w:sdt>
        <w:p w:rsidRPr="00831363" w:rsidR="00CE4655" w:rsidP="003C7608" w:rsidRDefault="00CE4655"/>
        <w:sdt>
          <w:sdtPr>
            <w:alias w:val="VrijeTekst1"/>
            <w:tag w:val="VrijeTekst1"/>
            <w:id w:val="-437221631"/>
            <w:lock w:val="sdtLocked"/>
          </w:sdtPr>
          <w:sdtEndPr/>
          <w:sdtContent>
            <w:p w:rsidR="00584DC3" w:rsidP="00891BB0" w:rsidRDefault="00482304">
              <w:r>
                <w:t>In dit wetsvoorstel wordt de Wet basisregistratie personen aangepast om de</w:t>
              </w:r>
              <w:r w:rsidRPr="00F97CCC">
                <w:t xml:space="preserve"> </w:t>
              </w:r>
              <w:r>
                <w:t>M</w:t>
              </w:r>
              <w:r w:rsidRPr="00F97CCC">
                <w:t xml:space="preserve">inister van Binnenlandse Zaken en Koninkrijksrelaties </w:t>
              </w:r>
              <w:r>
                <w:t>een rol te geven in het ondersteunen van</w:t>
              </w:r>
              <w:r w:rsidRPr="00F97CCC">
                <w:t xml:space="preserve"> colleges van burgemeester en wethouders bij </w:t>
              </w:r>
              <w:r>
                <w:t>het doen van adres</w:t>
              </w:r>
              <w:r w:rsidRPr="00F97CCC">
                <w:t>onderzoek</w:t>
              </w:r>
              <w:r>
                <w:t>. Specifiek gaat het om het ondersteunen</w:t>
              </w:r>
              <w:r w:rsidRPr="00B4007C">
                <w:t xml:space="preserve"> van </w:t>
              </w:r>
              <w:r>
                <w:t xml:space="preserve">colleges bij het onderzoek </w:t>
              </w:r>
              <w:r w:rsidRPr="00932E45">
                <w:rPr>
                  <w:szCs w:val="22"/>
                </w:rPr>
                <w:t xml:space="preserve">of een persoon als ingezetene in de </w:t>
              </w:r>
              <w:r>
                <w:rPr>
                  <w:szCs w:val="22"/>
                </w:rPr>
                <w:t>basisregistratie personen (BRP)</w:t>
              </w:r>
              <w:r w:rsidRPr="00932E45">
                <w:rPr>
                  <w:szCs w:val="22"/>
                </w:rPr>
                <w:t xml:space="preserve"> op een adres in de gemeente dient te worden ingeschreven </w:t>
              </w:r>
              <w:r>
                <w:rPr>
                  <w:szCs w:val="22"/>
                </w:rPr>
                <w:t>en bij het onderzoek</w:t>
              </w:r>
              <w:r w:rsidRPr="00932E45">
                <w:rPr>
                  <w:szCs w:val="22"/>
                </w:rPr>
                <w:t xml:space="preserve"> naar de juistheid van de gegevens betreffende het adres van een ingezetene in de </w:t>
              </w:r>
              <w:r>
                <w:rPr>
                  <w:szCs w:val="22"/>
                </w:rPr>
                <w:t>BRP.</w:t>
              </w:r>
              <w:r>
                <w:rPr>
                  <w:rStyle w:val="Voetnootmarkering"/>
                  <w:szCs w:val="22"/>
                </w:rPr>
                <w:footnoteReference w:id="1"/>
              </w:r>
              <w:r>
                <w:t xml:space="preserve"> Het doel van het voorstel is om de adreskwaliteit in de BRP te verbeteren.</w:t>
              </w:r>
            </w:p>
            <w:p w:rsidR="00584DC3" w:rsidP="00891BB0" w:rsidRDefault="00E8348D"/>
            <w:p w:rsidR="00584DC3" w:rsidP="00891BB0" w:rsidRDefault="00482304">
              <w:r w:rsidRPr="00584DC3">
                <w:t>De Afdeling advisering van de Raad van State maakt opmerkingen over</w:t>
              </w:r>
              <w:r>
                <w:t xml:space="preserve"> het in de wet waarborgen van betekenisvolle menselijke tussenkomst bij profilering, over het niveau van regelgeving met betrekking tot de analysemethoden en over de wenselijkheid de verwerkingsgrondslag voor bijzondere categorieën persoonsgegevens nader te beperken.</w:t>
              </w:r>
              <w:r w:rsidRPr="00584DC3">
                <w:t xml:space="preserve"> </w:t>
              </w:r>
              <w:r>
                <w:t>I</w:t>
              </w:r>
              <w:r w:rsidRPr="00584DC3">
                <w:t xml:space="preserve">n verband daarmee </w:t>
              </w:r>
              <w:r>
                <w:t xml:space="preserve">is </w:t>
              </w:r>
              <w:r w:rsidRPr="00584DC3">
                <w:t xml:space="preserve">aanpassing </w:t>
              </w:r>
              <w:r>
                <w:t xml:space="preserve">wenselijk </w:t>
              </w:r>
              <w:r w:rsidRPr="00584DC3">
                <w:t>van</w:t>
              </w:r>
              <w:r>
                <w:t xml:space="preserve"> het voorstel en</w:t>
              </w:r>
              <w:r w:rsidRPr="00584DC3">
                <w:t xml:space="preserve"> </w:t>
              </w:r>
              <w:r>
                <w:t xml:space="preserve">de </w:t>
              </w:r>
              <w:r w:rsidRPr="00584DC3">
                <w:t>toelichting</w:t>
              </w:r>
              <w:r>
                <w:t>.</w:t>
              </w:r>
            </w:p>
            <w:p w:rsidR="00021FB8" w:rsidRDefault="00021FB8"/>
            <w:p w:rsidR="00F97CCC" w:rsidP="00891BB0" w:rsidRDefault="00482304">
              <w:r>
                <w:t>1.</w:t>
              </w:r>
              <w:r>
                <w:tab/>
              </w:r>
              <w:r w:rsidRPr="0056134E">
                <w:rPr>
                  <w:u w:val="single"/>
                </w:rPr>
                <w:t>Menselijke tussenkomst bij profilering</w:t>
              </w:r>
            </w:p>
            <w:p w:rsidR="00F97CCC" w:rsidP="00891BB0" w:rsidRDefault="00E8348D"/>
            <w:p w:rsidR="00AB5A74" w:rsidP="00891BB0" w:rsidRDefault="00482304">
              <w:pPr>
                <w:rPr>
                  <w:szCs w:val="22"/>
                </w:rPr>
              </w:pPr>
              <w:r>
                <w:rPr>
                  <w:color w:val="211D1F"/>
                </w:rPr>
                <w:t xml:space="preserve">De voorgestelde ondersteuning van de colleges van B&amp;W door de minister bestaat in hoofdzaak uit het ontwikkelen en uitzetten van zogenoemde signalen naar de </w:t>
              </w:r>
              <w:r w:rsidRPr="007C28C2">
                <w:t xml:space="preserve">colleges. Een signaal betreft een adresgegeven waarvan het vermoeden bestaat dat de registratie van personen op dat adres onjuist is. </w:t>
              </w:r>
              <w:r w:rsidRPr="0056134E">
                <w:t xml:space="preserve">Op basis van een signaal kan </w:t>
              </w:r>
              <w:r>
                <w:t xml:space="preserve">een college </w:t>
              </w:r>
              <w:r w:rsidRPr="0056134E">
                <w:t>besluiten een adresonderzoek in te stellen.</w:t>
              </w:r>
              <w:r>
                <w:rPr>
                  <w:rStyle w:val="Voetnootmarkering"/>
                </w:rPr>
                <w:footnoteReference w:id="2"/>
              </w:r>
              <w:r w:rsidRPr="0056134E">
                <w:t xml:space="preserve"> </w:t>
              </w:r>
              <w:r>
                <w:t>Bij de ontwikkeling van signalen is er sprake van profilering.</w:t>
              </w:r>
              <w:r>
                <w:rPr>
                  <w:rStyle w:val="Voetnootmarkering"/>
                </w:rPr>
                <w:footnoteReference w:id="3"/>
              </w:r>
              <w:r>
                <w:t xml:space="preserve"> Profilering is </w:t>
              </w:r>
              <w:r w:rsidRPr="00875943">
                <w:t>elke vorm van</w:t>
              </w:r>
              <w:r>
                <w:t xml:space="preserve"> </w:t>
              </w:r>
              <w:r w:rsidRPr="00875943">
                <w:t xml:space="preserve">geautomatiseerde </w:t>
              </w:r>
              <w:r>
                <w:t>gegevens</w:t>
              </w:r>
              <w:r w:rsidRPr="00875943">
                <w:t xml:space="preserve">verwerking waarbij aan de hand van persoonsgegevens bepaalde persoonlijke aspecten van een natuurlijke persoon </w:t>
              </w:r>
              <w:r w:rsidRPr="00875943">
                <w:rPr>
                  <w:szCs w:val="22"/>
                </w:rPr>
                <w:t>worden geëvalueerd.</w:t>
              </w:r>
              <w:r w:rsidRPr="00875943">
                <w:rPr>
                  <w:rStyle w:val="Voetnootmarkering"/>
                  <w:szCs w:val="22"/>
                </w:rPr>
                <w:footnoteReference w:id="4"/>
              </w:r>
              <w:r w:rsidRPr="00875943">
                <w:rPr>
                  <w:szCs w:val="22"/>
                </w:rPr>
                <w:t xml:space="preserve"> </w:t>
              </w:r>
            </w:p>
            <w:p w:rsidR="00AB5A74" w:rsidP="00891BB0" w:rsidRDefault="00E8348D">
              <w:pPr>
                <w:rPr>
                  <w:szCs w:val="22"/>
                </w:rPr>
              </w:pPr>
            </w:p>
            <w:p w:rsidR="00021FB8" w:rsidRDefault="00482304">
              <w:pPr>
                <w:rPr>
                  <w:szCs w:val="22"/>
                </w:rPr>
              </w:pPr>
              <w:r w:rsidRPr="005A7003">
                <w:rPr>
                  <w:szCs w:val="22"/>
                </w:rPr>
                <w:t xml:space="preserve">Een betrokkene heeft het recht niet te worden onderworpen aan een uitsluitend op geautomatiseerde verwerking (waaronder profilering) </w:t>
              </w:r>
              <w:r w:rsidRPr="00875943">
                <w:rPr>
                  <w:szCs w:val="22"/>
                </w:rPr>
                <w:t xml:space="preserve">gebaseerd besluit waaraan voor </w:t>
              </w:r>
              <w:r w:rsidRPr="00875943">
                <w:rPr>
                  <w:szCs w:val="22"/>
                </w:rPr>
                <w:lastRenderedPageBreak/>
                <w:t>hem rechtsgevolgen zijn verbonden of dat hem anderszins in aanmerkelijke mate treft.</w:t>
              </w:r>
              <w:r>
                <w:rPr>
                  <w:rStyle w:val="Voetnootmarkering"/>
                  <w:szCs w:val="22"/>
                </w:rPr>
                <w:footnoteReference w:id="5"/>
              </w:r>
              <w:r>
                <w:rPr>
                  <w:szCs w:val="22"/>
                </w:rPr>
                <w:t xml:space="preserve"> Er dient met het oog daarop altijd sprake te zijn van betekenisvolle </w:t>
              </w:r>
              <w:r w:rsidRPr="005A7003">
                <w:rPr>
                  <w:szCs w:val="22"/>
                </w:rPr>
                <w:t>menselijke tussenkomst</w:t>
              </w:r>
              <w:r>
                <w:rPr>
                  <w:szCs w:val="22"/>
                </w:rPr>
                <w:t>. De Afdeling merkt hierover het volgende op.</w:t>
              </w:r>
            </w:p>
            <w:p w:rsidRPr="005A7003" w:rsidR="00875943" w:rsidP="00891BB0" w:rsidRDefault="00E8348D">
              <w:pPr>
                <w:rPr>
                  <w:szCs w:val="22"/>
                </w:rPr>
              </w:pPr>
            </w:p>
            <w:p w:rsidR="0045175F" w:rsidP="00403D44" w:rsidRDefault="00482304">
              <w:pPr>
                <w:rPr>
                  <w:color w:val="211D1F"/>
                </w:rPr>
              </w:pPr>
              <w:r>
                <w:rPr>
                  <w:szCs w:val="22"/>
                </w:rPr>
                <w:t>In de toelichting wordt onderkend dat de profilering door de minister niet moet kunnen leiden tot een uitsluitend daarop gebaseerd besluit voor de betrokkene. Een</w:t>
              </w:r>
              <w:r>
                <w:rPr>
                  <w:rFonts w:cs="Verdana"/>
                  <w:szCs w:val="20"/>
                </w:rPr>
                <w:t xml:space="preserve"> signaal van de minister leidt daarom niet automatisch tot wijziging van een gegeven in de BRP. </w:t>
              </w:r>
              <w:r>
                <w:rPr>
                  <w:color w:val="211D1F"/>
                </w:rPr>
                <w:t>Daarvoor is altijd een beslissing – bijvoorbeeld na adresonderzoek – van het verantwoordelijke college van B&amp;W nodig, aldus de toelichting.</w:t>
              </w:r>
              <w:r>
                <w:rPr>
                  <w:rStyle w:val="Voetnootmarkering"/>
                  <w:color w:val="211D1F"/>
                </w:rPr>
                <w:footnoteReference w:id="6"/>
              </w:r>
              <w:r>
                <w:rPr>
                  <w:color w:val="211D1F"/>
                </w:rPr>
                <w:t xml:space="preserve"> </w:t>
              </w:r>
            </w:p>
            <w:p w:rsidR="0045175F" w:rsidP="00403D44" w:rsidRDefault="00E8348D">
              <w:pPr>
                <w:rPr>
                  <w:color w:val="211D1F"/>
                </w:rPr>
              </w:pPr>
            </w:p>
            <w:p w:rsidR="0045175F" w:rsidP="00403D44" w:rsidRDefault="00482304">
              <w:r>
                <w:rPr>
                  <w:color w:val="211D1F"/>
                </w:rPr>
                <w:t>Dit roept echter de vraag op hoe de vereiste betekenisvolle menselijke tussenkomst gewaarborgd is. Colleges van B&amp;W worden in het voorstel weliswaar verplicht</w:t>
              </w:r>
              <w:r>
                <w:rPr>
                  <w:iCs/>
                </w:rPr>
                <w:t xml:space="preserve"> te </w:t>
              </w:r>
              <w:r w:rsidRPr="003F7B27">
                <w:rPr>
                  <w:iCs/>
                </w:rPr>
                <w:t xml:space="preserve">reageren op een signaal van de </w:t>
              </w:r>
              <w:r>
                <w:rPr>
                  <w:iCs/>
                </w:rPr>
                <w:t>minister</w:t>
              </w:r>
              <w:r>
                <w:t>,</w:t>
              </w:r>
              <w:r>
                <w:rPr>
                  <w:rStyle w:val="Voetnootmarkering"/>
                </w:rPr>
                <w:footnoteReference w:id="7"/>
              </w:r>
              <w:r>
                <w:t xml:space="preserve"> maar de vraag is of dit in de praktijk voldoende waarborgen biedt om volledig automatische besluitvorming uit te sluiten. </w:t>
              </w:r>
              <w:r w:rsidRPr="00006B2D">
                <w:t xml:space="preserve">Indien </w:t>
              </w:r>
              <w:r>
                <w:t>het</w:t>
              </w:r>
              <w:r w:rsidRPr="00006B2D">
                <w:t xml:space="preserve"> verantwoordelijk college</w:t>
              </w:r>
              <w:r>
                <w:t>, gelet op onder meer de beperkt beschikbaar personele capaciteit,</w:t>
              </w:r>
              <w:r w:rsidRPr="00006B2D">
                <w:t xml:space="preserve"> altijd zonder meer</w:t>
              </w:r>
              <w:r>
                <w:t xml:space="preserve"> of routinematig</w:t>
              </w:r>
              <w:r w:rsidRPr="00006B2D">
                <w:t xml:space="preserve"> signalen opvolgt, is er </w:t>
              </w:r>
              <w:r>
                <w:t xml:space="preserve">namelijk ‘de facto’ </w:t>
              </w:r>
              <w:r w:rsidRPr="00006B2D">
                <w:t xml:space="preserve">wel sprake van </w:t>
              </w:r>
              <w:r>
                <w:t xml:space="preserve">volledig automatische </w:t>
              </w:r>
              <w:r w:rsidRPr="00006B2D">
                <w:t>besluitvorming</w:t>
              </w:r>
              <w:r>
                <w:t xml:space="preserve"> en is derhalve niet voldaan aan de eis van betekenisvolle menselijke tussenkomst.</w:t>
              </w:r>
              <w:r>
                <w:rPr>
                  <w:rStyle w:val="Voetnootmarkering"/>
                </w:rPr>
                <w:footnoteReference w:id="8"/>
              </w:r>
              <w:r w:rsidRPr="00006B2D">
                <w:t xml:space="preserve"> </w:t>
              </w:r>
            </w:p>
            <w:p w:rsidR="0045175F" w:rsidP="00403D44" w:rsidRDefault="00E8348D"/>
            <w:p w:rsidR="005A7003" w:rsidP="00403D44" w:rsidRDefault="00482304">
              <w:r>
                <w:t>De Afdeling acht het gelet op het voorgaande dan ook wenselijk om in de wet zelf vast te leggen dat een signaal van de minister niet automatisch tot een besluit van het college leidt.</w:t>
              </w:r>
              <w:r>
                <w:rPr>
                  <w:rStyle w:val="Voetnootmarkering"/>
                </w:rPr>
                <w:footnoteReference w:id="9"/>
              </w:r>
              <w:r>
                <w:t xml:space="preserve"> Voorts acht zij het aangewezen dat in de toelichting nader wordt ingegaan op hoe in de praktijk aan de eis van betekenisvolle menselijke tussenkomst zal worden voldaan.</w:t>
              </w:r>
            </w:p>
            <w:p w:rsidR="00403D44" w:rsidP="00403D44" w:rsidRDefault="00E8348D"/>
            <w:p w:rsidR="00584DC3" w:rsidP="00891BB0" w:rsidRDefault="00482304">
              <w:r>
                <w:t xml:space="preserve">De Afdeling adviseert het wetsvoorstel en de toelichting dienovereenkomstig aan te passen. </w:t>
              </w:r>
            </w:p>
            <w:p w:rsidR="009453CC" w:rsidP="00891BB0" w:rsidRDefault="00E8348D"/>
            <w:p w:rsidR="009467A6" w:rsidP="009467A6" w:rsidRDefault="00482304">
              <w:pPr>
                <w:rPr>
                  <w:u w:val="single"/>
                </w:rPr>
              </w:pPr>
              <w:r>
                <w:t>2.</w:t>
              </w:r>
              <w:r>
                <w:tab/>
              </w:r>
              <w:r>
                <w:rPr>
                  <w:u w:val="single"/>
                </w:rPr>
                <w:t>Analysemethoden</w:t>
              </w:r>
            </w:p>
            <w:p w:rsidR="009467A6" w:rsidP="009467A6" w:rsidRDefault="00E8348D">
              <w:pPr>
                <w:rPr>
                  <w:u w:val="single"/>
                </w:rPr>
              </w:pPr>
            </w:p>
            <w:p w:rsidR="0064410D" w:rsidP="0064410D" w:rsidRDefault="00482304">
              <w:r>
                <w:t>Uit de toelichting blijkt dat er sprake zal zijn van complexe data-analyse.</w:t>
              </w:r>
              <w:r>
                <w:rPr>
                  <w:rStyle w:val="Voetnootmarkering"/>
                </w:rPr>
                <w:footnoteReference w:id="10"/>
              </w:r>
              <w:r w:rsidRPr="00C10902">
                <w:t xml:space="preserve"> </w:t>
              </w:r>
              <w:r>
                <w:t>Hierbij zal gebruik moeten worden gemaakt van profielen en daarmee verband houdende beslisregels. Het voorstel bevat hiervoor een delegatiegrondslag die nadere invulling bij of krachtens algemene maatregel van bestuur (</w:t>
              </w:r>
              <w:proofErr w:type="spellStart"/>
              <w:r>
                <w:t>amvb</w:t>
              </w:r>
              <w:proofErr w:type="spellEnd"/>
              <w:r>
                <w:t>) mogelijk maakt.</w:t>
              </w:r>
              <w:r>
                <w:rPr>
                  <w:rStyle w:val="Voetnootmarkering"/>
                </w:rPr>
                <w:footnoteReference w:id="11"/>
              </w:r>
              <w:r>
                <w:t xml:space="preserve"> </w:t>
              </w:r>
            </w:p>
            <w:p w:rsidR="0064410D" w:rsidP="0064410D" w:rsidRDefault="00E8348D"/>
            <w:p w:rsidR="0064410D" w:rsidP="0064410D" w:rsidRDefault="00482304">
              <w:r>
                <w:t xml:space="preserve">De toelichting stelt hierover dat bij of krachtens </w:t>
              </w:r>
              <w:proofErr w:type="spellStart"/>
              <w:r>
                <w:t>amvb</w:t>
              </w:r>
              <w:proofErr w:type="spellEnd"/>
              <w:r>
                <w:t xml:space="preserve"> een nadere afbakening plaatsvindt van de gegevensverwerking. Daarbij worden naast vastlegging van de gegevens die door de minister worden verstrekt en die in de analyse betrokken kunnen worden tevens de analysemethoden zelf beschreven. Dit is nodig, blijkens de toelichting, om inzichtelijk te maken welke </w:t>
              </w:r>
              <w:r w:rsidRPr="00852A0F">
                <w:t>categorieën gegevens samen een profiel vormen</w:t>
              </w:r>
              <w:r>
                <w:t xml:space="preserve"> en op welke wijze uit de beschikbare gegevens wordt gekomen tot een ontwikkeling en selectie van signalen (die vervolgens bij het college van B en W worden uitgezet voor eventueel onderzoek).</w:t>
              </w:r>
              <w:r>
                <w:rPr>
                  <w:rStyle w:val="Voetnootmarkering"/>
                </w:rPr>
                <w:footnoteReference w:id="12"/>
              </w:r>
              <w:r>
                <w:t xml:space="preserve"> Daarmee kan de </w:t>
              </w:r>
              <w:r w:rsidRPr="00852A0F">
                <w:t>noodzakelijkheidstoets voor de gegevensverwerking door de minister integraal plaats</w:t>
              </w:r>
              <w:r>
                <w:t>vinden. Dit zal worden geregeld, zo volgt uit de toelichting,</w:t>
              </w:r>
              <w:r w:rsidRPr="00852A0F">
                <w:t xml:space="preserve"> op het niveau van een </w:t>
              </w:r>
              <w:proofErr w:type="spellStart"/>
              <w:r>
                <w:t>amvb</w:t>
              </w:r>
              <w:proofErr w:type="spellEnd"/>
              <w:r>
                <w:t xml:space="preserve"> </w:t>
              </w:r>
              <w:r w:rsidRPr="00852A0F">
                <w:t>of ministeriële regeling.</w:t>
              </w:r>
              <w:r>
                <w:t xml:space="preserve"> </w:t>
              </w:r>
            </w:p>
            <w:p w:rsidR="0064410D" w:rsidP="0064410D" w:rsidRDefault="00E8348D"/>
            <w:p w:rsidR="0064410D" w:rsidP="0064410D" w:rsidRDefault="00482304">
              <w:r>
                <w:t xml:space="preserve">De Afdeling merkt op dat de inzichtelijkheid van deze analysemethodes en de daarbij te gebruiken algoritmes en beslisregels van belang is vanwege de kenbaarheid en daarmee de controleerbaarheid van de keuzes die hierbij gemaakt worden. Uit de toelichting blijkt niet welke elementen hiervan bij </w:t>
              </w:r>
              <w:proofErr w:type="spellStart"/>
              <w:r>
                <w:t>amvb</w:t>
              </w:r>
              <w:proofErr w:type="spellEnd"/>
              <w:r>
                <w:t xml:space="preserve"> zullen worden geregeld en welke bij ministeriële regeling. Tevens wordt niet gemotiveerd waarom </w:t>
              </w:r>
              <w:proofErr w:type="spellStart"/>
              <w:r>
                <w:t>subdelegatie</w:t>
              </w:r>
              <w:proofErr w:type="spellEnd"/>
              <w:r>
                <w:t xml:space="preserve"> (van onderdelen) hiervan in dit geval noodzakelijk en wenselijk is. </w:t>
              </w:r>
            </w:p>
            <w:p w:rsidR="0064410D" w:rsidP="0064410D" w:rsidRDefault="00E8348D"/>
            <w:p w:rsidR="009467A6" w:rsidP="0064410D" w:rsidRDefault="00482304">
              <w:r>
                <w:t>De Afdeling adviseert in de toelichting op het bovenstaande in te gaan en zo nodig het voorstel aan te passen.</w:t>
              </w:r>
            </w:p>
            <w:p w:rsidR="00DD3031" w:rsidP="0064410D" w:rsidRDefault="00E8348D"/>
            <w:p w:rsidR="00F97CCC" w:rsidP="009467A6" w:rsidRDefault="00482304">
              <w:r>
                <w:t>3.</w:t>
              </w:r>
              <w:r>
                <w:tab/>
              </w:r>
              <w:r w:rsidRPr="00671966">
                <w:rPr>
                  <w:u w:val="single"/>
                </w:rPr>
                <w:t>Verwerkingsgrondslag voor bijzondere persoonsgegevens</w:t>
              </w:r>
            </w:p>
            <w:p w:rsidR="00F97CCC" w:rsidP="00891BB0" w:rsidRDefault="00E8348D"/>
            <w:p w:rsidR="0045175F" w:rsidP="00671966" w:rsidRDefault="00482304">
              <w:r>
                <w:t>In het kader van de uitoefening van de voorgestelde ondersteunende taak van de minister</w:t>
              </w:r>
              <w:r w:rsidRPr="00671966">
                <w:t xml:space="preserve"> </w:t>
              </w:r>
              <w:r>
                <w:t xml:space="preserve">wordt deze bevoegd gegevens te verwerken, waaronder </w:t>
              </w:r>
              <w:r w:rsidRPr="00671966">
                <w:t>bijzondere categorieën van persoonsgegevens</w:t>
              </w:r>
              <w:r>
                <w:t>.</w:t>
              </w:r>
              <w:r>
                <w:rPr>
                  <w:rStyle w:val="Voetnootmarkering"/>
                </w:rPr>
                <w:footnoteReference w:id="13"/>
              </w:r>
              <w:r>
                <w:t xml:space="preserve"> Bijzondere categorieën persoonsgegevens zijn persoonsgegevens waaruit</w:t>
              </w:r>
              <w:r w:rsidRPr="00671966">
                <w:t xml:space="preserve"> </w:t>
              </w:r>
              <w:r>
                <w:t xml:space="preserve">bijvoorbeeld </w:t>
              </w:r>
              <w:r w:rsidRPr="00671966">
                <w:t>iemands ras, godsdienst of gezondheid</w:t>
              </w:r>
              <w:r>
                <w:t xml:space="preserve"> blijken.</w:t>
              </w:r>
              <w:r>
                <w:rPr>
                  <w:rStyle w:val="Voetnootmarkering"/>
                </w:rPr>
                <w:footnoteReference w:id="14"/>
              </w:r>
              <w:r>
                <w:t xml:space="preserve"> Het verwerken van zulke gegevens is verboden, </w:t>
              </w:r>
              <w:r w:rsidRPr="00423598">
                <w:t>tenzij er een wettelijke uitzondering</w:t>
              </w:r>
              <w:r>
                <w:t>sgrond</w:t>
              </w:r>
              <w:r w:rsidRPr="00423598">
                <w:t xml:space="preserve"> </w:t>
              </w:r>
              <w:r>
                <w:t>van toepassing is.</w:t>
              </w:r>
              <w:r>
                <w:rPr>
                  <w:rStyle w:val="Voetnootmarkering"/>
                </w:rPr>
                <w:footnoteReference w:id="15"/>
              </w:r>
              <w:r>
                <w:t xml:space="preserve"> De hier toegepaste uitzonderingsgrond is </w:t>
              </w:r>
              <w:r w:rsidRPr="00886DF1">
                <w:t xml:space="preserve">de </w:t>
              </w:r>
              <w:r>
                <w:t>noodzakelijkheid van de verwerking</w:t>
              </w:r>
              <w:r w:rsidRPr="00886DF1">
                <w:t xml:space="preserve"> om redenen van zwaarwegend algemeen belang</w:t>
              </w:r>
              <w:r>
                <w:t>.</w:t>
              </w:r>
              <w:r>
                <w:rPr>
                  <w:rStyle w:val="Voetnootmarkering"/>
                </w:rPr>
                <w:footnoteReference w:id="16"/>
              </w:r>
              <w:r>
                <w:t xml:space="preserve"> </w:t>
              </w:r>
            </w:p>
            <w:p w:rsidR="0045175F" w:rsidP="00671966" w:rsidRDefault="00E8348D"/>
            <w:p w:rsidR="0045175F" w:rsidP="00671966" w:rsidRDefault="00482304">
              <w:r>
                <w:t>De mogelijkheid bijzondere persoonsgegevens te verwerken is noodzakelijk om adressen van penitentiaire inrichtingen of zorginstellingen buiten de signalen te kunnen houden, aldus de toelichting.</w:t>
              </w:r>
              <w:r>
                <w:rPr>
                  <w:rStyle w:val="Voetnootmarkering"/>
                </w:rPr>
                <w:footnoteReference w:id="17"/>
              </w:r>
              <w:r>
                <w:t xml:space="preserve"> Wanneer iemand bijvoorbeeld verblijft in een zorginstelling is dat een gegeven over diens gezondheid en dus een bijzondere categorie persoonsgegevens. Een dergelijk adres is niet relevant voor de landelijke aanpak adreskwaliteit en dient dus bij voorbaat buiten beschouwing te kunnen blijven. Naast de noodzakelijkheid om daarvoor bijzondere categorieën persoonsgegevens te kunnen verwerken is het blijkens de toelichting ook mogelijk dat de toepasselijkheid van een </w:t>
              </w:r>
              <w:proofErr w:type="spellStart"/>
              <w:r>
                <w:t>adresgerelateerde</w:t>
              </w:r>
              <w:proofErr w:type="spellEnd"/>
              <w:r>
                <w:t xml:space="preserve"> regeling, zoals de </w:t>
              </w:r>
              <w:r w:rsidRPr="008F086B">
                <w:t xml:space="preserve">WAJONG </w:t>
              </w:r>
              <w:r>
                <w:t>of</w:t>
              </w:r>
              <w:r w:rsidRPr="008F086B">
                <w:t xml:space="preserve"> de Ziektewet</w:t>
              </w:r>
              <w:r>
                <w:t>, kwalificeert als een bijzonder persoonsgegeven.</w:t>
              </w:r>
              <w:r>
                <w:rPr>
                  <w:rStyle w:val="Voetnootmarkering"/>
                </w:rPr>
                <w:footnoteReference w:id="18"/>
              </w:r>
              <w:r>
                <w:t xml:space="preserve"> </w:t>
              </w:r>
            </w:p>
            <w:p w:rsidR="0045175F" w:rsidP="00671966" w:rsidRDefault="00E8348D"/>
            <w:p w:rsidR="009123AE" w:rsidP="009123AE" w:rsidRDefault="00482304">
              <w:r>
                <w:t xml:space="preserve">De Afdeling merkt op dat voor de rechtmatigheid van de verwerking van bijzondere categorieën persoonsgegevens wegens </w:t>
              </w:r>
              <w:r w:rsidRPr="008F086B">
                <w:t>noodzakelijk</w:t>
              </w:r>
              <w:r>
                <w:t>heid</w:t>
              </w:r>
              <w:r w:rsidRPr="008F086B">
                <w:t xml:space="preserve"> om redenen van zwaarwegend algemeen belang</w:t>
              </w:r>
              <w:r>
                <w:t xml:space="preserve"> onder meer is vereist dat daarbij</w:t>
              </w:r>
              <w:r w:rsidRPr="008F086B">
                <w:t xml:space="preserve"> de evenredigheid met het nagestreefde doel wordt gewaarborgd</w:t>
              </w:r>
              <w:r>
                <w:t>.</w:t>
              </w:r>
              <w:r>
                <w:rPr>
                  <w:rStyle w:val="Voetnootmarkering"/>
                </w:rPr>
                <w:footnoteReference w:id="19"/>
              </w:r>
              <w:r>
                <w:t xml:space="preserve"> Dit roept, mede in het licht van de genoemde voorbeelden, de vraag op waarom de verwerkingsgrondslag voor bijzondere persoonsgegevens niet beperkt is tot bijvoorbeeld enkel gezondheids</w:t>
              </w:r>
              <w:r w:rsidRPr="00EB4379">
                <w:t>gegevens</w:t>
              </w:r>
              <w:r>
                <w:t xml:space="preserve">, en – vanwege de adressen van penitentiaire inrichtingen – tot </w:t>
              </w:r>
              <w:r w:rsidRPr="00FF17CC">
                <w:t>persoonsgegevens betreffende strafrechtelijke veroordelingen en strafbare feiten</w:t>
              </w:r>
              <w:r>
                <w:t>.</w:t>
              </w:r>
              <w:r>
                <w:rPr>
                  <w:rStyle w:val="Voetnootmarkering"/>
                </w:rPr>
                <w:footnoteReference w:id="20"/>
              </w:r>
              <w:r>
                <w:t xml:space="preserve"> Mede bezien vanuit het beginsel van </w:t>
              </w:r>
              <w:r w:rsidRPr="008F086B">
                <w:t>minimale gegevensverwerking</w:t>
              </w:r>
              <w:r>
                <w:t>,</w:t>
              </w:r>
              <w:r>
                <w:rPr>
                  <w:rStyle w:val="Voetnootmarkering"/>
                </w:rPr>
                <w:footnoteReference w:id="21"/>
              </w:r>
              <w:r>
                <w:t xml:space="preserve"> acht de Afdeling het wenselijk de verwerkingsgrondslag nader te beperken tot alleen de genoemde specifieke categorieën gegevens, </w:t>
              </w:r>
              <w:r w:rsidRPr="009123AE">
                <w:t>t</w:t>
              </w:r>
              <w:r>
                <w:t>emeer</w:t>
              </w:r>
              <w:r w:rsidRPr="009123AE">
                <w:t xml:space="preserve"> nu het voorstel </w:t>
              </w:r>
              <w:r>
                <w:t xml:space="preserve">ook </w:t>
              </w:r>
              <w:r w:rsidRPr="009123AE">
                <w:t xml:space="preserve">de ruimte biedt </w:t>
              </w:r>
              <w:r>
                <w:t>voor</w:t>
              </w:r>
              <w:r w:rsidRPr="009123AE">
                <w:t xml:space="preserve"> profilering </w:t>
              </w:r>
              <w:r>
                <w:t>van deze</w:t>
              </w:r>
              <w:r w:rsidRPr="009123AE">
                <w:t xml:space="preserve"> bijzondere persoonsgegevens.</w:t>
              </w:r>
              <w:r w:rsidRPr="009123AE">
                <w:rPr>
                  <w:rStyle w:val="Voetnootmarkering"/>
                </w:rPr>
                <w:footnoteReference w:id="22"/>
              </w:r>
              <w:r>
                <w:t xml:space="preserve"> </w:t>
              </w:r>
            </w:p>
            <w:p w:rsidR="00EB4379" w:rsidP="00671966" w:rsidRDefault="00E8348D"/>
            <w:p w:rsidR="00021FB8" w:rsidRDefault="00482304">
              <w:r>
                <w:t>De Afdeling adviseert het voorstel met inachtneming van het voorgaande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482304">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021FB8" w:rsidRDefault="00482304">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W04.20.0359</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sdt>
          <w:sdtPr>
            <w:alias w:val="VrijeTekst3"/>
            <w:tag w:val="VrijeTekst3"/>
            <w:id w:val="2141764690"/>
            <w:lock w:val="sdtLocked"/>
          </w:sdtPr>
          <w:sdtEndPr/>
          <w:sdtContent>
            <w:p w:rsidR="00E70C71" w:rsidP="00D969CB" w:rsidRDefault="00482304">
              <w:pPr>
                <w:numPr>
                  <w:ilvl w:val="0"/>
                  <w:numId w:val="1"/>
                </w:numPr>
              </w:pPr>
              <w:r>
                <w:t>In artikel III ‘bepaald’ vervangen door ‘te bepalen’ (zie ook Aanwijzing 4.21, eerste lid, van de Aanwijzingen voor de Regelgeving).</w:t>
              </w:r>
            </w:p>
          </w:sdtContent>
        </w:sdt>
        <w:p w:rsidR="00C50D4F" w:rsidP="005841EA" w:rsidRDefault="00E8348D">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B7E" w:rsidRDefault="00482304" w:rsidP="001410FD">
      <w:r>
        <w:separator/>
      </w:r>
    </w:p>
  </w:endnote>
  <w:endnote w:type="continuationSeparator" w:id="0">
    <w:p w:rsidR="00225B7E" w:rsidRDefault="0048230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B7E" w:rsidRDefault="00482304" w:rsidP="001410FD">
      <w:r>
        <w:separator/>
      </w:r>
    </w:p>
  </w:footnote>
  <w:footnote w:type="continuationSeparator" w:id="0">
    <w:p w:rsidR="00225B7E" w:rsidRDefault="00482304" w:rsidP="001410FD">
      <w:r>
        <w:continuationSeparator/>
      </w:r>
    </w:p>
  </w:footnote>
  <w:footnote w:id="1">
    <w:p w:rsidR="00584DC3" w:rsidRPr="00584DC3" w:rsidRDefault="00482304">
      <w:pPr>
        <w:pStyle w:val="Voetnoottekst"/>
      </w:pPr>
      <w:r>
        <w:rPr>
          <w:rStyle w:val="Voetnootmarkering"/>
        </w:rPr>
        <w:footnoteRef/>
      </w:r>
      <w:r>
        <w:t xml:space="preserve"> </w:t>
      </w:r>
      <w:r>
        <w:tab/>
        <w:t xml:space="preserve">Voorgesteld </w:t>
      </w:r>
      <w:r w:rsidRPr="00584DC3">
        <w:t>artikel 2.37a, eerste lid</w:t>
      </w:r>
      <w:r>
        <w:t>.</w:t>
      </w:r>
    </w:p>
  </w:footnote>
  <w:footnote w:id="2">
    <w:p w:rsidR="0056134E" w:rsidRDefault="00482304">
      <w:pPr>
        <w:pStyle w:val="Voetnoottekst"/>
      </w:pPr>
      <w:r>
        <w:rPr>
          <w:rStyle w:val="Voetnootmarkering"/>
        </w:rPr>
        <w:footnoteRef/>
      </w:r>
      <w:r>
        <w:t xml:space="preserve"> </w:t>
      </w:r>
      <w:r>
        <w:tab/>
        <w:t>Toelichting, algemeen deel, paragraaf 2.1.</w:t>
      </w:r>
    </w:p>
  </w:footnote>
  <w:footnote w:id="3">
    <w:p w:rsidR="00875943" w:rsidRDefault="00482304">
      <w:pPr>
        <w:pStyle w:val="Voetnoottekst"/>
      </w:pPr>
      <w:r>
        <w:rPr>
          <w:rStyle w:val="Voetnootmarkering"/>
        </w:rPr>
        <w:footnoteRef/>
      </w:r>
      <w:r>
        <w:t xml:space="preserve"> </w:t>
      </w:r>
      <w:r>
        <w:tab/>
        <w:t xml:space="preserve">Voorgesteld artikel 2.37c, tweede lid. </w:t>
      </w:r>
    </w:p>
  </w:footnote>
  <w:footnote w:id="4">
    <w:p w:rsidR="00875943" w:rsidRDefault="00482304" w:rsidP="00B33927">
      <w:pPr>
        <w:pStyle w:val="Voetnoottekst"/>
        <w:ind w:left="227" w:hanging="227"/>
      </w:pPr>
      <w:r>
        <w:rPr>
          <w:rStyle w:val="Voetnootmarkering"/>
        </w:rPr>
        <w:footnoteRef/>
      </w:r>
      <w:r>
        <w:t xml:space="preserve"> </w:t>
      </w:r>
      <w:r>
        <w:tab/>
        <w:t xml:space="preserve">Artikel 4 van </w:t>
      </w:r>
      <w:r w:rsidRPr="00423598">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r>
        <w:t>, hierna: AVG</w:t>
      </w:r>
      <w:r w:rsidRPr="00423598">
        <w:t>)</w:t>
      </w:r>
      <w:r>
        <w:t xml:space="preserve"> (</w:t>
      </w:r>
      <w:proofErr w:type="spellStart"/>
      <w:r>
        <w:t>PbEU</w:t>
      </w:r>
      <w:proofErr w:type="spellEnd"/>
      <w:r>
        <w:t xml:space="preserve"> 2016, L 119). </w:t>
      </w:r>
    </w:p>
  </w:footnote>
  <w:footnote w:id="5">
    <w:p w:rsidR="00006B2D" w:rsidRDefault="00482304" w:rsidP="00006B2D">
      <w:pPr>
        <w:pStyle w:val="Voetnoottekst"/>
        <w:ind w:left="227" w:hanging="227"/>
      </w:pPr>
      <w:r>
        <w:rPr>
          <w:rStyle w:val="Voetnootmarkering"/>
        </w:rPr>
        <w:footnoteRef/>
      </w:r>
      <w:r>
        <w:t xml:space="preserve"> </w:t>
      </w:r>
      <w:r>
        <w:tab/>
        <w:t>Artikel 22, eerste lid van de AVG.</w:t>
      </w:r>
    </w:p>
  </w:footnote>
  <w:footnote w:id="6">
    <w:p w:rsidR="005A7003" w:rsidRDefault="00482304">
      <w:pPr>
        <w:pStyle w:val="Voetnoottekst"/>
      </w:pPr>
      <w:r>
        <w:rPr>
          <w:rStyle w:val="Voetnootmarkering"/>
        </w:rPr>
        <w:footnoteRef/>
      </w:r>
      <w:r>
        <w:t xml:space="preserve"> </w:t>
      </w:r>
      <w:r>
        <w:tab/>
        <w:t>Toelichting, algemeen deel, paragraaf 3.3.</w:t>
      </w:r>
    </w:p>
  </w:footnote>
  <w:footnote w:id="7">
    <w:p w:rsidR="00403D44" w:rsidRDefault="00482304">
      <w:pPr>
        <w:pStyle w:val="Voetnoottekst"/>
      </w:pPr>
      <w:r>
        <w:rPr>
          <w:rStyle w:val="Voetnootmarkering"/>
        </w:rPr>
        <w:footnoteRef/>
      </w:r>
      <w:r>
        <w:t xml:space="preserve"> </w:t>
      </w:r>
      <w:r>
        <w:tab/>
        <w:t>Voorgesteld artikel 2.37e, eerste lid.</w:t>
      </w:r>
    </w:p>
  </w:footnote>
  <w:footnote w:id="8">
    <w:p w:rsidR="00546891" w:rsidRPr="00D371B9" w:rsidRDefault="00482304" w:rsidP="00D371B9">
      <w:pPr>
        <w:pStyle w:val="Voetnoottekst"/>
        <w:ind w:left="227" w:hanging="227"/>
        <w:rPr>
          <w:lang w:val="en-US"/>
        </w:rPr>
      </w:pPr>
      <w:r>
        <w:rPr>
          <w:rStyle w:val="Voetnootmarkering"/>
        </w:rPr>
        <w:footnoteRef/>
      </w:r>
      <w:r w:rsidRPr="00D371B9">
        <w:rPr>
          <w:lang w:val="en-US"/>
        </w:rPr>
        <w:t xml:space="preserve"> </w:t>
      </w:r>
      <w:r>
        <w:rPr>
          <w:lang w:val="en-US"/>
        </w:rPr>
        <w:tab/>
      </w:r>
      <w:proofErr w:type="spellStart"/>
      <w:r>
        <w:rPr>
          <w:lang w:val="en-US"/>
        </w:rPr>
        <w:t>Vergelijk</w:t>
      </w:r>
      <w:proofErr w:type="spellEnd"/>
      <w:r>
        <w:rPr>
          <w:lang w:val="en-US"/>
        </w:rPr>
        <w:t xml:space="preserve"> </w:t>
      </w:r>
      <w:r w:rsidRPr="00D371B9">
        <w:rPr>
          <w:lang w:val="en-US"/>
        </w:rPr>
        <w:t>WP29, Guidelines on Automated individual decision-making and Profiling for the purposes of Regulation 2016/679, p. 21</w:t>
      </w:r>
      <w:r>
        <w:rPr>
          <w:lang w:val="en-US"/>
        </w:rPr>
        <w:t>.</w:t>
      </w:r>
    </w:p>
  </w:footnote>
  <w:footnote w:id="9">
    <w:p w:rsidR="00211541" w:rsidRPr="00211541" w:rsidRDefault="00482304">
      <w:pPr>
        <w:pStyle w:val="Voetnoottekst"/>
      </w:pPr>
      <w:r>
        <w:rPr>
          <w:rStyle w:val="Voetnootmarkering"/>
        </w:rPr>
        <w:footnoteRef/>
      </w:r>
      <w:r>
        <w:t xml:space="preserve"> </w:t>
      </w:r>
      <w:r>
        <w:tab/>
        <w:t>Vergelijk artikel 40, tweede lid, van de Uitvoeringswet AVG.</w:t>
      </w:r>
    </w:p>
  </w:footnote>
  <w:footnote w:id="10">
    <w:p w:rsidR="0064410D" w:rsidRPr="002A0F61" w:rsidRDefault="00482304" w:rsidP="0064410D">
      <w:pPr>
        <w:pStyle w:val="Voetnoottekst"/>
      </w:pPr>
      <w:r>
        <w:rPr>
          <w:rStyle w:val="Voetnootmarkering"/>
        </w:rPr>
        <w:footnoteRef/>
      </w:r>
      <w:r>
        <w:t xml:space="preserve"> </w:t>
      </w:r>
      <w:r w:rsidRPr="004F6552">
        <w:tab/>
        <w:t>Toelichting, paragraaf 1.3.</w:t>
      </w:r>
    </w:p>
  </w:footnote>
  <w:footnote w:id="11">
    <w:p w:rsidR="0064410D" w:rsidRPr="002A0F61" w:rsidRDefault="00482304" w:rsidP="0064410D">
      <w:pPr>
        <w:pStyle w:val="Voetnoottekst"/>
      </w:pPr>
      <w:r>
        <w:rPr>
          <w:rStyle w:val="Voetnootmarkering"/>
        </w:rPr>
        <w:footnoteRef/>
      </w:r>
      <w:r>
        <w:t xml:space="preserve"> </w:t>
      </w:r>
      <w:r w:rsidRPr="004F6552">
        <w:tab/>
        <w:t xml:space="preserve">Voorgesteld artikel 2.37c. </w:t>
      </w:r>
    </w:p>
  </w:footnote>
  <w:footnote w:id="12">
    <w:p w:rsidR="0064410D" w:rsidRDefault="00482304" w:rsidP="0064410D">
      <w:pPr>
        <w:pStyle w:val="Voetnoottekst"/>
      </w:pPr>
      <w:r>
        <w:rPr>
          <w:rStyle w:val="Voetnootmarkering"/>
        </w:rPr>
        <w:footnoteRef/>
      </w:r>
      <w:r>
        <w:t xml:space="preserve"> Toelichting, artikel I, artikel 2.37c, derde lid.</w:t>
      </w:r>
    </w:p>
  </w:footnote>
  <w:footnote w:id="13">
    <w:p w:rsidR="00671966" w:rsidRPr="00671966" w:rsidRDefault="00482304">
      <w:pPr>
        <w:pStyle w:val="Voetnoottekst"/>
      </w:pPr>
      <w:r>
        <w:rPr>
          <w:rStyle w:val="Voetnootmarkering"/>
        </w:rPr>
        <w:footnoteRef/>
      </w:r>
      <w:r>
        <w:t xml:space="preserve"> </w:t>
      </w:r>
      <w:r w:rsidRPr="00671966">
        <w:tab/>
        <w:t>Voorgesteld artikel 2.37a, tweede lid.</w:t>
      </w:r>
      <w:r>
        <w:t xml:space="preserve"> </w:t>
      </w:r>
    </w:p>
  </w:footnote>
  <w:footnote w:id="14">
    <w:p w:rsidR="00886DF1" w:rsidRDefault="00482304">
      <w:pPr>
        <w:pStyle w:val="Voetnoottekst"/>
      </w:pPr>
      <w:r>
        <w:rPr>
          <w:rStyle w:val="Voetnootmarkering"/>
        </w:rPr>
        <w:footnoteRef/>
      </w:r>
      <w:r>
        <w:t xml:space="preserve"> </w:t>
      </w:r>
      <w:r>
        <w:tab/>
        <w:t>Artikel 9, eerste lid van de AVG.</w:t>
      </w:r>
    </w:p>
  </w:footnote>
  <w:footnote w:id="15">
    <w:p w:rsidR="00886DF1" w:rsidRDefault="00482304" w:rsidP="00886DF1">
      <w:pPr>
        <w:pStyle w:val="Voetnoottekst"/>
      </w:pPr>
      <w:r>
        <w:rPr>
          <w:rStyle w:val="Voetnootmarkering"/>
        </w:rPr>
        <w:footnoteRef/>
      </w:r>
      <w:r>
        <w:t xml:space="preserve"> </w:t>
      </w:r>
      <w:r>
        <w:tab/>
        <w:t>Artikel 9 van de AVG.</w:t>
      </w:r>
    </w:p>
  </w:footnote>
  <w:footnote w:id="16">
    <w:p w:rsidR="00886DF1" w:rsidRDefault="00482304" w:rsidP="00252448">
      <w:pPr>
        <w:pStyle w:val="Voetnoottekst"/>
        <w:ind w:left="227" w:hanging="227"/>
      </w:pPr>
      <w:r>
        <w:rPr>
          <w:rStyle w:val="Voetnootmarkering"/>
        </w:rPr>
        <w:footnoteRef/>
      </w:r>
      <w:r>
        <w:t xml:space="preserve"> </w:t>
      </w:r>
      <w:r>
        <w:tab/>
      </w:r>
      <w:r w:rsidRPr="00886DF1">
        <w:t>Artikel 9</w:t>
      </w:r>
      <w:r>
        <w:t xml:space="preserve">, tweede lid en onder g van de AVG; Toelichting, algemeen deel, paragraaf 3.3.1. </w:t>
      </w:r>
    </w:p>
  </w:footnote>
  <w:footnote w:id="17">
    <w:p w:rsidR="008F086B" w:rsidRDefault="00482304">
      <w:pPr>
        <w:pStyle w:val="Voetnoottekst"/>
      </w:pPr>
      <w:r>
        <w:rPr>
          <w:rStyle w:val="Voetnootmarkering"/>
        </w:rPr>
        <w:footnoteRef/>
      </w:r>
      <w:r>
        <w:t xml:space="preserve"> </w:t>
      </w:r>
      <w:r>
        <w:tab/>
        <w:t xml:space="preserve">Toelichting, algemeen deel, paragraaf 3.3.1. </w:t>
      </w:r>
    </w:p>
  </w:footnote>
  <w:footnote w:id="18">
    <w:p w:rsidR="008F086B" w:rsidRDefault="00482304" w:rsidP="008F086B">
      <w:pPr>
        <w:pStyle w:val="Voetnoottekst"/>
      </w:pPr>
      <w:r>
        <w:rPr>
          <w:rStyle w:val="Voetnootmarkering"/>
        </w:rPr>
        <w:footnoteRef/>
      </w:r>
      <w:r>
        <w:t xml:space="preserve"> </w:t>
      </w:r>
      <w:r>
        <w:tab/>
        <w:t xml:space="preserve">Toelichting, algemeen deel, paragraaf 3.3.1. </w:t>
      </w:r>
    </w:p>
  </w:footnote>
  <w:footnote w:id="19">
    <w:p w:rsidR="008F086B" w:rsidRDefault="00482304">
      <w:pPr>
        <w:pStyle w:val="Voetnoottekst"/>
      </w:pPr>
      <w:r>
        <w:rPr>
          <w:rStyle w:val="Voetnootmarkering"/>
        </w:rPr>
        <w:footnoteRef/>
      </w:r>
      <w:r>
        <w:t xml:space="preserve"> </w:t>
      </w:r>
      <w:r>
        <w:tab/>
      </w:r>
      <w:r w:rsidRPr="00886DF1">
        <w:t>Artikel 9</w:t>
      </w:r>
      <w:r>
        <w:t>, tweede lid en onder g, van de AVG.</w:t>
      </w:r>
    </w:p>
  </w:footnote>
  <w:footnote w:id="20">
    <w:p w:rsidR="00FF17CC" w:rsidRDefault="00482304" w:rsidP="00FF17CC">
      <w:pPr>
        <w:pStyle w:val="Voetnoottekst"/>
      </w:pPr>
      <w:r>
        <w:rPr>
          <w:rStyle w:val="Voetnootmarkering"/>
        </w:rPr>
        <w:footnoteRef/>
      </w:r>
      <w:r>
        <w:t xml:space="preserve"> </w:t>
      </w:r>
      <w:r>
        <w:tab/>
        <w:t>Gelet op artikel 10 van de AVG.</w:t>
      </w:r>
    </w:p>
  </w:footnote>
  <w:footnote w:id="21">
    <w:p w:rsidR="00252448" w:rsidRDefault="00482304" w:rsidP="00252448">
      <w:pPr>
        <w:pStyle w:val="Voetnoottekst"/>
      </w:pPr>
      <w:r>
        <w:rPr>
          <w:rStyle w:val="Voetnootmarkering"/>
        </w:rPr>
        <w:footnoteRef/>
      </w:r>
      <w:r>
        <w:t xml:space="preserve"> </w:t>
      </w:r>
      <w:r>
        <w:tab/>
        <w:t xml:space="preserve">Artikel 5, eerste lid en onder c, van de AVG. </w:t>
      </w:r>
    </w:p>
  </w:footnote>
  <w:footnote w:id="22">
    <w:p w:rsidR="00252448" w:rsidRDefault="00482304" w:rsidP="00252448">
      <w:pPr>
        <w:pStyle w:val="Voetnoottekst"/>
      </w:pPr>
      <w:r>
        <w:rPr>
          <w:rStyle w:val="Voetnootmarkering"/>
        </w:rPr>
        <w:footnoteRef/>
      </w:r>
      <w:r>
        <w:t xml:space="preserve"> </w:t>
      </w:r>
      <w:r>
        <w:tab/>
        <w:t xml:space="preserve">Voorgesteld </w:t>
      </w:r>
      <w:r w:rsidRPr="008F086B">
        <w:t xml:space="preserve">artikel 2.37c, tweede lid </w:t>
      </w:r>
      <w:r>
        <w:t>jo.</w:t>
      </w:r>
      <w:r w:rsidRPr="008F086B">
        <w:t xml:space="preserve"> 2.37a, tweede lid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8348D">
      <w:rPr>
        <w:rStyle w:val="Paginanummer"/>
        <w:noProof/>
      </w:rPr>
      <w:t>4</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8348D">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21FB8"/>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82304"/>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CF1B2A"/>
    <w:rsid w:val="00D2526B"/>
    <w:rsid w:val="00D92754"/>
    <w:rsid w:val="00DB6AF4"/>
    <w:rsid w:val="00DE4E42"/>
    <w:rsid w:val="00E4090A"/>
    <w:rsid w:val="00E8348D"/>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6B3CFD51-AA91-42BB-90B8-C868A4CE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F97CCC"/>
    <w:pPr>
      <w:ind w:left="720"/>
      <w:contextualSpacing/>
    </w:pPr>
  </w:style>
  <w:style w:type="character" w:styleId="Voetnootmarkering">
    <w:name w:val="footnote reference"/>
    <w:basedOn w:val="Standaardalinea-lettertype"/>
    <w:semiHidden/>
    <w:unhideWhenUsed/>
    <w:rsid w:val="00584DC3"/>
    <w:rPr>
      <w:vertAlign w:val="superscript"/>
    </w:rPr>
  </w:style>
  <w:style w:type="paragraph" w:styleId="Tekstopmerking">
    <w:name w:val="annotation text"/>
    <w:basedOn w:val="Standaard"/>
    <w:link w:val="TekstopmerkingChar"/>
    <w:uiPriority w:val="99"/>
    <w:unhideWhenUsed/>
    <w:rsid w:val="00875943"/>
    <w:pPr>
      <w:spacing w:after="160"/>
    </w:pPr>
    <w:rPr>
      <w:rFonts w:ascii="Verdana" w:eastAsiaTheme="minorHAnsi" w:hAnsi="Verdana" w:cstheme="minorBidi"/>
      <w:sz w:val="20"/>
      <w:szCs w:val="20"/>
      <w:lang w:val="en-US" w:eastAsia="en-US"/>
    </w:rPr>
  </w:style>
  <w:style w:type="character" w:customStyle="1" w:styleId="TekstopmerkingChar">
    <w:name w:val="Tekst opmerking Char"/>
    <w:basedOn w:val="Standaardalinea-lettertype"/>
    <w:link w:val="Tekstopmerking"/>
    <w:uiPriority w:val="99"/>
    <w:rsid w:val="00875943"/>
    <w:rPr>
      <w:rFonts w:ascii="Verdana" w:eastAsiaTheme="minorHAnsi" w:hAnsi="Verdana" w:cstheme="minorBidi"/>
      <w:lang w:val="en-US" w:eastAsia="en-US"/>
    </w:rPr>
  </w:style>
  <w:style w:type="character" w:styleId="Verwijzingopmerking">
    <w:name w:val="annotation reference"/>
    <w:basedOn w:val="Standaardalinea-lettertype"/>
    <w:uiPriority w:val="99"/>
    <w:semiHidden/>
    <w:unhideWhenUsed/>
    <w:rsid w:val="00875943"/>
    <w:rPr>
      <w:sz w:val="16"/>
      <w:szCs w:val="16"/>
    </w:rPr>
  </w:style>
  <w:style w:type="paragraph" w:customStyle="1" w:styleId="ti-art">
    <w:name w:val="ti-art"/>
    <w:basedOn w:val="Standaard"/>
    <w:rsid w:val="00875943"/>
    <w:pPr>
      <w:spacing w:before="100" w:beforeAutospacing="1" w:after="100" w:afterAutospacing="1"/>
    </w:pPr>
    <w:rPr>
      <w:rFonts w:ascii="Times New Roman" w:hAnsi="Times New Roman"/>
      <w:sz w:val="24"/>
    </w:rPr>
  </w:style>
  <w:style w:type="paragraph" w:customStyle="1" w:styleId="sti-art">
    <w:name w:val="sti-art"/>
    <w:basedOn w:val="Standaard"/>
    <w:rsid w:val="00875943"/>
    <w:pPr>
      <w:spacing w:before="100" w:beforeAutospacing="1" w:after="100" w:afterAutospacing="1"/>
    </w:pPr>
    <w:rPr>
      <w:rFonts w:ascii="Times New Roman" w:hAnsi="Times New Roman"/>
      <w:sz w:val="24"/>
    </w:rPr>
  </w:style>
  <w:style w:type="paragraph" w:customStyle="1" w:styleId="Standaard1">
    <w:name w:val="Standaard1"/>
    <w:basedOn w:val="Standaard"/>
    <w:rsid w:val="00875943"/>
    <w:pPr>
      <w:spacing w:before="100" w:beforeAutospacing="1" w:after="100" w:afterAutospacing="1"/>
    </w:pPr>
    <w:rPr>
      <w:rFonts w:ascii="Times New Roman" w:hAnsi="Times New Roman"/>
      <w:sz w:val="24"/>
    </w:rPr>
  </w:style>
  <w:style w:type="paragraph" w:styleId="Onderwerpvanopmerking">
    <w:name w:val="annotation subject"/>
    <w:basedOn w:val="Tekstopmerking"/>
    <w:next w:val="Tekstopmerking"/>
    <w:link w:val="OnderwerpvanopmerkingChar"/>
    <w:semiHidden/>
    <w:unhideWhenUsed/>
    <w:rsid w:val="00A03C69"/>
    <w:pPr>
      <w:spacing w:after="0"/>
    </w:pPr>
    <w:rPr>
      <w:rFonts w:ascii="Univers" w:eastAsia="Times New Roman" w:hAnsi="Univers" w:cs="Times New Roman"/>
      <w:b/>
      <w:bCs/>
      <w:lang w:val="nl-NL" w:eastAsia="nl-NL"/>
    </w:rPr>
  </w:style>
  <w:style w:type="character" w:customStyle="1" w:styleId="OnderwerpvanopmerkingChar">
    <w:name w:val="Onderwerp van opmerking Char"/>
    <w:basedOn w:val="TekstopmerkingChar"/>
    <w:link w:val="Onderwerpvanopmerking"/>
    <w:semiHidden/>
    <w:rsid w:val="00A03C69"/>
    <w:rPr>
      <w:rFonts w:ascii="Univers" w:eastAsiaTheme="minorHAnsi" w:hAnsi="Univers"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1288</ap:Words>
  <ap:Characters>7811</ap:Characters>
  <ap:DocSecurity>4</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2013-05-31T11:50:00.0000000Z</lastPrinted>
  <dcterms:created xsi:type="dcterms:W3CDTF">2021-03-15T10:54:00.0000000Z</dcterms:created>
  <dcterms:modified xsi:type="dcterms:W3CDTF">2021-03-15T10:54:00.0000000Z</dcterms:modified>
  <dc:description>------------------------</dc:description>
  <dc:subject/>
  <keywords/>
  <version/>
  <category/>
</coreProperties>
</file>