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bookmarkStart w:name="_GoBack" w:id="0"/>
      <w:bookmarkEnd w:id="0"/>
      <w:r>
        <w:t>Geachte voorzitter,</w:t>
      </w:r>
    </w:p>
    <w:p w:rsidR="00FC04CA" w:rsidP="00A827C6" w:rsidRDefault="00A827C6">
      <w:r>
        <w:t xml:space="preserve">Hierbij bied ik u aan de </w:t>
      </w:r>
      <w:r w:rsidR="00FC04CA">
        <w:t>vier</w:t>
      </w:r>
      <w:r w:rsidR="001B756D">
        <w:t>de</w:t>
      </w:r>
      <w:r>
        <w:t xml:space="preserve"> incide</w:t>
      </w:r>
      <w:r w:rsidR="00ED2D02">
        <w:t>ntele suppletoire begroting 202</w:t>
      </w:r>
      <w:r w:rsidR="00D23669">
        <w:t>1</w:t>
      </w:r>
      <w:r>
        <w:t xml:space="preserve"> </w:t>
      </w:r>
      <w:r w:rsidRPr="00456EEE" w:rsidR="00456EEE">
        <w:t xml:space="preserve">inzake aanvullende uitgaven vanwege COVID-19 van het ministerie van Volksgezondheid, Welzijn en Sport. </w:t>
      </w:r>
      <w:r>
        <w:t>Hierin zijn</w:t>
      </w:r>
      <w:r w:rsidR="00E767A1">
        <w:t xml:space="preserve"> </w:t>
      </w:r>
      <w:r>
        <w:t>de uitgaven</w:t>
      </w:r>
      <w:r w:rsidRPr="00E767A1" w:rsidR="00E767A1">
        <w:t xml:space="preserve"> budgettair verwerkt</w:t>
      </w:r>
      <w:r>
        <w:t xml:space="preserve"> </w:t>
      </w:r>
      <w:r w:rsidR="00353D01">
        <w:t xml:space="preserve">die voortvloeien </w:t>
      </w:r>
      <w:r w:rsidR="00ED2D02">
        <w:t xml:space="preserve">uit de </w:t>
      </w:r>
      <w:r w:rsidR="00FC04CA">
        <w:t>recentelijk aan uw Kamer toegezonden brieven. Het betreft de brief Stand van zaken COVID-19 van 23 februari 2021 (Kamerstukken II 2020/21, 25 295, nr. 996), de brief Aankoop extra doses BioNTechPfizer en Moderna van 23 februari 2021 (Kamerstukken II 2020/21, 25 292, nr. 995), de brief Stand van zaken COVID-19 van 12 februari 2021 (Kamerstukken II 2020/21, 25 295, nr. 988), de brief Stand van zaken COVID-19 van 2 februari (Kamerstukken II 2020/21, 25 295, nr. 950) en de brief Uitbreiding economisch steun- en herstelpakket van 21 januari 2021 met kenmerk CE-AEP 21019675.</w:t>
      </w:r>
      <w:r w:rsidR="00FC04CA">
        <w:br/>
      </w:r>
    </w:p>
    <w:p w:rsidR="00A827C6" w:rsidP="00A827C6" w:rsidRDefault="00A827C6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 w:rsidSect="007122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948" w:right="2777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49" w:rsidRDefault="000017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49" w:rsidRDefault="0000174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49" w:rsidRDefault="000017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749" w:rsidRDefault="0000174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04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04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04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04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001749" w:rsidRDefault="00001749" w:rsidP="00001749">
                          <w:pPr>
                            <w:pStyle w:val="Huisstijl-Referentiegegevens"/>
                          </w:pPr>
                          <w:r w:rsidRPr="00F7027D">
                            <w:t>1840222-219375-FEZ</w:t>
                          </w:r>
                        </w:p>
                        <w:p w:rsidR="00CF38F3" w:rsidRPr="00CF38F3" w:rsidRDefault="00CF38F3" w:rsidP="00CF38F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D2366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001749" w:rsidRDefault="00001749" w:rsidP="00001749">
                    <w:pPr>
                      <w:pStyle w:val="Huisstijl-Referentiegegevens"/>
                    </w:pPr>
                    <w:r w:rsidRPr="00F7027D">
                      <w:t>1840222-219375-FEZ</w:t>
                    </w:r>
                  </w:p>
                  <w:p w:rsidR="00CF38F3" w:rsidRPr="00CF38F3" w:rsidRDefault="00CF38F3" w:rsidP="00CF38F3">
                    <w:pPr>
                      <w:rPr>
                        <w:sz w:val="13"/>
                        <w:szCs w:val="13"/>
                      </w:rPr>
                    </w:pPr>
                    <w:bookmarkStart w:id="1" w:name="_GoBack"/>
                    <w:bookmarkEnd w:id="1"/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D23669">
                    <w:pPr>
                      <w:pStyle w:val="StandaardReferentiegegevens"/>
                    </w:pPr>
                    <w:r>
                      <w:t>1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D23669">
                                <w:r>
                                  <w:t xml:space="preserve">Aanbiedingsbrief </w:t>
                                </w:r>
                                <w:r w:rsidR="00FC04CA">
                                  <w:t>4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D23669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D23669">
                          <w:r>
                            <w:t xml:space="preserve">Aanbiedingsbrief </w:t>
                          </w:r>
                          <w:r w:rsidR="00FC04CA">
                            <w:t>4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D23669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122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122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122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122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B57E0"/>
    <w:rsid w:val="001B756D"/>
    <w:rsid w:val="001C2FAA"/>
    <w:rsid w:val="001D5902"/>
    <w:rsid w:val="00280B7D"/>
    <w:rsid w:val="002E1209"/>
    <w:rsid w:val="00353D01"/>
    <w:rsid w:val="003A5E83"/>
    <w:rsid w:val="003C7351"/>
    <w:rsid w:val="003E7C6F"/>
    <w:rsid w:val="0043657C"/>
    <w:rsid w:val="00455494"/>
    <w:rsid w:val="00456EEE"/>
    <w:rsid w:val="00494422"/>
    <w:rsid w:val="00497257"/>
    <w:rsid w:val="004B3444"/>
    <w:rsid w:val="004E1F7C"/>
    <w:rsid w:val="004F1EFE"/>
    <w:rsid w:val="004F5E36"/>
    <w:rsid w:val="005070C1"/>
    <w:rsid w:val="00532F17"/>
    <w:rsid w:val="00561CD9"/>
    <w:rsid w:val="005675F1"/>
    <w:rsid w:val="005F50C4"/>
    <w:rsid w:val="00634F76"/>
    <w:rsid w:val="00643BE4"/>
    <w:rsid w:val="00664035"/>
    <w:rsid w:val="00667F61"/>
    <w:rsid w:val="006F1DF2"/>
    <w:rsid w:val="007122E0"/>
    <w:rsid w:val="00733930"/>
    <w:rsid w:val="0074340E"/>
    <w:rsid w:val="0079534D"/>
    <w:rsid w:val="007A787A"/>
    <w:rsid w:val="0088222D"/>
    <w:rsid w:val="008A58A5"/>
    <w:rsid w:val="008D39EA"/>
    <w:rsid w:val="00917C38"/>
    <w:rsid w:val="009B1D9B"/>
    <w:rsid w:val="009D45FC"/>
    <w:rsid w:val="009F2627"/>
    <w:rsid w:val="00A0312C"/>
    <w:rsid w:val="00A05542"/>
    <w:rsid w:val="00A7493D"/>
    <w:rsid w:val="00A75F76"/>
    <w:rsid w:val="00A827C6"/>
    <w:rsid w:val="00AB1F71"/>
    <w:rsid w:val="00AE1B4A"/>
    <w:rsid w:val="00B01EE6"/>
    <w:rsid w:val="00BD1270"/>
    <w:rsid w:val="00BD5A44"/>
    <w:rsid w:val="00C27A71"/>
    <w:rsid w:val="00CD377D"/>
    <w:rsid w:val="00CF38F3"/>
    <w:rsid w:val="00D23669"/>
    <w:rsid w:val="00DB3DAB"/>
    <w:rsid w:val="00E12619"/>
    <w:rsid w:val="00E321A1"/>
    <w:rsid w:val="00E767A1"/>
    <w:rsid w:val="00EC6F07"/>
    <w:rsid w:val="00ED2D02"/>
    <w:rsid w:val="00F01C88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781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2021-03-12T15:46:00.0000000Z</dcterms:created>
  <dcterms:modified xsi:type="dcterms:W3CDTF">2021-03-12T15:46:00.0000000Z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0x0101004B4DB8D74381A64E93D24ADB0CE52243</vt:lpwstr>
  </property>
</Properties>
</file>