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F7B12" w:rsidR="00CB3578" w:rsidTr="00F13442">
        <w:trPr>
          <w:cantSplit/>
        </w:trPr>
        <w:tc>
          <w:tcPr>
            <w:tcW w:w="9142" w:type="dxa"/>
            <w:gridSpan w:val="2"/>
            <w:tcBorders>
              <w:top w:val="nil"/>
              <w:left w:val="nil"/>
              <w:bottom w:val="nil"/>
              <w:right w:val="nil"/>
            </w:tcBorders>
          </w:tcPr>
          <w:p w:rsidRPr="000E6D89" w:rsidR="000E6D89" w:rsidP="000D0DF5" w:rsidRDefault="000E6D89">
            <w:pPr>
              <w:tabs>
                <w:tab w:val="left" w:pos="-1440"/>
                <w:tab w:val="left" w:pos="-720"/>
              </w:tabs>
              <w:suppressAutoHyphens/>
              <w:rPr>
                <w:rFonts w:ascii="Times New Roman" w:hAnsi="Times New Roman"/>
              </w:rPr>
            </w:pPr>
            <w:r w:rsidRPr="000E6D89">
              <w:rPr>
                <w:rFonts w:ascii="Times New Roman" w:hAnsi="Times New Roman"/>
              </w:rPr>
              <w:t>De Tweede Kamer der Staten-</w:t>
            </w:r>
            <w:r w:rsidRPr="000E6D89">
              <w:rPr>
                <w:rFonts w:ascii="Times New Roman" w:hAnsi="Times New Roman"/>
              </w:rPr>
              <w:fldChar w:fldCharType="begin"/>
            </w:r>
            <w:r w:rsidRPr="000E6D89">
              <w:rPr>
                <w:rFonts w:ascii="Times New Roman" w:hAnsi="Times New Roman"/>
              </w:rPr>
              <w:instrText xml:space="preserve">PRIVATE </w:instrText>
            </w:r>
            <w:r w:rsidRPr="000E6D89">
              <w:rPr>
                <w:rFonts w:ascii="Times New Roman" w:hAnsi="Times New Roman"/>
              </w:rPr>
              <w:fldChar w:fldCharType="end"/>
            </w:r>
          </w:p>
          <w:p w:rsidRPr="000E6D89" w:rsidR="000E6D89" w:rsidP="000D0DF5" w:rsidRDefault="000E6D89">
            <w:pPr>
              <w:tabs>
                <w:tab w:val="left" w:pos="-1440"/>
                <w:tab w:val="left" w:pos="-720"/>
              </w:tabs>
              <w:suppressAutoHyphens/>
              <w:rPr>
                <w:rFonts w:ascii="Times New Roman" w:hAnsi="Times New Roman"/>
              </w:rPr>
            </w:pPr>
            <w:r w:rsidRPr="000E6D89">
              <w:rPr>
                <w:rFonts w:ascii="Times New Roman" w:hAnsi="Times New Roman"/>
              </w:rPr>
              <w:t>Generaal zendt bijgaand door</w:t>
            </w:r>
          </w:p>
          <w:p w:rsidRPr="000E6D89" w:rsidR="000E6D89" w:rsidP="000D0DF5" w:rsidRDefault="000E6D89">
            <w:pPr>
              <w:tabs>
                <w:tab w:val="left" w:pos="-1440"/>
                <w:tab w:val="left" w:pos="-720"/>
              </w:tabs>
              <w:suppressAutoHyphens/>
              <w:rPr>
                <w:rFonts w:ascii="Times New Roman" w:hAnsi="Times New Roman"/>
              </w:rPr>
            </w:pPr>
            <w:r w:rsidRPr="000E6D89">
              <w:rPr>
                <w:rFonts w:ascii="Times New Roman" w:hAnsi="Times New Roman"/>
              </w:rPr>
              <w:t>haar aangenomen wetsvoorstel</w:t>
            </w:r>
          </w:p>
          <w:p w:rsidRPr="000E6D89" w:rsidR="000E6D89" w:rsidP="000D0DF5" w:rsidRDefault="000E6D89">
            <w:pPr>
              <w:tabs>
                <w:tab w:val="left" w:pos="-1440"/>
                <w:tab w:val="left" w:pos="-720"/>
              </w:tabs>
              <w:suppressAutoHyphens/>
              <w:rPr>
                <w:rFonts w:ascii="Times New Roman" w:hAnsi="Times New Roman"/>
              </w:rPr>
            </w:pPr>
            <w:r w:rsidRPr="000E6D89">
              <w:rPr>
                <w:rFonts w:ascii="Times New Roman" w:hAnsi="Times New Roman"/>
              </w:rPr>
              <w:t>aan de Eerste Kamer.</w:t>
            </w:r>
          </w:p>
          <w:p w:rsidRPr="000E6D89" w:rsidR="000E6D89" w:rsidP="000D0DF5" w:rsidRDefault="000E6D89">
            <w:pPr>
              <w:tabs>
                <w:tab w:val="left" w:pos="-1440"/>
                <w:tab w:val="left" w:pos="-720"/>
              </w:tabs>
              <w:suppressAutoHyphens/>
              <w:rPr>
                <w:rFonts w:ascii="Times New Roman" w:hAnsi="Times New Roman"/>
              </w:rPr>
            </w:pPr>
          </w:p>
          <w:p w:rsidRPr="000E6D89" w:rsidR="000E6D89" w:rsidP="000D0DF5" w:rsidRDefault="000E6D89">
            <w:pPr>
              <w:tabs>
                <w:tab w:val="left" w:pos="-1440"/>
                <w:tab w:val="left" w:pos="-720"/>
              </w:tabs>
              <w:suppressAutoHyphens/>
              <w:rPr>
                <w:rFonts w:ascii="Times New Roman" w:hAnsi="Times New Roman"/>
              </w:rPr>
            </w:pPr>
            <w:r w:rsidRPr="000E6D89">
              <w:rPr>
                <w:rFonts w:ascii="Times New Roman" w:hAnsi="Times New Roman"/>
              </w:rPr>
              <w:t>De Voorzitter,</w:t>
            </w:r>
          </w:p>
          <w:p w:rsidRPr="000E6D89" w:rsidR="000E6D89" w:rsidP="000D0DF5" w:rsidRDefault="000E6D89">
            <w:pPr>
              <w:tabs>
                <w:tab w:val="left" w:pos="-1440"/>
                <w:tab w:val="left" w:pos="-720"/>
              </w:tabs>
              <w:suppressAutoHyphens/>
              <w:rPr>
                <w:rFonts w:ascii="Times New Roman" w:hAnsi="Times New Roman"/>
              </w:rPr>
            </w:pPr>
          </w:p>
          <w:p w:rsidRPr="000E6D89" w:rsidR="000E6D89" w:rsidP="000D0DF5" w:rsidRDefault="000E6D89">
            <w:pPr>
              <w:tabs>
                <w:tab w:val="left" w:pos="-1440"/>
                <w:tab w:val="left" w:pos="-720"/>
              </w:tabs>
              <w:suppressAutoHyphens/>
              <w:rPr>
                <w:rFonts w:ascii="Times New Roman" w:hAnsi="Times New Roman"/>
              </w:rPr>
            </w:pPr>
          </w:p>
          <w:p w:rsidRPr="000E6D89" w:rsidR="000E6D89" w:rsidP="000D0DF5" w:rsidRDefault="000E6D89">
            <w:pPr>
              <w:tabs>
                <w:tab w:val="left" w:pos="-1440"/>
                <w:tab w:val="left" w:pos="-720"/>
              </w:tabs>
              <w:suppressAutoHyphens/>
              <w:rPr>
                <w:rFonts w:ascii="Times New Roman" w:hAnsi="Times New Roman"/>
              </w:rPr>
            </w:pPr>
          </w:p>
          <w:p w:rsidRPr="000E6D89" w:rsidR="000E6D89" w:rsidP="000D0DF5" w:rsidRDefault="000E6D89">
            <w:pPr>
              <w:tabs>
                <w:tab w:val="left" w:pos="-1440"/>
                <w:tab w:val="left" w:pos="-720"/>
              </w:tabs>
              <w:suppressAutoHyphens/>
              <w:rPr>
                <w:rFonts w:ascii="Times New Roman" w:hAnsi="Times New Roman"/>
              </w:rPr>
            </w:pPr>
          </w:p>
          <w:p w:rsidRPr="000E6D89" w:rsidR="000E6D89" w:rsidP="000D0DF5" w:rsidRDefault="000E6D89">
            <w:pPr>
              <w:tabs>
                <w:tab w:val="left" w:pos="-1440"/>
                <w:tab w:val="left" w:pos="-720"/>
              </w:tabs>
              <w:suppressAutoHyphens/>
              <w:rPr>
                <w:rFonts w:ascii="Times New Roman" w:hAnsi="Times New Roman"/>
              </w:rPr>
            </w:pPr>
          </w:p>
          <w:p w:rsidRPr="000E6D89" w:rsidR="000E6D89" w:rsidP="000D0DF5" w:rsidRDefault="000E6D89">
            <w:pPr>
              <w:tabs>
                <w:tab w:val="left" w:pos="-1440"/>
                <w:tab w:val="left" w:pos="-720"/>
              </w:tabs>
              <w:suppressAutoHyphens/>
              <w:rPr>
                <w:rFonts w:ascii="Times New Roman" w:hAnsi="Times New Roman"/>
              </w:rPr>
            </w:pPr>
          </w:p>
          <w:p w:rsidRPr="000E6D89" w:rsidR="000E6D89" w:rsidP="000D0DF5" w:rsidRDefault="000E6D89">
            <w:pPr>
              <w:tabs>
                <w:tab w:val="left" w:pos="-1440"/>
                <w:tab w:val="left" w:pos="-720"/>
              </w:tabs>
              <w:suppressAutoHyphens/>
              <w:rPr>
                <w:rFonts w:ascii="Times New Roman" w:hAnsi="Times New Roman"/>
              </w:rPr>
            </w:pPr>
          </w:p>
          <w:p w:rsidRPr="000E6D89" w:rsidR="000E6D89" w:rsidP="000D0DF5" w:rsidRDefault="000E6D89">
            <w:pPr>
              <w:tabs>
                <w:tab w:val="left" w:pos="-1440"/>
                <w:tab w:val="left" w:pos="-720"/>
              </w:tabs>
              <w:suppressAutoHyphens/>
              <w:rPr>
                <w:rFonts w:ascii="Times New Roman" w:hAnsi="Times New Roman"/>
              </w:rPr>
            </w:pPr>
          </w:p>
          <w:p w:rsidRPr="000E6D89" w:rsidR="000E6D89" w:rsidP="000D0DF5" w:rsidRDefault="000E6D89">
            <w:pPr>
              <w:rPr>
                <w:rFonts w:ascii="Times New Roman" w:hAnsi="Times New Roman"/>
              </w:rPr>
            </w:pPr>
          </w:p>
          <w:p w:rsidRPr="000E6D89" w:rsidR="00CB3578" w:rsidP="00813577" w:rsidRDefault="000E6D89">
            <w:pPr>
              <w:pStyle w:val="Amendement"/>
              <w:rPr>
                <w:rFonts w:ascii="Times New Roman" w:hAnsi="Times New Roman" w:cs="Times New Roman"/>
                <w:b w:val="0"/>
              </w:rPr>
            </w:pPr>
            <w:r>
              <w:rPr>
                <w:rFonts w:ascii="Times New Roman" w:hAnsi="Times New Roman" w:cs="Times New Roman"/>
                <w:b w:val="0"/>
                <w:sz w:val="20"/>
              </w:rPr>
              <w:t>11 februari 2021</w:t>
            </w:r>
          </w:p>
        </w:tc>
      </w:tr>
      <w:tr w:rsidRPr="002F7B1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F7B12"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F7B12" w:rsidR="00CB3578" w:rsidRDefault="00CB3578">
            <w:pPr>
              <w:tabs>
                <w:tab w:val="left" w:pos="-1440"/>
                <w:tab w:val="left" w:pos="-720"/>
              </w:tabs>
              <w:suppressAutoHyphens/>
              <w:rPr>
                <w:rFonts w:ascii="Times New Roman" w:hAnsi="Times New Roman"/>
                <w:b/>
                <w:bCs/>
                <w:sz w:val="24"/>
              </w:rPr>
            </w:pPr>
          </w:p>
        </w:tc>
      </w:tr>
      <w:tr w:rsidRPr="002F7B12" w:rsidR="000E6D89" w:rsidTr="00DE5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F7B12" w:rsidR="000E6D89" w:rsidP="000D5BC4" w:rsidRDefault="000E6D89">
            <w:pPr>
              <w:rPr>
                <w:rFonts w:ascii="Times New Roman" w:hAnsi="Times New Roman"/>
                <w:b/>
                <w:sz w:val="24"/>
              </w:rPr>
            </w:pPr>
            <w:r w:rsidRPr="002F7B12">
              <w:rPr>
                <w:rFonts w:ascii="Times New Roman" w:hAnsi="Times New Roman"/>
                <w:b/>
                <w:sz w:val="24"/>
              </w:rPr>
              <w:t>Wijziging van Boek 2 van het Burgerlijk Wetboek in verband met het evenwichtiger maken van de verhouding tussen het aantal mannen en vrouwen in het bestuur en de raad van commissarissen van grote naaml</w:t>
            </w:r>
            <w:r>
              <w:rPr>
                <w:rFonts w:ascii="Times New Roman" w:hAnsi="Times New Roman"/>
                <w:b/>
                <w:sz w:val="24"/>
              </w:rPr>
              <w:t>oze en besloten vennootschappen</w:t>
            </w:r>
          </w:p>
        </w:tc>
      </w:tr>
      <w:tr w:rsidRPr="002F7B1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F7B12"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F7B12" w:rsidR="00CB3578" w:rsidRDefault="00CB3578">
            <w:pPr>
              <w:pStyle w:val="Amendement"/>
              <w:rPr>
                <w:rFonts w:ascii="Times New Roman" w:hAnsi="Times New Roman" w:cs="Times New Roman"/>
              </w:rPr>
            </w:pPr>
          </w:p>
        </w:tc>
      </w:tr>
      <w:tr w:rsidRPr="002F7B1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F7B12"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F7B12" w:rsidR="00CB3578" w:rsidRDefault="00CB3578">
            <w:pPr>
              <w:pStyle w:val="Amendement"/>
              <w:rPr>
                <w:rFonts w:ascii="Times New Roman" w:hAnsi="Times New Roman" w:cs="Times New Roman"/>
              </w:rPr>
            </w:pPr>
          </w:p>
        </w:tc>
      </w:tr>
      <w:tr w:rsidRPr="002F7B12" w:rsidR="000E6D89" w:rsidTr="00A91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F7B12" w:rsidR="000E6D89" w:rsidRDefault="000E6D89">
            <w:pPr>
              <w:pStyle w:val="Amendement"/>
              <w:rPr>
                <w:rFonts w:ascii="Times New Roman" w:hAnsi="Times New Roman" w:cs="Times New Roman"/>
              </w:rPr>
            </w:pPr>
            <w:r>
              <w:rPr>
                <w:rFonts w:ascii="Times New Roman" w:hAnsi="Times New Roman" w:cs="Times New Roman"/>
              </w:rPr>
              <w:t xml:space="preserve">GEWIJZIGD </w:t>
            </w:r>
            <w:r w:rsidRPr="002F7B12">
              <w:rPr>
                <w:rFonts w:ascii="Times New Roman" w:hAnsi="Times New Roman" w:cs="Times New Roman"/>
              </w:rPr>
              <w:t>VOORSTEL VAN WET</w:t>
            </w:r>
          </w:p>
        </w:tc>
      </w:tr>
      <w:tr w:rsidRPr="002F7B1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F7B12"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F7B12" w:rsidR="00CB3578" w:rsidRDefault="00CB3578">
            <w:pPr>
              <w:pStyle w:val="Amendement"/>
              <w:rPr>
                <w:rFonts w:ascii="Times New Roman" w:hAnsi="Times New Roman" w:cs="Times New Roman"/>
              </w:rPr>
            </w:pPr>
          </w:p>
        </w:tc>
      </w:tr>
    </w:tbl>
    <w:p w:rsidRPr="002F7B12" w:rsidR="002F7B12" w:rsidP="002F7B12" w:rsidRDefault="002F7B12">
      <w:pPr>
        <w:ind w:firstLine="284"/>
        <w:rPr>
          <w:rFonts w:ascii="Times New Roman" w:hAnsi="Times New Roman"/>
          <w:sz w:val="24"/>
        </w:rPr>
      </w:pPr>
      <w:r w:rsidRPr="002F7B12">
        <w:rPr>
          <w:rFonts w:ascii="Times New Roman" w:hAnsi="Times New Roman"/>
          <w:sz w:val="24"/>
        </w:rPr>
        <w:t>Wij Willem-Alexander, bij de gratie Gods, Koning der Nederlanden, Prins van Oranje-Nassau, enz. enz. enz.</w:t>
      </w:r>
    </w:p>
    <w:p w:rsidR="002F7B12" w:rsidP="002F7B12" w:rsidRDefault="002F7B12">
      <w:pPr>
        <w:rPr>
          <w:rFonts w:ascii="Times New Roman" w:hAnsi="Times New Roman"/>
          <w:sz w:val="24"/>
        </w:rPr>
      </w:pPr>
    </w:p>
    <w:p w:rsidRPr="002F7B12" w:rsidR="002F7B12" w:rsidP="002F7B12" w:rsidRDefault="002F7B12">
      <w:pPr>
        <w:ind w:firstLine="284"/>
        <w:rPr>
          <w:rFonts w:ascii="Times New Roman" w:hAnsi="Times New Roman"/>
          <w:sz w:val="24"/>
        </w:rPr>
      </w:pPr>
      <w:r w:rsidRPr="002F7B12">
        <w:rPr>
          <w:rFonts w:ascii="Times New Roman" w:hAnsi="Times New Roman"/>
          <w:sz w:val="24"/>
        </w:rPr>
        <w:t>Allen, die deze zullen zien of horen</w:t>
      </w:r>
      <w:r>
        <w:rPr>
          <w:rFonts w:ascii="Times New Roman" w:hAnsi="Times New Roman"/>
          <w:sz w:val="24"/>
        </w:rPr>
        <w:t xml:space="preserve"> lezen, saluut! doen te weten:</w:t>
      </w:r>
    </w:p>
    <w:p w:rsidRPr="002F7B12" w:rsidR="002F7B12" w:rsidP="002F7B12" w:rsidRDefault="002F7B12">
      <w:pPr>
        <w:ind w:firstLine="284"/>
        <w:rPr>
          <w:rFonts w:ascii="Times New Roman" w:hAnsi="Times New Roman"/>
          <w:sz w:val="24"/>
        </w:rPr>
      </w:pPr>
      <w:r w:rsidRPr="002F7B12">
        <w:rPr>
          <w:rFonts w:ascii="Times New Roman" w:hAnsi="Times New Roman"/>
          <w:sz w:val="24"/>
        </w:rPr>
        <w:t>Alzo Wij in overweging genomen hebben, dat het wenselijk is de verhouding tussen het aantal mannen en vrouwen in het bestuur en de raad van commissarissen van grote naamloze en besloten vennootschappen evenwichtiger te maken en dat daartoe Boek 2 van het Burgerlijk Wetb</w:t>
      </w:r>
      <w:r>
        <w:rPr>
          <w:rFonts w:ascii="Times New Roman" w:hAnsi="Times New Roman"/>
          <w:sz w:val="24"/>
        </w:rPr>
        <w:t>oek dient te worden gewijzigd;</w:t>
      </w:r>
    </w:p>
    <w:p w:rsidRPr="002F7B12" w:rsidR="002F7B12" w:rsidP="002F7B12" w:rsidRDefault="002F7B12">
      <w:pPr>
        <w:ind w:firstLine="284"/>
        <w:rPr>
          <w:rFonts w:ascii="Times New Roman" w:hAnsi="Times New Roman"/>
          <w:sz w:val="24"/>
        </w:rPr>
      </w:pPr>
      <w:r w:rsidRPr="002F7B12">
        <w:rPr>
          <w:rFonts w:ascii="Times New Roman" w:hAnsi="Times New Roman"/>
          <w:sz w:val="24"/>
        </w:rPr>
        <w:t>Zo is het, dat Wij, de Afdeling advisering van de Raad van State gehoord, en met gemeen overleg der Staten-Generaal, hebben goedgevonden en verstaan, gelijk Wij go</w:t>
      </w:r>
      <w:r>
        <w:rPr>
          <w:rFonts w:ascii="Times New Roman" w:hAnsi="Times New Roman"/>
          <w:sz w:val="24"/>
        </w:rPr>
        <w:t>edvinden en verstaan bij deze:</w:t>
      </w:r>
    </w:p>
    <w:p w:rsidR="002F7B12" w:rsidP="002F7B12" w:rsidRDefault="002F7B12">
      <w:pPr>
        <w:spacing w:after="18"/>
        <w:ind w:left="1"/>
        <w:rPr>
          <w:rFonts w:ascii="Times New Roman" w:hAnsi="Times New Roman"/>
          <w:sz w:val="24"/>
        </w:rPr>
      </w:pPr>
    </w:p>
    <w:p w:rsidR="002F7B12" w:rsidP="002F7B12" w:rsidRDefault="002F7B12">
      <w:pPr>
        <w:spacing w:after="18"/>
        <w:ind w:left="1"/>
        <w:rPr>
          <w:rFonts w:ascii="Times New Roman" w:hAnsi="Times New Roman"/>
          <w:sz w:val="24"/>
        </w:rPr>
      </w:pPr>
    </w:p>
    <w:p w:rsidRPr="002F7B12" w:rsidR="002F7B12" w:rsidP="002F7B12" w:rsidRDefault="002F7B12">
      <w:pPr>
        <w:spacing w:after="18"/>
        <w:ind w:left="1"/>
        <w:rPr>
          <w:rFonts w:ascii="Times New Roman" w:hAnsi="Times New Roman"/>
          <w:b/>
          <w:sz w:val="24"/>
        </w:rPr>
      </w:pPr>
      <w:r w:rsidRPr="002F7B12">
        <w:rPr>
          <w:rFonts w:ascii="Times New Roman" w:hAnsi="Times New Roman"/>
          <w:b/>
          <w:sz w:val="24"/>
        </w:rPr>
        <w:t>ARTIKEL I</w:t>
      </w:r>
    </w:p>
    <w:p w:rsidRPr="002F7B12" w:rsidR="002F7B12" w:rsidP="002F7B12" w:rsidRDefault="002F7B12">
      <w:pPr>
        <w:rPr>
          <w:rFonts w:ascii="Times New Roman" w:hAnsi="Times New Roman"/>
          <w:sz w:val="24"/>
        </w:rPr>
      </w:pPr>
    </w:p>
    <w:p w:rsidRPr="002F7B12" w:rsidR="002F7B12" w:rsidP="006B220E" w:rsidRDefault="002F7B12">
      <w:pPr>
        <w:ind w:firstLine="284"/>
        <w:rPr>
          <w:rFonts w:ascii="Times New Roman" w:hAnsi="Times New Roman"/>
          <w:sz w:val="24"/>
        </w:rPr>
      </w:pPr>
      <w:r w:rsidRPr="002F7B12">
        <w:rPr>
          <w:rFonts w:ascii="Times New Roman" w:hAnsi="Times New Roman"/>
          <w:sz w:val="24"/>
        </w:rPr>
        <w:t>Boek 2 van het Burgerlijk Wetboek wordt als volgt gewijzigd:</w:t>
      </w:r>
    </w:p>
    <w:p w:rsidR="002F7B12" w:rsidP="002F7B12" w:rsidRDefault="002F7B12">
      <w:pPr>
        <w:rPr>
          <w:rFonts w:ascii="Times New Roman" w:hAnsi="Times New Roman"/>
          <w:sz w:val="24"/>
        </w:rPr>
      </w:pPr>
    </w:p>
    <w:p w:rsidRPr="002F7B12" w:rsidR="002F7B12" w:rsidP="002F7B12" w:rsidRDefault="002F7B12">
      <w:pPr>
        <w:rPr>
          <w:rFonts w:ascii="Times New Roman" w:hAnsi="Times New Roman"/>
          <w:sz w:val="24"/>
        </w:rPr>
      </w:pPr>
      <w:r>
        <w:rPr>
          <w:rFonts w:ascii="Times New Roman" w:hAnsi="Times New Roman"/>
          <w:sz w:val="24"/>
        </w:rPr>
        <w:t>A</w:t>
      </w:r>
    </w:p>
    <w:p w:rsidR="002F7B12" w:rsidP="002F7B12" w:rsidRDefault="002F7B12">
      <w:pPr>
        <w:rPr>
          <w:rFonts w:ascii="Times New Roman" w:hAnsi="Times New Roman"/>
          <w:sz w:val="24"/>
        </w:rPr>
      </w:pPr>
    </w:p>
    <w:p w:rsidRPr="002F7B12" w:rsidR="002F7B12" w:rsidP="002F7B12" w:rsidRDefault="002F7B12">
      <w:pPr>
        <w:ind w:firstLine="284"/>
        <w:rPr>
          <w:rFonts w:ascii="Times New Roman" w:hAnsi="Times New Roman"/>
          <w:sz w:val="24"/>
        </w:rPr>
      </w:pPr>
      <w:r w:rsidRPr="002F7B12">
        <w:rPr>
          <w:rFonts w:ascii="Times New Roman" w:hAnsi="Times New Roman"/>
          <w:sz w:val="24"/>
        </w:rPr>
        <w:t>Na artikel 142a wordt een artikel ingevoegd, luidende:</w:t>
      </w:r>
    </w:p>
    <w:p w:rsidR="002F7B12" w:rsidP="002F7B12" w:rsidRDefault="002F7B12">
      <w:pPr>
        <w:rPr>
          <w:rFonts w:ascii="Times New Roman" w:hAnsi="Times New Roman"/>
          <w:sz w:val="24"/>
        </w:rPr>
      </w:pPr>
    </w:p>
    <w:p w:rsidRPr="002F7B12" w:rsidR="002F7B12" w:rsidP="002F7B12" w:rsidRDefault="002F7B12">
      <w:pPr>
        <w:rPr>
          <w:rFonts w:ascii="Times New Roman" w:hAnsi="Times New Roman"/>
          <w:b/>
          <w:sz w:val="24"/>
        </w:rPr>
      </w:pPr>
      <w:r w:rsidRPr="002F7B12">
        <w:rPr>
          <w:rFonts w:ascii="Times New Roman" w:hAnsi="Times New Roman"/>
          <w:b/>
          <w:sz w:val="24"/>
        </w:rPr>
        <w:t xml:space="preserve">Artikel 142b </w:t>
      </w:r>
    </w:p>
    <w:p w:rsidR="002F7B12" w:rsidP="002F7B12" w:rsidRDefault="002F7B12">
      <w:pPr>
        <w:rPr>
          <w:rFonts w:ascii="Times New Roman" w:hAnsi="Times New Roman"/>
          <w:color w:val="2F2F2F"/>
          <w:sz w:val="24"/>
        </w:rPr>
      </w:pPr>
    </w:p>
    <w:p w:rsidRPr="002F7B12" w:rsidR="002F7B12" w:rsidP="002F7B12" w:rsidRDefault="002F7B12">
      <w:pPr>
        <w:ind w:firstLine="284"/>
        <w:rPr>
          <w:rFonts w:ascii="Times New Roman" w:hAnsi="Times New Roman"/>
          <w:sz w:val="24"/>
        </w:rPr>
      </w:pPr>
      <w:r w:rsidRPr="002F7B12">
        <w:rPr>
          <w:rFonts w:ascii="Times New Roman" w:hAnsi="Times New Roman"/>
          <w:color w:val="2F2F2F"/>
          <w:sz w:val="24"/>
        </w:rPr>
        <w:t xml:space="preserve">1. Dit artikel is van toepassing op een vennootschap waarvan aandelen of certificaten van aandelen zijn toegelaten tot de handel op een gereglementeerde markt als bedoeld in artikel 1:1 van de Wet op het financieel toezicht in Nederland. </w:t>
      </w:r>
    </w:p>
    <w:p w:rsidRPr="002F7B12" w:rsidR="002F7B12" w:rsidP="002F7B12" w:rsidRDefault="002F7B12">
      <w:pPr>
        <w:ind w:firstLine="284"/>
        <w:rPr>
          <w:rFonts w:ascii="Times New Roman" w:hAnsi="Times New Roman"/>
          <w:sz w:val="24"/>
        </w:rPr>
      </w:pPr>
      <w:r w:rsidRPr="002F7B12">
        <w:rPr>
          <w:rFonts w:ascii="Times New Roman" w:hAnsi="Times New Roman"/>
          <w:color w:val="2F2F2F"/>
          <w:sz w:val="24"/>
        </w:rPr>
        <w:t xml:space="preserve">2. Zolang de raad van commissarissen niet voor ten minste een derde van het aantal leden uit mannen bestaat en voor ten minste een derde van het aantal leden uit vrouwen, kan een </w:t>
      </w:r>
      <w:r w:rsidRPr="002F7B12">
        <w:rPr>
          <w:rFonts w:ascii="Times New Roman" w:hAnsi="Times New Roman"/>
          <w:color w:val="2F2F2F"/>
          <w:sz w:val="24"/>
        </w:rPr>
        <w:lastRenderedPageBreak/>
        <w:t>persoon wiens benoeming de verhouding tussen het aantal mannen en vrouwen in de raad van commissarissen niet evenwichtiger zou maken, niet tot commissaris worden benoemd, tenzij sprake is van een herbenoeming</w:t>
      </w:r>
      <w:r w:rsidRPr="002F7B12">
        <w:rPr>
          <w:rFonts w:ascii="Times New Roman" w:hAnsi="Times New Roman"/>
          <w:color w:val="333333"/>
          <w:sz w:val="24"/>
        </w:rPr>
        <w:t xml:space="preserve"> binnen acht jaar na het jaar van benoeming of van uitzonderlijke omstandigheden als bedoeld in artikel 135a lid 5</w:t>
      </w:r>
      <w:r w:rsidRPr="002F7B12">
        <w:rPr>
          <w:rFonts w:ascii="Times New Roman" w:hAnsi="Times New Roman"/>
          <w:color w:val="2F2F2F"/>
          <w:sz w:val="24"/>
        </w:rPr>
        <w:t xml:space="preserve">. Indien het aantal leden van de raad van commissarissen niet door drie deelbaar is, wordt het naastgelegen hogere getal dat wel door drie deelbaar is in aanmerking genomen voor de vaststelling van het aantal leden bedoeld in de vorige zin. De vorige zinnen gelden niet indien de raad van commissarissen bestaat uit één persoon. </w:t>
      </w:r>
    </w:p>
    <w:p w:rsidRPr="002F7B12" w:rsidR="002F7B12" w:rsidP="002F7B12" w:rsidRDefault="002F7B12">
      <w:pPr>
        <w:ind w:firstLine="284"/>
        <w:rPr>
          <w:rFonts w:ascii="Times New Roman" w:hAnsi="Times New Roman"/>
          <w:sz w:val="24"/>
        </w:rPr>
      </w:pPr>
      <w:r w:rsidRPr="002F7B12">
        <w:rPr>
          <w:rFonts w:ascii="Times New Roman" w:hAnsi="Times New Roman"/>
          <w:sz w:val="24"/>
        </w:rPr>
        <w:t xml:space="preserve">3. Indien toepassing is gegeven aan artikel 129a, zijn de vorige leden van overeenkomstige toepassing op niet-uitvoerende </w:t>
      </w:r>
      <w:r w:rsidR="00324F49">
        <w:rPr>
          <w:rFonts w:ascii="Times New Roman" w:hAnsi="Times New Roman"/>
          <w:color w:val="2F2F2F"/>
          <w:sz w:val="24"/>
        </w:rPr>
        <w:t>bestuurders.</w:t>
      </w:r>
    </w:p>
    <w:p w:rsidRPr="002F7B12" w:rsidR="002F7B12" w:rsidP="002F7B12" w:rsidRDefault="002F7B12">
      <w:pPr>
        <w:ind w:firstLine="284"/>
        <w:rPr>
          <w:rFonts w:ascii="Times New Roman" w:hAnsi="Times New Roman"/>
          <w:sz w:val="24"/>
        </w:rPr>
      </w:pPr>
      <w:r w:rsidRPr="002F7B12">
        <w:rPr>
          <w:rFonts w:ascii="Times New Roman" w:hAnsi="Times New Roman"/>
          <w:sz w:val="24"/>
        </w:rPr>
        <w:t>4. Voor de toepassing van leden 2 en 3 geldt een tijdelijke aanstelling overeenkomstig</w:t>
      </w:r>
      <w:hyperlink w:anchor="Boek2_Titeldeel8_Afdeling2_Artikel349a" r:id="rId7">
        <w:r w:rsidRPr="002F7B12">
          <w:rPr>
            <w:rFonts w:ascii="Times New Roman" w:hAnsi="Times New Roman"/>
            <w:sz w:val="24"/>
          </w:rPr>
          <w:t xml:space="preserve"> artikel </w:t>
        </w:r>
      </w:hyperlink>
      <w:hyperlink w:anchor="Boek2_Titeldeel8_Afdeling2_Artikel349a" r:id="rId8">
        <w:r w:rsidRPr="002F7B12">
          <w:rPr>
            <w:rFonts w:ascii="Times New Roman" w:hAnsi="Times New Roman"/>
            <w:sz w:val="24"/>
          </w:rPr>
          <w:t xml:space="preserve">349a lid 2 </w:t>
        </w:r>
      </w:hyperlink>
      <w:r w:rsidRPr="002F7B12">
        <w:rPr>
          <w:rFonts w:ascii="Times New Roman" w:hAnsi="Times New Roman"/>
          <w:sz w:val="24"/>
        </w:rPr>
        <w:t>of</w:t>
      </w:r>
      <w:hyperlink w:anchor="Boek2_Titeldeel8_Afdeling2_Artikel356" r:id="rId9">
        <w:r w:rsidRPr="002F7B12">
          <w:rPr>
            <w:rFonts w:ascii="Times New Roman" w:hAnsi="Times New Roman"/>
            <w:sz w:val="24"/>
          </w:rPr>
          <w:t xml:space="preserve"> artikel 356 onder c niet als benoeming en telt de aangestelde commissaris of niet-uitvoerende bestuurder niet mee.</w:t>
        </w:r>
      </w:hyperlink>
      <w:r w:rsidRPr="002F7B12">
        <w:rPr>
          <w:rFonts w:ascii="Times New Roman" w:hAnsi="Times New Roman"/>
          <w:sz w:val="24"/>
        </w:rPr>
        <w:t xml:space="preserve"> </w:t>
      </w:r>
    </w:p>
    <w:p w:rsidRPr="002F7B12" w:rsidR="002F7B12" w:rsidP="002F7B12" w:rsidRDefault="002F7B12">
      <w:pPr>
        <w:ind w:firstLine="284"/>
        <w:rPr>
          <w:rFonts w:ascii="Times New Roman" w:hAnsi="Times New Roman"/>
          <w:sz w:val="24"/>
        </w:rPr>
      </w:pPr>
      <w:r w:rsidRPr="002F7B12">
        <w:rPr>
          <w:rFonts w:ascii="Times New Roman" w:hAnsi="Times New Roman"/>
          <w:sz w:val="24"/>
        </w:rPr>
        <w:t xml:space="preserve">5. De nietigheid van een benoeming wegens strijd met lid 2 of lid 3 heeft geen gevolgen voor de rechtsgeldigheid van de besluitvorming waaraan is deelgenomen. </w:t>
      </w:r>
    </w:p>
    <w:p w:rsidRPr="002F7B12" w:rsidR="002F7B12" w:rsidP="002F7B12" w:rsidRDefault="002F7B12">
      <w:pPr>
        <w:ind w:firstLine="284"/>
        <w:rPr>
          <w:rFonts w:ascii="Times New Roman" w:hAnsi="Times New Roman"/>
          <w:sz w:val="24"/>
        </w:rPr>
      </w:pPr>
      <w:r w:rsidRPr="002F7B12">
        <w:rPr>
          <w:rFonts w:ascii="Times New Roman" w:hAnsi="Times New Roman"/>
          <w:sz w:val="24"/>
        </w:rPr>
        <w:t>6. Een benoeming in geval van uitzonderlijke omstandigheden als bedoeld in lid 2 geldt voor de duur van ten hoogste twee jaar.</w:t>
      </w:r>
    </w:p>
    <w:p w:rsidRPr="002F7B12" w:rsidR="002F7B12" w:rsidP="002F7B12" w:rsidRDefault="002F7B12">
      <w:pPr>
        <w:rPr>
          <w:rFonts w:ascii="Times New Roman" w:hAnsi="Times New Roman"/>
          <w:sz w:val="24"/>
        </w:rPr>
      </w:pPr>
    </w:p>
    <w:p w:rsidRPr="002F7B12" w:rsidR="002F7B12" w:rsidP="002F7B12" w:rsidRDefault="002F7B12">
      <w:pPr>
        <w:rPr>
          <w:rFonts w:ascii="Times New Roman" w:hAnsi="Times New Roman"/>
          <w:sz w:val="24"/>
        </w:rPr>
      </w:pPr>
      <w:r w:rsidRPr="002F7B12">
        <w:rPr>
          <w:rFonts w:ascii="Times New Roman" w:hAnsi="Times New Roman"/>
          <w:sz w:val="24"/>
        </w:rPr>
        <w:t>B</w:t>
      </w:r>
    </w:p>
    <w:p w:rsidR="002F7B12" w:rsidP="002F7B12" w:rsidRDefault="002F7B12">
      <w:pPr>
        <w:rPr>
          <w:rFonts w:ascii="Times New Roman" w:hAnsi="Times New Roman"/>
          <w:color w:val="201D1F"/>
          <w:sz w:val="24"/>
        </w:rPr>
      </w:pPr>
    </w:p>
    <w:p w:rsidRPr="002F7B12" w:rsidR="002F7B12" w:rsidP="002F7B12" w:rsidRDefault="002F7B12">
      <w:pPr>
        <w:ind w:firstLine="284"/>
        <w:rPr>
          <w:rFonts w:ascii="Times New Roman" w:hAnsi="Times New Roman"/>
          <w:sz w:val="24"/>
        </w:rPr>
      </w:pPr>
      <w:r w:rsidRPr="002F7B12">
        <w:rPr>
          <w:rFonts w:ascii="Times New Roman" w:hAnsi="Times New Roman"/>
          <w:color w:val="201D1F"/>
          <w:sz w:val="24"/>
        </w:rPr>
        <w:t xml:space="preserve">In Afdeling 7 van titel 4 wordt een artikel ingevoegd, luidende: </w:t>
      </w:r>
    </w:p>
    <w:p w:rsidR="002F7B12" w:rsidP="002F7B12" w:rsidRDefault="002F7B12">
      <w:pPr>
        <w:rPr>
          <w:rFonts w:ascii="Times New Roman" w:hAnsi="Times New Roman"/>
          <w:sz w:val="24"/>
        </w:rPr>
      </w:pPr>
    </w:p>
    <w:p w:rsidRPr="002F7B12" w:rsidR="002F7B12" w:rsidP="002F7B12" w:rsidRDefault="002F7B12">
      <w:pPr>
        <w:rPr>
          <w:rFonts w:ascii="Times New Roman" w:hAnsi="Times New Roman"/>
          <w:b/>
          <w:sz w:val="24"/>
        </w:rPr>
      </w:pPr>
      <w:r w:rsidRPr="002F7B12">
        <w:rPr>
          <w:rFonts w:ascii="Times New Roman" w:hAnsi="Times New Roman"/>
          <w:b/>
          <w:sz w:val="24"/>
        </w:rPr>
        <w:t xml:space="preserve">Artikel 166 </w:t>
      </w:r>
    </w:p>
    <w:p w:rsidR="002F7B12" w:rsidP="002F7B12" w:rsidRDefault="002F7B12">
      <w:pPr>
        <w:rPr>
          <w:rFonts w:ascii="Times New Roman" w:hAnsi="Times New Roman"/>
          <w:color w:val="201D1F"/>
          <w:sz w:val="24"/>
        </w:rPr>
      </w:pPr>
    </w:p>
    <w:p w:rsidRPr="002F7B12" w:rsidR="002F7B12" w:rsidP="002F7B12" w:rsidRDefault="002F7B12">
      <w:pPr>
        <w:ind w:firstLine="284"/>
        <w:rPr>
          <w:rFonts w:ascii="Times New Roman" w:hAnsi="Times New Roman"/>
          <w:sz w:val="24"/>
        </w:rPr>
      </w:pPr>
      <w:r w:rsidRPr="002F7B12">
        <w:rPr>
          <w:rFonts w:ascii="Times New Roman" w:hAnsi="Times New Roman"/>
          <w:color w:val="201D1F"/>
          <w:sz w:val="24"/>
        </w:rPr>
        <w:t xml:space="preserve">1. Dit artikel is van toepassing op een vennootschap die </w:t>
      </w:r>
      <w:r w:rsidRPr="002F7B12">
        <w:rPr>
          <w:rFonts w:ascii="Times New Roman" w:hAnsi="Times New Roman"/>
          <w:color w:val="2F2F2F"/>
          <w:sz w:val="24"/>
        </w:rPr>
        <w:t xml:space="preserve">op twee opeenvolgende balansdata, zonder onderbreking nadien op twee opeenvolgende balansdata, niet heeft voldaan aan ten minste twee van de vereisten, bedoeld in artikel 397 leden 1 en 2. </w:t>
      </w:r>
    </w:p>
    <w:p w:rsidRPr="002F7B12" w:rsidR="002F7B12" w:rsidP="002F7B12" w:rsidRDefault="002F7B12">
      <w:pPr>
        <w:ind w:firstLine="284"/>
        <w:rPr>
          <w:rFonts w:ascii="Times New Roman" w:hAnsi="Times New Roman"/>
          <w:sz w:val="24"/>
        </w:rPr>
      </w:pPr>
      <w:r w:rsidRPr="002F7B12">
        <w:rPr>
          <w:rFonts w:ascii="Times New Roman" w:hAnsi="Times New Roman"/>
          <w:color w:val="2F2F2F"/>
          <w:sz w:val="24"/>
        </w:rPr>
        <w:t xml:space="preserve">2. De vennootschap stelt passende en ambitieuze doelen in de vorm van een streefcijfer vast om de verhouding tussen het aantal mannen en vrouwen in het bestuur en de raad van commissarissen, alsmede bij nader door de vennootschap te bepalen categorieën werknemers in leidinggevende functies, evenwichtiger te maken. Indien het bestuur en de raad van commissarissen bestaan uit één persoon, kan een streefcijfer worden vastgesteld voor beide organen gezamenlijk. </w:t>
      </w:r>
      <w:r w:rsidRPr="002F7B12">
        <w:rPr>
          <w:rFonts w:ascii="Times New Roman" w:hAnsi="Times New Roman"/>
          <w:color w:val="333333"/>
          <w:sz w:val="24"/>
        </w:rPr>
        <w:t>Indien artikel 142b lid 2 of 3 van toepassing is, behoeft voor de raad van commissarissen dan wel de niet-uitvoerende bestuurders geen streefcijfer te worden vastgesteld.</w:t>
      </w:r>
    </w:p>
    <w:p w:rsidRPr="002F7B12" w:rsidR="002F7B12" w:rsidP="002F7B12" w:rsidRDefault="002F7B12">
      <w:pPr>
        <w:ind w:firstLine="284"/>
        <w:rPr>
          <w:rFonts w:ascii="Times New Roman" w:hAnsi="Times New Roman"/>
          <w:sz w:val="24"/>
        </w:rPr>
      </w:pPr>
      <w:r w:rsidRPr="002F7B12">
        <w:rPr>
          <w:rFonts w:ascii="Times New Roman" w:hAnsi="Times New Roman"/>
          <w:color w:val="2F2F2F"/>
          <w:sz w:val="24"/>
        </w:rPr>
        <w:t>3. De vennootschap stelt een plan op om de in het vorige l</w:t>
      </w:r>
      <w:r w:rsidR="00324F49">
        <w:rPr>
          <w:rFonts w:ascii="Times New Roman" w:hAnsi="Times New Roman"/>
          <w:color w:val="2F2F2F"/>
          <w:sz w:val="24"/>
        </w:rPr>
        <w:t>id gestelde doelen te bereiken.</w:t>
      </w:r>
    </w:p>
    <w:p w:rsidRPr="002F7B12" w:rsidR="002F7B12" w:rsidP="002F7B12" w:rsidRDefault="002F7B12">
      <w:pPr>
        <w:ind w:firstLine="284"/>
        <w:rPr>
          <w:rFonts w:ascii="Times New Roman" w:hAnsi="Times New Roman"/>
          <w:color w:val="2F2F2F"/>
          <w:sz w:val="24"/>
        </w:rPr>
      </w:pPr>
      <w:r w:rsidRPr="002F7B12">
        <w:rPr>
          <w:rFonts w:ascii="Times New Roman" w:hAnsi="Times New Roman"/>
          <w:color w:val="2F2F2F"/>
          <w:sz w:val="24"/>
        </w:rPr>
        <w:t xml:space="preserve">4. Jaarlijks binnen tien maanden na afloop van het boekjaar, rapporteert de vennootschap aan de Sociaal Economische Raad over het aantal mannen en vrouwen dat aan het eind van het boekjaar deel uitmaakt van het bestuur en de raad van commissarissen, alsmede van de nader door de vennootschap te bepalen categorieën werknemers in leidinggevende functies, de doelen in de vorm van een streefcijfer, het plan om deze doelen te bereiken en als één of meer doelen niet zijn bereikt, de redenen daarvoor. </w:t>
      </w:r>
    </w:p>
    <w:p w:rsidRPr="002F7B12" w:rsidR="002F7B12" w:rsidP="002F7B12" w:rsidRDefault="002F7B12">
      <w:pPr>
        <w:ind w:firstLine="284"/>
        <w:rPr>
          <w:rFonts w:ascii="Times New Roman" w:hAnsi="Times New Roman"/>
          <w:color w:val="2F2F2F"/>
          <w:sz w:val="24"/>
        </w:rPr>
      </w:pPr>
      <w:r w:rsidRPr="002F7B12">
        <w:rPr>
          <w:rFonts w:ascii="Times New Roman" w:hAnsi="Times New Roman"/>
          <w:color w:val="2F2F2F"/>
          <w:sz w:val="24"/>
        </w:rPr>
        <w:t>5. Een tot een groep behorende vennootschap behoeft niet te voldoen aan de leden 2 tot en met 4, mits de vennootschap die aan het hoofd staat van de groep in plaats van de groepsmaatschappij aan de uit deze leden voortvloeiende verplichtingen uitvoering geeft, al dan niet voor de betreffende groepsmaatschappijen gezamenlijk.</w:t>
      </w:r>
    </w:p>
    <w:p w:rsidR="002F7B12" w:rsidP="002F7B12" w:rsidRDefault="002F7B12">
      <w:pPr>
        <w:rPr>
          <w:rFonts w:ascii="Times New Roman" w:hAnsi="Times New Roman"/>
          <w:color w:val="201D1F"/>
          <w:sz w:val="24"/>
        </w:rPr>
      </w:pPr>
    </w:p>
    <w:p w:rsidRPr="002F7B12" w:rsidR="002F7B12" w:rsidP="002F7B12" w:rsidRDefault="002F7B12">
      <w:pPr>
        <w:rPr>
          <w:rFonts w:ascii="Times New Roman" w:hAnsi="Times New Roman"/>
          <w:sz w:val="24"/>
        </w:rPr>
      </w:pPr>
      <w:r w:rsidRPr="002F7B12">
        <w:rPr>
          <w:rFonts w:ascii="Times New Roman" w:hAnsi="Times New Roman"/>
          <w:color w:val="201D1F"/>
          <w:sz w:val="24"/>
        </w:rPr>
        <w:t xml:space="preserve">C </w:t>
      </w:r>
    </w:p>
    <w:p w:rsidR="002F7B12" w:rsidP="002F7B12" w:rsidRDefault="002F7B12">
      <w:pPr>
        <w:rPr>
          <w:rFonts w:ascii="Times New Roman" w:hAnsi="Times New Roman"/>
          <w:color w:val="201D1F"/>
          <w:sz w:val="24"/>
        </w:rPr>
      </w:pPr>
    </w:p>
    <w:p w:rsidRPr="002F7B12" w:rsidR="002F7B12" w:rsidP="002F7B12" w:rsidRDefault="002F7B12">
      <w:pPr>
        <w:ind w:firstLine="284"/>
        <w:rPr>
          <w:rFonts w:ascii="Times New Roman" w:hAnsi="Times New Roman"/>
          <w:sz w:val="24"/>
        </w:rPr>
      </w:pPr>
      <w:r w:rsidRPr="002F7B12">
        <w:rPr>
          <w:rFonts w:ascii="Times New Roman" w:hAnsi="Times New Roman"/>
          <w:color w:val="201D1F"/>
          <w:sz w:val="24"/>
        </w:rPr>
        <w:lastRenderedPageBreak/>
        <w:t xml:space="preserve">In artikel 187, eerste volzin, wordt na “135b,” ingevoegd: “142b,” en in de laatste volzin wordt na “artikelen” ingevoegd: “142b,”. </w:t>
      </w:r>
    </w:p>
    <w:p w:rsidR="002F7B12" w:rsidP="002F7B12" w:rsidRDefault="002F7B12">
      <w:pPr>
        <w:rPr>
          <w:rFonts w:ascii="Times New Roman" w:hAnsi="Times New Roman"/>
          <w:color w:val="201D1F"/>
          <w:sz w:val="24"/>
        </w:rPr>
      </w:pPr>
    </w:p>
    <w:p w:rsidRPr="002F7B12" w:rsidR="002F7B12" w:rsidP="002F7B12" w:rsidRDefault="002F7B12">
      <w:pPr>
        <w:rPr>
          <w:rFonts w:ascii="Times New Roman" w:hAnsi="Times New Roman"/>
          <w:sz w:val="24"/>
        </w:rPr>
      </w:pPr>
      <w:r w:rsidRPr="002F7B12">
        <w:rPr>
          <w:rFonts w:ascii="Times New Roman" w:hAnsi="Times New Roman"/>
          <w:color w:val="201D1F"/>
          <w:sz w:val="24"/>
        </w:rPr>
        <w:t xml:space="preserve">D </w:t>
      </w:r>
    </w:p>
    <w:p w:rsidR="002F7B12" w:rsidP="002F7B12" w:rsidRDefault="002F7B12">
      <w:pPr>
        <w:rPr>
          <w:rFonts w:ascii="Times New Roman" w:hAnsi="Times New Roman"/>
          <w:color w:val="201D1F"/>
          <w:sz w:val="24"/>
        </w:rPr>
      </w:pPr>
    </w:p>
    <w:p w:rsidRPr="002F7B12" w:rsidR="002F7B12" w:rsidP="002F7B12" w:rsidRDefault="002F7B12">
      <w:pPr>
        <w:ind w:firstLine="284"/>
        <w:rPr>
          <w:rFonts w:ascii="Times New Roman" w:hAnsi="Times New Roman"/>
          <w:sz w:val="24"/>
        </w:rPr>
      </w:pPr>
      <w:r w:rsidRPr="002F7B12">
        <w:rPr>
          <w:rFonts w:ascii="Times New Roman" w:hAnsi="Times New Roman"/>
          <w:color w:val="201D1F"/>
          <w:sz w:val="24"/>
        </w:rPr>
        <w:t xml:space="preserve">In Afdeling 7 van titel 5 wordt een artikel ingevoegd, luidende: </w:t>
      </w:r>
    </w:p>
    <w:p w:rsidR="002F7B12" w:rsidP="002F7B12" w:rsidRDefault="002F7B12">
      <w:pPr>
        <w:rPr>
          <w:rFonts w:ascii="Times New Roman" w:hAnsi="Times New Roman"/>
          <w:sz w:val="24"/>
        </w:rPr>
      </w:pPr>
    </w:p>
    <w:p w:rsidRPr="002F7B12" w:rsidR="002F7B12" w:rsidP="002F7B12" w:rsidRDefault="002F7B12">
      <w:pPr>
        <w:rPr>
          <w:rFonts w:ascii="Times New Roman" w:hAnsi="Times New Roman"/>
          <w:b/>
          <w:sz w:val="24"/>
        </w:rPr>
      </w:pPr>
      <w:r w:rsidRPr="002F7B12">
        <w:rPr>
          <w:rFonts w:ascii="Times New Roman" w:hAnsi="Times New Roman"/>
          <w:b/>
          <w:sz w:val="24"/>
        </w:rPr>
        <w:t xml:space="preserve">Artikel 276 </w:t>
      </w:r>
    </w:p>
    <w:p w:rsidR="002F7B12" w:rsidP="002F7B12" w:rsidRDefault="002F7B12">
      <w:pPr>
        <w:rPr>
          <w:rFonts w:ascii="Times New Roman" w:hAnsi="Times New Roman"/>
          <w:color w:val="201D1F"/>
          <w:sz w:val="24"/>
        </w:rPr>
      </w:pPr>
    </w:p>
    <w:p w:rsidRPr="002F7B12" w:rsidR="002F7B12" w:rsidP="002F7B12" w:rsidRDefault="002F7B12">
      <w:pPr>
        <w:ind w:firstLine="284"/>
        <w:rPr>
          <w:rFonts w:ascii="Times New Roman" w:hAnsi="Times New Roman"/>
          <w:sz w:val="24"/>
        </w:rPr>
      </w:pPr>
      <w:r w:rsidRPr="002F7B12">
        <w:rPr>
          <w:rFonts w:ascii="Times New Roman" w:hAnsi="Times New Roman"/>
          <w:color w:val="201D1F"/>
          <w:sz w:val="24"/>
        </w:rPr>
        <w:t xml:space="preserve">1. Dit artikel is van toepassing op een vennootschap die </w:t>
      </w:r>
      <w:r w:rsidRPr="002F7B12">
        <w:rPr>
          <w:rFonts w:ascii="Times New Roman" w:hAnsi="Times New Roman"/>
          <w:color w:val="2F2F2F"/>
          <w:sz w:val="24"/>
        </w:rPr>
        <w:t xml:space="preserve">op twee opeenvolgende balansdata, zonder onderbreking nadien op twee opeenvolgende balansdata, niet heeft voldaan aan ten minste twee van de vereisten, bedoeld in artikel 397 leden 1 en 2. </w:t>
      </w:r>
    </w:p>
    <w:p w:rsidRPr="002F7B12" w:rsidR="002F7B12" w:rsidP="002F7B12" w:rsidRDefault="002F7B12">
      <w:pPr>
        <w:ind w:firstLine="284"/>
        <w:rPr>
          <w:rFonts w:ascii="Times New Roman" w:hAnsi="Times New Roman"/>
          <w:sz w:val="24"/>
        </w:rPr>
      </w:pPr>
      <w:r w:rsidRPr="002F7B12">
        <w:rPr>
          <w:rFonts w:ascii="Times New Roman" w:hAnsi="Times New Roman"/>
          <w:color w:val="2F2F2F"/>
          <w:sz w:val="24"/>
        </w:rPr>
        <w:t xml:space="preserve">2. De vennootschap stelt passende en ambitieuze doelen in de vorm van een streefcijfer vast om de verhouding tussen het aantal mannen en vrouwen in het bestuur ende raad van commissarissen, alsmede bij nader door de vennootschap te bepalen categorieën werknemers in leidinggevende functies, evenwichtiger te maken. Indien het bestuur en de raad van commissarissen bestaan uitéén persoon, kan een streefcijfer worden vastgesteld voor beide organen gezamenlijk. </w:t>
      </w:r>
      <w:r w:rsidRPr="002F7B12">
        <w:rPr>
          <w:rFonts w:ascii="Times New Roman" w:hAnsi="Times New Roman"/>
          <w:color w:val="333333"/>
          <w:sz w:val="24"/>
        </w:rPr>
        <w:t>Indien artikel 142b lid 2 of 3 van toepassing is, behoeft voor de raad van commissarissen dan wel de niet-uitvoerende bestuurders geen streefcijfer te worden vastgesteld.</w:t>
      </w:r>
    </w:p>
    <w:p w:rsidRPr="002F7B12" w:rsidR="002F7B12" w:rsidP="002F7B12" w:rsidRDefault="002F7B12">
      <w:pPr>
        <w:ind w:firstLine="284"/>
        <w:rPr>
          <w:rFonts w:ascii="Times New Roman" w:hAnsi="Times New Roman"/>
          <w:sz w:val="24"/>
        </w:rPr>
      </w:pPr>
      <w:r w:rsidRPr="002F7B12">
        <w:rPr>
          <w:rFonts w:ascii="Times New Roman" w:hAnsi="Times New Roman"/>
          <w:color w:val="2F2F2F"/>
          <w:sz w:val="24"/>
        </w:rPr>
        <w:t>3. De vennootschap stelt een plan op om de in het vorige l</w:t>
      </w:r>
      <w:r w:rsidR="00324F49">
        <w:rPr>
          <w:rFonts w:ascii="Times New Roman" w:hAnsi="Times New Roman"/>
          <w:color w:val="2F2F2F"/>
          <w:sz w:val="24"/>
        </w:rPr>
        <w:t>id gestelde doelen te bereiken.</w:t>
      </w:r>
    </w:p>
    <w:p w:rsidRPr="002F7B12" w:rsidR="002F7B12" w:rsidP="002F7B12" w:rsidRDefault="002F7B12">
      <w:pPr>
        <w:ind w:firstLine="284"/>
        <w:rPr>
          <w:rFonts w:ascii="Times New Roman" w:hAnsi="Times New Roman"/>
          <w:sz w:val="24"/>
        </w:rPr>
      </w:pPr>
      <w:r w:rsidRPr="002F7B12">
        <w:rPr>
          <w:rFonts w:ascii="Times New Roman" w:hAnsi="Times New Roman"/>
          <w:color w:val="2F2F2F"/>
          <w:sz w:val="24"/>
        </w:rPr>
        <w:t xml:space="preserve">4. Jaarlijks binnen tien maanden na afloop van het boekjaar, rapporteert de vennootschap aan de Sociaal Economische Raad over het aantal mannen en vrouwen dat aan het eind van het boekjaar deel uitmaakt van het bestuur en de raad van commissarissen, alsmede van de nader door de vennootschap te bepalen categorieën werknemers in leidinggevende functies, de doelen in de vorm van een streefcijfer, het plan om deze doelen te bereiken en als één of meer doelen niet zijn bereikt, de redenen daarvoor. </w:t>
      </w:r>
    </w:p>
    <w:p w:rsidRPr="002F7B12" w:rsidR="002F7B12" w:rsidP="002F7B12" w:rsidRDefault="002F7B12">
      <w:pPr>
        <w:ind w:firstLine="284"/>
        <w:rPr>
          <w:rFonts w:ascii="Times New Roman" w:hAnsi="Times New Roman"/>
          <w:color w:val="2F2F2F"/>
          <w:sz w:val="24"/>
        </w:rPr>
      </w:pPr>
      <w:r w:rsidRPr="002F7B12">
        <w:rPr>
          <w:rFonts w:ascii="Times New Roman" w:hAnsi="Times New Roman"/>
          <w:color w:val="2F2F2F"/>
          <w:sz w:val="24"/>
        </w:rPr>
        <w:t>5. Een tot een groep behorende vennootschap behoeft niet te voldoen aan de leden 2 tot en met 4, mits de vennootschap die aan het hoofd staat van de groep in plaats van de groepsmaatschappij aan de uit deze leden voortvloeiende verplichtingen uitvoering geeft, al dan niet voor de betreffende groepsmaatschappijen gezamenlijk.</w:t>
      </w:r>
    </w:p>
    <w:p w:rsidRPr="002F7B12" w:rsidR="002F7B12" w:rsidP="002F7B12" w:rsidRDefault="002F7B12">
      <w:pPr>
        <w:rPr>
          <w:rFonts w:ascii="Times New Roman" w:hAnsi="Times New Roman"/>
          <w:sz w:val="24"/>
        </w:rPr>
      </w:pPr>
    </w:p>
    <w:p w:rsidR="002F7B12" w:rsidP="002F7B12" w:rsidRDefault="002F7B12">
      <w:pPr>
        <w:rPr>
          <w:rFonts w:ascii="Times New Roman" w:hAnsi="Times New Roman"/>
          <w:sz w:val="24"/>
        </w:rPr>
      </w:pPr>
    </w:p>
    <w:p w:rsidRPr="002F7B12" w:rsidR="002F7B12" w:rsidP="002F7B12" w:rsidRDefault="002F7B12">
      <w:pPr>
        <w:rPr>
          <w:rFonts w:ascii="Times New Roman" w:hAnsi="Times New Roman"/>
          <w:b/>
          <w:sz w:val="24"/>
        </w:rPr>
      </w:pPr>
      <w:r w:rsidRPr="002F7B12">
        <w:rPr>
          <w:rFonts w:ascii="Times New Roman" w:hAnsi="Times New Roman"/>
          <w:b/>
          <w:sz w:val="24"/>
        </w:rPr>
        <w:t>ARTIKEL II</w:t>
      </w:r>
    </w:p>
    <w:p w:rsidRPr="002F7B12" w:rsidR="002F7B12" w:rsidP="002F7B12" w:rsidRDefault="002F7B12">
      <w:pPr>
        <w:rPr>
          <w:rFonts w:ascii="Times New Roman" w:hAnsi="Times New Roman"/>
          <w:sz w:val="24"/>
        </w:rPr>
      </w:pPr>
    </w:p>
    <w:p w:rsidRPr="002F7B12" w:rsidR="002F7B12" w:rsidP="002F7B12" w:rsidRDefault="002F7B12">
      <w:pPr>
        <w:ind w:firstLine="284"/>
        <w:rPr>
          <w:rFonts w:ascii="Times New Roman" w:hAnsi="Times New Roman"/>
          <w:sz w:val="24"/>
        </w:rPr>
      </w:pPr>
      <w:r w:rsidRPr="002F7B12">
        <w:rPr>
          <w:rFonts w:ascii="Times New Roman" w:hAnsi="Times New Roman"/>
          <w:color w:val="201D1F"/>
          <w:sz w:val="24"/>
        </w:rPr>
        <w:t xml:space="preserve">Vijf jaar na inwerkingtreding wordt deze wet geëvalueerd. </w:t>
      </w:r>
    </w:p>
    <w:p w:rsidR="002F7B12" w:rsidP="002F7B12" w:rsidRDefault="002F7B12">
      <w:pPr>
        <w:rPr>
          <w:rFonts w:ascii="Times New Roman" w:hAnsi="Times New Roman"/>
          <w:sz w:val="24"/>
        </w:rPr>
      </w:pPr>
    </w:p>
    <w:p w:rsidR="00813577" w:rsidP="002F7B12" w:rsidRDefault="00813577">
      <w:pPr>
        <w:rPr>
          <w:rFonts w:ascii="Times New Roman" w:hAnsi="Times New Roman"/>
          <w:sz w:val="24"/>
        </w:rPr>
      </w:pPr>
    </w:p>
    <w:p w:rsidRPr="00813577" w:rsidR="00813577" w:rsidP="00813577" w:rsidRDefault="00813577">
      <w:pPr>
        <w:rPr>
          <w:rFonts w:ascii="Times New Roman" w:hAnsi="Times New Roman"/>
          <w:b/>
          <w:bCs/>
          <w:sz w:val="24"/>
        </w:rPr>
      </w:pPr>
      <w:r w:rsidRPr="00813577">
        <w:rPr>
          <w:rFonts w:ascii="Times New Roman" w:hAnsi="Times New Roman"/>
          <w:b/>
          <w:bCs/>
          <w:sz w:val="24"/>
        </w:rPr>
        <w:t>ARTIKEL IIA</w:t>
      </w:r>
    </w:p>
    <w:p w:rsidRPr="00813577" w:rsidR="00813577" w:rsidP="00813577" w:rsidRDefault="00813577">
      <w:pPr>
        <w:rPr>
          <w:rFonts w:ascii="Times New Roman" w:hAnsi="Times New Roman"/>
          <w:b/>
          <w:bCs/>
          <w:sz w:val="24"/>
        </w:rPr>
      </w:pPr>
    </w:p>
    <w:p w:rsidRPr="00813577" w:rsidR="00813577" w:rsidP="00813577" w:rsidRDefault="00813577">
      <w:pPr>
        <w:rPr>
          <w:rFonts w:ascii="Times New Roman" w:hAnsi="Times New Roman"/>
          <w:sz w:val="24"/>
        </w:rPr>
      </w:pPr>
      <w:r w:rsidRPr="00813577">
        <w:rPr>
          <w:rFonts w:ascii="Times New Roman" w:hAnsi="Times New Roman"/>
          <w:sz w:val="24"/>
        </w:rPr>
        <w:tab/>
        <w:t xml:space="preserve">Boek 2 van het Burgerlijk Wetboek wordt als volgt gewijzigd: </w:t>
      </w:r>
    </w:p>
    <w:p w:rsidRPr="00813577" w:rsidR="00813577" w:rsidP="00813577" w:rsidRDefault="00813577">
      <w:pPr>
        <w:rPr>
          <w:rFonts w:ascii="Times New Roman" w:hAnsi="Times New Roman"/>
          <w:sz w:val="24"/>
        </w:rPr>
      </w:pPr>
    </w:p>
    <w:p w:rsidRPr="00813577" w:rsidR="00813577" w:rsidP="00813577" w:rsidRDefault="00813577">
      <w:pPr>
        <w:rPr>
          <w:rFonts w:ascii="Times New Roman" w:hAnsi="Times New Roman"/>
          <w:sz w:val="24"/>
        </w:rPr>
      </w:pPr>
      <w:r w:rsidRPr="00813577">
        <w:rPr>
          <w:rFonts w:ascii="Times New Roman" w:hAnsi="Times New Roman"/>
          <w:sz w:val="24"/>
        </w:rPr>
        <w:t>A</w:t>
      </w:r>
    </w:p>
    <w:p w:rsidRPr="00813577" w:rsidR="00813577" w:rsidP="00813577" w:rsidRDefault="00813577">
      <w:pPr>
        <w:rPr>
          <w:rFonts w:ascii="Times New Roman" w:hAnsi="Times New Roman"/>
          <w:sz w:val="24"/>
        </w:rPr>
      </w:pPr>
    </w:p>
    <w:p w:rsidRPr="00813577" w:rsidR="00813577" w:rsidP="00813577" w:rsidRDefault="00813577">
      <w:pPr>
        <w:rPr>
          <w:rFonts w:ascii="Times New Roman" w:hAnsi="Times New Roman"/>
          <w:sz w:val="24"/>
        </w:rPr>
      </w:pPr>
      <w:r w:rsidRPr="00813577">
        <w:rPr>
          <w:rFonts w:ascii="Times New Roman" w:hAnsi="Times New Roman"/>
          <w:sz w:val="24"/>
        </w:rPr>
        <w:tab/>
        <w:t>Artikel 142b vervalt.</w:t>
      </w:r>
    </w:p>
    <w:p w:rsidRPr="00813577" w:rsidR="00813577" w:rsidP="00813577" w:rsidRDefault="00813577">
      <w:pPr>
        <w:rPr>
          <w:rFonts w:ascii="Times New Roman" w:hAnsi="Times New Roman"/>
          <w:sz w:val="24"/>
        </w:rPr>
      </w:pPr>
    </w:p>
    <w:p w:rsidRPr="00813577" w:rsidR="00813577" w:rsidP="00813577" w:rsidRDefault="00813577">
      <w:pPr>
        <w:rPr>
          <w:rFonts w:ascii="Times New Roman" w:hAnsi="Times New Roman"/>
          <w:sz w:val="24"/>
        </w:rPr>
      </w:pPr>
      <w:r w:rsidRPr="00813577">
        <w:rPr>
          <w:rFonts w:ascii="Times New Roman" w:hAnsi="Times New Roman"/>
          <w:sz w:val="24"/>
        </w:rPr>
        <w:t>B</w:t>
      </w:r>
    </w:p>
    <w:p w:rsidRPr="00813577" w:rsidR="00813577" w:rsidP="00813577" w:rsidRDefault="00813577">
      <w:pPr>
        <w:rPr>
          <w:rFonts w:ascii="Times New Roman" w:hAnsi="Times New Roman"/>
          <w:sz w:val="24"/>
        </w:rPr>
      </w:pPr>
    </w:p>
    <w:p w:rsidRPr="00813577" w:rsidR="00813577" w:rsidP="00813577" w:rsidRDefault="00813577">
      <w:pPr>
        <w:rPr>
          <w:rFonts w:ascii="Times New Roman" w:hAnsi="Times New Roman"/>
          <w:sz w:val="24"/>
        </w:rPr>
      </w:pPr>
      <w:r w:rsidRPr="00813577">
        <w:rPr>
          <w:rFonts w:ascii="Times New Roman" w:hAnsi="Times New Roman"/>
          <w:sz w:val="24"/>
        </w:rPr>
        <w:tab/>
        <w:t xml:space="preserve">Artikel 166 vervalt. </w:t>
      </w:r>
    </w:p>
    <w:p w:rsidRPr="00813577" w:rsidR="00813577" w:rsidP="00813577" w:rsidRDefault="00813577">
      <w:pPr>
        <w:rPr>
          <w:rFonts w:ascii="Times New Roman" w:hAnsi="Times New Roman"/>
          <w:sz w:val="24"/>
        </w:rPr>
      </w:pPr>
    </w:p>
    <w:p w:rsidRPr="00813577" w:rsidR="00813577" w:rsidP="00813577" w:rsidRDefault="00813577">
      <w:pPr>
        <w:rPr>
          <w:rFonts w:ascii="Times New Roman" w:hAnsi="Times New Roman"/>
          <w:sz w:val="24"/>
        </w:rPr>
      </w:pPr>
      <w:r w:rsidRPr="00813577">
        <w:rPr>
          <w:rFonts w:ascii="Times New Roman" w:hAnsi="Times New Roman"/>
          <w:sz w:val="24"/>
        </w:rPr>
        <w:t>C</w:t>
      </w:r>
    </w:p>
    <w:p w:rsidRPr="00813577" w:rsidR="00813577" w:rsidP="00813577" w:rsidRDefault="00813577">
      <w:pPr>
        <w:rPr>
          <w:rFonts w:ascii="Times New Roman" w:hAnsi="Times New Roman"/>
          <w:sz w:val="24"/>
        </w:rPr>
      </w:pPr>
    </w:p>
    <w:p w:rsidRPr="00813577" w:rsidR="00813577" w:rsidP="00813577" w:rsidRDefault="00813577">
      <w:pPr>
        <w:rPr>
          <w:rFonts w:ascii="Times New Roman" w:hAnsi="Times New Roman"/>
          <w:sz w:val="24"/>
        </w:rPr>
      </w:pPr>
      <w:r w:rsidRPr="00813577">
        <w:rPr>
          <w:rFonts w:ascii="Times New Roman" w:hAnsi="Times New Roman"/>
          <w:sz w:val="24"/>
        </w:rPr>
        <w:tab/>
        <w:t>In artikel 187, eerste en tweede volzin, vervalt telkens “142b,”.</w:t>
      </w:r>
    </w:p>
    <w:p w:rsidRPr="00813577" w:rsidR="00813577" w:rsidP="00813577" w:rsidRDefault="00813577">
      <w:pPr>
        <w:rPr>
          <w:rFonts w:ascii="Times New Roman" w:hAnsi="Times New Roman"/>
          <w:sz w:val="24"/>
        </w:rPr>
      </w:pPr>
    </w:p>
    <w:p w:rsidRPr="00813577" w:rsidR="00813577" w:rsidP="00813577" w:rsidRDefault="00813577">
      <w:pPr>
        <w:rPr>
          <w:rFonts w:ascii="Times New Roman" w:hAnsi="Times New Roman"/>
          <w:sz w:val="24"/>
        </w:rPr>
      </w:pPr>
      <w:r w:rsidRPr="00813577">
        <w:rPr>
          <w:rFonts w:ascii="Times New Roman" w:hAnsi="Times New Roman"/>
          <w:sz w:val="24"/>
        </w:rPr>
        <w:t>D</w:t>
      </w:r>
    </w:p>
    <w:p w:rsidRPr="00813577" w:rsidR="00813577" w:rsidP="00813577" w:rsidRDefault="00813577">
      <w:pPr>
        <w:rPr>
          <w:rFonts w:ascii="Times New Roman" w:hAnsi="Times New Roman"/>
          <w:sz w:val="24"/>
        </w:rPr>
      </w:pPr>
    </w:p>
    <w:p w:rsidRPr="00813577" w:rsidR="00813577" w:rsidP="00813577" w:rsidRDefault="00813577">
      <w:pPr>
        <w:rPr>
          <w:rFonts w:ascii="Times New Roman" w:hAnsi="Times New Roman"/>
          <w:sz w:val="24"/>
        </w:rPr>
      </w:pPr>
      <w:r w:rsidRPr="00813577">
        <w:rPr>
          <w:rFonts w:ascii="Times New Roman" w:hAnsi="Times New Roman"/>
          <w:sz w:val="24"/>
        </w:rPr>
        <w:tab/>
        <w:t xml:space="preserve">Artikel 276 vervalt. </w:t>
      </w:r>
    </w:p>
    <w:p w:rsidRPr="00813577" w:rsidR="00813577" w:rsidP="00813577" w:rsidRDefault="00813577">
      <w:pPr>
        <w:rPr>
          <w:rFonts w:ascii="Times New Roman" w:hAnsi="Times New Roman"/>
          <w:iCs/>
          <w:sz w:val="24"/>
        </w:rPr>
      </w:pPr>
    </w:p>
    <w:p w:rsidRPr="00813577" w:rsidR="00813577" w:rsidP="00813577" w:rsidRDefault="00813577">
      <w:pPr>
        <w:rPr>
          <w:rFonts w:ascii="Times New Roman" w:hAnsi="Times New Roman"/>
          <w:b/>
          <w:bCs/>
          <w:iCs/>
          <w:sz w:val="24"/>
        </w:rPr>
      </w:pPr>
    </w:p>
    <w:p w:rsidRPr="00813577" w:rsidR="00813577" w:rsidP="00813577" w:rsidRDefault="00813577">
      <w:pPr>
        <w:rPr>
          <w:rFonts w:ascii="Times New Roman" w:hAnsi="Times New Roman"/>
          <w:b/>
          <w:bCs/>
          <w:iCs/>
          <w:sz w:val="24"/>
        </w:rPr>
      </w:pPr>
      <w:r w:rsidRPr="00813577">
        <w:rPr>
          <w:rFonts w:ascii="Times New Roman" w:hAnsi="Times New Roman"/>
          <w:b/>
          <w:bCs/>
          <w:iCs/>
          <w:sz w:val="24"/>
        </w:rPr>
        <w:t>ARTIKEL IIB</w:t>
      </w:r>
    </w:p>
    <w:p w:rsidRPr="00813577" w:rsidR="00813577" w:rsidP="00813577" w:rsidRDefault="00813577">
      <w:pPr>
        <w:rPr>
          <w:rFonts w:ascii="Times New Roman" w:hAnsi="Times New Roman"/>
          <w:iCs/>
          <w:sz w:val="24"/>
        </w:rPr>
      </w:pPr>
    </w:p>
    <w:p w:rsidRPr="002F7B12" w:rsidR="002F7B12" w:rsidP="00813577" w:rsidRDefault="00813577">
      <w:pPr>
        <w:rPr>
          <w:rFonts w:ascii="Times New Roman" w:hAnsi="Times New Roman"/>
          <w:sz w:val="24"/>
        </w:rPr>
      </w:pPr>
      <w:r w:rsidRPr="00813577">
        <w:rPr>
          <w:rFonts w:ascii="Times New Roman" w:hAnsi="Times New Roman"/>
          <w:sz w:val="24"/>
        </w:rPr>
        <w:tab/>
        <w:t>In onderdelen B en D van artikel I zijn de voorgestelde artikelen 166 lid 4 en 276 lid 4 van toepassing op boekjaren die zijn aangevangen op of na 1 januari van het jaar waarin deze wet in werking treedt.</w:t>
      </w:r>
    </w:p>
    <w:p w:rsidR="00813577" w:rsidP="002F7B12" w:rsidRDefault="00813577">
      <w:pPr>
        <w:rPr>
          <w:rFonts w:ascii="Times New Roman" w:hAnsi="Times New Roman"/>
          <w:b/>
          <w:sz w:val="24"/>
        </w:rPr>
      </w:pPr>
    </w:p>
    <w:p w:rsidR="00813577" w:rsidP="002F7B12" w:rsidRDefault="00813577">
      <w:pPr>
        <w:rPr>
          <w:rFonts w:ascii="Times New Roman" w:hAnsi="Times New Roman"/>
          <w:b/>
          <w:sz w:val="24"/>
        </w:rPr>
      </w:pPr>
    </w:p>
    <w:p w:rsidRPr="002F7B12" w:rsidR="002F7B12" w:rsidP="002F7B12" w:rsidRDefault="002F7B12">
      <w:pPr>
        <w:rPr>
          <w:rFonts w:ascii="Times New Roman" w:hAnsi="Times New Roman"/>
          <w:b/>
          <w:sz w:val="24"/>
        </w:rPr>
      </w:pPr>
      <w:r w:rsidRPr="002F7B12">
        <w:rPr>
          <w:rFonts w:ascii="Times New Roman" w:hAnsi="Times New Roman"/>
          <w:b/>
          <w:sz w:val="24"/>
        </w:rPr>
        <w:t xml:space="preserve">ARTIKEL III </w:t>
      </w:r>
    </w:p>
    <w:p w:rsidR="002F7B12" w:rsidP="002F7B12" w:rsidRDefault="002F7B12">
      <w:pPr>
        <w:rPr>
          <w:rFonts w:ascii="Times New Roman" w:hAnsi="Times New Roman"/>
          <w:color w:val="201D1F"/>
          <w:sz w:val="24"/>
        </w:rPr>
      </w:pPr>
    </w:p>
    <w:p w:rsidRPr="002F7B12" w:rsidR="002F7B12" w:rsidP="002F7B12" w:rsidRDefault="00813577">
      <w:pPr>
        <w:ind w:firstLine="284"/>
        <w:rPr>
          <w:rFonts w:ascii="Times New Roman" w:hAnsi="Times New Roman"/>
          <w:sz w:val="24"/>
        </w:rPr>
      </w:pPr>
      <w:r>
        <w:rPr>
          <w:rFonts w:ascii="Times New Roman" w:hAnsi="Times New Roman"/>
          <w:color w:val="201D1F"/>
          <w:sz w:val="24"/>
        </w:rPr>
        <w:t xml:space="preserve">1. </w:t>
      </w:r>
      <w:r w:rsidRPr="002F7B12" w:rsidR="002F7B12">
        <w:rPr>
          <w:rFonts w:ascii="Times New Roman" w:hAnsi="Times New Roman"/>
          <w:color w:val="201D1F"/>
          <w:sz w:val="24"/>
        </w:rPr>
        <w:t>Deze wet</w:t>
      </w:r>
      <w:r>
        <w:rPr>
          <w:rFonts w:ascii="Times New Roman" w:hAnsi="Times New Roman"/>
          <w:color w:val="201D1F"/>
          <w:sz w:val="24"/>
        </w:rPr>
        <w:t>,</w:t>
      </w:r>
      <w:r w:rsidRPr="00813577">
        <w:t xml:space="preserve"> </w:t>
      </w:r>
      <w:r w:rsidRPr="00813577">
        <w:rPr>
          <w:rFonts w:ascii="Times New Roman" w:hAnsi="Times New Roman"/>
          <w:color w:val="201D1F"/>
          <w:sz w:val="24"/>
        </w:rPr>
        <w:t>met</w:t>
      </w:r>
      <w:r>
        <w:rPr>
          <w:rFonts w:ascii="Times New Roman" w:hAnsi="Times New Roman"/>
          <w:color w:val="201D1F"/>
          <w:sz w:val="24"/>
        </w:rPr>
        <w:t xml:space="preserve"> uitzondering van artikel IIA,</w:t>
      </w:r>
      <w:r w:rsidRPr="002F7B12" w:rsidR="002F7B12">
        <w:rPr>
          <w:rFonts w:ascii="Times New Roman" w:hAnsi="Times New Roman"/>
          <w:color w:val="201D1F"/>
          <w:sz w:val="24"/>
        </w:rPr>
        <w:t xml:space="preserve"> treedt in werking op een bij koninklijk besluit te bepalen tijdstip, dat voor de verschillende artikelen of onderdelen daarvan verschillend kan worden vastgesteld, en vervalt acht jaar na de datum van inwerkingtreding van de wet. </w:t>
      </w:r>
    </w:p>
    <w:p w:rsidR="002F7B12" w:rsidP="002F7B12" w:rsidRDefault="00813577">
      <w:pPr>
        <w:rPr>
          <w:rFonts w:ascii="Times New Roman" w:hAnsi="Times New Roman"/>
          <w:sz w:val="24"/>
        </w:rPr>
      </w:pPr>
      <w:r>
        <w:rPr>
          <w:rFonts w:ascii="Times New Roman" w:hAnsi="Times New Roman"/>
          <w:sz w:val="24"/>
        </w:rPr>
        <w:tab/>
        <w:t xml:space="preserve">2. </w:t>
      </w:r>
      <w:r w:rsidRPr="00813577">
        <w:rPr>
          <w:rFonts w:ascii="Times New Roman" w:hAnsi="Times New Roman"/>
          <w:sz w:val="24"/>
        </w:rPr>
        <w:t>Artikel IIA treedt in werking acht jaar na de datum van inwerkingtreding van deze wet.</w:t>
      </w:r>
    </w:p>
    <w:p w:rsidR="002F7B12" w:rsidP="002F7B12" w:rsidRDefault="002F7B12">
      <w:pPr>
        <w:rPr>
          <w:rFonts w:ascii="Times New Roman" w:hAnsi="Times New Roman"/>
          <w:sz w:val="24"/>
        </w:rPr>
      </w:pPr>
    </w:p>
    <w:p w:rsidR="00813577" w:rsidP="002F7B12" w:rsidRDefault="00813577">
      <w:pPr>
        <w:rPr>
          <w:rFonts w:ascii="Times New Roman" w:hAnsi="Times New Roman"/>
          <w:sz w:val="24"/>
        </w:rPr>
      </w:pPr>
    </w:p>
    <w:p w:rsidR="000E6D89" w:rsidP="002F7B12" w:rsidRDefault="000E6D89">
      <w:pPr>
        <w:rPr>
          <w:rFonts w:ascii="Times New Roman" w:hAnsi="Times New Roman"/>
          <w:sz w:val="24"/>
        </w:rPr>
      </w:pPr>
    </w:p>
    <w:p w:rsidR="000E6D89" w:rsidP="002F7B12" w:rsidRDefault="000E6D89">
      <w:pPr>
        <w:rPr>
          <w:rFonts w:ascii="Times New Roman" w:hAnsi="Times New Roman"/>
          <w:sz w:val="24"/>
        </w:rPr>
      </w:pPr>
    </w:p>
    <w:p w:rsidR="000E6D89" w:rsidP="002F7B12" w:rsidRDefault="000E6D89">
      <w:pPr>
        <w:rPr>
          <w:rFonts w:ascii="Times New Roman" w:hAnsi="Times New Roman"/>
          <w:sz w:val="24"/>
        </w:rPr>
      </w:pPr>
    </w:p>
    <w:p w:rsidR="000E6D89" w:rsidP="002F7B12" w:rsidRDefault="000E6D89">
      <w:pPr>
        <w:rPr>
          <w:rFonts w:ascii="Times New Roman" w:hAnsi="Times New Roman"/>
          <w:sz w:val="24"/>
        </w:rPr>
      </w:pPr>
    </w:p>
    <w:p w:rsidR="000E6D89" w:rsidP="002F7B12" w:rsidRDefault="000E6D89">
      <w:pPr>
        <w:rPr>
          <w:rFonts w:ascii="Times New Roman" w:hAnsi="Times New Roman"/>
          <w:sz w:val="24"/>
        </w:rPr>
      </w:pPr>
    </w:p>
    <w:p w:rsidR="000E6D89" w:rsidP="002F7B12" w:rsidRDefault="000E6D89">
      <w:pPr>
        <w:rPr>
          <w:rFonts w:ascii="Times New Roman" w:hAnsi="Times New Roman"/>
          <w:sz w:val="24"/>
        </w:rPr>
      </w:pPr>
    </w:p>
    <w:p w:rsidR="000E6D89" w:rsidP="002F7B12" w:rsidRDefault="000E6D89">
      <w:pPr>
        <w:rPr>
          <w:rFonts w:ascii="Times New Roman" w:hAnsi="Times New Roman"/>
          <w:sz w:val="24"/>
        </w:rPr>
      </w:pPr>
    </w:p>
    <w:p w:rsidR="000E6D89" w:rsidP="002F7B12" w:rsidRDefault="000E6D89">
      <w:pPr>
        <w:rPr>
          <w:rFonts w:ascii="Times New Roman" w:hAnsi="Times New Roman"/>
          <w:sz w:val="24"/>
        </w:rPr>
      </w:pPr>
    </w:p>
    <w:p w:rsidR="000E6D89" w:rsidP="002F7B12" w:rsidRDefault="000E6D89">
      <w:pPr>
        <w:rPr>
          <w:rFonts w:ascii="Times New Roman" w:hAnsi="Times New Roman"/>
          <w:sz w:val="24"/>
        </w:rPr>
      </w:pPr>
    </w:p>
    <w:p w:rsidR="000E6D89" w:rsidP="002F7B12" w:rsidRDefault="000E6D89">
      <w:pPr>
        <w:rPr>
          <w:rFonts w:ascii="Times New Roman" w:hAnsi="Times New Roman"/>
          <w:sz w:val="24"/>
        </w:rPr>
      </w:pPr>
    </w:p>
    <w:p w:rsidR="000E6D89" w:rsidP="002F7B12" w:rsidRDefault="000E6D89">
      <w:pPr>
        <w:rPr>
          <w:rFonts w:ascii="Times New Roman" w:hAnsi="Times New Roman"/>
          <w:sz w:val="24"/>
        </w:rPr>
      </w:pPr>
    </w:p>
    <w:p w:rsidR="000E6D89" w:rsidP="002F7B12" w:rsidRDefault="000E6D89">
      <w:pPr>
        <w:rPr>
          <w:rFonts w:ascii="Times New Roman" w:hAnsi="Times New Roman"/>
          <w:sz w:val="24"/>
        </w:rPr>
      </w:pPr>
    </w:p>
    <w:p w:rsidR="000E6D89" w:rsidP="002F7B12" w:rsidRDefault="000E6D89">
      <w:pPr>
        <w:rPr>
          <w:rFonts w:ascii="Times New Roman" w:hAnsi="Times New Roman"/>
          <w:sz w:val="24"/>
        </w:rPr>
      </w:pPr>
    </w:p>
    <w:p w:rsidR="000E6D89" w:rsidP="002F7B12" w:rsidRDefault="000E6D89">
      <w:pPr>
        <w:rPr>
          <w:rFonts w:ascii="Times New Roman" w:hAnsi="Times New Roman"/>
          <w:sz w:val="24"/>
        </w:rPr>
      </w:pPr>
    </w:p>
    <w:p w:rsidR="000E6D89" w:rsidP="002F7B12" w:rsidRDefault="000E6D89">
      <w:pPr>
        <w:rPr>
          <w:rFonts w:ascii="Times New Roman" w:hAnsi="Times New Roman"/>
          <w:sz w:val="24"/>
        </w:rPr>
      </w:pPr>
    </w:p>
    <w:p w:rsidR="000E6D89" w:rsidP="002F7B12" w:rsidRDefault="000E6D89">
      <w:pPr>
        <w:rPr>
          <w:rFonts w:ascii="Times New Roman" w:hAnsi="Times New Roman"/>
          <w:sz w:val="24"/>
        </w:rPr>
      </w:pPr>
    </w:p>
    <w:p w:rsidR="000E6D89" w:rsidP="002F7B12" w:rsidRDefault="000E6D89">
      <w:pPr>
        <w:rPr>
          <w:rFonts w:ascii="Times New Roman" w:hAnsi="Times New Roman"/>
          <w:sz w:val="24"/>
        </w:rPr>
      </w:pPr>
    </w:p>
    <w:p w:rsidR="000E6D89" w:rsidP="002F7B12" w:rsidRDefault="000E6D89">
      <w:pPr>
        <w:rPr>
          <w:rFonts w:ascii="Times New Roman" w:hAnsi="Times New Roman"/>
          <w:sz w:val="24"/>
        </w:rPr>
      </w:pPr>
    </w:p>
    <w:p w:rsidR="000E6D89" w:rsidP="002F7B12" w:rsidRDefault="000E6D89">
      <w:pPr>
        <w:rPr>
          <w:rFonts w:ascii="Times New Roman" w:hAnsi="Times New Roman"/>
          <w:sz w:val="24"/>
        </w:rPr>
      </w:pPr>
    </w:p>
    <w:p w:rsidR="000E6D89" w:rsidP="002F7B12" w:rsidRDefault="000E6D89">
      <w:pPr>
        <w:rPr>
          <w:rFonts w:ascii="Times New Roman" w:hAnsi="Times New Roman"/>
          <w:sz w:val="24"/>
        </w:rPr>
      </w:pPr>
    </w:p>
    <w:p w:rsidRPr="002F7B12" w:rsidR="000E6D89" w:rsidP="002F7B12" w:rsidRDefault="000E6D89">
      <w:pPr>
        <w:rPr>
          <w:rFonts w:ascii="Times New Roman" w:hAnsi="Times New Roman"/>
          <w:sz w:val="24"/>
        </w:rPr>
      </w:pPr>
      <w:bookmarkStart w:name="_GoBack" w:id="0"/>
      <w:bookmarkEnd w:id="0"/>
    </w:p>
    <w:p w:rsidRPr="002F7B12" w:rsidR="002F7B12" w:rsidP="002F7B12" w:rsidRDefault="002F7B12">
      <w:pPr>
        <w:ind w:firstLine="284"/>
        <w:rPr>
          <w:rFonts w:ascii="Times New Roman" w:hAnsi="Times New Roman"/>
          <w:sz w:val="24"/>
        </w:rPr>
      </w:pPr>
      <w:r w:rsidRPr="002F7B12">
        <w:rPr>
          <w:rFonts w:ascii="Times New Roman" w:hAnsi="Times New Roman"/>
          <w:sz w:val="24"/>
        </w:rPr>
        <w:lastRenderedPageBreak/>
        <w:t xml:space="preserve">Lasten en bevelen dat deze in het Staatsblad zal worden geplaatst en dat alle ministeries, autoriteiten, colleges en ambtenaren wie zulks aangaat, aan de nauwkeurige uitvoering de hand zullen houden. </w:t>
      </w:r>
    </w:p>
    <w:p w:rsidRPr="002F7B12" w:rsidR="002F7B12" w:rsidP="002F7B12" w:rsidRDefault="002F7B12">
      <w:pPr>
        <w:rPr>
          <w:rFonts w:ascii="Times New Roman" w:hAnsi="Times New Roman"/>
          <w:sz w:val="24"/>
        </w:rPr>
      </w:pPr>
      <w:r w:rsidRPr="002F7B12">
        <w:rPr>
          <w:rFonts w:ascii="Times New Roman" w:hAnsi="Times New Roman"/>
          <w:sz w:val="24"/>
        </w:rPr>
        <w:t xml:space="preserve"> </w:t>
      </w:r>
    </w:p>
    <w:p w:rsidRPr="002F7B12" w:rsidR="002F7B12" w:rsidP="002F7B12" w:rsidRDefault="002F7B12">
      <w:pPr>
        <w:rPr>
          <w:rFonts w:ascii="Times New Roman" w:hAnsi="Times New Roman"/>
          <w:sz w:val="24"/>
        </w:rPr>
      </w:pPr>
      <w:r w:rsidRPr="002F7B12">
        <w:rPr>
          <w:rFonts w:ascii="Times New Roman" w:hAnsi="Times New Roman"/>
          <w:sz w:val="24"/>
        </w:rPr>
        <w:t xml:space="preserve">Gegeven </w:t>
      </w:r>
    </w:p>
    <w:p w:rsidR="002F7B12" w:rsidP="002F7B12" w:rsidRDefault="002F7B12">
      <w:pPr>
        <w:rPr>
          <w:rFonts w:ascii="Times New Roman" w:hAnsi="Times New Roman"/>
          <w:sz w:val="24"/>
        </w:rPr>
      </w:pPr>
    </w:p>
    <w:p w:rsidR="002F7B12" w:rsidP="002F7B12" w:rsidRDefault="002F7B12">
      <w:pPr>
        <w:rPr>
          <w:rFonts w:ascii="Times New Roman" w:hAnsi="Times New Roman"/>
          <w:sz w:val="24"/>
        </w:rPr>
      </w:pPr>
    </w:p>
    <w:p w:rsidR="002F7B12" w:rsidP="002F7B12" w:rsidRDefault="002F7B12">
      <w:pPr>
        <w:rPr>
          <w:rFonts w:ascii="Times New Roman" w:hAnsi="Times New Roman"/>
          <w:sz w:val="24"/>
        </w:rPr>
      </w:pPr>
    </w:p>
    <w:p w:rsidR="002F7B12" w:rsidP="002F7B12" w:rsidRDefault="002F7B12">
      <w:pPr>
        <w:rPr>
          <w:rFonts w:ascii="Times New Roman" w:hAnsi="Times New Roman"/>
          <w:sz w:val="24"/>
        </w:rPr>
      </w:pPr>
    </w:p>
    <w:p w:rsidR="002F7B12" w:rsidP="002F7B12" w:rsidRDefault="002F7B12">
      <w:pPr>
        <w:rPr>
          <w:rFonts w:ascii="Times New Roman" w:hAnsi="Times New Roman"/>
          <w:sz w:val="24"/>
        </w:rPr>
      </w:pPr>
    </w:p>
    <w:p w:rsidR="002F7B12" w:rsidP="002F7B12" w:rsidRDefault="002F7B12">
      <w:pPr>
        <w:rPr>
          <w:rFonts w:ascii="Times New Roman" w:hAnsi="Times New Roman"/>
          <w:sz w:val="24"/>
        </w:rPr>
      </w:pPr>
    </w:p>
    <w:p w:rsidR="002F7B12" w:rsidP="002F7B12" w:rsidRDefault="002F7B12">
      <w:pPr>
        <w:rPr>
          <w:rFonts w:ascii="Times New Roman" w:hAnsi="Times New Roman"/>
          <w:sz w:val="24"/>
        </w:rPr>
      </w:pPr>
    </w:p>
    <w:p w:rsidR="002F7B12" w:rsidP="002F7B12" w:rsidRDefault="002F7B12">
      <w:pPr>
        <w:rPr>
          <w:rFonts w:ascii="Times New Roman" w:hAnsi="Times New Roman"/>
          <w:sz w:val="24"/>
        </w:rPr>
      </w:pPr>
    </w:p>
    <w:p w:rsidRPr="002F7B12" w:rsidR="002F7B12" w:rsidP="002F7B12" w:rsidRDefault="002F7B12">
      <w:pPr>
        <w:rPr>
          <w:rFonts w:ascii="Times New Roman" w:hAnsi="Times New Roman"/>
          <w:sz w:val="24"/>
        </w:rPr>
      </w:pPr>
    </w:p>
    <w:p w:rsidRPr="002F7B12" w:rsidR="002F7B12" w:rsidP="002F7B12" w:rsidRDefault="002F7B12">
      <w:pPr>
        <w:rPr>
          <w:rFonts w:ascii="Times New Roman" w:hAnsi="Times New Roman"/>
          <w:sz w:val="24"/>
        </w:rPr>
      </w:pPr>
      <w:r w:rsidRPr="002F7B12">
        <w:rPr>
          <w:rFonts w:ascii="Times New Roman" w:hAnsi="Times New Roman"/>
          <w:sz w:val="24"/>
        </w:rPr>
        <w:t xml:space="preserve">De Minister voor Rechtsbescherming, </w:t>
      </w:r>
    </w:p>
    <w:p w:rsidRPr="002F7B12" w:rsidR="002F7B12" w:rsidP="002F7B12" w:rsidRDefault="002F7B12">
      <w:pPr>
        <w:rPr>
          <w:rFonts w:ascii="Times New Roman" w:hAnsi="Times New Roman"/>
          <w:sz w:val="24"/>
        </w:rPr>
      </w:pPr>
    </w:p>
    <w:p w:rsidRPr="002F7B12" w:rsidR="002F7B12" w:rsidP="002F7B12" w:rsidRDefault="002F7B12">
      <w:pPr>
        <w:rPr>
          <w:rFonts w:ascii="Times New Roman" w:hAnsi="Times New Roman"/>
          <w:sz w:val="24"/>
        </w:rPr>
      </w:pPr>
    </w:p>
    <w:p w:rsidR="002F7B12" w:rsidP="002F7B12" w:rsidRDefault="002F7B12">
      <w:pPr>
        <w:rPr>
          <w:rFonts w:ascii="Times New Roman" w:hAnsi="Times New Roman"/>
          <w:sz w:val="24"/>
        </w:rPr>
      </w:pPr>
    </w:p>
    <w:p w:rsidR="002F7B12" w:rsidP="002F7B12" w:rsidRDefault="002F7B12">
      <w:pPr>
        <w:rPr>
          <w:rFonts w:ascii="Times New Roman" w:hAnsi="Times New Roman"/>
          <w:sz w:val="24"/>
        </w:rPr>
      </w:pPr>
    </w:p>
    <w:p w:rsidR="002F7B12" w:rsidP="002F7B12" w:rsidRDefault="002F7B12">
      <w:pPr>
        <w:rPr>
          <w:rFonts w:ascii="Times New Roman" w:hAnsi="Times New Roman"/>
          <w:sz w:val="24"/>
        </w:rPr>
      </w:pPr>
    </w:p>
    <w:p w:rsidR="002F7B12" w:rsidP="002F7B12" w:rsidRDefault="002F7B12">
      <w:pPr>
        <w:rPr>
          <w:rFonts w:ascii="Times New Roman" w:hAnsi="Times New Roman"/>
          <w:sz w:val="24"/>
        </w:rPr>
      </w:pPr>
    </w:p>
    <w:p w:rsidR="002F7B12" w:rsidP="002F7B12" w:rsidRDefault="002F7B12">
      <w:pPr>
        <w:rPr>
          <w:rFonts w:ascii="Times New Roman" w:hAnsi="Times New Roman"/>
          <w:sz w:val="24"/>
        </w:rPr>
      </w:pPr>
    </w:p>
    <w:p w:rsidR="002F7B12" w:rsidP="002F7B12" w:rsidRDefault="002F7B12">
      <w:pPr>
        <w:rPr>
          <w:rFonts w:ascii="Times New Roman" w:hAnsi="Times New Roman"/>
          <w:sz w:val="24"/>
        </w:rPr>
      </w:pPr>
    </w:p>
    <w:p w:rsidRPr="002F7B12" w:rsidR="002F7B12" w:rsidP="002F7B12" w:rsidRDefault="002F7B12">
      <w:pPr>
        <w:rPr>
          <w:rFonts w:ascii="Times New Roman" w:hAnsi="Times New Roman"/>
          <w:sz w:val="24"/>
        </w:rPr>
      </w:pPr>
    </w:p>
    <w:p w:rsidR="002F7B12" w:rsidP="002F7B12" w:rsidRDefault="002F7B12">
      <w:pPr>
        <w:rPr>
          <w:rFonts w:ascii="Times New Roman" w:hAnsi="Times New Roman"/>
          <w:sz w:val="24"/>
        </w:rPr>
      </w:pPr>
      <w:r w:rsidRPr="002F7B12">
        <w:rPr>
          <w:rFonts w:ascii="Times New Roman" w:hAnsi="Times New Roman"/>
          <w:sz w:val="24"/>
        </w:rPr>
        <w:t>De Minister van Onderwijs, Cultuur en Wetenschap,</w:t>
      </w:r>
    </w:p>
    <w:p w:rsidR="000E6D89" w:rsidP="000E6D89" w:rsidRDefault="000E6D89">
      <w:pPr>
        <w:rPr>
          <w:rFonts w:ascii="Times New Roman" w:hAnsi="Times New Roman"/>
          <w:sz w:val="24"/>
        </w:rPr>
      </w:pPr>
    </w:p>
    <w:p w:rsidR="000E6D89" w:rsidP="000E6D89" w:rsidRDefault="000E6D89">
      <w:pPr>
        <w:rPr>
          <w:rFonts w:ascii="Times New Roman" w:hAnsi="Times New Roman"/>
          <w:sz w:val="24"/>
        </w:rPr>
      </w:pPr>
    </w:p>
    <w:p w:rsidR="000E6D89" w:rsidP="000E6D89" w:rsidRDefault="000E6D89">
      <w:pPr>
        <w:rPr>
          <w:rFonts w:ascii="Times New Roman" w:hAnsi="Times New Roman"/>
          <w:sz w:val="24"/>
        </w:rPr>
      </w:pPr>
    </w:p>
    <w:p w:rsidR="000E6D89" w:rsidP="000E6D89" w:rsidRDefault="000E6D89">
      <w:pPr>
        <w:rPr>
          <w:rFonts w:ascii="Times New Roman" w:hAnsi="Times New Roman"/>
          <w:sz w:val="24"/>
        </w:rPr>
      </w:pPr>
    </w:p>
    <w:p w:rsidR="000E6D89" w:rsidP="000E6D89" w:rsidRDefault="000E6D89">
      <w:pPr>
        <w:rPr>
          <w:rFonts w:ascii="Times New Roman" w:hAnsi="Times New Roman"/>
          <w:sz w:val="24"/>
        </w:rPr>
      </w:pPr>
    </w:p>
    <w:p w:rsidR="000E6D89" w:rsidP="000E6D89" w:rsidRDefault="000E6D89">
      <w:pPr>
        <w:rPr>
          <w:rFonts w:ascii="Times New Roman" w:hAnsi="Times New Roman"/>
          <w:sz w:val="24"/>
        </w:rPr>
      </w:pPr>
    </w:p>
    <w:p w:rsidR="000E6D89" w:rsidP="000E6D89" w:rsidRDefault="000E6D89">
      <w:pPr>
        <w:rPr>
          <w:rFonts w:ascii="Times New Roman" w:hAnsi="Times New Roman"/>
          <w:sz w:val="24"/>
        </w:rPr>
      </w:pPr>
    </w:p>
    <w:p w:rsidR="000E6D89" w:rsidP="000E6D89" w:rsidRDefault="000E6D89">
      <w:pPr>
        <w:rPr>
          <w:rFonts w:ascii="Times New Roman" w:hAnsi="Times New Roman"/>
          <w:sz w:val="24"/>
        </w:rPr>
      </w:pPr>
    </w:p>
    <w:p w:rsidRPr="002F7B12" w:rsidR="000E6D89" w:rsidP="000E6D89" w:rsidRDefault="000E6D89">
      <w:pPr>
        <w:rPr>
          <w:rFonts w:ascii="Times New Roman" w:hAnsi="Times New Roman"/>
          <w:sz w:val="24"/>
        </w:rPr>
      </w:pPr>
    </w:p>
    <w:p w:rsidRPr="002F7B12" w:rsidR="000E6D89" w:rsidP="000E6D89" w:rsidRDefault="000E6D89">
      <w:pPr>
        <w:rPr>
          <w:rFonts w:ascii="Times New Roman" w:hAnsi="Times New Roman"/>
          <w:sz w:val="24"/>
        </w:rPr>
      </w:pPr>
      <w:r w:rsidRPr="002F7B12">
        <w:rPr>
          <w:rFonts w:ascii="Times New Roman" w:hAnsi="Times New Roman"/>
          <w:sz w:val="24"/>
        </w:rPr>
        <w:t xml:space="preserve">De Minister voor Rechtsbescherming, </w:t>
      </w:r>
    </w:p>
    <w:p w:rsidRPr="002F7B12" w:rsidR="000E6D89" w:rsidP="000E6D89" w:rsidRDefault="000E6D89">
      <w:pPr>
        <w:rPr>
          <w:rFonts w:ascii="Times New Roman" w:hAnsi="Times New Roman"/>
          <w:sz w:val="24"/>
        </w:rPr>
      </w:pPr>
    </w:p>
    <w:p w:rsidRPr="002F7B12" w:rsidR="000E6D89" w:rsidP="000E6D89" w:rsidRDefault="000E6D89">
      <w:pPr>
        <w:rPr>
          <w:rFonts w:ascii="Times New Roman" w:hAnsi="Times New Roman"/>
          <w:sz w:val="24"/>
        </w:rPr>
      </w:pPr>
    </w:p>
    <w:p w:rsidR="000E6D89" w:rsidP="000E6D89" w:rsidRDefault="000E6D89">
      <w:pPr>
        <w:rPr>
          <w:rFonts w:ascii="Times New Roman" w:hAnsi="Times New Roman"/>
          <w:sz w:val="24"/>
        </w:rPr>
      </w:pPr>
    </w:p>
    <w:p w:rsidR="000E6D89" w:rsidP="000E6D89" w:rsidRDefault="000E6D89">
      <w:pPr>
        <w:rPr>
          <w:rFonts w:ascii="Times New Roman" w:hAnsi="Times New Roman"/>
          <w:sz w:val="24"/>
        </w:rPr>
      </w:pPr>
    </w:p>
    <w:p w:rsidR="000E6D89" w:rsidP="000E6D89" w:rsidRDefault="000E6D89">
      <w:pPr>
        <w:rPr>
          <w:rFonts w:ascii="Times New Roman" w:hAnsi="Times New Roman"/>
          <w:sz w:val="24"/>
        </w:rPr>
      </w:pPr>
    </w:p>
    <w:p w:rsidR="000E6D89" w:rsidP="000E6D89" w:rsidRDefault="000E6D89">
      <w:pPr>
        <w:rPr>
          <w:rFonts w:ascii="Times New Roman" w:hAnsi="Times New Roman"/>
          <w:sz w:val="24"/>
        </w:rPr>
      </w:pPr>
    </w:p>
    <w:p w:rsidR="000E6D89" w:rsidP="000E6D89" w:rsidRDefault="000E6D89">
      <w:pPr>
        <w:rPr>
          <w:rFonts w:ascii="Times New Roman" w:hAnsi="Times New Roman"/>
          <w:sz w:val="24"/>
        </w:rPr>
      </w:pPr>
    </w:p>
    <w:p w:rsidR="000E6D89" w:rsidP="000E6D89" w:rsidRDefault="000E6D89">
      <w:pPr>
        <w:rPr>
          <w:rFonts w:ascii="Times New Roman" w:hAnsi="Times New Roman"/>
          <w:sz w:val="24"/>
        </w:rPr>
      </w:pPr>
    </w:p>
    <w:p w:rsidRPr="002F7B12" w:rsidR="000E6D89" w:rsidP="000E6D89" w:rsidRDefault="000E6D89">
      <w:pPr>
        <w:rPr>
          <w:rFonts w:ascii="Times New Roman" w:hAnsi="Times New Roman"/>
          <w:sz w:val="24"/>
        </w:rPr>
      </w:pPr>
    </w:p>
    <w:p w:rsidRPr="002F7B12" w:rsidR="000E6D89" w:rsidP="000E6D89" w:rsidRDefault="000E6D89">
      <w:pPr>
        <w:rPr>
          <w:rFonts w:ascii="Times New Roman" w:hAnsi="Times New Roman"/>
          <w:sz w:val="24"/>
        </w:rPr>
      </w:pPr>
      <w:r w:rsidRPr="002F7B12">
        <w:rPr>
          <w:rFonts w:ascii="Times New Roman" w:hAnsi="Times New Roman"/>
          <w:sz w:val="24"/>
        </w:rPr>
        <w:t>De Minister van Onderwijs, Cultuur en Wetenschap,</w:t>
      </w:r>
    </w:p>
    <w:p w:rsidRPr="002F7B12" w:rsidR="000E6D89" w:rsidP="002F7B12" w:rsidRDefault="000E6D89">
      <w:pPr>
        <w:rPr>
          <w:rFonts w:ascii="Times New Roman" w:hAnsi="Times New Roman"/>
          <w:sz w:val="24"/>
        </w:rPr>
      </w:pPr>
    </w:p>
    <w:p w:rsidRPr="002F7B12" w:rsidR="00CB3578" w:rsidP="00A11E73" w:rsidRDefault="00CB3578">
      <w:pPr>
        <w:tabs>
          <w:tab w:val="left" w:pos="284"/>
          <w:tab w:val="left" w:pos="567"/>
          <w:tab w:val="left" w:pos="851"/>
        </w:tabs>
        <w:ind w:right="1848"/>
        <w:rPr>
          <w:rFonts w:ascii="Times New Roman" w:hAnsi="Times New Roman"/>
          <w:sz w:val="24"/>
        </w:rPr>
      </w:pPr>
    </w:p>
    <w:sectPr w:rsidRPr="002F7B12" w:rsidR="00CB3578"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B12" w:rsidRDefault="002F7B12">
      <w:pPr>
        <w:spacing w:line="20" w:lineRule="exact"/>
      </w:pPr>
    </w:p>
  </w:endnote>
  <w:endnote w:type="continuationSeparator" w:id="0">
    <w:p w:rsidR="002F7B12" w:rsidRDefault="002F7B12">
      <w:pPr>
        <w:pStyle w:val="Amendement"/>
      </w:pPr>
      <w:r>
        <w:rPr>
          <w:b w:val="0"/>
          <w:bCs w:val="0"/>
        </w:rPr>
        <w:t xml:space="preserve"> </w:t>
      </w:r>
    </w:p>
  </w:endnote>
  <w:endnote w:type="continuationNotice" w:id="1">
    <w:p w:rsidR="002F7B12" w:rsidRDefault="002F7B1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E6D89">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B12" w:rsidRDefault="002F7B12">
      <w:pPr>
        <w:pStyle w:val="Amendement"/>
      </w:pPr>
      <w:r>
        <w:rPr>
          <w:b w:val="0"/>
          <w:bCs w:val="0"/>
        </w:rPr>
        <w:separator/>
      </w:r>
    </w:p>
  </w:footnote>
  <w:footnote w:type="continuationSeparator" w:id="0">
    <w:p w:rsidR="002F7B12" w:rsidRDefault="002F7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B38B2"/>
    <w:multiLevelType w:val="hybridMultilevel"/>
    <w:tmpl w:val="A134B8EA"/>
    <w:lvl w:ilvl="0" w:tplc="98649E6E">
      <w:start w:val="1"/>
      <w:numFmt w:val="decimal"/>
      <w:lvlText w:val="%1."/>
      <w:lvlJc w:val="left"/>
      <w:pPr>
        <w:ind w:left="10"/>
      </w:pPr>
      <w:rPr>
        <w:rFonts w:ascii="Calibri" w:eastAsia="Calibri" w:hAnsi="Calibri" w:cs="Calibri"/>
        <w:b w:val="0"/>
        <w:i w:val="0"/>
        <w:strike w:val="0"/>
        <w:dstrike w:val="0"/>
        <w:color w:val="2F2F2F"/>
        <w:sz w:val="22"/>
        <w:szCs w:val="22"/>
        <w:u w:val="none" w:color="000000"/>
        <w:bdr w:val="none" w:sz="0" w:space="0" w:color="auto"/>
        <w:shd w:val="clear" w:color="auto" w:fill="auto"/>
        <w:vertAlign w:val="baseline"/>
      </w:rPr>
    </w:lvl>
    <w:lvl w:ilvl="1" w:tplc="623AB860">
      <w:start w:val="1"/>
      <w:numFmt w:val="lowerLetter"/>
      <w:lvlText w:val="%2"/>
      <w:lvlJc w:val="left"/>
      <w:pPr>
        <w:ind w:left="1080"/>
      </w:pPr>
      <w:rPr>
        <w:rFonts w:ascii="Calibri" w:eastAsia="Calibri" w:hAnsi="Calibri" w:cs="Calibri"/>
        <w:b w:val="0"/>
        <w:i w:val="0"/>
        <w:strike w:val="0"/>
        <w:dstrike w:val="0"/>
        <w:color w:val="2F2F2F"/>
        <w:sz w:val="22"/>
        <w:szCs w:val="22"/>
        <w:u w:val="none" w:color="000000"/>
        <w:bdr w:val="none" w:sz="0" w:space="0" w:color="auto"/>
        <w:shd w:val="clear" w:color="auto" w:fill="auto"/>
        <w:vertAlign w:val="baseline"/>
      </w:rPr>
    </w:lvl>
    <w:lvl w:ilvl="2" w:tplc="C714F6BC">
      <w:start w:val="1"/>
      <w:numFmt w:val="lowerRoman"/>
      <w:lvlText w:val="%3"/>
      <w:lvlJc w:val="left"/>
      <w:pPr>
        <w:ind w:left="1800"/>
      </w:pPr>
      <w:rPr>
        <w:rFonts w:ascii="Calibri" w:eastAsia="Calibri" w:hAnsi="Calibri" w:cs="Calibri"/>
        <w:b w:val="0"/>
        <w:i w:val="0"/>
        <w:strike w:val="0"/>
        <w:dstrike w:val="0"/>
        <w:color w:val="2F2F2F"/>
        <w:sz w:val="22"/>
        <w:szCs w:val="22"/>
        <w:u w:val="none" w:color="000000"/>
        <w:bdr w:val="none" w:sz="0" w:space="0" w:color="auto"/>
        <w:shd w:val="clear" w:color="auto" w:fill="auto"/>
        <w:vertAlign w:val="baseline"/>
      </w:rPr>
    </w:lvl>
    <w:lvl w:ilvl="3" w:tplc="172424B4">
      <w:start w:val="1"/>
      <w:numFmt w:val="decimal"/>
      <w:lvlText w:val="%4"/>
      <w:lvlJc w:val="left"/>
      <w:pPr>
        <w:ind w:left="2520"/>
      </w:pPr>
      <w:rPr>
        <w:rFonts w:ascii="Calibri" w:eastAsia="Calibri" w:hAnsi="Calibri" w:cs="Calibri"/>
        <w:b w:val="0"/>
        <w:i w:val="0"/>
        <w:strike w:val="0"/>
        <w:dstrike w:val="0"/>
        <w:color w:val="2F2F2F"/>
        <w:sz w:val="22"/>
        <w:szCs w:val="22"/>
        <w:u w:val="none" w:color="000000"/>
        <w:bdr w:val="none" w:sz="0" w:space="0" w:color="auto"/>
        <w:shd w:val="clear" w:color="auto" w:fill="auto"/>
        <w:vertAlign w:val="baseline"/>
      </w:rPr>
    </w:lvl>
    <w:lvl w:ilvl="4" w:tplc="8D961AFE">
      <w:start w:val="1"/>
      <w:numFmt w:val="lowerLetter"/>
      <w:lvlText w:val="%5"/>
      <w:lvlJc w:val="left"/>
      <w:pPr>
        <w:ind w:left="3240"/>
      </w:pPr>
      <w:rPr>
        <w:rFonts w:ascii="Calibri" w:eastAsia="Calibri" w:hAnsi="Calibri" w:cs="Calibri"/>
        <w:b w:val="0"/>
        <w:i w:val="0"/>
        <w:strike w:val="0"/>
        <w:dstrike w:val="0"/>
        <w:color w:val="2F2F2F"/>
        <w:sz w:val="22"/>
        <w:szCs w:val="22"/>
        <w:u w:val="none" w:color="000000"/>
        <w:bdr w:val="none" w:sz="0" w:space="0" w:color="auto"/>
        <w:shd w:val="clear" w:color="auto" w:fill="auto"/>
        <w:vertAlign w:val="baseline"/>
      </w:rPr>
    </w:lvl>
    <w:lvl w:ilvl="5" w:tplc="F4BEC8FC">
      <w:start w:val="1"/>
      <w:numFmt w:val="lowerRoman"/>
      <w:lvlText w:val="%6"/>
      <w:lvlJc w:val="left"/>
      <w:pPr>
        <w:ind w:left="3960"/>
      </w:pPr>
      <w:rPr>
        <w:rFonts w:ascii="Calibri" w:eastAsia="Calibri" w:hAnsi="Calibri" w:cs="Calibri"/>
        <w:b w:val="0"/>
        <w:i w:val="0"/>
        <w:strike w:val="0"/>
        <w:dstrike w:val="0"/>
        <w:color w:val="2F2F2F"/>
        <w:sz w:val="22"/>
        <w:szCs w:val="22"/>
        <w:u w:val="none" w:color="000000"/>
        <w:bdr w:val="none" w:sz="0" w:space="0" w:color="auto"/>
        <w:shd w:val="clear" w:color="auto" w:fill="auto"/>
        <w:vertAlign w:val="baseline"/>
      </w:rPr>
    </w:lvl>
    <w:lvl w:ilvl="6" w:tplc="1A245CC0">
      <w:start w:val="1"/>
      <w:numFmt w:val="decimal"/>
      <w:lvlText w:val="%7"/>
      <w:lvlJc w:val="left"/>
      <w:pPr>
        <w:ind w:left="4680"/>
      </w:pPr>
      <w:rPr>
        <w:rFonts w:ascii="Calibri" w:eastAsia="Calibri" w:hAnsi="Calibri" w:cs="Calibri"/>
        <w:b w:val="0"/>
        <w:i w:val="0"/>
        <w:strike w:val="0"/>
        <w:dstrike w:val="0"/>
        <w:color w:val="2F2F2F"/>
        <w:sz w:val="22"/>
        <w:szCs w:val="22"/>
        <w:u w:val="none" w:color="000000"/>
        <w:bdr w:val="none" w:sz="0" w:space="0" w:color="auto"/>
        <w:shd w:val="clear" w:color="auto" w:fill="auto"/>
        <w:vertAlign w:val="baseline"/>
      </w:rPr>
    </w:lvl>
    <w:lvl w:ilvl="7" w:tplc="A4FE5520">
      <w:start w:val="1"/>
      <w:numFmt w:val="lowerLetter"/>
      <w:lvlText w:val="%8"/>
      <w:lvlJc w:val="left"/>
      <w:pPr>
        <w:ind w:left="5400"/>
      </w:pPr>
      <w:rPr>
        <w:rFonts w:ascii="Calibri" w:eastAsia="Calibri" w:hAnsi="Calibri" w:cs="Calibri"/>
        <w:b w:val="0"/>
        <w:i w:val="0"/>
        <w:strike w:val="0"/>
        <w:dstrike w:val="0"/>
        <w:color w:val="2F2F2F"/>
        <w:sz w:val="22"/>
        <w:szCs w:val="22"/>
        <w:u w:val="none" w:color="000000"/>
        <w:bdr w:val="none" w:sz="0" w:space="0" w:color="auto"/>
        <w:shd w:val="clear" w:color="auto" w:fill="auto"/>
        <w:vertAlign w:val="baseline"/>
      </w:rPr>
    </w:lvl>
    <w:lvl w:ilvl="8" w:tplc="2C8A05C0">
      <w:start w:val="1"/>
      <w:numFmt w:val="lowerRoman"/>
      <w:lvlText w:val="%9"/>
      <w:lvlJc w:val="left"/>
      <w:pPr>
        <w:ind w:left="6120"/>
      </w:pPr>
      <w:rPr>
        <w:rFonts w:ascii="Calibri" w:eastAsia="Calibri" w:hAnsi="Calibri" w:cs="Calibri"/>
        <w:b w:val="0"/>
        <w:i w:val="0"/>
        <w:strike w:val="0"/>
        <w:dstrike w:val="0"/>
        <w:color w:val="2F2F2F"/>
        <w:sz w:val="22"/>
        <w:szCs w:val="22"/>
        <w:u w:val="none" w:color="000000"/>
        <w:bdr w:val="none" w:sz="0" w:space="0" w:color="auto"/>
        <w:shd w:val="clear" w:color="auto" w:fill="auto"/>
        <w:vertAlign w:val="baseline"/>
      </w:rPr>
    </w:lvl>
  </w:abstractNum>
  <w:abstractNum w:abstractNumId="1" w15:restartNumberingAfterBreak="0">
    <w:nsid w:val="68EC7654"/>
    <w:multiLevelType w:val="hybridMultilevel"/>
    <w:tmpl w:val="957E6E5E"/>
    <w:lvl w:ilvl="0" w:tplc="9EC452E4">
      <w:start w:val="1"/>
      <w:numFmt w:val="decimal"/>
      <w:lvlText w:val="%1."/>
      <w:lvlJc w:val="left"/>
      <w:pPr>
        <w:ind w:left="218"/>
      </w:pPr>
      <w:rPr>
        <w:rFonts w:ascii="Calibri" w:eastAsia="Calibri" w:hAnsi="Calibri" w:cs="Calibri"/>
        <w:b w:val="0"/>
        <w:i w:val="0"/>
        <w:strike w:val="0"/>
        <w:dstrike w:val="0"/>
        <w:color w:val="201D1F"/>
        <w:sz w:val="22"/>
        <w:szCs w:val="22"/>
        <w:u w:val="none" w:color="000000"/>
        <w:bdr w:val="none" w:sz="0" w:space="0" w:color="auto"/>
        <w:shd w:val="clear" w:color="auto" w:fill="auto"/>
        <w:vertAlign w:val="baseline"/>
      </w:rPr>
    </w:lvl>
    <w:lvl w:ilvl="1" w:tplc="53AA153A">
      <w:start w:val="1"/>
      <w:numFmt w:val="lowerLetter"/>
      <w:lvlText w:val="%2"/>
      <w:lvlJc w:val="left"/>
      <w:pPr>
        <w:ind w:left="1080"/>
      </w:pPr>
      <w:rPr>
        <w:rFonts w:ascii="Calibri" w:eastAsia="Calibri" w:hAnsi="Calibri" w:cs="Calibri"/>
        <w:b w:val="0"/>
        <w:i w:val="0"/>
        <w:strike w:val="0"/>
        <w:dstrike w:val="0"/>
        <w:color w:val="201D1F"/>
        <w:sz w:val="22"/>
        <w:szCs w:val="22"/>
        <w:u w:val="none" w:color="000000"/>
        <w:bdr w:val="none" w:sz="0" w:space="0" w:color="auto"/>
        <w:shd w:val="clear" w:color="auto" w:fill="auto"/>
        <w:vertAlign w:val="baseline"/>
      </w:rPr>
    </w:lvl>
    <w:lvl w:ilvl="2" w:tplc="C156B93C">
      <w:start w:val="1"/>
      <w:numFmt w:val="lowerRoman"/>
      <w:lvlText w:val="%3"/>
      <w:lvlJc w:val="left"/>
      <w:pPr>
        <w:ind w:left="1800"/>
      </w:pPr>
      <w:rPr>
        <w:rFonts w:ascii="Calibri" w:eastAsia="Calibri" w:hAnsi="Calibri" w:cs="Calibri"/>
        <w:b w:val="0"/>
        <w:i w:val="0"/>
        <w:strike w:val="0"/>
        <w:dstrike w:val="0"/>
        <w:color w:val="201D1F"/>
        <w:sz w:val="22"/>
        <w:szCs w:val="22"/>
        <w:u w:val="none" w:color="000000"/>
        <w:bdr w:val="none" w:sz="0" w:space="0" w:color="auto"/>
        <w:shd w:val="clear" w:color="auto" w:fill="auto"/>
        <w:vertAlign w:val="baseline"/>
      </w:rPr>
    </w:lvl>
    <w:lvl w:ilvl="3" w:tplc="C3DA0458">
      <w:start w:val="1"/>
      <w:numFmt w:val="decimal"/>
      <w:lvlText w:val="%4"/>
      <w:lvlJc w:val="left"/>
      <w:pPr>
        <w:ind w:left="2520"/>
      </w:pPr>
      <w:rPr>
        <w:rFonts w:ascii="Calibri" w:eastAsia="Calibri" w:hAnsi="Calibri" w:cs="Calibri"/>
        <w:b w:val="0"/>
        <w:i w:val="0"/>
        <w:strike w:val="0"/>
        <w:dstrike w:val="0"/>
        <w:color w:val="201D1F"/>
        <w:sz w:val="22"/>
        <w:szCs w:val="22"/>
        <w:u w:val="none" w:color="000000"/>
        <w:bdr w:val="none" w:sz="0" w:space="0" w:color="auto"/>
        <w:shd w:val="clear" w:color="auto" w:fill="auto"/>
        <w:vertAlign w:val="baseline"/>
      </w:rPr>
    </w:lvl>
    <w:lvl w:ilvl="4" w:tplc="EC729648">
      <w:start w:val="1"/>
      <w:numFmt w:val="lowerLetter"/>
      <w:lvlText w:val="%5"/>
      <w:lvlJc w:val="left"/>
      <w:pPr>
        <w:ind w:left="3240"/>
      </w:pPr>
      <w:rPr>
        <w:rFonts w:ascii="Calibri" w:eastAsia="Calibri" w:hAnsi="Calibri" w:cs="Calibri"/>
        <w:b w:val="0"/>
        <w:i w:val="0"/>
        <w:strike w:val="0"/>
        <w:dstrike w:val="0"/>
        <w:color w:val="201D1F"/>
        <w:sz w:val="22"/>
        <w:szCs w:val="22"/>
        <w:u w:val="none" w:color="000000"/>
        <w:bdr w:val="none" w:sz="0" w:space="0" w:color="auto"/>
        <w:shd w:val="clear" w:color="auto" w:fill="auto"/>
        <w:vertAlign w:val="baseline"/>
      </w:rPr>
    </w:lvl>
    <w:lvl w:ilvl="5" w:tplc="C9D6B952">
      <w:start w:val="1"/>
      <w:numFmt w:val="lowerRoman"/>
      <w:lvlText w:val="%6"/>
      <w:lvlJc w:val="left"/>
      <w:pPr>
        <w:ind w:left="3960"/>
      </w:pPr>
      <w:rPr>
        <w:rFonts w:ascii="Calibri" w:eastAsia="Calibri" w:hAnsi="Calibri" w:cs="Calibri"/>
        <w:b w:val="0"/>
        <w:i w:val="0"/>
        <w:strike w:val="0"/>
        <w:dstrike w:val="0"/>
        <w:color w:val="201D1F"/>
        <w:sz w:val="22"/>
        <w:szCs w:val="22"/>
        <w:u w:val="none" w:color="000000"/>
        <w:bdr w:val="none" w:sz="0" w:space="0" w:color="auto"/>
        <w:shd w:val="clear" w:color="auto" w:fill="auto"/>
        <w:vertAlign w:val="baseline"/>
      </w:rPr>
    </w:lvl>
    <w:lvl w:ilvl="6" w:tplc="1FD23578">
      <w:start w:val="1"/>
      <w:numFmt w:val="decimal"/>
      <w:lvlText w:val="%7"/>
      <w:lvlJc w:val="left"/>
      <w:pPr>
        <w:ind w:left="4680"/>
      </w:pPr>
      <w:rPr>
        <w:rFonts w:ascii="Calibri" w:eastAsia="Calibri" w:hAnsi="Calibri" w:cs="Calibri"/>
        <w:b w:val="0"/>
        <w:i w:val="0"/>
        <w:strike w:val="0"/>
        <w:dstrike w:val="0"/>
        <w:color w:val="201D1F"/>
        <w:sz w:val="22"/>
        <w:szCs w:val="22"/>
        <w:u w:val="none" w:color="000000"/>
        <w:bdr w:val="none" w:sz="0" w:space="0" w:color="auto"/>
        <w:shd w:val="clear" w:color="auto" w:fill="auto"/>
        <w:vertAlign w:val="baseline"/>
      </w:rPr>
    </w:lvl>
    <w:lvl w:ilvl="7" w:tplc="A34AD62E">
      <w:start w:val="1"/>
      <w:numFmt w:val="lowerLetter"/>
      <w:lvlText w:val="%8"/>
      <w:lvlJc w:val="left"/>
      <w:pPr>
        <w:ind w:left="5400"/>
      </w:pPr>
      <w:rPr>
        <w:rFonts w:ascii="Calibri" w:eastAsia="Calibri" w:hAnsi="Calibri" w:cs="Calibri"/>
        <w:b w:val="0"/>
        <w:i w:val="0"/>
        <w:strike w:val="0"/>
        <w:dstrike w:val="0"/>
        <w:color w:val="201D1F"/>
        <w:sz w:val="22"/>
        <w:szCs w:val="22"/>
        <w:u w:val="none" w:color="000000"/>
        <w:bdr w:val="none" w:sz="0" w:space="0" w:color="auto"/>
        <w:shd w:val="clear" w:color="auto" w:fill="auto"/>
        <w:vertAlign w:val="baseline"/>
      </w:rPr>
    </w:lvl>
    <w:lvl w:ilvl="8" w:tplc="2B20AF42">
      <w:start w:val="1"/>
      <w:numFmt w:val="lowerRoman"/>
      <w:lvlText w:val="%9"/>
      <w:lvlJc w:val="left"/>
      <w:pPr>
        <w:ind w:left="6120"/>
      </w:pPr>
      <w:rPr>
        <w:rFonts w:ascii="Calibri" w:eastAsia="Calibri" w:hAnsi="Calibri" w:cs="Calibri"/>
        <w:b w:val="0"/>
        <w:i w:val="0"/>
        <w:strike w:val="0"/>
        <w:dstrike w:val="0"/>
        <w:color w:val="201D1F"/>
        <w:sz w:val="22"/>
        <w:szCs w:val="22"/>
        <w:u w:val="none" w:color="000000"/>
        <w:bdr w:val="none" w:sz="0" w:space="0" w:color="auto"/>
        <w:shd w:val="clear" w:color="auto" w:fill="auto"/>
        <w:vertAlign w:val="baseline"/>
      </w:rPr>
    </w:lvl>
  </w:abstractNum>
  <w:abstractNum w:abstractNumId="2" w15:restartNumberingAfterBreak="0">
    <w:nsid w:val="7AF56BE5"/>
    <w:multiLevelType w:val="hybridMultilevel"/>
    <w:tmpl w:val="20ACD42C"/>
    <w:lvl w:ilvl="0" w:tplc="41E67BD2">
      <w:start w:val="1"/>
      <w:numFmt w:val="decimal"/>
      <w:lvlText w:val="%1."/>
      <w:lvlJc w:val="left"/>
      <w:pPr>
        <w:ind w:left="218"/>
      </w:pPr>
      <w:rPr>
        <w:rFonts w:ascii="Calibri" w:eastAsia="Calibri" w:hAnsi="Calibri" w:cs="Calibri"/>
        <w:b w:val="0"/>
        <w:i w:val="0"/>
        <w:strike w:val="0"/>
        <w:dstrike w:val="0"/>
        <w:color w:val="201D1F"/>
        <w:sz w:val="22"/>
        <w:szCs w:val="22"/>
        <w:u w:val="none" w:color="000000"/>
        <w:bdr w:val="none" w:sz="0" w:space="0" w:color="auto"/>
        <w:shd w:val="clear" w:color="auto" w:fill="auto"/>
        <w:vertAlign w:val="baseline"/>
      </w:rPr>
    </w:lvl>
    <w:lvl w:ilvl="1" w:tplc="9214B198">
      <w:start w:val="1"/>
      <w:numFmt w:val="lowerLetter"/>
      <w:lvlText w:val="%2"/>
      <w:lvlJc w:val="left"/>
      <w:pPr>
        <w:ind w:left="1080"/>
      </w:pPr>
      <w:rPr>
        <w:rFonts w:ascii="Calibri" w:eastAsia="Calibri" w:hAnsi="Calibri" w:cs="Calibri"/>
        <w:b w:val="0"/>
        <w:i w:val="0"/>
        <w:strike w:val="0"/>
        <w:dstrike w:val="0"/>
        <w:color w:val="201D1F"/>
        <w:sz w:val="22"/>
        <w:szCs w:val="22"/>
        <w:u w:val="none" w:color="000000"/>
        <w:bdr w:val="none" w:sz="0" w:space="0" w:color="auto"/>
        <w:shd w:val="clear" w:color="auto" w:fill="auto"/>
        <w:vertAlign w:val="baseline"/>
      </w:rPr>
    </w:lvl>
    <w:lvl w:ilvl="2" w:tplc="AE7EA0DE">
      <w:start w:val="1"/>
      <w:numFmt w:val="lowerRoman"/>
      <w:lvlText w:val="%3"/>
      <w:lvlJc w:val="left"/>
      <w:pPr>
        <w:ind w:left="1800"/>
      </w:pPr>
      <w:rPr>
        <w:rFonts w:ascii="Calibri" w:eastAsia="Calibri" w:hAnsi="Calibri" w:cs="Calibri"/>
        <w:b w:val="0"/>
        <w:i w:val="0"/>
        <w:strike w:val="0"/>
        <w:dstrike w:val="0"/>
        <w:color w:val="201D1F"/>
        <w:sz w:val="22"/>
        <w:szCs w:val="22"/>
        <w:u w:val="none" w:color="000000"/>
        <w:bdr w:val="none" w:sz="0" w:space="0" w:color="auto"/>
        <w:shd w:val="clear" w:color="auto" w:fill="auto"/>
        <w:vertAlign w:val="baseline"/>
      </w:rPr>
    </w:lvl>
    <w:lvl w:ilvl="3" w:tplc="F3A6D946">
      <w:start w:val="1"/>
      <w:numFmt w:val="decimal"/>
      <w:lvlText w:val="%4"/>
      <w:lvlJc w:val="left"/>
      <w:pPr>
        <w:ind w:left="2520"/>
      </w:pPr>
      <w:rPr>
        <w:rFonts w:ascii="Calibri" w:eastAsia="Calibri" w:hAnsi="Calibri" w:cs="Calibri"/>
        <w:b w:val="0"/>
        <w:i w:val="0"/>
        <w:strike w:val="0"/>
        <w:dstrike w:val="0"/>
        <w:color w:val="201D1F"/>
        <w:sz w:val="22"/>
        <w:szCs w:val="22"/>
        <w:u w:val="none" w:color="000000"/>
        <w:bdr w:val="none" w:sz="0" w:space="0" w:color="auto"/>
        <w:shd w:val="clear" w:color="auto" w:fill="auto"/>
        <w:vertAlign w:val="baseline"/>
      </w:rPr>
    </w:lvl>
    <w:lvl w:ilvl="4" w:tplc="0354F292">
      <w:start w:val="1"/>
      <w:numFmt w:val="lowerLetter"/>
      <w:lvlText w:val="%5"/>
      <w:lvlJc w:val="left"/>
      <w:pPr>
        <w:ind w:left="3240"/>
      </w:pPr>
      <w:rPr>
        <w:rFonts w:ascii="Calibri" w:eastAsia="Calibri" w:hAnsi="Calibri" w:cs="Calibri"/>
        <w:b w:val="0"/>
        <w:i w:val="0"/>
        <w:strike w:val="0"/>
        <w:dstrike w:val="0"/>
        <w:color w:val="201D1F"/>
        <w:sz w:val="22"/>
        <w:szCs w:val="22"/>
        <w:u w:val="none" w:color="000000"/>
        <w:bdr w:val="none" w:sz="0" w:space="0" w:color="auto"/>
        <w:shd w:val="clear" w:color="auto" w:fill="auto"/>
        <w:vertAlign w:val="baseline"/>
      </w:rPr>
    </w:lvl>
    <w:lvl w:ilvl="5" w:tplc="7A86029A">
      <w:start w:val="1"/>
      <w:numFmt w:val="lowerRoman"/>
      <w:lvlText w:val="%6"/>
      <w:lvlJc w:val="left"/>
      <w:pPr>
        <w:ind w:left="3960"/>
      </w:pPr>
      <w:rPr>
        <w:rFonts w:ascii="Calibri" w:eastAsia="Calibri" w:hAnsi="Calibri" w:cs="Calibri"/>
        <w:b w:val="0"/>
        <w:i w:val="0"/>
        <w:strike w:val="0"/>
        <w:dstrike w:val="0"/>
        <w:color w:val="201D1F"/>
        <w:sz w:val="22"/>
        <w:szCs w:val="22"/>
        <w:u w:val="none" w:color="000000"/>
        <w:bdr w:val="none" w:sz="0" w:space="0" w:color="auto"/>
        <w:shd w:val="clear" w:color="auto" w:fill="auto"/>
        <w:vertAlign w:val="baseline"/>
      </w:rPr>
    </w:lvl>
    <w:lvl w:ilvl="6" w:tplc="13A2A654">
      <w:start w:val="1"/>
      <w:numFmt w:val="decimal"/>
      <w:lvlText w:val="%7"/>
      <w:lvlJc w:val="left"/>
      <w:pPr>
        <w:ind w:left="4680"/>
      </w:pPr>
      <w:rPr>
        <w:rFonts w:ascii="Calibri" w:eastAsia="Calibri" w:hAnsi="Calibri" w:cs="Calibri"/>
        <w:b w:val="0"/>
        <w:i w:val="0"/>
        <w:strike w:val="0"/>
        <w:dstrike w:val="0"/>
        <w:color w:val="201D1F"/>
        <w:sz w:val="22"/>
        <w:szCs w:val="22"/>
        <w:u w:val="none" w:color="000000"/>
        <w:bdr w:val="none" w:sz="0" w:space="0" w:color="auto"/>
        <w:shd w:val="clear" w:color="auto" w:fill="auto"/>
        <w:vertAlign w:val="baseline"/>
      </w:rPr>
    </w:lvl>
    <w:lvl w:ilvl="7" w:tplc="5E6E3DCA">
      <w:start w:val="1"/>
      <w:numFmt w:val="lowerLetter"/>
      <w:lvlText w:val="%8"/>
      <w:lvlJc w:val="left"/>
      <w:pPr>
        <w:ind w:left="5400"/>
      </w:pPr>
      <w:rPr>
        <w:rFonts w:ascii="Calibri" w:eastAsia="Calibri" w:hAnsi="Calibri" w:cs="Calibri"/>
        <w:b w:val="0"/>
        <w:i w:val="0"/>
        <w:strike w:val="0"/>
        <w:dstrike w:val="0"/>
        <w:color w:val="201D1F"/>
        <w:sz w:val="22"/>
        <w:szCs w:val="22"/>
        <w:u w:val="none" w:color="000000"/>
        <w:bdr w:val="none" w:sz="0" w:space="0" w:color="auto"/>
        <w:shd w:val="clear" w:color="auto" w:fill="auto"/>
        <w:vertAlign w:val="baseline"/>
      </w:rPr>
    </w:lvl>
    <w:lvl w:ilvl="8" w:tplc="E7682D96">
      <w:start w:val="1"/>
      <w:numFmt w:val="lowerRoman"/>
      <w:lvlText w:val="%9"/>
      <w:lvlJc w:val="left"/>
      <w:pPr>
        <w:ind w:left="6120"/>
      </w:pPr>
      <w:rPr>
        <w:rFonts w:ascii="Calibri" w:eastAsia="Calibri" w:hAnsi="Calibri" w:cs="Calibri"/>
        <w:b w:val="0"/>
        <w:i w:val="0"/>
        <w:strike w:val="0"/>
        <w:dstrike w:val="0"/>
        <w:color w:val="201D1F"/>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B12"/>
    <w:rsid w:val="00012DBE"/>
    <w:rsid w:val="000A1D81"/>
    <w:rsid w:val="000E6D89"/>
    <w:rsid w:val="00111ED3"/>
    <w:rsid w:val="001C190E"/>
    <w:rsid w:val="002168F4"/>
    <w:rsid w:val="002A727C"/>
    <w:rsid w:val="002F7B12"/>
    <w:rsid w:val="00324F49"/>
    <w:rsid w:val="005D2707"/>
    <w:rsid w:val="00606255"/>
    <w:rsid w:val="006B220E"/>
    <w:rsid w:val="006B607A"/>
    <w:rsid w:val="007D451C"/>
    <w:rsid w:val="00813577"/>
    <w:rsid w:val="00826224"/>
    <w:rsid w:val="00930A23"/>
    <w:rsid w:val="009C7354"/>
    <w:rsid w:val="009E6D7F"/>
    <w:rsid w:val="00A11E73"/>
    <w:rsid w:val="00A2521E"/>
    <w:rsid w:val="00AE436A"/>
    <w:rsid w:val="00C00849"/>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D71B6"/>
  <w15:docId w15:val="{333003B4-BC5F-41DA-B3BC-D9CAB1CD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1Char">
    <w:name w:val="Kop 1 Char"/>
    <w:basedOn w:val="Standaardalinea-lettertype"/>
    <w:link w:val="Kop1"/>
    <w:uiPriority w:val="9"/>
    <w:rsid w:val="002F7B12"/>
    <w:rPr>
      <w:rFonts w:ascii="Verdana" w:hAnsi="Verdana" w:cs="Arial"/>
      <w:b/>
      <w:bCs/>
      <w:kern w:val="32"/>
      <w:sz w:val="32"/>
      <w:szCs w:val="32"/>
    </w:rPr>
  </w:style>
  <w:style w:type="paragraph" w:styleId="Lijstalinea">
    <w:name w:val="List Paragraph"/>
    <w:basedOn w:val="Standaard"/>
    <w:uiPriority w:val="34"/>
    <w:qFormat/>
    <w:rsid w:val="00813577"/>
    <w:pPr>
      <w:ind w:left="720"/>
      <w:contextualSpacing/>
    </w:pPr>
  </w:style>
  <w:style w:type="paragraph" w:customStyle="1" w:styleId="avmp">
    <w:name w:val="avmp"/>
    <w:rsid w:val="000E6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tten.overheid.nl/BWBR0003045/2020-01-0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tten.overheid.nl/BWBR0003045/2020-01-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etten.overheid.nl/BWBR0003045/2020-01-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1286</ap:Words>
  <ap:Characters>7281</ap:Characters>
  <ap:DocSecurity>0</ap:DocSecurity>
  <ap:Lines>60</ap:Lines>
  <ap:Paragraphs>17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8550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2021-02-11T12:35:00.0000000Z</dcterms:created>
  <dcterms:modified xsi:type="dcterms:W3CDTF">2021-02-11T12:35:00.0000000Z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