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322301" w:rsidR="00322301" w:rsidP="00322301" w:rsidRDefault="00322301">
      <w:pPr>
        <w:spacing w:after="0" w:line="240" w:lineRule="auto"/>
        <w:rPr>
          <w:rFonts w:eastAsia="Times New Roman" w:cstheme="minorHAnsi"/>
          <w:b/>
          <w:sz w:val="24"/>
          <w:lang w:eastAsia="nl-NL"/>
        </w:rPr>
      </w:pPr>
      <w:r w:rsidRPr="00322301">
        <w:rPr>
          <w:rFonts w:eastAsia="Times New Roman" w:cstheme="minorHAnsi"/>
          <w:b/>
          <w:sz w:val="24"/>
          <w:lang w:eastAsia="nl-NL"/>
        </w:rPr>
        <w:t>Vaste commissie voor Sociale Zaken en Werkgelegenheid: Overzicht nieuw gepubliceerde EU-voorstellen op het terrein van SZW</w:t>
      </w:r>
    </w:p>
    <w:p w:rsidRPr="00322301" w:rsidR="00322301" w:rsidP="00322301" w:rsidRDefault="00322301">
      <w:pPr>
        <w:spacing w:after="0" w:line="240" w:lineRule="auto"/>
        <w:rPr>
          <w:rFonts w:eastAsia="Times New Roman" w:cstheme="minorHAnsi"/>
          <w:lang w:eastAsia="nl-NL"/>
        </w:rPr>
      </w:pPr>
      <w:r w:rsidRPr="00322301">
        <w:rPr>
          <w:rFonts w:eastAsia="Times New Roman" w:cstheme="minorHAnsi"/>
          <w:b/>
          <w:u w:val="single"/>
          <w:lang w:eastAsia="nl-NL"/>
        </w:rPr>
        <w:t>Voorstellen over de periode</w:t>
      </w:r>
      <w:r w:rsidRPr="00322301">
        <w:rPr>
          <w:rFonts w:eastAsia="Times New Roman" w:cstheme="minorHAnsi"/>
          <w:b/>
          <w:lang w:eastAsia="nl-NL"/>
        </w:rPr>
        <w:t xml:space="preserve">: </w:t>
      </w:r>
      <w:r w:rsidR="001E4F43">
        <w:rPr>
          <w:rFonts w:eastAsia="Times New Roman" w:cstheme="minorHAnsi"/>
          <w:b/>
          <w:lang w:eastAsia="nl-NL"/>
        </w:rPr>
        <w:t xml:space="preserve">t/m </w:t>
      </w:r>
      <w:r w:rsidR="00ED2F76">
        <w:rPr>
          <w:rFonts w:eastAsia="Times New Roman" w:cstheme="minorHAnsi"/>
          <w:b/>
          <w:lang w:eastAsia="nl-NL"/>
        </w:rPr>
        <w:t>4 februari 2021</w:t>
      </w:r>
      <w:r w:rsidR="00AD0BF8">
        <w:rPr>
          <w:rFonts w:eastAsia="Times New Roman" w:cstheme="minorHAnsi"/>
          <w:b/>
          <w:lang w:eastAsia="nl-NL"/>
        </w:rPr>
        <w:t xml:space="preserve">    -    </w:t>
      </w:r>
      <w:r w:rsidRPr="00AD0BF8" w:rsidR="00AD0BF8">
        <w:rPr>
          <w:rFonts w:eastAsia="Times New Roman" w:cstheme="minorHAnsi"/>
          <w:b/>
          <w:i/>
          <w:lang w:eastAsia="nl-NL"/>
        </w:rPr>
        <w:t>2021Z</w:t>
      </w:r>
      <w:r w:rsidR="001141A7">
        <w:rPr>
          <w:rFonts w:eastAsia="Times New Roman" w:cstheme="minorHAnsi"/>
          <w:b/>
          <w:i/>
          <w:lang w:eastAsia="nl-NL"/>
        </w:rPr>
        <w:t>02273</w:t>
      </w:r>
      <w:r w:rsidRPr="00AD0BF8" w:rsidR="00AD0BF8">
        <w:rPr>
          <w:rFonts w:eastAsia="Times New Roman" w:cstheme="minorHAnsi"/>
          <w:b/>
          <w:i/>
          <w:lang w:eastAsia="nl-NL"/>
        </w:rPr>
        <w:t>/2021D</w:t>
      </w:r>
      <w:r w:rsidR="001141A7">
        <w:rPr>
          <w:rFonts w:eastAsia="Times New Roman" w:cstheme="minorHAnsi"/>
          <w:b/>
          <w:i/>
          <w:lang w:eastAsia="nl-NL"/>
        </w:rPr>
        <w:t>05026</w:t>
      </w:r>
      <w:bookmarkStart w:name="_GoBack" w:id="0"/>
      <w:bookmarkEnd w:id="0"/>
    </w:p>
    <w:p w:rsidRPr="00322301" w:rsidR="00322301" w:rsidP="00322301" w:rsidRDefault="00322301">
      <w:pPr>
        <w:spacing w:after="0" w:line="240" w:lineRule="auto"/>
        <w:rPr>
          <w:rFonts w:eastAsia="Times New Roman" w:cstheme="minorHAnsi"/>
          <w:b/>
          <w:color w:val="000000" w:themeColor="text1"/>
          <w:lang w:eastAsia="nl-NL"/>
        </w:rPr>
      </w:pPr>
      <w:r w:rsidRPr="00322301">
        <w:rPr>
          <w:rFonts w:eastAsia="Times New Roman" w:cstheme="minorHAnsi"/>
          <w:color w:val="000000" w:themeColor="text1"/>
          <w:lang w:eastAsia="nl-NL"/>
        </w:rPr>
        <w:t>Zoals aanbevolen in het vastgestelde rapport 'Voorop in Europa' (Kamerstuk 33936-2) wordt op elke procedurevergadering standaard een overzicht van nieuwe consultaties, Groen- en Witboeken en EU-wetgevingsvoorstellen (mededelingen, richtlijnen en verordeningen) geagendeerd. Dit overzicht is ter informatie. U kunt desgewenst een concreet behandelvoorstel doen voor een of meer in de lijst vermelde EU-voorstellen. De nieuwe EU-voorstellen die de commissie SZW eerder als prioritair heeft aangemerkt, worden afzonderlijk geagendeerd voor de procedurevergadering met een behandelvoorstel.</w:t>
      </w:r>
    </w:p>
    <w:p w:rsidRPr="00322301" w:rsidR="00322301" w:rsidP="00322301" w:rsidRDefault="00322301">
      <w:pPr>
        <w:spacing w:after="0" w:line="240" w:lineRule="auto"/>
        <w:rPr>
          <w:rFonts w:eastAsia="Times New Roman" w:cstheme="minorHAnsi"/>
          <w:b/>
          <w:lang w:eastAsia="nl-NL"/>
        </w:rPr>
      </w:pPr>
    </w:p>
    <w:tbl>
      <w:tblPr>
        <w:tblStyle w:val="Tabelraster"/>
        <w:tblW w:w="14454" w:type="dxa"/>
        <w:tblLook w:val="04A0" w:firstRow="1" w:lastRow="0" w:firstColumn="1" w:lastColumn="0" w:noHBand="0" w:noVBand="1"/>
      </w:tblPr>
      <w:tblGrid>
        <w:gridCol w:w="1150"/>
        <w:gridCol w:w="1035"/>
        <w:gridCol w:w="1374"/>
        <w:gridCol w:w="3960"/>
        <w:gridCol w:w="1356"/>
        <w:gridCol w:w="1118"/>
        <w:gridCol w:w="4461"/>
      </w:tblGrid>
      <w:tr w:rsidRPr="00322301" w:rsidR="00ED2F76" w:rsidTr="00ED2F76">
        <w:trPr>
          <w:trHeight w:val="1550"/>
        </w:trPr>
        <w:tc>
          <w:tcPr>
            <w:tcW w:w="1150" w:type="dxa"/>
            <w:textDirection w:val="btLr"/>
            <w:hideMark/>
          </w:tcPr>
          <w:p w:rsidRPr="00051CB0" w:rsidR="00ED2F76" w:rsidP="00322301" w:rsidRDefault="00ED2F76">
            <w:pPr>
              <w:jc w:val="center"/>
              <w:rPr>
                <w:rFonts w:asciiTheme="minorHAnsi" w:hAnsiTheme="minorHAnsi" w:cstheme="minorHAnsi"/>
                <w:b/>
                <w:bCs/>
                <w:color w:val="000000"/>
                <w:sz w:val="22"/>
                <w:szCs w:val="22"/>
              </w:rPr>
            </w:pPr>
            <w:r w:rsidRPr="00051CB0">
              <w:rPr>
                <w:rFonts w:asciiTheme="minorHAnsi" w:hAnsiTheme="minorHAnsi" w:cstheme="minorHAnsi"/>
                <w:b/>
                <w:bCs/>
                <w:color w:val="000000"/>
                <w:sz w:val="22"/>
                <w:szCs w:val="22"/>
              </w:rPr>
              <w:t>Publicatie-</w:t>
            </w:r>
          </w:p>
          <w:p w:rsidRPr="00051CB0" w:rsidR="00ED2F76" w:rsidP="00322301" w:rsidRDefault="00ED2F76">
            <w:pPr>
              <w:jc w:val="center"/>
              <w:rPr>
                <w:rFonts w:asciiTheme="minorHAnsi" w:hAnsiTheme="minorHAnsi" w:cstheme="minorHAnsi"/>
                <w:b/>
                <w:bCs/>
                <w:color w:val="000000"/>
                <w:sz w:val="22"/>
                <w:szCs w:val="22"/>
              </w:rPr>
            </w:pPr>
            <w:r w:rsidRPr="00051CB0">
              <w:rPr>
                <w:rFonts w:asciiTheme="minorHAnsi" w:hAnsiTheme="minorHAnsi" w:cstheme="minorHAnsi"/>
                <w:b/>
                <w:bCs/>
                <w:color w:val="000000"/>
                <w:sz w:val="22"/>
                <w:szCs w:val="22"/>
              </w:rPr>
              <w:t>datum</w:t>
            </w:r>
          </w:p>
        </w:tc>
        <w:tc>
          <w:tcPr>
            <w:tcW w:w="1035" w:type="dxa"/>
            <w:textDirection w:val="btLr"/>
            <w:hideMark/>
          </w:tcPr>
          <w:p w:rsidRPr="00051CB0" w:rsidR="00ED2F76" w:rsidP="00322301" w:rsidRDefault="00ED2F76">
            <w:pPr>
              <w:jc w:val="center"/>
              <w:rPr>
                <w:rFonts w:asciiTheme="minorHAnsi" w:hAnsiTheme="minorHAnsi" w:cstheme="minorHAnsi"/>
                <w:b/>
                <w:bCs/>
                <w:color w:val="000000"/>
                <w:sz w:val="22"/>
                <w:szCs w:val="22"/>
              </w:rPr>
            </w:pPr>
            <w:r w:rsidRPr="00051CB0">
              <w:rPr>
                <w:rFonts w:asciiTheme="minorHAnsi" w:hAnsiTheme="minorHAnsi" w:cstheme="minorHAnsi"/>
                <w:b/>
                <w:bCs/>
                <w:color w:val="000000"/>
                <w:sz w:val="22"/>
                <w:szCs w:val="22"/>
              </w:rPr>
              <w:t>Voortouw</w:t>
            </w:r>
          </w:p>
        </w:tc>
        <w:tc>
          <w:tcPr>
            <w:tcW w:w="1374" w:type="dxa"/>
            <w:textDirection w:val="btLr"/>
            <w:hideMark/>
          </w:tcPr>
          <w:p w:rsidRPr="00051CB0" w:rsidR="00ED2F76" w:rsidP="00322301" w:rsidRDefault="00ED2F76">
            <w:pPr>
              <w:jc w:val="center"/>
              <w:rPr>
                <w:rFonts w:asciiTheme="minorHAnsi" w:hAnsiTheme="minorHAnsi" w:cstheme="minorHAnsi"/>
                <w:b/>
                <w:bCs/>
                <w:color w:val="000000"/>
                <w:sz w:val="22"/>
                <w:szCs w:val="22"/>
              </w:rPr>
            </w:pPr>
            <w:r w:rsidRPr="00051CB0">
              <w:rPr>
                <w:rFonts w:asciiTheme="minorHAnsi" w:hAnsiTheme="minorHAnsi" w:cstheme="minorHAnsi"/>
                <w:b/>
                <w:bCs/>
                <w:color w:val="000000"/>
                <w:sz w:val="22"/>
                <w:szCs w:val="22"/>
              </w:rPr>
              <w:t>Soort</w:t>
            </w:r>
          </w:p>
        </w:tc>
        <w:tc>
          <w:tcPr>
            <w:tcW w:w="3960" w:type="dxa"/>
            <w:textDirection w:val="btLr"/>
            <w:hideMark/>
          </w:tcPr>
          <w:p w:rsidRPr="00051CB0" w:rsidR="00ED2F76" w:rsidP="00322301" w:rsidRDefault="00ED2F76">
            <w:pPr>
              <w:jc w:val="center"/>
              <w:rPr>
                <w:rFonts w:asciiTheme="minorHAnsi" w:hAnsiTheme="minorHAnsi" w:cstheme="minorHAnsi"/>
                <w:b/>
                <w:bCs/>
                <w:color w:val="000000"/>
                <w:sz w:val="22"/>
                <w:szCs w:val="22"/>
              </w:rPr>
            </w:pPr>
            <w:r w:rsidRPr="00051CB0">
              <w:rPr>
                <w:rFonts w:asciiTheme="minorHAnsi" w:hAnsiTheme="minorHAnsi" w:cstheme="minorHAnsi"/>
                <w:b/>
                <w:bCs/>
                <w:color w:val="000000"/>
                <w:sz w:val="22"/>
                <w:szCs w:val="22"/>
              </w:rPr>
              <w:t>Titel</w:t>
            </w:r>
          </w:p>
        </w:tc>
        <w:tc>
          <w:tcPr>
            <w:tcW w:w="1356" w:type="dxa"/>
            <w:textDirection w:val="btLr"/>
            <w:hideMark/>
          </w:tcPr>
          <w:p w:rsidRPr="00051CB0" w:rsidR="00ED2F76" w:rsidP="00322301" w:rsidRDefault="00ED2F76">
            <w:pPr>
              <w:jc w:val="center"/>
              <w:rPr>
                <w:rFonts w:asciiTheme="minorHAnsi" w:hAnsiTheme="minorHAnsi" w:cstheme="minorHAnsi"/>
                <w:b/>
                <w:bCs/>
                <w:color w:val="000000"/>
                <w:sz w:val="22"/>
                <w:szCs w:val="22"/>
              </w:rPr>
            </w:pPr>
            <w:r w:rsidRPr="00051CB0">
              <w:rPr>
                <w:rFonts w:asciiTheme="minorHAnsi" w:hAnsiTheme="minorHAnsi" w:cstheme="minorHAnsi"/>
                <w:b/>
                <w:bCs/>
                <w:color w:val="000000"/>
                <w:sz w:val="22"/>
                <w:szCs w:val="22"/>
              </w:rPr>
              <w:t>COM-nummer</w:t>
            </w:r>
          </w:p>
        </w:tc>
        <w:tc>
          <w:tcPr>
            <w:tcW w:w="1118" w:type="dxa"/>
            <w:textDirection w:val="btLr"/>
          </w:tcPr>
          <w:p w:rsidRPr="00051CB0" w:rsidR="00ED2F76" w:rsidP="00322301" w:rsidRDefault="00ED2F76">
            <w:pPr>
              <w:jc w:val="center"/>
              <w:rPr>
                <w:rFonts w:asciiTheme="minorHAnsi" w:hAnsiTheme="minorHAnsi" w:cstheme="minorHAnsi"/>
                <w:b/>
                <w:bCs/>
                <w:color w:val="000000"/>
                <w:sz w:val="22"/>
                <w:szCs w:val="22"/>
              </w:rPr>
            </w:pPr>
          </w:p>
          <w:p w:rsidRPr="00051CB0" w:rsidR="00ED2F76" w:rsidP="00322301" w:rsidRDefault="00ED2F76">
            <w:pPr>
              <w:jc w:val="center"/>
              <w:rPr>
                <w:rFonts w:asciiTheme="minorHAnsi" w:hAnsiTheme="minorHAnsi" w:cstheme="minorHAnsi"/>
                <w:b/>
                <w:bCs/>
                <w:color w:val="000000"/>
                <w:sz w:val="22"/>
                <w:szCs w:val="22"/>
              </w:rPr>
            </w:pPr>
            <w:r w:rsidRPr="00051CB0">
              <w:rPr>
                <w:rFonts w:asciiTheme="minorHAnsi" w:hAnsiTheme="minorHAnsi" w:cstheme="minorHAnsi"/>
                <w:b/>
                <w:bCs/>
                <w:color w:val="000000"/>
                <w:sz w:val="22"/>
                <w:szCs w:val="22"/>
              </w:rPr>
              <w:t>Deadline</w:t>
            </w:r>
          </w:p>
          <w:p w:rsidRPr="00051CB0" w:rsidR="00ED2F76" w:rsidP="00322301" w:rsidRDefault="00ED2F76">
            <w:pPr>
              <w:jc w:val="center"/>
              <w:rPr>
                <w:rFonts w:asciiTheme="minorHAnsi" w:hAnsiTheme="minorHAnsi" w:cstheme="minorHAnsi"/>
                <w:b/>
                <w:bCs/>
                <w:color w:val="000000"/>
                <w:sz w:val="22"/>
                <w:szCs w:val="22"/>
              </w:rPr>
            </w:pPr>
            <w:proofErr w:type="spellStart"/>
            <w:r w:rsidRPr="00051CB0">
              <w:rPr>
                <w:rFonts w:asciiTheme="minorHAnsi" w:hAnsiTheme="minorHAnsi" w:cstheme="minorHAnsi"/>
                <w:b/>
                <w:bCs/>
                <w:color w:val="000000"/>
                <w:sz w:val="22"/>
                <w:szCs w:val="22"/>
              </w:rPr>
              <w:t>Sub.toets</w:t>
            </w:r>
            <w:proofErr w:type="spellEnd"/>
          </w:p>
        </w:tc>
        <w:tc>
          <w:tcPr>
            <w:tcW w:w="4461" w:type="dxa"/>
            <w:textDirection w:val="btLr"/>
          </w:tcPr>
          <w:p w:rsidRPr="00ED2F76" w:rsidR="00ED2F76" w:rsidP="00322301" w:rsidRDefault="00ED2F76">
            <w:pPr>
              <w:jc w:val="center"/>
              <w:rPr>
                <w:rFonts w:asciiTheme="minorHAnsi" w:hAnsiTheme="minorHAnsi" w:cstheme="minorHAnsi"/>
                <w:b/>
                <w:bCs/>
                <w:color w:val="000000"/>
                <w:sz w:val="22"/>
                <w:szCs w:val="22"/>
              </w:rPr>
            </w:pPr>
            <w:r w:rsidRPr="00ED2F76">
              <w:rPr>
                <w:rFonts w:asciiTheme="minorHAnsi" w:hAnsiTheme="minorHAnsi" w:cstheme="minorHAnsi"/>
                <w:b/>
                <w:bCs/>
                <w:color w:val="000000"/>
                <w:sz w:val="22"/>
                <w:szCs w:val="22"/>
              </w:rPr>
              <w:t>Opmerkingen</w:t>
            </w:r>
          </w:p>
        </w:tc>
      </w:tr>
      <w:tr w:rsidR="00ED2F76" w:rsidTr="00ED2F76">
        <w:trPr>
          <w:trHeight w:val="600"/>
        </w:trPr>
        <w:tc>
          <w:tcPr>
            <w:tcW w:w="1150" w:type="dxa"/>
            <w:noWrap/>
            <w:hideMark/>
          </w:tcPr>
          <w:p w:rsidR="00ED2F76" w:rsidRDefault="00ED2F76">
            <w:pPr>
              <w:jc w:val="right"/>
              <w:rPr>
                <w:rFonts w:ascii="Calibri" w:hAnsi="Calibri" w:cs="Calibri"/>
                <w:color w:val="000000"/>
                <w:sz w:val="22"/>
                <w:szCs w:val="22"/>
              </w:rPr>
            </w:pPr>
            <w:r>
              <w:rPr>
                <w:rFonts w:ascii="Calibri" w:hAnsi="Calibri" w:cs="Calibri"/>
                <w:color w:val="000000"/>
                <w:sz w:val="22"/>
                <w:szCs w:val="22"/>
              </w:rPr>
              <w:t>27-jan-21</w:t>
            </w:r>
          </w:p>
        </w:tc>
        <w:tc>
          <w:tcPr>
            <w:tcW w:w="1035" w:type="dxa"/>
            <w:noWrap/>
            <w:hideMark/>
          </w:tcPr>
          <w:p w:rsidR="00ED2F76" w:rsidRDefault="00ED2F76">
            <w:pPr>
              <w:rPr>
                <w:rFonts w:ascii="Calibri" w:hAnsi="Calibri" w:cs="Calibri"/>
                <w:color w:val="000000"/>
                <w:sz w:val="22"/>
                <w:szCs w:val="22"/>
              </w:rPr>
            </w:pPr>
            <w:r>
              <w:rPr>
                <w:rFonts w:ascii="Calibri" w:hAnsi="Calibri" w:cs="Calibri"/>
                <w:color w:val="000000"/>
                <w:sz w:val="22"/>
                <w:szCs w:val="22"/>
              </w:rPr>
              <w:t>SZW</w:t>
            </w:r>
          </w:p>
        </w:tc>
        <w:tc>
          <w:tcPr>
            <w:tcW w:w="1374" w:type="dxa"/>
            <w:noWrap/>
            <w:hideMark/>
          </w:tcPr>
          <w:p w:rsidR="00ED2F76" w:rsidRDefault="00ED2F76">
            <w:pPr>
              <w:rPr>
                <w:rFonts w:ascii="Calibri" w:hAnsi="Calibri" w:cs="Calibri"/>
                <w:color w:val="000000"/>
                <w:sz w:val="22"/>
                <w:szCs w:val="22"/>
              </w:rPr>
            </w:pPr>
            <w:r>
              <w:rPr>
                <w:rFonts w:ascii="Calibri" w:hAnsi="Calibri" w:cs="Calibri"/>
                <w:color w:val="000000"/>
                <w:sz w:val="22"/>
                <w:szCs w:val="22"/>
              </w:rPr>
              <w:t>overig</w:t>
            </w:r>
          </w:p>
        </w:tc>
        <w:tc>
          <w:tcPr>
            <w:tcW w:w="3960" w:type="dxa"/>
            <w:hideMark/>
          </w:tcPr>
          <w:p w:rsidR="00ED2F76" w:rsidP="008E3675" w:rsidRDefault="00ED2F76">
            <w:pPr>
              <w:rPr>
                <w:rFonts w:ascii="Calibri" w:hAnsi="Calibri" w:cs="Calibri"/>
                <w:color w:val="000000"/>
                <w:sz w:val="22"/>
                <w:szCs w:val="22"/>
              </w:rPr>
            </w:pPr>
            <w:r>
              <w:rPr>
                <w:rFonts w:ascii="Calibri" w:hAnsi="Calibri" w:cs="Calibri"/>
                <w:color w:val="000000"/>
                <w:sz w:val="22"/>
                <w:szCs w:val="22"/>
              </w:rPr>
              <w:t xml:space="preserve">GROENBOEK VERGRIJZING </w:t>
            </w:r>
            <w:r w:rsidR="008E3675">
              <w:rPr>
                <w:rFonts w:ascii="Calibri" w:hAnsi="Calibri" w:cs="Calibri"/>
                <w:color w:val="000000"/>
                <w:sz w:val="22"/>
                <w:szCs w:val="22"/>
              </w:rPr>
              <w:t xml:space="preserve">- </w:t>
            </w:r>
            <w:r>
              <w:rPr>
                <w:rFonts w:ascii="Calibri" w:hAnsi="Calibri" w:cs="Calibri"/>
                <w:color w:val="000000"/>
                <w:sz w:val="22"/>
                <w:szCs w:val="22"/>
              </w:rPr>
              <w:t>Bevorderen van intergenerationele solidariteit en verantwoordelijkheid</w:t>
            </w:r>
          </w:p>
        </w:tc>
        <w:tc>
          <w:tcPr>
            <w:tcW w:w="1356" w:type="dxa"/>
            <w:noWrap/>
            <w:hideMark/>
          </w:tcPr>
          <w:p w:rsidR="00ED2F76" w:rsidRDefault="001141A7">
            <w:pPr>
              <w:jc w:val="center"/>
              <w:rPr>
                <w:rStyle w:val="Hyperlink"/>
                <w:rFonts w:ascii="Calibri" w:hAnsi="Calibri" w:cs="Calibri"/>
              </w:rPr>
            </w:pPr>
            <w:hyperlink w:history="1" r:id="rId10">
              <w:r w:rsidR="00ED2F76">
                <w:rPr>
                  <w:rStyle w:val="Hyperlink"/>
                  <w:rFonts w:ascii="Calibri" w:hAnsi="Calibri" w:cs="Calibri"/>
                  <w:sz w:val="22"/>
                  <w:szCs w:val="22"/>
                </w:rPr>
                <w:t>COM (2021) 50</w:t>
              </w:r>
            </w:hyperlink>
          </w:p>
          <w:p w:rsidR="008E3675" w:rsidRDefault="008E3675">
            <w:pPr>
              <w:jc w:val="center"/>
              <w:rPr>
                <w:rStyle w:val="Hyperlink"/>
                <w:rFonts w:ascii="Calibri" w:hAnsi="Calibri" w:cs="Calibri"/>
              </w:rPr>
            </w:pPr>
          </w:p>
          <w:p w:rsidR="00D0211F" w:rsidRDefault="001141A7">
            <w:pPr>
              <w:jc w:val="center"/>
              <w:rPr>
                <w:rFonts w:ascii="Calibri" w:hAnsi="Calibri" w:cs="Calibri"/>
                <w:color w:val="0000FF"/>
                <w:sz w:val="22"/>
                <w:szCs w:val="22"/>
                <w:u w:val="single"/>
              </w:rPr>
            </w:pPr>
            <w:hyperlink w:history="1" r:id="rId11">
              <w:r w:rsidR="00D0211F">
                <w:rPr>
                  <w:rStyle w:val="Hyperlink"/>
                  <w:rFonts w:ascii="Calibri" w:hAnsi="Calibri" w:cs="Calibri"/>
                  <w:sz w:val="22"/>
                  <w:szCs w:val="22"/>
                </w:rPr>
                <w:t>OR</w:t>
              </w:r>
            </w:hyperlink>
          </w:p>
        </w:tc>
        <w:tc>
          <w:tcPr>
            <w:tcW w:w="1118" w:type="dxa"/>
            <w:noWrap/>
            <w:hideMark/>
          </w:tcPr>
          <w:p w:rsidR="00ED2F76" w:rsidP="000F72A3" w:rsidRDefault="00D0211F">
            <w:pPr>
              <w:rPr>
                <w:rFonts w:ascii="Calibri" w:hAnsi="Calibri" w:cs="Calibri"/>
                <w:color w:val="000000"/>
                <w:sz w:val="22"/>
                <w:szCs w:val="22"/>
              </w:rPr>
            </w:pPr>
            <w:r>
              <w:rPr>
                <w:rFonts w:ascii="Calibri" w:hAnsi="Calibri" w:cs="Calibri"/>
                <w:color w:val="000000"/>
                <w:sz w:val="22"/>
                <w:szCs w:val="22"/>
              </w:rPr>
              <w:t>21</w:t>
            </w:r>
            <w:r w:rsidR="000F72A3">
              <w:rPr>
                <w:rFonts w:ascii="Calibri" w:hAnsi="Calibri" w:cs="Calibri"/>
                <w:color w:val="000000"/>
                <w:sz w:val="22"/>
                <w:szCs w:val="22"/>
              </w:rPr>
              <w:t xml:space="preserve"> </w:t>
            </w:r>
            <w:r>
              <w:rPr>
                <w:rFonts w:ascii="Calibri" w:hAnsi="Calibri" w:cs="Calibri"/>
                <w:color w:val="000000"/>
                <w:sz w:val="22"/>
                <w:szCs w:val="22"/>
              </w:rPr>
              <w:t>apr</w:t>
            </w:r>
            <w:r w:rsidR="000F72A3">
              <w:rPr>
                <w:rFonts w:ascii="Calibri" w:hAnsi="Calibri" w:cs="Calibri"/>
                <w:color w:val="000000"/>
                <w:sz w:val="22"/>
                <w:szCs w:val="22"/>
              </w:rPr>
              <w:t xml:space="preserve"> </w:t>
            </w:r>
            <w:r>
              <w:rPr>
                <w:rFonts w:ascii="Calibri" w:hAnsi="Calibri" w:cs="Calibri"/>
                <w:color w:val="000000"/>
                <w:sz w:val="22"/>
                <w:szCs w:val="22"/>
              </w:rPr>
              <w:t>21</w:t>
            </w:r>
          </w:p>
        </w:tc>
        <w:tc>
          <w:tcPr>
            <w:tcW w:w="4461" w:type="dxa"/>
          </w:tcPr>
          <w:p w:rsidR="008E3675" w:rsidP="008E3675" w:rsidRDefault="008E3675">
            <w:pPr>
              <w:rPr>
                <w:rFonts w:ascii="Calibri" w:hAnsi="Calibri" w:cs="Calibri"/>
                <w:color w:val="000000"/>
              </w:rPr>
            </w:pPr>
            <w:r w:rsidRPr="008E3675">
              <w:rPr>
                <w:rFonts w:ascii="Calibri" w:hAnsi="Calibri" w:cs="Calibri"/>
                <w:color w:val="000000"/>
                <w:u w:val="single"/>
              </w:rPr>
              <w:t>Voorstel</w:t>
            </w:r>
            <w:r>
              <w:rPr>
                <w:rFonts w:ascii="Calibri" w:hAnsi="Calibri" w:cs="Calibri"/>
                <w:color w:val="000000"/>
              </w:rPr>
              <w:t>: kabinetsreactie afwachten en agenderen voor een eerstvolgend overleg over de Raad WSB</w:t>
            </w:r>
          </w:p>
          <w:p w:rsidR="008E3675" w:rsidP="008E3675" w:rsidRDefault="008E3675">
            <w:pPr>
              <w:rPr>
                <w:rFonts w:ascii="Calibri" w:hAnsi="Calibri" w:cs="Calibri"/>
                <w:color w:val="000000"/>
              </w:rPr>
            </w:pPr>
          </w:p>
          <w:p w:rsidRPr="008E3675" w:rsidR="00ED2F76" w:rsidP="000F72A3" w:rsidRDefault="008E3675">
            <w:pPr>
              <w:rPr>
                <w:rFonts w:ascii="Calibri" w:hAnsi="Calibri" w:cs="Calibri"/>
                <w:i/>
                <w:color w:val="000000"/>
              </w:rPr>
            </w:pPr>
            <w:r w:rsidRPr="008E3675">
              <w:rPr>
                <w:rFonts w:ascii="Calibri" w:hAnsi="Calibri" w:cs="Calibri"/>
                <w:b/>
                <w:i/>
                <w:color w:val="000000"/>
              </w:rPr>
              <w:t>Noot</w:t>
            </w:r>
            <w:r w:rsidRPr="008E3675">
              <w:rPr>
                <w:rFonts w:ascii="Calibri" w:hAnsi="Calibri" w:cs="Calibri"/>
                <w:i/>
                <w:color w:val="000000"/>
              </w:rPr>
              <w:t xml:space="preserve">: </w:t>
            </w:r>
            <w:r w:rsidRPr="008E3675" w:rsidR="00D0211F">
              <w:rPr>
                <w:rFonts w:ascii="Calibri" w:hAnsi="Calibri" w:cs="Calibri"/>
                <w:i/>
                <w:color w:val="000000"/>
              </w:rPr>
              <w:t xml:space="preserve">Nadat </w:t>
            </w:r>
            <w:r w:rsidR="000F72A3">
              <w:rPr>
                <w:rFonts w:ascii="Calibri" w:hAnsi="Calibri" w:cs="Calibri"/>
                <w:i/>
                <w:color w:val="000000"/>
              </w:rPr>
              <w:t>1</w:t>
            </w:r>
            <w:r w:rsidRPr="008E3675" w:rsidR="00D0211F">
              <w:rPr>
                <w:rFonts w:ascii="Calibri" w:hAnsi="Calibri" w:cs="Calibri"/>
                <w:i/>
                <w:color w:val="000000"/>
              </w:rPr>
              <w:t>7 ju</w:t>
            </w:r>
            <w:r w:rsidR="000F72A3">
              <w:rPr>
                <w:rFonts w:ascii="Calibri" w:hAnsi="Calibri" w:cs="Calibri"/>
                <w:i/>
                <w:color w:val="000000"/>
              </w:rPr>
              <w:t>n</w:t>
            </w:r>
            <w:r w:rsidRPr="008E3675" w:rsidR="00D0211F">
              <w:rPr>
                <w:rFonts w:ascii="Calibri" w:hAnsi="Calibri" w:cs="Calibri"/>
                <w:i/>
                <w:color w:val="000000"/>
              </w:rPr>
              <w:t xml:space="preserve">i 2020 </w:t>
            </w:r>
            <w:r w:rsidRPr="008E3675">
              <w:rPr>
                <w:rFonts w:ascii="Calibri" w:hAnsi="Calibri" w:cs="Calibri"/>
                <w:i/>
                <w:color w:val="000000"/>
              </w:rPr>
              <w:t>het</w:t>
            </w:r>
            <w:r w:rsidRPr="008E3675" w:rsidR="00D0211F">
              <w:rPr>
                <w:rFonts w:ascii="Calibri" w:hAnsi="Calibri" w:cs="Calibri"/>
                <w:i/>
                <w:color w:val="000000"/>
              </w:rPr>
              <w:t xml:space="preserve"> Commissie</w:t>
            </w:r>
            <w:r w:rsidRPr="008E3675">
              <w:rPr>
                <w:rFonts w:ascii="Calibri" w:hAnsi="Calibri" w:cs="Calibri"/>
                <w:i/>
                <w:color w:val="000000"/>
              </w:rPr>
              <w:t xml:space="preserve">verslag </w:t>
            </w:r>
            <w:r w:rsidRPr="008E3675" w:rsidR="00D0211F">
              <w:rPr>
                <w:rFonts w:ascii="Calibri" w:hAnsi="Calibri" w:cs="Calibri"/>
                <w:i/>
                <w:color w:val="000000"/>
              </w:rPr>
              <w:t>“</w:t>
            </w:r>
            <w:r w:rsidRPr="008E3675">
              <w:rPr>
                <w:rFonts w:ascii="Calibri" w:hAnsi="Calibri" w:cs="Calibri"/>
                <w:i/>
                <w:color w:val="000000"/>
              </w:rPr>
              <w:t>Over de gevolgen van demografische veranderingen</w:t>
            </w:r>
            <w:r w:rsidRPr="008E3675" w:rsidR="00D0211F">
              <w:rPr>
                <w:rFonts w:ascii="Calibri" w:hAnsi="Calibri" w:cs="Calibri"/>
                <w:i/>
                <w:color w:val="000000"/>
              </w:rPr>
              <w:t>verandering” (</w:t>
            </w:r>
            <w:hyperlink w:history="1" r:id="rId12">
              <w:r w:rsidRPr="008E3675" w:rsidR="00D0211F">
                <w:rPr>
                  <w:rStyle w:val="Hyperlink"/>
                  <w:rFonts w:ascii="Calibri" w:hAnsi="Calibri" w:cs="Calibri"/>
                  <w:i/>
                </w:rPr>
                <w:t>link</w:t>
              </w:r>
            </w:hyperlink>
            <w:r w:rsidRPr="008E3675" w:rsidR="00D0211F">
              <w:rPr>
                <w:rFonts w:ascii="Calibri" w:hAnsi="Calibri" w:cs="Calibri"/>
                <w:i/>
                <w:color w:val="000000"/>
              </w:rPr>
              <w:t>) verscheen</w:t>
            </w:r>
            <w:r w:rsidRPr="008E3675">
              <w:rPr>
                <w:rFonts w:ascii="Calibri" w:hAnsi="Calibri" w:cs="Calibri"/>
                <w:i/>
                <w:color w:val="000000"/>
              </w:rPr>
              <w:t xml:space="preserve">, </w:t>
            </w:r>
            <w:r w:rsidRPr="008E3675" w:rsidR="00D0211F">
              <w:rPr>
                <w:rFonts w:ascii="Calibri" w:hAnsi="Calibri" w:cs="Calibri"/>
                <w:i/>
                <w:color w:val="000000"/>
              </w:rPr>
              <w:t xml:space="preserve"> </w:t>
            </w:r>
            <w:r w:rsidRPr="008E3675">
              <w:rPr>
                <w:rFonts w:ascii="Calibri" w:hAnsi="Calibri" w:cs="Calibri"/>
                <w:i/>
                <w:color w:val="000000"/>
              </w:rPr>
              <w:t xml:space="preserve">verschijnt nu de bij dit verslag behorende groenboekconsultatie  vergrijzing. De consultatie biedt </w:t>
            </w:r>
            <w:proofErr w:type="gramStart"/>
            <w:r w:rsidRPr="008E3675">
              <w:rPr>
                <w:rFonts w:ascii="Calibri" w:hAnsi="Calibri" w:cs="Calibri"/>
                <w:i/>
                <w:color w:val="000000"/>
              </w:rPr>
              <w:t xml:space="preserve">burgers </w:t>
            </w:r>
            <w:r>
              <w:rPr>
                <w:rFonts w:ascii="Calibri" w:hAnsi="Calibri" w:cs="Calibri"/>
                <w:i/>
                <w:color w:val="000000"/>
              </w:rPr>
              <w:t>,</w:t>
            </w:r>
            <w:proofErr w:type="gramEnd"/>
            <w:r w:rsidRPr="008E3675">
              <w:rPr>
                <w:rFonts w:ascii="Calibri" w:hAnsi="Calibri" w:cs="Calibri"/>
                <w:i/>
                <w:color w:val="000000"/>
              </w:rPr>
              <w:t xml:space="preserve"> maatschappelijke partijen</w:t>
            </w:r>
            <w:r w:rsidR="000F72A3">
              <w:rPr>
                <w:rFonts w:ascii="Calibri" w:hAnsi="Calibri" w:cs="Calibri"/>
                <w:i/>
                <w:color w:val="000000"/>
              </w:rPr>
              <w:t xml:space="preserve"> en</w:t>
            </w:r>
            <w:r>
              <w:rPr>
                <w:rFonts w:ascii="Calibri" w:hAnsi="Calibri" w:cs="Calibri"/>
                <w:i/>
                <w:color w:val="000000"/>
              </w:rPr>
              <w:t xml:space="preserve"> overheden </w:t>
            </w:r>
            <w:r w:rsidRPr="008E3675">
              <w:rPr>
                <w:rFonts w:ascii="Calibri" w:hAnsi="Calibri" w:cs="Calibri"/>
                <w:i/>
                <w:color w:val="000000"/>
              </w:rPr>
              <w:t>de mogelijkheid te reageren tot 21 april</w:t>
            </w:r>
            <w:r w:rsidR="000F72A3">
              <w:rPr>
                <w:rFonts w:ascii="Calibri" w:hAnsi="Calibri" w:cs="Calibri"/>
                <w:i/>
                <w:color w:val="000000"/>
              </w:rPr>
              <w:t xml:space="preserve"> 2021</w:t>
            </w:r>
            <w:r w:rsidRPr="008E3675">
              <w:rPr>
                <w:rFonts w:ascii="Calibri" w:hAnsi="Calibri" w:cs="Calibri"/>
                <w:i/>
                <w:color w:val="000000"/>
              </w:rPr>
              <w:t xml:space="preserve">. Bij een reactie van het kabinet op de consultatie, zal conform de geldende </w:t>
            </w:r>
            <w:r w:rsidR="000F72A3">
              <w:rPr>
                <w:rFonts w:ascii="Calibri" w:hAnsi="Calibri" w:cs="Calibri"/>
                <w:i/>
                <w:color w:val="000000"/>
              </w:rPr>
              <w:t>informatieafspraken h</w:t>
            </w:r>
            <w:r w:rsidRPr="008E3675">
              <w:rPr>
                <w:rFonts w:ascii="Calibri" w:hAnsi="Calibri" w:cs="Calibri"/>
                <w:i/>
                <w:color w:val="000000"/>
              </w:rPr>
              <w:t xml:space="preserve">et kabinet het concept van haar reactie ten minste dertig dagen voor het verstrijken van de reactietermijn </w:t>
            </w:r>
            <w:r w:rsidR="000F72A3">
              <w:rPr>
                <w:rFonts w:ascii="Calibri" w:hAnsi="Calibri" w:cs="Calibri"/>
                <w:i/>
                <w:color w:val="000000"/>
              </w:rPr>
              <w:t>van</w:t>
            </w:r>
            <w:r w:rsidRPr="008E3675">
              <w:rPr>
                <w:rFonts w:ascii="Calibri" w:hAnsi="Calibri" w:cs="Calibri"/>
                <w:i/>
                <w:color w:val="000000"/>
              </w:rPr>
              <w:t xml:space="preserve"> de Europese Commissie</w:t>
            </w:r>
            <w:r w:rsidR="000F72A3">
              <w:rPr>
                <w:rFonts w:ascii="Calibri" w:hAnsi="Calibri" w:cs="Calibri"/>
                <w:i/>
                <w:color w:val="000000"/>
              </w:rPr>
              <w:t xml:space="preserve"> aan de Kamer zenden</w:t>
            </w:r>
            <w:r w:rsidRPr="008E3675">
              <w:rPr>
                <w:rFonts w:ascii="Calibri" w:hAnsi="Calibri" w:cs="Calibri"/>
                <w:i/>
                <w:color w:val="000000"/>
              </w:rPr>
              <w:t>. Ook de definitieve reactie wordt in afschrift aan de Kamer gezonden</w:t>
            </w:r>
            <w:r w:rsidR="000F72A3">
              <w:rPr>
                <w:rFonts w:ascii="Calibri" w:hAnsi="Calibri" w:cs="Calibri"/>
                <w:i/>
                <w:color w:val="000000"/>
              </w:rPr>
              <w:t>.</w:t>
            </w:r>
          </w:p>
        </w:tc>
      </w:tr>
    </w:tbl>
    <w:p w:rsidR="009C0B8A" w:rsidP="00322301" w:rsidRDefault="009C0B8A">
      <w:pPr>
        <w:widowControl w:val="0"/>
        <w:spacing w:after="0" w:line="240" w:lineRule="auto"/>
        <w:rPr>
          <w:rFonts w:eastAsia="Times New Roman" w:cstheme="minorHAnsi"/>
          <w:b/>
          <w:lang w:eastAsia="nl-NL"/>
        </w:rPr>
      </w:pPr>
    </w:p>
    <w:p w:rsidRPr="00322301" w:rsidR="00322301" w:rsidP="00322301" w:rsidRDefault="00322301">
      <w:pPr>
        <w:widowControl w:val="0"/>
        <w:spacing w:after="0" w:line="240" w:lineRule="auto"/>
        <w:rPr>
          <w:rFonts w:eastAsia="Times New Roman" w:cstheme="minorHAnsi"/>
          <w:b/>
          <w:lang w:eastAsia="nl-NL"/>
        </w:rPr>
      </w:pPr>
      <w:r w:rsidRPr="00322301">
        <w:rPr>
          <w:rFonts w:eastAsia="Times New Roman" w:cstheme="minorHAnsi"/>
          <w:b/>
          <w:lang w:eastAsia="nl-NL"/>
        </w:rPr>
        <w:t xml:space="preserve">Toelichting </w:t>
      </w:r>
    </w:p>
    <w:p w:rsidRPr="00322301" w:rsidR="00322301" w:rsidP="00322301" w:rsidRDefault="00322301">
      <w:pPr>
        <w:widowControl w:val="0"/>
        <w:numPr>
          <w:ilvl w:val="0"/>
          <w:numId w:val="3"/>
        </w:numPr>
        <w:spacing w:after="0" w:line="240" w:lineRule="auto"/>
        <w:rPr>
          <w:rFonts w:eastAsia="Times New Roman" w:cstheme="minorHAnsi"/>
          <w:lang w:eastAsia="nl-NL"/>
        </w:rPr>
      </w:pPr>
      <w:r w:rsidRPr="00322301">
        <w:rPr>
          <w:rFonts w:eastAsia="Times New Roman" w:cstheme="minorHAnsi"/>
          <w:color w:val="000000"/>
          <w:lang w:eastAsia="nl-NL"/>
        </w:rPr>
        <w:t>Indien een veld</w:t>
      </w:r>
      <w:r w:rsidRPr="00322301">
        <w:rPr>
          <w:rFonts w:eastAsia="Times New Roman" w:cstheme="minorHAnsi"/>
          <w:color w:val="000000"/>
          <w:shd w:val="clear" w:color="auto" w:fill="F4B083" w:themeFill="accent2" w:themeFillTint="99"/>
          <w:lang w:eastAsia="nl-NL"/>
        </w:rPr>
        <w:t xml:space="preserve"> Rood</w:t>
      </w:r>
      <w:r w:rsidRPr="00322301">
        <w:rPr>
          <w:rFonts w:eastAsia="Times New Roman" w:cstheme="minorHAnsi"/>
          <w:color w:val="000000"/>
          <w:lang w:eastAsia="nl-NL"/>
        </w:rPr>
        <w:t xml:space="preserve"> gemarkeerd</w:t>
      </w:r>
      <w:r w:rsidRPr="00322301">
        <w:rPr>
          <w:rFonts w:eastAsia="Times New Roman" w:cstheme="minorHAnsi"/>
          <w:lang w:eastAsia="nl-NL"/>
        </w:rPr>
        <w:t xml:space="preserve"> is, dan betekent dat het desbetreffende EU-voorstel behoort tot een door de commissie als prioritair bestempeld dossier en om die reden een apart behandeltraject doorloopt. De bijzonderheden worden in dat geval in het veld “Opmerking” vermeld. </w:t>
      </w:r>
    </w:p>
    <w:p w:rsidRPr="00322301" w:rsidR="00322301" w:rsidP="00322301" w:rsidRDefault="00322301">
      <w:pPr>
        <w:widowControl w:val="0"/>
        <w:numPr>
          <w:ilvl w:val="0"/>
          <w:numId w:val="3"/>
        </w:numPr>
        <w:spacing w:after="0" w:line="240" w:lineRule="auto"/>
        <w:rPr>
          <w:rFonts w:eastAsia="Times New Roman" w:cstheme="minorHAnsi"/>
          <w:lang w:eastAsia="nl-NL"/>
        </w:rPr>
      </w:pPr>
      <w:r w:rsidRPr="00322301">
        <w:rPr>
          <w:rFonts w:eastAsia="Times New Roman" w:cstheme="minorHAnsi"/>
          <w:lang w:eastAsia="nl-NL"/>
        </w:rPr>
        <w:t xml:space="preserve">Groen- en witboeken en prioritaire worden voorstellen ook afzonderlijk worden geagendeerd. Hiervoor volstaat een verwijzing naar het aparte </w:t>
      </w:r>
      <w:proofErr w:type="gramStart"/>
      <w:r w:rsidRPr="00322301">
        <w:rPr>
          <w:rFonts w:eastAsia="Times New Roman" w:cstheme="minorHAnsi"/>
          <w:lang w:eastAsia="nl-NL"/>
        </w:rPr>
        <w:lastRenderedPageBreak/>
        <w:t>agendapunt</w:t>
      </w:r>
      <w:proofErr w:type="gramEnd"/>
      <w:r w:rsidRPr="00322301">
        <w:rPr>
          <w:rFonts w:eastAsia="Times New Roman" w:cstheme="minorHAnsi"/>
          <w:lang w:eastAsia="nl-NL"/>
        </w:rPr>
        <w:t xml:space="preserve"> en de mogelijk hierbij behorende EU-stafnotitie.</w:t>
      </w:r>
    </w:p>
    <w:p w:rsidRPr="00322301" w:rsidR="00322301" w:rsidP="00322301" w:rsidRDefault="00322301">
      <w:pPr>
        <w:widowControl w:val="0"/>
        <w:spacing w:after="0" w:line="240" w:lineRule="auto"/>
        <w:rPr>
          <w:rFonts w:eastAsia="Times New Roman" w:cstheme="minorHAnsi"/>
          <w:lang w:eastAsia="nl-NL"/>
        </w:rPr>
      </w:pPr>
    </w:p>
    <w:p w:rsidRPr="00322301" w:rsidR="00322301" w:rsidP="00322301" w:rsidRDefault="00322301">
      <w:pPr>
        <w:spacing w:after="0" w:line="240" w:lineRule="auto"/>
        <w:rPr>
          <w:rFonts w:eastAsia="Times New Roman" w:cstheme="minorHAnsi"/>
          <w:b/>
          <w:lang w:eastAsia="nl-NL"/>
        </w:rPr>
      </w:pPr>
      <w:r w:rsidRPr="00322301">
        <w:rPr>
          <w:rFonts w:eastAsia="Times New Roman" w:cstheme="minorHAnsi"/>
          <w:b/>
          <w:lang w:eastAsia="nl-NL"/>
        </w:rPr>
        <w:t>Mogelijkheden EU-voorstellen</w:t>
      </w:r>
    </w:p>
    <w:p w:rsidRPr="00322301" w:rsidR="00322301" w:rsidP="00322301" w:rsidRDefault="00322301">
      <w:pPr>
        <w:spacing w:after="0" w:line="240" w:lineRule="auto"/>
        <w:rPr>
          <w:rFonts w:eastAsia="Times New Roman" w:cstheme="minorHAnsi"/>
          <w:lang w:eastAsia="nl-NL"/>
        </w:rPr>
      </w:pPr>
    </w:p>
    <w:p w:rsidRPr="00322301" w:rsidR="00322301" w:rsidP="00322301" w:rsidRDefault="00322301">
      <w:pPr>
        <w:spacing w:after="0" w:line="240" w:lineRule="auto"/>
        <w:rPr>
          <w:rFonts w:eastAsia="Times New Roman" w:cstheme="minorHAnsi"/>
          <w:lang w:eastAsia="nl-NL"/>
        </w:rPr>
      </w:pPr>
      <w:r w:rsidRPr="00322301">
        <w:rPr>
          <w:rFonts w:eastAsia="Times New Roman" w:cstheme="minorHAnsi"/>
          <w:lang w:eastAsia="nl-NL"/>
        </w:rPr>
        <w:t xml:space="preserve">Hieronder treft u een overzicht aan van vaak voorkomende EU-instrumenten en een (niet uitputtend) overzicht van momenten waarop u als commissie of als fractie invloed kunt uitoefenen op de vorming van EU-beleid: hetzij via het kabinet; hetzij zelf in Brussel. </w:t>
      </w:r>
    </w:p>
    <w:p w:rsidRPr="00322301" w:rsidR="00322301" w:rsidP="00322301" w:rsidRDefault="00322301">
      <w:pPr>
        <w:spacing w:after="0" w:line="240" w:lineRule="auto"/>
        <w:rPr>
          <w:rFonts w:eastAsia="Times New Roman" w:cstheme="minorHAnsi"/>
          <w:lang w:eastAsia="nl-NL"/>
        </w:rPr>
      </w:pPr>
      <w:r w:rsidRPr="00322301">
        <w:rPr>
          <w:rFonts w:eastAsia="Times New Roman" w:cstheme="minorHAnsi"/>
          <w:lang w:eastAsia="nl-NL"/>
        </w:rPr>
        <w:t xml:space="preserve">Indien de Europese Commissie een als prioritair aangemerkt EU-voorstel publiceert, wordt dit met een behandelvoorstel op de agenda van een procedurevergadering geagendeerd. In EU-notities en EU-signaleringen, bijvoorbeeld ter voorbereiding op bijeenkomsten van Europese Raden, wordt ook ingegaan op parlementaire beïnvloedingsmomenten in het EU-proces. </w:t>
      </w:r>
    </w:p>
    <w:p w:rsidRPr="00322301" w:rsidR="00322301" w:rsidP="00322301" w:rsidRDefault="00322301">
      <w:pPr>
        <w:spacing w:after="0" w:line="240" w:lineRule="auto"/>
        <w:rPr>
          <w:rFonts w:eastAsia="Times New Roman" w:cstheme="minorHAnsi"/>
          <w:lang w:eastAsia="nl-NL"/>
        </w:rPr>
      </w:pPr>
    </w:p>
    <w:tbl>
      <w:tblPr>
        <w:tblStyle w:val="Tabelraster"/>
        <w:tblW w:w="14142" w:type="dxa"/>
        <w:tblLayout w:type="fixed"/>
        <w:tblLook w:val="04A0" w:firstRow="1" w:lastRow="0" w:firstColumn="1" w:lastColumn="0" w:noHBand="0" w:noVBand="1"/>
      </w:tblPr>
      <w:tblGrid>
        <w:gridCol w:w="2093"/>
        <w:gridCol w:w="6946"/>
        <w:gridCol w:w="5103"/>
      </w:tblGrid>
      <w:tr w:rsidRPr="00322301" w:rsidR="00322301" w:rsidTr="00501A7F">
        <w:tc>
          <w:tcPr>
            <w:tcW w:w="2093" w:type="dxa"/>
          </w:tcPr>
          <w:p w:rsidRPr="00322301" w:rsidR="00322301" w:rsidP="00322301" w:rsidRDefault="00322301">
            <w:pPr>
              <w:rPr>
                <w:rFonts w:cstheme="minorHAnsi"/>
                <w:b/>
              </w:rPr>
            </w:pPr>
            <w:r w:rsidRPr="00322301">
              <w:rPr>
                <w:rFonts w:cstheme="minorHAnsi"/>
                <w:b/>
              </w:rPr>
              <w:t>Soort Instrument</w:t>
            </w:r>
          </w:p>
        </w:tc>
        <w:tc>
          <w:tcPr>
            <w:tcW w:w="6946" w:type="dxa"/>
          </w:tcPr>
          <w:p w:rsidRPr="00322301" w:rsidR="00322301" w:rsidP="00322301" w:rsidRDefault="00322301">
            <w:pPr>
              <w:rPr>
                <w:rFonts w:cstheme="minorHAnsi"/>
                <w:b/>
              </w:rPr>
            </w:pPr>
            <w:r w:rsidRPr="00322301">
              <w:rPr>
                <w:rFonts w:cstheme="minorHAnsi"/>
                <w:b/>
              </w:rPr>
              <w:t>Toelichting</w:t>
            </w:r>
          </w:p>
        </w:tc>
        <w:tc>
          <w:tcPr>
            <w:tcW w:w="5103" w:type="dxa"/>
          </w:tcPr>
          <w:p w:rsidRPr="00322301" w:rsidR="00322301" w:rsidP="00322301" w:rsidRDefault="00322301">
            <w:pPr>
              <w:rPr>
                <w:rFonts w:cstheme="minorHAnsi"/>
                <w:b/>
              </w:rPr>
            </w:pPr>
            <w:r w:rsidRPr="00322301">
              <w:rPr>
                <w:rFonts w:cstheme="minorHAnsi"/>
                <w:b/>
              </w:rPr>
              <w:t xml:space="preserve">Mogelijke beïnvloedingsmomenten </w:t>
            </w:r>
          </w:p>
        </w:tc>
      </w:tr>
      <w:tr w:rsidRPr="00322301" w:rsidR="00322301" w:rsidTr="00501A7F">
        <w:tc>
          <w:tcPr>
            <w:tcW w:w="14142" w:type="dxa"/>
            <w:gridSpan w:val="3"/>
          </w:tcPr>
          <w:p w:rsidRPr="00322301" w:rsidR="00322301" w:rsidP="00322301" w:rsidRDefault="00322301">
            <w:pPr>
              <w:rPr>
                <w:rFonts w:cstheme="minorHAnsi"/>
                <w:i/>
              </w:rPr>
            </w:pPr>
          </w:p>
          <w:p w:rsidRPr="00322301" w:rsidR="00322301" w:rsidP="00322301" w:rsidRDefault="00322301">
            <w:pPr>
              <w:rPr>
                <w:rFonts w:cstheme="minorHAnsi"/>
                <w:i/>
              </w:rPr>
            </w:pPr>
            <w:r w:rsidRPr="00322301">
              <w:rPr>
                <w:rFonts w:cstheme="minorHAnsi"/>
                <w:i/>
              </w:rPr>
              <w:t>Wetgevende, bindende rechtshandelingen</w:t>
            </w:r>
          </w:p>
        </w:tc>
      </w:tr>
      <w:tr w:rsidRPr="00322301" w:rsidR="00322301" w:rsidTr="00501A7F">
        <w:tc>
          <w:tcPr>
            <w:tcW w:w="2093" w:type="dxa"/>
          </w:tcPr>
          <w:p w:rsidRPr="00322301" w:rsidR="00322301" w:rsidP="00322301" w:rsidRDefault="00322301">
            <w:pPr>
              <w:rPr>
                <w:rFonts w:cstheme="minorHAnsi"/>
              </w:rPr>
            </w:pPr>
            <w:r w:rsidRPr="00322301">
              <w:rPr>
                <w:rFonts w:cstheme="minorHAnsi"/>
              </w:rPr>
              <w:t>Verordening</w:t>
            </w:r>
          </w:p>
        </w:tc>
        <w:tc>
          <w:tcPr>
            <w:tcW w:w="6946" w:type="dxa"/>
          </w:tcPr>
          <w:p w:rsidRPr="00322301" w:rsidR="00322301" w:rsidP="00322301" w:rsidRDefault="00322301">
            <w:pPr>
              <w:rPr>
                <w:rFonts w:cstheme="minorHAnsi"/>
              </w:rPr>
            </w:pPr>
            <w:r w:rsidRPr="00322301">
              <w:rPr>
                <w:rFonts w:cstheme="minorHAnsi"/>
              </w:rPr>
              <w:t xml:space="preserve">Een verordening heeft een algemene strekking, is verbindend in al haar onderdelen en is rechtstreeks toepasselijk in elke lidstaat. Dit betekent dat een verordening algemene regels stelt die voor </w:t>
            </w:r>
            <w:proofErr w:type="gramStart"/>
            <w:r w:rsidRPr="00322301">
              <w:rPr>
                <w:rFonts w:cstheme="minorHAnsi"/>
              </w:rPr>
              <w:t>een ieder</w:t>
            </w:r>
            <w:proofErr w:type="gramEnd"/>
            <w:r w:rsidRPr="00322301">
              <w:rPr>
                <w:rFonts w:cstheme="minorHAnsi"/>
              </w:rPr>
              <w:t xml:space="preserve"> gelden, direct van toepassing zijn in de nationale rechtsorde en voorrang hebben op (eventueel strijdig) nationaal recht. Soms is aanvullende wetgeving nodig om de verordening volledig te operationaliseren. Een door de </w:t>
            </w:r>
            <w:proofErr w:type="gramStart"/>
            <w:r w:rsidRPr="00322301">
              <w:rPr>
                <w:rFonts w:cstheme="minorHAnsi"/>
              </w:rPr>
              <w:t>EU wetgever</w:t>
            </w:r>
            <w:proofErr w:type="gramEnd"/>
            <w:r w:rsidRPr="00322301">
              <w:rPr>
                <w:rFonts w:cstheme="minorHAnsi"/>
              </w:rPr>
              <w:t xml:space="preserve"> (Raad en/of Europees Parlement) aangenomen verordening komt niet terug in de Kamer voor behandeling. </w:t>
            </w:r>
          </w:p>
        </w:tc>
        <w:tc>
          <w:tcPr>
            <w:tcW w:w="5103" w:type="dxa"/>
            <w:vMerge w:val="restart"/>
          </w:tcPr>
          <w:p w:rsidRPr="00322301" w:rsidR="00322301" w:rsidP="00322301" w:rsidRDefault="00322301">
            <w:pPr>
              <w:numPr>
                <w:ilvl w:val="0"/>
                <w:numId w:val="1"/>
              </w:numPr>
              <w:rPr>
                <w:rFonts w:cstheme="minorHAnsi"/>
              </w:rPr>
            </w:pPr>
            <w:proofErr w:type="gramStart"/>
            <w:r w:rsidRPr="00322301">
              <w:rPr>
                <w:rFonts w:cstheme="minorHAnsi"/>
              </w:rPr>
              <w:t>ambtenaren</w:t>
            </w:r>
            <w:proofErr w:type="gramEnd"/>
            <w:r w:rsidRPr="00322301">
              <w:rPr>
                <w:rFonts w:cstheme="minorHAnsi"/>
              </w:rPr>
              <w:t xml:space="preserve"> of Commissaris Europese Commissie (de ‘auteurs’) uitnodigen voor briefing/gesprek, evt. via videoconferentie.</w:t>
            </w:r>
          </w:p>
          <w:p w:rsidRPr="00322301" w:rsidR="00322301" w:rsidP="00322301" w:rsidRDefault="00322301">
            <w:pPr>
              <w:numPr>
                <w:ilvl w:val="0"/>
                <w:numId w:val="1"/>
              </w:numPr>
              <w:rPr>
                <w:rFonts w:cstheme="minorHAnsi"/>
              </w:rPr>
            </w:pPr>
            <w:proofErr w:type="gramStart"/>
            <w:r w:rsidRPr="00322301">
              <w:rPr>
                <w:rFonts w:cstheme="minorHAnsi"/>
              </w:rPr>
              <w:t>subsidiariteitstoets</w:t>
            </w:r>
            <w:proofErr w:type="gramEnd"/>
            <w:r w:rsidRPr="00322301">
              <w:rPr>
                <w:rFonts w:cstheme="minorHAnsi"/>
              </w:rPr>
              <w:t xml:space="preserve"> overwegen: let op termijn (zie hieronder).</w:t>
            </w:r>
          </w:p>
          <w:p w:rsidRPr="00322301" w:rsidR="00322301" w:rsidP="00322301" w:rsidRDefault="00322301">
            <w:pPr>
              <w:numPr>
                <w:ilvl w:val="0"/>
                <w:numId w:val="1"/>
              </w:numPr>
              <w:rPr>
                <w:rFonts w:cstheme="minorHAnsi"/>
              </w:rPr>
            </w:pPr>
            <w:proofErr w:type="gramStart"/>
            <w:r w:rsidRPr="00322301">
              <w:rPr>
                <w:rFonts w:cstheme="minorHAnsi"/>
              </w:rPr>
              <w:t>behandelvoorbehoud</w:t>
            </w:r>
            <w:proofErr w:type="gramEnd"/>
            <w:r w:rsidRPr="00322301">
              <w:rPr>
                <w:rFonts w:cstheme="minorHAnsi"/>
              </w:rPr>
              <w:t xml:space="preserve"> overwegen: let op termijn (zie hieronder).</w:t>
            </w:r>
          </w:p>
          <w:p w:rsidRPr="00322301" w:rsidR="00322301" w:rsidP="00322301" w:rsidRDefault="00322301">
            <w:pPr>
              <w:numPr>
                <w:ilvl w:val="0"/>
                <w:numId w:val="1"/>
              </w:numPr>
              <w:rPr>
                <w:rFonts w:cstheme="minorHAnsi"/>
              </w:rPr>
            </w:pPr>
            <w:proofErr w:type="gramStart"/>
            <w:r w:rsidRPr="00322301">
              <w:rPr>
                <w:rFonts w:cstheme="minorHAnsi"/>
              </w:rPr>
              <w:t>ad</w:t>
            </w:r>
            <w:proofErr w:type="gramEnd"/>
            <w:r w:rsidRPr="00322301">
              <w:rPr>
                <w:rFonts w:cstheme="minorHAnsi"/>
              </w:rPr>
              <w:t>-hoc rapporteur(s) binnen de commissie(s) benoemen.</w:t>
            </w:r>
          </w:p>
          <w:p w:rsidRPr="00322301" w:rsidR="00322301" w:rsidP="00322301" w:rsidRDefault="00322301">
            <w:pPr>
              <w:numPr>
                <w:ilvl w:val="0"/>
                <w:numId w:val="1"/>
              </w:numPr>
              <w:rPr>
                <w:rFonts w:cstheme="minorHAnsi"/>
              </w:rPr>
            </w:pPr>
            <w:r w:rsidRPr="00322301">
              <w:rPr>
                <w:rFonts w:cstheme="minorHAnsi"/>
              </w:rPr>
              <w:t>tijdens overleg met kabinet NL onderhandelingsinzet aan de orde stellen, evt. aan de hand van het “BNC-fiche”.</w:t>
            </w:r>
            <w:r w:rsidRPr="00322301">
              <w:rPr>
                <w:rFonts w:cstheme="minorHAnsi"/>
                <w:vertAlign w:val="superscript"/>
              </w:rPr>
              <w:footnoteReference w:id="1"/>
            </w:r>
            <w:r w:rsidRPr="00322301">
              <w:rPr>
                <w:rFonts w:cstheme="minorHAnsi"/>
              </w:rPr>
              <w:t xml:space="preserve"> </w:t>
            </w:r>
          </w:p>
          <w:p w:rsidRPr="00322301" w:rsidR="00322301" w:rsidP="00322301" w:rsidRDefault="00322301">
            <w:pPr>
              <w:numPr>
                <w:ilvl w:val="0"/>
                <w:numId w:val="1"/>
              </w:numPr>
              <w:rPr>
                <w:rFonts w:cstheme="minorHAnsi"/>
              </w:rPr>
            </w:pPr>
            <w:r w:rsidRPr="00322301">
              <w:rPr>
                <w:rFonts w:cstheme="minorHAnsi"/>
              </w:rPr>
              <w:t>EP-rapporteur uitnodigen, evt. via videoconferentie.</w:t>
            </w:r>
            <w:r w:rsidRPr="00322301">
              <w:rPr>
                <w:rFonts w:cstheme="minorHAnsi"/>
              </w:rPr>
              <w:br/>
            </w:r>
            <w:r w:rsidRPr="00322301">
              <w:rPr>
                <w:rFonts w:cstheme="minorHAnsi"/>
              </w:rPr>
              <w:br/>
            </w:r>
          </w:p>
          <w:p w:rsidRPr="00322301" w:rsidR="00322301" w:rsidP="00322301" w:rsidRDefault="00322301">
            <w:pPr>
              <w:numPr>
                <w:ilvl w:val="0"/>
                <w:numId w:val="1"/>
              </w:numPr>
              <w:rPr>
                <w:rFonts w:cstheme="minorHAnsi"/>
              </w:rPr>
            </w:pPr>
            <w:r w:rsidRPr="00322301">
              <w:rPr>
                <w:rFonts w:cstheme="minorHAnsi"/>
              </w:rPr>
              <w:t>NB: Pas na afronding van het onderhandelingstraject: nationale wetgevingstraject monitoren (</w:t>
            </w:r>
            <w:proofErr w:type="spellStart"/>
            <w:r w:rsidRPr="00322301">
              <w:rPr>
                <w:rFonts w:cstheme="minorHAnsi"/>
              </w:rPr>
              <w:t>i.h.k.v</w:t>
            </w:r>
            <w:proofErr w:type="spellEnd"/>
            <w:r w:rsidRPr="00322301">
              <w:rPr>
                <w:rFonts w:cstheme="minorHAnsi"/>
              </w:rPr>
              <w:t>. omzetting naar nationale wetgeving).</w:t>
            </w:r>
          </w:p>
        </w:tc>
      </w:tr>
      <w:tr w:rsidRPr="00322301" w:rsidR="00322301" w:rsidTr="00501A7F">
        <w:tc>
          <w:tcPr>
            <w:tcW w:w="2093" w:type="dxa"/>
          </w:tcPr>
          <w:p w:rsidRPr="00322301" w:rsidR="00322301" w:rsidP="00322301" w:rsidRDefault="00322301">
            <w:pPr>
              <w:rPr>
                <w:rFonts w:cstheme="minorHAnsi"/>
              </w:rPr>
            </w:pPr>
            <w:r w:rsidRPr="00322301">
              <w:rPr>
                <w:rFonts w:cstheme="minorHAnsi"/>
              </w:rPr>
              <w:t xml:space="preserve">Richtlijn </w:t>
            </w:r>
          </w:p>
        </w:tc>
        <w:tc>
          <w:tcPr>
            <w:tcW w:w="6946" w:type="dxa"/>
          </w:tcPr>
          <w:p w:rsidRPr="00322301" w:rsidR="00322301" w:rsidP="00322301" w:rsidRDefault="00322301">
            <w:pPr>
              <w:rPr>
                <w:rFonts w:cstheme="minorHAnsi"/>
              </w:rPr>
            </w:pPr>
            <w:r w:rsidRPr="00322301">
              <w:rPr>
                <w:rFonts w:cstheme="minorHAnsi"/>
              </w:rPr>
              <w:t xml:space="preserve">Een richtlijn is verbindend ten aanzien van het te bereiken resultaat - aan de nationale instanties wordt de bevoegdheid gelaten vorm en middelen te kiezen. Lidstaten dienen richtlijnen om te zetten in nationaal recht - pas dan treden de regels in werking. Een richtlijn laat zo ruimte aan lidstaten om zelf invulling te geven aan het verwezenlijken van een gemeenschappelijk vastgesteld doel. In de praktijk kunnen richtlijnen zeer gedetailleerde bepalingen bevatten. Daarnaast bieden richtlijnen geen soms geen enkele ruimte om andere regels te stellen. Een aangenomen richtlijn komt terug in de Kamer indien er implementatiewetgeving wordt voorgesteld. </w:t>
            </w:r>
          </w:p>
        </w:tc>
        <w:tc>
          <w:tcPr>
            <w:tcW w:w="5103" w:type="dxa"/>
            <w:vMerge/>
          </w:tcPr>
          <w:p w:rsidRPr="00322301" w:rsidR="00322301" w:rsidP="00322301" w:rsidRDefault="00322301">
            <w:pPr>
              <w:numPr>
                <w:ilvl w:val="0"/>
                <w:numId w:val="2"/>
              </w:numPr>
              <w:ind w:left="317" w:hanging="283"/>
              <w:rPr>
                <w:rFonts w:cstheme="minorHAnsi"/>
              </w:rPr>
            </w:pPr>
          </w:p>
        </w:tc>
      </w:tr>
      <w:tr w:rsidRPr="00322301" w:rsidR="00322301" w:rsidTr="00501A7F">
        <w:tc>
          <w:tcPr>
            <w:tcW w:w="2093" w:type="dxa"/>
          </w:tcPr>
          <w:p w:rsidRPr="00322301" w:rsidR="00322301" w:rsidP="00322301" w:rsidRDefault="00322301">
            <w:pPr>
              <w:rPr>
                <w:rFonts w:cstheme="minorHAnsi"/>
              </w:rPr>
            </w:pPr>
            <w:r w:rsidRPr="00322301">
              <w:rPr>
                <w:rFonts w:cstheme="minorHAnsi"/>
              </w:rPr>
              <w:t>(Besluit)</w:t>
            </w:r>
          </w:p>
        </w:tc>
        <w:tc>
          <w:tcPr>
            <w:tcW w:w="6946" w:type="dxa"/>
          </w:tcPr>
          <w:p w:rsidRPr="00322301" w:rsidR="00322301" w:rsidP="00322301" w:rsidRDefault="00322301">
            <w:pPr>
              <w:rPr>
                <w:rFonts w:cstheme="minorHAnsi"/>
              </w:rPr>
            </w:pPr>
            <w:r w:rsidRPr="00322301">
              <w:rPr>
                <w:rFonts w:cstheme="minorHAnsi"/>
              </w:rPr>
              <w:t xml:space="preserve">Een besluit is verbindend in al haar onderdelen. Indien de adressanten worden vermeld, is zij alleen voor hen verbindend. Met besluiten kunnen algemeen verbindende voorschriften worden toegepast op een concreet geval. Daarnaast </w:t>
            </w:r>
            <w:r w:rsidRPr="00322301">
              <w:rPr>
                <w:rFonts w:cstheme="minorHAnsi"/>
              </w:rPr>
              <w:lastRenderedPageBreak/>
              <w:t xml:space="preserve">kunnen besluiten ook algemeen verbindende voorschriften bevatten. In dat laatste geval is sprake van een wetgevende handeling, in dat eerste geval niet. </w:t>
            </w:r>
            <w:r w:rsidRPr="00322301">
              <w:rPr>
                <w:rFonts w:cstheme="minorHAnsi"/>
              </w:rPr>
              <w:br/>
              <w:t xml:space="preserve">Voor wetgevende besluiten kan gekozen worden als richtlijnen en verordeningen niet geschikt zijn als instrument. Niet-wetgevende besluiten kunnen gericht zijn tot individuele of alle lidstaten (bv. maatregelen tegen onrechtmatige staatssteun) of individuen (natuurlijke personen en rechtspersonen) (bv in mededingingszaken). Verder is er nog een aantal bijzondere besluiten, zoals direct op de Verdragen gebaseerde uitvoeringsbepalingen; besluiten van de Europese Raad (bv het meerjarenplan op JBZ-gebied); en besluiten op het terrein van het Gemeenschappelijk Buitenlands- en Veiligheidsbeleid (bv besluiten tot het sluiten van internationale verdragen). Deze zijn in de regel niet wetgevend. Indien een besluit alleen door de Commissie wordt genomen, is het een niet-wetgevend besluit. Besluiten op voorstel van de Europese Commissie, genomen door de Raad en het Parlement zullen in de regel wetgevend zijn. Dit zal van geval tot geval moeten worden beoordeeld. </w:t>
            </w:r>
          </w:p>
        </w:tc>
        <w:tc>
          <w:tcPr>
            <w:tcW w:w="5103" w:type="dxa"/>
            <w:vMerge/>
          </w:tcPr>
          <w:p w:rsidRPr="00322301" w:rsidR="00322301" w:rsidP="00322301" w:rsidRDefault="00322301">
            <w:pPr>
              <w:numPr>
                <w:ilvl w:val="0"/>
                <w:numId w:val="2"/>
              </w:numPr>
              <w:ind w:left="317" w:hanging="283"/>
              <w:rPr>
                <w:rFonts w:cstheme="minorHAnsi"/>
              </w:rPr>
            </w:pPr>
          </w:p>
        </w:tc>
      </w:tr>
      <w:tr w:rsidRPr="00322301" w:rsidR="00322301" w:rsidTr="00501A7F">
        <w:tc>
          <w:tcPr>
            <w:tcW w:w="14142" w:type="dxa"/>
            <w:gridSpan w:val="3"/>
          </w:tcPr>
          <w:p w:rsidRPr="00322301" w:rsidR="00322301" w:rsidP="00322301" w:rsidRDefault="00322301">
            <w:pPr>
              <w:rPr>
                <w:rFonts w:cstheme="minorHAnsi"/>
                <w:i/>
              </w:rPr>
            </w:pPr>
            <w:r w:rsidRPr="00322301">
              <w:rPr>
                <w:rFonts w:cstheme="minorHAnsi"/>
                <w:i/>
              </w:rPr>
              <w:t>Niet-wetgevende bindende rechtshandelingen</w:t>
            </w:r>
          </w:p>
        </w:tc>
      </w:tr>
      <w:tr w:rsidRPr="00322301" w:rsidR="00322301" w:rsidTr="00501A7F">
        <w:tc>
          <w:tcPr>
            <w:tcW w:w="2093" w:type="dxa"/>
          </w:tcPr>
          <w:p w:rsidRPr="00322301" w:rsidR="00322301" w:rsidP="00322301" w:rsidRDefault="00322301">
            <w:pPr>
              <w:rPr>
                <w:rFonts w:cstheme="minorHAnsi"/>
              </w:rPr>
            </w:pPr>
            <w:r w:rsidRPr="00322301">
              <w:rPr>
                <w:rFonts w:cstheme="minorHAnsi"/>
              </w:rPr>
              <w:t>Gedelegeerde handeling</w:t>
            </w:r>
          </w:p>
        </w:tc>
        <w:tc>
          <w:tcPr>
            <w:tcW w:w="6946" w:type="dxa"/>
          </w:tcPr>
          <w:p w:rsidRPr="00322301" w:rsidR="00322301" w:rsidP="00322301" w:rsidRDefault="00322301">
            <w:pPr>
              <w:rPr>
                <w:rFonts w:cstheme="minorHAnsi"/>
              </w:rPr>
            </w:pPr>
            <w:r w:rsidRPr="00322301">
              <w:rPr>
                <w:rFonts w:cstheme="minorHAnsi"/>
              </w:rPr>
              <w:t>In een wetgevingshandeling (richtlijn, verordening) kan aan de Europese Commissie de bevoegdheid worden overgedragen om niet-wetgevingshandelingen van algemene strekking vast te stellen ter aanvulling of wijziging van bepaalde niet-essentiële onderdelen van de wetgevingshandeling. Essentiële onderdelen van een gebied worden uitsluitend bij een wetgevingshandeling geregeld en kunnen derhalve niet het voorwerp zijn van bevoegdheidsdelegatie. Er wordt over onderhandeld door comités van nationale ambtenaren en de Europese Commissie.</w:t>
            </w:r>
          </w:p>
        </w:tc>
        <w:tc>
          <w:tcPr>
            <w:tcW w:w="5103" w:type="dxa"/>
          </w:tcPr>
          <w:p w:rsidRPr="00322301" w:rsidR="00322301" w:rsidP="00322301" w:rsidRDefault="00322301">
            <w:pPr>
              <w:numPr>
                <w:ilvl w:val="0"/>
                <w:numId w:val="1"/>
              </w:numPr>
              <w:rPr>
                <w:rFonts w:cstheme="minorHAnsi"/>
              </w:rPr>
            </w:pPr>
            <w:proofErr w:type="gramStart"/>
            <w:r w:rsidRPr="00322301">
              <w:rPr>
                <w:rFonts w:cstheme="minorHAnsi"/>
              </w:rPr>
              <w:t>kabinet</w:t>
            </w:r>
            <w:proofErr w:type="gramEnd"/>
            <w:r w:rsidRPr="00322301">
              <w:rPr>
                <w:rFonts w:cstheme="minorHAnsi"/>
              </w:rPr>
              <w:t xml:space="preserve"> per brief of tijdens overleg bevragen over stand van zaken en appreciatie EU onderhandelingen en NL inzet.</w:t>
            </w:r>
          </w:p>
          <w:p w:rsidRPr="00322301" w:rsidR="00322301" w:rsidP="00322301" w:rsidRDefault="00322301">
            <w:pPr>
              <w:ind w:left="360"/>
              <w:rPr>
                <w:rFonts w:cstheme="minorHAnsi"/>
              </w:rPr>
            </w:pPr>
          </w:p>
        </w:tc>
      </w:tr>
      <w:tr w:rsidRPr="00322301" w:rsidR="00322301" w:rsidTr="00501A7F">
        <w:tc>
          <w:tcPr>
            <w:tcW w:w="2093" w:type="dxa"/>
          </w:tcPr>
          <w:p w:rsidRPr="00322301" w:rsidR="00322301" w:rsidP="00322301" w:rsidRDefault="00322301">
            <w:pPr>
              <w:rPr>
                <w:rFonts w:cstheme="minorHAnsi"/>
              </w:rPr>
            </w:pPr>
            <w:proofErr w:type="spellStart"/>
            <w:r w:rsidRPr="00322301">
              <w:rPr>
                <w:rFonts w:cstheme="minorHAnsi"/>
              </w:rPr>
              <w:t>Uitvoerings-handeling</w:t>
            </w:r>
            <w:proofErr w:type="spellEnd"/>
          </w:p>
        </w:tc>
        <w:tc>
          <w:tcPr>
            <w:tcW w:w="6946" w:type="dxa"/>
          </w:tcPr>
          <w:p w:rsidRPr="00322301" w:rsidR="00322301" w:rsidP="00322301" w:rsidRDefault="00322301">
            <w:pPr>
              <w:rPr>
                <w:rFonts w:cstheme="minorHAnsi"/>
              </w:rPr>
            </w:pPr>
            <w:r w:rsidRPr="00322301">
              <w:rPr>
                <w:rFonts w:cstheme="minorHAnsi"/>
              </w:rPr>
              <w:t>Indien de implementatie van Unierecht volgens uniforme standaarden van procedurele aard moeten plaatsvinden, kan de Europese Commissie de bevoegdheid worden overgedragen om uitvoeringshandelingen vast te stellen. Uitvoeringshandelingen gaan vaak om een nadere praktische of technische uitwerking van regels die al bestaan, zoals templates, procedures, deadlines, etc. Er wordt over onderhandeld door comités van nationale ambtenaren en de Europese Commissie.</w:t>
            </w:r>
          </w:p>
        </w:tc>
        <w:tc>
          <w:tcPr>
            <w:tcW w:w="5103" w:type="dxa"/>
          </w:tcPr>
          <w:p w:rsidRPr="00322301" w:rsidR="00322301" w:rsidP="00322301" w:rsidRDefault="00322301">
            <w:pPr>
              <w:numPr>
                <w:ilvl w:val="0"/>
                <w:numId w:val="1"/>
              </w:numPr>
              <w:rPr>
                <w:rFonts w:cstheme="minorHAnsi"/>
              </w:rPr>
            </w:pPr>
            <w:proofErr w:type="gramStart"/>
            <w:r w:rsidRPr="00322301">
              <w:rPr>
                <w:rFonts w:cstheme="minorHAnsi"/>
              </w:rPr>
              <w:t>kabinet</w:t>
            </w:r>
            <w:proofErr w:type="gramEnd"/>
            <w:r w:rsidRPr="00322301">
              <w:rPr>
                <w:rFonts w:cstheme="minorHAnsi"/>
              </w:rPr>
              <w:t xml:space="preserve"> per brief of tijdens algemeen overleg/debat bevragen over stand van zaken en appreciatie EU onderhandelingen en NL inzet.</w:t>
            </w:r>
          </w:p>
          <w:p w:rsidRPr="00322301" w:rsidR="00322301" w:rsidP="00322301" w:rsidRDefault="00322301">
            <w:pPr>
              <w:numPr>
                <w:ilvl w:val="0"/>
                <w:numId w:val="1"/>
              </w:numPr>
              <w:rPr>
                <w:rFonts w:cstheme="minorHAnsi"/>
              </w:rPr>
            </w:pPr>
            <w:r w:rsidRPr="00322301">
              <w:rPr>
                <w:rFonts w:cstheme="minorHAnsi"/>
                <w:color w:val="000000"/>
              </w:rPr>
              <w:t xml:space="preserve">op basis van </w:t>
            </w:r>
            <w:r w:rsidRPr="00322301">
              <w:rPr>
                <w:rFonts w:cstheme="minorHAnsi"/>
              </w:rPr>
              <w:t xml:space="preserve">de </w:t>
            </w:r>
            <w:hyperlink w:history="1" r:id="rId13">
              <w:r w:rsidRPr="00322301">
                <w:rPr>
                  <w:rFonts w:cstheme="minorHAnsi"/>
                  <w:u w:val="single"/>
                </w:rPr>
                <w:t>(gewijzigde) motie Van Gent</w:t>
              </w:r>
            </w:hyperlink>
            <w:r w:rsidRPr="00322301">
              <w:rPr>
                <w:rFonts w:cstheme="minorHAnsi"/>
                <w:color w:val="000000"/>
              </w:rPr>
              <w:t xml:space="preserve"> dient het kabinet de Kamer afschriften te sturen van haar correspondentie met de Europese Commissie over de uitvoering van Europese regelgeving.</w:t>
            </w:r>
          </w:p>
        </w:tc>
      </w:tr>
      <w:tr w:rsidRPr="00322301" w:rsidR="00322301" w:rsidTr="00501A7F">
        <w:tc>
          <w:tcPr>
            <w:tcW w:w="2093" w:type="dxa"/>
          </w:tcPr>
          <w:p w:rsidRPr="00322301" w:rsidR="00322301" w:rsidP="00322301" w:rsidRDefault="00322301">
            <w:pPr>
              <w:rPr>
                <w:rFonts w:cstheme="minorHAnsi"/>
              </w:rPr>
            </w:pPr>
            <w:r w:rsidRPr="00322301">
              <w:rPr>
                <w:rFonts w:cstheme="minorHAnsi"/>
              </w:rPr>
              <w:t>Bijzondere rechtshandelingen</w:t>
            </w:r>
          </w:p>
        </w:tc>
        <w:tc>
          <w:tcPr>
            <w:tcW w:w="6946" w:type="dxa"/>
          </w:tcPr>
          <w:p w:rsidRPr="00322301" w:rsidR="00322301" w:rsidP="00322301" w:rsidRDefault="00322301">
            <w:pPr>
              <w:rPr>
                <w:rFonts w:cstheme="minorHAnsi"/>
              </w:rPr>
            </w:pPr>
            <w:r w:rsidRPr="00322301">
              <w:rPr>
                <w:rFonts w:cstheme="minorHAnsi"/>
              </w:rPr>
              <w:t>Er bestaan nog andere typen niet-wetgevende rechtshandelingen waarvan op voorhand niet te zeggen zijn of zij bindend zijn of niet. Bijvoorbeeld meerjarige kaderprogramma’s of actieprogramma’s. Deze programma’s worden vastgesteld volgens dezelfde wetgevingsprocedures als richtlijnen en verordeningen. Het is zaak goed in de teksten te bezien wat de voorgestelde rechtskracht is.</w:t>
            </w:r>
          </w:p>
          <w:p w:rsidRPr="00322301" w:rsidR="00322301" w:rsidP="00322301" w:rsidRDefault="00322301">
            <w:pPr>
              <w:rPr>
                <w:rFonts w:cstheme="minorHAnsi"/>
              </w:rPr>
            </w:pPr>
          </w:p>
        </w:tc>
        <w:tc>
          <w:tcPr>
            <w:tcW w:w="5103" w:type="dxa"/>
          </w:tcPr>
          <w:p w:rsidRPr="00322301" w:rsidR="00322301" w:rsidP="00322301" w:rsidRDefault="00322301">
            <w:pPr>
              <w:numPr>
                <w:ilvl w:val="0"/>
                <w:numId w:val="1"/>
              </w:numPr>
              <w:rPr>
                <w:rFonts w:cstheme="minorHAnsi"/>
              </w:rPr>
            </w:pPr>
            <w:proofErr w:type="gramStart"/>
            <w:r w:rsidRPr="00322301">
              <w:rPr>
                <w:rFonts w:cstheme="minorHAnsi"/>
              </w:rPr>
              <w:t>kabinetsappreciatie</w:t>
            </w:r>
            <w:proofErr w:type="gramEnd"/>
            <w:r w:rsidRPr="00322301">
              <w:rPr>
                <w:rFonts w:cstheme="minorHAnsi"/>
              </w:rPr>
              <w:t xml:space="preserve"> (‘BNC-fiche’) vragen, bespreken.</w:t>
            </w:r>
          </w:p>
          <w:p w:rsidRPr="00322301" w:rsidR="00322301" w:rsidP="00322301" w:rsidRDefault="00322301">
            <w:pPr>
              <w:numPr>
                <w:ilvl w:val="0"/>
                <w:numId w:val="1"/>
              </w:numPr>
              <w:rPr>
                <w:rFonts w:cstheme="minorHAnsi"/>
              </w:rPr>
            </w:pPr>
            <w:proofErr w:type="gramStart"/>
            <w:r w:rsidRPr="00322301">
              <w:rPr>
                <w:rFonts w:cstheme="minorHAnsi"/>
              </w:rPr>
              <w:t>ambtenaren</w:t>
            </w:r>
            <w:proofErr w:type="gramEnd"/>
            <w:r w:rsidRPr="00322301">
              <w:rPr>
                <w:rFonts w:cstheme="minorHAnsi"/>
              </w:rPr>
              <w:t xml:space="preserve"> of Commissaris van Europese Commissie (de ‘auteurs’) uitnodigen voor briefing/gesprek, evt. via videoconferentie</w:t>
            </w:r>
          </w:p>
          <w:p w:rsidRPr="00322301" w:rsidR="00322301" w:rsidP="00322301" w:rsidRDefault="00322301">
            <w:pPr>
              <w:numPr>
                <w:ilvl w:val="0"/>
                <w:numId w:val="1"/>
              </w:numPr>
              <w:rPr>
                <w:rFonts w:cstheme="minorHAnsi"/>
              </w:rPr>
            </w:pPr>
            <w:proofErr w:type="gramStart"/>
            <w:r w:rsidRPr="00322301">
              <w:rPr>
                <w:rFonts w:cstheme="minorHAnsi"/>
              </w:rPr>
              <w:t>indien</w:t>
            </w:r>
            <w:proofErr w:type="gramEnd"/>
            <w:r w:rsidRPr="00322301">
              <w:rPr>
                <w:rFonts w:cstheme="minorHAnsi"/>
              </w:rPr>
              <w:t xml:space="preserve"> het Europees Parlement een rapporteur heeft aangesteld kan deze desgewenst worden uitgenodigd voor een gesprek.</w:t>
            </w:r>
          </w:p>
          <w:p w:rsidRPr="00322301" w:rsidR="00322301" w:rsidP="00322301" w:rsidRDefault="00322301">
            <w:pPr>
              <w:numPr>
                <w:ilvl w:val="0"/>
                <w:numId w:val="1"/>
              </w:numPr>
              <w:rPr>
                <w:rFonts w:cstheme="minorHAnsi"/>
              </w:rPr>
            </w:pPr>
            <w:proofErr w:type="gramStart"/>
            <w:r w:rsidRPr="00322301">
              <w:rPr>
                <w:rFonts w:cstheme="minorHAnsi"/>
              </w:rPr>
              <w:t>uw</w:t>
            </w:r>
            <w:proofErr w:type="gramEnd"/>
            <w:r w:rsidRPr="00322301">
              <w:rPr>
                <w:rFonts w:cstheme="minorHAnsi"/>
              </w:rPr>
              <w:t xml:space="preserve"> commissie kan op dit onderwerp een ad-hoc rapporteur benoemen</w:t>
            </w:r>
          </w:p>
          <w:p w:rsidRPr="00322301" w:rsidR="00322301" w:rsidP="00322301" w:rsidRDefault="00322301">
            <w:pPr>
              <w:ind w:left="360"/>
              <w:rPr>
                <w:rFonts w:cstheme="minorHAnsi"/>
              </w:rPr>
            </w:pPr>
            <w:r w:rsidRPr="00322301">
              <w:rPr>
                <w:rFonts w:cstheme="minorHAnsi"/>
              </w:rPr>
              <w:lastRenderedPageBreak/>
              <w:t>nationale wetgevingstraject (</w:t>
            </w:r>
            <w:proofErr w:type="spellStart"/>
            <w:r w:rsidRPr="00322301">
              <w:rPr>
                <w:rFonts w:cstheme="minorHAnsi"/>
              </w:rPr>
              <w:t>i.h.k.v</w:t>
            </w:r>
            <w:proofErr w:type="spellEnd"/>
            <w:r w:rsidRPr="00322301">
              <w:rPr>
                <w:rFonts w:cstheme="minorHAnsi"/>
              </w:rPr>
              <w:t>. omzetting van richtlijn naar nationale wetgeving).</w:t>
            </w:r>
          </w:p>
        </w:tc>
      </w:tr>
      <w:tr w:rsidRPr="00322301" w:rsidR="00322301" w:rsidTr="00501A7F">
        <w:tc>
          <w:tcPr>
            <w:tcW w:w="14142" w:type="dxa"/>
            <w:gridSpan w:val="3"/>
          </w:tcPr>
          <w:p w:rsidRPr="00322301" w:rsidR="00322301" w:rsidP="00322301" w:rsidRDefault="00322301">
            <w:pPr>
              <w:rPr>
                <w:rFonts w:cstheme="minorHAnsi"/>
                <w:i/>
              </w:rPr>
            </w:pPr>
            <w:r w:rsidRPr="00322301">
              <w:rPr>
                <w:rFonts w:cstheme="minorHAnsi"/>
                <w:i/>
              </w:rPr>
              <w:lastRenderedPageBreak/>
              <w:t>Niet-bindende handelingen (soft-</w:t>
            </w:r>
            <w:proofErr w:type="spellStart"/>
            <w:r w:rsidRPr="00322301">
              <w:rPr>
                <w:rFonts w:cstheme="minorHAnsi"/>
                <w:i/>
              </w:rPr>
              <w:t>law</w:t>
            </w:r>
            <w:proofErr w:type="spellEnd"/>
            <w:r w:rsidRPr="00322301">
              <w:rPr>
                <w:rFonts w:cstheme="minorHAnsi"/>
                <w:i/>
              </w:rPr>
              <w:t>)</w:t>
            </w:r>
          </w:p>
        </w:tc>
      </w:tr>
      <w:tr w:rsidRPr="00322301" w:rsidR="00322301" w:rsidTr="00501A7F">
        <w:tc>
          <w:tcPr>
            <w:tcW w:w="2093" w:type="dxa"/>
          </w:tcPr>
          <w:p w:rsidRPr="00322301" w:rsidR="00322301" w:rsidP="00322301" w:rsidRDefault="00322301">
            <w:pPr>
              <w:rPr>
                <w:rFonts w:cstheme="minorHAnsi"/>
              </w:rPr>
            </w:pPr>
            <w:r w:rsidRPr="00322301">
              <w:rPr>
                <w:rFonts w:cstheme="minorHAnsi"/>
              </w:rPr>
              <w:t>Advies, aanbeveling, mededeling</w:t>
            </w:r>
          </w:p>
          <w:p w:rsidRPr="00322301" w:rsidR="00322301" w:rsidP="00322301" w:rsidRDefault="00322301">
            <w:pPr>
              <w:jc w:val="right"/>
              <w:rPr>
                <w:rFonts w:cstheme="minorHAnsi"/>
              </w:rPr>
            </w:pPr>
          </w:p>
          <w:p w:rsidRPr="00322301" w:rsidR="00322301" w:rsidP="00322301" w:rsidRDefault="00322301">
            <w:pPr>
              <w:jc w:val="right"/>
              <w:rPr>
                <w:rFonts w:cstheme="minorHAnsi"/>
              </w:rPr>
            </w:pPr>
          </w:p>
          <w:p w:rsidRPr="00322301" w:rsidR="00322301" w:rsidP="00322301" w:rsidRDefault="00322301">
            <w:pPr>
              <w:jc w:val="right"/>
              <w:rPr>
                <w:rFonts w:cstheme="minorHAnsi"/>
              </w:rPr>
            </w:pPr>
          </w:p>
          <w:p w:rsidRPr="00322301" w:rsidR="00322301" w:rsidP="00322301" w:rsidRDefault="00322301">
            <w:pPr>
              <w:jc w:val="right"/>
              <w:rPr>
                <w:rFonts w:cstheme="minorHAnsi"/>
              </w:rPr>
            </w:pPr>
          </w:p>
          <w:p w:rsidRPr="00322301" w:rsidR="00322301" w:rsidP="00322301" w:rsidRDefault="00322301">
            <w:pPr>
              <w:jc w:val="right"/>
              <w:rPr>
                <w:rFonts w:cstheme="minorHAnsi"/>
              </w:rPr>
            </w:pPr>
          </w:p>
        </w:tc>
        <w:tc>
          <w:tcPr>
            <w:tcW w:w="6946" w:type="dxa"/>
          </w:tcPr>
          <w:p w:rsidRPr="00322301" w:rsidR="00322301" w:rsidP="00322301" w:rsidRDefault="00322301">
            <w:pPr>
              <w:spacing w:before="100" w:beforeAutospacing="1" w:after="100" w:afterAutospacing="1"/>
              <w:rPr>
                <w:rFonts w:cstheme="minorHAnsi"/>
              </w:rPr>
            </w:pPr>
            <w:r w:rsidRPr="00322301">
              <w:rPr>
                <w:rFonts w:cstheme="minorHAnsi"/>
              </w:rPr>
              <w:t xml:space="preserve">De EU kent een grote hoeveelheid uiteenlopende typen beleid (‘soft </w:t>
            </w:r>
            <w:proofErr w:type="spellStart"/>
            <w:r w:rsidRPr="00322301">
              <w:rPr>
                <w:rFonts w:cstheme="minorHAnsi"/>
              </w:rPr>
              <w:t>law</w:t>
            </w:r>
            <w:proofErr w:type="spellEnd"/>
            <w:r w:rsidRPr="00322301">
              <w:rPr>
                <w:rFonts w:cstheme="minorHAnsi"/>
              </w:rPr>
              <w:t>’) zonder bindende rechtskracht, maar soms met juridische effecten, zoals aanbevelingen en adviezen, resoluties, verklaringen, notificaties, mededelingen, handboeken, gedragscodes, etc. Zij kunnen op verschillende manieren toch effect hebben: zo is bijvoorbeeld de Europese Commissie (en soms ook de lidstaten) gebonden aan het eigen beleid. Daarnaast moet bij de toepassing van het ‘harde’ Unierecht gekeken worden naar soft-</w:t>
            </w:r>
            <w:proofErr w:type="spellStart"/>
            <w:r w:rsidRPr="00322301">
              <w:rPr>
                <w:rFonts w:cstheme="minorHAnsi"/>
              </w:rPr>
              <w:t>law</w:t>
            </w:r>
            <w:proofErr w:type="spellEnd"/>
            <w:r w:rsidRPr="00322301">
              <w:rPr>
                <w:rFonts w:cstheme="minorHAnsi"/>
              </w:rPr>
              <w:t xml:space="preserve">. </w:t>
            </w:r>
          </w:p>
        </w:tc>
        <w:tc>
          <w:tcPr>
            <w:tcW w:w="5103" w:type="dxa"/>
          </w:tcPr>
          <w:p w:rsidRPr="00322301" w:rsidR="00322301" w:rsidP="00322301" w:rsidRDefault="00322301">
            <w:pPr>
              <w:numPr>
                <w:ilvl w:val="0"/>
                <w:numId w:val="1"/>
              </w:numPr>
              <w:rPr>
                <w:rFonts w:cstheme="minorHAnsi"/>
              </w:rPr>
            </w:pPr>
            <w:proofErr w:type="gramStart"/>
            <w:r w:rsidRPr="00322301">
              <w:rPr>
                <w:rFonts w:cstheme="minorHAnsi"/>
              </w:rPr>
              <w:t>kabinet</w:t>
            </w:r>
            <w:proofErr w:type="gramEnd"/>
            <w:r w:rsidRPr="00322301">
              <w:rPr>
                <w:rFonts w:cstheme="minorHAnsi"/>
              </w:rPr>
              <w:t xml:space="preserve"> om appreciatie in de vorm van BNC-fiche verzoeken aangezien over deze categorie niet standaard een fiche wordt gemaakt.</w:t>
            </w:r>
          </w:p>
          <w:p w:rsidRPr="00322301" w:rsidR="00322301" w:rsidP="00322301" w:rsidRDefault="00322301">
            <w:pPr>
              <w:rPr>
                <w:rFonts w:cstheme="minorHAnsi"/>
              </w:rPr>
            </w:pPr>
          </w:p>
          <w:p w:rsidRPr="00322301" w:rsidR="00322301" w:rsidP="00322301" w:rsidRDefault="00322301">
            <w:pPr>
              <w:rPr>
                <w:rFonts w:cstheme="minorHAnsi"/>
              </w:rPr>
            </w:pPr>
          </w:p>
          <w:p w:rsidRPr="00322301" w:rsidR="00322301" w:rsidP="00322301" w:rsidRDefault="00322301">
            <w:pPr>
              <w:rPr>
                <w:rFonts w:cstheme="minorHAnsi"/>
              </w:rPr>
            </w:pPr>
          </w:p>
          <w:p w:rsidRPr="00322301" w:rsidR="00322301" w:rsidP="00322301" w:rsidRDefault="00322301">
            <w:pPr>
              <w:rPr>
                <w:rFonts w:cstheme="minorHAnsi"/>
              </w:rPr>
            </w:pPr>
          </w:p>
          <w:p w:rsidRPr="00322301" w:rsidR="00322301" w:rsidP="00322301" w:rsidRDefault="00322301">
            <w:pPr>
              <w:rPr>
                <w:rFonts w:cstheme="minorHAnsi"/>
              </w:rPr>
            </w:pPr>
          </w:p>
        </w:tc>
      </w:tr>
      <w:tr w:rsidRPr="00322301" w:rsidR="00322301" w:rsidTr="00501A7F">
        <w:tc>
          <w:tcPr>
            <w:tcW w:w="14142" w:type="dxa"/>
            <w:gridSpan w:val="3"/>
          </w:tcPr>
          <w:p w:rsidRPr="00322301" w:rsidR="00322301" w:rsidP="00322301" w:rsidRDefault="00322301">
            <w:pPr>
              <w:rPr>
                <w:rFonts w:cstheme="minorHAnsi"/>
                <w:i/>
              </w:rPr>
            </w:pPr>
            <w:r w:rsidRPr="00322301">
              <w:rPr>
                <w:rFonts w:cstheme="minorHAnsi"/>
                <w:i/>
              </w:rPr>
              <w:t xml:space="preserve">Overige handelingen en instrumenten </w:t>
            </w:r>
          </w:p>
        </w:tc>
      </w:tr>
      <w:tr w:rsidRPr="00322301" w:rsidR="00322301" w:rsidTr="00501A7F">
        <w:tc>
          <w:tcPr>
            <w:tcW w:w="2093" w:type="dxa"/>
          </w:tcPr>
          <w:p w:rsidRPr="00322301" w:rsidR="00322301" w:rsidP="00322301" w:rsidRDefault="00322301">
            <w:pPr>
              <w:rPr>
                <w:rFonts w:cstheme="minorHAnsi"/>
              </w:rPr>
            </w:pPr>
            <w:r w:rsidRPr="00322301">
              <w:rPr>
                <w:rFonts w:cstheme="minorHAnsi"/>
              </w:rPr>
              <w:t xml:space="preserve">Routekaart, actieplannen, strategie, agenda </w:t>
            </w:r>
          </w:p>
        </w:tc>
        <w:tc>
          <w:tcPr>
            <w:tcW w:w="6946" w:type="dxa"/>
          </w:tcPr>
          <w:p w:rsidRPr="00322301" w:rsidR="00322301" w:rsidP="00322301" w:rsidRDefault="00322301">
            <w:pPr>
              <w:rPr>
                <w:rFonts w:cstheme="minorHAnsi"/>
              </w:rPr>
            </w:pPr>
            <w:r w:rsidRPr="00322301">
              <w:rPr>
                <w:rFonts w:cstheme="minorHAnsi"/>
              </w:rPr>
              <w:t xml:space="preserve">Via routekaarten, actieplannen, strategieën en agenda’s informeert de Europese Commissie belanghebbenden en burgers over nieuwe initiatieven, evaluaties en geschiktheidscontroles. In deze documenten </w:t>
            </w:r>
            <w:r w:rsidRPr="00322301">
              <w:rPr>
                <w:rFonts w:cstheme="minorHAnsi"/>
                <w:b/>
                <w:bCs/>
              </w:rPr>
              <w:t>voor nieuwe initiatieven</w:t>
            </w:r>
            <w:r w:rsidRPr="00322301">
              <w:rPr>
                <w:rFonts w:cstheme="minorHAnsi"/>
              </w:rPr>
              <w:t xml:space="preserve"> wordt uitgelegd wat het probleem is, wat de Commissie wil bereiken, waarom juist de </w:t>
            </w:r>
            <w:proofErr w:type="gramStart"/>
            <w:r w:rsidRPr="00322301">
              <w:rPr>
                <w:rFonts w:cstheme="minorHAnsi"/>
              </w:rPr>
              <w:t>EU maatregelen</w:t>
            </w:r>
            <w:proofErr w:type="gramEnd"/>
            <w:r w:rsidRPr="00322301">
              <w:rPr>
                <w:rFonts w:cstheme="minorHAnsi"/>
              </w:rPr>
              <w:t xml:space="preserve"> moet nemen, wat de toegevoegde waarde is en welke alternatieven er zijn. In deze documenten</w:t>
            </w:r>
            <w:r w:rsidRPr="00322301">
              <w:rPr>
                <w:rFonts w:cstheme="minorHAnsi"/>
                <w:b/>
                <w:bCs/>
              </w:rPr>
              <w:t xml:space="preserve"> voor evaluaties en geschiktheidscontroles</w:t>
            </w:r>
            <w:r w:rsidRPr="00322301">
              <w:rPr>
                <w:rFonts w:cstheme="minorHAnsi"/>
              </w:rPr>
              <w:t xml:space="preserve"> wordt bepaald wat er geëvalueerd moet worden en welke aspecten moeten worden onderzocht. </w:t>
            </w:r>
          </w:p>
        </w:tc>
        <w:tc>
          <w:tcPr>
            <w:tcW w:w="5103" w:type="dxa"/>
          </w:tcPr>
          <w:p w:rsidRPr="00322301" w:rsidR="00322301" w:rsidP="00322301" w:rsidRDefault="00322301">
            <w:pPr>
              <w:numPr>
                <w:ilvl w:val="0"/>
                <w:numId w:val="1"/>
              </w:numPr>
              <w:rPr>
                <w:rFonts w:cstheme="minorHAnsi"/>
              </w:rPr>
            </w:pPr>
            <w:proofErr w:type="gramStart"/>
            <w:r w:rsidRPr="00322301">
              <w:rPr>
                <w:rFonts w:cstheme="minorHAnsi"/>
              </w:rPr>
              <w:t>kabinet</w:t>
            </w:r>
            <w:proofErr w:type="gramEnd"/>
            <w:r w:rsidRPr="00322301">
              <w:rPr>
                <w:rFonts w:cstheme="minorHAnsi"/>
              </w:rPr>
              <w:t xml:space="preserve"> om appreciatie in de vorm van BNC-fiche verzoeken aangezien over deze categorie niet standaard een fiche wordt gemaakt</w:t>
            </w:r>
          </w:p>
          <w:p w:rsidRPr="00322301" w:rsidR="00322301" w:rsidP="00322301" w:rsidRDefault="00322301">
            <w:pPr>
              <w:numPr>
                <w:ilvl w:val="0"/>
                <w:numId w:val="1"/>
              </w:numPr>
              <w:rPr>
                <w:rFonts w:cstheme="minorHAnsi"/>
              </w:rPr>
            </w:pPr>
            <w:r w:rsidRPr="00322301">
              <w:rPr>
                <w:rFonts w:cstheme="minorHAnsi"/>
              </w:rPr>
              <w:t>en/of kabinet vragen om NL inzet (per commissiebrief of tijdens algemeen overleg/debat).</w:t>
            </w:r>
          </w:p>
        </w:tc>
      </w:tr>
      <w:tr w:rsidRPr="00322301" w:rsidR="00322301" w:rsidTr="00501A7F">
        <w:tc>
          <w:tcPr>
            <w:tcW w:w="2093" w:type="dxa"/>
          </w:tcPr>
          <w:p w:rsidRPr="00322301" w:rsidR="00322301" w:rsidP="00322301" w:rsidRDefault="00322301">
            <w:pPr>
              <w:rPr>
                <w:rFonts w:cstheme="minorHAnsi"/>
              </w:rPr>
            </w:pPr>
            <w:r w:rsidRPr="00322301">
              <w:rPr>
                <w:rFonts w:cstheme="minorHAnsi"/>
              </w:rPr>
              <w:t>Groen- en witboek</w:t>
            </w:r>
          </w:p>
        </w:tc>
        <w:tc>
          <w:tcPr>
            <w:tcW w:w="6946" w:type="dxa"/>
          </w:tcPr>
          <w:p w:rsidRPr="00322301" w:rsidR="00322301" w:rsidP="00322301" w:rsidRDefault="00322301">
            <w:pPr>
              <w:rPr>
                <w:rFonts w:cstheme="minorHAnsi"/>
              </w:rPr>
            </w:pPr>
            <w:r w:rsidRPr="00322301">
              <w:rPr>
                <w:rFonts w:cstheme="minorHAnsi"/>
              </w:rPr>
              <w:t xml:space="preserve">Groenboek: een discussiestuk, waarmee de Europese Commissie de stand van zaken inventariseert omtrent een onderwerp. Ook doet ze aanbevelingen voor nieuw beleid. </w:t>
            </w:r>
          </w:p>
          <w:p w:rsidRPr="00322301" w:rsidR="00322301" w:rsidP="00322301" w:rsidRDefault="00322301">
            <w:pPr>
              <w:rPr>
                <w:rFonts w:cstheme="minorHAnsi"/>
              </w:rPr>
            </w:pPr>
          </w:p>
          <w:p w:rsidRPr="00322301" w:rsidR="00322301" w:rsidP="00322301" w:rsidRDefault="00322301">
            <w:pPr>
              <w:rPr>
                <w:rFonts w:cstheme="minorHAnsi"/>
              </w:rPr>
            </w:pPr>
            <w:r w:rsidRPr="00322301">
              <w:rPr>
                <w:rFonts w:cstheme="minorHAnsi"/>
              </w:rPr>
              <w:t>Witboek: hierin zet de Europese Commissie uiteen hoe zij bepaalde doelen wil bereiken. Vaak worden in een witboek al concrete voorstellen uitgewerkt en toegelicht.</w:t>
            </w:r>
          </w:p>
          <w:p w:rsidRPr="00322301" w:rsidR="00322301" w:rsidP="00322301" w:rsidRDefault="00322301">
            <w:pPr>
              <w:rPr>
                <w:rFonts w:cstheme="minorHAnsi"/>
              </w:rPr>
            </w:pPr>
            <w:r w:rsidRPr="00322301">
              <w:rPr>
                <w:rFonts w:cstheme="minorHAnsi"/>
              </w:rPr>
              <w:t xml:space="preserve">De Europese Commissie nodigt overheden, nationale parlementen en andere organisaties uit om binnen een bepaalde termijn op een Groen- of Witboek te reageren. </w:t>
            </w:r>
          </w:p>
        </w:tc>
        <w:tc>
          <w:tcPr>
            <w:tcW w:w="5103" w:type="dxa"/>
          </w:tcPr>
          <w:p w:rsidRPr="00322301" w:rsidR="00322301" w:rsidP="00322301" w:rsidRDefault="00322301">
            <w:pPr>
              <w:numPr>
                <w:ilvl w:val="0"/>
                <w:numId w:val="1"/>
              </w:numPr>
              <w:rPr>
                <w:rFonts w:cstheme="minorHAnsi"/>
              </w:rPr>
            </w:pPr>
            <w:proofErr w:type="gramStart"/>
            <w:r w:rsidRPr="00322301">
              <w:rPr>
                <w:rFonts w:cstheme="minorHAnsi"/>
              </w:rPr>
              <w:t>desgewenst</w:t>
            </w:r>
            <w:proofErr w:type="gramEnd"/>
            <w:r w:rsidRPr="00322301">
              <w:rPr>
                <w:rFonts w:cstheme="minorHAnsi"/>
              </w:rPr>
              <w:t xml:space="preserve"> ambtenaren EC of Europees Commissaris uitnodigen voor een toelichting.</w:t>
            </w:r>
          </w:p>
          <w:p w:rsidRPr="00322301" w:rsidR="00322301" w:rsidP="00322301" w:rsidRDefault="00322301">
            <w:pPr>
              <w:numPr>
                <w:ilvl w:val="0"/>
                <w:numId w:val="1"/>
              </w:numPr>
              <w:rPr>
                <w:rFonts w:cstheme="minorHAnsi"/>
              </w:rPr>
            </w:pPr>
            <w:proofErr w:type="gramStart"/>
            <w:r w:rsidRPr="00322301">
              <w:rPr>
                <w:rFonts w:cstheme="minorHAnsi"/>
              </w:rPr>
              <w:t>in</w:t>
            </w:r>
            <w:proofErr w:type="gramEnd"/>
            <w:r w:rsidRPr="00322301">
              <w:rPr>
                <w:rFonts w:cstheme="minorHAnsi"/>
              </w:rPr>
              <w:t xml:space="preserve"> commissieverband (via schriftelijke inbreng in de vorm van een politieke dialoog) of als lid, burger of via fracties een reactie sturen aan de Europese Commissie.</w:t>
            </w:r>
          </w:p>
          <w:p w:rsidRPr="00322301" w:rsidR="00322301" w:rsidP="00322301" w:rsidRDefault="00322301">
            <w:pPr>
              <w:numPr>
                <w:ilvl w:val="0"/>
                <w:numId w:val="1"/>
              </w:numPr>
              <w:rPr>
                <w:rFonts w:cstheme="minorHAnsi"/>
              </w:rPr>
            </w:pPr>
            <w:proofErr w:type="gramStart"/>
            <w:r w:rsidRPr="00322301">
              <w:rPr>
                <w:rFonts w:cstheme="minorHAnsi"/>
              </w:rPr>
              <w:t>kabinet</w:t>
            </w:r>
            <w:proofErr w:type="gramEnd"/>
            <w:r w:rsidRPr="00322301">
              <w:rPr>
                <w:rFonts w:cstheme="minorHAnsi"/>
              </w:rPr>
              <w:t xml:space="preserve"> stuurt de Kamer het concept van haar reactie op Groen- en Witboeken tenminste dertig dagen voor het verstrijken van de reactietermijn bij de Europese Commissie. Ook de definitieve reactie wordt in afschrift aan de Kamer gezonden. Deze reactie kan in behandeling worden genomen, bv. door te agenderen voor een algemeen overleg/debat.</w:t>
            </w:r>
          </w:p>
        </w:tc>
      </w:tr>
      <w:tr w:rsidRPr="00322301" w:rsidR="00322301" w:rsidTr="00501A7F">
        <w:tc>
          <w:tcPr>
            <w:tcW w:w="2093" w:type="dxa"/>
          </w:tcPr>
          <w:p w:rsidRPr="00322301" w:rsidR="00322301" w:rsidP="00322301" w:rsidRDefault="00322301">
            <w:pPr>
              <w:rPr>
                <w:rFonts w:cstheme="minorHAnsi"/>
              </w:rPr>
            </w:pPr>
            <w:r w:rsidRPr="00322301">
              <w:rPr>
                <w:rFonts w:cstheme="minorHAnsi"/>
              </w:rPr>
              <w:t>Openbare raadpleging (consultatie)</w:t>
            </w:r>
          </w:p>
        </w:tc>
        <w:tc>
          <w:tcPr>
            <w:tcW w:w="6946" w:type="dxa"/>
          </w:tcPr>
          <w:p w:rsidRPr="00322301" w:rsidR="00322301" w:rsidP="00322301" w:rsidRDefault="00322301">
            <w:pPr>
              <w:spacing w:before="100" w:beforeAutospacing="1" w:after="100" w:afterAutospacing="1"/>
              <w:rPr>
                <w:rFonts w:cstheme="minorHAnsi"/>
              </w:rPr>
            </w:pPr>
            <w:r w:rsidRPr="00322301">
              <w:rPr>
                <w:rFonts w:cstheme="minorHAnsi"/>
              </w:rPr>
              <w:t xml:space="preserve">Als de Europese Commissie nieuw beleid ontwikkelt of bestaande wetgeving herziet, organiseert ze meestal een openbare raadpleging of consultatie. Particulieren, bedrijven en organisaties met belangen of expertise op het betrokken gebied kunnen de Commissie helpen om invulling te geven aan haar voorstellen, voordat ze die ter bespreking en goedkeuring naar de Raad en het Europees Parlement stuurt. </w:t>
            </w:r>
            <w:hyperlink w:history="1" r:id="rId14">
              <w:r w:rsidRPr="00322301">
                <w:rPr>
                  <w:rFonts w:cstheme="minorHAnsi"/>
                  <w:color w:val="0000FF"/>
                  <w:u w:val="single"/>
                </w:rPr>
                <w:t>Bekijk alle openbare raadplegingen op "Uw stem in Europa"</w:t>
              </w:r>
            </w:hyperlink>
            <w:r w:rsidRPr="00322301">
              <w:rPr>
                <w:rFonts w:cstheme="minorHAnsi"/>
              </w:rPr>
              <w:t xml:space="preserve"> . </w:t>
            </w:r>
          </w:p>
        </w:tc>
        <w:tc>
          <w:tcPr>
            <w:tcW w:w="5103" w:type="dxa"/>
          </w:tcPr>
          <w:p w:rsidRPr="00322301" w:rsidR="00322301" w:rsidP="00322301" w:rsidRDefault="00322301">
            <w:pPr>
              <w:numPr>
                <w:ilvl w:val="0"/>
                <w:numId w:val="1"/>
              </w:numPr>
              <w:autoSpaceDE w:val="0"/>
              <w:autoSpaceDN w:val="0"/>
              <w:rPr>
                <w:rFonts w:cstheme="minorHAnsi"/>
              </w:rPr>
            </w:pPr>
            <w:proofErr w:type="gramStart"/>
            <w:r w:rsidRPr="00322301">
              <w:rPr>
                <w:rFonts w:cstheme="minorHAnsi"/>
              </w:rPr>
              <w:t>als</w:t>
            </w:r>
            <w:proofErr w:type="gramEnd"/>
            <w:r w:rsidRPr="00322301">
              <w:rPr>
                <w:rFonts w:cstheme="minorHAnsi"/>
              </w:rPr>
              <w:t xml:space="preserve"> burger, lid, fractie of in commissieverband (via schriftelijke inbreng in de vorm van een politieke dialoog). </w:t>
            </w:r>
            <w:proofErr w:type="gramStart"/>
            <w:r w:rsidRPr="00322301">
              <w:rPr>
                <w:rFonts w:cstheme="minorHAnsi"/>
              </w:rPr>
              <w:t>meedoen</w:t>
            </w:r>
            <w:proofErr w:type="gramEnd"/>
            <w:r w:rsidRPr="00322301">
              <w:rPr>
                <w:rFonts w:cstheme="minorHAnsi"/>
              </w:rPr>
              <w:t xml:space="preserve"> aan de openbare raadpleging.</w:t>
            </w:r>
          </w:p>
          <w:p w:rsidRPr="00322301" w:rsidR="00322301" w:rsidP="00322301" w:rsidRDefault="00322301">
            <w:pPr>
              <w:numPr>
                <w:ilvl w:val="0"/>
                <w:numId w:val="1"/>
              </w:numPr>
              <w:autoSpaceDE w:val="0"/>
              <w:autoSpaceDN w:val="0"/>
              <w:rPr>
                <w:rFonts w:cstheme="minorHAnsi"/>
              </w:rPr>
            </w:pPr>
            <w:proofErr w:type="gramStart"/>
            <w:r w:rsidRPr="00322301">
              <w:rPr>
                <w:rFonts w:cstheme="minorHAnsi"/>
              </w:rPr>
              <w:t>kabinet</w:t>
            </w:r>
            <w:proofErr w:type="gramEnd"/>
            <w:r w:rsidRPr="00322301">
              <w:rPr>
                <w:rFonts w:cstheme="minorHAnsi"/>
              </w:rPr>
              <w:t xml:space="preserve"> verzoeken om de concept-kabinetsreactie naar de Kamer te sturen voordat de definitieve versie naar de Europese Commissie wordt gestuurd, teneinde </w:t>
            </w:r>
            <w:r w:rsidRPr="00322301">
              <w:rPr>
                <w:rFonts w:cstheme="minorHAnsi"/>
              </w:rPr>
              <w:lastRenderedPageBreak/>
              <w:t>desgewenst hierover met de bewindspersoon in gesprek te treden.</w:t>
            </w:r>
          </w:p>
          <w:p w:rsidRPr="00322301" w:rsidR="00322301" w:rsidP="00322301" w:rsidRDefault="00322301">
            <w:pPr>
              <w:numPr>
                <w:ilvl w:val="0"/>
                <w:numId w:val="1"/>
              </w:numPr>
              <w:autoSpaceDE w:val="0"/>
              <w:autoSpaceDN w:val="0"/>
              <w:rPr>
                <w:rFonts w:cstheme="minorHAnsi"/>
              </w:rPr>
            </w:pPr>
            <w:r w:rsidRPr="00322301">
              <w:rPr>
                <w:rFonts w:cstheme="minorHAnsi"/>
              </w:rPr>
              <w:t>de Kamer ontvangt krachtens de standaard-informatieafspraken de definitieve kabinetsreactie op alle consultaties van de Europese Commissie waarop het kabinet reageert.</w:t>
            </w:r>
          </w:p>
        </w:tc>
      </w:tr>
      <w:tr w:rsidRPr="00322301" w:rsidR="00322301" w:rsidTr="00501A7F">
        <w:tc>
          <w:tcPr>
            <w:tcW w:w="14142" w:type="dxa"/>
            <w:gridSpan w:val="3"/>
          </w:tcPr>
          <w:p w:rsidRPr="00322301" w:rsidR="00322301" w:rsidP="00322301" w:rsidRDefault="00322301">
            <w:pPr>
              <w:rPr>
                <w:rFonts w:cstheme="minorHAnsi"/>
                <w:i/>
              </w:rPr>
            </w:pPr>
            <w:r w:rsidRPr="00322301">
              <w:rPr>
                <w:rFonts w:cstheme="minorHAnsi"/>
                <w:i/>
              </w:rPr>
              <w:lastRenderedPageBreak/>
              <w:t>Uitgelicht: twee specifieke parlementaire instrumenten bij nieuw gepubliceerde EU-voorstellen</w:t>
            </w:r>
          </w:p>
        </w:tc>
      </w:tr>
      <w:tr w:rsidRPr="00322301" w:rsidR="00322301" w:rsidTr="00501A7F">
        <w:tc>
          <w:tcPr>
            <w:tcW w:w="2093" w:type="dxa"/>
          </w:tcPr>
          <w:p w:rsidRPr="00322301" w:rsidR="00322301" w:rsidP="00322301" w:rsidRDefault="00322301">
            <w:pPr>
              <w:rPr>
                <w:rFonts w:cstheme="minorHAnsi"/>
              </w:rPr>
            </w:pPr>
            <w:r w:rsidRPr="00322301">
              <w:rPr>
                <w:rFonts w:cstheme="minorHAnsi"/>
              </w:rPr>
              <w:t xml:space="preserve">Subsidiariteitstoets </w:t>
            </w:r>
          </w:p>
          <w:p w:rsidRPr="00322301" w:rsidR="00322301" w:rsidP="00322301" w:rsidRDefault="00322301">
            <w:pPr>
              <w:rPr>
                <w:rFonts w:cstheme="minorHAnsi"/>
              </w:rPr>
            </w:pPr>
            <w:r w:rsidRPr="00322301">
              <w:rPr>
                <w:rFonts w:cstheme="minorHAnsi"/>
              </w:rPr>
              <w:t>(richting EU)</w:t>
            </w:r>
          </w:p>
        </w:tc>
        <w:tc>
          <w:tcPr>
            <w:tcW w:w="6946" w:type="dxa"/>
          </w:tcPr>
          <w:p w:rsidRPr="00322301" w:rsidR="00322301" w:rsidP="00322301" w:rsidRDefault="00322301">
            <w:pPr>
              <w:rPr>
                <w:rFonts w:cstheme="minorHAnsi"/>
              </w:rPr>
            </w:pPr>
            <w:r w:rsidRPr="00322301">
              <w:rPr>
                <w:rFonts w:cstheme="minorHAnsi"/>
              </w:rPr>
              <w:t xml:space="preserve">Bij een subsidiariteitstoets toetst een nationale (Kamer van een) Parlement of de EU bevoegd is om hier actie op te nemen, of dat beleid/wetgeving beter op lokaal, regionaal of nationaal niveau kan worden gemaakt. Bij een negatief oordeel wordt een brief met daarin de subsidiariteitsbezwaren (een zogenaamd ‘gemotiveerd advies’) aan de Europese Commissie verzonden. De nationale parlementen kunnen binnen acht weken bezwaar maken uit een oogpunt van subsidiariteit. Een zgn. “gele kaart” is voor de Commissie geldig als 1/3 van de nationale parlementen een voorstel in strijd acht met het subsidiariteitsbeginsel. De Europese Commissie moet dan haar voorstel heroverwegen. In totaal zijn er 28 Parlementen met 41 Kamers in de EU. </w:t>
            </w:r>
            <w:r w:rsidRPr="00322301">
              <w:rPr>
                <w:rFonts w:cstheme="minorHAnsi"/>
                <w:color w:val="000000" w:themeColor="text1"/>
              </w:rPr>
              <w:t xml:space="preserve">Elk parlement krijgt 2 stemmen, maar bij een </w:t>
            </w:r>
            <w:proofErr w:type="spellStart"/>
            <w:r w:rsidRPr="00322301">
              <w:rPr>
                <w:rFonts w:cstheme="minorHAnsi"/>
                <w:color w:val="000000" w:themeColor="text1"/>
              </w:rPr>
              <w:t>bicameraal</w:t>
            </w:r>
            <w:proofErr w:type="spellEnd"/>
            <w:r w:rsidRPr="00322301">
              <w:rPr>
                <w:rFonts w:cstheme="minorHAnsi"/>
                <w:color w:val="000000" w:themeColor="text1"/>
              </w:rPr>
              <w:t xml:space="preserve"> stelsel, zoals in Nederland, krijgt elke kamer 1 stem</w:t>
            </w:r>
            <w:r w:rsidRPr="00322301">
              <w:rPr>
                <w:rFonts w:cstheme="minorHAnsi"/>
              </w:rPr>
              <w:t>.</w:t>
            </w:r>
            <w:r w:rsidRPr="00322301">
              <w:rPr>
                <w:rFonts w:cstheme="minorHAnsi"/>
                <w:color w:val="000000" w:themeColor="text1"/>
              </w:rPr>
              <w:t xml:space="preserve"> Om een gele kaart te trekken moeten er 19 stemmen worden gehaald.</w:t>
            </w:r>
          </w:p>
        </w:tc>
        <w:tc>
          <w:tcPr>
            <w:tcW w:w="5103" w:type="dxa"/>
          </w:tcPr>
          <w:p w:rsidRPr="00322301" w:rsidR="00322301" w:rsidP="00322301" w:rsidRDefault="00322301">
            <w:pPr>
              <w:numPr>
                <w:ilvl w:val="0"/>
                <w:numId w:val="1"/>
              </w:numPr>
              <w:rPr>
                <w:rFonts w:cstheme="minorHAnsi"/>
              </w:rPr>
            </w:pPr>
            <w:proofErr w:type="gramStart"/>
            <w:r w:rsidRPr="00322301">
              <w:rPr>
                <w:rFonts w:cstheme="minorHAnsi"/>
              </w:rPr>
              <w:t>bij</w:t>
            </w:r>
            <w:proofErr w:type="gramEnd"/>
            <w:r w:rsidRPr="00322301">
              <w:rPr>
                <w:rFonts w:cstheme="minorHAnsi"/>
              </w:rPr>
              <w:t xml:space="preserve"> wetgevende EU-voorstellen kan een Kamercommissie besluiten tot het uitvoeren van een subsidiariteitstoets. Let op: dit moet binnen acht weken na het uitkomen van alle taalversies van het voorstel.</w:t>
            </w:r>
          </w:p>
          <w:p w:rsidRPr="00322301" w:rsidR="00322301" w:rsidP="00322301" w:rsidRDefault="00322301">
            <w:pPr>
              <w:numPr>
                <w:ilvl w:val="0"/>
                <w:numId w:val="1"/>
              </w:numPr>
              <w:rPr>
                <w:rFonts w:cstheme="minorHAnsi"/>
              </w:rPr>
            </w:pPr>
            <w:proofErr w:type="gramStart"/>
            <w:r w:rsidRPr="00322301">
              <w:rPr>
                <w:rFonts w:cstheme="minorHAnsi"/>
              </w:rPr>
              <w:t>kabinetsappreciatie</w:t>
            </w:r>
            <w:proofErr w:type="gramEnd"/>
            <w:r w:rsidRPr="00322301">
              <w:rPr>
                <w:rFonts w:cstheme="minorHAnsi"/>
              </w:rPr>
              <w:t xml:space="preserve"> (‘BNC-fiche’) komt voor aangekondigde subsidiariteitstoetsen binnen drie weken t.b.v. een snelle behandeling.</w:t>
            </w:r>
          </w:p>
          <w:p w:rsidRPr="00322301" w:rsidR="00322301" w:rsidP="00322301" w:rsidRDefault="00322301">
            <w:pPr>
              <w:numPr>
                <w:ilvl w:val="0"/>
                <w:numId w:val="1"/>
              </w:numPr>
              <w:rPr>
                <w:rFonts w:cstheme="minorHAnsi"/>
              </w:rPr>
            </w:pPr>
            <w:proofErr w:type="gramStart"/>
            <w:r w:rsidRPr="00322301">
              <w:rPr>
                <w:rFonts w:cstheme="minorHAnsi"/>
              </w:rPr>
              <w:t>met</w:t>
            </w:r>
            <w:proofErr w:type="gramEnd"/>
            <w:r w:rsidRPr="00322301">
              <w:rPr>
                <w:rFonts w:cstheme="minorHAnsi"/>
              </w:rPr>
              <w:t xml:space="preserve"> andere parlementen in overleg treden t.b.v. behalen meerderheid voor ’gele kaart’ (1/3 stemmen) via parlementaire vertegenwoordiging en/of fractielijnen. </w:t>
            </w:r>
          </w:p>
        </w:tc>
      </w:tr>
      <w:tr w:rsidRPr="00322301" w:rsidR="00322301" w:rsidTr="00501A7F">
        <w:tc>
          <w:tcPr>
            <w:tcW w:w="2093" w:type="dxa"/>
          </w:tcPr>
          <w:p w:rsidRPr="00322301" w:rsidR="00322301" w:rsidP="00322301" w:rsidRDefault="00322301">
            <w:pPr>
              <w:rPr>
                <w:rFonts w:cstheme="minorHAnsi"/>
              </w:rPr>
            </w:pPr>
            <w:r w:rsidRPr="00322301">
              <w:rPr>
                <w:rFonts w:cstheme="minorHAnsi"/>
              </w:rPr>
              <w:t>Behandel-voorbehoud (richting regering)</w:t>
            </w:r>
          </w:p>
        </w:tc>
        <w:tc>
          <w:tcPr>
            <w:tcW w:w="6946" w:type="dxa"/>
          </w:tcPr>
          <w:p w:rsidRPr="00322301" w:rsidR="00322301" w:rsidP="00322301" w:rsidRDefault="00322301">
            <w:pPr>
              <w:ind w:left="34"/>
              <w:rPr>
                <w:rFonts w:cstheme="minorHAnsi"/>
              </w:rPr>
            </w:pPr>
            <w:r w:rsidRPr="00322301">
              <w:rPr>
                <w:rFonts w:cstheme="minorHAnsi"/>
              </w:rPr>
              <w:t xml:space="preserve">Zodra de Europese Commissie een wetgevend voorstel heeft gepresenteerd, kan de Kamer binnen 8 weken besluiten dat zij het voorstel van dusdanig politiek belang acht, dat de Kamer door de regering op bijzondere wijze geïnformeerd wil blijven worden over de </w:t>
            </w:r>
            <w:proofErr w:type="gramStart"/>
            <w:r w:rsidRPr="00322301">
              <w:rPr>
                <w:rFonts w:cstheme="minorHAnsi"/>
              </w:rPr>
              <w:t>EU onderhandelingen</w:t>
            </w:r>
            <w:proofErr w:type="gramEnd"/>
            <w:r w:rsidRPr="00322301">
              <w:rPr>
                <w:rFonts w:cstheme="minorHAnsi"/>
              </w:rPr>
              <w:t xml:space="preserve">. De Kamer stelt het kabinet hiervan schriftelijk op de hoogte. Binnen vier weken na dit besluit vindt er een overleg plaats met het kabinet - tot aan dit overleg wordt het kabinet geacht op de onderhandelingen inzake dit dossier in de EU geen onomkeerbare beslissingen te nemen. Tijdens dit overleg worden afspraken gemaakt over de informatieverstrekking door het kabinet aan de Kamer, over het verloop van de onderhandelingen en over een eventueel vervolgoverleg. Deze afspraken worden in een brief aan het kabinet vastgelegd. Zodra het nadere overleg heeft plaatsgevonden, wordt het behandelvoorbehoud opgeheven. </w:t>
            </w:r>
          </w:p>
        </w:tc>
        <w:tc>
          <w:tcPr>
            <w:tcW w:w="5103" w:type="dxa"/>
          </w:tcPr>
          <w:p w:rsidRPr="00322301" w:rsidR="00322301" w:rsidP="00322301" w:rsidRDefault="00322301">
            <w:pPr>
              <w:numPr>
                <w:ilvl w:val="0"/>
                <w:numId w:val="1"/>
              </w:numPr>
              <w:rPr>
                <w:rFonts w:cstheme="minorHAnsi"/>
              </w:rPr>
            </w:pPr>
            <w:proofErr w:type="gramStart"/>
            <w:r w:rsidRPr="00322301">
              <w:rPr>
                <w:rFonts w:cstheme="minorHAnsi"/>
              </w:rPr>
              <w:t>bij</w:t>
            </w:r>
            <w:proofErr w:type="gramEnd"/>
            <w:r w:rsidRPr="00322301">
              <w:rPr>
                <w:rFonts w:cstheme="minorHAnsi"/>
              </w:rPr>
              <w:t xml:space="preserve"> wetgevende EU-voorstellen kan een commissie besluiten tot het uitvoeren van een zgn. ‘behandelvoorbehoud’. Over deze brief moet plenair gestemd worden (let op de termijnen).</w:t>
            </w:r>
          </w:p>
          <w:p w:rsidRPr="00322301" w:rsidR="00322301" w:rsidP="00322301" w:rsidRDefault="00322301">
            <w:pPr>
              <w:numPr>
                <w:ilvl w:val="0"/>
                <w:numId w:val="1"/>
              </w:numPr>
              <w:rPr>
                <w:rFonts w:cstheme="minorHAnsi"/>
              </w:rPr>
            </w:pPr>
            <w:proofErr w:type="gramStart"/>
            <w:r w:rsidRPr="00322301">
              <w:rPr>
                <w:rFonts w:cstheme="minorHAnsi"/>
              </w:rPr>
              <w:t>tijdens</w:t>
            </w:r>
            <w:proofErr w:type="gramEnd"/>
            <w:r w:rsidRPr="00322301">
              <w:rPr>
                <w:rFonts w:cstheme="minorHAnsi"/>
              </w:rPr>
              <w:t xml:space="preserve"> een speciaal overleg kan de commissie afspraken maken over informatieverstrekking (bv. in kwartaalrapportages) zolang het desbetreffende dossier in onderhandeling is.</w:t>
            </w:r>
          </w:p>
          <w:p w:rsidRPr="00322301" w:rsidR="00322301" w:rsidP="00322301" w:rsidRDefault="00322301">
            <w:pPr>
              <w:numPr>
                <w:ilvl w:val="0"/>
                <w:numId w:val="1"/>
              </w:numPr>
              <w:rPr>
                <w:rFonts w:cstheme="minorHAnsi"/>
              </w:rPr>
            </w:pPr>
            <w:proofErr w:type="gramStart"/>
            <w:r w:rsidRPr="00322301">
              <w:rPr>
                <w:rFonts w:cstheme="minorHAnsi"/>
              </w:rPr>
              <w:t>kabinetsappreciatie</w:t>
            </w:r>
            <w:proofErr w:type="gramEnd"/>
            <w:r w:rsidRPr="00322301">
              <w:rPr>
                <w:rFonts w:cstheme="minorHAnsi"/>
              </w:rPr>
              <w:t xml:space="preserve"> (‘BNC-fiche’) komt voor aangekondigde </w:t>
            </w:r>
            <w:proofErr w:type="spellStart"/>
            <w:r w:rsidRPr="00322301">
              <w:rPr>
                <w:rFonts w:cstheme="minorHAnsi"/>
              </w:rPr>
              <w:t>behandelvoorbehouden</w:t>
            </w:r>
            <w:proofErr w:type="spellEnd"/>
            <w:r w:rsidRPr="00322301">
              <w:rPr>
                <w:rFonts w:cstheme="minorHAnsi"/>
              </w:rPr>
              <w:t xml:space="preserve"> binnen drie weken t.b.v. een snelle behandeling.</w:t>
            </w:r>
          </w:p>
          <w:p w:rsidRPr="00322301" w:rsidR="00322301" w:rsidP="00322301" w:rsidRDefault="00322301">
            <w:pPr>
              <w:rPr>
                <w:rFonts w:cstheme="minorHAnsi"/>
              </w:rPr>
            </w:pPr>
          </w:p>
        </w:tc>
      </w:tr>
    </w:tbl>
    <w:p w:rsidR="003D5E74" w:rsidRDefault="001141A7"/>
    <w:sectPr w:rsidR="003D5E74" w:rsidSect="003A651B">
      <w:pgSz w:w="16838" w:h="11906" w:orient="landscape"/>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45BA" w:rsidRDefault="00F545BA" w:rsidP="00322301">
      <w:pPr>
        <w:spacing w:after="0" w:line="240" w:lineRule="auto"/>
      </w:pPr>
      <w:r>
        <w:separator/>
      </w:r>
    </w:p>
  </w:endnote>
  <w:endnote w:type="continuationSeparator" w:id="0">
    <w:p w:rsidR="00F545BA" w:rsidRDefault="00F545BA" w:rsidP="003223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45BA" w:rsidRDefault="00F545BA" w:rsidP="00322301">
      <w:pPr>
        <w:spacing w:after="0" w:line="240" w:lineRule="auto"/>
      </w:pPr>
      <w:r>
        <w:separator/>
      </w:r>
    </w:p>
  </w:footnote>
  <w:footnote w:type="continuationSeparator" w:id="0">
    <w:p w:rsidR="00F545BA" w:rsidRDefault="00F545BA" w:rsidP="00322301">
      <w:pPr>
        <w:spacing w:after="0" w:line="240" w:lineRule="auto"/>
      </w:pPr>
      <w:r>
        <w:continuationSeparator/>
      </w:r>
    </w:p>
  </w:footnote>
  <w:footnote w:id="1">
    <w:p w:rsidR="00322301" w:rsidRPr="00B45904" w:rsidRDefault="00322301" w:rsidP="00322301">
      <w:pPr>
        <w:pStyle w:val="Voetnoottekst"/>
        <w:rPr>
          <w:rFonts w:ascii="Verdana" w:hAnsi="Verdana"/>
          <w:sz w:val="16"/>
          <w:szCs w:val="16"/>
        </w:rPr>
      </w:pPr>
      <w:r w:rsidRPr="00B45904">
        <w:rPr>
          <w:rStyle w:val="Voetnootmarkering"/>
          <w:rFonts w:ascii="Verdana" w:hAnsi="Verdana"/>
          <w:sz w:val="16"/>
          <w:szCs w:val="16"/>
        </w:rPr>
        <w:footnoteRef/>
      </w:r>
      <w:r w:rsidRPr="00B45904">
        <w:rPr>
          <w:rFonts w:ascii="Verdana" w:hAnsi="Verdana"/>
          <w:sz w:val="16"/>
          <w:szCs w:val="16"/>
        </w:rPr>
        <w:t xml:space="preserve"> </w:t>
      </w:r>
      <w:r w:rsidRPr="00B45904">
        <w:rPr>
          <w:rFonts w:ascii="Verdana" w:hAnsi="Verdana"/>
          <w:sz w:val="16"/>
          <w:szCs w:val="16"/>
        </w:rPr>
        <w:tab/>
        <w:t>Krachtens de standaard EU informatieafspraken</w:t>
      </w:r>
      <w:r>
        <w:rPr>
          <w:rFonts w:ascii="Verdana" w:hAnsi="Verdana"/>
          <w:sz w:val="16"/>
          <w:szCs w:val="16"/>
        </w:rPr>
        <w:t xml:space="preserve"> </w:t>
      </w:r>
      <w:r w:rsidRPr="00B45904">
        <w:rPr>
          <w:rFonts w:ascii="Verdana" w:hAnsi="Verdana"/>
          <w:sz w:val="16"/>
          <w:szCs w:val="16"/>
        </w:rPr>
        <w:t xml:space="preserve">(Parlis </w:t>
      </w:r>
      <w:hyperlink r:id="rId1" w:tgtFrame="_blank" w:history="1">
        <w:r w:rsidRPr="00B45904">
          <w:rPr>
            <w:rStyle w:val="Hyperlink"/>
            <w:rFonts w:ascii="Verdana" w:hAnsi="Verdana"/>
            <w:sz w:val="16"/>
            <w:szCs w:val="16"/>
          </w:rPr>
          <w:t>22112-1985</w:t>
        </w:r>
      </w:hyperlink>
      <w:r w:rsidRPr="00B45904">
        <w:rPr>
          <w:rStyle w:val="Hyperlink"/>
          <w:rFonts w:ascii="Verdana" w:hAnsi="Verdana"/>
          <w:sz w:val="16"/>
          <w:szCs w:val="16"/>
        </w:rPr>
        <w:t>)</w:t>
      </w:r>
      <w:r>
        <w:rPr>
          <w:rFonts w:ascii="Verdana" w:hAnsi="Verdana"/>
          <w:sz w:val="16"/>
          <w:szCs w:val="16"/>
        </w:rPr>
        <w:t xml:space="preserve"> </w:t>
      </w:r>
      <w:r w:rsidRPr="00B45904">
        <w:rPr>
          <w:rFonts w:ascii="Verdana" w:hAnsi="Verdana"/>
          <w:sz w:val="16"/>
          <w:szCs w:val="16"/>
        </w:rPr>
        <w:t xml:space="preserve">ontvangt de Kamer over alle nieuwe wetgevende en niet-wetgevende EU voorstellen een kabinetsappreciatie in de vorm van een zgn. “BNC fiche” (‘Beoordeling nieuwe commissievoorstellen). </w:t>
      </w:r>
      <w:proofErr w:type="gramStart"/>
      <w:r w:rsidRPr="00B45904">
        <w:rPr>
          <w:rFonts w:ascii="Verdana" w:hAnsi="Verdana"/>
          <w:sz w:val="16"/>
          <w:szCs w:val="16"/>
        </w:rPr>
        <w:t>met</w:t>
      </w:r>
      <w:proofErr w:type="gramEnd"/>
      <w:r w:rsidRPr="00B45904">
        <w:rPr>
          <w:rFonts w:ascii="Verdana" w:hAnsi="Verdana"/>
          <w:sz w:val="16"/>
          <w:szCs w:val="16"/>
        </w:rPr>
        <w:t xml:space="preserve"> daarin onder andere rechtsbasis, subsidiariteits- en proportionaliteitsoordeel, alsook het krachtenveld in Europa.</w:t>
      </w:r>
      <w:r>
        <w:rPr>
          <w:rFonts w:ascii="Verdana" w:hAnsi="Verdana"/>
          <w:sz w:val="16"/>
          <w:szCs w:val="16"/>
        </w:rPr>
        <w:t xml:space="preserve"> </w:t>
      </w:r>
      <w:r w:rsidRPr="00B45904">
        <w:rPr>
          <w:rFonts w:ascii="Verdana" w:hAnsi="Verdana"/>
          <w:sz w:val="16"/>
          <w:szCs w:val="16"/>
        </w:rPr>
        <w:t>De Kamer ontvangt elk fiche binnen zes weken, of binnen drie weken als in de prioriteitenlijst reeds een subsidiariteitstoets of behandelvoorbehoud is voorzien.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FC01BC"/>
    <w:multiLevelType w:val="hybridMultilevel"/>
    <w:tmpl w:val="89B6AF94"/>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320535FE"/>
    <w:multiLevelType w:val="hybridMultilevel"/>
    <w:tmpl w:val="0AF01B32"/>
    <w:lvl w:ilvl="0" w:tplc="B6F2ECEC">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8D919C5"/>
    <w:multiLevelType w:val="hybridMultilevel"/>
    <w:tmpl w:val="A802E5B0"/>
    <w:lvl w:ilvl="0" w:tplc="B6F2ECEC">
      <w:numFmt w:val="bullet"/>
      <w:lvlText w:val="-"/>
      <w:lvlJc w:val="left"/>
      <w:pPr>
        <w:ind w:left="360" w:hanging="360"/>
      </w:pPr>
      <w:rPr>
        <w:rFonts w:ascii="Calibri" w:eastAsia="Times New Roman" w:hAnsi="Calibri"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301"/>
    <w:rsid w:val="000146C6"/>
    <w:rsid w:val="00020F4E"/>
    <w:rsid w:val="0003352B"/>
    <w:rsid w:val="00051CB0"/>
    <w:rsid w:val="000B2639"/>
    <w:rsid w:val="000E62B8"/>
    <w:rsid w:val="000F72A3"/>
    <w:rsid w:val="000F7621"/>
    <w:rsid w:val="00104B2A"/>
    <w:rsid w:val="00111A39"/>
    <w:rsid w:val="001141A7"/>
    <w:rsid w:val="001A305F"/>
    <w:rsid w:val="001C4EB7"/>
    <w:rsid w:val="001E4363"/>
    <w:rsid w:val="001E4F43"/>
    <w:rsid w:val="001F395D"/>
    <w:rsid w:val="002B4980"/>
    <w:rsid w:val="00322301"/>
    <w:rsid w:val="003461BC"/>
    <w:rsid w:val="00373E28"/>
    <w:rsid w:val="003F2A67"/>
    <w:rsid w:val="00460601"/>
    <w:rsid w:val="0046326C"/>
    <w:rsid w:val="00472DDD"/>
    <w:rsid w:val="00506E11"/>
    <w:rsid w:val="0058776F"/>
    <w:rsid w:val="00591962"/>
    <w:rsid w:val="005B2077"/>
    <w:rsid w:val="005B2D4B"/>
    <w:rsid w:val="00613731"/>
    <w:rsid w:val="00690A79"/>
    <w:rsid w:val="006B13E2"/>
    <w:rsid w:val="0070127E"/>
    <w:rsid w:val="0070264D"/>
    <w:rsid w:val="00722340"/>
    <w:rsid w:val="0074646B"/>
    <w:rsid w:val="007511C0"/>
    <w:rsid w:val="00775EE0"/>
    <w:rsid w:val="007C04B8"/>
    <w:rsid w:val="007D7A2F"/>
    <w:rsid w:val="008110E3"/>
    <w:rsid w:val="008202CA"/>
    <w:rsid w:val="0082402A"/>
    <w:rsid w:val="008249FF"/>
    <w:rsid w:val="008A4008"/>
    <w:rsid w:val="008E3675"/>
    <w:rsid w:val="0090098F"/>
    <w:rsid w:val="00901510"/>
    <w:rsid w:val="00901B17"/>
    <w:rsid w:val="00923F84"/>
    <w:rsid w:val="00953B62"/>
    <w:rsid w:val="0097279D"/>
    <w:rsid w:val="009A63E5"/>
    <w:rsid w:val="009C0B8A"/>
    <w:rsid w:val="009D6988"/>
    <w:rsid w:val="009E1753"/>
    <w:rsid w:val="00A26DF5"/>
    <w:rsid w:val="00A557AA"/>
    <w:rsid w:val="00A874AD"/>
    <w:rsid w:val="00AB391E"/>
    <w:rsid w:val="00AD0BF8"/>
    <w:rsid w:val="00AE1BC1"/>
    <w:rsid w:val="00B3300A"/>
    <w:rsid w:val="00B34F35"/>
    <w:rsid w:val="00BB7631"/>
    <w:rsid w:val="00C03DF6"/>
    <w:rsid w:val="00C57BEE"/>
    <w:rsid w:val="00C63D42"/>
    <w:rsid w:val="00CE0FFD"/>
    <w:rsid w:val="00CF4F4B"/>
    <w:rsid w:val="00D0211F"/>
    <w:rsid w:val="00D246BD"/>
    <w:rsid w:val="00D24B00"/>
    <w:rsid w:val="00DA03FC"/>
    <w:rsid w:val="00E363FF"/>
    <w:rsid w:val="00E41016"/>
    <w:rsid w:val="00E8669D"/>
    <w:rsid w:val="00E919FB"/>
    <w:rsid w:val="00EA1142"/>
    <w:rsid w:val="00ED2F76"/>
    <w:rsid w:val="00F131AA"/>
    <w:rsid w:val="00F426AC"/>
    <w:rsid w:val="00F545BA"/>
    <w:rsid w:val="00F65B78"/>
    <w:rsid w:val="00FA654D"/>
    <w:rsid w:val="00FB744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5FF23"/>
  <w15:chartTrackingRefBased/>
  <w15:docId w15:val="{65E893BC-C95C-4D03-8AE7-0AE6EAD47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322301"/>
    <w:rPr>
      <w:color w:val="0000FF"/>
      <w:u w:val="single"/>
    </w:rPr>
  </w:style>
  <w:style w:type="paragraph" w:styleId="Voetnoottekst">
    <w:name w:val="footnote text"/>
    <w:basedOn w:val="Standaard"/>
    <w:link w:val="VoetnoottekstChar"/>
    <w:rsid w:val="00322301"/>
    <w:pPr>
      <w:spacing w:after="0" w:line="240" w:lineRule="auto"/>
    </w:pPr>
    <w:rPr>
      <w:rFonts w:ascii="Times New Roman" w:eastAsia="Times New Roman" w:hAnsi="Times New Roman" w:cs="Times New Roman"/>
      <w:sz w:val="20"/>
      <w:szCs w:val="20"/>
      <w:lang w:eastAsia="nl-NL"/>
    </w:rPr>
  </w:style>
  <w:style w:type="character" w:customStyle="1" w:styleId="VoetnoottekstChar">
    <w:name w:val="Voetnoottekst Char"/>
    <w:basedOn w:val="Standaardalinea-lettertype"/>
    <w:link w:val="Voetnoottekst"/>
    <w:rsid w:val="00322301"/>
    <w:rPr>
      <w:rFonts w:ascii="Times New Roman" w:eastAsia="Times New Roman" w:hAnsi="Times New Roman" w:cs="Times New Roman"/>
      <w:sz w:val="20"/>
      <w:szCs w:val="20"/>
      <w:lang w:eastAsia="nl-NL"/>
    </w:rPr>
  </w:style>
  <w:style w:type="table" w:styleId="Tabelraster">
    <w:name w:val="Table Grid"/>
    <w:basedOn w:val="Standaardtabel"/>
    <w:rsid w:val="00322301"/>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basedOn w:val="Standaardalinea-lettertype"/>
    <w:uiPriority w:val="99"/>
    <w:rsid w:val="00322301"/>
    <w:rPr>
      <w:vertAlign w:val="superscript"/>
    </w:rPr>
  </w:style>
  <w:style w:type="character" w:styleId="GevolgdeHyperlink">
    <w:name w:val="FollowedHyperlink"/>
    <w:basedOn w:val="Standaardalinea-lettertype"/>
    <w:uiPriority w:val="99"/>
    <w:semiHidden/>
    <w:unhideWhenUsed/>
    <w:rsid w:val="000F7621"/>
    <w:rPr>
      <w:color w:val="954F72" w:themeColor="followedHyperlink"/>
      <w:u w:val="single"/>
    </w:rPr>
  </w:style>
  <w:style w:type="character" w:styleId="Verwijzingopmerking">
    <w:name w:val="annotation reference"/>
    <w:basedOn w:val="Standaardalinea-lettertype"/>
    <w:uiPriority w:val="99"/>
    <w:semiHidden/>
    <w:unhideWhenUsed/>
    <w:rsid w:val="000B2639"/>
    <w:rPr>
      <w:sz w:val="16"/>
      <w:szCs w:val="16"/>
    </w:rPr>
  </w:style>
  <w:style w:type="paragraph" w:styleId="Tekstopmerking">
    <w:name w:val="annotation text"/>
    <w:basedOn w:val="Standaard"/>
    <w:link w:val="TekstopmerkingChar"/>
    <w:uiPriority w:val="99"/>
    <w:semiHidden/>
    <w:unhideWhenUsed/>
    <w:rsid w:val="000B2639"/>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0B2639"/>
    <w:rPr>
      <w:sz w:val="20"/>
      <w:szCs w:val="20"/>
    </w:rPr>
  </w:style>
  <w:style w:type="paragraph" w:styleId="Onderwerpvanopmerking">
    <w:name w:val="annotation subject"/>
    <w:basedOn w:val="Tekstopmerking"/>
    <w:next w:val="Tekstopmerking"/>
    <w:link w:val="OnderwerpvanopmerkingChar"/>
    <w:uiPriority w:val="99"/>
    <w:semiHidden/>
    <w:unhideWhenUsed/>
    <w:rsid w:val="000B2639"/>
    <w:rPr>
      <w:b/>
      <w:bCs/>
    </w:rPr>
  </w:style>
  <w:style w:type="character" w:customStyle="1" w:styleId="OnderwerpvanopmerkingChar">
    <w:name w:val="Onderwerp van opmerking Char"/>
    <w:basedOn w:val="TekstopmerkingChar"/>
    <w:link w:val="Onderwerpvanopmerking"/>
    <w:uiPriority w:val="99"/>
    <w:semiHidden/>
    <w:rsid w:val="000B2639"/>
    <w:rPr>
      <w:b/>
      <w:bCs/>
      <w:sz w:val="20"/>
      <w:szCs w:val="20"/>
    </w:rPr>
  </w:style>
  <w:style w:type="paragraph" w:styleId="Ballontekst">
    <w:name w:val="Balloon Text"/>
    <w:basedOn w:val="Standaard"/>
    <w:link w:val="BallontekstChar"/>
    <w:uiPriority w:val="99"/>
    <w:semiHidden/>
    <w:unhideWhenUsed/>
    <w:rsid w:val="000B2639"/>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0B263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330341">
      <w:bodyDiv w:val="1"/>
      <w:marLeft w:val="0"/>
      <w:marRight w:val="0"/>
      <w:marTop w:val="0"/>
      <w:marBottom w:val="0"/>
      <w:divBdr>
        <w:top w:val="none" w:sz="0" w:space="0" w:color="auto"/>
        <w:left w:val="none" w:sz="0" w:space="0" w:color="auto"/>
        <w:bottom w:val="none" w:sz="0" w:space="0" w:color="auto"/>
        <w:right w:val="none" w:sz="0" w:space="0" w:color="auto"/>
      </w:divBdr>
    </w:div>
    <w:div w:id="101726676">
      <w:bodyDiv w:val="1"/>
      <w:marLeft w:val="0"/>
      <w:marRight w:val="0"/>
      <w:marTop w:val="0"/>
      <w:marBottom w:val="0"/>
      <w:divBdr>
        <w:top w:val="none" w:sz="0" w:space="0" w:color="auto"/>
        <w:left w:val="none" w:sz="0" w:space="0" w:color="auto"/>
        <w:bottom w:val="none" w:sz="0" w:space="0" w:color="auto"/>
        <w:right w:val="none" w:sz="0" w:space="0" w:color="auto"/>
      </w:divBdr>
    </w:div>
    <w:div w:id="141391896">
      <w:bodyDiv w:val="1"/>
      <w:marLeft w:val="0"/>
      <w:marRight w:val="0"/>
      <w:marTop w:val="0"/>
      <w:marBottom w:val="0"/>
      <w:divBdr>
        <w:top w:val="none" w:sz="0" w:space="0" w:color="auto"/>
        <w:left w:val="none" w:sz="0" w:space="0" w:color="auto"/>
        <w:bottom w:val="none" w:sz="0" w:space="0" w:color="auto"/>
        <w:right w:val="none" w:sz="0" w:space="0" w:color="auto"/>
      </w:divBdr>
    </w:div>
    <w:div w:id="178008291">
      <w:bodyDiv w:val="1"/>
      <w:marLeft w:val="0"/>
      <w:marRight w:val="0"/>
      <w:marTop w:val="0"/>
      <w:marBottom w:val="0"/>
      <w:divBdr>
        <w:top w:val="none" w:sz="0" w:space="0" w:color="auto"/>
        <w:left w:val="none" w:sz="0" w:space="0" w:color="auto"/>
        <w:bottom w:val="none" w:sz="0" w:space="0" w:color="auto"/>
        <w:right w:val="none" w:sz="0" w:space="0" w:color="auto"/>
      </w:divBdr>
    </w:div>
    <w:div w:id="215943901">
      <w:bodyDiv w:val="1"/>
      <w:marLeft w:val="0"/>
      <w:marRight w:val="0"/>
      <w:marTop w:val="0"/>
      <w:marBottom w:val="0"/>
      <w:divBdr>
        <w:top w:val="none" w:sz="0" w:space="0" w:color="auto"/>
        <w:left w:val="none" w:sz="0" w:space="0" w:color="auto"/>
        <w:bottom w:val="none" w:sz="0" w:space="0" w:color="auto"/>
        <w:right w:val="none" w:sz="0" w:space="0" w:color="auto"/>
      </w:divBdr>
    </w:div>
    <w:div w:id="263615701">
      <w:bodyDiv w:val="1"/>
      <w:marLeft w:val="0"/>
      <w:marRight w:val="0"/>
      <w:marTop w:val="0"/>
      <w:marBottom w:val="0"/>
      <w:divBdr>
        <w:top w:val="none" w:sz="0" w:space="0" w:color="auto"/>
        <w:left w:val="none" w:sz="0" w:space="0" w:color="auto"/>
        <w:bottom w:val="none" w:sz="0" w:space="0" w:color="auto"/>
        <w:right w:val="none" w:sz="0" w:space="0" w:color="auto"/>
      </w:divBdr>
    </w:div>
    <w:div w:id="393968868">
      <w:bodyDiv w:val="1"/>
      <w:marLeft w:val="0"/>
      <w:marRight w:val="0"/>
      <w:marTop w:val="0"/>
      <w:marBottom w:val="0"/>
      <w:divBdr>
        <w:top w:val="none" w:sz="0" w:space="0" w:color="auto"/>
        <w:left w:val="none" w:sz="0" w:space="0" w:color="auto"/>
        <w:bottom w:val="none" w:sz="0" w:space="0" w:color="auto"/>
        <w:right w:val="none" w:sz="0" w:space="0" w:color="auto"/>
      </w:divBdr>
    </w:div>
    <w:div w:id="537552811">
      <w:bodyDiv w:val="1"/>
      <w:marLeft w:val="0"/>
      <w:marRight w:val="0"/>
      <w:marTop w:val="0"/>
      <w:marBottom w:val="0"/>
      <w:divBdr>
        <w:top w:val="none" w:sz="0" w:space="0" w:color="auto"/>
        <w:left w:val="none" w:sz="0" w:space="0" w:color="auto"/>
        <w:bottom w:val="none" w:sz="0" w:space="0" w:color="auto"/>
        <w:right w:val="none" w:sz="0" w:space="0" w:color="auto"/>
      </w:divBdr>
    </w:div>
    <w:div w:id="541021659">
      <w:bodyDiv w:val="1"/>
      <w:marLeft w:val="0"/>
      <w:marRight w:val="0"/>
      <w:marTop w:val="0"/>
      <w:marBottom w:val="0"/>
      <w:divBdr>
        <w:top w:val="none" w:sz="0" w:space="0" w:color="auto"/>
        <w:left w:val="none" w:sz="0" w:space="0" w:color="auto"/>
        <w:bottom w:val="none" w:sz="0" w:space="0" w:color="auto"/>
        <w:right w:val="none" w:sz="0" w:space="0" w:color="auto"/>
      </w:divBdr>
    </w:div>
    <w:div w:id="559677609">
      <w:bodyDiv w:val="1"/>
      <w:marLeft w:val="0"/>
      <w:marRight w:val="0"/>
      <w:marTop w:val="0"/>
      <w:marBottom w:val="0"/>
      <w:divBdr>
        <w:top w:val="none" w:sz="0" w:space="0" w:color="auto"/>
        <w:left w:val="none" w:sz="0" w:space="0" w:color="auto"/>
        <w:bottom w:val="none" w:sz="0" w:space="0" w:color="auto"/>
        <w:right w:val="none" w:sz="0" w:space="0" w:color="auto"/>
      </w:divBdr>
    </w:div>
    <w:div w:id="571744968">
      <w:bodyDiv w:val="1"/>
      <w:marLeft w:val="0"/>
      <w:marRight w:val="0"/>
      <w:marTop w:val="0"/>
      <w:marBottom w:val="0"/>
      <w:divBdr>
        <w:top w:val="none" w:sz="0" w:space="0" w:color="auto"/>
        <w:left w:val="none" w:sz="0" w:space="0" w:color="auto"/>
        <w:bottom w:val="none" w:sz="0" w:space="0" w:color="auto"/>
        <w:right w:val="none" w:sz="0" w:space="0" w:color="auto"/>
      </w:divBdr>
    </w:div>
    <w:div w:id="597568646">
      <w:bodyDiv w:val="1"/>
      <w:marLeft w:val="0"/>
      <w:marRight w:val="0"/>
      <w:marTop w:val="0"/>
      <w:marBottom w:val="0"/>
      <w:divBdr>
        <w:top w:val="none" w:sz="0" w:space="0" w:color="auto"/>
        <w:left w:val="none" w:sz="0" w:space="0" w:color="auto"/>
        <w:bottom w:val="none" w:sz="0" w:space="0" w:color="auto"/>
        <w:right w:val="none" w:sz="0" w:space="0" w:color="auto"/>
      </w:divBdr>
    </w:div>
    <w:div w:id="607545742">
      <w:bodyDiv w:val="1"/>
      <w:marLeft w:val="0"/>
      <w:marRight w:val="0"/>
      <w:marTop w:val="0"/>
      <w:marBottom w:val="0"/>
      <w:divBdr>
        <w:top w:val="none" w:sz="0" w:space="0" w:color="auto"/>
        <w:left w:val="none" w:sz="0" w:space="0" w:color="auto"/>
        <w:bottom w:val="none" w:sz="0" w:space="0" w:color="auto"/>
        <w:right w:val="none" w:sz="0" w:space="0" w:color="auto"/>
      </w:divBdr>
    </w:div>
    <w:div w:id="651062956">
      <w:bodyDiv w:val="1"/>
      <w:marLeft w:val="0"/>
      <w:marRight w:val="0"/>
      <w:marTop w:val="0"/>
      <w:marBottom w:val="0"/>
      <w:divBdr>
        <w:top w:val="none" w:sz="0" w:space="0" w:color="auto"/>
        <w:left w:val="none" w:sz="0" w:space="0" w:color="auto"/>
        <w:bottom w:val="none" w:sz="0" w:space="0" w:color="auto"/>
        <w:right w:val="none" w:sz="0" w:space="0" w:color="auto"/>
      </w:divBdr>
    </w:div>
    <w:div w:id="651252875">
      <w:bodyDiv w:val="1"/>
      <w:marLeft w:val="0"/>
      <w:marRight w:val="0"/>
      <w:marTop w:val="0"/>
      <w:marBottom w:val="0"/>
      <w:divBdr>
        <w:top w:val="none" w:sz="0" w:space="0" w:color="auto"/>
        <w:left w:val="none" w:sz="0" w:space="0" w:color="auto"/>
        <w:bottom w:val="none" w:sz="0" w:space="0" w:color="auto"/>
        <w:right w:val="none" w:sz="0" w:space="0" w:color="auto"/>
      </w:divBdr>
    </w:div>
    <w:div w:id="760839516">
      <w:bodyDiv w:val="1"/>
      <w:marLeft w:val="0"/>
      <w:marRight w:val="0"/>
      <w:marTop w:val="0"/>
      <w:marBottom w:val="0"/>
      <w:divBdr>
        <w:top w:val="none" w:sz="0" w:space="0" w:color="auto"/>
        <w:left w:val="none" w:sz="0" w:space="0" w:color="auto"/>
        <w:bottom w:val="none" w:sz="0" w:space="0" w:color="auto"/>
        <w:right w:val="none" w:sz="0" w:space="0" w:color="auto"/>
      </w:divBdr>
    </w:div>
    <w:div w:id="830414032">
      <w:bodyDiv w:val="1"/>
      <w:marLeft w:val="0"/>
      <w:marRight w:val="0"/>
      <w:marTop w:val="0"/>
      <w:marBottom w:val="0"/>
      <w:divBdr>
        <w:top w:val="none" w:sz="0" w:space="0" w:color="auto"/>
        <w:left w:val="none" w:sz="0" w:space="0" w:color="auto"/>
        <w:bottom w:val="none" w:sz="0" w:space="0" w:color="auto"/>
        <w:right w:val="none" w:sz="0" w:space="0" w:color="auto"/>
      </w:divBdr>
    </w:div>
    <w:div w:id="848255417">
      <w:bodyDiv w:val="1"/>
      <w:marLeft w:val="0"/>
      <w:marRight w:val="0"/>
      <w:marTop w:val="0"/>
      <w:marBottom w:val="0"/>
      <w:divBdr>
        <w:top w:val="none" w:sz="0" w:space="0" w:color="auto"/>
        <w:left w:val="none" w:sz="0" w:space="0" w:color="auto"/>
        <w:bottom w:val="none" w:sz="0" w:space="0" w:color="auto"/>
        <w:right w:val="none" w:sz="0" w:space="0" w:color="auto"/>
      </w:divBdr>
    </w:div>
    <w:div w:id="848445114">
      <w:bodyDiv w:val="1"/>
      <w:marLeft w:val="0"/>
      <w:marRight w:val="0"/>
      <w:marTop w:val="0"/>
      <w:marBottom w:val="0"/>
      <w:divBdr>
        <w:top w:val="none" w:sz="0" w:space="0" w:color="auto"/>
        <w:left w:val="none" w:sz="0" w:space="0" w:color="auto"/>
        <w:bottom w:val="none" w:sz="0" w:space="0" w:color="auto"/>
        <w:right w:val="none" w:sz="0" w:space="0" w:color="auto"/>
      </w:divBdr>
    </w:div>
    <w:div w:id="946692881">
      <w:bodyDiv w:val="1"/>
      <w:marLeft w:val="0"/>
      <w:marRight w:val="0"/>
      <w:marTop w:val="0"/>
      <w:marBottom w:val="0"/>
      <w:divBdr>
        <w:top w:val="none" w:sz="0" w:space="0" w:color="auto"/>
        <w:left w:val="none" w:sz="0" w:space="0" w:color="auto"/>
        <w:bottom w:val="none" w:sz="0" w:space="0" w:color="auto"/>
        <w:right w:val="none" w:sz="0" w:space="0" w:color="auto"/>
      </w:divBdr>
    </w:div>
    <w:div w:id="996150194">
      <w:bodyDiv w:val="1"/>
      <w:marLeft w:val="0"/>
      <w:marRight w:val="0"/>
      <w:marTop w:val="0"/>
      <w:marBottom w:val="0"/>
      <w:divBdr>
        <w:top w:val="none" w:sz="0" w:space="0" w:color="auto"/>
        <w:left w:val="none" w:sz="0" w:space="0" w:color="auto"/>
        <w:bottom w:val="none" w:sz="0" w:space="0" w:color="auto"/>
        <w:right w:val="none" w:sz="0" w:space="0" w:color="auto"/>
      </w:divBdr>
    </w:div>
    <w:div w:id="997342733">
      <w:bodyDiv w:val="1"/>
      <w:marLeft w:val="0"/>
      <w:marRight w:val="0"/>
      <w:marTop w:val="0"/>
      <w:marBottom w:val="0"/>
      <w:divBdr>
        <w:top w:val="none" w:sz="0" w:space="0" w:color="auto"/>
        <w:left w:val="none" w:sz="0" w:space="0" w:color="auto"/>
        <w:bottom w:val="none" w:sz="0" w:space="0" w:color="auto"/>
        <w:right w:val="none" w:sz="0" w:space="0" w:color="auto"/>
      </w:divBdr>
    </w:div>
    <w:div w:id="1011445172">
      <w:bodyDiv w:val="1"/>
      <w:marLeft w:val="0"/>
      <w:marRight w:val="0"/>
      <w:marTop w:val="0"/>
      <w:marBottom w:val="0"/>
      <w:divBdr>
        <w:top w:val="none" w:sz="0" w:space="0" w:color="auto"/>
        <w:left w:val="none" w:sz="0" w:space="0" w:color="auto"/>
        <w:bottom w:val="none" w:sz="0" w:space="0" w:color="auto"/>
        <w:right w:val="none" w:sz="0" w:space="0" w:color="auto"/>
      </w:divBdr>
    </w:div>
    <w:div w:id="1066226234">
      <w:bodyDiv w:val="1"/>
      <w:marLeft w:val="0"/>
      <w:marRight w:val="0"/>
      <w:marTop w:val="0"/>
      <w:marBottom w:val="0"/>
      <w:divBdr>
        <w:top w:val="none" w:sz="0" w:space="0" w:color="auto"/>
        <w:left w:val="none" w:sz="0" w:space="0" w:color="auto"/>
        <w:bottom w:val="none" w:sz="0" w:space="0" w:color="auto"/>
        <w:right w:val="none" w:sz="0" w:space="0" w:color="auto"/>
      </w:divBdr>
    </w:div>
    <w:div w:id="1112166963">
      <w:bodyDiv w:val="1"/>
      <w:marLeft w:val="0"/>
      <w:marRight w:val="0"/>
      <w:marTop w:val="0"/>
      <w:marBottom w:val="0"/>
      <w:divBdr>
        <w:top w:val="none" w:sz="0" w:space="0" w:color="auto"/>
        <w:left w:val="none" w:sz="0" w:space="0" w:color="auto"/>
        <w:bottom w:val="none" w:sz="0" w:space="0" w:color="auto"/>
        <w:right w:val="none" w:sz="0" w:space="0" w:color="auto"/>
      </w:divBdr>
    </w:div>
    <w:div w:id="1185023048">
      <w:bodyDiv w:val="1"/>
      <w:marLeft w:val="0"/>
      <w:marRight w:val="0"/>
      <w:marTop w:val="0"/>
      <w:marBottom w:val="0"/>
      <w:divBdr>
        <w:top w:val="none" w:sz="0" w:space="0" w:color="auto"/>
        <w:left w:val="none" w:sz="0" w:space="0" w:color="auto"/>
        <w:bottom w:val="none" w:sz="0" w:space="0" w:color="auto"/>
        <w:right w:val="none" w:sz="0" w:space="0" w:color="auto"/>
      </w:divBdr>
    </w:div>
    <w:div w:id="1242377154">
      <w:bodyDiv w:val="1"/>
      <w:marLeft w:val="0"/>
      <w:marRight w:val="0"/>
      <w:marTop w:val="0"/>
      <w:marBottom w:val="0"/>
      <w:divBdr>
        <w:top w:val="none" w:sz="0" w:space="0" w:color="auto"/>
        <w:left w:val="none" w:sz="0" w:space="0" w:color="auto"/>
        <w:bottom w:val="none" w:sz="0" w:space="0" w:color="auto"/>
        <w:right w:val="none" w:sz="0" w:space="0" w:color="auto"/>
      </w:divBdr>
    </w:div>
    <w:div w:id="1278021298">
      <w:bodyDiv w:val="1"/>
      <w:marLeft w:val="0"/>
      <w:marRight w:val="0"/>
      <w:marTop w:val="0"/>
      <w:marBottom w:val="0"/>
      <w:divBdr>
        <w:top w:val="none" w:sz="0" w:space="0" w:color="auto"/>
        <w:left w:val="none" w:sz="0" w:space="0" w:color="auto"/>
        <w:bottom w:val="none" w:sz="0" w:space="0" w:color="auto"/>
        <w:right w:val="none" w:sz="0" w:space="0" w:color="auto"/>
      </w:divBdr>
    </w:div>
    <w:div w:id="1302616931">
      <w:bodyDiv w:val="1"/>
      <w:marLeft w:val="0"/>
      <w:marRight w:val="0"/>
      <w:marTop w:val="0"/>
      <w:marBottom w:val="0"/>
      <w:divBdr>
        <w:top w:val="none" w:sz="0" w:space="0" w:color="auto"/>
        <w:left w:val="none" w:sz="0" w:space="0" w:color="auto"/>
        <w:bottom w:val="none" w:sz="0" w:space="0" w:color="auto"/>
        <w:right w:val="none" w:sz="0" w:space="0" w:color="auto"/>
      </w:divBdr>
    </w:div>
    <w:div w:id="1339113804">
      <w:bodyDiv w:val="1"/>
      <w:marLeft w:val="0"/>
      <w:marRight w:val="0"/>
      <w:marTop w:val="0"/>
      <w:marBottom w:val="0"/>
      <w:divBdr>
        <w:top w:val="none" w:sz="0" w:space="0" w:color="auto"/>
        <w:left w:val="none" w:sz="0" w:space="0" w:color="auto"/>
        <w:bottom w:val="none" w:sz="0" w:space="0" w:color="auto"/>
        <w:right w:val="none" w:sz="0" w:space="0" w:color="auto"/>
      </w:divBdr>
    </w:div>
    <w:div w:id="1391995126">
      <w:bodyDiv w:val="1"/>
      <w:marLeft w:val="0"/>
      <w:marRight w:val="0"/>
      <w:marTop w:val="0"/>
      <w:marBottom w:val="0"/>
      <w:divBdr>
        <w:top w:val="none" w:sz="0" w:space="0" w:color="auto"/>
        <w:left w:val="none" w:sz="0" w:space="0" w:color="auto"/>
        <w:bottom w:val="none" w:sz="0" w:space="0" w:color="auto"/>
        <w:right w:val="none" w:sz="0" w:space="0" w:color="auto"/>
      </w:divBdr>
    </w:div>
    <w:div w:id="1393236644">
      <w:bodyDiv w:val="1"/>
      <w:marLeft w:val="0"/>
      <w:marRight w:val="0"/>
      <w:marTop w:val="0"/>
      <w:marBottom w:val="0"/>
      <w:divBdr>
        <w:top w:val="none" w:sz="0" w:space="0" w:color="auto"/>
        <w:left w:val="none" w:sz="0" w:space="0" w:color="auto"/>
        <w:bottom w:val="none" w:sz="0" w:space="0" w:color="auto"/>
        <w:right w:val="none" w:sz="0" w:space="0" w:color="auto"/>
      </w:divBdr>
    </w:div>
    <w:div w:id="1420370076">
      <w:bodyDiv w:val="1"/>
      <w:marLeft w:val="0"/>
      <w:marRight w:val="0"/>
      <w:marTop w:val="0"/>
      <w:marBottom w:val="0"/>
      <w:divBdr>
        <w:top w:val="none" w:sz="0" w:space="0" w:color="auto"/>
        <w:left w:val="none" w:sz="0" w:space="0" w:color="auto"/>
        <w:bottom w:val="none" w:sz="0" w:space="0" w:color="auto"/>
        <w:right w:val="none" w:sz="0" w:space="0" w:color="auto"/>
      </w:divBdr>
    </w:div>
    <w:div w:id="1588883508">
      <w:bodyDiv w:val="1"/>
      <w:marLeft w:val="0"/>
      <w:marRight w:val="0"/>
      <w:marTop w:val="0"/>
      <w:marBottom w:val="0"/>
      <w:divBdr>
        <w:top w:val="none" w:sz="0" w:space="0" w:color="auto"/>
        <w:left w:val="none" w:sz="0" w:space="0" w:color="auto"/>
        <w:bottom w:val="none" w:sz="0" w:space="0" w:color="auto"/>
        <w:right w:val="none" w:sz="0" w:space="0" w:color="auto"/>
      </w:divBdr>
    </w:div>
    <w:div w:id="1595555061">
      <w:bodyDiv w:val="1"/>
      <w:marLeft w:val="0"/>
      <w:marRight w:val="0"/>
      <w:marTop w:val="0"/>
      <w:marBottom w:val="0"/>
      <w:divBdr>
        <w:top w:val="none" w:sz="0" w:space="0" w:color="auto"/>
        <w:left w:val="none" w:sz="0" w:space="0" w:color="auto"/>
        <w:bottom w:val="none" w:sz="0" w:space="0" w:color="auto"/>
        <w:right w:val="none" w:sz="0" w:space="0" w:color="auto"/>
      </w:divBdr>
    </w:div>
    <w:div w:id="1614970704">
      <w:bodyDiv w:val="1"/>
      <w:marLeft w:val="0"/>
      <w:marRight w:val="0"/>
      <w:marTop w:val="0"/>
      <w:marBottom w:val="0"/>
      <w:divBdr>
        <w:top w:val="none" w:sz="0" w:space="0" w:color="auto"/>
        <w:left w:val="none" w:sz="0" w:space="0" w:color="auto"/>
        <w:bottom w:val="none" w:sz="0" w:space="0" w:color="auto"/>
        <w:right w:val="none" w:sz="0" w:space="0" w:color="auto"/>
      </w:divBdr>
    </w:div>
    <w:div w:id="1648121415">
      <w:bodyDiv w:val="1"/>
      <w:marLeft w:val="0"/>
      <w:marRight w:val="0"/>
      <w:marTop w:val="0"/>
      <w:marBottom w:val="0"/>
      <w:divBdr>
        <w:top w:val="none" w:sz="0" w:space="0" w:color="auto"/>
        <w:left w:val="none" w:sz="0" w:space="0" w:color="auto"/>
        <w:bottom w:val="none" w:sz="0" w:space="0" w:color="auto"/>
        <w:right w:val="none" w:sz="0" w:space="0" w:color="auto"/>
      </w:divBdr>
    </w:div>
    <w:div w:id="1705253501">
      <w:bodyDiv w:val="1"/>
      <w:marLeft w:val="0"/>
      <w:marRight w:val="0"/>
      <w:marTop w:val="0"/>
      <w:marBottom w:val="0"/>
      <w:divBdr>
        <w:top w:val="none" w:sz="0" w:space="0" w:color="auto"/>
        <w:left w:val="none" w:sz="0" w:space="0" w:color="auto"/>
        <w:bottom w:val="none" w:sz="0" w:space="0" w:color="auto"/>
        <w:right w:val="none" w:sz="0" w:space="0" w:color="auto"/>
      </w:divBdr>
    </w:div>
    <w:div w:id="1706444585">
      <w:bodyDiv w:val="1"/>
      <w:marLeft w:val="0"/>
      <w:marRight w:val="0"/>
      <w:marTop w:val="0"/>
      <w:marBottom w:val="0"/>
      <w:divBdr>
        <w:top w:val="none" w:sz="0" w:space="0" w:color="auto"/>
        <w:left w:val="none" w:sz="0" w:space="0" w:color="auto"/>
        <w:bottom w:val="none" w:sz="0" w:space="0" w:color="auto"/>
        <w:right w:val="none" w:sz="0" w:space="0" w:color="auto"/>
      </w:divBdr>
    </w:div>
    <w:div w:id="1765878849">
      <w:bodyDiv w:val="1"/>
      <w:marLeft w:val="0"/>
      <w:marRight w:val="0"/>
      <w:marTop w:val="0"/>
      <w:marBottom w:val="0"/>
      <w:divBdr>
        <w:top w:val="none" w:sz="0" w:space="0" w:color="auto"/>
        <w:left w:val="none" w:sz="0" w:space="0" w:color="auto"/>
        <w:bottom w:val="none" w:sz="0" w:space="0" w:color="auto"/>
        <w:right w:val="none" w:sz="0" w:space="0" w:color="auto"/>
      </w:divBdr>
    </w:div>
    <w:div w:id="1795825567">
      <w:bodyDiv w:val="1"/>
      <w:marLeft w:val="0"/>
      <w:marRight w:val="0"/>
      <w:marTop w:val="0"/>
      <w:marBottom w:val="0"/>
      <w:divBdr>
        <w:top w:val="none" w:sz="0" w:space="0" w:color="auto"/>
        <w:left w:val="none" w:sz="0" w:space="0" w:color="auto"/>
        <w:bottom w:val="none" w:sz="0" w:space="0" w:color="auto"/>
        <w:right w:val="none" w:sz="0" w:space="0" w:color="auto"/>
      </w:divBdr>
    </w:div>
    <w:div w:id="1833331345">
      <w:bodyDiv w:val="1"/>
      <w:marLeft w:val="0"/>
      <w:marRight w:val="0"/>
      <w:marTop w:val="0"/>
      <w:marBottom w:val="0"/>
      <w:divBdr>
        <w:top w:val="none" w:sz="0" w:space="0" w:color="auto"/>
        <w:left w:val="none" w:sz="0" w:space="0" w:color="auto"/>
        <w:bottom w:val="none" w:sz="0" w:space="0" w:color="auto"/>
        <w:right w:val="none" w:sz="0" w:space="0" w:color="auto"/>
      </w:divBdr>
    </w:div>
    <w:div w:id="1875921399">
      <w:bodyDiv w:val="1"/>
      <w:marLeft w:val="0"/>
      <w:marRight w:val="0"/>
      <w:marTop w:val="0"/>
      <w:marBottom w:val="0"/>
      <w:divBdr>
        <w:top w:val="none" w:sz="0" w:space="0" w:color="auto"/>
        <w:left w:val="none" w:sz="0" w:space="0" w:color="auto"/>
        <w:bottom w:val="none" w:sz="0" w:space="0" w:color="auto"/>
        <w:right w:val="none" w:sz="0" w:space="0" w:color="auto"/>
      </w:divBdr>
    </w:div>
    <w:div w:id="1897662562">
      <w:bodyDiv w:val="1"/>
      <w:marLeft w:val="0"/>
      <w:marRight w:val="0"/>
      <w:marTop w:val="0"/>
      <w:marBottom w:val="0"/>
      <w:divBdr>
        <w:top w:val="none" w:sz="0" w:space="0" w:color="auto"/>
        <w:left w:val="none" w:sz="0" w:space="0" w:color="auto"/>
        <w:bottom w:val="none" w:sz="0" w:space="0" w:color="auto"/>
        <w:right w:val="none" w:sz="0" w:space="0" w:color="auto"/>
      </w:divBdr>
    </w:div>
    <w:div w:id="1935552775">
      <w:bodyDiv w:val="1"/>
      <w:marLeft w:val="0"/>
      <w:marRight w:val="0"/>
      <w:marTop w:val="0"/>
      <w:marBottom w:val="0"/>
      <w:divBdr>
        <w:top w:val="none" w:sz="0" w:space="0" w:color="auto"/>
        <w:left w:val="none" w:sz="0" w:space="0" w:color="auto"/>
        <w:bottom w:val="none" w:sz="0" w:space="0" w:color="auto"/>
        <w:right w:val="none" w:sz="0" w:space="0" w:color="auto"/>
      </w:divBdr>
    </w:div>
    <w:div w:id="1944141871">
      <w:bodyDiv w:val="1"/>
      <w:marLeft w:val="0"/>
      <w:marRight w:val="0"/>
      <w:marTop w:val="0"/>
      <w:marBottom w:val="0"/>
      <w:divBdr>
        <w:top w:val="none" w:sz="0" w:space="0" w:color="auto"/>
        <w:left w:val="none" w:sz="0" w:space="0" w:color="auto"/>
        <w:bottom w:val="none" w:sz="0" w:space="0" w:color="auto"/>
        <w:right w:val="none" w:sz="0" w:space="0" w:color="auto"/>
      </w:divBdr>
    </w:div>
    <w:div w:id="1965502606">
      <w:bodyDiv w:val="1"/>
      <w:marLeft w:val="0"/>
      <w:marRight w:val="0"/>
      <w:marTop w:val="0"/>
      <w:marBottom w:val="0"/>
      <w:divBdr>
        <w:top w:val="none" w:sz="0" w:space="0" w:color="auto"/>
        <w:left w:val="none" w:sz="0" w:space="0" w:color="auto"/>
        <w:bottom w:val="none" w:sz="0" w:space="0" w:color="auto"/>
        <w:right w:val="none" w:sz="0" w:space="0" w:color="auto"/>
      </w:divBdr>
    </w:div>
    <w:div w:id="1979216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zoek.officielebekendmakingen.nl/kst-32123-XIV-147.html?zoekcriteria=%3fzkt%3dUitgebreid%26pst%3dTractatenblad%257cStaatsblad%257cStaatscourant%257cGemeenteblad%257cProvincieblad%257cWaterschapsblad%257cParlementaireDocumenten%26vrt%3dverzoekt%2bhet%2bkabinet%2bde%2bcorrespondentie%2bvan%2bde%2bNederlandse%2bregering%2baan%26zkd%3dInDeGeheleText%26dpr%3dAlle%26sdt%3dDatumPublicatie%26ap%3d%26pnr%3d16%26rpp%3d10%26_page%3d13%26sorttype%3d1%26sortorder%3d4&amp;resultIndex=127&amp;sorttype=1&amp;sortorder=4" TargetMode="External" Id="rId13" /><Relationship Type="http://schemas.openxmlformats.org/officeDocument/2006/relationships/webSettings" Target="webSettings.xml" Id="rId7" /><Relationship Type="http://schemas.openxmlformats.org/officeDocument/2006/relationships/hyperlink" Target="https://eur-lex.europa.eu/legal-content/NL/TXT/HTML/?uri=CELEX:52020DC0241&amp;from=EN" TargetMode="External" Id="rId12" /><Relationship Type="http://schemas.openxmlformats.org/officeDocument/2006/relationships/theme" Target="theme/theme1.xml" Id="rId16" /><Relationship Type="http://schemas.openxmlformats.org/officeDocument/2006/relationships/settings" Target="settings.xml" Id="rId6" /><Relationship Type="http://schemas.openxmlformats.org/officeDocument/2006/relationships/hyperlink" Target="https://ec.europa.eu/info/law/better-regulation/have-your-say/initiatives/12722-Green-Paper-on-Ageing" TargetMode="External" Id="rId11" /><Relationship Type="http://schemas.openxmlformats.org/officeDocument/2006/relationships/styles" Target="styles.xml" Id="rId5" /><Relationship Type="http://schemas.openxmlformats.org/officeDocument/2006/relationships/fontTable" Target="fontTable.xml" Id="rId15" /><Relationship Type="http://schemas.openxmlformats.org/officeDocument/2006/relationships/hyperlink" Target="https://secure.ipex.eu/IPEXL-WEB/dossier/document/COM20210050.do"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ec.europa.eu/yourvoice/consultations/index_nl.htm" TargetMode="External" Id="rId14" /></Relationships>
</file>

<file path=word/_rels/footnotes.xml.rels><?xml version="1.0" encoding="UTF-8" standalone="yes"?>
<Relationships xmlns="http://schemas.openxmlformats.org/package/2006/relationships"><Relationship Id="rId1" Type="http://schemas.openxmlformats.org/officeDocument/2006/relationships/hyperlink" Target="http://parlisweb/parlis/document.aspx?id=cf54eb83-50aa-4107-9bd2-8789e62c17cf"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2475</ap:Words>
  <ap:Characters>13616</ap:Characters>
  <ap:DocSecurity>0</ap:DocSecurity>
  <ap:Lines>113</ap:Lines>
  <ap:Paragraphs>32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16059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2021-02-04T08:54:00.0000000Z</lastPrinted>
  <dcterms:created xsi:type="dcterms:W3CDTF">2021-02-04T10:42:00.0000000Z</dcterms:created>
  <dcterms:modified xsi:type="dcterms:W3CDTF">2021-02-04T10:42:00.0000000Z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0x010100CB21980ACD3FD847B4FFAEFDCAD2FA8B</vt:lpwstr>
  </property>
</Properties>
</file>