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W06.20.0311/III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7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45D1A" w:rsidRDefault="00376378">
              <w:r>
                <w:t>Bij Kabinetsmissive van 2 september 2020, no.2020001648, heeft Uwe Majesteit, op voordracht van de Minister van Financiën, bij de Afdeling advisering van de Raad van State ter overweging aanhangig gemaakt het voorstel van wet tot vaststelling van de begrot</w:t>
              </w:r>
              <w:r>
                <w:t>ingsstaat van het ministerie van Financiën (IXB) en de begrotingsstaat van Nationale Schuld (IXA) voor het jaar 2021, met memorie van toelichting.</w:t>
              </w:r>
            </w:p>
          </w:sdtContent>
        </w:sdt>
        <w:p w:rsidR="0071031E" w:rsidRDefault="0071031E"/>
        <w:sdt>
          <w:sdtPr>
            <w:alias w:val="VrijeTekst1"/>
            <w:tag w:val="VrijeTekst1"/>
            <w:id w:val="-437221631"/>
            <w:lock w:val="sdtLocked"/>
          </w:sdtPr>
          <w:sdtEndPr/>
          <w:sdtContent>
            <w:p w:rsidR="00773FCB" w:rsidP="00773FCB" w:rsidRDefault="00376378">
              <w:r>
                <w:t xml:space="preserve">Artikel 4 van de Begrotingswet Financiën bepaalt dat de Comptabiliteitswet 2016 (CW 2016) als volgt wordt </w:t>
              </w:r>
              <w:r>
                <w:t>gewijzigd:</w:t>
              </w:r>
            </w:p>
            <w:p w:rsidR="00773FCB" w:rsidP="00773FCB" w:rsidRDefault="00376378">
              <w:r>
                <w:t>“Aan artikel 2.1 wordt, onder vervanging van de punt aan het slot van het vijfde lid, onderdeel d, door een puntkomma, een onderdeel toegevoegd, luidende:</w:t>
              </w:r>
            </w:p>
            <w:p w:rsidR="00773FCB" w:rsidP="00773FCB" w:rsidRDefault="00376378">
              <w:r w:rsidRPr="003752D0">
                <w:t>e. de begroting van het Nationaal Groeifonds.</w:t>
              </w:r>
              <w:r>
                <w:t>”</w:t>
              </w:r>
            </w:p>
            <w:p w:rsidR="00773FCB" w:rsidP="00773FCB" w:rsidRDefault="00376378"/>
            <w:p w:rsidR="00773FCB" w:rsidP="00773FCB" w:rsidRDefault="00376378">
              <w:r>
                <w:t>Deze nieuwe bepaling in artikel 2.1 CW 201</w:t>
              </w:r>
              <w:r>
                <w:t>6 vormt de wettelijke grondslag voor het Nationaal Groeifonds. Hiermee wordt een zogeheten niet-departementale begroting aan de rijksbegroting toegevoegd. De wettelijke bepaling in de CW 2016 krijgt terugwerkende kracht tot en met 15 september 2020.</w:t>
              </w:r>
            </w:p>
            <w:p w:rsidR="00773FCB" w:rsidP="00773FCB" w:rsidRDefault="00376378"/>
            <w:p w:rsidR="00773FCB" w:rsidP="00773FCB" w:rsidRDefault="00376378">
              <w:r>
                <w:t>De Af</w:t>
              </w:r>
              <w:r>
                <w:t>deling advisering van de Raad van State maakt opmerkingen over de wijze waarop het Nationaal Groeifonds wordt ingesteld. Zij adviseert de begrotingswet niet te gebruiken om wijzigingen in andere wetten door te voeren. Het voorgestelde fonds is naar zijn aa</w:t>
              </w:r>
              <w:r>
                <w:t>rd een begrotingsfonds in de zin van artikel 2.11 CW 2016. De Afdeling adviseert het begrotingsfonds in te stellen door middel van een afzonderlijke instellingswet en daarbij de voor begrotingsfondsen geldende waarborgen in acht te nemen. Daarbij hoort dat</w:t>
              </w:r>
              <w:r>
                <w:t xml:space="preserve"> in de wet nauwkeurig wordt omschreven voor welke doelen de middelen van het fonds bijeen worden gebracht en kunnen worden ingezet. Voorts dient daarbij de verhouding van het fonds ten opzichte van reeds bestaande investeringsregelingen en de afbakening me</w:t>
              </w:r>
              <w:r>
                <w:t xml:space="preserve">t die regelingen in ogenschouw te worden genomen. </w:t>
              </w:r>
            </w:p>
            <w:p w:rsidR="0041343E" w:rsidP="00773FCB" w:rsidRDefault="00376378"/>
            <w:p w:rsidR="0041343E" w:rsidP="00773FCB" w:rsidRDefault="00376378">
              <w:r w:rsidRPr="00245062">
                <w:t xml:space="preserve">De Afdeling is van oordeel dat het voorstel in verband </w:t>
              </w:r>
              <w:r>
                <w:t xml:space="preserve">met deze opmerkingen </w:t>
              </w:r>
              <w:r w:rsidRPr="00245062">
                <w:t>nader dient te worden overwogen.</w:t>
              </w:r>
            </w:p>
            <w:p w:rsidR="00773FCB" w:rsidP="00773FCB" w:rsidRDefault="00376378"/>
            <w:p w:rsidRPr="00662666" w:rsidR="00773FCB" w:rsidP="00662666" w:rsidRDefault="00376378">
              <w:pPr>
                <w:contextualSpacing/>
                <w:rPr>
                  <w:i/>
                  <w:iCs/>
                </w:rPr>
              </w:pPr>
              <w:r>
                <w:t>a.</w:t>
              </w:r>
              <w:r>
                <w:tab/>
              </w:r>
              <w:r w:rsidRPr="00662666">
                <w:rPr>
                  <w:i/>
                  <w:iCs/>
                </w:rPr>
                <w:t>Het gebruik van de begrotingswet om de CW 2016 aan te passen</w:t>
              </w:r>
            </w:p>
            <w:p w:rsidR="00773FCB" w:rsidP="00773FCB" w:rsidRDefault="00376378">
              <w:r>
                <w:t xml:space="preserve">In het voorstel wordt de </w:t>
              </w:r>
              <w:r>
                <w:t xml:space="preserve">begrotingswet van het ministerie van Financiën gebruikt om een andere wet – de CW 2016 – aan te passen. </w:t>
              </w:r>
            </w:p>
            <w:p w:rsidR="00773FCB" w:rsidP="00773FCB" w:rsidRDefault="00376378"/>
            <w:p w:rsidR="00773FCB" w:rsidP="00773FCB" w:rsidRDefault="00376378">
              <w:r>
                <w:t>Zoals de Afdeling eerder heeft opgemerkt en benadrukt dient het u</w:t>
              </w:r>
              <w:r w:rsidRPr="0069273E">
                <w:t>itgangspunt te zijn dat de inhoud van de begrotingswetten beperkt blijft tot de begro</w:t>
              </w:r>
              <w:r w:rsidRPr="0069273E">
                <w:t>ting van de ontvangsten en de uitgaven van het Rijk.</w:t>
              </w:r>
              <w:r>
                <w:rPr>
                  <w:rStyle w:val="Voetnootmarkering"/>
                </w:rPr>
                <w:footnoteReference w:id="1"/>
              </w:r>
              <w:r w:rsidRPr="0069273E">
                <w:t xml:space="preserve"> Het bijzondere karakter van de begrotingswetten komt ook tot uitdrukking in de van de normale wetgevingsprocedure afwijkende procedureregels, die zijn neergelegd in de </w:t>
              </w:r>
              <w:r>
                <w:t>CW</w:t>
              </w:r>
              <w:r w:rsidRPr="0069273E">
                <w:t xml:space="preserve"> 20</w:t>
              </w:r>
              <w:r>
                <w:t>16</w:t>
              </w:r>
              <w:r w:rsidRPr="0069273E">
                <w:t>. Het past slecht in de sys</w:t>
              </w:r>
              <w:r w:rsidRPr="0069273E">
                <w:t xml:space="preserve">tematiek van afzonderlijke begrotingswetten </w:t>
              </w:r>
              <w:r>
                <w:t>op grond van</w:t>
              </w:r>
              <w:r w:rsidRPr="0069273E">
                <w:t xml:space="preserve"> artikel 105, eerste lid, </w:t>
              </w:r>
              <w:r w:rsidRPr="0069273E">
                <w:lastRenderedPageBreak/>
                <w:t>van de Grondwet, dat in de desbetreffende voorstellen tevens bepalingen worden opgenomen die strekken tot wijziging van niet-begrotingswetten.</w:t>
              </w:r>
              <w:r>
                <w:rPr>
                  <w:rStyle w:val="Voetnootmarkering"/>
                </w:rPr>
                <w:footnoteReference w:id="2"/>
              </w:r>
            </w:p>
            <w:p w:rsidR="00773FCB" w:rsidP="00773FCB" w:rsidRDefault="00376378"/>
            <w:p w:rsidRPr="00245062" w:rsidR="00245062" w:rsidP="00245062" w:rsidRDefault="00376378">
              <w:pPr>
                <w:rPr>
                  <w:i/>
                  <w:iCs/>
                </w:rPr>
              </w:pPr>
              <w:r>
                <w:t>b.</w:t>
              </w:r>
              <w:r>
                <w:tab/>
              </w:r>
              <w:r>
                <w:rPr>
                  <w:i/>
                  <w:iCs/>
                </w:rPr>
                <w:t>Fonds</w:t>
              </w:r>
            </w:p>
            <w:p w:rsidR="00773FCB" w:rsidP="00773FCB" w:rsidRDefault="00376378">
              <w:r>
                <w:t xml:space="preserve">Het voorgestelde </w:t>
              </w:r>
              <w:r>
                <w:t xml:space="preserve">investeringsfonds heeft alle kenmerken van een begrotingsfonds in de zin van artikel 2.11 CW 2016. Het is erop gericht meerjarig geld apart te zetten ten behoeve van bepaalde uitgaven die niet regulier en gelijkmatig over de jaren zijn verspreid. </w:t>
              </w:r>
            </w:p>
            <w:p w:rsidR="00773FCB" w:rsidP="00773FCB" w:rsidRDefault="00376378"/>
            <w:p w:rsidR="00245062" w:rsidP="00773FCB" w:rsidRDefault="00376378">
              <w:r>
                <w:t>De Afde</w:t>
              </w:r>
              <w:r>
                <w:t>ling merkt op dat de thans voorgestelde niet-departementale begroting minder goed past voor het beoogde fonds, nu voor de reguliere begrotingen een voorziening als in artikel 2.11, vierde lid, CW 2016 ontbreekt. Dit artikellid bepaalt dat e</w:t>
              </w:r>
              <w:r w:rsidRPr="00AB1C24">
                <w:t>en voordelig jaa</w:t>
              </w:r>
              <w:r w:rsidRPr="00AB1C24">
                <w:t xml:space="preserve">rsaldo van een begrotingsfonds ten gunste van de begroting van het fonds van het daarop volgende jaar </w:t>
              </w:r>
              <w:r>
                <w:t xml:space="preserve">wordt </w:t>
              </w:r>
              <w:r w:rsidRPr="00AB1C24">
                <w:t>gebracht</w:t>
              </w:r>
              <w:r>
                <w:t>. Bij een niet-departementale begroting ontbreekt een dergelijke bepaling</w:t>
              </w:r>
              <w:r w:rsidRPr="00AB1C24">
                <w:t>.</w:t>
              </w:r>
              <w:r>
                <w:t xml:space="preserve"> Ook ontbreekt in de wet een omschrijving van de doelen waarvoor d</w:t>
              </w:r>
              <w:r>
                <w:t xml:space="preserve">e middelen die in het fonds apart zijn gezet, kunnen worden besteed, zoals artikel 2.11, derde lid, onder a, CW 2016 voorschrijft ten aanzien van begrotingsfondsen (zie ook hierna onder c). </w:t>
              </w:r>
            </w:p>
            <w:p w:rsidR="00245062" w:rsidP="00773FCB" w:rsidRDefault="00376378"/>
            <w:p w:rsidR="00773FCB" w:rsidP="00773FCB" w:rsidRDefault="00376378">
              <w:r>
                <w:t xml:space="preserve">Uit de toelichting blijkt niet waarom er voor is gekozen om een </w:t>
              </w:r>
              <w:r>
                <w:t>aparte categorie ‘e’ toe te voegen in artikel 2.1 lid 5 CW 2016 en niet voor de geëigende weg van een instellingswet voor een begrotingsfonds.</w:t>
              </w:r>
            </w:p>
            <w:p w:rsidR="00773FCB" w:rsidP="00773FCB" w:rsidRDefault="00376378"/>
            <w:p w:rsidR="00773FCB" w:rsidP="00773FCB" w:rsidRDefault="00376378">
              <w:r>
                <w:t>Gelet op het voorgaande ligt het, zoals ook de Algemene Rekenkamer opmerkt</w:t>
              </w:r>
              <w:r>
                <w:rPr>
                  <w:rStyle w:val="Voetnootmarkering"/>
                </w:rPr>
                <w:footnoteReference w:id="3"/>
              </w:r>
              <w:r>
                <w:t>, voor de hand overeenkomstig artikel</w:t>
              </w:r>
              <w:r>
                <w:t xml:space="preserve"> 2.11 CW 2016 te voorzien in een zelfstandige instellingswet voor het (begrotings)fonds.</w:t>
              </w:r>
            </w:p>
            <w:p w:rsidR="00245062" w:rsidP="00773FCB" w:rsidRDefault="00376378"/>
            <w:p w:rsidRPr="00245062" w:rsidR="00773FCB" w:rsidP="00DE5545" w:rsidRDefault="00376378">
              <w:pPr>
                <w:keepNext/>
                <w:rPr>
                  <w:i/>
                  <w:iCs/>
                </w:rPr>
              </w:pPr>
              <w:r>
                <w:t>c.</w:t>
              </w:r>
              <w:r>
                <w:tab/>
              </w:r>
              <w:r>
                <w:rPr>
                  <w:i/>
                  <w:iCs/>
                </w:rPr>
                <w:t>De</w:t>
              </w:r>
              <w:r w:rsidRPr="00245062">
                <w:rPr>
                  <w:i/>
                  <w:iCs/>
                </w:rPr>
                <w:t xml:space="preserve"> formulering van de doelstellingen van het fonds</w:t>
              </w:r>
            </w:p>
            <w:p w:rsidR="00773FCB" w:rsidP="00773FCB" w:rsidRDefault="00376378">
              <w:r>
                <w:t>In de voorgestelde wettekst zijn geen doelstellingen geformuleerd. De toelichting noemt drie thema’s die aandach</w:t>
              </w:r>
              <w:r>
                <w:t>t behoeven (kennisontwikkeling, R&amp;D en infrastructuur) en waarin geïnvesteerd kan worden.</w:t>
              </w:r>
            </w:p>
            <w:p w:rsidR="00773FCB" w:rsidP="00773FCB" w:rsidRDefault="00376378"/>
            <w:p w:rsidR="00C14988" w:rsidP="00773FCB" w:rsidRDefault="00376378">
              <w:r>
                <w:t>De Afdeling wijst in dit verband op de wettelijke eis voor begrotingsfondsen dat de doelomschrijving wettelijk wordt vastgelegd.</w:t>
              </w:r>
              <w:r>
                <w:rPr>
                  <w:rStyle w:val="Voetnootmarkering"/>
                </w:rPr>
                <w:footnoteReference w:id="4"/>
              </w:r>
              <w:r>
                <w:t xml:space="preserve"> De functie daarvan is dat daarmee w</w:t>
              </w:r>
              <w:r>
                <w:t>ettelijk is bepaald waaraan de middelen die apart worden gezet, mogen worden besteed. Daarmee wordt voorkomen dat geld bestemming gaat zoeken en gelden ondoelmatig worden besteed. Tevens is daarmee voor het parlement duidelijk waarop het de regering kan co</w:t>
              </w:r>
              <w:r>
                <w:t>ntroleren.</w:t>
              </w:r>
              <w:r>
                <w:rPr>
                  <w:rStyle w:val="Voetnootmarkering"/>
                </w:rPr>
                <w:footnoteReference w:id="5"/>
              </w:r>
            </w:p>
            <w:p w:rsidR="00C14988" w:rsidP="00C14988" w:rsidRDefault="00376378">
              <w:r>
                <w:t xml:space="preserve">De Afdeling wijst in dit verband nog op onderzoek van de Algemene Rekenkamer naar de besteding van de aardgasbaten en de wijze waarop die via het FES is verlopen. De lessen uit dit onderzoek kunnen bijdragen aan een doelmatige en doeltreffende </w:t>
              </w:r>
              <w:r>
                <w:lastRenderedPageBreak/>
                <w:t>besteding van publieke middelen bij de opzet van andere fondsen.</w:t>
              </w:r>
              <w:r>
                <w:rPr>
                  <w:rStyle w:val="Voetnootmarkering"/>
                </w:rPr>
                <w:footnoteReference w:id="6"/>
              </w:r>
              <w:r>
                <w:t xml:space="preserve"> De Rekenkamer onderstreept onder andere het belang van nauwkeurig omschreven doelstellingen, transparante verantwoording en onafhankelijke advisering over de toewijzing van de middelen. De i</w:t>
              </w:r>
              <w:r>
                <w:t>nstelling van een commissie voor de selectie van investeringsvoorstellen kan daarbij overigens dienstbaar zijn, maar ook dan is het van belang te leren van het verleden.</w:t>
              </w:r>
              <w:r>
                <w:rPr>
                  <w:rStyle w:val="Voetnootmarkering"/>
                </w:rPr>
                <w:footnoteReference w:id="7"/>
              </w:r>
            </w:p>
            <w:p w:rsidR="00C14988" w:rsidP="00773FCB" w:rsidRDefault="00376378"/>
            <w:p w:rsidR="00773FCB" w:rsidP="00773FCB" w:rsidRDefault="00376378">
              <w:r>
                <w:t>De Afdeling merkt op dat door het ontbreken van een wettelijke doelomschrijving en a</w:t>
              </w:r>
              <w:r>
                <w:t>fbakening voor het fonds er rekening mee moet worden gehouden dat de hiervoor genoemde risico’s zich voltrekken en afbreuk wordt gedaan aan de controlefunctie van het parlement. De Afdeling is dan ook van oordeel dat in de instellingswet voor dit fonds een</w:t>
              </w:r>
              <w:r>
                <w:t xml:space="preserve"> duidelijke doelomschrijving en afbakening dient te worden opgenomen. </w:t>
              </w:r>
            </w:p>
            <w:p w:rsidR="00C14988" w:rsidP="00773FCB" w:rsidRDefault="00376378"/>
            <w:p w:rsidR="00C14988" w:rsidP="00773FCB" w:rsidRDefault="00376378">
              <w:r>
                <w:t>Belangrijk aandachtspunt daarbij is, dat naast reeds bestaande investeringsregelingen, zoals het Infrastructuurfonds en het Toekomstfonds en enkele fiscale regelingen, zoals de WBSO, r</w:t>
              </w:r>
              <w:r>
                <w:t>ecent een aantal nieuwe regelingen zijn of worden ingevoerd, zoals Invest-NL, Invest International en onlangs in het derde Corona-steunpakket.</w:t>
              </w:r>
              <w:r>
                <w:rPr>
                  <w:rStyle w:val="Voetnootmarkering"/>
                </w:rPr>
                <w:footnoteReference w:id="8"/>
              </w:r>
              <w:r>
                <w:t xml:space="preserve"> Dit roept de vraag op naar de verhouding van het thans voorgestelde Nationaal Groeifonds tot de verschillende re</w:t>
              </w:r>
              <w:r>
                <w:t>gelingen en de afbakening tussen die regelingen. In dit verband wijst de Afdeling nog op de suggestie van de Algemene Rekenkamer, dat de beoogde investeringen ook via de bestaande instrumenten kunnen plaatsvinden, of tijdelijk via de departementale begroti</w:t>
              </w:r>
              <w:r>
                <w:t>ngen, nu de doelstellingen ervan veel overlap vertonen.</w:t>
              </w:r>
              <w:r>
                <w:rPr>
                  <w:rStyle w:val="Voetnootmarkering"/>
                </w:rPr>
                <w:footnoteReference w:id="9"/>
              </w:r>
              <w:r>
                <w:t xml:space="preserve"> </w:t>
              </w:r>
            </w:p>
            <w:p w:rsidR="003F76CD" w:rsidP="00C14988" w:rsidRDefault="00376378"/>
            <w:p w:rsidRPr="00A903F6" w:rsidR="00C14988" w:rsidP="00773FCB" w:rsidRDefault="00376378">
              <w:r>
                <w:t xml:space="preserve">Voorts dient aandacht te worden besteed aan de wijze waarop het fonds zal functioneren. Zo </w:t>
              </w:r>
              <w:r w:rsidRPr="003F76CD">
                <w:t xml:space="preserve">dient ingegaan te worden op de risico’s die het fonds met zich meebrengt voor de </w:t>
              </w:r>
              <w:r>
                <w:t>overheidsfinanciën, onder</w:t>
              </w:r>
              <w:r>
                <w:t xml:space="preserve"> andere in verband met rente- en kredietrisico’s</w:t>
              </w:r>
              <w:r w:rsidRPr="003F76CD">
                <w:t>.</w:t>
              </w:r>
              <w:r w:rsidRPr="00C14988">
                <w:rPr>
                  <w:i/>
                  <w:iCs/>
                </w:rPr>
                <w:t xml:space="preserve"> </w:t>
              </w:r>
              <w:r>
                <w:t>Noch de toelichting bij artikel 4, noch de toelichting op de begroting van het Nationaal Groeifonds geven hierover duidelijkheid.</w:t>
              </w:r>
            </w:p>
            <w:p w:rsidR="00773FCB" w:rsidP="00773FCB" w:rsidRDefault="00376378"/>
            <w:p w:rsidR="00773FCB" w:rsidP="00773FCB" w:rsidRDefault="00376378">
              <w:r>
                <w:t>d.</w:t>
              </w:r>
              <w:r>
                <w:tab/>
              </w:r>
              <w:r w:rsidRPr="0046711C">
                <w:rPr>
                  <w:i/>
                  <w:iCs/>
                </w:rPr>
                <w:t>Advies</w:t>
              </w:r>
            </w:p>
            <w:p w:rsidR="0031089B" w:rsidP="00FF035E" w:rsidRDefault="00376378">
              <w:r>
                <w:t xml:space="preserve">Gelet op het voorgaande adviseert de Afdeling artikel 4 van de Begrotingswet Financiën te schrappen en alsnog te voorzien in een instellingswet voor een begrotingsfonds.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A45D1A" w:rsidRDefault="00376378">
              <w:r>
                <w:t>De Afdeling advisering van de Raad van State heeft een aantal bezwaren bij het voo</w:t>
              </w:r>
              <w:r>
                <w:t>rstel en adviseert het voorstel niet bij de Tweede Kamer der Staten-Generaal in te dienen, tenzij het is aangepast.</w:t>
              </w:r>
              <w:r>
                <w:br/>
              </w:r>
              <w:r>
                <w:br/>
              </w:r>
              <w:r>
                <w:br/>
                <w:t>De vice-president van de Raad van State,</w:t>
              </w:r>
            </w:p>
          </w:sdtContent>
        </w:sdt>
      </w:sdtContent>
    </w:sdt>
    <w:sectPr w:rsidR="00A45D1A"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376378" w:rsidP="005B3E03">
      <w:r>
        <w:separator/>
      </w:r>
    </w:p>
    <w:p w:rsidR="002D0ACF" w:rsidRDefault="00376378"/>
  </w:endnote>
  <w:endnote w:type="continuationSeparator" w:id="0">
    <w:p w:rsidR="00847094" w:rsidRDefault="00376378" w:rsidP="005B3E03">
      <w:r>
        <w:continuationSeparator/>
      </w:r>
    </w:p>
    <w:p w:rsidR="002D0ACF" w:rsidRDefault="00376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376378" w:rsidP="005B3E03">
      <w:r>
        <w:separator/>
      </w:r>
    </w:p>
    <w:p w:rsidR="002D0ACF" w:rsidRDefault="00376378"/>
  </w:footnote>
  <w:footnote w:type="continuationSeparator" w:id="0">
    <w:p w:rsidR="00847094" w:rsidRDefault="00376378" w:rsidP="005B3E03">
      <w:r>
        <w:continuationSeparator/>
      </w:r>
    </w:p>
    <w:p w:rsidR="002D0ACF" w:rsidRDefault="00376378"/>
  </w:footnote>
  <w:footnote w:id="1">
    <w:p w:rsidR="00773FCB" w:rsidRDefault="00376378" w:rsidP="00773FCB">
      <w:pPr>
        <w:pStyle w:val="Voetnoottekst"/>
      </w:pPr>
      <w:r>
        <w:rPr>
          <w:rStyle w:val="Voetnootmarkering"/>
        </w:rPr>
        <w:footnoteRef/>
      </w:r>
      <w:r>
        <w:t xml:space="preserve"> </w:t>
      </w:r>
      <w:r>
        <w:tab/>
        <w:t>D</w:t>
      </w:r>
      <w:r w:rsidRPr="0069273E">
        <w:t xml:space="preserve">e </w:t>
      </w:r>
      <w:r>
        <w:t xml:space="preserve">Afdeling maakte deze opmerking eerder in </w:t>
      </w:r>
      <w:r w:rsidRPr="00EC3F14">
        <w:t>onder ande</w:t>
      </w:r>
      <w:r w:rsidRPr="00EC3F14">
        <w:t>re de adviezen over de begroting van het Ministerie van Financiën voor 2008</w:t>
      </w:r>
      <w:r>
        <w:t>,</w:t>
      </w:r>
      <w:r w:rsidRPr="00EC3F14">
        <w:t xml:space="preserve"> 2012</w:t>
      </w:r>
      <w:r>
        <w:t xml:space="preserve"> en 2013</w:t>
      </w:r>
      <w:r w:rsidRPr="00EC3F14">
        <w:t xml:space="preserve"> (Kamerstukken II 2007/08, 31200 IXB, nr</w:t>
      </w:r>
      <w:r>
        <w:t>.</w:t>
      </w:r>
      <w:r w:rsidRPr="00EC3F14">
        <w:t xml:space="preserve"> 3</w:t>
      </w:r>
      <w:r>
        <w:t>,</w:t>
      </w:r>
      <w:r w:rsidRPr="00EC3F14">
        <w:t xml:space="preserve"> Kamerstukken II 2011/12, 33000 IXB, nr. 3</w:t>
      </w:r>
      <w:r>
        <w:t xml:space="preserve"> en </w:t>
      </w:r>
      <w:r w:rsidRPr="00EC3F14">
        <w:t>Kamerstukken II 2012/13, 33400-IX, nr. 3).</w:t>
      </w:r>
    </w:p>
  </w:footnote>
  <w:footnote w:id="2">
    <w:p w:rsidR="00773FCB" w:rsidRDefault="00376378" w:rsidP="00773FCB">
      <w:pPr>
        <w:pStyle w:val="Voetnoottekst"/>
      </w:pPr>
      <w:r>
        <w:rPr>
          <w:rStyle w:val="Voetnootmarkering"/>
        </w:rPr>
        <w:footnoteRef/>
      </w:r>
      <w:r>
        <w:t xml:space="preserve"> </w:t>
      </w:r>
      <w:r>
        <w:tab/>
        <w:t>Zie voor een bespreking van dit</w:t>
      </w:r>
      <w:r>
        <w:t xml:space="preserve"> onderwerp ook </w:t>
      </w:r>
      <w:r w:rsidRPr="006A26C4">
        <w:t>T.C. Borman,</w:t>
      </w:r>
      <w:r>
        <w:t xml:space="preserve"> 2015,</w:t>
      </w:r>
      <w:r w:rsidRPr="006A26C4">
        <w:t xml:space="preserve"> 'De begrotingswet: een wet als iedere andere?', </w:t>
      </w:r>
      <w:r>
        <w:t xml:space="preserve">in: </w:t>
      </w:r>
      <w:r w:rsidRPr="006A26C4">
        <w:t>RegelMaat 2015-2, p.</w:t>
      </w:r>
      <w:r>
        <w:t>144-158.</w:t>
      </w:r>
      <w:r w:rsidRPr="006A26C4">
        <w:t xml:space="preserve"> </w:t>
      </w:r>
    </w:p>
  </w:footnote>
  <w:footnote w:id="3">
    <w:p w:rsidR="00BC5C14" w:rsidRDefault="00376378">
      <w:pPr>
        <w:pStyle w:val="Voetnoottekst"/>
      </w:pPr>
      <w:r>
        <w:rPr>
          <w:rStyle w:val="Voetnootmarkering"/>
        </w:rPr>
        <w:footnoteRef/>
      </w:r>
      <w:r>
        <w:t xml:space="preserve"> </w:t>
      </w:r>
      <w:r>
        <w:tab/>
        <w:t>Algemene Rekenkamer, brief aan de Minister van Financiën, 31 augustus 2020, in het kader van artikel 7.40 CW 2016.</w:t>
      </w:r>
    </w:p>
  </w:footnote>
  <w:footnote w:id="4">
    <w:p w:rsidR="00773FCB" w:rsidRDefault="00376378" w:rsidP="00773FCB">
      <w:pPr>
        <w:pStyle w:val="Voetnoottekst"/>
      </w:pPr>
      <w:r>
        <w:rPr>
          <w:rStyle w:val="Voetnootmarkering"/>
        </w:rPr>
        <w:footnoteRef/>
      </w:r>
      <w:r>
        <w:t xml:space="preserve"> </w:t>
      </w:r>
      <w:r>
        <w:tab/>
        <w:t>Artikel 2.11, derde</w:t>
      </w:r>
      <w:r>
        <w:t xml:space="preserve"> lid, CW 2016.</w:t>
      </w:r>
    </w:p>
  </w:footnote>
  <w:footnote w:id="5">
    <w:p w:rsidR="00BC5C14" w:rsidRDefault="00376378">
      <w:pPr>
        <w:pStyle w:val="Voetnoottekst"/>
      </w:pPr>
      <w:r>
        <w:rPr>
          <w:rStyle w:val="Voetnootmarkering"/>
        </w:rPr>
        <w:footnoteRef/>
      </w:r>
      <w:r>
        <w:t xml:space="preserve"> </w:t>
      </w:r>
      <w:r>
        <w:tab/>
        <w:t xml:space="preserve">Zie ook het commentaar van de Algemene Rekenkamer van 31 augustus 2020, waarin het belang wordt benadrukt van een wettelijke verankering van de kernelementen voor het fonds en het functioneren ervan. </w:t>
      </w:r>
    </w:p>
  </w:footnote>
  <w:footnote w:id="6">
    <w:p w:rsidR="00C14988" w:rsidRDefault="00376378" w:rsidP="00C14988">
      <w:pPr>
        <w:pStyle w:val="Voetnoottekst"/>
      </w:pPr>
      <w:r>
        <w:rPr>
          <w:rStyle w:val="Voetnootmarkering"/>
        </w:rPr>
        <w:footnoteRef/>
      </w:r>
      <w:r>
        <w:t xml:space="preserve"> </w:t>
      </w:r>
      <w:r>
        <w:tab/>
      </w:r>
      <w:r w:rsidRPr="00427ABC">
        <w:t>Algemene Rekenkamer, 2014, Bestedi</w:t>
      </w:r>
      <w:r w:rsidRPr="00427ABC">
        <w:t>ng van aardgasbaten: feiten, cijfers en scenario's. par. 5.3 ‘Le</w:t>
      </w:r>
      <w:r>
        <w:t>s</w:t>
      </w:r>
      <w:r w:rsidRPr="00427ABC">
        <w:t>sen bij fondsvorming’.</w:t>
      </w:r>
    </w:p>
  </w:footnote>
  <w:footnote w:id="7">
    <w:p w:rsidR="00C14988" w:rsidRDefault="00376378" w:rsidP="00C14988">
      <w:pPr>
        <w:pStyle w:val="Voetnoottekst"/>
      </w:pPr>
      <w:r>
        <w:rPr>
          <w:rStyle w:val="Voetnootmarkering"/>
        </w:rPr>
        <w:footnoteRef/>
      </w:r>
      <w:r>
        <w:t xml:space="preserve"> </w:t>
      </w:r>
      <w:r>
        <w:tab/>
        <w:t xml:space="preserve">Ook het FES kende een dergelijke commissie. </w:t>
      </w:r>
    </w:p>
  </w:footnote>
  <w:footnote w:id="8">
    <w:p w:rsidR="00C14988" w:rsidRDefault="00376378" w:rsidP="00C14988">
      <w:pPr>
        <w:pStyle w:val="Voetnoottekst"/>
      </w:pPr>
      <w:r>
        <w:rPr>
          <w:rStyle w:val="Voetnootmarkering"/>
        </w:rPr>
        <w:footnoteRef/>
      </w:r>
      <w:r>
        <w:t xml:space="preserve"> </w:t>
      </w:r>
      <w:r>
        <w:tab/>
        <w:t xml:space="preserve">Brief van 28 augustus 2020, </w:t>
      </w:r>
      <w:r w:rsidRPr="00F37F42">
        <w:t>inzake steun- en herstelpakket</w:t>
      </w:r>
      <w:r>
        <w:t xml:space="preserve"> (</w:t>
      </w:r>
      <w:r w:rsidRPr="00BD36F2">
        <w:t xml:space="preserve">Kamerstukken </w:t>
      </w:r>
      <w:r>
        <w:t>I</w:t>
      </w:r>
      <w:r w:rsidRPr="00BD36F2">
        <w:t xml:space="preserve"> 2019/20, 35420, </w:t>
      </w:r>
      <w:r>
        <w:t>M</w:t>
      </w:r>
      <w:r w:rsidRPr="00BD36F2">
        <w:t>)</w:t>
      </w:r>
      <w:r>
        <w:t>.</w:t>
      </w:r>
    </w:p>
  </w:footnote>
  <w:footnote w:id="9">
    <w:p w:rsidR="00BC5C14" w:rsidRDefault="00376378">
      <w:pPr>
        <w:pStyle w:val="Voetnoottekst"/>
      </w:pPr>
      <w:r>
        <w:rPr>
          <w:rStyle w:val="Voetnootmarkering"/>
        </w:rPr>
        <w:footnoteRef/>
      </w:r>
      <w:r>
        <w:t xml:space="preserve"> </w:t>
      </w:r>
      <w:r>
        <w:tab/>
        <w:t>Algemene Rekenkamer</w:t>
      </w:r>
      <w:r>
        <w:t>, brief aan de Minister van Financiën van 31 augustus 2020. Overigens wijst de Afdeling erop dat het fonds en de doelstellingen ervan ook sterke overeenkomsten vertonen met het FES. Indien het te omslachtig wordt gevonden om te voorzien in een apart wetsvo</w:t>
      </w:r>
      <w:r>
        <w:t xml:space="preserve">orstel voor een instellingswet, kan er ook voor worden gekozen om het FES op de voet van artikel 4a van de Wet Fonds Economische Structuurversterking, met relatief kleine aanpassingen in die wet (met name artikel 2), te laten herleven.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76378">
      <w:rPr>
        <w:rStyle w:val="Paginanummer"/>
        <w:noProof/>
      </w:rPr>
      <w:t>3</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37533"/>
    <w:multiLevelType w:val="hybridMultilevel"/>
    <w:tmpl w:val="86AA9EE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76378"/>
    <w:rsid w:val="003A1FC7"/>
    <w:rsid w:val="004421C1"/>
    <w:rsid w:val="004C120D"/>
    <w:rsid w:val="00503044"/>
    <w:rsid w:val="006D3E6B"/>
    <w:rsid w:val="0071031E"/>
    <w:rsid w:val="00724C4B"/>
    <w:rsid w:val="00743D19"/>
    <w:rsid w:val="00831756"/>
    <w:rsid w:val="009E72D2"/>
    <w:rsid w:val="00A349AF"/>
    <w:rsid w:val="00A45D1A"/>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958CC42-C8D2-4BA3-8703-DD3375CC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773FCB"/>
    <w:rPr>
      <w:vertAlign w:val="superscript"/>
    </w:rPr>
  </w:style>
  <w:style w:type="character" w:styleId="Verwijzingopmerking">
    <w:name w:val="annotation reference"/>
    <w:basedOn w:val="Standaardalinea-lettertype"/>
    <w:semiHidden/>
    <w:unhideWhenUsed/>
    <w:rsid w:val="005865C3"/>
    <w:rPr>
      <w:sz w:val="16"/>
      <w:szCs w:val="16"/>
    </w:rPr>
  </w:style>
  <w:style w:type="paragraph" w:styleId="Tekstopmerking">
    <w:name w:val="annotation text"/>
    <w:basedOn w:val="Standaard"/>
    <w:link w:val="TekstopmerkingChar"/>
    <w:semiHidden/>
    <w:unhideWhenUsed/>
    <w:rsid w:val="005865C3"/>
    <w:rPr>
      <w:sz w:val="20"/>
      <w:szCs w:val="20"/>
    </w:rPr>
  </w:style>
  <w:style w:type="character" w:customStyle="1" w:styleId="TekstopmerkingChar">
    <w:name w:val="Tekst opmerking Char"/>
    <w:basedOn w:val="Standaardalinea-lettertype"/>
    <w:link w:val="Tekstopmerking"/>
    <w:semiHidden/>
    <w:rsid w:val="005865C3"/>
    <w:rPr>
      <w:rFonts w:ascii="Univers" w:hAnsi="Univers"/>
    </w:rPr>
  </w:style>
  <w:style w:type="paragraph" w:styleId="Onderwerpvanopmerking">
    <w:name w:val="annotation subject"/>
    <w:basedOn w:val="Tekstopmerking"/>
    <w:next w:val="Tekstopmerking"/>
    <w:link w:val="OnderwerpvanopmerkingChar"/>
    <w:semiHidden/>
    <w:unhideWhenUsed/>
    <w:rsid w:val="005865C3"/>
    <w:rPr>
      <w:b/>
      <w:bCs/>
    </w:rPr>
  </w:style>
  <w:style w:type="character" w:customStyle="1" w:styleId="OnderwerpvanopmerkingChar">
    <w:name w:val="Onderwerp van opmerking Char"/>
    <w:basedOn w:val="TekstopmerkingChar"/>
    <w:link w:val="Onderwerpvanopmerking"/>
    <w:semiHidden/>
    <w:rsid w:val="005865C3"/>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1165</ap:Words>
  <ap:Characters>6408</ap:Characters>
  <ap:DocSecurity>4</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2020-09-15T16:10:00.0000000Z</dcterms:created>
  <dcterms:modified xsi:type="dcterms:W3CDTF">2020-09-15T16:10:00.0000000Z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0x01010021B44B411894E64CBB2F376380C621FD</vt:lpwstr>
  </property>
</Properties>
</file>