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customizations.xml" ContentType="application/vnd.ms-word.keyMapCustomization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W13.20.0091/III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20 mei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67EC9" w:rsidRDefault="005644F4">
              <w:r>
                <w:t>Bij Kabinetsmissive van 6 april 2020, no.2020000697, heeft Uwe Majesteit, op voordracht van de Staatssecretaris van Volksgezondheid, Welzijn en Sport, bij de Afdeling advisering van de Raad van State ter overweging aanhangig gemaakt het voorstel van wet tot wijziging van de Wet op de lijkbezorging in verband met het elektronisch doen van de opgave van de doodsoorzaak ten behoeve van de statistiek en het elektronisch verzenden van verslagen in het kader van de Wet toetsing levensbeëindiging op verzoek en hulp bij zelfdoding, met memorie van toelichting.</w:t>
              </w:r>
            </w:p>
          </w:sdtContent>
        </w:sdt>
        <w:p w:rsidRPr="00831363" w:rsidR="00CE4655" w:rsidP="003C7608" w:rsidRDefault="00CE4655"/>
        <w:sdt>
          <w:sdtPr>
            <w:alias w:val="VrijeTekst1"/>
            <w:tag w:val="VrijeTekst1"/>
            <w:id w:val="-437221631"/>
            <w:lock w:val="sdtLocked"/>
          </w:sdtPr>
          <w:sdtEndPr/>
          <w:sdtContent>
            <w:p w:rsidR="007240AB" w:rsidP="001847B0" w:rsidRDefault="005644F4">
              <w:r>
                <w:t>Het voorstel regelt het elektronisch verzenden van verslagen van de behandelend arts in het kader van de Wet toetsing levensbeëindiging op verzoek en hulp bij zelfdoding (</w:t>
              </w:r>
              <w:proofErr w:type="spellStart"/>
              <w:r>
                <w:t>Wtl</w:t>
              </w:r>
              <w:proofErr w:type="spellEnd"/>
              <w:r>
                <w:t xml:space="preserve">) aan de gemeentelijke lijkschouwer en de </w:t>
              </w:r>
              <w:r w:rsidRPr="000179F2">
                <w:t xml:space="preserve">Regionale </w:t>
              </w:r>
              <w:proofErr w:type="spellStart"/>
              <w:r w:rsidRPr="000179F2">
                <w:t>Toetsingcommissies</w:t>
              </w:r>
              <w:proofErr w:type="spellEnd"/>
              <w:r w:rsidRPr="000179F2">
                <w:t xml:space="preserve"> Euthanasie</w:t>
              </w:r>
              <w:r>
                <w:t xml:space="preserve"> (RTE) en het verzenden van doodsoorzaakgegevens aan het Centraal Bureau voor de Statistiek (CBS). Ook regelt het voorstel dat de minister voor Volksgezondheid, Welzijn en Sport (VWS) kan voorschrijven dat deze verzendingen op enig moment uitsluitend elektronisch zullen plaatsvinden. </w:t>
              </w:r>
            </w:p>
            <w:p w:rsidR="007240AB" w:rsidP="001847B0" w:rsidRDefault="004764BB"/>
            <w:p w:rsidR="00F334D2" w:rsidP="001847B0" w:rsidRDefault="005644F4">
              <w:r w:rsidRPr="00E737FC">
                <w:t xml:space="preserve">De Afdeling advisering van de Raad van State </w:t>
              </w:r>
              <w:r>
                <w:t>adviseert in de toelichting in te gaan op de stand van zaken wat betreft de aansluiting van de verschillende systemen van de betrokken partijen op elkaar en op de financiële consequenties. I</w:t>
              </w:r>
              <w:r w:rsidRPr="007E5A8A">
                <w:t xml:space="preserve">n verband daarmee </w:t>
              </w:r>
              <w:r>
                <w:t xml:space="preserve">is </w:t>
              </w:r>
              <w:r w:rsidRPr="007E5A8A">
                <w:t xml:space="preserve">aanpassing </w:t>
              </w:r>
              <w:r>
                <w:t xml:space="preserve">wenselijk </w:t>
              </w:r>
              <w:r w:rsidRPr="007E5A8A">
                <w:t xml:space="preserve">van </w:t>
              </w:r>
              <w:r>
                <w:t xml:space="preserve">de </w:t>
              </w:r>
              <w:r w:rsidRPr="007E5A8A">
                <w:t xml:space="preserve">toelichting. </w:t>
              </w:r>
            </w:p>
            <w:p w:rsidR="00E737FC" w:rsidP="001847B0" w:rsidRDefault="004764BB"/>
            <w:p w:rsidR="00E737FC" w:rsidP="00E737FC" w:rsidRDefault="005644F4">
              <w:r>
                <w:t xml:space="preserve">1. </w:t>
              </w:r>
              <w:r>
                <w:tab/>
              </w:r>
              <w:r>
                <w:rPr>
                  <w:u w:val="single"/>
                </w:rPr>
                <w:t xml:space="preserve">Aansluiting systemen op elkaar  </w:t>
              </w:r>
            </w:p>
            <w:p w:rsidR="00F334D2" w:rsidP="001847B0" w:rsidRDefault="004764BB"/>
            <w:p w:rsidRPr="008B4466" w:rsidR="005C4496" w:rsidP="001847B0" w:rsidRDefault="005644F4">
              <w:pPr>
                <w:rPr>
                  <w:i/>
                  <w:iCs/>
                </w:rPr>
              </w:pPr>
              <w:proofErr w:type="spellStart"/>
              <w:r w:rsidRPr="008B4466">
                <w:rPr>
                  <w:i/>
                  <w:iCs/>
                </w:rPr>
                <w:t>Wtl</w:t>
              </w:r>
              <w:proofErr w:type="spellEnd"/>
            </w:p>
            <w:p w:rsidR="008C283A" w:rsidP="001847B0" w:rsidRDefault="005644F4">
              <w:r>
                <w:t xml:space="preserve">De behandelend arts doet in het kader van de </w:t>
              </w:r>
              <w:proofErr w:type="spellStart"/>
              <w:r>
                <w:t>Wtl</w:t>
              </w:r>
              <w:proofErr w:type="spellEnd"/>
              <w:r>
                <w:t xml:space="preserve"> mededeling aan de gemeentelijke lijkschouwer over de oorzaak van overlijden.</w:t>
              </w:r>
              <w:r>
                <w:rPr>
                  <w:rStyle w:val="Voetnootmarkering"/>
                </w:rPr>
                <w:footnoteReference w:id="1"/>
              </w:r>
              <w:r>
                <w:t xml:space="preserve"> Deze mededeling vindt plaats door het invullen van een formulier, met daarbij gevoegd een beredeneerd verslag. Het voorstel regelt dat als de gemeentelijke lijkschouwer elektronische verzending daarvan toestaat, deze daarvoor een voldoende betrouwbare en vertrouwelijke wijze van elektronisch verzenden aanwijst. </w:t>
              </w:r>
            </w:p>
            <w:p w:rsidR="008C283A" w:rsidP="001847B0" w:rsidRDefault="004764BB"/>
            <w:p w:rsidR="007240AB" w:rsidP="001847B0" w:rsidRDefault="005644F4">
              <w:r>
                <w:t xml:space="preserve">De gemeentelijke lijkschouwer dient de formulieren en verslagen die nodig zijn in het kader van de </w:t>
              </w:r>
              <w:proofErr w:type="spellStart"/>
              <w:r>
                <w:t>Wtl</w:t>
              </w:r>
              <w:proofErr w:type="spellEnd"/>
              <w:r>
                <w:t xml:space="preserve"> door te zenden aan de RTE. Het voorstel regelt ook dat indien </w:t>
              </w:r>
              <w:proofErr w:type="gramStart"/>
              <w:r>
                <w:t>elektronische</w:t>
              </w:r>
              <w:proofErr w:type="gramEnd"/>
              <w:r>
                <w:t xml:space="preserve"> verzending aan de RTE mogelijk wordt, de RTE daartoe een voldoende betrouwbare en vertrouwelijke wijze van elektronisch verzenden aanwijst. Aldus kan er sprake zijn van een digitale keten als de gemeentelijke lijkschouwer de stukken digitaal van de arts ontvangt en de stukken digitaal aan de RTE verzendt. </w:t>
              </w:r>
            </w:p>
            <w:p w:rsidR="007240AB" w:rsidP="001847B0" w:rsidRDefault="004764BB"/>
            <w:p w:rsidRPr="008B4466" w:rsidR="005C4496" w:rsidP="001847B0" w:rsidRDefault="005644F4">
              <w:pPr>
                <w:rPr>
                  <w:i/>
                  <w:iCs/>
                </w:rPr>
              </w:pPr>
              <w:r w:rsidRPr="008B4466">
                <w:rPr>
                  <w:i/>
                  <w:iCs/>
                </w:rPr>
                <w:t>CBS</w:t>
              </w:r>
            </w:p>
            <w:p w:rsidR="007240AB" w:rsidP="001847B0" w:rsidRDefault="005644F4">
              <w:r>
                <w:t xml:space="preserve">Het voorstel regelt voorts dat een behandelend arts (of de gemeentelijke lijkschouwer) het formulier met de doodsoorzaakgegevens rechtstreeks kan aanleveren bij het CBS. Deze behandelend arts kan bij verschillende soorten zorgaanbieders werkzaam zijn. Het kan bijvoorbeeld een huisarts zijn, een medisch-specialist van een ziekenhuis of een specialist ouderengeneeskunde. </w:t>
              </w:r>
            </w:p>
            <w:p w:rsidR="007240AB" w:rsidP="001847B0" w:rsidRDefault="004764BB"/>
            <w:p w:rsidR="00C67EC9" w:rsidRDefault="005644F4">
              <w:r>
                <w:t xml:space="preserve">De toelichting onderkent dat voorkomen moet worden dat de systemen van het CBS, de zorgaanbieders en de gemeentelijke lijkschouwers, respectievelijk de zorgaanbieders, de gemeentelijke lijkschouwers en de </w:t>
              </w:r>
              <w:proofErr w:type="spellStart"/>
              <w:r>
                <w:t>RTE’s</w:t>
              </w:r>
              <w:proofErr w:type="spellEnd"/>
              <w:r>
                <w:t>, niet op elkaar aansluiten en de elektronische verzending daardoor onnodig wordt belemmerd of zelfs onmogelijk wordt gemaakt. Het wordt echter niet noodzakelijk geacht hiervoor wettelijke regels te stellen. Verwacht wordt dat partijen hierover afspraken maken.</w:t>
              </w:r>
              <w:r>
                <w:rPr>
                  <w:rStyle w:val="Voetnootmarkering"/>
                </w:rPr>
                <w:footnoteReference w:id="2"/>
              </w:r>
              <w:r>
                <w:t xml:space="preserve"> De Afdeling maakt twee opmerkingen.</w:t>
              </w:r>
            </w:p>
            <w:p w:rsidR="00C04FFD" w:rsidP="00CA2A3F" w:rsidRDefault="004764BB"/>
            <w:p w:rsidRPr="008B4466" w:rsidR="005C4496" w:rsidP="00CA2A3F" w:rsidRDefault="005644F4">
              <w:pPr>
                <w:rPr>
                  <w:i/>
                  <w:iCs/>
                </w:rPr>
              </w:pPr>
              <w:r w:rsidRPr="008B4466">
                <w:t>a.</w:t>
              </w:r>
              <w:r w:rsidRPr="008B4466">
                <w:tab/>
              </w:r>
              <w:r w:rsidRPr="008B4466">
                <w:rPr>
                  <w:i/>
                  <w:iCs/>
                </w:rPr>
                <w:t>Stand van zaken</w:t>
              </w:r>
              <w:r>
                <w:rPr>
                  <w:i/>
                  <w:iCs/>
                </w:rPr>
                <w:t xml:space="preserve"> aansluiting ICT-systemen</w:t>
              </w:r>
            </w:p>
            <w:p w:rsidR="00C04FFD" w:rsidP="001847B0" w:rsidRDefault="005644F4">
              <w:r>
                <w:t>De Afdeling wijst erop dat een goede aansluiting van systemen noodzakelijk is voor de effectiviteit van beide onderdelen van het wetsvoorstel. Uit de toelichting blijkt dat momenteel in proefprojecten wordt bezien op welke wijze uniforme aanlevering van het doodsoorzakenformulier aan het CBS op een zo laagdrempelige manier kan worden gerealiseerd in de systemen van de verschillende (soorten) zorgaanbieders en gemeentelijke lijkschouwers.</w:t>
              </w:r>
              <w:r>
                <w:rPr>
                  <w:rStyle w:val="Voetnootmarkering"/>
                </w:rPr>
                <w:footnoteReference w:id="3"/>
              </w:r>
              <w:r>
                <w:t xml:space="preserve"> </w:t>
              </w:r>
            </w:p>
            <w:p w:rsidR="00C04FFD" w:rsidP="001847B0" w:rsidRDefault="004764BB"/>
            <w:p w:rsidR="00B5736E" w:rsidP="001847B0" w:rsidRDefault="005644F4">
              <w:r>
                <w:t xml:space="preserve">Sinds bekendmaking van een </w:t>
              </w:r>
              <w:proofErr w:type="spellStart"/>
              <w:r>
                <w:t>concept-wetsvoorstel</w:t>
              </w:r>
              <w:proofErr w:type="spellEnd"/>
              <w:r>
                <w:t xml:space="preserve"> via de internetconsultatie is inmiddels geruime tijd verstreken.</w:t>
              </w:r>
              <w:r>
                <w:rPr>
                  <w:rStyle w:val="Voetnootmarkering"/>
                </w:rPr>
                <w:footnoteReference w:id="4"/>
              </w:r>
              <w:r>
                <w:t xml:space="preserve"> Om de effectiviteit van het voorstel goed te kunnen beoordelen adviseert de Afdeling de toelichting aan te vullen met de stand van zaken van de proefprojecten voor de aansluiting op elkaar van de ICT-systemen van het CBS, de aanleverende zorgaanbieders en de gemeentelijke lijkschouwers, respectievelijk de aansluiting van de systemen van de zorgaanbieders, de gemeentelijke lijkschouwers en de </w:t>
              </w:r>
              <w:proofErr w:type="spellStart"/>
              <w:r>
                <w:t>RTE’s</w:t>
              </w:r>
              <w:proofErr w:type="spellEnd"/>
              <w:r>
                <w:t xml:space="preserve">. </w:t>
              </w:r>
            </w:p>
            <w:p w:rsidR="008B4F61" w:rsidP="001847B0" w:rsidRDefault="004764BB"/>
            <w:p w:rsidR="00CA2A3F" w:rsidP="001847B0" w:rsidRDefault="005644F4">
              <w:r>
                <w:t>b.</w:t>
              </w:r>
              <w:r>
                <w:tab/>
              </w:r>
              <w:r w:rsidRPr="008B4466">
                <w:rPr>
                  <w:i/>
                  <w:iCs/>
                </w:rPr>
                <w:t>Financiële gevolgen</w:t>
              </w:r>
            </w:p>
            <w:p w:rsidR="000179F2" w:rsidP="0080576E" w:rsidRDefault="005644F4">
              <w:r>
                <w:t xml:space="preserve">De financiële gevolgen voor de aanpassing van de ICT-systemen van respectievelijk de zorgaanbieders, het CBS, de gemeentelijke lijkschouwers en de </w:t>
              </w:r>
              <w:proofErr w:type="spellStart"/>
              <w:r>
                <w:t>RTE’s</w:t>
              </w:r>
              <w:proofErr w:type="spellEnd"/>
              <w:r>
                <w:t xml:space="preserve"> zijn niet nader gekwantificeerd.</w:t>
              </w:r>
              <w:r>
                <w:rPr>
                  <w:rStyle w:val="Voetnootmarkering"/>
                </w:rPr>
                <w:footnoteReference w:id="5"/>
              </w:r>
              <w:r>
                <w:t xml:space="preserve"> De kosten kunnen een belemmering vormen voor de realisatie van de gewenste aansluitingen. Weliswaar wil de minister ondersteuning bieden bij de inwerkingtreding van de wet, maar uit de toelichting blijkt niet dat dit ook in financiële zin het geval is. </w:t>
              </w:r>
            </w:p>
            <w:p w:rsidR="000179F2" w:rsidP="0080576E" w:rsidRDefault="004764BB"/>
            <w:p w:rsidR="001847B0" w:rsidP="0080576E" w:rsidRDefault="005644F4">
              <w:r>
                <w:t>De Afdeling adviseert hierop in de toelichting nader in te gaan.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5644F4">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C67EC9" w:rsidRDefault="005644F4">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W13.20.0091</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5C4496" w:rsidP="00C35794" w:rsidRDefault="005644F4">
              <w:pPr>
                <w:numPr>
                  <w:ilvl w:val="0"/>
                  <w:numId w:val="1"/>
                </w:numPr>
              </w:pPr>
              <w:r>
                <w:t>In de samenloopbepaling Artikel II, onderdeel A, onder a, subonderdeel 1, de voorgestelde toevoeging na de tweede volzin, bezien in samenhang met de eerste volzin van artikel 7, vierde lid, zoals voorgesteld in artikel I, onderdeel B;</w:t>
              </w:r>
            </w:p>
            <w:p w:rsidR="00E70C71" w:rsidP="006546EF" w:rsidRDefault="005644F4">
              <w:pPr>
                <w:numPr>
                  <w:ilvl w:val="0"/>
                  <w:numId w:val="1"/>
                </w:numPr>
              </w:pPr>
              <w:r>
                <w:t>In de samenloopbepaling Artikel II, onderdeel A, onder c, vijfde lid, na ‘artikel 2:13, tweede lid’, toevoegen: ‘van die wet’.</w:t>
              </w:r>
            </w:p>
          </w:sdtContent>
        </w:sdt>
        <w:p w:rsidR="00C50D4F" w:rsidP="005841EA" w:rsidRDefault="004764BB">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F7A" w:rsidRDefault="005644F4" w:rsidP="001847B0">
      <w:r>
        <w:separator/>
      </w:r>
    </w:p>
    <w:p w:rsidR="00B62F7A" w:rsidRDefault="004764BB"/>
  </w:endnote>
  <w:endnote w:type="continuationSeparator" w:id="0">
    <w:p w:rsidR="00B62F7A" w:rsidRDefault="005644F4" w:rsidP="001847B0">
      <w:r>
        <w:continuationSeparator/>
      </w:r>
    </w:p>
    <w:p w:rsidR="00B62F7A" w:rsidRDefault="00476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F7A" w:rsidRDefault="005644F4" w:rsidP="001847B0">
      <w:r>
        <w:separator/>
      </w:r>
    </w:p>
    <w:p w:rsidR="00B62F7A" w:rsidRDefault="004764BB"/>
  </w:footnote>
  <w:footnote w:type="continuationSeparator" w:id="0">
    <w:p w:rsidR="00B62F7A" w:rsidRDefault="005644F4" w:rsidP="001847B0">
      <w:r>
        <w:continuationSeparator/>
      </w:r>
    </w:p>
    <w:p w:rsidR="00B62F7A" w:rsidRDefault="004764BB"/>
  </w:footnote>
  <w:footnote w:id="1">
    <w:p w:rsidR="00B62F7A" w:rsidRDefault="005644F4">
      <w:pPr>
        <w:pStyle w:val="Voetnoottekst"/>
      </w:pPr>
      <w:r>
        <w:rPr>
          <w:rStyle w:val="Voetnootmarkering"/>
        </w:rPr>
        <w:footnoteRef/>
      </w:r>
      <w:r>
        <w:tab/>
        <w:t xml:space="preserve">Artikel 7, tweede lid, Wet op de Lijkbezorging. </w:t>
      </w:r>
    </w:p>
  </w:footnote>
  <w:footnote w:id="2">
    <w:p w:rsidR="00B62F7A" w:rsidRDefault="005644F4">
      <w:pPr>
        <w:pStyle w:val="Voetnoottekst"/>
      </w:pPr>
      <w:r>
        <w:rPr>
          <w:rStyle w:val="Voetnootmarkering"/>
        </w:rPr>
        <w:footnoteRef/>
      </w:r>
      <w:r>
        <w:tab/>
        <w:t xml:space="preserve">Memorie van toelichting, paragraaf 1. </w:t>
      </w:r>
    </w:p>
  </w:footnote>
  <w:footnote w:id="3">
    <w:p w:rsidR="00B62F7A" w:rsidRDefault="005644F4">
      <w:pPr>
        <w:pStyle w:val="Voetnoottekst"/>
      </w:pPr>
      <w:r>
        <w:rPr>
          <w:rStyle w:val="Voetnootmarkering"/>
        </w:rPr>
        <w:footnoteRef/>
      </w:r>
      <w:r>
        <w:tab/>
        <w:t xml:space="preserve">Memorie van toelichting, paragraaf 6. </w:t>
      </w:r>
    </w:p>
  </w:footnote>
  <w:footnote w:id="4">
    <w:p w:rsidR="00B62F7A" w:rsidRPr="001847B0" w:rsidRDefault="005644F4">
      <w:pPr>
        <w:pStyle w:val="Voetnoottekst"/>
      </w:pPr>
      <w:r>
        <w:rPr>
          <w:rStyle w:val="Voetnootmarkering"/>
        </w:rPr>
        <w:footnoteRef/>
      </w:r>
      <w:r w:rsidRPr="001847B0">
        <w:tab/>
      </w:r>
      <w:r>
        <w:t>I</w:t>
      </w:r>
      <w:r w:rsidRPr="001847B0">
        <w:t xml:space="preserve">nternetconsultatie is gesloten op 15 </w:t>
      </w:r>
      <w:r>
        <w:t xml:space="preserve">september 2017, zie: </w:t>
      </w:r>
      <w:hyperlink r:id="rId1" w:history="1">
        <w:r w:rsidRPr="00A36378">
          <w:rPr>
            <w:rStyle w:val="Hyperlink"/>
          </w:rPr>
          <w:t>www.internetconsultatie.nl</w:t>
        </w:r>
      </w:hyperlink>
      <w:r>
        <w:t>.</w:t>
      </w:r>
      <w:r w:rsidRPr="001847B0">
        <w:t xml:space="preserve"> </w:t>
      </w:r>
    </w:p>
  </w:footnote>
  <w:footnote w:id="5">
    <w:p w:rsidR="00B62F7A" w:rsidRDefault="005644F4">
      <w:pPr>
        <w:pStyle w:val="Voetnoottekst"/>
      </w:pPr>
      <w:r>
        <w:rPr>
          <w:rStyle w:val="Voetnootmarkering"/>
        </w:rPr>
        <w:footnoteRef/>
      </w:r>
      <w:r>
        <w:tab/>
        <w:t xml:space="preserve">Memorie van toelichting, paragraaf 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764BB">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764BB">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09AB17A9"/>
    <w:multiLevelType w:val="hybridMultilevel"/>
    <w:tmpl w:val="B1825C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C474D7"/>
    <w:multiLevelType w:val="hybridMultilevel"/>
    <w:tmpl w:val="17F0DA20"/>
    <w:lvl w:ilvl="0" w:tplc="ECB4369A">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644C93"/>
    <w:multiLevelType w:val="hybridMultilevel"/>
    <w:tmpl w:val="CBFC1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C24371"/>
    <w:multiLevelType w:val="hybridMultilevel"/>
    <w:tmpl w:val="83D4CD7A"/>
    <w:lvl w:ilvl="0" w:tplc="B0AA1CC8">
      <w:start w:val="1"/>
      <w:numFmt w:val="lowerLetter"/>
      <w:lvlText w:val="%1."/>
      <w:lvlJc w:val="left"/>
      <w:pPr>
        <w:ind w:left="1080" w:hanging="360"/>
      </w:pPr>
      <w:rPr>
        <w:rFonts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B2350BF"/>
    <w:multiLevelType w:val="hybridMultilevel"/>
    <w:tmpl w:val="B6C65A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F7627D"/>
    <w:multiLevelType w:val="hybridMultilevel"/>
    <w:tmpl w:val="13B8C2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B12942"/>
    <w:multiLevelType w:val="hybridMultilevel"/>
    <w:tmpl w:val="91C0E3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
  </w:num>
  <w:num w:numId="5">
    <w:abstractNumId w:val="5"/>
  </w:num>
  <w:num w:numId="6">
    <w:abstractNumId w:val="2"/>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764BB"/>
    <w:rsid w:val="00554D49"/>
    <w:rsid w:val="005644F4"/>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67EC9"/>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CEEEFD4-5934-4797-974D-521092DF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3937E7"/>
    <w:rPr>
      <w:vertAlign w:val="superscript"/>
    </w:rPr>
  </w:style>
  <w:style w:type="character" w:styleId="Verwijzingopmerking">
    <w:name w:val="annotation reference"/>
    <w:basedOn w:val="Standaardalinea-lettertype"/>
    <w:semiHidden/>
    <w:unhideWhenUsed/>
    <w:rsid w:val="002C0354"/>
    <w:rPr>
      <w:sz w:val="16"/>
      <w:szCs w:val="16"/>
    </w:rPr>
  </w:style>
  <w:style w:type="paragraph" w:styleId="Tekstopmerking">
    <w:name w:val="annotation text"/>
    <w:basedOn w:val="Standaard"/>
    <w:link w:val="TekstopmerkingChar"/>
    <w:semiHidden/>
    <w:unhideWhenUsed/>
    <w:rsid w:val="002C0354"/>
    <w:rPr>
      <w:sz w:val="20"/>
      <w:szCs w:val="20"/>
    </w:rPr>
  </w:style>
  <w:style w:type="character" w:customStyle="1" w:styleId="TekstopmerkingChar">
    <w:name w:val="Tekst opmerking Char"/>
    <w:basedOn w:val="Standaardalinea-lettertype"/>
    <w:link w:val="Tekstopmerking"/>
    <w:semiHidden/>
    <w:rsid w:val="002C0354"/>
    <w:rPr>
      <w:rFonts w:ascii="Univers" w:hAnsi="Univers"/>
    </w:rPr>
  </w:style>
  <w:style w:type="paragraph" w:styleId="Onderwerpvanopmerking">
    <w:name w:val="annotation subject"/>
    <w:basedOn w:val="Tekstopmerking"/>
    <w:next w:val="Tekstopmerking"/>
    <w:link w:val="OnderwerpvanopmerkingChar"/>
    <w:semiHidden/>
    <w:unhideWhenUsed/>
    <w:rsid w:val="002C0354"/>
    <w:rPr>
      <w:b/>
      <w:bCs/>
    </w:rPr>
  </w:style>
  <w:style w:type="character" w:customStyle="1" w:styleId="OnderwerpvanopmerkingChar">
    <w:name w:val="Onderwerp van opmerking Char"/>
    <w:basedOn w:val="TekstopmerkingChar"/>
    <w:link w:val="Onderwerpvanopmerking"/>
    <w:semiHidden/>
    <w:rsid w:val="002C0354"/>
    <w:rPr>
      <w:rFonts w:ascii="Univers" w:hAnsi="Univers"/>
      <w:b/>
      <w:bCs/>
    </w:rPr>
  </w:style>
  <w:style w:type="character" w:styleId="Hyperlink">
    <w:name w:val="Hyperlink"/>
    <w:basedOn w:val="Standaardalinea-lettertype"/>
    <w:unhideWhenUsed/>
    <w:rsid w:val="001847B0"/>
    <w:rPr>
      <w:color w:val="0000FF" w:themeColor="hyperlink"/>
      <w:u w:val="single"/>
    </w:rPr>
  </w:style>
  <w:style w:type="character" w:customStyle="1" w:styleId="UnresolvedMention">
    <w:name w:val="Unresolved Mention"/>
    <w:basedOn w:val="Standaardalinea-lettertype"/>
    <w:uiPriority w:val="99"/>
    <w:semiHidden/>
    <w:unhideWhenUsed/>
    <w:rsid w:val="00184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internetconsultatie.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818</ap:Words>
  <ap:Characters>4868</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2020-08-18T14:24:00.0000000Z</dcterms:created>
  <dcterms:modified xsi:type="dcterms:W3CDTF">2020-08-18T14:24:00.0000000Z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0x010100937E8999036F684CA273BD54A0D92917</vt:lpwstr>
  </property>
</Properties>
</file>