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DCE" w:rsidP="00313DCE" w:rsidRDefault="00313DCE">
      <w:pPr>
        <w:rPr>
          <w:b/>
          <w:color w:val="44546A"/>
        </w:rPr>
      </w:pPr>
      <w:r>
        <w:rPr>
          <w:color w:val="44546A"/>
        </w:rPr>
        <w:br/>
      </w:r>
      <w:proofErr w:type="spellStart"/>
      <w:r w:rsidRPr="00313DCE">
        <w:rPr>
          <w:b/>
          <w:color w:val="44546A"/>
        </w:rPr>
        <w:t>Zaaknr</w:t>
      </w:r>
      <w:proofErr w:type="spellEnd"/>
      <w:r w:rsidRPr="00313DCE">
        <w:rPr>
          <w:b/>
          <w:color w:val="44546A"/>
        </w:rPr>
        <w:t>. 2020Z0</w:t>
      </w:r>
      <w:r>
        <w:rPr>
          <w:b/>
          <w:color w:val="44546A"/>
        </w:rPr>
        <w:t>8399</w:t>
      </w:r>
      <w:r w:rsidRPr="00313DCE">
        <w:rPr>
          <w:b/>
          <w:color w:val="44546A"/>
        </w:rPr>
        <w:br/>
      </w:r>
    </w:p>
    <w:p w:rsidRPr="00313DCE" w:rsidR="00313DCE" w:rsidP="00313DCE" w:rsidRDefault="00313DCE">
      <w:pPr>
        <w:rPr>
          <w:b/>
          <w:color w:val="44546A"/>
        </w:rPr>
      </w:pPr>
      <w:r>
        <w:rPr>
          <w:b/>
          <w:color w:val="44546A"/>
        </w:rPr>
        <w:t>Rondvraag: lid Dijkstra D66</w:t>
      </w:r>
      <w:r w:rsidRPr="00313DCE">
        <w:rPr>
          <w:b/>
          <w:color w:val="44546A"/>
        </w:rPr>
        <w:br/>
      </w:r>
      <w:r w:rsidRPr="00313DCE">
        <w:rPr>
          <w:b/>
          <w:color w:val="44546A"/>
        </w:rPr>
        <w:br/>
      </w:r>
      <w:r w:rsidRPr="00313DCE">
        <w:rPr>
          <w:b/>
          <w:color w:val="44546A"/>
        </w:rPr>
        <w:br/>
      </w:r>
      <w:r w:rsidRPr="00313DCE">
        <w:rPr>
          <w:b/>
          <w:color w:val="44546A"/>
        </w:rPr>
        <w:br/>
      </w:r>
    </w:p>
    <w:p w:rsidR="00313DCE" w:rsidP="00313DCE" w:rsidRDefault="00313DCE">
      <w:pPr>
        <w:pStyle w:val="Lijstalinea"/>
        <w:numPr>
          <w:ilvl w:val="0"/>
          <w:numId w:val="1"/>
        </w:numPr>
      </w:pPr>
      <w:r>
        <w:rPr>
          <w:color w:val="44546A"/>
        </w:rPr>
        <w:t xml:space="preserve">Een verzoek om een stand van zaken van de minister van Volksgezondheid, Welzijn en Sport over de richtlijn die in werking treedt wanneer wij onverhoopt in het derde blok van fase 3 van de pandemie belanden. In de brief van 7 april 2020 </w:t>
      </w:r>
      <w:bookmarkStart w:name="_GoBack" w:id="0"/>
      <w:r>
        <w:rPr>
          <w:color w:val="44546A"/>
        </w:rPr>
        <w:t>(Kamerstuk 25295, nr. 219</w:t>
      </w:r>
      <w:bookmarkEnd w:id="0"/>
      <w:r>
        <w:rPr>
          <w:color w:val="44546A"/>
        </w:rPr>
        <w:t xml:space="preserve">) werd gezegd dat de richtlijn zou worden geconsulteerd bij “alle relevante partijen waaronder artsen, verpleegkundigen, bestuurders, ouderenorganisaties en </w:t>
      </w:r>
      <w:proofErr w:type="spellStart"/>
      <w:r>
        <w:rPr>
          <w:color w:val="44546A"/>
        </w:rPr>
        <w:t>patiëntenvertegenwoordigers</w:t>
      </w:r>
      <w:proofErr w:type="spellEnd"/>
      <w:r>
        <w:rPr>
          <w:color w:val="44546A"/>
        </w:rPr>
        <w:t xml:space="preserve">” maar daarna hebben wij hier niks meer over kunnen vinden in de brieven. </w:t>
      </w:r>
    </w:p>
    <w:p w:rsidR="00E93A12" w:rsidRDefault="00E93A12"/>
    <w:sectPr w:rsidR="00E93A1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26F93"/>
    <w:multiLevelType w:val="hybridMultilevel"/>
    <w:tmpl w:val="6268B6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CE"/>
    <w:rsid w:val="00313DCE"/>
    <w:rsid w:val="00E93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A8D7"/>
  <w15:chartTrackingRefBased/>
  <w15:docId w15:val="{F9C9F8DD-2939-4F94-B272-E7279784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3DC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88</ap:Words>
  <ap:Characters>486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2020-05-12T07:30:00.0000000Z</dcterms:created>
  <dcterms:modified xsi:type="dcterms:W3CDTF">2020-05-12T07:35:00.0000000Z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0x010100D5B294E12822DD4286CFB239DBB7F831</vt:lpwstr>
  </property>
</Properties>
</file>