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7E66A1" w:rsidR="004B621E" w:rsidRDefault="007E66A1">
      <w:pPr>
        <w:pStyle w:val="Corps"/>
        <w:jc w:val="center"/>
        <w:rPr>
          <w:rFonts w:ascii="Book Antiqua" w:hAnsi="Book Antiqua"/>
          <w:b/>
          <w:bCs/>
          <w:sz w:val="20"/>
          <w:szCs w:val="20"/>
        </w:rPr>
      </w:pPr>
      <w:r w:rsidRPr="007E66A1">
        <w:rPr>
          <w:rFonts w:ascii="Book Antiqua" w:hAnsi="Book Antiqua"/>
          <w:b/>
          <w:bCs/>
          <w:sz w:val="20"/>
          <w:szCs w:val="20"/>
        </w:rPr>
        <w:t>Dicastocracy and supranationalism</w:t>
      </w:r>
    </w:p>
    <w:p w:rsidRPr="007E66A1" w:rsidR="004B621E" w:rsidRDefault="004B621E">
      <w:pPr>
        <w:pStyle w:val="Corps"/>
        <w:jc w:val="center"/>
        <w:rPr>
          <w:rFonts w:ascii="Book Antiqua" w:hAnsi="Book Antiqua"/>
          <w:b/>
          <w:bCs/>
          <w:sz w:val="20"/>
          <w:szCs w:val="20"/>
        </w:rPr>
      </w:pPr>
    </w:p>
    <w:p w:rsidRPr="007E66A1" w:rsidR="004B621E" w:rsidRDefault="007E66A1">
      <w:pPr>
        <w:pStyle w:val="Corps"/>
        <w:jc w:val="center"/>
        <w:rPr>
          <w:rFonts w:ascii="Book Antiqua" w:hAnsi="Book Antiqua"/>
          <w:b/>
          <w:bCs/>
          <w:sz w:val="20"/>
          <w:szCs w:val="20"/>
        </w:rPr>
      </w:pPr>
      <w:r w:rsidRPr="007E66A1">
        <w:rPr>
          <w:rFonts w:ascii="Book Antiqua" w:hAnsi="Book Antiqua"/>
          <w:b/>
          <w:bCs/>
          <w:sz w:val="20"/>
          <w:szCs w:val="20"/>
        </w:rPr>
        <w:t>Paper submitted to the Interior Committee of the Tweede Kamer for the hearings on 9 March 2020</w:t>
      </w:r>
    </w:p>
    <w:p w:rsidRPr="007E66A1" w:rsidR="004B621E" w:rsidRDefault="004B621E">
      <w:pPr>
        <w:pStyle w:val="Corps"/>
        <w:jc w:val="center"/>
        <w:rPr>
          <w:rFonts w:ascii="Book Antiqua" w:hAnsi="Book Antiqua"/>
          <w:b/>
          <w:bCs/>
          <w:sz w:val="20"/>
          <w:szCs w:val="20"/>
        </w:rPr>
      </w:pPr>
    </w:p>
    <w:p w:rsidRPr="007E66A1" w:rsidR="004B621E" w:rsidRDefault="007E66A1">
      <w:pPr>
        <w:pStyle w:val="Corps"/>
        <w:jc w:val="center"/>
        <w:rPr>
          <w:rFonts w:ascii="Book Antiqua" w:hAnsi="Book Antiqua"/>
          <w:b/>
          <w:bCs/>
          <w:sz w:val="20"/>
          <w:szCs w:val="20"/>
        </w:rPr>
      </w:pPr>
      <w:r w:rsidRPr="007E66A1">
        <w:rPr>
          <w:rFonts w:ascii="Book Antiqua" w:hAnsi="Book Antiqua"/>
          <w:b/>
          <w:bCs/>
          <w:sz w:val="20"/>
          <w:szCs w:val="20"/>
        </w:rPr>
        <w:t>by John Laughland</w:t>
      </w:r>
      <w:r w:rsidRPr="007E66A1">
        <w:rPr>
          <w:rStyle w:val="Aucun"/>
          <w:rFonts w:ascii="Book Antiqua" w:hAnsi="Book Antiqua"/>
          <w:b/>
          <w:bCs/>
          <w:sz w:val="20"/>
          <w:szCs w:val="20"/>
          <w:vertAlign w:val="superscript"/>
        </w:rPr>
        <w:footnoteReference w:id="2"/>
      </w:r>
    </w:p>
    <w:p w:rsidRPr="007E66A1" w:rsidR="004B621E" w:rsidRDefault="004B621E">
      <w:pPr>
        <w:pStyle w:val="Corps"/>
        <w:jc w:val="center"/>
        <w:rPr>
          <w:rFonts w:ascii="Book Antiqua" w:hAnsi="Book Antiqua"/>
          <w:sz w:val="20"/>
          <w:szCs w:val="20"/>
        </w:rPr>
      </w:pPr>
    </w:p>
    <w:p w:rsidRPr="007E66A1" w:rsidR="004B621E" w:rsidRDefault="007E66A1">
      <w:pPr>
        <w:pStyle w:val="Corps"/>
        <w:jc w:val="both"/>
        <w:rPr>
          <w:rFonts w:ascii="Book Antiqua" w:hAnsi="Book Antiqua"/>
          <w:sz w:val="20"/>
          <w:szCs w:val="20"/>
        </w:rPr>
      </w:pPr>
      <w:r w:rsidRPr="007E66A1">
        <w:rPr>
          <w:rFonts w:ascii="Book Antiqua" w:hAnsi="Book Antiqua"/>
          <w:sz w:val="20"/>
          <w:szCs w:val="20"/>
        </w:rPr>
        <w:t>The debate about the right balance between the judiciary, the legislatur</w:t>
      </w:r>
      <w:r w:rsidRPr="007E66A1">
        <w:rPr>
          <w:rFonts w:ascii="Book Antiqua" w:hAnsi="Book Antiqua"/>
          <w:sz w:val="20"/>
          <w:szCs w:val="20"/>
        </w:rPr>
        <w:t>e and the executive turns on an understanding of what the role of the judge should be in a state of law.  This understanding has been corrupted in recent decades, especially by international courts.</w:t>
      </w:r>
    </w:p>
    <w:p w:rsidRPr="007E66A1" w:rsidR="004B621E" w:rsidRDefault="004B621E">
      <w:pPr>
        <w:pStyle w:val="Corps"/>
        <w:jc w:val="both"/>
        <w:rPr>
          <w:rFonts w:ascii="Book Antiqua" w:hAnsi="Book Antiqua"/>
          <w:sz w:val="20"/>
          <w:szCs w:val="20"/>
        </w:rPr>
      </w:pPr>
    </w:p>
    <w:p w:rsidRPr="007E66A1" w:rsidR="004B621E" w:rsidRDefault="007E66A1">
      <w:pPr>
        <w:pStyle w:val="Corps"/>
        <w:jc w:val="both"/>
        <w:rPr>
          <w:rFonts w:ascii="Book Antiqua" w:hAnsi="Book Antiqua"/>
          <w:sz w:val="20"/>
          <w:szCs w:val="20"/>
        </w:rPr>
      </w:pPr>
      <w:r w:rsidRPr="007E66A1">
        <w:rPr>
          <w:rFonts w:ascii="Book Antiqua" w:hAnsi="Book Antiqua"/>
          <w:sz w:val="20"/>
          <w:szCs w:val="20"/>
        </w:rPr>
        <w:t>Reflection on the rule of law is as old as political phi</w:t>
      </w:r>
      <w:r w:rsidRPr="007E66A1">
        <w:rPr>
          <w:rFonts w:ascii="Book Antiqua" w:hAnsi="Book Antiqua"/>
          <w:sz w:val="20"/>
          <w:szCs w:val="20"/>
        </w:rPr>
        <w:t xml:space="preserve">losophy itself.  Aristotle is only one of the first of a long line of philosophers to say that, </w:t>
      </w:r>
      <w:r w:rsidRPr="007E66A1">
        <w:rPr>
          <w:rFonts w:ascii="Book Antiqua" w:hAnsi="Book Antiqua"/>
          <w:sz w:val="20"/>
          <w:szCs w:val="20"/>
        </w:rPr>
        <w:t>‘</w:t>
      </w:r>
      <w:r w:rsidRPr="007E66A1">
        <w:rPr>
          <w:rFonts w:ascii="Book Antiqua" w:hAnsi="Book Antiqua"/>
          <w:sz w:val="20"/>
          <w:szCs w:val="20"/>
        </w:rPr>
        <w:t>The rule of law is preferable to that of any individual.'</w:t>
      </w:r>
      <w:r w:rsidRPr="007E66A1">
        <w:rPr>
          <w:rStyle w:val="Aucun"/>
          <w:rFonts w:ascii="Book Antiqua" w:hAnsi="Book Antiqua"/>
          <w:sz w:val="20"/>
          <w:szCs w:val="20"/>
          <w:vertAlign w:val="superscript"/>
        </w:rPr>
        <w:footnoteReference w:id="3"/>
      </w:r>
      <w:r w:rsidRPr="007E66A1">
        <w:rPr>
          <w:rFonts w:ascii="Book Antiqua" w:hAnsi="Book Antiqua"/>
          <w:sz w:val="20"/>
          <w:szCs w:val="20"/>
        </w:rPr>
        <w:t xml:space="preserve">  Those who govern, he wrote, </w:t>
      </w:r>
      <w:r w:rsidRPr="007E66A1">
        <w:rPr>
          <w:rFonts w:ascii="Book Antiqua" w:hAnsi="Book Antiqua"/>
          <w:sz w:val="20"/>
          <w:szCs w:val="20"/>
        </w:rPr>
        <w:t>‘</w:t>
      </w:r>
      <w:r w:rsidRPr="007E66A1">
        <w:rPr>
          <w:rFonts w:ascii="Book Antiqua" w:hAnsi="Book Antiqua"/>
          <w:sz w:val="20"/>
          <w:szCs w:val="20"/>
          <w:lang w:val="en-US"/>
        </w:rPr>
        <w:t xml:space="preserve">must be appointed as guardians of the laws and in subordination to </w:t>
      </w:r>
      <w:r w:rsidRPr="007E66A1">
        <w:rPr>
          <w:rFonts w:ascii="Book Antiqua" w:hAnsi="Book Antiqua"/>
          <w:sz w:val="20"/>
          <w:szCs w:val="20"/>
          <w:lang w:val="en-US"/>
        </w:rPr>
        <w:t>them</w:t>
      </w:r>
      <w:r w:rsidRPr="007E66A1">
        <w:rPr>
          <w:rFonts w:ascii="Book Antiqua" w:hAnsi="Book Antiqua"/>
          <w:sz w:val="20"/>
          <w:szCs w:val="20"/>
        </w:rPr>
        <w:t>.</w:t>
      </w:r>
      <w:r w:rsidRPr="007E66A1">
        <w:rPr>
          <w:rFonts w:ascii="Book Antiqua" w:hAnsi="Book Antiqua"/>
          <w:sz w:val="20"/>
          <w:szCs w:val="20"/>
        </w:rPr>
        <w:t>’</w:t>
      </w:r>
      <w:r w:rsidRPr="007E66A1">
        <w:rPr>
          <w:rStyle w:val="Aucun"/>
          <w:rFonts w:ascii="Book Antiqua" w:hAnsi="Book Antiqua"/>
          <w:sz w:val="20"/>
          <w:szCs w:val="20"/>
          <w:vertAlign w:val="superscript"/>
        </w:rPr>
        <w:footnoteReference w:id="4"/>
      </w:r>
      <w:r w:rsidRPr="007E66A1">
        <w:rPr>
          <w:rFonts w:ascii="Book Antiqua" w:hAnsi="Book Antiqua"/>
          <w:sz w:val="20"/>
          <w:szCs w:val="20"/>
        </w:rPr>
        <w:t xml:space="preserve">  This subjection to the law applies, crucially, as much as to judges as to rulers: </w:t>
      </w:r>
      <w:r w:rsidRPr="007E66A1">
        <w:rPr>
          <w:rFonts w:ascii="Book Antiqua" w:hAnsi="Book Antiqua"/>
          <w:sz w:val="20"/>
          <w:szCs w:val="20"/>
        </w:rPr>
        <w:t>‘</w:t>
      </w:r>
      <w:r w:rsidRPr="007E66A1">
        <w:rPr>
          <w:rFonts w:ascii="Book Antiqua" w:hAnsi="Book Antiqua"/>
          <w:sz w:val="20"/>
          <w:szCs w:val="20"/>
        </w:rPr>
        <w:t>W</w:t>
      </w:r>
      <w:r w:rsidRPr="007E66A1">
        <w:rPr>
          <w:rFonts w:ascii="Book Antiqua" w:hAnsi="Book Antiqua"/>
          <w:sz w:val="20"/>
          <w:szCs w:val="20"/>
          <w:lang w:val="en-US"/>
        </w:rPr>
        <w:t>ell-drawn laws should themselves define all the points they possibly can and leave as few as may be to the decision of the judges</w:t>
      </w:r>
      <w:r w:rsidRPr="007E66A1">
        <w:rPr>
          <w:rFonts w:ascii="Book Antiqua" w:hAnsi="Book Antiqua"/>
          <w:sz w:val="20"/>
          <w:szCs w:val="20"/>
        </w:rPr>
        <w:t xml:space="preserve"> </w:t>
      </w:r>
      <w:r w:rsidRPr="007E66A1">
        <w:rPr>
          <w:rFonts w:ascii="Book Antiqua" w:hAnsi="Book Antiqua"/>
          <w:sz w:val="20"/>
          <w:szCs w:val="20"/>
        </w:rPr>
        <w:t>…</w:t>
      </w:r>
      <w:r w:rsidRPr="007E66A1">
        <w:rPr>
          <w:rFonts w:ascii="Book Antiqua" w:hAnsi="Book Antiqua"/>
          <w:sz w:val="20"/>
          <w:szCs w:val="20"/>
        </w:rPr>
        <w:t xml:space="preserve"> I</w:t>
      </w:r>
      <w:r w:rsidRPr="007E66A1">
        <w:rPr>
          <w:rFonts w:ascii="Book Antiqua" w:hAnsi="Book Antiqua"/>
          <w:sz w:val="20"/>
          <w:szCs w:val="20"/>
          <w:lang w:val="en-US"/>
        </w:rPr>
        <w:t>n general, the judge should</w:t>
      </w:r>
      <w:r w:rsidRPr="007E66A1">
        <w:rPr>
          <w:rFonts w:ascii="Book Antiqua" w:hAnsi="Book Antiqua"/>
          <w:sz w:val="20"/>
          <w:szCs w:val="20"/>
        </w:rPr>
        <w:t xml:space="preserve"> </w:t>
      </w:r>
      <w:r w:rsidRPr="007E66A1">
        <w:rPr>
          <w:rFonts w:ascii="Book Antiqua" w:hAnsi="Book Antiqua"/>
          <w:sz w:val="20"/>
          <w:szCs w:val="20"/>
          <w:lang w:val="en-US"/>
        </w:rPr>
        <w:t>be</w:t>
      </w:r>
      <w:r w:rsidRPr="007E66A1">
        <w:rPr>
          <w:rFonts w:ascii="Book Antiqua" w:hAnsi="Book Antiqua"/>
          <w:sz w:val="20"/>
          <w:szCs w:val="20"/>
          <w:lang w:val="en-US"/>
        </w:rPr>
        <w:t xml:space="preserve"> allowed to decide as few things as possible</w:t>
      </w:r>
      <w:r w:rsidRPr="007E66A1">
        <w:rPr>
          <w:rFonts w:ascii="Book Antiqua" w:hAnsi="Book Antiqua"/>
          <w:sz w:val="20"/>
          <w:szCs w:val="20"/>
        </w:rPr>
        <w:t>.</w:t>
      </w:r>
      <w:r w:rsidRPr="007E66A1">
        <w:rPr>
          <w:rFonts w:ascii="Book Antiqua" w:hAnsi="Book Antiqua"/>
          <w:sz w:val="20"/>
          <w:szCs w:val="20"/>
        </w:rPr>
        <w:t>’</w:t>
      </w:r>
      <w:r w:rsidRPr="007E66A1">
        <w:rPr>
          <w:rStyle w:val="Aucun"/>
          <w:rFonts w:ascii="Book Antiqua" w:hAnsi="Book Antiqua"/>
          <w:sz w:val="20"/>
          <w:szCs w:val="20"/>
          <w:vertAlign w:val="superscript"/>
        </w:rPr>
        <w:footnoteReference w:id="5"/>
      </w:r>
      <w:r w:rsidRPr="007E66A1">
        <w:rPr>
          <w:rFonts w:ascii="Book Antiqua" w:hAnsi="Book Antiqua"/>
          <w:sz w:val="20"/>
          <w:szCs w:val="20"/>
        </w:rPr>
        <w:t xml:space="preserve">  Cicero agreed that the judge must </w:t>
      </w:r>
      <w:r w:rsidRPr="007E66A1">
        <w:rPr>
          <w:rFonts w:ascii="Book Antiqua" w:hAnsi="Book Antiqua"/>
          <w:sz w:val="20"/>
          <w:szCs w:val="20"/>
        </w:rPr>
        <w:t>‘</w:t>
      </w:r>
      <w:r w:rsidRPr="007E66A1">
        <w:rPr>
          <w:rFonts w:ascii="Book Antiqua" w:hAnsi="Book Antiqua"/>
          <w:sz w:val="20"/>
          <w:szCs w:val="20"/>
        </w:rPr>
        <w:t>say</w:t>
      </w:r>
      <w:r w:rsidRPr="007E66A1">
        <w:rPr>
          <w:rFonts w:ascii="Book Antiqua" w:hAnsi="Book Antiqua"/>
          <w:sz w:val="20"/>
          <w:szCs w:val="20"/>
        </w:rPr>
        <w:t>’</w:t>
      </w:r>
      <w:r w:rsidRPr="007E66A1">
        <w:rPr>
          <w:rFonts w:ascii="Book Antiqua" w:hAnsi="Book Antiqua"/>
          <w:sz w:val="20"/>
          <w:szCs w:val="20"/>
        </w:rPr>
        <w:t xml:space="preserve"> the law as it is (the vocabulary of judicial activity contains numerous metaphors of speech: sentence, ver</w:t>
      </w:r>
      <w:r w:rsidRPr="007E66A1">
        <w:rPr>
          <w:rStyle w:val="Aucun"/>
          <w:rFonts w:ascii="Book Antiqua" w:hAnsi="Book Antiqua"/>
          <w:sz w:val="20"/>
          <w:szCs w:val="20"/>
          <w:u w:val="single"/>
        </w:rPr>
        <w:t>dict</w:t>
      </w:r>
      <w:r w:rsidRPr="007E66A1">
        <w:rPr>
          <w:rFonts w:ascii="Book Antiqua" w:hAnsi="Book Antiqua"/>
          <w:sz w:val="20"/>
          <w:szCs w:val="20"/>
        </w:rPr>
        <w:t>, juris</w:t>
      </w:r>
      <w:r w:rsidRPr="007E66A1">
        <w:rPr>
          <w:rStyle w:val="Aucun"/>
          <w:rFonts w:ascii="Book Antiqua" w:hAnsi="Book Antiqua"/>
          <w:sz w:val="20"/>
          <w:szCs w:val="20"/>
          <w:u w:val="single"/>
        </w:rPr>
        <w:t>diction</w:t>
      </w:r>
      <w:r w:rsidRPr="007E66A1">
        <w:rPr>
          <w:rFonts w:ascii="Book Antiqua" w:hAnsi="Book Antiqua"/>
          <w:sz w:val="20"/>
          <w:szCs w:val="20"/>
        </w:rPr>
        <w:t xml:space="preserve"> etc.) </w:t>
      </w:r>
      <w:r w:rsidRPr="007E66A1">
        <w:rPr>
          <w:rStyle w:val="Aucun"/>
          <w:rFonts w:ascii="Book Antiqua" w:hAnsi="Book Antiqua"/>
          <w:i/>
          <w:iCs/>
          <w:sz w:val="20"/>
          <w:szCs w:val="20"/>
        </w:rPr>
        <w:t xml:space="preserve">vereque dici potest magistrate lege </w:t>
      </w:r>
      <w:r w:rsidRPr="007E66A1">
        <w:rPr>
          <w:rStyle w:val="Aucun"/>
          <w:rFonts w:ascii="Book Antiqua" w:hAnsi="Book Antiqua"/>
          <w:i/>
          <w:iCs/>
          <w:sz w:val="20"/>
          <w:szCs w:val="20"/>
        </w:rPr>
        <w:t>esse loquentem</w:t>
      </w:r>
      <w:r w:rsidRPr="007E66A1">
        <w:rPr>
          <w:rStyle w:val="Aucun"/>
          <w:rFonts w:ascii="Book Antiqua" w:hAnsi="Book Antiqua"/>
          <w:sz w:val="20"/>
          <w:szCs w:val="20"/>
          <w:vertAlign w:val="superscript"/>
        </w:rPr>
        <w:footnoteReference w:id="6"/>
      </w:r>
      <w:r w:rsidRPr="007E66A1">
        <w:rPr>
          <w:rFonts w:ascii="Book Antiqua" w:hAnsi="Book Antiqua"/>
          <w:sz w:val="20"/>
          <w:szCs w:val="20"/>
        </w:rPr>
        <w:t xml:space="preserve"> (</w:t>
      </w:r>
      <w:r w:rsidRPr="007E66A1">
        <w:rPr>
          <w:rFonts w:ascii="Book Antiqua" w:hAnsi="Book Antiqua"/>
          <w:sz w:val="20"/>
          <w:szCs w:val="20"/>
        </w:rPr>
        <w:t>‘</w:t>
      </w:r>
      <w:r w:rsidRPr="007E66A1">
        <w:rPr>
          <w:rFonts w:ascii="Book Antiqua" w:hAnsi="Book Antiqua"/>
          <w:sz w:val="20"/>
          <w:szCs w:val="20"/>
        </w:rPr>
        <w:t>We can say that the magistrate is speaking law,</w:t>
      </w:r>
      <w:r w:rsidRPr="007E66A1">
        <w:rPr>
          <w:rFonts w:ascii="Book Antiqua" w:hAnsi="Book Antiqua"/>
          <w:sz w:val="20"/>
          <w:szCs w:val="20"/>
        </w:rPr>
        <w:t>’</w:t>
      </w:r>
      <w:r w:rsidRPr="007E66A1">
        <w:rPr>
          <w:rFonts w:ascii="Book Antiqua" w:hAnsi="Book Antiqua"/>
          <w:sz w:val="20"/>
          <w:szCs w:val="20"/>
        </w:rPr>
        <w:t xml:space="preserve"> or </w:t>
      </w:r>
      <w:r w:rsidRPr="007E66A1">
        <w:rPr>
          <w:rFonts w:ascii="Book Antiqua" w:hAnsi="Book Antiqua"/>
          <w:sz w:val="20"/>
          <w:szCs w:val="20"/>
        </w:rPr>
        <w:t>‘</w:t>
      </w:r>
      <w:r w:rsidRPr="007E66A1">
        <w:rPr>
          <w:rFonts w:ascii="Book Antiqua" w:hAnsi="Book Antiqua"/>
          <w:sz w:val="20"/>
          <w:szCs w:val="20"/>
        </w:rPr>
        <w:t>the mouthpiece of the law.</w:t>
      </w:r>
      <w:r w:rsidRPr="007E66A1">
        <w:rPr>
          <w:rFonts w:ascii="Book Antiqua" w:hAnsi="Book Antiqua"/>
          <w:sz w:val="20"/>
          <w:szCs w:val="20"/>
        </w:rPr>
        <w:t>’</w:t>
      </w:r>
      <w:r w:rsidRPr="007E66A1">
        <w:rPr>
          <w:rFonts w:ascii="Book Antiqua" w:hAnsi="Book Antiqua"/>
          <w:sz w:val="20"/>
          <w:szCs w:val="20"/>
        </w:rPr>
        <w:t xml:space="preserve">)  When in the modern period, John Locke insisted on the need for states to be governed by </w:t>
      </w:r>
      <w:r w:rsidRPr="007E66A1">
        <w:rPr>
          <w:rFonts w:ascii="Book Antiqua" w:hAnsi="Book Antiqua"/>
          <w:sz w:val="20"/>
          <w:szCs w:val="20"/>
        </w:rPr>
        <w:t>‘</w:t>
      </w:r>
      <w:r w:rsidRPr="007E66A1">
        <w:rPr>
          <w:rFonts w:ascii="Book Antiqua" w:hAnsi="Book Antiqua"/>
          <w:sz w:val="20"/>
          <w:szCs w:val="20"/>
        </w:rPr>
        <w:t>promulgated, standing laws</w:t>
      </w:r>
      <w:r w:rsidRPr="007E66A1">
        <w:rPr>
          <w:rFonts w:ascii="Book Antiqua" w:hAnsi="Book Antiqua"/>
          <w:sz w:val="20"/>
          <w:szCs w:val="20"/>
        </w:rPr>
        <w:t>’</w:t>
      </w:r>
      <w:r w:rsidRPr="007E66A1">
        <w:rPr>
          <w:rFonts w:ascii="Book Antiqua" w:hAnsi="Book Antiqua"/>
          <w:sz w:val="20"/>
          <w:szCs w:val="20"/>
        </w:rPr>
        <w:t xml:space="preserve"> or </w:t>
      </w:r>
      <w:r w:rsidRPr="007E66A1">
        <w:rPr>
          <w:rFonts w:ascii="Book Antiqua" w:hAnsi="Book Antiqua"/>
          <w:sz w:val="20"/>
          <w:szCs w:val="20"/>
        </w:rPr>
        <w:t>‘</w:t>
      </w:r>
      <w:r w:rsidRPr="007E66A1">
        <w:rPr>
          <w:rFonts w:ascii="Book Antiqua" w:hAnsi="Book Antiqua"/>
          <w:sz w:val="20"/>
          <w:szCs w:val="20"/>
        </w:rPr>
        <w:t>declared laws</w:t>
      </w:r>
      <w:r w:rsidRPr="007E66A1">
        <w:rPr>
          <w:rFonts w:ascii="Book Antiqua" w:hAnsi="Book Antiqua"/>
          <w:sz w:val="20"/>
          <w:szCs w:val="20"/>
        </w:rPr>
        <w:t>’</w:t>
      </w:r>
      <w:r w:rsidRPr="007E66A1">
        <w:rPr>
          <w:rStyle w:val="Aucun"/>
          <w:rFonts w:ascii="Book Antiqua" w:hAnsi="Book Antiqua"/>
          <w:sz w:val="20"/>
          <w:szCs w:val="20"/>
          <w:vertAlign w:val="superscript"/>
        </w:rPr>
        <w:footnoteReference w:id="7"/>
      </w:r>
      <w:r w:rsidRPr="007E66A1">
        <w:rPr>
          <w:rFonts w:ascii="Book Antiqua" w:hAnsi="Book Antiqua"/>
          <w:sz w:val="20"/>
          <w:szCs w:val="20"/>
        </w:rPr>
        <w:t xml:space="preserve"> , or else men woul</w:t>
      </w:r>
      <w:r w:rsidRPr="007E66A1">
        <w:rPr>
          <w:rFonts w:ascii="Book Antiqua" w:hAnsi="Book Antiqua"/>
          <w:sz w:val="20"/>
          <w:szCs w:val="20"/>
        </w:rPr>
        <w:t>d be back in the anarchy of the state of nature, he was also insisting that judges must not make new law in their rulings.</w:t>
      </w:r>
    </w:p>
    <w:p w:rsidRPr="007E66A1" w:rsidR="004B621E" w:rsidRDefault="004B621E">
      <w:pPr>
        <w:pStyle w:val="Corps"/>
        <w:jc w:val="both"/>
        <w:rPr>
          <w:rFonts w:ascii="Book Antiqua" w:hAnsi="Book Antiqua"/>
          <w:sz w:val="20"/>
          <w:szCs w:val="20"/>
        </w:rPr>
      </w:pPr>
    </w:p>
    <w:p w:rsidRPr="007E66A1" w:rsidR="004B621E" w:rsidRDefault="007E66A1">
      <w:pPr>
        <w:pStyle w:val="Corps"/>
        <w:jc w:val="both"/>
        <w:rPr>
          <w:rFonts w:ascii="Book Antiqua" w:hAnsi="Book Antiqua"/>
          <w:sz w:val="20"/>
          <w:szCs w:val="20"/>
        </w:rPr>
      </w:pPr>
      <w:r w:rsidRPr="007E66A1">
        <w:rPr>
          <w:rFonts w:ascii="Book Antiqua" w:hAnsi="Book Antiqua"/>
          <w:sz w:val="20"/>
          <w:szCs w:val="20"/>
        </w:rPr>
        <w:t xml:space="preserve">In his famous article, </w:t>
      </w:r>
      <w:r w:rsidRPr="007E66A1">
        <w:rPr>
          <w:rStyle w:val="Aucun"/>
          <w:rFonts w:ascii="Book Antiqua" w:hAnsi="Book Antiqua"/>
          <w:i/>
          <w:iCs/>
          <w:sz w:val="20"/>
          <w:szCs w:val="20"/>
        </w:rPr>
        <w:t>Hard Cases</w:t>
      </w:r>
      <w:r w:rsidRPr="007E66A1">
        <w:rPr>
          <w:rFonts w:ascii="Book Antiqua" w:hAnsi="Book Antiqua"/>
          <w:sz w:val="20"/>
          <w:szCs w:val="20"/>
        </w:rPr>
        <w:t xml:space="preserve">, the 20th century liberal legal philosopher, Ronald Dworkin, insisted that judges could </w:t>
      </w:r>
      <w:r w:rsidRPr="007E66A1">
        <w:rPr>
          <w:rFonts w:ascii="Book Antiqua" w:hAnsi="Book Antiqua"/>
          <w:sz w:val="20"/>
          <w:szCs w:val="20"/>
        </w:rPr>
        <w:t>‘</w:t>
      </w:r>
      <w:r w:rsidRPr="007E66A1">
        <w:rPr>
          <w:rFonts w:ascii="Book Antiqua" w:hAnsi="Book Antiqua"/>
          <w:sz w:val="20"/>
          <w:szCs w:val="20"/>
        </w:rPr>
        <w:t>make law</w:t>
      </w:r>
      <w:r w:rsidRPr="007E66A1">
        <w:rPr>
          <w:rFonts w:ascii="Book Antiqua" w:hAnsi="Book Antiqua"/>
          <w:sz w:val="20"/>
          <w:szCs w:val="20"/>
        </w:rPr>
        <w:t>’</w:t>
      </w:r>
      <w:r w:rsidRPr="007E66A1">
        <w:rPr>
          <w:rFonts w:ascii="Book Antiqua" w:hAnsi="Book Antiqua"/>
          <w:sz w:val="20"/>
          <w:szCs w:val="20"/>
        </w:rPr>
        <w:t>, i.e. rule on cases for which statute law had not made explicit provision, only by discerning either principles or intentions in statute or precedent.  Of course jurists could disagree about the value of certain precedents or statutes, about whether or no</w:t>
      </w:r>
      <w:r w:rsidRPr="007E66A1">
        <w:rPr>
          <w:rFonts w:ascii="Book Antiqua" w:hAnsi="Book Antiqua"/>
          <w:sz w:val="20"/>
          <w:szCs w:val="20"/>
        </w:rPr>
        <w:t xml:space="preserve">t they establish a rule relevant to the case under consideration, and indeed about what that rule is, but they do not disagree that precedent and statute have what Dworkin calls </w:t>
      </w:r>
      <w:r w:rsidRPr="007E66A1">
        <w:rPr>
          <w:rFonts w:ascii="Book Antiqua" w:hAnsi="Book Antiqua"/>
          <w:sz w:val="20"/>
          <w:szCs w:val="20"/>
        </w:rPr>
        <w:t>‘</w:t>
      </w:r>
      <w:r w:rsidRPr="007E66A1">
        <w:rPr>
          <w:rFonts w:ascii="Book Antiqua" w:hAnsi="Book Antiqua"/>
          <w:sz w:val="20"/>
          <w:szCs w:val="20"/>
        </w:rPr>
        <w:t>a gravitational force,</w:t>
      </w:r>
      <w:r w:rsidRPr="007E66A1">
        <w:rPr>
          <w:rFonts w:ascii="Book Antiqua" w:hAnsi="Book Antiqua"/>
          <w:sz w:val="20"/>
          <w:szCs w:val="20"/>
        </w:rPr>
        <w:t>’</w:t>
      </w:r>
      <w:r w:rsidRPr="007E66A1">
        <w:rPr>
          <w:rFonts w:ascii="Book Antiqua" w:hAnsi="Book Antiqua"/>
          <w:sz w:val="20"/>
          <w:szCs w:val="20"/>
        </w:rPr>
        <w:t xml:space="preserve"> i.e. that the new decision must be based on them in s</w:t>
      </w:r>
      <w:r w:rsidRPr="007E66A1">
        <w:rPr>
          <w:rFonts w:ascii="Book Antiqua" w:hAnsi="Book Antiqua"/>
          <w:sz w:val="20"/>
          <w:szCs w:val="20"/>
        </w:rPr>
        <w:t xml:space="preserve">ome way or another: </w:t>
      </w:r>
      <w:r w:rsidRPr="007E66A1">
        <w:rPr>
          <w:rFonts w:ascii="Book Antiqua" w:hAnsi="Book Antiqua"/>
          <w:sz w:val="20"/>
          <w:szCs w:val="20"/>
        </w:rPr>
        <w:t>‘</w:t>
      </w:r>
      <w:r w:rsidRPr="007E66A1">
        <w:rPr>
          <w:rFonts w:ascii="Book Antiqua" w:hAnsi="Book Antiqua"/>
          <w:sz w:val="20"/>
          <w:szCs w:val="20"/>
        </w:rPr>
        <w:t xml:space="preserve">(A judge) </w:t>
      </w:r>
      <w:r w:rsidRPr="007E66A1">
        <w:rPr>
          <w:rFonts w:ascii="Book Antiqua" w:hAnsi="Book Antiqua"/>
          <w:sz w:val="20"/>
          <w:szCs w:val="20"/>
          <w:lang w:val="en-US"/>
        </w:rPr>
        <w:t>will always try to connect the justification</w:t>
      </w:r>
      <w:r w:rsidRPr="007E66A1">
        <w:rPr>
          <w:rFonts w:ascii="Book Antiqua" w:hAnsi="Book Antiqua"/>
          <w:sz w:val="20"/>
          <w:szCs w:val="20"/>
        </w:rPr>
        <w:t xml:space="preserve"> </w:t>
      </w:r>
      <w:r w:rsidRPr="007E66A1">
        <w:rPr>
          <w:rFonts w:ascii="Book Antiqua" w:hAnsi="Book Antiqua"/>
          <w:sz w:val="20"/>
          <w:szCs w:val="20"/>
          <w:lang w:val="en-US"/>
        </w:rPr>
        <w:t>he provides for an original</w:t>
      </w:r>
      <w:r w:rsidRPr="007E66A1">
        <w:rPr>
          <w:rFonts w:ascii="Book Antiqua" w:hAnsi="Book Antiqua"/>
          <w:sz w:val="20"/>
          <w:szCs w:val="20"/>
        </w:rPr>
        <w:t xml:space="preserve"> </w:t>
      </w:r>
      <w:r w:rsidRPr="007E66A1">
        <w:rPr>
          <w:rFonts w:ascii="Book Antiqua" w:hAnsi="Book Antiqua"/>
          <w:sz w:val="20"/>
          <w:szCs w:val="20"/>
          <w:lang w:val="en-US"/>
        </w:rPr>
        <w:t>decision with</w:t>
      </w:r>
      <w:r w:rsidRPr="007E66A1">
        <w:rPr>
          <w:rFonts w:ascii="Book Antiqua" w:hAnsi="Book Antiqua"/>
          <w:sz w:val="20"/>
          <w:szCs w:val="20"/>
        </w:rPr>
        <w:t xml:space="preserve"> </w:t>
      </w:r>
      <w:r w:rsidRPr="007E66A1">
        <w:rPr>
          <w:rFonts w:ascii="Book Antiqua" w:hAnsi="Book Antiqua"/>
          <w:sz w:val="20"/>
          <w:szCs w:val="20"/>
          <w:lang w:val="en-US"/>
        </w:rPr>
        <w:t>decisions that other judges or officials</w:t>
      </w:r>
      <w:r w:rsidRPr="007E66A1">
        <w:rPr>
          <w:rFonts w:ascii="Book Antiqua" w:hAnsi="Book Antiqua"/>
          <w:sz w:val="20"/>
          <w:szCs w:val="20"/>
        </w:rPr>
        <w:t xml:space="preserve"> </w:t>
      </w:r>
      <w:r w:rsidRPr="007E66A1">
        <w:rPr>
          <w:rFonts w:ascii="Book Antiqua" w:hAnsi="Book Antiqua"/>
          <w:sz w:val="20"/>
          <w:szCs w:val="20"/>
          <w:lang w:val="en-US"/>
        </w:rPr>
        <w:t>have taken in the past.</w:t>
      </w:r>
      <w:r w:rsidRPr="007E66A1">
        <w:rPr>
          <w:rFonts w:ascii="Book Antiqua" w:hAnsi="Book Antiqua"/>
          <w:sz w:val="20"/>
          <w:szCs w:val="20"/>
        </w:rPr>
        <w:t>’</w:t>
      </w:r>
      <w:r w:rsidRPr="007E66A1">
        <w:rPr>
          <w:rStyle w:val="Aucun"/>
          <w:rFonts w:ascii="Book Antiqua" w:hAnsi="Book Antiqua"/>
          <w:sz w:val="20"/>
          <w:szCs w:val="20"/>
          <w:vertAlign w:val="superscript"/>
        </w:rPr>
        <w:footnoteReference w:id="8"/>
      </w:r>
      <w:r w:rsidRPr="007E66A1">
        <w:rPr>
          <w:rFonts w:ascii="Book Antiqua" w:hAnsi="Book Antiqua"/>
          <w:sz w:val="20"/>
          <w:szCs w:val="20"/>
        </w:rPr>
        <w:t xml:space="preserve">  Dworkin argued in favour of this in the same way as Locke had done: '</w:t>
      </w:r>
      <w:r w:rsidRPr="007E66A1">
        <w:rPr>
          <w:rFonts w:ascii="Book Antiqua" w:hAnsi="Book Antiqua"/>
          <w:sz w:val="20"/>
          <w:szCs w:val="20"/>
          <w:lang w:val="en-US"/>
        </w:rPr>
        <w:t>T</w:t>
      </w:r>
      <w:r w:rsidRPr="007E66A1">
        <w:rPr>
          <w:rFonts w:ascii="Book Antiqua" w:hAnsi="Book Antiqua"/>
          <w:sz w:val="20"/>
          <w:szCs w:val="20"/>
          <w:lang w:val="en-US"/>
        </w:rPr>
        <w:t>he gravitational force of</w:t>
      </w:r>
      <w:r w:rsidRPr="007E66A1">
        <w:rPr>
          <w:rFonts w:ascii="Book Antiqua" w:hAnsi="Book Antiqua"/>
          <w:sz w:val="20"/>
          <w:szCs w:val="20"/>
        </w:rPr>
        <w:t xml:space="preserve"> </w:t>
      </w:r>
      <w:r w:rsidRPr="007E66A1">
        <w:rPr>
          <w:rFonts w:ascii="Book Antiqua" w:hAnsi="Book Antiqua"/>
          <w:sz w:val="20"/>
          <w:szCs w:val="20"/>
          <w:lang w:val="en-US"/>
        </w:rPr>
        <w:t>a precedent may be explained by appeal, not to the wisdom of enforcing enactments, but to the fairness of treating like cases alike.</w:t>
      </w:r>
      <w:r w:rsidRPr="007E66A1">
        <w:rPr>
          <w:rFonts w:ascii="Book Antiqua" w:hAnsi="Book Antiqua"/>
          <w:sz w:val="20"/>
          <w:szCs w:val="20"/>
        </w:rPr>
        <w:t>’</w:t>
      </w:r>
      <w:r w:rsidRPr="007E66A1">
        <w:rPr>
          <w:rFonts w:ascii="Book Antiqua" w:hAnsi="Book Antiqua"/>
          <w:sz w:val="20"/>
          <w:szCs w:val="20"/>
        </w:rPr>
        <w:t xml:space="preserve">  In other words, the normative value of precedent and statute is part of the very definition of </w:t>
      </w:r>
      <w:r w:rsidRPr="007E66A1">
        <w:rPr>
          <w:rFonts w:ascii="Book Antiqua" w:hAnsi="Book Antiqua"/>
          <w:sz w:val="20"/>
          <w:szCs w:val="20"/>
        </w:rPr>
        <w:t xml:space="preserve">lawfulness itself: anything else would be arbitrary because it would be to change the rules without due process.  Dworkin concludes his treatise with an appeal for judges to decide hard cases </w:t>
      </w:r>
      <w:r w:rsidRPr="007E66A1">
        <w:rPr>
          <w:rFonts w:ascii="Book Antiqua" w:hAnsi="Book Antiqua"/>
          <w:sz w:val="20"/>
          <w:szCs w:val="20"/>
        </w:rPr>
        <w:t>‘</w:t>
      </w:r>
      <w:r w:rsidRPr="007E66A1">
        <w:rPr>
          <w:rFonts w:ascii="Book Antiqua" w:hAnsi="Book Antiqua"/>
          <w:sz w:val="20"/>
          <w:szCs w:val="20"/>
        </w:rPr>
        <w:t>with humility</w:t>
      </w:r>
      <w:r w:rsidRPr="007E66A1">
        <w:rPr>
          <w:rFonts w:ascii="Book Antiqua" w:hAnsi="Book Antiqua"/>
          <w:sz w:val="20"/>
          <w:szCs w:val="20"/>
        </w:rPr>
        <w:t>’ </w:t>
      </w:r>
      <w:r w:rsidRPr="007E66A1">
        <w:rPr>
          <w:rFonts w:ascii="Book Antiqua" w:hAnsi="Book Antiqua"/>
          <w:sz w:val="20"/>
          <w:szCs w:val="20"/>
        </w:rPr>
        <w:t xml:space="preserve">for the simple reason they may well be wrong in </w:t>
      </w:r>
      <w:r w:rsidRPr="007E66A1">
        <w:rPr>
          <w:rFonts w:ascii="Book Antiqua" w:hAnsi="Book Antiqua"/>
          <w:sz w:val="20"/>
          <w:szCs w:val="20"/>
        </w:rPr>
        <w:t>their political judgments.</w:t>
      </w:r>
    </w:p>
    <w:p w:rsidRPr="007E66A1" w:rsidR="004B621E" w:rsidRDefault="004B621E">
      <w:pPr>
        <w:pStyle w:val="Corps"/>
        <w:jc w:val="both"/>
        <w:rPr>
          <w:rFonts w:ascii="Book Antiqua" w:hAnsi="Book Antiqua"/>
          <w:sz w:val="20"/>
          <w:szCs w:val="20"/>
        </w:rPr>
      </w:pPr>
    </w:p>
    <w:p w:rsidRPr="007E66A1" w:rsidR="004B621E" w:rsidRDefault="007E66A1">
      <w:pPr>
        <w:pStyle w:val="Corps"/>
        <w:jc w:val="both"/>
        <w:rPr>
          <w:rFonts w:ascii="Book Antiqua" w:hAnsi="Book Antiqua"/>
          <w:sz w:val="20"/>
          <w:szCs w:val="20"/>
        </w:rPr>
      </w:pPr>
      <w:r w:rsidRPr="007E66A1">
        <w:rPr>
          <w:rFonts w:ascii="Book Antiqua" w:hAnsi="Book Antiqua"/>
          <w:sz w:val="20"/>
          <w:szCs w:val="20"/>
        </w:rPr>
        <w:t>This well-established theory has come under sustained attack by politically active jurists since at least the 1870s.  These jurists have been active principally in international law and, in the latter part of the 20th century, i</w:t>
      </w:r>
      <w:r w:rsidRPr="007E66A1">
        <w:rPr>
          <w:rFonts w:ascii="Book Antiqua" w:hAnsi="Book Antiqua"/>
          <w:sz w:val="20"/>
          <w:szCs w:val="20"/>
        </w:rPr>
        <w:t>n international organisations including courts.  Moved by the conviction that states were the source of neither peace nor justice, and that the state-based international system had to be overcome,through a universal system of supranational law based not on</w:t>
      </w:r>
      <w:r w:rsidRPr="007E66A1">
        <w:rPr>
          <w:rFonts w:ascii="Book Antiqua" w:hAnsi="Book Antiqua"/>
          <w:sz w:val="20"/>
          <w:szCs w:val="20"/>
        </w:rPr>
        <w:t xml:space="preserve"> statute or precedent but instead on ill-defined </w:t>
      </w:r>
      <w:r w:rsidRPr="007E66A1">
        <w:rPr>
          <w:rFonts w:ascii="Book Antiqua" w:hAnsi="Book Antiqua"/>
          <w:sz w:val="20"/>
          <w:szCs w:val="20"/>
        </w:rPr>
        <w:t>‘</w:t>
      </w:r>
      <w:r w:rsidRPr="007E66A1">
        <w:rPr>
          <w:rFonts w:ascii="Book Antiqua" w:hAnsi="Book Antiqua"/>
          <w:sz w:val="20"/>
          <w:szCs w:val="20"/>
        </w:rPr>
        <w:t>conscience</w:t>
      </w:r>
      <w:r w:rsidRPr="007E66A1">
        <w:rPr>
          <w:rFonts w:ascii="Book Antiqua" w:hAnsi="Book Antiqua"/>
          <w:sz w:val="20"/>
          <w:szCs w:val="20"/>
        </w:rPr>
        <w:t>’</w:t>
      </w:r>
      <w:r w:rsidRPr="007E66A1">
        <w:rPr>
          <w:rFonts w:ascii="Book Antiqua" w:hAnsi="Book Antiqua"/>
          <w:sz w:val="20"/>
          <w:szCs w:val="20"/>
        </w:rPr>
        <w:t>, these judicial activists confused law with morality and sought to subsume the former in the latter.  They wanted the power to make new law and thus to be themselves the source of that law.</w:t>
      </w:r>
    </w:p>
    <w:p w:rsidRPr="007E66A1" w:rsidR="004B621E" w:rsidRDefault="004B621E">
      <w:pPr>
        <w:pStyle w:val="Corps"/>
        <w:jc w:val="both"/>
        <w:rPr>
          <w:rFonts w:ascii="Book Antiqua" w:hAnsi="Book Antiqua"/>
          <w:sz w:val="20"/>
          <w:szCs w:val="20"/>
        </w:rPr>
      </w:pPr>
    </w:p>
    <w:p w:rsidRPr="007E66A1" w:rsidR="004B621E" w:rsidRDefault="007E66A1">
      <w:pPr>
        <w:pStyle w:val="Corps"/>
        <w:jc w:val="both"/>
        <w:rPr>
          <w:rFonts w:ascii="Book Antiqua" w:hAnsi="Book Antiqua"/>
          <w:sz w:val="20"/>
          <w:szCs w:val="20"/>
        </w:rPr>
      </w:pPr>
      <w:r w:rsidRPr="007E66A1">
        <w:rPr>
          <w:rFonts w:ascii="Book Antiqua" w:hAnsi="Book Antiqua"/>
          <w:sz w:val="20"/>
          <w:szCs w:val="20"/>
        </w:rPr>
        <w:t>The</w:t>
      </w:r>
      <w:r w:rsidRPr="007E66A1">
        <w:rPr>
          <w:rFonts w:ascii="Book Antiqua" w:hAnsi="Book Antiqua"/>
          <w:sz w:val="20"/>
          <w:szCs w:val="20"/>
        </w:rPr>
        <w:t xml:space="preserve"> movement began with the creation of the Institute of International Law in 1873.  This Institute, despite its name, was in reality a political lobby group determined to create supranational international law by judicial activism.  Its members were convince</w:t>
      </w:r>
      <w:r w:rsidRPr="007E66A1">
        <w:rPr>
          <w:rFonts w:ascii="Book Antiqua" w:hAnsi="Book Antiqua"/>
          <w:sz w:val="20"/>
          <w:szCs w:val="20"/>
        </w:rPr>
        <w:t xml:space="preserve">d that international law did not derive from states (i.e. that it was not the creation of treaties) but that instead its source lay in </w:t>
      </w:r>
      <w:r w:rsidRPr="007E66A1">
        <w:rPr>
          <w:rFonts w:ascii="Book Antiqua" w:hAnsi="Book Antiqua"/>
          <w:sz w:val="20"/>
          <w:szCs w:val="20"/>
        </w:rPr>
        <w:t>‘</w:t>
      </w:r>
      <w:r w:rsidRPr="007E66A1">
        <w:rPr>
          <w:rFonts w:ascii="Book Antiqua" w:hAnsi="Book Antiqua"/>
          <w:sz w:val="20"/>
          <w:szCs w:val="20"/>
        </w:rPr>
        <w:t>the legal conscience of the civilised world</w:t>
      </w:r>
      <w:r w:rsidRPr="007E66A1">
        <w:rPr>
          <w:rFonts w:ascii="Book Antiqua" w:hAnsi="Book Antiqua"/>
          <w:sz w:val="20"/>
          <w:szCs w:val="20"/>
        </w:rPr>
        <w:t>’</w:t>
      </w:r>
      <w:r w:rsidRPr="007E66A1">
        <w:rPr>
          <w:rStyle w:val="Aucun"/>
          <w:rFonts w:ascii="Book Antiqua" w:hAnsi="Book Antiqua"/>
          <w:sz w:val="20"/>
          <w:szCs w:val="20"/>
          <w:vertAlign w:val="superscript"/>
        </w:rPr>
        <w:footnoteReference w:id="9"/>
      </w:r>
      <w:r w:rsidRPr="007E66A1">
        <w:rPr>
          <w:rFonts w:ascii="Book Antiqua" w:hAnsi="Book Antiqua"/>
          <w:sz w:val="20"/>
          <w:szCs w:val="20"/>
        </w:rPr>
        <w:t xml:space="preserve"> or </w:t>
      </w:r>
      <w:r w:rsidRPr="007E66A1">
        <w:rPr>
          <w:rFonts w:ascii="Book Antiqua" w:hAnsi="Book Antiqua"/>
          <w:sz w:val="20"/>
          <w:szCs w:val="20"/>
        </w:rPr>
        <w:t>‘</w:t>
      </w:r>
      <w:r w:rsidRPr="007E66A1">
        <w:rPr>
          <w:rFonts w:ascii="Book Antiqua" w:hAnsi="Book Antiqua"/>
          <w:sz w:val="20"/>
          <w:szCs w:val="20"/>
        </w:rPr>
        <w:t>the collective opinion of enlightened men.</w:t>
      </w:r>
      <w:r w:rsidRPr="007E66A1">
        <w:rPr>
          <w:rFonts w:ascii="Book Antiqua" w:hAnsi="Book Antiqua"/>
          <w:sz w:val="20"/>
          <w:szCs w:val="20"/>
        </w:rPr>
        <w:t>’</w:t>
      </w:r>
      <w:r w:rsidRPr="007E66A1">
        <w:rPr>
          <w:rStyle w:val="Aucun"/>
          <w:rFonts w:ascii="Book Antiqua" w:hAnsi="Book Antiqua"/>
          <w:sz w:val="20"/>
          <w:szCs w:val="20"/>
          <w:vertAlign w:val="superscript"/>
        </w:rPr>
        <w:footnoteReference w:id="10"/>
      </w:r>
      <w:r w:rsidRPr="007E66A1">
        <w:rPr>
          <w:rFonts w:ascii="Book Antiqua" w:hAnsi="Book Antiqua"/>
          <w:sz w:val="20"/>
          <w:szCs w:val="20"/>
        </w:rPr>
        <w:t xml:space="preserve">  None of the men involved</w:t>
      </w:r>
      <w:r w:rsidRPr="007E66A1">
        <w:rPr>
          <w:rFonts w:ascii="Book Antiqua" w:hAnsi="Book Antiqua"/>
          <w:sz w:val="20"/>
          <w:szCs w:val="20"/>
        </w:rPr>
        <w:t xml:space="preserve"> in this had any background in the grand tradition of European public law</w:t>
      </w:r>
      <w:r w:rsidRPr="007E66A1">
        <w:rPr>
          <w:rStyle w:val="Aucun"/>
          <w:rFonts w:ascii="Book Antiqua" w:hAnsi="Book Antiqua"/>
          <w:sz w:val="20"/>
          <w:szCs w:val="20"/>
          <w:vertAlign w:val="superscript"/>
        </w:rPr>
        <w:footnoteReference w:id="11"/>
      </w:r>
      <w:r w:rsidRPr="007E66A1">
        <w:rPr>
          <w:rFonts w:ascii="Book Antiqua" w:hAnsi="Book Antiqua"/>
          <w:sz w:val="20"/>
          <w:szCs w:val="20"/>
        </w:rPr>
        <w:t>; indeed, they were essentially politicians, the Institut</w:t>
      </w:r>
      <w:r w:rsidRPr="007E66A1">
        <w:rPr>
          <w:rFonts w:ascii="Book Antiqua" w:hAnsi="Book Antiqua"/>
          <w:sz w:val="20"/>
          <w:szCs w:val="20"/>
        </w:rPr>
        <w:t>’</w:t>
      </w:r>
      <w:r w:rsidRPr="007E66A1">
        <w:rPr>
          <w:rFonts w:ascii="Book Antiqua" w:hAnsi="Book Antiqua"/>
          <w:sz w:val="20"/>
          <w:szCs w:val="20"/>
        </w:rPr>
        <w:t>s founder, Gustave Rolin-Jaequemyns serving as interior minister of Belgium and member of the High Council of the Belgian Co</w:t>
      </w:r>
      <w:r w:rsidRPr="007E66A1">
        <w:rPr>
          <w:rFonts w:ascii="Book Antiqua" w:hAnsi="Book Antiqua"/>
          <w:sz w:val="20"/>
          <w:szCs w:val="20"/>
        </w:rPr>
        <w:t xml:space="preserve">ngo.  These men dismissed diplomacy and its fruits (treaties) precisely because they wanted to create a supra-national order to overcome the actions of states.  </w:t>
      </w:r>
      <w:r w:rsidRPr="007E66A1">
        <w:rPr>
          <w:rFonts w:ascii="Book Antiqua" w:hAnsi="Book Antiqua"/>
          <w:sz w:val="20"/>
          <w:szCs w:val="20"/>
          <w:lang w:val="en-US"/>
        </w:rPr>
        <w:t>They were committed imperialists because they believed that their actions would bring civilisat</w:t>
      </w:r>
      <w:r w:rsidRPr="007E66A1">
        <w:rPr>
          <w:rFonts w:ascii="Book Antiqua" w:hAnsi="Book Antiqua"/>
          <w:sz w:val="20"/>
          <w:szCs w:val="20"/>
          <w:lang w:val="en-US"/>
        </w:rPr>
        <w:t xml:space="preserve">ion to backward parts of the world and indeed to Europe itself. </w:t>
      </w:r>
      <w:r w:rsidRPr="007E66A1">
        <w:rPr>
          <w:rFonts w:ascii="Book Antiqua" w:hAnsi="Book Antiqua"/>
          <w:sz w:val="20"/>
          <w:szCs w:val="20"/>
        </w:rPr>
        <w:t xml:space="preserve">Such liberal </w:t>
      </w:r>
      <w:r w:rsidRPr="007E66A1">
        <w:rPr>
          <w:rFonts w:ascii="Book Antiqua" w:hAnsi="Book Antiqua"/>
          <w:sz w:val="20"/>
          <w:szCs w:val="20"/>
        </w:rPr>
        <w:t>‘</w:t>
      </w:r>
      <w:r w:rsidRPr="007E66A1">
        <w:rPr>
          <w:rFonts w:ascii="Book Antiqua" w:hAnsi="Book Antiqua"/>
          <w:sz w:val="20"/>
          <w:szCs w:val="20"/>
        </w:rPr>
        <w:t>conscience</w:t>
      </w:r>
      <w:r w:rsidRPr="007E66A1">
        <w:rPr>
          <w:rFonts w:ascii="Book Antiqua" w:hAnsi="Book Antiqua"/>
          <w:sz w:val="20"/>
          <w:szCs w:val="20"/>
        </w:rPr>
        <w:t>’</w:t>
      </w:r>
      <w:r w:rsidRPr="007E66A1">
        <w:rPr>
          <w:rFonts w:ascii="Book Antiqua" w:hAnsi="Book Antiqua"/>
          <w:sz w:val="20"/>
          <w:szCs w:val="20"/>
        </w:rPr>
        <w:t xml:space="preserve"> might well form the basis for a political campaign but it is both constitutionally dangerous if it arrogates state power to judges without accountability, and also </w:t>
      </w:r>
      <w:r w:rsidRPr="007E66A1">
        <w:rPr>
          <w:rFonts w:ascii="Book Antiqua" w:hAnsi="Book Antiqua"/>
          <w:sz w:val="20"/>
          <w:szCs w:val="20"/>
        </w:rPr>
        <w:t>‘</w:t>
      </w:r>
      <w:r w:rsidRPr="007E66A1">
        <w:rPr>
          <w:rFonts w:ascii="Book Antiqua" w:hAnsi="Book Antiqua"/>
          <w:sz w:val="20"/>
          <w:szCs w:val="20"/>
        </w:rPr>
        <w:t>o</w:t>
      </w:r>
      <w:r w:rsidRPr="007E66A1">
        <w:rPr>
          <w:rFonts w:ascii="Book Antiqua" w:hAnsi="Book Antiqua"/>
          <w:sz w:val="20"/>
          <w:szCs w:val="20"/>
        </w:rPr>
        <w:t>ffensive</w:t>
      </w:r>
      <w:r w:rsidRPr="007E66A1">
        <w:rPr>
          <w:rFonts w:ascii="Book Antiqua" w:hAnsi="Book Antiqua"/>
          <w:sz w:val="20"/>
          <w:szCs w:val="20"/>
        </w:rPr>
        <w:t>’</w:t>
      </w:r>
      <w:r w:rsidRPr="007E66A1">
        <w:rPr>
          <w:rFonts w:ascii="Book Antiqua" w:hAnsi="Book Antiqua"/>
          <w:sz w:val="20"/>
          <w:szCs w:val="20"/>
        </w:rPr>
        <w:t xml:space="preserve"> (Dworkin) as a source of law.  It</w:t>
      </w:r>
      <w:r w:rsidRPr="007E66A1">
        <w:rPr>
          <w:rFonts w:ascii="Book Antiqua" w:hAnsi="Book Antiqua"/>
          <w:sz w:val="20"/>
          <w:szCs w:val="20"/>
        </w:rPr>
        <w:t xml:space="preserve"> </w:t>
      </w:r>
      <w:r w:rsidRPr="007E66A1">
        <w:rPr>
          <w:rFonts w:ascii="Book Antiqua" w:hAnsi="Book Antiqua"/>
          <w:sz w:val="20"/>
          <w:szCs w:val="20"/>
        </w:rPr>
        <w:t>begs</w:t>
      </w:r>
      <w:r w:rsidRPr="007E66A1">
        <w:rPr>
          <w:rFonts w:ascii="Book Antiqua" w:hAnsi="Book Antiqua"/>
          <w:sz w:val="20"/>
          <w:szCs w:val="20"/>
        </w:rPr>
        <w:t xml:space="preserve"> </w:t>
      </w:r>
      <w:r w:rsidRPr="007E66A1">
        <w:rPr>
          <w:rFonts w:ascii="Book Antiqua" w:hAnsi="Book Antiqua"/>
          <w:sz w:val="20"/>
          <w:szCs w:val="20"/>
        </w:rPr>
        <w:t>one of the oldest questions</w:t>
      </w:r>
      <w:r w:rsidRPr="007E66A1">
        <w:rPr>
          <w:rFonts w:ascii="Book Antiqua" w:hAnsi="Book Antiqua"/>
          <w:sz w:val="20"/>
          <w:szCs w:val="20"/>
          <w:lang w:val="en-US"/>
        </w:rPr>
        <w:t xml:space="preserve"> in political philosophy: </w:t>
      </w:r>
      <w:r w:rsidRPr="007E66A1">
        <w:rPr>
          <w:rFonts w:ascii="Book Antiqua" w:hAnsi="Book Antiqua"/>
          <w:sz w:val="20"/>
          <w:szCs w:val="20"/>
        </w:rPr>
        <w:t>‘</w:t>
      </w:r>
      <w:r w:rsidRPr="007E66A1">
        <w:rPr>
          <w:rFonts w:ascii="Book Antiqua" w:hAnsi="Book Antiqua"/>
          <w:sz w:val="20"/>
          <w:szCs w:val="20"/>
          <w:lang w:val="en-US"/>
        </w:rPr>
        <w:t>Who guards the guardians themselves?</w:t>
      </w:r>
      <w:r w:rsidRPr="007E66A1">
        <w:rPr>
          <w:rFonts w:ascii="Book Antiqua" w:hAnsi="Book Antiqua"/>
          <w:sz w:val="20"/>
          <w:szCs w:val="20"/>
        </w:rPr>
        <w:t>’</w:t>
      </w:r>
      <w:r w:rsidRPr="007E66A1">
        <w:rPr>
          <w:rStyle w:val="Aucun"/>
          <w:rFonts w:ascii="Book Antiqua" w:hAnsi="Book Antiqua"/>
          <w:sz w:val="20"/>
          <w:szCs w:val="20"/>
          <w:vertAlign w:val="superscript"/>
        </w:rPr>
        <w:footnoteReference w:id="12"/>
      </w:r>
    </w:p>
    <w:p w:rsidRPr="007E66A1" w:rsidR="004B621E" w:rsidRDefault="004B621E">
      <w:pPr>
        <w:pStyle w:val="Corps"/>
        <w:jc w:val="both"/>
        <w:rPr>
          <w:rFonts w:ascii="Book Antiqua" w:hAnsi="Book Antiqua"/>
          <w:sz w:val="20"/>
          <w:szCs w:val="20"/>
        </w:rPr>
      </w:pPr>
    </w:p>
    <w:p w:rsidRPr="007E66A1" w:rsidR="004B621E" w:rsidRDefault="007E66A1">
      <w:pPr>
        <w:pStyle w:val="Corps"/>
        <w:jc w:val="both"/>
        <w:rPr>
          <w:rFonts w:ascii="Book Antiqua" w:hAnsi="Book Antiqua"/>
          <w:sz w:val="20"/>
          <w:szCs w:val="20"/>
        </w:rPr>
      </w:pPr>
      <w:r w:rsidRPr="007E66A1">
        <w:rPr>
          <w:rFonts w:ascii="Book Antiqua" w:hAnsi="Book Antiqua"/>
          <w:sz w:val="20"/>
          <w:szCs w:val="20"/>
        </w:rPr>
        <w:t>This notion of civilisational superiority, with its clearly elitist assumptions, and this determination that juri</w:t>
      </w:r>
      <w:r w:rsidRPr="007E66A1">
        <w:rPr>
          <w:rFonts w:ascii="Book Antiqua" w:hAnsi="Book Antiqua"/>
          <w:sz w:val="20"/>
          <w:szCs w:val="20"/>
        </w:rPr>
        <w:t xml:space="preserve">sts should change the law instead of agreeing to be bound by it, paved the way for what I have called </w:t>
      </w:r>
      <w:r w:rsidRPr="007E66A1">
        <w:rPr>
          <w:rFonts w:ascii="Book Antiqua" w:hAnsi="Book Antiqua"/>
          <w:sz w:val="20"/>
          <w:szCs w:val="20"/>
        </w:rPr>
        <w:t>‘</w:t>
      </w:r>
      <w:r w:rsidRPr="007E66A1">
        <w:rPr>
          <w:rFonts w:ascii="Book Antiqua" w:hAnsi="Book Antiqua"/>
          <w:sz w:val="20"/>
          <w:szCs w:val="20"/>
        </w:rPr>
        <w:t>the punishment ethic in international relations</w:t>
      </w:r>
      <w:r w:rsidRPr="007E66A1">
        <w:rPr>
          <w:rFonts w:ascii="Book Antiqua" w:hAnsi="Book Antiqua"/>
          <w:sz w:val="20"/>
          <w:szCs w:val="20"/>
        </w:rPr>
        <w:t>’</w:t>
      </w:r>
      <w:r w:rsidRPr="007E66A1">
        <w:rPr>
          <w:rStyle w:val="Aucun"/>
          <w:rFonts w:ascii="Book Antiqua" w:hAnsi="Book Antiqua"/>
          <w:sz w:val="20"/>
          <w:szCs w:val="20"/>
          <w:vertAlign w:val="superscript"/>
        </w:rPr>
        <w:footnoteReference w:id="13"/>
      </w:r>
      <w:r w:rsidRPr="007E66A1">
        <w:rPr>
          <w:rFonts w:ascii="Book Antiqua" w:hAnsi="Book Antiqua"/>
          <w:sz w:val="20"/>
          <w:szCs w:val="20"/>
        </w:rPr>
        <w:t xml:space="preserve"> which caused and aggravated the First World War and led, through the Treaty of Versailles, to the Secon</w:t>
      </w:r>
      <w:r w:rsidRPr="007E66A1">
        <w:rPr>
          <w:rFonts w:ascii="Book Antiqua" w:hAnsi="Book Antiqua"/>
          <w:sz w:val="20"/>
          <w:szCs w:val="20"/>
        </w:rPr>
        <w:t>d.  It also severely undermined the fundamental legal principles with which this paper started.  In place of a properly jurisprudential approach, a radically revolutionary and anti-legal mentality has come to dominate especially human rights and internatio</w:t>
      </w:r>
      <w:r w:rsidRPr="007E66A1">
        <w:rPr>
          <w:rFonts w:ascii="Book Antiqua" w:hAnsi="Book Antiqua"/>
          <w:sz w:val="20"/>
          <w:szCs w:val="20"/>
        </w:rPr>
        <w:t xml:space="preserve">nal law.  </w:t>
      </w:r>
    </w:p>
    <w:p w:rsidRPr="007E66A1" w:rsidR="004B621E" w:rsidRDefault="004B621E">
      <w:pPr>
        <w:pStyle w:val="Corps"/>
        <w:jc w:val="both"/>
        <w:rPr>
          <w:rFonts w:ascii="Book Antiqua" w:hAnsi="Book Antiqua"/>
          <w:sz w:val="20"/>
          <w:szCs w:val="20"/>
        </w:rPr>
      </w:pPr>
    </w:p>
    <w:p w:rsidRPr="007E66A1" w:rsidR="004B621E" w:rsidRDefault="007E66A1">
      <w:pPr>
        <w:pStyle w:val="Corps"/>
        <w:jc w:val="both"/>
        <w:rPr>
          <w:rFonts w:ascii="Book Antiqua" w:hAnsi="Book Antiqua"/>
          <w:sz w:val="20"/>
          <w:szCs w:val="20"/>
        </w:rPr>
      </w:pPr>
      <w:r w:rsidRPr="007E66A1">
        <w:rPr>
          <w:rFonts w:ascii="Book Antiqua" w:hAnsi="Book Antiqua"/>
          <w:sz w:val="20"/>
          <w:szCs w:val="20"/>
        </w:rPr>
        <w:t xml:space="preserve">Many of the special prerogatives of EU law (direct effect, primacy) derive, for instance, from rulings by the European Court of Justice which were specifically intended to undermine existing law, including existing national constitutional law, </w:t>
      </w:r>
      <w:r w:rsidRPr="007E66A1">
        <w:rPr>
          <w:rFonts w:ascii="Book Antiqua" w:hAnsi="Book Antiqua"/>
          <w:sz w:val="20"/>
          <w:szCs w:val="20"/>
        </w:rPr>
        <w:t>and to break new judicial ground.</w:t>
      </w:r>
      <w:r w:rsidRPr="007E66A1">
        <w:rPr>
          <w:rStyle w:val="Aucun"/>
          <w:rFonts w:ascii="Book Antiqua" w:hAnsi="Book Antiqua"/>
          <w:sz w:val="20"/>
          <w:szCs w:val="20"/>
          <w:vertAlign w:val="superscript"/>
        </w:rPr>
        <w:footnoteReference w:id="14"/>
      </w:r>
      <w:r w:rsidRPr="007E66A1">
        <w:rPr>
          <w:rFonts w:ascii="Book Antiqua" w:hAnsi="Book Antiqua"/>
          <w:sz w:val="20"/>
          <w:szCs w:val="20"/>
        </w:rPr>
        <w:t xml:space="preserve">  The European Court of Human Rights,  since at least 1978, operates on the basis that the Conventions </w:t>
      </w:r>
      <w:r w:rsidRPr="007E66A1">
        <w:rPr>
          <w:rFonts w:ascii="Book Antiqua" w:hAnsi="Book Antiqua"/>
          <w:sz w:val="20"/>
          <w:szCs w:val="20"/>
        </w:rPr>
        <w:t>‘</w:t>
      </w:r>
      <w:r w:rsidRPr="007E66A1">
        <w:rPr>
          <w:rFonts w:ascii="Book Antiqua" w:hAnsi="Book Antiqua"/>
          <w:sz w:val="20"/>
          <w:szCs w:val="20"/>
        </w:rPr>
        <w:t>a living instrument</w:t>
      </w:r>
      <w:r w:rsidRPr="007E66A1">
        <w:rPr>
          <w:rFonts w:ascii="Book Antiqua" w:hAnsi="Book Antiqua"/>
          <w:sz w:val="20"/>
          <w:szCs w:val="20"/>
        </w:rPr>
        <w:t>’</w:t>
      </w:r>
      <w:r w:rsidRPr="007E66A1">
        <w:rPr>
          <w:rStyle w:val="Aucun"/>
          <w:rFonts w:ascii="Book Antiqua" w:hAnsi="Book Antiqua"/>
          <w:sz w:val="20"/>
          <w:szCs w:val="20"/>
          <w:vertAlign w:val="superscript"/>
        </w:rPr>
        <w:footnoteReference w:id="15"/>
      </w:r>
      <w:r w:rsidRPr="007E66A1">
        <w:rPr>
          <w:rFonts w:ascii="Book Antiqua" w:hAnsi="Book Antiqua"/>
          <w:sz w:val="20"/>
          <w:szCs w:val="20"/>
        </w:rPr>
        <w:t xml:space="preserve"> which means that judges are not supposed to base their rulings on any supposed intentions of the</w:t>
      </w:r>
      <w:r w:rsidRPr="007E66A1">
        <w:rPr>
          <w:rFonts w:ascii="Book Antiqua" w:hAnsi="Book Antiqua"/>
          <w:sz w:val="20"/>
          <w:szCs w:val="20"/>
        </w:rPr>
        <w:t xml:space="preserve"> authors of the Convention,  and still less on precedent, but instead on ever-evolving </w:t>
      </w:r>
      <w:r w:rsidRPr="007E66A1">
        <w:rPr>
          <w:rFonts w:ascii="Book Antiqua" w:hAnsi="Book Antiqua"/>
          <w:sz w:val="20"/>
          <w:szCs w:val="20"/>
        </w:rPr>
        <w:t>‘</w:t>
      </w:r>
      <w:r w:rsidRPr="007E66A1">
        <w:rPr>
          <w:rFonts w:ascii="Book Antiqua" w:hAnsi="Book Antiqua"/>
          <w:sz w:val="20"/>
          <w:szCs w:val="20"/>
        </w:rPr>
        <w:t>present-day conditions</w:t>
      </w:r>
      <w:r w:rsidRPr="007E66A1">
        <w:rPr>
          <w:rFonts w:ascii="Book Antiqua" w:hAnsi="Book Antiqua"/>
          <w:sz w:val="20"/>
          <w:szCs w:val="20"/>
        </w:rPr>
        <w:t>’</w:t>
      </w:r>
      <w:r w:rsidRPr="007E66A1">
        <w:rPr>
          <w:rFonts w:ascii="Book Antiqua" w:hAnsi="Book Antiqua"/>
          <w:sz w:val="20"/>
          <w:szCs w:val="20"/>
        </w:rPr>
        <w:t xml:space="preserve"> and therefore on their own opinions.  This is the opposite of law.</w:t>
      </w:r>
    </w:p>
    <w:p w:rsidRPr="007E66A1" w:rsidR="004B621E" w:rsidRDefault="004B621E">
      <w:pPr>
        <w:pStyle w:val="Corps"/>
        <w:jc w:val="both"/>
        <w:rPr>
          <w:rFonts w:ascii="Book Antiqua" w:hAnsi="Book Antiqua"/>
          <w:sz w:val="20"/>
          <w:szCs w:val="20"/>
        </w:rPr>
      </w:pPr>
    </w:p>
    <w:p w:rsidRPr="007E66A1" w:rsidR="004B621E" w:rsidRDefault="007E66A1">
      <w:pPr>
        <w:pStyle w:val="Corps"/>
        <w:jc w:val="both"/>
        <w:rPr>
          <w:rFonts w:ascii="Book Antiqua" w:hAnsi="Book Antiqua"/>
          <w:sz w:val="20"/>
        </w:rPr>
      </w:pPr>
      <w:r w:rsidRPr="007E66A1">
        <w:rPr>
          <w:rFonts w:ascii="Book Antiqua" w:hAnsi="Book Antiqua"/>
          <w:sz w:val="20"/>
          <w:szCs w:val="20"/>
        </w:rPr>
        <w:t xml:space="preserve">What this has meant, concretely, is that the ECHR, like other human rights </w:t>
      </w:r>
      <w:r w:rsidRPr="007E66A1">
        <w:rPr>
          <w:rFonts w:ascii="Book Antiqua" w:hAnsi="Book Antiqua"/>
          <w:sz w:val="20"/>
          <w:szCs w:val="20"/>
        </w:rPr>
        <w:t>jurisdictions, gives a latitude of action to judges which is incompatible with the rule of law.  Men and women can be and are appointed to the Strasbourg bench with no previous judicial training: they see themselves as political activists and this is how t</w:t>
      </w:r>
      <w:r w:rsidRPr="007E66A1">
        <w:rPr>
          <w:rFonts w:ascii="Book Antiqua" w:hAnsi="Book Antiqua"/>
          <w:sz w:val="20"/>
          <w:szCs w:val="20"/>
        </w:rPr>
        <w:t>hey behave.  This has quickly led to corruption: many ECHR judges are former employees of NGOs financed by George Soros who continue to sit as judges hearing cases brought by their former employers, or represented by them, without recusing themselves.</w:t>
      </w:r>
      <w:r w:rsidRPr="007E66A1">
        <w:rPr>
          <w:rStyle w:val="Aucun"/>
          <w:rFonts w:ascii="Book Antiqua" w:hAnsi="Book Antiqua"/>
          <w:sz w:val="20"/>
          <w:szCs w:val="20"/>
          <w:vertAlign w:val="superscript"/>
        </w:rPr>
        <w:footnoteReference w:id="16"/>
      </w:r>
      <w:r w:rsidRPr="007E66A1">
        <w:rPr>
          <w:rFonts w:ascii="Book Antiqua" w:hAnsi="Book Antiqua"/>
          <w:sz w:val="20"/>
          <w:szCs w:val="20"/>
        </w:rPr>
        <w:t xml:space="preserve">  Su</w:t>
      </w:r>
      <w:r w:rsidRPr="007E66A1">
        <w:rPr>
          <w:rFonts w:ascii="Book Antiqua" w:hAnsi="Book Antiqua"/>
          <w:sz w:val="20"/>
          <w:szCs w:val="20"/>
        </w:rPr>
        <w:t>ch tendencies are the inevitable result of a judicial system which has forgotten what the rule of law is and which has replaced the rule of law with the rule of lawyers.</w:t>
      </w:r>
    </w:p>
    <w:sectPr w:rsidRPr="007E66A1" w:rsidR="004B621E" w:rsidSect="004B621E">
      <w:headerReference w:type="default" r:id="rId5"/>
      <w:footerReference w:type="default" r:id="rId6"/>
      <w:pgSz w:w="11906" w:h="16838"/>
      <w:pgMar w:top="1134" w:right="1134" w:bottom="1134" w:left="1134" w:header="709" w:footer="850" w:gutter="0"/>
      <w:paperSrc w:first="4" w:other="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21E" w:rsidRDefault="007E66A1">
    <w:pPr>
      <w:pStyle w:val="En-tte"/>
      <w:tabs>
        <w:tab w:val="clear" w:pos="9020"/>
        <w:tab w:val="center" w:pos="4819"/>
        <w:tab w:val="right" w:pos="9638"/>
      </w:tabs>
    </w:pPr>
    <w:r>
      <w:tab/>
    </w:r>
    <w:r w:rsidR="004B621E">
      <w:fldChar w:fldCharType="begin"/>
    </w:r>
    <w:r>
      <w:instrText xml:space="preserve"> PAGE </w:instrText>
    </w:r>
    <w:r>
      <w:fldChar w:fldCharType="separate"/>
    </w:r>
    <w:r>
      <w:rPr>
        <w:noProof/>
      </w:rPr>
      <w:t>2</w:t>
    </w:r>
    <w:r w:rsidR="004B621E">
      <w:fldChar w:fldCharType="end"/>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621E" w:rsidRDefault="007E66A1">
      <w:r>
        <w:separator/>
      </w:r>
    </w:p>
  </w:footnote>
  <w:footnote w:type="continuationSeparator" w:id="0">
    <w:p w:rsidR="004B621E" w:rsidRDefault="007E66A1">
      <w:r>
        <w:continuationSeparator/>
      </w:r>
    </w:p>
  </w:footnote>
  <w:footnote w:type="continuationNotice" w:id="1">
    <w:p w:rsidR="004B621E" w:rsidRDefault="004B621E"/>
  </w:footnote>
  <w:footnote w:id="2">
    <w:p w:rsidR="004B621E" w:rsidRPr="007E66A1" w:rsidRDefault="007E66A1">
      <w:pPr>
        <w:pStyle w:val="Notedebasdepage"/>
        <w:rPr>
          <w:rFonts w:ascii="Book Antiqua" w:hAnsi="Book Antiqua"/>
          <w:sz w:val="16"/>
        </w:rPr>
      </w:pPr>
      <w:r w:rsidRPr="007E66A1">
        <w:rPr>
          <w:rStyle w:val="Aucun"/>
          <w:rFonts w:ascii="Book Antiqua" w:hAnsi="Book Antiqua"/>
          <w:sz w:val="16"/>
          <w:vertAlign w:val="superscript"/>
        </w:rPr>
        <w:footnoteRef/>
      </w:r>
      <w:r w:rsidRPr="007E66A1">
        <w:rPr>
          <w:rFonts w:ascii="Book Antiqua" w:eastAsia="Arial Unicode MS" w:hAnsi="Book Antiqua" w:cs="Arial Unicode MS"/>
          <w:sz w:val="16"/>
        </w:rPr>
        <w:t xml:space="preserve"> </w:t>
      </w:r>
      <w:r w:rsidRPr="007E66A1">
        <w:rPr>
          <w:rStyle w:val="Aucun"/>
          <w:rFonts w:ascii="Book Antiqua" w:eastAsia="Arial Unicode MS" w:hAnsi="Book Antiqua" w:cs="Arial Unicode MS"/>
          <w:sz w:val="16"/>
          <w:szCs w:val="20"/>
        </w:rPr>
        <w:t xml:space="preserve">D. </w:t>
      </w:r>
      <w:r w:rsidRPr="007E66A1">
        <w:rPr>
          <w:rStyle w:val="Aucun"/>
          <w:rFonts w:ascii="Book Antiqua" w:eastAsia="Arial Unicode MS" w:hAnsi="Book Antiqua" w:cs="Arial Unicode MS"/>
          <w:sz w:val="16"/>
          <w:szCs w:val="20"/>
        </w:rPr>
        <w:t xml:space="preserve">Phil (Oxford), lecturer at the University Institute of St Pius X, Paris; research fellow at the European Centre for Law and Justice, Strasbourg; author of, inter alia, </w:t>
      </w:r>
      <w:r w:rsidRPr="007E66A1">
        <w:rPr>
          <w:rStyle w:val="Aucun"/>
          <w:rFonts w:ascii="Book Antiqua" w:eastAsia="Arial Unicode MS" w:hAnsi="Book Antiqua" w:cs="Arial Unicode MS"/>
          <w:i/>
          <w:iCs/>
          <w:sz w:val="16"/>
          <w:szCs w:val="20"/>
        </w:rPr>
        <w:t xml:space="preserve">A History of Political Trials from Charles I to Charles Taylor </w:t>
      </w:r>
      <w:r w:rsidRPr="007E66A1">
        <w:rPr>
          <w:rStyle w:val="Aucun"/>
          <w:rFonts w:ascii="Book Antiqua" w:eastAsia="Arial Unicode MS" w:hAnsi="Book Antiqua" w:cs="Arial Unicode MS"/>
          <w:sz w:val="16"/>
          <w:szCs w:val="20"/>
        </w:rPr>
        <w:t>(Oxford: Peter Lang, 2016</w:t>
      </w:r>
      <w:r w:rsidRPr="007E66A1">
        <w:rPr>
          <w:rStyle w:val="Aucun"/>
          <w:rFonts w:ascii="Book Antiqua" w:eastAsia="Arial Unicode MS" w:hAnsi="Book Antiqua" w:cs="Arial Unicode MS"/>
          <w:sz w:val="16"/>
          <w:szCs w:val="20"/>
        </w:rPr>
        <w:t xml:space="preserve">) and </w:t>
      </w:r>
      <w:r w:rsidRPr="007E66A1">
        <w:rPr>
          <w:rStyle w:val="Aucun"/>
          <w:rFonts w:ascii="Book Antiqua" w:eastAsia="Arial Unicode MS" w:hAnsi="Book Antiqua" w:cs="Arial Unicode MS"/>
          <w:i/>
          <w:iCs/>
          <w:sz w:val="16"/>
          <w:szCs w:val="20"/>
        </w:rPr>
        <w:t xml:space="preserve">Travesty: The Trial of Slobodan Milosevic and the Corruption of International Justice </w:t>
      </w:r>
      <w:r w:rsidRPr="007E66A1">
        <w:rPr>
          <w:rStyle w:val="Aucun"/>
          <w:rFonts w:ascii="Book Antiqua" w:eastAsia="Arial Unicode MS" w:hAnsi="Book Antiqua" w:cs="Arial Unicode MS"/>
          <w:sz w:val="16"/>
          <w:szCs w:val="20"/>
        </w:rPr>
        <w:t>(London: Pluto Press, 2007)</w:t>
      </w:r>
    </w:p>
  </w:footnote>
  <w:footnote w:id="3">
    <w:p w:rsidR="004B621E" w:rsidRPr="007E66A1" w:rsidRDefault="007E66A1">
      <w:pPr>
        <w:pStyle w:val="Notedebasdepage"/>
        <w:rPr>
          <w:rFonts w:ascii="Book Antiqua" w:hAnsi="Book Antiqua"/>
          <w:sz w:val="16"/>
        </w:rPr>
      </w:pPr>
      <w:r w:rsidRPr="007E66A1">
        <w:rPr>
          <w:rStyle w:val="Aucun"/>
          <w:rFonts w:ascii="Book Antiqua" w:hAnsi="Book Antiqua"/>
          <w:sz w:val="16"/>
          <w:vertAlign w:val="superscript"/>
        </w:rPr>
        <w:footnoteRef/>
      </w:r>
      <w:r w:rsidRPr="007E66A1">
        <w:rPr>
          <w:rFonts w:ascii="Book Antiqua" w:eastAsia="Arial Unicode MS" w:hAnsi="Book Antiqua" w:cs="Arial Unicode MS"/>
          <w:sz w:val="16"/>
        </w:rPr>
        <w:t xml:space="preserve"> </w:t>
      </w:r>
      <w:r w:rsidRPr="007E66A1">
        <w:rPr>
          <w:rStyle w:val="Aucun"/>
          <w:rFonts w:ascii="Book Antiqua" w:eastAsia="Arial Unicode MS" w:hAnsi="Book Antiqua" w:cs="Arial Unicode MS"/>
          <w:sz w:val="16"/>
          <w:szCs w:val="20"/>
        </w:rPr>
        <w:t xml:space="preserve">Aristotle, </w:t>
      </w:r>
      <w:r w:rsidRPr="007E66A1">
        <w:rPr>
          <w:rStyle w:val="Aucun"/>
          <w:rFonts w:ascii="Book Antiqua" w:eastAsia="Arial Unicode MS" w:hAnsi="Book Antiqua" w:cs="Arial Unicode MS"/>
          <w:i/>
          <w:iCs/>
          <w:sz w:val="16"/>
          <w:szCs w:val="20"/>
        </w:rPr>
        <w:t>Politics</w:t>
      </w:r>
      <w:r w:rsidRPr="007E66A1">
        <w:rPr>
          <w:rStyle w:val="Aucun"/>
          <w:rFonts w:ascii="Book Antiqua" w:eastAsia="Arial Unicode MS" w:hAnsi="Book Antiqua" w:cs="Arial Unicode MS"/>
          <w:sz w:val="16"/>
          <w:szCs w:val="20"/>
        </w:rPr>
        <w:t>, Book III, part 16, 1287a</w:t>
      </w:r>
    </w:p>
  </w:footnote>
  <w:footnote w:id="4">
    <w:p w:rsidR="004B621E" w:rsidRPr="007E66A1" w:rsidRDefault="007E66A1">
      <w:pPr>
        <w:pStyle w:val="Notedebasdepage"/>
        <w:rPr>
          <w:rFonts w:ascii="Book Antiqua" w:hAnsi="Book Antiqua"/>
          <w:sz w:val="16"/>
        </w:rPr>
      </w:pPr>
      <w:r w:rsidRPr="007E66A1">
        <w:rPr>
          <w:rStyle w:val="Aucun"/>
          <w:rFonts w:ascii="Book Antiqua" w:hAnsi="Book Antiqua"/>
          <w:sz w:val="16"/>
          <w:szCs w:val="20"/>
          <w:vertAlign w:val="superscript"/>
        </w:rPr>
        <w:footnoteRef/>
      </w:r>
      <w:r w:rsidRPr="007E66A1">
        <w:rPr>
          <w:rFonts w:ascii="Book Antiqua" w:hAnsi="Book Antiqua"/>
          <w:sz w:val="16"/>
          <w:szCs w:val="20"/>
        </w:rPr>
        <w:t xml:space="preserve"> </w:t>
      </w:r>
      <w:r w:rsidRPr="007E66A1">
        <w:rPr>
          <w:rFonts w:ascii="Book Antiqua" w:hAnsi="Book Antiqua"/>
          <w:sz w:val="16"/>
          <w:szCs w:val="20"/>
        </w:rPr>
        <w:t xml:space="preserve">Aristotle, </w:t>
      </w:r>
      <w:r w:rsidRPr="007E66A1">
        <w:rPr>
          <w:rStyle w:val="Aucun"/>
          <w:rFonts w:ascii="Book Antiqua" w:hAnsi="Book Antiqua"/>
          <w:i/>
          <w:iCs/>
          <w:sz w:val="16"/>
          <w:szCs w:val="20"/>
        </w:rPr>
        <w:t>Politics</w:t>
      </w:r>
      <w:r w:rsidRPr="007E66A1">
        <w:rPr>
          <w:rFonts w:ascii="Book Antiqua" w:hAnsi="Book Antiqua"/>
          <w:sz w:val="16"/>
          <w:szCs w:val="20"/>
        </w:rPr>
        <w:t xml:space="preserve"> 1287a </w:t>
      </w:r>
    </w:p>
  </w:footnote>
  <w:footnote w:id="5">
    <w:p w:rsidR="004B621E" w:rsidRPr="007E66A1" w:rsidRDefault="007E66A1">
      <w:pPr>
        <w:pStyle w:val="Notedebasdepage"/>
        <w:rPr>
          <w:rFonts w:ascii="Book Antiqua" w:hAnsi="Book Antiqua"/>
          <w:sz w:val="16"/>
        </w:rPr>
      </w:pPr>
      <w:r w:rsidRPr="007E66A1">
        <w:rPr>
          <w:rStyle w:val="Aucun"/>
          <w:rFonts w:ascii="Book Antiqua" w:hAnsi="Book Antiqua"/>
          <w:sz w:val="16"/>
          <w:szCs w:val="20"/>
          <w:vertAlign w:val="superscript"/>
        </w:rPr>
        <w:footnoteRef/>
      </w:r>
      <w:r w:rsidRPr="007E66A1">
        <w:rPr>
          <w:rFonts w:ascii="Book Antiqua" w:hAnsi="Book Antiqua"/>
          <w:sz w:val="16"/>
          <w:szCs w:val="20"/>
        </w:rPr>
        <w:t xml:space="preserve"> </w:t>
      </w:r>
      <w:r w:rsidRPr="007E66A1">
        <w:rPr>
          <w:rFonts w:ascii="Book Antiqua" w:hAnsi="Book Antiqua"/>
          <w:sz w:val="16"/>
          <w:szCs w:val="20"/>
        </w:rPr>
        <w:t xml:space="preserve">Aristotle, </w:t>
      </w:r>
      <w:r w:rsidRPr="007E66A1">
        <w:rPr>
          <w:rStyle w:val="Aucun"/>
          <w:rFonts w:ascii="Book Antiqua" w:hAnsi="Book Antiqua"/>
          <w:i/>
          <w:iCs/>
          <w:sz w:val="16"/>
          <w:szCs w:val="20"/>
        </w:rPr>
        <w:t>Rhetoric</w:t>
      </w:r>
      <w:r w:rsidRPr="007E66A1">
        <w:rPr>
          <w:rFonts w:ascii="Book Antiqua" w:hAnsi="Book Antiqua"/>
          <w:sz w:val="16"/>
          <w:szCs w:val="20"/>
        </w:rPr>
        <w:t>, Book I, part i.</w:t>
      </w:r>
    </w:p>
  </w:footnote>
  <w:footnote w:id="6">
    <w:p w:rsidR="004B621E" w:rsidRPr="007E66A1" w:rsidRDefault="007E66A1">
      <w:pPr>
        <w:pStyle w:val="Notedebasdepage"/>
        <w:rPr>
          <w:rFonts w:ascii="Book Antiqua" w:hAnsi="Book Antiqua"/>
          <w:sz w:val="16"/>
        </w:rPr>
      </w:pPr>
      <w:r w:rsidRPr="007E66A1">
        <w:rPr>
          <w:rStyle w:val="Aucun"/>
          <w:rFonts w:ascii="Book Antiqua" w:hAnsi="Book Antiqua"/>
          <w:sz w:val="16"/>
          <w:szCs w:val="20"/>
          <w:vertAlign w:val="superscript"/>
        </w:rPr>
        <w:footnoteRef/>
      </w:r>
      <w:r w:rsidRPr="007E66A1">
        <w:rPr>
          <w:rFonts w:ascii="Book Antiqua" w:hAnsi="Book Antiqua"/>
          <w:sz w:val="16"/>
          <w:szCs w:val="20"/>
        </w:rPr>
        <w:t xml:space="preserve"> </w:t>
      </w:r>
      <w:r w:rsidRPr="007E66A1">
        <w:rPr>
          <w:rFonts w:ascii="Book Antiqua" w:hAnsi="Book Antiqua"/>
          <w:sz w:val="16"/>
          <w:szCs w:val="20"/>
        </w:rPr>
        <w:t xml:space="preserve">Cicero, </w:t>
      </w:r>
      <w:r w:rsidRPr="007E66A1">
        <w:rPr>
          <w:rStyle w:val="Aucun"/>
          <w:rFonts w:ascii="Book Antiqua" w:hAnsi="Book Antiqua"/>
          <w:i/>
          <w:iCs/>
          <w:sz w:val="16"/>
          <w:szCs w:val="20"/>
        </w:rPr>
        <w:t>De Legibus</w:t>
      </w:r>
      <w:r w:rsidRPr="007E66A1">
        <w:rPr>
          <w:rFonts w:ascii="Book Antiqua" w:hAnsi="Book Antiqua"/>
          <w:sz w:val="16"/>
          <w:szCs w:val="20"/>
        </w:rPr>
        <w:t>, Book III, i, 2</w:t>
      </w:r>
    </w:p>
  </w:footnote>
  <w:footnote w:id="7">
    <w:p w:rsidR="004B621E" w:rsidRPr="007E66A1" w:rsidRDefault="007E66A1">
      <w:pPr>
        <w:pStyle w:val="Notedebasdepage"/>
        <w:rPr>
          <w:rFonts w:ascii="Book Antiqua" w:hAnsi="Book Antiqua"/>
          <w:sz w:val="16"/>
        </w:rPr>
      </w:pPr>
      <w:r w:rsidRPr="007E66A1">
        <w:rPr>
          <w:rStyle w:val="Aucun"/>
          <w:rFonts w:ascii="Book Antiqua" w:hAnsi="Book Antiqua"/>
          <w:sz w:val="16"/>
          <w:szCs w:val="20"/>
          <w:vertAlign w:val="superscript"/>
        </w:rPr>
        <w:footnoteRef/>
      </w:r>
      <w:r w:rsidRPr="007E66A1">
        <w:rPr>
          <w:rFonts w:ascii="Book Antiqua" w:hAnsi="Book Antiqua"/>
          <w:sz w:val="16"/>
          <w:szCs w:val="20"/>
        </w:rPr>
        <w:t xml:space="preserve"> </w:t>
      </w:r>
      <w:r w:rsidRPr="007E66A1">
        <w:rPr>
          <w:rFonts w:ascii="Book Antiqua" w:hAnsi="Book Antiqua"/>
          <w:sz w:val="16"/>
          <w:szCs w:val="20"/>
        </w:rPr>
        <w:t xml:space="preserve">John LOCKE, </w:t>
      </w:r>
      <w:r w:rsidRPr="007E66A1">
        <w:rPr>
          <w:rStyle w:val="Aucun"/>
          <w:rFonts w:ascii="Book Antiqua" w:hAnsi="Book Antiqua"/>
          <w:i/>
          <w:iCs/>
          <w:sz w:val="16"/>
          <w:szCs w:val="20"/>
        </w:rPr>
        <w:t>An Essay Concerning the True, Original Extent and End of Civil Government</w:t>
      </w:r>
      <w:r w:rsidRPr="007E66A1">
        <w:rPr>
          <w:rFonts w:ascii="Book Antiqua" w:hAnsi="Book Antiqua"/>
          <w:sz w:val="16"/>
          <w:szCs w:val="20"/>
        </w:rPr>
        <w:t xml:space="preserve"> (</w:t>
      </w:r>
      <w:r w:rsidRPr="007E66A1">
        <w:rPr>
          <w:rFonts w:ascii="Book Antiqua" w:hAnsi="Book Antiqua"/>
          <w:sz w:val="16"/>
          <w:szCs w:val="20"/>
        </w:rPr>
        <w:t>« </w:t>
      </w:r>
      <w:r w:rsidRPr="007E66A1">
        <w:rPr>
          <w:rStyle w:val="Aucun"/>
          <w:rFonts w:ascii="Book Antiqua" w:hAnsi="Book Antiqua"/>
          <w:i/>
          <w:iCs/>
          <w:sz w:val="16"/>
          <w:szCs w:val="20"/>
        </w:rPr>
        <w:t>Second Treatise of Government</w:t>
      </w:r>
      <w:r w:rsidRPr="007E66A1">
        <w:rPr>
          <w:rStyle w:val="Aucun"/>
          <w:rFonts w:ascii="Book Antiqua" w:hAnsi="Book Antiqua"/>
          <w:i/>
          <w:iCs/>
          <w:sz w:val="16"/>
          <w:szCs w:val="20"/>
        </w:rPr>
        <w:t> »</w:t>
      </w:r>
      <w:r w:rsidRPr="007E66A1">
        <w:rPr>
          <w:rFonts w:ascii="Book Antiqua" w:hAnsi="Book Antiqua"/>
          <w:sz w:val="16"/>
          <w:szCs w:val="20"/>
        </w:rPr>
        <w:t>), Chapter XI, par 136.</w:t>
      </w:r>
    </w:p>
  </w:footnote>
  <w:footnote w:id="8">
    <w:p w:rsidR="004B621E" w:rsidRPr="007E66A1" w:rsidRDefault="007E66A1">
      <w:pPr>
        <w:pStyle w:val="Notedebasdepage"/>
        <w:rPr>
          <w:rFonts w:ascii="Book Antiqua" w:hAnsi="Book Antiqua"/>
          <w:sz w:val="16"/>
        </w:rPr>
      </w:pPr>
      <w:r w:rsidRPr="007E66A1">
        <w:rPr>
          <w:rStyle w:val="Aucun"/>
          <w:rFonts w:ascii="Book Antiqua" w:hAnsi="Book Antiqua"/>
          <w:sz w:val="16"/>
          <w:szCs w:val="20"/>
          <w:vertAlign w:val="superscript"/>
        </w:rPr>
        <w:footnoteRef/>
      </w:r>
      <w:r w:rsidRPr="007E66A1">
        <w:rPr>
          <w:rFonts w:ascii="Book Antiqua" w:hAnsi="Book Antiqua"/>
          <w:sz w:val="16"/>
          <w:szCs w:val="20"/>
        </w:rPr>
        <w:t xml:space="preserve"> </w:t>
      </w:r>
      <w:r w:rsidRPr="007E66A1">
        <w:rPr>
          <w:rFonts w:ascii="Book Antiqua" w:hAnsi="Book Antiqua"/>
          <w:sz w:val="16"/>
          <w:szCs w:val="20"/>
        </w:rPr>
        <w:t xml:space="preserve">Ronald DWORKIN, </w:t>
      </w:r>
      <w:r w:rsidRPr="007E66A1">
        <w:rPr>
          <w:rStyle w:val="Aucun"/>
          <w:rFonts w:ascii="Book Antiqua" w:hAnsi="Book Antiqua"/>
          <w:i/>
          <w:iCs/>
          <w:sz w:val="16"/>
          <w:szCs w:val="20"/>
        </w:rPr>
        <w:t xml:space="preserve">Hard Cases, </w:t>
      </w:r>
      <w:r w:rsidRPr="007E66A1">
        <w:rPr>
          <w:rFonts w:ascii="Book Antiqua" w:hAnsi="Book Antiqua"/>
          <w:sz w:val="16"/>
          <w:szCs w:val="20"/>
        </w:rPr>
        <w:t>Harvard Law Review, Vol. 8, No. 6 (1975), p. 1090.</w:t>
      </w:r>
    </w:p>
  </w:footnote>
  <w:footnote w:id="9">
    <w:p w:rsidR="004B621E" w:rsidRPr="007E66A1" w:rsidRDefault="007E66A1">
      <w:pPr>
        <w:pStyle w:val="Notedebasdepage"/>
        <w:rPr>
          <w:rFonts w:ascii="Book Antiqua" w:hAnsi="Book Antiqua"/>
          <w:sz w:val="16"/>
        </w:rPr>
      </w:pPr>
      <w:r w:rsidRPr="007E66A1">
        <w:rPr>
          <w:rStyle w:val="Aucun"/>
          <w:rFonts w:ascii="Book Antiqua" w:hAnsi="Book Antiqua"/>
          <w:sz w:val="16"/>
          <w:szCs w:val="20"/>
          <w:vertAlign w:val="superscript"/>
        </w:rPr>
        <w:footnoteRef/>
      </w:r>
      <w:r w:rsidRPr="007E66A1">
        <w:rPr>
          <w:rFonts w:ascii="Book Antiqua" w:hAnsi="Book Antiqua"/>
          <w:sz w:val="16"/>
          <w:szCs w:val="20"/>
        </w:rPr>
        <w:t xml:space="preserve"> </w:t>
      </w:r>
      <w:r w:rsidRPr="007E66A1">
        <w:rPr>
          <w:rFonts w:ascii="Book Antiqua" w:hAnsi="Book Antiqua"/>
          <w:sz w:val="16"/>
          <w:szCs w:val="20"/>
        </w:rPr>
        <w:t>Statute of</w:t>
      </w:r>
      <w:r w:rsidRPr="007E66A1">
        <w:rPr>
          <w:rFonts w:ascii="Book Antiqua" w:hAnsi="Book Antiqua"/>
          <w:sz w:val="16"/>
          <w:szCs w:val="20"/>
        </w:rPr>
        <w:t xml:space="preserve"> the </w:t>
      </w:r>
      <w:r w:rsidRPr="007E66A1">
        <w:rPr>
          <w:rStyle w:val="Aucun"/>
          <w:rFonts w:ascii="Book Antiqua" w:hAnsi="Book Antiqua"/>
          <w:i/>
          <w:iCs/>
          <w:sz w:val="16"/>
          <w:szCs w:val="20"/>
        </w:rPr>
        <w:t>Institut du droit international</w:t>
      </w:r>
      <w:r w:rsidRPr="007E66A1">
        <w:rPr>
          <w:rFonts w:ascii="Book Antiqua" w:hAnsi="Book Antiqua"/>
          <w:sz w:val="16"/>
          <w:szCs w:val="20"/>
        </w:rPr>
        <w:t xml:space="preserve">, Article I. </w:t>
      </w:r>
    </w:p>
  </w:footnote>
  <w:footnote w:id="10">
    <w:p w:rsidR="004B621E" w:rsidRPr="007E66A1" w:rsidRDefault="007E66A1">
      <w:pPr>
        <w:pStyle w:val="Notedebasdepage"/>
        <w:rPr>
          <w:rFonts w:ascii="Book Antiqua" w:hAnsi="Book Antiqua"/>
          <w:sz w:val="16"/>
        </w:rPr>
      </w:pPr>
      <w:r w:rsidRPr="007E66A1">
        <w:rPr>
          <w:rStyle w:val="Aucun"/>
          <w:rFonts w:ascii="Book Antiqua" w:hAnsi="Book Antiqua"/>
          <w:sz w:val="16"/>
          <w:szCs w:val="20"/>
          <w:vertAlign w:val="superscript"/>
        </w:rPr>
        <w:footnoteRef/>
      </w:r>
      <w:r w:rsidRPr="007E66A1">
        <w:rPr>
          <w:rFonts w:ascii="Book Antiqua" w:hAnsi="Book Antiqua"/>
          <w:sz w:val="16"/>
          <w:szCs w:val="20"/>
          <w:lang w:val="es-ES_tradnl"/>
        </w:rPr>
        <w:t xml:space="preserve"> Gustave ROLIN-JAEQUEMYNS, </w:t>
      </w:r>
      <w:r w:rsidRPr="007E66A1">
        <w:rPr>
          <w:rStyle w:val="Aucun"/>
          <w:rFonts w:ascii="Book Antiqua" w:hAnsi="Book Antiqua"/>
          <w:i/>
          <w:iCs/>
          <w:sz w:val="16"/>
          <w:szCs w:val="20"/>
          <w:lang w:val="nl-NL"/>
        </w:rPr>
        <w:t>De l</w:t>
      </w:r>
      <w:r w:rsidRPr="007E66A1">
        <w:rPr>
          <w:rStyle w:val="Aucun"/>
          <w:rFonts w:ascii="Book Antiqua" w:hAnsi="Book Antiqua"/>
          <w:i/>
          <w:iCs/>
          <w:sz w:val="16"/>
          <w:szCs w:val="20"/>
        </w:rPr>
        <w:t>’é</w:t>
      </w:r>
      <w:r w:rsidRPr="007E66A1">
        <w:rPr>
          <w:rStyle w:val="Aucun"/>
          <w:rFonts w:ascii="Book Antiqua" w:hAnsi="Book Antiqua"/>
          <w:i/>
          <w:iCs/>
          <w:sz w:val="16"/>
          <w:szCs w:val="20"/>
        </w:rPr>
        <w:t>tude de la l</w:t>
      </w:r>
      <w:r w:rsidRPr="007E66A1">
        <w:rPr>
          <w:rStyle w:val="Aucun"/>
          <w:rFonts w:ascii="Book Antiqua" w:hAnsi="Book Antiqua"/>
          <w:i/>
          <w:iCs/>
          <w:sz w:val="16"/>
          <w:szCs w:val="20"/>
        </w:rPr>
        <w:t>é</w:t>
      </w:r>
      <w:r w:rsidRPr="007E66A1">
        <w:rPr>
          <w:rStyle w:val="Aucun"/>
          <w:rFonts w:ascii="Book Antiqua" w:hAnsi="Book Antiqua"/>
          <w:i/>
          <w:iCs/>
          <w:sz w:val="16"/>
          <w:szCs w:val="20"/>
        </w:rPr>
        <w:t>gislation compar</w:t>
      </w:r>
      <w:r w:rsidRPr="007E66A1">
        <w:rPr>
          <w:rStyle w:val="Aucun"/>
          <w:rFonts w:ascii="Book Antiqua" w:hAnsi="Book Antiqua"/>
          <w:i/>
          <w:iCs/>
          <w:sz w:val="16"/>
          <w:szCs w:val="20"/>
        </w:rPr>
        <w:t>é</w:t>
      </w:r>
      <w:r w:rsidRPr="007E66A1">
        <w:rPr>
          <w:rStyle w:val="Aucun"/>
          <w:rFonts w:ascii="Book Antiqua" w:hAnsi="Book Antiqua"/>
          <w:i/>
          <w:iCs/>
          <w:sz w:val="16"/>
          <w:szCs w:val="20"/>
        </w:rPr>
        <w:t xml:space="preserve">e et de droit international, </w:t>
      </w:r>
      <w:r w:rsidRPr="007E66A1">
        <w:rPr>
          <w:rFonts w:ascii="Book Antiqua" w:hAnsi="Book Antiqua"/>
          <w:sz w:val="16"/>
          <w:szCs w:val="20"/>
        </w:rPr>
        <w:t>Revue de droit international et de l</w:t>
      </w:r>
      <w:r w:rsidRPr="007E66A1">
        <w:rPr>
          <w:rFonts w:ascii="Book Antiqua" w:hAnsi="Book Antiqua"/>
          <w:sz w:val="16"/>
          <w:szCs w:val="20"/>
        </w:rPr>
        <w:t>é</w:t>
      </w:r>
      <w:r w:rsidRPr="007E66A1">
        <w:rPr>
          <w:rFonts w:ascii="Book Antiqua" w:hAnsi="Book Antiqua"/>
          <w:sz w:val="16"/>
          <w:szCs w:val="20"/>
        </w:rPr>
        <w:t>gislation compar</w:t>
      </w:r>
      <w:r w:rsidRPr="007E66A1">
        <w:rPr>
          <w:rFonts w:ascii="Book Antiqua" w:hAnsi="Book Antiqua"/>
          <w:sz w:val="16"/>
          <w:szCs w:val="20"/>
        </w:rPr>
        <w:t>é</w:t>
      </w:r>
      <w:r w:rsidRPr="007E66A1">
        <w:rPr>
          <w:rFonts w:ascii="Book Antiqua" w:hAnsi="Book Antiqua"/>
          <w:sz w:val="16"/>
          <w:szCs w:val="20"/>
          <w:lang w:val="it-IT"/>
        </w:rPr>
        <w:t>e, Tome I, 1869, p. 228</w:t>
      </w:r>
    </w:p>
  </w:footnote>
  <w:footnote w:id="11">
    <w:p w:rsidR="004B621E" w:rsidRPr="007E66A1" w:rsidRDefault="007E66A1">
      <w:pPr>
        <w:pStyle w:val="Notedebasdepage"/>
        <w:rPr>
          <w:rFonts w:ascii="Book Antiqua" w:hAnsi="Book Antiqua"/>
          <w:sz w:val="16"/>
        </w:rPr>
      </w:pPr>
      <w:r w:rsidRPr="007E66A1">
        <w:rPr>
          <w:rStyle w:val="Aucun"/>
          <w:rFonts w:ascii="Book Antiqua" w:hAnsi="Book Antiqua"/>
          <w:sz w:val="16"/>
          <w:szCs w:val="20"/>
          <w:vertAlign w:val="superscript"/>
        </w:rPr>
        <w:footnoteRef/>
      </w:r>
      <w:r w:rsidRPr="007E66A1">
        <w:rPr>
          <w:rFonts w:ascii="Book Antiqua" w:hAnsi="Book Antiqua"/>
          <w:sz w:val="16"/>
          <w:szCs w:val="20"/>
        </w:rPr>
        <w:t xml:space="preserve"> </w:t>
      </w:r>
      <w:r w:rsidRPr="007E66A1">
        <w:rPr>
          <w:rFonts w:ascii="Book Antiqua" w:hAnsi="Book Antiqua"/>
          <w:sz w:val="16"/>
          <w:szCs w:val="20"/>
        </w:rPr>
        <w:t xml:space="preserve">Martti KOSKENNIEMI, </w:t>
      </w:r>
      <w:r w:rsidRPr="007E66A1">
        <w:rPr>
          <w:rStyle w:val="Aucun"/>
          <w:rFonts w:ascii="Book Antiqua" w:hAnsi="Book Antiqua"/>
          <w:i/>
          <w:iCs/>
          <w:sz w:val="16"/>
          <w:szCs w:val="20"/>
        </w:rPr>
        <w:t xml:space="preserve">The Gentle </w:t>
      </w:r>
      <w:r w:rsidRPr="007E66A1">
        <w:rPr>
          <w:rStyle w:val="Aucun"/>
          <w:rFonts w:ascii="Book Antiqua" w:hAnsi="Book Antiqua"/>
          <w:i/>
          <w:iCs/>
          <w:sz w:val="16"/>
          <w:szCs w:val="20"/>
        </w:rPr>
        <w:t>Civilizer of Nations, The Rise and Fall of International Law, 1870-1960</w:t>
      </w:r>
      <w:r w:rsidRPr="007E66A1">
        <w:rPr>
          <w:rFonts w:ascii="Book Antiqua" w:hAnsi="Book Antiqua"/>
          <w:sz w:val="16"/>
          <w:szCs w:val="20"/>
        </w:rPr>
        <w:t xml:space="preserve"> (Cambridge University Press, 1960)</w:t>
      </w:r>
    </w:p>
  </w:footnote>
  <w:footnote w:id="12">
    <w:p w:rsidR="004B621E" w:rsidRPr="007E66A1" w:rsidRDefault="007E66A1">
      <w:pPr>
        <w:pStyle w:val="Notedebasdepage"/>
        <w:rPr>
          <w:rFonts w:ascii="Book Antiqua" w:hAnsi="Book Antiqua"/>
          <w:sz w:val="16"/>
        </w:rPr>
      </w:pPr>
      <w:r w:rsidRPr="007E66A1">
        <w:rPr>
          <w:rStyle w:val="Aucun"/>
          <w:rFonts w:ascii="Book Antiqua" w:hAnsi="Book Antiqua"/>
          <w:sz w:val="16"/>
          <w:vertAlign w:val="superscript"/>
        </w:rPr>
        <w:footnoteRef/>
      </w:r>
      <w:r w:rsidRPr="007E66A1">
        <w:rPr>
          <w:rFonts w:ascii="Book Antiqua" w:eastAsia="Arial Unicode MS" w:hAnsi="Book Antiqua" w:cs="Arial Unicode MS"/>
          <w:sz w:val="16"/>
        </w:rPr>
        <w:t xml:space="preserve"> </w:t>
      </w:r>
      <w:r w:rsidRPr="007E66A1">
        <w:rPr>
          <w:rFonts w:ascii="Book Antiqua" w:eastAsia="Arial Unicode MS" w:hAnsi="Book Antiqua" w:cs="Arial Unicode MS"/>
          <w:sz w:val="16"/>
        </w:rPr>
        <w:t xml:space="preserve">Juvenal, </w:t>
      </w:r>
      <w:r w:rsidRPr="007E66A1">
        <w:rPr>
          <w:rStyle w:val="Aucun"/>
          <w:rFonts w:ascii="Book Antiqua" w:eastAsia="Arial Unicode MS" w:hAnsi="Book Antiqua" w:cs="Arial Unicode MS"/>
          <w:i/>
          <w:iCs/>
          <w:sz w:val="16"/>
          <w:lang w:val="it-IT"/>
        </w:rPr>
        <w:t>Satire VI</w:t>
      </w:r>
      <w:r w:rsidRPr="007E66A1">
        <w:rPr>
          <w:rFonts w:ascii="Book Antiqua" w:eastAsia="Arial Unicode MS" w:hAnsi="Book Antiqua" w:cs="Arial Unicode MS"/>
          <w:sz w:val="16"/>
          <w:lang w:val="en-US"/>
        </w:rPr>
        <w:t>, lines 347</w:t>
      </w:r>
      <w:r w:rsidRPr="007E66A1">
        <w:rPr>
          <w:rFonts w:ascii="Book Antiqua" w:eastAsia="Arial Unicode MS" w:hAnsi="Book Antiqua" w:cs="Arial Unicode MS"/>
          <w:sz w:val="16"/>
        </w:rPr>
        <w:t>–</w:t>
      </w:r>
      <w:r w:rsidRPr="007E66A1">
        <w:rPr>
          <w:rFonts w:ascii="Book Antiqua" w:eastAsia="Arial Unicode MS" w:hAnsi="Book Antiqua" w:cs="Arial Unicode MS"/>
          <w:sz w:val="16"/>
        </w:rPr>
        <w:t>348</w:t>
      </w:r>
    </w:p>
  </w:footnote>
  <w:footnote w:id="13">
    <w:p w:rsidR="004B621E" w:rsidRPr="007E66A1" w:rsidRDefault="007E66A1">
      <w:pPr>
        <w:pStyle w:val="Notedebasdepage"/>
        <w:rPr>
          <w:rFonts w:ascii="Book Antiqua" w:hAnsi="Book Antiqua"/>
          <w:sz w:val="16"/>
        </w:rPr>
      </w:pPr>
      <w:r w:rsidRPr="007E66A1">
        <w:rPr>
          <w:rStyle w:val="Aucun"/>
          <w:rFonts w:ascii="Book Antiqua" w:hAnsi="Book Antiqua"/>
          <w:sz w:val="16"/>
          <w:szCs w:val="20"/>
          <w:vertAlign w:val="superscript"/>
        </w:rPr>
        <w:footnoteRef/>
      </w:r>
      <w:r w:rsidRPr="007E66A1">
        <w:rPr>
          <w:rFonts w:ascii="Book Antiqua" w:hAnsi="Book Antiqua"/>
          <w:sz w:val="16"/>
          <w:szCs w:val="20"/>
        </w:rPr>
        <w:t xml:space="preserve"> </w:t>
      </w:r>
      <w:r w:rsidRPr="007E66A1">
        <w:rPr>
          <w:rFonts w:ascii="Book Antiqua" w:hAnsi="Book Antiqua"/>
          <w:sz w:val="16"/>
          <w:szCs w:val="20"/>
        </w:rPr>
        <w:t>John LAUGHLAND</w:t>
      </w:r>
      <w:r w:rsidRPr="007E66A1">
        <w:rPr>
          <w:rStyle w:val="Aucun"/>
          <w:rFonts w:ascii="Book Antiqua" w:hAnsi="Book Antiqua"/>
          <w:i/>
          <w:iCs/>
          <w:sz w:val="16"/>
          <w:szCs w:val="20"/>
        </w:rPr>
        <w:t>, A History of Political Trials from Charles I to Charles Taylor</w:t>
      </w:r>
      <w:r w:rsidRPr="007E66A1">
        <w:rPr>
          <w:rFonts w:ascii="Book Antiqua" w:hAnsi="Book Antiqua"/>
          <w:sz w:val="16"/>
          <w:szCs w:val="20"/>
        </w:rPr>
        <w:t>, 2nd edition, (Oxford: Peter Lan</w:t>
      </w:r>
      <w:r w:rsidRPr="007E66A1">
        <w:rPr>
          <w:rFonts w:ascii="Book Antiqua" w:hAnsi="Book Antiqua"/>
          <w:sz w:val="16"/>
          <w:szCs w:val="20"/>
        </w:rPr>
        <w:t>g, 2016), Chapter 20.</w:t>
      </w:r>
    </w:p>
  </w:footnote>
  <w:footnote w:id="14">
    <w:p w:rsidR="004B621E" w:rsidRPr="007E66A1" w:rsidRDefault="007E66A1">
      <w:pPr>
        <w:pStyle w:val="Notedebasdepage"/>
        <w:rPr>
          <w:rFonts w:ascii="Book Antiqua" w:hAnsi="Book Antiqua"/>
          <w:sz w:val="16"/>
        </w:rPr>
      </w:pPr>
      <w:r w:rsidRPr="007E66A1">
        <w:rPr>
          <w:rStyle w:val="Aucun"/>
          <w:rFonts w:ascii="Book Antiqua" w:hAnsi="Book Antiqua"/>
          <w:sz w:val="16"/>
          <w:vertAlign w:val="superscript"/>
        </w:rPr>
        <w:footnoteRef/>
      </w:r>
      <w:r w:rsidRPr="007E66A1">
        <w:rPr>
          <w:rFonts w:ascii="Book Antiqua" w:eastAsia="Arial Unicode MS" w:hAnsi="Book Antiqua" w:cs="Arial Unicode MS"/>
          <w:sz w:val="16"/>
        </w:rPr>
        <w:t xml:space="preserve"> </w:t>
      </w:r>
      <w:r w:rsidRPr="007E66A1">
        <w:rPr>
          <w:rStyle w:val="Aucun"/>
          <w:rFonts w:ascii="Book Antiqua" w:eastAsia="Arial Unicode MS" w:hAnsi="Book Antiqua" w:cs="Arial Unicode MS"/>
          <w:sz w:val="16"/>
          <w:szCs w:val="20"/>
        </w:rPr>
        <w:t xml:space="preserve">Antoine VAUCHEZ, </w:t>
      </w:r>
      <w:r w:rsidRPr="007E66A1">
        <w:rPr>
          <w:rStyle w:val="Aucun"/>
          <w:rFonts w:ascii="Book Antiqua" w:eastAsia="Arial Unicode MS" w:hAnsi="Book Antiqua" w:cs="Arial Unicode MS"/>
          <w:i/>
          <w:iCs/>
          <w:sz w:val="16"/>
          <w:szCs w:val="20"/>
        </w:rPr>
        <w:t>L</w:t>
      </w:r>
      <w:r w:rsidRPr="007E66A1">
        <w:rPr>
          <w:rStyle w:val="Aucun"/>
          <w:rFonts w:ascii="Book Antiqua" w:eastAsia="Arial Unicode MS" w:hAnsi="Book Antiqua" w:cs="Arial Unicode MS"/>
          <w:i/>
          <w:iCs/>
          <w:sz w:val="16"/>
          <w:szCs w:val="20"/>
        </w:rPr>
        <w:t>’</w:t>
      </w:r>
      <w:r w:rsidRPr="007E66A1">
        <w:rPr>
          <w:rStyle w:val="Aucun"/>
          <w:rFonts w:ascii="Book Antiqua" w:eastAsia="Arial Unicode MS" w:hAnsi="Book Antiqua" w:cs="Arial Unicode MS"/>
          <w:i/>
          <w:iCs/>
          <w:sz w:val="16"/>
          <w:szCs w:val="20"/>
        </w:rPr>
        <w:t>Union par le droit, L</w:t>
      </w:r>
      <w:r w:rsidRPr="007E66A1">
        <w:rPr>
          <w:rStyle w:val="Aucun"/>
          <w:rFonts w:ascii="Book Antiqua" w:eastAsia="Arial Unicode MS" w:hAnsi="Book Antiqua" w:cs="Arial Unicode MS"/>
          <w:i/>
          <w:iCs/>
          <w:sz w:val="16"/>
          <w:szCs w:val="20"/>
        </w:rPr>
        <w:t>’</w:t>
      </w:r>
      <w:r w:rsidRPr="007E66A1">
        <w:rPr>
          <w:rStyle w:val="Aucun"/>
          <w:rFonts w:ascii="Book Antiqua" w:eastAsia="Arial Unicode MS" w:hAnsi="Book Antiqua" w:cs="Arial Unicode MS"/>
          <w:i/>
          <w:iCs/>
          <w:sz w:val="16"/>
          <w:szCs w:val="20"/>
        </w:rPr>
        <w:t>invention d</w:t>
      </w:r>
      <w:r w:rsidRPr="007E66A1">
        <w:rPr>
          <w:rStyle w:val="Aucun"/>
          <w:rFonts w:ascii="Book Antiqua" w:eastAsia="Arial Unicode MS" w:hAnsi="Book Antiqua" w:cs="Arial Unicode MS"/>
          <w:i/>
          <w:iCs/>
          <w:sz w:val="16"/>
          <w:szCs w:val="20"/>
        </w:rPr>
        <w:t>’</w:t>
      </w:r>
      <w:r w:rsidRPr="007E66A1">
        <w:rPr>
          <w:rStyle w:val="Aucun"/>
          <w:rFonts w:ascii="Book Antiqua" w:eastAsia="Arial Unicode MS" w:hAnsi="Book Antiqua" w:cs="Arial Unicode MS"/>
          <w:i/>
          <w:iCs/>
          <w:sz w:val="16"/>
          <w:szCs w:val="20"/>
        </w:rPr>
        <w:t>un programme institutionnel pour l</w:t>
      </w:r>
      <w:r w:rsidRPr="007E66A1">
        <w:rPr>
          <w:rStyle w:val="Aucun"/>
          <w:rFonts w:ascii="Book Antiqua" w:eastAsia="Arial Unicode MS" w:hAnsi="Book Antiqua" w:cs="Arial Unicode MS"/>
          <w:i/>
          <w:iCs/>
          <w:sz w:val="16"/>
          <w:szCs w:val="20"/>
        </w:rPr>
        <w:t>’</w:t>
      </w:r>
      <w:r w:rsidRPr="007E66A1">
        <w:rPr>
          <w:rStyle w:val="Aucun"/>
          <w:rFonts w:ascii="Book Antiqua" w:eastAsia="Arial Unicode MS" w:hAnsi="Book Antiqua" w:cs="Arial Unicode MS"/>
          <w:i/>
          <w:iCs/>
          <w:sz w:val="16"/>
          <w:szCs w:val="20"/>
        </w:rPr>
        <w:t>Europe</w:t>
      </w:r>
      <w:r w:rsidRPr="007E66A1">
        <w:rPr>
          <w:rStyle w:val="Aucun"/>
          <w:rFonts w:ascii="Book Antiqua" w:eastAsia="Arial Unicode MS" w:hAnsi="Book Antiqua" w:cs="Arial Unicode MS"/>
          <w:sz w:val="16"/>
          <w:szCs w:val="20"/>
        </w:rPr>
        <w:t xml:space="preserve"> (Paris: Presses de la Fondation Nationale des Sciences Politiques, 2013)</w:t>
      </w:r>
    </w:p>
  </w:footnote>
  <w:footnote w:id="15">
    <w:p w:rsidR="004B621E" w:rsidRPr="007E66A1" w:rsidRDefault="007E66A1">
      <w:pPr>
        <w:pStyle w:val="Notedebasdepage"/>
        <w:rPr>
          <w:rFonts w:ascii="Book Antiqua" w:hAnsi="Book Antiqua"/>
          <w:sz w:val="16"/>
        </w:rPr>
      </w:pPr>
      <w:r w:rsidRPr="007E66A1">
        <w:rPr>
          <w:rStyle w:val="Aucun"/>
          <w:rFonts w:ascii="Book Antiqua" w:hAnsi="Book Antiqua"/>
          <w:sz w:val="16"/>
          <w:szCs w:val="20"/>
          <w:vertAlign w:val="superscript"/>
        </w:rPr>
        <w:footnoteRef/>
      </w:r>
      <w:r w:rsidRPr="007E66A1">
        <w:rPr>
          <w:rFonts w:ascii="Book Antiqua" w:hAnsi="Book Antiqua"/>
          <w:sz w:val="16"/>
          <w:szCs w:val="20"/>
        </w:rPr>
        <w:t xml:space="preserve"> </w:t>
      </w:r>
      <w:r w:rsidRPr="007E66A1">
        <w:rPr>
          <w:rStyle w:val="Aucun"/>
          <w:rFonts w:ascii="Book Antiqua" w:hAnsi="Book Antiqua"/>
          <w:i/>
          <w:iCs/>
          <w:sz w:val="16"/>
          <w:szCs w:val="20"/>
        </w:rPr>
        <w:t>Case of Tyrer v. The United Kingdom</w:t>
      </w:r>
      <w:r w:rsidRPr="007E66A1">
        <w:rPr>
          <w:rFonts w:ascii="Book Antiqua" w:hAnsi="Book Antiqua"/>
          <w:sz w:val="16"/>
          <w:szCs w:val="20"/>
        </w:rPr>
        <w:t xml:space="preserve">, Judgment, 25 April 1978, </w:t>
      </w:r>
      <w:r w:rsidRPr="007E66A1">
        <w:rPr>
          <w:rFonts w:ascii="Book Antiqua" w:hAnsi="Book Antiqua"/>
          <w:sz w:val="16"/>
          <w:szCs w:val="20"/>
        </w:rPr>
        <w:t>par. 31</w:t>
      </w:r>
    </w:p>
  </w:footnote>
  <w:footnote w:id="16">
    <w:p w:rsidR="004B621E" w:rsidRPr="007E66A1" w:rsidRDefault="007E66A1">
      <w:pPr>
        <w:pStyle w:val="Notedebasdepage"/>
        <w:rPr>
          <w:rFonts w:ascii="Book Antiqua" w:hAnsi="Book Antiqua"/>
          <w:sz w:val="16"/>
        </w:rPr>
      </w:pPr>
      <w:r w:rsidRPr="007E66A1">
        <w:rPr>
          <w:rStyle w:val="Aucun"/>
          <w:rFonts w:ascii="Book Antiqua" w:hAnsi="Book Antiqua"/>
          <w:sz w:val="16"/>
          <w:szCs w:val="20"/>
          <w:vertAlign w:val="superscript"/>
        </w:rPr>
        <w:footnoteRef/>
      </w:r>
      <w:r w:rsidRPr="007E66A1">
        <w:rPr>
          <w:rFonts w:ascii="Book Antiqua" w:hAnsi="Book Antiqua"/>
          <w:sz w:val="16"/>
          <w:szCs w:val="20"/>
        </w:rPr>
        <w:t xml:space="preserve"> </w:t>
      </w:r>
      <w:r w:rsidRPr="007E66A1">
        <w:rPr>
          <w:rFonts w:ascii="Book Antiqua" w:hAnsi="Book Antiqua"/>
          <w:sz w:val="16"/>
          <w:szCs w:val="20"/>
        </w:rPr>
        <w:t xml:space="preserve">European Centre for Law and Justice, </w:t>
      </w:r>
      <w:r w:rsidRPr="007E66A1">
        <w:rPr>
          <w:rStyle w:val="Aucun"/>
          <w:rFonts w:ascii="Book Antiqua" w:hAnsi="Book Antiqua"/>
          <w:i/>
          <w:iCs/>
          <w:sz w:val="16"/>
          <w:szCs w:val="20"/>
        </w:rPr>
        <w:t>NGOs and the Judges of the ECHR 2009 - 2019</w:t>
      </w:r>
      <w:r w:rsidRPr="007E66A1">
        <w:rPr>
          <w:rFonts w:ascii="Book Antiqua" w:hAnsi="Book Antiqua"/>
          <w:sz w:val="16"/>
          <w:szCs w:val="20"/>
        </w:rPr>
        <w:t xml:space="preserve">, Strasbourg, February 2020: </w:t>
      </w:r>
      <w:hyperlink r:id="rId1" w:history="1">
        <w:r w:rsidRPr="007E66A1">
          <w:rPr>
            <w:rStyle w:val="Hyperlink0"/>
            <w:rFonts w:ascii="Book Antiqua" w:hAnsi="Book Antiqua"/>
            <w:sz w:val="16"/>
            <w:szCs w:val="20"/>
            <w:lang w:val="en-US"/>
          </w:rPr>
          <w:t>https://eclj.org/ngos-and-the-judges-of-the-echr</w:t>
        </w:r>
      </w:hyperlink>
      <w:r w:rsidRPr="007E66A1">
        <w:rPr>
          <w:rFonts w:ascii="Book Antiqua" w:hAnsi="Book Antiqua"/>
          <w:sz w:val="16"/>
          <w:szCs w:val="20"/>
        </w:rPr>
        <w:t xml:space="preserve"> </w:t>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21E" w:rsidRDefault="004B621E"/>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revisionView w:formatting="0"/>
  <w:doNotTrackMoves/>
  <w:defaultTabStop w:val="720"/>
  <w:hyphenationZone w:val="425"/>
  <w:characterSpacingControl w:val="doNotCompress"/>
  <w:footnotePr>
    <w:footnote w:id="-1"/>
    <w:footnote w:id="0"/>
    <w:footnote w:id="1"/>
  </w:footnotePr>
  <w:compat/>
  <w:rsids>
    <w:rsidRoot w:val="004B621E"/>
    <w:rsid w:val="004B621E"/>
    <w:rsid w:val="007E66A1"/>
  </w:rsids>
  <m:mathPr>
    <m:mathFont m:val="Times New Roman"/>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B621E"/>
    <w:rPr>
      <w:sz w:val="24"/>
      <w:szCs w:val="24"/>
      <w:lang w:val="en-US" w:eastAsia="en-US"/>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styleId="Lienhypertexte">
    <w:name w:val="Hyperlink"/>
    <w:rsid w:val="004B621E"/>
    <w:rPr>
      <w:u w:val="single"/>
    </w:rPr>
  </w:style>
  <w:style w:type="table" w:customStyle="1" w:styleId="TableNormal">
    <w:name w:val="Table Normal"/>
    <w:rsid w:val="004B621E"/>
    <w:tblPr>
      <w:tblInd w:w="0" w:type="dxa"/>
      <w:tblCellMar>
        <w:top w:w="0" w:type="dxa"/>
        <w:left w:w="0" w:type="dxa"/>
        <w:bottom w:w="0" w:type="dxa"/>
        <w:right w:w="0" w:type="dxa"/>
      </w:tblCellMar>
    </w:tblPr>
  </w:style>
  <w:style w:type="paragraph" w:styleId="En-tte">
    <w:name w:val="header"/>
    <w:rsid w:val="004B621E"/>
    <w:pPr>
      <w:tabs>
        <w:tab w:val="right" w:pos="9020"/>
      </w:tabs>
    </w:pPr>
    <w:rPr>
      <w:rFonts w:ascii="Helvetica Neue" w:hAnsi="Helvetica Neue" w:cs="Arial Unicode MS"/>
      <w:color w:val="000000"/>
      <w:sz w:val="24"/>
      <w:szCs w:val="24"/>
    </w:rPr>
  </w:style>
  <w:style w:type="paragraph" w:customStyle="1" w:styleId="Corps">
    <w:name w:val="Corps"/>
    <w:rsid w:val="004B621E"/>
    <w:rPr>
      <w:rFonts w:ascii="Helvetica Neue" w:hAnsi="Helvetica Neue" w:cs="Arial Unicode MS"/>
      <w:color w:val="000000"/>
      <w:sz w:val="22"/>
      <w:szCs w:val="22"/>
    </w:rPr>
  </w:style>
  <w:style w:type="character" w:customStyle="1" w:styleId="Aucun">
    <w:name w:val="Aucun"/>
    <w:rsid w:val="004B621E"/>
  </w:style>
  <w:style w:type="paragraph" w:styleId="Notedebasdepage">
    <w:name w:val="footnote text"/>
    <w:rsid w:val="004B621E"/>
    <w:rPr>
      <w:rFonts w:ascii="Helvetica Neue" w:eastAsia="Helvetica Neue" w:hAnsi="Helvetica Neue" w:cs="Helvetica Neue"/>
      <w:color w:val="000000"/>
      <w:sz w:val="22"/>
      <w:szCs w:val="22"/>
    </w:rPr>
  </w:style>
  <w:style w:type="character" w:customStyle="1" w:styleId="Hyperlink0">
    <w:name w:val="Hyperlink.0"/>
    <w:basedOn w:val="Lienhypertexte"/>
    <w:rsid w:val="004B621E"/>
    <w:rPr>
      <w:u w:val="single"/>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footer" Target="footer1.xml" Id="rId6" /><Relationship Type="http://schemas.openxmlformats.org/officeDocument/2006/relationships/styles" Target="styles.xml" Id="rId1" /><Relationship Type="http://schemas.openxmlformats.org/officeDocument/2006/relationships/header" Target="header1.xml" Id="rId5" /><Relationship Type="http://schemas.openxmlformats.org/officeDocument/2006/relationships/footnotes" Target="footnotes.xml" Id="rId4" /></Relationships>
</file>

<file path=word/_rels/footnotes.xml.rels><?xml version="1.0" encoding="UTF-8" standalone="yes"?>
<Relationships xmlns="http://schemas.openxmlformats.org/package/2006/relationships"><Relationship Id="rId1" Type="http://schemas.openxmlformats.org/officeDocument/2006/relationships/hyperlink" Target="https://eclj.org/ngos-and-the-judges-of-the-echr"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ap:Properties xmlns:vt="http://schemas.openxmlformats.org/officeDocument/2006/docPropsVTypes" xmlns:ap="http://schemas.openxmlformats.org/officeDocument/2006/extended-properties">
  <ap:Pages>2</ap:Pages>
  <ap:Words>1056</ap:Words>
  <ap:Characters>6020</ap:Characters>
  <ap:DocSecurity>0</ap:DocSecurity>
  <ap:Lines>50</ap:Lines>
  <ap:Paragraphs>12</ap:Paragraphs>
  <ap:ScaleCrop>false</ap:ScaleCrop>
  <ap:LinksUpToDate>false</ap:LinksUpToDate>
  <ap:CharactersWithSpaces>7392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2020-03-03T10:28:00.0000000Z</dcterms:created>
  <dcterms:modified xsi:type="dcterms:W3CDTF">2020-03-03T10:30:00.0000000Z</dcterms:modified>
  <dc:creator/>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0x010100F719535B09493F47A05DC9BBD8C70E4C</vt:lpwstr>
  </property>
</Properties>
</file>