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1A6E" w:rsidR="00C02A31" w:rsidP="00C02A31" w:rsidRDefault="007F6E71" w14:paraId="7A2A2A8E" w14:textId="11542B91">
      <w:pPr>
        <w:rPr>
          <w:b/>
          <w:lang w:val="nl-NL"/>
        </w:rPr>
      </w:pPr>
      <w:bookmarkStart w:name="_GoBack" w:id="0"/>
      <w:bookmarkEnd w:id="0"/>
      <w:r w:rsidRPr="003F1A6E">
        <w:rPr>
          <w:b/>
          <w:lang w:val="nl-NL"/>
        </w:rPr>
        <w:t xml:space="preserve">Op weg </w:t>
      </w:r>
      <w:r w:rsidRPr="003F1A6E" w:rsidR="00B707F4">
        <w:rPr>
          <w:b/>
          <w:lang w:val="nl-NL"/>
        </w:rPr>
        <w:t>met</w:t>
      </w:r>
      <w:r w:rsidRPr="003F1A6E" w:rsidR="00C02A31">
        <w:rPr>
          <w:b/>
          <w:lang w:val="nl-NL"/>
        </w:rPr>
        <w:t xml:space="preserve"> nieuwe technologie</w:t>
      </w:r>
    </w:p>
    <w:p w:rsidRPr="00C02A31" w:rsidR="00C02A31" w:rsidP="00C02A31" w:rsidRDefault="00C02A31" w14:paraId="6D3AB3AA" w14:textId="66F8BF6E">
      <w:pPr>
        <w:rPr>
          <w:lang w:val="nl-NL"/>
        </w:rPr>
      </w:pPr>
      <w:r w:rsidRPr="00C02A31">
        <w:rPr>
          <w:lang w:val="nl-NL"/>
        </w:rPr>
        <w:t>Eric Bartelsman</w:t>
      </w:r>
      <w:r w:rsidR="003F1A6E">
        <w:rPr>
          <w:lang w:val="nl-NL"/>
        </w:rPr>
        <w:t xml:space="preserve">, </w:t>
      </w:r>
      <w:r w:rsidRPr="00C02A31">
        <w:rPr>
          <w:lang w:val="nl-NL"/>
        </w:rPr>
        <w:t>Vrije Universiteit Amsterdam en Tinbergen Institut</w:t>
      </w:r>
      <w:r w:rsidR="00E6598C">
        <w:rPr>
          <w:lang w:val="nl-NL"/>
        </w:rPr>
        <w:t>e</w:t>
      </w:r>
    </w:p>
    <w:p w:rsidRPr="00C02A31" w:rsidR="00C02A31" w:rsidP="00C02A31" w:rsidRDefault="00C02A31" w14:paraId="000B7640" w14:textId="7AF23F30">
      <w:pPr>
        <w:rPr>
          <w:lang w:val="nl-NL"/>
        </w:rPr>
      </w:pPr>
      <w:r w:rsidRPr="00C02A31">
        <w:rPr>
          <w:lang w:val="nl-NL"/>
        </w:rPr>
        <w:t>1</w:t>
      </w:r>
      <w:r w:rsidR="004C4A56">
        <w:rPr>
          <w:lang w:val="nl-NL"/>
        </w:rPr>
        <w:t>6</w:t>
      </w:r>
      <w:r w:rsidRPr="00C02A31">
        <w:rPr>
          <w:lang w:val="nl-NL"/>
        </w:rPr>
        <w:t xml:space="preserve"> september 2019</w:t>
      </w:r>
    </w:p>
    <w:p w:rsidRPr="00C02A31" w:rsidR="00C02A31" w:rsidP="00C02A31" w:rsidRDefault="00C02A31" w14:paraId="52C42188" w14:textId="77777777">
      <w:pPr>
        <w:rPr>
          <w:lang w:val="nl-NL"/>
        </w:rPr>
      </w:pPr>
    </w:p>
    <w:p w:rsidRPr="00804817" w:rsidR="00C02A31" w:rsidP="00C02A31" w:rsidRDefault="00C02A31" w14:paraId="4E48310C" w14:textId="03301087">
      <w:pPr>
        <w:rPr>
          <w:i/>
          <w:lang w:val="nl-NL"/>
        </w:rPr>
      </w:pPr>
      <w:r w:rsidRPr="00804817">
        <w:rPr>
          <w:i/>
          <w:lang w:val="nl-NL"/>
        </w:rPr>
        <w:t xml:space="preserve">De samenleving lijkt zich op een tweesprong te bevinden, met nieuwe productietechnologieën die het potentieel hebben om de manier waarop huishoudens bijdragen aan en profiteren van economische activiteit </w:t>
      </w:r>
      <w:r w:rsidRPr="00804817" w:rsidR="007B5CD9">
        <w:rPr>
          <w:i/>
          <w:lang w:val="nl-NL"/>
        </w:rPr>
        <w:t xml:space="preserve">drastisch </w:t>
      </w:r>
      <w:r w:rsidRPr="00804817">
        <w:rPr>
          <w:i/>
          <w:lang w:val="nl-NL"/>
        </w:rPr>
        <w:t>te ver</w:t>
      </w:r>
      <w:r w:rsidRPr="00804817" w:rsidR="007B5CD9">
        <w:rPr>
          <w:i/>
          <w:lang w:val="nl-NL"/>
        </w:rPr>
        <w:t>anderen</w:t>
      </w:r>
      <w:r w:rsidRPr="00804817">
        <w:rPr>
          <w:i/>
          <w:lang w:val="nl-NL"/>
        </w:rPr>
        <w:t xml:space="preserve">. De </w:t>
      </w:r>
      <w:r w:rsidRPr="00804817" w:rsidR="007B5CD9">
        <w:rPr>
          <w:i/>
          <w:lang w:val="nl-NL"/>
        </w:rPr>
        <w:t>‘</w:t>
      </w:r>
      <w:r w:rsidRPr="00804817">
        <w:rPr>
          <w:i/>
          <w:lang w:val="nl-NL"/>
        </w:rPr>
        <w:t>onzichtbare hand</w:t>
      </w:r>
      <w:r w:rsidRPr="00804817" w:rsidR="007B5CD9">
        <w:rPr>
          <w:i/>
          <w:lang w:val="nl-NL"/>
        </w:rPr>
        <w:t>’</w:t>
      </w:r>
      <w:r w:rsidRPr="00804817">
        <w:rPr>
          <w:i/>
          <w:lang w:val="nl-NL"/>
        </w:rPr>
        <w:t xml:space="preserve"> zal </w:t>
      </w:r>
      <w:r w:rsidRPr="00804817" w:rsidR="00B707F4">
        <w:rPr>
          <w:i/>
          <w:lang w:val="nl-NL"/>
        </w:rPr>
        <w:t xml:space="preserve">ons </w:t>
      </w:r>
      <w:r w:rsidRPr="00804817">
        <w:rPr>
          <w:i/>
          <w:lang w:val="nl-NL"/>
        </w:rPr>
        <w:t xml:space="preserve">niet </w:t>
      </w:r>
      <w:r w:rsidRPr="00804817" w:rsidR="00B707F4">
        <w:rPr>
          <w:i/>
          <w:lang w:val="nl-NL"/>
        </w:rPr>
        <w:t>zomaar</w:t>
      </w:r>
      <w:r w:rsidRPr="00804817">
        <w:rPr>
          <w:i/>
          <w:lang w:val="nl-NL"/>
        </w:rPr>
        <w:t xml:space="preserve"> </w:t>
      </w:r>
      <w:r w:rsidRPr="00804817" w:rsidR="007B5CD9">
        <w:rPr>
          <w:i/>
          <w:lang w:val="nl-NL"/>
        </w:rPr>
        <w:t>leiden</w:t>
      </w:r>
      <w:r w:rsidRPr="00804817">
        <w:rPr>
          <w:i/>
          <w:lang w:val="nl-NL"/>
        </w:rPr>
        <w:t xml:space="preserve"> </w:t>
      </w:r>
      <w:r w:rsidRPr="00804817" w:rsidR="00B707F4">
        <w:rPr>
          <w:i/>
          <w:lang w:val="nl-NL"/>
        </w:rPr>
        <w:t xml:space="preserve">naar </w:t>
      </w:r>
      <w:r w:rsidRPr="00804817" w:rsidR="007B5CD9">
        <w:rPr>
          <w:i/>
          <w:lang w:val="nl-NL"/>
        </w:rPr>
        <w:t>maatschappelijke verbetering</w:t>
      </w:r>
      <w:r w:rsidRPr="00804817">
        <w:rPr>
          <w:i/>
          <w:lang w:val="nl-NL"/>
        </w:rPr>
        <w:t xml:space="preserve">. </w:t>
      </w:r>
      <w:r w:rsidRPr="00804817" w:rsidR="00B707F4">
        <w:rPr>
          <w:i/>
          <w:lang w:val="nl-NL"/>
        </w:rPr>
        <w:t xml:space="preserve">Om de belofte van de nieuwe technologie te verzilveren, zal het </w:t>
      </w:r>
      <w:r w:rsidRPr="00804817">
        <w:rPr>
          <w:i/>
          <w:lang w:val="nl-NL"/>
        </w:rPr>
        <w:t xml:space="preserve">beleid zich </w:t>
      </w:r>
      <w:r w:rsidRPr="00804817" w:rsidR="00B707F4">
        <w:rPr>
          <w:i/>
          <w:lang w:val="nl-NL"/>
        </w:rPr>
        <w:t xml:space="preserve">moeten </w:t>
      </w:r>
      <w:r w:rsidRPr="00804817">
        <w:rPr>
          <w:i/>
          <w:lang w:val="nl-NL"/>
        </w:rPr>
        <w:t xml:space="preserve">aanpassen aan de veranderingen in de </w:t>
      </w:r>
      <w:r w:rsidRPr="00804817" w:rsidR="007B5CD9">
        <w:rPr>
          <w:i/>
          <w:lang w:val="nl-NL"/>
        </w:rPr>
        <w:t>allocatie van middelen en de verdeling van inkomen</w:t>
      </w:r>
      <w:r w:rsidRPr="00804817">
        <w:rPr>
          <w:i/>
          <w:lang w:val="nl-NL"/>
        </w:rPr>
        <w:t xml:space="preserve"> die de nieuwe productietechnologie</w:t>
      </w:r>
      <w:r w:rsidRPr="00804817" w:rsidR="007B5CD9">
        <w:rPr>
          <w:i/>
          <w:lang w:val="nl-NL"/>
        </w:rPr>
        <w:t>ën</w:t>
      </w:r>
      <w:r w:rsidRPr="00804817">
        <w:rPr>
          <w:i/>
          <w:lang w:val="nl-NL"/>
        </w:rPr>
        <w:t xml:space="preserve"> met zich meebreng</w:t>
      </w:r>
      <w:r w:rsidRPr="00804817" w:rsidR="00B707F4">
        <w:rPr>
          <w:i/>
          <w:lang w:val="nl-NL"/>
        </w:rPr>
        <w:t>en</w:t>
      </w:r>
      <w:r w:rsidR="00804817">
        <w:rPr>
          <w:i/>
          <w:lang w:val="nl-NL"/>
        </w:rPr>
        <w:t>.</w:t>
      </w:r>
      <w:r w:rsidRPr="00804817">
        <w:rPr>
          <w:i/>
          <w:lang w:val="nl-NL"/>
        </w:rPr>
        <w:t xml:space="preserve"> </w:t>
      </w:r>
    </w:p>
    <w:p w:rsidRPr="00C02A31" w:rsidR="007B5CD9" w:rsidP="00C02A31" w:rsidRDefault="007B5CD9" w14:paraId="160493EC" w14:textId="77777777">
      <w:pPr>
        <w:rPr>
          <w:lang w:val="nl-NL"/>
        </w:rPr>
      </w:pPr>
    </w:p>
    <w:p w:rsidRPr="00C02A31" w:rsidR="00BD7186" w:rsidP="00C02A31" w:rsidRDefault="00BD7186" w14:paraId="3DE40A52" w14:textId="059B0AD4">
      <w:pPr>
        <w:rPr>
          <w:lang w:val="nl-NL"/>
        </w:rPr>
      </w:pPr>
      <w:r>
        <w:rPr>
          <w:lang w:val="nl-NL"/>
        </w:rPr>
        <w:t>Dit artikel is gebaseerd op Bartelsman, E</w:t>
      </w:r>
      <w:r w:rsidR="00804817">
        <w:rPr>
          <w:lang w:val="nl-NL"/>
        </w:rPr>
        <w:t>.</w:t>
      </w:r>
      <w:r>
        <w:rPr>
          <w:lang w:val="nl-NL"/>
        </w:rPr>
        <w:t>J</w:t>
      </w:r>
      <w:r w:rsidR="00804817">
        <w:rPr>
          <w:lang w:val="nl-NL"/>
        </w:rPr>
        <w:t>.</w:t>
      </w:r>
      <w:r>
        <w:rPr>
          <w:lang w:val="nl-NL"/>
        </w:rPr>
        <w:t xml:space="preserve"> (forthcoming) “</w:t>
      </w:r>
      <w:r w:rsidRPr="003F1A6E">
        <w:rPr>
          <w:lang w:val="nl-NL"/>
        </w:rPr>
        <w:t>From New Technology to Aggregate Productivit</w:t>
      </w:r>
      <w:r w:rsidRPr="003F1A6E" w:rsidR="00F86DE2">
        <w:rPr>
          <w:lang w:val="nl-NL"/>
        </w:rPr>
        <w:t>y</w:t>
      </w:r>
      <w:r w:rsidRPr="003F1A6E">
        <w:rPr>
          <w:lang w:val="nl-NL"/>
        </w:rPr>
        <w:t>”</w:t>
      </w:r>
      <w:r w:rsidRPr="003F1A6E" w:rsidR="00804817">
        <w:rPr>
          <w:lang w:val="nl-NL"/>
        </w:rPr>
        <w:t>, DG ECFIN Discussion Paper.</w:t>
      </w:r>
    </w:p>
    <w:p w:rsidR="007B5CD9" w:rsidP="00C02A31" w:rsidRDefault="007B5CD9" w14:paraId="4A4D4EE7" w14:textId="77777777">
      <w:pPr>
        <w:rPr>
          <w:lang w:val="nl-NL"/>
        </w:rPr>
      </w:pPr>
    </w:p>
    <w:p w:rsidR="00C02A31" w:rsidP="00C02A31" w:rsidRDefault="00C02A31" w14:paraId="25322F16" w14:textId="06FD1966">
      <w:pPr>
        <w:rPr>
          <w:lang w:val="nl-NL"/>
        </w:rPr>
      </w:pPr>
      <w:r w:rsidRPr="00C02A31">
        <w:rPr>
          <w:lang w:val="nl-NL"/>
        </w:rPr>
        <w:t>Een reeks nieuwe technologieën -</w:t>
      </w:r>
      <w:r w:rsidR="008F6CB6">
        <w:rPr>
          <w:lang w:val="nl-NL"/>
        </w:rPr>
        <w:t>--</w:t>
      </w:r>
      <w:r w:rsidRPr="00C02A31">
        <w:rPr>
          <w:lang w:val="nl-NL"/>
        </w:rPr>
        <w:t xml:space="preserve"> waaronder universele robots, </w:t>
      </w:r>
      <w:r>
        <w:rPr>
          <w:lang w:val="nl-NL"/>
        </w:rPr>
        <w:t>zelfrijdende</w:t>
      </w:r>
      <w:r w:rsidRPr="00C02A31">
        <w:rPr>
          <w:lang w:val="nl-NL"/>
        </w:rPr>
        <w:t xml:space="preserve"> </w:t>
      </w:r>
      <w:r w:rsidR="00CF1FF1">
        <w:rPr>
          <w:lang w:val="nl-NL"/>
        </w:rPr>
        <w:t>voertuigen</w:t>
      </w:r>
      <w:r w:rsidRPr="00C02A31">
        <w:rPr>
          <w:lang w:val="nl-NL"/>
        </w:rPr>
        <w:t>-</w:t>
      </w:r>
      <w:r w:rsidR="008F6CB6">
        <w:rPr>
          <w:lang w:val="nl-NL"/>
        </w:rPr>
        <w:t>--</w:t>
      </w:r>
      <w:r w:rsidRPr="00C02A31">
        <w:rPr>
          <w:lang w:val="nl-NL"/>
        </w:rPr>
        <w:t xml:space="preserve"> die </w:t>
      </w:r>
      <w:r w:rsidR="007B5CD9">
        <w:rPr>
          <w:lang w:val="nl-NL"/>
        </w:rPr>
        <w:t xml:space="preserve">zich </w:t>
      </w:r>
      <w:r w:rsidRPr="00C02A31">
        <w:rPr>
          <w:lang w:val="nl-NL"/>
        </w:rPr>
        <w:t xml:space="preserve">de afgelopen tien jaar </w:t>
      </w:r>
      <w:r w:rsidR="007B5CD9">
        <w:rPr>
          <w:lang w:val="nl-NL"/>
        </w:rPr>
        <w:t>ontwikkelden</w:t>
      </w:r>
      <w:r w:rsidRPr="00C02A31">
        <w:rPr>
          <w:lang w:val="nl-NL"/>
        </w:rPr>
        <w:t xml:space="preserve">, komen sneller </w:t>
      </w:r>
      <w:r w:rsidR="007B5CD9">
        <w:rPr>
          <w:lang w:val="nl-NL"/>
        </w:rPr>
        <w:t>naar</w:t>
      </w:r>
      <w:r w:rsidRPr="00C02A31">
        <w:rPr>
          <w:lang w:val="nl-NL"/>
        </w:rPr>
        <w:t xml:space="preserve"> de markt dan verwacht. </w:t>
      </w:r>
      <w:r w:rsidRPr="00C02A31" w:rsidR="007B5CD9">
        <w:rPr>
          <w:lang w:val="nl-NL"/>
        </w:rPr>
        <w:t xml:space="preserve">Brynjolfsson en McAfee (2011, 2014), </w:t>
      </w:r>
      <w:r w:rsidR="00CF1FF1">
        <w:rPr>
          <w:lang w:val="nl-NL"/>
        </w:rPr>
        <w:t xml:space="preserve">geven </w:t>
      </w:r>
      <w:r w:rsidRPr="00C02A31">
        <w:rPr>
          <w:lang w:val="nl-NL"/>
        </w:rPr>
        <w:t xml:space="preserve">op overtuigende wijze aan dat de nieuwe technologieën de organisatie van de productie zullen verstoren, de aard van het werk zullen verbeteren en de ervaring van </w:t>
      </w:r>
      <w:r w:rsidR="007B5CD9">
        <w:rPr>
          <w:lang w:val="nl-NL"/>
        </w:rPr>
        <w:t>consumenten</w:t>
      </w:r>
      <w:r w:rsidRPr="00C02A31">
        <w:rPr>
          <w:lang w:val="nl-NL"/>
        </w:rPr>
        <w:t xml:space="preserve"> z</w:t>
      </w:r>
      <w:r w:rsidR="007B5CD9">
        <w:rPr>
          <w:lang w:val="nl-NL"/>
        </w:rPr>
        <w:t>al</w:t>
      </w:r>
      <w:r w:rsidRPr="00C02A31">
        <w:rPr>
          <w:lang w:val="nl-NL"/>
        </w:rPr>
        <w:t xml:space="preserve"> verruimen. </w:t>
      </w:r>
      <w:r w:rsidRPr="00C02A31" w:rsidR="00CF1FF1">
        <w:rPr>
          <w:lang w:val="nl-NL"/>
        </w:rPr>
        <w:t xml:space="preserve">McKinsey en Company </w:t>
      </w:r>
      <w:r w:rsidR="00CF1FF1">
        <w:rPr>
          <w:lang w:val="nl-NL"/>
        </w:rPr>
        <w:t xml:space="preserve">(2013) </w:t>
      </w:r>
      <w:r w:rsidRPr="00C02A31" w:rsidR="00CF1FF1">
        <w:rPr>
          <w:lang w:val="nl-NL"/>
        </w:rPr>
        <w:t xml:space="preserve">onderscheidde vijf technologiegroepen, gerelateerd aan energie, </w:t>
      </w:r>
      <w:r w:rsidR="00CF1FF1">
        <w:rPr>
          <w:lang w:val="nl-NL"/>
        </w:rPr>
        <w:t xml:space="preserve">het </w:t>
      </w:r>
      <w:r w:rsidRPr="00C02A31" w:rsidR="00CF1FF1">
        <w:rPr>
          <w:lang w:val="nl-NL"/>
        </w:rPr>
        <w:t>geno</w:t>
      </w:r>
      <w:r w:rsidR="00CF1FF1">
        <w:rPr>
          <w:lang w:val="nl-NL"/>
        </w:rPr>
        <w:t>o</w:t>
      </w:r>
      <w:r w:rsidRPr="00C02A31" w:rsidR="00CF1FF1">
        <w:rPr>
          <w:lang w:val="nl-NL"/>
        </w:rPr>
        <w:t xml:space="preserve">m, </w:t>
      </w:r>
      <w:r w:rsidR="00CF1FF1">
        <w:rPr>
          <w:lang w:val="nl-NL"/>
        </w:rPr>
        <w:t xml:space="preserve">geavanceerde </w:t>
      </w:r>
      <w:r w:rsidRPr="00C02A31" w:rsidR="00CF1FF1">
        <w:rPr>
          <w:lang w:val="nl-NL"/>
        </w:rPr>
        <w:t xml:space="preserve">materialen, automatisering </w:t>
      </w:r>
      <w:r w:rsidR="00CF1FF1">
        <w:rPr>
          <w:lang w:val="nl-NL"/>
        </w:rPr>
        <w:t xml:space="preserve">(robots) </w:t>
      </w:r>
      <w:r w:rsidRPr="00C02A31" w:rsidR="00CF1FF1">
        <w:rPr>
          <w:lang w:val="nl-NL"/>
        </w:rPr>
        <w:t>en data(verwerking)</w:t>
      </w:r>
      <w:r w:rsidR="00CF1FF1">
        <w:rPr>
          <w:lang w:val="nl-NL"/>
        </w:rPr>
        <w:t xml:space="preserve">, </w:t>
      </w:r>
      <w:r w:rsidRPr="00C02A31" w:rsidR="00CF1FF1">
        <w:rPr>
          <w:lang w:val="nl-NL"/>
        </w:rPr>
        <w:t xml:space="preserve">die de potentie hebben om </w:t>
      </w:r>
      <w:r w:rsidR="00CF1FF1">
        <w:rPr>
          <w:lang w:val="nl-NL"/>
        </w:rPr>
        <w:t>‘</w:t>
      </w:r>
      <w:r w:rsidRPr="00C02A31" w:rsidR="00CF1FF1">
        <w:rPr>
          <w:lang w:val="nl-NL"/>
        </w:rPr>
        <w:t xml:space="preserve">het leven, het bedrijfsleven en de wereldeconomie' in de periode tot 2025 te </w:t>
      </w:r>
      <w:r w:rsidR="00CF1FF1">
        <w:rPr>
          <w:lang w:val="nl-NL"/>
        </w:rPr>
        <w:t>veranderen</w:t>
      </w:r>
      <w:r w:rsidRPr="00C02A31" w:rsidR="00CF1FF1">
        <w:rPr>
          <w:lang w:val="nl-NL"/>
        </w:rPr>
        <w:t xml:space="preserve">. Dit artikel gaat specifiek in op de </w:t>
      </w:r>
      <w:r w:rsidR="00CF1FF1">
        <w:rPr>
          <w:lang w:val="nl-NL"/>
        </w:rPr>
        <w:t xml:space="preserve">twee </w:t>
      </w:r>
      <w:r w:rsidRPr="00C02A31" w:rsidR="00CF1FF1">
        <w:rPr>
          <w:lang w:val="nl-NL"/>
        </w:rPr>
        <w:t>laatste</w:t>
      </w:r>
      <w:r w:rsidR="00CF1FF1">
        <w:rPr>
          <w:lang w:val="nl-NL"/>
        </w:rPr>
        <w:t xml:space="preserve"> technologieën,  en beschrijft o</w:t>
      </w:r>
      <w:r w:rsidRPr="00C02A31">
        <w:rPr>
          <w:lang w:val="nl-NL"/>
        </w:rPr>
        <w:t>f</w:t>
      </w:r>
      <w:r w:rsidR="0084178E">
        <w:rPr>
          <w:lang w:val="nl-NL"/>
        </w:rPr>
        <w:t>,</w:t>
      </w:r>
      <w:r w:rsidRPr="00C02A31">
        <w:rPr>
          <w:lang w:val="nl-NL"/>
        </w:rPr>
        <w:t xml:space="preserve"> en in welke mate</w:t>
      </w:r>
      <w:r w:rsidR="0084178E">
        <w:rPr>
          <w:lang w:val="nl-NL"/>
        </w:rPr>
        <w:t>,</w:t>
      </w:r>
      <w:r w:rsidRPr="00C02A31">
        <w:rPr>
          <w:lang w:val="nl-NL"/>
        </w:rPr>
        <w:t xml:space="preserve"> deze de </w:t>
      </w:r>
      <w:r w:rsidR="0084178E">
        <w:rPr>
          <w:lang w:val="nl-NL"/>
        </w:rPr>
        <w:t>welvaart</w:t>
      </w:r>
      <w:r w:rsidRPr="00C02A31">
        <w:rPr>
          <w:lang w:val="nl-NL"/>
        </w:rPr>
        <w:t xml:space="preserve"> kunnen verbeteren</w:t>
      </w:r>
      <w:r w:rsidR="00CF1FF1">
        <w:rPr>
          <w:lang w:val="nl-NL"/>
        </w:rPr>
        <w:t xml:space="preserve"> en welk</w:t>
      </w:r>
      <w:r w:rsidRPr="00C02A31">
        <w:rPr>
          <w:lang w:val="nl-NL"/>
        </w:rPr>
        <w:t xml:space="preserve"> beleid</w:t>
      </w:r>
      <w:r w:rsidR="00CF1FF1">
        <w:rPr>
          <w:lang w:val="nl-NL"/>
        </w:rPr>
        <w:t xml:space="preserve"> nodig is om de belofte te verzilveren</w:t>
      </w:r>
      <w:r w:rsidRPr="00C02A31">
        <w:rPr>
          <w:lang w:val="nl-NL"/>
        </w:rPr>
        <w:t>.</w:t>
      </w:r>
    </w:p>
    <w:p w:rsidR="0084178E" w:rsidP="00C02A31" w:rsidRDefault="0084178E" w14:paraId="50EF29F9" w14:textId="49EEA062">
      <w:pPr>
        <w:rPr>
          <w:lang w:val="nl-NL"/>
        </w:rPr>
      </w:pPr>
    </w:p>
    <w:p w:rsidRPr="00C02A31" w:rsidR="00745965" w:rsidP="00C02A31" w:rsidRDefault="00745965" w14:paraId="628BB847" w14:textId="11D32920">
      <w:pPr>
        <w:rPr>
          <w:lang w:val="nl-NL"/>
        </w:rPr>
      </w:pPr>
      <w:r>
        <w:rPr>
          <w:lang w:val="nl-NL"/>
        </w:rPr>
        <w:t>NIEUWE TECHNOLOGIEEN</w:t>
      </w:r>
    </w:p>
    <w:p w:rsidRPr="00C02A31" w:rsidR="00C02A31" w:rsidP="00C02A31" w:rsidRDefault="00C02A31" w14:paraId="266BA305" w14:textId="784B8EB9">
      <w:pPr>
        <w:rPr>
          <w:lang w:val="nl-NL"/>
        </w:rPr>
      </w:pPr>
      <w:r w:rsidRPr="00C02A31">
        <w:rPr>
          <w:lang w:val="nl-NL"/>
        </w:rPr>
        <w:t xml:space="preserve">De vooruitgang in robotica lijkt op schema te liggen sinds de prognose van McKinsey. De </w:t>
      </w:r>
      <w:r w:rsidR="00CF1FF1">
        <w:rPr>
          <w:lang w:val="nl-NL"/>
        </w:rPr>
        <w:t xml:space="preserve">door kunstmatige intelligentie (AI) gestuurde </w:t>
      </w:r>
      <w:r w:rsidRPr="00C02A31">
        <w:rPr>
          <w:lang w:val="nl-NL"/>
        </w:rPr>
        <w:t xml:space="preserve">robots vervangen </w:t>
      </w:r>
      <w:r w:rsidR="007F6E71">
        <w:rPr>
          <w:lang w:val="nl-NL"/>
        </w:rPr>
        <w:t>arbeid</w:t>
      </w:r>
      <w:r w:rsidRPr="00C02A31">
        <w:rPr>
          <w:lang w:val="nl-NL"/>
        </w:rPr>
        <w:t xml:space="preserve">, of ze nemen </w:t>
      </w:r>
      <w:r w:rsidR="007F6E71">
        <w:rPr>
          <w:lang w:val="nl-NL"/>
        </w:rPr>
        <w:t>werk</w:t>
      </w:r>
      <w:r w:rsidRPr="00C02A31">
        <w:rPr>
          <w:lang w:val="nl-NL"/>
        </w:rPr>
        <w:t xml:space="preserve">taken op zich die </w:t>
      </w:r>
      <w:r w:rsidR="007F6E71">
        <w:rPr>
          <w:lang w:val="nl-NL"/>
        </w:rPr>
        <w:t xml:space="preserve">de </w:t>
      </w:r>
      <w:r w:rsidRPr="00C02A31">
        <w:rPr>
          <w:lang w:val="nl-NL"/>
        </w:rPr>
        <w:t>(fysieke) mogelijkheden</w:t>
      </w:r>
      <w:r w:rsidR="007F6E71">
        <w:rPr>
          <w:lang w:val="nl-NL"/>
        </w:rPr>
        <w:t xml:space="preserve"> van mensen te boven gaan</w:t>
      </w:r>
      <w:r w:rsidR="00CF1FF1">
        <w:rPr>
          <w:lang w:val="nl-NL"/>
        </w:rPr>
        <w:t xml:space="preserve"> (Frey and Osborne 2017)</w:t>
      </w:r>
      <w:r w:rsidRPr="00C02A31">
        <w:rPr>
          <w:lang w:val="nl-NL"/>
        </w:rPr>
        <w:t xml:space="preserve">. </w:t>
      </w:r>
      <w:r w:rsidR="00CF1FF1">
        <w:rPr>
          <w:lang w:val="nl-NL"/>
        </w:rPr>
        <w:t xml:space="preserve"> </w:t>
      </w:r>
      <w:r w:rsidR="007F6E71">
        <w:rPr>
          <w:lang w:val="nl-NL"/>
        </w:rPr>
        <w:t xml:space="preserve">Veel van de nieuwe robots kunnen zonder beveiligingskooi direct </w:t>
      </w:r>
      <w:r w:rsidRPr="00C02A31">
        <w:rPr>
          <w:lang w:val="nl-NL"/>
        </w:rPr>
        <w:t xml:space="preserve">naast </w:t>
      </w:r>
      <w:r w:rsidR="007F6E71">
        <w:rPr>
          <w:lang w:val="nl-NL"/>
        </w:rPr>
        <w:t>mensen</w:t>
      </w:r>
      <w:r w:rsidRPr="00C02A31">
        <w:rPr>
          <w:lang w:val="nl-NL"/>
        </w:rPr>
        <w:t xml:space="preserve"> werken</w:t>
      </w:r>
      <w:r w:rsidR="007F6E71">
        <w:rPr>
          <w:lang w:val="nl-NL"/>
        </w:rPr>
        <w:t xml:space="preserve">, en </w:t>
      </w:r>
      <w:r w:rsidR="00CF1FF1">
        <w:rPr>
          <w:lang w:val="nl-NL"/>
        </w:rPr>
        <w:t xml:space="preserve">de </w:t>
      </w:r>
      <w:r w:rsidR="007F6E71">
        <w:rPr>
          <w:lang w:val="nl-NL"/>
        </w:rPr>
        <w:t>totale kosten van gebruik zit nu rond de vijf à tien euro per uur</w:t>
      </w:r>
      <w:r w:rsidR="00E20AB6">
        <w:rPr>
          <w:lang w:val="nl-NL"/>
        </w:rPr>
        <w:t xml:space="preserve"> (Bartelsman, 2019)</w:t>
      </w:r>
      <w:r w:rsidR="007F6E71">
        <w:rPr>
          <w:lang w:val="nl-NL"/>
        </w:rPr>
        <w:t>.</w:t>
      </w:r>
      <w:r w:rsidRPr="00C02A31">
        <w:rPr>
          <w:lang w:val="nl-NL"/>
        </w:rPr>
        <w:t xml:space="preserve"> Deze robots</w:t>
      </w:r>
      <w:r w:rsidR="007F6E71">
        <w:rPr>
          <w:lang w:val="nl-NL"/>
        </w:rPr>
        <w:t xml:space="preserve"> zijn geschikt voor het MKB en kunnen nu ook, dankzij AI, gevoelige taken verrichten </w:t>
      </w:r>
      <w:r w:rsidRPr="00C02A31">
        <w:rPr>
          <w:lang w:val="nl-NL"/>
        </w:rPr>
        <w:t>zoals het plukken of snijden van tomaten.</w:t>
      </w:r>
    </w:p>
    <w:p w:rsidR="00E20AB6" w:rsidP="00C02A31" w:rsidRDefault="00E20AB6" w14:paraId="27E82777" w14:textId="77777777">
      <w:pPr>
        <w:rPr>
          <w:lang w:val="nl-NL"/>
        </w:rPr>
      </w:pPr>
    </w:p>
    <w:p w:rsidR="004C43E9" w:rsidP="00C02A31" w:rsidRDefault="00C02A31" w14:paraId="37CA321A" w14:textId="77AFB578">
      <w:pPr>
        <w:rPr>
          <w:lang w:val="nl-NL"/>
        </w:rPr>
      </w:pPr>
      <w:r w:rsidRPr="00C02A31">
        <w:rPr>
          <w:lang w:val="nl-NL"/>
        </w:rPr>
        <w:t xml:space="preserve">Zelfrijdende auto's spreken al tot de verbeelding sinds de eerste grote DARPA-uitdaging van 2004, </w:t>
      </w:r>
      <w:r w:rsidR="00E20AB6">
        <w:rPr>
          <w:lang w:val="nl-NL"/>
        </w:rPr>
        <w:t xml:space="preserve">toen </w:t>
      </w:r>
      <w:r w:rsidRPr="00C02A31">
        <w:rPr>
          <w:lang w:val="nl-NL"/>
        </w:rPr>
        <w:t xml:space="preserve">geen van de deelnemers aan de autonome voertuigcompetitie de finish bereikte. In 2013 testte Google (nu Waymo) autonome </w:t>
      </w:r>
      <w:r w:rsidR="00E20AB6">
        <w:rPr>
          <w:lang w:val="nl-NL"/>
        </w:rPr>
        <w:t>auto’s</w:t>
      </w:r>
      <w:r w:rsidRPr="00C02A31">
        <w:rPr>
          <w:lang w:val="nl-NL"/>
        </w:rPr>
        <w:t xml:space="preserve"> en sindsdien hebben veel concurrenten zich </w:t>
      </w:r>
      <w:r w:rsidR="00E20AB6">
        <w:rPr>
          <w:lang w:val="nl-NL"/>
        </w:rPr>
        <w:t xml:space="preserve">in de strijd geworpen. </w:t>
      </w:r>
      <w:r w:rsidRPr="00C02A31">
        <w:rPr>
          <w:lang w:val="nl-NL"/>
        </w:rPr>
        <w:t xml:space="preserve">McKinsey </w:t>
      </w:r>
      <w:r w:rsidR="00E20AB6">
        <w:rPr>
          <w:lang w:val="nl-NL"/>
        </w:rPr>
        <w:t xml:space="preserve">(2013) </w:t>
      </w:r>
      <w:r w:rsidRPr="00C02A31">
        <w:rPr>
          <w:lang w:val="nl-NL"/>
        </w:rPr>
        <w:t xml:space="preserve">verwachtte dat niveau 4 </w:t>
      </w:r>
      <w:r w:rsidR="00E20AB6">
        <w:rPr>
          <w:lang w:val="nl-NL"/>
        </w:rPr>
        <w:t xml:space="preserve">zelfrijdende auto’s </w:t>
      </w:r>
      <w:r w:rsidR="00CF1FF1">
        <w:rPr>
          <w:lang w:val="nl-NL"/>
        </w:rPr>
        <w:t>(met een bestuurder voor het geval d</w:t>
      </w:r>
      <w:r w:rsidR="00DD2A7B">
        <w:rPr>
          <w:lang w:val="nl-NL"/>
        </w:rPr>
        <w:t>á</w:t>
      </w:r>
      <w:r w:rsidR="00CF1FF1">
        <w:rPr>
          <w:lang w:val="nl-NL"/>
        </w:rPr>
        <w:t xml:space="preserve">t) </w:t>
      </w:r>
      <w:r w:rsidR="00E20AB6">
        <w:rPr>
          <w:lang w:val="nl-NL"/>
        </w:rPr>
        <w:t xml:space="preserve">rond 2030 op de markt zouden komen, nu worden </w:t>
      </w:r>
      <w:r w:rsidR="00CF1FF1">
        <w:rPr>
          <w:lang w:val="nl-NL"/>
        </w:rPr>
        <w:t>z</w:t>
      </w:r>
      <w:r w:rsidR="00DD2A7B">
        <w:rPr>
          <w:lang w:val="nl-NL"/>
        </w:rPr>
        <w:t>e</w:t>
      </w:r>
      <w:r w:rsidR="00CF1FF1">
        <w:rPr>
          <w:lang w:val="nl-NL"/>
        </w:rPr>
        <w:t xml:space="preserve"> al </w:t>
      </w:r>
      <w:r w:rsidR="00E20AB6">
        <w:rPr>
          <w:lang w:val="nl-NL"/>
        </w:rPr>
        <w:t xml:space="preserve">in het komend jaar verwacht. De impact van autonoom vervoer van </w:t>
      </w:r>
      <w:r w:rsidRPr="00C02A31">
        <w:rPr>
          <w:lang w:val="nl-NL"/>
        </w:rPr>
        <w:t xml:space="preserve">fysieke objecten </w:t>
      </w:r>
      <w:r w:rsidR="00E20AB6">
        <w:rPr>
          <w:lang w:val="nl-NL"/>
        </w:rPr>
        <w:t xml:space="preserve">in de productieketen </w:t>
      </w:r>
      <w:r w:rsidR="00CF1FF1">
        <w:rPr>
          <w:lang w:val="nl-NL"/>
        </w:rPr>
        <w:t>is economisch nog belangrijker dan personenvervoer</w:t>
      </w:r>
      <w:r w:rsidRPr="00C02A31">
        <w:rPr>
          <w:lang w:val="nl-NL"/>
        </w:rPr>
        <w:t>. In combinatie met sensoren</w:t>
      </w:r>
      <w:r w:rsidR="00E20AB6">
        <w:rPr>
          <w:lang w:val="nl-NL"/>
        </w:rPr>
        <w:t>, mobiele communicatie</w:t>
      </w:r>
      <w:r w:rsidRPr="00C02A31">
        <w:rPr>
          <w:lang w:val="nl-NL"/>
        </w:rPr>
        <w:t xml:space="preserve"> en AI </w:t>
      </w:r>
      <w:r w:rsidR="004C43E9">
        <w:rPr>
          <w:lang w:val="nl-NL"/>
        </w:rPr>
        <w:t xml:space="preserve">neemt het aantal </w:t>
      </w:r>
      <w:r w:rsidRPr="00C02A31">
        <w:rPr>
          <w:lang w:val="nl-NL"/>
        </w:rPr>
        <w:t xml:space="preserve">locaties en omstandigheden waar autonoom </w:t>
      </w:r>
      <w:r w:rsidR="004C43E9">
        <w:rPr>
          <w:lang w:val="nl-NL"/>
        </w:rPr>
        <w:t>transport arbeid kan verdringen, gestaag toe.</w:t>
      </w:r>
      <w:r w:rsidR="003F1A6E">
        <w:rPr>
          <w:lang w:val="nl-NL"/>
        </w:rPr>
        <w:t xml:space="preserve"> </w:t>
      </w:r>
    </w:p>
    <w:p w:rsidRPr="00C02A31" w:rsidR="003F1A6E" w:rsidP="00C02A31" w:rsidRDefault="003F1A6E" w14:paraId="2AD1B647" w14:textId="77777777">
      <w:pPr>
        <w:rPr>
          <w:lang w:val="nl-NL"/>
        </w:rPr>
      </w:pPr>
    </w:p>
    <w:p w:rsidR="00C02A31" w:rsidP="00C02A31" w:rsidRDefault="00C02A31" w14:paraId="7E5BDF22" w14:textId="6D861FC1">
      <w:pPr>
        <w:rPr>
          <w:lang w:val="nl-NL"/>
        </w:rPr>
      </w:pPr>
      <w:r w:rsidRPr="00C02A31">
        <w:rPr>
          <w:lang w:val="nl-NL"/>
        </w:rPr>
        <w:lastRenderedPageBreak/>
        <w:t xml:space="preserve">McKinsey (2013) </w:t>
      </w:r>
      <w:r w:rsidR="00F9704C">
        <w:rPr>
          <w:lang w:val="nl-NL"/>
        </w:rPr>
        <w:t>gaf al aan dat</w:t>
      </w:r>
      <w:r w:rsidRPr="00C02A31">
        <w:rPr>
          <w:lang w:val="nl-NL"/>
        </w:rPr>
        <w:t xml:space="preserve"> AI een aanvulling zou zijn op veel van de andere </w:t>
      </w:r>
      <w:r w:rsidR="00F9704C">
        <w:rPr>
          <w:lang w:val="nl-NL"/>
        </w:rPr>
        <w:t>disruptieve</w:t>
      </w:r>
      <w:r w:rsidRPr="00C02A31">
        <w:rPr>
          <w:lang w:val="nl-NL"/>
        </w:rPr>
        <w:t xml:space="preserve"> technologieën, waardoor hun vooruitgang zou worden versneld en de omvang en reikwijdte van hun impact zou toenemen. De doorbraken op het gebied van AI-technieken sinds 2013 zijn opmerkelijk en hebben geleid tot snellere toepassingen, met name op gebieden waar geen grote, geannoteerde datasets beschikbaar zijn (bv. Creswell, 2018). </w:t>
      </w:r>
      <w:r w:rsidR="00F9704C">
        <w:rPr>
          <w:lang w:val="nl-NL"/>
        </w:rPr>
        <w:t xml:space="preserve">Met behulp van </w:t>
      </w:r>
      <w:r w:rsidRPr="00C02A31">
        <w:rPr>
          <w:lang w:val="nl-NL"/>
        </w:rPr>
        <w:t xml:space="preserve">AI zou ook de marginale kosten van het gebruik van de </w:t>
      </w:r>
      <w:r w:rsidRPr="00C02A31" w:rsidR="00D73A38">
        <w:rPr>
          <w:lang w:val="nl-NL"/>
        </w:rPr>
        <w:t>eerdergenoemde</w:t>
      </w:r>
      <w:r w:rsidRPr="00C02A31">
        <w:rPr>
          <w:lang w:val="nl-NL"/>
        </w:rPr>
        <w:t xml:space="preserve"> hardware</w:t>
      </w:r>
      <w:r w:rsidR="00F9704C">
        <w:rPr>
          <w:lang w:val="nl-NL"/>
        </w:rPr>
        <w:t xml:space="preserve"> </w:t>
      </w:r>
      <w:r w:rsidRPr="00C02A31">
        <w:rPr>
          <w:lang w:val="nl-NL"/>
        </w:rPr>
        <w:t xml:space="preserve">technologieën </w:t>
      </w:r>
      <w:r w:rsidR="00F9704C">
        <w:rPr>
          <w:lang w:val="nl-NL"/>
        </w:rPr>
        <w:t xml:space="preserve">omlaag kunnen. </w:t>
      </w:r>
      <w:r w:rsidRPr="00C02A31">
        <w:rPr>
          <w:lang w:val="nl-NL"/>
        </w:rPr>
        <w:t xml:space="preserve">Voorts kan de combinatie van AI met de andere technologieën, met name bij patroonanalyse (zie bijvoorbeeld het multimodale leren van Baltrusaitis e.a. </w:t>
      </w:r>
      <w:r w:rsidR="00F9704C">
        <w:rPr>
          <w:lang w:val="nl-NL"/>
        </w:rPr>
        <w:t>2019</w:t>
      </w:r>
      <w:r w:rsidRPr="00C02A31">
        <w:rPr>
          <w:lang w:val="nl-NL"/>
        </w:rPr>
        <w:t xml:space="preserve">), de complementariteit tussen kapitaal- en kenniswerkers vergroten, terwijl het de vervanging van werknemers in routinetaken </w:t>
      </w:r>
      <w:r w:rsidR="00D73A38">
        <w:rPr>
          <w:lang w:val="nl-NL"/>
        </w:rPr>
        <w:t>versnel</w:t>
      </w:r>
      <w:r w:rsidR="00DD2A7B">
        <w:rPr>
          <w:lang w:val="nl-NL"/>
        </w:rPr>
        <w:t>t</w:t>
      </w:r>
      <w:r w:rsidRPr="00C02A31">
        <w:rPr>
          <w:lang w:val="nl-NL"/>
        </w:rPr>
        <w:t xml:space="preserve">. </w:t>
      </w:r>
      <w:r w:rsidR="00D73A38">
        <w:rPr>
          <w:lang w:val="nl-NL"/>
        </w:rPr>
        <w:t>Deze</w:t>
      </w:r>
      <w:r w:rsidRPr="00C02A31">
        <w:rPr>
          <w:lang w:val="nl-NL"/>
        </w:rPr>
        <w:t xml:space="preserve"> </w:t>
      </w:r>
      <w:r w:rsidR="00D73A38">
        <w:rPr>
          <w:lang w:val="nl-NL"/>
        </w:rPr>
        <w:t xml:space="preserve">trends </w:t>
      </w:r>
      <w:r w:rsidRPr="00C02A31">
        <w:rPr>
          <w:lang w:val="nl-NL"/>
        </w:rPr>
        <w:t>belo</w:t>
      </w:r>
      <w:r w:rsidR="00DD2A7B">
        <w:rPr>
          <w:lang w:val="nl-NL"/>
        </w:rPr>
        <w:t>ven niet</w:t>
      </w:r>
      <w:r w:rsidRPr="00C02A31">
        <w:rPr>
          <w:lang w:val="nl-NL"/>
        </w:rPr>
        <w:t xml:space="preserve"> veel goeds voor de inkomensverdeling.</w:t>
      </w:r>
    </w:p>
    <w:p w:rsidR="00D73A38" w:rsidP="00C02A31" w:rsidRDefault="00D73A38" w14:paraId="7A4A7960" w14:textId="6CDD782E">
      <w:pPr>
        <w:rPr>
          <w:lang w:val="nl-NL"/>
        </w:rPr>
      </w:pPr>
    </w:p>
    <w:p w:rsidRPr="00C02A31" w:rsidR="00745965" w:rsidP="00C02A31" w:rsidRDefault="00745965" w14:paraId="07586876" w14:textId="2AB96648">
      <w:pPr>
        <w:rPr>
          <w:lang w:val="nl-NL"/>
        </w:rPr>
      </w:pPr>
      <w:r>
        <w:rPr>
          <w:lang w:val="nl-NL"/>
        </w:rPr>
        <w:t>ECONOMISCHE ANALYSE</w:t>
      </w:r>
    </w:p>
    <w:p w:rsidRPr="00C02A31" w:rsidR="00C02A31" w:rsidP="00C02A31" w:rsidRDefault="00C02A31" w14:paraId="093B1D3C" w14:textId="43B3201D">
      <w:pPr>
        <w:rPr>
          <w:lang w:val="nl-NL"/>
        </w:rPr>
      </w:pPr>
      <w:r w:rsidRPr="00C02A31">
        <w:rPr>
          <w:lang w:val="nl-NL"/>
        </w:rPr>
        <w:t>Een uitstekende verzameling papers getiteld "The Economics of Artificial Intelligence: An Agenda" (Agrawal et al.</w:t>
      </w:r>
      <w:r w:rsidR="00D73A38">
        <w:rPr>
          <w:lang w:val="nl-NL"/>
        </w:rPr>
        <w:t xml:space="preserve"> 2019</w:t>
      </w:r>
      <w:r w:rsidRPr="00C02A31">
        <w:rPr>
          <w:lang w:val="nl-NL"/>
        </w:rPr>
        <w:t>) geeft het huidige academische denken over dit onderwerp weer. E</w:t>
      </w:r>
      <w:r w:rsidR="00DD2A7B">
        <w:rPr>
          <w:lang w:val="nl-NL"/>
        </w:rPr>
        <w:t>é</w:t>
      </w:r>
      <w:r w:rsidRPr="00C02A31">
        <w:rPr>
          <w:lang w:val="nl-NL"/>
        </w:rPr>
        <w:t xml:space="preserve">n relevant aspect van AI voor het veranderen van de structuur van de economische productie is </w:t>
      </w:r>
      <w:r w:rsidR="00DD2A7B">
        <w:rPr>
          <w:lang w:val="nl-NL"/>
        </w:rPr>
        <w:t>in het maken van</w:t>
      </w:r>
      <w:r w:rsidRPr="00C02A31">
        <w:rPr>
          <w:lang w:val="nl-NL"/>
        </w:rPr>
        <w:t xml:space="preserve"> </w:t>
      </w:r>
      <w:r w:rsidR="004C4A56">
        <w:rPr>
          <w:lang w:val="nl-NL"/>
        </w:rPr>
        <w:t>prognose</w:t>
      </w:r>
      <w:r w:rsidR="00DD2A7B">
        <w:rPr>
          <w:lang w:val="nl-NL"/>
        </w:rPr>
        <w:t>s</w:t>
      </w:r>
      <w:r w:rsidRPr="00C02A31">
        <w:rPr>
          <w:lang w:val="nl-NL"/>
        </w:rPr>
        <w:t xml:space="preserve"> en de automatisering van </w:t>
      </w:r>
      <w:r w:rsidR="004C4A56">
        <w:rPr>
          <w:lang w:val="nl-NL"/>
        </w:rPr>
        <w:t xml:space="preserve">prognose-afhankelijke </w:t>
      </w:r>
      <w:r w:rsidRPr="00C02A31">
        <w:rPr>
          <w:lang w:val="nl-NL"/>
        </w:rPr>
        <w:t xml:space="preserve">beslissingen (zie Agrawal </w:t>
      </w:r>
      <w:r w:rsidR="00D73A38">
        <w:rPr>
          <w:lang w:val="nl-NL"/>
        </w:rPr>
        <w:t>2019</w:t>
      </w:r>
      <w:r w:rsidRPr="00C02A31">
        <w:rPr>
          <w:lang w:val="nl-NL"/>
        </w:rPr>
        <w:t>). Milgrom en Tadelis</w:t>
      </w:r>
      <w:r w:rsidR="004C4A56">
        <w:rPr>
          <w:lang w:val="nl-NL"/>
        </w:rPr>
        <w:t xml:space="preserve"> (2019)</w:t>
      </w:r>
      <w:r w:rsidRPr="00C02A31">
        <w:rPr>
          <w:lang w:val="nl-NL"/>
        </w:rPr>
        <w:t xml:space="preserve"> bespr</w:t>
      </w:r>
      <w:r w:rsidR="00DD2A7B">
        <w:rPr>
          <w:lang w:val="nl-NL"/>
        </w:rPr>
        <w:t>e</w:t>
      </w:r>
      <w:r w:rsidRPr="00C02A31">
        <w:rPr>
          <w:lang w:val="nl-NL"/>
        </w:rPr>
        <w:t>ken</w:t>
      </w:r>
      <w:r w:rsidR="00392175">
        <w:rPr>
          <w:lang w:val="nl-NL"/>
        </w:rPr>
        <w:t xml:space="preserve"> hoe </w:t>
      </w:r>
      <w:r w:rsidR="004C4A56">
        <w:rPr>
          <w:lang w:val="nl-NL"/>
        </w:rPr>
        <w:t>AI</w:t>
      </w:r>
      <w:r w:rsidRPr="00C02A31">
        <w:rPr>
          <w:lang w:val="nl-NL"/>
        </w:rPr>
        <w:t xml:space="preserve"> </w:t>
      </w:r>
      <w:r w:rsidR="00392175">
        <w:rPr>
          <w:lang w:val="nl-NL"/>
        </w:rPr>
        <w:t xml:space="preserve">kan </w:t>
      </w:r>
      <w:r w:rsidRPr="00C02A31">
        <w:rPr>
          <w:lang w:val="nl-NL"/>
        </w:rPr>
        <w:t xml:space="preserve">worden gebruikt om vraag en aanbod </w:t>
      </w:r>
      <w:r w:rsidR="004C4A56">
        <w:rPr>
          <w:lang w:val="nl-NL"/>
        </w:rPr>
        <w:t xml:space="preserve">beter </w:t>
      </w:r>
      <w:r w:rsidRPr="00C02A31">
        <w:rPr>
          <w:lang w:val="nl-NL"/>
        </w:rPr>
        <w:t xml:space="preserve">op elkaar af te stemmen en </w:t>
      </w:r>
      <w:r w:rsidR="004C4A56">
        <w:rPr>
          <w:lang w:val="nl-NL"/>
        </w:rPr>
        <w:t>marktfricties te verminderen</w:t>
      </w:r>
      <w:r w:rsidRPr="00C02A31">
        <w:rPr>
          <w:lang w:val="nl-NL"/>
        </w:rPr>
        <w:t xml:space="preserve">. </w:t>
      </w:r>
      <w:r w:rsidR="004C4A56">
        <w:rPr>
          <w:lang w:val="nl-NL"/>
        </w:rPr>
        <w:t>AI</w:t>
      </w:r>
      <w:r w:rsidR="00392175">
        <w:rPr>
          <w:lang w:val="nl-NL"/>
        </w:rPr>
        <w:t>-</w:t>
      </w:r>
      <w:r w:rsidR="00DD2A7B">
        <w:rPr>
          <w:lang w:val="nl-NL"/>
        </w:rPr>
        <w:t xml:space="preserve">analyse van </w:t>
      </w:r>
      <w:r w:rsidR="004C4A56">
        <w:rPr>
          <w:lang w:val="nl-NL"/>
        </w:rPr>
        <w:t>historische transactiegegevens worden nu ingezet</w:t>
      </w:r>
      <w:r w:rsidRPr="00C02A31">
        <w:rPr>
          <w:lang w:val="nl-NL"/>
        </w:rPr>
        <w:t xml:space="preserve"> in platformmarkten en versterk</w:t>
      </w:r>
      <w:r w:rsidR="004C4A56">
        <w:rPr>
          <w:lang w:val="nl-NL"/>
        </w:rPr>
        <w:t>en</w:t>
      </w:r>
      <w:r w:rsidRPr="00C02A31">
        <w:rPr>
          <w:lang w:val="nl-NL"/>
        </w:rPr>
        <w:t xml:space="preserve"> de tendens naar een zeer geconcentreerde, zo niet monopolistische, marktstructuur.</w:t>
      </w:r>
    </w:p>
    <w:p w:rsidR="00392175" w:rsidP="00C02A31" w:rsidRDefault="00392175" w14:paraId="5AB8135C" w14:textId="77777777">
      <w:pPr>
        <w:rPr>
          <w:lang w:val="nl-NL"/>
        </w:rPr>
      </w:pPr>
    </w:p>
    <w:p w:rsidR="00CB6322" w:rsidP="00C02A31" w:rsidRDefault="00C02A31" w14:paraId="21772F22" w14:textId="3F928FE0">
      <w:pPr>
        <w:rPr>
          <w:lang w:val="nl-NL"/>
        </w:rPr>
      </w:pPr>
      <w:r w:rsidRPr="00C02A31">
        <w:rPr>
          <w:lang w:val="nl-NL"/>
        </w:rPr>
        <w:t>De positieve potentiële effecten van de nieuwe technologieën -</w:t>
      </w:r>
      <w:r w:rsidR="00983A51">
        <w:rPr>
          <w:lang w:val="nl-NL"/>
        </w:rPr>
        <w:t xml:space="preserve">-- </w:t>
      </w:r>
      <w:r w:rsidRPr="00C02A31">
        <w:rPr>
          <w:lang w:val="nl-NL"/>
        </w:rPr>
        <w:t>een hogere arbeidsproductiviteit, een hoger</w:t>
      </w:r>
      <w:r w:rsidR="004C4A56">
        <w:rPr>
          <w:lang w:val="nl-NL"/>
        </w:rPr>
        <w:t>e</w:t>
      </w:r>
      <w:r w:rsidRPr="00C02A31">
        <w:rPr>
          <w:lang w:val="nl-NL"/>
        </w:rPr>
        <w:t xml:space="preserve"> </w:t>
      </w:r>
      <w:r w:rsidR="004C4A56">
        <w:rPr>
          <w:lang w:val="nl-NL"/>
        </w:rPr>
        <w:t>bezettingsgraad van</w:t>
      </w:r>
      <w:r w:rsidRPr="00C02A31">
        <w:rPr>
          <w:lang w:val="nl-NL"/>
        </w:rPr>
        <w:t xml:space="preserve"> kapitaalgoederen en </w:t>
      </w:r>
      <w:r w:rsidR="00983A51">
        <w:rPr>
          <w:lang w:val="nl-NL"/>
        </w:rPr>
        <w:t xml:space="preserve">betere aansluiting </w:t>
      </w:r>
      <w:r w:rsidR="00DD2A7B">
        <w:rPr>
          <w:lang w:val="nl-NL"/>
        </w:rPr>
        <w:t>van</w:t>
      </w:r>
      <w:r w:rsidR="00983A51">
        <w:rPr>
          <w:lang w:val="nl-NL"/>
        </w:rPr>
        <w:t xml:space="preserve"> vraag</w:t>
      </w:r>
      <w:r w:rsidRPr="00C02A31">
        <w:rPr>
          <w:lang w:val="nl-NL"/>
        </w:rPr>
        <w:t xml:space="preserve"> </w:t>
      </w:r>
      <w:r w:rsidR="00DD2A7B">
        <w:rPr>
          <w:lang w:val="nl-NL"/>
        </w:rPr>
        <w:t xml:space="preserve">en aanbod </w:t>
      </w:r>
      <w:r w:rsidRPr="00C02A31">
        <w:rPr>
          <w:lang w:val="nl-NL"/>
        </w:rPr>
        <w:t>-</w:t>
      </w:r>
      <w:r w:rsidR="00983A51">
        <w:rPr>
          <w:lang w:val="nl-NL"/>
        </w:rPr>
        <w:t>--</w:t>
      </w:r>
      <w:r w:rsidRPr="00C02A31">
        <w:rPr>
          <w:lang w:val="nl-NL"/>
        </w:rPr>
        <w:t xml:space="preserve"> </w:t>
      </w:r>
      <w:r w:rsidR="00CB6322">
        <w:rPr>
          <w:lang w:val="nl-NL"/>
        </w:rPr>
        <w:t xml:space="preserve">laten zich moeilijk rijmen met </w:t>
      </w:r>
      <w:r w:rsidR="00804817">
        <w:rPr>
          <w:lang w:val="nl-NL"/>
        </w:rPr>
        <w:t xml:space="preserve">de </w:t>
      </w:r>
      <w:r w:rsidR="00CB6322">
        <w:rPr>
          <w:lang w:val="nl-NL"/>
        </w:rPr>
        <w:t>macro</w:t>
      </w:r>
      <w:r w:rsidR="00804817">
        <w:rPr>
          <w:lang w:val="nl-NL"/>
        </w:rPr>
        <w:t>-</w:t>
      </w:r>
      <w:r w:rsidR="00CB6322">
        <w:rPr>
          <w:lang w:val="nl-NL"/>
        </w:rPr>
        <w:t>trends</w:t>
      </w:r>
      <w:r w:rsidRPr="00C02A31">
        <w:rPr>
          <w:lang w:val="nl-NL"/>
        </w:rPr>
        <w:t xml:space="preserve">. De productiviteitsgroei </w:t>
      </w:r>
      <w:r w:rsidR="004C4A56">
        <w:rPr>
          <w:lang w:val="nl-NL"/>
        </w:rPr>
        <w:t xml:space="preserve">is de laatste jaren erg </w:t>
      </w:r>
      <w:r w:rsidRPr="00C02A31">
        <w:rPr>
          <w:lang w:val="nl-NL"/>
        </w:rPr>
        <w:t>laag in alle geavanceerde economieën (O</w:t>
      </w:r>
      <w:r w:rsidR="004C4A56">
        <w:rPr>
          <w:lang w:val="nl-NL"/>
        </w:rPr>
        <w:t>ECD 2019a</w:t>
      </w:r>
      <w:r w:rsidRPr="00C02A31">
        <w:rPr>
          <w:lang w:val="nl-NL"/>
        </w:rPr>
        <w:t xml:space="preserve">) </w:t>
      </w:r>
      <w:r w:rsidR="00DD2A7B">
        <w:rPr>
          <w:lang w:val="nl-NL"/>
        </w:rPr>
        <w:t>en de loongroei blijft nog verder achter.</w:t>
      </w:r>
      <w:r w:rsidRPr="00C02A31">
        <w:rPr>
          <w:lang w:val="nl-NL"/>
        </w:rPr>
        <w:t xml:space="preserve"> De </w:t>
      </w:r>
      <w:r w:rsidR="004C4A56">
        <w:rPr>
          <w:lang w:val="nl-NL"/>
        </w:rPr>
        <w:t>investeringsquote</w:t>
      </w:r>
      <w:r w:rsidRPr="00C02A31">
        <w:rPr>
          <w:lang w:val="nl-NL"/>
        </w:rPr>
        <w:t xml:space="preserve"> he</w:t>
      </w:r>
      <w:r w:rsidR="004C4A56">
        <w:rPr>
          <w:lang w:val="nl-NL"/>
        </w:rPr>
        <w:t>eft</w:t>
      </w:r>
      <w:r w:rsidRPr="00C02A31">
        <w:rPr>
          <w:lang w:val="nl-NL"/>
        </w:rPr>
        <w:t xml:space="preserve"> zich niet hersteld tot het </w:t>
      </w:r>
      <w:r w:rsidR="004C4A56">
        <w:rPr>
          <w:lang w:val="nl-NL"/>
        </w:rPr>
        <w:t>niveau</w:t>
      </w:r>
      <w:r w:rsidRPr="00C02A31">
        <w:rPr>
          <w:lang w:val="nl-NL"/>
        </w:rPr>
        <w:t xml:space="preserve"> van vóór de crisis, zelfs niet nu de waarderingen van met name hightechbedrijven stijgen (</w:t>
      </w:r>
      <w:r w:rsidR="00983A51">
        <w:rPr>
          <w:lang w:val="nl-NL"/>
        </w:rPr>
        <w:t>Guti</w:t>
      </w:r>
      <w:r w:rsidR="0092685F">
        <w:rPr>
          <w:lang w:val="nl-NL"/>
        </w:rPr>
        <w:t>ér</w:t>
      </w:r>
      <w:r w:rsidR="00983A51">
        <w:rPr>
          <w:lang w:val="nl-NL"/>
        </w:rPr>
        <w:t xml:space="preserve">rez </w:t>
      </w:r>
      <w:r w:rsidR="0092685F">
        <w:rPr>
          <w:lang w:val="nl-NL"/>
        </w:rPr>
        <w:t>en</w:t>
      </w:r>
      <w:r w:rsidRPr="00C02A31">
        <w:rPr>
          <w:lang w:val="nl-NL"/>
        </w:rPr>
        <w:t xml:space="preserve"> </w:t>
      </w:r>
      <w:r w:rsidR="0092685F">
        <w:rPr>
          <w:lang w:val="nl-NL"/>
        </w:rPr>
        <w:t>Philippon 2016, 2017</w:t>
      </w:r>
      <w:r w:rsidRPr="00C02A31">
        <w:rPr>
          <w:lang w:val="nl-NL"/>
        </w:rPr>
        <w:t>). Tegelijkertijd neemt het arbeidsaandeel in de productie af, terwijl de winstpercentages lijken toe te nemen (</w:t>
      </w:r>
      <w:r w:rsidR="0092685F">
        <w:rPr>
          <w:lang w:val="nl-NL"/>
        </w:rPr>
        <w:t>Karabarbounis en Neiman, 2014; de Loecker en Eeckhout 2017</w:t>
      </w:r>
      <w:r w:rsidRPr="00C02A31">
        <w:rPr>
          <w:lang w:val="nl-NL"/>
        </w:rPr>
        <w:t xml:space="preserve">). De </w:t>
      </w:r>
      <w:r w:rsidR="0092685F">
        <w:rPr>
          <w:lang w:val="nl-NL"/>
        </w:rPr>
        <w:t>top vijf procent van de</w:t>
      </w:r>
      <w:r w:rsidRPr="00C02A31">
        <w:rPr>
          <w:lang w:val="nl-NL"/>
        </w:rPr>
        <w:t xml:space="preserve"> bedrijven zijn goed voor het </w:t>
      </w:r>
      <w:r w:rsidR="0092685F">
        <w:rPr>
          <w:lang w:val="nl-NL"/>
        </w:rPr>
        <w:t>over</w:t>
      </w:r>
      <w:r w:rsidRPr="00C02A31" w:rsidR="0092685F">
        <w:rPr>
          <w:lang w:val="nl-NL"/>
        </w:rPr>
        <w:t>grote</w:t>
      </w:r>
      <w:r w:rsidRPr="00C02A31">
        <w:rPr>
          <w:lang w:val="nl-NL"/>
        </w:rPr>
        <w:t xml:space="preserve"> deel van de totale winst en </w:t>
      </w:r>
      <w:r w:rsidR="00DD2A7B">
        <w:rPr>
          <w:lang w:val="nl-NL"/>
        </w:rPr>
        <w:t>zijn de enige met een hoge</w:t>
      </w:r>
      <w:r w:rsidRPr="00C02A31">
        <w:rPr>
          <w:lang w:val="nl-NL"/>
        </w:rPr>
        <w:t xml:space="preserve"> productiviteitsgroei</w:t>
      </w:r>
      <w:r w:rsidR="00CB6322">
        <w:rPr>
          <w:lang w:val="nl-NL"/>
        </w:rPr>
        <w:t xml:space="preserve"> </w:t>
      </w:r>
      <w:r w:rsidRPr="00C02A31">
        <w:rPr>
          <w:lang w:val="nl-NL"/>
        </w:rPr>
        <w:t xml:space="preserve">(Andrews et al., 2016). </w:t>
      </w:r>
    </w:p>
    <w:p w:rsidR="00CB6322" w:rsidP="00C02A31" w:rsidRDefault="00CB6322" w14:paraId="6EAF6746" w14:textId="77777777">
      <w:pPr>
        <w:rPr>
          <w:lang w:val="nl-NL"/>
        </w:rPr>
      </w:pPr>
    </w:p>
    <w:p w:rsidRPr="00C02A31" w:rsidR="00C02A31" w:rsidP="00C02A31" w:rsidRDefault="00C02A31" w14:paraId="2F091883" w14:textId="7457FDC5">
      <w:pPr>
        <w:rPr>
          <w:lang w:val="nl-NL"/>
        </w:rPr>
      </w:pPr>
      <w:r w:rsidRPr="00C02A31">
        <w:rPr>
          <w:lang w:val="nl-NL"/>
        </w:rPr>
        <w:t xml:space="preserve">Op microniveau zijn er </w:t>
      </w:r>
      <w:r w:rsidR="00DD2A7B">
        <w:rPr>
          <w:lang w:val="nl-NL"/>
        </w:rPr>
        <w:t xml:space="preserve">meer </w:t>
      </w:r>
      <w:r w:rsidR="00A30802">
        <w:rPr>
          <w:lang w:val="nl-NL"/>
        </w:rPr>
        <w:t>herkenbare</w:t>
      </w:r>
      <w:r w:rsidRPr="00C02A31">
        <w:rPr>
          <w:lang w:val="nl-NL"/>
        </w:rPr>
        <w:t xml:space="preserve"> signalen van de impact van technologieën beschikbaar</w:t>
      </w:r>
      <w:r w:rsidR="0092685F">
        <w:rPr>
          <w:lang w:val="nl-NL"/>
        </w:rPr>
        <w:t>, niet allemaal rooskleurig</w:t>
      </w:r>
      <w:r w:rsidRPr="00C02A31">
        <w:rPr>
          <w:lang w:val="nl-NL"/>
        </w:rPr>
        <w:t xml:space="preserve">. De totale </w:t>
      </w:r>
      <w:r w:rsidR="0092685F">
        <w:rPr>
          <w:lang w:val="nl-NL"/>
        </w:rPr>
        <w:t>factor</w:t>
      </w:r>
      <w:r w:rsidRPr="00C02A31">
        <w:rPr>
          <w:lang w:val="nl-NL"/>
        </w:rPr>
        <w:t xml:space="preserve">productiviteit </w:t>
      </w:r>
      <w:r w:rsidR="0092685F">
        <w:rPr>
          <w:lang w:val="nl-NL"/>
        </w:rPr>
        <w:t xml:space="preserve">neemt toe als </w:t>
      </w:r>
      <w:r w:rsidRPr="00C02A31">
        <w:rPr>
          <w:lang w:val="nl-NL"/>
        </w:rPr>
        <w:t>marktaandelen verschuiven naar productieve</w:t>
      </w:r>
      <w:r w:rsidR="0092685F">
        <w:rPr>
          <w:lang w:val="nl-NL"/>
        </w:rPr>
        <w:t>re</w:t>
      </w:r>
      <w:r w:rsidRPr="00C02A31">
        <w:rPr>
          <w:lang w:val="nl-NL"/>
        </w:rPr>
        <w:t xml:space="preserve"> technologie-intensieve bedrijven en </w:t>
      </w:r>
      <w:r w:rsidR="0092685F">
        <w:rPr>
          <w:lang w:val="nl-NL"/>
        </w:rPr>
        <w:t xml:space="preserve">als er diffusie is van </w:t>
      </w:r>
      <w:r w:rsidRPr="00C02A31">
        <w:rPr>
          <w:lang w:val="nl-NL"/>
        </w:rPr>
        <w:t>de technologie naar achterblijvende bedrijven</w:t>
      </w:r>
      <w:r w:rsidR="0092685F">
        <w:rPr>
          <w:lang w:val="nl-NL"/>
        </w:rPr>
        <w:t xml:space="preserve">.  Dit proces van herallocatie </w:t>
      </w:r>
      <w:r w:rsidRPr="00C02A31">
        <w:rPr>
          <w:lang w:val="nl-NL"/>
        </w:rPr>
        <w:t xml:space="preserve">kan </w:t>
      </w:r>
      <w:r w:rsidR="0092685F">
        <w:rPr>
          <w:lang w:val="nl-NL"/>
        </w:rPr>
        <w:t xml:space="preserve">echter </w:t>
      </w:r>
      <w:r w:rsidRPr="00C02A31">
        <w:rPr>
          <w:lang w:val="nl-NL"/>
        </w:rPr>
        <w:t>worden belemmerd door concurrentiebeperkend gedrag van technologie-intensieve bedrijven (Bartelsman et al. 2019). Voor werknemers k</w:t>
      </w:r>
      <w:r w:rsidR="0092685F">
        <w:rPr>
          <w:lang w:val="nl-NL"/>
        </w:rPr>
        <w:t>an</w:t>
      </w:r>
      <w:r w:rsidRPr="00C02A31">
        <w:rPr>
          <w:lang w:val="nl-NL"/>
        </w:rPr>
        <w:t xml:space="preserve"> de technologieën </w:t>
      </w:r>
      <w:r w:rsidR="0092685F">
        <w:rPr>
          <w:lang w:val="nl-NL"/>
        </w:rPr>
        <w:t>een bedreiging zijn:</w:t>
      </w:r>
      <w:r w:rsidRPr="00C02A31">
        <w:rPr>
          <w:lang w:val="nl-NL"/>
        </w:rPr>
        <w:t xml:space="preserve"> zelf rijdende taxi</w:t>
      </w:r>
      <w:r w:rsidR="0092685F">
        <w:rPr>
          <w:lang w:val="nl-NL"/>
        </w:rPr>
        <w:t>’</w:t>
      </w:r>
      <w:r w:rsidRPr="00C02A31">
        <w:rPr>
          <w:lang w:val="nl-NL"/>
        </w:rPr>
        <w:t>s</w:t>
      </w:r>
      <w:r w:rsidR="0092685F">
        <w:rPr>
          <w:lang w:val="nl-NL"/>
        </w:rPr>
        <w:t xml:space="preserve"> nemen de plaats in van chauffeurs</w:t>
      </w:r>
      <w:r w:rsidRPr="00C02A31">
        <w:rPr>
          <w:lang w:val="nl-NL"/>
        </w:rPr>
        <w:t xml:space="preserve">, </w:t>
      </w:r>
      <w:r w:rsidR="0092685F">
        <w:rPr>
          <w:lang w:val="nl-NL"/>
        </w:rPr>
        <w:t xml:space="preserve">of </w:t>
      </w:r>
      <w:r w:rsidR="008416D6">
        <w:rPr>
          <w:lang w:val="nl-NL"/>
        </w:rPr>
        <w:t>robots verdringen laagbetaalde krachten in landbouw en horeca.</w:t>
      </w:r>
      <w:r w:rsidRPr="00C02A31">
        <w:rPr>
          <w:lang w:val="nl-NL"/>
        </w:rPr>
        <w:t xml:space="preserve"> (Acemoglu en Autor, 2011). In het verleden </w:t>
      </w:r>
      <w:r w:rsidR="00A30802">
        <w:rPr>
          <w:lang w:val="nl-NL"/>
        </w:rPr>
        <w:t>vielen de ontslagen vooral</w:t>
      </w:r>
      <w:r w:rsidR="008416D6">
        <w:rPr>
          <w:lang w:val="nl-NL"/>
        </w:rPr>
        <w:t xml:space="preserve"> </w:t>
      </w:r>
      <w:r w:rsidRPr="00C02A31">
        <w:rPr>
          <w:lang w:val="nl-NL"/>
        </w:rPr>
        <w:t>in het 'midden' van de verdeling van vaardigheden, maar het patroon z</w:t>
      </w:r>
      <w:r w:rsidR="008416D6">
        <w:rPr>
          <w:lang w:val="nl-NL"/>
        </w:rPr>
        <w:t>al</w:t>
      </w:r>
      <w:r w:rsidRPr="00C02A31">
        <w:rPr>
          <w:lang w:val="nl-NL"/>
        </w:rPr>
        <w:t xml:space="preserve"> </w:t>
      </w:r>
      <w:r w:rsidR="00A30802">
        <w:rPr>
          <w:lang w:val="nl-NL"/>
        </w:rPr>
        <w:t>in de toekomst</w:t>
      </w:r>
      <w:r w:rsidRPr="00C02A31">
        <w:rPr>
          <w:lang w:val="nl-NL"/>
        </w:rPr>
        <w:t xml:space="preserve"> </w:t>
      </w:r>
      <w:r w:rsidR="00A30802">
        <w:rPr>
          <w:lang w:val="nl-NL"/>
        </w:rPr>
        <w:t>minder voorspelbaar worden</w:t>
      </w:r>
      <w:r w:rsidRPr="00C02A31">
        <w:rPr>
          <w:lang w:val="nl-NL"/>
        </w:rPr>
        <w:t xml:space="preserve"> onder invloed van nieuwe algoritmes (OESO, 2019). Voor werknemers die door de technologie </w:t>
      </w:r>
      <w:r w:rsidR="008416D6">
        <w:rPr>
          <w:lang w:val="nl-NL"/>
        </w:rPr>
        <w:t>verdrongen</w:t>
      </w:r>
      <w:r w:rsidRPr="00C02A31">
        <w:rPr>
          <w:lang w:val="nl-NL"/>
        </w:rPr>
        <w:t xml:space="preserve"> raken, wijst recente </w:t>
      </w:r>
      <w:r w:rsidR="008416D6">
        <w:rPr>
          <w:lang w:val="nl-NL"/>
        </w:rPr>
        <w:t>onderzoek</w:t>
      </w:r>
      <w:r w:rsidRPr="00C02A31">
        <w:rPr>
          <w:lang w:val="nl-NL"/>
        </w:rPr>
        <w:t xml:space="preserve"> op een levenslange inkomstenderving door een combinatie van minder </w:t>
      </w:r>
      <w:r w:rsidR="008416D6">
        <w:rPr>
          <w:lang w:val="nl-NL"/>
        </w:rPr>
        <w:lastRenderedPageBreak/>
        <w:t>werk</w:t>
      </w:r>
      <w:r w:rsidRPr="00C02A31">
        <w:rPr>
          <w:lang w:val="nl-NL"/>
        </w:rPr>
        <w:t xml:space="preserve"> en lagere lonen</w:t>
      </w:r>
      <w:r w:rsidR="00CB6322">
        <w:rPr>
          <w:lang w:val="nl-NL"/>
        </w:rPr>
        <w:t xml:space="preserve"> (</w:t>
      </w:r>
      <w:r w:rsidRPr="00C02A31" w:rsidR="00CB6322">
        <w:rPr>
          <w:lang w:val="nl-NL"/>
        </w:rPr>
        <w:t>Bessen, 2018</w:t>
      </w:r>
      <w:r w:rsidR="00CB6322">
        <w:rPr>
          <w:lang w:val="nl-NL"/>
        </w:rPr>
        <w:t>)</w:t>
      </w:r>
      <w:r w:rsidRPr="00C02A31">
        <w:rPr>
          <w:lang w:val="nl-NL"/>
        </w:rPr>
        <w:t xml:space="preserve">. De technologieën </w:t>
      </w:r>
      <w:r w:rsidR="008416D6">
        <w:rPr>
          <w:lang w:val="nl-NL"/>
        </w:rPr>
        <w:t xml:space="preserve">hebben ook voordelen </w:t>
      </w:r>
      <w:r w:rsidR="00A30802">
        <w:rPr>
          <w:lang w:val="nl-NL"/>
        </w:rPr>
        <w:t>vanwege</w:t>
      </w:r>
      <w:r w:rsidRPr="00C02A31">
        <w:rPr>
          <w:lang w:val="nl-NL"/>
        </w:rPr>
        <w:t xml:space="preserve"> </w:t>
      </w:r>
      <w:r w:rsidR="008416D6">
        <w:rPr>
          <w:lang w:val="nl-NL"/>
        </w:rPr>
        <w:t>f</w:t>
      </w:r>
      <w:r w:rsidRPr="00C02A31">
        <w:rPr>
          <w:lang w:val="nl-NL"/>
        </w:rPr>
        <w:t>lexibili</w:t>
      </w:r>
      <w:r w:rsidR="008416D6">
        <w:rPr>
          <w:lang w:val="nl-NL"/>
        </w:rPr>
        <w:t>sering</w:t>
      </w:r>
      <w:r w:rsidRPr="00C02A31">
        <w:rPr>
          <w:lang w:val="nl-NL"/>
        </w:rPr>
        <w:t xml:space="preserve"> </w:t>
      </w:r>
      <w:r w:rsidR="008416D6">
        <w:rPr>
          <w:lang w:val="nl-NL"/>
        </w:rPr>
        <w:t>van</w:t>
      </w:r>
      <w:r w:rsidRPr="00C02A31">
        <w:rPr>
          <w:lang w:val="nl-NL"/>
        </w:rPr>
        <w:t xml:space="preserve"> productieprocessen, zodat het arbeidsaanbod op </w:t>
      </w:r>
      <w:r w:rsidR="008416D6">
        <w:rPr>
          <w:lang w:val="nl-NL"/>
        </w:rPr>
        <w:t xml:space="preserve">een betere </w:t>
      </w:r>
      <w:r w:rsidRPr="00C02A31">
        <w:rPr>
          <w:lang w:val="nl-NL"/>
        </w:rPr>
        <w:t>manier kan worden afgestemd op de vraag</w:t>
      </w:r>
      <w:r w:rsidR="008416D6">
        <w:rPr>
          <w:lang w:val="nl-NL"/>
        </w:rPr>
        <w:t>.</w:t>
      </w:r>
    </w:p>
    <w:p w:rsidR="00CD5C55" w:rsidP="00C02A31" w:rsidRDefault="00CD5C55" w14:paraId="1D954ECE" w14:textId="77777777">
      <w:pPr>
        <w:rPr>
          <w:lang w:val="nl-NL"/>
        </w:rPr>
      </w:pPr>
    </w:p>
    <w:p w:rsidRPr="00C02A31" w:rsidR="00C02A31" w:rsidP="00C02A31" w:rsidRDefault="00C02A31" w14:paraId="0AFE1DA1" w14:textId="1D87921A">
      <w:pPr>
        <w:rPr>
          <w:lang w:val="nl-NL"/>
        </w:rPr>
      </w:pPr>
      <w:r w:rsidRPr="00C02A31">
        <w:rPr>
          <w:lang w:val="nl-NL"/>
        </w:rPr>
        <w:t xml:space="preserve">Ten slotte </w:t>
      </w:r>
      <w:r w:rsidR="00CD5C55">
        <w:rPr>
          <w:lang w:val="nl-NL"/>
        </w:rPr>
        <w:t>zijn er</w:t>
      </w:r>
      <w:r w:rsidRPr="00C02A31">
        <w:rPr>
          <w:lang w:val="nl-NL"/>
        </w:rPr>
        <w:t xml:space="preserve"> </w:t>
      </w:r>
      <w:r w:rsidR="00CD5C55">
        <w:rPr>
          <w:lang w:val="nl-NL"/>
        </w:rPr>
        <w:t xml:space="preserve">veel </w:t>
      </w:r>
      <w:r w:rsidRPr="00C02A31">
        <w:rPr>
          <w:lang w:val="nl-NL"/>
        </w:rPr>
        <w:t>verandering</w:t>
      </w:r>
      <w:r w:rsidR="00CD5C55">
        <w:rPr>
          <w:lang w:val="nl-NL"/>
        </w:rPr>
        <w:t>en</w:t>
      </w:r>
      <w:r w:rsidRPr="00C02A31">
        <w:rPr>
          <w:lang w:val="nl-NL"/>
        </w:rPr>
        <w:t xml:space="preserve"> in de markten voor eindproducten en -diensten, waardoor het moeilijk </w:t>
      </w:r>
      <w:r w:rsidR="00CB6322">
        <w:rPr>
          <w:lang w:val="nl-NL"/>
        </w:rPr>
        <w:t>wordt</w:t>
      </w:r>
      <w:r w:rsidRPr="00C02A31">
        <w:rPr>
          <w:lang w:val="nl-NL"/>
        </w:rPr>
        <w:t xml:space="preserve"> om </w:t>
      </w:r>
      <w:r w:rsidR="008416D6">
        <w:rPr>
          <w:lang w:val="nl-NL"/>
        </w:rPr>
        <w:t xml:space="preserve">BBP groei </w:t>
      </w:r>
      <w:r w:rsidR="00CB6322">
        <w:rPr>
          <w:lang w:val="nl-NL"/>
        </w:rPr>
        <w:t xml:space="preserve">goed </w:t>
      </w:r>
      <w:r w:rsidR="008416D6">
        <w:rPr>
          <w:lang w:val="nl-NL"/>
        </w:rPr>
        <w:t>te meten</w:t>
      </w:r>
      <w:r w:rsidRPr="00C02A31">
        <w:rPr>
          <w:lang w:val="nl-NL"/>
        </w:rPr>
        <w:t>. Het BBP zoals het nu gedefinieerd en geïmplementeerd wordt, zal steeds minder geschikt worden als beleidsdoel (Stiglitz, Fitoussi en Durand, 2018). De nieuwe technologie bemoeilijkt om verschillende redenen de ontvlechting van prijs- en kwantiteitsbewegingen en vervaagt de grens tussen activiteiten die bijdragen aan het nationaal inkomen en activiteiten die dat niet doen (Coyle, 2015).</w:t>
      </w:r>
    </w:p>
    <w:p w:rsidR="008416D6" w:rsidP="00C02A31" w:rsidRDefault="008416D6" w14:paraId="28167746" w14:textId="77777777">
      <w:pPr>
        <w:rPr>
          <w:lang w:val="nl-NL"/>
        </w:rPr>
      </w:pPr>
    </w:p>
    <w:p w:rsidR="00ED5163" w:rsidP="00C02A31" w:rsidRDefault="00C02A31" w14:paraId="70B6AA7E" w14:textId="4E476389">
      <w:pPr>
        <w:rPr>
          <w:lang w:val="nl-NL"/>
        </w:rPr>
      </w:pPr>
      <w:r w:rsidRPr="00C02A31">
        <w:rPr>
          <w:lang w:val="nl-NL"/>
        </w:rPr>
        <w:t xml:space="preserve">Ondanks de </w:t>
      </w:r>
      <w:r w:rsidR="00A833B4">
        <w:rPr>
          <w:lang w:val="nl-NL"/>
        </w:rPr>
        <w:t xml:space="preserve">mooie </w:t>
      </w:r>
      <w:r w:rsidRPr="00C02A31">
        <w:rPr>
          <w:lang w:val="nl-NL"/>
        </w:rPr>
        <w:t>nieuwe technologie</w:t>
      </w:r>
      <w:r w:rsidR="00A833B4">
        <w:rPr>
          <w:lang w:val="nl-NL"/>
        </w:rPr>
        <w:t xml:space="preserve">ën neemt </w:t>
      </w:r>
      <w:r w:rsidRPr="00C02A31">
        <w:rPr>
          <w:lang w:val="nl-NL"/>
        </w:rPr>
        <w:t xml:space="preserve">de </w:t>
      </w:r>
      <w:r w:rsidR="00A833B4">
        <w:rPr>
          <w:lang w:val="nl-NL"/>
        </w:rPr>
        <w:t>onzekerheid van</w:t>
      </w:r>
      <w:r w:rsidRPr="00C02A31">
        <w:rPr>
          <w:lang w:val="nl-NL"/>
        </w:rPr>
        <w:t xml:space="preserve"> huishoudens </w:t>
      </w:r>
      <w:r w:rsidR="00A833B4">
        <w:rPr>
          <w:lang w:val="nl-NL"/>
        </w:rPr>
        <w:t xml:space="preserve">toe en maken mensen in de </w:t>
      </w:r>
      <w:r w:rsidR="00ED5163">
        <w:rPr>
          <w:lang w:val="nl-NL"/>
        </w:rPr>
        <w:t xml:space="preserve">geïndustrialiseerde landen zich zorgen over </w:t>
      </w:r>
      <w:r w:rsidRPr="00C02A31">
        <w:rPr>
          <w:lang w:val="nl-NL"/>
        </w:rPr>
        <w:t xml:space="preserve">het financiële welzijn van hun nakomelingen (Pew Research Center, 2019 Global Attitude Survey). </w:t>
      </w:r>
      <w:r w:rsidR="0036368C">
        <w:rPr>
          <w:lang w:val="nl-NL"/>
        </w:rPr>
        <w:t>D</w:t>
      </w:r>
      <w:r w:rsidR="00ED5163">
        <w:rPr>
          <w:lang w:val="nl-NL"/>
        </w:rPr>
        <w:t xml:space="preserve">e burger </w:t>
      </w:r>
      <w:r w:rsidR="0036368C">
        <w:rPr>
          <w:lang w:val="nl-NL"/>
        </w:rPr>
        <w:t xml:space="preserve">voelt </w:t>
      </w:r>
      <w:r w:rsidR="00ED5163">
        <w:rPr>
          <w:lang w:val="nl-NL"/>
        </w:rPr>
        <w:t>de</w:t>
      </w:r>
      <w:r w:rsidRPr="00C02A31">
        <w:rPr>
          <w:lang w:val="nl-NL"/>
        </w:rPr>
        <w:t xml:space="preserve"> </w:t>
      </w:r>
      <w:r w:rsidR="00ED5163">
        <w:rPr>
          <w:lang w:val="nl-NL"/>
        </w:rPr>
        <w:t>maatschappelijke</w:t>
      </w:r>
      <w:r w:rsidRPr="00C02A31">
        <w:rPr>
          <w:lang w:val="nl-NL"/>
        </w:rPr>
        <w:t xml:space="preserve"> verstoringen </w:t>
      </w:r>
      <w:r w:rsidR="00ED5163">
        <w:rPr>
          <w:lang w:val="nl-NL"/>
        </w:rPr>
        <w:t>door</w:t>
      </w:r>
      <w:r w:rsidRPr="00C02A31">
        <w:rPr>
          <w:lang w:val="nl-NL"/>
        </w:rPr>
        <w:t xml:space="preserve"> de platformindustrieën (bv. huurwoningen, taxivervoer, </w:t>
      </w:r>
      <w:r w:rsidR="00ED5163">
        <w:rPr>
          <w:lang w:val="nl-NL"/>
        </w:rPr>
        <w:t>online</w:t>
      </w:r>
      <w:r w:rsidRPr="00C02A31">
        <w:rPr>
          <w:lang w:val="nl-NL"/>
        </w:rPr>
        <w:t xml:space="preserve"> detailhandel), </w:t>
      </w:r>
      <w:r w:rsidR="00ED5163">
        <w:rPr>
          <w:lang w:val="nl-NL"/>
        </w:rPr>
        <w:t xml:space="preserve">heeft </w:t>
      </w:r>
      <w:r w:rsidRPr="00C02A31">
        <w:rPr>
          <w:lang w:val="nl-NL"/>
        </w:rPr>
        <w:t>privacy-</w:t>
      </w:r>
      <w:r w:rsidR="00ED5163">
        <w:rPr>
          <w:lang w:val="nl-NL"/>
        </w:rPr>
        <w:t>zorgen</w:t>
      </w:r>
      <w:r w:rsidRPr="00C02A31">
        <w:rPr>
          <w:lang w:val="nl-NL"/>
        </w:rPr>
        <w:t xml:space="preserve"> </w:t>
      </w:r>
      <w:r w:rsidR="00ED5163">
        <w:rPr>
          <w:lang w:val="nl-NL"/>
        </w:rPr>
        <w:t>over</w:t>
      </w:r>
      <w:r w:rsidRPr="00C02A31">
        <w:rPr>
          <w:lang w:val="nl-NL"/>
        </w:rPr>
        <w:t xml:space="preserve"> </w:t>
      </w:r>
      <w:r w:rsidR="00ED5163">
        <w:rPr>
          <w:lang w:val="nl-NL"/>
        </w:rPr>
        <w:t xml:space="preserve">sociale </w:t>
      </w:r>
      <w:r w:rsidRPr="00C02A31">
        <w:rPr>
          <w:lang w:val="nl-NL"/>
        </w:rPr>
        <w:t xml:space="preserve">netwerken en </w:t>
      </w:r>
      <w:r w:rsidR="0036368C">
        <w:rPr>
          <w:lang w:val="nl-NL"/>
        </w:rPr>
        <w:t>kijkt argwanend naar</w:t>
      </w:r>
      <w:r w:rsidR="00ED5163">
        <w:rPr>
          <w:lang w:val="nl-NL"/>
        </w:rPr>
        <w:t xml:space="preserve"> onbelaste superwinsten van de superster bedrijven; </w:t>
      </w:r>
      <w:r w:rsidRPr="00C02A31">
        <w:rPr>
          <w:lang w:val="nl-NL"/>
        </w:rPr>
        <w:t xml:space="preserve">alle </w:t>
      </w:r>
      <w:r w:rsidR="00ED5163">
        <w:rPr>
          <w:lang w:val="nl-NL"/>
        </w:rPr>
        <w:t xml:space="preserve">potentiele </w:t>
      </w:r>
      <w:r w:rsidRPr="00C02A31">
        <w:rPr>
          <w:lang w:val="nl-NL"/>
        </w:rPr>
        <w:t>voordelen van de</w:t>
      </w:r>
      <w:r w:rsidR="00ED5163">
        <w:rPr>
          <w:lang w:val="nl-NL"/>
        </w:rPr>
        <w:t xml:space="preserve"> nieuwe</w:t>
      </w:r>
      <w:r w:rsidRPr="00C02A31">
        <w:rPr>
          <w:lang w:val="nl-NL"/>
        </w:rPr>
        <w:t xml:space="preserve"> technologie </w:t>
      </w:r>
      <w:r w:rsidR="00ED5163">
        <w:rPr>
          <w:lang w:val="nl-NL"/>
        </w:rPr>
        <w:t>wegen hier nauwelijks tegenop, zo lijkt het</w:t>
      </w:r>
      <w:r w:rsidRPr="00C02A31">
        <w:rPr>
          <w:lang w:val="nl-NL"/>
        </w:rPr>
        <w:t xml:space="preserve">. Deze </w:t>
      </w:r>
      <w:r w:rsidR="00ED5163">
        <w:rPr>
          <w:lang w:val="nl-NL"/>
        </w:rPr>
        <w:t>zorgen</w:t>
      </w:r>
      <w:r w:rsidRPr="00C02A31">
        <w:rPr>
          <w:lang w:val="nl-NL"/>
        </w:rPr>
        <w:t xml:space="preserve"> vinden hun weg naar de top van de agenda's van de beleidsmakers, en veel </w:t>
      </w:r>
      <w:r w:rsidR="00CB6322">
        <w:rPr>
          <w:lang w:val="nl-NL"/>
        </w:rPr>
        <w:t>beleids</w:t>
      </w:r>
      <w:r w:rsidRPr="00C02A31">
        <w:rPr>
          <w:lang w:val="nl-NL"/>
        </w:rPr>
        <w:t>voorstellen zoals hogere minimumlonen, basisinkomens,</w:t>
      </w:r>
      <w:r w:rsidR="00ED5163">
        <w:rPr>
          <w:lang w:val="nl-NL"/>
        </w:rPr>
        <w:t xml:space="preserve"> </w:t>
      </w:r>
      <w:r w:rsidRPr="00C02A31">
        <w:rPr>
          <w:lang w:val="nl-NL"/>
        </w:rPr>
        <w:t>progressieve</w:t>
      </w:r>
      <w:r w:rsidR="00ED5163">
        <w:rPr>
          <w:lang w:val="nl-NL"/>
        </w:rPr>
        <w:t>re</w:t>
      </w:r>
      <w:r w:rsidRPr="00C02A31">
        <w:rPr>
          <w:lang w:val="nl-NL"/>
        </w:rPr>
        <w:t xml:space="preserve"> inkomstenbelasting, hogere vennootschapsbelasting, belastingen op robots, opsplitsing van de grootste technologiebedrijven, enz. zijn onlangs gelanceerd. Tegelijkertijd is er </w:t>
      </w:r>
      <w:r w:rsidR="00ED5163">
        <w:rPr>
          <w:lang w:val="nl-NL"/>
        </w:rPr>
        <w:t xml:space="preserve">bij beleidsmakers ook </w:t>
      </w:r>
      <w:r w:rsidRPr="00C02A31">
        <w:rPr>
          <w:lang w:val="nl-NL"/>
        </w:rPr>
        <w:t>bezorgdheid over de trage invoering van nieuwe technologieën</w:t>
      </w:r>
      <w:r w:rsidR="0036368C">
        <w:rPr>
          <w:lang w:val="nl-NL"/>
        </w:rPr>
        <w:t xml:space="preserve">. </w:t>
      </w:r>
      <w:r w:rsidRPr="00C02A31">
        <w:rPr>
          <w:lang w:val="nl-NL"/>
        </w:rPr>
        <w:t xml:space="preserve">De </w:t>
      </w:r>
      <w:r w:rsidR="00ED5163">
        <w:rPr>
          <w:lang w:val="nl-NL"/>
        </w:rPr>
        <w:t>snelheid</w:t>
      </w:r>
      <w:r w:rsidRPr="00C02A31">
        <w:rPr>
          <w:lang w:val="nl-NL"/>
        </w:rPr>
        <w:t xml:space="preserve"> waarmee de noodzaak van beleidshervormingen </w:t>
      </w:r>
      <w:r w:rsidR="00ED5163">
        <w:rPr>
          <w:lang w:val="nl-NL"/>
        </w:rPr>
        <w:t>op de agenda</w:t>
      </w:r>
      <w:r w:rsidRPr="00C02A31">
        <w:rPr>
          <w:lang w:val="nl-NL"/>
        </w:rPr>
        <w:t xml:space="preserve"> is gekomen, heeft </w:t>
      </w:r>
      <w:r w:rsidR="00ED5163">
        <w:rPr>
          <w:lang w:val="nl-NL"/>
        </w:rPr>
        <w:t>economen</w:t>
      </w:r>
      <w:r w:rsidRPr="00C02A31">
        <w:rPr>
          <w:lang w:val="nl-NL"/>
        </w:rPr>
        <w:t xml:space="preserve"> verrast, waardoor de debatten over beleidsvoorstellen </w:t>
      </w:r>
      <w:r w:rsidR="008C24B8">
        <w:rPr>
          <w:lang w:val="nl-NL"/>
        </w:rPr>
        <w:t xml:space="preserve">zouden plaatsvinden zonder empirische </w:t>
      </w:r>
      <w:r w:rsidR="00755577">
        <w:rPr>
          <w:lang w:val="nl-NL"/>
        </w:rPr>
        <w:t xml:space="preserve">economische </w:t>
      </w:r>
      <w:r w:rsidR="008C24B8">
        <w:rPr>
          <w:lang w:val="nl-NL"/>
        </w:rPr>
        <w:t xml:space="preserve">basis of </w:t>
      </w:r>
      <w:r w:rsidRPr="00C02A31">
        <w:rPr>
          <w:lang w:val="nl-NL"/>
        </w:rPr>
        <w:t xml:space="preserve">samenhangend </w:t>
      </w:r>
      <w:r w:rsidR="00CB6322">
        <w:rPr>
          <w:lang w:val="nl-NL"/>
        </w:rPr>
        <w:t>economisch model</w:t>
      </w:r>
      <w:r w:rsidR="008C24B8">
        <w:rPr>
          <w:lang w:val="nl-NL"/>
        </w:rPr>
        <w:t>.</w:t>
      </w:r>
    </w:p>
    <w:p w:rsidRPr="00C02A31" w:rsidR="00CB6322" w:rsidP="00C02A31" w:rsidRDefault="00CB6322" w14:paraId="2BD76FBC" w14:textId="77777777">
      <w:pPr>
        <w:rPr>
          <w:lang w:val="nl-NL"/>
        </w:rPr>
      </w:pPr>
    </w:p>
    <w:p w:rsidR="000E6326" w:rsidP="00C02A31" w:rsidRDefault="00C02A31" w14:paraId="33DAE1C3" w14:textId="53E415AF">
      <w:pPr>
        <w:rPr>
          <w:lang w:val="nl-NL"/>
        </w:rPr>
      </w:pPr>
      <w:r w:rsidRPr="00C02A31">
        <w:rPr>
          <w:lang w:val="nl-NL"/>
        </w:rPr>
        <w:t>Traditionele modellen van economische groei, zoals Solow (1958) en Romer (1989), sl</w:t>
      </w:r>
      <w:r w:rsidR="008C24B8">
        <w:rPr>
          <w:lang w:val="nl-NL"/>
        </w:rPr>
        <w:t>o</w:t>
      </w:r>
      <w:r w:rsidRPr="00C02A31">
        <w:rPr>
          <w:lang w:val="nl-NL"/>
        </w:rPr>
        <w:t>ten goed aan bij empirische groei-feiten</w:t>
      </w:r>
      <w:r w:rsidR="008C24B8">
        <w:rPr>
          <w:lang w:val="nl-NL"/>
        </w:rPr>
        <w:t xml:space="preserve"> van de vorige eeuw</w:t>
      </w:r>
      <w:r w:rsidRPr="00C02A31">
        <w:rPr>
          <w:lang w:val="nl-NL"/>
        </w:rPr>
        <w:t xml:space="preserve">, de zogenaamde "Kaldor-feiten" (Kaldor </w:t>
      </w:r>
      <w:r w:rsidR="008C24B8">
        <w:rPr>
          <w:lang w:val="nl-NL"/>
        </w:rPr>
        <w:t>1961</w:t>
      </w:r>
      <w:r w:rsidRPr="00C02A31">
        <w:rPr>
          <w:lang w:val="nl-NL"/>
        </w:rPr>
        <w:t>). Jones en Romer</w:t>
      </w:r>
      <w:r w:rsidR="008C24B8">
        <w:rPr>
          <w:lang w:val="nl-NL"/>
        </w:rPr>
        <w:t xml:space="preserve"> (2010)</w:t>
      </w:r>
      <w:r w:rsidRPr="00C02A31">
        <w:rPr>
          <w:lang w:val="nl-NL"/>
        </w:rPr>
        <w:t xml:space="preserve"> laten zien dat deze feiten niet langer </w:t>
      </w:r>
      <w:r w:rsidR="008C24B8">
        <w:rPr>
          <w:lang w:val="nl-NL"/>
        </w:rPr>
        <w:t>standhouden</w:t>
      </w:r>
      <w:r w:rsidRPr="00C02A31">
        <w:rPr>
          <w:lang w:val="nl-NL"/>
        </w:rPr>
        <w:t xml:space="preserve">. </w:t>
      </w:r>
    </w:p>
    <w:p w:rsidR="00C02A31" w:rsidP="00C02A31" w:rsidRDefault="00C02A31" w14:paraId="76990106" w14:textId="4A9B421E">
      <w:pPr>
        <w:rPr>
          <w:lang w:val="nl-NL"/>
        </w:rPr>
      </w:pPr>
      <w:r w:rsidRPr="00C02A31">
        <w:rPr>
          <w:lang w:val="nl-NL"/>
        </w:rPr>
        <w:t xml:space="preserve">Een nieuw kader dat </w:t>
      </w:r>
      <w:r w:rsidR="00D43A72">
        <w:rPr>
          <w:lang w:val="nl-NL"/>
        </w:rPr>
        <w:t>het traject</w:t>
      </w:r>
      <w:r w:rsidRPr="00C02A31">
        <w:rPr>
          <w:lang w:val="nl-NL"/>
        </w:rPr>
        <w:t xml:space="preserve"> van digitale technologieën naar productiviteit</w:t>
      </w:r>
      <w:r w:rsidR="00D43A72">
        <w:rPr>
          <w:lang w:val="nl-NL"/>
        </w:rPr>
        <w:t xml:space="preserve">sgroei en welvaart </w:t>
      </w:r>
      <w:r w:rsidRPr="00C02A31">
        <w:rPr>
          <w:lang w:val="nl-NL"/>
        </w:rPr>
        <w:t xml:space="preserve">goed kan </w:t>
      </w:r>
      <w:r w:rsidR="000E6326">
        <w:rPr>
          <w:lang w:val="nl-NL"/>
        </w:rPr>
        <w:t>beschrijven</w:t>
      </w:r>
      <w:r w:rsidRPr="00C02A31">
        <w:rPr>
          <w:lang w:val="nl-NL"/>
        </w:rPr>
        <w:t xml:space="preserve"> heeft </w:t>
      </w:r>
      <w:r w:rsidR="000E6326">
        <w:rPr>
          <w:lang w:val="nl-NL"/>
        </w:rPr>
        <w:t xml:space="preserve">enkele </w:t>
      </w:r>
      <w:r w:rsidRPr="00C02A31">
        <w:rPr>
          <w:lang w:val="nl-NL"/>
        </w:rPr>
        <w:t xml:space="preserve">noodzakelijke ingrediënten (zie Bartelsman 2019). </w:t>
      </w:r>
      <w:r w:rsidR="000E6326">
        <w:rPr>
          <w:lang w:val="nl-NL"/>
        </w:rPr>
        <w:t>De</w:t>
      </w:r>
      <w:r w:rsidRPr="00C02A31">
        <w:rPr>
          <w:lang w:val="nl-NL"/>
        </w:rPr>
        <w:t xml:space="preserve"> belangrijkste </w:t>
      </w:r>
      <w:r w:rsidR="000E6326">
        <w:rPr>
          <w:lang w:val="nl-NL"/>
        </w:rPr>
        <w:t>ingrediënten zijn</w:t>
      </w:r>
      <w:r w:rsidRPr="00C02A31">
        <w:rPr>
          <w:lang w:val="nl-NL"/>
        </w:rPr>
        <w:t xml:space="preserve"> </w:t>
      </w:r>
      <w:r w:rsidRPr="00C02A31" w:rsidR="000E6326">
        <w:rPr>
          <w:lang w:val="nl-NL"/>
        </w:rPr>
        <w:t>immateriël</w:t>
      </w:r>
      <w:r w:rsidR="000E6326">
        <w:rPr>
          <w:lang w:val="nl-NL"/>
        </w:rPr>
        <w:t>e activa</w:t>
      </w:r>
      <w:r w:rsidRPr="00C02A31">
        <w:rPr>
          <w:lang w:val="nl-NL"/>
        </w:rPr>
        <w:t xml:space="preserve"> </w:t>
      </w:r>
      <w:r w:rsidR="000E6326">
        <w:rPr>
          <w:lang w:val="nl-NL"/>
        </w:rPr>
        <w:t>en bedrijvendynamiek</w:t>
      </w:r>
      <w:r w:rsidRPr="00C02A31">
        <w:rPr>
          <w:lang w:val="nl-NL"/>
        </w:rPr>
        <w:t xml:space="preserve">. </w:t>
      </w:r>
      <w:r w:rsidRPr="00C02A31" w:rsidR="00CB6322">
        <w:rPr>
          <w:lang w:val="nl-NL"/>
        </w:rPr>
        <w:t>Immateriël</w:t>
      </w:r>
      <w:r w:rsidR="00CB6322">
        <w:rPr>
          <w:lang w:val="nl-NL"/>
        </w:rPr>
        <w:t>e</w:t>
      </w:r>
      <w:r w:rsidRPr="00C02A31">
        <w:rPr>
          <w:lang w:val="nl-NL"/>
        </w:rPr>
        <w:t xml:space="preserve"> kapitaal</w:t>
      </w:r>
      <w:r w:rsidR="00CB6322">
        <w:rPr>
          <w:lang w:val="nl-NL"/>
        </w:rPr>
        <w:t>goederen</w:t>
      </w:r>
      <w:r w:rsidRPr="00C02A31">
        <w:rPr>
          <w:lang w:val="nl-NL"/>
        </w:rPr>
        <w:t xml:space="preserve"> verschil</w:t>
      </w:r>
      <w:r w:rsidR="00CB6322">
        <w:rPr>
          <w:lang w:val="nl-NL"/>
        </w:rPr>
        <w:t>len</w:t>
      </w:r>
      <w:r w:rsidRPr="00C02A31">
        <w:rPr>
          <w:lang w:val="nl-NL"/>
        </w:rPr>
        <w:t xml:space="preserve"> van traditioneel kapitaal </w:t>
      </w:r>
      <w:r w:rsidR="000E6326">
        <w:rPr>
          <w:lang w:val="nl-NL"/>
        </w:rPr>
        <w:t>doordat</w:t>
      </w:r>
      <w:r w:rsidRPr="00C02A31">
        <w:rPr>
          <w:lang w:val="nl-NL"/>
        </w:rPr>
        <w:t xml:space="preserve"> </w:t>
      </w:r>
      <w:r w:rsidR="000E6326">
        <w:rPr>
          <w:lang w:val="nl-NL"/>
        </w:rPr>
        <w:t>er geen schaarste optreedt in het gebruik</w:t>
      </w:r>
      <w:r w:rsidRPr="00C02A31">
        <w:rPr>
          <w:lang w:val="nl-NL"/>
        </w:rPr>
        <w:t xml:space="preserve">: als ik een </w:t>
      </w:r>
      <w:r w:rsidR="000E6326">
        <w:rPr>
          <w:lang w:val="nl-NL"/>
        </w:rPr>
        <w:t>moker</w:t>
      </w:r>
      <w:r w:rsidRPr="00C02A31">
        <w:rPr>
          <w:lang w:val="nl-NL"/>
        </w:rPr>
        <w:t xml:space="preserve"> gebruik om een </w:t>
      </w:r>
      <w:r w:rsidR="000E6326">
        <w:rPr>
          <w:lang w:val="nl-NL"/>
        </w:rPr>
        <w:t>steen stuk te slaan</w:t>
      </w:r>
      <w:r w:rsidRPr="00C02A31">
        <w:rPr>
          <w:lang w:val="nl-NL"/>
        </w:rPr>
        <w:t xml:space="preserve"> kan j</w:t>
      </w:r>
      <w:r w:rsidR="000E6326">
        <w:rPr>
          <w:lang w:val="nl-NL"/>
        </w:rPr>
        <w:t>ij</w:t>
      </w:r>
      <w:r w:rsidRPr="00C02A31">
        <w:rPr>
          <w:lang w:val="nl-NL"/>
        </w:rPr>
        <w:t xml:space="preserve"> </w:t>
      </w:r>
      <w:r w:rsidR="000E6326">
        <w:rPr>
          <w:lang w:val="nl-NL"/>
        </w:rPr>
        <w:t>de moker niet ook gebruiken</w:t>
      </w:r>
      <w:r w:rsidRPr="00C02A31">
        <w:rPr>
          <w:lang w:val="nl-NL"/>
        </w:rPr>
        <w:t xml:space="preserve">, terwijl als ik een algoritme gebruik om probleem </w:t>
      </w:r>
      <w:r w:rsidR="000E6326">
        <w:rPr>
          <w:lang w:val="nl-NL"/>
        </w:rPr>
        <w:t>stuk te slaan</w:t>
      </w:r>
      <w:r w:rsidRPr="00C02A31">
        <w:rPr>
          <w:lang w:val="nl-NL"/>
        </w:rPr>
        <w:t>, j</w:t>
      </w:r>
      <w:r w:rsidR="000E6326">
        <w:rPr>
          <w:lang w:val="nl-NL"/>
        </w:rPr>
        <w:t>ij</w:t>
      </w:r>
      <w:r w:rsidRPr="00C02A31">
        <w:rPr>
          <w:lang w:val="nl-NL"/>
        </w:rPr>
        <w:t xml:space="preserve"> het </w:t>
      </w:r>
      <w:r w:rsidR="000E6326">
        <w:rPr>
          <w:lang w:val="nl-NL"/>
        </w:rPr>
        <w:t>algoritme</w:t>
      </w:r>
      <w:r w:rsidRPr="00C02A31">
        <w:rPr>
          <w:lang w:val="nl-NL"/>
        </w:rPr>
        <w:t xml:space="preserve"> op elk gewenst moment of op elke gewenste locatie </w:t>
      </w:r>
      <w:r w:rsidR="00CB6322">
        <w:rPr>
          <w:lang w:val="nl-NL"/>
        </w:rPr>
        <w:t xml:space="preserve">ook </w:t>
      </w:r>
      <w:r w:rsidRPr="00C02A31">
        <w:rPr>
          <w:lang w:val="nl-NL"/>
        </w:rPr>
        <w:t xml:space="preserve">kunt gebruiken zonder </w:t>
      </w:r>
      <w:r w:rsidR="000E6326">
        <w:rPr>
          <w:lang w:val="nl-NL"/>
        </w:rPr>
        <w:t>toenemende kosten</w:t>
      </w:r>
      <w:r w:rsidRPr="00C02A31">
        <w:rPr>
          <w:lang w:val="nl-NL"/>
        </w:rPr>
        <w:t>.</w:t>
      </w:r>
      <w:r w:rsidR="00CB6322">
        <w:rPr>
          <w:lang w:val="nl-NL"/>
        </w:rPr>
        <w:t xml:space="preserve"> Een goed voorbeeld van een model dat in overeenstemming is met de recente macro- en microtrends en waarmee beleidsanalyse kan worden gedaan is </w:t>
      </w:r>
      <w:r w:rsidRPr="00C02A31">
        <w:rPr>
          <w:lang w:val="nl-NL"/>
        </w:rPr>
        <w:t xml:space="preserve">Akcigit en Ates (2019). Zij wijzen op een </w:t>
      </w:r>
      <w:r w:rsidR="000E6326">
        <w:rPr>
          <w:lang w:val="nl-NL"/>
        </w:rPr>
        <w:t>afname</w:t>
      </w:r>
      <w:r w:rsidRPr="00C02A31">
        <w:rPr>
          <w:lang w:val="nl-NL"/>
        </w:rPr>
        <w:t xml:space="preserve"> </w:t>
      </w:r>
      <w:r w:rsidR="000E6326">
        <w:rPr>
          <w:lang w:val="nl-NL"/>
        </w:rPr>
        <w:t>in de diffusie</w:t>
      </w:r>
      <w:r w:rsidRPr="00C02A31">
        <w:rPr>
          <w:lang w:val="nl-NL"/>
        </w:rPr>
        <w:t xml:space="preserve"> van kennis</w:t>
      </w:r>
      <w:r w:rsidR="0036368C">
        <w:rPr>
          <w:lang w:val="nl-NL"/>
        </w:rPr>
        <w:t xml:space="preserve"> tussen bedrijven</w:t>
      </w:r>
      <w:r w:rsidR="00CB6322">
        <w:rPr>
          <w:lang w:val="nl-NL"/>
        </w:rPr>
        <w:t>, wellicht vanwege toegenomen marktmacht,</w:t>
      </w:r>
      <w:r w:rsidRPr="00C02A31">
        <w:rPr>
          <w:lang w:val="nl-NL"/>
        </w:rPr>
        <w:t xml:space="preserve"> als </w:t>
      </w:r>
      <w:r w:rsidR="000E6326">
        <w:rPr>
          <w:lang w:val="nl-NL"/>
        </w:rPr>
        <w:t>verklarende factor.</w:t>
      </w:r>
    </w:p>
    <w:p w:rsidR="000E6326" w:rsidP="00C02A31" w:rsidRDefault="000E6326" w14:paraId="50B05A34" w14:textId="74A663E8">
      <w:pPr>
        <w:rPr>
          <w:lang w:val="nl-NL"/>
        </w:rPr>
      </w:pPr>
    </w:p>
    <w:p w:rsidRPr="00C02A31" w:rsidR="00804817" w:rsidP="00C02A31" w:rsidRDefault="00804817" w14:paraId="2E53ABD3" w14:textId="616C6457">
      <w:pPr>
        <w:rPr>
          <w:lang w:val="nl-NL"/>
        </w:rPr>
      </w:pPr>
      <w:r>
        <w:rPr>
          <w:lang w:val="nl-NL"/>
        </w:rPr>
        <w:t>BELEIDSRICHTINGEN</w:t>
      </w:r>
    </w:p>
    <w:p w:rsidRPr="00C02A31" w:rsidR="00C02A31" w:rsidP="00C02A31" w:rsidRDefault="00C02A31" w14:paraId="66C94028" w14:textId="7A9AA3A0">
      <w:pPr>
        <w:rPr>
          <w:lang w:val="nl-NL"/>
        </w:rPr>
      </w:pPr>
      <w:r w:rsidRPr="00C02A31">
        <w:rPr>
          <w:lang w:val="nl-NL"/>
        </w:rPr>
        <w:t xml:space="preserve">Trajtenberg </w:t>
      </w:r>
      <w:r w:rsidR="00CB6322">
        <w:rPr>
          <w:lang w:val="nl-NL"/>
        </w:rPr>
        <w:t xml:space="preserve">(2018) </w:t>
      </w:r>
      <w:r w:rsidR="00A1615C">
        <w:rPr>
          <w:lang w:val="nl-NL"/>
        </w:rPr>
        <w:t>wijst op de</w:t>
      </w:r>
      <w:r w:rsidRPr="00C02A31">
        <w:rPr>
          <w:lang w:val="nl-NL"/>
        </w:rPr>
        <w:t xml:space="preserve"> urgentie </w:t>
      </w:r>
      <w:r w:rsidR="00CB6322">
        <w:rPr>
          <w:lang w:val="nl-NL"/>
        </w:rPr>
        <w:t>vo</w:t>
      </w:r>
      <w:r w:rsidR="0036368C">
        <w:rPr>
          <w:lang w:val="nl-NL"/>
        </w:rPr>
        <w:t>o</w:t>
      </w:r>
      <w:r w:rsidR="00CB6322">
        <w:rPr>
          <w:lang w:val="nl-NL"/>
        </w:rPr>
        <w:t>r nieuwe</w:t>
      </w:r>
      <w:r w:rsidRPr="00C02A31">
        <w:rPr>
          <w:lang w:val="nl-NL"/>
        </w:rPr>
        <w:t xml:space="preserve"> beleid</w:t>
      </w:r>
      <w:r w:rsidR="0036368C">
        <w:rPr>
          <w:lang w:val="nl-NL"/>
        </w:rPr>
        <w:t xml:space="preserve"> m</w:t>
      </w:r>
      <w:r w:rsidRPr="00C02A31">
        <w:rPr>
          <w:lang w:val="nl-NL"/>
        </w:rPr>
        <w:t xml:space="preserve">et het oog op AI </w:t>
      </w:r>
      <w:r w:rsidR="0036368C">
        <w:rPr>
          <w:lang w:val="nl-NL"/>
        </w:rPr>
        <w:t>en</w:t>
      </w:r>
      <w:r w:rsidR="00A1615C">
        <w:rPr>
          <w:lang w:val="nl-NL"/>
        </w:rPr>
        <w:t xml:space="preserve"> </w:t>
      </w:r>
      <w:r w:rsidRPr="00C02A31">
        <w:rPr>
          <w:lang w:val="nl-NL"/>
        </w:rPr>
        <w:t>benadrukt de noodzaak van hervormingen in het onderwijs</w:t>
      </w:r>
      <w:r w:rsidR="0036368C">
        <w:rPr>
          <w:lang w:val="nl-NL"/>
        </w:rPr>
        <w:t xml:space="preserve">. Verder is er beleid nodig voor inkomensonzekerheid en </w:t>
      </w:r>
      <w:r w:rsidRPr="00C02A31">
        <w:rPr>
          <w:lang w:val="nl-NL"/>
        </w:rPr>
        <w:t xml:space="preserve">sociale </w:t>
      </w:r>
      <w:r w:rsidR="00A1615C">
        <w:rPr>
          <w:lang w:val="nl-NL"/>
        </w:rPr>
        <w:t>inclusie</w:t>
      </w:r>
      <w:r w:rsidR="003008CC">
        <w:rPr>
          <w:lang w:val="nl-NL"/>
        </w:rPr>
        <w:t xml:space="preserve">. Wat vooral belangrijk is, zijn </w:t>
      </w:r>
      <w:r w:rsidR="0036368C">
        <w:rPr>
          <w:lang w:val="nl-NL"/>
        </w:rPr>
        <w:t>aanpassingen in</w:t>
      </w:r>
      <w:r w:rsidRPr="00C02A31">
        <w:rPr>
          <w:lang w:val="nl-NL"/>
        </w:rPr>
        <w:t xml:space="preserve"> </w:t>
      </w:r>
      <w:r w:rsidRPr="00C02A31">
        <w:rPr>
          <w:lang w:val="nl-NL"/>
        </w:rPr>
        <w:lastRenderedPageBreak/>
        <w:t xml:space="preserve">mededingingsbeleid en randvoorwaarden </w:t>
      </w:r>
      <w:r w:rsidR="003008CC">
        <w:rPr>
          <w:lang w:val="nl-NL"/>
        </w:rPr>
        <w:t xml:space="preserve">die nodig zijn om investeringen in de </w:t>
      </w:r>
      <w:r w:rsidRPr="00C02A31">
        <w:rPr>
          <w:lang w:val="nl-NL"/>
        </w:rPr>
        <w:t xml:space="preserve">digitale toekomst </w:t>
      </w:r>
      <w:r w:rsidR="003008CC">
        <w:rPr>
          <w:lang w:val="nl-NL"/>
        </w:rPr>
        <w:t xml:space="preserve">te stimuleren en </w:t>
      </w:r>
      <w:r w:rsidR="0036368C">
        <w:rPr>
          <w:lang w:val="nl-NL"/>
        </w:rPr>
        <w:t>in goede banen te leiden.</w:t>
      </w:r>
    </w:p>
    <w:p w:rsidR="002D3E48" w:rsidP="00C02A31" w:rsidRDefault="002D3E48" w14:paraId="1C2695A4" w14:textId="360F3DE1">
      <w:pPr>
        <w:rPr>
          <w:lang w:val="nl-NL"/>
        </w:rPr>
      </w:pPr>
    </w:p>
    <w:p w:rsidR="00804817" w:rsidP="00804817" w:rsidRDefault="00804817" w14:paraId="170A05AC" w14:textId="030DCEDB">
      <w:pPr>
        <w:rPr>
          <w:lang w:val="nl-NL"/>
        </w:rPr>
      </w:pPr>
      <w:r>
        <w:rPr>
          <w:lang w:val="nl-NL"/>
        </w:rPr>
        <w:t>OCW/SZW</w:t>
      </w:r>
    </w:p>
    <w:p w:rsidR="00C02A31" w:rsidP="00C02A31" w:rsidRDefault="00C02A31" w14:paraId="7551163D" w14:textId="71969083">
      <w:pPr>
        <w:rPr>
          <w:lang w:val="nl-NL"/>
        </w:rPr>
      </w:pPr>
      <w:r w:rsidRPr="00C02A31">
        <w:rPr>
          <w:lang w:val="nl-NL"/>
        </w:rPr>
        <w:t xml:space="preserve">In perfect concurrerende arbeidsmarkten hangt het </w:t>
      </w:r>
      <w:r w:rsidR="0036368C">
        <w:rPr>
          <w:lang w:val="nl-NL"/>
        </w:rPr>
        <w:t>werkgelegenheids</w:t>
      </w:r>
      <w:r w:rsidRPr="00C02A31">
        <w:rPr>
          <w:lang w:val="nl-NL"/>
        </w:rPr>
        <w:t xml:space="preserve">effect van nieuwe digitale technologieën </w:t>
      </w:r>
      <w:r w:rsidR="0036368C">
        <w:rPr>
          <w:lang w:val="nl-NL"/>
        </w:rPr>
        <w:t>af van de</w:t>
      </w:r>
      <w:r w:rsidRPr="00C02A31">
        <w:rPr>
          <w:lang w:val="nl-NL"/>
        </w:rPr>
        <w:t xml:space="preserve"> </w:t>
      </w:r>
      <w:r w:rsidR="009B36FF">
        <w:rPr>
          <w:lang w:val="nl-NL"/>
        </w:rPr>
        <w:t xml:space="preserve">vrije </w:t>
      </w:r>
      <w:r w:rsidRPr="00C02A31">
        <w:rPr>
          <w:lang w:val="nl-NL"/>
        </w:rPr>
        <w:t>keuze</w:t>
      </w:r>
      <w:r w:rsidR="0036368C">
        <w:rPr>
          <w:lang w:val="nl-NL"/>
        </w:rPr>
        <w:t>s</w:t>
      </w:r>
      <w:r w:rsidRPr="00C02A31">
        <w:rPr>
          <w:lang w:val="nl-NL"/>
        </w:rPr>
        <w:t xml:space="preserve"> van de werknemers</w:t>
      </w:r>
      <w:r w:rsidR="0036368C">
        <w:rPr>
          <w:lang w:val="nl-NL"/>
        </w:rPr>
        <w:t xml:space="preserve"> en is er g</w:t>
      </w:r>
      <w:r w:rsidRPr="00C02A31">
        <w:rPr>
          <w:lang w:val="nl-NL"/>
        </w:rPr>
        <w:t xml:space="preserve">een reden voor beleidsinterventie. In de echte wereld leiden ontwrichtende veranderingen in productieketens tot </w:t>
      </w:r>
      <w:r w:rsidR="0036368C">
        <w:rPr>
          <w:lang w:val="nl-NL"/>
        </w:rPr>
        <w:t xml:space="preserve">langdurig </w:t>
      </w:r>
      <w:r w:rsidR="009B36FF">
        <w:rPr>
          <w:lang w:val="nl-NL"/>
        </w:rPr>
        <w:t>baanverlies</w:t>
      </w:r>
      <w:r w:rsidRPr="00C02A31">
        <w:rPr>
          <w:lang w:val="nl-NL"/>
        </w:rPr>
        <w:t xml:space="preserve">. De onderhandelingspositie van werknemers </w:t>
      </w:r>
      <w:r w:rsidR="009B36FF">
        <w:rPr>
          <w:lang w:val="nl-NL"/>
        </w:rPr>
        <w:t>in arbeidsmarkten met zulke ontwrichting</w:t>
      </w:r>
      <w:r w:rsidRPr="00C02A31">
        <w:rPr>
          <w:lang w:val="nl-NL"/>
        </w:rPr>
        <w:t xml:space="preserve"> zal sterk verzwakken. Bovendien kunnen nieuwe technologieën de inkomens</w:t>
      </w:r>
      <w:r w:rsidR="009B36FF">
        <w:rPr>
          <w:lang w:val="nl-NL"/>
        </w:rPr>
        <w:t>ongelijkheid vergroten</w:t>
      </w:r>
      <w:r w:rsidRPr="00C02A31">
        <w:rPr>
          <w:lang w:val="nl-NL"/>
        </w:rPr>
        <w:t>. Ten slotte wordt de arbeids</w:t>
      </w:r>
      <w:r w:rsidR="009B36FF">
        <w:rPr>
          <w:lang w:val="nl-NL"/>
        </w:rPr>
        <w:t>markt</w:t>
      </w:r>
      <w:r w:rsidRPr="00C02A31">
        <w:rPr>
          <w:lang w:val="nl-NL"/>
        </w:rPr>
        <w:t xml:space="preserve">status van werknemers steeds </w:t>
      </w:r>
      <w:r w:rsidR="009B36FF">
        <w:rPr>
          <w:lang w:val="nl-NL"/>
        </w:rPr>
        <w:t xml:space="preserve">meer </w:t>
      </w:r>
      <w:r w:rsidRPr="00C02A31">
        <w:rPr>
          <w:lang w:val="nl-NL"/>
        </w:rPr>
        <w:t xml:space="preserve">diverse, mede </w:t>
      </w:r>
      <w:r w:rsidR="009B36FF">
        <w:rPr>
          <w:lang w:val="nl-NL"/>
        </w:rPr>
        <w:t xml:space="preserve">doordat </w:t>
      </w:r>
      <w:r w:rsidRPr="00C02A31">
        <w:rPr>
          <w:lang w:val="nl-NL"/>
        </w:rPr>
        <w:t xml:space="preserve">technologische veranderingen </w:t>
      </w:r>
      <w:r w:rsidR="009B36FF">
        <w:rPr>
          <w:lang w:val="nl-NL"/>
        </w:rPr>
        <w:t xml:space="preserve">teweegbrengt in </w:t>
      </w:r>
      <w:r w:rsidRPr="00C02A31">
        <w:rPr>
          <w:lang w:val="nl-NL"/>
        </w:rPr>
        <w:t xml:space="preserve">de kosten en baten tussen werken in loondienst en werken als zelfstandige. </w:t>
      </w:r>
      <w:r w:rsidR="009B36FF">
        <w:rPr>
          <w:lang w:val="nl-NL"/>
        </w:rPr>
        <w:t>Hier</w:t>
      </w:r>
      <w:r w:rsidRPr="00C02A31">
        <w:rPr>
          <w:lang w:val="nl-NL"/>
        </w:rPr>
        <w:t xml:space="preserve">om </w:t>
      </w:r>
      <w:r w:rsidR="009B36FF">
        <w:rPr>
          <w:lang w:val="nl-NL"/>
        </w:rPr>
        <w:t>zou</w:t>
      </w:r>
      <w:r w:rsidRPr="00C02A31">
        <w:rPr>
          <w:lang w:val="nl-NL"/>
        </w:rPr>
        <w:t xml:space="preserve"> het </w:t>
      </w:r>
      <w:r w:rsidR="009B36FF">
        <w:rPr>
          <w:lang w:val="nl-NL"/>
        </w:rPr>
        <w:t>arbeidsmarkt</w:t>
      </w:r>
      <w:r w:rsidRPr="00C02A31">
        <w:rPr>
          <w:lang w:val="nl-NL"/>
        </w:rPr>
        <w:t xml:space="preserve">beleid erop gericht </w:t>
      </w:r>
      <w:r w:rsidR="009B36FF">
        <w:rPr>
          <w:lang w:val="nl-NL"/>
        </w:rPr>
        <w:t xml:space="preserve">moeten </w:t>
      </w:r>
      <w:r w:rsidRPr="00C02A31">
        <w:rPr>
          <w:lang w:val="nl-NL"/>
        </w:rPr>
        <w:t>zijn alle werk</w:t>
      </w:r>
      <w:r w:rsidR="009B36FF">
        <w:rPr>
          <w:lang w:val="nl-NL"/>
        </w:rPr>
        <w:t>enden</w:t>
      </w:r>
      <w:r w:rsidRPr="00C02A31">
        <w:rPr>
          <w:lang w:val="nl-NL"/>
        </w:rPr>
        <w:t xml:space="preserve"> </w:t>
      </w:r>
      <w:r w:rsidR="009B36FF">
        <w:rPr>
          <w:lang w:val="nl-NL"/>
        </w:rPr>
        <w:t>voldoende</w:t>
      </w:r>
      <w:r w:rsidRPr="00C02A31">
        <w:rPr>
          <w:lang w:val="nl-NL"/>
        </w:rPr>
        <w:t xml:space="preserve"> bescherming en </w:t>
      </w:r>
      <w:r w:rsidR="009B36FF">
        <w:rPr>
          <w:lang w:val="nl-NL"/>
        </w:rPr>
        <w:t>verzekering</w:t>
      </w:r>
      <w:r w:rsidRPr="00C02A31">
        <w:rPr>
          <w:lang w:val="nl-NL"/>
        </w:rPr>
        <w:t xml:space="preserve"> te bieden, ongeacht hun arbeids</w:t>
      </w:r>
      <w:r w:rsidR="009B36FF">
        <w:rPr>
          <w:lang w:val="nl-NL"/>
        </w:rPr>
        <w:t>markt</w:t>
      </w:r>
      <w:r w:rsidRPr="00C02A31">
        <w:rPr>
          <w:lang w:val="nl-NL"/>
        </w:rPr>
        <w:t>status.</w:t>
      </w:r>
    </w:p>
    <w:p w:rsidRPr="00C02A31" w:rsidR="009B36FF" w:rsidP="00C02A31" w:rsidRDefault="009B36FF" w14:paraId="6B8A4959" w14:textId="77777777">
      <w:pPr>
        <w:rPr>
          <w:lang w:val="nl-NL"/>
        </w:rPr>
      </w:pPr>
    </w:p>
    <w:p w:rsidRPr="00C02A31" w:rsidR="00C02A31" w:rsidP="00C02A31" w:rsidRDefault="0036368C" w14:paraId="742A4A3D" w14:textId="0084AF69">
      <w:pPr>
        <w:rPr>
          <w:lang w:val="nl-NL"/>
        </w:rPr>
      </w:pPr>
      <w:r>
        <w:rPr>
          <w:lang w:val="nl-NL"/>
        </w:rPr>
        <w:t xml:space="preserve">Een </w:t>
      </w:r>
      <w:r w:rsidR="00054D37">
        <w:rPr>
          <w:lang w:val="nl-NL"/>
        </w:rPr>
        <w:t>zeer duur</w:t>
      </w:r>
      <w:r w:rsidRPr="00C02A31" w:rsidR="00054D37">
        <w:rPr>
          <w:lang w:val="nl-NL"/>
        </w:rPr>
        <w:t xml:space="preserve"> middel </w:t>
      </w:r>
      <w:r w:rsidR="00054D37">
        <w:rPr>
          <w:lang w:val="nl-NL"/>
        </w:rPr>
        <w:t>voor</w:t>
      </w:r>
      <w:r w:rsidRPr="00C02A31" w:rsidR="00054D37">
        <w:rPr>
          <w:lang w:val="nl-NL"/>
        </w:rPr>
        <w:t xml:space="preserve"> onvoorwaardelijke </w:t>
      </w:r>
      <w:r w:rsidR="00054D37">
        <w:rPr>
          <w:lang w:val="nl-NL"/>
        </w:rPr>
        <w:t>bescherming</w:t>
      </w:r>
      <w:r w:rsidRPr="00C02A31" w:rsidR="00054D37">
        <w:rPr>
          <w:lang w:val="nl-NL"/>
        </w:rPr>
        <w:t xml:space="preserve"> </w:t>
      </w:r>
      <w:r w:rsidR="00054D37">
        <w:rPr>
          <w:lang w:val="nl-NL"/>
        </w:rPr>
        <w:t xml:space="preserve">is </w:t>
      </w:r>
      <w:r>
        <w:rPr>
          <w:lang w:val="nl-NL"/>
        </w:rPr>
        <w:t xml:space="preserve">het </w:t>
      </w:r>
      <w:r w:rsidRPr="00C02A31" w:rsidR="00C02A31">
        <w:rPr>
          <w:lang w:val="nl-NL"/>
        </w:rPr>
        <w:t>basisinkomen</w:t>
      </w:r>
      <w:r w:rsidR="00054D37">
        <w:rPr>
          <w:lang w:val="nl-NL"/>
        </w:rPr>
        <w:t xml:space="preserve"> (</w:t>
      </w:r>
      <w:r w:rsidRPr="00C02A31" w:rsidR="00C02A31">
        <w:rPr>
          <w:lang w:val="nl-NL"/>
        </w:rPr>
        <w:t xml:space="preserve">zie bijv. Saez en Pikkety </w:t>
      </w:r>
      <w:r w:rsidR="00774DBD">
        <w:rPr>
          <w:lang w:val="nl-NL"/>
        </w:rPr>
        <w:t>2013</w:t>
      </w:r>
      <w:r w:rsidRPr="00C02A31" w:rsidR="00C02A31">
        <w:rPr>
          <w:lang w:val="nl-NL"/>
        </w:rPr>
        <w:t>)</w:t>
      </w:r>
      <w:r>
        <w:rPr>
          <w:lang w:val="nl-NL"/>
        </w:rPr>
        <w:t xml:space="preserve">. </w:t>
      </w:r>
      <w:r w:rsidR="00054D37">
        <w:rPr>
          <w:lang w:val="nl-NL"/>
        </w:rPr>
        <w:t>Efficiëntere</w:t>
      </w:r>
      <w:r>
        <w:rPr>
          <w:lang w:val="nl-NL"/>
        </w:rPr>
        <w:t xml:space="preserve"> vormen van sociale zekerheid </w:t>
      </w:r>
      <w:r w:rsidR="00054D37">
        <w:rPr>
          <w:lang w:val="nl-NL"/>
        </w:rPr>
        <w:t>zijn doorgaans a</w:t>
      </w:r>
      <w:r w:rsidRPr="00C02A31" w:rsidR="00C02A31">
        <w:rPr>
          <w:lang w:val="nl-NL"/>
        </w:rPr>
        <w:t>fhankelijk van de (recente) arbeids</w:t>
      </w:r>
      <w:r w:rsidR="00774DBD">
        <w:rPr>
          <w:lang w:val="nl-NL"/>
        </w:rPr>
        <w:t>markt</w:t>
      </w:r>
      <w:r w:rsidRPr="00C02A31" w:rsidR="00C02A31">
        <w:rPr>
          <w:lang w:val="nl-NL"/>
        </w:rPr>
        <w:t>status</w:t>
      </w:r>
      <w:r w:rsidR="00054D37">
        <w:rPr>
          <w:lang w:val="nl-NL"/>
        </w:rPr>
        <w:t xml:space="preserve"> en vergen aandacht voor een</w:t>
      </w:r>
      <w:r w:rsidRPr="00C02A31" w:rsidR="00C02A31">
        <w:rPr>
          <w:lang w:val="nl-NL"/>
        </w:rPr>
        <w:t xml:space="preserve"> goede classificatie </w:t>
      </w:r>
      <w:r w:rsidR="00C65A0E">
        <w:rPr>
          <w:lang w:val="nl-NL"/>
        </w:rPr>
        <w:t xml:space="preserve">van arbeidsmarktstatus </w:t>
      </w:r>
      <w:r w:rsidRPr="00C02A31" w:rsidR="00C02A31">
        <w:rPr>
          <w:lang w:val="nl-NL"/>
        </w:rPr>
        <w:t xml:space="preserve">en controle </w:t>
      </w:r>
      <w:r w:rsidR="00C65A0E">
        <w:rPr>
          <w:lang w:val="nl-NL"/>
        </w:rPr>
        <w:t>op</w:t>
      </w:r>
      <w:r w:rsidRPr="00C02A31" w:rsidR="00C02A31">
        <w:rPr>
          <w:lang w:val="nl-NL"/>
        </w:rPr>
        <w:t xml:space="preserve"> </w:t>
      </w:r>
      <w:r w:rsidR="00054D37">
        <w:rPr>
          <w:lang w:val="nl-NL"/>
        </w:rPr>
        <w:t>schijnzelfstandigheid</w:t>
      </w:r>
      <w:r w:rsidR="00C65A0E">
        <w:rPr>
          <w:lang w:val="nl-NL"/>
        </w:rPr>
        <w:t>.</w:t>
      </w:r>
      <w:r w:rsidR="00054D37">
        <w:rPr>
          <w:lang w:val="nl-NL"/>
        </w:rPr>
        <w:t xml:space="preserve"> </w:t>
      </w:r>
      <w:r w:rsidR="007925CF">
        <w:rPr>
          <w:lang w:val="nl-NL"/>
        </w:rPr>
        <w:t>Risicospreiding</w:t>
      </w:r>
      <w:r w:rsidRPr="00C02A31" w:rsidR="007925CF">
        <w:rPr>
          <w:lang w:val="nl-NL"/>
        </w:rPr>
        <w:t xml:space="preserve"> </w:t>
      </w:r>
      <w:r w:rsidR="00054D37">
        <w:rPr>
          <w:lang w:val="nl-NL"/>
        </w:rPr>
        <w:t xml:space="preserve">op basis van </w:t>
      </w:r>
      <w:r w:rsidRPr="00C02A31" w:rsidR="00C02A31">
        <w:rPr>
          <w:lang w:val="nl-NL"/>
        </w:rPr>
        <w:t xml:space="preserve">andere kenmerken </w:t>
      </w:r>
      <w:r w:rsidR="00054D37">
        <w:rPr>
          <w:lang w:val="nl-NL"/>
        </w:rPr>
        <w:t xml:space="preserve">dan arbeidsmarktstatus </w:t>
      </w:r>
      <w:r w:rsidR="007925CF">
        <w:rPr>
          <w:lang w:val="nl-NL"/>
        </w:rPr>
        <w:t>zou een win-win opleveren</w:t>
      </w:r>
      <w:r w:rsidRPr="00C02A31" w:rsidR="00C02A31">
        <w:rPr>
          <w:lang w:val="nl-NL"/>
        </w:rPr>
        <w:t xml:space="preserve">. Zo zou </w:t>
      </w:r>
      <w:r w:rsidR="008D7BE9">
        <w:rPr>
          <w:lang w:val="nl-NL"/>
        </w:rPr>
        <w:t>een</w:t>
      </w:r>
      <w:r w:rsidR="00C65A0E">
        <w:rPr>
          <w:lang w:val="nl-NL"/>
        </w:rPr>
        <w:t xml:space="preserve"> werkloosheidsverzekering </w:t>
      </w:r>
      <w:r w:rsidRPr="00C02A31" w:rsidR="00C02A31">
        <w:rPr>
          <w:lang w:val="nl-NL"/>
        </w:rPr>
        <w:t xml:space="preserve">kunnen </w:t>
      </w:r>
      <w:r w:rsidR="00C65A0E">
        <w:rPr>
          <w:lang w:val="nl-NL"/>
        </w:rPr>
        <w:t>afhangen van plaats</w:t>
      </w:r>
      <w:r w:rsidR="007925CF">
        <w:rPr>
          <w:lang w:val="nl-NL"/>
        </w:rPr>
        <w:t>- in plaats van baangebonden kunnen zijn.</w:t>
      </w:r>
      <w:r w:rsidR="00C65A0E">
        <w:rPr>
          <w:lang w:val="nl-NL"/>
        </w:rPr>
        <w:t xml:space="preserve"> </w:t>
      </w:r>
      <w:r w:rsidRPr="00C02A31" w:rsidR="00C02A31">
        <w:rPr>
          <w:lang w:val="nl-NL"/>
        </w:rPr>
        <w:t>Evenzo zouden ziekteverzuimverzekeringen of onderwijs- of opleidings</w:t>
      </w:r>
      <w:r w:rsidR="008D7BE9">
        <w:rPr>
          <w:lang w:val="nl-NL"/>
        </w:rPr>
        <w:t>budgetten</w:t>
      </w:r>
      <w:r w:rsidRPr="00C02A31" w:rsidR="00C02A31">
        <w:rPr>
          <w:lang w:val="nl-NL"/>
        </w:rPr>
        <w:t xml:space="preserve"> kunnen worden geformuleerd op basis van beroep en niet op basis van </w:t>
      </w:r>
      <w:r w:rsidR="008D7BE9">
        <w:rPr>
          <w:lang w:val="nl-NL"/>
        </w:rPr>
        <w:t>arbeidscontract</w:t>
      </w:r>
      <w:r w:rsidR="007925CF">
        <w:rPr>
          <w:lang w:val="nl-NL"/>
        </w:rPr>
        <w:t xml:space="preserve">. </w:t>
      </w:r>
      <w:r w:rsidRPr="00C02A31" w:rsidR="00C02A31">
        <w:rPr>
          <w:lang w:val="nl-NL"/>
        </w:rPr>
        <w:t>De opleiding van werk</w:t>
      </w:r>
      <w:r w:rsidR="00C65A0E">
        <w:rPr>
          <w:lang w:val="nl-NL"/>
        </w:rPr>
        <w:t>enden</w:t>
      </w:r>
      <w:r w:rsidRPr="00C02A31" w:rsidR="00C02A31">
        <w:rPr>
          <w:lang w:val="nl-NL"/>
        </w:rPr>
        <w:t xml:space="preserve">, een cruciaal onderdeel van de 'race tussen technologie en onderwijs' (Tinbergen, 1975; Heckman 2019), </w:t>
      </w:r>
      <w:r w:rsidR="008D7BE9">
        <w:rPr>
          <w:lang w:val="nl-NL"/>
        </w:rPr>
        <w:t xml:space="preserve">zou in dit geval </w:t>
      </w:r>
      <w:r w:rsidRPr="00C02A31" w:rsidR="00C02A31">
        <w:rPr>
          <w:lang w:val="nl-NL"/>
        </w:rPr>
        <w:t xml:space="preserve">niet langer afhankelijk zijn van </w:t>
      </w:r>
      <w:r w:rsidR="00C65A0E">
        <w:rPr>
          <w:lang w:val="nl-NL"/>
        </w:rPr>
        <w:t xml:space="preserve">een werkgever </w:t>
      </w:r>
      <w:r w:rsidRPr="00C02A31" w:rsidR="00C02A31">
        <w:rPr>
          <w:lang w:val="nl-NL"/>
        </w:rPr>
        <w:t xml:space="preserve">die </w:t>
      </w:r>
      <w:r w:rsidR="00C65A0E">
        <w:rPr>
          <w:lang w:val="nl-NL"/>
        </w:rPr>
        <w:t xml:space="preserve">vooral </w:t>
      </w:r>
      <w:r w:rsidR="008D7BE9">
        <w:rPr>
          <w:lang w:val="nl-NL"/>
        </w:rPr>
        <w:t>bezig is met het</w:t>
      </w:r>
      <w:r w:rsidR="00C65A0E">
        <w:rPr>
          <w:lang w:val="nl-NL"/>
        </w:rPr>
        <w:t xml:space="preserve"> vervang</w:t>
      </w:r>
      <w:r w:rsidR="008D7BE9">
        <w:rPr>
          <w:lang w:val="nl-NL"/>
        </w:rPr>
        <w:t>en</w:t>
      </w:r>
      <w:r w:rsidR="00C65A0E">
        <w:rPr>
          <w:lang w:val="nl-NL"/>
        </w:rPr>
        <w:t xml:space="preserve"> van werknemers door machines</w:t>
      </w:r>
      <w:r w:rsidRPr="00C02A31" w:rsidR="00C02A31">
        <w:rPr>
          <w:lang w:val="nl-NL"/>
        </w:rPr>
        <w:t>.</w:t>
      </w:r>
    </w:p>
    <w:p w:rsidR="008D7BE9" w:rsidP="00C02A31" w:rsidRDefault="008D7BE9" w14:paraId="5B41814C" w14:textId="77777777">
      <w:pPr>
        <w:rPr>
          <w:lang w:val="nl-NL"/>
        </w:rPr>
      </w:pPr>
    </w:p>
    <w:p w:rsidR="00B669E6" w:rsidP="00C02A31" w:rsidRDefault="00C02A31" w14:paraId="6E930E6B" w14:textId="38BDE720">
      <w:pPr>
        <w:rPr>
          <w:lang w:val="nl-NL"/>
        </w:rPr>
      </w:pPr>
      <w:r w:rsidRPr="00C02A31">
        <w:rPr>
          <w:lang w:val="nl-NL"/>
        </w:rPr>
        <w:t xml:space="preserve">Wat het onderwijs betreft, zijn de belangrijkste beleidsvragen voor wie, welk type en hoe te organiseren? </w:t>
      </w:r>
      <w:r w:rsidR="007925CF">
        <w:rPr>
          <w:lang w:val="nl-NL"/>
        </w:rPr>
        <w:t xml:space="preserve">Omdat de afschrijving op onderwijs versneld wordt door nieuwe </w:t>
      </w:r>
      <w:r w:rsidRPr="00C02A31">
        <w:rPr>
          <w:lang w:val="nl-NL"/>
        </w:rPr>
        <w:t xml:space="preserve">technologieën </w:t>
      </w:r>
      <w:r w:rsidR="007925CF">
        <w:rPr>
          <w:lang w:val="nl-NL"/>
        </w:rPr>
        <w:t xml:space="preserve">is er meer behoeft aan </w:t>
      </w:r>
      <w:r w:rsidRPr="00C02A31">
        <w:rPr>
          <w:lang w:val="nl-NL"/>
        </w:rPr>
        <w:t>onderwijs</w:t>
      </w:r>
      <w:r w:rsidR="007925CF">
        <w:rPr>
          <w:lang w:val="nl-NL"/>
        </w:rPr>
        <w:t xml:space="preserve"> </w:t>
      </w:r>
      <w:r w:rsidRPr="00C02A31">
        <w:rPr>
          <w:lang w:val="nl-NL"/>
        </w:rPr>
        <w:t>voor oudere werk</w:t>
      </w:r>
      <w:r w:rsidR="00C812C3">
        <w:rPr>
          <w:lang w:val="nl-NL"/>
        </w:rPr>
        <w:t>enden</w:t>
      </w:r>
      <w:r w:rsidRPr="00C02A31">
        <w:rPr>
          <w:lang w:val="nl-NL"/>
        </w:rPr>
        <w:t xml:space="preserve">. </w:t>
      </w:r>
      <w:r w:rsidR="007925CF">
        <w:rPr>
          <w:lang w:val="nl-NL"/>
        </w:rPr>
        <w:t xml:space="preserve">De aandacht naar </w:t>
      </w:r>
      <w:r w:rsidRPr="00C02A31" w:rsidR="007925CF">
        <w:rPr>
          <w:lang w:val="nl-NL"/>
        </w:rPr>
        <w:t xml:space="preserve">bèta/technisch onderwijs </w:t>
      </w:r>
      <w:r w:rsidR="007925CF">
        <w:rPr>
          <w:lang w:val="nl-NL"/>
        </w:rPr>
        <w:t>lijkt doorgeschoten in een wereld waar d</w:t>
      </w:r>
      <w:r w:rsidRPr="00C02A31" w:rsidR="007925CF">
        <w:rPr>
          <w:lang w:val="nl-NL"/>
        </w:rPr>
        <w:t xml:space="preserve">e meest geavanceerde bedrijven </w:t>
      </w:r>
      <w:r w:rsidR="007925CF">
        <w:rPr>
          <w:lang w:val="nl-NL"/>
        </w:rPr>
        <w:t>vooral</w:t>
      </w:r>
      <w:r w:rsidRPr="00C02A31" w:rsidR="007925CF">
        <w:rPr>
          <w:lang w:val="nl-NL"/>
        </w:rPr>
        <w:t xml:space="preserve"> multidisciplinaire teams </w:t>
      </w:r>
      <w:r w:rsidR="007925CF">
        <w:rPr>
          <w:lang w:val="nl-NL"/>
        </w:rPr>
        <w:t xml:space="preserve">vragen met een steeds grotere rol voor alfa en gamma opgeleiden. </w:t>
      </w:r>
      <w:r w:rsidRPr="00C02A31" w:rsidR="007925CF">
        <w:rPr>
          <w:lang w:val="nl-NL"/>
        </w:rPr>
        <w:t xml:space="preserve"> </w:t>
      </w:r>
      <w:r w:rsidR="00C812C3">
        <w:rPr>
          <w:lang w:val="nl-NL"/>
        </w:rPr>
        <w:t>N</w:t>
      </w:r>
      <w:r w:rsidRPr="00C02A31">
        <w:rPr>
          <w:lang w:val="nl-NL"/>
        </w:rPr>
        <w:t>aarmate de technologie vordert</w:t>
      </w:r>
      <w:r w:rsidR="007925CF">
        <w:rPr>
          <w:lang w:val="nl-NL"/>
        </w:rPr>
        <w:t>,</w:t>
      </w:r>
      <w:r w:rsidRPr="00C02A31">
        <w:rPr>
          <w:lang w:val="nl-NL"/>
        </w:rPr>
        <w:t xml:space="preserve"> </w:t>
      </w:r>
      <w:r w:rsidR="007925CF">
        <w:rPr>
          <w:lang w:val="nl-NL"/>
        </w:rPr>
        <w:t>worden</w:t>
      </w:r>
      <w:r w:rsidRPr="00C02A31">
        <w:rPr>
          <w:lang w:val="nl-NL"/>
        </w:rPr>
        <w:t xml:space="preserve"> de programmeurs vervangen</w:t>
      </w:r>
      <w:r w:rsidR="00C812C3">
        <w:rPr>
          <w:lang w:val="nl-NL"/>
        </w:rPr>
        <w:t xml:space="preserve"> door code-bots, </w:t>
      </w:r>
      <w:r w:rsidR="007925CF">
        <w:rPr>
          <w:lang w:val="nl-NL"/>
        </w:rPr>
        <w:t xml:space="preserve">en </w:t>
      </w:r>
      <w:r w:rsidR="00C812C3">
        <w:rPr>
          <w:lang w:val="nl-NL"/>
        </w:rPr>
        <w:t>wordt d</w:t>
      </w:r>
      <w:r w:rsidRPr="00C02A31">
        <w:rPr>
          <w:lang w:val="nl-NL"/>
        </w:rPr>
        <w:t>e belangrijkste vaardigheid de vaardigheid om vaardigheden te verwerven. Ten slotte moet</w:t>
      </w:r>
      <w:r w:rsidR="00B669E6">
        <w:rPr>
          <w:lang w:val="nl-NL"/>
        </w:rPr>
        <w:t xml:space="preserve"> het </w:t>
      </w:r>
      <w:r w:rsidRPr="00C02A31">
        <w:rPr>
          <w:lang w:val="nl-NL"/>
        </w:rPr>
        <w:t>onderwijs</w:t>
      </w:r>
      <w:r w:rsidR="00B669E6">
        <w:rPr>
          <w:lang w:val="nl-NL"/>
        </w:rPr>
        <w:t xml:space="preserve">systeem aangepast </w:t>
      </w:r>
      <w:r w:rsidR="007925CF">
        <w:rPr>
          <w:lang w:val="nl-NL"/>
        </w:rPr>
        <w:t xml:space="preserve">zodat het een groter aandeel van ons inkomen inneemt. </w:t>
      </w:r>
      <w:r w:rsidRPr="00C02A31">
        <w:rPr>
          <w:lang w:val="nl-NL"/>
        </w:rPr>
        <w:t xml:space="preserve">Dit vereist een beter evenwicht tussen publieke en private </w:t>
      </w:r>
      <w:r w:rsidR="00B669E6">
        <w:rPr>
          <w:lang w:val="nl-NL"/>
        </w:rPr>
        <w:t>bekostiging</w:t>
      </w:r>
      <w:r w:rsidRPr="00C02A31">
        <w:rPr>
          <w:lang w:val="nl-NL"/>
        </w:rPr>
        <w:t xml:space="preserve"> en </w:t>
      </w:r>
      <w:r w:rsidR="00B669E6">
        <w:rPr>
          <w:lang w:val="nl-NL"/>
        </w:rPr>
        <w:t xml:space="preserve">tussen vraag en </w:t>
      </w:r>
      <w:r w:rsidRPr="00C02A31">
        <w:rPr>
          <w:lang w:val="nl-NL"/>
        </w:rPr>
        <w:t xml:space="preserve">aanbod. </w:t>
      </w:r>
      <w:r w:rsidR="00B669E6">
        <w:rPr>
          <w:lang w:val="nl-NL"/>
        </w:rPr>
        <w:t xml:space="preserve">Met </w:t>
      </w:r>
      <w:r w:rsidR="00DD64CA">
        <w:rPr>
          <w:lang w:val="nl-NL"/>
        </w:rPr>
        <w:t>in</w:t>
      </w:r>
      <w:r w:rsidR="00B669E6">
        <w:rPr>
          <w:lang w:val="nl-NL"/>
        </w:rPr>
        <w:t xml:space="preserve">zicht </w:t>
      </w:r>
      <w:r w:rsidR="00DE2892">
        <w:rPr>
          <w:lang w:val="nl-NL"/>
        </w:rPr>
        <w:t>in</w:t>
      </w:r>
      <w:r w:rsidRPr="00C02A31">
        <w:rPr>
          <w:lang w:val="nl-NL"/>
        </w:rPr>
        <w:t xml:space="preserve"> het rendement het onderwijs en de cumulatieve effecten van de verwerving van vaardigheden in een vroeg stadium (Heckman 2009) </w:t>
      </w:r>
      <w:r w:rsidR="00B669E6">
        <w:rPr>
          <w:lang w:val="nl-NL"/>
        </w:rPr>
        <w:t xml:space="preserve">zou een heroverweging van ons aanbodgestuurd systeem </w:t>
      </w:r>
      <w:r w:rsidR="007925CF">
        <w:rPr>
          <w:lang w:val="nl-NL"/>
        </w:rPr>
        <w:t>evident</w:t>
      </w:r>
      <w:r w:rsidR="00B669E6">
        <w:rPr>
          <w:lang w:val="nl-NL"/>
        </w:rPr>
        <w:t xml:space="preserve"> moeten zijn.  </w:t>
      </w:r>
    </w:p>
    <w:p w:rsidRPr="00C02A31" w:rsidR="00C02A31" w:rsidP="00C02A31" w:rsidRDefault="00C02A31" w14:paraId="603FA4ED" w14:textId="7FDB0F90">
      <w:pPr>
        <w:rPr>
          <w:lang w:val="nl-NL"/>
        </w:rPr>
      </w:pPr>
    </w:p>
    <w:p w:rsidR="00804817" w:rsidP="00C02A31" w:rsidRDefault="00804817" w14:paraId="038D4D9B" w14:textId="03826F9D">
      <w:pPr>
        <w:rPr>
          <w:lang w:val="nl-NL"/>
        </w:rPr>
      </w:pPr>
      <w:r>
        <w:rPr>
          <w:lang w:val="nl-NL"/>
        </w:rPr>
        <w:t>EZK en Mededinging</w:t>
      </w:r>
    </w:p>
    <w:p w:rsidRPr="00C02A31" w:rsidR="00C02A31" w:rsidP="00C02A31" w:rsidRDefault="00B669E6" w14:paraId="253B7D84" w14:textId="4A4A9B08">
      <w:pPr>
        <w:rPr>
          <w:lang w:val="nl-NL"/>
        </w:rPr>
      </w:pPr>
      <w:r>
        <w:rPr>
          <w:lang w:val="nl-NL"/>
        </w:rPr>
        <w:t>Het</w:t>
      </w:r>
      <w:r w:rsidRPr="00C02A31" w:rsidR="00C02A31">
        <w:rPr>
          <w:lang w:val="nl-NL"/>
        </w:rPr>
        <w:t xml:space="preserve"> </w:t>
      </w:r>
      <w:r>
        <w:rPr>
          <w:lang w:val="nl-NL"/>
        </w:rPr>
        <w:t xml:space="preserve">beleid </w:t>
      </w:r>
      <w:r w:rsidR="007925CF">
        <w:rPr>
          <w:lang w:val="nl-NL"/>
        </w:rPr>
        <w:t xml:space="preserve">ter stimulering van innovatie </w:t>
      </w:r>
      <w:r>
        <w:rPr>
          <w:lang w:val="nl-NL"/>
        </w:rPr>
        <w:t xml:space="preserve">moet </w:t>
      </w:r>
      <w:r w:rsidR="00804817">
        <w:rPr>
          <w:lang w:val="nl-NL"/>
        </w:rPr>
        <w:t>vooral</w:t>
      </w:r>
      <w:r>
        <w:rPr>
          <w:lang w:val="nl-NL"/>
        </w:rPr>
        <w:t xml:space="preserve"> gericht zijn op het voorkomen van toenemende marktconcentratie, </w:t>
      </w:r>
      <w:r w:rsidR="008D2E0E">
        <w:rPr>
          <w:lang w:val="nl-NL"/>
        </w:rPr>
        <w:t xml:space="preserve">misbruik van markt macht, </w:t>
      </w:r>
      <w:r>
        <w:rPr>
          <w:lang w:val="nl-NL"/>
        </w:rPr>
        <w:t>en belastingontwijking</w:t>
      </w:r>
      <w:r w:rsidRPr="00C02A31" w:rsidR="00C02A31">
        <w:rPr>
          <w:lang w:val="nl-NL"/>
        </w:rPr>
        <w:t xml:space="preserve">. </w:t>
      </w:r>
      <w:r>
        <w:rPr>
          <w:lang w:val="nl-NL"/>
        </w:rPr>
        <w:t xml:space="preserve"> </w:t>
      </w:r>
      <w:r w:rsidRPr="00C02A31" w:rsidR="00C02A31">
        <w:rPr>
          <w:lang w:val="nl-NL"/>
        </w:rPr>
        <w:t>Op basis van het eerder besproken economische kader</w:t>
      </w:r>
      <w:r w:rsidR="007925CF">
        <w:rPr>
          <w:lang w:val="nl-NL"/>
        </w:rPr>
        <w:t>,</w:t>
      </w:r>
      <w:r w:rsidRPr="00C02A31" w:rsidR="00C02A31">
        <w:rPr>
          <w:lang w:val="nl-NL"/>
        </w:rPr>
        <w:t xml:space="preserve"> zullen </w:t>
      </w:r>
      <w:r w:rsidR="007925CF">
        <w:rPr>
          <w:lang w:val="nl-NL"/>
        </w:rPr>
        <w:t>bedrijfs</w:t>
      </w:r>
      <w:r w:rsidRPr="00C02A31" w:rsidR="00C02A31">
        <w:rPr>
          <w:lang w:val="nl-NL"/>
        </w:rPr>
        <w:t xml:space="preserve">investeringen in innovatieve activiteiten </w:t>
      </w:r>
      <w:r w:rsidR="003008CC">
        <w:rPr>
          <w:lang w:val="nl-NL"/>
        </w:rPr>
        <w:t xml:space="preserve">vooral </w:t>
      </w:r>
      <w:r>
        <w:rPr>
          <w:lang w:val="nl-NL"/>
        </w:rPr>
        <w:t>afhangen</w:t>
      </w:r>
      <w:r w:rsidRPr="00C02A31" w:rsidR="00C02A31">
        <w:rPr>
          <w:lang w:val="nl-NL"/>
        </w:rPr>
        <w:t xml:space="preserve"> </w:t>
      </w:r>
      <w:r w:rsidR="007925CF">
        <w:rPr>
          <w:lang w:val="nl-NL"/>
        </w:rPr>
        <w:t>van de</w:t>
      </w:r>
      <w:r w:rsidRPr="00C02A31" w:rsidR="00C02A31">
        <w:rPr>
          <w:lang w:val="nl-NL"/>
        </w:rPr>
        <w:t xml:space="preserve"> verwachting dat succesvolle innovatie zal leiden tot een toename van het marktaandeel</w:t>
      </w:r>
      <w:r>
        <w:rPr>
          <w:lang w:val="nl-NL"/>
        </w:rPr>
        <w:t xml:space="preserve"> en van de winst</w:t>
      </w:r>
      <w:r w:rsidRPr="00C02A31" w:rsidR="00C02A31">
        <w:rPr>
          <w:lang w:val="nl-NL"/>
        </w:rPr>
        <w:t xml:space="preserve">. </w:t>
      </w:r>
      <w:r w:rsidR="003008CC">
        <w:rPr>
          <w:lang w:val="nl-NL"/>
        </w:rPr>
        <w:t xml:space="preserve">Ook kunnen </w:t>
      </w:r>
      <w:r w:rsidR="003008CC">
        <w:rPr>
          <w:lang w:val="nl-NL"/>
        </w:rPr>
        <w:lastRenderedPageBreak/>
        <w:t xml:space="preserve">complementaire publieke investeringen helpen om </w:t>
      </w:r>
      <w:r w:rsidR="003F1A6E">
        <w:rPr>
          <w:lang w:val="nl-NL"/>
        </w:rPr>
        <w:t xml:space="preserve">private investeringen te stimuleren zonder dat ze leiden tot grote marktconcentratie. </w:t>
      </w:r>
      <w:r w:rsidRPr="00C02A31" w:rsidR="00C02A31">
        <w:rPr>
          <w:lang w:val="nl-NL"/>
        </w:rPr>
        <w:t xml:space="preserve">Het specifieke beleid om </w:t>
      </w:r>
      <w:r w:rsidR="007925CF">
        <w:rPr>
          <w:lang w:val="nl-NL"/>
        </w:rPr>
        <w:t xml:space="preserve">dynamische concurrentie te stimuleren zal </w:t>
      </w:r>
      <w:r w:rsidRPr="00C02A31" w:rsidR="00C02A31">
        <w:rPr>
          <w:lang w:val="nl-NL"/>
        </w:rPr>
        <w:t xml:space="preserve">per technologie verschillen, maar we </w:t>
      </w:r>
      <w:r w:rsidR="007925CF">
        <w:rPr>
          <w:lang w:val="nl-NL"/>
        </w:rPr>
        <w:t>geven enkele voorbeelden</w:t>
      </w:r>
      <w:r w:rsidRPr="00C02A31" w:rsidR="00C02A31">
        <w:rPr>
          <w:lang w:val="nl-NL"/>
        </w:rPr>
        <w:t>.</w:t>
      </w:r>
    </w:p>
    <w:p w:rsidR="002D3E48" w:rsidP="00C02A31" w:rsidRDefault="002D3E48" w14:paraId="27EF6F0A" w14:textId="77777777">
      <w:pPr>
        <w:rPr>
          <w:lang w:val="nl-NL"/>
        </w:rPr>
      </w:pPr>
    </w:p>
    <w:p w:rsidRPr="00C02A31" w:rsidR="00C02A31" w:rsidP="00C02A31" w:rsidRDefault="00C02A31" w14:paraId="764B0039" w14:textId="5C65FF65">
      <w:pPr>
        <w:rPr>
          <w:lang w:val="nl-NL"/>
        </w:rPr>
      </w:pPr>
      <w:r w:rsidRPr="00C02A31">
        <w:rPr>
          <w:lang w:val="nl-NL"/>
        </w:rPr>
        <w:t xml:space="preserve">Voor autonome voertuigen </w:t>
      </w:r>
      <w:r w:rsidR="008D2E0E">
        <w:rPr>
          <w:lang w:val="nl-NL"/>
        </w:rPr>
        <w:t xml:space="preserve">zijn er grote kansen in de Europese Unie. In tegenstelling tot de VS, waar </w:t>
      </w:r>
      <w:r w:rsidRPr="00C02A31" w:rsidR="008D2E0E">
        <w:rPr>
          <w:lang w:val="nl-NL"/>
        </w:rPr>
        <w:t xml:space="preserve">hoofdzakelijk </w:t>
      </w:r>
      <w:r w:rsidR="008D2E0E">
        <w:rPr>
          <w:lang w:val="nl-NL"/>
        </w:rPr>
        <w:t xml:space="preserve">wordt </w:t>
      </w:r>
      <w:r w:rsidRPr="00C02A31" w:rsidR="008D2E0E">
        <w:rPr>
          <w:lang w:val="nl-NL"/>
        </w:rPr>
        <w:t>geïnvesteerd in technologieën die volledig in het voertuig zijn ingebed</w:t>
      </w:r>
      <w:r w:rsidR="008D2E0E">
        <w:rPr>
          <w:lang w:val="nl-NL"/>
        </w:rPr>
        <w:t>, kan in de EU met publiek-private samenwerking een technologie-</w:t>
      </w:r>
      <w:r w:rsidR="00DE2892">
        <w:rPr>
          <w:lang w:val="nl-NL"/>
        </w:rPr>
        <w:t>intensieve</w:t>
      </w:r>
      <w:r w:rsidR="008D2E0E">
        <w:rPr>
          <w:lang w:val="nl-NL"/>
        </w:rPr>
        <w:t xml:space="preserve"> </w:t>
      </w:r>
      <w:r w:rsidR="00DE2892">
        <w:rPr>
          <w:lang w:val="nl-NL"/>
        </w:rPr>
        <w:t>transportsysteem</w:t>
      </w:r>
      <w:r w:rsidR="008D2E0E">
        <w:rPr>
          <w:lang w:val="nl-NL"/>
        </w:rPr>
        <w:t xml:space="preserve"> ontstaan.  </w:t>
      </w:r>
      <w:r w:rsidRPr="00C02A31" w:rsidR="008D2E0E">
        <w:rPr>
          <w:lang w:val="nl-NL"/>
        </w:rPr>
        <w:t>De Europese strategie voor coöperatief intelligent</w:t>
      </w:r>
      <w:r w:rsidR="00DE2892">
        <w:rPr>
          <w:lang w:val="nl-NL"/>
        </w:rPr>
        <w:t>e</w:t>
      </w:r>
      <w:r w:rsidRPr="00C02A31" w:rsidR="008D2E0E">
        <w:rPr>
          <w:lang w:val="nl-NL"/>
        </w:rPr>
        <w:t xml:space="preserve"> vervoerssystem</w:t>
      </w:r>
      <w:r w:rsidR="008D2E0E">
        <w:rPr>
          <w:lang w:val="nl-NL"/>
        </w:rPr>
        <w:t>en</w:t>
      </w:r>
      <w:r w:rsidRPr="00C02A31" w:rsidR="008D2E0E">
        <w:rPr>
          <w:lang w:val="nl-NL"/>
        </w:rPr>
        <w:t xml:space="preserve"> (C-ITS) </w:t>
      </w:r>
      <w:r w:rsidR="00DE2892">
        <w:rPr>
          <w:lang w:val="nl-NL"/>
        </w:rPr>
        <w:t xml:space="preserve">aangevuld door </w:t>
      </w:r>
      <w:r w:rsidRPr="00C02A31">
        <w:rPr>
          <w:lang w:val="nl-NL"/>
        </w:rPr>
        <w:t>overheidsinvesteringen in sensoren in de openbare ruimte</w:t>
      </w:r>
      <w:r w:rsidR="008D2E0E">
        <w:rPr>
          <w:lang w:val="nl-NL"/>
        </w:rPr>
        <w:t xml:space="preserve">, </w:t>
      </w:r>
      <w:r w:rsidRPr="00C02A31">
        <w:rPr>
          <w:lang w:val="nl-NL"/>
        </w:rPr>
        <w:t xml:space="preserve">bijvoorbeeld </w:t>
      </w:r>
      <w:r w:rsidR="008D2E0E">
        <w:rPr>
          <w:lang w:val="nl-NL"/>
        </w:rPr>
        <w:t>verkeer</w:t>
      </w:r>
      <w:r w:rsidRPr="00C02A31" w:rsidR="008D2E0E">
        <w:rPr>
          <w:lang w:val="nl-NL"/>
        </w:rPr>
        <w:t>sborden</w:t>
      </w:r>
      <w:r w:rsidRPr="00C02A31">
        <w:rPr>
          <w:lang w:val="nl-NL"/>
        </w:rPr>
        <w:t xml:space="preserve"> en </w:t>
      </w:r>
      <w:r w:rsidR="008D2E0E">
        <w:rPr>
          <w:lang w:val="nl-NL"/>
        </w:rPr>
        <w:t>-</w:t>
      </w:r>
      <w:r w:rsidRPr="00C02A31">
        <w:rPr>
          <w:lang w:val="nl-NL"/>
        </w:rPr>
        <w:t xml:space="preserve">signalen </w:t>
      </w:r>
      <w:r w:rsidR="008D2E0E">
        <w:rPr>
          <w:lang w:val="nl-NL"/>
        </w:rPr>
        <w:t xml:space="preserve">die </w:t>
      </w:r>
      <w:r w:rsidRPr="00C02A31">
        <w:rPr>
          <w:lang w:val="nl-NL"/>
        </w:rPr>
        <w:t>hun positie kenbaar maken</w:t>
      </w:r>
      <w:r w:rsidR="005A22F4">
        <w:rPr>
          <w:lang w:val="nl-NL"/>
        </w:rPr>
        <w:t xml:space="preserve">, kan </w:t>
      </w:r>
      <w:r w:rsidR="00DE2892">
        <w:rPr>
          <w:lang w:val="nl-NL"/>
        </w:rPr>
        <w:t>de vorming van een open transportmarkt bespoedigen</w:t>
      </w:r>
      <w:r w:rsidRPr="00C02A31">
        <w:rPr>
          <w:lang w:val="nl-NL"/>
        </w:rPr>
        <w:t xml:space="preserve">. Het Amerikaanse systeem leidt tot een dynamiek van "winner-take-all". </w:t>
      </w:r>
    </w:p>
    <w:p w:rsidR="00804817" w:rsidP="00C02A31" w:rsidRDefault="00804817" w14:paraId="2AD64CCF" w14:textId="77777777">
      <w:pPr>
        <w:rPr>
          <w:lang w:val="nl-NL"/>
        </w:rPr>
      </w:pPr>
    </w:p>
    <w:p w:rsidR="002D3E48" w:rsidP="00C02A31" w:rsidRDefault="00C02A31" w14:paraId="2ECDF02B" w14:textId="2613D9D5">
      <w:pPr>
        <w:rPr>
          <w:lang w:val="nl-NL"/>
        </w:rPr>
      </w:pPr>
      <w:r w:rsidRPr="00C02A31">
        <w:rPr>
          <w:lang w:val="nl-NL"/>
        </w:rPr>
        <w:t>Een ander</w:t>
      </w:r>
      <w:r w:rsidR="00DE2892">
        <w:rPr>
          <w:lang w:val="nl-NL"/>
        </w:rPr>
        <w:t>e</w:t>
      </w:r>
      <w:r w:rsidRPr="00C02A31">
        <w:rPr>
          <w:lang w:val="nl-NL"/>
        </w:rPr>
        <w:t xml:space="preserve"> technologie</w:t>
      </w:r>
      <w:r w:rsidR="00DE2892">
        <w:rPr>
          <w:lang w:val="nl-NL"/>
        </w:rPr>
        <w:t>-cluster</w:t>
      </w:r>
      <w:r w:rsidRPr="00C02A31">
        <w:rPr>
          <w:lang w:val="nl-NL"/>
        </w:rPr>
        <w:t xml:space="preserve"> </w:t>
      </w:r>
      <w:r w:rsidR="005A22F4">
        <w:rPr>
          <w:lang w:val="nl-NL"/>
        </w:rPr>
        <w:t xml:space="preserve">wordt gevormd door </w:t>
      </w:r>
      <w:r w:rsidRPr="00C02A31">
        <w:rPr>
          <w:lang w:val="nl-NL"/>
        </w:rPr>
        <w:t>platformdienst</w:t>
      </w:r>
      <w:r w:rsidR="005A22F4">
        <w:rPr>
          <w:lang w:val="nl-NL"/>
        </w:rPr>
        <w:t>en</w:t>
      </w:r>
      <w:r w:rsidRPr="00C02A31">
        <w:rPr>
          <w:lang w:val="nl-NL"/>
        </w:rPr>
        <w:t xml:space="preserve"> die de vraag- en aanbodzijde van een </w:t>
      </w:r>
      <w:r w:rsidR="005A22F4">
        <w:rPr>
          <w:lang w:val="nl-NL"/>
        </w:rPr>
        <w:t>markt</w:t>
      </w:r>
      <w:r w:rsidRPr="00C02A31">
        <w:rPr>
          <w:lang w:val="nl-NL"/>
        </w:rPr>
        <w:t xml:space="preserve"> met elkaar verbind</w:t>
      </w:r>
      <w:r w:rsidR="005A22F4">
        <w:rPr>
          <w:lang w:val="nl-NL"/>
        </w:rPr>
        <w:t xml:space="preserve">en. </w:t>
      </w:r>
      <w:r w:rsidR="00DE2892">
        <w:rPr>
          <w:lang w:val="nl-NL"/>
        </w:rPr>
        <w:t xml:space="preserve">We zien nu </w:t>
      </w:r>
      <w:r w:rsidR="005A22F4">
        <w:rPr>
          <w:lang w:val="nl-NL"/>
        </w:rPr>
        <w:t>platforms voor deelgebruik</w:t>
      </w:r>
      <w:r w:rsidRPr="00C02A31">
        <w:rPr>
          <w:lang w:val="nl-NL"/>
        </w:rPr>
        <w:t xml:space="preserve"> (woningverhuur, autodelen), goederen</w:t>
      </w:r>
      <w:r w:rsidR="00490D68">
        <w:rPr>
          <w:lang w:val="nl-NL"/>
        </w:rPr>
        <w:t>bezorging</w:t>
      </w:r>
      <w:r w:rsidRPr="00C02A31">
        <w:rPr>
          <w:lang w:val="nl-NL"/>
        </w:rPr>
        <w:t xml:space="preserve"> (</w:t>
      </w:r>
      <w:r w:rsidR="00490D68">
        <w:rPr>
          <w:lang w:val="nl-NL"/>
        </w:rPr>
        <w:t xml:space="preserve">boeken, </w:t>
      </w:r>
      <w:r w:rsidRPr="00C02A31">
        <w:rPr>
          <w:lang w:val="nl-NL"/>
        </w:rPr>
        <w:t xml:space="preserve">levensmiddelen </w:t>
      </w:r>
      <w:r w:rsidR="00490D68">
        <w:rPr>
          <w:lang w:val="nl-NL"/>
        </w:rPr>
        <w:t>of maa</w:t>
      </w:r>
      <w:r w:rsidR="00DE2892">
        <w:rPr>
          <w:lang w:val="nl-NL"/>
        </w:rPr>
        <w:t>l</w:t>
      </w:r>
      <w:r w:rsidR="00490D68">
        <w:rPr>
          <w:lang w:val="nl-NL"/>
        </w:rPr>
        <w:t>tijden</w:t>
      </w:r>
      <w:r w:rsidRPr="00C02A31">
        <w:rPr>
          <w:lang w:val="nl-NL"/>
        </w:rPr>
        <w:t>) en dienste</w:t>
      </w:r>
      <w:r w:rsidR="00DE2892">
        <w:rPr>
          <w:lang w:val="nl-NL"/>
        </w:rPr>
        <w:t>n</w:t>
      </w:r>
      <w:r w:rsidRPr="00C02A31">
        <w:rPr>
          <w:lang w:val="nl-NL"/>
        </w:rPr>
        <w:t xml:space="preserve"> (taxiservice, hotelboeking, </w:t>
      </w:r>
      <w:r w:rsidR="00490D68">
        <w:rPr>
          <w:lang w:val="nl-NL"/>
        </w:rPr>
        <w:t>arbeidskrachten</w:t>
      </w:r>
      <w:r w:rsidRPr="00C02A31">
        <w:rPr>
          <w:lang w:val="nl-NL"/>
        </w:rPr>
        <w:t>). Deze platforms zijn het moderne equivalent van de Bazars of Middeleeuwse Europese markten</w:t>
      </w:r>
      <w:r w:rsidR="00490D68">
        <w:rPr>
          <w:lang w:val="nl-NL"/>
        </w:rPr>
        <w:t xml:space="preserve"> met ‘charters’ of oorkondes</w:t>
      </w:r>
      <w:r w:rsidRPr="00C02A31">
        <w:rPr>
          <w:lang w:val="nl-NL"/>
        </w:rPr>
        <w:t xml:space="preserve">. In Europa is het de traditie om markten te </w:t>
      </w:r>
      <w:r w:rsidR="00DE2892">
        <w:rPr>
          <w:lang w:val="nl-NL"/>
        </w:rPr>
        <w:t>zien</w:t>
      </w:r>
      <w:r w:rsidRPr="00C02A31">
        <w:rPr>
          <w:lang w:val="nl-NL"/>
        </w:rPr>
        <w:t xml:space="preserve"> als openba</w:t>
      </w:r>
      <w:r w:rsidR="00DE2892">
        <w:rPr>
          <w:lang w:val="nl-NL"/>
        </w:rPr>
        <w:t>re ruimte</w:t>
      </w:r>
      <w:r w:rsidRPr="00C02A31">
        <w:rPr>
          <w:lang w:val="nl-NL"/>
        </w:rPr>
        <w:t xml:space="preserve">. </w:t>
      </w:r>
      <w:r w:rsidR="00DE2892">
        <w:rPr>
          <w:lang w:val="nl-NL"/>
        </w:rPr>
        <w:t>H</w:t>
      </w:r>
      <w:r w:rsidRPr="00C02A31">
        <w:rPr>
          <w:lang w:val="nl-NL"/>
        </w:rPr>
        <w:t xml:space="preserve">istorische </w:t>
      </w:r>
      <w:r w:rsidR="00DE2892">
        <w:rPr>
          <w:lang w:val="nl-NL"/>
        </w:rPr>
        <w:t xml:space="preserve">waren </w:t>
      </w:r>
      <w:r w:rsidRPr="00C02A31">
        <w:rPr>
          <w:lang w:val="nl-NL"/>
        </w:rPr>
        <w:t>de markten goed geregulee</w:t>
      </w:r>
      <w:r w:rsidR="00DE2892">
        <w:rPr>
          <w:lang w:val="nl-NL"/>
        </w:rPr>
        <w:t>rd. D</w:t>
      </w:r>
      <w:r w:rsidRPr="00C02A31">
        <w:rPr>
          <w:lang w:val="nl-NL"/>
        </w:rPr>
        <w:t xml:space="preserve">e </w:t>
      </w:r>
      <w:r w:rsidR="00490D68">
        <w:rPr>
          <w:lang w:val="nl-NL"/>
        </w:rPr>
        <w:t>openingstijden</w:t>
      </w:r>
      <w:r w:rsidRPr="00C02A31">
        <w:rPr>
          <w:lang w:val="nl-NL"/>
        </w:rPr>
        <w:t xml:space="preserve"> en de locatie van de markt </w:t>
      </w:r>
      <w:r w:rsidR="00DE2892">
        <w:rPr>
          <w:lang w:val="nl-NL"/>
        </w:rPr>
        <w:t xml:space="preserve">waren </w:t>
      </w:r>
      <w:r w:rsidRPr="00C02A31">
        <w:rPr>
          <w:lang w:val="nl-NL"/>
        </w:rPr>
        <w:t>gecoördineerd en</w:t>
      </w:r>
      <w:r w:rsidR="00DE2892">
        <w:rPr>
          <w:lang w:val="nl-NL"/>
        </w:rPr>
        <w:t xml:space="preserve"> </w:t>
      </w:r>
      <w:r w:rsidRPr="00C02A31">
        <w:rPr>
          <w:lang w:val="nl-NL"/>
        </w:rPr>
        <w:t>concurre</w:t>
      </w:r>
      <w:r w:rsidR="005A7CCC">
        <w:rPr>
          <w:lang w:val="nl-NL"/>
        </w:rPr>
        <w:t>re</w:t>
      </w:r>
      <w:r w:rsidRPr="00C02A31">
        <w:rPr>
          <w:lang w:val="nl-NL"/>
        </w:rPr>
        <w:t>n</w:t>
      </w:r>
      <w:r w:rsidR="005A7CCC">
        <w:rPr>
          <w:lang w:val="nl-NL"/>
        </w:rPr>
        <w:t xml:space="preserve">de marktplekken </w:t>
      </w:r>
      <w:r w:rsidR="00DE2892">
        <w:rPr>
          <w:lang w:val="nl-NL"/>
        </w:rPr>
        <w:t xml:space="preserve">werden </w:t>
      </w:r>
      <w:r w:rsidR="005A7CCC">
        <w:rPr>
          <w:lang w:val="nl-NL"/>
        </w:rPr>
        <w:t>verboden</w:t>
      </w:r>
      <w:r w:rsidRPr="00C02A31">
        <w:rPr>
          <w:lang w:val="nl-NL"/>
        </w:rPr>
        <w:t xml:space="preserve"> </w:t>
      </w:r>
      <w:r w:rsidR="00DE2892">
        <w:rPr>
          <w:lang w:val="nl-NL"/>
        </w:rPr>
        <w:t xml:space="preserve">waardoor </w:t>
      </w:r>
      <w:r w:rsidR="00490D68">
        <w:rPr>
          <w:lang w:val="nl-NL"/>
        </w:rPr>
        <w:t xml:space="preserve">handelsvolume en </w:t>
      </w:r>
      <w:r w:rsidRPr="00C02A31">
        <w:rPr>
          <w:lang w:val="nl-NL"/>
        </w:rPr>
        <w:t xml:space="preserve">liquiditeit van de markt </w:t>
      </w:r>
      <w:r w:rsidR="00DE2892">
        <w:rPr>
          <w:lang w:val="nl-NL"/>
        </w:rPr>
        <w:t>werden</w:t>
      </w:r>
      <w:r w:rsidRPr="00C02A31">
        <w:rPr>
          <w:lang w:val="nl-NL"/>
        </w:rPr>
        <w:t xml:space="preserve"> g</w:t>
      </w:r>
      <w:r w:rsidR="003F1A6E">
        <w:rPr>
          <w:lang w:val="nl-NL"/>
        </w:rPr>
        <w:t>eg</w:t>
      </w:r>
      <w:r w:rsidRPr="00C02A31">
        <w:rPr>
          <w:lang w:val="nl-NL"/>
        </w:rPr>
        <w:t>arande</w:t>
      </w:r>
      <w:r w:rsidR="003F1A6E">
        <w:rPr>
          <w:lang w:val="nl-NL"/>
        </w:rPr>
        <w:t>e</w:t>
      </w:r>
      <w:r w:rsidRPr="00C02A31">
        <w:rPr>
          <w:lang w:val="nl-NL"/>
        </w:rPr>
        <w:t>r</w:t>
      </w:r>
      <w:r w:rsidR="003F1A6E">
        <w:rPr>
          <w:lang w:val="nl-NL"/>
        </w:rPr>
        <w:t>d</w:t>
      </w:r>
      <w:r w:rsidRPr="00C02A31">
        <w:rPr>
          <w:lang w:val="nl-NL"/>
        </w:rPr>
        <w:t xml:space="preserve">. </w:t>
      </w:r>
      <w:r w:rsidR="00DE2892">
        <w:rPr>
          <w:lang w:val="nl-NL"/>
        </w:rPr>
        <w:t>M</w:t>
      </w:r>
      <w:r w:rsidR="00490D68">
        <w:rPr>
          <w:lang w:val="nl-NL"/>
        </w:rPr>
        <w:t xml:space="preserve">aten en gewichten, de echtheid van munten, </w:t>
      </w:r>
      <w:r w:rsidRPr="00C02A31">
        <w:rPr>
          <w:lang w:val="nl-NL"/>
        </w:rPr>
        <w:t xml:space="preserve">en de handhaving van </w:t>
      </w:r>
      <w:r w:rsidR="00490D68">
        <w:rPr>
          <w:lang w:val="nl-NL"/>
        </w:rPr>
        <w:t>orde</w:t>
      </w:r>
      <w:r w:rsidRPr="00C02A31">
        <w:rPr>
          <w:lang w:val="nl-NL"/>
        </w:rPr>
        <w:t xml:space="preserve"> </w:t>
      </w:r>
      <w:r w:rsidR="00DE2892">
        <w:rPr>
          <w:lang w:val="nl-NL"/>
        </w:rPr>
        <w:t xml:space="preserve">werd </w:t>
      </w:r>
      <w:r w:rsidRPr="00C02A31">
        <w:rPr>
          <w:lang w:val="nl-NL"/>
        </w:rPr>
        <w:t xml:space="preserve">door de autoriteiten </w:t>
      </w:r>
      <w:r w:rsidR="00DE2892">
        <w:rPr>
          <w:lang w:val="nl-NL"/>
        </w:rPr>
        <w:t>gehandhaafd</w:t>
      </w:r>
      <w:r w:rsidRPr="00C02A31">
        <w:rPr>
          <w:lang w:val="nl-NL"/>
        </w:rPr>
        <w:t xml:space="preserve"> </w:t>
      </w:r>
      <w:r w:rsidR="00DE2892">
        <w:rPr>
          <w:lang w:val="nl-NL"/>
        </w:rPr>
        <w:t>waardoor de markten tot bloei konden komen</w:t>
      </w:r>
      <w:r w:rsidRPr="00C02A31">
        <w:rPr>
          <w:lang w:val="nl-NL"/>
        </w:rPr>
        <w:t xml:space="preserve">. Ten slotte </w:t>
      </w:r>
      <w:r w:rsidR="00DE2892">
        <w:rPr>
          <w:lang w:val="nl-NL"/>
        </w:rPr>
        <w:t xml:space="preserve">werd de huur die </w:t>
      </w:r>
      <w:r w:rsidRPr="00C02A31" w:rsidR="00DE2892">
        <w:rPr>
          <w:lang w:val="nl-NL"/>
        </w:rPr>
        <w:t xml:space="preserve">de markteigenaar (in de middeleeuwen meestal een lokale </w:t>
      </w:r>
      <w:r w:rsidR="00DE2892">
        <w:rPr>
          <w:lang w:val="nl-NL"/>
        </w:rPr>
        <w:t>landheer</w:t>
      </w:r>
      <w:r w:rsidRPr="00C02A31" w:rsidR="00DE2892">
        <w:rPr>
          <w:lang w:val="nl-NL"/>
        </w:rPr>
        <w:t xml:space="preserve">) </w:t>
      </w:r>
      <w:r w:rsidR="00DE2892">
        <w:rPr>
          <w:lang w:val="nl-NL"/>
        </w:rPr>
        <w:t>kon</w:t>
      </w:r>
      <w:r w:rsidRPr="00C02A31" w:rsidR="00DE2892">
        <w:rPr>
          <w:lang w:val="nl-NL"/>
        </w:rPr>
        <w:t xml:space="preserve"> innen</w:t>
      </w:r>
      <w:r w:rsidR="00DE2892">
        <w:rPr>
          <w:lang w:val="nl-NL"/>
        </w:rPr>
        <w:t xml:space="preserve"> </w:t>
      </w:r>
      <w:r w:rsidR="00490D68">
        <w:rPr>
          <w:lang w:val="nl-NL"/>
        </w:rPr>
        <w:t>begrensd</w:t>
      </w:r>
      <w:r w:rsidRPr="00C02A31">
        <w:rPr>
          <w:lang w:val="nl-NL"/>
        </w:rPr>
        <w:t xml:space="preserve"> </w:t>
      </w:r>
      <w:r w:rsidR="00DE2892">
        <w:rPr>
          <w:lang w:val="nl-NL"/>
        </w:rPr>
        <w:t>door</w:t>
      </w:r>
      <w:r w:rsidRPr="00C02A31">
        <w:rPr>
          <w:lang w:val="nl-NL"/>
        </w:rPr>
        <w:t xml:space="preserve"> concurrentie van geografisch aangrenzende markten. </w:t>
      </w:r>
    </w:p>
    <w:p w:rsidR="005A7CCC" w:rsidP="00C02A31" w:rsidRDefault="005A7CCC" w14:paraId="0FE2E09E" w14:textId="77777777">
      <w:pPr>
        <w:rPr>
          <w:lang w:val="nl-NL"/>
        </w:rPr>
      </w:pPr>
    </w:p>
    <w:p w:rsidRPr="00C02A31" w:rsidR="00C02A31" w:rsidP="00C02A31" w:rsidRDefault="00C02A31" w14:paraId="15A9C5E6" w14:textId="711091DF">
      <w:pPr>
        <w:rPr>
          <w:lang w:val="nl-NL"/>
        </w:rPr>
      </w:pPr>
      <w:r w:rsidRPr="00C02A31">
        <w:rPr>
          <w:lang w:val="nl-NL"/>
        </w:rPr>
        <w:t xml:space="preserve">De beleidsoplossing </w:t>
      </w:r>
      <w:r w:rsidR="005A7CCC">
        <w:rPr>
          <w:lang w:val="nl-NL"/>
        </w:rPr>
        <w:t xml:space="preserve">voor de macht van platformbedrijven </w:t>
      </w:r>
      <w:r w:rsidRPr="00C02A31">
        <w:rPr>
          <w:lang w:val="nl-NL"/>
        </w:rPr>
        <w:t xml:space="preserve">moet de bron van het probleem </w:t>
      </w:r>
      <w:r w:rsidR="003F1A6E">
        <w:rPr>
          <w:lang w:val="nl-NL"/>
        </w:rPr>
        <w:t>aangrijpen</w:t>
      </w:r>
      <w:r w:rsidRPr="00C02A31">
        <w:rPr>
          <w:lang w:val="nl-NL"/>
        </w:rPr>
        <w:t>, namelijk eigendom van en controle over historische transactiegegevens. In principe geeft de GDPR van de EU de transactiepartners het recht om hun eigen gegevens in machine</w:t>
      </w:r>
      <w:r w:rsidR="005A7CCC">
        <w:rPr>
          <w:lang w:val="nl-NL"/>
        </w:rPr>
        <w:t>-</w:t>
      </w:r>
      <w:r w:rsidRPr="00C02A31">
        <w:rPr>
          <w:lang w:val="nl-NL"/>
        </w:rPr>
        <w:t xml:space="preserve">leesbare vorm </w:t>
      </w:r>
      <w:r w:rsidR="005A7CCC">
        <w:rPr>
          <w:lang w:val="nl-NL"/>
        </w:rPr>
        <w:t xml:space="preserve">op </w:t>
      </w:r>
      <w:r w:rsidRPr="00C02A31">
        <w:rPr>
          <w:lang w:val="nl-NL"/>
        </w:rPr>
        <w:t xml:space="preserve">te </w:t>
      </w:r>
      <w:r w:rsidR="005A7CCC">
        <w:rPr>
          <w:lang w:val="nl-NL"/>
        </w:rPr>
        <w:t>vragen</w:t>
      </w:r>
      <w:r w:rsidRPr="00C02A31">
        <w:rPr>
          <w:lang w:val="nl-NL"/>
        </w:rPr>
        <w:t xml:space="preserve">. Het is echter de totale verzameling van dergelijke gegevens </w:t>
      </w:r>
      <w:r w:rsidR="00D976A5">
        <w:rPr>
          <w:lang w:val="nl-NL"/>
        </w:rPr>
        <w:t>van</w:t>
      </w:r>
      <w:r w:rsidRPr="00C02A31">
        <w:rPr>
          <w:lang w:val="nl-NL"/>
        </w:rPr>
        <w:t xml:space="preserve"> alle transactiepartners die </w:t>
      </w:r>
      <w:r w:rsidR="00D976A5">
        <w:rPr>
          <w:lang w:val="nl-NL"/>
        </w:rPr>
        <w:t>door AI-analyse nog meer marktmacht brengt</w:t>
      </w:r>
      <w:r w:rsidRPr="00C02A31">
        <w:rPr>
          <w:lang w:val="nl-NL"/>
        </w:rPr>
        <w:t xml:space="preserve">. Dit </w:t>
      </w:r>
      <w:r w:rsidR="005A7CCC">
        <w:rPr>
          <w:lang w:val="nl-NL"/>
        </w:rPr>
        <w:t>geeft twee mogelijkheden</w:t>
      </w:r>
      <w:r w:rsidRPr="00C02A31">
        <w:rPr>
          <w:lang w:val="nl-NL"/>
        </w:rPr>
        <w:t xml:space="preserve">: In de eerste plaats zouden lokale autoriteiten met regelgevende </w:t>
      </w:r>
      <w:r w:rsidR="005A7CCC">
        <w:rPr>
          <w:lang w:val="nl-NL"/>
        </w:rPr>
        <w:t>macht</w:t>
      </w:r>
      <w:r w:rsidRPr="00C02A31">
        <w:rPr>
          <w:lang w:val="nl-NL"/>
        </w:rPr>
        <w:t xml:space="preserve">, bijvoorbeeld op het gebied van taxidiensten, hun vergunningen voor het platform afhankelijk </w:t>
      </w:r>
      <w:r w:rsidR="005A7CCC">
        <w:rPr>
          <w:lang w:val="nl-NL"/>
        </w:rPr>
        <w:t>maken</w:t>
      </w:r>
      <w:r w:rsidRPr="00C02A31">
        <w:rPr>
          <w:lang w:val="nl-NL"/>
        </w:rPr>
        <w:t xml:space="preserve"> </w:t>
      </w:r>
      <w:r w:rsidR="00A869D2">
        <w:rPr>
          <w:lang w:val="nl-NL"/>
        </w:rPr>
        <w:t>v</w:t>
      </w:r>
      <w:r w:rsidR="005A7CCC">
        <w:rPr>
          <w:lang w:val="nl-NL"/>
        </w:rPr>
        <w:t>an</w:t>
      </w:r>
      <w:r w:rsidRPr="00C02A31">
        <w:rPr>
          <w:lang w:val="nl-NL"/>
        </w:rPr>
        <w:t xml:space="preserve"> de voorwaarde dat alle </w:t>
      </w:r>
      <w:r w:rsidR="005A7CCC">
        <w:rPr>
          <w:lang w:val="nl-NL"/>
        </w:rPr>
        <w:t>transactie</w:t>
      </w:r>
      <w:r w:rsidRPr="00C02A31">
        <w:rPr>
          <w:lang w:val="nl-NL"/>
        </w:rPr>
        <w:t xml:space="preserve">gegevens </w:t>
      </w:r>
      <w:r w:rsidR="00A869D2">
        <w:rPr>
          <w:lang w:val="nl-NL"/>
        </w:rPr>
        <w:t>moeten</w:t>
      </w:r>
      <w:r w:rsidR="005A7CCC">
        <w:rPr>
          <w:lang w:val="nl-NL"/>
        </w:rPr>
        <w:t xml:space="preserve"> </w:t>
      </w:r>
      <w:r w:rsidRPr="00C02A31">
        <w:rPr>
          <w:lang w:val="nl-NL"/>
        </w:rPr>
        <w:t>worden gedeeld (op een manier die de privacy beschermt), door alle concurrenten. Om de externe effecten van het netwerk aan de gebruikerszijde tegen te gaan, moet het bericht</w:t>
      </w:r>
      <w:r w:rsidR="00A869D2">
        <w:rPr>
          <w:lang w:val="nl-NL"/>
        </w:rPr>
        <w:t>en</w:t>
      </w:r>
      <w:r w:rsidRPr="00C02A31">
        <w:rPr>
          <w:lang w:val="nl-NL"/>
        </w:rPr>
        <w:t xml:space="preserve">protocol van het platform open zijn, zodat elke bestuurder elke passagier kan ontmoeten, ongeacht welke concurrerende app wordt gebruikt of welk analyse- en betalingsplatform de ritten verwerkt en coördineert. Op deze manier wordt de taximarkt meer een middeleeuwse markt, met niet-discriminerende toegang </w:t>
      </w:r>
      <w:r w:rsidR="00D976A5">
        <w:rPr>
          <w:lang w:val="nl-NL"/>
        </w:rPr>
        <w:t>van</w:t>
      </w:r>
      <w:r w:rsidRPr="00C02A31">
        <w:rPr>
          <w:lang w:val="nl-NL"/>
        </w:rPr>
        <w:t xml:space="preserve"> kopers </w:t>
      </w:r>
      <w:r w:rsidR="00D976A5">
        <w:rPr>
          <w:lang w:val="nl-NL"/>
        </w:rPr>
        <w:t>tot</w:t>
      </w:r>
      <w:r w:rsidRPr="00C02A31">
        <w:rPr>
          <w:lang w:val="nl-NL"/>
        </w:rPr>
        <w:t xml:space="preserve"> verkopers</w:t>
      </w:r>
      <w:r w:rsidR="00D976A5">
        <w:rPr>
          <w:lang w:val="nl-NL"/>
        </w:rPr>
        <w:t xml:space="preserve"> en vice-versa</w:t>
      </w:r>
      <w:r w:rsidRPr="00C02A31">
        <w:rPr>
          <w:lang w:val="nl-NL"/>
        </w:rPr>
        <w:t xml:space="preserve">. </w:t>
      </w:r>
      <w:r w:rsidR="00A869D2">
        <w:rPr>
          <w:lang w:val="nl-NL"/>
        </w:rPr>
        <w:t>Met deze beleidsaanpassing komt er ook</w:t>
      </w:r>
      <w:r w:rsidRPr="00C02A31">
        <w:rPr>
          <w:lang w:val="nl-NL"/>
        </w:rPr>
        <w:t xml:space="preserve"> concurrentie tussen de platform</w:t>
      </w:r>
      <w:r w:rsidR="00A869D2">
        <w:rPr>
          <w:lang w:val="nl-NL"/>
        </w:rPr>
        <w:t>bedrijven</w:t>
      </w:r>
      <w:r w:rsidRPr="00C02A31">
        <w:rPr>
          <w:lang w:val="nl-NL"/>
        </w:rPr>
        <w:t xml:space="preserve">, waarbij sommige beter zijn dan andere in het voorspellen en regisseren van chauffeurs naar de juiste locaties, of sommige beter in het ontwerpen van gebruiksvriendelijke apps en betalingssystemen. De platforms zullen dus concurreren op kwaliteit en </w:t>
      </w:r>
      <w:r w:rsidR="00A869D2">
        <w:rPr>
          <w:lang w:val="nl-NL"/>
        </w:rPr>
        <w:t>op hun aandeel in de</w:t>
      </w:r>
      <w:r w:rsidRPr="00C02A31">
        <w:rPr>
          <w:lang w:val="nl-NL"/>
        </w:rPr>
        <w:t xml:space="preserve"> marge (de wig tussen de prijs van de </w:t>
      </w:r>
      <w:r w:rsidR="00A869D2">
        <w:rPr>
          <w:lang w:val="nl-NL"/>
        </w:rPr>
        <w:t>dienstverlening</w:t>
      </w:r>
      <w:r w:rsidRPr="00C02A31">
        <w:rPr>
          <w:lang w:val="nl-NL"/>
        </w:rPr>
        <w:t xml:space="preserve"> tussen koper en verkoper). Hoewel het voor een bepaalde </w:t>
      </w:r>
      <w:r w:rsidRPr="00C02A31">
        <w:rPr>
          <w:lang w:val="nl-NL"/>
        </w:rPr>
        <w:lastRenderedPageBreak/>
        <w:t xml:space="preserve">locatie moeilijk kan zijn om zo'n systeem op eigen houtje op te zetten wanneer ze geconfronteerd worden met grote internationale platforms en hun advocaten, zou een consortium van steden in staat </w:t>
      </w:r>
      <w:r w:rsidR="00A869D2">
        <w:rPr>
          <w:lang w:val="nl-NL"/>
        </w:rPr>
        <w:t xml:space="preserve">moeten </w:t>
      </w:r>
      <w:r w:rsidRPr="00C02A31">
        <w:rPr>
          <w:lang w:val="nl-NL"/>
        </w:rPr>
        <w:t xml:space="preserve">zijn om de </w:t>
      </w:r>
      <w:r w:rsidR="00A869D2">
        <w:rPr>
          <w:lang w:val="nl-NL"/>
        </w:rPr>
        <w:t>beleids</w:t>
      </w:r>
      <w:r w:rsidRPr="00C02A31">
        <w:rPr>
          <w:lang w:val="nl-NL"/>
        </w:rPr>
        <w:t>uitdaging aan te gaan.</w:t>
      </w:r>
    </w:p>
    <w:p w:rsidR="002D3E48" w:rsidP="00C02A31" w:rsidRDefault="002D3E48" w14:paraId="1D60AFFA" w14:textId="77777777">
      <w:pPr>
        <w:rPr>
          <w:lang w:val="nl-NL"/>
        </w:rPr>
      </w:pPr>
    </w:p>
    <w:p w:rsidRPr="00C02A31" w:rsidR="00C02A31" w:rsidP="00C02A31" w:rsidRDefault="00C02A31" w14:paraId="2D19B2AA" w14:textId="6B492B9A">
      <w:pPr>
        <w:rPr>
          <w:lang w:val="nl-NL"/>
        </w:rPr>
      </w:pPr>
      <w:r w:rsidRPr="00C02A31">
        <w:rPr>
          <w:lang w:val="nl-NL"/>
        </w:rPr>
        <w:t xml:space="preserve">Als het platform </w:t>
      </w:r>
      <w:r w:rsidR="00A869D2">
        <w:rPr>
          <w:lang w:val="nl-NL"/>
        </w:rPr>
        <w:t xml:space="preserve">geen </w:t>
      </w:r>
      <w:r w:rsidRPr="00C02A31">
        <w:rPr>
          <w:lang w:val="nl-NL"/>
        </w:rPr>
        <w:t>lokale regelgevende instantie</w:t>
      </w:r>
      <w:r w:rsidR="00A869D2">
        <w:rPr>
          <w:lang w:val="nl-NL"/>
        </w:rPr>
        <w:t xml:space="preserve"> kent</w:t>
      </w:r>
      <w:r w:rsidRPr="00C02A31">
        <w:rPr>
          <w:lang w:val="nl-NL"/>
        </w:rPr>
        <w:t xml:space="preserve">, is een EU-brede aanpak nodig. Op basis van het </w:t>
      </w:r>
      <w:r w:rsidR="00A869D2">
        <w:rPr>
          <w:lang w:val="nl-NL"/>
        </w:rPr>
        <w:t>GD</w:t>
      </w:r>
      <w:r w:rsidRPr="00C02A31">
        <w:rPr>
          <w:lang w:val="nl-NL"/>
        </w:rPr>
        <w:t>PR moet ervoor worden gezorgd dat de platforms hun historische gegevens op niet-discriminerende wijze toegankelijk maken</w:t>
      </w:r>
      <w:r w:rsidR="00A869D2">
        <w:rPr>
          <w:lang w:val="nl-NL"/>
        </w:rPr>
        <w:t xml:space="preserve"> aan anderen</w:t>
      </w:r>
      <w:r w:rsidRPr="00C02A31">
        <w:rPr>
          <w:lang w:val="nl-NL"/>
        </w:rPr>
        <w:t xml:space="preserve">. Het vinden van een wettelijke </w:t>
      </w:r>
      <w:r w:rsidR="00A869D2">
        <w:rPr>
          <w:lang w:val="nl-NL"/>
        </w:rPr>
        <w:t>route</w:t>
      </w:r>
      <w:r w:rsidRPr="00C02A31">
        <w:rPr>
          <w:lang w:val="nl-NL"/>
        </w:rPr>
        <w:t xml:space="preserve"> om een open protocol voor de uitwisseling van berichten tussen koper en verkoper op het platform </w:t>
      </w:r>
      <w:r w:rsidR="00D976A5">
        <w:rPr>
          <w:lang w:val="nl-NL"/>
        </w:rPr>
        <w:t>af te dwingen</w:t>
      </w:r>
      <w:r w:rsidRPr="00C02A31">
        <w:rPr>
          <w:lang w:val="nl-NL"/>
        </w:rPr>
        <w:t>, kan een grotere uitdaging zijn, maar is een noodzakelijk onderdeel van de beleidsoplossing.</w:t>
      </w:r>
    </w:p>
    <w:p w:rsidR="002D3E48" w:rsidP="00C02A31" w:rsidRDefault="002D3E48" w14:paraId="72EA5FDC" w14:textId="77777777">
      <w:pPr>
        <w:rPr>
          <w:lang w:val="nl-NL"/>
        </w:rPr>
      </w:pPr>
    </w:p>
    <w:p w:rsidRPr="00C02A31" w:rsidR="00C02A31" w:rsidP="00C02A31" w:rsidRDefault="00C02A31" w14:paraId="4DE800BE" w14:textId="3B03A806">
      <w:pPr>
        <w:rPr>
          <w:lang w:val="nl-NL"/>
        </w:rPr>
      </w:pPr>
      <w:r w:rsidRPr="00C02A31">
        <w:rPr>
          <w:lang w:val="nl-NL"/>
        </w:rPr>
        <w:t>Ee</w:t>
      </w:r>
      <w:r w:rsidR="00A869D2">
        <w:rPr>
          <w:lang w:val="nl-NL"/>
        </w:rPr>
        <w:t>n</w:t>
      </w:r>
      <w:r w:rsidRPr="00C02A31">
        <w:rPr>
          <w:lang w:val="nl-NL"/>
        </w:rPr>
        <w:t xml:space="preserve"> platform</w:t>
      </w:r>
      <w:r w:rsidR="00A869D2">
        <w:rPr>
          <w:lang w:val="nl-NL"/>
        </w:rPr>
        <w:t>-type waarbij het ingewikkelder is om</w:t>
      </w:r>
      <w:r w:rsidRPr="00C02A31">
        <w:rPr>
          <w:lang w:val="nl-NL"/>
        </w:rPr>
        <w:t xml:space="preserve"> </w:t>
      </w:r>
      <w:r w:rsidR="00A869D2">
        <w:rPr>
          <w:lang w:val="nl-NL"/>
        </w:rPr>
        <w:t xml:space="preserve">goede </w:t>
      </w:r>
      <w:r w:rsidRPr="00C02A31">
        <w:rPr>
          <w:lang w:val="nl-NL"/>
        </w:rPr>
        <w:t>reg</w:t>
      </w:r>
      <w:r w:rsidR="00A869D2">
        <w:rPr>
          <w:lang w:val="nl-NL"/>
        </w:rPr>
        <w:t>elgeving te ontwikkelen</w:t>
      </w:r>
      <w:r w:rsidRPr="00C02A31">
        <w:rPr>
          <w:lang w:val="nl-NL"/>
        </w:rPr>
        <w:t xml:space="preserve"> </w:t>
      </w:r>
      <w:r w:rsidR="00A869D2">
        <w:rPr>
          <w:lang w:val="nl-NL"/>
        </w:rPr>
        <w:t xml:space="preserve">is de </w:t>
      </w:r>
      <w:r w:rsidRPr="00C02A31">
        <w:rPr>
          <w:lang w:val="nl-NL"/>
        </w:rPr>
        <w:t xml:space="preserve">zogenaamde tweezijdige markt. In deze markten handelen kopers en verkopers niet rechtstreeks met elkaar, maar hebben beide partijen interactie met het platform. </w:t>
      </w:r>
      <w:r w:rsidR="00A869D2">
        <w:rPr>
          <w:lang w:val="nl-NL"/>
        </w:rPr>
        <w:t xml:space="preserve">Op zo’n platform </w:t>
      </w:r>
      <w:r w:rsidRPr="00C02A31">
        <w:rPr>
          <w:lang w:val="nl-NL"/>
        </w:rPr>
        <w:t>verkopen consumenten hun aandacht (</w:t>
      </w:r>
      <w:r w:rsidR="00A869D2">
        <w:rPr>
          <w:lang w:val="nl-NL"/>
        </w:rPr>
        <w:t>eyeballs</w:t>
      </w:r>
      <w:r w:rsidRPr="00C02A31">
        <w:rPr>
          <w:lang w:val="nl-NL"/>
        </w:rPr>
        <w:t xml:space="preserve">) aan het platform in ruil voor inhoud, zoals nieuws, entertainment of andere informatie, terwijl bedrijven hun advertenties </w:t>
      </w:r>
      <w:r w:rsidR="00A869D2">
        <w:rPr>
          <w:lang w:val="nl-NL"/>
        </w:rPr>
        <w:t>willen plaatsen</w:t>
      </w:r>
      <w:r w:rsidRPr="00C02A31">
        <w:rPr>
          <w:lang w:val="nl-NL"/>
        </w:rPr>
        <w:t xml:space="preserve"> (ze kopen </w:t>
      </w:r>
      <w:r w:rsidR="00A869D2">
        <w:rPr>
          <w:lang w:val="nl-NL"/>
        </w:rPr>
        <w:t>eyeballs</w:t>
      </w:r>
      <w:r w:rsidRPr="00C02A31">
        <w:rPr>
          <w:lang w:val="nl-NL"/>
        </w:rPr>
        <w:t xml:space="preserve">) in ruil voor geld dat ze aan het platform geven. Dergelijke markten bestaan al meer dan een eeuw, in de vorm van kranten, radio en televisie met reclame. Wat nieuw is, is dat </w:t>
      </w:r>
      <w:r w:rsidR="00D976A5">
        <w:rPr>
          <w:lang w:val="nl-NL"/>
        </w:rPr>
        <w:t xml:space="preserve">het platform </w:t>
      </w:r>
      <w:r w:rsidRPr="00C02A31">
        <w:rPr>
          <w:lang w:val="nl-NL"/>
        </w:rPr>
        <w:t xml:space="preserve">nu historische transactiegegevens </w:t>
      </w:r>
      <w:r w:rsidR="00D976A5">
        <w:rPr>
          <w:lang w:val="nl-NL"/>
        </w:rPr>
        <w:t>kan verzamelen</w:t>
      </w:r>
      <w:r w:rsidRPr="00C02A31">
        <w:rPr>
          <w:lang w:val="nl-NL"/>
        </w:rPr>
        <w:t xml:space="preserve"> van </w:t>
      </w:r>
      <w:r w:rsidR="00A869D2">
        <w:rPr>
          <w:lang w:val="nl-NL"/>
        </w:rPr>
        <w:t>beide</w:t>
      </w:r>
      <w:r w:rsidRPr="00C02A31">
        <w:rPr>
          <w:lang w:val="nl-NL"/>
        </w:rPr>
        <w:t xml:space="preserve"> kanten van de markt. De enorme toename van (het aandeel van) de reclame-inkomsten die naar deze platformen vloeien, bewijst de efficiëntie </w:t>
      </w:r>
      <w:r w:rsidR="00A869D2">
        <w:rPr>
          <w:lang w:val="nl-NL"/>
        </w:rPr>
        <w:t xml:space="preserve">van </w:t>
      </w:r>
      <w:r w:rsidRPr="00C02A31">
        <w:rPr>
          <w:lang w:val="nl-NL"/>
        </w:rPr>
        <w:t xml:space="preserve">hun bedrijfsvoering ten opzichte van de oude media. </w:t>
      </w:r>
      <w:r w:rsidR="00A869D2">
        <w:rPr>
          <w:lang w:val="nl-NL"/>
        </w:rPr>
        <w:t xml:space="preserve"> </w:t>
      </w:r>
      <w:r w:rsidR="00D976A5">
        <w:rPr>
          <w:lang w:val="nl-NL"/>
        </w:rPr>
        <w:t xml:space="preserve">Soortgelijke martverstoringen vinden plaats in andere </w:t>
      </w:r>
      <w:r w:rsidRPr="00C02A31">
        <w:rPr>
          <w:lang w:val="nl-NL"/>
        </w:rPr>
        <w:t xml:space="preserve">platforms </w:t>
      </w:r>
      <w:r w:rsidR="00A869D2">
        <w:rPr>
          <w:lang w:val="nl-NL"/>
        </w:rPr>
        <w:t xml:space="preserve">die toegang hebben tot privé-gegevens, zoals </w:t>
      </w:r>
      <w:r w:rsidRPr="00C02A31">
        <w:rPr>
          <w:lang w:val="nl-NL"/>
        </w:rPr>
        <w:t>internet-verbonden huishoudelijke apparaten of mobiele</w:t>
      </w:r>
      <w:r w:rsidR="00D976A5">
        <w:rPr>
          <w:lang w:val="nl-NL"/>
        </w:rPr>
        <w:t>-</w:t>
      </w:r>
      <w:r w:rsidRPr="00C02A31">
        <w:rPr>
          <w:lang w:val="nl-NL"/>
        </w:rPr>
        <w:t>gebaseerde betalingsverwerkers.</w:t>
      </w:r>
    </w:p>
    <w:p w:rsidR="002D3E48" w:rsidP="00C02A31" w:rsidRDefault="002D3E48" w14:paraId="6DEC3CCE" w14:textId="77777777">
      <w:pPr>
        <w:rPr>
          <w:lang w:val="nl-NL"/>
        </w:rPr>
      </w:pPr>
    </w:p>
    <w:p w:rsidRPr="00C02A31" w:rsidR="00C02A31" w:rsidP="00C02A31" w:rsidRDefault="00C02A31" w14:paraId="587162D2" w14:textId="50C2ABDB">
      <w:pPr>
        <w:rPr>
          <w:lang w:val="nl-NL"/>
        </w:rPr>
      </w:pPr>
      <w:r w:rsidRPr="00C02A31">
        <w:rPr>
          <w:lang w:val="nl-NL"/>
        </w:rPr>
        <w:t xml:space="preserve">Op deze markten is er een wisselwerking tussen de kwestie van privacy en de kwestie van de (eigendom van) de economische waarde van historische transactiegegevens. Het GDPR </w:t>
      </w:r>
      <w:r w:rsidR="00A869D2">
        <w:rPr>
          <w:lang w:val="nl-NL"/>
        </w:rPr>
        <w:t>werd vooral ontwikkel</w:t>
      </w:r>
      <w:r w:rsidR="00D976A5">
        <w:rPr>
          <w:lang w:val="nl-NL"/>
        </w:rPr>
        <w:t>d</w:t>
      </w:r>
      <w:r w:rsidR="00A869D2">
        <w:rPr>
          <w:lang w:val="nl-NL"/>
        </w:rPr>
        <w:t xml:space="preserve"> </w:t>
      </w:r>
      <w:r w:rsidR="007878EF">
        <w:rPr>
          <w:lang w:val="nl-NL"/>
        </w:rPr>
        <w:t>wegens</w:t>
      </w:r>
      <w:r w:rsidRPr="00C02A31">
        <w:rPr>
          <w:lang w:val="nl-NL"/>
        </w:rPr>
        <w:t xml:space="preserve"> privacy en ging niet rechtstreeks in op de toekomstige verdeling van de </w:t>
      </w:r>
      <w:r w:rsidR="007878EF">
        <w:rPr>
          <w:lang w:val="nl-NL"/>
        </w:rPr>
        <w:t>economische waarde</w:t>
      </w:r>
      <w:r w:rsidRPr="00C02A31">
        <w:rPr>
          <w:lang w:val="nl-NL"/>
        </w:rPr>
        <w:t xml:space="preserve"> </w:t>
      </w:r>
      <w:r w:rsidR="007878EF">
        <w:rPr>
          <w:lang w:val="nl-NL"/>
        </w:rPr>
        <w:t xml:space="preserve">van gegevens van transacties </w:t>
      </w:r>
      <w:r w:rsidRPr="00C02A31">
        <w:rPr>
          <w:lang w:val="nl-NL"/>
        </w:rPr>
        <w:t xml:space="preserve">tussen de drie betrokken partijen. Oplossingen zijn </w:t>
      </w:r>
      <w:r w:rsidR="007878EF">
        <w:rPr>
          <w:lang w:val="nl-NL"/>
        </w:rPr>
        <w:t xml:space="preserve">op het ogenblik </w:t>
      </w:r>
      <w:r w:rsidRPr="00C02A31">
        <w:rPr>
          <w:lang w:val="nl-NL"/>
        </w:rPr>
        <w:t xml:space="preserve">niet direct </w:t>
      </w:r>
      <w:r w:rsidR="007878EF">
        <w:rPr>
          <w:lang w:val="nl-NL"/>
        </w:rPr>
        <w:t>voorhanden</w:t>
      </w:r>
      <w:r w:rsidRPr="00C02A31">
        <w:rPr>
          <w:lang w:val="nl-NL"/>
        </w:rPr>
        <w:t xml:space="preserve">, maar sommige </w:t>
      </w:r>
      <w:r w:rsidR="007878EF">
        <w:rPr>
          <w:lang w:val="nl-NL"/>
        </w:rPr>
        <w:t>recente beleidsmaatregelen</w:t>
      </w:r>
      <w:r w:rsidRPr="00C02A31">
        <w:rPr>
          <w:lang w:val="nl-NL"/>
        </w:rPr>
        <w:t xml:space="preserve"> kunnen in de goede richting wijzen. In de financiële sector biedt de EU-betalingsdienstenrichtlijn (PSD2) bankklanten de mogelijkheid om derden toegang te verlenen tot historische betalingsinformatie, waardoor het monopolie van de banken op </w:t>
      </w:r>
      <w:r w:rsidR="007878EF">
        <w:rPr>
          <w:lang w:val="nl-NL"/>
        </w:rPr>
        <w:t>deze</w:t>
      </w:r>
      <w:r w:rsidRPr="00C02A31">
        <w:rPr>
          <w:lang w:val="nl-NL"/>
        </w:rPr>
        <w:t xml:space="preserve"> informatie wordt doorbroken. Een soortgelijke benadering van andere waardevolle gegevensopslag zou kunnen worden overwogen. Een andere mogelijkheid is het toestaan van "microbetaling"-contracten, zodat een consument die gebruik maakt van een dienst d</w:t>
      </w:r>
      <w:r w:rsidR="00D976A5">
        <w:rPr>
          <w:lang w:val="nl-NL"/>
        </w:rPr>
        <w:t>at</w:t>
      </w:r>
      <w:r w:rsidRPr="00C02A31">
        <w:rPr>
          <w:lang w:val="nl-NL"/>
        </w:rPr>
        <w:t xml:space="preserve"> gegevens verzamelt, een (kleine) prijs kan </w:t>
      </w:r>
      <w:r w:rsidR="007878EF">
        <w:rPr>
          <w:lang w:val="nl-NL"/>
        </w:rPr>
        <w:t>vragen voor</w:t>
      </w:r>
      <w:r w:rsidRPr="00C02A31">
        <w:rPr>
          <w:lang w:val="nl-NL"/>
        </w:rPr>
        <w:t xml:space="preserve"> het toekomstige gebruik van deze gegevens. Hoewel de betalingsstromen voor een individu klein kunnen zijn, zullen de </w:t>
      </w:r>
      <w:r w:rsidR="007878EF">
        <w:rPr>
          <w:lang w:val="nl-NL"/>
        </w:rPr>
        <w:t>economische rents</w:t>
      </w:r>
      <w:r w:rsidRPr="00C02A31">
        <w:rPr>
          <w:lang w:val="nl-NL"/>
        </w:rPr>
        <w:t xml:space="preserve"> die door platforms met marktmacht worden geïnd, aanzienlijk worden verlaagd.</w:t>
      </w:r>
    </w:p>
    <w:p w:rsidR="002D3E48" w:rsidP="00C02A31" w:rsidRDefault="002D3E48" w14:paraId="7319C76A" w14:textId="77777777">
      <w:pPr>
        <w:rPr>
          <w:lang w:val="nl-NL"/>
        </w:rPr>
      </w:pPr>
    </w:p>
    <w:p w:rsidR="00523A28" w:rsidRDefault="00B84154" w14:paraId="041CAB5C" w14:textId="2DD51760">
      <w:pPr>
        <w:rPr>
          <w:lang w:val="nl-NL"/>
        </w:rPr>
      </w:pPr>
      <w:r>
        <w:rPr>
          <w:lang w:val="nl-NL"/>
        </w:rPr>
        <w:t>Om te sluiten kijken we naar belastingontwijking van technologiebedrijven. B</w:t>
      </w:r>
      <w:r w:rsidR="007878EF">
        <w:rPr>
          <w:lang w:val="nl-NL"/>
        </w:rPr>
        <w:t xml:space="preserve">edrijven met veel immateriële activa </w:t>
      </w:r>
      <w:r>
        <w:rPr>
          <w:lang w:val="nl-NL"/>
        </w:rPr>
        <w:t xml:space="preserve">kunnen </w:t>
      </w:r>
      <w:r w:rsidRPr="00C02A31" w:rsidR="00C02A31">
        <w:rPr>
          <w:lang w:val="nl-NL"/>
        </w:rPr>
        <w:t xml:space="preserve">concurrentievoordeel behalen </w:t>
      </w:r>
      <w:r w:rsidR="007878EF">
        <w:rPr>
          <w:lang w:val="nl-NL"/>
        </w:rPr>
        <w:t>door geografisch te ‘shoppen’</w:t>
      </w:r>
      <w:r w:rsidRPr="00C02A31" w:rsidR="00C02A31">
        <w:rPr>
          <w:lang w:val="nl-NL"/>
        </w:rPr>
        <w:t xml:space="preserve"> voor regelgevende en fiscale </w:t>
      </w:r>
      <w:r w:rsidR="007878EF">
        <w:rPr>
          <w:lang w:val="nl-NL"/>
        </w:rPr>
        <w:t>autoriteiten</w:t>
      </w:r>
      <w:r w:rsidRPr="00C02A31" w:rsidR="00C02A31">
        <w:rPr>
          <w:lang w:val="nl-NL"/>
        </w:rPr>
        <w:t>. Omdat verkoop, arbeid, kapitaal</w:t>
      </w:r>
      <w:r w:rsidR="003F1A6E">
        <w:rPr>
          <w:lang w:val="nl-NL"/>
        </w:rPr>
        <w:t>,</w:t>
      </w:r>
      <w:r w:rsidRPr="00C02A31" w:rsidR="00C02A31">
        <w:rPr>
          <w:lang w:val="nl-NL"/>
        </w:rPr>
        <w:t xml:space="preserve"> en immateriële activa niet langer op hetzelfde moment op dezelfde </w:t>
      </w:r>
      <w:r w:rsidR="007878EF">
        <w:rPr>
          <w:lang w:val="nl-NL"/>
        </w:rPr>
        <w:t>locatie</w:t>
      </w:r>
      <w:r w:rsidRPr="00C02A31" w:rsidR="00C02A31">
        <w:rPr>
          <w:lang w:val="nl-NL"/>
        </w:rPr>
        <w:t xml:space="preserve"> hoeven te </w:t>
      </w:r>
      <w:r w:rsidR="003F1A6E">
        <w:rPr>
          <w:lang w:val="nl-NL"/>
        </w:rPr>
        <w:t>zijn</w:t>
      </w:r>
      <w:r w:rsidRPr="00C02A31" w:rsidR="00C02A31">
        <w:rPr>
          <w:lang w:val="nl-NL"/>
        </w:rPr>
        <w:t xml:space="preserve">, kunnen eigenaren van de immateriële activa </w:t>
      </w:r>
      <w:r w:rsidR="007878EF">
        <w:rPr>
          <w:lang w:val="nl-NL"/>
        </w:rPr>
        <w:t xml:space="preserve">met </w:t>
      </w:r>
      <w:r w:rsidRPr="00C02A31" w:rsidR="00C02A31">
        <w:rPr>
          <w:lang w:val="nl-NL"/>
        </w:rPr>
        <w:t>middelen schuiven om er voordeel uit te halen, bijvoorbeeld door arbeid in la</w:t>
      </w:r>
      <w:r w:rsidR="007878EF">
        <w:rPr>
          <w:lang w:val="nl-NL"/>
        </w:rPr>
        <w:t>ge-loon landen</w:t>
      </w:r>
      <w:r w:rsidRPr="00C02A31" w:rsidR="00C02A31">
        <w:rPr>
          <w:lang w:val="nl-NL"/>
        </w:rPr>
        <w:t xml:space="preserve"> te plaatsen, of door </w:t>
      </w:r>
      <w:r w:rsidR="007878EF">
        <w:rPr>
          <w:lang w:val="nl-NL"/>
        </w:rPr>
        <w:t>investeringen</w:t>
      </w:r>
      <w:r w:rsidRPr="00C02A31" w:rsidR="00C02A31">
        <w:rPr>
          <w:lang w:val="nl-NL"/>
        </w:rPr>
        <w:t xml:space="preserve"> te </w:t>
      </w:r>
      <w:r w:rsidRPr="00C02A31" w:rsidR="00C02A31">
        <w:rPr>
          <w:lang w:val="nl-NL"/>
        </w:rPr>
        <w:lastRenderedPageBreak/>
        <w:t xml:space="preserve">financieren </w:t>
      </w:r>
      <w:r w:rsidR="007878EF">
        <w:rPr>
          <w:lang w:val="nl-NL"/>
        </w:rPr>
        <w:t>via</w:t>
      </w:r>
      <w:r w:rsidRPr="00C02A31" w:rsidR="00C02A31">
        <w:rPr>
          <w:lang w:val="nl-NL"/>
        </w:rPr>
        <w:t xml:space="preserve"> een locatie met lage belastingen op financieringsactiviteiten. Een </w:t>
      </w:r>
      <w:r>
        <w:rPr>
          <w:lang w:val="nl-NL"/>
        </w:rPr>
        <w:t>beleids</w:t>
      </w:r>
      <w:r w:rsidR="007878EF">
        <w:rPr>
          <w:lang w:val="nl-NL"/>
        </w:rPr>
        <w:t>richting</w:t>
      </w:r>
      <w:r w:rsidRPr="00C02A31" w:rsidR="00C02A31">
        <w:rPr>
          <w:lang w:val="nl-NL"/>
        </w:rPr>
        <w:t xml:space="preserve"> is om belastingen niet langer te baseren op de locatie van de </w:t>
      </w:r>
      <w:r w:rsidR="007878EF">
        <w:rPr>
          <w:lang w:val="nl-NL"/>
        </w:rPr>
        <w:t xml:space="preserve">productie </w:t>
      </w:r>
      <w:r w:rsidRPr="00C02A31" w:rsidR="00C02A31">
        <w:rPr>
          <w:lang w:val="nl-NL"/>
        </w:rPr>
        <w:t xml:space="preserve">maar op het aandeel </w:t>
      </w:r>
      <w:r w:rsidR="007878EF">
        <w:rPr>
          <w:lang w:val="nl-NL"/>
        </w:rPr>
        <w:t xml:space="preserve">van de locatie in </w:t>
      </w:r>
      <w:r w:rsidRPr="00C02A31" w:rsidR="00C02A31">
        <w:rPr>
          <w:lang w:val="nl-NL"/>
        </w:rPr>
        <w:t>de wereldwijde verkoop</w:t>
      </w:r>
      <w:r w:rsidR="007878EF">
        <w:rPr>
          <w:lang w:val="nl-NL"/>
        </w:rPr>
        <w:t>.</w:t>
      </w:r>
      <w:r w:rsidR="00523A28">
        <w:rPr>
          <w:lang w:val="nl-NL"/>
        </w:rPr>
        <w:br w:type="page"/>
      </w:r>
    </w:p>
    <w:p w:rsidR="002D3E48" w:rsidP="00523A28" w:rsidRDefault="002D3E48" w14:paraId="1E63108E" w14:textId="71E62CCC">
      <w:pPr>
        <w:spacing w:before="100" w:beforeAutospacing="1" w:after="240" w:line="240" w:lineRule="atLeast"/>
        <w:rPr>
          <w:rFonts w:ascii="Times New Roman" w:hAnsi="Times New Roman" w:cs="Times New Roman"/>
          <w:lang w:val="en-US"/>
        </w:rPr>
      </w:pPr>
      <w:r>
        <w:rPr>
          <w:rFonts w:ascii="Times New Roman" w:hAnsi="Times New Roman" w:cs="Times New Roman"/>
          <w:lang w:val="en-US"/>
        </w:rPr>
        <w:lastRenderedPageBreak/>
        <w:t>REFERENTIES</w:t>
      </w:r>
    </w:p>
    <w:p w:rsidRPr="00051598" w:rsidR="00523A28" w:rsidP="00523A28" w:rsidRDefault="00523A28" w14:paraId="15F32990" w14:textId="3F042DEF">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Acemoglu, D., &amp; Autor, D. (2011). Chapter 12 - Skills, Tasks and Technologies: Implications for Employment and Earnings. In </w:t>
      </w:r>
      <w:r w:rsidRPr="00051598">
        <w:rPr>
          <w:rFonts w:ascii="Times New Roman" w:hAnsi="Times New Roman" w:cs="Times New Roman"/>
          <w:i/>
          <w:iCs/>
          <w:lang w:val="en-US"/>
        </w:rPr>
        <w:t>Handbook of Labor Economics</w:t>
      </w:r>
      <w:r w:rsidRPr="00051598">
        <w:rPr>
          <w:rFonts w:ascii="Times New Roman" w:hAnsi="Times New Roman" w:cs="Times New Roman"/>
          <w:lang w:val="en-US"/>
        </w:rPr>
        <w:t xml:space="preserve">: </w:t>
      </w:r>
      <w:r w:rsidRPr="00051598">
        <w:rPr>
          <w:rFonts w:ascii="Times New Roman" w:hAnsi="Times New Roman" w:cs="Times New Roman"/>
          <w:i/>
          <w:iCs/>
          <w:lang w:val="en-US"/>
        </w:rPr>
        <w:t>Vol.</w:t>
      </w:r>
      <w:r w:rsidRPr="00051598">
        <w:rPr>
          <w:rFonts w:ascii="Times New Roman" w:hAnsi="Times New Roman" w:cs="Times New Roman"/>
          <w:lang w:val="en-US"/>
        </w:rPr>
        <w:t xml:space="preserve"> </w:t>
      </w:r>
      <w:r w:rsidRPr="00051598">
        <w:rPr>
          <w:rFonts w:ascii="Times New Roman" w:hAnsi="Times New Roman" w:cs="Times New Roman"/>
          <w:i/>
          <w:iCs/>
          <w:lang w:val="en-US"/>
        </w:rPr>
        <w:t>Volume 4, Part B</w:t>
      </w:r>
      <w:r w:rsidRPr="00051598">
        <w:rPr>
          <w:rFonts w:ascii="Times New Roman" w:hAnsi="Times New Roman" w:cs="Times New Roman"/>
          <w:lang w:val="en-US"/>
        </w:rPr>
        <w:t xml:space="preserve"> (pp. 1043–1171). Retrieved from </w:t>
      </w:r>
      <w:hyperlink w:history="1" r:id="rId4">
        <w:r w:rsidRPr="00051598">
          <w:rPr>
            <w:rStyle w:val="Hyperlink"/>
            <w:rFonts w:ascii="Times New Roman" w:hAnsi="Times New Roman" w:cs="Times New Roman"/>
            <w:lang w:val="en-US"/>
          </w:rPr>
          <w:t>http://www.sciencedirect.com/science/article/pii/S0169721811024105</w:t>
        </w:r>
      </w:hyperlink>
    </w:p>
    <w:p w:rsidRPr="00051598" w:rsidR="00523A28" w:rsidP="00523A28" w:rsidRDefault="00523A28" w14:paraId="2C8E49C9"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Acemoglu, D., &amp; Restrepo, P. (2018). </w:t>
      </w:r>
      <w:r w:rsidRPr="00051598">
        <w:rPr>
          <w:rFonts w:ascii="Times New Roman" w:hAnsi="Times New Roman" w:cs="Times New Roman"/>
          <w:i/>
          <w:iCs/>
          <w:lang w:val="en-US"/>
        </w:rPr>
        <w:t>Artificial Intelligence, Automation and Work</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24196. </w:t>
      </w:r>
      <w:hyperlink w:history="1" r:id="rId5">
        <w:r w:rsidRPr="00051598">
          <w:rPr>
            <w:rStyle w:val="Hyperlink"/>
            <w:rFonts w:ascii="Times New Roman" w:hAnsi="Times New Roman" w:cs="Times New Roman"/>
            <w:lang w:val="en-US"/>
          </w:rPr>
          <w:t>https://doi.org/10.3386/w24196</w:t>
        </w:r>
      </w:hyperlink>
    </w:p>
    <w:p w:rsidRPr="00051598" w:rsidR="00523A28" w:rsidP="00523A28" w:rsidRDefault="00523A28" w14:paraId="69B18101"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Aghion, P., Jones, B. F., &amp; Jones, C. I. (2017). </w:t>
      </w:r>
      <w:r w:rsidRPr="00051598">
        <w:rPr>
          <w:rFonts w:ascii="Times New Roman" w:hAnsi="Times New Roman" w:cs="Times New Roman"/>
          <w:i/>
          <w:iCs/>
          <w:lang w:val="en-US"/>
        </w:rPr>
        <w:t>Artificial Intelligence and Economic Growth</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23928. </w:t>
      </w:r>
      <w:hyperlink w:history="1" r:id="rId6">
        <w:r w:rsidRPr="00051598">
          <w:rPr>
            <w:rStyle w:val="Hyperlink"/>
            <w:rFonts w:ascii="Times New Roman" w:hAnsi="Times New Roman" w:cs="Times New Roman"/>
            <w:lang w:val="en-US"/>
          </w:rPr>
          <w:t>https://doi.org/10.3386/w23928</w:t>
        </w:r>
      </w:hyperlink>
    </w:p>
    <w:p w:rsidRPr="00051598" w:rsidR="00523A28" w:rsidP="00523A28" w:rsidRDefault="00523A28" w14:paraId="59AEED29"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Agrawal, A., Gans, J. S., &amp; Goldfarb, A. (2019</w:t>
      </w:r>
      <w:r>
        <w:rPr>
          <w:rFonts w:ascii="Times New Roman" w:hAnsi="Times New Roman" w:cs="Times New Roman"/>
          <w:lang w:val="en-US"/>
        </w:rPr>
        <w:t>a</w:t>
      </w:r>
      <w:r w:rsidRPr="00051598">
        <w:rPr>
          <w:rFonts w:ascii="Times New Roman" w:hAnsi="Times New Roman" w:cs="Times New Roman"/>
          <w:lang w:val="en-US"/>
        </w:rPr>
        <w:t xml:space="preserve">). Prediction, Judgment, and Complexity: A Theory of Decision Making and Artificial Intelligence. In </w:t>
      </w:r>
      <w:r w:rsidRPr="00051598">
        <w:rPr>
          <w:rFonts w:ascii="Times New Roman" w:hAnsi="Times New Roman" w:cs="Times New Roman"/>
          <w:i/>
          <w:iCs/>
          <w:lang w:val="en-US"/>
        </w:rPr>
        <w:t>The Economics of Artificial Intelligence: An Agenda</w:t>
      </w:r>
      <w:r w:rsidRPr="00051598">
        <w:rPr>
          <w:rFonts w:ascii="Times New Roman" w:hAnsi="Times New Roman" w:cs="Times New Roman"/>
          <w:lang w:val="en-US"/>
        </w:rPr>
        <w:t>. University of Chicago Press/NBER.</w:t>
      </w:r>
    </w:p>
    <w:p w:rsidRPr="00051598" w:rsidR="00523A28" w:rsidP="00523A28" w:rsidRDefault="00523A28" w14:paraId="26CD2A05"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Agrawal, A. K., Gans, J., &amp; Goldfarb, A. (2019</w:t>
      </w:r>
      <w:r>
        <w:rPr>
          <w:rFonts w:ascii="Times New Roman" w:hAnsi="Times New Roman" w:cs="Times New Roman"/>
          <w:lang w:val="en-US"/>
        </w:rPr>
        <w:t>b</w:t>
      </w:r>
      <w:r w:rsidRPr="00051598">
        <w:rPr>
          <w:rFonts w:ascii="Times New Roman" w:hAnsi="Times New Roman" w:cs="Times New Roman"/>
          <w:lang w:val="en-US"/>
        </w:rPr>
        <w:t xml:space="preserve">). </w:t>
      </w:r>
      <w:r w:rsidRPr="00051598">
        <w:rPr>
          <w:rFonts w:ascii="Times New Roman" w:hAnsi="Times New Roman" w:cs="Times New Roman"/>
          <w:i/>
          <w:iCs/>
          <w:lang w:val="en-US"/>
        </w:rPr>
        <w:t>The Economics of Artificial Intelligence: An Agenda</w:t>
      </w:r>
      <w:r w:rsidRPr="00051598">
        <w:rPr>
          <w:rFonts w:ascii="Times New Roman" w:hAnsi="Times New Roman" w:cs="Times New Roman"/>
          <w:lang w:val="en-US"/>
        </w:rPr>
        <w:t xml:space="preserve">. Retrieved from </w:t>
      </w:r>
      <w:hyperlink w:history="1" r:id="rId7">
        <w:r w:rsidRPr="00051598">
          <w:rPr>
            <w:rStyle w:val="Hyperlink"/>
            <w:rFonts w:ascii="Times New Roman" w:hAnsi="Times New Roman" w:cs="Times New Roman"/>
            <w:lang w:val="en-US"/>
          </w:rPr>
          <w:t>https://www.nber.org/chapters/c14005</w:t>
        </w:r>
      </w:hyperlink>
    </w:p>
    <w:p w:rsidRPr="00051598" w:rsidR="00523A28" w:rsidP="00523A28" w:rsidRDefault="00523A28" w14:paraId="27D1B96A"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Akcigit, U., &amp; Ates, S. T. (2019a). </w:t>
      </w:r>
      <w:r w:rsidRPr="00051598">
        <w:rPr>
          <w:rFonts w:ascii="Times New Roman" w:hAnsi="Times New Roman" w:cs="Times New Roman"/>
          <w:i/>
          <w:iCs/>
          <w:lang w:val="en-US"/>
        </w:rPr>
        <w:t>Ten Facts on Declining Business Dynamism and Lessons from Endogenous Growth Theory</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25755. </w:t>
      </w:r>
      <w:hyperlink w:history="1" r:id="rId8">
        <w:r w:rsidRPr="00051598">
          <w:rPr>
            <w:rStyle w:val="Hyperlink"/>
            <w:rFonts w:ascii="Times New Roman" w:hAnsi="Times New Roman" w:cs="Times New Roman"/>
            <w:lang w:val="en-US"/>
          </w:rPr>
          <w:t>https://doi.org/10.3386/w25755</w:t>
        </w:r>
      </w:hyperlink>
    </w:p>
    <w:p w:rsidRPr="00051598" w:rsidR="00523A28" w:rsidP="00523A28" w:rsidRDefault="00523A28" w14:paraId="33C2E8CE"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Athey, S. (2019). The Impact of Machine Learning on Economics. In </w:t>
      </w:r>
      <w:r w:rsidRPr="00051598">
        <w:rPr>
          <w:rFonts w:ascii="Times New Roman" w:hAnsi="Times New Roman" w:cs="Times New Roman"/>
          <w:i/>
          <w:iCs/>
          <w:lang w:val="en-US"/>
        </w:rPr>
        <w:t>The Economics of Artificial Intelligence: An Agenda</w:t>
      </w:r>
      <w:r w:rsidRPr="00051598">
        <w:rPr>
          <w:rFonts w:ascii="Times New Roman" w:hAnsi="Times New Roman" w:cs="Times New Roman"/>
          <w:lang w:val="en-US"/>
        </w:rPr>
        <w:t>. University of Chicago Press/NBER.</w:t>
      </w:r>
    </w:p>
    <w:p w:rsidRPr="00051598" w:rsidR="00523A28" w:rsidP="00523A28" w:rsidRDefault="00523A28" w14:paraId="576A03BF"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Autor, D., Dorn, D., Katz, L. F., Patterson, C., &amp; Van Reenen, J. (2017). Concentrating on the Fall of the Labor Share. </w:t>
      </w:r>
      <w:r w:rsidRPr="00051598">
        <w:rPr>
          <w:rFonts w:ascii="Times New Roman" w:hAnsi="Times New Roman" w:cs="Times New Roman"/>
          <w:i/>
          <w:iCs/>
          <w:lang w:val="en-US"/>
        </w:rPr>
        <w:t>American Economic Review</w:t>
      </w:r>
      <w:r w:rsidRPr="00051598">
        <w:rPr>
          <w:rFonts w:ascii="Times New Roman" w:hAnsi="Times New Roman" w:cs="Times New Roman"/>
          <w:lang w:val="en-US"/>
        </w:rPr>
        <w:t xml:space="preserve">, </w:t>
      </w:r>
      <w:r w:rsidRPr="00051598">
        <w:rPr>
          <w:rFonts w:ascii="Times New Roman" w:hAnsi="Times New Roman" w:cs="Times New Roman"/>
          <w:i/>
          <w:iCs/>
          <w:lang w:val="en-US"/>
        </w:rPr>
        <w:t>107</w:t>
      </w:r>
      <w:r w:rsidRPr="00051598">
        <w:rPr>
          <w:rFonts w:ascii="Times New Roman" w:hAnsi="Times New Roman" w:cs="Times New Roman"/>
          <w:lang w:val="en-US"/>
        </w:rPr>
        <w:t xml:space="preserve">(5), 180–185. </w:t>
      </w:r>
      <w:hyperlink w:history="1" r:id="rId9">
        <w:r w:rsidRPr="00051598">
          <w:rPr>
            <w:rStyle w:val="Hyperlink"/>
            <w:rFonts w:ascii="Times New Roman" w:hAnsi="Times New Roman" w:cs="Times New Roman"/>
            <w:lang w:val="en-US"/>
          </w:rPr>
          <w:t>https://doi.org/10.1257/aer.p20171102</w:t>
        </w:r>
      </w:hyperlink>
    </w:p>
    <w:p w:rsidRPr="00051598" w:rsidR="00523A28" w:rsidP="00523A28" w:rsidRDefault="00523A28" w14:paraId="191E9938"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Baltrušaitis, T., Ahuja, C., &amp; Morency, L. (2019). Multimodal Machine Learning: A Survey and Taxonomy. </w:t>
      </w:r>
      <w:r w:rsidRPr="00051598">
        <w:rPr>
          <w:rFonts w:ascii="Times New Roman" w:hAnsi="Times New Roman" w:cs="Times New Roman"/>
          <w:i/>
          <w:iCs/>
          <w:lang w:val="en-US"/>
        </w:rPr>
        <w:t>IEEE Transactions on Pattern Analysis and Machine Intelligence</w:t>
      </w:r>
      <w:r w:rsidRPr="00051598">
        <w:rPr>
          <w:rFonts w:ascii="Times New Roman" w:hAnsi="Times New Roman" w:cs="Times New Roman"/>
          <w:lang w:val="en-US"/>
        </w:rPr>
        <w:t xml:space="preserve">, </w:t>
      </w:r>
      <w:r w:rsidRPr="00051598">
        <w:rPr>
          <w:rFonts w:ascii="Times New Roman" w:hAnsi="Times New Roman" w:cs="Times New Roman"/>
          <w:i/>
          <w:iCs/>
          <w:lang w:val="en-US"/>
        </w:rPr>
        <w:t>41</w:t>
      </w:r>
      <w:r w:rsidRPr="00051598">
        <w:rPr>
          <w:rFonts w:ascii="Times New Roman" w:hAnsi="Times New Roman" w:cs="Times New Roman"/>
          <w:lang w:val="en-US"/>
        </w:rPr>
        <w:t xml:space="preserve">(2), 423–443. </w:t>
      </w:r>
      <w:hyperlink w:history="1" r:id="rId10">
        <w:r w:rsidRPr="00051598">
          <w:rPr>
            <w:rStyle w:val="Hyperlink"/>
            <w:rFonts w:ascii="Times New Roman" w:hAnsi="Times New Roman" w:cs="Times New Roman"/>
            <w:lang w:val="en-US"/>
          </w:rPr>
          <w:t>https://doi.org/10.1109/TPAMI.2018.2798607</w:t>
        </w:r>
      </w:hyperlink>
    </w:p>
    <w:p w:rsidR="00AE5723" w:rsidP="00523A28" w:rsidRDefault="00AE5723" w14:paraId="2054C95A" w14:textId="7014872A">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Bartelsman, E. J., </w:t>
      </w:r>
      <w:r w:rsidR="00BD7186">
        <w:rPr>
          <w:rFonts w:ascii="Times New Roman" w:hAnsi="Times New Roman" w:cs="Times New Roman"/>
          <w:lang w:val="en-US"/>
        </w:rPr>
        <w:t>(forthcoming) From New Technology to Aggregate Productivity, DG ECFIN Discussion Papers, Brussels.</w:t>
      </w:r>
      <w:r w:rsidRPr="00051598">
        <w:rPr>
          <w:rFonts w:ascii="Times New Roman" w:hAnsi="Times New Roman" w:cs="Times New Roman"/>
          <w:lang w:val="en-US"/>
        </w:rPr>
        <w:t xml:space="preserve"> </w:t>
      </w:r>
    </w:p>
    <w:p w:rsidRPr="00051598" w:rsidR="00523A28" w:rsidP="00523A28" w:rsidRDefault="00523A28" w14:paraId="45E8C339" w14:textId="3AE28D55">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Bartelsman, E. J., Gautier, P. A., &amp; De Wind, J. (2016). Employment Protection, Technology Choice, and Worker Allocation. </w:t>
      </w:r>
      <w:r w:rsidRPr="00051598">
        <w:rPr>
          <w:rFonts w:ascii="Times New Roman" w:hAnsi="Times New Roman" w:cs="Times New Roman"/>
          <w:i/>
          <w:iCs/>
          <w:lang w:val="en-US"/>
        </w:rPr>
        <w:t>International Economic Review</w:t>
      </w:r>
      <w:r w:rsidRPr="00051598">
        <w:rPr>
          <w:rFonts w:ascii="Times New Roman" w:hAnsi="Times New Roman" w:cs="Times New Roman"/>
          <w:lang w:val="en-US"/>
        </w:rPr>
        <w:t xml:space="preserve">, </w:t>
      </w:r>
      <w:r w:rsidRPr="00051598">
        <w:rPr>
          <w:rFonts w:ascii="Times New Roman" w:hAnsi="Times New Roman" w:cs="Times New Roman"/>
          <w:i/>
          <w:iCs/>
          <w:lang w:val="en-US"/>
        </w:rPr>
        <w:t>57</w:t>
      </w:r>
      <w:r w:rsidRPr="00051598">
        <w:rPr>
          <w:rFonts w:ascii="Times New Roman" w:hAnsi="Times New Roman" w:cs="Times New Roman"/>
          <w:lang w:val="en-US"/>
        </w:rPr>
        <w:t xml:space="preserve">(3), 787–826. </w:t>
      </w:r>
      <w:hyperlink w:history="1" r:id="rId11">
        <w:r w:rsidRPr="00051598">
          <w:rPr>
            <w:rStyle w:val="Hyperlink"/>
            <w:rFonts w:ascii="Times New Roman" w:hAnsi="Times New Roman" w:cs="Times New Roman"/>
            <w:lang w:val="en-US"/>
          </w:rPr>
          <w:t>https://doi.org/10.1111/iere.12176</w:t>
        </w:r>
      </w:hyperlink>
    </w:p>
    <w:p w:rsidRPr="00051598" w:rsidR="00523A28" w:rsidP="00523A28" w:rsidRDefault="00523A28" w14:paraId="0D963F4C"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Bartelsman, E. J., Hagsten, E., &amp; Polder, M. (2017). Micro moments database for cross-country analysis of ICT, innovation, and economic outcomes. </w:t>
      </w:r>
      <w:r w:rsidRPr="00051598">
        <w:rPr>
          <w:rFonts w:ascii="Times New Roman" w:hAnsi="Times New Roman" w:cs="Times New Roman"/>
          <w:i/>
          <w:iCs/>
          <w:lang w:val="en-US"/>
        </w:rPr>
        <w:t>Journal of Economics and Management Strategy</w:t>
      </w:r>
      <w:r w:rsidRPr="00051598">
        <w:rPr>
          <w:rFonts w:ascii="Times New Roman" w:hAnsi="Times New Roman" w:cs="Times New Roman"/>
          <w:lang w:val="en-US"/>
        </w:rPr>
        <w:t xml:space="preserve">. </w:t>
      </w:r>
      <w:hyperlink w:history="1" r:id="rId12">
        <w:r w:rsidRPr="00051598">
          <w:rPr>
            <w:rStyle w:val="Hyperlink"/>
            <w:rFonts w:ascii="Times New Roman" w:hAnsi="Times New Roman" w:cs="Times New Roman"/>
            <w:lang w:val="en-US"/>
          </w:rPr>
          <w:t>http://dx.doi.org/10.1111/jems.12256</w:t>
        </w:r>
      </w:hyperlink>
    </w:p>
    <w:p w:rsidRPr="00051598" w:rsidR="00523A28" w:rsidP="00523A28" w:rsidRDefault="00523A28" w14:paraId="5806F510"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Bartelsman, E., Lopez-Garcia, P., &amp; Presidente, G. (2018). </w:t>
      </w:r>
      <w:r w:rsidRPr="00051598">
        <w:rPr>
          <w:rFonts w:ascii="Times New Roman" w:hAnsi="Times New Roman" w:cs="Times New Roman"/>
          <w:i/>
          <w:iCs/>
          <w:lang w:val="en-US"/>
        </w:rPr>
        <w:t>Cyclical and Stuctural Variation in Resource Reallocation: Evidence for Europe</w:t>
      </w:r>
      <w:r w:rsidRPr="00051598">
        <w:rPr>
          <w:rFonts w:ascii="Times New Roman" w:hAnsi="Times New Roman" w:cs="Times New Roman"/>
          <w:lang w:val="en-US"/>
        </w:rPr>
        <w:t xml:space="preserve">. </w:t>
      </w:r>
      <w:hyperlink w:history="1" r:id="rId13">
        <w:r w:rsidRPr="007F476D">
          <w:rPr>
            <w:rStyle w:val="Hyperlink"/>
            <w:rFonts w:ascii="Times New Roman" w:hAnsi="Times New Roman" w:cs="Times New Roman"/>
            <w:lang w:val="en-US"/>
          </w:rPr>
          <w:t>http://papers.tinbergen.nl/18057.pdf</w:t>
        </w:r>
      </w:hyperlink>
    </w:p>
    <w:p w:rsidRPr="00051598" w:rsidR="00523A28" w:rsidP="00523A28" w:rsidRDefault="00523A28" w14:paraId="1DF45855"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lastRenderedPageBreak/>
        <w:t xml:space="preserve">Bessen, J. (2018). </w:t>
      </w:r>
      <w:r w:rsidRPr="00051598">
        <w:rPr>
          <w:rFonts w:ascii="Times New Roman" w:hAnsi="Times New Roman" w:cs="Times New Roman"/>
          <w:i/>
          <w:iCs/>
          <w:lang w:val="en-US"/>
        </w:rPr>
        <w:t>AI and Jobs: The role of demand</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24235. </w:t>
      </w:r>
      <w:hyperlink w:history="1" r:id="rId14">
        <w:r w:rsidRPr="00051598">
          <w:rPr>
            <w:rStyle w:val="Hyperlink"/>
            <w:rFonts w:ascii="Times New Roman" w:hAnsi="Times New Roman" w:cs="Times New Roman"/>
            <w:lang w:val="en-US"/>
          </w:rPr>
          <w:t>https://doi.org/10.3386/w24235</w:t>
        </w:r>
      </w:hyperlink>
    </w:p>
    <w:p w:rsidRPr="00051598" w:rsidR="00523A28" w:rsidP="00523A28" w:rsidRDefault="00523A28" w14:paraId="41ED6F79"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Bessen, J., Goos, M., Salomons, A., &amp; van den Berge, W. (2019). </w:t>
      </w:r>
      <w:r w:rsidRPr="00051598">
        <w:rPr>
          <w:rFonts w:ascii="Times New Roman" w:hAnsi="Times New Roman" w:cs="Times New Roman"/>
          <w:i/>
          <w:iCs/>
          <w:lang w:val="en-US"/>
        </w:rPr>
        <w:t>Automatic Reaction: What happens to workers at firms that automate?</w:t>
      </w:r>
      <w:r w:rsidRPr="00051598">
        <w:rPr>
          <w:rFonts w:ascii="Times New Roman" w:hAnsi="Times New Roman" w:cs="Times New Roman"/>
          <w:lang w:val="en-US"/>
        </w:rPr>
        <w:t xml:space="preserve"> CPB Netherlands.</w:t>
      </w:r>
    </w:p>
    <w:p w:rsidRPr="00051598" w:rsidR="00523A28" w:rsidP="00523A28" w:rsidRDefault="00523A28" w14:paraId="4CDA5072"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Brynjolfsson, E., &amp; McAfee, A. (2011). </w:t>
      </w:r>
      <w:r w:rsidRPr="00051598">
        <w:rPr>
          <w:rFonts w:ascii="Times New Roman" w:hAnsi="Times New Roman" w:cs="Times New Roman"/>
          <w:i/>
          <w:iCs/>
          <w:lang w:val="en-US"/>
        </w:rPr>
        <w:t>Race Against The Machine: How the Digital Revolution is Accelerating Innovation, Driving Productivity, and Irreversibly Transforming Employment and the Economy</w:t>
      </w:r>
      <w:r w:rsidRPr="00051598">
        <w:rPr>
          <w:rFonts w:ascii="Times New Roman" w:hAnsi="Times New Roman" w:cs="Times New Roman"/>
          <w:lang w:val="en-US"/>
        </w:rPr>
        <w:t>. Digital Frontier Press.</w:t>
      </w:r>
    </w:p>
    <w:p w:rsidRPr="00051598" w:rsidR="00523A28" w:rsidP="00523A28" w:rsidRDefault="00523A28" w14:paraId="6E4CF6EF"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Brynjolfsson, E., &amp; McAfee, A. (2014). </w:t>
      </w:r>
      <w:r w:rsidRPr="00051598">
        <w:rPr>
          <w:rFonts w:ascii="Times New Roman" w:hAnsi="Times New Roman" w:cs="Times New Roman"/>
          <w:i/>
          <w:iCs/>
          <w:lang w:val="en-US"/>
        </w:rPr>
        <w:t>The Second Machine Age: Work, Progress, and Prosperity in a Time of Brilliant Technologies</w:t>
      </w:r>
      <w:r w:rsidRPr="00051598">
        <w:rPr>
          <w:rFonts w:ascii="Times New Roman" w:hAnsi="Times New Roman" w:cs="Times New Roman"/>
          <w:lang w:val="en-US"/>
        </w:rPr>
        <w:t xml:space="preserve"> (1 edition). W. W. Norton &amp; Company.</w:t>
      </w:r>
    </w:p>
    <w:p w:rsidRPr="00051598" w:rsidR="00523A28" w:rsidP="00523A28" w:rsidRDefault="00523A28" w14:paraId="19AA20A5"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Brynjolfsson, E., Rock, D., &amp; Syverson, C. (2017). </w:t>
      </w:r>
      <w:r w:rsidRPr="00051598">
        <w:rPr>
          <w:rFonts w:ascii="Times New Roman" w:hAnsi="Times New Roman" w:cs="Times New Roman"/>
          <w:i/>
          <w:iCs/>
          <w:lang w:val="en-US"/>
        </w:rPr>
        <w:t>Artificial Intelligence and the Modern Productivity Paradox: A Clash of Expectations and Statistics</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24001. </w:t>
      </w:r>
      <w:hyperlink w:history="1" r:id="rId15">
        <w:r w:rsidRPr="00051598">
          <w:rPr>
            <w:rStyle w:val="Hyperlink"/>
            <w:rFonts w:ascii="Times New Roman" w:hAnsi="Times New Roman" w:cs="Times New Roman"/>
            <w:lang w:val="en-US"/>
          </w:rPr>
          <w:t>https://doi.org/10.3386/w24001</w:t>
        </w:r>
      </w:hyperlink>
    </w:p>
    <w:p w:rsidRPr="007B4BA5" w:rsidR="00523A28" w:rsidP="00523A28" w:rsidRDefault="00523A28" w14:paraId="2EB30A1F" w14:textId="77777777">
      <w:pPr>
        <w:spacing w:before="100" w:beforeAutospacing="1" w:after="240" w:line="240" w:lineRule="atLeast"/>
        <w:rPr>
          <w:rFonts w:ascii="Times New Roman" w:hAnsi="Times New Roman" w:cs="Times New Roman"/>
          <w:lang w:val="en-US"/>
        </w:rPr>
      </w:pPr>
      <w:r w:rsidRPr="007B4BA5">
        <w:rPr>
          <w:rFonts w:ascii="Times New Roman" w:hAnsi="Times New Roman" w:cs="Times New Roman"/>
          <w:lang w:val="en-US"/>
        </w:rPr>
        <w:t xml:space="preserve">Brynjolfsson, E., Rock, D., &amp; Syverson, C. (2018). </w:t>
      </w:r>
      <w:r w:rsidRPr="007B4BA5">
        <w:rPr>
          <w:rFonts w:ascii="Times New Roman" w:hAnsi="Times New Roman" w:cs="Times New Roman"/>
          <w:i/>
          <w:iCs/>
          <w:lang w:val="en-US"/>
        </w:rPr>
        <w:t>The Productivity J-Curve: How Intangibles Complement General Purpose Technologies</w:t>
      </w:r>
      <w:r>
        <w:rPr>
          <w:rFonts w:ascii="Times New Roman" w:hAnsi="Times New Roman" w:cs="Times New Roman"/>
          <w:i/>
          <w:iCs/>
          <w:lang w:val="en-US"/>
        </w:rPr>
        <w:t>,</w:t>
      </w:r>
      <w:r w:rsidRPr="007B4BA5">
        <w:rPr>
          <w:rFonts w:ascii="Times New Roman" w:hAnsi="Times New Roman" w:cs="Times New Roman"/>
          <w:lang w:val="en-US"/>
        </w:rPr>
        <w:t xml:space="preserve"> </w:t>
      </w:r>
      <w:r>
        <w:rPr>
          <w:rFonts w:ascii="Times New Roman" w:hAnsi="Times New Roman" w:cs="Times New Roman"/>
          <w:lang w:val="en-US"/>
        </w:rPr>
        <w:t xml:space="preserve">NBER </w:t>
      </w:r>
      <w:r w:rsidRPr="007B4BA5">
        <w:rPr>
          <w:rFonts w:ascii="Times New Roman" w:hAnsi="Times New Roman" w:cs="Times New Roman"/>
          <w:lang w:val="en-US"/>
        </w:rPr>
        <w:t xml:space="preserve">Working Paper No. 25148. </w:t>
      </w:r>
      <w:hyperlink w:history="1" r:id="rId16">
        <w:r w:rsidRPr="007B4BA5">
          <w:rPr>
            <w:rStyle w:val="Hyperlink"/>
            <w:rFonts w:ascii="Times New Roman" w:hAnsi="Times New Roman" w:cs="Times New Roman"/>
            <w:lang w:val="en-US"/>
          </w:rPr>
          <w:t>https://doi.org/10.3386/w25148</w:t>
        </w:r>
      </w:hyperlink>
    </w:p>
    <w:p w:rsidRPr="00051598" w:rsidR="00523A28" w:rsidP="00523A28" w:rsidRDefault="00523A28" w14:paraId="2598193C"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Cockburn, I. M., Henderson, R., &amp; Stern, S. (2018). </w:t>
      </w:r>
      <w:r w:rsidRPr="00051598">
        <w:rPr>
          <w:rFonts w:ascii="Times New Roman" w:hAnsi="Times New Roman" w:cs="Times New Roman"/>
          <w:i/>
          <w:iCs/>
          <w:lang w:val="en-US"/>
        </w:rPr>
        <w:t>The Impact of Artificial Intelligence on Innovation</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24449. </w:t>
      </w:r>
      <w:hyperlink w:history="1" r:id="rId17">
        <w:r w:rsidRPr="00051598">
          <w:rPr>
            <w:rStyle w:val="Hyperlink"/>
            <w:rFonts w:ascii="Times New Roman" w:hAnsi="Times New Roman" w:cs="Times New Roman"/>
            <w:lang w:val="en-US"/>
          </w:rPr>
          <w:t>https://doi.org/10.3386/w24449</w:t>
        </w:r>
      </w:hyperlink>
    </w:p>
    <w:p w:rsidRPr="00051598" w:rsidR="00523A28" w:rsidP="00523A28" w:rsidRDefault="00523A28" w14:paraId="570CE1B2"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Coyle, D. (2017). </w:t>
      </w:r>
      <w:r w:rsidRPr="00051598">
        <w:rPr>
          <w:rFonts w:ascii="Times New Roman" w:hAnsi="Times New Roman" w:cs="Times New Roman"/>
          <w:i/>
          <w:iCs/>
          <w:lang w:val="en-US"/>
        </w:rPr>
        <w:t>Do-it-Yourself Digital: The Production Boundary and the Productivity Puzzle</w:t>
      </w:r>
      <w:r w:rsidRPr="00051598">
        <w:rPr>
          <w:rFonts w:ascii="Times New Roman" w:hAnsi="Times New Roman" w:cs="Times New Roman"/>
          <w:lang w:val="en-US"/>
        </w:rPr>
        <w:t xml:space="preserve"> (SSRN Scholarly Paper No. ID 2986725). Retrieved from Social Science Research Network website: </w:t>
      </w:r>
      <w:hyperlink w:history="1" r:id="rId18">
        <w:r w:rsidRPr="00051598">
          <w:rPr>
            <w:rStyle w:val="Hyperlink"/>
            <w:rFonts w:ascii="Times New Roman" w:hAnsi="Times New Roman" w:cs="Times New Roman"/>
            <w:lang w:val="en-US"/>
          </w:rPr>
          <w:t>https://papers.ssrn.com/abstract=2986725</w:t>
        </w:r>
      </w:hyperlink>
    </w:p>
    <w:p w:rsidR="00523A28" w:rsidP="00523A28" w:rsidRDefault="00523A28" w14:paraId="243B4DC5" w14:textId="77777777">
      <w:pPr>
        <w:rPr>
          <w:rStyle w:val="Hyperlink"/>
          <w:rFonts w:ascii="Times New Roman" w:hAnsi="Times New Roman" w:cs="Times New Roman"/>
          <w:lang w:val="en-US"/>
        </w:rPr>
      </w:pPr>
      <w:r w:rsidRPr="00051598">
        <w:rPr>
          <w:rFonts w:ascii="Times New Roman" w:hAnsi="Times New Roman" w:cs="Times New Roman"/>
          <w:lang w:val="en-US"/>
        </w:rPr>
        <w:t xml:space="preserve">Creswell, A., White, T., Dumoulin, V., Arulkumaran, K., Sengupta, B., &amp; Bharath, A. A. (2018). Generative Adversarial Networks: An Overview. </w:t>
      </w:r>
      <w:r w:rsidRPr="00051598">
        <w:rPr>
          <w:rFonts w:ascii="Times New Roman" w:hAnsi="Times New Roman" w:cs="Times New Roman"/>
          <w:i/>
          <w:iCs/>
          <w:lang w:val="en-US"/>
        </w:rPr>
        <w:t>IEEE Signal Processing Magazine</w:t>
      </w:r>
      <w:r w:rsidRPr="00051598">
        <w:rPr>
          <w:rFonts w:ascii="Times New Roman" w:hAnsi="Times New Roman" w:cs="Times New Roman"/>
          <w:lang w:val="en-US"/>
        </w:rPr>
        <w:t xml:space="preserve">, </w:t>
      </w:r>
      <w:r w:rsidRPr="00051598">
        <w:rPr>
          <w:rFonts w:ascii="Times New Roman" w:hAnsi="Times New Roman" w:cs="Times New Roman"/>
          <w:i/>
          <w:iCs/>
          <w:lang w:val="en-US"/>
        </w:rPr>
        <w:t>35</w:t>
      </w:r>
      <w:r w:rsidRPr="00051598">
        <w:rPr>
          <w:rFonts w:ascii="Times New Roman" w:hAnsi="Times New Roman" w:cs="Times New Roman"/>
          <w:lang w:val="en-US"/>
        </w:rPr>
        <w:t xml:space="preserve">(1), 53–65. </w:t>
      </w:r>
      <w:hyperlink w:history="1" r:id="rId19">
        <w:r w:rsidRPr="00051598">
          <w:rPr>
            <w:rStyle w:val="Hyperlink"/>
            <w:rFonts w:ascii="Times New Roman" w:hAnsi="Times New Roman" w:cs="Times New Roman"/>
            <w:lang w:val="en-US"/>
          </w:rPr>
          <w:t>https://doi.org/10.1109/MSP.2017.2765202</w:t>
        </w:r>
      </w:hyperlink>
    </w:p>
    <w:p w:rsidR="00523A28" w:rsidP="00523A28" w:rsidRDefault="00523A28" w14:paraId="12234BD2" w14:textId="77777777"/>
    <w:p w:rsidRPr="00051598" w:rsidR="00523A28" w:rsidP="00523A28" w:rsidRDefault="00523A28" w14:paraId="6F20752D"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Deng, L. (2018). Artificial Intelligence in the Rising Wave of Deep Learning: The Historical Path and Future Outlook [Perspectives]. </w:t>
      </w:r>
      <w:r w:rsidRPr="00051598">
        <w:rPr>
          <w:rFonts w:ascii="Times New Roman" w:hAnsi="Times New Roman" w:cs="Times New Roman"/>
          <w:i/>
          <w:iCs/>
          <w:lang w:val="en-US"/>
        </w:rPr>
        <w:t>IEEE Signal Processing Magazine</w:t>
      </w:r>
      <w:r w:rsidRPr="00051598">
        <w:rPr>
          <w:rFonts w:ascii="Times New Roman" w:hAnsi="Times New Roman" w:cs="Times New Roman"/>
          <w:lang w:val="en-US"/>
        </w:rPr>
        <w:t xml:space="preserve">, </w:t>
      </w:r>
      <w:r w:rsidRPr="00051598">
        <w:rPr>
          <w:rFonts w:ascii="Times New Roman" w:hAnsi="Times New Roman" w:cs="Times New Roman"/>
          <w:i/>
          <w:iCs/>
          <w:lang w:val="en-US"/>
        </w:rPr>
        <w:t>35</w:t>
      </w:r>
      <w:r w:rsidRPr="00051598">
        <w:rPr>
          <w:rFonts w:ascii="Times New Roman" w:hAnsi="Times New Roman" w:cs="Times New Roman"/>
          <w:lang w:val="en-US"/>
        </w:rPr>
        <w:t xml:space="preserve">(1), 180–177. </w:t>
      </w:r>
      <w:hyperlink w:history="1" r:id="rId20">
        <w:r w:rsidRPr="00051598">
          <w:rPr>
            <w:rStyle w:val="Hyperlink"/>
            <w:rFonts w:ascii="Times New Roman" w:hAnsi="Times New Roman" w:cs="Times New Roman"/>
            <w:lang w:val="en-US"/>
          </w:rPr>
          <w:t>https://doi.org/10.1109/MSP.2017.2762725</w:t>
        </w:r>
      </w:hyperlink>
    </w:p>
    <w:p w:rsidRPr="00051598" w:rsidR="00523A28" w:rsidP="00523A28" w:rsidRDefault="00523A28" w14:paraId="4B3C40E6"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Fazeli, N., Oller, M., Wu, J., Wu, Z., Tenenbaum, J. B., &amp; Rodriguez, A. (2019). See, feel, act: Hierarchical learning for complex manipulation skills with multisensory fusion. </w:t>
      </w:r>
      <w:r w:rsidRPr="00051598">
        <w:rPr>
          <w:rFonts w:ascii="Times New Roman" w:hAnsi="Times New Roman" w:cs="Times New Roman"/>
          <w:i/>
          <w:iCs/>
          <w:lang w:val="en-US"/>
        </w:rPr>
        <w:t>Science Robotics</w:t>
      </w:r>
      <w:r w:rsidRPr="00051598">
        <w:rPr>
          <w:rFonts w:ascii="Times New Roman" w:hAnsi="Times New Roman" w:cs="Times New Roman"/>
          <w:lang w:val="en-US"/>
        </w:rPr>
        <w:t xml:space="preserve">, </w:t>
      </w:r>
      <w:r w:rsidRPr="00051598">
        <w:rPr>
          <w:rFonts w:ascii="Times New Roman" w:hAnsi="Times New Roman" w:cs="Times New Roman"/>
          <w:i/>
          <w:iCs/>
          <w:lang w:val="en-US"/>
        </w:rPr>
        <w:t>4</w:t>
      </w:r>
      <w:r w:rsidRPr="00051598">
        <w:rPr>
          <w:rFonts w:ascii="Times New Roman" w:hAnsi="Times New Roman" w:cs="Times New Roman"/>
          <w:lang w:val="en-US"/>
        </w:rPr>
        <w:t xml:space="preserve">(26), eaav3123. </w:t>
      </w:r>
      <w:hyperlink w:history="1" r:id="rId21">
        <w:r w:rsidRPr="00051598">
          <w:rPr>
            <w:rStyle w:val="Hyperlink"/>
            <w:rFonts w:ascii="Times New Roman" w:hAnsi="Times New Roman" w:cs="Times New Roman"/>
            <w:lang w:val="en-US"/>
          </w:rPr>
          <w:t>https://doi.org/10.1126/scirobotics.aav3123</w:t>
        </w:r>
      </w:hyperlink>
    </w:p>
    <w:p w:rsidRPr="00051598" w:rsidR="00523A28" w:rsidP="00523A28" w:rsidRDefault="00523A28" w14:paraId="619293A4" w14:textId="77777777">
      <w:pPr>
        <w:spacing w:before="100" w:beforeAutospacing="1" w:after="240" w:line="240" w:lineRule="atLeast"/>
        <w:rPr>
          <w:rFonts w:ascii="Times New Roman" w:hAnsi="Times New Roman" w:cs="Times New Roman"/>
          <w:lang w:val="en-US"/>
        </w:rPr>
      </w:pPr>
      <w:r w:rsidRPr="00600B93">
        <w:rPr>
          <w:rFonts w:ascii="Times New Roman" w:hAnsi="Times New Roman" w:cs="Times New Roman"/>
          <w:lang w:val="en-US"/>
        </w:rPr>
        <w:t xml:space="preserve">Frey, C. B., &amp; Osborne, M. A. (2017). The future of employment: How susceptible are jobs to computerisation? </w:t>
      </w:r>
      <w:r w:rsidRPr="00600B93">
        <w:rPr>
          <w:rFonts w:ascii="Times New Roman" w:hAnsi="Times New Roman" w:cs="Times New Roman"/>
          <w:i/>
          <w:iCs/>
          <w:lang w:val="en-US"/>
        </w:rPr>
        <w:t>Technological Forecasting and Social Change</w:t>
      </w:r>
      <w:r w:rsidRPr="00600B93">
        <w:rPr>
          <w:rFonts w:ascii="Times New Roman" w:hAnsi="Times New Roman" w:cs="Times New Roman"/>
          <w:lang w:val="en-US"/>
        </w:rPr>
        <w:t xml:space="preserve">, </w:t>
      </w:r>
      <w:r w:rsidRPr="00600B93">
        <w:rPr>
          <w:rFonts w:ascii="Times New Roman" w:hAnsi="Times New Roman" w:cs="Times New Roman"/>
          <w:i/>
          <w:iCs/>
          <w:lang w:val="en-US"/>
        </w:rPr>
        <w:t>114</w:t>
      </w:r>
      <w:r w:rsidRPr="00600B93">
        <w:rPr>
          <w:rFonts w:ascii="Times New Roman" w:hAnsi="Times New Roman" w:cs="Times New Roman"/>
          <w:lang w:val="en-US"/>
        </w:rPr>
        <w:t xml:space="preserve">, 254–280. </w:t>
      </w:r>
      <w:hyperlink w:history="1" r:id="rId22">
        <w:r w:rsidRPr="00600B93">
          <w:rPr>
            <w:rStyle w:val="Hyperlink"/>
            <w:rFonts w:ascii="Times New Roman" w:hAnsi="Times New Roman" w:cs="Times New Roman"/>
            <w:lang w:val="en-US"/>
          </w:rPr>
          <w:t>https://doi.org/10.1016/j.techfore.2016.08.019</w:t>
        </w:r>
      </w:hyperlink>
    </w:p>
    <w:p w:rsidRPr="00051598" w:rsidR="00523A28" w:rsidP="00523A28" w:rsidRDefault="00523A28" w14:paraId="4F36DD7C"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Goldin, C., &amp; Katz, L. F. (1998). The Origins of Technology-Skill Complementarity. </w:t>
      </w:r>
      <w:r w:rsidRPr="00051598">
        <w:rPr>
          <w:rFonts w:ascii="Times New Roman" w:hAnsi="Times New Roman" w:cs="Times New Roman"/>
          <w:i/>
          <w:iCs/>
          <w:lang w:val="en-US"/>
        </w:rPr>
        <w:t>The Quarterly Journal of Economics</w:t>
      </w:r>
      <w:r w:rsidRPr="00051598">
        <w:rPr>
          <w:rFonts w:ascii="Times New Roman" w:hAnsi="Times New Roman" w:cs="Times New Roman"/>
          <w:lang w:val="en-US"/>
        </w:rPr>
        <w:t xml:space="preserve">, </w:t>
      </w:r>
      <w:r w:rsidRPr="00051598">
        <w:rPr>
          <w:rFonts w:ascii="Times New Roman" w:hAnsi="Times New Roman" w:cs="Times New Roman"/>
          <w:i/>
          <w:iCs/>
          <w:lang w:val="en-US"/>
        </w:rPr>
        <w:t>113</w:t>
      </w:r>
      <w:r w:rsidRPr="00051598">
        <w:rPr>
          <w:rFonts w:ascii="Times New Roman" w:hAnsi="Times New Roman" w:cs="Times New Roman"/>
          <w:lang w:val="en-US"/>
        </w:rPr>
        <w:t xml:space="preserve">(3), 693–732. </w:t>
      </w:r>
      <w:hyperlink w:history="1" r:id="rId23">
        <w:r w:rsidRPr="00051598">
          <w:rPr>
            <w:rStyle w:val="Hyperlink"/>
            <w:rFonts w:ascii="Times New Roman" w:hAnsi="Times New Roman" w:cs="Times New Roman"/>
            <w:lang w:val="en-US"/>
          </w:rPr>
          <w:t>https://doi.org/10.1162/003355398555720</w:t>
        </w:r>
      </w:hyperlink>
    </w:p>
    <w:p w:rsidRPr="00051598" w:rsidR="00523A28" w:rsidP="00523A28" w:rsidRDefault="00523A28" w14:paraId="06DBAEE6"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Gordon, R. (2016). </w:t>
      </w:r>
      <w:r w:rsidRPr="00051598">
        <w:rPr>
          <w:rFonts w:ascii="Times New Roman" w:hAnsi="Times New Roman" w:cs="Times New Roman"/>
          <w:i/>
          <w:iCs/>
          <w:lang w:val="en-US"/>
        </w:rPr>
        <w:t>The rise and fall of American growth: The US standard of living since the civil war</w:t>
      </w:r>
      <w:r w:rsidRPr="00051598">
        <w:rPr>
          <w:rFonts w:ascii="Times New Roman" w:hAnsi="Times New Roman" w:cs="Times New Roman"/>
          <w:lang w:val="en-US"/>
        </w:rPr>
        <w:t>. Princeton University Press.</w:t>
      </w:r>
    </w:p>
    <w:p w:rsidRPr="00051598" w:rsidR="00523A28" w:rsidP="00523A28" w:rsidRDefault="00523A28" w14:paraId="34D160A8"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lastRenderedPageBreak/>
        <w:t xml:space="preserve">Gutiérrez, G., &amp; Philippon, T. (2016). </w:t>
      </w:r>
      <w:r w:rsidRPr="00051598">
        <w:rPr>
          <w:rFonts w:ascii="Times New Roman" w:hAnsi="Times New Roman" w:cs="Times New Roman"/>
          <w:i/>
          <w:iCs/>
          <w:lang w:val="en-US"/>
        </w:rPr>
        <w:t>Investment-less Growth: An Empirical Investigation</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22897. </w:t>
      </w:r>
      <w:hyperlink w:history="1" r:id="rId24">
        <w:r w:rsidRPr="00051598">
          <w:rPr>
            <w:rStyle w:val="Hyperlink"/>
            <w:rFonts w:ascii="Times New Roman" w:hAnsi="Times New Roman" w:cs="Times New Roman"/>
            <w:lang w:val="en-US"/>
          </w:rPr>
          <w:t>https://doi.org/10.3386/w22897</w:t>
        </w:r>
      </w:hyperlink>
    </w:p>
    <w:p w:rsidRPr="00051598" w:rsidR="00523A28" w:rsidP="00523A28" w:rsidRDefault="00523A28" w14:paraId="5F75E239"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Gutiérrez, G., &amp; Philippon, T. (2017). </w:t>
      </w:r>
      <w:r w:rsidRPr="00051598">
        <w:rPr>
          <w:rFonts w:ascii="Times New Roman" w:hAnsi="Times New Roman" w:cs="Times New Roman"/>
          <w:i/>
          <w:iCs/>
          <w:lang w:val="en-US"/>
        </w:rPr>
        <w:t>Declining Competition and Investment in the U.S.</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23583. </w:t>
      </w:r>
      <w:hyperlink w:history="1" r:id="rId25">
        <w:r w:rsidRPr="00051598">
          <w:rPr>
            <w:rStyle w:val="Hyperlink"/>
            <w:rFonts w:ascii="Times New Roman" w:hAnsi="Times New Roman" w:cs="Times New Roman"/>
            <w:lang w:val="en-US"/>
          </w:rPr>
          <w:t>https://doi.org/10.3386/w23583</w:t>
        </w:r>
      </w:hyperlink>
    </w:p>
    <w:p w:rsidRPr="00051598" w:rsidR="00523A28" w:rsidP="00523A28" w:rsidRDefault="00523A28" w14:paraId="487492B4"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Heckman, J. J. (2018). </w:t>
      </w:r>
      <w:r w:rsidRPr="00051598">
        <w:rPr>
          <w:rFonts w:ascii="Times New Roman" w:hAnsi="Times New Roman" w:cs="Times New Roman"/>
          <w:i/>
          <w:iCs/>
          <w:lang w:val="en-US"/>
        </w:rPr>
        <w:t>The Race Between Demand and Supply: Tinbergen’s Pioneering Studies of Earnings Inequality</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25415. </w:t>
      </w:r>
      <w:hyperlink w:history="1" r:id="rId26">
        <w:r w:rsidRPr="00051598">
          <w:rPr>
            <w:rStyle w:val="Hyperlink"/>
            <w:rFonts w:ascii="Times New Roman" w:hAnsi="Times New Roman" w:cs="Times New Roman"/>
            <w:lang w:val="en-US"/>
          </w:rPr>
          <w:t>https://doi.org/10.3386/w25415</w:t>
        </w:r>
      </w:hyperlink>
    </w:p>
    <w:p w:rsidRPr="00051598" w:rsidR="00523A28" w:rsidP="00523A28" w:rsidRDefault="00523A28" w14:paraId="3B2CCFBE"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Hopenhayn, H. A. (1992). Entry, Exit, and firm Dynamics in Long Run Equilibrium. </w:t>
      </w:r>
      <w:r w:rsidRPr="00051598">
        <w:rPr>
          <w:rFonts w:ascii="Times New Roman" w:hAnsi="Times New Roman" w:cs="Times New Roman"/>
          <w:i/>
          <w:iCs/>
          <w:lang w:val="en-US"/>
        </w:rPr>
        <w:t>Econometrica</w:t>
      </w:r>
      <w:r w:rsidRPr="00051598">
        <w:rPr>
          <w:rFonts w:ascii="Times New Roman" w:hAnsi="Times New Roman" w:cs="Times New Roman"/>
          <w:lang w:val="en-US"/>
        </w:rPr>
        <w:t xml:space="preserve">, </w:t>
      </w:r>
      <w:r w:rsidRPr="00051598">
        <w:rPr>
          <w:rFonts w:ascii="Times New Roman" w:hAnsi="Times New Roman" w:cs="Times New Roman"/>
          <w:i/>
          <w:iCs/>
          <w:lang w:val="en-US"/>
        </w:rPr>
        <w:t>60</w:t>
      </w:r>
      <w:r w:rsidRPr="00051598">
        <w:rPr>
          <w:rFonts w:ascii="Times New Roman" w:hAnsi="Times New Roman" w:cs="Times New Roman"/>
          <w:lang w:val="en-US"/>
        </w:rPr>
        <w:t xml:space="preserve">(5), 1127–1150. </w:t>
      </w:r>
      <w:hyperlink w:history="1" r:id="rId27">
        <w:r w:rsidRPr="00051598">
          <w:rPr>
            <w:rStyle w:val="Hyperlink"/>
            <w:rFonts w:ascii="Times New Roman" w:hAnsi="Times New Roman" w:cs="Times New Roman"/>
            <w:lang w:val="en-US"/>
          </w:rPr>
          <w:t>https://doi.org/10.2307/2951541</w:t>
        </w:r>
      </w:hyperlink>
    </w:p>
    <w:p w:rsidRPr="00051598" w:rsidR="00523A28" w:rsidP="00523A28" w:rsidRDefault="00523A28" w14:paraId="412A8962"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Jones, C. I., &amp; Romer, P. M. (2010). The New Kaldor Facts: Ideas, Institutions, Population, and Human Capital. </w:t>
      </w:r>
      <w:r w:rsidRPr="00051598">
        <w:rPr>
          <w:rFonts w:ascii="Times New Roman" w:hAnsi="Times New Roman" w:cs="Times New Roman"/>
          <w:i/>
          <w:iCs/>
          <w:lang w:val="en-US"/>
        </w:rPr>
        <w:t>American Economic Journal: Macroeconomics</w:t>
      </w:r>
      <w:r w:rsidRPr="00051598">
        <w:rPr>
          <w:rFonts w:ascii="Times New Roman" w:hAnsi="Times New Roman" w:cs="Times New Roman"/>
          <w:lang w:val="en-US"/>
        </w:rPr>
        <w:t xml:space="preserve">, </w:t>
      </w:r>
      <w:r w:rsidRPr="00051598">
        <w:rPr>
          <w:rFonts w:ascii="Times New Roman" w:hAnsi="Times New Roman" w:cs="Times New Roman"/>
          <w:i/>
          <w:iCs/>
          <w:lang w:val="en-US"/>
        </w:rPr>
        <w:t>2</w:t>
      </w:r>
      <w:r w:rsidRPr="00051598">
        <w:rPr>
          <w:rFonts w:ascii="Times New Roman" w:hAnsi="Times New Roman" w:cs="Times New Roman"/>
          <w:lang w:val="en-US"/>
        </w:rPr>
        <w:t xml:space="preserve">(1), 224–245. </w:t>
      </w:r>
      <w:hyperlink w:history="1" r:id="rId28">
        <w:r w:rsidRPr="00051598">
          <w:rPr>
            <w:rStyle w:val="Hyperlink"/>
            <w:rFonts w:ascii="Times New Roman" w:hAnsi="Times New Roman" w:cs="Times New Roman"/>
            <w:lang w:val="en-US"/>
          </w:rPr>
          <w:t>https://doi.org/10.1257/mac.2.1.224</w:t>
        </w:r>
      </w:hyperlink>
    </w:p>
    <w:p w:rsidRPr="00051598" w:rsidR="00523A28" w:rsidP="00523A28" w:rsidRDefault="00523A28" w14:paraId="17E55AE2"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Kaldor, N. (1961). Capital Accumulation and Economic Growth. In F. A. Lutz &amp; D. C. Hague (Eds.), </w:t>
      </w:r>
      <w:r w:rsidRPr="00051598">
        <w:rPr>
          <w:rFonts w:ascii="Times New Roman" w:hAnsi="Times New Roman" w:cs="Times New Roman"/>
          <w:i/>
          <w:iCs/>
          <w:lang w:val="en-US"/>
        </w:rPr>
        <w:t>The Theory of Capital: Proceedings of a Conference held by the International Economic Association</w:t>
      </w:r>
      <w:r w:rsidRPr="00051598">
        <w:rPr>
          <w:rFonts w:ascii="Times New Roman" w:hAnsi="Times New Roman" w:cs="Times New Roman"/>
          <w:lang w:val="en-US"/>
        </w:rPr>
        <w:t xml:space="preserve"> (pp. 177–222). </w:t>
      </w:r>
      <w:hyperlink w:history="1" r:id="rId29">
        <w:r w:rsidRPr="00051598">
          <w:rPr>
            <w:rStyle w:val="Hyperlink"/>
            <w:rFonts w:ascii="Times New Roman" w:hAnsi="Times New Roman" w:cs="Times New Roman"/>
            <w:lang w:val="en-US"/>
          </w:rPr>
          <w:t>https://doi.org/10.1007/978-1-349-08452-4_10</w:t>
        </w:r>
      </w:hyperlink>
    </w:p>
    <w:p w:rsidRPr="00051598" w:rsidR="00523A28" w:rsidP="00523A28" w:rsidRDefault="00523A28" w14:paraId="54DC4141"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Karabarbounis, L., &amp; Neiman, B. (2014). The Global Decline of the Labor Share. </w:t>
      </w:r>
      <w:r w:rsidRPr="00051598">
        <w:rPr>
          <w:rFonts w:ascii="Times New Roman" w:hAnsi="Times New Roman" w:cs="Times New Roman"/>
          <w:i/>
          <w:iCs/>
          <w:lang w:val="en-US"/>
        </w:rPr>
        <w:t>The Quarterly Journal of Economics</w:t>
      </w:r>
      <w:r w:rsidRPr="00051598">
        <w:rPr>
          <w:rFonts w:ascii="Times New Roman" w:hAnsi="Times New Roman" w:cs="Times New Roman"/>
          <w:lang w:val="en-US"/>
        </w:rPr>
        <w:t xml:space="preserve">, </w:t>
      </w:r>
      <w:r w:rsidRPr="00051598">
        <w:rPr>
          <w:rFonts w:ascii="Times New Roman" w:hAnsi="Times New Roman" w:cs="Times New Roman"/>
          <w:i/>
          <w:iCs/>
          <w:lang w:val="en-US"/>
        </w:rPr>
        <w:t>129</w:t>
      </w:r>
      <w:r w:rsidRPr="00051598">
        <w:rPr>
          <w:rFonts w:ascii="Times New Roman" w:hAnsi="Times New Roman" w:cs="Times New Roman"/>
          <w:lang w:val="en-US"/>
        </w:rPr>
        <w:t xml:space="preserve">(1), 61–103. </w:t>
      </w:r>
      <w:hyperlink w:history="1" r:id="rId30">
        <w:r w:rsidRPr="00051598">
          <w:rPr>
            <w:rStyle w:val="Hyperlink"/>
            <w:rFonts w:ascii="Times New Roman" w:hAnsi="Times New Roman" w:cs="Times New Roman"/>
            <w:lang w:val="en-US"/>
          </w:rPr>
          <w:t>https://doi.org/10.1093/qje/qjt032</w:t>
        </w:r>
      </w:hyperlink>
    </w:p>
    <w:p w:rsidRPr="00051598" w:rsidR="00523A28" w:rsidP="00523A28" w:rsidRDefault="00523A28" w14:paraId="20C03A73"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Loecker, J. D., &amp; Eeckhout, J. (2017). </w:t>
      </w:r>
      <w:r w:rsidRPr="00051598">
        <w:rPr>
          <w:rFonts w:ascii="Times New Roman" w:hAnsi="Times New Roman" w:cs="Times New Roman"/>
          <w:i/>
          <w:iCs/>
          <w:lang w:val="en-US"/>
        </w:rPr>
        <w:t>The Rise of Market Power and the Macroeconomic Implications</w:t>
      </w:r>
      <w:r>
        <w:rPr>
          <w:rFonts w:ascii="Times New Roman" w:hAnsi="Times New Roman" w:cs="Times New Roman"/>
          <w:i/>
          <w:iCs/>
          <w:lang w:val="en-US"/>
        </w:rPr>
        <w:t>,</w:t>
      </w:r>
      <w:r w:rsidRPr="00051598">
        <w:rPr>
          <w:rFonts w:ascii="Times New Roman" w:hAnsi="Times New Roman" w:cs="Times New Roman"/>
          <w:lang w:val="en-US"/>
        </w:rPr>
        <w:t xml:space="preserve"> </w:t>
      </w:r>
      <w:r>
        <w:rPr>
          <w:rFonts w:ascii="Times New Roman" w:hAnsi="Times New Roman" w:cs="Times New Roman"/>
          <w:lang w:val="en-US"/>
        </w:rPr>
        <w:t xml:space="preserve">NBER </w:t>
      </w:r>
      <w:r w:rsidRPr="00051598">
        <w:rPr>
          <w:rFonts w:ascii="Times New Roman" w:hAnsi="Times New Roman" w:cs="Times New Roman"/>
          <w:lang w:val="en-US"/>
        </w:rPr>
        <w:t xml:space="preserve">Working Paper No. 23687. </w:t>
      </w:r>
      <w:hyperlink w:history="1" r:id="rId31">
        <w:r w:rsidRPr="00051598">
          <w:rPr>
            <w:rStyle w:val="Hyperlink"/>
            <w:rFonts w:ascii="Times New Roman" w:hAnsi="Times New Roman" w:cs="Times New Roman"/>
            <w:lang w:val="en-US"/>
          </w:rPr>
          <w:t>https://doi.org/10.3386/w23687</w:t>
        </w:r>
      </w:hyperlink>
    </w:p>
    <w:p w:rsidRPr="00051598" w:rsidR="00523A28" w:rsidP="00523A28" w:rsidRDefault="00523A28" w14:paraId="098F0D78"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McAfee, A., &amp; Brynjolfsson, E. (2018). </w:t>
      </w:r>
      <w:r w:rsidRPr="00051598">
        <w:rPr>
          <w:rFonts w:ascii="Times New Roman" w:hAnsi="Times New Roman" w:cs="Times New Roman"/>
          <w:i/>
          <w:iCs/>
          <w:lang w:val="en-US"/>
        </w:rPr>
        <w:t>Machine, Platform, Crowd: Harnassing our Digital Future</w:t>
      </w:r>
      <w:r w:rsidRPr="00051598">
        <w:rPr>
          <w:rFonts w:ascii="Times New Roman" w:hAnsi="Times New Roman" w:cs="Times New Roman"/>
          <w:lang w:val="en-US"/>
        </w:rPr>
        <w:t>. W. W. Norton &amp; Company.</w:t>
      </w:r>
    </w:p>
    <w:p w:rsidR="00523A28" w:rsidP="00523A28" w:rsidRDefault="00523A28" w14:paraId="50047734" w14:textId="77777777">
      <w:pPr>
        <w:rPr>
          <w:rStyle w:val="Hyperlink"/>
          <w:rFonts w:ascii="Times New Roman" w:hAnsi="Times New Roman" w:cs="Times New Roman"/>
          <w:lang w:val="en-US"/>
        </w:rPr>
      </w:pPr>
      <w:r w:rsidRPr="00051598">
        <w:rPr>
          <w:rFonts w:ascii="Times New Roman" w:hAnsi="Times New Roman" w:cs="Times New Roman"/>
          <w:lang w:val="en-US"/>
        </w:rPr>
        <w:t xml:space="preserve">McKinsey &amp; Company. (2013). </w:t>
      </w:r>
      <w:r w:rsidRPr="00051598">
        <w:rPr>
          <w:rFonts w:ascii="Times New Roman" w:hAnsi="Times New Roman" w:cs="Times New Roman"/>
          <w:i/>
          <w:iCs/>
          <w:lang w:val="en-US"/>
        </w:rPr>
        <w:t>Disruptive technologies: Advances that will transform life, business, and the global economy</w:t>
      </w:r>
      <w:r w:rsidRPr="00051598">
        <w:rPr>
          <w:rFonts w:ascii="Times New Roman" w:hAnsi="Times New Roman" w:cs="Times New Roman"/>
          <w:lang w:val="en-US"/>
        </w:rPr>
        <w:t xml:space="preserve">. Retrieved from </w:t>
      </w:r>
      <w:hyperlink w:history="1" r:id="rId32">
        <w:r w:rsidRPr="00051598">
          <w:rPr>
            <w:rStyle w:val="Hyperlink"/>
            <w:rFonts w:ascii="Times New Roman" w:hAnsi="Times New Roman" w:cs="Times New Roman"/>
            <w:lang w:val="en-US"/>
          </w:rPr>
          <w:t>http://www.mckinsey.com/business-functions/business-technology/our-insights/disruptive-technologies</w:t>
        </w:r>
      </w:hyperlink>
    </w:p>
    <w:p w:rsidR="00523A28" w:rsidP="00523A28" w:rsidRDefault="00523A28" w14:paraId="565DF216" w14:textId="77777777"/>
    <w:p w:rsidRPr="00051598" w:rsidR="00523A28" w:rsidP="00523A28" w:rsidRDefault="00523A28" w14:paraId="6D1D1AEB"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Minar, M. R., &amp; Naher, J. (2018). Recent Advances in Deep Learning: An Overview. </w:t>
      </w:r>
      <w:r w:rsidRPr="00051598">
        <w:rPr>
          <w:rFonts w:ascii="Times New Roman" w:hAnsi="Times New Roman" w:cs="Times New Roman"/>
          <w:i/>
          <w:iCs/>
          <w:lang w:val="en-US"/>
        </w:rPr>
        <w:t>ArXiv:1807.08169 [Cs, Stat]</w:t>
      </w:r>
      <w:r w:rsidRPr="00051598">
        <w:rPr>
          <w:rFonts w:ascii="Times New Roman" w:hAnsi="Times New Roman" w:cs="Times New Roman"/>
          <w:lang w:val="en-US"/>
        </w:rPr>
        <w:t xml:space="preserve">. </w:t>
      </w:r>
      <w:hyperlink w:history="1" r:id="rId33">
        <w:r w:rsidRPr="00051598">
          <w:rPr>
            <w:rStyle w:val="Hyperlink"/>
            <w:rFonts w:ascii="Times New Roman" w:hAnsi="Times New Roman" w:cs="Times New Roman"/>
            <w:lang w:val="en-US"/>
          </w:rPr>
          <w:t>https://doi.org/10.13140/RG.2.2.24831.10403</w:t>
        </w:r>
      </w:hyperlink>
    </w:p>
    <w:p w:rsidRPr="00051598" w:rsidR="00523A28" w:rsidP="00523A28" w:rsidRDefault="00523A28" w14:paraId="109E9CEA"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OECD. (2019a). </w:t>
      </w:r>
      <w:r w:rsidRPr="00051598">
        <w:rPr>
          <w:rFonts w:ascii="Times New Roman" w:hAnsi="Times New Roman" w:cs="Times New Roman"/>
          <w:i/>
          <w:iCs/>
          <w:lang w:val="en-US"/>
        </w:rPr>
        <w:t>OECD Compendium of Productivity Indicators 2019</w:t>
      </w:r>
      <w:r w:rsidRPr="00051598">
        <w:rPr>
          <w:rFonts w:ascii="Times New Roman" w:hAnsi="Times New Roman" w:cs="Times New Roman"/>
          <w:lang w:val="en-US"/>
        </w:rPr>
        <w:t xml:space="preserve">. Retrieved from </w:t>
      </w:r>
      <w:hyperlink w:history="1" r:id="rId34">
        <w:r w:rsidRPr="00051598">
          <w:rPr>
            <w:rStyle w:val="Hyperlink"/>
            <w:rFonts w:ascii="Times New Roman" w:hAnsi="Times New Roman" w:cs="Times New Roman"/>
            <w:lang w:val="en-US"/>
          </w:rPr>
          <w:t>https://doi.org/10.1787/b2774f97-en</w:t>
        </w:r>
      </w:hyperlink>
    </w:p>
    <w:p w:rsidRPr="00051598" w:rsidR="00523A28" w:rsidP="00523A28" w:rsidRDefault="00523A28" w14:paraId="2FF67415"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OECD. (2019b). </w:t>
      </w:r>
      <w:r w:rsidRPr="00051598">
        <w:rPr>
          <w:rFonts w:ascii="Times New Roman" w:hAnsi="Times New Roman" w:cs="Times New Roman"/>
          <w:i/>
          <w:iCs/>
          <w:lang w:val="en-US"/>
        </w:rPr>
        <w:t>OECD Employment Outlook 2019</w:t>
      </w:r>
      <w:r w:rsidRPr="00051598">
        <w:rPr>
          <w:rFonts w:ascii="Times New Roman" w:hAnsi="Times New Roman" w:cs="Times New Roman"/>
          <w:lang w:val="en-US"/>
        </w:rPr>
        <w:t xml:space="preserve">. Retrieved from </w:t>
      </w:r>
      <w:hyperlink w:history="1" r:id="rId35">
        <w:r w:rsidRPr="00051598">
          <w:rPr>
            <w:rStyle w:val="Hyperlink"/>
            <w:rFonts w:ascii="Times New Roman" w:hAnsi="Times New Roman" w:cs="Times New Roman"/>
            <w:lang w:val="en-US"/>
          </w:rPr>
          <w:t>https://doi-org.vu-nl.idm.oclc.org/10.1787/9ee00155-en</w:t>
        </w:r>
      </w:hyperlink>
    </w:p>
    <w:p w:rsidRPr="00051598" w:rsidR="00523A28" w:rsidP="00523A28" w:rsidRDefault="00523A28" w14:paraId="1CD01083"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O’Mahony, M., &amp; Timmer, M. P. (2009). Output, Input and Productivity Measures at the Industry Level: The EU KLEMS Database*. </w:t>
      </w:r>
      <w:r w:rsidRPr="00051598">
        <w:rPr>
          <w:rFonts w:ascii="Times New Roman" w:hAnsi="Times New Roman" w:cs="Times New Roman"/>
          <w:i/>
          <w:iCs/>
          <w:lang w:val="en-US"/>
        </w:rPr>
        <w:t>The Economic Journal</w:t>
      </w:r>
      <w:r w:rsidRPr="00051598">
        <w:rPr>
          <w:rFonts w:ascii="Times New Roman" w:hAnsi="Times New Roman" w:cs="Times New Roman"/>
          <w:lang w:val="en-US"/>
        </w:rPr>
        <w:t xml:space="preserve">, </w:t>
      </w:r>
      <w:r w:rsidRPr="00051598">
        <w:rPr>
          <w:rFonts w:ascii="Times New Roman" w:hAnsi="Times New Roman" w:cs="Times New Roman"/>
          <w:i/>
          <w:iCs/>
          <w:lang w:val="en-US"/>
        </w:rPr>
        <w:t>119</w:t>
      </w:r>
      <w:r w:rsidRPr="00051598">
        <w:rPr>
          <w:rFonts w:ascii="Times New Roman" w:hAnsi="Times New Roman" w:cs="Times New Roman"/>
          <w:lang w:val="en-US"/>
        </w:rPr>
        <w:t xml:space="preserve">(538), F374–F403. </w:t>
      </w:r>
      <w:hyperlink w:history="1" r:id="rId36">
        <w:r w:rsidRPr="00051598">
          <w:rPr>
            <w:rStyle w:val="Hyperlink"/>
            <w:rFonts w:ascii="Times New Roman" w:hAnsi="Times New Roman" w:cs="Times New Roman"/>
            <w:lang w:val="en-US"/>
          </w:rPr>
          <w:t>https://doi.org/10.1111/j.1468-0297.2009.02280.x</w:t>
        </w:r>
      </w:hyperlink>
    </w:p>
    <w:p w:rsidRPr="00051598" w:rsidR="00523A28" w:rsidP="00523A28" w:rsidRDefault="00523A28" w14:paraId="751644FB" w14:textId="77777777">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Romer, P. M. (1990). Endogenous Technological Change. </w:t>
      </w:r>
      <w:r w:rsidRPr="00051598">
        <w:rPr>
          <w:rFonts w:ascii="Times New Roman" w:hAnsi="Times New Roman" w:cs="Times New Roman"/>
          <w:i/>
          <w:iCs/>
          <w:lang w:val="en-US"/>
        </w:rPr>
        <w:t>The Journal of Political Economy</w:t>
      </w:r>
      <w:r w:rsidRPr="00051598">
        <w:rPr>
          <w:rFonts w:ascii="Times New Roman" w:hAnsi="Times New Roman" w:cs="Times New Roman"/>
          <w:lang w:val="en-US"/>
        </w:rPr>
        <w:t xml:space="preserve">, </w:t>
      </w:r>
      <w:r w:rsidRPr="00051598">
        <w:rPr>
          <w:rFonts w:ascii="Times New Roman" w:hAnsi="Times New Roman" w:cs="Times New Roman"/>
          <w:i/>
          <w:iCs/>
          <w:lang w:val="en-US"/>
        </w:rPr>
        <w:t>98</w:t>
      </w:r>
      <w:r w:rsidRPr="00051598">
        <w:rPr>
          <w:rFonts w:ascii="Times New Roman" w:hAnsi="Times New Roman" w:cs="Times New Roman"/>
          <w:lang w:val="en-US"/>
        </w:rPr>
        <w:t>(5), S71–S102.</w:t>
      </w:r>
    </w:p>
    <w:p w:rsidR="00523A28" w:rsidP="00523A28" w:rsidRDefault="00523A28" w14:paraId="726157C1" w14:textId="77777777">
      <w:pPr>
        <w:rPr>
          <w:rFonts w:ascii="Times New Roman" w:hAnsi="Times New Roman" w:eastAsia="Times New Roman" w:cs="Times New Roman"/>
          <w:lang w:val="en-US"/>
        </w:rPr>
      </w:pPr>
      <w:r w:rsidRPr="00456ED5">
        <w:rPr>
          <w:rFonts w:ascii="Times New Roman" w:hAnsi="Times New Roman" w:eastAsia="Times New Roman" w:cs="Times New Roman"/>
          <w:lang w:val="en-US"/>
        </w:rPr>
        <w:lastRenderedPageBreak/>
        <w:t xml:space="preserve">Solow, R. M. (1956). A Contribution to the Theory of Economic Growth. </w:t>
      </w:r>
      <w:r w:rsidRPr="00456ED5">
        <w:rPr>
          <w:rFonts w:ascii="Times New Roman" w:hAnsi="Times New Roman" w:eastAsia="Times New Roman" w:cs="Times New Roman"/>
          <w:i/>
          <w:iCs/>
          <w:lang w:val="en-US"/>
        </w:rPr>
        <w:t>The Quarterly Journal of Economics</w:t>
      </w:r>
      <w:r w:rsidRPr="00456ED5">
        <w:rPr>
          <w:rFonts w:ascii="Times New Roman" w:hAnsi="Times New Roman" w:eastAsia="Times New Roman" w:cs="Times New Roman"/>
          <w:lang w:val="en-US"/>
        </w:rPr>
        <w:t xml:space="preserve">, </w:t>
      </w:r>
      <w:r w:rsidRPr="00456ED5">
        <w:rPr>
          <w:rFonts w:ascii="Times New Roman" w:hAnsi="Times New Roman" w:eastAsia="Times New Roman" w:cs="Times New Roman"/>
          <w:i/>
          <w:iCs/>
          <w:lang w:val="en-US"/>
        </w:rPr>
        <w:t>70</w:t>
      </w:r>
      <w:r w:rsidRPr="00456ED5">
        <w:rPr>
          <w:rFonts w:ascii="Times New Roman" w:hAnsi="Times New Roman" w:eastAsia="Times New Roman" w:cs="Times New Roman"/>
          <w:lang w:val="en-US"/>
        </w:rPr>
        <w:t>(1), 65–94.</w:t>
      </w:r>
    </w:p>
    <w:p w:rsidRPr="00523A28" w:rsidR="00523A28" w:rsidP="00523A28" w:rsidRDefault="00523A28" w14:paraId="5C78F268" w14:textId="711481C6">
      <w:pPr>
        <w:spacing w:before="100" w:beforeAutospacing="1" w:after="240" w:line="240" w:lineRule="atLeast"/>
        <w:rPr>
          <w:rFonts w:ascii="Times New Roman" w:hAnsi="Times New Roman" w:cs="Times New Roman"/>
          <w:lang w:val="en-US"/>
        </w:rPr>
      </w:pPr>
      <w:r w:rsidRPr="00051598">
        <w:rPr>
          <w:rFonts w:ascii="Times New Roman" w:hAnsi="Times New Roman" w:cs="Times New Roman"/>
          <w:lang w:val="en-US"/>
        </w:rPr>
        <w:t xml:space="preserve">Trajtenberg, M. (2018). </w:t>
      </w:r>
      <w:r w:rsidRPr="00051598">
        <w:rPr>
          <w:rFonts w:ascii="Times New Roman" w:hAnsi="Times New Roman" w:cs="Times New Roman"/>
          <w:i/>
          <w:iCs/>
          <w:lang w:val="en-US"/>
        </w:rPr>
        <w:t>AI as the next GPT: A Political-Economy Perspective</w:t>
      </w:r>
      <w:r>
        <w:rPr>
          <w:rFonts w:ascii="Times New Roman" w:hAnsi="Times New Roman" w:cs="Times New Roman"/>
          <w:lang w:val="en-US"/>
        </w:rPr>
        <w:t xml:space="preserve">, NBER </w:t>
      </w:r>
      <w:r w:rsidRPr="00051598">
        <w:rPr>
          <w:rFonts w:ascii="Times New Roman" w:hAnsi="Times New Roman" w:cs="Times New Roman"/>
          <w:lang w:val="en-US"/>
        </w:rPr>
        <w:t xml:space="preserve">Working Paper No. 24245. </w:t>
      </w:r>
      <w:hyperlink w:history="1" r:id="rId37">
        <w:r w:rsidRPr="00051598">
          <w:rPr>
            <w:rStyle w:val="Hyperlink"/>
            <w:rFonts w:ascii="Times New Roman" w:hAnsi="Times New Roman" w:cs="Times New Roman"/>
            <w:lang w:val="en-US"/>
          </w:rPr>
          <w:t>https://doi.org/10.3386/w24245</w:t>
        </w:r>
      </w:hyperlink>
    </w:p>
    <w:sectPr w:rsidRPr="00523A28" w:rsidR="00523A28" w:rsidSect="00E96B31">
      <w:pgSz w:w="11900" w:h="16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31"/>
    <w:rsid w:val="0000380F"/>
    <w:rsid w:val="00054D37"/>
    <w:rsid w:val="000E6326"/>
    <w:rsid w:val="00245441"/>
    <w:rsid w:val="002D3E48"/>
    <w:rsid w:val="003008CC"/>
    <w:rsid w:val="0034176F"/>
    <w:rsid w:val="0036368C"/>
    <w:rsid w:val="00392175"/>
    <w:rsid w:val="003F1A6E"/>
    <w:rsid w:val="004208E9"/>
    <w:rsid w:val="00424D08"/>
    <w:rsid w:val="00490D68"/>
    <w:rsid w:val="004C43E9"/>
    <w:rsid w:val="004C4A56"/>
    <w:rsid w:val="00523A28"/>
    <w:rsid w:val="005A22F4"/>
    <w:rsid w:val="005A7CCC"/>
    <w:rsid w:val="00603E38"/>
    <w:rsid w:val="006C4083"/>
    <w:rsid w:val="006F4536"/>
    <w:rsid w:val="00745965"/>
    <w:rsid w:val="00755577"/>
    <w:rsid w:val="00761033"/>
    <w:rsid w:val="00774DBD"/>
    <w:rsid w:val="007878EF"/>
    <w:rsid w:val="007925CF"/>
    <w:rsid w:val="007B5CD9"/>
    <w:rsid w:val="007F6E71"/>
    <w:rsid w:val="00804817"/>
    <w:rsid w:val="008416D6"/>
    <w:rsid w:val="0084178E"/>
    <w:rsid w:val="008553D1"/>
    <w:rsid w:val="008C24B8"/>
    <w:rsid w:val="008D2E0E"/>
    <w:rsid w:val="008D7BE9"/>
    <w:rsid w:val="008F6CB6"/>
    <w:rsid w:val="0092685F"/>
    <w:rsid w:val="00970DCB"/>
    <w:rsid w:val="00975E93"/>
    <w:rsid w:val="00983A51"/>
    <w:rsid w:val="009B36FF"/>
    <w:rsid w:val="00A1615C"/>
    <w:rsid w:val="00A30802"/>
    <w:rsid w:val="00A833B4"/>
    <w:rsid w:val="00A869D2"/>
    <w:rsid w:val="00AE5723"/>
    <w:rsid w:val="00B669E6"/>
    <w:rsid w:val="00B707F4"/>
    <w:rsid w:val="00B73F03"/>
    <w:rsid w:val="00B84154"/>
    <w:rsid w:val="00BD7186"/>
    <w:rsid w:val="00C02A31"/>
    <w:rsid w:val="00C65A0E"/>
    <w:rsid w:val="00C812C3"/>
    <w:rsid w:val="00CB6322"/>
    <w:rsid w:val="00CD5C55"/>
    <w:rsid w:val="00CF1FF1"/>
    <w:rsid w:val="00D43A72"/>
    <w:rsid w:val="00D73A38"/>
    <w:rsid w:val="00D976A5"/>
    <w:rsid w:val="00DD2A7B"/>
    <w:rsid w:val="00DD64CA"/>
    <w:rsid w:val="00DE2892"/>
    <w:rsid w:val="00E20AB6"/>
    <w:rsid w:val="00E6598C"/>
    <w:rsid w:val="00E96B31"/>
    <w:rsid w:val="00ED5163"/>
    <w:rsid w:val="00F86DE2"/>
    <w:rsid w:val="00F9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CE10A8"/>
  <w14:defaultImageDpi w14:val="32767"/>
  <w15:chartTrackingRefBased/>
  <w15:docId w15:val="{E7912D33-4A11-4942-BD59-8438A999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2A31"/>
    <w:rPr>
      <w:color w:val="0563C1" w:themeColor="hyperlink"/>
      <w:u w:val="single"/>
    </w:rPr>
  </w:style>
  <w:style w:type="character" w:styleId="Onopgelostemelding">
    <w:name w:val="Unresolved Mention"/>
    <w:basedOn w:val="Standaardalinea-lettertype"/>
    <w:uiPriority w:val="99"/>
    <w:rsid w:val="00C02A31"/>
    <w:rPr>
      <w:color w:val="605E5C"/>
      <w:shd w:val="clear" w:color="auto" w:fill="E1DFDD"/>
    </w:rPr>
  </w:style>
  <w:style w:type="paragraph" w:styleId="Ballontekst">
    <w:name w:val="Balloon Text"/>
    <w:basedOn w:val="Standaard"/>
    <w:link w:val="BallontekstChar"/>
    <w:uiPriority w:val="99"/>
    <w:semiHidden/>
    <w:unhideWhenUsed/>
    <w:rsid w:val="0074596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459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pers.tinbergen.nl/18057.pdf" TargetMode="External" Id="rId13" /><Relationship Type="http://schemas.openxmlformats.org/officeDocument/2006/relationships/hyperlink" Target="https://papers.ssrn.com/abstract=2986725" TargetMode="External" Id="rId18" /><Relationship Type="http://schemas.openxmlformats.org/officeDocument/2006/relationships/hyperlink" Target="https://doi.org/10.3386/w25415" TargetMode="External" Id="rId26" /><Relationship Type="http://schemas.openxmlformats.org/officeDocument/2006/relationships/theme" Target="theme/theme1.xml" Id="rId39" /><Relationship Type="http://schemas.openxmlformats.org/officeDocument/2006/relationships/hyperlink" Target="https://doi.org/10.1126/scirobotics.aav3123" TargetMode="External" Id="rId21" /><Relationship Type="http://schemas.openxmlformats.org/officeDocument/2006/relationships/hyperlink" Target="https://doi.org/10.1787/b2774f97-en" TargetMode="External" Id="rId34" /><Relationship Type="http://schemas.openxmlformats.org/officeDocument/2006/relationships/hyperlink" Target="https://www.nber.org/chapters/c14005" TargetMode="External" Id="rId7" /><Relationship Type="http://schemas.openxmlformats.org/officeDocument/2006/relationships/settings" Target="settings.xml" Id="rId2" /><Relationship Type="http://schemas.openxmlformats.org/officeDocument/2006/relationships/hyperlink" Target="https://doi.org/10.3386/w25148" TargetMode="External" Id="rId16" /><Relationship Type="http://schemas.openxmlformats.org/officeDocument/2006/relationships/hyperlink" Target="https://doi.org/10.1109/MSP.2017.2762725" TargetMode="External" Id="rId20" /><Relationship Type="http://schemas.openxmlformats.org/officeDocument/2006/relationships/hyperlink" Target="https://doi.org/10.1007/978-1-349-08452-4_10" TargetMode="External" Id="rId29" /><Relationship Type="http://schemas.openxmlformats.org/officeDocument/2006/relationships/styles" Target="styles.xml" Id="rId1" /><Relationship Type="http://schemas.openxmlformats.org/officeDocument/2006/relationships/hyperlink" Target="https://doi.org/10.3386/w23928" TargetMode="External" Id="rId6" /><Relationship Type="http://schemas.openxmlformats.org/officeDocument/2006/relationships/hyperlink" Target="https://doi.org/10.1111/iere.12176" TargetMode="External" Id="rId11" /><Relationship Type="http://schemas.openxmlformats.org/officeDocument/2006/relationships/hyperlink" Target="https://doi.org/10.3386/w22897" TargetMode="External" Id="rId24" /><Relationship Type="http://schemas.openxmlformats.org/officeDocument/2006/relationships/hyperlink" Target="http://www.mckinsey.com/business-functions/business-technology/our-insights/disruptive-technologies" TargetMode="External" Id="rId32" /><Relationship Type="http://schemas.openxmlformats.org/officeDocument/2006/relationships/hyperlink" Target="https://doi.org/10.3386/w24245" TargetMode="External" Id="rId37" /><Relationship Type="http://schemas.openxmlformats.org/officeDocument/2006/relationships/hyperlink" Target="https://doi.org/10.3386/w24196" TargetMode="External" Id="rId5" /><Relationship Type="http://schemas.openxmlformats.org/officeDocument/2006/relationships/hyperlink" Target="https://doi.org/10.3386/w24001" TargetMode="External" Id="rId15" /><Relationship Type="http://schemas.openxmlformats.org/officeDocument/2006/relationships/hyperlink" Target="https://doi.org/10.1162/003355398555720" TargetMode="External" Id="rId23" /><Relationship Type="http://schemas.openxmlformats.org/officeDocument/2006/relationships/hyperlink" Target="https://doi.org/10.1257/mac.2.1.224" TargetMode="External" Id="rId28" /><Relationship Type="http://schemas.openxmlformats.org/officeDocument/2006/relationships/hyperlink" Target="https://doi.org/10.1111/j.1468-0297.2009.02280.x" TargetMode="External" Id="rId36" /><Relationship Type="http://schemas.openxmlformats.org/officeDocument/2006/relationships/hyperlink" Target="https://doi.org/10.1109/TPAMI.2018.2798607" TargetMode="External" Id="rId10" /><Relationship Type="http://schemas.openxmlformats.org/officeDocument/2006/relationships/hyperlink" Target="https://doi.org/10.1109/MSP.2017.2765202" TargetMode="External" Id="rId19" /><Relationship Type="http://schemas.openxmlformats.org/officeDocument/2006/relationships/hyperlink" Target="https://doi.org/10.3386/w23687" TargetMode="External" Id="rId31" /><Relationship Type="http://schemas.openxmlformats.org/officeDocument/2006/relationships/hyperlink" Target="http://www.sciencedirect.com/science/article/pii/S0169721811024105" TargetMode="External" Id="rId4" /><Relationship Type="http://schemas.openxmlformats.org/officeDocument/2006/relationships/hyperlink" Target="https://doi.org/10.1257/aer.p20171102" TargetMode="External" Id="rId9" /><Relationship Type="http://schemas.openxmlformats.org/officeDocument/2006/relationships/hyperlink" Target="https://doi.org/10.3386/w24235" TargetMode="External" Id="rId14" /><Relationship Type="http://schemas.openxmlformats.org/officeDocument/2006/relationships/hyperlink" Target="https://doi.org/10.1016/j.techfore.2016.08.019" TargetMode="External" Id="rId22" /><Relationship Type="http://schemas.openxmlformats.org/officeDocument/2006/relationships/hyperlink" Target="https://doi.org/10.2307/2951541" TargetMode="External" Id="rId27" /><Relationship Type="http://schemas.openxmlformats.org/officeDocument/2006/relationships/hyperlink" Target="https://doi.org/10.1093/qje/qjt032" TargetMode="External" Id="rId30" /><Relationship Type="http://schemas.openxmlformats.org/officeDocument/2006/relationships/hyperlink" Target="https://doi-org.vu-nl.idm.oclc.org/10.1787/9ee00155-en" TargetMode="External" Id="rId35" /><Relationship Type="http://schemas.openxmlformats.org/officeDocument/2006/relationships/hyperlink" Target="https://doi.org/10.3386/w25755" TargetMode="External" Id="rId8" /><Relationship Type="http://schemas.openxmlformats.org/officeDocument/2006/relationships/webSettings" Target="webSettings.xml" Id="rId3" /><Relationship Type="http://schemas.openxmlformats.org/officeDocument/2006/relationships/hyperlink" Target="http://dx.doi.org/10.1111/jems.12256" TargetMode="External" Id="rId12" /><Relationship Type="http://schemas.openxmlformats.org/officeDocument/2006/relationships/hyperlink" Target="https://doi.org/10.3386/w24449" TargetMode="External" Id="rId17" /><Relationship Type="http://schemas.openxmlformats.org/officeDocument/2006/relationships/hyperlink" Target="https://doi.org/10.3386/w23583" TargetMode="External" Id="rId25" /><Relationship Type="http://schemas.openxmlformats.org/officeDocument/2006/relationships/hyperlink" Target="https://doi.org/10.13140/RG.2.2.24831.10403" TargetMode="External" Id="rId33" /><Relationship Type="http://schemas.openxmlformats.org/officeDocument/2006/relationships/fontTable" Target="fontTable.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4725</ap:Words>
  <ap:Characters>25993</ap:Characters>
  <ap:DocSecurity>0</ap:DocSecurity>
  <ap:Lines>216</ap:Lines>
  <ap:Paragraphs>61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2019-09-16T13:34:00.0000000Z</lastPrinted>
  <dcterms:created xsi:type="dcterms:W3CDTF">2019-09-16T14:01:00.0000000Z</dcterms:created>
  <dcterms:modified xsi:type="dcterms:W3CDTF">2019-09-16T14:01:00.0000000Z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0x0101007B9F1BA3F327494A9669377853F6397C</vt:lpwstr>
  </property>
</Properties>
</file>