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BE1" w:rsidP="0017188E" w:rsidRDefault="00992BE1">
      <w:pPr>
        <w:tabs>
          <w:tab w:val="left" w:pos="3686"/>
        </w:tabs>
      </w:pPr>
      <w:r>
        <w:t>Advies Raad van State</w:t>
      </w:r>
    </w:p>
    <w:p w:rsidR="00992BE1" w:rsidP="0017188E" w:rsidRDefault="00992BE1">
      <w:pPr>
        <w:tabs>
          <w:tab w:val="left" w:pos="3686"/>
        </w:tabs>
      </w:pPr>
    </w:p>
    <w:sdt>
      <w:sdtPr>
        <w:id w:val="1980570636"/>
        <w:lock w:val="contentLocked"/>
        <w:placeholder>
          <w:docPart w:val="DefaultPlaceholder_1082065158"/>
        </w:placeholder>
        <w:group/>
      </w:sdtPr>
      <w:sdtEndPr/>
      <w:sdtContent>
        <w:p w:rsidR="00992BE1"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
                      </w:txbxContent>
                    </v:textbox>
                    <w10:wrap type="square" anchorx="page" anchory="page"/>
                  </v:shape>
                </w:pict>
              </mc:Fallback>
            </mc:AlternateContent>
          </w:r>
          <w:r w:rsidR="00503044">
            <w:t>No.</w:t>
          </w:r>
          <w:sdt>
            <w:sdtPr>
              <w:alias w:val="ZaakNummerPlus"/>
              <w:tag w:val="ZaakNummerPlus"/>
              <w:id w:val="-2079433656"/>
              <w:lock w:val="sdtContentLocked"/>
              <w:placeholder>
                <w:docPart w:val="DefaultPlaceholder_1082065158"/>
              </w:placeholder>
              <w:text/>
            </w:sdtPr>
            <w:sdtEndPr/>
            <w:sdtContent>
              <w:r>
                <w:t>W18.19.0213/IV</w:t>
              </w:r>
            </w:sdtContent>
          </w:sdt>
          <w:r w:rsidR="00503044">
            <w:tab/>
          </w:r>
          <w:bookmarkStart w:name="_GoBack" w:id="0"/>
          <w:bookmarkEnd w:id="0"/>
        </w:p>
        <w:p w:rsidR="002C6867" w:rsidP="0017188E" w:rsidRDefault="00503044">
          <w:pPr>
            <w:tabs>
              <w:tab w:val="left" w:pos="3686"/>
            </w:tabs>
          </w:pPr>
          <w:r>
            <w:t xml:space="preserve">'s-Gravenhage, </w:t>
          </w:r>
          <w:sdt>
            <w:sdtPr>
              <w:alias w:val="DatumAdvies"/>
              <w:tag w:val="DatumAdvies"/>
              <w:id w:val="-287518040"/>
              <w:lock w:val="sdtContentLocked"/>
              <w:placeholder>
                <w:docPart w:val="DefaultPlaceholder_1082065158"/>
              </w:placeholder>
              <w:text/>
            </w:sdtPr>
            <w:sdtEndPr/>
            <w:sdtContent>
              <w:r w:rsidR="00FF6790">
                <w:t>18 oktober 2019</w:t>
              </w:r>
            </w:sdtContent>
          </w:sdt>
        </w:p>
        <w:p w:rsidR="00992BE1" w:rsidP="0017188E" w:rsidRDefault="00992BE1">
          <w:pPr>
            <w:tabs>
              <w:tab w:val="left" w:pos="3686"/>
            </w:tabs>
          </w:pPr>
        </w:p>
        <w:p w:rsidR="00503044" w:rsidP="00503044" w:rsidRDefault="00992BE1">
          <w:pPr>
            <w:tabs>
              <w:tab w:val="left" w:pos="3685"/>
            </w:tabs>
          </w:pPr>
          <w:r>
            <w:t>Aan de Koning</w:t>
          </w: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27BDB" w:rsidRDefault="0081390F">
              <w:r>
                <w:t>Bij Kabinetsmissive van 15 juli 2019, no.2019001396, heeft Uwe Majesteit, op voordracht van de Staatssecretaris van Economische Zaken en Klimaat, bij de Afdeling advisering van de Raad van State ter overweging aanhangig gemaakt het voorstel van wet tot wijziging van de Telecommunicatiewet ter invoering van toegangsregulering in geval van replicatiebelemmeringen,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507256897"/>
              </w:sdtPr>
              <w:sdtEndPr/>
              <w:sdtContent>
                <w:p w:rsidR="00286CEC" w:rsidP="00286CEC" w:rsidRDefault="0081390F">
                  <w:r w:rsidRPr="00286CEC">
                    <w:t>Het wetsvoorstel strekt tot versnelde implementatie van artikel 61, derde lid, van Richtlijn (EU) 2018/1972 van het Europees Parlement en de Raad tot vaststelling van het Europees wetboek voor elektronische communicatie (hierna: de richtlijn)</w:t>
                  </w:r>
                  <w:r>
                    <w:t>. Dit artikel</w:t>
                  </w:r>
                  <w:r w:rsidRPr="00286CEC">
                    <w:t xml:space="preserve"> voorziet in toegangsregulering in geval van replicatiebelemmeringen. In een ander wetsvoorstel word</w:t>
                  </w:r>
                  <w:r>
                    <w:t>en</w:t>
                  </w:r>
                  <w:r w:rsidRPr="00286CEC">
                    <w:t xml:space="preserve"> twee andere bepalingen uit deze richtlijn versneld geïmplementeerd.</w:t>
                  </w:r>
                  <w:r w:rsidRPr="00286CEC">
                    <w:rPr>
                      <w:rStyle w:val="Voetnootmarkering"/>
                    </w:rPr>
                    <w:footnoteReference w:id="1"/>
                  </w:r>
                  <w:r w:rsidRPr="00286CEC">
                    <w:rPr>
                      <w:i/>
                    </w:rPr>
                    <w:t xml:space="preserve"> </w:t>
                  </w:r>
                  <w:r w:rsidRPr="00286CEC">
                    <w:t>De resterende onderdelen van de richtlijn zullen op een later moment door middel van een breder implementatiewetsvoorstel in nationale regelgeving worden omgezet.</w:t>
                  </w:r>
                  <w:r w:rsidRPr="00286CEC">
                    <w:rPr>
                      <w:rStyle w:val="Voetnootmarkering"/>
                    </w:rPr>
                    <w:footnoteReference w:id="2"/>
                  </w:r>
                  <w:r w:rsidRPr="00286CEC">
                    <w:t xml:space="preserve"> </w:t>
                  </w:r>
                </w:p>
                <w:p w:rsidR="001E7FE5" w:rsidP="00286CEC" w:rsidRDefault="00992BE1"/>
                <w:p w:rsidRPr="00286CEC" w:rsidR="001E7FE5" w:rsidP="00286CEC" w:rsidRDefault="0081390F">
                  <w:r w:rsidRPr="001E7FE5">
                    <w:t xml:space="preserve">De Afdeling advisering van de Raad van State </w:t>
                  </w:r>
                  <w:r>
                    <w:t>adviseert de versnelde implementatie van genoemde bepaling van</w:t>
                  </w:r>
                  <w:r w:rsidRPr="00286CEC">
                    <w:t xml:space="preserve"> de richtlijn </w:t>
                  </w:r>
                  <w:r>
                    <w:t>dragend te motiveren</w:t>
                  </w:r>
                  <w:r w:rsidRPr="001E7FE5">
                    <w:t xml:space="preserve">. </w:t>
                  </w:r>
                  <w:r>
                    <w:t>I</w:t>
                  </w:r>
                  <w:r w:rsidRPr="00FB5735">
                    <w:t xml:space="preserve">n verband daarmee </w:t>
                  </w:r>
                  <w:r>
                    <w:t xml:space="preserve">is </w:t>
                  </w:r>
                  <w:r w:rsidRPr="00FB5735">
                    <w:t xml:space="preserve">aanpassing van </w:t>
                  </w:r>
                  <w:r>
                    <w:t xml:space="preserve">de </w:t>
                  </w:r>
                  <w:r w:rsidRPr="00FB5735">
                    <w:t xml:space="preserve">toelichting wenselijk. </w:t>
                  </w:r>
                </w:p>
                <w:p w:rsidRPr="00286CEC" w:rsidR="00286CEC" w:rsidP="00286CEC" w:rsidRDefault="00992BE1"/>
                <w:p w:rsidR="002E2FAC" w:rsidP="002E2FAC" w:rsidRDefault="0081390F">
                  <w:pPr>
                    <w:rPr>
                      <w:rFonts w:ascii="Times New Roman" w:hAnsi="Times New Roman"/>
                      <w:i/>
                      <w:iCs/>
                      <w:sz w:val="24"/>
                    </w:rPr>
                  </w:pPr>
                  <w:r>
                    <w:t xml:space="preserve">De richtlijn dient uiterlijk op 21 december 2020 te zijn geïmplementeerd. </w:t>
                  </w:r>
                  <w:r w:rsidRPr="00286CEC">
                    <w:t>Hoewel de datum van inwerkingtreding van het voorstel bij koninkli</w:t>
                  </w:r>
                  <w:r>
                    <w:t>jk besluit zal worden geregeld, wordt gestreefd naar een eerdere inwerkingtreding van dit wetsvoorstel</w:t>
                  </w:r>
                  <w:r w:rsidRPr="00286CEC">
                    <w:t>.</w:t>
                  </w:r>
                  <w:r w:rsidRPr="00286CEC">
                    <w:rPr>
                      <w:rStyle w:val="Voetnootmarkering"/>
                    </w:rPr>
                    <w:footnoteReference w:id="3"/>
                  </w:r>
                  <w:r w:rsidRPr="00286CEC">
                    <w:t xml:space="preserve"> In de toelichting wordt niet ingegaan op de vraag of de richtlijn vervroegde toepassing van richtlijnbepalingen toelaat</w:t>
                  </w:r>
                  <w:r>
                    <w:t>. Artikel 124, eerste lid, tweede alinea, van de richtlijn schrijft voor dat de lidstaten de implementatiewetgeving vanaf 21 december 2020 toepassen.</w:t>
                  </w:r>
                  <w:r>
                    <w:rPr>
                      <w:rStyle w:val="Voetnootmarkering"/>
                    </w:rPr>
                    <w:footnoteReference w:id="4"/>
                  </w:r>
                  <w:r>
                    <w:t xml:space="preserve"> </w:t>
                  </w:r>
                  <w:r w:rsidRPr="00286CEC">
                    <w:t xml:space="preserve">De Uniewetgever beoogt met dit type bepaling te voorkomen dat de lidstaten in richtlijnen vervatte bepalingen op uiteenlopende tijdstippen in de loop van de hun toegekende </w:t>
                  </w:r>
                  <w:r w:rsidRPr="00286CEC">
                    <w:lastRenderedPageBreak/>
                    <w:t>omzettingstermijn gaan toepassen.</w:t>
                  </w:r>
                  <w:r w:rsidRPr="00286CEC">
                    <w:rPr>
                      <w:rStyle w:val="Voetnootmarkering"/>
                    </w:rPr>
                    <w:footnoteReference w:id="5"/>
                  </w:r>
                  <w:r w:rsidRPr="00286CEC">
                    <w:t xml:space="preserve"> </w:t>
                  </w:r>
                  <w:r>
                    <w:t xml:space="preserve">Hierdoor zouden nieuwe belemmeringen kunnen ontstaan. </w:t>
                  </w:r>
                </w:p>
                <w:p w:rsidRPr="00286CEC" w:rsidR="002E2FAC" w:rsidP="002E2FAC" w:rsidRDefault="00992BE1"/>
                <w:p w:rsidR="00C70BD0" w:rsidP="002E2FAC" w:rsidRDefault="0081390F">
                  <w:r w:rsidRPr="00286CEC">
                    <w:t xml:space="preserve">De Afdeling adviseert </w:t>
                  </w:r>
                  <w:r>
                    <w:t>dragend te motiveren dat</w:t>
                  </w:r>
                  <w:r w:rsidRPr="00286CEC">
                    <w:t xml:space="preserve"> de richtlijn de vervroegde toepassing van de met dit voors</w:t>
                  </w:r>
                  <w:r>
                    <w:t xml:space="preserve">tel te implementeren bepalingen </w:t>
                  </w:r>
                  <w:r w:rsidRPr="00286CEC">
                    <w:t xml:space="preserve">zou toelaten. </w:t>
                  </w:r>
                  <w:r>
                    <w:t>Zij</w:t>
                  </w:r>
                  <w:r w:rsidRPr="00286CEC">
                    <w:t xml:space="preserve"> adviseert daarbij ook in te gaan op de </w:t>
                  </w:r>
                  <w:r>
                    <w:t>wenselijkheid</w:t>
                  </w:r>
                  <w:r w:rsidRPr="00286CEC">
                    <w:t xml:space="preserve"> om de verschillende onderdelen van de Telecomcode gelijktijdig en in onderlinge samenhang te implementeren</w:t>
                  </w:r>
                  <w:r>
                    <w:t>. Dit</w:t>
                  </w:r>
                  <w:r w:rsidRPr="00286CEC">
                    <w:t xml:space="preserve"> gelet op de doelstelling van de richtlijn om de onderling</w:t>
                  </w:r>
                  <w:r>
                    <w:t>e samenhang en toegankelijkheid</w:t>
                  </w:r>
                  <w:r w:rsidRPr="00286CEC">
                    <w:t xml:space="preserve"> van de regels die van toepassing zijn op elektronische communicatienetwerken te versterken. </w:t>
                  </w:r>
                  <w:r>
                    <w:t>Daar komt bij dat implementatie in dit geval zou betekenen dat de bepalingen waarin dit voorstel voorziet waarschijnlijk slechts enkele maanden eerder in werking zouden treden dan de overige bepalingen van de richtlijn (bij tijdige implementatie daarvan).</w:t>
                  </w:r>
                </w:p>
                <w:p w:rsidR="00C70BD0" w:rsidP="002E2FAC" w:rsidRDefault="00992BE1"/>
                <w:p w:rsidR="0031089B" w:rsidP="002E2FAC" w:rsidRDefault="0081390F">
                  <w:r>
                    <w:t xml:space="preserve">De Afdeling adviseert de toelichting op dit punt aan te vullen. </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727BDB" w:rsidRDefault="0081390F">
              <w:r>
                <w:t xml:space="preserve">De Afdeling advisering van de Raad van State heeft een aantal opmerkingen bij het voorstel en adviseert daarmee rekening te houden voordat het voorstel bij de Tweede Kamer der Staten-Generaal wordt ingediend. </w:t>
              </w:r>
              <w:r>
                <w:br/>
              </w:r>
              <w:r>
                <w:br/>
              </w:r>
              <w:r>
                <w:br/>
                <w:t>De waarnemend vice-president van de Raad van State,</w:t>
              </w:r>
            </w:p>
          </w:sdtContent>
        </w:sdt>
      </w:sdtContent>
    </w:sdt>
    <w:p w:rsidRPr="00992BE1" w:rsidR="00992BE1" w:rsidP="00992BE1" w:rsidRDefault="00992BE1">
      <w:r>
        <w:t xml:space="preserve">mr. </w:t>
      </w:r>
      <w:proofErr w:type="spellStart"/>
      <w:r>
        <w:t>Th.C</w:t>
      </w:r>
      <w:proofErr w:type="spellEnd"/>
      <w:r>
        <w:t>. de Graaf</w:t>
      </w:r>
    </w:p>
    <w:p w:rsidRPr="00992BE1" w:rsidR="00992BE1" w:rsidP="00992BE1" w:rsidRDefault="00992BE1"/>
    <w:p w:rsidRPr="00992BE1" w:rsidR="00992BE1" w:rsidP="00992BE1" w:rsidRDefault="00992BE1"/>
    <w:p w:rsidR="00992BE1" w:rsidP="00992BE1" w:rsidRDefault="00992BE1"/>
    <w:p w:rsidRPr="00992BE1" w:rsidR="00992BE1" w:rsidP="00992BE1" w:rsidRDefault="00992BE1">
      <w:pPr>
        <w:tabs>
          <w:tab w:val="left" w:pos="6601"/>
        </w:tabs>
      </w:pPr>
      <w:r>
        <w:tab/>
      </w:r>
    </w:p>
    <w:sectPr w:rsidRPr="00992BE1" w:rsidR="00992BE1" w:rsidSect="00503044">
      <w:headerReference w:type="default" r:id="rId9"/>
      <w:footerReference w:type="first" r:id="rId10"/>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81390F" w:rsidP="005B3E03">
      <w:r>
        <w:separator/>
      </w:r>
    </w:p>
    <w:p w:rsidR="002D0ACF" w:rsidRDefault="00992BE1"/>
  </w:endnote>
  <w:endnote w:type="continuationSeparator" w:id="0">
    <w:p w:rsidR="00847094" w:rsidRDefault="0081390F" w:rsidP="005B3E03">
      <w:r>
        <w:continuationSeparator/>
      </w:r>
    </w:p>
    <w:p w:rsidR="002D0ACF" w:rsidRDefault="00992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81390F" w:rsidP="005B3E03">
      <w:r>
        <w:separator/>
      </w:r>
    </w:p>
    <w:p w:rsidR="002D0ACF" w:rsidRDefault="00992BE1"/>
  </w:footnote>
  <w:footnote w:type="continuationSeparator" w:id="0">
    <w:p w:rsidR="00847094" w:rsidRDefault="0081390F" w:rsidP="005B3E03">
      <w:r>
        <w:continuationSeparator/>
      </w:r>
    </w:p>
    <w:p w:rsidR="002D0ACF" w:rsidRDefault="00992BE1"/>
  </w:footnote>
  <w:footnote w:id="1">
    <w:p w:rsidR="00286CEC" w:rsidRDefault="0081390F" w:rsidP="00942B53">
      <w:pPr>
        <w:pStyle w:val="Voetnoottekst"/>
      </w:pPr>
      <w:r>
        <w:rPr>
          <w:rStyle w:val="Voetnootmarkering"/>
        </w:rPr>
        <w:footnoteRef/>
      </w:r>
      <w:r>
        <w:t xml:space="preserve"> </w:t>
      </w:r>
      <w:r>
        <w:tab/>
        <w:t xml:space="preserve">Voorstel van wet tot wijziging van de Telecommunicatiewet in verband met een versnelde implementatie van richtlijn 2018/1972 in het belang van het verder verlagen van drempels bij het overstappen van telecomaanbieder, en het voorzien in een bevoegdheid tot het vorderen van inlichtingen ten behoeve van een geografisch onderzoek naar het bereik van elektronische communicatienetwerken. De Afdeling maakt in haar advies bij dit voorstel (W18.19.0215/IV) dezelfde adviesopmerkingen als in het onderhavige advies. </w:t>
      </w:r>
    </w:p>
  </w:footnote>
  <w:footnote w:id="2">
    <w:p w:rsidR="00286CEC" w:rsidRDefault="0081390F" w:rsidP="00286CEC">
      <w:pPr>
        <w:pStyle w:val="Voetnoottekst"/>
      </w:pPr>
      <w:r>
        <w:rPr>
          <w:rStyle w:val="Voetnootmarkering"/>
        </w:rPr>
        <w:footnoteRef/>
      </w:r>
      <w:r>
        <w:t xml:space="preserve"> </w:t>
      </w:r>
      <w:r>
        <w:tab/>
        <w:t>Memorie van toelichting, hoofdstuk 3 (“</w:t>
      </w:r>
      <w:r w:rsidRPr="00AD652B">
        <w:t>Hoofdlijnen van het wetsvoorstel</w:t>
      </w:r>
      <w:r>
        <w:t xml:space="preserve">”). </w:t>
      </w:r>
    </w:p>
  </w:footnote>
  <w:footnote w:id="3">
    <w:p w:rsidR="002E2FAC" w:rsidRDefault="0081390F" w:rsidP="002E2FAC">
      <w:pPr>
        <w:pStyle w:val="Voetnoottekst"/>
      </w:pPr>
      <w:r>
        <w:rPr>
          <w:rStyle w:val="Voetnootmarkering"/>
        </w:rPr>
        <w:footnoteRef/>
      </w:r>
      <w:r>
        <w:t xml:space="preserve"> </w:t>
      </w:r>
      <w:r>
        <w:tab/>
        <w:t>Memorie van toelichting, hoofdstuk 9 (“</w:t>
      </w:r>
      <w:r w:rsidRPr="00AD652B">
        <w:t>Overgangsrecht en inwerkingtreding</w:t>
      </w:r>
      <w:r>
        <w:t>”).</w:t>
      </w:r>
    </w:p>
  </w:footnote>
  <w:footnote w:id="4">
    <w:p w:rsidR="002E2FAC" w:rsidRDefault="0081390F" w:rsidP="002E2FAC">
      <w:pPr>
        <w:pStyle w:val="Voetnoottekst"/>
      </w:pPr>
      <w:r>
        <w:rPr>
          <w:rStyle w:val="Voetnootmarkering"/>
        </w:rPr>
        <w:footnoteRef/>
      </w:r>
      <w:r>
        <w:t xml:space="preserve">   Artikel 124 lid 1 van de richtlijn.</w:t>
      </w:r>
    </w:p>
  </w:footnote>
  <w:footnote w:id="5">
    <w:p w:rsidR="002E2FAC" w:rsidRDefault="0081390F" w:rsidP="002E2FAC">
      <w:pPr>
        <w:pStyle w:val="Voetnoottekst"/>
      </w:pPr>
      <w:r>
        <w:rPr>
          <w:rStyle w:val="Voetnootmarkering"/>
        </w:rPr>
        <w:footnoteRef/>
      </w:r>
      <w:r>
        <w:t xml:space="preserve"> </w:t>
      </w:r>
      <w:r>
        <w:tab/>
        <w:t>Zie richtsnoer 20.14 van de Gemeenschappelijke praktische handleiding van de van het Europees Parlement, de Raad en de Commissie ten behoeve van eenieder die bij de opstelling van wetgevingsteksten van de Europese Unie is betrokken. Deze handleiding is een uitvoeringsmaatregel die is genomen op grond van het “</w:t>
      </w:r>
      <w:proofErr w:type="spellStart"/>
      <w:r>
        <w:t>Interinstitutioneel</w:t>
      </w:r>
      <w:proofErr w:type="spellEnd"/>
      <w:r>
        <w:t xml:space="preserve"> akkoord van het Europees Parlement, de Raad en de Commissie van 22 december 1998 betreffende de gemeenschappelijke richtsnoeren voor de redactionele kwaliteit van de communautaire wetgeving”, </w:t>
      </w:r>
      <w:proofErr w:type="spellStart"/>
      <w:r>
        <w:t>PbEU</w:t>
      </w:r>
      <w:proofErr w:type="spellEnd"/>
      <w:r>
        <w:t xml:space="preserve"> 1999, C 73). De handreiking is te raadplegen op de website van de Europese Unie: </w:t>
      </w:r>
      <w:hyperlink r:id="rId1" w:history="1">
        <w:r w:rsidRPr="00442F93">
          <w:rPr>
            <w:rStyle w:val="Hyperlink"/>
          </w:rPr>
          <w:t>https://eur-lex.europa.eu/content/techleg/KB0213228NLN.pdf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27BDB"/>
    <w:rsid w:val="00743D19"/>
    <w:rsid w:val="0081390F"/>
    <w:rsid w:val="00831756"/>
    <w:rsid w:val="00992BE1"/>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242AB7C"/>
  <w15:docId w15:val="{626FD6B7-7EF8-4D8E-B8B0-D94E83BF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rsid w:val="00E16A9B"/>
    <w:rPr>
      <w:vertAlign w:val="superscript"/>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rsid w:val="00286CEC"/>
    <w:rPr>
      <w:color w:val="0000FF" w:themeColor="hyperlink"/>
      <w:u w:val="single"/>
    </w:rPr>
  </w:style>
  <w:style w:type="character" w:styleId="Verwijzingopmerking">
    <w:name w:val="annotation reference"/>
    <w:basedOn w:val="Standaardalinea-lettertype"/>
    <w:rsid w:val="00286CEC"/>
    <w:rPr>
      <w:sz w:val="16"/>
      <w:szCs w:val="16"/>
    </w:rPr>
  </w:style>
  <w:style w:type="paragraph" w:styleId="Tekstopmerking">
    <w:name w:val="annotation text"/>
    <w:basedOn w:val="Standaard"/>
    <w:link w:val="TekstopmerkingChar"/>
    <w:rsid w:val="00286CEC"/>
    <w:rPr>
      <w:sz w:val="20"/>
      <w:szCs w:val="20"/>
    </w:rPr>
  </w:style>
  <w:style w:type="character" w:customStyle="1" w:styleId="TekstopmerkingChar">
    <w:name w:val="Tekst opmerking Char"/>
    <w:basedOn w:val="Standaardalinea-lettertype"/>
    <w:link w:val="Tekstopmerking"/>
    <w:rsid w:val="00286CEC"/>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footnotes" Target="footnotes.xml" Id="rId7" /><Relationship Type="http://schemas.openxmlformats.org/officeDocument/2006/relationships/glossaryDocument" Target="glossary/document.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content/techleg/KB0213228NL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445</ap:Words>
  <ap:Characters>2745</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2019-12-19T10:29:00.0000000Z</dcterms:created>
  <dcterms:modified xsi:type="dcterms:W3CDTF">2019-12-19T10:33:00.0000000Z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0x01010084F0EE217FABAE41ADBC342E17C5B951</vt:lpwstr>
  </property>
</Properties>
</file>