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1EF6" w:rsidR="00553A75" w:rsidP="00D713DC" w:rsidRDefault="00CF37A4" w14:paraId="27C7B711" w14:textId="54801E68">
      <w:pPr>
        <w:spacing w:after="0" w:line="360" w:lineRule="auto"/>
        <w:contextualSpacing/>
        <w:rPr>
          <w:b/>
          <w:szCs w:val="18"/>
          <w:u w:val="single"/>
          <w:lang w:val="nl-NL"/>
        </w:rPr>
      </w:pPr>
      <w:r w:rsidRPr="003A1EF6">
        <w:rPr>
          <w:b/>
          <w:szCs w:val="18"/>
          <w:u w:val="single"/>
          <w:lang w:val="nl-NL"/>
        </w:rPr>
        <w:t>V</w:t>
      </w:r>
      <w:r w:rsidRPr="003A1EF6" w:rsidR="00553A75">
        <w:rPr>
          <w:b/>
          <w:szCs w:val="18"/>
          <w:u w:val="single"/>
          <w:lang w:val="nl-NL"/>
        </w:rPr>
        <w:t xml:space="preserve">erslag Eurogroep en Ecofinraad </w:t>
      </w:r>
      <w:r w:rsidRPr="003A1EF6" w:rsidR="00570756">
        <w:rPr>
          <w:b/>
          <w:szCs w:val="18"/>
          <w:u w:val="single"/>
          <w:lang w:val="nl-NL"/>
        </w:rPr>
        <w:t xml:space="preserve">4 en </w:t>
      </w:r>
      <w:r w:rsidRPr="003A1EF6" w:rsidR="00CB6DA7">
        <w:rPr>
          <w:b/>
          <w:szCs w:val="18"/>
          <w:u w:val="single"/>
          <w:lang w:val="nl-NL"/>
        </w:rPr>
        <w:t>5 december</w:t>
      </w:r>
      <w:r w:rsidRPr="003A1EF6" w:rsidR="005561A5">
        <w:rPr>
          <w:b/>
          <w:szCs w:val="18"/>
          <w:u w:val="single"/>
          <w:lang w:val="nl-NL"/>
        </w:rPr>
        <w:t xml:space="preserve"> </w:t>
      </w:r>
      <w:r w:rsidRPr="003A1EF6" w:rsidR="00553A75">
        <w:rPr>
          <w:b/>
          <w:szCs w:val="18"/>
          <w:u w:val="single"/>
          <w:lang w:val="nl-NL"/>
        </w:rPr>
        <w:t>2019</w:t>
      </w:r>
    </w:p>
    <w:p w:rsidRPr="003A1EF6" w:rsidR="00CB6DA7" w:rsidP="00D713DC" w:rsidRDefault="00CB6DA7" w14:paraId="7FCCEE1E" w14:textId="602B0036">
      <w:pPr>
        <w:spacing w:after="0" w:line="360" w:lineRule="auto"/>
        <w:contextualSpacing/>
        <w:rPr>
          <w:rFonts w:cs="Arial"/>
          <w:b/>
          <w:szCs w:val="18"/>
          <w:u w:val="single"/>
          <w:lang w:val="nl-NL"/>
        </w:rPr>
      </w:pPr>
    </w:p>
    <w:p w:rsidRPr="003A1EF6" w:rsidR="00F65E94" w:rsidP="00D713DC" w:rsidRDefault="00F65E94" w14:paraId="6CB3F101" w14:textId="77777777">
      <w:pPr>
        <w:spacing w:after="0" w:line="360" w:lineRule="auto"/>
        <w:contextualSpacing/>
        <w:rPr>
          <w:rFonts w:cs="Arial"/>
          <w:b/>
          <w:szCs w:val="18"/>
          <w:u w:val="single"/>
          <w:lang w:val="nl-NL"/>
        </w:rPr>
      </w:pPr>
    </w:p>
    <w:p w:rsidRPr="003A1EF6" w:rsidR="00553A75" w:rsidP="00D713DC" w:rsidRDefault="00553A75" w14:paraId="6D7FC178" w14:textId="3792CCAD">
      <w:pPr>
        <w:spacing w:after="0" w:line="360" w:lineRule="auto"/>
        <w:contextualSpacing/>
        <w:rPr>
          <w:rFonts w:cs="Arial"/>
          <w:b/>
          <w:szCs w:val="18"/>
          <w:u w:val="single"/>
          <w:lang w:val="nl-NL"/>
        </w:rPr>
      </w:pPr>
      <w:r w:rsidRPr="003A1EF6">
        <w:rPr>
          <w:rFonts w:cs="Arial"/>
          <w:b/>
          <w:szCs w:val="18"/>
          <w:u w:val="single"/>
          <w:lang w:val="nl-NL"/>
        </w:rPr>
        <w:t>Eurogroep</w:t>
      </w:r>
    </w:p>
    <w:p w:rsidRPr="003A1EF6" w:rsidR="00895167" w:rsidP="00D713DC" w:rsidRDefault="00895167" w14:paraId="25CB6985" w14:textId="77777777">
      <w:pPr>
        <w:spacing w:after="0" w:line="360" w:lineRule="auto"/>
        <w:contextualSpacing/>
        <w:rPr>
          <w:rFonts w:cs="Arial"/>
          <w:b/>
          <w:szCs w:val="18"/>
          <w:u w:val="single"/>
          <w:lang w:val="nl-NL"/>
        </w:rPr>
      </w:pPr>
    </w:p>
    <w:p w:rsidRPr="003A1EF6" w:rsidR="00CB6DA7" w:rsidP="00D713DC" w:rsidRDefault="00CB6DA7" w14:paraId="584D5356" w14:textId="77777777">
      <w:pPr>
        <w:spacing w:after="0" w:line="360" w:lineRule="auto"/>
        <w:contextualSpacing/>
        <w:rPr>
          <w:rFonts w:cs="Arial"/>
          <w:b/>
          <w:szCs w:val="18"/>
          <w:lang w:val="nl-NL"/>
        </w:rPr>
      </w:pPr>
      <w:r w:rsidRPr="003A1EF6">
        <w:rPr>
          <w:rFonts w:cs="Arial"/>
          <w:b/>
          <w:szCs w:val="18"/>
          <w:lang w:val="nl-NL"/>
        </w:rPr>
        <w:t xml:space="preserve">Griekenland: vierde </w:t>
      </w:r>
      <w:proofErr w:type="spellStart"/>
      <w:r w:rsidRPr="003A1EF6">
        <w:rPr>
          <w:rFonts w:cs="Arial"/>
          <w:b/>
          <w:i/>
          <w:szCs w:val="18"/>
          <w:lang w:val="nl-NL"/>
        </w:rPr>
        <w:t>Enhanced</w:t>
      </w:r>
      <w:proofErr w:type="spellEnd"/>
      <w:r w:rsidRPr="003A1EF6">
        <w:rPr>
          <w:rFonts w:cs="Arial"/>
          <w:b/>
          <w:i/>
          <w:szCs w:val="18"/>
          <w:lang w:val="nl-NL"/>
        </w:rPr>
        <w:t xml:space="preserve"> Surveillance </w:t>
      </w:r>
      <w:r w:rsidRPr="003A1EF6">
        <w:rPr>
          <w:rFonts w:cs="Arial"/>
          <w:b/>
          <w:szCs w:val="18"/>
          <w:lang w:val="nl-NL"/>
        </w:rPr>
        <w:t>rapport</w:t>
      </w:r>
    </w:p>
    <w:p w:rsidRPr="003A1EF6" w:rsidR="00F65E94" w:rsidP="00D713DC" w:rsidRDefault="00F5775C" w14:paraId="2EC31B68" w14:textId="77777777">
      <w:pPr>
        <w:spacing w:after="0" w:line="360" w:lineRule="auto"/>
        <w:contextualSpacing/>
        <w:rPr>
          <w:szCs w:val="18"/>
          <w:lang w:val="nl-NL"/>
        </w:rPr>
      </w:pPr>
      <w:r w:rsidRPr="003A1EF6">
        <w:rPr>
          <w:szCs w:val="18"/>
          <w:lang w:val="nl-NL"/>
        </w:rPr>
        <w:t xml:space="preserve">De Eurogroep heeft een terugkoppeling ontvangen van de vierde missie in het kader van </w:t>
      </w:r>
      <w:proofErr w:type="spellStart"/>
      <w:r w:rsidRPr="003A1EF6">
        <w:rPr>
          <w:i/>
          <w:szCs w:val="18"/>
          <w:lang w:val="nl-NL"/>
        </w:rPr>
        <w:t>Enhanced</w:t>
      </w:r>
      <w:proofErr w:type="spellEnd"/>
      <w:r w:rsidRPr="003A1EF6">
        <w:rPr>
          <w:i/>
          <w:szCs w:val="18"/>
          <w:lang w:val="nl-NL"/>
        </w:rPr>
        <w:t xml:space="preserve"> Surveillance</w:t>
      </w:r>
      <w:r w:rsidRPr="003A1EF6">
        <w:rPr>
          <w:szCs w:val="18"/>
          <w:lang w:val="nl-NL"/>
        </w:rPr>
        <w:t xml:space="preserve"> (verscherpt toezicht) naar Griekenland. De missie, waaraan naast de Europese Commissie ook de ECB, het ESM en het IMF deelnamen, heeft plaatsgevonden van 23 tot 26 september jl. Het rapport van de Europese Commissie is op 20 november </w:t>
      </w:r>
      <w:proofErr w:type="spellStart"/>
      <w:r w:rsidRPr="003A1EF6">
        <w:rPr>
          <w:szCs w:val="18"/>
          <w:lang w:val="nl-NL"/>
        </w:rPr>
        <w:t>jl</w:t>
      </w:r>
      <w:proofErr w:type="spellEnd"/>
      <w:r w:rsidRPr="003A1EF6">
        <w:rPr>
          <w:szCs w:val="18"/>
          <w:lang w:val="nl-NL"/>
        </w:rPr>
        <w:t xml:space="preserve"> gepubliceerd.</w:t>
      </w:r>
      <w:r w:rsidRPr="003A1EF6">
        <w:rPr>
          <w:rStyle w:val="Voetnootmarkering"/>
          <w:szCs w:val="18"/>
          <w:lang w:val="nl-NL"/>
        </w:rPr>
        <w:footnoteReference w:id="1"/>
      </w:r>
      <w:r w:rsidRPr="003A1EF6">
        <w:rPr>
          <w:szCs w:val="18"/>
          <w:lang w:val="nl-NL"/>
        </w:rPr>
        <w:t xml:space="preserve"> </w:t>
      </w:r>
    </w:p>
    <w:p w:rsidRPr="003A1EF6" w:rsidR="00F65E94" w:rsidP="00D713DC" w:rsidRDefault="00F65E94" w14:paraId="110A0E5B" w14:textId="77777777">
      <w:pPr>
        <w:spacing w:after="0" w:line="360" w:lineRule="auto"/>
        <w:contextualSpacing/>
        <w:rPr>
          <w:szCs w:val="18"/>
          <w:lang w:val="nl-NL"/>
        </w:rPr>
      </w:pPr>
    </w:p>
    <w:p w:rsidRPr="003A1EF6" w:rsidR="00F5775C" w:rsidP="00D713DC" w:rsidRDefault="00F5775C" w14:paraId="540689D5" w14:textId="366A94FA">
      <w:pPr>
        <w:spacing w:after="0" w:line="360" w:lineRule="auto"/>
        <w:contextualSpacing/>
        <w:rPr>
          <w:szCs w:val="18"/>
          <w:lang w:val="nl-NL"/>
        </w:rPr>
      </w:pPr>
      <w:r w:rsidRPr="003A1EF6">
        <w:rPr>
          <w:szCs w:val="18"/>
          <w:lang w:val="nl-NL"/>
        </w:rPr>
        <w:t xml:space="preserve">De toon van het rapport is positief en de Europese Commissie geeft aan dat het contact met de nieuwe regering als goed wordt ervaren. Griekenland heeft de noodzakelijke acties ondernomen om de afspraken </w:t>
      </w:r>
      <w:r w:rsidRPr="003A1EF6" w:rsidR="002E7367">
        <w:rPr>
          <w:szCs w:val="18"/>
          <w:lang w:val="nl-NL"/>
        </w:rPr>
        <w:t>voor</w:t>
      </w:r>
      <w:r w:rsidRPr="003A1EF6">
        <w:rPr>
          <w:szCs w:val="18"/>
          <w:lang w:val="nl-NL"/>
        </w:rPr>
        <w:t xml:space="preserve"> midden 2019 te bereiken. Verder geeft het rapport aan dat er over 2019 een primair </w:t>
      </w:r>
      <w:proofErr w:type="spellStart"/>
      <w:r w:rsidRPr="003A1EF6" w:rsidR="002E7367">
        <w:rPr>
          <w:szCs w:val="18"/>
          <w:lang w:val="nl-NL"/>
        </w:rPr>
        <w:t>begrotings</w:t>
      </w:r>
      <w:r w:rsidRPr="003A1EF6">
        <w:rPr>
          <w:szCs w:val="18"/>
          <w:lang w:val="nl-NL"/>
        </w:rPr>
        <w:t>surplus</w:t>
      </w:r>
      <w:proofErr w:type="spellEnd"/>
      <w:r w:rsidRPr="003A1EF6">
        <w:rPr>
          <w:szCs w:val="18"/>
          <w:lang w:val="nl-NL"/>
        </w:rPr>
        <w:t xml:space="preserve"> van 3,8% bbp zal worden gehaald, boven de gemaakte afspraken van 3,5%</w:t>
      </w:r>
      <w:r w:rsidRPr="003A1EF6" w:rsidR="002E7367">
        <w:rPr>
          <w:szCs w:val="18"/>
          <w:lang w:val="nl-NL"/>
        </w:rPr>
        <w:t>,</w:t>
      </w:r>
      <w:r w:rsidRPr="003A1EF6">
        <w:rPr>
          <w:szCs w:val="18"/>
          <w:lang w:val="nl-NL"/>
        </w:rPr>
        <w:t xml:space="preserve"> en wordt verwacht dat de conceptbegroting voor 2020 zal resulteren in een primair surplus van 3,5%. Daarbij blijven er net als in april wel aandachtpunten, zoals het wegwerken van </w:t>
      </w:r>
      <w:r w:rsidRPr="003A1EF6" w:rsidR="00F01CAD">
        <w:rPr>
          <w:szCs w:val="18"/>
          <w:lang w:val="nl-NL"/>
        </w:rPr>
        <w:t xml:space="preserve">binnenlandse </w:t>
      </w:r>
      <w:r w:rsidRPr="003A1EF6">
        <w:rPr>
          <w:szCs w:val="18"/>
          <w:lang w:val="nl-NL"/>
        </w:rPr>
        <w:t>betalingsachterstanden</w:t>
      </w:r>
      <w:r w:rsidR="001B0F54">
        <w:rPr>
          <w:szCs w:val="18"/>
          <w:lang w:val="nl-NL"/>
        </w:rPr>
        <w:t xml:space="preserve"> van de overheid</w:t>
      </w:r>
      <w:r w:rsidRPr="003A1EF6" w:rsidR="002E7367">
        <w:rPr>
          <w:szCs w:val="18"/>
          <w:lang w:val="nl-NL"/>
        </w:rPr>
        <w:t xml:space="preserve"> </w:t>
      </w:r>
      <w:r w:rsidRPr="003A1EF6" w:rsidR="00F01CAD">
        <w:rPr>
          <w:szCs w:val="18"/>
          <w:lang w:val="nl-NL"/>
        </w:rPr>
        <w:t>(</w:t>
      </w:r>
      <w:r w:rsidR="001B0F54">
        <w:rPr>
          <w:szCs w:val="18"/>
          <w:lang w:val="nl-NL"/>
        </w:rPr>
        <w:t>aan bijvoorbeeld</w:t>
      </w:r>
      <w:r w:rsidRPr="003A1EF6" w:rsidR="002E7367">
        <w:rPr>
          <w:szCs w:val="18"/>
          <w:lang w:val="nl-NL"/>
        </w:rPr>
        <w:t xml:space="preserve"> </w:t>
      </w:r>
      <w:r w:rsidRPr="003A1EF6" w:rsidR="00F01CAD">
        <w:rPr>
          <w:szCs w:val="18"/>
          <w:lang w:val="nl-NL"/>
        </w:rPr>
        <w:t>h</w:t>
      </w:r>
      <w:r w:rsidRPr="003A1EF6" w:rsidR="002E7367">
        <w:rPr>
          <w:szCs w:val="18"/>
          <w:lang w:val="nl-NL"/>
        </w:rPr>
        <w:t>uishoudens</w:t>
      </w:r>
      <w:r w:rsidRPr="003A1EF6" w:rsidR="00F01CAD">
        <w:rPr>
          <w:szCs w:val="18"/>
          <w:lang w:val="nl-NL"/>
        </w:rPr>
        <w:t>, bedrijven en lokale overheden)</w:t>
      </w:r>
      <w:r w:rsidRPr="003A1EF6">
        <w:rPr>
          <w:szCs w:val="18"/>
          <w:lang w:val="nl-NL"/>
        </w:rPr>
        <w:t>, het doorvoeren van maatregelen om onderbesteding van het publieke investeringsbudget te voorkomen en het reduceren van niet-presterende leningen (</w:t>
      </w:r>
      <w:proofErr w:type="spellStart"/>
      <w:r w:rsidRPr="003A1EF6">
        <w:rPr>
          <w:szCs w:val="18"/>
          <w:lang w:val="nl-NL"/>
        </w:rPr>
        <w:t>NPLs</w:t>
      </w:r>
      <w:proofErr w:type="spellEnd"/>
      <w:r w:rsidRPr="003A1EF6">
        <w:rPr>
          <w:szCs w:val="18"/>
          <w:lang w:val="nl-NL"/>
        </w:rPr>
        <w:t xml:space="preserve">). </w:t>
      </w:r>
    </w:p>
    <w:p w:rsidRPr="003A1EF6" w:rsidR="00F5775C" w:rsidP="00D713DC" w:rsidRDefault="00F5775C" w14:paraId="19E28D11" w14:textId="77777777">
      <w:pPr>
        <w:spacing w:after="0" w:line="360" w:lineRule="auto"/>
        <w:contextualSpacing/>
        <w:rPr>
          <w:szCs w:val="18"/>
          <w:lang w:val="nl-NL"/>
        </w:rPr>
      </w:pPr>
    </w:p>
    <w:p w:rsidRPr="003A1EF6" w:rsidR="00F5775C" w:rsidP="00D713DC" w:rsidRDefault="00F5775C" w14:paraId="7EFA22AF" w14:textId="5AA6BCB2">
      <w:pPr>
        <w:spacing w:after="0" w:line="360" w:lineRule="auto"/>
        <w:contextualSpacing/>
        <w:rPr>
          <w:szCs w:val="18"/>
          <w:lang w:val="nl-NL"/>
        </w:rPr>
      </w:pPr>
      <w:r w:rsidRPr="003A1EF6">
        <w:rPr>
          <w:szCs w:val="18"/>
          <w:lang w:val="nl-NL"/>
        </w:rPr>
        <w:t xml:space="preserve">Elk halfjaar wordt op basis van de missie in het kader van </w:t>
      </w:r>
      <w:proofErr w:type="spellStart"/>
      <w:r w:rsidRPr="003A1EF6">
        <w:rPr>
          <w:i/>
          <w:szCs w:val="18"/>
          <w:lang w:val="nl-NL"/>
        </w:rPr>
        <w:t>Enhanced</w:t>
      </w:r>
      <w:proofErr w:type="spellEnd"/>
      <w:r w:rsidRPr="003A1EF6">
        <w:rPr>
          <w:i/>
          <w:szCs w:val="18"/>
          <w:lang w:val="nl-NL"/>
        </w:rPr>
        <w:t xml:space="preserve"> Surveillance </w:t>
      </w:r>
      <w:r w:rsidRPr="003A1EF6">
        <w:rPr>
          <w:szCs w:val="18"/>
          <w:lang w:val="nl-NL"/>
        </w:rPr>
        <w:t>door de Eurogroep beoordeeld of Griekenland aan de afgesproken hervormingen heeft voldaan, zodat de lidstaten kunnen besluiten of de schuldmaatregelen, zoals afgesproken in de Eurogroep van juni 2018</w:t>
      </w:r>
      <w:r w:rsidRPr="003A1EF6">
        <w:rPr>
          <w:rStyle w:val="Voetnootmarkering"/>
          <w:szCs w:val="18"/>
          <w:lang w:val="nl-NL"/>
        </w:rPr>
        <w:footnoteReference w:id="2"/>
      </w:r>
      <w:r w:rsidRPr="003A1EF6">
        <w:rPr>
          <w:szCs w:val="18"/>
          <w:lang w:val="nl-NL"/>
        </w:rPr>
        <w:t xml:space="preserve">, kunnen worden geactiveerd. Op basis van het voorliggende rapport en een nadere toelichting van de Europese instellingen en Griekenland heeft de Eurogroep geconcludeerd dat de schuldmaatregelen kunnen worden geactiveerd, zoals ook weergegeven in een </w:t>
      </w:r>
      <w:proofErr w:type="spellStart"/>
      <w:r w:rsidRPr="003A1EF6">
        <w:rPr>
          <w:szCs w:val="18"/>
          <w:lang w:val="nl-NL"/>
        </w:rPr>
        <w:t>Eurogroepverklaring</w:t>
      </w:r>
      <w:proofErr w:type="spellEnd"/>
      <w:r w:rsidRPr="003A1EF6">
        <w:rPr>
          <w:szCs w:val="18"/>
          <w:lang w:val="nl-NL"/>
        </w:rPr>
        <w:t>.</w:t>
      </w:r>
      <w:r w:rsidRPr="003A1EF6">
        <w:rPr>
          <w:rStyle w:val="Voetnootmarkering"/>
          <w:szCs w:val="18"/>
          <w:lang w:val="nl-NL"/>
        </w:rPr>
        <w:footnoteReference w:id="3"/>
      </w:r>
      <w:r w:rsidRPr="003A1EF6">
        <w:rPr>
          <w:rStyle w:val="Voetnootmarkering"/>
          <w:lang w:val="nl-NL"/>
        </w:rPr>
        <w:t xml:space="preserve"> </w:t>
      </w:r>
      <w:r w:rsidRPr="003A1EF6">
        <w:rPr>
          <w:lang w:val="nl-NL"/>
        </w:rPr>
        <w:t xml:space="preserve">Daarin is tevens opgenomen dat Griekenland zich committeert aan de verdere implementatie van de hervormingen, en in het bijzonder ten aanzien van de reductie van betalingsachterstanden, privatiseringen en personeelswerving in de publieke sector. </w:t>
      </w:r>
      <w:r w:rsidRPr="003A1EF6">
        <w:rPr>
          <w:szCs w:val="18"/>
          <w:lang w:val="nl-NL"/>
        </w:rPr>
        <w:t xml:space="preserve">De schuldmaatregelen betreffen een uitkering van SMP/ANFA-middelen en het niet door laten gaan van een renteopslag van 200 basispunten op een deel van de EFSF-lening, samen met een totale waarde van 767 miljoen euro. Tenslotte is in de </w:t>
      </w:r>
      <w:proofErr w:type="spellStart"/>
      <w:r w:rsidRPr="003A1EF6">
        <w:rPr>
          <w:szCs w:val="18"/>
          <w:lang w:val="nl-NL"/>
        </w:rPr>
        <w:t>Eurogroepverklaring</w:t>
      </w:r>
      <w:proofErr w:type="spellEnd"/>
      <w:r w:rsidRPr="003A1EF6">
        <w:rPr>
          <w:szCs w:val="18"/>
          <w:lang w:val="nl-NL"/>
        </w:rPr>
        <w:t xml:space="preserve"> opgenomen dat op technisch niveau zal worden gekeken naar de mogelijke inzet van SMP/</w:t>
      </w:r>
      <w:proofErr w:type="gramStart"/>
      <w:r w:rsidRPr="003A1EF6">
        <w:rPr>
          <w:szCs w:val="18"/>
          <w:lang w:val="nl-NL"/>
        </w:rPr>
        <w:t>ANFA middelen</w:t>
      </w:r>
      <w:proofErr w:type="gramEnd"/>
      <w:r w:rsidRPr="003A1EF6">
        <w:rPr>
          <w:szCs w:val="18"/>
          <w:lang w:val="nl-NL"/>
        </w:rPr>
        <w:t xml:space="preserve"> voor de financiering van investeringen. </w:t>
      </w:r>
    </w:p>
    <w:p w:rsidRPr="003A1EF6" w:rsidR="005D79AB" w:rsidP="00D713DC" w:rsidRDefault="005D79AB" w14:paraId="3B048A19" w14:textId="77777777">
      <w:pPr>
        <w:spacing w:after="0" w:line="360" w:lineRule="auto"/>
        <w:contextualSpacing/>
        <w:rPr>
          <w:szCs w:val="18"/>
          <w:lang w:val="nl-NL"/>
        </w:rPr>
      </w:pPr>
    </w:p>
    <w:p w:rsidRPr="003A1EF6" w:rsidR="00CB6DA7" w:rsidP="00D713DC" w:rsidRDefault="00CB6DA7" w14:paraId="46643143" w14:textId="49D56C3C">
      <w:pPr>
        <w:spacing w:after="0" w:line="360" w:lineRule="auto"/>
        <w:contextualSpacing/>
        <w:rPr>
          <w:rFonts w:cs="Arial"/>
          <w:b/>
          <w:szCs w:val="18"/>
          <w:lang w:val="nl-NL"/>
        </w:rPr>
      </w:pPr>
      <w:r w:rsidRPr="003A1EF6">
        <w:rPr>
          <w:rFonts w:cs="Arial"/>
          <w:b/>
          <w:szCs w:val="18"/>
          <w:lang w:val="nl-NL"/>
        </w:rPr>
        <w:lastRenderedPageBreak/>
        <w:t>Cyprus post-programmasurveillance – 7</w:t>
      </w:r>
      <w:r w:rsidRPr="003A1EF6">
        <w:rPr>
          <w:b/>
          <w:bCs/>
          <w:szCs w:val="18"/>
          <w:vertAlign w:val="superscript"/>
          <w:lang w:val="nl-NL"/>
        </w:rPr>
        <w:t>de</w:t>
      </w:r>
      <w:r w:rsidRPr="003A1EF6">
        <w:rPr>
          <w:rFonts w:cs="Arial"/>
          <w:b/>
          <w:szCs w:val="18"/>
          <w:lang w:val="nl-NL"/>
        </w:rPr>
        <w:t xml:space="preserve"> review</w:t>
      </w:r>
    </w:p>
    <w:p w:rsidRPr="003A1EF6" w:rsidR="008D74A5" w:rsidP="00D713DC" w:rsidRDefault="00CB6DA7" w14:paraId="21ACA0EF" w14:textId="14F4F670">
      <w:pPr>
        <w:spacing w:after="0" w:line="360" w:lineRule="auto"/>
        <w:contextualSpacing/>
        <w:rPr>
          <w:szCs w:val="18"/>
          <w:lang w:val="nl-NL"/>
        </w:rPr>
      </w:pPr>
      <w:r w:rsidRPr="003A1EF6">
        <w:rPr>
          <w:szCs w:val="18"/>
          <w:lang w:val="nl-NL"/>
        </w:rPr>
        <w:t xml:space="preserve">De Eurogroep </w:t>
      </w:r>
      <w:r w:rsidRPr="003A1EF6" w:rsidR="00976D77">
        <w:rPr>
          <w:szCs w:val="18"/>
          <w:lang w:val="nl-NL"/>
        </w:rPr>
        <w:t>heeft</w:t>
      </w:r>
      <w:r w:rsidRPr="003A1EF6">
        <w:rPr>
          <w:szCs w:val="18"/>
          <w:lang w:val="nl-NL"/>
        </w:rPr>
        <w:t xml:space="preserve"> een terugkoppeling ontvangen van de zevende missie in het kader van post-programmasurveillance (PPS) naar Cyprus.</w:t>
      </w:r>
      <w:r w:rsidRPr="003A1EF6" w:rsidR="00976D77">
        <w:rPr>
          <w:rStyle w:val="Voetnootmarkering"/>
          <w:szCs w:val="18"/>
          <w:lang w:val="nl-NL"/>
        </w:rPr>
        <w:footnoteReference w:id="4"/>
      </w:r>
      <w:r w:rsidRPr="003A1EF6">
        <w:rPr>
          <w:szCs w:val="18"/>
          <w:lang w:val="nl-NL"/>
        </w:rPr>
        <w:t xml:space="preserve"> De missie in het kader van PPS, waaraan de Europese Commissie, de ECB en het ESM en het IMF deelnamen heeft plaatsgevonden op 16 en 20 september </w:t>
      </w:r>
      <w:r w:rsidRPr="003A1EF6" w:rsidR="008D74A5">
        <w:rPr>
          <w:szCs w:val="18"/>
          <w:lang w:val="nl-NL"/>
        </w:rPr>
        <w:t>jl</w:t>
      </w:r>
      <w:r w:rsidRPr="003A1EF6">
        <w:rPr>
          <w:szCs w:val="18"/>
          <w:lang w:val="nl-NL"/>
        </w:rPr>
        <w:t xml:space="preserve">. Het doel van PPS is om de economische, budgettaire en financiële ontwikkelingen van een land dat financiële steun heeft ontvangen te monitoren, om zodoende de terugbetaalcapaciteit te beoordelen. </w:t>
      </w:r>
    </w:p>
    <w:p w:rsidRPr="003A1EF6" w:rsidR="00CB6DA7" w:rsidP="00D713DC" w:rsidRDefault="00CB6DA7" w14:paraId="1A8A6A34" w14:textId="77777777">
      <w:pPr>
        <w:spacing w:after="0" w:line="360" w:lineRule="auto"/>
        <w:contextualSpacing/>
        <w:rPr>
          <w:szCs w:val="18"/>
          <w:lang w:val="nl-NL"/>
        </w:rPr>
      </w:pPr>
    </w:p>
    <w:p w:rsidRPr="003A1EF6" w:rsidR="00976D77" w:rsidP="00D713DC" w:rsidRDefault="00976D77" w14:paraId="03D4ACB4" w14:textId="003F4E90">
      <w:pPr>
        <w:spacing w:after="0" w:line="360" w:lineRule="auto"/>
        <w:contextualSpacing/>
        <w:rPr>
          <w:szCs w:val="18"/>
          <w:lang w:val="nl-NL"/>
        </w:rPr>
      </w:pPr>
      <w:r w:rsidRPr="003A1EF6">
        <w:rPr>
          <w:szCs w:val="18"/>
          <w:lang w:val="nl-NL"/>
        </w:rPr>
        <w:t>Uit het rapport blijkt d</w:t>
      </w:r>
      <w:r w:rsidRPr="003A1EF6" w:rsidR="00CB6DA7">
        <w:rPr>
          <w:szCs w:val="18"/>
          <w:lang w:val="nl-NL"/>
        </w:rPr>
        <w:t xml:space="preserve">at de economische groei sterk blijft door aanhoudende binnenlandse vraag, maar geleidelijk zal matigen als een gevolg van externe economische factoren. Voor de jaren 2019 tot en met 2021 wordt er een begrotingsoverschot verwacht, al zal </w:t>
      </w:r>
      <w:r w:rsidR="0003623D">
        <w:rPr>
          <w:szCs w:val="18"/>
          <w:lang w:val="nl-NL"/>
        </w:rPr>
        <w:t>dit</w:t>
      </w:r>
      <w:r w:rsidRPr="003A1EF6" w:rsidR="00CB6DA7">
        <w:rPr>
          <w:szCs w:val="18"/>
          <w:lang w:val="nl-NL"/>
        </w:rPr>
        <w:t xml:space="preserve"> enigszins afnemen als een gevolg van stijgende gezondheidskosten en personeelskosten. De overheidsschuld zal in de loop van de tijd afnemen, maar het blijft in het kader van schuldhoudbaarheid van belang dat de uitgavenkant van de begroting in toom wordt gehouden. Met betrekking tot de bankensector blijven de niet-presterende leningen (</w:t>
      </w:r>
      <w:proofErr w:type="spellStart"/>
      <w:r w:rsidRPr="003A1EF6" w:rsidR="00CB6DA7">
        <w:rPr>
          <w:szCs w:val="18"/>
          <w:lang w:val="nl-NL"/>
        </w:rPr>
        <w:t>NPLs</w:t>
      </w:r>
      <w:proofErr w:type="spellEnd"/>
      <w:r w:rsidRPr="003A1EF6" w:rsidR="00CB6DA7">
        <w:rPr>
          <w:szCs w:val="18"/>
          <w:lang w:val="nl-NL"/>
        </w:rPr>
        <w:t xml:space="preserve">), ondanks de recente daling, nog bijzonder hoog. De NPL-reductie en het verbeteren van de winstgevendheid van de bankensector blijven prioriteiten voor de Cypriotische overheid. Daarnaast blijven structurele hervormingen nodig als aanjager van economische groei en de veerkracht daarvan. Voorbeelden van benodigde hervormingen zijn het versterken van het juridisch apparaat, het verbeteren van insolventiewetgeving, het versnellen van privatiseringen en het hervormen van de publieke sector. </w:t>
      </w:r>
      <w:r w:rsidRPr="003A1EF6" w:rsidR="008D74A5">
        <w:rPr>
          <w:szCs w:val="18"/>
          <w:lang w:val="nl-NL"/>
        </w:rPr>
        <w:t>De volgende PPS-missie naar Cyprus zal plaatsvinden in de lente van 2020.</w:t>
      </w:r>
    </w:p>
    <w:p w:rsidRPr="003A1EF6" w:rsidR="00CB6DA7" w:rsidP="00D713DC" w:rsidRDefault="00CB6DA7" w14:paraId="196F24FA" w14:textId="77777777">
      <w:pPr>
        <w:spacing w:after="0" w:line="360" w:lineRule="auto"/>
        <w:contextualSpacing/>
        <w:rPr>
          <w:rFonts w:cs="Arial"/>
          <w:b/>
          <w:szCs w:val="18"/>
          <w:lang w:val="nl-NL"/>
        </w:rPr>
      </w:pPr>
    </w:p>
    <w:p w:rsidRPr="003A1EF6" w:rsidR="00CB6DA7" w:rsidP="00D713DC" w:rsidRDefault="00CB6DA7" w14:paraId="57EA5646" w14:textId="77777777">
      <w:pPr>
        <w:spacing w:after="0" w:line="360" w:lineRule="auto"/>
        <w:contextualSpacing/>
        <w:rPr>
          <w:rFonts w:cs="Arial"/>
          <w:b/>
          <w:szCs w:val="18"/>
          <w:lang w:val="nl-NL"/>
        </w:rPr>
      </w:pPr>
      <w:r w:rsidRPr="003A1EF6">
        <w:rPr>
          <w:rFonts w:cs="Arial"/>
          <w:b/>
          <w:szCs w:val="18"/>
          <w:lang w:val="nl-NL"/>
        </w:rPr>
        <w:t xml:space="preserve">Spanje post-programmasurveillance – </w:t>
      </w:r>
      <w:r w:rsidRPr="003A1EF6">
        <w:rPr>
          <w:b/>
          <w:bCs/>
          <w:szCs w:val="18"/>
          <w:lang w:val="nl-NL"/>
        </w:rPr>
        <w:t>12</w:t>
      </w:r>
      <w:r w:rsidRPr="003A1EF6">
        <w:rPr>
          <w:b/>
          <w:bCs/>
          <w:szCs w:val="18"/>
          <w:vertAlign w:val="superscript"/>
          <w:lang w:val="nl-NL"/>
        </w:rPr>
        <w:t>de</w:t>
      </w:r>
      <w:r w:rsidRPr="003A1EF6">
        <w:rPr>
          <w:rFonts w:cs="Arial"/>
          <w:b/>
          <w:szCs w:val="18"/>
          <w:lang w:val="nl-NL"/>
        </w:rPr>
        <w:t xml:space="preserve"> review</w:t>
      </w:r>
    </w:p>
    <w:p w:rsidRPr="003A1EF6" w:rsidR="00CB6DA7" w:rsidP="00D713DC" w:rsidRDefault="00CB6DA7" w14:paraId="6A73136C" w14:textId="26E6D28B">
      <w:pPr>
        <w:spacing w:after="0" w:line="360" w:lineRule="auto"/>
        <w:contextualSpacing/>
        <w:rPr>
          <w:rFonts w:ascii="Times New Roman" w:hAnsi="Times New Roman" w:cs="Times New Roman"/>
          <w:sz w:val="24"/>
          <w:szCs w:val="24"/>
          <w:lang w:val="nl-NL" w:eastAsia="nl-NL"/>
        </w:rPr>
      </w:pPr>
      <w:r w:rsidRPr="003A1EF6">
        <w:rPr>
          <w:szCs w:val="18"/>
          <w:lang w:val="nl-NL"/>
        </w:rPr>
        <w:t xml:space="preserve">De Eurogroep </w:t>
      </w:r>
      <w:r w:rsidRPr="003A1EF6" w:rsidR="008D74A5">
        <w:rPr>
          <w:szCs w:val="18"/>
          <w:lang w:val="nl-NL"/>
        </w:rPr>
        <w:t>heeft</w:t>
      </w:r>
      <w:r w:rsidRPr="003A1EF6">
        <w:rPr>
          <w:szCs w:val="18"/>
          <w:lang w:val="nl-NL"/>
        </w:rPr>
        <w:t xml:space="preserve"> een terugkoppeling ontvangen van de twaalfde missie in het kader van post-programmasurveillance (PPS) naar Spanje.</w:t>
      </w:r>
      <w:r w:rsidRPr="003A1EF6" w:rsidR="0017204F">
        <w:rPr>
          <w:rStyle w:val="Voetnootmarkering"/>
          <w:szCs w:val="18"/>
          <w:lang w:val="nl-NL"/>
        </w:rPr>
        <w:footnoteReference w:id="5"/>
      </w:r>
      <w:r w:rsidRPr="003A1EF6" w:rsidR="0017204F">
        <w:rPr>
          <w:szCs w:val="18"/>
          <w:lang w:val="nl-NL"/>
        </w:rPr>
        <w:t xml:space="preserve"> </w:t>
      </w:r>
      <w:r w:rsidRPr="003A1EF6">
        <w:rPr>
          <w:szCs w:val="18"/>
          <w:lang w:val="nl-NL"/>
        </w:rPr>
        <w:t xml:space="preserve">De missie in het kader van PPS, waaraan de Europese Commissie, de ECB en het ESM deelnamen, heeft plaatsgevonden op 8 en 9 oktober </w:t>
      </w:r>
      <w:r w:rsidRPr="003A1EF6" w:rsidR="008D74A5">
        <w:rPr>
          <w:szCs w:val="18"/>
          <w:lang w:val="nl-NL"/>
        </w:rPr>
        <w:t>jl</w:t>
      </w:r>
      <w:r w:rsidRPr="003A1EF6">
        <w:rPr>
          <w:szCs w:val="18"/>
          <w:lang w:val="nl-NL"/>
        </w:rPr>
        <w:t xml:space="preserve">. Het doel van PPS is om de economische, budgettaire en financiële ontwikkelingen van een land dat financiële steun heeft ontvangen te monitoren, om zodoende de terugbetaalcapaciteit </w:t>
      </w:r>
      <w:r w:rsidRPr="003A1EF6" w:rsidR="008D74A5">
        <w:rPr>
          <w:szCs w:val="18"/>
          <w:lang w:val="nl-NL"/>
        </w:rPr>
        <w:t>te beoordelen.</w:t>
      </w:r>
      <w:r w:rsidRPr="003A1EF6" w:rsidR="008D74A5">
        <w:rPr>
          <w:b/>
          <w:bCs/>
          <w:szCs w:val="18"/>
          <w:lang w:val="nl-NL"/>
        </w:rPr>
        <w:br/>
      </w:r>
    </w:p>
    <w:p w:rsidRPr="003A1EF6" w:rsidR="008D74A5" w:rsidP="00D713DC" w:rsidRDefault="008D74A5" w14:paraId="5B46D64B" w14:textId="1BE39829">
      <w:pPr>
        <w:spacing w:after="0" w:line="360" w:lineRule="auto"/>
        <w:contextualSpacing/>
        <w:rPr>
          <w:szCs w:val="18"/>
          <w:lang w:val="nl-NL"/>
        </w:rPr>
      </w:pPr>
      <w:r w:rsidRPr="003A1EF6">
        <w:rPr>
          <w:szCs w:val="18"/>
          <w:lang w:val="nl-NL"/>
        </w:rPr>
        <w:t xml:space="preserve">Uit het rapport blijkt dat </w:t>
      </w:r>
      <w:r w:rsidRPr="003A1EF6" w:rsidR="00CB6DA7">
        <w:rPr>
          <w:szCs w:val="18"/>
          <w:lang w:val="nl-NL"/>
        </w:rPr>
        <w:t xml:space="preserve">Spanje </w:t>
      </w:r>
      <w:r w:rsidRPr="003A1EF6">
        <w:rPr>
          <w:szCs w:val="18"/>
          <w:lang w:val="nl-NL"/>
        </w:rPr>
        <w:t xml:space="preserve">relatief hoge economische groei kent boven het gemiddelde in de EU </w:t>
      </w:r>
      <w:r w:rsidRPr="003A1EF6" w:rsidR="00CB6DA7">
        <w:rPr>
          <w:szCs w:val="18"/>
          <w:lang w:val="nl-NL"/>
        </w:rPr>
        <w:t xml:space="preserve">en dat </w:t>
      </w:r>
      <w:r w:rsidRPr="003A1EF6">
        <w:rPr>
          <w:szCs w:val="18"/>
          <w:lang w:val="nl-NL"/>
        </w:rPr>
        <w:t xml:space="preserve">dit naar verwachting </w:t>
      </w:r>
      <w:r w:rsidRPr="003A1EF6" w:rsidR="00CB6DA7">
        <w:rPr>
          <w:szCs w:val="18"/>
          <w:lang w:val="nl-NL"/>
        </w:rPr>
        <w:t>de komende periode zo</w:t>
      </w:r>
      <w:r w:rsidRPr="003A1EF6">
        <w:rPr>
          <w:szCs w:val="18"/>
          <w:lang w:val="nl-NL"/>
        </w:rPr>
        <w:t xml:space="preserve"> zal</w:t>
      </w:r>
      <w:r w:rsidRPr="003A1EF6" w:rsidR="00CB6DA7">
        <w:rPr>
          <w:szCs w:val="18"/>
          <w:lang w:val="nl-NL"/>
        </w:rPr>
        <w:t xml:space="preserve"> blijven. Wel zal deze groei langzaam matigen. De werkloosheid in het land blijft dalen en zal naar verwachting 13% bereiken</w:t>
      </w:r>
      <w:r w:rsidRPr="003A1EF6">
        <w:rPr>
          <w:szCs w:val="18"/>
          <w:lang w:val="nl-NL"/>
        </w:rPr>
        <w:t xml:space="preserve"> in 2021</w:t>
      </w:r>
      <w:r w:rsidRPr="003A1EF6" w:rsidR="00CB6DA7">
        <w:rPr>
          <w:szCs w:val="18"/>
          <w:lang w:val="nl-NL"/>
        </w:rPr>
        <w:t>. De Spaanse bankensector is winstgevend en de banken hebben voldoende liquiditeit en kapitaal. Daarbij blijven er wel risico’s. De winst van Spaanse banken kan in de toekomst onder druk komen te staan door de lage rente-omgeving en het matigen van de economische groei van Spanje. Het niveau van niet-presterende leningen (</w:t>
      </w:r>
      <w:proofErr w:type="spellStart"/>
      <w:r w:rsidRPr="003A1EF6" w:rsidR="00CB6DA7">
        <w:rPr>
          <w:szCs w:val="18"/>
          <w:lang w:val="nl-NL"/>
        </w:rPr>
        <w:t>NPL’s</w:t>
      </w:r>
      <w:proofErr w:type="spellEnd"/>
      <w:r w:rsidRPr="003A1EF6" w:rsidR="00CB6DA7">
        <w:rPr>
          <w:szCs w:val="18"/>
          <w:lang w:val="nl-NL"/>
        </w:rPr>
        <w:t xml:space="preserve">) ligt in Spanje nog net boven het gemiddelde in de EU en verdere aandacht voor reductie blijft daarom wenselijk. </w:t>
      </w:r>
      <w:r w:rsidRPr="003A1EF6">
        <w:rPr>
          <w:szCs w:val="18"/>
          <w:lang w:val="nl-NL"/>
        </w:rPr>
        <w:t xml:space="preserve">De volgende </w:t>
      </w:r>
      <w:proofErr w:type="gramStart"/>
      <w:r w:rsidRPr="003A1EF6">
        <w:rPr>
          <w:szCs w:val="18"/>
          <w:lang w:val="nl-NL"/>
        </w:rPr>
        <w:t>PPS missie</w:t>
      </w:r>
      <w:proofErr w:type="gramEnd"/>
      <w:r w:rsidRPr="003A1EF6">
        <w:rPr>
          <w:szCs w:val="18"/>
          <w:lang w:val="nl-NL"/>
        </w:rPr>
        <w:t xml:space="preserve"> naar Spanje zal plaatsvinden in de lente van 2020.</w:t>
      </w:r>
    </w:p>
    <w:p w:rsidRPr="003A1EF6" w:rsidR="00F65E94" w:rsidP="00D713DC" w:rsidRDefault="00F65E94" w14:paraId="313E322B" w14:textId="77777777">
      <w:pPr>
        <w:pStyle w:val="Plattetekst"/>
        <w:spacing w:after="0" w:line="360" w:lineRule="auto"/>
        <w:contextualSpacing/>
        <w:rPr>
          <w:rFonts w:ascii="Verdana" w:hAnsi="Verdana" w:cs="Arial"/>
          <w:b/>
          <w:sz w:val="18"/>
          <w:szCs w:val="18"/>
        </w:rPr>
      </w:pPr>
    </w:p>
    <w:p w:rsidRPr="003A1EF6" w:rsidR="00CB6DA7" w:rsidP="00D713DC" w:rsidRDefault="00CB6DA7" w14:paraId="1FF14D91" w14:textId="34656771">
      <w:pPr>
        <w:pStyle w:val="Plattetekst"/>
        <w:spacing w:after="0" w:line="360" w:lineRule="auto"/>
        <w:contextualSpacing/>
        <w:rPr>
          <w:rFonts w:ascii="Verdana" w:hAnsi="Verdana"/>
          <w:bCs/>
          <w:sz w:val="18"/>
          <w:szCs w:val="18"/>
        </w:rPr>
      </w:pPr>
      <w:r w:rsidRPr="003A1EF6">
        <w:rPr>
          <w:rFonts w:ascii="Verdana" w:hAnsi="Verdana" w:cs="Arial"/>
          <w:b/>
          <w:sz w:val="18"/>
          <w:szCs w:val="18"/>
        </w:rPr>
        <w:t>Beoordeling ontwerpbegrotingen en de budgettaire situatie van de eurozone als geheel</w:t>
      </w:r>
      <w:r w:rsidRPr="003A1EF6">
        <w:rPr>
          <w:rFonts w:ascii="Verdana" w:hAnsi="Verdana" w:cs="Arial"/>
          <w:b/>
          <w:bCs/>
          <w:sz w:val="18"/>
          <w:szCs w:val="18"/>
        </w:rPr>
        <w:t xml:space="preserve"> </w:t>
      </w:r>
    </w:p>
    <w:p w:rsidRPr="003A1EF6" w:rsidR="008B4480" w:rsidP="00D713DC" w:rsidRDefault="008B4480" w14:paraId="2A19173F" w14:textId="779DE92C">
      <w:pPr>
        <w:spacing w:after="0" w:line="360" w:lineRule="auto"/>
        <w:contextualSpacing/>
        <w:rPr>
          <w:rFonts w:cs="Arial"/>
          <w:szCs w:val="18"/>
          <w:lang w:val="nl-NL"/>
        </w:rPr>
      </w:pPr>
      <w:r w:rsidRPr="003A1EF6">
        <w:rPr>
          <w:rFonts w:cs="Arial"/>
          <w:szCs w:val="18"/>
          <w:lang w:val="nl-NL"/>
        </w:rPr>
        <w:t>De Eurogroep heeft gesproken over de ontwerpbegrotingen voor 2020 die de eurolanden medio oktober hebben ingediend en de opinies van de Europese Commissie over deze ontwerpbegrotingen.</w:t>
      </w:r>
      <w:r w:rsidRPr="003A1EF6">
        <w:rPr>
          <w:rStyle w:val="Voetnootmarkering"/>
          <w:rFonts w:cs="Arial"/>
          <w:szCs w:val="18"/>
          <w:lang w:val="nl-NL"/>
        </w:rPr>
        <w:footnoteReference w:id="6"/>
      </w:r>
      <w:r w:rsidRPr="003A1EF6">
        <w:rPr>
          <w:rFonts w:cs="Arial"/>
          <w:szCs w:val="18"/>
          <w:lang w:val="nl-NL"/>
        </w:rPr>
        <w:t xml:space="preserve"> Dit is het zevende jaar dat Eurozonelidstaten een concept ontwerpbegroting indienen.</w:t>
      </w:r>
      <w:r w:rsidRPr="003A1EF6">
        <w:rPr>
          <w:rStyle w:val="Voetnootmarkering"/>
          <w:rFonts w:cs="Arial"/>
          <w:szCs w:val="18"/>
        </w:rPr>
        <w:footnoteReference w:id="7"/>
      </w:r>
      <w:r w:rsidRPr="003A1EF6">
        <w:rPr>
          <w:rFonts w:cs="Arial"/>
          <w:szCs w:val="18"/>
          <w:lang w:val="nl-NL"/>
        </w:rPr>
        <w:t xml:space="preserve"> </w:t>
      </w:r>
    </w:p>
    <w:p w:rsidRPr="003A1EF6" w:rsidR="008B4480" w:rsidP="00D713DC" w:rsidRDefault="008B4480" w14:paraId="1F9D9D09" w14:textId="77777777">
      <w:pPr>
        <w:spacing w:after="0" w:line="360" w:lineRule="auto"/>
        <w:contextualSpacing/>
        <w:rPr>
          <w:rFonts w:cs="Arial"/>
          <w:szCs w:val="18"/>
          <w:lang w:val="nl-NL"/>
        </w:rPr>
      </w:pPr>
    </w:p>
    <w:p w:rsidRPr="003A1EF6" w:rsidR="008B4480" w:rsidP="00D713DC" w:rsidRDefault="008B4480" w14:paraId="7C9E313E" w14:textId="77777777">
      <w:pPr>
        <w:spacing w:after="0" w:line="360" w:lineRule="auto"/>
        <w:contextualSpacing/>
        <w:rPr>
          <w:szCs w:val="18"/>
          <w:lang w:val="nl-NL"/>
        </w:rPr>
      </w:pPr>
      <w:r w:rsidRPr="003A1EF6">
        <w:rPr>
          <w:szCs w:val="18"/>
          <w:lang w:val="nl-NL"/>
        </w:rPr>
        <w:t xml:space="preserve">De Europese Commissie heeft in de Eurogroep haar opinies toegelicht. De Europese Commissie is kritisch richting Italië, Spanje, België, Frankrijk, Portugal, Finland, Slowakije en Slovenië vanwege hun zogeheten </w:t>
      </w:r>
      <w:r w:rsidRPr="003A1EF6">
        <w:rPr>
          <w:i/>
          <w:szCs w:val="18"/>
          <w:lang w:val="nl-NL"/>
        </w:rPr>
        <w:t>“risk of non-compliance</w:t>
      </w:r>
      <w:r w:rsidRPr="003A1EF6">
        <w:rPr>
          <w:szCs w:val="18"/>
          <w:lang w:val="nl-NL"/>
        </w:rPr>
        <w:t>” met de eisen van de preventieve arm van het Stabiliteits- en Groei Pact (SGP). Daarnaast waarschuwt de Europese Commissie dat Italië, Spanje, België en Frankrijk een risico lopen niet aan de eisen van de correctieve arm van het SGP te voldoen als ze hun schulden niet voldoende afbouwen of hun structurele saldo niet voldoende verbeteren. Verder classificeert de Europese Commissie Letland en Estland als “</w:t>
      </w:r>
      <w:proofErr w:type="spellStart"/>
      <w:r w:rsidRPr="003A1EF6">
        <w:rPr>
          <w:i/>
          <w:szCs w:val="18"/>
          <w:lang w:val="nl-NL"/>
        </w:rPr>
        <w:t>broadly</w:t>
      </w:r>
      <w:proofErr w:type="spellEnd"/>
      <w:r w:rsidRPr="003A1EF6">
        <w:rPr>
          <w:i/>
          <w:szCs w:val="18"/>
          <w:lang w:val="nl-NL"/>
        </w:rPr>
        <w:t xml:space="preserve"> compliant</w:t>
      </w:r>
      <w:r w:rsidRPr="003A1EF6">
        <w:rPr>
          <w:szCs w:val="18"/>
          <w:lang w:val="nl-NL"/>
        </w:rPr>
        <w:t>” met de eisen van het SGP. De Europese Commissie concludeert dat de ontwerpbegrotingen van Nederland, Duitsland, Ierland, Griekenland, Cyprus, Litouwen, Luxemburg, Malta en Oostenrijk voldoen aan de eisen van het SGP.</w:t>
      </w:r>
    </w:p>
    <w:p w:rsidRPr="003A1EF6" w:rsidR="008B4480" w:rsidP="00D713DC" w:rsidRDefault="008B4480" w14:paraId="5BD40298" w14:textId="77777777">
      <w:pPr>
        <w:spacing w:after="0" w:line="360" w:lineRule="auto"/>
        <w:contextualSpacing/>
        <w:rPr>
          <w:szCs w:val="18"/>
          <w:lang w:val="nl-NL"/>
        </w:rPr>
      </w:pPr>
    </w:p>
    <w:p w:rsidRPr="003A1EF6" w:rsidR="008B4480" w:rsidP="00D713DC" w:rsidRDefault="008B4480" w14:paraId="6F7470C9" w14:textId="77777777">
      <w:pPr>
        <w:spacing w:after="0" w:line="360" w:lineRule="auto"/>
        <w:contextualSpacing/>
        <w:rPr>
          <w:szCs w:val="18"/>
          <w:lang w:val="nl-NL"/>
        </w:rPr>
      </w:pPr>
      <w:r w:rsidRPr="003A1EF6">
        <w:rPr>
          <w:szCs w:val="18"/>
          <w:lang w:val="nl-NL"/>
        </w:rPr>
        <w:t>De Europese Commissie heeft verder aangegeven een positieve trend te zien in de afbouw van publieke schulden in de eurozone als geheel. De Europese Commissie onderstreept het belang voor individuele lidstaten met een hoge schuld om deze verder af te bouwen en moedigt lidstaten met budgettaire ruimte aan om meer te investeren.</w:t>
      </w:r>
    </w:p>
    <w:p w:rsidRPr="003A1EF6" w:rsidR="008B4480" w:rsidP="00D713DC" w:rsidRDefault="008B4480" w14:paraId="6117BA9D" w14:textId="77777777">
      <w:pPr>
        <w:spacing w:after="0" w:line="360" w:lineRule="auto"/>
        <w:contextualSpacing/>
        <w:rPr>
          <w:szCs w:val="18"/>
          <w:lang w:val="nl-NL"/>
        </w:rPr>
      </w:pPr>
    </w:p>
    <w:p w:rsidRPr="003A1EF6" w:rsidR="008B4480" w:rsidP="00D713DC" w:rsidRDefault="008B4480" w14:paraId="665F12F1" w14:textId="31FB4BC0">
      <w:pPr>
        <w:spacing w:after="0" w:line="360" w:lineRule="auto"/>
        <w:contextualSpacing/>
        <w:rPr>
          <w:rFonts w:cs="Arial"/>
          <w:szCs w:val="18"/>
          <w:lang w:val="nl-NL"/>
        </w:rPr>
      </w:pPr>
      <w:r w:rsidRPr="003A1EF6">
        <w:rPr>
          <w:szCs w:val="18"/>
          <w:lang w:val="nl-NL"/>
        </w:rPr>
        <w:t>Verschillende lidstaten ondersteun</w:t>
      </w:r>
      <w:r w:rsidRPr="003A1EF6" w:rsidR="002E7367">
        <w:rPr>
          <w:szCs w:val="18"/>
          <w:lang w:val="nl-NL"/>
        </w:rPr>
        <w:t>d</w:t>
      </w:r>
      <w:r w:rsidRPr="003A1EF6">
        <w:rPr>
          <w:szCs w:val="18"/>
          <w:lang w:val="nl-NL"/>
        </w:rPr>
        <w:t xml:space="preserve">en de boodschap van de Europese Commissie, met name dat hoge schulden verder afgebouwd dienen te worden. </w:t>
      </w:r>
      <w:r w:rsidRPr="003A1EF6">
        <w:rPr>
          <w:rFonts w:cs="Arial"/>
          <w:szCs w:val="18"/>
          <w:lang w:val="nl-NL"/>
        </w:rPr>
        <w:t xml:space="preserve">Nederland heeft aangegeven dat het belangrijk is dat lidstaten die mogelijk significant afwijken van de begrotingsvereisten maatregelen nemen om dit te voorkomen. Ook heeft Nederland benadrukt dat de Commissie haar rol als hoedster van </w:t>
      </w:r>
      <w:r w:rsidRPr="003A1EF6" w:rsidR="00F65E94">
        <w:rPr>
          <w:rFonts w:cs="Arial"/>
          <w:szCs w:val="18"/>
          <w:lang w:val="nl-NL"/>
        </w:rPr>
        <w:t>de ve</w:t>
      </w:r>
      <w:r w:rsidRPr="003A1EF6">
        <w:rPr>
          <w:rFonts w:cs="Arial"/>
          <w:szCs w:val="18"/>
          <w:lang w:val="nl-NL"/>
        </w:rPr>
        <w:t>rdrag</w:t>
      </w:r>
      <w:r w:rsidRPr="003A1EF6" w:rsidR="00F65E94">
        <w:rPr>
          <w:rFonts w:cs="Arial"/>
          <w:szCs w:val="18"/>
          <w:lang w:val="nl-NL"/>
        </w:rPr>
        <w:t>en</w:t>
      </w:r>
      <w:r w:rsidRPr="003A1EF6">
        <w:rPr>
          <w:rFonts w:cs="Arial"/>
          <w:szCs w:val="18"/>
          <w:lang w:val="nl-NL"/>
        </w:rPr>
        <w:t xml:space="preserve"> dient te vervullen. Nederland heeft uitgedragen dat het SGP primair gericht is op het bereiken en behouden van gezonde overheidsfinanciën en dat structurele begrotingsinspanningen nodig zijn om de budgettaire en economische fundamenten van lidstaten te versterken, met name in lidstaten met hoge schuldniveaus. </w:t>
      </w:r>
      <w:r w:rsidRPr="003A1EF6" w:rsidR="00F65E94">
        <w:rPr>
          <w:rFonts w:cs="Arial"/>
          <w:lang w:val="nl-NL"/>
        </w:rPr>
        <w:t>Daarbij heeft Nederland ook gewezen op het belang van het doorvoeren van structurele economische hervormingen door lidstaten, die nodig zijn om het groeipotentieel van nationale economieën te verhogen.</w:t>
      </w:r>
      <w:r w:rsidRPr="003A1EF6" w:rsidR="00F65E94">
        <w:rPr>
          <w:rFonts w:cs="Arial"/>
          <w:szCs w:val="18"/>
          <w:lang w:val="nl-NL"/>
        </w:rPr>
        <w:t xml:space="preserve"> </w:t>
      </w:r>
      <w:r w:rsidRPr="003A1EF6">
        <w:rPr>
          <w:rFonts w:cs="Arial"/>
          <w:szCs w:val="18"/>
          <w:lang w:val="nl-NL"/>
        </w:rPr>
        <w:t xml:space="preserve">Verder heeft Nederland toegelicht dat dit kabinet al </w:t>
      </w:r>
      <w:r w:rsidR="005C61C7">
        <w:rPr>
          <w:rFonts w:cs="Arial"/>
          <w:szCs w:val="18"/>
          <w:lang w:val="nl-NL"/>
        </w:rPr>
        <w:t xml:space="preserve">veel </w:t>
      </w:r>
      <w:r w:rsidRPr="003A1EF6">
        <w:rPr>
          <w:rFonts w:cs="Arial"/>
          <w:szCs w:val="18"/>
          <w:lang w:val="nl-NL"/>
        </w:rPr>
        <w:t>meer investeert.</w:t>
      </w:r>
    </w:p>
    <w:p w:rsidRPr="003A1EF6" w:rsidR="008B4480" w:rsidP="00D713DC" w:rsidRDefault="008B4480" w14:paraId="686695B1" w14:textId="77777777">
      <w:pPr>
        <w:spacing w:after="0" w:line="360" w:lineRule="auto"/>
        <w:contextualSpacing/>
        <w:rPr>
          <w:rFonts w:cs="Arial"/>
          <w:szCs w:val="18"/>
          <w:lang w:val="nl-NL"/>
        </w:rPr>
      </w:pPr>
    </w:p>
    <w:p w:rsidRPr="003A1EF6" w:rsidR="008B4480" w:rsidP="00D713DC" w:rsidRDefault="008B4480" w14:paraId="4289A7F4" w14:textId="77777777">
      <w:pPr>
        <w:spacing w:after="0" w:line="360" w:lineRule="auto"/>
        <w:contextualSpacing/>
        <w:rPr>
          <w:szCs w:val="18"/>
          <w:lang w:val="nl-NL"/>
        </w:rPr>
      </w:pPr>
      <w:r w:rsidRPr="003A1EF6">
        <w:rPr>
          <w:szCs w:val="18"/>
          <w:lang w:val="nl-NL"/>
        </w:rPr>
        <w:t xml:space="preserve">De Eurogroep heeft net als voorgaande jaren na afloop van de bespreking een verklaring gepubliceerd, waarin de Eurogroep onder andere de risico’s omtrent de lage groei in de Eurozone </w:t>
      </w:r>
      <w:r w:rsidRPr="003A1EF6">
        <w:rPr>
          <w:szCs w:val="18"/>
          <w:lang w:val="nl-NL"/>
        </w:rPr>
        <w:lastRenderedPageBreak/>
        <w:t>noemt en benadrukt dat de landen gebruik moeten maken van de lage rentestand om hun schulden verder af te bouwen.</w:t>
      </w:r>
      <w:r w:rsidRPr="003A1EF6">
        <w:rPr>
          <w:szCs w:val="18"/>
          <w:vertAlign w:val="superscript"/>
          <w:lang w:val="nl-NL"/>
        </w:rPr>
        <w:footnoteReference w:id="8"/>
      </w:r>
    </w:p>
    <w:p w:rsidRPr="003A1EF6" w:rsidR="00CB6DA7" w:rsidP="00D713DC" w:rsidRDefault="00CB6DA7" w14:paraId="7838C8E1" w14:textId="77777777">
      <w:pPr>
        <w:spacing w:after="0" w:line="360" w:lineRule="auto"/>
        <w:contextualSpacing/>
        <w:rPr>
          <w:rFonts w:cs="Arial"/>
          <w:b/>
          <w:szCs w:val="18"/>
          <w:lang w:val="nl-NL"/>
        </w:rPr>
      </w:pPr>
    </w:p>
    <w:p w:rsidRPr="003A1EF6" w:rsidR="00CB6DA7" w:rsidP="00D713DC" w:rsidRDefault="00CB6DA7" w14:paraId="357F4A10" w14:textId="77777777">
      <w:pPr>
        <w:pStyle w:val="Plattetekst"/>
        <w:spacing w:after="0" w:line="360" w:lineRule="auto"/>
        <w:contextualSpacing/>
        <w:rPr>
          <w:rFonts w:ascii="Verdana" w:hAnsi="Verdana" w:cs="Arial"/>
          <w:b/>
          <w:bCs/>
          <w:sz w:val="18"/>
          <w:szCs w:val="18"/>
        </w:rPr>
      </w:pPr>
      <w:r w:rsidRPr="003A1EF6">
        <w:rPr>
          <w:rFonts w:ascii="Verdana" w:hAnsi="Verdana" w:cs="Arial"/>
          <w:b/>
          <w:bCs/>
          <w:sz w:val="18"/>
          <w:szCs w:val="18"/>
        </w:rPr>
        <w:t>Werkprogramma Eurogroep voor het eerste halfjaar van 2020</w:t>
      </w:r>
    </w:p>
    <w:p w:rsidRPr="003A1EF6" w:rsidR="00CB6DA7" w:rsidP="00D713DC" w:rsidRDefault="00895167" w14:paraId="24141DBD" w14:textId="733DE6BC">
      <w:pPr>
        <w:pStyle w:val="Plattetekst"/>
        <w:spacing w:after="0" w:line="360" w:lineRule="auto"/>
        <w:contextualSpacing/>
        <w:rPr>
          <w:rFonts w:ascii="Verdana" w:hAnsi="Verdana"/>
          <w:sz w:val="18"/>
          <w:szCs w:val="18"/>
        </w:rPr>
      </w:pPr>
      <w:r w:rsidRPr="003A1EF6">
        <w:rPr>
          <w:rFonts w:ascii="Verdana" w:hAnsi="Verdana" w:cs="Arial"/>
          <w:bCs/>
          <w:sz w:val="18"/>
          <w:szCs w:val="18"/>
        </w:rPr>
        <w:t>I</w:t>
      </w:r>
      <w:r w:rsidRPr="003A1EF6" w:rsidR="00CB6DA7">
        <w:rPr>
          <w:rFonts w:ascii="Verdana" w:hAnsi="Verdana" w:cs="Arial"/>
          <w:bCs/>
          <w:sz w:val="18"/>
          <w:szCs w:val="18"/>
        </w:rPr>
        <w:t xml:space="preserve">n de Eurogroep </w:t>
      </w:r>
      <w:r w:rsidRPr="003A1EF6" w:rsidR="004A6CB1">
        <w:rPr>
          <w:rFonts w:ascii="Verdana" w:hAnsi="Verdana" w:cs="Arial"/>
          <w:bCs/>
          <w:sz w:val="18"/>
          <w:szCs w:val="18"/>
        </w:rPr>
        <w:t>is</w:t>
      </w:r>
      <w:r w:rsidRPr="003A1EF6" w:rsidR="00CB6DA7">
        <w:rPr>
          <w:rFonts w:ascii="Verdana" w:hAnsi="Verdana" w:cs="Arial"/>
          <w:bCs/>
          <w:sz w:val="18"/>
          <w:szCs w:val="18"/>
        </w:rPr>
        <w:t xml:space="preserve"> het werkprogramma voor de Eurogroep van het eerste halfjaar van 2020 </w:t>
      </w:r>
      <w:r w:rsidRPr="003A1EF6" w:rsidR="004A6CB1">
        <w:rPr>
          <w:rFonts w:ascii="Verdana" w:hAnsi="Verdana" w:cs="Arial"/>
          <w:bCs/>
          <w:sz w:val="18"/>
          <w:szCs w:val="18"/>
        </w:rPr>
        <w:t>goedgekeurd</w:t>
      </w:r>
      <w:r w:rsidRPr="003A1EF6" w:rsidR="00CB6DA7">
        <w:rPr>
          <w:rFonts w:ascii="Verdana" w:hAnsi="Verdana" w:cs="Arial"/>
          <w:bCs/>
          <w:sz w:val="18"/>
          <w:szCs w:val="18"/>
        </w:rPr>
        <w:t>.</w:t>
      </w:r>
      <w:r w:rsidRPr="003A1EF6">
        <w:rPr>
          <w:rStyle w:val="Voetnootmarkering"/>
          <w:rFonts w:ascii="Verdana" w:hAnsi="Verdana" w:cs="Arial"/>
          <w:bCs/>
          <w:sz w:val="18"/>
          <w:szCs w:val="18"/>
        </w:rPr>
        <w:footnoteReference w:id="9"/>
      </w:r>
      <w:r w:rsidRPr="003A1EF6" w:rsidR="00CB6DA7">
        <w:rPr>
          <w:rFonts w:ascii="Verdana" w:hAnsi="Verdana" w:cs="Arial"/>
          <w:bCs/>
          <w:sz w:val="18"/>
          <w:szCs w:val="18"/>
        </w:rPr>
        <w:t xml:space="preserve"> Voor de Eurogroep wordt altijd per half jaar een werkprogramma opgesteld met de onderwerpen die waarschijnlijk besproken zullen worden per vergadering. Dit draagt bij aan meer </w:t>
      </w:r>
      <w:proofErr w:type="spellStart"/>
      <w:r w:rsidRPr="003A1EF6" w:rsidR="00CB6DA7">
        <w:rPr>
          <w:rFonts w:ascii="Verdana" w:hAnsi="Verdana" w:cs="Arial"/>
          <w:bCs/>
          <w:sz w:val="18"/>
          <w:szCs w:val="18"/>
        </w:rPr>
        <w:t>langetermijnfocus</w:t>
      </w:r>
      <w:proofErr w:type="spellEnd"/>
      <w:r w:rsidRPr="003A1EF6" w:rsidR="00CB6DA7">
        <w:rPr>
          <w:rFonts w:ascii="Verdana" w:hAnsi="Verdana" w:cs="Arial"/>
          <w:bCs/>
          <w:sz w:val="18"/>
          <w:szCs w:val="18"/>
        </w:rPr>
        <w:t xml:space="preserve"> en kan helpen bij het voorbereiden van de discussies. </w:t>
      </w:r>
      <w:r w:rsidRPr="003A1EF6" w:rsidR="00CB6DA7">
        <w:rPr>
          <w:rFonts w:ascii="Verdana" w:hAnsi="Verdana"/>
          <w:sz w:val="18"/>
          <w:szCs w:val="18"/>
        </w:rPr>
        <w:t>Terugkerende onderwerpen zijn de terugkoppeling van post-programma surveillancemissies (voor Ierland, Portugal, Cyprus, Spanje en Griekenland), discussies rond het Europees semester en discussie over de toekomst van de EMU.</w:t>
      </w:r>
    </w:p>
    <w:p w:rsidRPr="003A1EF6" w:rsidR="00CB6DA7" w:rsidP="00D713DC" w:rsidRDefault="00CB6DA7" w14:paraId="3441B86F" w14:textId="77777777">
      <w:pPr>
        <w:spacing w:after="0" w:line="360" w:lineRule="auto"/>
        <w:contextualSpacing/>
        <w:rPr>
          <w:rFonts w:cs="Arial"/>
          <w:b/>
          <w:szCs w:val="18"/>
          <w:lang w:val="nl-NL"/>
        </w:rPr>
      </w:pPr>
    </w:p>
    <w:p w:rsidRPr="003A1EF6" w:rsidR="00CB6DA7" w:rsidP="00D713DC" w:rsidRDefault="00895167" w14:paraId="6DD58DC7" w14:textId="76027BB7">
      <w:pPr>
        <w:spacing w:after="0" w:line="360" w:lineRule="auto"/>
        <w:contextualSpacing/>
        <w:rPr>
          <w:b/>
          <w:szCs w:val="18"/>
          <w:lang w:val="nl-NL"/>
        </w:rPr>
      </w:pPr>
      <w:r w:rsidRPr="003A1EF6">
        <w:rPr>
          <w:b/>
          <w:szCs w:val="18"/>
          <w:lang w:val="nl-NL"/>
        </w:rPr>
        <w:t>Overige onderwerpen (herbenoeming Hans Vijlbrief)</w:t>
      </w:r>
    </w:p>
    <w:p w:rsidRPr="003A1EF6" w:rsidR="00895167" w:rsidP="00D713DC" w:rsidRDefault="00895167" w14:paraId="37DC144B" w14:textId="24871DD0">
      <w:pPr>
        <w:spacing w:after="0" w:line="360" w:lineRule="auto"/>
        <w:contextualSpacing/>
        <w:rPr>
          <w:szCs w:val="18"/>
          <w:lang w:val="nl-NL"/>
        </w:rPr>
      </w:pPr>
      <w:r w:rsidRPr="003A1EF6">
        <w:rPr>
          <w:szCs w:val="18"/>
          <w:lang w:val="nl-NL"/>
        </w:rPr>
        <w:t xml:space="preserve">In de Eurogroep is Hans Vijlbrief herbenoemd tot voorzitter van de </w:t>
      </w:r>
      <w:proofErr w:type="spellStart"/>
      <w:r w:rsidRPr="003A1EF6">
        <w:rPr>
          <w:szCs w:val="18"/>
          <w:lang w:val="nl-NL"/>
        </w:rPr>
        <w:t>Eurogroepwerkgroep</w:t>
      </w:r>
      <w:proofErr w:type="spellEnd"/>
      <w:r w:rsidRPr="003A1EF6">
        <w:rPr>
          <w:szCs w:val="18"/>
          <w:lang w:val="nl-NL"/>
        </w:rPr>
        <w:t xml:space="preserve"> (EWG)</w:t>
      </w:r>
      <w:r w:rsidRPr="003A1EF6">
        <w:rPr>
          <w:rStyle w:val="Voetnootmarkering"/>
          <w:szCs w:val="18"/>
          <w:lang w:val="nl-NL"/>
        </w:rPr>
        <w:footnoteReference w:id="10"/>
      </w:r>
      <w:r w:rsidRPr="003A1EF6">
        <w:rPr>
          <w:szCs w:val="18"/>
          <w:lang w:val="nl-NL"/>
        </w:rPr>
        <w:t xml:space="preserve"> voor zijn tweede termijn van twee jaar. Nederland is tevreden </w:t>
      </w:r>
      <w:r w:rsidRPr="003A1EF6" w:rsidR="001211EB">
        <w:rPr>
          <w:szCs w:val="18"/>
          <w:lang w:val="nl-NL"/>
        </w:rPr>
        <w:t xml:space="preserve">met het werk van dhr. Vijlbrief en </w:t>
      </w:r>
      <w:r w:rsidR="005C61C7">
        <w:rPr>
          <w:szCs w:val="18"/>
          <w:lang w:val="nl-NL"/>
        </w:rPr>
        <w:t xml:space="preserve">verwelkomt </w:t>
      </w:r>
      <w:r w:rsidRPr="003A1EF6" w:rsidR="001211EB">
        <w:rPr>
          <w:szCs w:val="18"/>
          <w:lang w:val="nl-NL"/>
        </w:rPr>
        <w:t>deze herbenoeming</w:t>
      </w:r>
      <w:r w:rsidR="005C61C7">
        <w:rPr>
          <w:szCs w:val="18"/>
          <w:lang w:val="nl-NL"/>
        </w:rPr>
        <w:t xml:space="preserve"> ten zeerste</w:t>
      </w:r>
      <w:r w:rsidRPr="003A1EF6" w:rsidR="001211EB">
        <w:rPr>
          <w:szCs w:val="18"/>
          <w:lang w:val="nl-NL"/>
        </w:rPr>
        <w:t>.</w:t>
      </w:r>
      <w:r w:rsidRPr="003A1EF6">
        <w:rPr>
          <w:szCs w:val="18"/>
          <w:lang w:val="nl-NL"/>
        </w:rPr>
        <w:t xml:space="preserve"> </w:t>
      </w:r>
    </w:p>
    <w:p w:rsidRPr="003A1EF6" w:rsidR="002174CC" w:rsidP="00D713DC" w:rsidRDefault="002174CC" w14:paraId="1C91C306" w14:textId="77777777">
      <w:pPr>
        <w:spacing w:after="0" w:line="360" w:lineRule="auto"/>
        <w:rPr>
          <w:b/>
          <w:szCs w:val="18"/>
          <w:u w:val="single"/>
          <w:lang w:val="nl-NL"/>
        </w:rPr>
      </w:pPr>
    </w:p>
    <w:p w:rsidRPr="003A1EF6" w:rsidR="002174CC" w:rsidP="00D713DC" w:rsidRDefault="002174CC" w14:paraId="00715DF4" w14:textId="77777777">
      <w:pPr>
        <w:spacing w:after="0" w:line="360" w:lineRule="auto"/>
        <w:rPr>
          <w:b/>
          <w:szCs w:val="18"/>
          <w:u w:val="single"/>
          <w:lang w:val="nl-NL"/>
        </w:rPr>
      </w:pPr>
    </w:p>
    <w:p w:rsidRPr="003A1EF6" w:rsidR="002174CC" w:rsidP="00D713DC" w:rsidRDefault="002174CC" w14:paraId="3903BDBC" w14:textId="4CE0CD60">
      <w:pPr>
        <w:spacing w:after="0" w:line="360" w:lineRule="auto"/>
        <w:rPr>
          <w:b/>
          <w:szCs w:val="18"/>
          <w:u w:val="single"/>
          <w:lang w:val="nl-NL"/>
        </w:rPr>
      </w:pPr>
      <w:r w:rsidRPr="003A1EF6">
        <w:rPr>
          <w:b/>
          <w:szCs w:val="18"/>
          <w:u w:val="single"/>
          <w:lang w:val="nl-NL"/>
        </w:rPr>
        <w:t>Eurogroep in inclusieve samenstelling</w:t>
      </w:r>
      <w:r w:rsidRPr="003A1EF6">
        <w:rPr>
          <w:rStyle w:val="Voetnootmarkering"/>
          <w:rFonts w:cs="Arial"/>
          <w:b/>
          <w:szCs w:val="18"/>
          <w:u w:val="single"/>
        </w:rPr>
        <w:footnoteReference w:id="11"/>
      </w:r>
    </w:p>
    <w:p w:rsidRPr="003A1EF6" w:rsidR="002174CC" w:rsidP="00D713DC" w:rsidRDefault="002174CC" w14:paraId="5F929B34" w14:textId="77777777">
      <w:pPr>
        <w:spacing w:after="0" w:line="360" w:lineRule="auto"/>
        <w:rPr>
          <w:rFonts w:cs="Arial"/>
          <w:szCs w:val="18"/>
          <w:lang w:val="nl-NL"/>
        </w:rPr>
      </w:pPr>
    </w:p>
    <w:p w:rsidRPr="003A1EF6" w:rsidR="002174CC" w:rsidP="00D713DC" w:rsidRDefault="002174CC" w14:paraId="165905CA" w14:textId="77777777">
      <w:pPr>
        <w:spacing w:after="0" w:line="360" w:lineRule="auto"/>
        <w:rPr>
          <w:b/>
          <w:szCs w:val="18"/>
          <w:lang w:val="nl-NL"/>
        </w:rPr>
      </w:pPr>
      <w:r w:rsidRPr="003A1EF6">
        <w:rPr>
          <w:b/>
          <w:szCs w:val="18"/>
          <w:lang w:val="nl-NL"/>
        </w:rPr>
        <w:t xml:space="preserve">Voorbereiding rapport verdieping van de Economische en Monetaire Unie aan de regeringsleiders </w:t>
      </w:r>
    </w:p>
    <w:p w:rsidRPr="003A1EF6" w:rsidR="002174CC" w:rsidP="00D713DC" w:rsidRDefault="002174CC" w14:paraId="703FDF6F" w14:textId="77777777">
      <w:pPr>
        <w:widowControl w:val="0"/>
        <w:kinsoku w:val="0"/>
        <w:overflowPunct w:val="0"/>
        <w:autoSpaceDE w:val="0"/>
        <w:adjustRightInd w:val="0"/>
        <w:spacing w:after="0" w:line="360" w:lineRule="auto"/>
        <w:ind w:right="195"/>
        <w:contextualSpacing/>
        <w:rPr>
          <w:szCs w:val="18"/>
          <w:lang w:val="nl-NL"/>
        </w:rPr>
      </w:pPr>
      <w:r w:rsidRPr="003A1EF6">
        <w:rPr>
          <w:szCs w:val="18"/>
          <w:lang w:val="nl-NL"/>
        </w:rPr>
        <w:t>De Eurogroep heeft in inclusieve samenstelling gesproken over de verdieping van de Economische en Monetaire Unie (EMU). Daarbij is stilgestaan bij de versterking van het Europees Stabiliteitsmechanisme (ESM), versterking van de Bankenunie inclusief een Europees Depositoverzekeringsstelsel (EDIS), en een begrotingsinstrument voor convergentie en concurrentievermogen voor eurolanden (BICC). De Eurogroep was door de Eurotop van 21 juni jl. verzocht om in inclusieve samenstelling te blijven doorwerken aan deze onderwerpen.</w:t>
      </w:r>
      <w:r w:rsidRPr="003A1EF6">
        <w:rPr>
          <w:rStyle w:val="Voetnootmarkering"/>
          <w:szCs w:val="18"/>
        </w:rPr>
        <w:footnoteReference w:id="12"/>
      </w:r>
      <w:r w:rsidRPr="003A1EF6">
        <w:rPr>
          <w:szCs w:val="18"/>
          <w:lang w:val="nl-NL"/>
        </w:rPr>
        <w:t xml:space="preserve"> </w:t>
      </w:r>
    </w:p>
    <w:p w:rsidRPr="003A1EF6" w:rsidR="002174CC" w:rsidP="00D713DC" w:rsidRDefault="002174CC" w14:paraId="5D6BA959" w14:textId="77777777">
      <w:pPr>
        <w:widowControl w:val="0"/>
        <w:kinsoku w:val="0"/>
        <w:overflowPunct w:val="0"/>
        <w:autoSpaceDE w:val="0"/>
        <w:adjustRightInd w:val="0"/>
        <w:spacing w:after="0" w:line="360" w:lineRule="auto"/>
        <w:ind w:right="195"/>
        <w:contextualSpacing/>
        <w:rPr>
          <w:szCs w:val="18"/>
          <w:lang w:val="nl-NL"/>
        </w:rPr>
      </w:pPr>
    </w:p>
    <w:p w:rsidRPr="003A1EF6" w:rsidR="002174CC" w:rsidP="00D713DC" w:rsidRDefault="002174CC" w14:paraId="064C9746" w14:textId="77777777">
      <w:pPr>
        <w:widowControl w:val="0"/>
        <w:kinsoku w:val="0"/>
        <w:overflowPunct w:val="0"/>
        <w:autoSpaceDE w:val="0"/>
        <w:adjustRightInd w:val="0"/>
        <w:spacing w:after="0" w:line="360" w:lineRule="auto"/>
        <w:ind w:right="195"/>
        <w:contextualSpacing/>
        <w:rPr>
          <w:szCs w:val="18"/>
          <w:lang w:val="nl-NL"/>
        </w:rPr>
      </w:pPr>
      <w:r w:rsidRPr="003A1EF6">
        <w:rPr>
          <w:szCs w:val="18"/>
          <w:lang w:val="nl-NL"/>
        </w:rPr>
        <w:t xml:space="preserve">Naar aanleiding van de bespreking heeft de voorzitter van de Eurogroep, Mário </w:t>
      </w:r>
      <w:proofErr w:type="spellStart"/>
      <w:r w:rsidRPr="003A1EF6">
        <w:rPr>
          <w:szCs w:val="18"/>
          <w:lang w:val="nl-NL"/>
        </w:rPr>
        <w:t>Centeno</w:t>
      </w:r>
      <w:proofErr w:type="spellEnd"/>
      <w:r w:rsidRPr="003A1EF6">
        <w:rPr>
          <w:szCs w:val="18"/>
          <w:lang w:val="nl-NL"/>
        </w:rPr>
        <w:t>, een brief gestuurd aan de voorzitter van de Eurotop, Charles Michel (zie als bijlage bijgevoegd). Hieronder worden per onderwerp de belangrijkste conclusies weergegeven.</w:t>
      </w:r>
    </w:p>
    <w:p w:rsidRPr="003A1EF6" w:rsidR="002174CC" w:rsidP="00D713DC" w:rsidRDefault="002174CC" w14:paraId="43540709" w14:textId="77777777">
      <w:pPr>
        <w:spacing w:after="0" w:line="360" w:lineRule="auto"/>
        <w:rPr>
          <w:rFonts w:cs="Arial"/>
          <w:szCs w:val="18"/>
          <w:lang w:val="nl-NL"/>
        </w:rPr>
      </w:pPr>
    </w:p>
    <w:p w:rsidR="001B0F54" w:rsidP="00D713DC" w:rsidRDefault="001B0F54" w14:paraId="495C27C6" w14:textId="77777777">
      <w:pPr>
        <w:spacing w:after="0" w:line="360" w:lineRule="auto"/>
        <w:rPr>
          <w:b/>
          <w:i/>
          <w:szCs w:val="18"/>
          <w:lang w:val="nl-NL"/>
        </w:rPr>
      </w:pPr>
    </w:p>
    <w:p w:rsidRPr="003A1EF6" w:rsidR="002174CC" w:rsidP="00D713DC" w:rsidRDefault="002174CC" w14:paraId="099EBD5D" w14:textId="31E21569">
      <w:pPr>
        <w:spacing w:after="0" w:line="360" w:lineRule="auto"/>
        <w:rPr>
          <w:b/>
          <w:i/>
          <w:szCs w:val="18"/>
          <w:lang w:val="nl-NL"/>
        </w:rPr>
      </w:pPr>
      <w:r w:rsidRPr="003A1EF6">
        <w:rPr>
          <w:b/>
          <w:i/>
          <w:szCs w:val="18"/>
          <w:lang w:val="nl-NL"/>
        </w:rPr>
        <w:lastRenderedPageBreak/>
        <w:t>ESM</w:t>
      </w:r>
    </w:p>
    <w:p w:rsidRPr="003A1EF6" w:rsidR="002174CC" w:rsidP="00D713DC" w:rsidRDefault="002174CC" w14:paraId="29D34B23" w14:textId="77777777">
      <w:pPr>
        <w:spacing w:after="0" w:line="360" w:lineRule="auto"/>
        <w:rPr>
          <w:szCs w:val="18"/>
          <w:lang w:val="nl-NL"/>
        </w:rPr>
      </w:pPr>
      <w:r w:rsidRPr="003A1EF6">
        <w:rPr>
          <w:szCs w:val="18"/>
          <w:lang w:val="nl-NL"/>
        </w:rPr>
        <w:t>In juni 2019 heeft de Eurogroep een principeovereenkomst gesloten over de wijzigingen in het ESM-verdrag, waarbij de afspraken van december 2018 zoals vastgelegd in de term sheet voor de hervorming van het ESM geïmplementeerd zijn. Destijds was een aantal werkstromen dat invulling moest geven aan de afspraken uit december nog niet afgerond en waren enkele aanpalende documenten nog niet gereed.</w:t>
      </w:r>
      <w:r w:rsidRPr="003A1EF6">
        <w:rPr>
          <w:szCs w:val="18"/>
          <w:vertAlign w:val="superscript"/>
        </w:rPr>
        <w:footnoteReference w:id="13"/>
      </w:r>
      <w:r w:rsidRPr="003A1EF6">
        <w:rPr>
          <w:szCs w:val="18"/>
          <w:lang w:val="nl-NL"/>
        </w:rPr>
        <w:t xml:space="preserve"> Voor een volledig overzicht van de aanpalende documenten verwijs ik naar mijn recente brief over het ESM-proces van 25 november jongstleden.</w:t>
      </w:r>
      <w:r w:rsidRPr="003A1EF6">
        <w:rPr>
          <w:rStyle w:val="Voetnootmarkering"/>
          <w:szCs w:val="18"/>
          <w:lang w:val="nl-NL"/>
        </w:rPr>
        <w:footnoteReference w:id="14"/>
      </w:r>
      <w:r w:rsidRPr="003A1EF6">
        <w:rPr>
          <w:szCs w:val="18"/>
          <w:lang w:val="nl-NL"/>
        </w:rPr>
        <w:t xml:space="preserve"> </w:t>
      </w:r>
    </w:p>
    <w:p w:rsidRPr="003A1EF6" w:rsidR="002174CC" w:rsidP="00D713DC" w:rsidRDefault="002174CC" w14:paraId="29F659F4" w14:textId="77777777">
      <w:pPr>
        <w:spacing w:after="0" w:line="360" w:lineRule="auto"/>
        <w:rPr>
          <w:szCs w:val="18"/>
          <w:lang w:val="nl-NL"/>
        </w:rPr>
      </w:pPr>
    </w:p>
    <w:p w:rsidRPr="003A1EF6" w:rsidR="002174CC" w:rsidP="00D713DC" w:rsidRDefault="002174CC" w14:paraId="6AE5B01E" w14:textId="77777777">
      <w:pPr>
        <w:spacing w:after="0" w:line="360" w:lineRule="auto"/>
        <w:rPr>
          <w:szCs w:val="18"/>
          <w:lang w:val="nl-NL"/>
        </w:rPr>
      </w:pPr>
      <w:r w:rsidRPr="003A1EF6">
        <w:rPr>
          <w:szCs w:val="18"/>
          <w:lang w:val="nl-NL"/>
        </w:rPr>
        <w:t xml:space="preserve">Afgelopen Eurogroep is een politiek </w:t>
      </w:r>
      <w:proofErr w:type="spellStart"/>
      <w:r w:rsidRPr="003A1EF6">
        <w:rPr>
          <w:szCs w:val="18"/>
          <w:lang w:val="nl-NL"/>
        </w:rPr>
        <w:t>principe-akkoord</w:t>
      </w:r>
      <w:proofErr w:type="spellEnd"/>
      <w:r w:rsidRPr="003A1EF6">
        <w:rPr>
          <w:szCs w:val="18"/>
          <w:lang w:val="nl-NL"/>
        </w:rPr>
        <w:t xml:space="preserve"> bereikt op deze aanpalende documenten. Het voldoet goed aan de Nederlandse inzet en is geheel in lijn met de afspraken uit december 2018 en juni 2019 waar Nederland zeer tevreden over was. </w:t>
      </w:r>
    </w:p>
    <w:p w:rsidRPr="003A1EF6" w:rsidR="002174CC" w:rsidP="00D713DC" w:rsidRDefault="002174CC" w14:paraId="08A25DDF" w14:textId="77777777">
      <w:pPr>
        <w:spacing w:after="0" w:line="360" w:lineRule="auto"/>
        <w:rPr>
          <w:szCs w:val="18"/>
          <w:lang w:val="nl-NL"/>
        </w:rPr>
      </w:pPr>
    </w:p>
    <w:p w:rsidRPr="003A1EF6" w:rsidR="002174CC" w:rsidP="00D713DC" w:rsidRDefault="002174CC" w14:paraId="57F7E7F0" w14:textId="390DBCAA">
      <w:pPr>
        <w:spacing w:after="0" w:line="360" w:lineRule="auto"/>
        <w:rPr>
          <w:szCs w:val="18"/>
          <w:lang w:val="nl-NL"/>
        </w:rPr>
      </w:pPr>
      <w:r w:rsidRPr="003A1EF6">
        <w:rPr>
          <w:szCs w:val="18"/>
          <w:lang w:val="nl-NL"/>
        </w:rPr>
        <w:t>Afhankelijk van de specifieke aard van het document en eventuele aanvullende technische checks zullen de documenten, die niet formeel kunnen worden goedgekeurd totdat de overeenk</w:t>
      </w:r>
      <w:r w:rsidR="005C61C7">
        <w:rPr>
          <w:szCs w:val="18"/>
          <w:lang w:val="nl-NL"/>
        </w:rPr>
        <w:t>omst tot aanpassing van het ESM-</w:t>
      </w:r>
      <w:r w:rsidRPr="003A1EF6">
        <w:rPr>
          <w:szCs w:val="18"/>
          <w:lang w:val="nl-NL"/>
        </w:rPr>
        <w:t>verdrag is geratificeerd, zo snel mogelijk publiek worden gemaakt. De diverse gemaakte afspraken zullen ook worden verwerkt in de leenovereenkomst tussen de SRB en het ESM, die na activering van de backstop kan worden getekend.</w:t>
      </w:r>
    </w:p>
    <w:p w:rsidRPr="003A1EF6" w:rsidR="002174CC" w:rsidP="00D713DC" w:rsidRDefault="002174CC" w14:paraId="5C89B74E" w14:textId="77777777">
      <w:pPr>
        <w:kinsoku w:val="0"/>
        <w:overflowPunct w:val="0"/>
        <w:autoSpaceDE w:val="0"/>
        <w:adjustRightInd w:val="0"/>
        <w:spacing w:after="0" w:line="360" w:lineRule="auto"/>
        <w:ind w:right="239"/>
        <w:rPr>
          <w:szCs w:val="18"/>
          <w:lang w:val="nl-NL"/>
        </w:rPr>
      </w:pPr>
    </w:p>
    <w:p w:rsidRPr="003A1EF6" w:rsidR="002174CC" w:rsidP="00D713DC" w:rsidRDefault="002174CC" w14:paraId="2A4A125D" w14:textId="77777777">
      <w:pPr>
        <w:kinsoku w:val="0"/>
        <w:overflowPunct w:val="0"/>
        <w:autoSpaceDE w:val="0"/>
        <w:adjustRightInd w:val="0"/>
        <w:spacing w:after="0" w:line="360" w:lineRule="auto"/>
        <w:ind w:right="239"/>
        <w:rPr>
          <w:szCs w:val="18"/>
          <w:lang w:val="nl-NL"/>
        </w:rPr>
      </w:pPr>
      <w:r w:rsidRPr="003A1EF6">
        <w:rPr>
          <w:szCs w:val="18"/>
          <w:lang w:val="nl-NL"/>
        </w:rPr>
        <w:t xml:space="preserve">Als onderdeel van de discussie over de documenten is gesproken over een nominaal plafond voor de </w:t>
      </w:r>
      <w:proofErr w:type="spellStart"/>
      <w:r w:rsidRPr="003A1EF6">
        <w:rPr>
          <w:szCs w:val="18"/>
          <w:lang w:val="nl-NL"/>
        </w:rPr>
        <w:t>achtervang</w:t>
      </w:r>
      <w:proofErr w:type="spellEnd"/>
      <w:r w:rsidRPr="003A1EF6">
        <w:rPr>
          <w:szCs w:val="18"/>
          <w:lang w:val="nl-NL"/>
        </w:rPr>
        <w:t xml:space="preserve">. In december 2018 is afgesproken dat de gemeenschappelijke </w:t>
      </w:r>
      <w:proofErr w:type="spellStart"/>
      <w:r w:rsidRPr="003A1EF6">
        <w:rPr>
          <w:szCs w:val="18"/>
          <w:lang w:val="nl-NL"/>
        </w:rPr>
        <w:t>achtervang</w:t>
      </w:r>
      <w:proofErr w:type="spellEnd"/>
      <w:r w:rsidRPr="003A1EF6">
        <w:rPr>
          <w:szCs w:val="18"/>
          <w:lang w:val="nl-NL"/>
        </w:rPr>
        <w:t xml:space="preserve"> even groot zal zijn als de omvang van het bankresolutiefonds (SRF) in 2023, die 1% van de door nationale depositogarantiestelsels gedekte bankdeposito’s van de eurozonelanden beslaat. Om de leencapaciteit van het ESM voor andere instrumenten, zoals landenprogramma’s, te beschermen is besloten het nominaal plafond op 68 miljard euro vast te stellen. Daarnaast is afgesproken dat de Raad van gouverneurs voor het eind van 2023 een eerste evaluatie van de hoogte van dit plafond zal bespreken. Een besluit om het plafond aan te passen kan alleen met eenparigheid van stemmen genomen worden. </w:t>
      </w:r>
    </w:p>
    <w:p w:rsidRPr="003A1EF6" w:rsidR="002174CC" w:rsidP="00D713DC" w:rsidRDefault="002174CC" w14:paraId="76AF4A41" w14:textId="77777777">
      <w:pPr>
        <w:kinsoku w:val="0"/>
        <w:overflowPunct w:val="0"/>
        <w:autoSpaceDE w:val="0"/>
        <w:adjustRightInd w:val="0"/>
        <w:spacing w:after="0" w:line="360" w:lineRule="auto"/>
        <w:ind w:right="239"/>
        <w:rPr>
          <w:szCs w:val="18"/>
          <w:lang w:val="nl-NL"/>
        </w:rPr>
      </w:pPr>
    </w:p>
    <w:p w:rsidRPr="003A1EF6" w:rsidR="002174CC" w:rsidP="00D713DC" w:rsidRDefault="002174CC" w14:paraId="3DC0A2F7" w14:textId="77777777">
      <w:pPr>
        <w:kinsoku w:val="0"/>
        <w:overflowPunct w:val="0"/>
        <w:autoSpaceDE w:val="0"/>
        <w:adjustRightInd w:val="0"/>
        <w:spacing w:after="0" w:line="360" w:lineRule="auto"/>
        <w:ind w:right="239"/>
        <w:rPr>
          <w:szCs w:val="18"/>
          <w:lang w:val="nl-NL"/>
        </w:rPr>
      </w:pPr>
      <w:r w:rsidRPr="003A1EF6">
        <w:rPr>
          <w:szCs w:val="18"/>
          <w:lang w:val="nl-NL"/>
        </w:rPr>
        <w:t xml:space="preserve">Als onderdeel van de discussie over de documenten heeft de Eurogroep ook een akkoord bereikt over de informatievoorziening tussen de </w:t>
      </w:r>
      <w:r w:rsidRPr="003A1EF6">
        <w:rPr>
          <w:bCs/>
          <w:szCs w:val="18"/>
          <w:lang w:val="nl-NL"/>
        </w:rPr>
        <w:t xml:space="preserve">SRB en het ESM in het geval dat de SRB een aanvraag doet voor een lening uit de gemeenschappelijke </w:t>
      </w:r>
      <w:proofErr w:type="spellStart"/>
      <w:r w:rsidRPr="003A1EF6">
        <w:rPr>
          <w:bCs/>
          <w:szCs w:val="18"/>
          <w:lang w:val="nl-NL"/>
        </w:rPr>
        <w:t>achtervang</w:t>
      </w:r>
      <w:proofErr w:type="spellEnd"/>
      <w:r w:rsidRPr="003A1EF6">
        <w:rPr>
          <w:bCs/>
          <w:szCs w:val="18"/>
          <w:lang w:val="nl-NL"/>
        </w:rPr>
        <w:t xml:space="preserve">. In december 2018 is afgesproken dat door de Raad van bewind van het ESM in de regel binnen 12 uur, en in complexe afwikkelingsoperaties binnen 24 uur, over een aanvraag moet worden besloten. Een dergelijke korte tijdsduur stelt hoge eisen aan de volledigheid, relevantie en begrijpelijkheid van de informatie, waarvan ook de vertrouwelijkheid voldoende zal moeten worden gewaarborgd. De afspraken over de informatievoorziening zullen worden verwerkt in </w:t>
      </w:r>
      <w:proofErr w:type="gramStart"/>
      <w:r w:rsidRPr="003A1EF6">
        <w:rPr>
          <w:bCs/>
          <w:szCs w:val="18"/>
          <w:lang w:val="nl-NL"/>
        </w:rPr>
        <w:t>één</w:t>
      </w:r>
      <w:proofErr w:type="gramEnd"/>
      <w:r w:rsidRPr="003A1EF6">
        <w:rPr>
          <w:bCs/>
          <w:szCs w:val="18"/>
          <w:lang w:val="nl-NL"/>
        </w:rPr>
        <w:t xml:space="preserve"> van de aanpalende documenten: het specifieke richtsnoer voor de </w:t>
      </w:r>
      <w:proofErr w:type="spellStart"/>
      <w:r w:rsidRPr="003A1EF6">
        <w:rPr>
          <w:bCs/>
          <w:szCs w:val="18"/>
          <w:lang w:val="nl-NL"/>
        </w:rPr>
        <w:t>achtervang</w:t>
      </w:r>
      <w:proofErr w:type="spellEnd"/>
      <w:r w:rsidRPr="003A1EF6">
        <w:rPr>
          <w:bCs/>
          <w:szCs w:val="18"/>
          <w:lang w:val="nl-NL"/>
        </w:rPr>
        <w:t xml:space="preserve">. Deze afspraken zullen ook worden </w:t>
      </w:r>
      <w:r w:rsidRPr="003A1EF6">
        <w:rPr>
          <w:bCs/>
          <w:szCs w:val="18"/>
          <w:lang w:val="nl-NL"/>
        </w:rPr>
        <w:lastRenderedPageBreak/>
        <w:t xml:space="preserve">meegenomen bij de aanpassing van het nationale </w:t>
      </w:r>
      <w:r w:rsidRPr="003A1EF6">
        <w:rPr>
          <w:lang w:val="nl-NL"/>
        </w:rPr>
        <w:t xml:space="preserve">informatieprotocol, zoals reeds aangegeven in mijn </w:t>
      </w:r>
      <w:r w:rsidRPr="003A1EF6">
        <w:rPr>
          <w:szCs w:val="18"/>
          <w:lang w:val="nl-NL"/>
        </w:rPr>
        <w:t>recente brief over het ESM-proces van 25 november jongstleden</w:t>
      </w:r>
      <w:r w:rsidRPr="003A1EF6">
        <w:rPr>
          <w:lang w:val="nl-NL"/>
        </w:rPr>
        <w:t>.</w:t>
      </w:r>
      <w:r w:rsidRPr="003A1EF6">
        <w:rPr>
          <w:rStyle w:val="Voetnootmarkering"/>
          <w:lang w:val="nl-NL"/>
        </w:rPr>
        <w:footnoteReference w:id="15"/>
      </w:r>
    </w:p>
    <w:p w:rsidRPr="003A1EF6" w:rsidR="002174CC" w:rsidP="00D713DC" w:rsidRDefault="002174CC" w14:paraId="2238A13E" w14:textId="77777777">
      <w:pPr>
        <w:kinsoku w:val="0"/>
        <w:overflowPunct w:val="0"/>
        <w:autoSpaceDE w:val="0"/>
        <w:adjustRightInd w:val="0"/>
        <w:spacing w:after="0" w:line="360" w:lineRule="auto"/>
        <w:ind w:right="239"/>
        <w:rPr>
          <w:bCs/>
          <w:szCs w:val="18"/>
          <w:lang w:val="nl-NL"/>
        </w:rPr>
      </w:pPr>
    </w:p>
    <w:p w:rsidRPr="003A1EF6" w:rsidR="002174CC" w:rsidP="00D713DC" w:rsidRDefault="002174CC" w14:paraId="718E943F" w14:textId="77777777">
      <w:pPr>
        <w:spacing w:after="0" w:line="360" w:lineRule="auto"/>
        <w:rPr>
          <w:szCs w:val="18"/>
          <w:lang w:val="nl-NL"/>
        </w:rPr>
      </w:pPr>
      <w:r w:rsidRPr="003A1EF6">
        <w:rPr>
          <w:szCs w:val="18"/>
          <w:lang w:val="nl-NL"/>
        </w:rPr>
        <w:t>De Eurogroep heeft ook besloten tot een additionele verandering in het ESM-verdrag zelf. Het ESM heeft, als onderdeel van een technische analyse van het verdrag, geconcludeerd dat het wenselijk is om de bestaande clausule die het mogelijk maakt om de Europese Financiële Stabiliteitsfaciliteit (EFSF) samen te voegen met het ESM, aan te passen. Hiertoe zal een toevoeging worden gedaan op het bestaande artikel 40 van het ESM-verdrag. Op dit moment maakt dit artikel alleen een overdracht van het EFSF naar het ESM mogelijk als landen daarbij ook nieuw eigen vermogen overboeken aan het ESM. De Eurogroep heeft besloten hieraan de mogelijkheid toe te voegen dat dit ook zonder het overboeken van nieuw eigen vermogen kan, door alleen de reeds aan het EFSF verstrekte garanties mee te verhuizen naar het ESM. Dit is een technische wijziging om de reeds bestaande optie voor overdracht van het EFSF aan het ESM op een andere manier te realiseren, mocht daar in de toekomst toe worden besloten.</w:t>
      </w:r>
    </w:p>
    <w:p w:rsidRPr="003A1EF6" w:rsidR="002174CC" w:rsidP="00D713DC" w:rsidRDefault="002174CC" w14:paraId="05DA3518" w14:textId="77777777">
      <w:pPr>
        <w:overflowPunct w:val="0"/>
        <w:autoSpaceDE w:val="0"/>
        <w:spacing w:after="0" w:line="360" w:lineRule="auto"/>
        <w:rPr>
          <w:szCs w:val="18"/>
          <w:lang w:val="nl-NL"/>
        </w:rPr>
      </w:pPr>
    </w:p>
    <w:p w:rsidRPr="003A1EF6" w:rsidR="002174CC" w:rsidP="00D713DC" w:rsidRDefault="002174CC" w14:paraId="1F33851B" w14:textId="77777777">
      <w:pPr>
        <w:overflowPunct w:val="0"/>
        <w:autoSpaceDE w:val="0"/>
        <w:spacing w:after="0" w:line="360" w:lineRule="auto"/>
        <w:rPr>
          <w:szCs w:val="18"/>
          <w:lang w:val="nl-NL"/>
        </w:rPr>
      </w:pPr>
      <w:r w:rsidRPr="003A1EF6">
        <w:rPr>
          <w:szCs w:val="18"/>
          <w:lang w:val="nl-NL"/>
        </w:rPr>
        <w:t xml:space="preserve">De Eurogroep heeft gesproken over </w:t>
      </w:r>
      <w:proofErr w:type="spellStart"/>
      <w:r w:rsidRPr="003A1EF6">
        <w:rPr>
          <w:i/>
          <w:iCs/>
          <w:szCs w:val="18"/>
          <w:lang w:val="nl-NL"/>
        </w:rPr>
        <w:t>collective</w:t>
      </w:r>
      <w:proofErr w:type="spellEnd"/>
      <w:r w:rsidRPr="003A1EF6">
        <w:rPr>
          <w:i/>
          <w:iCs/>
          <w:szCs w:val="18"/>
          <w:lang w:val="nl-NL"/>
        </w:rPr>
        <w:t xml:space="preserve"> action </w:t>
      </w:r>
      <w:proofErr w:type="spellStart"/>
      <w:r w:rsidRPr="003A1EF6">
        <w:rPr>
          <w:i/>
          <w:iCs/>
          <w:szCs w:val="18"/>
          <w:lang w:val="nl-NL"/>
        </w:rPr>
        <w:t>clauses</w:t>
      </w:r>
      <w:proofErr w:type="spellEnd"/>
      <w:r w:rsidRPr="003A1EF6">
        <w:rPr>
          <w:szCs w:val="18"/>
          <w:lang w:val="nl-NL"/>
        </w:rPr>
        <w:t xml:space="preserve"> (</w:t>
      </w:r>
      <w:proofErr w:type="spellStart"/>
      <w:r w:rsidRPr="003A1EF6">
        <w:rPr>
          <w:szCs w:val="18"/>
          <w:lang w:val="nl-NL"/>
        </w:rPr>
        <w:t>CAC’s</w:t>
      </w:r>
      <w:proofErr w:type="spellEnd"/>
      <w:r w:rsidRPr="003A1EF6">
        <w:rPr>
          <w:szCs w:val="18"/>
          <w:lang w:val="nl-NL"/>
        </w:rPr>
        <w:t xml:space="preserve">) met </w:t>
      </w:r>
      <w:r w:rsidRPr="003A1EF6">
        <w:rPr>
          <w:i/>
          <w:iCs/>
          <w:szCs w:val="18"/>
          <w:lang w:val="nl-NL"/>
        </w:rPr>
        <w:t xml:space="preserve">single </w:t>
      </w:r>
      <w:proofErr w:type="spellStart"/>
      <w:r w:rsidRPr="003A1EF6">
        <w:rPr>
          <w:i/>
          <w:iCs/>
          <w:szCs w:val="18"/>
          <w:lang w:val="nl-NL"/>
        </w:rPr>
        <w:t>limb</w:t>
      </w:r>
      <w:proofErr w:type="spellEnd"/>
      <w:r w:rsidRPr="003A1EF6">
        <w:rPr>
          <w:i/>
          <w:iCs/>
          <w:szCs w:val="18"/>
          <w:lang w:val="nl-NL"/>
        </w:rPr>
        <w:t xml:space="preserve"> </w:t>
      </w:r>
      <w:proofErr w:type="spellStart"/>
      <w:r w:rsidRPr="003A1EF6">
        <w:rPr>
          <w:i/>
          <w:iCs/>
          <w:szCs w:val="18"/>
          <w:lang w:val="nl-NL"/>
        </w:rPr>
        <w:t>aggregation</w:t>
      </w:r>
      <w:proofErr w:type="spellEnd"/>
      <w:r w:rsidRPr="003A1EF6">
        <w:rPr>
          <w:szCs w:val="18"/>
          <w:lang w:val="nl-NL"/>
        </w:rPr>
        <w:t xml:space="preserve">. In het kader van het verbeteren van het raamwerk voor schuldhoudbaarheid is in de principeovereenkomst van juni 2019 opgenomen dat de ESM-leden per 2022 dergelijke </w:t>
      </w:r>
      <w:proofErr w:type="spellStart"/>
      <w:r w:rsidRPr="003A1EF6">
        <w:rPr>
          <w:szCs w:val="18"/>
          <w:lang w:val="nl-NL"/>
        </w:rPr>
        <w:t>CAC’s</w:t>
      </w:r>
      <w:proofErr w:type="spellEnd"/>
      <w:r w:rsidRPr="003A1EF6">
        <w:rPr>
          <w:szCs w:val="18"/>
          <w:lang w:val="nl-NL"/>
        </w:rPr>
        <w:t xml:space="preserve"> op zullen nemen in de voorwaarden van de staatsobligaties. Een inhoudelijke toelichting hierop vindt u in de geannoteerde agenda van de afgelopen Eurogroep.</w:t>
      </w:r>
      <w:r w:rsidRPr="003A1EF6">
        <w:rPr>
          <w:rStyle w:val="Voetnootmarkering"/>
          <w:szCs w:val="18"/>
        </w:rPr>
        <w:footnoteReference w:id="16"/>
      </w:r>
      <w:r w:rsidRPr="003A1EF6">
        <w:rPr>
          <w:szCs w:val="18"/>
          <w:lang w:val="nl-NL"/>
        </w:rPr>
        <w:t xml:space="preserve"> Afgelopen Eurogroep is een principeakkoord bereikt over de gedetailleerde voorwaarden voor de </w:t>
      </w:r>
      <w:proofErr w:type="spellStart"/>
      <w:r w:rsidRPr="003A1EF6">
        <w:rPr>
          <w:szCs w:val="18"/>
          <w:lang w:val="nl-NL"/>
        </w:rPr>
        <w:t>CAC’s</w:t>
      </w:r>
      <w:proofErr w:type="spellEnd"/>
      <w:r w:rsidRPr="003A1EF6">
        <w:rPr>
          <w:szCs w:val="18"/>
          <w:lang w:val="nl-NL"/>
        </w:rPr>
        <w:t>, die het afgelopen half jaar zijn uitgewerkt. De komende maand zal worden benut om te kijken hoe deze gedetailleerde voorwaarden het best kunnen worden geïmplementeerd. De vraag die daarbij op tafel ligt is of de overeenkomst over de gedetailleerde voorwaarden zelf reeds afdoende is, of dat het zinvol is om deze voorwaarden als annex aan het gewijzigde ESM-verdrag te hechten. Afhankelijk van de uitkomst van deze discussie zullen nog aanvullende technische aanpassingen aan het ESM-verdrag moeten worden gemaakt.</w:t>
      </w:r>
    </w:p>
    <w:p w:rsidRPr="003A1EF6" w:rsidR="002174CC" w:rsidP="00D713DC" w:rsidRDefault="002174CC" w14:paraId="168616CE" w14:textId="77777777">
      <w:pPr>
        <w:overflowPunct w:val="0"/>
        <w:autoSpaceDE w:val="0"/>
        <w:spacing w:after="0" w:line="360" w:lineRule="auto"/>
        <w:rPr>
          <w:szCs w:val="18"/>
          <w:lang w:val="nl-NL"/>
        </w:rPr>
      </w:pPr>
    </w:p>
    <w:p w:rsidRPr="003A1EF6" w:rsidR="002174CC" w:rsidP="00D713DC" w:rsidRDefault="002174CC" w14:paraId="3125A6F1" w14:textId="77777777">
      <w:pPr>
        <w:overflowPunct w:val="0"/>
        <w:autoSpaceDE w:val="0"/>
        <w:spacing w:after="0" w:line="360" w:lineRule="auto"/>
        <w:rPr>
          <w:szCs w:val="18"/>
          <w:lang w:val="nl-NL"/>
        </w:rPr>
      </w:pPr>
      <w:r w:rsidRPr="003A1EF6">
        <w:rPr>
          <w:szCs w:val="18"/>
          <w:lang w:val="nl-NL"/>
        </w:rPr>
        <w:t xml:space="preserve">Als er voldoende duidelijkheid is over de beste manier van implementatie van de nieuwe </w:t>
      </w:r>
      <w:proofErr w:type="spellStart"/>
      <w:r w:rsidRPr="003A1EF6">
        <w:rPr>
          <w:szCs w:val="18"/>
          <w:lang w:val="nl-NL"/>
        </w:rPr>
        <w:t>CAC’s</w:t>
      </w:r>
      <w:proofErr w:type="spellEnd"/>
      <w:r w:rsidRPr="003A1EF6">
        <w:rPr>
          <w:szCs w:val="18"/>
          <w:lang w:val="nl-NL"/>
        </w:rPr>
        <w:t>, zal een datum worden vastgesteld voor het tekenen van de formele wijzigingsovereenkomst voor de aanpassing van het ESM-verdrag. Mijn verwachting is dat deze overeenkomst in het voorjaar van 2019 kan worden getekend. Voor verdere het proces omtrent de wijzigingsovereenkomst en de aanpalende documenten verwijs ik u ook naar mijn procesbrief over het ESM van 25 november jongstleden.</w:t>
      </w:r>
      <w:r w:rsidRPr="003A1EF6">
        <w:rPr>
          <w:rStyle w:val="Voetnootmarkering"/>
          <w:szCs w:val="18"/>
        </w:rPr>
        <w:footnoteReference w:id="17"/>
      </w:r>
    </w:p>
    <w:p w:rsidRPr="003A1EF6" w:rsidR="002174CC" w:rsidP="00D713DC" w:rsidRDefault="002174CC" w14:paraId="0C8237AE" w14:textId="77777777">
      <w:pPr>
        <w:overflowPunct w:val="0"/>
        <w:autoSpaceDE w:val="0"/>
        <w:spacing w:after="0" w:line="360" w:lineRule="auto"/>
        <w:rPr>
          <w:rFonts w:eastAsia="Times New Roman" w:cs="Times New Roman"/>
          <w:szCs w:val="18"/>
          <w:lang w:val="nl-NL"/>
        </w:rPr>
      </w:pPr>
    </w:p>
    <w:p w:rsidRPr="003A1EF6" w:rsidR="002174CC" w:rsidP="00D713DC" w:rsidRDefault="002174CC" w14:paraId="7A9ED6AA" w14:textId="77777777">
      <w:pPr>
        <w:autoSpaceDE w:val="0"/>
        <w:adjustRightInd w:val="0"/>
        <w:spacing w:after="0" w:line="360" w:lineRule="auto"/>
        <w:rPr>
          <w:rFonts w:cs="Verdana"/>
          <w:szCs w:val="18"/>
          <w:lang w:val="nl-NL"/>
        </w:rPr>
      </w:pPr>
      <w:r w:rsidRPr="003A1EF6">
        <w:rPr>
          <w:rFonts w:cs="Verdana"/>
          <w:szCs w:val="18"/>
          <w:lang w:val="nl-NL"/>
        </w:rPr>
        <w:t xml:space="preserve">Tot slot zijn in de Eurogroep de hoofdlijnen van beperkte wijzigingen van de intergouvernementele overeenkomst betreffende de overdracht en </w:t>
      </w:r>
      <w:proofErr w:type="spellStart"/>
      <w:r w:rsidRPr="003A1EF6">
        <w:rPr>
          <w:rFonts w:cs="Verdana"/>
          <w:szCs w:val="18"/>
          <w:lang w:val="nl-NL"/>
        </w:rPr>
        <w:t>mutualisatie</w:t>
      </w:r>
      <w:proofErr w:type="spellEnd"/>
      <w:r w:rsidRPr="003A1EF6">
        <w:rPr>
          <w:rFonts w:cs="Verdana"/>
          <w:szCs w:val="18"/>
          <w:lang w:val="nl-NL"/>
        </w:rPr>
        <w:t xml:space="preserve"> van de bijdragen aan het gemeenschappelijk </w:t>
      </w:r>
      <w:r w:rsidRPr="003A1EF6">
        <w:rPr>
          <w:szCs w:val="18"/>
          <w:lang w:val="nl-NL"/>
        </w:rPr>
        <w:lastRenderedPageBreak/>
        <w:t xml:space="preserve">afwikkelingsfonds (IGA) overeengekomen. Deze aanpassingen van de IGA zijn alleen nodig indien de overeengekomen gemeenschappelijke </w:t>
      </w:r>
      <w:proofErr w:type="spellStart"/>
      <w:r w:rsidRPr="003A1EF6">
        <w:rPr>
          <w:szCs w:val="18"/>
          <w:lang w:val="nl-NL"/>
        </w:rPr>
        <w:t>achtervang</w:t>
      </w:r>
      <w:proofErr w:type="spellEnd"/>
      <w:r w:rsidRPr="003A1EF6">
        <w:rPr>
          <w:szCs w:val="18"/>
          <w:lang w:val="nl-NL"/>
        </w:rPr>
        <w:t xml:space="preserve"> voor het SRF eerder dan eind 2023 wordt ingevoerd. Reeds in 2016 is afgesproken dat de </w:t>
      </w:r>
      <w:proofErr w:type="spellStart"/>
      <w:r w:rsidRPr="003A1EF6">
        <w:rPr>
          <w:szCs w:val="18"/>
          <w:lang w:val="nl-NL"/>
        </w:rPr>
        <w:t>achtervang</w:t>
      </w:r>
      <w:proofErr w:type="spellEnd"/>
      <w:r w:rsidRPr="003A1EF6">
        <w:rPr>
          <w:szCs w:val="18"/>
          <w:lang w:val="nl-NL"/>
        </w:rPr>
        <w:t xml:space="preserve"> vervroegd kan worden ingevoerd bij voldoende risicoreductie. De politieke beslissing hierover zal in op zijn vroegst in 2020 worden genomen op basis van een rapport van de instellingen over de voortgang van risicoreductie. Zoals bekend vereist het daadwerkelijk instellen van de gemeenschappelijke </w:t>
      </w:r>
      <w:proofErr w:type="spellStart"/>
      <w:r w:rsidRPr="003A1EF6">
        <w:rPr>
          <w:szCs w:val="18"/>
          <w:lang w:val="nl-NL"/>
        </w:rPr>
        <w:t>achtervang</w:t>
      </w:r>
      <w:proofErr w:type="spellEnd"/>
      <w:r w:rsidRPr="003A1EF6">
        <w:rPr>
          <w:szCs w:val="18"/>
          <w:lang w:val="nl-NL"/>
        </w:rPr>
        <w:t xml:space="preserve"> na de wijziging van het ESM-verdrag een los unaniem besluit van de Raad van gouverneurs.</w:t>
      </w:r>
    </w:p>
    <w:p w:rsidRPr="003A1EF6" w:rsidR="002174CC" w:rsidP="00D713DC" w:rsidRDefault="002174CC" w14:paraId="3A9E2A66" w14:textId="77777777">
      <w:pPr>
        <w:spacing w:after="0" w:line="360" w:lineRule="auto"/>
        <w:rPr>
          <w:szCs w:val="18"/>
          <w:lang w:val="nl-NL"/>
        </w:rPr>
      </w:pPr>
    </w:p>
    <w:p w:rsidRPr="003A1EF6" w:rsidR="002174CC" w:rsidP="00D713DC" w:rsidRDefault="002174CC" w14:paraId="60CD6198" w14:textId="096834DD">
      <w:pPr>
        <w:spacing w:after="0" w:line="360" w:lineRule="auto"/>
        <w:rPr>
          <w:szCs w:val="18"/>
          <w:lang w:val="nl-NL"/>
        </w:rPr>
      </w:pPr>
      <w:r w:rsidRPr="003A1EF6">
        <w:rPr>
          <w:szCs w:val="18"/>
          <w:lang w:val="nl-NL"/>
        </w:rPr>
        <w:t xml:space="preserve">De huidige IGA schrijft voor dat tot eind 2023 de leningen die de gemeenschappelijke afwikkelingsraad (SRB) aangaat uitsluitend terugbetaald worden door de banken in het land van de bank die met behulp van deze geleende middelen wordt afgewikkeld (daarna, vanaf 2024, betalen alle banken in de bankenunie deze leningen terug). Om de effectiviteit van de overeengekomen </w:t>
      </w:r>
      <w:proofErr w:type="spellStart"/>
      <w:r w:rsidRPr="003A1EF6">
        <w:rPr>
          <w:szCs w:val="18"/>
          <w:lang w:val="nl-NL"/>
        </w:rPr>
        <w:t>achtervang</w:t>
      </w:r>
      <w:proofErr w:type="spellEnd"/>
      <w:r w:rsidRPr="003A1EF6">
        <w:rPr>
          <w:szCs w:val="18"/>
          <w:lang w:val="nl-NL"/>
        </w:rPr>
        <w:t xml:space="preserve"> in het geval van vervroegde invoering zeker te stellen, is overeengekomen de terugbetaling van leningen uit het </w:t>
      </w:r>
      <w:proofErr w:type="spellStart"/>
      <w:r w:rsidRPr="003A1EF6">
        <w:rPr>
          <w:szCs w:val="18"/>
          <w:lang w:val="nl-NL"/>
        </w:rPr>
        <w:t>achtervang</w:t>
      </w:r>
      <w:proofErr w:type="spellEnd"/>
      <w:r w:rsidRPr="003A1EF6">
        <w:rPr>
          <w:szCs w:val="18"/>
          <w:lang w:val="nl-NL"/>
        </w:rPr>
        <w:t xml:space="preserve"> gedeeltelijk te </w:t>
      </w:r>
      <w:proofErr w:type="spellStart"/>
      <w:r w:rsidRPr="003A1EF6">
        <w:rPr>
          <w:szCs w:val="18"/>
          <w:lang w:val="nl-NL"/>
        </w:rPr>
        <w:t>mutualiseren</w:t>
      </w:r>
      <w:proofErr w:type="spellEnd"/>
      <w:r w:rsidRPr="003A1EF6">
        <w:rPr>
          <w:szCs w:val="18"/>
          <w:lang w:val="nl-NL"/>
        </w:rPr>
        <w:t xml:space="preserve">. Doel van die aanpassing is dat de gehele Europese bankensector bij een vervroegde invoering van de </w:t>
      </w:r>
      <w:proofErr w:type="spellStart"/>
      <w:r w:rsidRPr="003A1EF6">
        <w:rPr>
          <w:szCs w:val="18"/>
          <w:lang w:val="nl-NL"/>
        </w:rPr>
        <w:t>achtervang</w:t>
      </w:r>
      <w:proofErr w:type="spellEnd"/>
      <w:r w:rsidRPr="003A1EF6">
        <w:rPr>
          <w:szCs w:val="18"/>
          <w:lang w:val="nl-NL"/>
        </w:rPr>
        <w:t xml:space="preserve"> kan bijdragen aan de terugbetaling van leningen voor een resolutiecasus. Er zijn voor Nederland belangrijke beperkingen aan deze </w:t>
      </w:r>
      <w:proofErr w:type="spellStart"/>
      <w:r w:rsidRPr="003A1EF6">
        <w:rPr>
          <w:szCs w:val="18"/>
          <w:lang w:val="nl-NL"/>
        </w:rPr>
        <w:t>mutualisatie</w:t>
      </w:r>
      <w:proofErr w:type="spellEnd"/>
      <w:r w:rsidRPr="003A1EF6">
        <w:rPr>
          <w:szCs w:val="18"/>
          <w:lang w:val="nl-NL"/>
        </w:rPr>
        <w:t xml:space="preserve"> overeengekomen. Ten eerste zal er sprake zijn van een eerste bijdrage in de terugbetaling door de banken in de lidstaat waar de resolutie plaatsvindt (in eerste instantie 30% van de maximale ex post bijdragen die de SRB van die banken mag vragen en daarna stapsgewijs lager). Ten tweede zal de </w:t>
      </w:r>
      <w:proofErr w:type="spellStart"/>
      <w:r w:rsidRPr="003A1EF6">
        <w:rPr>
          <w:szCs w:val="18"/>
          <w:lang w:val="nl-NL"/>
        </w:rPr>
        <w:t>gemutualiseerde</w:t>
      </w:r>
      <w:proofErr w:type="spellEnd"/>
      <w:r w:rsidRPr="003A1EF6">
        <w:rPr>
          <w:szCs w:val="18"/>
          <w:lang w:val="nl-NL"/>
        </w:rPr>
        <w:t xml:space="preserve"> bijdrage in eerste instantie beperkt zijn tot 70% van de maximale ex post bijdragen die de SRB van alle Europese banken mag vragen (en daarna stapsgewijs hoger). Beide </w:t>
      </w:r>
      <w:proofErr w:type="spellStart"/>
      <w:r w:rsidRPr="003A1EF6">
        <w:rPr>
          <w:szCs w:val="18"/>
          <w:lang w:val="nl-NL"/>
        </w:rPr>
        <w:t>mutualis</w:t>
      </w:r>
      <w:r w:rsidR="003A1EF6">
        <w:rPr>
          <w:szCs w:val="18"/>
          <w:lang w:val="nl-NL"/>
        </w:rPr>
        <w:t>atiepaden</w:t>
      </w:r>
      <w:proofErr w:type="spellEnd"/>
      <w:r w:rsidR="003A1EF6">
        <w:rPr>
          <w:szCs w:val="18"/>
          <w:lang w:val="nl-NL"/>
        </w:rPr>
        <w:t xml:space="preserve"> liggen lager dan het </w:t>
      </w:r>
      <w:r w:rsidRPr="003A1EF6">
        <w:rPr>
          <w:szCs w:val="18"/>
          <w:lang w:val="nl-NL"/>
        </w:rPr>
        <w:t xml:space="preserve">bestaande </w:t>
      </w:r>
      <w:proofErr w:type="spellStart"/>
      <w:r w:rsidRPr="003A1EF6">
        <w:rPr>
          <w:szCs w:val="18"/>
          <w:lang w:val="nl-NL"/>
        </w:rPr>
        <w:t>mutualisatiepad</w:t>
      </w:r>
      <w:proofErr w:type="spellEnd"/>
      <w:r w:rsidRPr="003A1EF6">
        <w:rPr>
          <w:szCs w:val="18"/>
          <w:lang w:val="nl-NL"/>
        </w:rPr>
        <w:t xml:space="preserve"> van het gebruik van het SRF zelf. Ten derde zal de </w:t>
      </w:r>
      <w:proofErr w:type="spellStart"/>
      <w:r w:rsidRPr="003A1EF6">
        <w:rPr>
          <w:szCs w:val="18"/>
          <w:lang w:val="nl-NL"/>
        </w:rPr>
        <w:t>mutualisatie</w:t>
      </w:r>
      <w:proofErr w:type="spellEnd"/>
      <w:r w:rsidRPr="003A1EF6">
        <w:rPr>
          <w:szCs w:val="18"/>
          <w:lang w:val="nl-NL"/>
        </w:rPr>
        <w:t xml:space="preserve"> begrensd worden door de omvang van de backstop in de </w:t>
      </w:r>
      <w:proofErr w:type="spellStart"/>
      <w:r w:rsidRPr="003A1EF6">
        <w:rPr>
          <w:szCs w:val="18"/>
          <w:lang w:val="nl-NL"/>
        </w:rPr>
        <w:t>transitionele</w:t>
      </w:r>
      <w:proofErr w:type="spellEnd"/>
      <w:r w:rsidRPr="003A1EF6">
        <w:rPr>
          <w:szCs w:val="18"/>
          <w:lang w:val="nl-NL"/>
        </w:rPr>
        <w:t xml:space="preserve"> fase. Door deze drie beperkingen blijft de eerste verantwoordelijkheid tot het einde van 2023 bij de bankensector van het land waar de resolutiecasus plaatsvindt en gaat de mogelijk versnelde </w:t>
      </w:r>
      <w:proofErr w:type="spellStart"/>
      <w:r w:rsidRPr="003A1EF6">
        <w:rPr>
          <w:szCs w:val="18"/>
          <w:lang w:val="nl-NL"/>
        </w:rPr>
        <w:t>mutualisatie</w:t>
      </w:r>
      <w:proofErr w:type="spellEnd"/>
      <w:r w:rsidRPr="003A1EF6">
        <w:rPr>
          <w:szCs w:val="18"/>
          <w:lang w:val="nl-NL"/>
        </w:rPr>
        <w:t xml:space="preserve"> in het geval van vervroegde invoering niet sneller dan noodzakelijk om de overeengekomen gemeenschappelijke </w:t>
      </w:r>
      <w:proofErr w:type="spellStart"/>
      <w:r w:rsidRPr="003A1EF6">
        <w:rPr>
          <w:szCs w:val="18"/>
          <w:lang w:val="nl-NL"/>
        </w:rPr>
        <w:t>achtervang</w:t>
      </w:r>
      <w:proofErr w:type="spellEnd"/>
      <w:r w:rsidRPr="003A1EF6">
        <w:rPr>
          <w:szCs w:val="18"/>
          <w:lang w:val="nl-NL"/>
        </w:rPr>
        <w:t xml:space="preserve"> volledig effectief te kunnen benutten.</w:t>
      </w:r>
    </w:p>
    <w:p w:rsidRPr="003A1EF6" w:rsidR="002174CC" w:rsidP="00D713DC" w:rsidRDefault="002174CC" w14:paraId="4225FC8E" w14:textId="77777777">
      <w:pPr>
        <w:spacing w:after="0" w:line="360" w:lineRule="auto"/>
        <w:rPr>
          <w:szCs w:val="18"/>
          <w:lang w:val="nl-NL"/>
        </w:rPr>
      </w:pPr>
    </w:p>
    <w:p w:rsidRPr="003A1EF6" w:rsidR="002174CC" w:rsidP="00D713DC" w:rsidRDefault="002174CC" w14:paraId="4656A27C" w14:textId="77777777">
      <w:pPr>
        <w:spacing w:after="0" w:line="360" w:lineRule="auto"/>
        <w:rPr>
          <w:szCs w:val="18"/>
          <w:lang w:val="nl-NL"/>
        </w:rPr>
      </w:pPr>
      <w:r w:rsidRPr="003A1EF6">
        <w:rPr>
          <w:szCs w:val="18"/>
          <w:lang w:val="nl-NL"/>
        </w:rPr>
        <w:t xml:space="preserve">Er is nog niet overeengekomen wanneer de beperkte IGA-wijzigingen geratificeerd zullen worden. Omdat ratificatie van de wijzigingen zorgvuldig en via alle parlementen moet verlopen kan dit de nodige tijd in beslag nemen. Daarom lijkt het waarschijnlijk dat diverse landen zullen bepleiten de ratificatie reeds te starten voordat er wordt besloten over de eventuele eerdere invoering van de </w:t>
      </w:r>
      <w:proofErr w:type="spellStart"/>
      <w:r w:rsidRPr="003A1EF6">
        <w:rPr>
          <w:szCs w:val="18"/>
          <w:lang w:val="nl-NL"/>
        </w:rPr>
        <w:t>achtervang</w:t>
      </w:r>
      <w:proofErr w:type="spellEnd"/>
      <w:r w:rsidRPr="003A1EF6">
        <w:rPr>
          <w:szCs w:val="18"/>
          <w:lang w:val="nl-NL"/>
        </w:rPr>
        <w:t xml:space="preserve">. Nederland zal hier alleen mee akkoord gaan als de wijzigingen zo geformuleerd worden dat ze alleen effect krijgen bij een formeel besluit tot eerdere invoering van de </w:t>
      </w:r>
      <w:proofErr w:type="spellStart"/>
      <w:r w:rsidRPr="003A1EF6">
        <w:rPr>
          <w:szCs w:val="18"/>
          <w:lang w:val="nl-NL"/>
        </w:rPr>
        <w:t>achtervang</w:t>
      </w:r>
      <w:proofErr w:type="spellEnd"/>
      <w:r w:rsidRPr="003A1EF6">
        <w:rPr>
          <w:szCs w:val="18"/>
          <w:lang w:val="nl-NL"/>
        </w:rPr>
        <w:t xml:space="preserve">. Het instellen van de </w:t>
      </w:r>
      <w:proofErr w:type="spellStart"/>
      <w:r w:rsidRPr="003A1EF6">
        <w:rPr>
          <w:szCs w:val="18"/>
          <w:lang w:val="nl-NL"/>
        </w:rPr>
        <w:t>achtervang</w:t>
      </w:r>
      <w:proofErr w:type="spellEnd"/>
      <w:r w:rsidRPr="003A1EF6">
        <w:rPr>
          <w:szCs w:val="18"/>
          <w:lang w:val="nl-NL"/>
        </w:rPr>
        <w:t xml:space="preserve"> vergt een separate unanieme beslissing van de gouverneurs van het ESM.</w:t>
      </w:r>
    </w:p>
    <w:p w:rsidRPr="003A1EF6" w:rsidR="002174CC" w:rsidP="00D713DC" w:rsidRDefault="002174CC" w14:paraId="04A45328" w14:textId="77777777">
      <w:pPr>
        <w:pStyle w:val="Spreekpunten"/>
        <w:numPr>
          <w:ilvl w:val="0"/>
          <w:numId w:val="0"/>
        </w:numPr>
        <w:tabs>
          <w:tab w:val="left" w:pos="708"/>
        </w:tabs>
        <w:rPr>
          <w:rFonts w:ascii="Verdana" w:hAnsi="Verdana"/>
          <w:i/>
          <w:iCs/>
          <w:sz w:val="18"/>
          <w:szCs w:val="18"/>
          <w:lang w:val="nl-NL"/>
        </w:rPr>
      </w:pPr>
    </w:p>
    <w:p w:rsidRPr="003A1EF6" w:rsidR="002174CC" w:rsidP="00D713DC" w:rsidRDefault="002174CC" w14:paraId="2F16CC6C" w14:textId="77777777">
      <w:pPr>
        <w:pStyle w:val="Spreekpunten"/>
        <w:numPr>
          <w:ilvl w:val="0"/>
          <w:numId w:val="0"/>
        </w:numPr>
        <w:tabs>
          <w:tab w:val="left" w:pos="708"/>
        </w:tabs>
        <w:rPr>
          <w:rFonts w:ascii="Verdana" w:hAnsi="Verdana"/>
          <w:b/>
          <w:i/>
          <w:sz w:val="18"/>
          <w:szCs w:val="18"/>
          <w:lang w:val="nl-NL"/>
        </w:rPr>
      </w:pPr>
      <w:r w:rsidRPr="003A1EF6">
        <w:rPr>
          <w:rFonts w:ascii="Verdana" w:hAnsi="Verdana"/>
          <w:b/>
          <w:i/>
          <w:sz w:val="18"/>
          <w:szCs w:val="18"/>
          <w:lang w:val="nl-NL"/>
        </w:rPr>
        <w:t xml:space="preserve">Europees </w:t>
      </w:r>
      <w:proofErr w:type="spellStart"/>
      <w:r w:rsidRPr="003A1EF6">
        <w:rPr>
          <w:rFonts w:ascii="Verdana" w:hAnsi="Verdana"/>
          <w:b/>
          <w:i/>
          <w:sz w:val="18"/>
          <w:szCs w:val="18"/>
          <w:lang w:val="nl-NL"/>
        </w:rPr>
        <w:t>depositoverzekeringstelsel</w:t>
      </w:r>
      <w:proofErr w:type="spellEnd"/>
      <w:r w:rsidRPr="003A1EF6">
        <w:rPr>
          <w:rFonts w:ascii="Verdana" w:hAnsi="Verdana"/>
          <w:b/>
          <w:i/>
          <w:sz w:val="18"/>
          <w:szCs w:val="18"/>
          <w:lang w:val="nl-NL"/>
        </w:rPr>
        <w:t xml:space="preserve"> (EDIS)</w:t>
      </w:r>
    </w:p>
    <w:p w:rsidRPr="003A1EF6" w:rsidR="002174CC" w:rsidP="00D713DC" w:rsidRDefault="002174CC" w14:paraId="18AD0921" w14:textId="77777777">
      <w:pPr>
        <w:spacing w:after="0" w:line="360" w:lineRule="auto"/>
        <w:rPr>
          <w:szCs w:val="18"/>
          <w:lang w:val="nl-NL"/>
        </w:rPr>
      </w:pPr>
      <w:r w:rsidRPr="003A1EF6">
        <w:rPr>
          <w:szCs w:val="18"/>
          <w:lang w:val="nl-NL"/>
        </w:rPr>
        <w:t xml:space="preserve">Het afgelopen jaar is door een </w:t>
      </w:r>
      <w:proofErr w:type="spellStart"/>
      <w:r w:rsidRPr="003A1EF6">
        <w:rPr>
          <w:szCs w:val="18"/>
          <w:lang w:val="nl-NL"/>
        </w:rPr>
        <w:t>hoogambtelijke</w:t>
      </w:r>
      <w:proofErr w:type="spellEnd"/>
      <w:r w:rsidRPr="003A1EF6">
        <w:rPr>
          <w:szCs w:val="18"/>
          <w:lang w:val="nl-NL"/>
        </w:rPr>
        <w:t xml:space="preserve"> werkgroep (</w:t>
      </w:r>
      <w:r w:rsidRPr="003A1EF6">
        <w:rPr>
          <w:i/>
          <w:szCs w:val="18"/>
          <w:lang w:val="nl-NL"/>
        </w:rPr>
        <w:t xml:space="preserve">High Level </w:t>
      </w:r>
      <w:proofErr w:type="spellStart"/>
      <w:r w:rsidRPr="003A1EF6">
        <w:rPr>
          <w:i/>
          <w:szCs w:val="18"/>
          <w:lang w:val="nl-NL"/>
        </w:rPr>
        <w:t>Working</w:t>
      </w:r>
      <w:proofErr w:type="spellEnd"/>
      <w:r w:rsidRPr="003A1EF6">
        <w:rPr>
          <w:i/>
          <w:szCs w:val="18"/>
          <w:lang w:val="nl-NL"/>
        </w:rPr>
        <w:t xml:space="preserve"> Group</w:t>
      </w:r>
      <w:r w:rsidRPr="003A1EF6">
        <w:rPr>
          <w:szCs w:val="18"/>
          <w:lang w:val="nl-NL"/>
        </w:rPr>
        <w:t xml:space="preserve">; HLWG) gekeken naar de uitwerking van een nieuwe routekaart voor de Bankenunie, op basis van de routekaart uit </w:t>
      </w:r>
      <w:r w:rsidRPr="003A1EF6">
        <w:rPr>
          <w:szCs w:val="18"/>
          <w:lang w:val="nl-NL"/>
        </w:rPr>
        <w:lastRenderedPageBreak/>
        <w:t xml:space="preserve">2016. Daarbij is gekeken naar het functioneren van de Bankenunie en de verschillende opties om deze verder te versterken, inclusief een Europees </w:t>
      </w:r>
      <w:proofErr w:type="spellStart"/>
      <w:r w:rsidRPr="003A1EF6">
        <w:rPr>
          <w:szCs w:val="18"/>
          <w:lang w:val="nl-NL"/>
        </w:rPr>
        <w:t>depositoverzekeringstelsel</w:t>
      </w:r>
      <w:proofErr w:type="spellEnd"/>
      <w:r w:rsidRPr="003A1EF6">
        <w:rPr>
          <w:szCs w:val="18"/>
          <w:lang w:val="nl-NL"/>
        </w:rPr>
        <w:t xml:space="preserve"> (EDIS), de behandeling van staatsobligaties op bankbalansen en mogelijke verbeteringen in het toezicht- en resolutieraamwerk. De voorzitter van de HLWG heeft op 3 december de routekaart op persoonlijke titel gezonden aan de voorzitter van de Eurogroep</w:t>
      </w:r>
      <w:r w:rsidRPr="003A1EF6">
        <w:rPr>
          <w:rStyle w:val="Voetnootmarkering"/>
          <w:szCs w:val="18"/>
          <w:lang w:val="nl-NL"/>
        </w:rPr>
        <w:footnoteReference w:id="18"/>
      </w:r>
      <w:r w:rsidRPr="003A1EF6">
        <w:rPr>
          <w:szCs w:val="18"/>
          <w:lang w:val="nl-NL"/>
        </w:rPr>
        <w:t xml:space="preserve">. De Eurogroep heeft een terugkoppeling ontvangen van de HLWG. </w:t>
      </w:r>
    </w:p>
    <w:p w:rsidRPr="003A1EF6" w:rsidR="002174CC" w:rsidP="00D713DC" w:rsidRDefault="002174CC" w14:paraId="4143EBD0" w14:textId="77777777">
      <w:pPr>
        <w:spacing w:after="0" w:line="360" w:lineRule="auto"/>
        <w:rPr>
          <w:szCs w:val="18"/>
          <w:lang w:val="nl-NL"/>
        </w:rPr>
      </w:pPr>
    </w:p>
    <w:p w:rsidRPr="003A1EF6" w:rsidR="002174CC" w:rsidP="00D713DC" w:rsidRDefault="002174CC" w14:paraId="65BA6693" w14:textId="77777777">
      <w:pPr>
        <w:spacing w:after="0" w:line="360" w:lineRule="auto"/>
        <w:rPr>
          <w:szCs w:val="18"/>
          <w:lang w:val="nl-NL"/>
        </w:rPr>
      </w:pPr>
      <w:r w:rsidRPr="003A1EF6">
        <w:rPr>
          <w:color w:val="000000"/>
          <w:szCs w:val="18"/>
          <w:lang w:val="nl-NL"/>
        </w:rPr>
        <w:t xml:space="preserve">Nederland heeft ingebracht dat het een EDIS als sluitstuk van de bankenunie ziet en vasthoudt aan de routekaart uit 2016. Daarbij heeft Nederland wederom aangegeven dat van belang is dat voordat </w:t>
      </w:r>
      <w:r w:rsidRPr="003A1EF6">
        <w:rPr>
          <w:szCs w:val="18"/>
          <w:lang w:val="nl-NL"/>
        </w:rPr>
        <w:t>daadwerkelijk risicodeling plaatsvindt via een EDIS</w:t>
      </w:r>
      <w:r w:rsidRPr="003A1EF6">
        <w:rPr>
          <w:color w:val="000000"/>
          <w:szCs w:val="18"/>
          <w:lang w:val="nl-NL"/>
        </w:rPr>
        <w:t xml:space="preserve">, </w:t>
      </w:r>
      <w:r w:rsidRPr="003A1EF6">
        <w:rPr>
          <w:szCs w:val="18"/>
          <w:lang w:val="nl-NL"/>
        </w:rPr>
        <w:t>stappen worden gezet om de risico’s van staatsobligaties beter te wegen op bankbalansen. Ook acht Nederland het van belang dat er een gezondheidstoets (</w:t>
      </w:r>
      <w:r w:rsidRPr="003A1EF6">
        <w:rPr>
          <w:i/>
          <w:iCs/>
          <w:szCs w:val="18"/>
          <w:lang w:val="nl-NL"/>
        </w:rPr>
        <w:t xml:space="preserve">asset </w:t>
      </w:r>
      <w:proofErr w:type="spellStart"/>
      <w:r w:rsidRPr="003A1EF6">
        <w:rPr>
          <w:i/>
          <w:iCs/>
          <w:szCs w:val="18"/>
          <w:lang w:val="nl-NL"/>
        </w:rPr>
        <w:t>quality</w:t>
      </w:r>
      <w:proofErr w:type="spellEnd"/>
      <w:r w:rsidRPr="003A1EF6">
        <w:rPr>
          <w:i/>
          <w:iCs/>
          <w:szCs w:val="18"/>
          <w:lang w:val="nl-NL"/>
        </w:rPr>
        <w:t xml:space="preserve"> review</w:t>
      </w:r>
      <w:r w:rsidRPr="003A1EF6">
        <w:rPr>
          <w:szCs w:val="18"/>
          <w:lang w:val="nl-NL"/>
        </w:rPr>
        <w:t xml:space="preserve">; AQR) wordt uitgevoerd op bankbalansen. </w:t>
      </w:r>
    </w:p>
    <w:p w:rsidRPr="003A1EF6" w:rsidR="002174CC" w:rsidP="00D713DC" w:rsidRDefault="002174CC" w14:paraId="3AFDF157" w14:textId="77777777">
      <w:pPr>
        <w:spacing w:after="0" w:line="360" w:lineRule="auto"/>
        <w:rPr>
          <w:szCs w:val="18"/>
          <w:lang w:val="nl-NL"/>
        </w:rPr>
      </w:pPr>
    </w:p>
    <w:p w:rsidRPr="003A1EF6" w:rsidR="002174CC" w:rsidP="00D713DC" w:rsidRDefault="002174CC" w14:paraId="3B206B93" w14:textId="77777777">
      <w:pPr>
        <w:spacing w:after="0" w:line="360" w:lineRule="auto"/>
        <w:rPr>
          <w:szCs w:val="18"/>
          <w:lang w:val="nl-NL"/>
        </w:rPr>
      </w:pPr>
      <w:r w:rsidRPr="003A1EF6">
        <w:rPr>
          <w:szCs w:val="18"/>
          <w:lang w:val="nl-NL"/>
        </w:rPr>
        <w:t>De Eurogroep heeft geconcludeerd dat verder technisch werk nodig blijft en heeft de HLWG daarom gemandateerd om verder te werken aan alle elementen van de Bankenunie, inclusief een EDIS, en conclusies daarover in juni 2020 opnieuw te rapporteren.</w:t>
      </w:r>
    </w:p>
    <w:p w:rsidRPr="003A1EF6" w:rsidR="002174CC" w:rsidP="00D713DC" w:rsidRDefault="002174CC" w14:paraId="65CBBF7D" w14:textId="77777777">
      <w:pPr>
        <w:pStyle w:val="Spreekpunten"/>
        <w:numPr>
          <w:ilvl w:val="0"/>
          <w:numId w:val="0"/>
        </w:numPr>
        <w:tabs>
          <w:tab w:val="left" w:pos="708"/>
        </w:tabs>
        <w:rPr>
          <w:rFonts w:ascii="Verdana" w:hAnsi="Verdana"/>
          <w:sz w:val="18"/>
          <w:szCs w:val="18"/>
          <w:lang w:val="nl-NL"/>
        </w:rPr>
      </w:pPr>
      <w:r w:rsidRPr="003A1EF6">
        <w:rPr>
          <w:rFonts w:ascii="Verdana" w:hAnsi="Verdana"/>
          <w:b/>
          <w:iCs/>
          <w:sz w:val="18"/>
          <w:szCs w:val="18"/>
          <w:lang w:val="nl-NL"/>
        </w:rPr>
        <w:br/>
      </w:r>
      <w:r w:rsidRPr="003A1EF6">
        <w:rPr>
          <w:rFonts w:ascii="Verdana" w:hAnsi="Verdana"/>
          <w:b/>
          <w:i/>
          <w:iCs/>
          <w:sz w:val="18"/>
          <w:szCs w:val="18"/>
          <w:lang w:val="nl-NL"/>
        </w:rPr>
        <w:t>Begrotingsinstrument voor convergentie en concurrentievermogen (BICC)</w:t>
      </w:r>
      <w:r w:rsidRPr="003A1EF6">
        <w:rPr>
          <w:rFonts w:ascii="Verdana" w:hAnsi="Verdana"/>
          <w:b/>
          <w:iCs/>
          <w:sz w:val="18"/>
          <w:szCs w:val="18"/>
          <w:lang w:val="nl-NL"/>
        </w:rPr>
        <w:br/>
      </w:r>
      <w:r w:rsidRPr="003A1EF6">
        <w:rPr>
          <w:rFonts w:ascii="Verdana" w:hAnsi="Verdana"/>
          <w:sz w:val="18"/>
          <w:szCs w:val="18"/>
          <w:lang w:val="nl-NL"/>
        </w:rPr>
        <w:t xml:space="preserve">De Eurogroep is kort geïnformeerd over de voortgang ten aanzien van de uitwerking van het </w:t>
      </w:r>
      <w:r w:rsidRPr="003A1EF6">
        <w:rPr>
          <w:rFonts w:ascii="Verdana" w:hAnsi="Verdana" w:eastAsiaTheme="minorHAnsi" w:cstheme="minorBidi"/>
          <w:bCs w:val="0"/>
          <w:sz w:val="18"/>
          <w:szCs w:val="18"/>
          <w:lang w:val="nl-NL" w:eastAsia="en-US"/>
        </w:rPr>
        <w:t>begrotingsinstrument voor convergentie en concurrentievermogen (</w:t>
      </w:r>
      <w:r w:rsidRPr="003A1EF6">
        <w:rPr>
          <w:rFonts w:ascii="Verdana" w:hAnsi="Verdana"/>
          <w:sz w:val="18"/>
          <w:szCs w:val="18"/>
          <w:lang w:val="nl-NL"/>
        </w:rPr>
        <w:t xml:space="preserve">BICC). Tijdens de Eurogroep van 13 juni en 9 oktober zijn er afspraken gemaakt over diverse kenmerken van het BICC, welke zijn vastgelegd in </w:t>
      </w:r>
      <w:r w:rsidRPr="003A1EF6">
        <w:rPr>
          <w:rFonts w:ascii="Verdana" w:hAnsi="Verdana"/>
          <w:i/>
          <w:sz w:val="18"/>
          <w:szCs w:val="18"/>
          <w:lang w:val="nl-NL"/>
        </w:rPr>
        <w:t>term sheets</w:t>
      </w:r>
      <w:r w:rsidRPr="003A1EF6">
        <w:rPr>
          <w:rFonts w:ascii="Verdana" w:hAnsi="Verdana"/>
          <w:sz w:val="18"/>
          <w:szCs w:val="18"/>
          <w:lang w:val="nl-NL"/>
        </w:rPr>
        <w:t>.</w:t>
      </w:r>
      <w:r w:rsidRPr="003A1EF6">
        <w:rPr>
          <w:rStyle w:val="Voetnootmarkering"/>
          <w:rFonts w:ascii="Verdana" w:hAnsi="Verdana"/>
          <w:sz w:val="18"/>
          <w:szCs w:val="18"/>
        </w:rPr>
        <w:footnoteReference w:id="19"/>
      </w:r>
      <w:r w:rsidRPr="003A1EF6">
        <w:rPr>
          <w:rFonts w:ascii="Verdana" w:hAnsi="Verdana"/>
          <w:sz w:val="18"/>
          <w:szCs w:val="18"/>
          <w:lang w:val="nl-NL"/>
        </w:rPr>
        <w:t xml:space="preserve"> </w:t>
      </w:r>
    </w:p>
    <w:p w:rsidRPr="003A1EF6" w:rsidR="002174CC" w:rsidP="00D713DC" w:rsidRDefault="002174CC" w14:paraId="547E1D7D" w14:textId="77777777">
      <w:pPr>
        <w:pStyle w:val="Spreekpunten"/>
        <w:numPr>
          <w:ilvl w:val="0"/>
          <w:numId w:val="0"/>
        </w:numPr>
        <w:tabs>
          <w:tab w:val="left" w:pos="708"/>
        </w:tabs>
        <w:rPr>
          <w:rFonts w:ascii="Verdana" w:hAnsi="Verdana"/>
          <w:sz w:val="18"/>
          <w:szCs w:val="18"/>
          <w:lang w:val="nl-NL"/>
        </w:rPr>
      </w:pPr>
    </w:p>
    <w:p w:rsidRPr="003A1EF6" w:rsidR="002174CC" w:rsidP="00D713DC" w:rsidRDefault="002174CC" w14:paraId="053E20A7" w14:textId="77777777">
      <w:pPr>
        <w:spacing w:after="0" w:line="360" w:lineRule="auto"/>
        <w:rPr>
          <w:szCs w:val="18"/>
          <w:lang w:val="nl-NL"/>
        </w:rPr>
      </w:pPr>
      <w:r w:rsidRPr="003A1EF6">
        <w:rPr>
          <w:szCs w:val="18"/>
          <w:lang w:val="nl-NL"/>
        </w:rPr>
        <w:t xml:space="preserve">Deze afspraken zullen zoals bekend nader worden vastgelegd in EU-wetgeving door middel van een aanpassing van het Commissievoorstel voor een verordening voor een </w:t>
      </w:r>
      <w:proofErr w:type="spellStart"/>
      <w:r w:rsidRPr="003A1EF6">
        <w:rPr>
          <w:szCs w:val="18"/>
          <w:lang w:val="nl-NL"/>
        </w:rPr>
        <w:t>hervormingsondersteuningsprogramma</w:t>
      </w:r>
      <w:proofErr w:type="spellEnd"/>
      <w:r w:rsidRPr="003A1EF6">
        <w:rPr>
          <w:szCs w:val="18"/>
          <w:lang w:val="nl-NL"/>
        </w:rPr>
        <w:t xml:space="preserve"> en een nieuwe verordening voor een </w:t>
      </w:r>
      <w:proofErr w:type="spellStart"/>
      <w:r w:rsidRPr="003A1EF6">
        <w:rPr>
          <w:i/>
          <w:szCs w:val="18"/>
          <w:lang w:val="nl-NL"/>
        </w:rPr>
        <w:t>governance</w:t>
      </w:r>
      <w:proofErr w:type="spellEnd"/>
      <w:r w:rsidRPr="003A1EF6">
        <w:rPr>
          <w:szCs w:val="18"/>
          <w:lang w:val="nl-NL"/>
        </w:rPr>
        <w:t xml:space="preserve"> raamwerk waarvoor de Europese Commissie in juni een voorstel deed. Over beide Commissievoorstellen ontving uw Kamer een BNC-fiche.</w:t>
      </w:r>
      <w:r w:rsidRPr="003A1EF6">
        <w:rPr>
          <w:rStyle w:val="Voetnootmarkering"/>
          <w:szCs w:val="18"/>
        </w:rPr>
        <w:footnoteReference w:id="20"/>
      </w:r>
      <w:r w:rsidRPr="003A1EF6">
        <w:rPr>
          <w:szCs w:val="18"/>
          <w:lang w:val="nl-NL"/>
        </w:rPr>
        <w:t xml:space="preserve"> De komende maanden zullen deze verordeningen verder worden uitgewerkt in Raadsverband. Het eindresultaat zal tot stand komen met medebeslissing van het Europees Parlement. De omvang van het BICC zal worden bepaald in de context van het Meerjarig Financieel Kader (MFK). Tijdens de Eurogroep van 9 oktober jl. is afgesproken dat de discussie over de noodzaak, inhoud, modaliteiten en omvang van een eventuele intergouvernementele overeenkomst (IGA) zal doorgaan in ambtelijke voorportalen van de Eurogroep.</w:t>
      </w:r>
    </w:p>
    <w:p w:rsidRPr="003A1EF6" w:rsidR="0066577F" w:rsidP="00D713DC" w:rsidRDefault="0066577F" w14:paraId="3DD88F29" w14:textId="01882151">
      <w:pPr>
        <w:spacing w:after="0" w:line="360" w:lineRule="auto"/>
        <w:contextualSpacing/>
        <w:rPr>
          <w:lang w:val="nl-NL"/>
        </w:rPr>
      </w:pPr>
    </w:p>
    <w:p w:rsidRPr="003A1EF6" w:rsidR="002174CC" w:rsidP="00D713DC" w:rsidRDefault="002174CC" w14:paraId="5E72E3DC" w14:textId="77777777">
      <w:pPr>
        <w:spacing w:after="0" w:line="360" w:lineRule="auto"/>
        <w:contextualSpacing/>
        <w:rPr>
          <w:b/>
          <w:szCs w:val="18"/>
          <w:u w:val="single"/>
          <w:lang w:val="nl-NL"/>
        </w:rPr>
      </w:pPr>
    </w:p>
    <w:p w:rsidRPr="003A1EF6" w:rsidR="00752F69" w:rsidP="00D713DC" w:rsidRDefault="00752F69" w14:paraId="7ADD7204" w14:textId="77777777">
      <w:pPr>
        <w:spacing w:after="0" w:line="360" w:lineRule="auto"/>
        <w:rPr>
          <w:b/>
          <w:szCs w:val="18"/>
          <w:u w:val="single"/>
          <w:lang w:val="nl-NL"/>
        </w:rPr>
      </w:pPr>
      <w:r w:rsidRPr="003A1EF6">
        <w:rPr>
          <w:b/>
          <w:szCs w:val="18"/>
          <w:u w:val="single"/>
          <w:lang w:val="nl-NL"/>
        </w:rPr>
        <w:br w:type="page"/>
      </w:r>
    </w:p>
    <w:p w:rsidRPr="003A1EF6" w:rsidR="009208C5" w:rsidP="00D713DC" w:rsidRDefault="00553A75" w14:paraId="5BCAED16" w14:textId="78A8B2BA">
      <w:pPr>
        <w:spacing w:after="0" w:line="360" w:lineRule="auto"/>
        <w:contextualSpacing/>
        <w:rPr>
          <w:b/>
          <w:szCs w:val="18"/>
          <w:u w:val="single"/>
          <w:lang w:val="nl-NL"/>
        </w:rPr>
      </w:pPr>
      <w:r w:rsidRPr="003A1EF6">
        <w:rPr>
          <w:b/>
          <w:szCs w:val="18"/>
          <w:u w:val="single"/>
          <w:lang w:val="nl-NL"/>
        </w:rPr>
        <w:lastRenderedPageBreak/>
        <w:t>Ecofinraad</w:t>
      </w:r>
    </w:p>
    <w:p w:rsidRPr="003A1EF6" w:rsidR="00895167" w:rsidP="00D713DC" w:rsidRDefault="00895167" w14:paraId="16CCE3B4" w14:textId="77777777">
      <w:pPr>
        <w:spacing w:after="0" w:line="360" w:lineRule="auto"/>
        <w:contextualSpacing/>
        <w:rPr>
          <w:b/>
          <w:szCs w:val="18"/>
          <w:u w:val="single"/>
          <w:lang w:val="nl-NL"/>
        </w:rPr>
      </w:pPr>
    </w:p>
    <w:p w:rsidRPr="003A1EF6" w:rsidR="00B62CF7" w:rsidP="00D713DC" w:rsidRDefault="00B62CF7" w14:paraId="14A7F546" w14:textId="7FB0F42C">
      <w:pPr>
        <w:spacing w:after="0" w:line="360" w:lineRule="auto"/>
        <w:contextualSpacing/>
        <w:rPr>
          <w:b/>
          <w:szCs w:val="18"/>
          <w:lang w:val="nl-NL"/>
        </w:rPr>
      </w:pPr>
      <w:proofErr w:type="spellStart"/>
      <w:r w:rsidRPr="003A1EF6">
        <w:rPr>
          <w:b/>
          <w:szCs w:val="18"/>
          <w:lang w:val="nl-NL"/>
        </w:rPr>
        <w:t>Ecofin</w:t>
      </w:r>
      <w:proofErr w:type="spellEnd"/>
      <w:r w:rsidRPr="003A1EF6">
        <w:rPr>
          <w:b/>
          <w:szCs w:val="18"/>
          <w:lang w:val="nl-NL"/>
        </w:rPr>
        <w:t>-ontbijt</w:t>
      </w:r>
    </w:p>
    <w:p w:rsidRPr="003A1EF6" w:rsidR="001709AF" w:rsidP="00D713DC" w:rsidRDefault="00B62CF7" w14:paraId="2EA9F695" w14:textId="37FDF404">
      <w:pPr>
        <w:spacing w:after="0" w:line="360" w:lineRule="auto"/>
        <w:contextualSpacing/>
        <w:rPr>
          <w:szCs w:val="18"/>
          <w:lang w:val="nl-NL"/>
        </w:rPr>
      </w:pPr>
      <w:r w:rsidRPr="003A1EF6">
        <w:rPr>
          <w:szCs w:val="18"/>
          <w:lang w:val="nl-NL"/>
        </w:rPr>
        <w:t xml:space="preserve">Tijdens het ontbijt kregen de ministers een korte </w:t>
      </w:r>
      <w:r w:rsidRPr="003A1EF6" w:rsidR="00403306">
        <w:rPr>
          <w:szCs w:val="18"/>
          <w:lang w:val="nl-NL"/>
        </w:rPr>
        <w:t>terugkoppeling uit de Eurogroep.</w:t>
      </w:r>
      <w:r w:rsidRPr="003A1EF6" w:rsidR="001709AF">
        <w:rPr>
          <w:szCs w:val="18"/>
          <w:lang w:val="nl-NL"/>
        </w:rPr>
        <w:t xml:space="preserve"> Ook is het selectieproces toegelicht voor de volgende president van de European Bank for </w:t>
      </w:r>
      <w:proofErr w:type="spellStart"/>
      <w:r w:rsidRPr="003A1EF6" w:rsidR="001709AF">
        <w:rPr>
          <w:szCs w:val="18"/>
          <w:lang w:val="nl-NL"/>
        </w:rPr>
        <w:t>Restructuring</w:t>
      </w:r>
      <w:proofErr w:type="spellEnd"/>
      <w:r w:rsidRPr="003A1EF6" w:rsidR="001709AF">
        <w:rPr>
          <w:szCs w:val="18"/>
          <w:lang w:val="nl-NL"/>
        </w:rPr>
        <w:t xml:space="preserve"> </w:t>
      </w:r>
      <w:proofErr w:type="spellStart"/>
      <w:r w:rsidRPr="003A1EF6" w:rsidR="001709AF">
        <w:rPr>
          <w:szCs w:val="18"/>
          <w:lang w:val="nl-NL"/>
        </w:rPr>
        <w:t>and</w:t>
      </w:r>
      <w:proofErr w:type="spellEnd"/>
      <w:r w:rsidRPr="003A1EF6" w:rsidR="001709AF">
        <w:rPr>
          <w:szCs w:val="18"/>
          <w:lang w:val="nl-NL"/>
        </w:rPr>
        <w:t xml:space="preserve"> Development (EBRD)</w:t>
      </w:r>
      <w:r w:rsidR="005C61C7">
        <w:rPr>
          <w:szCs w:val="18"/>
          <w:lang w:val="nl-NL"/>
        </w:rPr>
        <w:t>,</w:t>
      </w:r>
      <w:r w:rsidRPr="003A1EF6" w:rsidR="001709AF">
        <w:rPr>
          <w:szCs w:val="18"/>
          <w:lang w:val="nl-NL"/>
        </w:rPr>
        <w:t xml:space="preserve"> die in mei 2020 zal </w:t>
      </w:r>
      <w:r w:rsidR="005C61C7">
        <w:rPr>
          <w:szCs w:val="18"/>
          <w:lang w:val="nl-NL"/>
        </w:rPr>
        <w:t>worden benoemd</w:t>
      </w:r>
      <w:r w:rsidRPr="003A1EF6" w:rsidR="001709AF">
        <w:rPr>
          <w:szCs w:val="18"/>
          <w:lang w:val="nl-NL"/>
        </w:rPr>
        <w:t>.</w:t>
      </w:r>
    </w:p>
    <w:p w:rsidRPr="003A1EF6" w:rsidR="005D79AB" w:rsidP="00D713DC" w:rsidRDefault="005D79AB" w14:paraId="63A780A9" w14:textId="719155B6">
      <w:pPr>
        <w:autoSpaceDE w:val="0"/>
        <w:autoSpaceDN w:val="0"/>
        <w:adjustRightInd w:val="0"/>
        <w:spacing w:after="0" w:line="360" w:lineRule="auto"/>
        <w:contextualSpacing/>
        <w:rPr>
          <w:szCs w:val="18"/>
          <w:lang w:val="nl-NL"/>
        </w:rPr>
      </w:pPr>
    </w:p>
    <w:p w:rsidRPr="003A1EF6" w:rsidR="00423519" w:rsidP="00D713DC" w:rsidRDefault="00423519" w14:paraId="2DAFB093" w14:textId="4BD065E2">
      <w:pPr>
        <w:spacing w:after="0" w:line="360" w:lineRule="auto"/>
        <w:contextualSpacing/>
        <w:rPr>
          <w:b/>
          <w:szCs w:val="18"/>
          <w:lang w:val="nl-NL"/>
        </w:rPr>
      </w:pPr>
      <w:r w:rsidRPr="003A1EF6">
        <w:rPr>
          <w:b/>
          <w:szCs w:val="18"/>
          <w:lang w:val="nl-NL"/>
        </w:rPr>
        <w:t>A-item – Gedragscodegroep</w:t>
      </w:r>
    </w:p>
    <w:p w:rsidRPr="003A1EF6" w:rsidR="00E67FE2" w:rsidP="00D713DC" w:rsidRDefault="00423519" w14:paraId="4616D24E" w14:textId="313FEEDD">
      <w:pPr>
        <w:spacing w:after="0" w:line="360" w:lineRule="auto"/>
        <w:contextualSpacing/>
        <w:rPr>
          <w:szCs w:val="18"/>
          <w:lang w:val="nl-NL"/>
        </w:rPr>
      </w:pPr>
      <w:r w:rsidRPr="003A1EF6">
        <w:rPr>
          <w:szCs w:val="18"/>
          <w:lang w:val="nl-NL"/>
        </w:rPr>
        <w:t xml:space="preserve">De Ecofinraad heeft zonder discussie </w:t>
      </w:r>
      <w:r w:rsidRPr="003A1EF6" w:rsidR="00E67FE2">
        <w:rPr>
          <w:szCs w:val="18"/>
          <w:lang w:val="nl-NL"/>
        </w:rPr>
        <w:t>Raadsconclusies aangenomen</w:t>
      </w:r>
      <w:r w:rsidRPr="003A1EF6" w:rsidR="00E67FE2">
        <w:rPr>
          <w:rStyle w:val="Voetnootmarkering"/>
          <w:szCs w:val="18"/>
          <w:lang w:val="nl-NL"/>
        </w:rPr>
        <w:footnoteReference w:id="21"/>
      </w:r>
      <w:r w:rsidRPr="003A1EF6" w:rsidR="00E67FE2">
        <w:rPr>
          <w:szCs w:val="18"/>
          <w:lang w:val="nl-NL"/>
        </w:rPr>
        <w:t xml:space="preserve"> en een halfjaarlijks verslag goedgekeurd</w:t>
      </w:r>
      <w:r w:rsidRPr="003A1EF6" w:rsidR="00E67FE2">
        <w:rPr>
          <w:rStyle w:val="Voetnootmarkering"/>
          <w:szCs w:val="18"/>
          <w:lang w:val="nl-NL"/>
        </w:rPr>
        <w:footnoteReference w:id="22"/>
      </w:r>
      <w:r w:rsidRPr="003A1EF6" w:rsidR="00E67FE2">
        <w:rPr>
          <w:szCs w:val="18"/>
          <w:lang w:val="nl-NL"/>
        </w:rPr>
        <w:t xml:space="preserve"> over de vorderingen van de Gedragscodegroep. Het verslag bevat een stand van zaken betreffende de EU-lijst van non-coöperatieve jurisdicties </w:t>
      </w:r>
      <w:r w:rsidRPr="003A1EF6" w:rsidR="0066577F">
        <w:rPr>
          <w:szCs w:val="18"/>
          <w:lang w:val="nl-NL"/>
        </w:rPr>
        <w:t xml:space="preserve">(ook wel: “zwarte lijst”) </w:t>
      </w:r>
      <w:r w:rsidRPr="003A1EF6" w:rsidR="00E67FE2">
        <w:rPr>
          <w:szCs w:val="18"/>
          <w:lang w:val="nl-NL"/>
        </w:rPr>
        <w:t>op belastinggebied.</w:t>
      </w:r>
    </w:p>
    <w:p w:rsidRPr="003A1EF6" w:rsidR="00E67FE2" w:rsidP="00D713DC" w:rsidRDefault="00E67FE2" w14:paraId="020052A4" w14:textId="77777777">
      <w:pPr>
        <w:spacing w:after="0" w:line="360" w:lineRule="auto"/>
        <w:contextualSpacing/>
        <w:rPr>
          <w:b/>
          <w:szCs w:val="18"/>
          <w:lang w:val="nl-NL"/>
        </w:rPr>
      </w:pPr>
    </w:p>
    <w:p w:rsidRPr="003A1EF6" w:rsidR="005D79AB" w:rsidP="00D713DC" w:rsidRDefault="005D79AB" w14:paraId="52AB212D" w14:textId="4D4598B6">
      <w:pPr>
        <w:spacing w:after="0" w:line="360" w:lineRule="auto"/>
        <w:contextualSpacing/>
        <w:rPr>
          <w:b/>
          <w:szCs w:val="18"/>
          <w:lang w:val="nl-NL"/>
        </w:rPr>
      </w:pPr>
      <w:r w:rsidRPr="003A1EF6">
        <w:rPr>
          <w:b/>
          <w:szCs w:val="18"/>
          <w:lang w:val="nl-NL"/>
        </w:rPr>
        <w:t>Versterking van de bankenunie</w:t>
      </w:r>
    </w:p>
    <w:p w:rsidRPr="003A1EF6" w:rsidR="005D79AB" w:rsidP="00D713DC" w:rsidRDefault="005D79AB" w14:paraId="2F0831B9" w14:textId="26B460E8">
      <w:pPr>
        <w:spacing w:after="0" w:line="360" w:lineRule="auto"/>
        <w:contextualSpacing/>
        <w:rPr>
          <w:szCs w:val="18"/>
          <w:lang w:val="nl-NL"/>
        </w:rPr>
      </w:pPr>
      <w:r w:rsidRPr="003A1EF6">
        <w:rPr>
          <w:szCs w:val="18"/>
          <w:lang w:val="nl-NL"/>
        </w:rPr>
        <w:t xml:space="preserve">Het Finse voorzitterschap </w:t>
      </w:r>
      <w:r w:rsidRPr="003A1EF6" w:rsidR="000268D5">
        <w:rPr>
          <w:szCs w:val="18"/>
          <w:lang w:val="nl-NL"/>
        </w:rPr>
        <w:t>heeft in de Ecofinraad</w:t>
      </w:r>
      <w:r w:rsidRPr="003A1EF6">
        <w:rPr>
          <w:szCs w:val="18"/>
          <w:lang w:val="nl-NL"/>
        </w:rPr>
        <w:t xml:space="preserve"> </w:t>
      </w:r>
      <w:r w:rsidRPr="003A1EF6" w:rsidR="00363E5C">
        <w:rPr>
          <w:szCs w:val="18"/>
          <w:lang w:val="nl-NL"/>
        </w:rPr>
        <w:t>gerapporteerd</w:t>
      </w:r>
      <w:r w:rsidRPr="003A1EF6">
        <w:rPr>
          <w:szCs w:val="18"/>
          <w:lang w:val="nl-NL"/>
        </w:rPr>
        <w:t xml:space="preserve"> over de voortgang ten aanzien van de versterking van de bankenunie.</w:t>
      </w:r>
      <w:r w:rsidRPr="003A1EF6" w:rsidR="000268D5">
        <w:rPr>
          <w:rStyle w:val="Voetnootmarkering"/>
          <w:szCs w:val="18"/>
          <w:lang w:val="nl-NL"/>
        </w:rPr>
        <w:footnoteReference w:id="23"/>
      </w:r>
      <w:r w:rsidRPr="003A1EF6" w:rsidR="000268D5">
        <w:rPr>
          <w:szCs w:val="18"/>
          <w:lang w:val="nl-NL"/>
        </w:rPr>
        <w:t xml:space="preserve"> </w:t>
      </w:r>
      <w:r w:rsidRPr="003A1EF6">
        <w:rPr>
          <w:szCs w:val="18"/>
          <w:lang w:val="nl-NL"/>
        </w:rPr>
        <w:t xml:space="preserve">Onder het Nederlandse voorzitterschap werd de Europese Commissie op 17 juni 2016 opgeroepen tot het doen van voorstellen </w:t>
      </w:r>
      <w:r w:rsidRPr="003A1EF6" w:rsidR="000268D5">
        <w:rPr>
          <w:szCs w:val="18"/>
          <w:lang w:val="nl-NL"/>
        </w:rPr>
        <w:t xml:space="preserve">op specifieke </w:t>
      </w:r>
      <w:proofErr w:type="spellStart"/>
      <w:r w:rsidRPr="003A1EF6" w:rsidR="000268D5">
        <w:rPr>
          <w:szCs w:val="18"/>
          <w:lang w:val="nl-NL"/>
        </w:rPr>
        <w:t>risicoreducerende</w:t>
      </w:r>
      <w:proofErr w:type="spellEnd"/>
      <w:r w:rsidRPr="003A1EF6" w:rsidR="000268D5">
        <w:rPr>
          <w:szCs w:val="18"/>
          <w:lang w:val="nl-NL"/>
        </w:rPr>
        <w:t xml:space="preserve"> </w:t>
      </w:r>
      <w:r w:rsidRPr="003A1EF6">
        <w:rPr>
          <w:szCs w:val="18"/>
          <w:lang w:val="nl-NL"/>
        </w:rPr>
        <w:t>maatregelen.</w:t>
      </w:r>
      <w:r w:rsidRPr="003A1EF6">
        <w:rPr>
          <w:rStyle w:val="Voetnootmarkering"/>
          <w:szCs w:val="18"/>
        </w:rPr>
        <w:footnoteReference w:id="24"/>
      </w:r>
      <w:r w:rsidRPr="003A1EF6">
        <w:rPr>
          <w:szCs w:val="18"/>
          <w:lang w:val="nl-NL"/>
        </w:rPr>
        <w:t xml:space="preserve"> Dit leidde ertoe dat de Europese Commissie op 23 november 2016 voorstellen deed, te weten het bankenpakket. Alle onderdelen uit het bankenpakket zijn dit jaar definitief afgerond.</w:t>
      </w:r>
      <w:r w:rsidRPr="003A1EF6">
        <w:rPr>
          <w:rStyle w:val="Voetnootmarkering"/>
          <w:szCs w:val="18"/>
        </w:rPr>
        <w:footnoteReference w:id="25"/>
      </w:r>
      <w:r w:rsidRPr="003A1EF6">
        <w:rPr>
          <w:szCs w:val="18"/>
          <w:lang w:val="nl-NL"/>
        </w:rPr>
        <w:t xml:space="preserve"> Dit pakket dwingt banken bijvoorbeeld om aanvullende buffers voor </w:t>
      </w:r>
      <w:proofErr w:type="spellStart"/>
      <w:r w:rsidRPr="003A1EF6">
        <w:rPr>
          <w:szCs w:val="18"/>
          <w:lang w:val="nl-NL"/>
        </w:rPr>
        <w:t>bail</w:t>
      </w:r>
      <w:proofErr w:type="spellEnd"/>
      <w:r w:rsidRPr="003A1EF6">
        <w:rPr>
          <w:szCs w:val="18"/>
          <w:lang w:val="nl-NL"/>
        </w:rPr>
        <w:t xml:space="preserve">-in en te allen tijde een minimum aan eigen vermogen aan te houden. Daarmee is aan alle </w:t>
      </w:r>
      <w:proofErr w:type="spellStart"/>
      <w:r w:rsidRPr="003A1EF6">
        <w:rPr>
          <w:szCs w:val="18"/>
          <w:lang w:val="nl-NL"/>
        </w:rPr>
        <w:t>risicoreducerende</w:t>
      </w:r>
      <w:proofErr w:type="spellEnd"/>
      <w:r w:rsidRPr="003A1EF6">
        <w:rPr>
          <w:szCs w:val="18"/>
          <w:lang w:val="nl-NL"/>
        </w:rPr>
        <w:t xml:space="preserve"> maatregelen waartoe de Raad de Europese Commissie in 2016 opriep opvolging gegeven. Een overzicht </w:t>
      </w:r>
      <w:r w:rsidR="0099228A">
        <w:rPr>
          <w:szCs w:val="18"/>
          <w:lang w:val="nl-NL"/>
        </w:rPr>
        <w:t xml:space="preserve">hiervan </w:t>
      </w:r>
      <w:r w:rsidRPr="003A1EF6">
        <w:rPr>
          <w:szCs w:val="18"/>
          <w:lang w:val="nl-NL"/>
        </w:rPr>
        <w:t>is terug te lezen in de brief update risicoreductie Europese banken van 26 augustus 2019.</w:t>
      </w:r>
      <w:r w:rsidRPr="003A1EF6">
        <w:rPr>
          <w:rStyle w:val="Voetnootmarkering"/>
          <w:szCs w:val="18"/>
        </w:rPr>
        <w:footnoteReference w:id="26"/>
      </w:r>
      <w:r w:rsidRPr="003A1EF6">
        <w:rPr>
          <w:szCs w:val="18"/>
          <w:lang w:val="nl-NL"/>
        </w:rPr>
        <w:t xml:space="preserve"> </w:t>
      </w:r>
    </w:p>
    <w:p w:rsidRPr="003A1EF6" w:rsidR="005D79AB" w:rsidP="00D713DC" w:rsidRDefault="005D79AB" w14:paraId="69D8AE53" w14:textId="03B05236">
      <w:pPr>
        <w:spacing w:after="0" w:line="360" w:lineRule="auto"/>
        <w:contextualSpacing/>
        <w:rPr>
          <w:b/>
          <w:i/>
          <w:szCs w:val="18"/>
          <w:u w:val="single"/>
          <w:lang w:val="nl-NL"/>
        </w:rPr>
      </w:pPr>
    </w:p>
    <w:p w:rsidRPr="003A1EF6" w:rsidR="00206479" w:rsidP="00D713DC" w:rsidRDefault="00206479" w14:paraId="2A66E191" w14:textId="77777777">
      <w:pPr>
        <w:spacing w:after="0" w:line="360" w:lineRule="auto"/>
        <w:contextualSpacing/>
        <w:rPr>
          <w:rFonts w:cs="Arial"/>
          <w:b/>
          <w:szCs w:val="18"/>
          <w:lang w:val="nl-NL"/>
        </w:rPr>
      </w:pPr>
      <w:r w:rsidRPr="003A1EF6">
        <w:rPr>
          <w:rFonts w:cs="Arial"/>
          <w:b/>
          <w:szCs w:val="18"/>
          <w:lang w:val="nl-NL"/>
        </w:rPr>
        <w:t>Raadsconclusies over de evaluatie van de Energiebelastingrichtlijn</w:t>
      </w:r>
    </w:p>
    <w:p w:rsidRPr="003A1EF6" w:rsidR="00206479" w:rsidP="00D713DC" w:rsidRDefault="00206479" w14:paraId="65F01412" w14:textId="4A211B0A">
      <w:pPr>
        <w:spacing w:after="0" w:line="360" w:lineRule="auto"/>
        <w:contextualSpacing/>
        <w:rPr>
          <w:rFonts w:eastAsia="Calibri" w:cs="Arial"/>
          <w:szCs w:val="18"/>
          <w:lang w:val="nl-NL"/>
        </w:rPr>
      </w:pPr>
      <w:r w:rsidRPr="003A1EF6">
        <w:rPr>
          <w:rFonts w:cs="Arial"/>
          <w:szCs w:val="18"/>
          <w:lang w:val="nl-NL"/>
        </w:rPr>
        <w:t xml:space="preserve">Tijdens de Ecofinraad </w:t>
      </w:r>
      <w:r w:rsidRPr="003A1EF6" w:rsidR="00A82864">
        <w:rPr>
          <w:rFonts w:cs="Arial"/>
          <w:szCs w:val="18"/>
          <w:lang w:val="nl-NL"/>
        </w:rPr>
        <w:t>zijn</w:t>
      </w:r>
      <w:r w:rsidRPr="003A1EF6">
        <w:rPr>
          <w:rFonts w:cs="Arial"/>
          <w:szCs w:val="18"/>
          <w:lang w:val="nl-NL"/>
        </w:rPr>
        <w:t xml:space="preserve"> Raadsconclusies </w:t>
      </w:r>
      <w:r w:rsidRPr="003A1EF6" w:rsidR="00A82864">
        <w:rPr>
          <w:rFonts w:cs="Arial"/>
          <w:szCs w:val="18"/>
          <w:lang w:val="nl-NL"/>
        </w:rPr>
        <w:t>aangenomen over de evaluatie van de Energiebelastingrichtlijn</w:t>
      </w:r>
      <w:r w:rsidRPr="003A1EF6">
        <w:rPr>
          <w:rFonts w:cs="Arial"/>
          <w:szCs w:val="18"/>
          <w:lang w:val="nl-NL"/>
        </w:rPr>
        <w:t>.</w:t>
      </w:r>
      <w:r w:rsidRPr="003A1EF6" w:rsidR="00D54457">
        <w:rPr>
          <w:rStyle w:val="Voetnootmarkering"/>
          <w:rFonts w:cs="Arial"/>
          <w:szCs w:val="18"/>
          <w:lang w:val="nl-NL"/>
        </w:rPr>
        <w:footnoteReference w:id="27"/>
      </w:r>
      <w:r w:rsidRPr="003A1EF6">
        <w:rPr>
          <w:rFonts w:cs="Arial"/>
          <w:szCs w:val="18"/>
          <w:lang w:val="nl-NL"/>
        </w:rPr>
        <w:t xml:space="preserve"> De Europese Commissie heeft begin september 2019 een verslag gepubliceerd met daarin de evaluatie van de Energiebelastingrichtlijn. </w:t>
      </w:r>
      <w:r w:rsidRPr="003A1EF6">
        <w:rPr>
          <w:szCs w:val="18"/>
          <w:lang w:val="nl-NL"/>
        </w:rPr>
        <w:t xml:space="preserve">In deze evaluatie geeft de Europese Commissie aan dat het tijd is om deze richtlijn aan te passen omdat deze niet langer in lijn is met ontwikkelingen op het gebied van technologie, de energiemarkten en de EU-wetgeving. </w:t>
      </w:r>
      <w:r w:rsidRPr="003A1EF6">
        <w:rPr>
          <w:rFonts w:cs="Arial"/>
          <w:szCs w:val="18"/>
          <w:lang w:val="nl-NL"/>
        </w:rPr>
        <w:t xml:space="preserve">De richtlijn stamt uit 2003 en regelt de belastingen op het verbruik van energieproducten en elektriciteit. </w:t>
      </w:r>
    </w:p>
    <w:p w:rsidRPr="003A1EF6" w:rsidR="00206479" w:rsidP="00D713DC" w:rsidRDefault="00206479" w14:paraId="463EDBB1" w14:textId="77777777">
      <w:pPr>
        <w:spacing w:after="0" w:line="360" w:lineRule="auto"/>
        <w:contextualSpacing/>
        <w:rPr>
          <w:rFonts w:cs="Arial"/>
          <w:szCs w:val="18"/>
          <w:lang w:val="nl-NL"/>
        </w:rPr>
      </w:pPr>
    </w:p>
    <w:p w:rsidRPr="003A1EF6" w:rsidR="00206479" w:rsidP="00D713DC" w:rsidRDefault="00206479" w14:paraId="747EF761" w14:textId="7E7D9F9A">
      <w:pPr>
        <w:spacing w:after="0" w:line="360" w:lineRule="auto"/>
        <w:contextualSpacing/>
        <w:rPr>
          <w:rFonts w:cs="Arial"/>
          <w:szCs w:val="18"/>
          <w:lang w:val="nl-NL"/>
        </w:rPr>
      </w:pPr>
      <w:r w:rsidRPr="003A1EF6">
        <w:rPr>
          <w:rFonts w:cs="Arial"/>
          <w:szCs w:val="18"/>
          <w:lang w:val="nl-NL"/>
        </w:rPr>
        <w:t xml:space="preserve">In de Raadsconclusies spreekt de Raad steun uit voor het </w:t>
      </w:r>
      <w:r w:rsidR="0099228A">
        <w:rPr>
          <w:rFonts w:cs="Arial"/>
          <w:szCs w:val="18"/>
          <w:lang w:val="nl-NL"/>
        </w:rPr>
        <w:t>actualiseren</w:t>
      </w:r>
      <w:r w:rsidRPr="003A1EF6">
        <w:rPr>
          <w:rFonts w:cs="Arial"/>
          <w:szCs w:val="18"/>
          <w:lang w:val="nl-NL"/>
        </w:rPr>
        <w:t xml:space="preserve"> van het wetgevend kader voor de belasting van energieproducten en elektriciteit. De Raad nodigt de Europese Commissie ook uit om, bij het opstellen van een voorstel voor de aanpassing van de Energiebelastingrichtlijn, in het bijzonder </w:t>
      </w:r>
      <w:r w:rsidRPr="003A1EF6">
        <w:rPr>
          <w:rFonts w:cs="Arial"/>
          <w:szCs w:val="18"/>
          <w:lang w:val="nl-NL"/>
        </w:rPr>
        <w:lastRenderedPageBreak/>
        <w:t>te kijken naar de reikwijdte van de richtlijn, minimumtarieven en bes</w:t>
      </w:r>
      <w:r w:rsidR="0099228A">
        <w:rPr>
          <w:rFonts w:cs="Arial"/>
          <w:szCs w:val="18"/>
          <w:lang w:val="nl-NL"/>
        </w:rPr>
        <w:t>taande belastingverlagingen en belasting</w:t>
      </w:r>
      <w:r w:rsidRPr="003A1EF6">
        <w:rPr>
          <w:rFonts w:cs="Arial"/>
          <w:szCs w:val="18"/>
          <w:lang w:val="nl-NL"/>
        </w:rPr>
        <w:t>vrijstellingen.</w:t>
      </w:r>
    </w:p>
    <w:p w:rsidRPr="003A1EF6" w:rsidR="00206479" w:rsidP="00D713DC" w:rsidRDefault="00206479" w14:paraId="456383D7" w14:textId="1F99AA28">
      <w:pPr>
        <w:spacing w:after="0" w:line="360" w:lineRule="auto"/>
        <w:contextualSpacing/>
        <w:rPr>
          <w:rFonts w:cs="Arial"/>
          <w:szCs w:val="18"/>
          <w:lang w:val="nl-NL"/>
        </w:rPr>
      </w:pPr>
    </w:p>
    <w:p w:rsidRPr="003A1EF6" w:rsidR="00CE3822" w:rsidP="00D713DC" w:rsidRDefault="00CE3822" w14:paraId="652191E7" w14:textId="5639368A">
      <w:pPr>
        <w:spacing w:after="0" w:line="360" w:lineRule="auto"/>
        <w:contextualSpacing/>
        <w:rPr>
          <w:szCs w:val="18"/>
          <w:lang w:val="nl-NL"/>
        </w:rPr>
      </w:pPr>
      <w:r w:rsidRPr="003A1EF6">
        <w:rPr>
          <w:szCs w:val="18"/>
          <w:lang w:val="nl-NL"/>
        </w:rPr>
        <w:t xml:space="preserve">Veel lidstaten benadrukten dat bij de herziening rekening moet worden gehouden met de gevolgen voor burgers en de concurrentiepositie van Europese bedrijven. </w:t>
      </w:r>
      <w:r w:rsidR="0099228A">
        <w:rPr>
          <w:szCs w:val="18"/>
          <w:lang w:val="nl-NL"/>
        </w:rPr>
        <w:t>Een aantal lidstaten benadrukte</w:t>
      </w:r>
      <w:r w:rsidRPr="003A1EF6">
        <w:rPr>
          <w:szCs w:val="18"/>
          <w:lang w:val="nl-NL"/>
        </w:rPr>
        <w:t xml:space="preserve"> dat laatste aspect vooral in het licht van lucht- en scheepvaart. Andere lidstaten, waaronder Nederland, vinden dat juist kritisch naar de bestaande vrijstelling voor brandstof in deze sectoren moet worden gekeken. De Europese Commissie benadrukte dat het </w:t>
      </w:r>
      <w:r w:rsidRPr="003A1EF6" w:rsidR="00F65E94">
        <w:rPr>
          <w:szCs w:val="18"/>
          <w:lang w:val="nl-NL"/>
        </w:rPr>
        <w:t>impact</w:t>
      </w:r>
      <w:r w:rsidRPr="003A1EF6">
        <w:rPr>
          <w:szCs w:val="18"/>
          <w:lang w:val="nl-NL"/>
        </w:rPr>
        <w:t>assessment dat binnenkort wordt gelanceerd een goed instrument is om te kijken naar de verschillende aspecten die werden benoemd.</w:t>
      </w:r>
    </w:p>
    <w:p w:rsidRPr="003A1EF6" w:rsidR="00206479" w:rsidP="00D713DC" w:rsidRDefault="00206479" w14:paraId="189CB365" w14:textId="77777777">
      <w:pPr>
        <w:spacing w:after="0" w:line="360" w:lineRule="auto"/>
        <w:contextualSpacing/>
        <w:rPr>
          <w:szCs w:val="18"/>
          <w:lang w:val="nl-NL"/>
        </w:rPr>
      </w:pPr>
    </w:p>
    <w:p w:rsidRPr="001B0F54" w:rsidR="001C6770" w:rsidP="001C6770" w:rsidRDefault="00206479" w14:paraId="68D9238E" w14:textId="3AC46582">
      <w:pPr>
        <w:spacing w:after="0" w:line="360" w:lineRule="auto"/>
        <w:contextualSpacing/>
        <w:rPr>
          <w:szCs w:val="18"/>
          <w:lang w:val="nl-NL" w:eastAsia="ja-JP"/>
        </w:rPr>
      </w:pPr>
      <w:r w:rsidRPr="003A1EF6">
        <w:rPr>
          <w:b/>
          <w:bCs/>
          <w:szCs w:val="18"/>
          <w:lang w:val="nl-NL" w:eastAsia="ja-JP"/>
        </w:rPr>
        <w:t>Europese financieringsarchitectuur voor ontwikkeling</w:t>
      </w:r>
      <w:r w:rsidRPr="003A1EF6">
        <w:rPr>
          <w:b/>
          <w:bCs/>
          <w:szCs w:val="18"/>
          <w:lang w:val="nl-NL" w:eastAsia="ko-KR"/>
        </w:rPr>
        <w:br/>
      </w:r>
      <w:r w:rsidRPr="001B0F54" w:rsidR="001C6770">
        <w:rPr>
          <w:szCs w:val="18"/>
          <w:lang w:val="nl-NL" w:eastAsia="ja-JP"/>
        </w:rPr>
        <w:t>De Ecofinraad heeft Raadsconclusies aangenomen</w:t>
      </w:r>
      <w:r w:rsidRPr="001B0F54" w:rsidR="001C6770">
        <w:rPr>
          <w:rStyle w:val="Voetnootmarkering"/>
          <w:szCs w:val="18"/>
          <w:lang w:val="nl-NL" w:eastAsia="ja-JP"/>
        </w:rPr>
        <w:footnoteReference w:id="28"/>
      </w:r>
      <w:r w:rsidRPr="001B0F54" w:rsidR="001C6770">
        <w:rPr>
          <w:szCs w:val="18"/>
          <w:lang w:val="nl-NL" w:eastAsia="ja-JP"/>
        </w:rPr>
        <w:t xml:space="preserve"> naar aanleiding van het rapport van de </w:t>
      </w:r>
      <w:proofErr w:type="spellStart"/>
      <w:r w:rsidRPr="001B0F54" w:rsidR="001C6770">
        <w:rPr>
          <w:i/>
          <w:szCs w:val="18"/>
          <w:lang w:val="nl-NL" w:eastAsia="ja-JP"/>
        </w:rPr>
        <w:t>Wise</w:t>
      </w:r>
      <w:proofErr w:type="spellEnd"/>
      <w:r w:rsidRPr="001B0F54" w:rsidR="001C6770">
        <w:rPr>
          <w:i/>
          <w:szCs w:val="18"/>
          <w:lang w:val="nl-NL" w:eastAsia="ja-JP"/>
        </w:rPr>
        <w:t xml:space="preserve"> Persons Group</w:t>
      </w:r>
      <w:r w:rsidRPr="001B0F54" w:rsidR="001C6770">
        <w:rPr>
          <w:szCs w:val="18"/>
          <w:lang w:val="nl-NL" w:eastAsia="ja-JP"/>
        </w:rPr>
        <w:t xml:space="preserve"> (WPG)</w:t>
      </w:r>
      <w:r w:rsidRPr="001B0F54" w:rsidR="001C6770">
        <w:rPr>
          <w:rStyle w:val="Voetnootmarkering"/>
          <w:szCs w:val="18"/>
          <w:lang w:eastAsia="ja-JP"/>
        </w:rPr>
        <w:footnoteReference w:id="29"/>
      </w:r>
      <w:r w:rsidRPr="001B0F54" w:rsidR="001C6770">
        <w:rPr>
          <w:szCs w:val="18"/>
          <w:lang w:val="nl-NL" w:eastAsia="ja-JP"/>
        </w:rPr>
        <w:t xml:space="preserve"> over de optimalisatie van de Europese financieringsarchitectuur voor ontwikkeling met speciale aandacht voor de rol van en samenwerking tussen de Europese Investeringsbank (EIB), de Europese Bank voor Wederopbouw en Ontwikkeling (EBRD), Europese nationale ontwikkelingsbanken (zoals FMO) en de Europese Commissie.</w:t>
      </w:r>
      <w:r w:rsidRPr="001B0F54" w:rsidR="001C6770">
        <w:rPr>
          <w:szCs w:val="18"/>
          <w:lang w:val="nl-NL" w:eastAsia="ko-KR"/>
        </w:rPr>
        <w:t xml:space="preserve"> In de Raadsconclusies wordt </w:t>
      </w:r>
      <w:r w:rsidR="0099228A">
        <w:rPr>
          <w:szCs w:val="18"/>
          <w:lang w:val="nl-NL" w:eastAsia="ko-KR"/>
        </w:rPr>
        <w:t>onderschreven</w:t>
      </w:r>
      <w:r w:rsidRPr="001B0F54" w:rsidR="001C6770">
        <w:rPr>
          <w:szCs w:val="18"/>
          <w:lang w:val="nl-NL" w:eastAsia="ko-KR"/>
        </w:rPr>
        <w:t xml:space="preserve"> dat er ruimte is voor verbetering van de Europese financiële architectuur voor ontwikkeling om deze flexibeler, meer geïntegreerd en strategischer te maken. Ook wordt benadrukt dat de diversiteit en verscheidenheid aan actoren een kracht is van de huidige institutionele inrichting, maar dat dit vraagt om een gepaste coördinatie en sturing vanuit de Europese Commissie en de lidstaten. </w:t>
      </w:r>
    </w:p>
    <w:p w:rsidRPr="001B0F54" w:rsidR="001C6770" w:rsidP="001C6770" w:rsidRDefault="001C6770" w14:paraId="6D35F485" w14:textId="77777777">
      <w:pPr>
        <w:spacing w:after="0" w:line="360" w:lineRule="auto"/>
        <w:contextualSpacing/>
        <w:rPr>
          <w:szCs w:val="18"/>
          <w:lang w:val="nl-NL" w:eastAsia="ja-JP"/>
        </w:rPr>
      </w:pPr>
    </w:p>
    <w:p w:rsidRPr="001B0F54" w:rsidR="001C6770" w:rsidP="001C6770" w:rsidRDefault="001C6770" w14:paraId="49F28EC6" w14:textId="77777777">
      <w:pPr>
        <w:spacing w:after="0" w:line="360" w:lineRule="auto"/>
        <w:contextualSpacing/>
        <w:rPr>
          <w:szCs w:val="18"/>
          <w:lang w:val="nl-NL" w:eastAsia="ko-KR"/>
        </w:rPr>
      </w:pPr>
      <w:r w:rsidRPr="001B0F54">
        <w:rPr>
          <w:szCs w:val="18"/>
          <w:lang w:val="nl-NL" w:eastAsia="ja-JP"/>
        </w:rPr>
        <w:t xml:space="preserve">De Raad verwelkomt het rapport als </w:t>
      </w:r>
      <w:r w:rsidRPr="001B0F54">
        <w:rPr>
          <w:szCs w:val="18"/>
          <w:lang w:val="nl-NL" w:eastAsia="ko-KR"/>
        </w:rPr>
        <w:t xml:space="preserve">een belangrijke bijdrage aan het debat over de inrichting van de Europese financieringsarchitectuur voor ontwikkeling. In de Raadsconclusies worden verschillende korte termijn aanbevelingen van het </w:t>
      </w:r>
      <w:proofErr w:type="gramStart"/>
      <w:r w:rsidRPr="001B0F54">
        <w:rPr>
          <w:szCs w:val="18"/>
          <w:lang w:val="nl-NL" w:eastAsia="ko-KR"/>
        </w:rPr>
        <w:t>WPG rapport</w:t>
      </w:r>
      <w:proofErr w:type="gramEnd"/>
      <w:r w:rsidRPr="001B0F54">
        <w:rPr>
          <w:szCs w:val="18"/>
          <w:lang w:val="nl-NL" w:eastAsia="ko-KR"/>
        </w:rPr>
        <w:t xml:space="preserve"> omarmd en concreter uitgewerkt. Zo wordt de strategische rol van de Raad, met name op het bereiken van ontwikkelingsdoelstellingen, versterkt. Ook wordt de Europese Commissie uitgenodigd om regelmatig de Europese ontwikkelingsfinancieringsinstellingen bijeen te brengen ten behoeve van een verdere harmonisering van strategieën en standaarden. Daarnaast nodigt de Raad de EIB, de EBRD, de Europese Commissie en de Europese dienst voor Extern Optreden (EDEO) uit om voor eind januari 2020 met voorstellen voor concrete verbeteringen van de onderlinge samenwerking te komen ten behoeve van ontwikkelingsimpact. </w:t>
      </w:r>
    </w:p>
    <w:p w:rsidRPr="001B0F54" w:rsidR="001C6770" w:rsidP="001C6770" w:rsidRDefault="001C6770" w14:paraId="795C1087" w14:textId="77777777">
      <w:pPr>
        <w:spacing w:after="0" w:line="360" w:lineRule="auto"/>
        <w:contextualSpacing/>
        <w:rPr>
          <w:szCs w:val="18"/>
          <w:lang w:val="nl-NL" w:eastAsia="ko-KR"/>
        </w:rPr>
      </w:pPr>
    </w:p>
    <w:p w:rsidR="001C6770" w:rsidP="001C6770" w:rsidRDefault="001C6770" w14:paraId="5BF2F9A3" w14:textId="2DB7442F">
      <w:pPr>
        <w:spacing w:after="0" w:line="360" w:lineRule="auto"/>
        <w:contextualSpacing/>
        <w:rPr>
          <w:rFonts w:cs="Arial"/>
          <w:lang w:val="nl-NL"/>
        </w:rPr>
      </w:pPr>
      <w:r w:rsidRPr="001B0F54">
        <w:rPr>
          <w:szCs w:val="18"/>
          <w:lang w:val="nl-NL" w:eastAsia="ja-JP"/>
        </w:rPr>
        <w:t xml:space="preserve">Wat betreft de langere termijn, concludeerde de </w:t>
      </w:r>
      <w:proofErr w:type="spellStart"/>
      <w:r w:rsidRPr="001B0F54">
        <w:rPr>
          <w:i/>
          <w:szCs w:val="18"/>
          <w:lang w:val="nl-NL" w:eastAsia="ja-JP"/>
        </w:rPr>
        <w:t>Wise</w:t>
      </w:r>
      <w:proofErr w:type="spellEnd"/>
      <w:r w:rsidRPr="001B0F54">
        <w:rPr>
          <w:i/>
          <w:szCs w:val="18"/>
          <w:lang w:val="nl-NL" w:eastAsia="ja-JP"/>
        </w:rPr>
        <w:t xml:space="preserve"> Persons</w:t>
      </w:r>
      <w:r w:rsidRPr="001B0F54">
        <w:rPr>
          <w:szCs w:val="18"/>
          <w:lang w:val="nl-NL" w:eastAsia="ja-JP"/>
        </w:rPr>
        <w:t xml:space="preserve"> dat het wenselijk zou zijn om </w:t>
      </w:r>
      <w:r w:rsidRPr="001B0F54">
        <w:rPr>
          <w:szCs w:val="18"/>
          <w:lang w:val="nl-NL"/>
        </w:rPr>
        <w:t xml:space="preserve">één EU-ontwikkelingsbank te creëren met </w:t>
      </w:r>
      <w:r w:rsidR="0099228A">
        <w:rPr>
          <w:szCs w:val="18"/>
          <w:lang w:val="nl-NL"/>
        </w:rPr>
        <w:t xml:space="preserve">als basis: </w:t>
      </w:r>
      <w:r w:rsidRPr="001B0F54">
        <w:rPr>
          <w:szCs w:val="18"/>
          <w:lang w:val="nl-NL"/>
        </w:rPr>
        <w:t>de EBRD (optie 1), een nieuwe instelling (optie 2) of de EIB (optie 3)</w:t>
      </w:r>
      <w:r w:rsidRPr="001B0F54">
        <w:rPr>
          <w:szCs w:val="18"/>
          <w:lang w:val="nl-NL" w:eastAsia="ja-JP"/>
        </w:rPr>
        <w:t xml:space="preserve">. De Raad onderschrijft het advies van het rapport dat verdere haalbaarheidsstudies </w:t>
      </w:r>
      <w:r w:rsidR="0099228A">
        <w:rPr>
          <w:szCs w:val="18"/>
          <w:lang w:val="nl-NL" w:eastAsia="ja-JP"/>
        </w:rPr>
        <w:t>nodig</w:t>
      </w:r>
      <w:r w:rsidRPr="001B0F54">
        <w:rPr>
          <w:szCs w:val="18"/>
          <w:lang w:val="nl-NL" w:eastAsia="ja-JP"/>
        </w:rPr>
        <w:t xml:space="preserve"> zijn om een positie over de voorgelegde opties, waaronder ook een verbetering van de huidige </w:t>
      </w:r>
      <w:r w:rsidRPr="001B0F54">
        <w:rPr>
          <w:szCs w:val="18"/>
          <w:lang w:val="nl-NL" w:eastAsia="ja-JP"/>
        </w:rPr>
        <w:lastRenderedPageBreak/>
        <w:t xml:space="preserve">institutionele inrichting, te kunnen bepalen. Daarom verzoekt </w:t>
      </w:r>
      <w:r w:rsidRPr="001B0F54">
        <w:rPr>
          <w:szCs w:val="18"/>
          <w:lang w:val="nl-NL" w:eastAsia="ko-KR"/>
        </w:rPr>
        <w:t xml:space="preserve">de Raad de voorbereidende instanties van de Raad om, op basis van een voorstel van de Europese Commissie, de </w:t>
      </w:r>
      <w:proofErr w:type="spellStart"/>
      <w:r w:rsidRPr="001B0F54">
        <w:rPr>
          <w:i/>
          <w:szCs w:val="18"/>
          <w:lang w:val="nl-NL" w:eastAsia="ko-KR"/>
        </w:rPr>
        <w:t>terms</w:t>
      </w:r>
      <w:proofErr w:type="spellEnd"/>
      <w:r w:rsidRPr="001B0F54">
        <w:rPr>
          <w:i/>
          <w:szCs w:val="18"/>
          <w:lang w:val="nl-NL" w:eastAsia="ko-KR"/>
        </w:rPr>
        <w:t xml:space="preserve"> of </w:t>
      </w:r>
      <w:proofErr w:type="spellStart"/>
      <w:r w:rsidRPr="001B0F54">
        <w:rPr>
          <w:i/>
          <w:szCs w:val="18"/>
          <w:lang w:val="nl-NL" w:eastAsia="ko-KR"/>
        </w:rPr>
        <w:t>reference</w:t>
      </w:r>
      <w:proofErr w:type="spellEnd"/>
      <w:r w:rsidRPr="001B0F54">
        <w:rPr>
          <w:szCs w:val="18"/>
          <w:lang w:val="nl-NL" w:eastAsia="ko-KR"/>
        </w:rPr>
        <w:t xml:space="preserve"> (</w:t>
      </w:r>
      <w:proofErr w:type="spellStart"/>
      <w:r w:rsidRPr="001B0F54">
        <w:rPr>
          <w:szCs w:val="18"/>
          <w:lang w:val="nl-NL" w:eastAsia="ko-KR"/>
        </w:rPr>
        <w:t>ToR</w:t>
      </w:r>
      <w:proofErr w:type="spellEnd"/>
      <w:r w:rsidRPr="001B0F54">
        <w:rPr>
          <w:szCs w:val="18"/>
          <w:lang w:val="nl-NL" w:eastAsia="ko-KR"/>
        </w:rPr>
        <w:t xml:space="preserve">) voor een verdere studie door een onafhankelijke partij voor te bereiden. </w:t>
      </w:r>
      <w:r w:rsidRPr="001B0F54">
        <w:rPr>
          <w:rFonts w:cs="Arial"/>
          <w:lang w:val="nl-NL"/>
        </w:rPr>
        <w:t xml:space="preserve">De </w:t>
      </w:r>
      <w:proofErr w:type="spellStart"/>
      <w:r w:rsidRPr="001B0F54">
        <w:rPr>
          <w:rFonts w:cs="Arial"/>
          <w:lang w:val="nl-NL"/>
        </w:rPr>
        <w:t>ToR</w:t>
      </w:r>
      <w:proofErr w:type="spellEnd"/>
      <w:r w:rsidRPr="001B0F54">
        <w:rPr>
          <w:rFonts w:cs="Arial"/>
          <w:lang w:val="nl-NL"/>
        </w:rPr>
        <w:t xml:space="preserve"> zal in het voorjaar van 2020 ter goedkeuring naar de Raad worden gebracht en de uitkomsten van de studie zullen in het najaar van 2020 worden gedeeld met de Raad.</w:t>
      </w:r>
    </w:p>
    <w:p w:rsidRPr="003A1EF6" w:rsidR="00206479" w:rsidP="001C6770" w:rsidRDefault="00206479" w14:paraId="59A1AC96" w14:textId="6A480AF4">
      <w:pPr>
        <w:spacing w:after="0" w:line="360" w:lineRule="auto"/>
        <w:contextualSpacing/>
        <w:rPr>
          <w:szCs w:val="18"/>
          <w:lang w:val="nl-NL"/>
        </w:rPr>
      </w:pPr>
    </w:p>
    <w:p w:rsidRPr="003A1EF6" w:rsidR="00206479" w:rsidP="00D713DC" w:rsidRDefault="00206479" w14:paraId="14926AA8" w14:textId="4517516E">
      <w:pPr>
        <w:spacing w:after="0" w:line="360" w:lineRule="auto"/>
        <w:contextualSpacing/>
        <w:rPr>
          <w:b/>
          <w:bCs/>
          <w:szCs w:val="18"/>
          <w:lang w:val="nl-NL"/>
        </w:rPr>
      </w:pPr>
      <w:r w:rsidRPr="003A1EF6">
        <w:rPr>
          <w:b/>
          <w:szCs w:val="18"/>
          <w:lang w:val="nl-NL"/>
        </w:rPr>
        <w:t>Werkplan klimaatactie</w:t>
      </w:r>
    </w:p>
    <w:p w:rsidRPr="003A1EF6" w:rsidR="001709AF" w:rsidP="00D713DC" w:rsidRDefault="00442CD4" w14:paraId="70D318D3" w14:textId="6ABF9158">
      <w:pPr>
        <w:spacing w:after="0" w:line="360" w:lineRule="auto"/>
        <w:contextualSpacing/>
        <w:rPr>
          <w:rFonts w:cs="Arial"/>
          <w:szCs w:val="18"/>
          <w:lang w:val="nl-NL"/>
        </w:rPr>
      </w:pPr>
      <w:r w:rsidRPr="003A1EF6">
        <w:rPr>
          <w:szCs w:val="18"/>
          <w:lang w:val="nl-NL"/>
        </w:rPr>
        <w:t>De Ecofinraad heeft</w:t>
      </w:r>
      <w:r w:rsidRPr="003A1EF6" w:rsidR="00206479">
        <w:rPr>
          <w:szCs w:val="18"/>
          <w:lang w:val="nl-NL"/>
        </w:rPr>
        <w:t xml:space="preserve"> een werkplan op klimaatactie </w:t>
      </w:r>
      <w:r w:rsidRPr="003A1EF6">
        <w:rPr>
          <w:szCs w:val="18"/>
          <w:lang w:val="nl-NL"/>
        </w:rPr>
        <w:t>goedgekeurd met</w:t>
      </w:r>
      <w:r w:rsidRPr="003A1EF6" w:rsidR="00206479">
        <w:rPr>
          <w:szCs w:val="18"/>
          <w:lang w:val="nl-NL"/>
        </w:rPr>
        <w:t xml:space="preserve"> voorstellen om </w:t>
      </w:r>
      <w:r w:rsidRPr="003A1EF6">
        <w:rPr>
          <w:szCs w:val="18"/>
          <w:lang w:val="nl-NL"/>
        </w:rPr>
        <w:t xml:space="preserve">binnen de Ecofinraad </w:t>
      </w:r>
      <w:r w:rsidRPr="003A1EF6" w:rsidR="00206479">
        <w:rPr>
          <w:szCs w:val="18"/>
          <w:lang w:val="nl-NL"/>
        </w:rPr>
        <w:t>reguliere discussies</w:t>
      </w:r>
      <w:r w:rsidRPr="003A1EF6">
        <w:rPr>
          <w:szCs w:val="18"/>
          <w:lang w:val="nl-NL"/>
        </w:rPr>
        <w:t xml:space="preserve"> te voeren, </w:t>
      </w:r>
      <w:r w:rsidRPr="003A1EF6" w:rsidR="00206479">
        <w:rPr>
          <w:i/>
          <w:szCs w:val="18"/>
          <w:lang w:val="nl-NL"/>
        </w:rPr>
        <w:t xml:space="preserve">best </w:t>
      </w:r>
      <w:proofErr w:type="spellStart"/>
      <w:r w:rsidRPr="003A1EF6" w:rsidR="00206479">
        <w:rPr>
          <w:i/>
          <w:szCs w:val="18"/>
          <w:lang w:val="nl-NL"/>
        </w:rPr>
        <w:t>practices</w:t>
      </w:r>
      <w:proofErr w:type="spellEnd"/>
      <w:r w:rsidRPr="003A1EF6" w:rsidR="00206479">
        <w:rPr>
          <w:szCs w:val="18"/>
          <w:lang w:val="nl-NL"/>
        </w:rPr>
        <w:t xml:space="preserve"> te delen en de impact en rol van verschillende beleidsmaatregelen omtrent klimaatactie te analyseren.</w:t>
      </w:r>
      <w:r w:rsidRPr="003A1EF6" w:rsidR="001709AF">
        <w:rPr>
          <w:rStyle w:val="Voetnootmarkering"/>
          <w:szCs w:val="18"/>
          <w:lang w:val="nl-NL"/>
        </w:rPr>
        <w:footnoteReference w:id="30"/>
      </w:r>
      <w:r w:rsidRPr="003A1EF6" w:rsidR="00206479">
        <w:rPr>
          <w:szCs w:val="18"/>
          <w:lang w:val="nl-NL"/>
        </w:rPr>
        <w:t xml:space="preserve"> </w:t>
      </w:r>
      <w:r w:rsidRPr="003A1EF6" w:rsidR="00206479">
        <w:rPr>
          <w:rFonts w:cs="Arial"/>
          <w:szCs w:val="18"/>
          <w:lang w:val="nl-NL"/>
        </w:rPr>
        <w:t xml:space="preserve">Voorbeelden van relevante onderwerpen zijn duurzame financiering, </w:t>
      </w:r>
      <w:r w:rsidRPr="003A1EF6" w:rsidR="00206479">
        <w:rPr>
          <w:rFonts w:cs="Arial"/>
          <w:i/>
          <w:szCs w:val="18"/>
          <w:lang w:val="nl-NL"/>
        </w:rPr>
        <w:t>carbon pricing</w:t>
      </w:r>
      <w:r w:rsidRPr="003A1EF6" w:rsidR="00206479">
        <w:rPr>
          <w:rFonts w:cs="Arial"/>
          <w:szCs w:val="18"/>
          <w:lang w:val="nl-NL"/>
        </w:rPr>
        <w:t xml:space="preserve">, </w:t>
      </w:r>
      <w:r w:rsidRPr="003A1EF6" w:rsidR="00206479">
        <w:rPr>
          <w:rFonts w:cs="Arial"/>
          <w:i/>
          <w:szCs w:val="18"/>
          <w:lang w:val="nl-NL"/>
        </w:rPr>
        <w:t xml:space="preserve">green </w:t>
      </w:r>
      <w:proofErr w:type="spellStart"/>
      <w:r w:rsidRPr="003A1EF6" w:rsidR="00206479">
        <w:rPr>
          <w:rFonts w:cs="Arial"/>
          <w:i/>
          <w:szCs w:val="18"/>
          <w:lang w:val="nl-NL"/>
        </w:rPr>
        <w:t>budgeting</w:t>
      </w:r>
      <w:proofErr w:type="spellEnd"/>
      <w:r w:rsidRPr="003A1EF6" w:rsidR="00206479">
        <w:rPr>
          <w:rFonts w:cs="Arial"/>
          <w:szCs w:val="18"/>
          <w:lang w:val="nl-NL"/>
        </w:rPr>
        <w:t xml:space="preserve"> en de </w:t>
      </w:r>
      <w:r w:rsidRPr="003A1EF6" w:rsidR="00206479">
        <w:rPr>
          <w:rFonts w:cs="Arial"/>
          <w:i/>
          <w:szCs w:val="18"/>
          <w:lang w:val="nl-NL"/>
        </w:rPr>
        <w:t>European Green Deal</w:t>
      </w:r>
      <w:r w:rsidRPr="003A1EF6" w:rsidR="00206479">
        <w:rPr>
          <w:rFonts w:cs="Arial"/>
          <w:szCs w:val="18"/>
          <w:lang w:val="nl-NL"/>
        </w:rPr>
        <w:t xml:space="preserve">. </w:t>
      </w:r>
      <w:r w:rsidRPr="003A1EF6" w:rsidR="001709AF">
        <w:rPr>
          <w:szCs w:val="18"/>
          <w:lang w:val="nl-NL"/>
        </w:rPr>
        <w:t>Er was brede steun onder de lidstaten voor het belang van betrokkenheid van ministers van Financiën bij klimaatactie en om specifieke onderwerpen te agenderen met een duidelijk doel.</w:t>
      </w:r>
    </w:p>
    <w:p w:rsidRPr="003A1EF6" w:rsidR="00206479" w:rsidP="00D713DC" w:rsidRDefault="00206479" w14:paraId="466F9959" w14:textId="03776625">
      <w:pPr>
        <w:spacing w:after="0" w:line="360" w:lineRule="auto"/>
        <w:contextualSpacing/>
        <w:rPr>
          <w:szCs w:val="18"/>
          <w:lang w:val="nl-NL"/>
        </w:rPr>
      </w:pPr>
    </w:p>
    <w:p w:rsidRPr="003A1EF6" w:rsidR="00442CD4" w:rsidP="00D713DC" w:rsidRDefault="00442CD4" w14:paraId="7E05D293" w14:textId="77777777">
      <w:pPr>
        <w:spacing w:after="0" w:line="360" w:lineRule="auto"/>
        <w:contextualSpacing/>
        <w:rPr>
          <w:b/>
          <w:bCs/>
          <w:szCs w:val="18"/>
          <w:lang w:val="nl-NL"/>
        </w:rPr>
      </w:pPr>
      <w:proofErr w:type="spellStart"/>
      <w:r w:rsidRPr="003A1EF6">
        <w:rPr>
          <w:b/>
          <w:bCs/>
          <w:szCs w:val="18"/>
          <w:lang w:val="nl-NL"/>
        </w:rPr>
        <w:t>Stablecoins</w:t>
      </w:r>
      <w:proofErr w:type="spellEnd"/>
    </w:p>
    <w:p w:rsidRPr="003A1EF6" w:rsidR="005D79AB" w:rsidP="00D713DC" w:rsidRDefault="00442CD4" w14:paraId="5E198B33" w14:textId="40F697A5">
      <w:pPr>
        <w:spacing w:after="0" w:line="360" w:lineRule="auto"/>
        <w:contextualSpacing/>
        <w:rPr>
          <w:szCs w:val="18"/>
          <w:lang w:val="nl-NL"/>
        </w:rPr>
      </w:pPr>
      <w:r w:rsidRPr="003A1EF6">
        <w:rPr>
          <w:szCs w:val="18"/>
          <w:lang w:val="nl-NL"/>
        </w:rPr>
        <w:t xml:space="preserve">De Ecofinraad </w:t>
      </w:r>
      <w:r w:rsidRPr="003A1EF6" w:rsidR="00176054">
        <w:rPr>
          <w:szCs w:val="18"/>
          <w:lang w:val="nl-NL"/>
        </w:rPr>
        <w:t>heeft</w:t>
      </w:r>
      <w:r w:rsidRPr="003A1EF6">
        <w:rPr>
          <w:szCs w:val="18"/>
          <w:lang w:val="nl-NL"/>
        </w:rPr>
        <w:t xml:space="preserve"> een gezamenlijke verklaring </w:t>
      </w:r>
      <w:r w:rsidRPr="003A1EF6" w:rsidR="00176054">
        <w:rPr>
          <w:szCs w:val="18"/>
          <w:lang w:val="nl-NL"/>
        </w:rPr>
        <w:t>aangenomen</w:t>
      </w:r>
      <w:r w:rsidRPr="003A1EF6">
        <w:rPr>
          <w:szCs w:val="18"/>
          <w:lang w:val="nl-NL"/>
        </w:rPr>
        <w:t xml:space="preserve"> over zogenaamde </w:t>
      </w:r>
      <w:proofErr w:type="spellStart"/>
      <w:r w:rsidRPr="003A1EF6">
        <w:rPr>
          <w:i/>
          <w:szCs w:val="18"/>
          <w:lang w:val="nl-NL"/>
        </w:rPr>
        <w:t>stablecoins</w:t>
      </w:r>
      <w:proofErr w:type="spellEnd"/>
      <w:r w:rsidRPr="003A1EF6" w:rsidR="00176054">
        <w:rPr>
          <w:szCs w:val="18"/>
          <w:lang w:val="nl-NL"/>
        </w:rPr>
        <w:t>.</w:t>
      </w:r>
      <w:r w:rsidRPr="003A1EF6" w:rsidR="00176054">
        <w:rPr>
          <w:rStyle w:val="Voetnootmarkering"/>
          <w:szCs w:val="18"/>
          <w:lang w:val="nl-NL"/>
        </w:rPr>
        <w:footnoteReference w:id="31"/>
      </w:r>
      <w:r w:rsidRPr="003A1EF6">
        <w:rPr>
          <w:szCs w:val="18"/>
          <w:lang w:val="nl-NL"/>
        </w:rPr>
        <w:t xml:space="preserve"> De verklaring is in lijn met de Nederlandse positie ten aanzien van deze </w:t>
      </w:r>
      <w:proofErr w:type="spellStart"/>
      <w:r w:rsidRPr="003A1EF6">
        <w:rPr>
          <w:i/>
          <w:szCs w:val="18"/>
          <w:lang w:val="nl-NL"/>
        </w:rPr>
        <w:t>stablecoins</w:t>
      </w:r>
      <w:proofErr w:type="spellEnd"/>
      <w:r w:rsidRPr="003A1EF6">
        <w:rPr>
          <w:szCs w:val="18"/>
          <w:lang w:val="nl-NL"/>
        </w:rPr>
        <w:t xml:space="preserve">, namelijk dat de risico’s die (voorstellen voor) </w:t>
      </w:r>
      <w:proofErr w:type="spellStart"/>
      <w:r w:rsidRPr="003A1EF6">
        <w:rPr>
          <w:i/>
          <w:szCs w:val="18"/>
          <w:lang w:val="nl-NL"/>
        </w:rPr>
        <w:t>stablecoins</w:t>
      </w:r>
      <w:proofErr w:type="spellEnd"/>
      <w:r w:rsidRPr="003A1EF6">
        <w:rPr>
          <w:szCs w:val="18"/>
          <w:lang w:val="nl-NL"/>
        </w:rPr>
        <w:t xml:space="preserve"> met zich meebrengen in voldoende mate moeten zijn gemitigeerd, en dat wet- en regelgeving in voldoende mate geschikt moet zijn gemaakt om dergelijke initiatieven te kunnen reguleren, voordat </w:t>
      </w:r>
      <w:proofErr w:type="spellStart"/>
      <w:r w:rsidRPr="003A1EF6">
        <w:rPr>
          <w:i/>
          <w:szCs w:val="18"/>
          <w:lang w:val="nl-NL"/>
        </w:rPr>
        <w:t>stablecoins</w:t>
      </w:r>
      <w:proofErr w:type="spellEnd"/>
      <w:r w:rsidRPr="003A1EF6">
        <w:rPr>
          <w:szCs w:val="18"/>
          <w:lang w:val="nl-NL"/>
        </w:rPr>
        <w:t xml:space="preserve"> in de EU aangeboden mogen worden. Om deze reden is nauwe samenwerking op EU-niveau van groot belang.</w:t>
      </w:r>
    </w:p>
    <w:p w:rsidRPr="003A1EF6" w:rsidR="000E2FBB" w:rsidP="00D713DC" w:rsidRDefault="000E2FBB" w14:paraId="29EA20FC" w14:textId="0500CDD5">
      <w:pPr>
        <w:spacing w:after="0" w:line="360" w:lineRule="auto"/>
        <w:contextualSpacing/>
        <w:rPr>
          <w:szCs w:val="18"/>
          <w:lang w:val="nl-NL"/>
        </w:rPr>
      </w:pPr>
    </w:p>
    <w:p w:rsidRPr="003A1EF6" w:rsidR="005D79AB" w:rsidP="00D713DC" w:rsidRDefault="005D79AB" w14:paraId="14FE0EC1" w14:textId="77777777">
      <w:pPr>
        <w:spacing w:after="0" w:line="360" w:lineRule="auto"/>
        <w:contextualSpacing/>
        <w:rPr>
          <w:b/>
          <w:color w:val="1F497D"/>
          <w:szCs w:val="18"/>
          <w:lang w:val="nl-NL"/>
        </w:rPr>
      </w:pPr>
      <w:r w:rsidRPr="003A1EF6">
        <w:rPr>
          <w:b/>
          <w:szCs w:val="18"/>
          <w:lang w:val="nl-NL"/>
        </w:rPr>
        <w:t>Prioriteiten ten aanzien van het voorkomen van witwassen en financieren van terrorisme</w:t>
      </w:r>
    </w:p>
    <w:p w:rsidRPr="003A1EF6" w:rsidR="00C91F41" w:rsidP="00D713DC" w:rsidRDefault="005D79AB" w14:paraId="05E0C843" w14:textId="42115378">
      <w:pPr>
        <w:pStyle w:val="Plattetekst"/>
        <w:spacing w:after="0" w:line="360" w:lineRule="auto"/>
        <w:contextualSpacing/>
        <w:rPr>
          <w:rFonts w:ascii="Verdana" w:hAnsi="Verdana" w:cs="Arial"/>
          <w:sz w:val="18"/>
          <w:szCs w:val="18"/>
        </w:rPr>
      </w:pPr>
      <w:r w:rsidRPr="003A1EF6">
        <w:rPr>
          <w:rFonts w:ascii="Verdana" w:hAnsi="Verdana" w:eastAsia="Calibri" w:cs="Arial"/>
          <w:bCs/>
          <w:sz w:val="18"/>
          <w:szCs w:val="18"/>
        </w:rPr>
        <w:t xml:space="preserve">In de Ecofinraad </w:t>
      </w:r>
      <w:r w:rsidRPr="003A1EF6" w:rsidR="007A39D5">
        <w:rPr>
          <w:rFonts w:ascii="Verdana" w:hAnsi="Verdana" w:eastAsia="Calibri" w:cs="Arial"/>
          <w:bCs/>
          <w:sz w:val="18"/>
          <w:szCs w:val="18"/>
        </w:rPr>
        <w:t xml:space="preserve">zijn </w:t>
      </w:r>
      <w:r w:rsidRPr="003A1EF6">
        <w:rPr>
          <w:rFonts w:ascii="Verdana" w:hAnsi="Verdana" w:eastAsia="Calibri" w:cs="Arial"/>
          <w:bCs/>
          <w:sz w:val="18"/>
          <w:szCs w:val="18"/>
        </w:rPr>
        <w:t xml:space="preserve">Raadsconclusies </w:t>
      </w:r>
      <w:r w:rsidRPr="003A1EF6" w:rsidR="00C91F41">
        <w:rPr>
          <w:rFonts w:ascii="Verdana" w:hAnsi="Verdana" w:eastAsia="Calibri" w:cs="Arial"/>
          <w:bCs/>
          <w:sz w:val="18"/>
          <w:szCs w:val="18"/>
        </w:rPr>
        <w:t xml:space="preserve">aangenomen </w:t>
      </w:r>
      <w:r w:rsidRPr="003A1EF6">
        <w:rPr>
          <w:rFonts w:ascii="Verdana" w:hAnsi="Verdana" w:eastAsia="Calibri" w:cs="Arial"/>
          <w:bCs/>
          <w:sz w:val="18"/>
          <w:szCs w:val="18"/>
        </w:rPr>
        <w:t xml:space="preserve">ten aanzien van </w:t>
      </w:r>
      <w:r w:rsidRPr="003A1EF6">
        <w:rPr>
          <w:rFonts w:ascii="Verdana" w:hAnsi="Verdana" w:cs="Arial"/>
          <w:sz w:val="18"/>
          <w:szCs w:val="18"/>
        </w:rPr>
        <w:t>het voorkomen van witwassen en financieren van terrorisme.</w:t>
      </w:r>
      <w:r w:rsidRPr="003A1EF6" w:rsidR="00C91F41">
        <w:rPr>
          <w:rStyle w:val="Voetnootmarkering"/>
          <w:rFonts w:ascii="Verdana" w:hAnsi="Verdana" w:cs="Arial"/>
          <w:sz w:val="18"/>
          <w:szCs w:val="18"/>
        </w:rPr>
        <w:footnoteReference w:id="32"/>
      </w:r>
      <w:r w:rsidRPr="003A1EF6" w:rsidR="00C91F41">
        <w:rPr>
          <w:rFonts w:ascii="Verdana" w:hAnsi="Verdana" w:cs="Arial"/>
          <w:sz w:val="18"/>
          <w:szCs w:val="18"/>
        </w:rPr>
        <w:t xml:space="preserve"> De Raad verzoekt</w:t>
      </w:r>
      <w:r w:rsidR="0099228A">
        <w:rPr>
          <w:rFonts w:ascii="Verdana" w:hAnsi="Verdana" w:cs="Arial"/>
          <w:sz w:val="18"/>
          <w:szCs w:val="18"/>
        </w:rPr>
        <w:t xml:space="preserve"> de Europese Commissie mogelijk</w:t>
      </w:r>
      <w:r w:rsidRPr="003A1EF6" w:rsidR="00C91F41">
        <w:rPr>
          <w:rFonts w:ascii="Verdana" w:hAnsi="Verdana" w:cs="Arial"/>
          <w:sz w:val="18"/>
          <w:szCs w:val="18"/>
        </w:rPr>
        <w:t xml:space="preserve"> nieuwe maatregelen te verkennen om de bestaande regelgeving te versterken. </w:t>
      </w:r>
    </w:p>
    <w:p w:rsidRPr="003A1EF6" w:rsidR="001C6770" w:rsidP="00D713DC" w:rsidRDefault="001C6770" w14:paraId="4CEFC8FA" w14:textId="1C69EF5C">
      <w:pPr>
        <w:pStyle w:val="Plattetekst"/>
        <w:spacing w:after="0" w:line="360" w:lineRule="auto"/>
        <w:contextualSpacing/>
        <w:rPr>
          <w:rFonts w:ascii="Verdana" w:hAnsi="Verdana" w:cs="Arial"/>
          <w:sz w:val="18"/>
          <w:szCs w:val="18"/>
        </w:rPr>
      </w:pPr>
    </w:p>
    <w:p w:rsidRPr="003A1EF6" w:rsidR="00C91F41" w:rsidP="00D713DC" w:rsidRDefault="00C91F41" w14:paraId="24B9DD66" w14:textId="1F294780">
      <w:pPr>
        <w:pStyle w:val="Plattetekst"/>
        <w:spacing w:after="0" w:line="360" w:lineRule="auto"/>
        <w:contextualSpacing/>
        <w:rPr>
          <w:rFonts w:ascii="Verdana" w:hAnsi="Verdana" w:cs="Arial"/>
          <w:sz w:val="18"/>
          <w:szCs w:val="18"/>
        </w:rPr>
      </w:pPr>
      <w:r w:rsidRPr="001B0F54">
        <w:rPr>
          <w:rFonts w:ascii="Verdana" w:hAnsi="Verdana" w:cs="Arial"/>
          <w:sz w:val="18"/>
          <w:szCs w:val="18"/>
        </w:rPr>
        <w:t xml:space="preserve">In de Raadsconclusies staat dat met name gekeken zou moeten worden naar: (i) hoe er kan worden gezorgd voor een doeltreffendere samenwerking tussen de autoriteiten met bevoegdheid voor de bestrijding van </w:t>
      </w:r>
      <w:r w:rsidRPr="001B0F54" w:rsidR="001C6770">
        <w:rPr>
          <w:rFonts w:ascii="Verdana" w:hAnsi="Verdana" w:cs="Arial"/>
          <w:sz w:val="18"/>
          <w:szCs w:val="18"/>
        </w:rPr>
        <w:t>witwassen</w:t>
      </w:r>
      <w:r w:rsidRPr="001B0F54">
        <w:rPr>
          <w:rFonts w:ascii="Verdana" w:hAnsi="Verdana" w:cs="Arial"/>
          <w:sz w:val="18"/>
          <w:szCs w:val="18"/>
        </w:rPr>
        <w:t xml:space="preserve"> en terrorismefinanciering, onder meer door belemmeringen voor de onderlinge informatie-uitwisseling weg te nemen; (ii) of bepaalde aspecten beter kunnen worden geregeld in een verordening</w:t>
      </w:r>
      <w:r w:rsidRPr="001B0F54" w:rsidR="001C6770">
        <w:rPr>
          <w:rFonts w:ascii="Verdana" w:hAnsi="Verdana" w:cs="Arial"/>
          <w:sz w:val="18"/>
          <w:szCs w:val="18"/>
        </w:rPr>
        <w:t xml:space="preserve"> dan in een richtlijn</w:t>
      </w:r>
      <w:r w:rsidRPr="001B0F54">
        <w:rPr>
          <w:rFonts w:ascii="Verdana" w:hAnsi="Verdana" w:cs="Arial"/>
          <w:sz w:val="18"/>
          <w:szCs w:val="18"/>
        </w:rPr>
        <w:t>; (iii) welke mogelijkheden, voordelen en nadelen er verbonden zijn aan het verlenen van bepaalde toezichttaken en -bevoegdheden aan een EU-</w:t>
      </w:r>
      <w:r w:rsidRPr="001B0F54" w:rsidR="001C6770">
        <w:rPr>
          <w:rFonts w:ascii="Verdana" w:hAnsi="Verdana" w:cs="Arial"/>
          <w:sz w:val="18"/>
          <w:szCs w:val="18"/>
        </w:rPr>
        <w:t xml:space="preserve">instantie die onafhankelijk is en die direct </w:t>
      </w:r>
      <w:proofErr w:type="spellStart"/>
      <w:r w:rsidRPr="001B0F54" w:rsidR="001C6770">
        <w:rPr>
          <w:rFonts w:ascii="Verdana" w:hAnsi="Verdana" w:cs="Arial"/>
          <w:sz w:val="18"/>
          <w:szCs w:val="18"/>
        </w:rPr>
        <w:t>risicogebaseerd</w:t>
      </w:r>
      <w:proofErr w:type="spellEnd"/>
      <w:r w:rsidRPr="001B0F54" w:rsidR="001C6770">
        <w:rPr>
          <w:rFonts w:ascii="Verdana" w:hAnsi="Verdana" w:cs="Arial"/>
          <w:sz w:val="18"/>
          <w:szCs w:val="18"/>
        </w:rPr>
        <w:t xml:space="preserve"> toezicht houdt.</w:t>
      </w:r>
    </w:p>
    <w:p w:rsidRPr="003A1EF6" w:rsidR="00C91F41" w:rsidP="00D713DC" w:rsidRDefault="00C91F41" w14:paraId="11013396" w14:textId="77777777">
      <w:pPr>
        <w:pStyle w:val="Plattetekst"/>
        <w:spacing w:after="0" w:line="360" w:lineRule="auto"/>
        <w:contextualSpacing/>
        <w:rPr>
          <w:rFonts w:ascii="Verdana" w:hAnsi="Verdana" w:cs="Arial"/>
          <w:sz w:val="18"/>
          <w:szCs w:val="18"/>
        </w:rPr>
      </w:pPr>
    </w:p>
    <w:p w:rsidRPr="003A1EF6" w:rsidR="00C91F41" w:rsidP="00D713DC" w:rsidRDefault="00C91F41" w14:paraId="1DB2D60C" w14:textId="1D0D0332">
      <w:pPr>
        <w:pStyle w:val="Plattetekst"/>
        <w:spacing w:after="0" w:line="360" w:lineRule="auto"/>
        <w:contextualSpacing/>
        <w:rPr>
          <w:rFonts w:ascii="Verdana" w:hAnsi="Verdana" w:cs="Arial"/>
          <w:sz w:val="18"/>
          <w:szCs w:val="18"/>
        </w:rPr>
      </w:pPr>
      <w:r w:rsidRPr="003A1EF6">
        <w:rPr>
          <w:rFonts w:ascii="Verdana" w:hAnsi="Verdana" w:cs="Arial"/>
          <w:sz w:val="18"/>
          <w:szCs w:val="18"/>
        </w:rPr>
        <w:lastRenderedPageBreak/>
        <w:t>H</w:t>
      </w:r>
      <w:r w:rsidRPr="003A1EF6" w:rsidR="005D79AB">
        <w:rPr>
          <w:rFonts w:ascii="Verdana" w:hAnsi="Verdana" w:cs="Arial"/>
          <w:sz w:val="18"/>
          <w:szCs w:val="18"/>
        </w:rPr>
        <w:t xml:space="preserve">et beter voorkomen van witwassen en terrorismefinanciering </w:t>
      </w:r>
      <w:r w:rsidRPr="003A1EF6">
        <w:rPr>
          <w:rFonts w:ascii="Verdana" w:hAnsi="Verdana" w:cs="Arial"/>
          <w:sz w:val="18"/>
          <w:szCs w:val="18"/>
        </w:rPr>
        <w:t xml:space="preserve">is </w:t>
      </w:r>
      <w:proofErr w:type="gramStart"/>
      <w:r w:rsidRPr="003A1EF6">
        <w:rPr>
          <w:rFonts w:ascii="Verdana" w:hAnsi="Verdana" w:cs="Arial"/>
          <w:sz w:val="18"/>
          <w:szCs w:val="18"/>
        </w:rPr>
        <w:t>één</w:t>
      </w:r>
      <w:proofErr w:type="gramEnd"/>
      <w:r w:rsidRPr="003A1EF6">
        <w:rPr>
          <w:rFonts w:ascii="Verdana" w:hAnsi="Verdana" w:cs="Arial"/>
          <w:sz w:val="18"/>
          <w:szCs w:val="18"/>
        </w:rPr>
        <w:t xml:space="preserve"> van de speerpunten van de nieuwe Europese Commissie. De noodzaak daarvan </w:t>
      </w:r>
      <w:r w:rsidRPr="003A1EF6" w:rsidR="005D79AB">
        <w:rPr>
          <w:rFonts w:ascii="Verdana" w:hAnsi="Verdana" w:cs="Arial"/>
          <w:sz w:val="18"/>
          <w:szCs w:val="18"/>
        </w:rPr>
        <w:t xml:space="preserve">blijkt ook uit </w:t>
      </w:r>
      <w:r w:rsidR="0099228A">
        <w:rPr>
          <w:rFonts w:ascii="Verdana" w:hAnsi="Verdana" w:cs="Arial"/>
          <w:sz w:val="18"/>
          <w:szCs w:val="18"/>
        </w:rPr>
        <w:t>de</w:t>
      </w:r>
      <w:r w:rsidRPr="003A1EF6" w:rsidR="005D79AB">
        <w:rPr>
          <w:rFonts w:ascii="Verdana" w:hAnsi="Verdana" w:cs="Arial"/>
          <w:sz w:val="18"/>
          <w:szCs w:val="18"/>
        </w:rPr>
        <w:t xml:space="preserve"> </w:t>
      </w:r>
      <w:r w:rsidRPr="003A1EF6" w:rsidR="005D79AB">
        <w:rPr>
          <w:rFonts w:ascii="Verdana" w:hAnsi="Verdana" w:cs="Arial"/>
          <w:i/>
          <w:sz w:val="18"/>
          <w:szCs w:val="18"/>
        </w:rPr>
        <w:t xml:space="preserve">post </w:t>
      </w:r>
      <w:proofErr w:type="spellStart"/>
      <w:r w:rsidRPr="003A1EF6" w:rsidR="005D79AB">
        <w:rPr>
          <w:rFonts w:ascii="Verdana" w:hAnsi="Verdana" w:cs="Arial"/>
          <w:i/>
          <w:sz w:val="18"/>
          <w:szCs w:val="18"/>
        </w:rPr>
        <w:t>mortem</w:t>
      </w:r>
      <w:proofErr w:type="spellEnd"/>
      <w:r w:rsidRPr="003A1EF6" w:rsidR="005D79AB">
        <w:rPr>
          <w:rFonts w:ascii="Verdana" w:hAnsi="Verdana" w:cs="Arial"/>
          <w:i/>
          <w:sz w:val="18"/>
          <w:szCs w:val="18"/>
        </w:rPr>
        <w:t xml:space="preserve"> review</w:t>
      </w:r>
      <w:r w:rsidRPr="003A1EF6" w:rsidR="005D79AB">
        <w:rPr>
          <w:rFonts w:ascii="Verdana" w:hAnsi="Verdana" w:cs="Arial"/>
          <w:sz w:val="18"/>
          <w:szCs w:val="18"/>
        </w:rPr>
        <w:t xml:space="preserve"> van juli 2019, waarin de Europese Commissie onderzoek heeft gedaan naar de recente witwasschandalen bij Europese banken. </w:t>
      </w:r>
    </w:p>
    <w:p w:rsidRPr="003A1EF6" w:rsidR="00C91F41" w:rsidP="00D713DC" w:rsidRDefault="00C91F41" w14:paraId="1D36C3F0" w14:textId="77777777">
      <w:pPr>
        <w:pStyle w:val="Plattetekst"/>
        <w:spacing w:after="0" w:line="360" w:lineRule="auto"/>
        <w:contextualSpacing/>
        <w:rPr>
          <w:rFonts w:ascii="Verdana" w:hAnsi="Verdana" w:cs="Arial"/>
          <w:sz w:val="18"/>
          <w:szCs w:val="18"/>
        </w:rPr>
      </w:pPr>
    </w:p>
    <w:p w:rsidRPr="003A1EF6" w:rsidR="005D79AB" w:rsidP="00D713DC" w:rsidRDefault="005D79AB" w14:paraId="6AEFBDCE" w14:textId="2C63EB84">
      <w:pPr>
        <w:spacing w:after="0" w:line="360" w:lineRule="auto"/>
        <w:contextualSpacing/>
        <w:rPr>
          <w:rFonts w:cs="Times New Roman"/>
          <w:szCs w:val="18"/>
          <w:lang w:val="nl-NL"/>
        </w:rPr>
      </w:pPr>
      <w:r w:rsidRPr="003A1EF6">
        <w:rPr>
          <w:rFonts w:cs="Arial"/>
          <w:szCs w:val="18"/>
          <w:lang w:val="nl-NL"/>
        </w:rPr>
        <w:t>Nederland</w:t>
      </w:r>
      <w:r w:rsidRPr="003A1EF6">
        <w:rPr>
          <w:szCs w:val="18"/>
          <w:lang w:val="nl-NL"/>
        </w:rPr>
        <w:t xml:space="preserve"> </w:t>
      </w:r>
      <w:r w:rsidRPr="003A1EF6" w:rsidR="00C91F41">
        <w:rPr>
          <w:szCs w:val="18"/>
          <w:lang w:val="nl-NL"/>
        </w:rPr>
        <w:t>heeft aangegeven</w:t>
      </w:r>
      <w:r w:rsidRPr="003A1EF6">
        <w:rPr>
          <w:szCs w:val="18"/>
          <w:lang w:val="nl-NL"/>
        </w:rPr>
        <w:t xml:space="preserve"> voorstander </w:t>
      </w:r>
      <w:r w:rsidRPr="003A1EF6" w:rsidR="00C91F41">
        <w:rPr>
          <w:szCs w:val="18"/>
          <w:lang w:val="nl-NL"/>
        </w:rPr>
        <w:t xml:space="preserve">te zijn </w:t>
      </w:r>
      <w:r w:rsidRPr="003A1EF6">
        <w:rPr>
          <w:szCs w:val="18"/>
          <w:lang w:val="nl-NL"/>
        </w:rPr>
        <w:t>van Europees anti-witwastoezicht en verdere harmonisatie van anti-witwasregelgeving. Nederland hecht er belang aan dat dit Europese anti-witwastoezicht zich niet beperkt tot financiële groepen die grensoverschrijdend opereren, maar tot alle entiteiten die een hoog risico vormen (</w:t>
      </w:r>
      <w:proofErr w:type="spellStart"/>
      <w:r w:rsidRPr="003A1EF6">
        <w:rPr>
          <w:szCs w:val="18"/>
          <w:lang w:val="nl-NL"/>
        </w:rPr>
        <w:t>risicogebaseerde</w:t>
      </w:r>
      <w:proofErr w:type="spellEnd"/>
      <w:r w:rsidRPr="003A1EF6">
        <w:rPr>
          <w:szCs w:val="18"/>
          <w:lang w:val="nl-NL"/>
        </w:rPr>
        <w:t xml:space="preserve"> benadering). Daarnaast meent Nederland dat verdere harmonisatie gewenst is. </w:t>
      </w:r>
      <w:r w:rsidRPr="003A1EF6" w:rsidR="00C91F41">
        <w:rPr>
          <w:szCs w:val="18"/>
          <w:lang w:val="nl-NL"/>
        </w:rPr>
        <w:t>Enkele andere lidstaten gaven aan kritisch te zijn te ten aanzien van het overhevelen van bevoegdheden naar Europees niveau en willen eerst de implementatie van het huidige raamwerk afwachten.</w:t>
      </w:r>
    </w:p>
    <w:p w:rsidRPr="003A1EF6" w:rsidR="007A39D5" w:rsidP="00D713DC" w:rsidRDefault="007A39D5" w14:paraId="0A51B88F" w14:textId="77777777">
      <w:pPr>
        <w:spacing w:after="0" w:line="360" w:lineRule="auto"/>
        <w:contextualSpacing/>
        <w:rPr>
          <w:szCs w:val="18"/>
          <w:lang w:val="nl-NL"/>
        </w:rPr>
      </w:pPr>
    </w:p>
    <w:p w:rsidRPr="003A1EF6" w:rsidR="005D79AB" w:rsidP="00D713DC" w:rsidRDefault="005D79AB" w14:paraId="6FEED213" w14:textId="77777777">
      <w:pPr>
        <w:spacing w:after="0" w:line="360" w:lineRule="auto"/>
        <w:contextualSpacing/>
        <w:rPr>
          <w:b/>
          <w:bCs/>
          <w:szCs w:val="18"/>
          <w:lang w:val="nl-NL"/>
        </w:rPr>
      </w:pPr>
      <w:r w:rsidRPr="003A1EF6">
        <w:rPr>
          <w:b/>
          <w:bCs/>
          <w:szCs w:val="18"/>
          <w:lang w:val="nl-NL"/>
        </w:rPr>
        <w:t xml:space="preserve">Verdieping van de kapitaalmarktenunie </w:t>
      </w:r>
    </w:p>
    <w:p w:rsidRPr="003A1EF6" w:rsidR="005D79AB" w:rsidP="00D713DC" w:rsidRDefault="002E7367" w14:paraId="37E5198D" w14:textId="773B3CD5">
      <w:pPr>
        <w:spacing w:after="0" w:line="360" w:lineRule="auto"/>
        <w:rPr>
          <w:rFonts w:cs="Arial"/>
          <w:lang w:val="nl-NL"/>
        </w:rPr>
      </w:pPr>
      <w:r w:rsidRPr="001B0F54">
        <w:rPr>
          <w:lang w:val="nl-NL"/>
        </w:rPr>
        <w:t>De Ecofinraad heeft Raadsconclusies aangenomen waarin het belang van verdere verdieping van de Europese kapitaalmarktenunie wordt benadrukt.</w:t>
      </w:r>
      <w:r w:rsidRPr="001B0F54">
        <w:rPr>
          <w:rStyle w:val="Voetnootmarkering"/>
          <w:rFonts w:cs="Arial"/>
          <w:szCs w:val="18"/>
          <w:lang w:val="nl-NL"/>
        </w:rPr>
        <w:footnoteReference w:id="33"/>
      </w:r>
      <w:r w:rsidRPr="001B0F54">
        <w:rPr>
          <w:lang w:val="nl-NL"/>
        </w:rPr>
        <w:t xml:space="preserve"> D</w:t>
      </w:r>
      <w:r w:rsidRPr="001B0F54">
        <w:rPr>
          <w:rFonts w:cs="Arial"/>
          <w:lang w:val="nl-NL"/>
        </w:rPr>
        <w:t xml:space="preserve">e Commissie wordt opgeroepen om te komen met een nieuwe </w:t>
      </w:r>
      <w:proofErr w:type="spellStart"/>
      <w:r w:rsidRPr="001B0F54">
        <w:rPr>
          <w:rFonts w:cs="Arial"/>
          <w:i/>
          <w:lang w:val="nl-NL"/>
        </w:rPr>
        <w:t>roadmap</w:t>
      </w:r>
      <w:proofErr w:type="spellEnd"/>
      <w:r w:rsidRPr="001B0F54">
        <w:rPr>
          <w:rFonts w:cs="Arial"/>
          <w:lang w:val="nl-NL"/>
        </w:rPr>
        <w:t xml:space="preserve"> voor verdere verdieping van de kapitaalmarktenunie. Daarbij zijn zes principes opgesteld, die grotendeels overeenkomen met de prioriteiten van Nederland.</w:t>
      </w:r>
      <w:r w:rsidRPr="001B0F54">
        <w:rPr>
          <w:rStyle w:val="Voetnootmarkering"/>
          <w:rFonts w:cs="Arial"/>
        </w:rPr>
        <w:footnoteReference w:id="34"/>
      </w:r>
      <w:r w:rsidRPr="001B0F54">
        <w:rPr>
          <w:rFonts w:cs="Arial"/>
          <w:lang w:val="nl-NL"/>
        </w:rPr>
        <w:t xml:space="preserve"> De focus ligt hierbij op het verbeteren van de financieringsmogelijkheden voor (</w:t>
      </w:r>
      <w:proofErr w:type="spellStart"/>
      <w:r w:rsidRPr="001B0F54">
        <w:rPr>
          <w:rFonts w:cs="Arial"/>
          <w:lang w:val="nl-NL"/>
        </w:rPr>
        <w:t>mkb</w:t>
      </w:r>
      <w:proofErr w:type="spellEnd"/>
      <w:r w:rsidRPr="001B0F54">
        <w:rPr>
          <w:rFonts w:cs="Arial"/>
          <w:lang w:val="nl-NL"/>
        </w:rPr>
        <w:t>-)bedrijven, stimuleren van lange-termijn investeringen en faciliteren van grensoverschrijdende kapitaalstromen. Daarnaast word</w:t>
      </w:r>
      <w:r w:rsidRPr="001B0F54" w:rsidR="00F65E94">
        <w:rPr>
          <w:rFonts w:cs="Arial"/>
          <w:lang w:val="nl-NL"/>
        </w:rPr>
        <w:t>t</w:t>
      </w:r>
      <w:r w:rsidRPr="001B0F54">
        <w:rPr>
          <w:rFonts w:cs="Arial"/>
          <w:lang w:val="nl-NL"/>
        </w:rPr>
        <w:t xml:space="preserve"> een aantal concrete maatregelen voorgesteld die de Commissie kan onderzoeken. Veel van deze maatregelen komen overeen met de aanbevelingen van de mede door Nederland geïnitieerde werkgroep </w:t>
      </w:r>
      <w:proofErr w:type="spellStart"/>
      <w:r w:rsidRPr="001B0F54">
        <w:rPr>
          <w:rFonts w:cs="Arial"/>
          <w:lang w:val="nl-NL"/>
        </w:rPr>
        <w:t>NextCMU</w:t>
      </w:r>
      <w:proofErr w:type="spellEnd"/>
      <w:r w:rsidRPr="001B0F54">
        <w:rPr>
          <w:rFonts w:cs="Arial"/>
          <w:lang w:val="nl-NL"/>
        </w:rPr>
        <w:t>. Zelf is de Commissie inmiddels een high level forum gestart dat naar verwachting in mei 2020 een rapport zal opleveren met aanbevelingen over versterking van de kapitaalmarktenunie.</w:t>
      </w:r>
    </w:p>
    <w:p w:rsidRPr="003A1EF6" w:rsidR="00D713DC" w:rsidP="00D713DC" w:rsidRDefault="00D713DC" w14:paraId="1F3BDE24" w14:textId="77777777">
      <w:pPr>
        <w:spacing w:after="0" w:line="360" w:lineRule="auto"/>
        <w:contextualSpacing/>
        <w:rPr>
          <w:rFonts w:cs="Arial"/>
          <w:b/>
          <w:bCs/>
          <w:szCs w:val="18"/>
          <w:lang w:val="nl-NL"/>
        </w:rPr>
      </w:pPr>
    </w:p>
    <w:p w:rsidRPr="003A1EF6" w:rsidR="00920DE1" w:rsidP="00D713DC" w:rsidRDefault="00920DE1" w14:paraId="77A4DBCE" w14:textId="4B5BE3B8">
      <w:pPr>
        <w:spacing w:after="0" w:line="360" w:lineRule="auto"/>
        <w:contextualSpacing/>
        <w:rPr>
          <w:b/>
          <w:bCs/>
          <w:szCs w:val="18"/>
          <w:lang w:val="nl-NL"/>
        </w:rPr>
      </w:pPr>
      <w:r w:rsidRPr="003A1EF6">
        <w:rPr>
          <w:rFonts w:cs="Arial"/>
          <w:b/>
          <w:bCs/>
          <w:szCs w:val="18"/>
          <w:lang w:val="nl-NL"/>
        </w:rPr>
        <w:t>Duurzame financieringsagenda</w:t>
      </w:r>
    </w:p>
    <w:p w:rsidRPr="003A1EF6" w:rsidR="00920DE1" w:rsidP="00D713DC" w:rsidRDefault="00920DE1" w14:paraId="3CB99F9C" w14:textId="699432AB">
      <w:pPr>
        <w:spacing w:after="0" w:line="360" w:lineRule="auto"/>
        <w:contextualSpacing/>
        <w:rPr>
          <w:rFonts w:cs="Arial"/>
          <w:bCs/>
          <w:szCs w:val="18"/>
          <w:lang w:val="nl-NL"/>
        </w:rPr>
      </w:pPr>
      <w:r w:rsidRPr="003A1EF6">
        <w:rPr>
          <w:szCs w:val="18"/>
          <w:lang w:val="nl-NL"/>
        </w:rPr>
        <w:t xml:space="preserve">De Europese Commissie </w:t>
      </w:r>
      <w:r w:rsidRPr="003A1EF6" w:rsidR="0024374A">
        <w:rPr>
          <w:szCs w:val="18"/>
          <w:lang w:val="nl-NL"/>
        </w:rPr>
        <w:t>heeft</w:t>
      </w:r>
      <w:r w:rsidRPr="003A1EF6">
        <w:rPr>
          <w:szCs w:val="18"/>
          <w:lang w:val="nl-NL"/>
        </w:rPr>
        <w:t xml:space="preserve"> de Ecofinraad </w:t>
      </w:r>
      <w:r w:rsidRPr="003A1EF6" w:rsidR="0024374A">
        <w:rPr>
          <w:szCs w:val="18"/>
          <w:lang w:val="nl-NL"/>
        </w:rPr>
        <w:t>geïnformeerd</w:t>
      </w:r>
      <w:r w:rsidRPr="003A1EF6">
        <w:rPr>
          <w:szCs w:val="18"/>
          <w:lang w:val="nl-NL"/>
        </w:rPr>
        <w:t xml:space="preserve"> over haar </w:t>
      </w:r>
      <w:r w:rsidRPr="003A1EF6">
        <w:rPr>
          <w:rFonts w:cs="Arial"/>
          <w:bCs/>
          <w:szCs w:val="18"/>
          <w:lang w:val="nl-NL"/>
        </w:rPr>
        <w:t>duurzame financieringsagenda. In 2017 presenteerde</w:t>
      </w:r>
      <w:r w:rsidRPr="003A1EF6">
        <w:rPr>
          <w:szCs w:val="18"/>
          <w:lang w:val="nl-NL"/>
        </w:rPr>
        <w:t xml:space="preserve"> </w:t>
      </w:r>
      <w:r w:rsidRPr="003A1EF6">
        <w:rPr>
          <w:rFonts w:cs="Arial"/>
          <w:bCs/>
          <w:szCs w:val="18"/>
          <w:lang w:val="nl-NL"/>
        </w:rPr>
        <w:t xml:space="preserve">de </w:t>
      </w:r>
      <w:r w:rsidRPr="003A1EF6">
        <w:rPr>
          <w:szCs w:val="18"/>
          <w:lang w:val="nl-NL"/>
        </w:rPr>
        <w:t xml:space="preserve">Europese </w:t>
      </w:r>
      <w:r w:rsidRPr="003A1EF6" w:rsidR="0024374A">
        <w:rPr>
          <w:rFonts w:cs="Arial"/>
          <w:bCs/>
          <w:szCs w:val="18"/>
          <w:lang w:val="nl-NL"/>
        </w:rPr>
        <w:t>Commissie reeds haar actieplan ‘</w:t>
      </w:r>
      <w:r w:rsidRPr="003A1EF6">
        <w:rPr>
          <w:rFonts w:cs="Arial"/>
          <w:bCs/>
          <w:szCs w:val="18"/>
          <w:lang w:val="nl-NL"/>
        </w:rPr>
        <w:t xml:space="preserve">duurzame groei financieren’. Inmiddels is op twee </w:t>
      </w:r>
      <w:r w:rsidRPr="003A1EF6" w:rsidR="00A76212">
        <w:rPr>
          <w:rFonts w:cs="Arial"/>
          <w:bCs/>
          <w:szCs w:val="18"/>
          <w:lang w:val="nl-NL"/>
        </w:rPr>
        <w:t xml:space="preserve">wetgevende </w:t>
      </w:r>
      <w:r w:rsidRPr="003A1EF6">
        <w:rPr>
          <w:rFonts w:cs="Arial"/>
          <w:bCs/>
          <w:szCs w:val="18"/>
          <w:lang w:val="nl-NL"/>
        </w:rPr>
        <w:t xml:space="preserve">voorstellen uit het actieplan een akkoord bereikt tussen de Raad en het Europees Parlement (EP). </w:t>
      </w:r>
      <w:r w:rsidRPr="003A1EF6">
        <w:rPr>
          <w:szCs w:val="18"/>
          <w:lang w:val="nl-NL"/>
        </w:rPr>
        <w:t xml:space="preserve">Zo werd allereerst in maart van dit jaar overeenstemming bereikt over minimumeisen aan benchmarks die klimaatdoelstellingen nastreven. Met een </w:t>
      </w:r>
      <w:proofErr w:type="gramStart"/>
      <w:r w:rsidRPr="003A1EF6">
        <w:rPr>
          <w:szCs w:val="18"/>
          <w:lang w:val="nl-NL"/>
        </w:rPr>
        <w:t>duurzame</w:t>
      </w:r>
      <w:proofErr w:type="gramEnd"/>
      <w:r w:rsidRPr="003A1EF6">
        <w:rPr>
          <w:szCs w:val="18"/>
          <w:lang w:val="nl-NL"/>
        </w:rPr>
        <w:t xml:space="preserve"> benchmark kunnen de prestaties van een beleggingsinstelling of vermogensbeheerder worden vergeleken met een objectieve maatstaf. Een toenemend aantal investeerders gebruikt </w:t>
      </w:r>
      <w:r w:rsidRPr="003A1EF6">
        <w:rPr>
          <w:rFonts w:cs="Arial"/>
          <w:color w:val="212121"/>
          <w:szCs w:val="18"/>
          <w:lang w:val="nl-NL"/>
        </w:rPr>
        <w:t>CO2</w:t>
      </w:r>
      <w:r w:rsidRPr="003A1EF6">
        <w:rPr>
          <w:szCs w:val="18"/>
          <w:lang w:val="nl-NL"/>
        </w:rPr>
        <w:t>-arme benchmarks om de prestaties van hun beleggingsportefeuilles te meten. Tevens zijn er stappen gezet ten aanzien van transparantie door middel van het akkoord in de EU op de verordening “</w:t>
      </w:r>
      <w:r w:rsidR="000E0AEB">
        <w:rPr>
          <w:szCs w:val="18"/>
          <w:lang w:val="nl-NL"/>
        </w:rPr>
        <w:t>Informatieverschaffing over duurzaamheid in de financiële dienstensector</w:t>
      </w:r>
      <w:r w:rsidRPr="003A1EF6">
        <w:rPr>
          <w:szCs w:val="18"/>
          <w:lang w:val="nl-NL"/>
        </w:rPr>
        <w:t xml:space="preserve">”. Zo dienen financiële instellingen die namens hun </w:t>
      </w:r>
      <w:r w:rsidRPr="003A1EF6">
        <w:rPr>
          <w:szCs w:val="18"/>
          <w:lang w:val="nl-NL"/>
        </w:rPr>
        <w:lastRenderedPageBreak/>
        <w:t>klanten beleggen op grond van deze verordening, transparant te zijn over in hoeverre duurzaamheidsrisico’s zijn geïntegreerd in hun beleggingsbeleid.</w:t>
      </w:r>
      <w:r w:rsidRPr="003A1EF6">
        <w:rPr>
          <w:rFonts w:cs="Arial"/>
          <w:bCs/>
          <w:szCs w:val="18"/>
          <w:lang w:val="nl-NL"/>
        </w:rPr>
        <w:t xml:space="preserve"> </w:t>
      </w:r>
    </w:p>
    <w:p w:rsidRPr="003A1EF6" w:rsidR="00A76212" w:rsidP="00D713DC" w:rsidRDefault="00A76212" w14:paraId="304714C5" w14:textId="31F49911">
      <w:pPr>
        <w:spacing w:after="0" w:line="360" w:lineRule="auto"/>
        <w:contextualSpacing/>
        <w:rPr>
          <w:rFonts w:cs="Arial"/>
          <w:bCs/>
          <w:szCs w:val="18"/>
          <w:lang w:val="nl-NL"/>
        </w:rPr>
      </w:pPr>
    </w:p>
    <w:p w:rsidRPr="003A1EF6" w:rsidR="00A76212" w:rsidP="00D713DC" w:rsidRDefault="00A76212" w14:paraId="2C2F8C9F" w14:textId="081D0E1D">
      <w:pPr>
        <w:autoSpaceDE w:val="0"/>
        <w:autoSpaceDN w:val="0"/>
        <w:adjustRightInd w:val="0"/>
        <w:spacing w:after="0" w:line="360" w:lineRule="auto"/>
        <w:contextualSpacing/>
        <w:rPr>
          <w:szCs w:val="18"/>
          <w:lang w:val="nl-NL"/>
        </w:rPr>
      </w:pPr>
      <w:r w:rsidRPr="001B0F54">
        <w:rPr>
          <w:szCs w:val="18"/>
          <w:lang w:val="nl-NL"/>
        </w:rPr>
        <w:t>De onderhandeling tussen de Raad en het EP over taxonomie beweegt zich richting de eindfase. Het Finse voorzitterschap is op 5 december jl. tot een akkoord op hoofdlijnen gekomen met de onderhandelaars vanuit het EP. Het kabinet hoopt dat de Raad zich nog dit jaar achter een akkoord kan scharen. Over de Nederlandse prioriteiten tijdens de trilogen bent u eerder uitgebreid per brief geïnformeerd.</w:t>
      </w:r>
      <w:r w:rsidRPr="001B0F54">
        <w:rPr>
          <w:rStyle w:val="Voetnootmarkering"/>
          <w:szCs w:val="18"/>
          <w:lang w:val="nl-NL"/>
        </w:rPr>
        <w:footnoteReference w:id="35"/>
      </w:r>
      <w:r w:rsidRPr="001B0F54">
        <w:rPr>
          <w:szCs w:val="18"/>
          <w:lang w:val="nl-NL"/>
        </w:rPr>
        <w:t xml:space="preserve"> Nederland zet in op een objectief, proportioneel en holistisch raamwerk dat groenwassen tegengaat en bijdraagt aan verduurzaming van de financiële sector. Het kabinet heeft er vertrouwen in dat de uitkomst van deze onderhandeling goed zal aansluiten bij de inzet van Nederland.</w:t>
      </w:r>
    </w:p>
    <w:p w:rsidRPr="003A1EF6" w:rsidR="00A76212" w:rsidP="00D713DC" w:rsidRDefault="00A76212" w14:paraId="4CA0703E" w14:textId="77777777">
      <w:pPr>
        <w:spacing w:after="0" w:line="360" w:lineRule="auto"/>
        <w:contextualSpacing/>
        <w:rPr>
          <w:rFonts w:cs="Arial"/>
          <w:bCs/>
          <w:szCs w:val="18"/>
          <w:lang w:val="nl-NL"/>
        </w:rPr>
      </w:pPr>
    </w:p>
    <w:p w:rsidRPr="003A1EF6" w:rsidR="0024374A" w:rsidP="00D713DC" w:rsidRDefault="0024374A" w14:paraId="14042303" w14:textId="0029AA01">
      <w:pPr>
        <w:spacing w:after="0" w:line="360" w:lineRule="auto"/>
        <w:contextualSpacing/>
        <w:rPr>
          <w:szCs w:val="18"/>
          <w:lang w:val="nl-NL"/>
        </w:rPr>
      </w:pPr>
      <w:r w:rsidRPr="003A1EF6">
        <w:rPr>
          <w:szCs w:val="18"/>
          <w:lang w:val="nl-NL"/>
        </w:rPr>
        <w:t>De nieuwe Europese Commissie is ambitieus ten aanzien van duurzame financiering en wil verdere stappen zetten op dit terrein. Zo heeft Commissievoorzitter Von der Leyen in het EP aangegeven een duurzaam financieringsplan te gaan voorstellen.</w:t>
      </w:r>
      <w:r w:rsidRPr="003A1EF6">
        <w:rPr>
          <w:rStyle w:val="Voetnootmarkering"/>
          <w:szCs w:val="18"/>
        </w:rPr>
        <w:footnoteReference w:id="36"/>
      </w:r>
      <w:r w:rsidRPr="003A1EF6">
        <w:rPr>
          <w:szCs w:val="18"/>
          <w:lang w:val="nl-NL"/>
        </w:rPr>
        <w:t xml:space="preserve"> De Commissie zal met verschillende voorstellen komen en kondigde aan in het derde kwartaal van 2020 met een nieuw actieplan te komen.</w:t>
      </w:r>
    </w:p>
    <w:p w:rsidRPr="003A1EF6" w:rsidR="00920DE1" w:rsidP="00D713DC" w:rsidRDefault="00920DE1" w14:paraId="0A92BB56" w14:textId="77777777">
      <w:pPr>
        <w:spacing w:after="0" w:line="360" w:lineRule="auto"/>
        <w:contextualSpacing/>
        <w:rPr>
          <w:b/>
          <w:szCs w:val="18"/>
          <w:lang w:val="nl-NL"/>
        </w:rPr>
      </w:pPr>
    </w:p>
    <w:p w:rsidRPr="003A1EF6" w:rsidR="005D79AB" w:rsidP="00D713DC" w:rsidRDefault="005D79AB" w14:paraId="0AB5DDA7" w14:textId="77777777">
      <w:pPr>
        <w:spacing w:after="0" w:line="360" w:lineRule="auto"/>
        <w:contextualSpacing/>
        <w:rPr>
          <w:b/>
          <w:szCs w:val="18"/>
          <w:lang w:val="nl-NL"/>
        </w:rPr>
      </w:pPr>
      <w:r w:rsidRPr="003A1EF6">
        <w:rPr>
          <w:b/>
          <w:szCs w:val="18"/>
          <w:lang w:val="nl-NL"/>
        </w:rPr>
        <w:t>Actieplan inzake niet-presterende leningen (</w:t>
      </w:r>
      <w:proofErr w:type="spellStart"/>
      <w:r w:rsidRPr="003A1EF6">
        <w:rPr>
          <w:b/>
          <w:szCs w:val="18"/>
          <w:lang w:val="nl-NL"/>
        </w:rPr>
        <w:t>NPLs</w:t>
      </w:r>
      <w:proofErr w:type="spellEnd"/>
      <w:r w:rsidRPr="003A1EF6">
        <w:rPr>
          <w:b/>
          <w:szCs w:val="18"/>
          <w:lang w:val="nl-NL"/>
        </w:rPr>
        <w:t>)</w:t>
      </w:r>
    </w:p>
    <w:p w:rsidRPr="003A1EF6" w:rsidR="005D79AB" w:rsidP="00D713DC" w:rsidRDefault="00363E5C" w14:paraId="23D29ED2" w14:textId="60498CF2">
      <w:pPr>
        <w:spacing w:after="0" w:line="360" w:lineRule="auto"/>
        <w:contextualSpacing/>
        <w:rPr>
          <w:szCs w:val="18"/>
          <w:lang w:val="nl-NL"/>
        </w:rPr>
      </w:pPr>
      <w:r w:rsidRPr="003A1EF6">
        <w:rPr>
          <w:szCs w:val="18"/>
          <w:lang w:val="nl-NL"/>
        </w:rPr>
        <w:t>De Ecofinraad heeft een terugkoppeling gekregen over de voortgang van het actieplan inzake niet-presterende leningen (</w:t>
      </w:r>
      <w:proofErr w:type="spellStart"/>
      <w:r w:rsidRPr="003A1EF6">
        <w:rPr>
          <w:szCs w:val="18"/>
          <w:lang w:val="nl-NL"/>
        </w:rPr>
        <w:t>NPLs</w:t>
      </w:r>
      <w:proofErr w:type="spellEnd"/>
      <w:r w:rsidRPr="003A1EF6">
        <w:rPr>
          <w:szCs w:val="18"/>
          <w:lang w:val="nl-NL"/>
        </w:rPr>
        <w:t>).</w:t>
      </w:r>
      <w:r w:rsidRPr="003A1EF6">
        <w:rPr>
          <w:rStyle w:val="Voetnootmarkering"/>
          <w:szCs w:val="18"/>
          <w:lang w:val="nl-NL"/>
        </w:rPr>
        <w:footnoteReference w:id="37"/>
      </w:r>
      <w:r w:rsidRPr="003A1EF6">
        <w:rPr>
          <w:szCs w:val="18"/>
          <w:lang w:val="nl-NL"/>
        </w:rPr>
        <w:t xml:space="preserve"> </w:t>
      </w:r>
      <w:r w:rsidRPr="003A1EF6" w:rsidR="005D79AB">
        <w:rPr>
          <w:szCs w:val="18"/>
          <w:lang w:val="nl-NL"/>
        </w:rPr>
        <w:t xml:space="preserve">Een groot deel van de actiepunten zijn inmiddels afgerond. Zo is een akkoord bereikt over een minimumniveau van verliesdekking op </w:t>
      </w:r>
      <w:proofErr w:type="spellStart"/>
      <w:r w:rsidRPr="003A1EF6" w:rsidR="005D79AB">
        <w:rPr>
          <w:szCs w:val="18"/>
          <w:lang w:val="nl-NL"/>
        </w:rPr>
        <w:t>NPLs</w:t>
      </w:r>
      <w:proofErr w:type="spellEnd"/>
      <w:r w:rsidRPr="003A1EF6" w:rsidR="005D79AB">
        <w:rPr>
          <w:szCs w:val="18"/>
          <w:lang w:val="nl-NL"/>
        </w:rPr>
        <w:t xml:space="preserve">. Daarnaast heeft de </w:t>
      </w:r>
      <w:proofErr w:type="gramStart"/>
      <w:r w:rsidRPr="003A1EF6" w:rsidR="005D79AB">
        <w:rPr>
          <w:szCs w:val="18"/>
          <w:lang w:val="nl-NL"/>
        </w:rPr>
        <w:t>ECB verwachtingen</w:t>
      </w:r>
      <w:proofErr w:type="gramEnd"/>
      <w:r w:rsidRPr="003A1EF6" w:rsidR="005D79AB">
        <w:rPr>
          <w:szCs w:val="18"/>
          <w:lang w:val="nl-NL"/>
        </w:rPr>
        <w:t xml:space="preserve"> uitgesproken voor minimumdekking van </w:t>
      </w:r>
      <w:proofErr w:type="spellStart"/>
      <w:r w:rsidRPr="003A1EF6" w:rsidR="005D79AB">
        <w:rPr>
          <w:szCs w:val="18"/>
          <w:lang w:val="nl-NL"/>
        </w:rPr>
        <w:t>NPLs</w:t>
      </w:r>
      <w:proofErr w:type="spellEnd"/>
      <w:r w:rsidRPr="003A1EF6" w:rsidR="005D79AB">
        <w:rPr>
          <w:szCs w:val="18"/>
          <w:lang w:val="nl-NL"/>
        </w:rPr>
        <w:t xml:space="preserve"> en ook zijn door de Europese Bankenautoriteit (EBA) informatiesjablonen gemaakt om de beschikbaarheid van bruikbare data te vergroten. Er lopen nog onderhandelingen over de richtlijn tot bevordering van secundaire markten. Tot slot wordt er nog gewerkt aan beter vergelijkbare indicatoren voor insolventieprocedures.</w:t>
      </w:r>
    </w:p>
    <w:p w:rsidRPr="003A1EF6" w:rsidR="005D79AB" w:rsidP="00D713DC" w:rsidRDefault="005D79AB" w14:paraId="6223A432" w14:textId="77777777">
      <w:pPr>
        <w:spacing w:after="0" w:line="360" w:lineRule="auto"/>
        <w:contextualSpacing/>
        <w:rPr>
          <w:szCs w:val="18"/>
          <w:lang w:val="nl-NL"/>
        </w:rPr>
      </w:pPr>
    </w:p>
    <w:p w:rsidRPr="003A1EF6" w:rsidR="005D79AB" w:rsidP="00D713DC" w:rsidRDefault="005D79AB" w14:paraId="6813207C" w14:textId="25833813">
      <w:pPr>
        <w:spacing w:after="0" w:line="360" w:lineRule="auto"/>
        <w:contextualSpacing/>
        <w:rPr>
          <w:szCs w:val="18"/>
          <w:lang w:val="nl-NL"/>
        </w:rPr>
      </w:pPr>
      <w:r w:rsidRPr="003A1EF6">
        <w:rPr>
          <w:szCs w:val="18"/>
          <w:lang w:val="nl-NL"/>
        </w:rPr>
        <w:t xml:space="preserve">De omvang van </w:t>
      </w:r>
      <w:proofErr w:type="spellStart"/>
      <w:r w:rsidRPr="003A1EF6">
        <w:rPr>
          <w:szCs w:val="18"/>
          <w:lang w:val="nl-NL"/>
        </w:rPr>
        <w:t>NPLs</w:t>
      </w:r>
      <w:proofErr w:type="spellEnd"/>
      <w:r w:rsidRPr="003A1EF6">
        <w:rPr>
          <w:szCs w:val="18"/>
          <w:lang w:val="nl-NL"/>
        </w:rPr>
        <w:t xml:space="preserve"> op bankbalansen is de afgelopen jaren aanzienlijk gedaald, zowel zonder alsook rekening houdend met voorzieningen. Ook lijkt sprake van een groeiend aantal transacties op de secundaire markt voor </w:t>
      </w:r>
      <w:proofErr w:type="spellStart"/>
      <w:r w:rsidRPr="003A1EF6">
        <w:rPr>
          <w:szCs w:val="18"/>
          <w:lang w:val="nl-NL"/>
        </w:rPr>
        <w:t>NPLs</w:t>
      </w:r>
      <w:proofErr w:type="spellEnd"/>
      <w:r w:rsidRPr="003A1EF6">
        <w:rPr>
          <w:szCs w:val="18"/>
          <w:lang w:val="nl-NL"/>
        </w:rPr>
        <w:t xml:space="preserve">. De huidige markt bestaat veelal uit een beperkt aantal gespecialiseerde professionele investeerders. Gezien het hoge risicoprofiel en de benodigde kennis, ligt het ook voor de hand dat alleen professionele investeerders </w:t>
      </w:r>
      <w:proofErr w:type="spellStart"/>
      <w:r w:rsidRPr="003A1EF6">
        <w:rPr>
          <w:szCs w:val="18"/>
          <w:lang w:val="nl-NL"/>
        </w:rPr>
        <w:t>NPLs</w:t>
      </w:r>
      <w:proofErr w:type="spellEnd"/>
      <w:r w:rsidRPr="003A1EF6">
        <w:rPr>
          <w:szCs w:val="18"/>
          <w:lang w:val="nl-NL"/>
        </w:rPr>
        <w:t xml:space="preserve"> kopen met risicodragend vermogen. </w:t>
      </w:r>
    </w:p>
    <w:p w:rsidRPr="003A1EF6" w:rsidR="00920DE1" w:rsidP="00D713DC" w:rsidRDefault="00920DE1" w14:paraId="07C4EE37" w14:textId="44605A8F">
      <w:pPr>
        <w:spacing w:after="0" w:line="360" w:lineRule="auto"/>
        <w:contextualSpacing/>
        <w:rPr>
          <w:b/>
          <w:szCs w:val="18"/>
          <w:lang w:val="nl-NL"/>
        </w:rPr>
      </w:pPr>
    </w:p>
    <w:p w:rsidR="001B0F54" w:rsidRDefault="001B0F54" w14:paraId="51A4955D" w14:textId="77777777">
      <w:pPr>
        <w:rPr>
          <w:rFonts w:cs="Arial"/>
          <w:b/>
          <w:szCs w:val="18"/>
          <w:lang w:val="nl-NL"/>
        </w:rPr>
      </w:pPr>
      <w:r>
        <w:rPr>
          <w:rFonts w:cs="Arial"/>
          <w:b/>
          <w:szCs w:val="18"/>
          <w:lang w:val="nl-NL"/>
        </w:rPr>
        <w:br w:type="page"/>
      </w:r>
    </w:p>
    <w:p w:rsidRPr="003A1EF6" w:rsidR="00920DE1" w:rsidP="00D713DC" w:rsidRDefault="00920DE1" w14:paraId="28F366EF" w14:textId="63EE8D03">
      <w:pPr>
        <w:spacing w:after="0" w:line="360" w:lineRule="auto"/>
        <w:contextualSpacing/>
        <w:rPr>
          <w:b/>
          <w:szCs w:val="18"/>
          <w:lang w:val="nl-NL"/>
        </w:rPr>
      </w:pPr>
      <w:r w:rsidRPr="003A1EF6">
        <w:rPr>
          <w:rFonts w:cs="Arial"/>
          <w:b/>
          <w:szCs w:val="18"/>
          <w:lang w:val="nl-NL"/>
        </w:rPr>
        <w:lastRenderedPageBreak/>
        <w:t>Implementatie van het Stabiliteits- en Groeipact (SGP)</w:t>
      </w:r>
    </w:p>
    <w:p w:rsidRPr="003A1EF6" w:rsidR="00920DE1" w:rsidP="00D713DC" w:rsidRDefault="00920DE1" w14:paraId="517609AE" w14:textId="4E0996BD">
      <w:pPr>
        <w:spacing w:after="0" w:line="360" w:lineRule="auto"/>
        <w:contextualSpacing/>
        <w:rPr>
          <w:rFonts w:cs="Arial"/>
          <w:szCs w:val="18"/>
          <w:lang w:val="nl-NL"/>
        </w:rPr>
      </w:pPr>
      <w:r w:rsidRPr="003A1EF6">
        <w:rPr>
          <w:rFonts w:cs="Arial"/>
          <w:szCs w:val="18"/>
          <w:lang w:val="nl-NL"/>
        </w:rPr>
        <w:t>De Europese Commissie heeft op 7 november jongstleden haar herfstraming gepresenteerd die ook begrotingscijfers omvat.</w:t>
      </w:r>
      <w:r w:rsidRPr="003A1EF6">
        <w:rPr>
          <w:rStyle w:val="Voetnootmarkering"/>
          <w:rFonts w:cs="Arial"/>
          <w:szCs w:val="18"/>
        </w:rPr>
        <w:footnoteReference w:id="38"/>
      </w:r>
      <w:r w:rsidRPr="003A1EF6">
        <w:rPr>
          <w:rFonts w:cs="Arial"/>
          <w:szCs w:val="18"/>
          <w:lang w:val="nl-NL"/>
        </w:rPr>
        <w:t xml:space="preserve"> </w:t>
      </w:r>
      <w:r w:rsidRPr="003A1EF6" w:rsidR="00C046B7">
        <w:rPr>
          <w:rFonts w:cs="Arial"/>
          <w:szCs w:val="18"/>
          <w:lang w:val="nl-NL"/>
        </w:rPr>
        <w:t>In de</w:t>
      </w:r>
      <w:r w:rsidRPr="003A1EF6">
        <w:rPr>
          <w:rFonts w:cs="Arial"/>
          <w:szCs w:val="18"/>
          <w:lang w:val="nl-NL"/>
        </w:rPr>
        <w:t xml:space="preserve"> Ecofinraad </w:t>
      </w:r>
      <w:r w:rsidRPr="003A1EF6" w:rsidR="00C046B7">
        <w:rPr>
          <w:rFonts w:cs="Arial"/>
          <w:szCs w:val="18"/>
          <w:lang w:val="nl-NL"/>
        </w:rPr>
        <w:t>is</w:t>
      </w:r>
      <w:r w:rsidRPr="003A1EF6" w:rsidR="00C26B6C">
        <w:rPr>
          <w:rFonts w:cs="Arial"/>
          <w:szCs w:val="18"/>
          <w:lang w:val="nl-NL"/>
        </w:rPr>
        <w:t xml:space="preserve"> gesproken</w:t>
      </w:r>
      <w:r w:rsidRPr="003A1EF6">
        <w:rPr>
          <w:rFonts w:cs="Arial"/>
          <w:szCs w:val="18"/>
          <w:lang w:val="nl-NL"/>
        </w:rPr>
        <w:t xml:space="preserve"> over </w:t>
      </w:r>
      <w:r w:rsidRPr="003A1EF6" w:rsidR="00C046B7">
        <w:rPr>
          <w:rFonts w:cs="Arial"/>
          <w:szCs w:val="18"/>
          <w:lang w:val="nl-NL"/>
        </w:rPr>
        <w:t xml:space="preserve">de </w:t>
      </w:r>
      <w:r w:rsidRPr="003A1EF6">
        <w:rPr>
          <w:rFonts w:cs="Arial"/>
          <w:szCs w:val="18"/>
          <w:lang w:val="nl-NL"/>
        </w:rPr>
        <w:t>vervolgstappen in het kader van de implementatie van het Stabiliteits- en Groeipact (SGP).</w:t>
      </w:r>
    </w:p>
    <w:p w:rsidRPr="003A1EF6" w:rsidR="00920DE1" w:rsidP="00D713DC" w:rsidRDefault="00920DE1" w14:paraId="385E3127" w14:textId="77777777">
      <w:pPr>
        <w:spacing w:after="0" w:line="360" w:lineRule="auto"/>
        <w:contextualSpacing/>
        <w:rPr>
          <w:rFonts w:cs="Arial"/>
          <w:szCs w:val="18"/>
          <w:lang w:val="nl-NL"/>
        </w:rPr>
      </w:pPr>
    </w:p>
    <w:p w:rsidRPr="003A1EF6" w:rsidR="00920DE1" w:rsidP="00D713DC" w:rsidRDefault="00C046B7" w14:paraId="10237B65" w14:textId="712ACC8F">
      <w:pPr>
        <w:spacing w:after="0" w:line="360" w:lineRule="auto"/>
        <w:contextualSpacing/>
        <w:rPr>
          <w:szCs w:val="18"/>
          <w:lang w:val="nl-NL"/>
        </w:rPr>
      </w:pPr>
      <w:r w:rsidRPr="003A1EF6">
        <w:rPr>
          <w:szCs w:val="18"/>
          <w:lang w:val="nl-NL"/>
        </w:rPr>
        <w:t xml:space="preserve">De Ecofinraad heeft de voorstellen van de Europese Commissie aangenomen </w:t>
      </w:r>
      <w:r w:rsidRPr="003A1EF6" w:rsidR="00920DE1">
        <w:rPr>
          <w:szCs w:val="18"/>
          <w:lang w:val="nl-NL"/>
        </w:rPr>
        <w:t>om voor Hongarije</w:t>
      </w:r>
      <w:r w:rsidRPr="003A1EF6">
        <w:rPr>
          <w:rStyle w:val="Voetnootmarkering"/>
          <w:szCs w:val="18"/>
          <w:lang w:val="nl-NL"/>
        </w:rPr>
        <w:footnoteReference w:id="39"/>
      </w:r>
      <w:r w:rsidRPr="003A1EF6" w:rsidR="00920DE1">
        <w:rPr>
          <w:szCs w:val="18"/>
          <w:lang w:val="nl-NL"/>
        </w:rPr>
        <w:t xml:space="preserve"> en Roemenië</w:t>
      </w:r>
      <w:r w:rsidRPr="003A1EF6">
        <w:rPr>
          <w:rStyle w:val="Voetnootmarkering"/>
          <w:szCs w:val="18"/>
          <w:lang w:val="nl-NL"/>
        </w:rPr>
        <w:footnoteReference w:id="40"/>
      </w:r>
      <w:r w:rsidRPr="003A1EF6" w:rsidR="00920DE1">
        <w:rPr>
          <w:szCs w:val="18"/>
          <w:lang w:val="nl-NL"/>
        </w:rPr>
        <w:t xml:space="preserve"> opnieuw vast te stellen dat er sprake is van “</w:t>
      </w:r>
      <w:r w:rsidRPr="003A1EF6" w:rsidR="00920DE1">
        <w:rPr>
          <w:i/>
          <w:szCs w:val="18"/>
          <w:lang w:val="nl-NL"/>
        </w:rPr>
        <w:t>niet-effectieve actie</w:t>
      </w:r>
      <w:r w:rsidRPr="003A1EF6" w:rsidR="00920DE1">
        <w:rPr>
          <w:szCs w:val="18"/>
          <w:lang w:val="nl-NL"/>
        </w:rPr>
        <w:t>” ten aanzien van de door de eerder aangenomen aanbevelingen van de Raad binnen de significante afwijkingsprocedure, waarbij de Raad aanbevelingen aan deze landen deed over het tempo waarmee zij hun structurele begrotingssaldo zouden moeten verlagen.</w:t>
      </w:r>
      <w:r w:rsidRPr="003A1EF6" w:rsidR="00920DE1">
        <w:rPr>
          <w:rStyle w:val="Voetnootmarkering"/>
          <w:szCs w:val="18"/>
        </w:rPr>
        <w:footnoteReference w:id="41"/>
      </w:r>
      <w:r w:rsidRPr="003A1EF6" w:rsidR="00920DE1">
        <w:rPr>
          <w:szCs w:val="18"/>
          <w:lang w:val="nl-NL"/>
        </w:rPr>
        <w:t xml:space="preserve"> </w:t>
      </w:r>
    </w:p>
    <w:p w:rsidRPr="003A1EF6" w:rsidR="00C046B7" w:rsidP="00D713DC" w:rsidRDefault="00C046B7" w14:paraId="348A124D" w14:textId="77777777">
      <w:pPr>
        <w:spacing w:after="0" w:line="360" w:lineRule="auto"/>
        <w:contextualSpacing/>
        <w:rPr>
          <w:szCs w:val="18"/>
          <w:lang w:val="nl-NL"/>
        </w:rPr>
      </w:pPr>
    </w:p>
    <w:p w:rsidRPr="003A1EF6" w:rsidR="00920DE1" w:rsidP="00D713DC" w:rsidRDefault="00920DE1" w14:paraId="3C419B6C" w14:textId="7CCD1DF5">
      <w:pPr>
        <w:spacing w:after="0" w:line="360" w:lineRule="auto"/>
        <w:contextualSpacing/>
        <w:rPr>
          <w:szCs w:val="18"/>
          <w:lang w:val="nl-NL"/>
        </w:rPr>
      </w:pPr>
      <w:r w:rsidRPr="003A1EF6">
        <w:rPr>
          <w:szCs w:val="18"/>
          <w:lang w:val="nl-NL"/>
        </w:rPr>
        <w:t>Tegelijkertijd heeft de</w:t>
      </w:r>
      <w:r w:rsidRPr="003A1EF6" w:rsidR="00C046B7">
        <w:rPr>
          <w:szCs w:val="18"/>
          <w:lang w:val="nl-NL"/>
        </w:rPr>
        <w:t xml:space="preserve"> Ecofinraad de voorstellen van de Europese Commissie aangenomen met </w:t>
      </w:r>
      <w:r w:rsidRPr="003A1EF6">
        <w:rPr>
          <w:szCs w:val="18"/>
          <w:lang w:val="nl-NL"/>
        </w:rPr>
        <w:t>a</w:t>
      </w:r>
      <w:r w:rsidR="0099228A">
        <w:rPr>
          <w:szCs w:val="18"/>
          <w:lang w:val="nl-NL"/>
        </w:rPr>
        <w:t>anbevelingen voor een correctie-</w:t>
      </w:r>
      <w:r w:rsidRPr="003A1EF6">
        <w:rPr>
          <w:szCs w:val="18"/>
          <w:lang w:val="nl-NL"/>
        </w:rPr>
        <w:t>pad voor Hongarije</w:t>
      </w:r>
      <w:r w:rsidRPr="003A1EF6" w:rsidR="00C046B7">
        <w:rPr>
          <w:rStyle w:val="Voetnootmarkering"/>
          <w:szCs w:val="18"/>
          <w:lang w:val="nl-NL"/>
        </w:rPr>
        <w:footnoteReference w:id="42"/>
      </w:r>
      <w:r w:rsidRPr="003A1EF6">
        <w:rPr>
          <w:szCs w:val="18"/>
          <w:lang w:val="nl-NL"/>
        </w:rPr>
        <w:t xml:space="preserve"> en een nieuw correctie-pad voor Roemenië</w:t>
      </w:r>
      <w:r w:rsidRPr="003A1EF6" w:rsidR="00C046B7">
        <w:rPr>
          <w:rStyle w:val="Voetnootmarkering"/>
          <w:szCs w:val="18"/>
          <w:lang w:val="nl-NL"/>
        </w:rPr>
        <w:footnoteReference w:id="43"/>
      </w:r>
      <w:r w:rsidRPr="003A1EF6">
        <w:rPr>
          <w:szCs w:val="18"/>
          <w:lang w:val="nl-NL"/>
        </w:rPr>
        <w:t>. Het correctie-pad van Hongarije voor 2020 bestaat uit een vereiste verbetering van het structureel saldo met 0,75% bbp en maximale netto primaire uitgavengroei van 4,7%. Voor Roemenië bestaat het correctie-pad voor 2020 uit een vereiste verbetering van het structureel saldo met 1,0% bbp en maximale netto primaire uitgavengroei van 4,4%.</w:t>
      </w:r>
    </w:p>
    <w:p w:rsidRPr="003A1EF6" w:rsidR="00920DE1" w:rsidP="00D713DC" w:rsidRDefault="00920DE1" w14:paraId="2CF68123" w14:textId="5F3ECF0C">
      <w:pPr>
        <w:spacing w:after="0" w:line="360" w:lineRule="auto"/>
        <w:contextualSpacing/>
        <w:rPr>
          <w:b/>
          <w:szCs w:val="18"/>
          <w:lang w:val="nl-NL"/>
        </w:rPr>
      </w:pPr>
    </w:p>
    <w:p w:rsidRPr="003A1EF6" w:rsidR="00A82864" w:rsidP="00D713DC" w:rsidRDefault="00A82864" w14:paraId="4C5244F5" w14:textId="0AA31202">
      <w:pPr>
        <w:spacing w:after="0" w:line="360" w:lineRule="auto"/>
        <w:contextualSpacing/>
        <w:rPr>
          <w:b/>
          <w:szCs w:val="18"/>
        </w:rPr>
      </w:pPr>
      <w:r w:rsidRPr="003A1EF6">
        <w:rPr>
          <w:b/>
          <w:szCs w:val="18"/>
        </w:rPr>
        <w:t xml:space="preserve">Any other business - </w:t>
      </w:r>
      <w:proofErr w:type="spellStart"/>
      <w:r w:rsidRPr="003A1EF6">
        <w:rPr>
          <w:b/>
          <w:szCs w:val="18"/>
        </w:rPr>
        <w:t>Publieke</w:t>
      </w:r>
      <w:proofErr w:type="spellEnd"/>
      <w:r w:rsidRPr="003A1EF6">
        <w:rPr>
          <w:b/>
          <w:szCs w:val="18"/>
        </w:rPr>
        <w:t xml:space="preserve"> country-by-country-reporting</w:t>
      </w:r>
    </w:p>
    <w:p w:rsidRPr="003A1EF6" w:rsidR="00A82864" w:rsidP="00D713DC" w:rsidRDefault="00A82864" w14:paraId="0B2C4D77" w14:textId="59EC7C20">
      <w:pPr>
        <w:spacing w:after="0" w:line="360" w:lineRule="auto"/>
        <w:contextualSpacing/>
        <w:rPr>
          <w:b/>
          <w:szCs w:val="18"/>
          <w:lang w:val="nl-NL"/>
        </w:rPr>
      </w:pPr>
      <w:r w:rsidRPr="003A1EF6">
        <w:rPr>
          <w:szCs w:val="18"/>
          <w:lang w:val="nl-NL"/>
        </w:rPr>
        <w:t>De Zweedse delegatie he</w:t>
      </w:r>
      <w:r w:rsidRPr="003A1EF6" w:rsidR="00592FF5">
        <w:rPr>
          <w:szCs w:val="18"/>
          <w:lang w:val="nl-NL"/>
        </w:rPr>
        <w:t>e</w:t>
      </w:r>
      <w:r w:rsidRPr="003A1EF6">
        <w:rPr>
          <w:szCs w:val="18"/>
          <w:lang w:val="nl-NL"/>
        </w:rPr>
        <w:t>ft de Ecofinraad geïnformeerd over haar zorgen ten aanzien van een richtlijnvoorstel dat grote multinationals in de EU en dochters van buiten de EU gevestigde grote multinationals verplicht om op jaarlijkse basis te publiceren over de belastingen die zij wereldwijd per land betalen (“publieke country-</w:t>
      </w:r>
      <w:proofErr w:type="spellStart"/>
      <w:r w:rsidRPr="003A1EF6">
        <w:rPr>
          <w:szCs w:val="18"/>
          <w:lang w:val="nl-NL"/>
        </w:rPr>
        <w:t>by</w:t>
      </w:r>
      <w:proofErr w:type="spellEnd"/>
      <w:r w:rsidRPr="003A1EF6">
        <w:rPr>
          <w:szCs w:val="18"/>
          <w:lang w:val="nl-NL"/>
        </w:rPr>
        <w:t>-country-</w:t>
      </w:r>
      <w:proofErr w:type="spellStart"/>
      <w:r w:rsidRPr="003A1EF6">
        <w:rPr>
          <w:szCs w:val="18"/>
          <w:lang w:val="nl-NL"/>
        </w:rPr>
        <w:t>reporting</w:t>
      </w:r>
      <w:proofErr w:type="spellEnd"/>
      <w:r w:rsidRPr="003A1EF6">
        <w:rPr>
          <w:szCs w:val="18"/>
          <w:lang w:val="nl-NL"/>
        </w:rPr>
        <w:t>”).</w:t>
      </w:r>
      <w:r w:rsidR="0099228A">
        <w:rPr>
          <w:szCs w:val="18"/>
          <w:lang w:val="nl-NL"/>
        </w:rPr>
        <w:t xml:space="preserve"> E</w:t>
      </w:r>
      <w:r w:rsidR="00A669F4">
        <w:rPr>
          <w:szCs w:val="18"/>
          <w:lang w:val="nl-NL"/>
        </w:rPr>
        <w:t>nkele lidstaten steunden Zweden;</w:t>
      </w:r>
      <w:r w:rsidR="0099228A">
        <w:rPr>
          <w:szCs w:val="18"/>
          <w:lang w:val="nl-NL"/>
        </w:rPr>
        <w:t xml:space="preserve"> Nederland </w:t>
      </w:r>
      <w:r w:rsidR="00A669F4">
        <w:rPr>
          <w:szCs w:val="18"/>
          <w:lang w:val="nl-NL"/>
        </w:rPr>
        <w:t>en vele andere landen hebben juist steun uit</w:t>
      </w:r>
      <w:r w:rsidR="0099228A">
        <w:rPr>
          <w:szCs w:val="18"/>
          <w:lang w:val="nl-NL"/>
        </w:rPr>
        <w:t xml:space="preserve">gesproken voor het </w:t>
      </w:r>
      <w:r w:rsidR="00A669F4">
        <w:rPr>
          <w:szCs w:val="18"/>
          <w:lang w:val="nl-NL"/>
        </w:rPr>
        <w:t xml:space="preserve">huidige </w:t>
      </w:r>
      <w:r w:rsidR="0099228A">
        <w:rPr>
          <w:szCs w:val="18"/>
          <w:lang w:val="nl-NL"/>
        </w:rPr>
        <w:t>voorstel.</w:t>
      </w:r>
      <w:r w:rsidRPr="003A1EF6">
        <w:rPr>
          <w:rStyle w:val="Voetnootmarkering"/>
          <w:szCs w:val="18"/>
          <w:lang w:val="nl-NL"/>
        </w:rPr>
        <w:footnoteReference w:id="44"/>
      </w:r>
      <w:r w:rsidRPr="003A1EF6">
        <w:rPr>
          <w:szCs w:val="18"/>
          <w:lang w:val="nl-NL"/>
        </w:rPr>
        <w:t xml:space="preserve"> </w:t>
      </w:r>
    </w:p>
    <w:p w:rsidRPr="003A1EF6" w:rsidR="00A82864" w:rsidP="00D713DC" w:rsidRDefault="00A82864" w14:paraId="3DA47545" w14:textId="77777777">
      <w:pPr>
        <w:spacing w:after="0" w:line="360" w:lineRule="auto"/>
        <w:contextualSpacing/>
        <w:rPr>
          <w:b/>
          <w:szCs w:val="18"/>
          <w:lang w:val="nl-NL"/>
        </w:rPr>
      </w:pPr>
    </w:p>
    <w:p w:rsidRPr="003A1EF6" w:rsidR="00174102" w:rsidP="00D713DC" w:rsidRDefault="00174102" w14:paraId="5F8F1E93" w14:textId="37B30B06">
      <w:pPr>
        <w:spacing w:after="0" w:line="360" w:lineRule="auto"/>
        <w:contextualSpacing/>
        <w:rPr>
          <w:b/>
          <w:szCs w:val="18"/>
        </w:rPr>
      </w:pPr>
      <w:r w:rsidRPr="003A1EF6">
        <w:rPr>
          <w:b/>
          <w:szCs w:val="18"/>
        </w:rPr>
        <w:t>Any other business – non-</w:t>
      </w:r>
      <w:proofErr w:type="spellStart"/>
      <w:r w:rsidRPr="003A1EF6">
        <w:rPr>
          <w:b/>
          <w:szCs w:val="18"/>
        </w:rPr>
        <w:t>coöperatieve</w:t>
      </w:r>
      <w:proofErr w:type="spellEnd"/>
      <w:r w:rsidRPr="003A1EF6">
        <w:rPr>
          <w:b/>
          <w:szCs w:val="18"/>
        </w:rPr>
        <w:t xml:space="preserve"> </w:t>
      </w:r>
      <w:proofErr w:type="spellStart"/>
      <w:r w:rsidRPr="003A1EF6">
        <w:rPr>
          <w:b/>
          <w:szCs w:val="18"/>
        </w:rPr>
        <w:t>jurisdicties</w:t>
      </w:r>
      <w:proofErr w:type="spellEnd"/>
      <w:r w:rsidRPr="003A1EF6">
        <w:rPr>
          <w:b/>
          <w:szCs w:val="18"/>
        </w:rPr>
        <w:t xml:space="preserve"> op </w:t>
      </w:r>
      <w:proofErr w:type="spellStart"/>
      <w:r w:rsidRPr="003A1EF6">
        <w:rPr>
          <w:b/>
          <w:szCs w:val="18"/>
        </w:rPr>
        <w:t>belastinggebied</w:t>
      </w:r>
      <w:proofErr w:type="spellEnd"/>
    </w:p>
    <w:p w:rsidRPr="003A1EF6" w:rsidR="00174102" w:rsidP="00D713DC" w:rsidRDefault="00174102" w14:paraId="5F19AFF1" w14:textId="0207ECCB">
      <w:pPr>
        <w:spacing w:after="0" w:line="360" w:lineRule="auto"/>
        <w:contextualSpacing/>
        <w:rPr>
          <w:szCs w:val="18"/>
          <w:lang w:val="nl-NL"/>
        </w:rPr>
      </w:pPr>
      <w:r w:rsidRPr="003A1EF6">
        <w:rPr>
          <w:szCs w:val="18"/>
          <w:lang w:val="nl-NL"/>
        </w:rPr>
        <w:t xml:space="preserve">Op verzoek van Denemarken en met steun van meerdere lidstaten zal het Kroatische voorzitterschap (in de eerste helft van 2020) een evaluatie </w:t>
      </w:r>
      <w:r w:rsidRPr="003A1EF6" w:rsidR="00592FF5">
        <w:rPr>
          <w:szCs w:val="18"/>
          <w:lang w:val="nl-NL"/>
        </w:rPr>
        <w:t>starten</w:t>
      </w:r>
      <w:r w:rsidRPr="003A1EF6">
        <w:rPr>
          <w:szCs w:val="18"/>
          <w:lang w:val="nl-NL"/>
        </w:rPr>
        <w:t xml:space="preserve"> van de lijst van non-coöperatieve jurisdicties op belastinggebied </w:t>
      </w:r>
      <w:r w:rsidRPr="003A1EF6" w:rsidR="0066577F">
        <w:rPr>
          <w:szCs w:val="18"/>
          <w:lang w:val="nl-NL"/>
        </w:rPr>
        <w:t>(ook wel: “zwarte lijst”)</w:t>
      </w:r>
      <w:r w:rsidRPr="003A1EF6">
        <w:rPr>
          <w:szCs w:val="18"/>
          <w:lang w:val="nl-NL"/>
        </w:rPr>
        <w:t xml:space="preserve"> van de Gedragscodegroep. </w:t>
      </w:r>
    </w:p>
    <w:p w:rsidRPr="003A1EF6" w:rsidR="00174102" w:rsidP="00D713DC" w:rsidRDefault="00174102" w14:paraId="37058330" w14:textId="77777777">
      <w:pPr>
        <w:spacing w:after="0" w:line="360" w:lineRule="auto"/>
        <w:contextualSpacing/>
        <w:rPr>
          <w:b/>
          <w:szCs w:val="18"/>
          <w:lang w:val="nl-NL"/>
        </w:rPr>
      </w:pPr>
    </w:p>
    <w:p w:rsidR="00A669F4" w:rsidP="00D713DC" w:rsidRDefault="00A669F4" w14:paraId="48892E02" w14:textId="77777777">
      <w:pPr>
        <w:spacing w:after="0" w:line="360" w:lineRule="auto"/>
        <w:contextualSpacing/>
        <w:rPr>
          <w:b/>
          <w:szCs w:val="18"/>
          <w:lang w:val="nl-NL"/>
        </w:rPr>
      </w:pPr>
    </w:p>
    <w:p w:rsidR="00A669F4" w:rsidP="00D713DC" w:rsidRDefault="00A669F4" w14:paraId="722C7655" w14:textId="77777777">
      <w:pPr>
        <w:spacing w:after="0" w:line="360" w:lineRule="auto"/>
        <w:contextualSpacing/>
        <w:rPr>
          <w:b/>
          <w:szCs w:val="18"/>
          <w:lang w:val="nl-NL"/>
        </w:rPr>
      </w:pPr>
    </w:p>
    <w:p w:rsidRPr="003A1EF6" w:rsidR="00A82864" w:rsidP="00D713DC" w:rsidRDefault="00A82864" w14:paraId="6933A3E4" w14:textId="51B6F045">
      <w:pPr>
        <w:spacing w:after="0" w:line="360" w:lineRule="auto"/>
        <w:contextualSpacing/>
        <w:rPr>
          <w:b/>
          <w:szCs w:val="18"/>
          <w:lang w:val="nl-NL"/>
        </w:rPr>
      </w:pPr>
      <w:bookmarkStart w:name="_GoBack" w:id="0"/>
      <w:bookmarkEnd w:id="0"/>
      <w:proofErr w:type="spellStart"/>
      <w:r w:rsidRPr="003A1EF6">
        <w:rPr>
          <w:b/>
          <w:szCs w:val="18"/>
          <w:lang w:val="nl-NL"/>
        </w:rPr>
        <w:lastRenderedPageBreak/>
        <w:t>Any</w:t>
      </w:r>
      <w:proofErr w:type="spellEnd"/>
      <w:r w:rsidRPr="003A1EF6">
        <w:rPr>
          <w:b/>
          <w:szCs w:val="18"/>
          <w:lang w:val="nl-NL"/>
        </w:rPr>
        <w:t xml:space="preserve"> </w:t>
      </w:r>
      <w:proofErr w:type="spellStart"/>
      <w:r w:rsidRPr="003A1EF6">
        <w:rPr>
          <w:b/>
          <w:szCs w:val="18"/>
          <w:lang w:val="nl-NL"/>
        </w:rPr>
        <w:t>other</w:t>
      </w:r>
      <w:proofErr w:type="spellEnd"/>
      <w:r w:rsidRPr="003A1EF6">
        <w:rPr>
          <w:b/>
          <w:szCs w:val="18"/>
          <w:lang w:val="nl-NL"/>
        </w:rPr>
        <w:t xml:space="preserve"> business - Stand van zaken financiële diensten dossiers</w:t>
      </w:r>
    </w:p>
    <w:p w:rsidRPr="003A1EF6" w:rsidR="00A82864" w:rsidP="00D713DC" w:rsidRDefault="00A82864" w14:paraId="7D235B22" w14:textId="77777777">
      <w:pPr>
        <w:spacing w:after="0" w:line="360" w:lineRule="auto"/>
        <w:contextualSpacing/>
        <w:rPr>
          <w:szCs w:val="18"/>
          <w:lang w:val="nl-NL"/>
        </w:rPr>
      </w:pPr>
      <w:r w:rsidRPr="003A1EF6">
        <w:rPr>
          <w:szCs w:val="18"/>
          <w:lang w:val="nl-NL"/>
        </w:rPr>
        <w:t>Het voorzitterschap heeft de Ecofinraad zoals gebruikelijk van informatie voorzien over de huidige wetgevingsvoorstellen voor financiële diensten.</w:t>
      </w:r>
      <w:r w:rsidRPr="003A1EF6">
        <w:rPr>
          <w:rStyle w:val="Voetnootmarkering"/>
          <w:szCs w:val="18"/>
          <w:lang w:val="nl-NL"/>
        </w:rPr>
        <w:footnoteReference w:id="45"/>
      </w:r>
    </w:p>
    <w:p w:rsidRPr="003A1EF6" w:rsidR="000268D5" w:rsidP="00D713DC" w:rsidRDefault="000268D5" w14:paraId="1E566D24" w14:textId="6EDF83E0">
      <w:pPr>
        <w:autoSpaceDE w:val="0"/>
        <w:autoSpaceDN w:val="0"/>
        <w:adjustRightInd w:val="0"/>
        <w:spacing w:after="0" w:line="360" w:lineRule="auto"/>
        <w:contextualSpacing/>
        <w:rPr>
          <w:szCs w:val="18"/>
          <w:lang w:val="nl-NL"/>
        </w:rPr>
      </w:pPr>
    </w:p>
    <w:p w:rsidRPr="003A1EF6" w:rsidR="00A82864" w:rsidP="00D713DC" w:rsidRDefault="00A82864" w14:paraId="7EA3775D" w14:textId="77777777">
      <w:pPr>
        <w:autoSpaceDE w:val="0"/>
        <w:autoSpaceDN w:val="0"/>
        <w:adjustRightInd w:val="0"/>
        <w:spacing w:after="0" w:line="360" w:lineRule="auto"/>
        <w:contextualSpacing/>
        <w:rPr>
          <w:szCs w:val="18"/>
          <w:u w:val="single"/>
          <w:lang w:val="nl-NL"/>
        </w:rPr>
      </w:pPr>
    </w:p>
    <w:p w:rsidRPr="003A1EF6" w:rsidR="00F65E94" w:rsidP="00D713DC" w:rsidRDefault="00F65E94" w14:paraId="320118F2" w14:textId="77777777">
      <w:pPr>
        <w:spacing w:after="0" w:line="360" w:lineRule="auto"/>
        <w:contextualSpacing/>
        <w:rPr>
          <w:b/>
          <w:szCs w:val="18"/>
          <w:u w:val="single"/>
          <w:lang w:val="nl-NL"/>
        </w:rPr>
      </w:pPr>
      <w:r w:rsidRPr="003A1EF6">
        <w:rPr>
          <w:b/>
          <w:szCs w:val="18"/>
          <w:u w:val="single"/>
          <w:lang w:val="nl-NL"/>
        </w:rPr>
        <w:t>Vergadering Raad van gouverneurs ESM</w:t>
      </w:r>
    </w:p>
    <w:p w:rsidRPr="00F65E94" w:rsidR="00A82864" w:rsidP="00D713DC" w:rsidRDefault="00F65E94" w14:paraId="5F43ED16" w14:textId="6FB6271D">
      <w:pPr>
        <w:spacing w:after="0" w:line="360" w:lineRule="auto"/>
        <w:contextualSpacing/>
        <w:rPr>
          <w:rFonts w:cs="Verdana"/>
          <w:szCs w:val="18"/>
          <w:lang w:val="nl-NL"/>
        </w:rPr>
      </w:pPr>
      <w:r w:rsidRPr="003A1EF6">
        <w:rPr>
          <w:rFonts w:cs="Verdana"/>
          <w:szCs w:val="18"/>
          <w:lang w:val="nl-NL"/>
        </w:rPr>
        <w:t>In de middag voorafgaand aan de Eurogroep heeft een vergadering van de Raad van gouverneurs van het ESM plaatsgevonden. Daar heeft de Raad van gouverneurs een update gekregen over de voortgang van de evaluatie van financiële assistentie aan Griekenland.</w:t>
      </w:r>
      <w:r w:rsidRPr="003A1EF6">
        <w:rPr>
          <w:rStyle w:val="Voetnootmarkering"/>
          <w:rFonts w:cs="Verdana"/>
          <w:szCs w:val="18"/>
        </w:rPr>
        <w:footnoteReference w:id="46"/>
      </w:r>
      <w:r w:rsidRPr="003A1EF6">
        <w:rPr>
          <w:rFonts w:cs="Verdana"/>
          <w:szCs w:val="18"/>
          <w:lang w:val="nl-NL"/>
        </w:rPr>
        <w:t xml:space="preserve"> Tevens is de aanstelling van een lid van het onafhankelijke auditcomité goedgekeurd op voordracht van de Europese Rekenkamer en is er ingestemd met de beëindiging van een standaard correctie-periode voor Malta ten aanzien van het kapitaal van een lidstaat welke later is toegetreden tot euro, en daarmee tot het ESM.</w:t>
      </w:r>
      <w:r w:rsidRPr="005D79AB">
        <w:rPr>
          <w:rFonts w:cs="Verdana"/>
          <w:szCs w:val="18"/>
          <w:lang w:val="nl-NL"/>
        </w:rPr>
        <w:t xml:space="preserve"> </w:t>
      </w:r>
    </w:p>
    <w:sectPr w:rsidRPr="00F65E94" w:rsidR="00A82864">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A1C0" w14:textId="77777777" w:rsidR="00F962DA" w:rsidRDefault="00F962DA" w:rsidP="00F962DA">
      <w:pPr>
        <w:spacing w:after="0" w:line="240" w:lineRule="auto"/>
      </w:pPr>
      <w:r>
        <w:separator/>
      </w:r>
    </w:p>
  </w:endnote>
  <w:endnote w:type="continuationSeparator" w:id="0">
    <w:p w14:paraId="13400754" w14:textId="77777777" w:rsidR="00F962DA" w:rsidRDefault="00F962DA" w:rsidP="00F9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UI-Bold">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DFDF" w14:textId="77777777" w:rsidR="00F962DA" w:rsidRDefault="00F962DA" w:rsidP="00F962DA">
      <w:pPr>
        <w:spacing w:after="0" w:line="240" w:lineRule="auto"/>
      </w:pPr>
      <w:r>
        <w:separator/>
      </w:r>
    </w:p>
  </w:footnote>
  <w:footnote w:type="continuationSeparator" w:id="0">
    <w:p w14:paraId="42AD7B99" w14:textId="77777777" w:rsidR="00F962DA" w:rsidRDefault="00F962DA" w:rsidP="00F962DA">
      <w:pPr>
        <w:spacing w:after="0" w:line="240" w:lineRule="auto"/>
      </w:pPr>
      <w:r>
        <w:continuationSeparator/>
      </w:r>
    </w:p>
  </w:footnote>
  <w:footnote w:id="1">
    <w:p w14:paraId="5D119666" w14:textId="77777777" w:rsidR="00F5775C" w:rsidRPr="00910C1E" w:rsidRDefault="00F5775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 w:history="1">
        <w:r w:rsidRPr="00910C1E">
          <w:rPr>
            <w:rStyle w:val="Hyperlink"/>
            <w:rFonts w:ascii="Verdana" w:hAnsi="Verdana"/>
            <w:szCs w:val="16"/>
          </w:rPr>
          <w:t>https://ec.europa.eu/info/publications/enhanced-surveillance-report-greece-november-2019_en</w:t>
        </w:r>
      </w:hyperlink>
      <w:r w:rsidRPr="00910C1E">
        <w:rPr>
          <w:rFonts w:ascii="Verdana" w:hAnsi="Verdana"/>
          <w:szCs w:val="16"/>
        </w:rPr>
        <w:t xml:space="preserve"> </w:t>
      </w:r>
    </w:p>
  </w:footnote>
  <w:footnote w:id="2">
    <w:p w14:paraId="06C3A698" w14:textId="77777777" w:rsidR="00F5775C" w:rsidRPr="00910C1E" w:rsidRDefault="00F5775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 w:history="1">
        <w:r w:rsidRPr="00910C1E">
          <w:rPr>
            <w:rStyle w:val="Hyperlink"/>
            <w:rFonts w:ascii="Verdana" w:hAnsi="Verdana"/>
            <w:szCs w:val="16"/>
          </w:rPr>
          <w:t>https://www.consilium.europa.eu/en/press/press-releases/2018/06/22/eurogroup-statement-on-greece-22-june-2018/pdf</w:t>
        </w:r>
      </w:hyperlink>
      <w:r w:rsidRPr="00910C1E">
        <w:rPr>
          <w:rFonts w:ascii="Verdana" w:hAnsi="Verdana"/>
          <w:szCs w:val="16"/>
        </w:rPr>
        <w:t xml:space="preserve"> </w:t>
      </w:r>
    </w:p>
  </w:footnote>
  <w:footnote w:id="3">
    <w:p w14:paraId="1ADAB909" w14:textId="77777777" w:rsidR="00F5775C" w:rsidRPr="00910C1E" w:rsidRDefault="00F5775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3" w:history="1">
        <w:r w:rsidRPr="00910C1E">
          <w:rPr>
            <w:rStyle w:val="Hyperlink"/>
            <w:rFonts w:ascii="Verdana" w:hAnsi="Verdana"/>
            <w:szCs w:val="16"/>
          </w:rPr>
          <w:t>https://www.consilium.europa.eu/en/press/press-releases/2019/12/04/eurogroup-statement-on-greece-of-4-december-2019/pdf</w:t>
        </w:r>
      </w:hyperlink>
      <w:r w:rsidRPr="00910C1E">
        <w:rPr>
          <w:rFonts w:ascii="Verdana" w:hAnsi="Verdana"/>
          <w:szCs w:val="16"/>
        </w:rPr>
        <w:t xml:space="preserve"> </w:t>
      </w:r>
    </w:p>
  </w:footnote>
  <w:footnote w:id="4">
    <w:p w14:paraId="00178864" w14:textId="6D0F6E96" w:rsidR="00976D77" w:rsidRPr="00910C1E" w:rsidRDefault="00976D7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4" w:history="1">
        <w:r w:rsidRPr="00910C1E">
          <w:rPr>
            <w:rStyle w:val="Hyperlink"/>
            <w:rFonts w:ascii="Verdana" w:hAnsi="Verdana"/>
            <w:szCs w:val="16"/>
          </w:rPr>
          <w:t>https://ec.europa.eu/info/publications/post-programme-surveillance-report-cyprus-autumn-2019_en</w:t>
        </w:r>
      </w:hyperlink>
      <w:r w:rsidRPr="00910C1E">
        <w:rPr>
          <w:rFonts w:ascii="Verdana" w:hAnsi="Verdana"/>
          <w:szCs w:val="16"/>
        </w:rPr>
        <w:t xml:space="preserve"> </w:t>
      </w:r>
    </w:p>
  </w:footnote>
  <w:footnote w:id="5">
    <w:p w14:paraId="1654D122" w14:textId="77777777" w:rsidR="0017204F" w:rsidRPr="00910C1E" w:rsidRDefault="0017204F"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5" w:history="1">
        <w:r w:rsidRPr="00910C1E">
          <w:rPr>
            <w:rStyle w:val="Hyperlink"/>
            <w:rFonts w:ascii="Verdana" w:hAnsi="Verdana"/>
            <w:szCs w:val="16"/>
          </w:rPr>
          <w:t>https://ec.europa.eu/info/publications/post-programme-surveillance-report-spain-autumn-2019_en</w:t>
        </w:r>
      </w:hyperlink>
      <w:r w:rsidRPr="00910C1E">
        <w:rPr>
          <w:rFonts w:ascii="Verdana" w:hAnsi="Verdana"/>
          <w:szCs w:val="16"/>
        </w:rPr>
        <w:t xml:space="preserve"> </w:t>
      </w:r>
    </w:p>
  </w:footnote>
  <w:footnote w:id="6">
    <w:p w14:paraId="35FD10C3" w14:textId="77777777" w:rsidR="008B4480" w:rsidRPr="00910C1E" w:rsidRDefault="008B4480"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6" w:history="1">
        <w:r w:rsidRPr="00910C1E">
          <w:rPr>
            <w:rStyle w:val="Hyperlink"/>
            <w:rFonts w:ascii="Verdana" w:hAnsi="Verdana" w:cs="Arial"/>
            <w:bCs/>
            <w:szCs w:val="16"/>
          </w:rPr>
          <w:t>https://ec.europa.eu/info/business-economy-euro/economic-and-fiscal-policy-coordination/eu-economic-governance-monitoring-prevention-correction/stability-and-growth-pact/annual-draft-budgetary-plans-dbps-euro-area-countries/draft-budgetary-plans-2020_en</w:t>
        </w:r>
      </w:hyperlink>
      <w:r w:rsidRPr="00910C1E">
        <w:rPr>
          <w:rFonts w:ascii="Verdana" w:hAnsi="Verdana" w:cs="Arial"/>
          <w:bCs/>
          <w:szCs w:val="16"/>
        </w:rPr>
        <w:t xml:space="preserve"> </w:t>
      </w:r>
    </w:p>
  </w:footnote>
  <w:footnote w:id="7">
    <w:p w14:paraId="4878C981" w14:textId="77777777" w:rsidR="008B4480" w:rsidRPr="00910C1E" w:rsidRDefault="008B4480"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r w:rsidRPr="00910C1E">
        <w:rPr>
          <w:rFonts w:ascii="Verdana" w:hAnsi="Verdana" w:cs="Arial"/>
          <w:szCs w:val="16"/>
        </w:rPr>
        <w:t xml:space="preserve">Deze verplichting vloeit voort uit het </w:t>
      </w:r>
      <w:proofErr w:type="spellStart"/>
      <w:r w:rsidRPr="00910C1E">
        <w:rPr>
          <w:rFonts w:ascii="Verdana" w:hAnsi="Verdana" w:cs="Arial"/>
          <w:i/>
          <w:szCs w:val="16"/>
        </w:rPr>
        <w:t>two</w:t>
      </w:r>
      <w:proofErr w:type="spellEnd"/>
      <w:r w:rsidRPr="00910C1E">
        <w:rPr>
          <w:rFonts w:ascii="Verdana" w:hAnsi="Verdana" w:cs="Arial"/>
          <w:i/>
          <w:szCs w:val="16"/>
        </w:rPr>
        <w:t>-pack</w:t>
      </w:r>
      <w:r w:rsidRPr="00910C1E">
        <w:rPr>
          <w:rFonts w:ascii="Verdana" w:hAnsi="Verdana" w:cs="Arial"/>
          <w:szCs w:val="16"/>
        </w:rPr>
        <w:t xml:space="preserve"> (verordening 473/2013).</w:t>
      </w:r>
    </w:p>
  </w:footnote>
  <w:footnote w:id="8">
    <w:p w14:paraId="5CD72A56" w14:textId="77777777" w:rsidR="008B4480" w:rsidRPr="00910C1E" w:rsidRDefault="008B4480"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7" w:history="1">
        <w:r w:rsidRPr="00910C1E">
          <w:rPr>
            <w:rStyle w:val="Hyperlink"/>
            <w:rFonts w:ascii="Verdana" w:hAnsi="Verdana"/>
            <w:szCs w:val="16"/>
          </w:rPr>
          <w:t>https://www.consilium.europa.eu/en/press/press-releases/2019/12/04/eurogroup-statement-on-the-draft-budgetary-plans-for-2020/pdf</w:t>
        </w:r>
      </w:hyperlink>
      <w:r w:rsidRPr="00910C1E">
        <w:rPr>
          <w:rFonts w:ascii="Verdana" w:hAnsi="Verdana"/>
          <w:szCs w:val="16"/>
        </w:rPr>
        <w:t xml:space="preserve"> </w:t>
      </w:r>
    </w:p>
  </w:footnote>
  <w:footnote w:id="9">
    <w:p w14:paraId="1E71AEE6" w14:textId="25293978" w:rsidR="00895167" w:rsidRPr="00910C1E" w:rsidRDefault="0089516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8" w:history="1">
        <w:r w:rsidRPr="00910C1E">
          <w:rPr>
            <w:rStyle w:val="Hyperlink"/>
            <w:rFonts w:ascii="Verdana" w:hAnsi="Verdana"/>
            <w:szCs w:val="16"/>
          </w:rPr>
          <w:t>https://www.consilium.europa.eu/en/council-eu/eurogroup/work-programme/#</w:t>
        </w:r>
      </w:hyperlink>
      <w:r w:rsidRPr="00910C1E">
        <w:rPr>
          <w:rFonts w:ascii="Verdana" w:hAnsi="Verdana"/>
          <w:szCs w:val="16"/>
        </w:rPr>
        <w:t xml:space="preserve"> </w:t>
      </w:r>
    </w:p>
  </w:footnote>
  <w:footnote w:id="10">
    <w:p w14:paraId="38DF6E7F" w14:textId="6798FF9F" w:rsidR="00895167" w:rsidRPr="00910C1E" w:rsidRDefault="0089516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9" w:history="1">
        <w:r w:rsidRPr="00910C1E">
          <w:rPr>
            <w:rStyle w:val="Hyperlink"/>
            <w:rFonts w:ascii="Verdana" w:hAnsi="Verdana"/>
            <w:szCs w:val="16"/>
          </w:rPr>
          <w:t>https://www.consilium.europa.eu/en/council-eu/eurogroup/eurogroup-working-group/</w:t>
        </w:r>
      </w:hyperlink>
      <w:r w:rsidRPr="00910C1E">
        <w:rPr>
          <w:rFonts w:ascii="Verdana" w:hAnsi="Verdana"/>
          <w:szCs w:val="16"/>
        </w:rPr>
        <w:t xml:space="preserve"> </w:t>
      </w:r>
    </w:p>
  </w:footnote>
  <w:footnote w:id="11">
    <w:p w14:paraId="6A7CC99F"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Alle EU-lidstaten zonder het VK</w:t>
      </w:r>
    </w:p>
  </w:footnote>
  <w:footnote w:id="12">
    <w:p w14:paraId="504FD957"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0" w:history="1">
        <w:r w:rsidRPr="00910C1E">
          <w:rPr>
            <w:rStyle w:val="Hyperlink"/>
            <w:rFonts w:ascii="Verdana" w:hAnsi="Verdana"/>
            <w:szCs w:val="16"/>
          </w:rPr>
          <w:t>https://www.consilium.europa.eu/nl/press/press-releases/2019/06/21/statement-of-the-euro-summit-21-june-2019</w:t>
        </w:r>
      </w:hyperlink>
      <w:r w:rsidRPr="00910C1E">
        <w:rPr>
          <w:rFonts w:ascii="Verdana" w:hAnsi="Verdana"/>
          <w:szCs w:val="16"/>
        </w:rPr>
        <w:t xml:space="preserve"> </w:t>
      </w:r>
    </w:p>
  </w:footnote>
  <w:footnote w:id="13">
    <w:p w14:paraId="2251ACC2"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2018-2019, </w:t>
      </w:r>
      <w:r w:rsidRPr="00910C1E">
        <w:rPr>
          <w:rFonts w:ascii="Verdana" w:hAnsi="Verdana" w:cs="Arial"/>
          <w:color w:val="333333"/>
          <w:szCs w:val="16"/>
        </w:rPr>
        <w:t xml:space="preserve">21501-07, nr.1605 </w:t>
      </w:r>
    </w:p>
  </w:footnote>
  <w:footnote w:id="14">
    <w:p w14:paraId="325D5343"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2019-2020, 21501-07, nr.1641</w:t>
      </w:r>
    </w:p>
  </w:footnote>
  <w:footnote w:id="15">
    <w:p w14:paraId="41500170"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2019-2020, 21501-07, nr.1641</w:t>
      </w:r>
    </w:p>
  </w:footnote>
  <w:footnote w:id="16">
    <w:p w14:paraId="35540632"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1" w:history="1">
        <w:r w:rsidRPr="00910C1E">
          <w:rPr>
            <w:rStyle w:val="Hyperlink"/>
            <w:rFonts w:ascii="Verdana" w:hAnsi="Verdana"/>
            <w:szCs w:val="16"/>
          </w:rPr>
          <w:t>https://www.rijksoverheid.nl/documenten/kamerstukken/2019/11/22/geannoteerde-agenda-eurogroep-en-ecofinraad-4-en-5-december-2019</w:t>
        </w:r>
      </w:hyperlink>
      <w:r w:rsidRPr="00910C1E">
        <w:rPr>
          <w:rFonts w:ascii="Verdana" w:hAnsi="Verdana"/>
          <w:szCs w:val="16"/>
        </w:rPr>
        <w:t xml:space="preserve"> </w:t>
      </w:r>
    </w:p>
  </w:footnote>
  <w:footnote w:id="17">
    <w:p w14:paraId="737E8434"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2019-2020, 21501-07, nr.1641</w:t>
      </w:r>
    </w:p>
  </w:footnote>
  <w:footnote w:id="18">
    <w:p w14:paraId="57A2A923"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2" w:history="1">
        <w:r w:rsidRPr="00910C1E">
          <w:rPr>
            <w:rStyle w:val="Hyperlink"/>
            <w:rFonts w:ascii="Verdana" w:hAnsi="Verdana"/>
            <w:szCs w:val="16"/>
            <w:lang w:eastAsia="en-US"/>
          </w:rPr>
          <w:t>https://www.consilium.europa.eu/media/41644/2019-12-03-letter-from-the-hlwg-chair-to-the-peg.pdf</w:t>
        </w:r>
      </w:hyperlink>
    </w:p>
  </w:footnote>
  <w:footnote w:id="19">
    <w:p w14:paraId="163F9370" w14:textId="77777777" w:rsidR="002174CC" w:rsidRPr="00910C1E" w:rsidRDefault="002174CC"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3" w:history="1">
        <w:r w:rsidRPr="00910C1E">
          <w:rPr>
            <w:rStyle w:val="Hyperlink"/>
            <w:rFonts w:ascii="Verdana" w:hAnsi="Verdana"/>
            <w:szCs w:val="16"/>
          </w:rPr>
          <w:t>https://www.consilium.europa.eu/en/press/press-releases/2019/06/14/term-sheet-on-the-budgetary-instrument-for-convergence-and-competitiveness/pdf</w:t>
        </w:r>
      </w:hyperlink>
      <w:r w:rsidRPr="00910C1E">
        <w:rPr>
          <w:rFonts w:ascii="Verdana" w:hAnsi="Verdana"/>
          <w:szCs w:val="16"/>
        </w:rPr>
        <w:t xml:space="preserve"> en </w:t>
      </w:r>
      <w:hyperlink r:id="rId14" w:history="1">
        <w:r w:rsidRPr="00910C1E">
          <w:rPr>
            <w:rStyle w:val="Hyperlink"/>
            <w:rFonts w:ascii="Verdana" w:hAnsi="Verdana"/>
            <w:szCs w:val="16"/>
          </w:rPr>
          <w:t>https://www.consilium.europa.eu/en/press/press-releases/2019/10/10/term-sheet-on-the-budgetary-instrument-for-convergence-and-competitiveness-bicc/pdf</w:t>
        </w:r>
      </w:hyperlink>
      <w:r w:rsidRPr="00910C1E">
        <w:rPr>
          <w:rFonts w:ascii="Verdana" w:hAnsi="Verdana"/>
          <w:szCs w:val="16"/>
        </w:rPr>
        <w:t xml:space="preserve"> </w:t>
      </w:r>
    </w:p>
  </w:footnote>
  <w:footnote w:id="20">
    <w:p w14:paraId="2007DC7F" w14:textId="77777777" w:rsidR="002174CC" w:rsidRPr="00910C1E" w:rsidRDefault="002174CC" w:rsidP="00910C1E">
      <w:pPr>
        <w:pStyle w:val="Voetnoottekst"/>
        <w:spacing w:line="240" w:lineRule="auto"/>
        <w:rPr>
          <w:rFonts w:ascii="Verdana" w:hAnsi="Verdana"/>
          <w:szCs w:val="16"/>
          <w:lang w:eastAsia="zh-TW"/>
        </w:rPr>
      </w:pPr>
      <w:r w:rsidRPr="00910C1E">
        <w:rPr>
          <w:rStyle w:val="Voetnootmarkering"/>
          <w:rFonts w:ascii="Verdana" w:hAnsi="Verdana"/>
          <w:szCs w:val="16"/>
        </w:rPr>
        <w:footnoteRef/>
      </w:r>
      <w:r w:rsidRPr="00910C1E">
        <w:rPr>
          <w:rFonts w:ascii="Verdana" w:hAnsi="Verdana"/>
          <w:szCs w:val="16"/>
        </w:rPr>
        <w:t xml:space="preserve"> Kamerstukken II, 2017-18, 22112, nr. 2633 en 2019-20, 22112, nr. 2825</w:t>
      </w:r>
    </w:p>
  </w:footnote>
  <w:footnote w:id="21">
    <w:p w14:paraId="034E7D28" w14:textId="75BC6853" w:rsidR="00E67FE2" w:rsidRPr="00910C1E" w:rsidRDefault="00E67FE2"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5" w:history="1">
        <w:r w:rsidRPr="00910C1E">
          <w:rPr>
            <w:rStyle w:val="Hyperlink"/>
            <w:rFonts w:ascii="Verdana" w:hAnsi="Verdana"/>
            <w:szCs w:val="16"/>
          </w:rPr>
          <w:t>https://data.consilium.europa.eu/doc/document/ST-14115-2019-INIT/nl/pdf</w:t>
        </w:r>
      </w:hyperlink>
      <w:r w:rsidRPr="00910C1E">
        <w:rPr>
          <w:rFonts w:ascii="Verdana" w:hAnsi="Verdana"/>
          <w:szCs w:val="16"/>
        </w:rPr>
        <w:t xml:space="preserve"> </w:t>
      </w:r>
    </w:p>
  </w:footnote>
  <w:footnote w:id="22">
    <w:p w14:paraId="5B7A0F22" w14:textId="31806C7B" w:rsidR="00E67FE2" w:rsidRPr="00910C1E" w:rsidRDefault="00E67FE2"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6" w:history="1">
        <w:r w:rsidRPr="00910C1E">
          <w:rPr>
            <w:rStyle w:val="Hyperlink"/>
            <w:rFonts w:ascii="Verdana" w:hAnsi="Verdana"/>
            <w:szCs w:val="16"/>
          </w:rPr>
          <w:t>https://data.consilium.europa.eu/doc/document/ST-14114-2019-INIT/en/pdf</w:t>
        </w:r>
      </w:hyperlink>
      <w:r w:rsidRPr="00910C1E">
        <w:rPr>
          <w:rFonts w:ascii="Verdana" w:hAnsi="Verdana"/>
          <w:szCs w:val="16"/>
        </w:rPr>
        <w:t xml:space="preserve"> </w:t>
      </w:r>
    </w:p>
  </w:footnote>
  <w:footnote w:id="23">
    <w:p w14:paraId="4686A266" w14:textId="7BE9B0A0" w:rsidR="000268D5" w:rsidRPr="00910C1E" w:rsidRDefault="000268D5"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7" w:history="1">
        <w:r w:rsidRPr="00910C1E">
          <w:rPr>
            <w:rStyle w:val="Hyperlink"/>
            <w:rFonts w:ascii="Verdana" w:hAnsi="Verdana"/>
            <w:szCs w:val="16"/>
          </w:rPr>
          <w:t>https://data.consilium.europa.eu/doc/document/ST-14354-2019-INIT/en/pdf</w:t>
        </w:r>
      </w:hyperlink>
      <w:r w:rsidRPr="00910C1E">
        <w:rPr>
          <w:rFonts w:ascii="Verdana" w:hAnsi="Verdana"/>
          <w:szCs w:val="16"/>
        </w:rPr>
        <w:t xml:space="preserve"> </w:t>
      </w:r>
    </w:p>
  </w:footnote>
  <w:footnote w:id="24">
    <w:p w14:paraId="58802A62" w14:textId="23D7A5C8" w:rsidR="005D79AB" w:rsidRPr="00910C1E" w:rsidRDefault="005D79AB"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8" w:history="1">
        <w:r w:rsidR="000268D5" w:rsidRPr="00910C1E">
          <w:rPr>
            <w:rStyle w:val="Hyperlink"/>
            <w:rFonts w:ascii="Verdana" w:hAnsi="Verdana"/>
            <w:szCs w:val="16"/>
          </w:rPr>
          <w:t>https://www.consilium.europa.eu/nl/press/press-releases/2016/06/17/conclusions-on-banking-union/</w:t>
        </w:r>
      </w:hyperlink>
    </w:p>
  </w:footnote>
  <w:footnote w:id="25">
    <w:p w14:paraId="47E6C991" w14:textId="499E8F6F" w:rsidR="005D79AB" w:rsidRPr="00910C1E" w:rsidRDefault="005D79AB"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19" w:history="1">
        <w:r w:rsidR="000268D5" w:rsidRPr="00910C1E">
          <w:rPr>
            <w:rStyle w:val="Hyperlink"/>
            <w:rFonts w:ascii="Verdana" w:hAnsi="Verdana"/>
            <w:szCs w:val="16"/>
          </w:rPr>
          <w:t>https://eur-lex.europa.eu/legal-content/NL/TXT/HTML/?uri=OJ:L:2019:150:FULL&amp;from=EN</w:t>
        </w:r>
      </w:hyperlink>
      <w:r w:rsidR="000268D5" w:rsidRPr="00910C1E">
        <w:rPr>
          <w:rFonts w:ascii="Verdana" w:hAnsi="Verdana"/>
          <w:szCs w:val="16"/>
        </w:rPr>
        <w:t xml:space="preserve"> </w:t>
      </w:r>
    </w:p>
  </w:footnote>
  <w:footnote w:id="26">
    <w:p w14:paraId="7BCFA2F4" w14:textId="2C0EFE2F" w:rsidR="005D79AB" w:rsidRPr="00910C1E" w:rsidRDefault="005D79AB"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w:t>
      </w:r>
      <w:r w:rsidR="00C26B6C" w:rsidRPr="00910C1E">
        <w:rPr>
          <w:rFonts w:ascii="Verdana" w:hAnsi="Verdana"/>
          <w:szCs w:val="16"/>
        </w:rPr>
        <w:t>, 2018-2019, 21501-07, nr. 1619</w:t>
      </w:r>
    </w:p>
  </w:footnote>
  <w:footnote w:id="27">
    <w:p w14:paraId="731726BF" w14:textId="297EAEB8" w:rsidR="00D54457" w:rsidRPr="00910C1E" w:rsidRDefault="00D5445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0" w:history="1">
        <w:r w:rsidRPr="00910C1E">
          <w:rPr>
            <w:rStyle w:val="Hyperlink"/>
            <w:rFonts w:ascii="Verdana" w:hAnsi="Verdana"/>
            <w:szCs w:val="16"/>
          </w:rPr>
          <w:t>https://www.consilium.europa.eu/en/press/press-releases/2019/12/05/energy-taxation-council-calls-for-an-updated-framework-contributing-to-a-climate-neutral-eu/</w:t>
        </w:r>
      </w:hyperlink>
      <w:r w:rsidRPr="00910C1E">
        <w:rPr>
          <w:rFonts w:ascii="Verdana" w:hAnsi="Verdana"/>
          <w:szCs w:val="16"/>
        </w:rPr>
        <w:t xml:space="preserve"> </w:t>
      </w:r>
    </w:p>
  </w:footnote>
  <w:footnote w:id="28">
    <w:p w14:paraId="135FBFF4" w14:textId="77777777" w:rsidR="001C6770" w:rsidRPr="00910C1E" w:rsidRDefault="001C6770"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1" w:history="1">
        <w:r w:rsidRPr="00910C1E">
          <w:rPr>
            <w:rStyle w:val="Hyperlink"/>
            <w:rFonts w:ascii="Verdana" w:hAnsi="Verdana"/>
            <w:szCs w:val="16"/>
          </w:rPr>
          <w:t>http://data.consilium.europa.eu/doc/document/ST-14434-2019-INIT/en/pdf</w:t>
        </w:r>
      </w:hyperlink>
      <w:r w:rsidRPr="00910C1E">
        <w:rPr>
          <w:rFonts w:ascii="Verdana" w:hAnsi="Verdana"/>
          <w:szCs w:val="16"/>
        </w:rPr>
        <w:t xml:space="preserve"> </w:t>
      </w:r>
    </w:p>
  </w:footnote>
  <w:footnote w:id="29">
    <w:p w14:paraId="5B53B008" w14:textId="77777777" w:rsidR="001C6770" w:rsidRPr="00910C1E" w:rsidRDefault="001C6770"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2" w:history="1">
        <w:r w:rsidRPr="00910C1E">
          <w:rPr>
            <w:rStyle w:val="Hyperlink"/>
            <w:rFonts w:ascii="Verdana" w:hAnsi="Verdana"/>
            <w:szCs w:val="16"/>
          </w:rPr>
          <w:t>https://www.consilium.europa.eu/media/40967/efad-report_final.pdf</w:t>
        </w:r>
      </w:hyperlink>
      <w:r w:rsidRPr="00910C1E">
        <w:rPr>
          <w:rFonts w:ascii="Verdana" w:hAnsi="Verdana"/>
          <w:szCs w:val="16"/>
        </w:rPr>
        <w:t xml:space="preserve"> </w:t>
      </w:r>
    </w:p>
  </w:footnote>
  <w:footnote w:id="30">
    <w:p w14:paraId="78F817E9" w14:textId="08208FEC" w:rsidR="001709AF" w:rsidRPr="00910C1E" w:rsidRDefault="001709AF"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3" w:history="1">
        <w:r w:rsidRPr="00910C1E">
          <w:rPr>
            <w:rStyle w:val="Hyperlink"/>
            <w:rFonts w:ascii="Verdana" w:hAnsi="Verdana"/>
            <w:szCs w:val="16"/>
          </w:rPr>
          <w:t>http://data.consilium.europa.eu/doc/document/ST-14865-2019-REV-1/en/pdf</w:t>
        </w:r>
      </w:hyperlink>
      <w:r w:rsidRPr="00910C1E">
        <w:rPr>
          <w:rFonts w:ascii="Verdana" w:hAnsi="Verdana"/>
          <w:szCs w:val="16"/>
        </w:rPr>
        <w:t xml:space="preserve"> </w:t>
      </w:r>
    </w:p>
  </w:footnote>
  <w:footnote w:id="31">
    <w:p w14:paraId="50866AC9" w14:textId="5B6B0EF0" w:rsidR="00176054" w:rsidRPr="00910C1E" w:rsidRDefault="00176054"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4" w:history="1">
        <w:r w:rsidRPr="00910C1E">
          <w:rPr>
            <w:rStyle w:val="Hyperlink"/>
            <w:rFonts w:ascii="Verdana" w:hAnsi="Verdana"/>
            <w:szCs w:val="16"/>
          </w:rPr>
          <w:t>https://www.consilium.europa.eu/nl/press/press-releases/2019/12/05/joint-statement-by-the-council-and-the-commission-on-stablecoins/</w:t>
        </w:r>
      </w:hyperlink>
      <w:r w:rsidRPr="00910C1E">
        <w:rPr>
          <w:rFonts w:ascii="Verdana" w:hAnsi="Verdana"/>
          <w:szCs w:val="16"/>
        </w:rPr>
        <w:t xml:space="preserve"> </w:t>
      </w:r>
    </w:p>
  </w:footnote>
  <w:footnote w:id="32">
    <w:p w14:paraId="65AACC28" w14:textId="7D74FDDB" w:rsidR="00C91F41" w:rsidRPr="00910C1E" w:rsidRDefault="00C91F41"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5" w:history="1">
        <w:r w:rsidRPr="00910C1E">
          <w:rPr>
            <w:rStyle w:val="Hyperlink"/>
            <w:rFonts w:ascii="Verdana" w:hAnsi="Verdana"/>
            <w:szCs w:val="16"/>
          </w:rPr>
          <w:t>https://www.consilium.europa.eu/en/press/press-releases/2019/12/05/money-laundering-council-sets-strategic-priorities-for-further-reforms/pdf</w:t>
        </w:r>
      </w:hyperlink>
      <w:r w:rsidRPr="00910C1E">
        <w:rPr>
          <w:rFonts w:ascii="Verdana" w:hAnsi="Verdana"/>
          <w:szCs w:val="16"/>
        </w:rPr>
        <w:t xml:space="preserve"> </w:t>
      </w:r>
    </w:p>
  </w:footnote>
  <w:footnote w:id="33">
    <w:p w14:paraId="1A77A416" w14:textId="77777777" w:rsidR="002E7367" w:rsidRPr="00910C1E" w:rsidRDefault="002E736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6" w:history="1">
        <w:r w:rsidRPr="00910C1E">
          <w:rPr>
            <w:rStyle w:val="Hyperlink"/>
            <w:rFonts w:ascii="Verdana" w:hAnsi="Verdana"/>
            <w:szCs w:val="16"/>
          </w:rPr>
          <w:t>https://www.consilium.europa.eu/en/press/press-releases/2019/12/05/capital-markets-union-council-sets-objectives-for-the-deepening-of-the-project/</w:t>
        </w:r>
      </w:hyperlink>
      <w:r w:rsidRPr="00910C1E">
        <w:rPr>
          <w:rFonts w:ascii="Verdana" w:hAnsi="Verdana"/>
          <w:szCs w:val="16"/>
        </w:rPr>
        <w:t xml:space="preserve"> </w:t>
      </w:r>
    </w:p>
  </w:footnote>
  <w:footnote w:id="34">
    <w:p w14:paraId="7ADEB02A" w14:textId="77777777" w:rsidR="002E7367" w:rsidRPr="00910C1E" w:rsidRDefault="002E7367"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2019–2020, 22 112, nr. 2829</w:t>
      </w:r>
    </w:p>
  </w:footnote>
  <w:footnote w:id="35">
    <w:p w14:paraId="4E437DF5" w14:textId="678BAE51" w:rsidR="00A76212" w:rsidRPr="00910C1E" w:rsidRDefault="00A76212"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Kamerstukken II, 2019–2020, 32013, nr. 221</w:t>
      </w:r>
    </w:p>
  </w:footnote>
  <w:footnote w:id="36">
    <w:p w14:paraId="055F45C9" w14:textId="77777777" w:rsidR="0024374A" w:rsidRPr="00910C1E" w:rsidRDefault="0024374A"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7" w:history="1">
        <w:r w:rsidRPr="00910C1E">
          <w:rPr>
            <w:rStyle w:val="Hyperlink"/>
            <w:rFonts w:ascii="Verdana" w:hAnsi="Verdana"/>
            <w:szCs w:val="16"/>
          </w:rPr>
          <w:t>https://ec.europa.eu/commission/presscorner/detail/en/SPEECH_19_4230</w:t>
        </w:r>
      </w:hyperlink>
    </w:p>
  </w:footnote>
  <w:footnote w:id="37">
    <w:p w14:paraId="4FD12E40" w14:textId="5D7AFB3C" w:rsidR="00363E5C" w:rsidRPr="00910C1E" w:rsidRDefault="00363E5C" w:rsidP="00910C1E">
      <w:pPr>
        <w:spacing w:after="0" w:line="240" w:lineRule="auto"/>
        <w:contextualSpacing/>
        <w:rPr>
          <w:sz w:val="16"/>
          <w:szCs w:val="16"/>
          <w:lang w:val="nl-NL"/>
        </w:rPr>
      </w:pPr>
      <w:r w:rsidRPr="00910C1E">
        <w:rPr>
          <w:rStyle w:val="Voetnootmarkering"/>
          <w:sz w:val="16"/>
          <w:szCs w:val="16"/>
        </w:rPr>
        <w:footnoteRef/>
      </w:r>
      <w:r w:rsidRPr="00910C1E">
        <w:rPr>
          <w:sz w:val="16"/>
          <w:szCs w:val="16"/>
          <w:lang w:val="nl-NL"/>
        </w:rPr>
        <w:t xml:space="preserve"> </w:t>
      </w:r>
      <w:hyperlink r:id="rId28" w:history="1">
        <w:r w:rsidRPr="00910C1E">
          <w:rPr>
            <w:rStyle w:val="Hyperlink"/>
            <w:sz w:val="16"/>
            <w:szCs w:val="16"/>
            <w:lang w:val="nl-NL"/>
          </w:rPr>
          <w:t>https://www.consilium.europa.eu/en/press/press-releases/2019/11/27/non-performing-loans-council-adopts-position-on-a-new-mechanism-for-out-of-court-enforcement/</w:t>
        </w:r>
      </w:hyperlink>
    </w:p>
  </w:footnote>
  <w:footnote w:id="38">
    <w:p w14:paraId="4D7879A9" w14:textId="6571F131" w:rsidR="00920DE1" w:rsidRPr="00910C1E" w:rsidRDefault="00920DE1"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29" w:anchor="economic-forecast-documents" w:history="1">
        <w:r w:rsidR="00C046B7" w:rsidRPr="00910C1E">
          <w:rPr>
            <w:rStyle w:val="Hyperlink"/>
            <w:rFonts w:ascii="Verdana" w:hAnsi="Verdana"/>
            <w:szCs w:val="16"/>
          </w:rPr>
          <w:t>https://ec.europa.eu/info/business-economy-euro/economic-performance-and-forecasts/economic-forecasts/autumn-2019-economic-forecast-challenging-road-ahead_en#economic-forecast-documents</w:t>
        </w:r>
      </w:hyperlink>
      <w:r w:rsidR="00C046B7" w:rsidRPr="00910C1E">
        <w:rPr>
          <w:rFonts w:ascii="Verdana" w:hAnsi="Verdana"/>
          <w:szCs w:val="16"/>
        </w:rPr>
        <w:t xml:space="preserve"> </w:t>
      </w:r>
    </w:p>
  </w:footnote>
  <w:footnote w:id="39">
    <w:p w14:paraId="11F66C2F" w14:textId="671725E4" w:rsidR="00C046B7" w:rsidRPr="00910C1E" w:rsidRDefault="00C046B7" w:rsidP="00910C1E">
      <w:pPr>
        <w:pStyle w:val="Plattetekst"/>
        <w:spacing w:after="0"/>
        <w:contextualSpacing/>
        <w:rPr>
          <w:rFonts w:ascii="Verdana" w:hAnsi="Verdana" w:cs="Arial"/>
          <w:bCs/>
          <w:sz w:val="16"/>
          <w:szCs w:val="16"/>
        </w:rPr>
      </w:pPr>
      <w:r w:rsidRPr="00910C1E">
        <w:rPr>
          <w:rStyle w:val="Voetnootmarkering"/>
          <w:rFonts w:ascii="Verdana" w:hAnsi="Verdana"/>
          <w:sz w:val="16"/>
          <w:szCs w:val="16"/>
        </w:rPr>
        <w:footnoteRef/>
      </w:r>
      <w:r w:rsidRPr="00910C1E">
        <w:rPr>
          <w:rFonts w:ascii="Verdana" w:hAnsi="Verdana"/>
          <w:sz w:val="16"/>
          <w:szCs w:val="16"/>
        </w:rPr>
        <w:t xml:space="preserve"> </w:t>
      </w:r>
      <w:hyperlink r:id="rId30" w:history="1">
        <w:r w:rsidRPr="00910C1E">
          <w:rPr>
            <w:rStyle w:val="Hyperlink"/>
            <w:rFonts w:ascii="Verdana" w:hAnsi="Verdana" w:cs="Arial"/>
            <w:bCs/>
            <w:sz w:val="16"/>
            <w:szCs w:val="16"/>
          </w:rPr>
          <w:t>http://data.consilium.europa.eu/doc/document/ST-14176-2019-INIT/en/pdf</w:t>
        </w:r>
      </w:hyperlink>
      <w:r w:rsidRPr="00910C1E">
        <w:rPr>
          <w:rFonts w:ascii="Verdana" w:hAnsi="Verdana" w:cs="Arial"/>
          <w:bCs/>
          <w:sz w:val="16"/>
          <w:szCs w:val="16"/>
        </w:rPr>
        <w:t xml:space="preserve"> </w:t>
      </w:r>
    </w:p>
  </w:footnote>
  <w:footnote w:id="40">
    <w:p w14:paraId="2481B4CF" w14:textId="2F419D3F" w:rsidR="00C046B7" w:rsidRPr="00910C1E" w:rsidRDefault="00C046B7" w:rsidP="00910C1E">
      <w:pPr>
        <w:pStyle w:val="Plattetekst"/>
        <w:spacing w:after="0"/>
        <w:contextualSpacing/>
        <w:rPr>
          <w:rFonts w:ascii="Verdana" w:hAnsi="Verdana" w:cs="Arial"/>
          <w:bCs/>
          <w:sz w:val="16"/>
          <w:szCs w:val="16"/>
        </w:rPr>
      </w:pPr>
      <w:r w:rsidRPr="00910C1E">
        <w:rPr>
          <w:rStyle w:val="Voetnootmarkering"/>
          <w:rFonts w:ascii="Verdana" w:hAnsi="Verdana"/>
          <w:sz w:val="16"/>
          <w:szCs w:val="16"/>
        </w:rPr>
        <w:footnoteRef/>
      </w:r>
      <w:r w:rsidRPr="00910C1E">
        <w:rPr>
          <w:rFonts w:ascii="Verdana" w:hAnsi="Verdana"/>
          <w:sz w:val="16"/>
          <w:szCs w:val="16"/>
        </w:rPr>
        <w:t xml:space="preserve"> </w:t>
      </w:r>
      <w:hyperlink r:id="rId31" w:history="1">
        <w:r w:rsidRPr="00910C1E">
          <w:rPr>
            <w:rStyle w:val="Hyperlink"/>
            <w:rFonts w:ascii="Verdana" w:hAnsi="Verdana"/>
            <w:sz w:val="16"/>
            <w:szCs w:val="16"/>
          </w:rPr>
          <w:t>http://data.consilium.europa.eu/doc/document/ST-14178-2019-INIT/en/pdf</w:t>
        </w:r>
      </w:hyperlink>
      <w:r w:rsidRPr="00910C1E">
        <w:rPr>
          <w:rFonts w:ascii="Verdana" w:hAnsi="Verdana"/>
          <w:sz w:val="16"/>
          <w:szCs w:val="16"/>
        </w:rPr>
        <w:t xml:space="preserve"> </w:t>
      </w:r>
    </w:p>
  </w:footnote>
  <w:footnote w:id="41">
    <w:p w14:paraId="21E03066" w14:textId="61978607" w:rsidR="00920DE1" w:rsidRPr="00910C1E" w:rsidRDefault="00920DE1"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32" w:history="1">
        <w:r w:rsidR="00C046B7" w:rsidRPr="00910C1E">
          <w:rPr>
            <w:rStyle w:val="Hyperlink"/>
            <w:rFonts w:ascii="Verdana" w:hAnsi="Verdana"/>
            <w:szCs w:val="16"/>
          </w:rPr>
          <w:t>https://ec.europa.eu/info/business-economy-euro/economic-and-fiscal-policy-coordination/eu-economic-governance-monitoring-prevention-correction/stability-and-growth-pact/preventive-arm/significant-deviation-procedure_en</w:t>
        </w:r>
      </w:hyperlink>
      <w:r w:rsidR="00C046B7" w:rsidRPr="00910C1E">
        <w:rPr>
          <w:rFonts w:ascii="Verdana" w:hAnsi="Verdana"/>
          <w:szCs w:val="16"/>
        </w:rPr>
        <w:t xml:space="preserve"> </w:t>
      </w:r>
    </w:p>
  </w:footnote>
  <w:footnote w:id="42">
    <w:p w14:paraId="61C84174" w14:textId="79610A4A" w:rsidR="00C046B7" w:rsidRPr="00910C1E" w:rsidRDefault="00C046B7" w:rsidP="00910C1E">
      <w:pPr>
        <w:pStyle w:val="Plattetekst"/>
        <w:spacing w:after="0"/>
        <w:contextualSpacing/>
        <w:rPr>
          <w:rFonts w:ascii="Verdana" w:hAnsi="Verdana" w:cs="Arial"/>
          <w:bCs/>
          <w:sz w:val="16"/>
          <w:szCs w:val="16"/>
        </w:rPr>
      </w:pPr>
      <w:r w:rsidRPr="00910C1E">
        <w:rPr>
          <w:rStyle w:val="Voetnootmarkering"/>
          <w:rFonts w:ascii="Verdana" w:hAnsi="Verdana"/>
          <w:sz w:val="16"/>
          <w:szCs w:val="16"/>
        </w:rPr>
        <w:footnoteRef/>
      </w:r>
      <w:r w:rsidRPr="00910C1E">
        <w:rPr>
          <w:rFonts w:ascii="Verdana" w:hAnsi="Verdana"/>
          <w:sz w:val="16"/>
          <w:szCs w:val="16"/>
        </w:rPr>
        <w:t xml:space="preserve"> </w:t>
      </w:r>
      <w:hyperlink r:id="rId33" w:history="1">
        <w:r w:rsidRPr="00910C1E">
          <w:rPr>
            <w:rStyle w:val="Hyperlink"/>
            <w:rFonts w:ascii="Verdana" w:hAnsi="Verdana" w:cs="Arial"/>
            <w:bCs/>
            <w:sz w:val="16"/>
            <w:szCs w:val="16"/>
          </w:rPr>
          <w:t>http://data.consilium.europa.eu/doc/document/ST-14177-2019-INIT/en/pdf</w:t>
        </w:r>
      </w:hyperlink>
      <w:r w:rsidRPr="00910C1E">
        <w:rPr>
          <w:rFonts w:ascii="Verdana" w:hAnsi="Verdana" w:cs="Arial"/>
          <w:bCs/>
          <w:sz w:val="16"/>
          <w:szCs w:val="16"/>
        </w:rPr>
        <w:t xml:space="preserve"> </w:t>
      </w:r>
    </w:p>
  </w:footnote>
  <w:footnote w:id="43">
    <w:p w14:paraId="25590598" w14:textId="391E4ECD" w:rsidR="00C046B7" w:rsidRPr="00910C1E" w:rsidRDefault="00C046B7" w:rsidP="00910C1E">
      <w:pPr>
        <w:pStyle w:val="Plattetekst"/>
        <w:spacing w:after="0"/>
        <w:contextualSpacing/>
        <w:rPr>
          <w:rFonts w:ascii="Verdana" w:hAnsi="Verdana" w:cs="Arial"/>
          <w:bCs/>
          <w:sz w:val="16"/>
          <w:szCs w:val="16"/>
        </w:rPr>
      </w:pPr>
      <w:r w:rsidRPr="00910C1E">
        <w:rPr>
          <w:rStyle w:val="Voetnootmarkering"/>
          <w:rFonts w:ascii="Verdana" w:hAnsi="Verdana"/>
          <w:sz w:val="16"/>
          <w:szCs w:val="16"/>
        </w:rPr>
        <w:footnoteRef/>
      </w:r>
      <w:r w:rsidRPr="00910C1E">
        <w:rPr>
          <w:rFonts w:ascii="Verdana" w:hAnsi="Verdana"/>
          <w:sz w:val="16"/>
          <w:szCs w:val="16"/>
        </w:rPr>
        <w:t xml:space="preserve"> </w:t>
      </w:r>
      <w:hyperlink r:id="rId34" w:history="1">
        <w:r w:rsidRPr="00910C1E">
          <w:rPr>
            <w:rStyle w:val="Hyperlink"/>
            <w:rFonts w:ascii="Verdana" w:hAnsi="Verdana" w:cs="Arial"/>
            <w:bCs/>
            <w:sz w:val="16"/>
            <w:szCs w:val="16"/>
          </w:rPr>
          <w:t>http://data.consilium.europa.eu/doc/document/ST-14179-2019-INIT/en/pdf</w:t>
        </w:r>
      </w:hyperlink>
      <w:r w:rsidRPr="00910C1E">
        <w:rPr>
          <w:rFonts w:ascii="Verdana" w:hAnsi="Verdana" w:cs="Arial"/>
          <w:bCs/>
          <w:sz w:val="16"/>
          <w:szCs w:val="16"/>
        </w:rPr>
        <w:t xml:space="preserve"> </w:t>
      </w:r>
    </w:p>
  </w:footnote>
  <w:footnote w:id="44">
    <w:p w14:paraId="506C2A7A" w14:textId="77777777" w:rsidR="00A82864" w:rsidRPr="00910C1E" w:rsidRDefault="00A82864"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35" w:history="1">
        <w:r w:rsidRPr="00910C1E">
          <w:rPr>
            <w:rStyle w:val="Hyperlink"/>
            <w:rFonts w:ascii="Verdana" w:hAnsi="Verdana"/>
            <w:szCs w:val="16"/>
          </w:rPr>
          <w:t>https://data.consilium.europa.eu/doc/document/ST-14810-2019-INIT/en/pdf</w:t>
        </w:r>
      </w:hyperlink>
      <w:r w:rsidRPr="00910C1E">
        <w:rPr>
          <w:rFonts w:ascii="Verdana" w:hAnsi="Verdana"/>
          <w:szCs w:val="16"/>
        </w:rPr>
        <w:t xml:space="preserve"> </w:t>
      </w:r>
    </w:p>
  </w:footnote>
  <w:footnote w:id="45">
    <w:p w14:paraId="60A65F5D" w14:textId="77777777" w:rsidR="00A82864" w:rsidRPr="00910C1E" w:rsidRDefault="00A82864"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hyperlink r:id="rId36" w:history="1">
        <w:r w:rsidRPr="00910C1E">
          <w:rPr>
            <w:rStyle w:val="Hyperlink"/>
            <w:rFonts w:ascii="Verdana" w:hAnsi="Verdana"/>
            <w:szCs w:val="16"/>
          </w:rPr>
          <w:t>https://data.consilium.europa.eu/doc/document/ST-14331-2019-INIT/en/pdf</w:t>
        </w:r>
      </w:hyperlink>
      <w:r w:rsidRPr="00910C1E">
        <w:rPr>
          <w:rFonts w:ascii="Verdana" w:hAnsi="Verdana"/>
          <w:szCs w:val="16"/>
        </w:rPr>
        <w:t xml:space="preserve"> </w:t>
      </w:r>
    </w:p>
  </w:footnote>
  <w:footnote w:id="46">
    <w:p w14:paraId="3BD84D58" w14:textId="77777777" w:rsidR="00F65E94" w:rsidRPr="00910C1E" w:rsidRDefault="00F65E94" w:rsidP="00910C1E">
      <w:pPr>
        <w:pStyle w:val="Voetnoottekst"/>
        <w:spacing w:line="240" w:lineRule="auto"/>
        <w:rPr>
          <w:rFonts w:ascii="Verdana" w:hAnsi="Verdana"/>
          <w:szCs w:val="16"/>
        </w:rPr>
      </w:pPr>
      <w:r w:rsidRPr="00910C1E">
        <w:rPr>
          <w:rStyle w:val="Voetnootmarkering"/>
          <w:rFonts w:ascii="Verdana" w:hAnsi="Verdana"/>
          <w:szCs w:val="16"/>
        </w:rPr>
        <w:footnoteRef/>
      </w:r>
      <w:r w:rsidRPr="00910C1E">
        <w:rPr>
          <w:rFonts w:ascii="Verdana" w:hAnsi="Verdana"/>
          <w:szCs w:val="16"/>
        </w:rPr>
        <w:t xml:space="preserve"> </w:t>
      </w:r>
      <w:r w:rsidRPr="00910C1E">
        <w:rPr>
          <w:rFonts w:ascii="Verdana" w:hAnsi="Verdana"/>
          <w:color w:val="211D1F"/>
          <w:szCs w:val="16"/>
        </w:rPr>
        <w:t>Kamerstukken II, 2018–2019, 21 501-07, nr. 1613.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D1B"/>
    <w:multiLevelType w:val="hybridMultilevel"/>
    <w:tmpl w:val="B17A3780"/>
    <w:lvl w:ilvl="0" w:tplc="5734C6B4">
      <w:numFmt w:val="bullet"/>
      <w:lvlText w:val="•"/>
      <w:lvlJc w:val="left"/>
      <w:pPr>
        <w:ind w:left="1080" w:hanging="7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30243B"/>
    <w:multiLevelType w:val="hybridMultilevel"/>
    <w:tmpl w:val="5A20193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DB2411"/>
    <w:multiLevelType w:val="multilevel"/>
    <w:tmpl w:val="B56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00299"/>
    <w:multiLevelType w:val="hybridMultilevel"/>
    <w:tmpl w:val="90BE727C"/>
    <w:lvl w:ilvl="0" w:tplc="5734C6B4">
      <w:numFmt w:val="bullet"/>
      <w:lvlText w:val="•"/>
      <w:lvlJc w:val="left"/>
      <w:pPr>
        <w:ind w:left="1080" w:hanging="7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C409D"/>
    <w:multiLevelType w:val="hybridMultilevel"/>
    <w:tmpl w:val="2070F4A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44D61F2"/>
    <w:multiLevelType w:val="hybridMultilevel"/>
    <w:tmpl w:val="F77042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B67C25"/>
    <w:multiLevelType w:val="hybridMultilevel"/>
    <w:tmpl w:val="EB68A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477CD"/>
    <w:multiLevelType w:val="hybridMultilevel"/>
    <w:tmpl w:val="C3820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48213E"/>
    <w:multiLevelType w:val="hybridMultilevel"/>
    <w:tmpl w:val="3E9EAFEE"/>
    <w:lvl w:ilvl="0" w:tplc="1B423B3E">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295CF9"/>
    <w:multiLevelType w:val="hybridMultilevel"/>
    <w:tmpl w:val="295AC4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4045695A"/>
    <w:multiLevelType w:val="hybridMultilevel"/>
    <w:tmpl w:val="037CE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575752"/>
    <w:multiLevelType w:val="hybridMultilevel"/>
    <w:tmpl w:val="B8E4761E"/>
    <w:lvl w:ilvl="0" w:tplc="9B98C35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4D7061E"/>
    <w:multiLevelType w:val="hybridMultilevel"/>
    <w:tmpl w:val="94587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CE12B8"/>
    <w:multiLevelType w:val="hybridMultilevel"/>
    <w:tmpl w:val="13E22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D838A7"/>
    <w:multiLevelType w:val="hybridMultilevel"/>
    <w:tmpl w:val="069285EA"/>
    <w:lvl w:ilvl="0" w:tplc="61AA1286">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5F5818"/>
    <w:multiLevelType w:val="hybridMultilevel"/>
    <w:tmpl w:val="17C8C6AE"/>
    <w:lvl w:ilvl="0" w:tplc="34AAA770">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5"/>
  </w:num>
  <w:num w:numId="5">
    <w:abstractNumId w:val="15"/>
  </w:num>
  <w:num w:numId="6">
    <w:abstractNumId w:val="3"/>
  </w:num>
  <w:num w:numId="7">
    <w:abstractNumId w:val="14"/>
  </w:num>
  <w:num w:numId="8">
    <w:abstractNumId w:val="16"/>
  </w:num>
  <w:num w:numId="9">
    <w:abstractNumId w:val="1"/>
  </w:num>
  <w:num w:numId="10">
    <w:abstractNumId w:val="12"/>
  </w:num>
  <w:num w:numId="11">
    <w:abstractNumId w:val="9"/>
  </w:num>
  <w:num w:numId="12">
    <w:abstractNumId w:val="10"/>
  </w:num>
  <w:num w:numId="13">
    <w:abstractNumId w:val="6"/>
  </w:num>
  <w:num w:numId="14">
    <w:abstractNumId w:val="2"/>
  </w:num>
  <w:num w:numId="15">
    <w:abstractNumId w:val="1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DA"/>
    <w:rsid w:val="00011D4E"/>
    <w:rsid w:val="00021FA5"/>
    <w:rsid w:val="00022E7A"/>
    <w:rsid w:val="000268D5"/>
    <w:rsid w:val="00026DF0"/>
    <w:rsid w:val="000317AD"/>
    <w:rsid w:val="0003623D"/>
    <w:rsid w:val="00050461"/>
    <w:rsid w:val="00050FD4"/>
    <w:rsid w:val="00051C8F"/>
    <w:rsid w:val="0005267A"/>
    <w:rsid w:val="00072C6F"/>
    <w:rsid w:val="00083F6E"/>
    <w:rsid w:val="0009173F"/>
    <w:rsid w:val="00092219"/>
    <w:rsid w:val="00093F00"/>
    <w:rsid w:val="00097693"/>
    <w:rsid w:val="000B0C3D"/>
    <w:rsid w:val="000B536B"/>
    <w:rsid w:val="000C4AB9"/>
    <w:rsid w:val="000C6D92"/>
    <w:rsid w:val="000D155A"/>
    <w:rsid w:val="000D549C"/>
    <w:rsid w:val="000E0AEB"/>
    <w:rsid w:val="000E2FBB"/>
    <w:rsid w:val="000E6C66"/>
    <w:rsid w:val="000F1E61"/>
    <w:rsid w:val="000F1EEA"/>
    <w:rsid w:val="000F1F32"/>
    <w:rsid w:val="000F3D4D"/>
    <w:rsid w:val="0010119C"/>
    <w:rsid w:val="00102937"/>
    <w:rsid w:val="00103A46"/>
    <w:rsid w:val="0010655D"/>
    <w:rsid w:val="0011113A"/>
    <w:rsid w:val="001211EB"/>
    <w:rsid w:val="001217BF"/>
    <w:rsid w:val="0012320B"/>
    <w:rsid w:val="001356C3"/>
    <w:rsid w:val="00137CA6"/>
    <w:rsid w:val="00140D59"/>
    <w:rsid w:val="00150B1C"/>
    <w:rsid w:val="00151AB8"/>
    <w:rsid w:val="001700CB"/>
    <w:rsid w:val="001709AF"/>
    <w:rsid w:val="0017204F"/>
    <w:rsid w:val="00174102"/>
    <w:rsid w:val="00176054"/>
    <w:rsid w:val="00184525"/>
    <w:rsid w:val="001865C5"/>
    <w:rsid w:val="00190AA6"/>
    <w:rsid w:val="001A0E16"/>
    <w:rsid w:val="001A1D1C"/>
    <w:rsid w:val="001A7268"/>
    <w:rsid w:val="001B0352"/>
    <w:rsid w:val="001B0F54"/>
    <w:rsid w:val="001B6333"/>
    <w:rsid w:val="001C6770"/>
    <w:rsid w:val="001D30D2"/>
    <w:rsid w:val="001D3A04"/>
    <w:rsid w:val="001D53DD"/>
    <w:rsid w:val="001D54FB"/>
    <w:rsid w:val="001D773B"/>
    <w:rsid w:val="001E4FA4"/>
    <w:rsid w:val="00206479"/>
    <w:rsid w:val="00207A53"/>
    <w:rsid w:val="002174CC"/>
    <w:rsid w:val="00234FD3"/>
    <w:rsid w:val="00235E78"/>
    <w:rsid w:val="00240473"/>
    <w:rsid w:val="0024374A"/>
    <w:rsid w:val="00252853"/>
    <w:rsid w:val="0025458B"/>
    <w:rsid w:val="00270289"/>
    <w:rsid w:val="00275CEB"/>
    <w:rsid w:val="00296209"/>
    <w:rsid w:val="002B1C1B"/>
    <w:rsid w:val="002B6A69"/>
    <w:rsid w:val="002B72C4"/>
    <w:rsid w:val="002C558F"/>
    <w:rsid w:val="002D1685"/>
    <w:rsid w:val="002E0F14"/>
    <w:rsid w:val="002E7367"/>
    <w:rsid w:val="002F16A7"/>
    <w:rsid w:val="002F5AD6"/>
    <w:rsid w:val="00302F7B"/>
    <w:rsid w:val="00305B8C"/>
    <w:rsid w:val="0030656B"/>
    <w:rsid w:val="00320CC8"/>
    <w:rsid w:val="0032216A"/>
    <w:rsid w:val="00326F69"/>
    <w:rsid w:val="0033023E"/>
    <w:rsid w:val="00332DF5"/>
    <w:rsid w:val="00343D9D"/>
    <w:rsid w:val="00344FA9"/>
    <w:rsid w:val="0034787E"/>
    <w:rsid w:val="00352BF9"/>
    <w:rsid w:val="00356ABE"/>
    <w:rsid w:val="00363002"/>
    <w:rsid w:val="00363E5C"/>
    <w:rsid w:val="0036526A"/>
    <w:rsid w:val="00367B4D"/>
    <w:rsid w:val="00371E05"/>
    <w:rsid w:val="003749AB"/>
    <w:rsid w:val="00375C7A"/>
    <w:rsid w:val="00376334"/>
    <w:rsid w:val="0038123B"/>
    <w:rsid w:val="003828E7"/>
    <w:rsid w:val="00384ACE"/>
    <w:rsid w:val="00391350"/>
    <w:rsid w:val="00391CDA"/>
    <w:rsid w:val="0039227C"/>
    <w:rsid w:val="003A1EF6"/>
    <w:rsid w:val="003C269F"/>
    <w:rsid w:val="003D7B41"/>
    <w:rsid w:val="003E319A"/>
    <w:rsid w:val="003E4A38"/>
    <w:rsid w:val="003F1952"/>
    <w:rsid w:val="00400713"/>
    <w:rsid w:val="00403306"/>
    <w:rsid w:val="00407351"/>
    <w:rsid w:val="00421AF5"/>
    <w:rsid w:val="00423519"/>
    <w:rsid w:val="00427E56"/>
    <w:rsid w:val="004348B5"/>
    <w:rsid w:val="00442CD4"/>
    <w:rsid w:val="0045114B"/>
    <w:rsid w:val="00452802"/>
    <w:rsid w:val="00452967"/>
    <w:rsid w:val="00452F13"/>
    <w:rsid w:val="00457020"/>
    <w:rsid w:val="0046153A"/>
    <w:rsid w:val="00470C89"/>
    <w:rsid w:val="004767CF"/>
    <w:rsid w:val="0048160C"/>
    <w:rsid w:val="00483042"/>
    <w:rsid w:val="004A6CB1"/>
    <w:rsid w:val="004A7DB7"/>
    <w:rsid w:val="004B24BB"/>
    <w:rsid w:val="004B5671"/>
    <w:rsid w:val="004B67CB"/>
    <w:rsid w:val="004B78CB"/>
    <w:rsid w:val="004D4B8D"/>
    <w:rsid w:val="004D6C8C"/>
    <w:rsid w:val="004E155E"/>
    <w:rsid w:val="004E46FB"/>
    <w:rsid w:val="004F12C3"/>
    <w:rsid w:val="004F1843"/>
    <w:rsid w:val="004F2F73"/>
    <w:rsid w:val="004F6E66"/>
    <w:rsid w:val="00502DBC"/>
    <w:rsid w:val="00504927"/>
    <w:rsid w:val="0050675F"/>
    <w:rsid w:val="00507E37"/>
    <w:rsid w:val="00522756"/>
    <w:rsid w:val="0052708C"/>
    <w:rsid w:val="005422FA"/>
    <w:rsid w:val="00553A75"/>
    <w:rsid w:val="005561A5"/>
    <w:rsid w:val="0055700B"/>
    <w:rsid w:val="00560A29"/>
    <w:rsid w:val="00570756"/>
    <w:rsid w:val="00574B98"/>
    <w:rsid w:val="00582BAD"/>
    <w:rsid w:val="00583EEE"/>
    <w:rsid w:val="005876B3"/>
    <w:rsid w:val="00592FF5"/>
    <w:rsid w:val="005A1E2D"/>
    <w:rsid w:val="005B0E47"/>
    <w:rsid w:val="005B3A8A"/>
    <w:rsid w:val="005C15B5"/>
    <w:rsid w:val="005C46B2"/>
    <w:rsid w:val="005C52C7"/>
    <w:rsid w:val="005C61C7"/>
    <w:rsid w:val="005D04D0"/>
    <w:rsid w:val="005D79AB"/>
    <w:rsid w:val="005F6C94"/>
    <w:rsid w:val="00602174"/>
    <w:rsid w:val="00614467"/>
    <w:rsid w:val="00622203"/>
    <w:rsid w:val="00625E58"/>
    <w:rsid w:val="00626D3E"/>
    <w:rsid w:val="00646879"/>
    <w:rsid w:val="00653776"/>
    <w:rsid w:val="00653F4A"/>
    <w:rsid w:val="006605A3"/>
    <w:rsid w:val="0066577F"/>
    <w:rsid w:val="00680F00"/>
    <w:rsid w:val="0068207C"/>
    <w:rsid w:val="0068516C"/>
    <w:rsid w:val="00691377"/>
    <w:rsid w:val="00694C2A"/>
    <w:rsid w:val="006A3D8D"/>
    <w:rsid w:val="006C22B6"/>
    <w:rsid w:val="006C39CF"/>
    <w:rsid w:val="006D177A"/>
    <w:rsid w:val="006D798A"/>
    <w:rsid w:val="006E18B3"/>
    <w:rsid w:val="006E20AA"/>
    <w:rsid w:val="006E4989"/>
    <w:rsid w:val="006E4AC2"/>
    <w:rsid w:val="006E70F2"/>
    <w:rsid w:val="006F28F2"/>
    <w:rsid w:val="006F46DA"/>
    <w:rsid w:val="0070153C"/>
    <w:rsid w:val="00706C3E"/>
    <w:rsid w:val="007105E8"/>
    <w:rsid w:val="007208CE"/>
    <w:rsid w:val="0072237E"/>
    <w:rsid w:val="0072333B"/>
    <w:rsid w:val="00724B66"/>
    <w:rsid w:val="00732DE5"/>
    <w:rsid w:val="00733E3C"/>
    <w:rsid w:val="00742B9B"/>
    <w:rsid w:val="00746776"/>
    <w:rsid w:val="00747823"/>
    <w:rsid w:val="007516A1"/>
    <w:rsid w:val="00751D55"/>
    <w:rsid w:val="00752AB4"/>
    <w:rsid w:val="00752F69"/>
    <w:rsid w:val="007633C4"/>
    <w:rsid w:val="0076528F"/>
    <w:rsid w:val="007769E1"/>
    <w:rsid w:val="0078043F"/>
    <w:rsid w:val="00783960"/>
    <w:rsid w:val="00784B50"/>
    <w:rsid w:val="007A39D5"/>
    <w:rsid w:val="007A3C8D"/>
    <w:rsid w:val="007B166C"/>
    <w:rsid w:val="007B438D"/>
    <w:rsid w:val="007B6669"/>
    <w:rsid w:val="007F049B"/>
    <w:rsid w:val="008021B9"/>
    <w:rsid w:val="00815486"/>
    <w:rsid w:val="00823E6C"/>
    <w:rsid w:val="0083684C"/>
    <w:rsid w:val="00841370"/>
    <w:rsid w:val="00855EBA"/>
    <w:rsid w:val="00871508"/>
    <w:rsid w:val="00871A43"/>
    <w:rsid w:val="008808A2"/>
    <w:rsid w:val="00881ED9"/>
    <w:rsid w:val="0088726A"/>
    <w:rsid w:val="00891E99"/>
    <w:rsid w:val="00895167"/>
    <w:rsid w:val="00895C83"/>
    <w:rsid w:val="008A0E62"/>
    <w:rsid w:val="008A326A"/>
    <w:rsid w:val="008B0BBB"/>
    <w:rsid w:val="008B251C"/>
    <w:rsid w:val="008B274B"/>
    <w:rsid w:val="008B3AC8"/>
    <w:rsid w:val="008B4480"/>
    <w:rsid w:val="008C0651"/>
    <w:rsid w:val="008C1575"/>
    <w:rsid w:val="008C2560"/>
    <w:rsid w:val="008C5DAE"/>
    <w:rsid w:val="008D4FA3"/>
    <w:rsid w:val="008D74A5"/>
    <w:rsid w:val="008E0267"/>
    <w:rsid w:val="008E5AFF"/>
    <w:rsid w:val="008F468E"/>
    <w:rsid w:val="008F4DA1"/>
    <w:rsid w:val="008F7956"/>
    <w:rsid w:val="009046EA"/>
    <w:rsid w:val="009067C7"/>
    <w:rsid w:val="00910C1E"/>
    <w:rsid w:val="00914C2B"/>
    <w:rsid w:val="009208C5"/>
    <w:rsid w:val="00920DE1"/>
    <w:rsid w:val="00921FA1"/>
    <w:rsid w:val="00932469"/>
    <w:rsid w:val="0093497C"/>
    <w:rsid w:val="00947294"/>
    <w:rsid w:val="00974643"/>
    <w:rsid w:val="00976D77"/>
    <w:rsid w:val="00980E19"/>
    <w:rsid w:val="00986AEA"/>
    <w:rsid w:val="0099228A"/>
    <w:rsid w:val="00992B34"/>
    <w:rsid w:val="00992E16"/>
    <w:rsid w:val="00997F2D"/>
    <w:rsid w:val="009A1145"/>
    <w:rsid w:val="009A334E"/>
    <w:rsid w:val="009B61B2"/>
    <w:rsid w:val="009D6171"/>
    <w:rsid w:val="009E7F3E"/>
    <w:rsid w:val="00A119EE"/>
    <w:rsid w:val="00A241C3"/>
    <w:rsid w:val="00A3068B"/>
    <w:rsid w:val="00A406EF"/>
    <w:rsid w:val="00A538AF"/>
    <w:rsid w:val="00A55EF4"/>
    <w:rsid w:val="00A65267"/>
    <w:rsid w:val="00A669F4"/>
    <w:rsid w:val="00A74C1A"/>
    <w:rsid w:val="00A76212"/>
    <w:rsid w:val="00A77B11"/>
    <w:rsid w:val="00A82864"/>
    <w:rsid w:val="00A8332C"/>
    <w:rsid w:val="00A926F0"/>
    <w:rsid w:val="00AA25C1"/>
    <w:rsid w:val="00AB5E11"/>
    <w:rsid w:val="00AB5EAF"/>
    <w:rsid w:val="00AC0027"/>
    <w:rsid w:val="00AC0CCD"/>
    <w:rsid w:val="00AC26CB"/>
    <w:rsid w:val="00AD7A90"/>
    <w:rsid w:val="00AE1122"/>
    <w:rsid w:val="00AE1CB3"/>
    <w:rsid w:val="00AF2790"/>
    <w:rsid w:val="00AF4739"/>
    <w:rsid w:val="00AF7772"/>
    <w:rsid w:val="00B02981"/>
    <w:rsid w:val="00B06701"/>
    <w:rsid w:val="00B11AA1"/>
    <w:rsid w:val="00B159C2"/>
    <w:rsid w:val="00B160D8"/>
    <w:rsid w:val="00B27A51"/>
    <w:rsid w:val="00B27E1E"/>
    <w:rsid w:val="00B32BF5"/>
    <w:rsid w:val="00B32F2D"/>
    <w:rsid w:val="00B33D41"/>
    <w:rsid w:val="00B355F2"/>
    <w:rsid w:val="00B4336A"/>
    <w:rsid w:val="00B4386C"/>
    <w:rsid w:val="00B44C65"/>
    <w:rsid w:val="00B44E47"/>
    <w:rsid w:val="00B46092"/>
    <w:rsid w:val="00B501C3"/>
    <w:rsid w:val="00B5248D"/>
    <w:rsid w:val="00B5750A"/>
    <w:rsid w:val="00B62CF7"/>
    <w:rsid w:val="00B633B8"/>
    <w:rsid w:val="00B63499"/>
    <w:rsid w:val="00B71774"/>
    <w:rsid w:val="00B8281B"/>
    <w:rsid w:val="00B83F55"/>
    <w:rsid w:val="00B84CEF"/>
    <w:rsid w:val="00B93AD0"/>
    <w:rsid w:val="00B949BD"/>
    <w:rsid w:val="00B96EFE"/>
    <w:rsid w:val="00BA3564"/>
    <w:rsid w:val="00BA7626"/>
    <w:rsid w:val="00BB287B"/>
    <w:rsid w:val="00BC2E27"/>
    <w:rsid w:val="00BC4720"/>
    <w:rsid w:val="00BD4CC6"/>
    <w:rsid w:val="00BD5D51"/>
    <w:rsid w:val="00BE1648"/>
    <w:rsid w:val="00BF054F"/>
    <w:rsid w:val="00BF3E86"/>
    <w:rsid w:val="00BF4596"/>
    <w:rsid w:val="00C046B7"/>
    <w:rsid w:val="00C05FC1"/>
    <w:rsid w:val="00C11738"/>
    <w:rsid w:val="00C12FC8"/>
    <w:rsid w:val="00C24583"/>
    <w:rsid w:val="00C26B6C"/>
    <w:rsid w:val="00C3126D"/>
    <w:rsid w:val="00C411B4"/>
    <w:rsid w:val="00C5148C"/>
    <w:rsid w:val="00C7042B"/>
    <w:rsid w:val="00C7580C"/>
    <w:rsid w:val="00C829B8"/>
    <w:rsid w:val="00C91F41"/>
    <w:rsid w:val="00CA29E4"/>
    <w:rsid w:val="00CA3459"/>
    <w:rsid w:val="00CB65B4"/>
    <w:rsid w:val="00CB6DA7"/>
    <w:rsid w:val="00CC0040"/>
    <w:rsid w:val="00CC0BD9"/>
    <w:rsid w:val="00CC7304"/>
    <w:rsid w:val="00CD5BB0"/>
    <w:rsid w:val="00CE3822"/>
    <w:rsid w:val="00CF2BC4"/>
    <w:rsid w:val="00CF37A4"/>
    <w:rsid w:val="00CF6AC8"/>
    <w:rsid w:val="00D126C5"/>
    <w:rsid w:val="00D337C2"/>
    <w:rsid w:val="00D4142A"/>
    <w:rsid w:val="00D448B6"/>
    <w:rsid w:val="00D44B90"/>
    <w:rsid w:val="00D527D6"/>
    <w:rsid w:val="00D54457"/>
    <w:rsid w:val="00D547BF"/>
    <w:rsid w:val="00D55773"/>
    <w:rsid w:val="00D60C80"/>
    <w:rsid w:val="00D61379"/>
    <w:rsid w:val="00D65755"/>
    <w:rsid w:val="00D659FA"/>
    <w:rsid w:val="00D70CAC"/>
    <w:rsid w:val="00D713DC"/>
    <w:rsid w:val="00D82559"/>
    <w:rsid w:val="00D90C4C"/>
    <w:rsid w:val="00D97109"/>
    <w:rsid w:val="00DB3306"/>
    <w:rsid w:val="00DB6130"/>
    <w:rsid w:val="00DC39DD"/>
    <w:rsid w:val="00DC43C9"/>
    <w:rsid w:val="00DC59E2"/>
    <w:rsid w:val="00DC6FDD"/>
    <w:rsid w:val="00DD440A"/>
    <w:rsid w:val="00DE78F4"/>
    <w:rsid w:val="00DF005F"/>
    <w:rsid w:val="00E01D19"/>
    <w:rsid w:val="00E15ADF"/>
    <w:rsid w:val="00E16EAD"/>
    <w:rsid w:val="00E241B7"/>
    <w:rsid w:val="00E24EE2"/>
    <w:rsid w:val="00E26EA0"/>
    <w:rsid w:val="00E332E1"/>
    <w:rsid w:val="00E378EA"/>
    <w:rsid w:val="00E41F98"/>
    <w:rsid w:val="00E50EF7"/>
    <w:rsid w:val="00E55CF0"/>
    <w:rsid w:val="00E57361"/>
    <w:rsid w:val="00E67FE2"/>
    <w:rsid w:val="00E757DB"/>
    <w:rsid w:val="00E81D6D"/>
    <w:rsid w:val="00E82E47"/>
    <w:rsid w:val="00E836E1"/>
    <w:rsid w:val="00E962DD"/>
    <w:rsid w:val="00EA0212"/>
    <w:rsid w:val="00ED4003"/>
    <w:rsid w:val="00ED43FF"/>
    <w:rsid w:val="00ED73B9"/>
    <w:rsid w:val="00EE3248"/>
    <w:rsid w:val="00EF0553"/>
    <w:rsid w:val="00EF505E"/>
    <w:rsid w:val="00EF5DD6"/>
    <w:rsid w:val="00EF6930"/>
    <w:rsid w:val="00F01CAD"/>
    <w:rsid w:val="00F0772B"/>
    <w:rsid w:val="00F35845"/>
    <w:rsid w:val="00F370C5"/>
    <w:rsid w:val="00F37D5A"/>
    <w:rsid w:val="00F52063"/>
    <w:rsid w:val="00F546AB"/>
    <w:rsid w:val="00F5775C"/>
    <w:rsid w:val="00F633A5"/>
    <w:rsid w:val="00F65E94"/>
    <w:rsid w:val="00F662AC"/>
    <w:rsid w:val="00F718FB"/>
    <w:rsid w:val="00F8338F"/>
    <w:rsid w:val="00F83C8F"/>
    <w:rsid w:val="00F95E80"/>
    <w:rsid w:val="00F962DA"/>
    <w:rsid w:val="00FB24DF"/>
    <w:rsid w:val="00FB578B"/>
    <w:rsid w:val="00FB79D8"/>
    <w:rsid w:val="00FC004C"/>
    <w:rsid w:val="00FC037D"/>
    <w:rsid w:val="00FC0E68"/>
    <w:rsid w:val="00FC73AE"/>
    <w:rsid w:val="00FD201C"/>
    <w:rsid w:val="00FE0F2E"/>
    <w:rsid w:val="00FE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649DE5C"/>
  <w15:chartTrackingRefBased/>
  <w15:docId w15:val="{DDBD41C7-D297-46AD-81EA-211C9EC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62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2DA"/>
  </w:style>
  <w:style w:type="paragraph" w:styleId="Voettekst">
    <w:name w:val="footer"/>
    <w:basedOn w:val="Standaard"/>
    <w:link w:val="VoettekstChar"/>
    <w:uiPriority w:val="99"/>
    <w:unhideWhenUsed/>
    <w:rsid w:val="00F962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2DA"/>
  </w:style>
  <w:style w:type="paragraph" w:styleId="Plattetekst">
    <w:name w:val="Body Text"/>
    <w:basedOn w:val="Standaard"/>
    <w:link w:val="PlattetekstChar"/>
    <w:rsid w:val="00F962DA"/>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F962DA"/>
    <w:rPr>
      <w:rFonts w:ascii="Times New Roman" w:eastAsia="Times New Roman" w:hAnsi="Times New Roman" w:cs="Times New Roman"/>
      <w:sz w:val="24"/>
      <w:szCs w:val="24"/>
      <w:lang w:val="nl-NL" w:eastAsia="nl-NL"/>
    </w:rPr>
  </w:style>
  <w:style w:type="paragraph" w:styleId="Geenafstand">
    <w:name w:val="No Spacing"/>
    <w:uiPriority w:val="1"/>
    <w:qFormat/>
    <w:rsid w:val="00F962DA"/>
    <w:pPr>
      <w:spacing w:after="0" w:line="240" w:lineRule="auto"/>
    </w:pPr>
    <w:rPr>
      <w:lang w:val="nl-NL"/>
    </w:rPr>
  </w:style>
  <w:style w:type="paragraph" w:customStyle="1" w:styleId="Default">
    <w:name w:val="Default"/>
    <w:rsid w:val="00F962DA"/>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qFormat/>
    <w:rsid w:val="00F962DA"/>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val="nl-NL" w:eastAsia="nl-NL"/>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F962DA"/>
    <w:rPr>
      <w:rFonts w:ascii="Arial" w:eastAsia="Times New Roman" w:hAnsi="Arial" w:cs="Times New Roman"/>
      <w:sz w:val="16"/>
      <w:szCs w:val="20"/>
      <w:lang w:val="nl-NL" w:eastAsia="nl-NL"/>
    </w:rPr>
  </w:style>
  <w:style w:type="character" w:styleId="Voetnootmarkering">
    <w:name w:val="footnote reference"/>
    <w:uiPriority w:val="99"/>
    <w:unhideWhenUsed/>
    <w:rsid w:val="00F962DA"/>
    <w:rPr>
      <w:vertAlign w:val="superscript"/>
    </w:rPr>
  </w:style>
  <w:style w:type="character" w:customStyle="1" w:styleId="s5">
    <w:name w:val="s5"/>
    <w:rsid w:val="00F962DA"/>
  </w:style>
  <w:style w:type="character" w:styleId="Hyperlink">
    <w:name w:val="Hyperlink"/>
    <w:basedOn w:val="Standaardalinea-lettertype"/>
    <w:uiPriority w:val="99"/>
    <w:unhideWhenUsed/>
    <w:rsid w:val="00F962DA"/>
    <w:rPr>
      <w:color w:val="0563C1" w:themeColor="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828E7"/>
    <w:pPr>
      <w:spacing w:after="0" w:line="240" w:lineRule="atLeast"/>
      <w:ind w:left="720"/>
      <w:contextualSpacing/>
    </w:pPr>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3828E7"/>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3828E7"/>
    <w:rPr>
      <w:rFonts w:ascii="Tahoma" w:hAnsi="Tahoma" w:cs="Tahoma"/>
      <w:sz w:val="16"/>
      <w:szCs w:val="16"/>
      <w:lang w:val="nl-NL" w:eastAsia="nl-NL"/>
    </w:rPr>
  </w:style>
  <w:style w:type="paragraph" w:customStyle="1" w:styleId="paragraph">
    <w:name w:val="paragraph"/>
    <w:basedOn w:val="Standaard"/>
    <w:rsid w:val="003828E7"/>
    <w:pPr>
      <w:spacing w:before="100" w:beforeAutospacing="1" w:after="100" w:afterAutospacing="1" w:line="240" w:lineRule="auto"/>
    </w:pPr>
    <w:rPr>
      <w:rFonts w:ascii="Calibri" w:hAnsi="Calibri" w:cs="Calibri"/>
      <w:sz w:val="22"/>
      <w:lang w:val="nl-NL" w:eastAsia="nl-NL"/>
    </w:rPr>
  </w:style>
  <w:style w:type="character" w:customStyle="1" w:styleId="spellingerror">
    <w:name w:val="spellingerror"/>
    <w:basedOn w:val="Standaardalinea-lettertype"/>
    <w:rsid w:val="003828E7"/>
  </w:style>
  <w:style w:type="character" w:customStyle="1" w:styleId="normaltextrun">
    <w:name w:val="normaltextrun"/>
    <w:basedOn w:val="Standaardalinea-lettertype"/>
    <w:rsid w:val="003828E7"/>
  </w:style>
  <w:style w:type="character" w:styleId="Verwijzingopmerking">
    <w:name w:val="annotation reference"/>
    <w:basedOn w:val="Standaardalinea-lettertype"/>
    <w:uiPriority w:val="99"/>
    <w:semiHidden/>
    <w:unhideWhenUsed/>
    <w:rsid w:val="00B44E47"/>
    <w:rPr>
      <w:sz w:val="16"/>
      <w:szCs w:val="16"/>
    </w:rPr>
  </w:style>
  <w:style w:type="paragraph" w:styleId="Tekstopmerking">
    <w:name w:val="annotation text"/>
    <w:basedOn w:val="Standaard"/>
    <w:link w:val="TekstopmerkingChar"/>
    <w:uiPriority w:val="99"/>
    <w:semiHidden/>
    <w:unhideWhenUsed/>
    <w:rsid w:val="00B44E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E47"/>
    <w:rPr>
      <w:sz w:val="20"/>
      <w:szCs w:val="20"/>
    </w:rPr>
  </w:style>
  <w:style w:type="paragraph" w:styleId="Onderwerpvanopmerking">
    <w:name w:val="annotation subject"/>
    <w:basedOn w:val="Tekstopmerking"/>
    <w:next w:val="Tekstopmerking"/>
    <w:link w:val="OnderwerpvanopmerkingChar"/>
    <w:uiPriority w:val="99"/>
    <w:semiHidden/>
    <w:unhideWhenUsed/>
    <w:rsid w:val="00B44E47"/>
    <w:rPr>
      <w:b/>
      <w:bCs/>
    </w:rPr>
  </w:style>
  <w:style w:type="character" w:customStyle="1" w:styleId="OnderwerpvanopmerkingChar">
    <w:name w:val="Onderwerp van opmerking Char"/>
    <w:basedOn w:val="TekstopmerkingChar"/>
    <w:link w:val="Onderwerpvanopmerking"/>
    <w:uiPriority w:val="99"/>
    <w:semiHidden/>
    <w:rsid w:val="00B44E47"/>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E1122"/>
    <w:rPr>
      <w:rFonts w:eastAsia="Times New Roman" w:cs="Times New Roman"/>
      <w:szCs w:val="24"/>
      <w:lang w:val="nl-NL" w:eastAsia="nl-NL"/>
    </w:rPr>
  </w:style>
  <w:style w:type="character" w:styleId="GevolgdeHyperlink">
    <w:name w:val="FollowedHyperlink"/>
    <w:basedOn w:val="Standaardalinea-lettertype"/>
    <w:uiPriority w:val="99"/>
    <w:semiHidden/>
    <w:unhideWhenUsed/>
    <w:rsid w:val="00AD7A90"/>
    <w:rPr>
      <w:color w:val="954F72" w:themeColor="followedHyperlink"/>
      <w:u w:val="single"/>
    </w:rPr>
  </w:style>
  <w:style w:type="paragraph" w:styleId="Normaalweb">
    <w:name w:val="Normal (Web)"/>
    <w:basedOn w:val="Standaard"/>
    <w:uiPriority w:val="99"/>
    <w:unhideWhenUsed/>
    <w:rsid w:val="00E41F9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1">
    <w:name w:val="p1"/>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paragraph" w:customStyle="1" w:styleId="p2">
    <w:name w:val="p2"/>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s1">
    <w:name w:val="s1"/>
    <w:basedOn w:val="Standaardalinea-lettertype"/>
    <w:rsid w:val="00E41F98"/>
  </w:style>
  <w:style w:type="character" w:styleId="Nadruk">
    <w:name w:val="Emphasis"/>
    <w:basedOn w:val="Standaardalinea-lettertype"/>
    <w:uiPriority w:val="20"/>
    <w:qFormat/>
    <w:rsid w:val="009A334E"/>
    <w:rPr>
      <w:i/>
      <w:iCs/>
    </w:rPr>
  </w:style>
  <w:style w:type="paragraph" w:customStyle="1" w:styleId="Spreekpunten">
    <w:name w:val="Spreekpunten"/>
    <w:basedOn w:val="Standaard"/>
    <w:rsid w:val="007516A1"/>
    <w:pPr>
      <w:numPr>
        <w:numId w:val="6"/>
      </w:numPr>
      <w:spacing w:after="0" w:line="360" w:lineRule="auto"/>
    </w:pPr>
    <w:rPr>
      <w:rFonts w:ascii="Times New Roman" w:eastAsia="MS Mincho" w:hAnsi="Times New Roman" w:cs="Times New Roman"/>
      <w:bCs/>
      <w:sz w:val="28"/>
      <w:szCs w:val="20"/>
      <w:lang w:val="en-GB" w:eastAsia="nl-NL"/>
    </w:rPr>
  </w:style>
  <w:style w:type="character" w:styleId="Zwaar">
    <w:name w:val="Strong"/>
    <w:basedOn w:val="Standaardalinea-lettertype"/>
    <w:uiPriority w:val="22"/>
    <w:qFormat/>
    <w:rsid w:val="00AC0027"/>
    <w:rPr>
      <w:b/>
      <w:bCs/>
    </w:rPr>
  </w:style>
  <w:style w:type="paragraph" w:customStyle="1" w:styleId="p3">
    <w:name w:val="p3"/>
    <w:basedOn w:val="Standaard"/>
    <w:rsid w:val="00783960"/>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s2">
    <w:name w:val="s2"/>
    <w:basedOn w:val="Standaardalinea-lettertype"/>
    <w:rsid w:val="00783960"/>
  </w:style>
  <w:style w:type="character" w:customStyle="1" w:styleId="fontstyle01">
    <w:name w:val="fontstyle01"/>
    <w:basedOn w:val="Standaardalinea-lettertype"/>
    <w:rsid w:val="005D79AB"/>
    <w:rPr>
      <w:rFonts w:ascii="SegoeUI-Bold" w:hAnsi="SegoeU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128">
      <w:bodyDiv w:val="1"/>
      <w:marLeft w:val="0"/>
      <w:marRight w:val="0"/>
      <w:marTop w:val="0"/>
      <w:marBottom w:val="0"/>
      <w:divBdr>
        <w:top w:val="none" w:sz="0" w:space="0" w:color="auto"/>
        <w:left w:val="none" w:sz="0" w:space="0" w:color="auto"/>
        <w:bottom w:val="none" w:sz="0" w:space="0" w:color="auto"/>
        <w:right w:val="none" w:sz="0" w:space="0" w:color="auto"/>
      </w:divBdr>
    </w:div>
    <w:div w:id="142935030">
      <w:bodyDiv w:val="1"/>
      <w:marLeft w:val="0"/>
      <w:marRight w:val="0"/>
      <w:marTop w:val="0"/>
      <w:marBottom w:val="0"/>
      <w:divBdr>
        <w:top w:val="none" w:sz="0" w:space="0" w:color="auto"/>
        <w:left w:val="none" w:sz="0" w:space="0" w:color="auto"/>
        <w:bottom w:val="none" w:sz="0" w:space="0" w:color="auto"/>
        <w:right w:val="none" w:sz="0" w:space="0" w:color="auto"/>
      </w:divBdr>
      <w:divsChild>
        <w:div w:id="1179852682">
          <w:marLeft w:val="0"/>
          <w:marRight w:val="0"/>
          <w:marTop w:val="0"/>
          <w:marBottom w:val="0"/>
          <w:divBdr>
            <w:top w:val="none" w:sz="0" w:space="0" w:color="auto"/>
            <w:left w:val="none" w:sz="0" w:space="0" w:color="auto"/>
            <w:bottom w:val="none" w:sz="0" w:space="0" w:color="auto"/>
            <w:right w:val="none" w:sz="0" w:space="0" w:color="auto"/>
          </w:divBdr>
          <w:divsChild>
            <w:div w:id="2058040752">
              <w:marLeft w:val="0"/>
              <w:marRight w:val="0"/>
              <w:marTop w:val="0"/>
              <w:marBottom w:val="0"/>
              <w:divBdr>
                <w:top w:val="none" w:sz="0" w:space="0" w:color="auto"/>
                <w:left w:val="none" w:sz="0" w:space="0" w:color="auto"/>
                <w:bottom w:val="none" w:sz="0" w:space="0" w:color="auto"/>
                <w:right w:val="none" w:sz="0" w:space="0" w:color="auto"/>
              </w:divBdr>
              <w:divsChild>
                <w:div w:id="1848598785">
                  <w:marLeft w:val="0"/>
                  <w:marRight w:val="0"/>
                  <w:marTop w:val="0"/>
                  <w:marBottom w:val="0"/>
                  <w:divBdr>
                    <w:top w:val="none" w:sz="0" w:space="0" w:color="auto"/>
                    <w:left w:val="none" w:sz="0" w:space="0" w:color="auto"/>
                    <w:bottom w:val="none" w:sz="0" w:space="0" w:color="auto"/>
                    <w:right w:val="none" w:sz="0" w:space="0" w:color="auto"/>
                  </w:divBdr>
                  <w:divsChild>
                    <w:div w:id="1435130999">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sChild>
                            <w:div w:id="1648708115">
                              <w:marLeft w:val="12300"/>
                              <w:marRight w:val="0"/>
                              <w:marTop w:val="0"/>
                              <w:marBottom w:val="0"/>
                              <w:divBdr>
                                <w:top w:val="none" w:sz="0" w:space="0" w:color="auto"/>
                                <w:left w:val="none" w:sz="0" w:space="0" w:color="auto"/>
                                <w:bottom w:val="none" w:sz="0" w:space="0" w:color="auto"/>
                                <w:right w:val="none" w:sz="0" w:space="0" w:color="auto"/>
                              </w:divBdr>
                              <w:divsChild>
                                <w:div w:id="669064874">
                                  <w:marLeft w:val="0"/>
                                  <w:marRight w:val="0"/>
                                  <w:marTop w:val="0"/>
                                  <w:marBottom w:val="0"/>
                                  <w:divBdr>
                                    <w:top w:val="none" w:sz="0" w:space="0" w:color="auto"/>
                                    <w:left w:val="none" w:sz="0" w:space="0" w:color="auto"/>
                                    <w:bottom w:val="none" w:sz="0" w:space="0" w:color="auto"/>
                                    <w:right w:val="none" w:sz="0" w:space="0" w:color="auto"/>
                                  </w:divBdr>
                                  <w:divsChild>
                                    <w:div w:id="2088838868">
                                      <w:marLeft w:val="0"/>
                                      <w:marRight w:val="0"/>
                                      <w:marTop w:val="0"/>
                                      <w:marBottom w:val="390"/>
                                      <w:divBdr>
                                        <w:top w:val="none" w:sz="0" w:space="0" w:color="auto"/>
                                        <w:left w:val="none" w:sz="0" w:space="0" w:color="auto"/>
                                        <w:bottom w:val="none" w:sz="0" w:space="0" w:color="auto"/>
                                        <w:right w:val="none" w:sz="0" w:space="0" w:color="auto"/>
                                      </w:divBdr>
                                      <w:divsChild>
                                        <w:div w:id="991910281">
                                          <w:marLeft w:val="0"/>
                                          <w:marRight w:val="0"/>
                                          <w:marTop w:val="0"/>
                                          <w:marBottom w:val="0"/>
                                          <w:divBdr>
                                            <w:top w:val="none" w:sz="0" w:space="0" w:color="auto"/>
                                            <w:left w:val="none" w:sz="0" w:space="0" w:color="auto"/>
                                            <w:bottom w:val="none" w:sz="0" w:space="0" w:color="auto"/>
                                            <w:right w:val="none" w:sz="0" w:space="0" w:color="auto"/>
                                          </w:divBdr>
                                          <w:divsChild>
                                            <w:div w:id="1257862751">
                                              <w:marLeft w:val="0"/>
                                              <w:marRight w:val="0"/>
                                              <w:marTop w:val="0"/>
                                              <w:marBottom w:val="0"/>
                                              <w:divBdr>
                                                <w:top w:val="none" w:sz="0" w:space="0" w:color="auto"/>
                                                <w:left w:val="none" w:sz="0" w:space="0" w:color="auto"/>
                                                <w:bottom w:val="none" w:sz="0" w:space="0" w:color="auto"/>
                                                <w:right w:val="none" w:sz="0" w:space="0" w:color="auto"/>
                                              </w:divBdr>
                                              <w:divsChild>
                                                <w:div w:id="295064000">
                                                  <w:marLeft w:val="0"/>
                                                  <w:marRight w:val="0"/>
                                                  <w:marTop w:val="0"/>
                                                  <w:marBottom w:val="0"/>
                                                  <w:divBdr>
                                                    <w:top w:val="none" w:sz="0" w:space="0" w:color="auto"/>
                                                    <w:left w:val="none" w:sz="0" w:space="0" w:color="auto"/>
                                                    <w:bottom w:val="none" w:sz="0" w:space="0" w:color="auto"/>
                                                    <w:right w:val="none" w:sz="0" w:space="0" w:color="auto"/>
                                                  </w:divBdr>
                                                  <w:divsChild>
                                                    <w:div w:id="2066179366">
                                                      <w:marLeft w:val="0"/>
                                                      <w:marRight w:val="0"/>
                                                      <w:marTop w:val="0"/>
                                                      <w:marBottom w:val="0"/>
                                                      <w:divBdr>
                                                        <w:top w:val="none" w:sz="0" w:space="0" w:color="auto"/>
                                                        <w:left w:val="none" w:sz="0" w:space="0" w:color="auto"/>
                                                        <w:bottom w:val="none" w:sz="0" w:space="0" w:color="auto"/>
                                                        <w:right w:val="none" w:sz="0" w:space="0" w:color="auto"/>
                                                      </w:divBdr>
                                                      <w:divsChild>
                                                        <w:div w:id="2048026060">
                                                          <w:marLeft w:val="0"/>
                                                          <w:marRight w:val="0"/>
                                                          <w:marTop w:val="0"/>
                                                          <w:marBottom w:val="0"/>
                                                          <w:divBdr>
                                                            <w:top w:val="none" w:sz="0" w:space="0" w:color="auto"/>
                                                            <w:left w:val="none" w:sz="0" w:space="0" w:color="auto"/>
                                                            <w:bottom w:val="none" w:sz="0" w:space="0" w:color="auto"/>
                                                            <w:right w:val="none" w:sz="0" w:space="0" w:color="auto"/>
                                                          </w:divBdr>
                                                          <w:divsChild>
                                                            <w:div w:id="1053043868">
                                                              <w:marLeft w:val="0"/>
                                                              <w:marRight w:val="0"/>
                                                              <w:marTop w:val="0"/>
                                                              <w:marBottom w:val="0"/>
                                                              <w:divBdr>
                                                                <w:top w:val="none" w:sz="0" w:space="0" w:color="auto"/>
                                                                <w:left w:val="none" w:sz="0" w:space="0" w:color="auto"/>
                                                                <w:bottom w:val="none" w:sz="0" w:space="0" w:color="auto"/>
                                                                <w:right w:val="none" w:sz="0" w:space="0" w:color="auto"/>
                                                              </w:divBdr>
                                                              <w:divsChild>
                                                                <w:div w:id="1678456113">
                                                                  <w:marLeft w:val="0"/>
                                                                  <w:marRight w:val="0"/>
                                                                  <w:marTop w:val="0"/>
                                                                  <w:marBottom w:val="0"/>
                                                                  <w:divBdr>
                                                                    <w:top w:val="none" w:sz="0" w:space="0" w:color="auto"/>
                                                                    <w:left w:val="none" w:sz="0" w:space="0" w:color="auto"/>
                                                                    <w:bottom w:val="none" w:sz="0" w:space="0" w:color="auto"/>
                                                                    <w:right w:val="none" w:sz="0" w:space="0" w:color="auto"/>
                                                                  </w:divBdr>
                                                                  <w:divsChild>
                                                                    <w:div w:id="1140070384">
                                                                      <w:marLeft w:val="0"/>
                                                                      <w:marRight w:val="0"/>
                                                                      <w:marTop w:val="0"/>
                                                                      <w:marBottom w:val="0"/>
                                                                      <w:divBdr>
                                                                        <w:top w:val="none" w:sz="0" w:space="0" w:color="auto"/>
                                                                        <w:left w:val="none" w:sz="0" w:space="0" w:color="auto"/>
                                                                        <w:bottom w:val="none" w:sz="0" w:space="0" w:color="auto"/>
                                                                        <w:right w:val="none" w:sz="0" w:space="0" w:color="auto"/>
                                                                      </w:divBdr>
                                                                      <w:divsChild>
                                                                        <w:div w:id="667904900">
                                                                          <w:marLeft w:val="0"/>
                                                                          <w:marRight w:val="0"/>
                                                                          <w:marTop w:val="0"/>
                                                                          <w:marBottom w:val="0"/>
                                                                          <w:divBdr>
                                                                            <w:top w:val="none" w:sz="0" w:space="0" w:color="auto"/>
                                                                            <w:left w:val="none" w:sz="0" w:space="0" w:color="auto"/>
                                                                            <w:bottom w:val="none" w:sz="0" w:space="0" w:color="auto"/>
                                                                            <w:right w:val="none" w:sz="0" w:space="0" w:color="auto"/>
                                                                          </w:divBdr>
                                                                          <w:divsChild>
                                                                            <w:div w:id="1221672945">
                                                                              <w:marLeft w:val="0"/>
                                                                              <w:marRight w:val="0"/>
                                                                              <w:marTop w:val="0"/>
                                                                              <w:marBottom w:val="0"/>
                                                                              <w:divBdr>
                                                                                <w:top w:val="none" w:sz="0" w:space="0" w:color="auto"/>
                                                                                <w:left w:val="none" w:sz="0" w:space="0" w:color="auto"/>
                                                                                <w:bottom w:val="none" w:sz="0" w:space="0" w:color="auto"/>
                                                                                <w:right w:val="none" w:sz="0" w:space="0" w:color="auto"/>
                                                                              </w:divBdr>
                                                                              <w:divsChild>
                                                                                <w:div w:id="3068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437237">
      <w:bodyDiv w:val="1"/>
      <w:marLeft w:val="0"/>
      <w:marRight w:val="0"/>
      <w:marTop w:val="0"/>
      <w:marBottom w:val="0"/>
      <w:divBdr>
        <w:top w:val="none" w:sz="0" w:space="0" w:color="auto"/>
        <w:left w:val="none" w:sz="0" w:space="0" w:color="auto"/>
        <w:bottom w:val="none" w:sz="0" w:space="0" w:color="auto"/>
        <w:right w:val="none" w:sz="0" w:space="0" w:color="auto"/>
      </w:divBdr>
    </w:div>
    <w:div w:id="239142285">
      <w:bodyDiv w:val="1"/>
      <w:marLeft w:val="0"/>
      <w:marRight w:val="0"/>
      <w:marTop w:val="0"/>
      <w:marBottom w:val="0"/>
      <w:divBdr>
        <w:top w:val="none" w:sz="0" w:space="0" w:color="auto"/>
        <w:left w:val="none" w:sz="0" w:space="0" w:color="auto"/>
        <w:bottom w:val="none" w:sz="0" w:space="0" w:color="auto"/>
        <w:right w:val="none" w:sz="0" w:space="0" w:color="auto"/>
      </w:divBdr>
    </w:div>
    <w:div w:id="243614252">
      <w:bodyDiv w:val="1"/>
      <w:marLeft w:val="0"/>
      <w:marRight w:val="0"/>
      <w:marTop w:val="0"/>
      <w:marBottom w:val="0"/>
      <w:divBdr>
        <w:top w:val="none" w:sz="0" w:space="0" w:color="auto"/>
        <w:left w:val="none" w:sz="0" w:space="0" w:color="auto"/>
        <w:bottom w:val="none" w:sz="0" w:space="0" w:color="auto"/>
        <w:right w:val="none" w:sz="0" w:space="0" w:color="auto"/>
      </w:divBdr>
    </w:div>
    <w:div w:id="301154110">
      <w:bodyDiv w:val="1"/>
      <w:marLeft w:val="0"/>
      <w:marRight w:val="0"/>
      <w:marTop w:val="0"/>
      <w:marBottom w:val="0"/>
      <w:divBdr>
        <w:top w:val="none" w:sz="0" w:space="0" w:color="auto"/>
        <w:left w:val="none" w:sz="0" w:space="0" w:color="auto"/>
        <w:bottom w:val="none" w:sz="0" w:space="0" w:color="auto"/>
        <w:right w:val="none" w:sz="0" w:space="0" w:color="auto"/>
      </w:divBdr>
    </w:div>
    <w:div w:id="369495489">
      <w:bodyDiv w:val="1"/>
      <w:marLeft w:val="0"/>
      <w:marRight w:val="0"/>
      <w:marTop w:val="0"/>
      <w:marBottom w:val="0"/>
      <w:divBdr>
        <w:top w:val="none" w:sz="0" w:space="0" w:color="auto"/>
        <w:left w:val="none" w:sz="0" w:space="0" w:color="auto"/>
        <w:bottom w:val="none" w:sz="0" w:space="0" w:color="auto"/>
        <w:right w:val="none" w:sz="0" w:space="0" w:color="auto"/>
      </w:divBdr>
    </w:div>
    <w:div w:id="383988946">
      <w:bodyDiv w:val="1"/>
      <w:marLeft w:val="0"/>
      <w:marRight w:val="0"/>
      <w:marTop w:val="0"/>
      <w:marBottom w:val="0"/>
      <w:divBdr>
        <w:top w:val="none" w:sz="0" w:space="0" w:color="auto"/>
        <w:left w:val="none" w:sz="0" w:space="0" w:color="auto"/>
        <w:bottom w:val="none" w:sz="0" w:space="0" w:color="auto"/>
        <w:right w:val="none" w:sz="0" w:space="0" w:color="auto"/>
      </w:divBdr>
    </w:div>
    <w:div w:id="425806521">
      <w:bodyDiv w:val="1"/>
      <w:marLeft w:val="0"/>
      <w:marRight w:val="0"/>
      <w:marTop w:val="0"/>
      <w:marBottom w:val="0"/>
      <w:divBdr>
        <w:top w:val="none" w:sz="0" w:space="0" w:color="auto"/>
        <w:left w:val="none" w:sz="0" w:space="0" w:color="auto"/>
        <w:bottom w:val="none" w:sz="0" w:space="0" w:color="auto"/>
        <w:right w:val="none" w:sz="0" w:space="0" w:color="auto"/>
      </w:divBdr>
    </w:div>
    <w:div w:id="544173678">
      <w:bodyDiv w:val="1"/>
      <w:marLeft w:val="0"/>
      <w:marRight w:val="0"/>
      <w:marTop w:val="0"/>
      <w:marBottom w:val="0"/>
      <w:divBdr>
        <w:top w:val="none" w:sz="0" w:space="0" w:color="auto"/>
        <w:left w:val="none" w:sz="0" w:space="0" w:color="auto"/>
        <w:bottom w:val="none" w:sz="0" w:space="0" w:color="auto"/>
        <w:right w:val="none" w:sz="0" w:space="0" w:color="auto"/>
      </w:divBdr>
      <w:divsChild>
        <w:div w:id="1731806834">
          <w:marLeft w:val="0"/>
          <w:marRight w:val="0"/>
          <w:marTop w:val="0"/>
          <w:marBottom w:val="0"/>
          <w:divBdr>
            <w:top w:val="none" w:sz="0" w:space="0" w:color="auto"/>
            <w:left w:val="none" w:sz="0" w:space="0" w:color="auto"/>
            <w:bottom w:val="none" w:sz="0" w:space="0" w:color="auto"/>
            <w:right w:val="none" w:sz="0" w:space="0" w:color="auto"/>
          </w:divBdr>
          <w:divsChild>
            <w:div w:id="920523923">
              <w:marLeft w:val="0"/>
              <w:marRight w:val="0"/>
              <w:marTop w:val="0"/>
              <w:marBottom w:val="0"/>
              <w:divBdr>
                <w:top w:val="none" w:sz="0" w:space="0" w:color="auto"/>
                <w:left w:val="none" w:sz="0" w:space="0" w:color="auto"/>
                <w:bottom w:val="none" w:sz="0" w:space="0" w:color="auto"/>
                <w:right w:val="none" w:sz="0" w:space="0" w:color="auto"/>
              </w:divBdr>
              <w:divsChild>
                <w:div w:id="868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9097">
      <w:bodyDiv w:val="1"/>
      <w:marLeft w:val="0"/>
      <w:marRight w:val="0"/>
      <w:marTop w:val="0"/>
      <w:marBottom w:val="0"/>
      <w:divBdr>
        <w:top w:val="none" w:sz="0" w:space="0" w:color="auto"/>
        <w:left w:val="none" w:sz="0" w:space="0" w:color="auto"/>
        <w:bottom w:val="none" w:sz="0" w:space="0" w:color="auto"/>
        <w:right w:val="none" w:sz="0" w:space="0" w:color="auto"/>
      </w:divBdr>
    </w:div>
    <w:div w:id="763066302">
      <w:bodyDiv w:val="1"/>
      <w:marLeft w:val="0"/>
      <w:marRight w:val="0"/>
      <w:marTop w:val="0"/>
      <w:marBottom w:val="0"/>
      <w:divBdr>
        <w:top w:val="none" w:sz="0" w:space="0" w:color="auto"/>
        <w:left w:val="none" w:sz="0" w:space="0" w:color="auto"/>
        <w:bottom w:val="none" w:sz="0" w:space="0" w:color="auto"/>
        <w:right w:val="none" w:sz="0" w:space="0" w:color="auto"/>
      </w:divBdr>
      <w:divsChild>
        <w:div w:id="779185321">
          <w:marLeft w:val="0"/>
          <w:marRight w:val="0"/>
          <w:marTop w:val="0"/>
          <w:marBottom w:val="0"/>
          <w:divBdr>
            <w:top w:val="none" w:sz="0" w:space="0" w:color="auto"/>
            <w:left w:val="none" w:sz="0" w:space="0" w:color="auto"/>
            <w:bottom w:val="none" w:sz="0" w:space="0" w:color="auto"/>
            <w:right w:val="none" w:sz="0" w:space="0" w:color="auto"/>
          </w:divBdr>
          <w:divsChild>
            <w:div w:id="37827699">
              <w:marLeft w:val="0"/>
              <w:marRight w:val="0"/>
              <w:marTop w:val="0"/>
              <w:marBottom w:val="0"/>
              <w:divBdr>
                <w:top w:val="none" w:sz="0" w:space="0" w:color="auto"/>
                <w:left w:val="none" w:sz="0" w:space="0" w:color="auto"/>
                <w:bottom w:val="none" w:sz="0" w:space="0" w:color="auto"/>
                <w:right w:val="none" w:sz="0" w:space="0" w:color="auto"/>
              </w:divBdr>
              <w:divsChild>
                <w:div w:id="1835533789">
                  <w:marLeft w:val="0"/>
                  <w:marRight w:val="0"/>
                  <w:marTop w:val="0"/>
                  <w:marBottom w:val="0"/>
                  <w:divBdr>
                    <w:top w:val="none" w:sz="0" w:space="0" w:color="auto"/>
                    <w:left w:val="none" w:sz="0" w:space="0" w:color="auto"/>
                    <w:bottom w:val="none" w:sz="0" w:space="0" w:color="auto"/>
                    <w:right w:val="none" w:sz="0" w:space="0" w:color="auto"/>
                  </w:divBdr>
                  <w:divsChild>
                    <w:div w:id="255358880">
                      <w:marLeft w:val="0"/>
                      <w:marRight w:val="0"/>
                      <w:marTop w:val="0"/>
                      <w:marBottom w:val="0"/>
                      <w:divBdr>
                        <w:top w:val="none" w:sz="0" w:space="0" w:color="auto"/>
                        <w:left w:val="none" w:sz="0" w:space="0" w:color="auto"/>
                        <w:bottom w:val="none" w:sz="0" w:space="0" w:color="auto"/>
                        <w:right w:val="none" w:sz="0" w:space="0" w:color="auto"/>
                      </w:divBdr>
                      <w:divsChild>
                        <w:div w:id="1022319136">
                          <w:marLeft w:val="0"/>
                          <w:marRight w:val="0"/>
                          <w:marTop w:val="0"/>
                          <w:marBottom w:val="0"/>
                          <w:divBdr>
                            <w:top w:val="none" w:sz="0" w:space="0" w:color="auto"/>
                            <w:left w:val="none" w:sz="0" w:space="0" w:color="auto"/>
                            <w:bottom w:val="none" w:sz="0" w:space="0" w:color="auto"/>
                            <w:right w:val="none" w:sz="0" w:space="0" w:color="auto"/>
                          </w:divBdr>
                          <w:divsChild>
                            <w:div w:id="370695523">
                              <w:marLeft w:val="0"/>
                              <w:marRight w:val="0"/>
                              <w:marTop w:val="0"/>
                              <w:marBottom w:val="0"/>
                              <w:divBdr>
                                <w:top w:val="none" w:sz="0" w:space="0" w:color="auto"/>
                                <w:left w:val="none" w:sz="0" w:space="0" w:color="auto"/>
                                <w:bottom w:val="none" w:sz="0" w:space="0" w:color="auto"/>
                                <w:right w:val="none" w:sz="0" w:space="0" w:color="auto"/>
                              </w:divBdr>
                              <w:divsChild>
                                <w:div w:id="498929409">
                                  <w:marLeft w:val="0"/>
                                  <w:marRight w:val="0"/>
                                  <w:marTop w:val="0"/>
                                  <w:marBottom w:val="0"/>
                                  <w:divBdr>
                                    <w:top w:val="none" w:sz="0" w:space="0" w:color="auto"/>
                                    <w:left w:val="none" w:sz="0" w:space="0" w:color="auto"/>
                                    <w:bottom w:val="none" w:sz="0" w:space="0" w:color="auto"/>
                                    <w:right w:val="none" w:sz="0" w:space="0" w:color="auto"/>
                                  </w:divBdr>
                                  <w:divsChild>
                                    <w:div w:id="45296841">
                                      <w:marLeft w:val="0"/>
                                      <w:marRight w:val="0"/>
                                      <w:marTop w:val="0"/>
                                      <w:marBottom w:val="0"/>
                                      <w:divBdr>
                                        <w:top w:val="none" w:sz="0" w:space="0" w:color="auto"/>
                                        <w:left w:val="none" w:sz="0" w:space="0" w:color="auto"/>
                                        <w:bottom w:val="none" w:sz="0" w:space="0" w:color="auto"/>
                                        <w:right w:val="none" w:sz="0" w:space="0" w:color="auto"/>
                                      </w:divBdr>
                                      <w:divsChild>
                                        <w:div w:id="2111075720">
                                          <w:marLeft w:val="0"/>
                                          <w:marRight w:val="0"/>
                                          <w:marTop w:val="0"/>
                                          <w:marBottom w:val="495"/>
                                          <w:divBdr>
                                            <w:top w:val="none" w:sz="0" w:space="0" w:color="auto"/>
                                            <w:left w:val="none" w:sz="0" w:space="0" w:color="auto"/>
                                            <w:bottom w:val="none" w:sz="0" w:space="0" w:color="auto"/>
                                            <w:right w:val="none" w:sz="0" w:space="0" w:color="auto"/>
                                          </w:divBdr>
                                          <w:divsChild>
                                            <w:div w:id="10754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986613">
      <w:bodyDiv w:val="1"/>
      <w:marLeft w:val="0"/>
      <w:marRight w:val="0"/>
      <w:marTop w:val="0"/>
      <w:marBottom w:val="0"/>
      <w:divBdr>
        <w:top w:val="none" w:sz="0" w:space="0" w:color="auto"/>
        <w:left w:val="none" w:sz="0" w:space="0" w:color="auto"/>
        <w:bottom w:val="none" w:sz="0" w:space="0" w:color="auto"/>
        <w:right w:val="none" w:sz="0" w:space="0" w:color="auto"/>
      </w:divBdr>
    </w:div>
    <w:div w:id="881863027">
      <w:bodyDiv w:val="1"/>
      <w:marLeft w:val="0"/>
      <w:marRight w:val="0"/>
      <w:marTop w:val="0"/>
      <w:marBottom w:val="0"/>
      <w:divBdr>
        <w:top w:val="none" w:sz="0" w:space="0" w:color="auto"/>
        <w:left w:val="none" w:sz="0" w:space="0" w:color="auto"/>
        <w:bottom w:val="none" w:sz="0" w:space="0" w:color="auto"/>
        <w:right w:val="none" w:sz="0" w:space="0" w:color="auto"/>
      </w:divBdr>
    </w:div>
    <w:div w:id="929702463">
      <w:bodyDiv w:val="1"/>
      <w:marLeft w:val="0"/>
      <w:marRight w:val="0"/>
      <w:marTop w:val="0"/>
      <w:marBottom w:val="0"/>
      <w:divBdr>
        <w:top w:val="none" w:sz="0" w:space="0" w:color="auto"/>
        <w:left w:val="none" w:sz="0" w:space="0" w:color="auto"/>
        <w:bottom w:val="none" w:sz="0" w:space="0" w:color="auto"/>
        <w:right w:val="none" w:sz="0" w:space="0" w:color="auto"/>
      </w:divBdr>
    </w:div>
    <w:div w:id="1002586331">
      <w:bodyDiv w:val="1"/>
      <w:marLeft w:val="0"/>
      <w:marRight w:val="0"/>
      <w:marTop w:val="0"/>
      <w:marBottom w:val="0"/>
      <w:divBdr>
        <w:top w:val="none" w:sz="0" w:space="0" w:color="auto"/>
        <w:left w:val="none" w:sz="0" w:space="0" w:color="auto"/>
        <w:bottom w:val="none" w:sz="0" w:space="0" w:color="auto"/>
        <w:right w:val="none" w:sz="0" w:space="0" w:color="auto"/>
      </w:divBdr>
    </w:div>
    <w:div w:id="1005547024">
      <w:bodyDiv w:val="1"/>
      <w:marLeft w:val="0"/>
      <w:marRight w:val="0"/>
      <w:marTop w:val="0"/>
      <w:marBottom w:val="0"/>
      <w:divBdr>
        <w:top w:val="none" w:sz="0" w:space="0" w:color="auto"/>
        <w:left w:val="none" w:sz="0" w:space="0" w:color="auto"/>
        <w:bottom w:val="none" w:sz="0" w:space="0" w:color="auto"/>
        <w:right w:val="none" w:sz="0" w:space="0" w:color="auto"/>
      </w:divBdr>
    </w:div>
    <w:div w:id="1019772798">
      <w:bodyDiv w:val="1"/>
      <w:marLeft w:val="0"/>
      <w:marRight w:val="0"/>
      <w:marTop w:val="0"/>
      <w:marBottom w:val="0"/>
      <w:divBdr>
        <w:top w:val="none" w:sz="0" w:space="0" w:color="auto"/>
        <w:left w:val="none" w:sz="0" w:space="0" w:color="auto"/>
        <w:bottom w:val="none" w:sz="0" w:space="0" w:color="auto"/>
        <w:right w:val="none" w:sz="0" w:space="0" w:color="auto"/>
      </w:divBdr>
    </w:div>
    <w:div w:id="1024331686">
      <w:bodyDiv w:val="1"/>
      <w:marLeft w:val="0"/>
      <w:marRight w:val="0"/>
      <w:marTop w:val="0"/>
      <w:marBottom w:val="0"/>
      <w:divBdr>
        <w:top w:val="none" w:sz="0" w:space="0" w:color="auto"/>
        <w:left w:val="none" w:sz="0" w:space="0" w:color="auto"/>
        <w:bottom w:val="none" w:sz="0" w:space="0" w:color="auto"/>
        <w:right w:val="none" w:sz="0" w:space="0" w:color="auto"/>
      </w:divBdr>
    </w:div>
    <w:div w:id="1164859387">
      <w:bodyDiv w:val="1"/>
      <w:marLeft w:val="0"/>
      <w:marRight w:val="0"/>
      <w:marTop w:val="0"/>
      <w:marBottom w:val="0"/>
      <w:divBdr>
        <w:top w:val="none" w:sz="0" w:space="0" w:color="auto"/>
        <w:left w:val="none" w:sz="0" w:space="0" w:color="auto"/>
        <w:bottom w:val="none" w:sz="0" w:space="0" w:color="auto"/>
        <w:right w:val="none" w:sz="0" w:space="0" w:color="auto"/>
      </w:divBdr>
    </w:div>
    <w:div w:id="1220165868">
      <w:bodyDiv w:val="1"/>
      <w:marLeft w:val="0"/>
      <w:marRight w:val="0"/>
      <w:marTop w:val="0"/>
      <w:marBottom w:val="0"/>
      <w:divBdr>
        <w:top w:val="none" w:sz="0" w:space="0" w:color="auto"/>
        <w:left w:val="none" w:sz="0" w:space="0" w:color="auto"/>
        <w:bottom w:val="none" w:sz="0" w:space="0" w:color="auto"/>
        <w:right w:val="none" w:sz="0" w:space="0" w:color="auto"/>
      </w:divBdr>
    </w:div>
    <w:div w:id="1275866177">
      <w:bodyDiv w:val="1"/>
      <w:marLeft w:val="0"/>
      <w:marRight w:val="0"/>
      <w:marTop w:val="0"/>
      <w:marBottom w:val="0"/>
      <w:divBdr>
        <w:top w:val="none" w:sz="0" w:space="0" w:color="auto"/>
        <w:left w:val="none" w:sz="0" w:space="0" w:color="auto"/>
        <w:bottom w:val="none" w:sz="0" w:space="0" w:color="auto"/>
        <w:right w:val="none" w:sz="0" w:space="0" w:color="auto"/>
      </w:divBdr>
    </w:div>
    <w:div w:id="1410880559">
      <w:bodyDiv w:val="1"/>
      <w:marLeft w:val="0"/>
      <w:marRight w:val="0"/>
      <w:marTop w:val="0"/>
      <w:marBottom w:val="0"/>
      <w:divBdr>
        <w:top w:val="none" w:sz="0" w:space="0" w:color="auto"/>
        <w:left w:val="none" w:sz="0" w:space="0" w:color="auto"/>
        <w:bottom w:val="none" w:sz="0" w:space="0" w:color="auto"/>
        <w:right w:val="none" w:sz="0" w:space="0" w:color="auto"/>
      </w:divBdr>
    </w:div>
    <w:div w:id="1411345427">
      <w:bodyDiv w:val="1"/>
      <w:marLeft w:val="0"/>
      <w:marRight w:val="0"/>
      <w:marTop w:val="0"/>
      <w:marBottom w:val="0"/>
      <w:divBdr>
        <w:top w:val="none" w:sz="0" w:space="0" w:color="auto"/>
        <w:left w:val="none" w:sz="0" w:space="0" w:color="auto"/>
        <w:bottom w:val="none" w:sz="0" w:space="0" w:color="auto"/>
        <w:right w:val="none" w:sz="0" w:space="0" w:color="auto"/>
      </w:divBdr>
    </w:div>
    <w:div w:id="1564868900">
      <w:bodyDiv w:val="1"/>
      <w:marLeft w:val="0"/>
      <w:marRight w:val="0"/>
      <w:marTop w:val="0"/>
      <w:marBottom w:val="0"/>
      <w:divBdr>
        <w:top w:val="none" w:sz="0" w:space="0" w:color="auto"/>
        <w:left w:val="none" w:sz="0" w:space="0" w:color="auto"/>
        <w:bottom w:val="none" w:sz="0" w:space="0" w:color="auto"/>
        <w:right w:val="none" w:sz="0" w:space="0" w:color="auto"/>
      </w:divBdr>
    </w:div>
    <w:div w:id="1646085273">
      <w:bodyDiv w:val="1"/>
      <w:marLeft w:val="0"/>
      <w:marRight w:val="0"/>
      <w:marTop w:val="0"/>
      <w:marBottom w:val="0"/>
      <w:divBdr>
        <w:top w:val="none" w:sz="0" w:space="0" w:color="auto"/>
        <w:left w:val="none" w:sz="0" w:space="0" w:color="auto"/>
        <w:bottom w:val="none" w:sz="0" w:space="0" w:color="auto"/>
        <w:right w:val="none" w:sz="0" w:space="0" w:color="auto"/>
      </w:divBdr>
    </w:div>
    <w:div w:id="1652321920">
      <w:bodyDiv w:val="1"/>
      <w:marLeft w:val="0"/>
      <w:marRight w:val="0"/>
      <w:marTop w:val="0"/>
      <w:marBottom w:val="0"/>
      <w:divBdr>
        <w:top w:val="none" w:sz="0" w:space="0" w:color="auto"/>
        <w:left w:val="none" w:sz="0" w:space="0" w:color="auto"/>
        <w:bottom w:val="none" w:sz="0" w:space="0" w:color="auto"/>
        <w:right w:val="none" w:sz="0" w:space="0" w:color="auto"/>
      </w:divBdr>
    </w:div>
    <w:div w:id="1687831183">
      <w:bodyDiv w:val="1"/>
      <w:marLeft w:val="0"/>
      <w:marRight w:val="0"/>
      <w:marTop w:val="0"/>
      <w:marBottom w:val="0"/>
      <w:divBdr>
        <w:top w:val="none" w:sz="0" w:space="0" w:color="auto"/>
        <w:left w:val="none" w:sz="0" w:space="0" w:color="auto"/>
        <w:bottom w:val="none" w:sz="0" w:space="0" w:color="auto"/>
        <w:right w:val="none" w:sz="0" w:space="0" w:color="auto"/>
      </w:divBdr>
    </w:div>
    <w:div w:id="1809131308">
      <w:bodyDiv w:val="1"/>
      <w:marLeft w:val="0"/>
      <w:marRight w:val="0"/>
      <w:marTop w:val="0"/>
      <w:marBottom w:val="0"/>
      <w:divBdr>
        <w:top w:val="none" w:sz="0" w:space="0" w:color="auto"/>
        <w:left w:val="none" w:sz="0" w:space="0" w:color="auto"/>
        <w:bottom w:val="none" w:sz="0" w:space="0" w:color="auto"/>
        <w:right w:val="none" w:sz="0" w:space="0" w:color="auto"/>
      </w:divBdr>
    </w:div>
    <w:div w:id="1878469321">
      <w:bodyDiv w:val="1"/>
      <w:marLeft w:val="0"/>
      <w:marRight w:val="0"/>
      <w:marTop w:val="0"/>
      <w:marBottom w:val="0"/>
      <w:divBdr>
        <w:top w:val="none" w:sz="0" w:space="0" w:color="auto"/>
        <w:left w:val="none" w:sz="0" w:space="0" w:color="auto"/>
        <w:bottom w:val="none" w:sz="0" w:space="0" w:color="auto"/>
        <w:right w:val="none" w:sz="0" w:space="0" w:color="auto"/>
      </w:divBdr>
    </w:div>
    <w:div w:id="1889952830">
      <w:bodyDiv w:val="1"/>
      <w:marLeft w:val="0"/>
      <w:marRight w:val="0"/>
      <w:marTop w:val="0"/>
      <w:marBottom w:val="0"/>
      <w:divBdr>
        <w:top w:val="none" w:sz="0" w:space="0" w:color="auto"/>
        <w:left w:val="none" w:sz="0" w:space="0" w:color="auto"/>
        <w:bottom w:val="none" w:sz="0" w:space="0" w:color="auto"/>
        <w:right w:val="none" w:sz="0" w:space="0" w:color="auto"/>
      </w:divBdr>
    </w:div>
    <w:div w:id="1926257016">
      <w:bodyDiv w:val="1"/>
      <w:marLeft w:val="0"/>
      <w:marRight w:val="0"/>
      <w:marTop w:val="0"/>
      <w:marBottom w:val="0"/>
      <w:divBdr>
        <w:top w:val="none" w:sz="0" w:space="0" w:color="auto"/>
        <w:left w:val="none" w:sz="0" w:space="0" w:color="auto"/>
        <w:bottom w:val="none" w:sz="0" w:space="0" w:color="auto"/>
        <w:right w:val="none" w:sz="0" w:space="0" w:color="auto"/>
      </w:divBdr>
    </w:div>
    <w:div w:id="1931041616">
      <w:bodyDiv w:val="1"/>
      <w:marLeft w:val="0"/>
      <w:marRight w:val="0"/>
      <w:marTop w:val="0"/>
      <w:marBottom w:val="0"/>
      <w:divBdr>
        <w:top w:val="none" w:sz="0" w:space="0" w:color="auto"/>
        <w:left w:val="none" w:sz="0" w:space="0" w:color="auto"/>
        <w:bottom w:val="none" w:sz="0" w:space="0" w:color="auto"/>
        <w:right w:val="none" w:sz="0" w:space="0" w:color="auto"/>
      </w:divBdr>
    </w:div>
    <w:div w:id="1989430283">
      <w:bodyDiv w:val="1"/>
      <w:marLeft w:val="0"/>
      <w:marRight w:val="0"/>
      <w:marTop w:val="0"/>
      <w:marBottom w:val="0"/>
      <w:divBdr>
        <w:top w:val="none" w:sz="0" w:space="0" w:color="auto"/>
        <w:left w:val="none" w:sz="0" w:space="0" w:color="auto"/>
        <w:bottom w:val="none" w:sz="0" w:space="0" w:color="auto"/>
        <w:right w:val="none" w:sz="0" w:space="0" w:color="auto"/>
      </w:divBdr>
      <w:divsChild>
        <w:div w:id="1023166515">
          <w:marLeft w:val="0"/>
          <w:marRight w:val="0"/>
          <w:marTop w:val="0"/>
          <w:marBottom w:val="0"/>
          <w:divBdr>
            <w:top w:val="none" w:sz="0" w:space="0" w:color="auto"/>
            <w:left w:val="none" w:sz="0" w:space="0" w:color="auto"/>
            <w:bottom w:val="none" w:sz="0" w:space="0" w:color="auto"/>
            <w:right w:val="none" w:sz="0" w:space="0" w:color="auto"/>
          </w:divBdr>
          <w:divsChild>
            <w:div w:id="1823082648">
              <w:marLeft w:val="0"/>
              <w:marRight w:val="0"/>
              <w:marTop w:val="0"/>
              <w:marBottom w:val="0"/>
              <w:divBdr>
                <w:top w:val="none" w:sz="0" w:space="0" w:color="auto"/>
                <w:left w:val="none" w:sz="0" w:space="0" w:color="auto"/>
                <w:bottom w:val="none" w:sz="0" w:space="0" w:color="auto"/>
                <w:right w:val="none" w:sz="0" w:space="0" w:color="auto"/>
              </w:divBdr>
              <w:divsChild>
                <w:div w:id="1526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0631">
      <w:bodyDiv w:val="1"/>
      <w:marLeft w:val="0"/>
      <w:marRight w:val="0"/>
      <w:marTop w:val="0"/>
      <w:marBottom w:val="0"/>
      <w:divBdr>
        <w:top w:val="none" w:sz="0" w:space="0" w:color="auto"/>
        <w:left w:val="none" w:sz="0" w:space="0" w:color="auto"/>
        <w:bottom w:val="none" w:sz="0" w:space="0" w:color="auto"/>
        <w:right w:val="none" w:sz="0" w:space="0" w:color="auto"/>
      </w:divBdr>
    </w:div>
    <w:div w:id="2017295463">
      <w:bodyDiv w:val="1"/>
      <w:marLeft w:val="0"/>
      <w:marRight w:val="0"/>
      <w:marTop w:val="0"/>
      <w:marBottom w:val="0"/>
      <w:divBdr>
        <w:top w:val="none" w:sz="0" w:space="0" w:color="auto"/>
        <w:left w:val="none" w:sz="0" w:space="0" w:color="auto"/>
        <w:bottom w:val="none" w:sz="0" w:space="0" w:color="auto"/>
        <w:right w:val="none" w:sz="0" w:space="0" w:color="auto"/>
      </w:divBdr>
    </w:div>
    <w:div w:id="21299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council-eu/eurogroup/work-programme/" TargetMode="External"/><Relationship Id="rId13" Type="http://schemas.openxmlformats.org/officeDocument/2006/relationships/hyperlink" Target="https://www.consilium.europa.eu/en/press/press-releases/2019/06/14/term-sheet-on-the-budgetary-instrument-for-convergence-and-competitiveness/pdf" TargetMode="External"/><Relationship Id="rId18" Type="http://schemas.openxmlformats.org/officeDocument/2006/relationships/hyperlink" Target="https://www.consilium.europa.eu/nl/press/press-releases/2016/06/17/conclusions-on-banking-union/" TargetMode="External"/><Relationship Id="rId26" Type="http://schemas.openxmlformats.org/officeDocument/2006/relationships/hyperlink" Target="https://www.consilium.europa.eu/en/press/press-releases/2019/12/05/capital-markets-union-council-sets-objectives-for-the-deepening-of-the-project/" TargetMode="External"/><Relationship Id="rId3" Type="http://schemas.openxmlformats.org/officeDocument/2006/relationships/hyperlink" Target="https://www.consilium.europa.eu/en/press/press-releases/2019/12/04/eurogroup-statement-on-greece-of-4-december-2019/pdf" TargetMode="External"/><Relationship Id="rId21" Type="http://schemas.openxmlformats.org/officeDocument/2006/relationships/hyperlink" Target="http://data.consilium.europa.eu/doc/document/ST-14434-2019-INIT/en/pdf" TargetMode="External"/><Relationship Id="rId34" Type="http://schemas.openxmlformats.org/officeDocument/2006/relationships/hyperlink" Target="http://data.consilium.europa.eu/doc/document/ST-14179-2019-INIT/en/pdf" TargetMode="External"/><Relationship Id="rId7" Type="http://schemas.openxmlformats.org/officeDocument/2006/relationships/hyperlink" Target="https://www.consilium.europa.eu/en/press/press-releases/2019/12/04/eurogroup-statement-on-the-draft-budgetary-plans-for-2020/pdf" TargetMode="External"/><Relationship Id="rId12" Type="http://schemas.openxmlformats.org/officeDocument/2006/relationships/hyperlink" Target="https://www.consilium.europa.eu/media/41644/2019-12-03-letter-from-the-hlwg-chair-to-the-peg.pdf" TargetMode="External"/><Relationship Id="rId17" Type="http://schemas.openxmlformats.org/officeDocument/2006/relationships/hyperlink" Target="https://data.consilium.europa.eu/doc/document/ST-14354-2019-INIT/en/pdf" TargetMode="External"/><Relationship Id="rId25" Type="http://schemas.openxmlformats.org/officeDocument/2006/relationships/hyperlink" Target="https://www.consilium.europa.eu/en/press/press-releases/2019/12/05/money-laundering-council-sets-strategic-priorities-for-further-reforms/pdf" TargetMode="External"/><Relationship Id="rId33" Type="http://schemas.openxmlformats.org/officeDocument/2006/relationships/hyperlink" Target="http://data.consilium.europa.eu/doc/document/ST-14177-2019-INIT/en/pdf" TargetMode="External"/><Relationship Id="rId2" Type="http://schemas.openxmlformats.org/officeDocument/2006/relationships/hyperlink" Target="https://www.consilium.europa.eu/en/press/press-releases/2018/06/22/eurogroup-statement-on-greece-22-june-2018/pdf" TargetMode="External"/><Relationship Id="rId16" Type="http://schemas.openxmlformats.org/officeDocument/2006/relationships/hyperlink" Target="https://data.consilium.europa.eu/doc/document/ST-14114-2019-INIT/en/pdf" TargetMode="External"/><Relationship Id="rId20" Type="http://schemas.openxmlformats.org/officeDocument/2006/relationships/hyperlink" Target="https://www.consilium.europa.eu/en/press/press-releases/2019/12/05/energy-taxation-council-calls-for-an-updated-framework-contributing-to-a-climate-neutral-eu/" TargetMode="External"/><Relationship Id="rId29" Type="http://schemas.openxmlformats.org/officeDocument/2006/relationships/hyperlink" Target="https://ec.europa.eu/info/business-economy-euro/economic-performance-and-forecasts/economic-forecasts/autumn-2019-economic-forecast-challenging-road-ahead_en" TargetMode="External"/><Relationship Id="rId1" Type="http://schemas.openxmlformats.org/officeDocument/2006/relationships/hyperlink" Target="https://ec.europa.eu/info/publications/enhanced-surveillance-report-greece-november-2019_en" TargetMode="External"/><Relationship Id="rId6"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0_en" TargetMode="External"/><Relationship Id="rId11" Type="http://schemas.openxmlformats.org/officeDocument/2006/relationships/hyperlink" Target="https://www.rijksoverheid.nl/documenten/kamerstukken/2019/11/22/geannoteerde-agenda-eurogroep-en-ecofinraad-4-en-5-december-2019" TargetMode="External"/><Relationship Id="rId24" Type="http://schemas.openxmlformats.org/officeDocument/2006/relationships/hyperlink" Target="https://www.consilium.europa.eu/nl/press/press-releases/2019/12/05/joint-statement-by-the-council-and-the-commission-on-stablecoins/" TargetMode="External"/><Relationship Id="rId32" Type="http://schemas.openxmlformats.org/officeDocument/2006/relationships/hyperlink" Target="https://ec.europa.eu/info/business-economy-euro/economic-and-fiscal-policy-coordination/eu-economic-governance-monitoring-prevention-correction/stability-and-growth-pact/preventive-arm/significant-deviation-procedure_en" TargetMode="External"/><Relationship Id="rId5" Type="http://schemas.openxmlformats.org/officeDocument/2006/relationships/hyperlink" Target="https://ec.europa.eu/info/publications/post-programme-surveillance-report-spain-autumn-2019_en" TargetMode="External"/><Relationship Id="rId15" Type="http://schemas.openxmlformats.org/officeDocument/2006/relationships/hyperlink" Target="https://data.consilium.europa.eu/doc/document/ST-14115-2019-INIT/nl/pdf" TargetMode="External"/><Relationship Id="rId23" Type="http://schemas.openxmlformats.org/officeDocument/2006/relationships/hyperlink" Target="http://data.consilium.europa.eu/doc/document/ST-14865-2019-REV-1/en/pdf" TargetMode="External"/><Relationship Id="rId28" Type="http://schemas.openxmlformats.org/officeDocument/2006/relationships/hyperlink" Target="https://www.consilium.europa.eu/en/press/press-releases/2019/11/27/non-performing-loans-council-adopts-position-on-a-new-mechanism-for-out-of-court-enforcement/" TargetMode="External"/><Relationship Id="rId36" Type="http://schemas.openxmlformats.org/officeDocument/2006/relationships/hyperlink" Target="https://data.consilium.europa.eu/doc/document/ST-14331-2019-INIT/en/pdf" TargetMode="External"/><Relationship Id="rId10" Type="http://schemas.openxmlformats.org/officeDocument/2006/relationships/hyperlink" Target="https://www.consilium.europa.eu/nl/press/press-releases/2019/06/21/statement-of-the-euro-summit-21-june-2019" TargetMode="External"/><Relationship Id="rId19" Type="http://schemas.openxmlformats.org/officeDocument/2006/relationships/hyperlink" Target="https://eur-lex.europa.eu/legal-content/NL/TXT/HTML/?uri=OJ:L:2019:150:FULL&amp;from=EN" TargetMode="External"/><Relationship Id="rId31" Type="http://schemas.openxmlformats.org/officeDocument/2006/relationships/hyperlink" Target="http://data.consilium.europa.eu/doc/document/ST-14178-2019-INIT/en/pdf" TargetMode="External"/><Relationship Id="rId4" Type="http://schemas.openxmlformats.org/officeDocument/2006/relationships/hyperlink" Target="https://ec.europa.eu/info/publications/post-programme-surveillance-report-cyprus-autumn-2019_en" TargetMode="External"/><Relationship Id="rId9" Type="http://schemas.openxmlformats.org/officeDocument/2006/relationships/hyperlink" Target="https://www.consilium.europa.eu/en/council-eu/eurogroup/eurogroup-working-group/" TargetMode="External"/><Relationship Id="rId14" Type="http://schemas.openxmlformats.org/officeDocument/2006/relationships/hyperlink" Target="https://www.consilium.europa.eu/en/press/press-releases/2019/10/10/term-sheet-on-the-budgetary-instrument-for-convergence-and-competitiveness-bicc/pdf" TargetMode="External"/><Relationship Id="rId22" Type="http://schemas.openxmlformats.org/officeDocument/2006/relationships/hyperlink" Target="https://www.consilium.europa.eu/media/40967/efad-report_final.pdf" TargetMode="External"/><Relationship Id="rId27" Type="http://schemas.openxmlformats.org/officeDocument/2006/relationships/hyperlink" Target="https://ec.europa.eu/commission/presscorner/detail/en/SPEECH_19_4230" TargetMode="External"/><Relationship Id="rId30" Type="http://schemas.openxmlformats.org/officeDocument/2006/relationships/hyperlink" Target="http://data.consilium.europa.eu/doc/document/ST-14176-2019-INIT/en/pdf" TargetMode="External"/><Relationship Id="rId35" Type="http://schemas.openxmlformats.org/officeDocument/2006/relationships/hyperlink" Target="https://data.consilium.europa.eu/doc/document/ST-14810-2019-INIT/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5822</ap:Words>
  <ap:Characters>32023</ap:Characters>
  <ap:DocSecurity>0</ap:DocSecurity>
  <ap:Lines>266</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2019-10-14T13:25:00.0000000Z</lastPrinted>
  <dcterms:created xsi:type="dcterms:W3CDTF">2019-05-29T07:15:00.0000000Z</dcterms:created>
  <dcterms:modified xsi:type="dcterms:W3CDTF">2019-12-12T10:38:00.0000000Z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0x0101004FAC3D15A0CE9D4DB13793E41F010EA0</vt:lpwstr>
  </property>
</Properties>
</file>