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bottomFromText="510" w:vertAnchor="page" w:horzAnchor="page" w:tblpX="568" w:tblpY="852"/>
        <w:tblOverlap w:val="never"/>
        <w:tblW w:w="107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87"/>
        <w:gridCol w:w="4788"/>
      </w:tblGrid>
      <w:tr w:rsidR="000F141C" w:rsidTr="00A57590" w14:paraId="73819902" w14:textId="77777777">
        <w:trPr>
          <w:cantSplit/>
          <w:trHeight w:val="794" w:hRule="exact"/>
        </w:trPr>
        <w:tc>
          <w:tcPr>
            <w:tcW w:w="598" w:type="dxa"/>
          </w:tcPr>
          <w:p w:rsidRPr="00FA16BC" w:rsidR="000F141C" w:rsidP="00A57590" w:rsidRDefault="000F141C" w14:paraId="4AA62231" w14:textId="77777777">
            <w:pPr>
              <w:pStyle w:val="Kop1"/>
            </w:pPr>
          </w:p>
        </w:tc>
        <w:tc>
          <w:tcPr>
            <w:tcW w:w="5387" w:type="dxa"/>
          </w:tcPr>
          <w:p w:rsidRPr="006D6214" w:rsidR="003D4B0B" w:rsidP="006D6214" w:rsidRDefault="00827BBF" w14:paraId="10B3B69E" w14:textId="6243D575">
            <w:pPr>
              <w:pStyle w:val="Kop1Kopblad"/>
            </w:pPr>
            <w:r>
              <w:t xml:space="preserve">Inbreng Ronde Tafel Gesprek </w:t>
            </w:r>
          </w:p>
        </w:tc>
        <w:tc>
          <w:tcPr>
            <w:tcW w:w="4788" w:type="dxa"/>
          </w:tcPr>
          <w:p w:rsidR="000F141C" w:rsidP="00A57590" w:rsidRDefault="000F141C" w14:paraId="5971882A" w14:textId="77777777"/>
        </w:tc>
      </w:tr>
      <w:tr w:rsidR="00E2144B" w:rsidTr="00A57590" w14:paraId="20A9BCAC" w14:textId="77777777">
        <w:trPr>
          <w:cantSplit/>
          <w:trHeight w:val="340" w:hRule="exact"/>
        </w:trPr>
        <w:tc>
          <w:tcPr>
            <w:tcW w:w="598" w:type="dxa"/>
          </w:tcPr>
          <w:p w:rsidR="00E2144B" w:rsidP="00A57590" w:rsidRDefault="00E2144B" w14:paraId="4DD7D531" w14:textId="77777777"/>
        </w:tc>
        <w:tc>
          <w:tcPr>
            <w:tcW w:w="5387" w:type="dxa"/>
          </w:tcPr>
          <w:p w:rsidRPr="005A7428" w:rsidR="00E2144B" w:rsidP="005A7428" w:rsidRDefault="00E2144B" w14:paraId="6C1A8F31" w14:textId="77777777">
            <w:pPr>
              <w:pStyle w:val="Vergaderdatum"/>
            </w:pPr>
          </w:p>
        </w:tc>
        <w:tc>
          <w:tcPr>
            <w:tcW w:w="4788" w:type="dxa"/>
          </w:tcPr>
          <w:p w:rsidR="00E2144B" w:rsidP="00A57590" w:rsidRDefault="00E2144B" w14:paraId="51F43533" w14:textId="77777777"/>
        </w:tc>
      </w:tr>
      <w:tr w:rsidR="0001039C" w:rsidTr="00A57590" w14:paraId="130A1329" w14:textId="77777777">
        <w:trPr>
          <w:cantSplit/>
          <w:trHeight w:val="340" w:hRule="exact"/>
        </w:trPr>
        <w:tc>
          <w:tcPr>
            <w:tcW w:w="598" w:type="dxa"/>
          </w:tcPr>
          <w:p w:rsidR="0001039C" w:rsidP="0001039C" w:rsidRDefault="0001039C" w14:paraId="2AB7CF7A" w14:textId="77777777"/>
        </w:tc>
        <w:tc>
          <w:tcPr>
            <w:tcW w:w="5387" w:type="dxa"/>
          </w:tcPr>
          <w:p w:rsidR="0001039C" w:rsidP="0006758B" w:rsidRDefault="00827BBF" w14:paraId="689F4F9D" w14:textId="49D37A37">
            <w:pPr>
              <w:pStyle w:val="Agendapunt"/>
            </w:pPr>
            <w:r>
              <w:t>11 december</w:t>
            </w:r>
            <w:r w:rsidR="00371469">
              <w:t xml:space="preserve"> 2019</w:t>
            </w:r>
          </w:p>
        </w:tc>
        <w:tc>
          <w:tcPr>
            <w:tcW w:w="4788" w:type="dxa"/>
          </w:tcPr>
          <w:p w:rsidR="0001039C" w:rsidP="0001039C" w:rsidRDefault="0001039C" w14:paraId="42BE2123" w14:textId="77777777"/>
        </w:tc>
      </w:tr>
      <w:tr w:rsidR="00076BC3" w:rsidTr="00A57590" w14:paraId="2EE11DD2" w14:textId="77777777">
        <w:trPr>
          <w:cantSplit/>
          <w:trHeight w:val="680" w:hRule="exact"/>
        </w:trPr>
        <w:tc>
          <w:tcPr>
            <w:tcW w:w="598" w:type="dxa"/>
          </w:tcPr>
          <w:p w:rsidR="00076BC3" w:rsidP="00A57590" w:rsidRDefault="00076BC3" w14:paraId="048DBE66" w14:textId="77777777"/>
        </w:tc>
        <w:tc>
          <w:tcPr>
            <w:tcW w:w="5387" w:type="dxa"/>
          </w:tcPr>
          <w:p w:rsidR="00076BC3" w:rsidP="00A57590" w:rsidRDefault="00076BC3" w14:paraId="4CCE12DD" w14:textId="77777777"/>
        </w:tc>
        <w:tc>
          <w:tcPr>
            <w:tcW w:w="4788" w:type="dxa"/>
          </w:tcPr>
          <w:p w:rsidR="00076BC3" w:rsidP="00A57590" w:rsidRDefault="00076BC3" w14:paraId="18B690E3" w14:textId="77777777"/>
        </w:tc>
      </w:tr>
    </w:tbl>
    <w:p w:rsidRPr="00827BBF" w:rsidR="00827BBF" w:rsidP="00827BBF" w:rsidRDefault="00827BBF" w14:paraId="28D6BFE6" w14:textId="77777777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Op 29 november 2019 heeft de minister voor Milieu en Wonen uw Kamer in haar brief</w:t>
      </w:r>
    </w:p>
    <w:p w:rsidRPr="00827BBF" w:rsidR="00827BBF" w:rsidP="00827BBF" w:rsidRDefault="00827BBF" w14:paraId="1CC385F2" w14:textId="6320FA5E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geïnformeerd over de voortgang van de stelselherziening Omgevingswet. In deze brief maakt zij,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samen met de bestuurlijke partners, de inschatting dat het wenselijk en mogelijk is om de</w:t>
      </w:r>
    </w:p>
    <w:p w:rsidR="00827BBF" w:rsidP="00827BBF" w:rsidRDefault="00827BBF" w14:paraId="13F652A8" w14:textId="58A6DC84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Omgevingswet per 1 januari 2021 in werking te laten treden.</w:t>
      </w:r>
    </w:p>
    <w:p w:rsidRPr="00827BBF" w:rsidR="00827BBF" w:rsidP="00827BBF" w:rsidRDefault="00827BBF" w14:paraId="146692F7" w14:textId="77777777">
      <w:pPr>
        <w:rPr>
          <w:rFonts w:eastAsia="Calibri" w:cs="Arial"/>
          <w:lang w:eastAsia="nl-NL"/>
        </w:rPr>
      </w:pPr>
    </w:p>
    <w:p w:rsidR="00827BBF" w:rsidP="00827BBF" w:rsidRDefault="00827BBF" w14:paraId="1E9CDC03" w14:textId="77777777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Wij hechten eraan om hierbij namens het Interprovinciaal Overleg (IPO) onze steun uit te spreken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voor inwerkingtreding van de Omgevingswet per 1 januari 2021. Dat achten wij op dit moment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wenselijk en ook haalbaar. Provincies en hun uitvoeringsorganisaties hebben al veel voorbereidend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 xml:space="preserve">werk gedaan voor de Omgevingswet en zullen dit voortzetten in 2020. </w:t>
      </w:r>
    </w:p>
    <w:p w:rsidR="000A0DDB" w:rsidP="00827BBF" w:rsidRDefault="000A0DDB" w14:paraId="3633BAEB" w14:textId="77777777">
      <w:pPr>
        <w:rPr>
          <w:rFonts w:eastAsia="Calibri" w:cs="Arial"/>
          <w:lang w:eastAsia="nl-NL"/>
        </w:rPr>
      </w:pPr>
    </w:p>
    <w:p w:rsidR="000A0DDB" w:rsidP="000A0DDB" w:rsidRDefault="000A0DDB" w14:paraId="15F6FBBF" w14:textId="4D84C56A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 xml:space="preserve">Provincies geven </w:t>
      </w:r>
      <w:bookmarkStart w:name="_GoBack" w:id="0"/>
      <w:bookmarkEnd w:id="0"/>
      <w:r w:rsidRPr="00827BBF">
        <w:rPr>
          <w:rFonts w:eastAsia="Calibri" w:cs="Arial"/>
          <w:lang w:eastAsia="nl-NL"/>
        </w:rPr>
        <w:t>aan het huidige momentum niet te willen verliezen om met de (voordelen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van de) Omgevingswet de leefomgeving te kunnen verbeteren. Uitstel van de wet vergroot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daarnaast het risico op energieverlies en brengt allerlei, niet gedekte, kosten met zich mee.</w:t>
      </w:r>
      <w:r>
        <w:rPr>
          <w:rFonts w:eastAsia="Calibri" w:cs="Arial"/>
          <w:lang w:eastAsia="nl-NL"/>
        </w:rPr>
        <w:t xml:space="preserve"> </w:t>
      </w:r>
    </w:p>
    <w:p w:rsidR="000A0DDB" w:rsidP="000A0DDB" w:rsidRDefault="000A0DDB" w14:paraId="3F247F17" w14:textId="77777777">
      <w:pPr>
        <w:rPr>
          <w:rFonts w:eastAsia="Calibri" w:cs="Arial"/>
          <w:lang w:eastAsia="nl-NL"/>
        </w:rPr>
      </w:pPr>
    </w:p>
    <w:p w:rsidR="000A0DDB" w:rsidP="000A0DDB" w:rsidRDefault="000A0DDB" w14:paraId="762C71BD" w14:textId="22145E71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Met z'n allen staan we voor de doelen van de wet; we willen duidelijke en eenvoudige regels voor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bewoners en ondernemers, kortere procedures, meer lokale afwegingsruimte en meer samenhang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in het beleid voor de fysieke leefomgeving. Dit is hard nodig gezien de woningbouwopgave, de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 xml:space="preserve">energietransitie en andere maatschappelijke opgaven op het fysieke domein. </w:t>
      </w:r>
    </w:p>
    <w:p w:rsidR="000A0DDB" w:rsidP="000A0DDB" w:rsidRDefault="000A0DDB" w14:paraId="0277D56B" w14:textId="77777777">
      <w:pPr>
        <w:rPr>
          <w:rFonts w:eastAsia="Calibri" w:cs="Arial"/>
          <w:lang w:eastAsia="nl-NL"/>
        </w:rPr>
      </w:pPr>
    </w:p>
    <w:p w:rsidR="00827BBF" w:rsidP="00827BBF" w:rsidRDefault="000A0DDB" w14:paraId="612D134C" w14:textId="367B608C">
      <w:pPr>
        <w:rPr>
          <w:rFonts w:eastAsia="Calibri" w:cs="Arial"/>
          <w:lang w:eastAsia="nl-NL"/>
        </w:rPr>
      </w:pPr>
      <w:r w:rsidRPr="000A0DDB">
        <w:rPr>
          <w:rFonts w:eastAsia="Calibri" w:cs="Arial"/>
          <w:lang w:eastAsia="nl-NL"/>
        </w:rPr>
        <w:t>Ook bij de voorbereiding van de wet- en regelgeving trekken we samen op. Om inwerkingtreding per 1 januari 2021 mogelijk te maken, is voortgang in het wetgevingsproces van belang. Wij verzoeken u daarom het Invoeringsbesluit van de Omgevingswet voor het kerstreces te behandelen. Wij stellen het zeer op prijs als u de Aanvullingsbesluiten geluid en bodem vlak na het kerstreces wilt behandelen.</w:t>
      </w:r>
    </w:p>
    <w:p w:rsidR="000A0DDB" w:rsidP="00827BBF" w:rsidRDefault="000A0DDB" w14:paraId="2236E958" w14:textId="77777777">
      <w:pPr>
        <w:rPr>
          <w:rFonts w:eastAsia="Calibri" w:cs="Arial"/>
          <w:lang w:eastAsia="nl-NL"/>
        </w:rPr>
      </w:pPr>
    </w:p>
    <w:p w:rsidR="00827BBF" w:rsidP="00827BBF" w:rsidRDefault="00827BBF" w14:paraId="5B2FDC1A" w14:textId="79969DF6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Daarnaast zijn er afspraken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gemaakt over zaken die nog tussen nu en medio 2020 worden opgeleverd, zoals onderdelen van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 xml:space="preserve">het DSO, de </w:t>
      </w:r>
      <w:r>
        <w:rPr>
          <w:rFonts w:eastAsia="Calibri" w:cs="Arial"/>
          <w:lang w:eastAsia="nl-NL"/>
        </w:rPr>
        <w:t>omgevingsvergunning van de omgevingsplanactiviteit,</w:t>
      </w:r>
      <w:r w:rsidRPr="00827BBF">
        <w:rPr>
          <w:rFonts w:eastAsia="Calibri" w:cs="Arial"/>
          <w:lang w:eastAsia="nl-NL"/>
        </w:rPr>
        <w:t xml:space="preserve"> een goed werkende standaard STOPTPOD. </w:t>
      </w:r>
    </w:p>
    <w:p w:rsidR="00827BBF" w:rsidP="00827BBF" w:rsidRDefault="00827BBF" w14:paraId="7A70FB17" w14:textId="02011C11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Niet alles is de afgelopen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tijd conform planning gegaan maar alles overziend is er nog steeds voldoende voortgang en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vertrouwen wij er op dat die voortgang ook het jaar geboekt kan worden. Onderkend moet daarbij</w:t>
      </w:r>
      <w:r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worden dat het tijdpad wel kritisch is geworden. Veel tegenvallers kunnen we niet meer hebben.</w:t>
      </w:r>
    </w:p>
    <w:p w:rsidR="006B108E" w:rsidP="00827BBF" w:rsidRDefault="006B108E" w14:paraId="1A6D9FE1" w14:textId="77777777">
      <w:pPr>
        <w:rPr>
          <w:rFonts w:eastAsia="Calibri" w:cs="Arial"/>
          <w:lang w:eastAsia="nl-NL"/>
        </w:rPr>
      </w:pPr>
    </w:p>
    <w:p w:rsidR="005372C3" w:rsidP="00827BBF" w:rsidRDefault="00827BBF" w14:paraId="629106D1" w14:textId="7E8359AF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Daarbij is het cruciaal</w:t>
      </w:r>
      <w:r w:rsidR="006B108E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dat tenminste het huidige dienstverleningsniveau op 1/1/21 wordt behouden. Daarmee bedoelen wij het overzetten van Ruimtelijke Plannen.nl, OLO2 en AIM in het D5O. In het huidige stelsel is</w:t>
      </w:r>
      <w:r w:rsidR="006B108E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 xml:space="preserve">ook de </w:t>
      </w:r>
      <w:r w:rsidRPr="0031294F" w:rsidR="0031294F">
        <w:rPr>
          <w:rFonts w:eastAsia="Calibri" w:cs="Arial"/>
          <w:lang w:eastAsia="nl-NL"/>
        </w:rPr>
        <w:t>omgevingsvergunning van de omgevingsplanactiviteit</w:t>
      </w:r>
      <w:r w:rsidRPr="0031294F" w:rsidR="0031294F">
        <w:rPr>
          <w:rFonts w:eastAsia="Calibri" w:cs="Arial"/>
          <w:lang w:eastAsia="nl-NL"/>
        </w:rPr>
        <w:t xml:space="preserve"> </w:t>
      </w:r>
      <w:r w:rsidR="0031294F">
        <w:rPr>
          <w:rFonts w:eastAsia="Calibri" w:cs="Arial"/>
          <w:lang w:eastAsia="nl-NL"/>
        </w:rPr>
        <w:t>(</w:t>
      </w:r>
      <w:r w:rsidR="005372C3">
        <w:rPr>
          <w:rFonts w:eastAsia="Calibri" w:cs="Arial"/>
          <w:lang w:eastAsia="nl-NL"/>
        </w:rPr>
        <w:t xml:space="preserve">de vroegere </w:t>
      </w:r>
      <w:r w:rsidRPr="00827BBF">
        <w:rPr>
          <w:rFonts w:eastAsia="Calibri" w:cs="Arial"/>
          <w:lang w:eastAsia="nl-NL"/>
        </w:rPr>
        <w:t>afwijkvergunning</w:t>
      </w:r>
      <w:r w:rsidR="005372C3">
        <w:rPr>
          <w:rFonts w:eastAsia="Calibri" w:cs="Arial"/>
          <w:lang w:eastAsia="nl-NL"/>
        </w:rPr>
        <w:t>)</w:t>
      </w:r>
      <w:r w:rsidRPr="00827BBF">
        <w:rPr>
          <w:rFonts w:eastAsia="Calibri" w:cs="Arial"/>
          <w:lang w:eastAsia="nl-NL"/>
        </w:rPr>
        <w:t xml:space="preserve"> opgenomen, die helaas onbedoeld is vervallen n.a.v. het BIT in 2017. Het</w:t>
      </w:r>
      <w:r w:rsidR="005372C3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is daarom goed dat we hebben kunnen afspreken dat deze in 2020 alsnog ingebouwd wordt in het</w:t>
      </w:r>
      <w:r w:rsidR="005372C3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D</w:t>
      </w:r>
      <w:r w:rsidR="00647882">
        <w:rPr>
          <w:rFonts w:eastAsia="Calibri" w:cs="Arial"/>
          <w:lang w:eastAsia="nl-NL"/>
        </w:rPr>
        <w:t>S</w:t>
      </w:r>
      <w:r w:rsidRPr="00827BBF">
        <w:rPr>
          <w:rFonts w:eastAsia="Calibri" w:cs="Arial"/>
          <w:lang w:eastAsia="nl-NL"/>
        </w:rPr>
        <w:t xml:space="preserve">O en beschikbaar is bij de inwerkingtreding van de wet. </w:t>
      </w:r>
    </w:p>
    <w:p w:rsidR="005372C3" w:rsidP="00827BBF" w:rsidRDefault="00827BBF" w14:paraId="7A30CB5C" w14:textId="77777777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Om dezelfde reden is het noodzakelijk</w:t>
      </w:r>
      <w:r w:rsidR="005372C3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dat de voorzieningen die in het Bestuursakkoord van juli 2015 onderdeel zijn van het zogenoemde</w:t>
      </w:r>
      <w:r w:rsidR="005372C3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 xml:space="preserve">scenario 3 en nu opgenomen in de agenda Uitbouw, gerealiseerd worden. </w:t>
      </w:r>
    </w:p>
    <w:p w:rsidR="00827BBF" w:rsidP="00827BBF" w:rsidRDefault="00827BBF" w14:paraId="51C4E016" w14:textId="675EB377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We zullen de minister</w:t>
      </w:r>
      <w:r w:rsidR="005372C3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blijven aanspreken op haar verantwoordelijkheid hiervoor voldoende financiële middelen</w:t>
      </w:r>
      <w:r w:rsidR="005372C3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beschikbaar te stellen. In de tussentijd hebben de provincies zelf verantwoordelijkheid genomen</w:t>
      </w:r>
      <w:r w:rsidR="005372C3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door te investeren in informatieproducten Natuur en Externe Veiligheid.</w:t>
      </w:r>
    </w:p>
    <w:p w:rsidRPr="00827BBF" w:rsidR="007A0C42" w:rsidP="00827BBF" w:rsidRDefault="007A0C42" w14:paraId="3717DBD6" w14:textId="77777777">
      <w:pPr>
        <w:rPr>
          <w:rFonts w:eastAsia="Calibri" w:cs="Arial"/>
          <w:lang w:eastAsia="nl-NL"/>
        </w:rPr>
      </w:pPr>
    </w:p>
    <w:p w:rsidRPr="00827BBF" w:rsidR="00827BBF" w:rsidP="00827BBF" w:rsidRDefault="00827BBF" w14:paraId="7722EE24" w14:textId="4AAFF44C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Wij vinden het van belang hierbij te benadrukken dat de Omgevingswet om een nieuwe manier van</w:t>
      </w:r>
      <w:r w:rsidR="007A0C42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 xml:space="preserve">werken vraagt die niet van de ene dag op de andere wordt gerealiseerd. Na de </w:t>
      </w:r>
      <w:r w:rsidRPr="00827BBF">
        <w:rPr>
          <w:rFonts w:eastAsia="Calibri" w:cs="Arial"/>
          <w:lang w:eastAsia="nl-NL"/>
        </w:rPr>
        <w:lastRenderedPageBreak/>
        <w:t>inwerkingtreding</w:t>
      </w:r>
      <w:r w:rsidR="007A0C42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volgt nog een aantal jaren waarin overheden stapsgewijs gaan ontdekken hoe ze de instrumenten</w:t>
      </w:r>
      <w:r w:rsidR="007A0C42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van de wet zo goed mogelijk kunnen benutten.</w:t>
      </w:r>
    </w:p>
    <w:p w:rsidR="00CC2DBD" w:rsidP="00827BBF" w:rsidRDefault="00CC2DBD" w14:paraId="41B4D9BB" w14:textId="77777777">
      <w:pPr>
        <w:rPr>
          <w:rFonts w:eastAsia="Calibri" w:cs="Arial"/>
          <w:lang w:eastAsia="nl-NL"/>
        </w:rPr>
      </w:pPr>
    </w:p>
    <w:p w:rsidRPr="00827BBF" w:rsidR="00CC2DBD" w:rsidP="00827BBF" w:rsidRDefault="00CC2DBD" w14:paraId="6987B0DD" w14:textId="77777777">
      <w:pPr>
        <w:rPr>
          <w:rFonts w:eastAsia="Calibri" w:cs="Arial"/>
          <w:lang w:eastAsia="nl-NL"/>
        </w:rPr>
      </w:pPr>
    </w:p>
    <w:p w:rsidRPr="00827BBF" w:rsidR="00827BBF" w:rsidP="00827BBF" w:rsidRDefault="00827BBF" w14:paraId="640B1955" w14:textId="77777777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Ten slotte vinden wij het van belang te benoemen dat de definitieve besluitvorming over</w:t>
      </w:r>
    </w:p>
    <w:p w:rsidR="00827BBF" w:rsidP="00827BBF" w:rsidRDefault="00827BBF" w14:paraId="5278E6D6" w14:textId="08BF5610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inwerkingtreding van de wet halverwege volgend jaar plaatsvindt bij Koninklijk Besluit. Uw Kamer</w:t>
      </w:r>
      <w:r w:rsidR="00CC2DBD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neemt daarover het besluit. Het IPO zal dan op basis van de stand van zaken bij haar achterban</w:t>
      </w:r>
      <w:r w:rsidR="00CC2DBD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een finaal oordeel geven, waarbij voor de provincies de brief van 13 december 2018 het</w:t>
      </w:r>
      <w:r w:rsidR="00CC2DBD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uitgangspunt is, of we daadwerkelijk per 1 januari 2021 van start kunnen gaan. Dat heeft ook te</w:t>
      </w:r>
      <w:r w:rsidR="00CC2DBD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maken met wat er in 2020 nog allemaal moet gebeuren. Naast de oplevering van de hiervoor</w:t>
      </w:r>
      <w:r w:rsidR="00CC2DBD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genoemde onderdelen van het D5O gaat het dan om onze eigen software die nog aangeschaft,</w:t>
      </w:r>
      <w:r w:rsidR="00CC2DBD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aangepast en ingeregeld moet worden door onze leveranciers, de aansluiting van onze systemen</w:t>
      </w:r>
      <w:r w:rsidR="00CC2DBD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op het D</w:t>
      </w:r>
      <w:r w:rsidR="009662AE">
        <w:rPr>
          <w:rFonts w:eastAsia="Calibri" w:cs="Arial"/>
          <w:lang w:eastAsia="nl-NL"/>
        </w:rPr>
        <w:t>S</w:t>
      </w:r>
      <w:r w:rsidRPr="00827BBF">
        <w:rPr>
          <w:rFonts w:eastAsia="Calibri" w:cs="Arial"/>
          <w:lang w:eastAsia="nl-NL"/>
        </w:rPr>
        <w:t>O, de informatie die we nog moeten opnemen, de aanpassing van de werkprocessen,</w:t>
      </w:r>
      <w:r w:rsidR="00CC2DBD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afspraken met de Omgevingsdiensten etc.</w:t>
      </w:r>
    </w:p>
    <w:p w:rsidRPr="00827BBF" w:rsidR="009662AE" w:rsidP="00827BBF" w:rsidRDefault="009662AE" w14:paraId="2F555484" w14:textId="77777777">
      <w:pPr>
        <w:rPr>
          <w:rFonts w:eastAsia="Calibri" w:cs="Arial"/>
          <w:lang w:eastAsia="nl-NL"/>
        </w:rPr>
      </w:pPr>
    </w:p>
    <w:p w:rsidRPr="00827BBF" w:rsidR="00827BBF" w:rsidP="00827BBF" w:rsidRDefault="00827BBF" w14:paraId="1B9C7271" w14:textId="3235A18A">
      <w:pPr>
        <w:rPr>
          <w:rFonts w:eastAsia="Calibri" w:cs="Arial"/>
          <w:lang w:eastAsia="nl-NL"/>
        </w:rPr>
      </w:pPr>
      <w:r w:rsidRPr="00827BBF">
        <w:rPr>
          <w:rFonts w:eastAsia="Calibri" w:cs="Arial"/>
          <w:lang w:eastAsia="nl-NL"/>
        </w:rPr>
        <w:t>Kortom, er is nog genoeg te doen maar wij hebben er op dit moment alle vertrouwen in dat dit,</w:t>
      </w:r>
      <w:r w:rsidR="009662AE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met inachtneming van de aanvullende afspraken zoals genoemd in deze brief, ook zal lukken. We</w:t>
      </w:r>
      <w:r w:rsidR="009662AE">
        <w:rPr>
          <w:rFonts w:eastAsia="Calibri" w:cs="Arial"/>
          <w:lang w:eastAsia="nl-NL"/>
        </w:rPr>
        <w:t xml:space="preserve"> </w:t>
      </w:r>
      <w:r w:rsidRPr="00827BBF">
        <w:rPr>
          <w:rFonts w:eastAsia="Calibri" w:cs="Arial"/>
          <w:lang w:eastAsia="nl-NL"/>
        </w:rPr>
        <w:t>zullen uw Kamer hierover actief op de hoogte houden.</w:t>
      </w:r>
    </w:p>
    <w:p w:rsidRPr="00A9792A" w:rsidR="00A9792A" w:rsidP="00A9792A" w:rsidRDefault="00A9792A" w14:paraId="1875DF5B" w14:textId="77777777">
      <w:pPr>
        <w:rPr>
          <w:rFonts w:eastAsia="Calibri" w:cs="Arial"/>
          <w:lang w:eastAsia="nl-NL"/>
        </w:rPr>
      </w:pPr>
    </w:p>
    <w:sectPr w:rsidRPr="00A9792A" w:rsidR="00A9792A" w:rsidSect="00076BC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3119" w:right="1134" w:bottom="1134" w:left="1134" w:header="284" w:footer="567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E844A" w14:textId="77777777" w:rsidR="009960C5" w:rsidRDefault="009960C5" w:rsidP="000224EA">
      <w:pPr>
        <w:spacing w:line="240" w:lineRule="auto"/>
      </w:pPr>
      <w:r>
        <w:separator/>
      </w:r>
    </w:p>
  </w:endnote>
  <w:endnote w:type="continuationSeparator" w:id="0">
    <w:p w14:paraId="43344E53" w14:textId="77777777" w:rsidR="009960C5" w:rsidRDefault="009960C5" w:rsidP="000224EA">
      <w:pPr>
        <w:spacing w:line="240" w:lineRule="auto"/>
      </w:pPr>
      <w:r>
        <w:continuationSeparator/>
      </w:r>
    </w:p>
  </w:endnote>
  <w:endnote w:type="continuationNotice" w:id="1">
    <w:p w14:paraId="493E552B" w14:textId="77777777" w:rsidR="009960C5" w:rsidRDefault="009960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ook">
    <w:altName w:val="Calibri"/>
    <w:charset w:val="00"/>
    <w:family w:val="swiss"/>
    <w:pitch w:val="variable"/>
    <w:sig w:usb0="00000001" w:usb1="0000004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BE2CA" w14:textId="77777777" w:rsidR="00264E66" w:rsidRDefault="00264E66" w:rsidP="00264E66">
    <w:pPr>
      <w:pStyle w:val="Voettekst"/>
    </w:pPr>
    <w:r>
      <w:t xml:space="preserve">Pagina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van </w:t>
    </w:r>
    <w:fldSimple w:instr=" NUMPAGES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F95A8" w14:textId="77777777" w:rsidR="00264E66" w:rsidRDefault="00264E66">
    <w:pPr>
      <w:pStyle w:val="Voettekst"/>
    </w:pPr>
    <w:r>
      <w:t xml:space="preserve">Pagina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van </w:t>
    </w:r>
    <w:r w:rsidR="0055757D">
      <w:rPr>
        <w:noProof/>
      </w:rPr>
      <w:fldChar w:fldCharType="begin"/>
    </w:r>
    <w:r w:rsidR="0055757D">
      <w:rPr>
        <w:noProof/>
      </w:rPr>
      <w:instrText xml:space="preserve"> NUMPAGES  \* MERGEFORMAT </w:instrText>
    </w:r>
    <w:r w:rsidR="0055757D">
      <w:rPr>
        <w:noProof/>
      </w:rPr>
      <w:fldChar w:fldCharType="separate"/>
    </w:r>
    <w:r>
      <w:rPr>
        <w:noProof/>
      </w:rPr>
      <w:t>2</w:t>
    </w:r>
    <w:r w:rsidR="005575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F90E" w14:textId="77777777" w:rsidR="009960C5" w:rsidRDefault="009960C5" w:rsidP="000224EA">
      <w:pPr>
        <w:spacing w:line="240" w:lineRule="auto"/>
      </w:pPr>
      <w:r>
        <w:separator/>
      </w:r>
    </w:p>
  </w:footnote>
  <w:footnote w:type="continuationSeparator" w:id="0">
    <w:p w14:paraId="0309EB40" w14:textId="77777777" w:rsidR="009960C5" w:rsidRDefault="009960C5" w:rsidP="000224EA">
      <w:pPr>
        <w:spacing w:line="240" w:lineRule="auto"/>
      </w:pPr>
      <w:r>
        <w:continuationSeparator/>
      </w:r>
    </w:p>
  </w:footnote>
  <w:footnote w:type="continuationNotice" w:id="1">
    <w:p w14:paraId="49BD0ACF" w14:textId="77777777" w:rsidR="009960C5" w:rsidRDefault="009960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vertAnchor="page" w:horzAnchor="page" w:tblpX="1135" w:tblpY="852"/>
      <w:tblOverlap w:val="never"/>
      <w:tblW w:w="56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</w:tblGrid>
    <w:tr w:rsidR="00424258" w14:paraId="4B785B6A" w14:textId="77777777" w:rsidTr="00A57590">
      <w:trPr>
        <w:cantSplit/>
        <w:trHeight w:hRule="exact" w:val="794"/>
      </w:trPr>
      <w:tc>
        <w:tcPr>
          <w:tcW w:w="5670" w:type="dxa"/>
        </w:tcPr>
        <w:p w14:paraId="6A9E06D0" w14:textId="0DEA8F61" w:rsidR="003D4B0B" w:rsidRDefault="009662AE" w:rsidP="00A57590">
          <w:pPr>
            <w:pStyle w:val="Kop1Volgvel"/>
          </w:pPr>
          <w:r>
            <w:t>INBRENG RONDE TAFEL GESPREK</w:t>
          </w:r>
        </w:p>
      </w:tc>
    </w:tr>
    <w:tr w:rsidR="00264E66" w14:paraId="38E1D55C" w14:textId="77777777" w:rsidTr="00A57590">
      <w:trPr>
        <w:cantSplit/>
        <w:trHeight w:val="340"/>
      </w:trPr>
      <w:tc>
        <w:tcPr>
          <w:tcW w:w="5670" w:type="dxa"/>
        </w:tcPr>
        <w:p w14:paraId="6357C307" w14:textId="05259833" w:rsidR="00264E66" w:rsidRPr="0001039C" w:rsidRDefault="00234607" w:rsidP="00A57590">
          <w:pPr>
            <w:pStyle w:val="Kop1Volgvel"/>
          </w:pPr>
          <w:r w:rsidRPr="0001039C">
            <w:rPr>
              <w:noProof/>
            </w:rPr>
            <w:fldChar w:fldCharType="begin"/>
          </w:r>
          <w:r w:rsidRPr="0001039C">
            <w:rPr>
              <w:noProof/>
            </w:rPr>
            <w:instrText xml:space="preserve"> STYLEREF </w:instrText>
          </w:r>
          <w:r w:rsidR="0001039C" w:rsidRPr="0001039C">
            <w:rPr>
              <w:noProof/>
            </w:rPr>
            <w:instrText>Vergaderd</w:instrText>
          </w:r>
          <w:r w:rsidRPr="0001039C">
            <w:rPr>
              <w:noProof/>
            </w:rPr>
            <w:instrText xml:space="preserve">atum \* MERGEFORMAT </w:instrText>
          </w:r>
          <w:r w:rsidRPr="0001039C">
            <w:rPr>
              <w:noProof/>
            </w:rPr>
            <w:fldChar w:fldCharType="end"/>
          </w:r>
        </w:p>
      </w:tc>
    </w:tr>
    <w:tr w:rsidR="00424258" w14:paraId="3605F5D5" w14:textId="77777777" w:rsidTr="00A57590">
      <w:trPr>
        <w:cantSplit/>
        <w:trHeight w:hRule="exact" w:val="340"/>
      </w:trPr>
      <w:tc>
        <w:tcPr>
          <w:tcW w:w="5670" w:type="dxa"/>
        </w:tcPr>
        <w:p w14:paraId="4AC300E4" w14:textId="2D11A772" w:rsidR="00424258" w:rsidRPr="003D4B0B" w:rsidRDefault="0006758B" w:rsidP="00A57590">
          <w:pPr>
            <w:pStyle w:val="Kop1Volgvel"/>
            <w:rPr>
              <w:sz w:val="24"/>
            </w:rPr>
          </w:pPr>
          <w:r w:rsidRPr="003D4B0B">
            <w:rPr>
              <w:sz w:val="24"/>
            </w:rPr>
            <w:fldChar w:fldCharType="begin"/>
          </w:r>
          <w:r w:rsidRPr="003D4B0B">
            <w:rPr>
              <w:sz w:val="24"/>
            </w:rPr>
            <w:instrText xml:space="preserve"> STYLEREF "Agendapunt" \* MERGEFORMAT </w:instrText>
          </w:r>
          <w:r w:rsidRPr="003D4B0B">
            <w:rPr>
              <w:sz w:val="24"/>
            </w:rPr>
            <w:fldChar w:fldCharType="separate"/>
          </w:r>
          <w:r w:rsidR="00C42C8E" w:rsidRPr="00C42C8E">
            <w:rPr>
              <w:bCs/>
              <w:noProof/>
              <w:sz w:val="24"/>
            </w:rPr>
            <w:t>11</w:t>
          </w:r>
          <w:r w:rsidR="00C42C8E">
            <w:rPr>
              <w:noProof/>
              <w:sz w:val="24"/>
            </w:rPr>
            <w:t xml:space="preserve"> december 2019</w:t>
          </w:r>
          <w:r w:rsidRPr="003D4B0B">
            <w:rPr>
              <w:sz w:val="24"/>
            </w:rPr>
            <w:fldChar w:fldCharType="end"/>
          </w:r>
          <w:r w:rsidR="00371469">
            <w:rPr>
              <w:sz w:val="24"/>
            </w:rPr>
            <w:t xml:space="preserve"> 2019</w:t>
          </w:r>
        </w:p>
      </w:tc>
    </w:tr>
  </w:tbl>
  <w:p w14:paraId="1DB4BF67" w14:textId="77777777" w:rsidR="000224EA" w:rsidRDefault="009A5D16">
    <w:pPr>
      <w:pStyle w:val="Koptekst"/>
    </w:pPr>
    <w:r>
      <w:rPr>
        <w:noProof/>
      </w:rPr>
      <w:drawing>
        <wp:anchor distT="0" distB="0" distL="114300" distR="114300" simplePos="0" relativeHeight="251685376" behindDoc="1" locked="0" layoutInCell="1" allowOverlap="1" wp14:anchorId="6C5AAEC1" wp14:editId="6DEF1C3E">
          <wp:simplePos x="0" y="0"/>
          <wp:positionH relativeFrom="page">
            <wp:posOffset>392038</wp:posOffset>
          </wp:positionH>
          <wp:positionV relativeFrom="page">
            <wp:posOffset>362737</wp:posOffset>
          </wp:positionV>
          <wp:extent cx="6781397" cy="1220400"/>
          <wp:effectExtent l="0" t="0" r="63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O_Header_Kopvel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397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1BD6" w14:textId="77777777" w:rsidR="000224EA" w:rsidRDefault="000224E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1B79BA" wp14:editId="7E198A24">
          <wp:simplePos x="0" y="0"/>
          <wp:positionH relativeFrom="page">
            <wp:posOffset>372034</wp:posOffset>
          </wp:positionH>
          <wp:positionV relativeFrom="page">
            <wp:posOffset>362737</wp:posOffset>
          </wp:positionV>
          <wp:extent cx="6821406" cy="1227600"/>
          <wp:effectExtent l="0" t="0" r="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O_Header_Kopvel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406" cy="12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7467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D43D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30F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6C0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2C88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2CA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E08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269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043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BC1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502CC"/>
    <w:multiLevelType w:val="hybridMultilevel"/>
    <w:tmpl w:val="9744A810"/>
    <w:lvl w:ilvl="0" w:tplc="BA4ECF42">
      <w:start w:val="1"/>
      <w:numFmt w:val="lowerLetter"/>
      <w:lvlText w:val="%1."/>
      <w:lvlJc w:val="left"/>
      <w:pPr>
        <w:ind w:left="720" w:hanging="360"/>
      </w:pPr>
      <w:rPr>
        <w:rFonts w:eastAsia="Calibri" w:cs="Arial"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F03C7"/>
    <w:multiLevelType w:val="hybridMultilevel"/>
    <w:tmpl w:val="6BB0C0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95794"/>
    <w:multiLevelType w:val="hybridMultilevel"/>
    <w:tmpl w:val="5E2653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B51F4E"/>
    <w:multiLevelType w:val="multilevel"/>
    <w:tmpl w:val="915C1C7A"/>
    <w:lvl w:ilvl="0">
      <w:start w:val="1"/>
      <w:numFmt w:val="bullet"/>
      <w:pStyle w:val="Lijstaline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382"/>
        </w:tabs>
        <w:ind w:left="2382" w:hanging="397"/>
      </w:pPr>
      <w:rPr>
        <w:rFonts w:ascii="Courier New" w:hAnsi="Courier New" w:hint="default"/>
      </w:rPr>
    </w:lvl>
    <w:lvl w:ilvl="6">
      <w:start w:val="1"/>
      <w:numFmt w:val="bullet"/>
      <w:lvlText w:val="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tabs>
          <w:tab w:val="num" w:pos="3573"/>
        </w:tabs>
        <w:ind w:left="3573" w:hanging="397"/>
      </w:pPr>
      <w:rPr>
        <w:rFonts w:ascii="Courier New" w:hAnsi="Courier New" w:hint="default"/>
      </w:rPr>
    </w:lvl>
  </w:abstractNum>
  <w:abstractNum w:abstractNumId="14" w15:restartNumberingAfterBreak="0">
    <w:nsid w:val="0A313215"/>
    <w:multiLevelType w:val="hybridMultilevel"/>
    <w:tmpl w:val="BF20C3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5A0E8D"/>
    <w:multiLevelType w:val="hybridMultilevel"/>
    <w:tmpl w:val="8B0828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2F7148"/>
    <w:multiLevelType w:val="hybridMultilevel"/>
    <w:tmpl w:val="925EC64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479B2"/>
    <w:multiLevelType w:val="hybridMultilevel"/>
    <w:tmpl w:val="B64E6E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74C4F"/>
    <w:multiLevelType w:val="hybridMultilevel"/>
    <w:tmpl w:val="BC00D924"/>
    <w:lvl w:ilvl="0" w:tplc="AB404C54">
      <w:start w:val="1"/>
      <w:numFmt w:val="lowerLetter"/>
      <w:lvlText w:val="%1."/>
      <w:lvlJc w:val="left"/>
      <w:pPr>
        <w:ind w:left="7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8" w:hanging="360"/>
      </w:pPr>
    </w:lvl>
    <w:lvl w:ilvl="2" w:tplc="0413001B" w:tentative="1">
      <w:start w:val="1"/>
      <w:numFmt w:val="lowerRoman"/>
      <w:lvlText w:val="%3."/>
      <w:lvlJc w:val="right"/>
      <w:pPr>
        <w:ind w:left="2198" w:hanging="180"/>
      </w:pPr>
    </w:lvl>
    <w:lvl w:ilvl="3" w:tplc="0413000F" w:tentative="1">
      <w:start w:val="1"/>
      <w:numFmt w:val="decimal"/>
      <w:lvlText w:val="%4."/>
      <w:lvlJc w:val="left"/>
      <w:pPr>
        <w:ind w:left="2918" w:hanging="360"/>
      </w:pPr>
    </w:lvl>
    <w:lvl w:ilvl="4" w:tplc="04130019" w:tentative="1">
      <w:start w:val="1"/>
      <w:numFmt w:val="lowerLetter"/>
      <w:lvlText w:val="%5."/>
      <w:lvlJc w:val="left"/>
      <w:pPr>
        <w:ind w:left="3638" w:hanging="360"/>
      </w:pPr>
    </w:lvl>
    <w:lvl w:ilvl="5" w:tplc="0413001B" w:tentative="1">
      <w:start w:val="1"/>
      <w:numFmt w:val="lowerRoman"/>
      <w:lvlText w:val="%6."/>
      <w:lvlJc w:val="right"/>
      <w:pPr>
        <w:ind w:left="4358" w:hanging="180"/>
      </w:pPr>
    </w:lvl>
    <w:lvl w:ilvl="6" w:tplc="0413000F" w:tentative="1">
      <w:start w:val="1"/>
      <w:numFmt w:val="decimal"/>
      <w:lvlText w:val="%7."/>
      <w:lvlJc w:val="left"/>
      <w:pPr>
        <w:ind w:left="5078" w:hanging="360"/>
      </w:pPr>
    </w:lvl>
    <w:lvl w:ilvl="7" w:tplc="04130019" w:tentative="1">
      <w:start w:val="1"/>
      <w:numFmt w:val="lowerLetter"/>
      <w:lvlText w:val="%8."/>
      <w:lvlJc w:val="left"/>
      <w:pPr>
        <w:ind w:left="5798" w:hanging="360"/>
      </w:pPr>
    </w:lvl>
    <w:lvl w:ilvl="8" w:tplc="0413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1AFC5EC0"/>
    <w:multiLevelType w:val="hybridMultilevel"/>
    <w:tmpl w:val="DF1A7D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AE0492"/>
    <w:multiLevelType w:val="multilevel"/>
    <w:tmpl w:val="F4447D7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0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1" w:hanging="1584"/>
      </w:pPr>
      <w:rPr>
        <w:rFonts w:hint="default"/>
      </w:rPr>
    </w:lvl>
  </w:abstractNum>
  <w:abstractNum w:abstractNumId="21" w15:restartNumberingAfterBreak="0">
    <w:nsid w:val="22EA13EC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020D4D"/>
    <w:multiLevelType w:val="hybridMultilevel"/>
    <w:tmpl w:val="0218D36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514582"/>
    <w:multiLevelType w:val="hybridMultilevel"/>
    <w:tmpl w:val="11B6CECC"/>
    <w:lvl w:ilvl="0" w:tplc="74DEE03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8B5186"/>
    <w:multiLevelType w:val="multilevel"/>
    <w:tmpl w:val="BF467F36"/>
    <w:lvl w:ilvl="0">
      <w:start w:val="1"/>
      <w:numFmt w:val="decimal"/>
      <w:lvlText w:val="%1."/>
      <w:lvlJc w:val="left"/>
      <w:pPr>
        <w:ind w:left="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74A025B"/>
    <w:multiLevelType w:val="hybridMultilevel"/>
    <w:tmpl w:val="8A94FA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B592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1A075EC"/>
    <w:multiLevelType w:val="multilevel"/>
    <w:tmpl w:val="D076EE16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7" w:hanging="360"/>
      </w:pPr>
      <w:rPr>
        <w:rFonts w:hint="default"/>
      </w:rPr>
    </w:lvl>
  </w:abstractNum>
  <w:abstractNum w:abstractNumId="28" w15:restartNumberingAfterBreak="0">
    <w:nsid w:val="3823641A"/>
    <w:multiLevelType w:val="hybridMultilevel"/>
    <w:tmpl w:val="F94ECF4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9D2D7B"/>
    <w:multiLevelType w:val="hybridMultilevel"/>
    <w:tmpl w:val="3C167F8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C44C73"/>
    <w:multiLevelType w:val="hybridMultilevel"/>
    <w:tmpl w:val="9C8E89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7D041E"/>
    <w:multiLevelType w:val="hybridMultilevel"/>
    <w:tmpl w:val="CA20AE8A"/>
    <w:lvl w:ilvl="0" w:tplc="97CE4BD0">
      <w:start w:val="1"/>
      <w:numFmt w:val="decimal"/>
      <w:lvlText w:val="%1."/>
      <w:lvlJc w:val="left"/>
      <w:pPr>
        <w:ind w:left="758" w:hanging="39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0D7D3D"/>
    <w:multiLevelType w:val="hybridMultilevel"/>
    <w:tmpl w:val="E44E2D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8374D7"/>
    <w:multiLevelType w:val="multilevel"/>
    <w:tmpl w:val="EECA81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7" w:hanging="360"/>
      </w:pPr>
      <w:rPr>
        <w:rFonts w:hint="default"/>
      </w:rPr>
    </w:lvl>
  </w:abstractNum>
  <w:abstractNum w:abstractNumId="34" w15:restartNumberingAfterBreak="0">
    <w:nsid w:val="4DC11AC6"/>
    <w:multiLevelType w:val="hybridMultilevel"/>
    <w:tmpl w:val="5C3E1BE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02358E"/>
    <w:multiLevelType w:val="hybridMultilevel"/>
    <w:tmpl w:val="1ADA69AA"/>
    <w:lvl w:ilvl="0" w:tplc="862CB56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85EDC"/>
    <w:multiLevelType w:val="hybridMultilevel"/>
    <w:tmpl w:val="83F6DD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491030"/>
    <w:multiLevelType w:val="multilevel"/>
    <w:tmpl w:val="EC6467DA"/>
    <w:lvl w:ilvl="0">
      <w:start w:val="1"/>
      <w:numFmt w:val="none"/>
      <w:pStyle w:val="Kop1"/>
      <w:suff w:val="nothing"/>
      <w:lvlText w:val=""/>
      <w:lvlJc w:val="left"/>
      <w:pPr>
        <w:ind w:left="-397" w:firstLine="0"/>
      </w:pPr>
      <w:rPr>
        <w:rFonts w:hint="default"/>
      </w:rPr>
    </w:lvl>
    <w:lvl w:ilvl="1">
      <w:start w:val="1"/>
      <w:numFmt w:val="decimal"/>
      <w:pStyle w:val="Kop2"/>
      <w:lvlText w:val="%1%2."/>
      <w:lvlJc w:val="left"/>
      <w:pPr>
        <w:ind w:left="-397" w:hanging="397"/>
      </w:pPr>
      <w:rPr>
        <w:rFonts w:hint="default"/>
      </w:rPr>
    </w:lvl>
    <w:lvl w:ilvl="2">
      <w:start w:val="1"/>
      <w:numFmt w:val="lowerLetter"/>
      <w:pStyle w:val="Kop3"/>
      <w:lvlText w:val="%1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57A47C92"/>
    <w:multiLevelType w:val="multilevel"/>
    <w:tmpl w:val="62248CD2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7" w:hanging="360"/>
      </w:pPr>
      <w:rPr>
        <w:rFonts w:hint="default"/>
      </w:rPr>
    </w:lvl>
  </w:abstractNum>
  <w:abstractNum w:abstractNumId="39" w15:restartNumberingAfterBreak="0">
    <w:nsid w:val="58C5366E"/>
    <w:multiLevelType w:val="hybridMultilevel"/>
    <w:tmpl w:val="A72484D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E023F1"/>
    <w:multiLevelType w:val="hybridMultilevel"/>
    <w:tmpl w:val="27EE189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7B5B0B"/>
    <w:multiLevelType w:val="multilevel"/>
    <w:tmpl w:val="A6EC1480"/>
    <w:lvl w:ilvl="0">
      <w:start w:val="1"/>
      <w:numFmt w:val="decimal"/>
      <w:lvlText w:val="%1."/>
      <w:lvlJc w:val="left"/>
      <w:pPr>
        <w:ind w:left="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AE63AD3"/>
    <w:multiLevelType w:val="multilevel"/>
    <w:tmpl w:val="4A6C6A4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7" w:hanging="360"/>
      </w:pPr>
      <w:rPr>
        <w:rFonts w:hint="default"/>
      </w:rPr>
    </w:lvl>
  </w:abstractNum>
  <w:abstractNum w:abstractNumId="43" w15:restartNumberingAfterBreak="0">
    <w:nsid w:val="70DE39BE"/>
    <w:multiLevelType w:val="hybridMultilevel"/>
    <w:tmpl w:val="FE6298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FB7AEE"/>
    <w:multiLevelType w:val="multilevel"/>
    <w:tmpl w:val="72686002"/>
    <w:lvl w:ilvl="0">
      <w:start w:val="1"/>
      <w:numFmt w:val="decimal"/>
      <w:lvlText w:val="%1."/>
      <w:lvlJc w:val="left"/>
      <w:pPr>
        <w:ind w:left="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C3435A0"/>
    <w:multiLevelType w:val="hybridMultilevel"/>
    <w:tmpl w:val="B4A49112"/>
    <w:lvl w:ilvl="0" w:tplc="36EAF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26"/>
  </w:num>
  <w:num w:numId="13">
    <w:abstractNumId w:val="44"/>
  </w:num>
  <w:num w:numId="14">
    <w:abstractNumId w:val="24"/>
  </w:num>
  <w:num w:numId="15">
    <w:abstractNumId w:val="41"/>
  </w:num>
  <w:num w:numId="16">
    <w:abstractNumId w:val="33"/>
  </w:num>
  <w:num w:numId="17">
    <w:abstractNumId w:val="42"/>
  </w:num>
  <w:num w:numId="18">
    <w:abstractNumId w:val="27"/>
  </w:num>
  <w:num w:numId="19">
    <w:abstractNumId w:val="38"/>
  </w:num>
  <w:num w:numId="20">
    <w:abstractNumId w:val="21"/>
  </w:num>
  <w:num w:numId="21">
    <w:abstractNumId w:val="20"/>
  </w:num>
  <w:num w:numId="22">
    <w:abstractNumId w:val="13"/>
  </w:num>
  <w:num w:numId="23">
    <w:abstractNumId w:val="29"/>
  </w:num>
  <w:num w:numId="24">
    <w:abstractNumId w:val="40"/>
  </w:num>
  <w:num w:numId="25">
    <w:abstractNumId w:val="22"/>
  </w:num>
  <w:num w:numId="26">
    <w:abstractNumId w:val="15"/>
  </w:num>
  <w:num w:numId="27">
    <w:abstractNumId w:val="39"/>
  </w:num>
  <w:num w:numId="28">
    <w:abstractNumId w:val="43"/>
  </w:num>
  <w:num w:numId="29">
    <w:abstractNumId w:val="32"/>
  </w:num>
  <w:num w:numId="30">
    <w:abstractNumId w:val="3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8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31"/>
  </w:num>
  <w:num w:numId="37">
    <w:abstractNumId w:val="14"/>
  </w:num>
  <w:num w:numId="38">
    <w:abstractNumId w:val="11"/>
  </w:num>
  <w:num w:numId="39">
    <w:abstractNumId w:val="10"/>
  </w:num>
  <w:num w:numId="40">
    <w:abstractNumId w:val="23"/>
  </w:num>
  <w:num w:numId="41">
    <w:abstractNumId w:val="18"/>
  </w:num>
  <w:num w:numId="42">
    <w:abstractNumId w:val="16"/>
  </w:num>
  <w:num w:numId="43">
    <w:abstractNumId w:val="34"/>
  </w:num>
  <w:num w:numId="44">
    <w:abstractNumId w:val="25"/>
  </w:num>
  <w:num w:numId="45">
    <w:abstractNumId w:val="45"/>
  </w:num>
  <w:num w:numId="46">
    <w:abstractNumId w:val="17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0B"/>
    <w:rsid w:val="00004E8D"/>
    <w:rsid w:val="0001039C"/>
    <w:rsid w:val="00010F7F"/>
    <w:rsid w:val="000224EA"/>
    <w:rsid w:val="000264E2"/>
    <w:rsid w:val="00052AF1"/>
    <w:rsid w:val="0006758B"/>
    <w:rsid w:val="00076BC3"/>
    <w:rsid w:val="0008683F"/>
    <w:rsid w:val="00087352"/>
    <w:rsid w:val="00096D93"/>
    <w:rsid w:val="000A0DDB"/>
    <w:rsid w:val="000A25B0"/>
    <w:rsid w:val="000B1494"/>
    <w:rsid w:val="000B2A8F"/>
    <w:rsid w:val="000C11B8"/>
    <w:rsid w:val="000C4256"/>
    <w:rsid w:val="000C78BA"/>
    <w:rsid w:val="000F141C"/>
    <w:rsid w:val="000F35ED"/>
    <w:rsid w:val="001009D3"/>
    <w:rsid w:val="00120FFD"/>
    <w:rsid w:val="0012481C"/>
    <w:rsid w:val="00131BC4"/>
    <w:rsid w:val="001337B7"/>
    <w:rsid w:val="00141B6E"/>
    <w:rsid w:val="00142BE9"/>
    <w:rsid w:val="0014576C"/>
    <w:rsid w:val="00166426"/>
    <w:rsid w:val="0018122C"/>
    <w:rsid w:val="00186C1B"/>
    <w:rsid w:val="001A615A"/>
    <w:rsid w:val="001B4247"/>
    <w:rsid w:val="001B4866"/>
    <w:rsid w:val="001B5AF9"/>
    <w:rsid w:val="001C3F0E"/>
    <w:rsid w:val="001C759A"/>
    <w:rsid w:val="001D4027"/>
    <w:rsid w:val="001D4A4A"/>
    <w:rsid w:val="001D560C"/>
    <w:rsid w:val="001E2267"/>
    <w:rsid w:val="001F0EB6"/>
    <w:rsid w:val="00205180"/>
    <w:rsid w:val="00207A68"/>
    <w:rsid w:val="00234607"/>
    <w:rsid w:val="002360FA"/>
    <w:rsid w:val="00242F95"/>
    <w:rsid w:val="002526F3"/>
    <w:rsid w:val="0026363A"/>
    <w:rsid w:val="00264E66"/>
    <w:rsid w:val="00284048"/>
    <w:rsid w:val="00295426"/>
    <w:rsid w:val="002A5E0D"/>
    <w:rsid w:val="002B1712"/>
    <w:rsid w:val="002D43AF"/>
    <w:rsid w:val="002D45EA"/>
    <w:rsid w:val="002D4AD9"/>
    <w:rsid w:val="002E2E85"/>
    <w:rsid w:val="002F17CB"/>
    <w:rsid w:val="002F40F3"/>
    <w:rsid w:val="002F5898"/>
    <w:rsid w:val="0031294F"/>
    <w:rsid w:val="00315F82"/>
    <w:rsid w:val="00323A9E"/>
    <w:rsid w:val="0032725C"/>
    <w:rsid w:val="0033273C"/>
    <w:rsid w:val="00332CE4"/>
    <w:rsid w:val="003350C7"/>
    <w:rsid w:val="0033750C"/>
    <w:rsid w:val="0034528F"/>
    <w:rsid w:val="0035529B"/>
    <w:rsid w:val="00357BA7"/>
    <w:rsid w:val="003705CF"/>
    <w:rsid w:val="00371469"/>
    <w:rsid w:val="00373CE6"/>
    <w:rsid w:val="00385EC2"/>
    <w:rsid w:val="00394DF4"/>
    <w:rsid w:val="003C5355"/>
    <w:rsid w:val="003D4B0B"/>
    <w:rsid w:val="003F17EE"/>
    <w:rsid w:val="003F2258"/>
    <w:rsid w:val="003F79D8"/>
    <w:rsid w:val="00412D6A"/>
    <w:rsid w:val="00412F6D"/>
    <w:rsid w:val="0041323E"/>
    <w:rsid w:val="00424258"/>
    <w:rsid w:val="004372F3"/>
    <w:rsid w:val="0044618E"/>
    <w:rsid w:val="004659BD"/>
    <w:rsid w:val="00477660"/>
    <w:rsid w:val="004934C1"/>
    <w:rsid w:val="00497B8A"/>
    <w:rsid w:val="004A565A"/>
    <w:rsid w:val="004E4C3F"/>
    <w:rsid w:val="004E57DB"/>
    <w:rsid w:val="004E627A"/>
    <w:rsid w:val="004F1B55"/>
    <w:rsid w:val="004F4D6A"/>
    <w:rsid w:val="00500F2E"/>
    <w:rsid w:val="00510A32"/>
    <w:rsid w:val="00512F50"/>
    <w:rsid w:val="00513CE9"/>
    <w:rsid w:val="00523486"/>
    <w:rsid w:val="005372C3"/>
    <w:rsid w:val="0053778F"/>
    <w:rsid w:val="0054285F"/>
    <w:rsid w:val="005448D2"/>
    <w:rsid w:val="005531CE"/>
    <w:rsid w:val="00557485"/>
    <w:rsid w:val="0055757D"/>
    <w:rsid w:val="00573012"/>
    <w:rsid w:val="00576312"/>
    <w:rsid w:val="00587B9A"/>
    <w:rsid w:val="0059297F"/>
    <w:rsid w:val="005A7428"/>
    <w:rsid w:val="005C459D"/>
    <w:rsid w:val="005C5FCE"/>
    <w:rsid w:val="005D0670"/>
    <w:rsid w:val="005D0DFA"/>
    <w:rsid w:val="005D35D1"/>
    <w:rsid w:val="005E1112"/>
    <w:rsid w:val="005E2496"/>
    <w:rsid w:val="005E33E4"/>
    <w:rsid w:val="005E5966"/>
    <w:rsid w:val="005F15D1"/>
    <w:rsid w:val="005F5177"/>
    <w:rsid w:val="00603533"/>
    <w:rsid w:val="006045D3"/>
    <w:rsid w:val="00607D7E"/>
    <w:rsid w:val="0061689A"/>
    <w:rsid w:val="00616DA1"/>
    <w:rsid w:val="00616EAD"/>
    <w:rsid w:val="00624EA5"/>
    <w:rsid w:val="00627558"/>
    <w:rsid w:val="00627ED0"/>
    <w:rsid w:val="00637CA0"/>
    <w:rsid w:val="00642F3B"/>
    <w:rsid w:val="00647882"/>
    <w:rsid w:val="00651555"/>
    <w:rsid w:val="00653435"/>
    <w:rsid w:val="00665570"/>
    <w:rsid w:val="006667CD"/>
    <w:rsid w:val="006725D0"/>
    <w:rsid w:val="0068722C"/>
    <w:rsid w:val="006A3A29"/>
    <w:rsid w:val="006A603B"/>
    <w:rsid w:val="006B108E"/>
    <w:rsid w:val="006B22F6"/>
    <w:rsid w:val="006D5E4A"/>
    <w:rsid w:val="006D6214"/>
    <w:rsid w:val="006E14F4"/>
    <w:rsid w:val="006E1CEC"/>
    <w:rsid w:val="006F7D15"/>
    <w:rsid w:val="00704C8D"/>
    <w:rsid w:val="00710F3E"/>
    <w:rsid w:val="00713D79"/>
    <w:rsid w:val="00713FE6"/>
    <w:rsid w:val="0072073D"/>
    <w:rsid w:val="0072327D"/>
    <w:rsid w:val="00740E81"/>
    <w:rsid w:val="00752ABD"/>
    <w:rsid w:val="00755957"/>
    <w:rsid w:val="00755B95"/>
    <w:rsid w:val="00760FFC"/>
    <w:rsid w:val="0077154F"/>
    <w:rsid w:val="00775115"/>
    <w:rsid w:val="00783E81"/>
    <w:rsid w:val="007A0AC3"/>
    <w:rsid w:val="007A0C42"/>
    <w:rsid w:val="007A4A23"/>
    <w:rsid w:val="007B5849"/>
    <w:rsid w:val="007C0ABE"/>
    <w:rsid w:val="007C3868"/>
    <w:rsid w:val="007C42B9"/>
    <w:rsid w:val="007D0AA0"/>
    <w:rsid w:val="007E2B21"/>
    <w:rsid w:val="007E4B88"/>
    <w:rsid w:val="00801207"/>
    <w:rsid w:val="0081320D"/>
    <w:rsid w:val="00821789"/>
    <w:rsid w:val="00821A76"/>
    <w:rsid w:val="00827BBF"/>
    <w:rsid w:val="00834AB2"/>
    <w:rsid w:val="0084345F"/>
    <w:rsid w:val="008706E2"/>
    <w:rsid w:val="008916C6"/>
    <w:rsid w:val="008B66FA"/>
    <w:rsid w:val="008C0751"/>
    <w:rsid w:val="008D1A5F"/>
    <w:rsid w:val="008E3A29"/>
    <w:rsid w:val="008F425B"/>
    <w:rsid w:val="008F5B16"/>
    <w:rsid w:val="00900193"/>
    <w:rsid w:val="00900222"/>
    <w:rsid w:val="009029A2"/>
    <w:rsid w:val="00905334"/>
    <w:rsid w:val="0091187B"/>
    <w:rsid w:val="00912163"/>
    <w:rsid w:val="00915C5B"/>
    <w:rsid w:val="0091658C"/>
    <w:rsid w:val="00952C24"/>
    <w:rsid w:val="00952E01"/>
    <w:rsid w:val="009662AE"/>
    <w:rsid w:val="0097096C"/>
    <w:rsid w:val="009869E0"/>
    <w:rsid w:val="009960C5"/>
    <w:rsid w:val="009969AC"/>
    <w:rsid w:val="009A1222"/>
    <w:rsid w:val="009A4960"/>
    <w:rsid w:val="009A5D16"/>
    <w:rsid w:val="009B5E31"/>
    <w:rsid w:val="009C4220"/>
    <w:rsid w:val="009E74F9"/>
    <w:rsid w:val="009F0A1B"/>
    <w:rsid w:val="00A05BEF"/>
    <w:rsid w:val="00A335A2"/>
    <w:rsid w:val="00A3487E"/>
    <w:rsid w:val="00A365C5"/>
    <w:rsid w:val="00A37E05"/>
    <w:rsid w:val="00A40C5B"/>
    <w:rsid w:val="00A4414E"/>
    <w:rsid w:val="00A47361"/>
    <w:rsid w:val="00A5231D"/>
    <w:rsid w:val="00A57590"/>
    <w:rsid w:val="00A57D03"/>
    <w:rsid w:val="00A67A5A"/>
    <w:rsid w:val="00A75FD9"/>
    <w:rsid w:val="00A8212F"/>
    <w:rsid w:val="00A97823"/>
    <w:rsid w:val="00A9792A"/>
    <w:rsid w:val="00A97B84"/>
    <w:rsid w:val="00AB0D7B"/>
    <w:rsid w:val="00AC5872"/>
    <w:rsid w:val="00AD1486"/>
    <w:rsid w:val="00AE19E3"/>
    <w:rsid w:val="00AF02A7"/>
    <w:rsid w:val="00AF7052"/>
    <w:rsid w:val="00B04D6B"/>
    <w:rsid w:val="00B11A96"/>
    <w:rsid w:val="00B171D9"/>
    <w:rsid w:val="00B237FD"/>
    <w:rsid w:val="00B24C74"/>
    <w:rsid w:val="00B303C8"/>
    <w:rsid w:val="00B51276"/>
    <w:rsid w:val="00B717E4"/>
    <w:rsid w:val="00B84A8A"/>
    <w:rsid w:val="00B85B1A"/>
    <w:rsid w:val="00BA1601"/>
    <w:rsid w:val="00BA2735"/>
    <w:rsid w:val="00BA2E67"/>
    <w:rsid w:val="00BA4835"/>
    <w:rsid w:val="00BA6128"/>
    <w:rsid w:val="00BA6FAD"/>
    <w:rsid w:val="00BB013E"/>
    <w:rsid w:val="00BB32D8"/>
    <w:rsid w:val="00BC1D2C"/>
    <w:rsid w:val="00BC5078"/>
    <w:rsid w:val="00BC655D"/>
    <w:rsid w:val="00BD160C"/>
    <w:rsid w:val="00BE09AA"/>
    <w:rsid w:val="00BE6E46"/>
    <w:rsid w:val="00BF0327"/>
    <w:rsid w:val="00C118D5"/>
    <w:rsid w:val="00C42C8E"/>
    <w:rsid w:val="00C44069"/>
    <w:rsid w:val="00C45F41"/>
    <w:rsid w:val="00C4640D"/>
    <w:rsid w:val="00C51A26"/>
    <w:rsid w:val="00C5515A"/>
    <w:rsid w:val="00C55316"/>
    <w:rsid w:val="00C55E2D"/>
    <w:rsid w:val="00C63647"/>
    <w:rsid w:val="00C63B16"/>
    <w:rsid w:val="00C6706D"/>
    <w:rsid w:val="00C7540A"/>
    <w:rsid w:val="00C85E86"/>
    <w:rsid w:val="00C93D79"/>
    <w:rsid w:val="00CA18D6"/>
    <w:rsid w:val="00CA4551"/>
    <w:rsid w:val="00CA787E"/>
    <w:rsid w:val="00CA7D58"/>
    <w:rsid w:val="00CB0BCC"/>
    <w:rsid w:val="00CB19B8"/>
    <w:rsid w:val="00CB7E9B"/>
    <w:rsid w:val="00CC2DBD"/>
    <w:rsid w:val="00CC7957"/>
    <w:rsid w:val="00CE152B"/>
    <w:rsid w:val="00CF18E7"/>
    <w:rsid w:val="00D03DFB"/>
    <w:rsid w:val="00D11A56"/>
    <w:rsid w:val="00D154E3"/>
    <w:rsid w:val="00D24B4D"/>
    <w:rsid w:val="00D32885"/>
    <w:rsid w:val="00D5431D"/>
    <w:rsid w:val="00D65D07"/>
    <w:rsid w:val="00D6616D"/>
    <w:rsid w:val="00D80884"/>
    <w:rsid w:val="00D834F0"/>
    <w:rsid w:val="00D861E5"/>
    <w:rsid w:val="00D95FF9"/>
    <w:rsid w:val="00DA1543"/>
    <w:rsid w:val="00DA41E8"/>
    <w:rsid w:val="00DA7445"/>
    <w:rsid w:val="00DB52E6"/>
    <w:rsid w:val="00DC100E"/>
    <w:rsid w:val="00DC1C3F"/>
    <w:rsid w:val="00DD4CA5"/>
    <w:rsid w:val="00DD5285"/>
    <w:rsid w:val="00DE5373"/>
    <w:rsid w:val="00DF2689"/>
    <w:rsid w:val="00E11B64"/>
    <w:rsid w:val="00E1709B"/>
    <w:rsid w:val="00E2144B"/>
    <w:rsid w:val="00E244B5"/>
    <w:rsid w:val="00E32385"/>
    <w:rsid w:val="00E33B5D"/>
    <w:rsid w:val="00E36C67"/>
    <w:rsid w:val="00E52500"/>
    <w:rsid w:val="00E65E59"/>
    <w:rsid w:val="00E67523"/>
    <w:rsid w:val="00E724EB"/>
    <w:rsid w:val="00E72EA5"/>
    <w:rsid w:val="00E76A9C"/>
    <w:rsid w:val="00E84E4D"/>
    <w:rsid w:val="00EB0055"/>
    <w:rsid w:val="00ED2AB0"/>
    <w:rsid w:val="00ED6C80"/>
    <w:rsid w:val="00EE44FE"/>
    <w:rsid w:val="00EF7CF0"/>
    <w:rsid w:val="00F028FE"/>
    <w:rsid w:val="00F11E7C"/>
    <w:rsid w:val="00F211FA"/>
    <w:rsid w:val="00F26BEA"/>
    <w:rsid w:val="00F40740"/>
    <w:rsid w:val="00F431EF"/>
    <w:rsid w:val="00F47067"/>
    <w:rsid w:val="00F73BA1"/>
    <w:rsid w:val="00F80D3A"/>
    <w:rsid w:val="00F84373"/>
    <w:rsid w:val="00F86BE1"/>
    <w:rsid w:val="00F957C9"/>
    <w:rsid w:val="00FA16BC"/>
    <w:rsid w:val="00FB0697"/>
    <w:rsid w:val="00FE5FCA"/>
    <w:rsid w:val="00FF4CE5"/>
    <w:rsid w:val="57C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F8CF61"/>
  <w14:defaultImageDpi w14:val="32767"/>
  <w15:chartTrackingRefBased/>
  <w15:docId w15:val="{E8D35BA9-BED4-4879-BDA8-2AD8C119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BA2735"/>
    <w:pPr>
      <w:tabs>
        <w:tab w:val="left" w:pos="397"/>
        <w:tab w:val="left" w:pos="794"/>
      </w:tabs>
      <w:spacing w:line="24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03533"/>
    <w:pPr>
      <w:keepNext/>
      <w:keepLines/>
      <w:numPr>
        <w:numId w:val="1"/>
      </w:numPr>
      <w:spacing w:line="280" w:lineRule="exact"/>
      <w:ind w:left="0"/>
      <w:outlineLvl w:val="0"/>
    </w:pPr>
    <w:rPr>
      <w:rFonts w:asciiTheme="majorHAnsi" w:eastAsiaTheme="majorEastAsia" w:hAnsiTheme="majorHAnsi" w:cstheme="majorBidi"/>
      <w:b/>
      <w:color w:val="ED7D31" w:themeColor="accent2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F2689"/>
    <w:pPr>
      <w:keepNext/>
      <w:keepLines/>
      <w:numPr>
        <w:ilvl w:val="1"/>
        <w:numId w:val="1"/>
      </w:numPr>
      <w:spacing w:before="480"/>
      <w:ind w:left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F2689"/>
    <w:pPr>
      <w:keepNext/>
      <w:keepLines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268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268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268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268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268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268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4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24EA"/>
  </w:style>
  <w:style w:type="paragraph" w:styleId="Voettekst">
    <w:name w:val="footer"/>
    <w:basedOn w:val="Standaard"/>
    <w:link w:val="VoettekstChar"/>
    <w:uiPriority w:val="99"/>
    <w:unhideWhenUsed/>
    <w:rsid w:val="00264E66"/>
    <w:pPr>
      <w:tabs>
        <w:tab w:val="clear" w:pos="397"/>
        <w:tab w:val="clear" w:pos="794"/>
      </w:tabs>
      <w:ind w:right="-567"/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4E66"/>
    <w:rPr>
      <w:sz w:val="20"/>
    </w:rPr>
  </w:style>
  <w:style w:type="table" w:styleId="Tabelraster">
    <w:name w:val="Table Grid"/>
    <w:basedOn w:val="Standaardtabel"/>
    <w:uiPriority w:val="39"/>
    <w:rsid w:val="00C6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FA16BC"/>
    <w:pPr>
      <w:spacing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16BC"/>
    <w:rPr>
      <w:rFonts w:asciiTheme="majorHAnsi" w:eastAsiaTheme="majorEastAsia" w:hAnsiTheme="majorHAnsi" w:cstheme="majorBidi"/>
      <w:color w:val="ED7D31" w:themeColor="accent2"/>
      <w:spacing w:val="-10"/>
      <w:kern w:val="28"/>
      <w:sz w:val="60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603533"/>
    <w:rPr>
      <w:rFonts w:asciiTheme="majorHAnsi" w:eastAsiaTheme="majorEastAsia" w:hAnsiTheme="majorHAnsi" w:cstheme="majorBidi"/>
      <w:b/>
      <w:color w:val="ED7D31" w:themeColor="accent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F2689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F2689"/>
    <w:rPr>
      <w:rFonts w:asciiTheme="majorHAnsi" w:eastAsiaTheme="majorEastAsia" w:hAnsiTheme="majorHAnsi" w:cstheme="majorBidi"/>
      <w:color w:val="000000" w:themeColor="text1"/>
      <w:sz w:val="20"/>
    </w:rPr>
  </w:style>
  <w:style w:type="paragraph" w:customStyle="1" w:styleId="StandaardOnderlijn">
    <w:name w:val="Standaard Onderlijn"/>
    <w:basedOn w:val="Standaard"/>
    <w:qFormat/>
    <w:rsid w:val="00BB013E"/>
    <w:pPr>
      <w:spacing w:after="40"/>
    </w:pPr>
    <w:rPr>
      <w:u w:val="single"/>
    </w:rPr>
  </w:style>
  <w:style w:type="paragraph" w:customStyle="1" w:styleId="KenmerkKop">
    <w:name w:val="Kenmerk Kop"/>
    <w:basedOn w:val="Standaard"/>
    <w:qFormat/>
    <w:rsid w:val="00186C1B"/>
    <w:pPr>
      <w:spacing w:line="220" w:lineRule="exact"/>
    </w:pPr>
    <w:rPr>
      <w:sz w:val="14"/>
    </w:rPr>
  </w:style>
  <w:style w:type="paragraph" w:customStyle="1" w:styleId="Kenmerken">
    <w:name w:val="Kenmerken"/>
    <w:basedOn w:val="Standaard"/>
    <w:qFormat/>
    <w:rsid w:val="005A7428"/>
    <w:pPr>
      <w:tabs>
        <w:tab w:val="clear" w:pos="397"/>
        <w:tab w:val="clear" w:pos="794"/>
        <w:tab w:val="left" w:pos="284"/>
      </w:tabs>
      <w:spacing w:line="220" w:lineRule="exact"/>
    </w:pPr>
    <w:rPr>
      <w:sz w:val="18"/>
    </w:rPr>
  </w:style>
  <w:style w:type="paragraph" w:styleId="Datum">
    <w:name w:val="Date"/>
    <w:basedOn w:val="Kenmerken"/>
    <w:next w:val="Standaard"/>
    <w:link w:val="DatumChar"/>
    <w:uiPriority w:val="99"/>
    <w:unhideWhenUsed/>
    <w:rsid w:val="0006758B"/>
    <w:pPr>
      <w:adjustRightInd w:val="0"/>
    </w:pPr>
    <w:rPr>
      <w:color w:val="000000" w:themeColor="text1"/>
    </w:rPr>
  </w:style>
  <w:style w:type="character" w:customStyle="1" w:styleId="DatumChar">
    <w:name w:val="Datum Char"/>
    <w:basedOn w:val="Standaardalinea-lettertype"/>
    <w:link w:val="Datum"/>
    <w:uiPriority w:val="99"/>
    <w:rsid w:val="0006758B"/>
    <w:rPr>
      <w:color w:val="000000" w:themeColor="text1"/>
      <w:sz w:val="18"/>
    </w:rPr>
  </w:style>
  <w:style w:type="character" w:customStyle="1" w:styleId="zsysVeldMarkering">
    <w:name w:val="zsysVeldMarkering"/>
    <w:basedOn w:val="Standaardalinea-lettertype"/>
    <w:semiHidden/>
    <w:rsid w:val="00C118D5"/>
    <w:rPr>
      <w:bdr w:val="none" w:sz="0" w:space="0" w:color="auto"/>
      <w:shd w:val="clear" w:color="auto" w:fill="A0C4E8"/>
    </w:rPr>
  </w:style>
  <w:style w:type="paragraph" w:customStyle="1" w:styleId="Vergaderdatum">
    <w:name w:val="Vergaderdatum"/>
    <w:basedOn w:val="Standaard"/>
    <w:qFormat/>
    <w:rsid w:val="005A7428"/>
    <w:pPr>
      <w:spacing w:line="280" w:lineRule="exact"/>
    </w:pPr>
    <w:rPr>
      <w:rFonts w:asciiTheme="majorHAnsi" w:hAnsiTheme="majorHAnsi"/>
      <w:b/>
      <w:color w:val="ED7D31" w:themeColor="accent2"/>
      <w:sz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268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268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268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268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26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26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ergadertijd">
    <w:name w:val="Vergadertijd"/>
    <w:basedOn w:val="Kenmerken"/>
    <w:qFormat/>
    <w:rsid w:val="00424258"/>
  </w:style>
  <w:style w:type="paragraph" w:customStyle="1" w:styleId="Locatie">
    <w:name w:val="Locatie"/>
    <w:basedOn w:val="Kenmerken"/>
    <w:qFormat/>
    <w:rsid w:val="00424258"/>
  </w:style>
  <w:style w:type="paragraph" w:customStyle="1" w:styleId="TitelVolgvel">
    <w:name w:val="Titel Volgvel"/>
    <w:basedOn w:val="Standaard"/>
    <w:qFormat/>
    <w:rsid w:val="00424258"/>
    <w:pPr>
      <w:spacing w:line="240" w:lineRule="exact"/>
    </w:pPr>
    <w:rPr>
      <w:color w:val="ED7D31" w:themeColor="accent2"/>
    </w:rPr>
  </w:style>
  <w:style w:type="paragraph" w:customStyle="1" w:styleId="Kop1Volgvel">
    <w:name w:val="Kop 1 Volgvel"/>
    <w:basedOn w:val="Standaard"/>
    <w:qFormat/>
    <w:rsid w:val="00424258"/>
    <w:pPr>
      <w:spacing w:line="240" w:lineRule="exact"/>
    </w:pPr>
    <w:rPr>
      <w:b/>
      <w:color w:val="ED7D31" w:themeColor="accent2"/>
    </w:rPr>
  </w:style>
  <w:style w:type="paragraph" w:customStyle="1" w:styleId="KenmerkenVolgvel">
    <w:name w:val="Kenmerken Volgvel"/>
    <w:basedOn w:val="Standaard"/>
    <w:qFormat/>
    <w:rsid w:val="00BC655D"/>
    <w:pPr>
      <w:spacing w:line="200" w:lineRule="exact"/>
    </w:pPr>
    <w:rPr>
      <w:color w:val="ED7D31" w:themeColor="accent2"/>
      <w:sz w:val="16"/>
    </w:rPr>
  </w:style>
  <w:style w:type="paragraph" w:customStyle="1" w:styleId="Kop1Agendapunt">
    <w:name w:val="Kop 1 Agendapunt"/>
    <w:basedOn w:val="Standaard"/>
    <w:qFormat/>
    <w:rsid w:val="0006758B"/>
    <w:pPr>
      <w:spacing w:line="280" w:lineRule="exact"/>
    </w:pPr>
    <w:rPr>
      <w:b/>
      <w:color w:val="ED7D31" w:themeColor="accent2"/>
      <w:sz w:val="24"/>
    </w:rPr>
  </w:style>
  <w:style w:type="paragraph" w:customStyle="1" w:styleId="Kop1Kopblad">
    <w:name w:val="Kop 1 Kopblad"/>
    <w:basedOn w:val="Standaard"/>
    <w:qFormat/>
    <w:rsid w:val="006D6214"/>
    <w:rPr>
      <w:b/>
      <w:color w:val="ED7D31" w:themeColor="accent2"/>
      <w:sz w:val="24"/>
    </w:rPr>
  </w:style>
  <w:style w:type="paragraph" w:customStyle="1" w:styleId="Agendapunt">
    <w:name w:val="Agendapunt"/>
    <w:basedOn w:val="Standaard"/>
    <w:qFormat/>
    <w:rsid w:val="0006758B"/>
    <w:pPr>
      <w:spacing w:line="280" w:lineRule="exact"/>
    </w:pPr>
    <w:rPr>
      <w:b/>
      <w:color w:val="ED7D31" w:themeColor="accent2"/>
      <w:sz w:val="24"/>
    </w:rPr>
  </w:style>
  <w:style w:type="paragraph" w:styleId="Lijstalinea">
    <w:name w:val="List Paragraph"/>
    <w:basedOn w:val="Standaard"/>
    <w:uiPriority w:val="34"/>
    <w:qFormat/>
    <w:rsid w:val="00DE5373"/>
    <w:pPr>
      <w:numPr>
        <w:numId w:val="22"/>
      </w:numPr>
      <w:tabs>
        <w:tab w:val="clear" w:pos="794"/>
      </w:tabs>
      <w:spacing w:line="240" w:lineRule="auto"/>
      <w:contextualSpacing/>
    </w:pPr>
    <w:rPr>
      <w:rFonts w:ascii="Verdana" w:hAnsi="Verdana"/>
      <w:szCs w:val="20"/>
    </w:rPr>
  </w:style>
  <w:style w:type="character" w:customStyle="1" w:styleId="PGNormaalChar">
    <w:name w:val="PG Normaal Char"/>
    <w:basedOn w:val="Standaardalinea-lettertype"/>
    <w:link w:val="PGNormaal"/>
    <w:locked/>
    <w:rsid w:val="00295426"/>
    <w:rPr>
      <w:rFonts w:ascii="Futura Book" w:eastAsia="Times New Roman" w:hAnsi="Futura Book" w:cs="Times New Roman"/>
      <w:sz w:val="20"/>
      <w:lang w:eastAsia="nl-NL"/>
    </w:rPr>
  </w:style>
  <w:style w:type="paragraph" w:customStyle="1" w:styleId="PGNormaal">
    <w:name w:val="PG Normaal"/>
    <w:basedOn w:val="Standaard"/>
    <w:link w:val="PGNormaalChar"/>
    <w:qFormat/>
    <w:rsid w:val="00295426"/>
    <w:pPr>
      <w:tabs>
        <w:tab w:val="clear" w:pos="397"/>
        <w:tab w:val="clear" w:pos="794"/>
      </w:tabs>
      <w:spacing w:line="284" w:lineRule="atLeast"/>
    </w:pPr>
    <w:rPr>
      <w:rFonts w:ascii="Futura Book" w:eastAsia="Times New Roman" w:hAnsi="Futura Book" w:cs="Times New Roman"/>
      <w:lang w:eastAsia="nl-NL"/>
    </w:rPr>
  </w:style>
  <w:style w:type="table" w:customStyle="1" w:styleId="Tabelraster1">
    <w:name w:val="Tabelraster1"/>
    <w:basedOn w:val="Standaardtabel"/>
    <w:next w:val="Tabelraster"/>
    <w:uiPriority w:val="39"/>
    <w:rsid w:val="00A8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dToorn\AppData\Local\Microsoft\Windows\INetCache\Content.Outlook\0SA9PV6T\IPO_Oplegnotitie_v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730</ap:Words>
  <ap:Characters>4015</ap:Characters>
  <ap:DocSecurity>0</ap:DocSecurity>
  <ap:Lines>33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IPO</vt:lpstr>
    </vt:vector>
  </ap:TitlesOfParts>
  <ap:LinksUpToDate>false</ap:LinksUpToDate>
  <ap:CharactersWithSpaces>4736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2019-04-16T11:34:00.0000000Z</lastPrinted>
  <dcterms:created xsi:type="dcterms:W3CDTF">2019-12-06T08:12:00.0000000Z</dcterms:created>
  <dcterms:modified xsi:type="dcterms:W3CDTF">2019-12-06T08:12:00.0000000Z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0x010100549240430B053E42A83F96388EA12A80</vt:lpwstr>
  </property>
</Properties>
</file>