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069FF" w:rsidR="00CB3578" w:rsidP="000069FF" w:rsidRDefault="000069FF">
            <w:pPr>
              <w:pStyle w:val="Amendement"/>
              <w:rPr>
                <w:rFonts w:ascii="Times New Roman" w:hAnsi="Times New Roman" w:cs="Times New Roman"/>
                <w:b w:val="0"/>
              </w:rPr>
            </w:pPr>
            <w:r>
              <w:rPr>
                <w:rFonts w:ascii="Times New Roman" w:hAnsi="Times New Roman" w:cs="Times New Roman"/>
                <w:b w:val="0"/>
              </w:rPr>
              <w:t>Bijgewerkt t/m nr. 141 (Tweede NvW d.d. 2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40E91">
            <w:pPr>
              <w:rPr>
                <w:rFonts w:ascii="Times New Roman" w:hAnsi="Times New Roman"/>
                <w:b/>
                <w:sz w:val="24"/>
              </w:rPr>
            </w:pPr>
            <w:r>
              <w:rPr>
                <w:rFonts w:ascii="Times New Roman" w:hAnsi="Times New Roman"/>
                <w:b/>
                <w:sz w:val="24"/>
              </w:rPr>
              <w:t>35 300 XVI</w:t>
            </w:r>
          </w:p>
        </w:tc>
        <w:tc>
          <w:tcPr>
            <w:tcW w:w="6590" w:type="dxa"/>
            <w:tcBorders>
              <w:top w:val="nil"/>
              <w:left w:val="nil"/>
              <w:bottom w:val="nil"/>
              <w:right w:val="nil"/>
            </w:tcBorders>
          </w:tcPr>
          <w:p w:rsidRPr="002A727C" w:rsidR="002A727C" w:rsidP="000D5BC4" w:rsidRDefault="00640E91">
            <w:pPr>
              <w:rPr>
                <w:rFonts w:ascii="Times New Roman" w:hAnsi="Times New Roman"/>
                <w:b/>
                <w:sz w:val="24"/>
              </w:rPr>
            </w:pPr>
            <w:r w:rsidRPr="00640E91">
              <w:rPr>
                <w:rFonts w:ascii="Times New Roman" w:hAnsi="Times New Roman"/>
                <w:b/>
                <w:sz w:val="24"/>
              </w:rPr>
              <w:t>Vaststelling van de begrotingsstaten van het Ministerie van Volksgezondheid, Welzijn en Sport (XVI)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640E91">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Wij Willem-Alexander, bij de gratie Gods, Koning der Nederlanden, Prins van Oranje-Nassau, enz. enz. enz.</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Allen, die deze zullen zien of horen lezen, saluut! doen te weten:</w:t>
      </w: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Alzo Wij in overweging genomen hebben, dat ingevolge artikel 105 van de Grondwet de begroting van de uitgaven en de ontvangsten van het Rijk bij de wet moet worden vastgesteld en dat in artikel 2.1 van de Comptabiliteitswet 2016 bepaalt welke begrotingen tot de Rijksbegroting behoren;</w:t>
      </w: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1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De bij deze wet behorende departementale begrotingsstaat voor het jaar 2020 wordt vastgesteld.</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2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De bij deze wet behorende begrotingsstaat inzake agentschappen voor het jaar 2020 wordt vastgesteld.</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3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De vaststelling van de begrotingsstaten geschiedt in duizenden euro’s.</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4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Gegeven</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De Minister van Volksgezondheid, Welzijn en Sport,</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De Minister voor Medische Zorg,</w:t>
      </w:r>
    </w:p>
    <w:p w:rsidR="004A45AE" w:rsidP="004A45AE" w:rsidRDefault="00640E91">
      <w:pPr>
        <w:pStyle w:val="Geenafstand"/>
        <w:rPr>
          <w:rFonts w:ascii="Times New Roman" w:hAnsi="Times New Roman"/>
          <w:sz w:val="24"/>
        </w:rPr>
        <w:sectPr w:rsidR="004A45AE" w:rsidSect="004A45AE">
          <w:footerReference w:type="even" r:id="rId7"/>
          <w:footerReference w:type="default" r:id="rId8"/>
          <w:pgSz w:w="11906" w:h="16838"/>
          <w:pgMar w:top="1418" w:right="1418" w:bottom="1418" w:left="1418" w:header="357" w:footer="1440" w:gutter="0"/>
          <w:pgNumType w:start="1"/>
          <w:cols w:space="708"/>
          <w:noEndnote/>
          <w:docGrid w:linePitch="272"/>
        </w:sectPr>
      </w:pPr>
      <w:r w:rsidRPr="005E50EC">
        <w:rPr>
          <w:rFonts w:ascii="Times New Roman" w:hAnsi="Times New Roman"/>
          <w:sz w:val="24"/>
        </w:rPr>
        <w:br w:type="page"/>
      </w:r>
    </w:p>
    <w:p w:rsidRPr="004A45AE" w:rsidR="004A45AE" w:rsidP="004A45AE" w:rsidRDefault="004A45AE">
      <w:pPr>
        <w:pStyle w:val="Geenafstand"/>
        <w:rPr>
          <w:rFonts w:ascii="Times New Roman" w:hAnsi="Times New Roman"/>
          <w:sz w:val="24"/>
        </w:rPr>
      </w:pPr>
      <w:r w:rsidRPr="00035387">
        <w:rPr>
          <w:rFonts w:ascii="Times New Roman" w:hAnsi="Times New Roman"/>
          <w:b/>
          <w:color w:val="000000" w:themeColor="text1"/>
          <w:sz w:val="24"/>
        </w:rPr>
        <w:lastRenderedPageBreak/>
        <w:t>Vaststelling van de begrotingsstaat van het Ministerie van Volksgezondheid, Welzijn en Sport voor het jaar 2020 (bedragen x € 1.000)</w:t>
      </w:r>
    </w:p>
    <w:p w:rsidR="004A45AE" w:rsidP="004A45AE" w:rsidRDefault="004A45AE">
      <w:pPr>
        <w:pStyle w:val="Geenafstand"/>
        <w:rPr>
          <w:rFonts w:ascii="Times New Roman" w:hAnsi="Times New Roman"/>
          <w:sz w:val="24"/>
        </w:rPr>
      </w:pP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59"/>
        <w:gridCol w:w="6907"/>
        <w:gridCol w:w="2318"/>
        <w:gridCol w:w="1718"/>
        <w:gridCol w:w="2016"/>
      </w:tblGrid>
      <w:tr w:rsidRPr="00035387" w:rsidR="004A45AE" w:rsidTr="008C4253">
        <w:tc>
          <w:tcPr>
            <w:tcW w:w="443"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 xml:space="preserve">Artikel </w:t>
            </w:r>
          </w:p>
        </w:tc>
        <w:tc>
          <w:tcPr>
            <w:tcW w:w="2429"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Omschrijving</w:t>
            </w:r>
          </w:p>
        </w:tc>
        <w:tc>
          <w:tcPr>
            <w:tcW w:w="815"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Verplichtingen</w:t>
            </w:r>
          </w:p>
        </w:tc>
        <w:tc>
          <w:tcPr>
            <w:tcW w:w="604"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Uitgaven</w:t>
            </w:r>
          </w:p>
        </w:tc>
        <w:tc>
          <w:tcPr>
            <w:tcW w:w="709"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Ontvangsten</w:t>
            </w:r>
          </w:p>
        </w:tc>
      </w:tr>
      <w:tr w:rsidRPr="00035387" w:rsidR="004A45AE" w:rsidTr="008C4253">
        <w:tc>
          <w:tcPr>
            <w:tcW w:w="443"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2429"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815"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604"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709"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 </w:t>
            </w:r>
          </w:p>
        </w:tc>
        <w:tc>
          <w:tcPr>
            <w:tcW w:w="2429"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Totaal</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18.616.455</w:t>
            </w:r>
          </w:p>
        </w:tc>
        <w:tc>
          <w:tcPr>
            <w:tcW w:w="604" w:type="pct"/>
            <w:hideMark/>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18.846.295</w:t>
            </w:r>
          </w:p>
          <w:p w:rsidRPr="00035387" w:rsidR="004A45AE" w:rsidP="00E80FE5" w:rsidRDefault="004A45AE">
            <w:pPr>
              <w:jc w:val="right"/>
              <w:rPr>
                <w:rFonts w:ascii="Times New Roman" w:hAnsi="Times New Roman" w:eastAsia="Times New Roman" w:cs="Times New Roman"/>
                <w:sz w:val="24"/>
                <w:lang w:eastAsia="nl-NL"/>
              </w:rPr>
            </w:pPr>
          </w:p>
        </w:tc>
        <w:tc>
          <w:tcPr>
            <w:tcW w:w="709" w:type="pct"/>
            <w:hideMark/>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133.631</w:t>
            </w:r>
          </w:p>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2429"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604"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p>
        </w:tc>
        <w:tc>
          <w:tcPr>
            <w:tcW w:w="2429" w:type="pct"/>
          </w:tcPr>
          <w:p w:rsidRPr="00035387" w:rsidR="004A45AE" w:rsidP="00E80FE5" w:rsidRDefault="004A45AE">
            <w:pPr>
              <w:rPr>
                <w:rFonts w:ascii="Times New Roman" w:hAnsi="Times New Roman" w:eastAsia="Times New Roman" w:cs="Times New Roman"/>
                <w:b/>
                <w:sz w:val="24"/>
                <w:lang w:eastAsia="nl-NL"/>
              </w:rPr>
            </w:pPr>
            <w:r w:rsidRPr="00035387">
              <w:rPr>
                <w:rFonts w:ascii="Times New Roman" w:hAnsi="Times New Roman" w:eastAsia="Times New Roman" w:cs="Times New Roman"/>
                <w:b/>
                <w:sz w:val="24"/>
                <w:lang w:eastAsia="nl-NL"/>
              </w:rPr>
              <w:t>Volksgezondheid, Welzijn en Sport</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p>
        </w:tc>
        <w:tc>
          <w:tcPr>
            <w:tcW w:w="604" w:type="pct"/>
          </w:tcPr>
          <w:p w:rsidRPr="00035387" w:rsidR="004A45AE" w:rsidP="00E80FE5" w:rsidRDefault="004A45AE">
            <w:pPr>
              <w:jc w:val="right"/>
              <w:rPr>
                <w:rFonts w:ascii="Times New Roman" w:hAnsi="Times New Roman" w:eastAsia="Times New Roman" w:cs="Times New Roman"/>
                <w:sz w:val="24"/>
                <w:lang w:eastAsia="nl-NL"/>
              </w:rPr>
            </w:pPr>
          </w:p>
        </w:tc>
        <w:tc>
          <w:tcPr>
            <w:tcW w:w="709" w:type="pct"/>
          </w:tcPr>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1</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Volksgezondheid</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841.380</w:t>
            </w:r>
          </w:p>
        </w:tc>
        <w:tc>
          <w:tcPr>
            <w:tcW w:w="604" w:type="pct"/>
            <w:hideMark/>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1.039.958</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13.903</w:t>
            </w: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3</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Langdurige zorg en ondersteuning</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7.423.429</w:t>
            </w:r>
          </w:p>
        </w:tc>
        <w:tc>
          <w:tcPr>
            <w:tcW w:w="604"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7.259.805</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r w:rsidRPr="00035387">
              <w:rPr>
                <w:rFonts w:ascii="Times New Roman" w:hAnsi="Times New Roman" w:cs="Times New Roman"/>
                <w:color w:val="000000"/>
                <w:sz w:val="24"/>
              </w:rPr>
              <w:t>5.691</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4</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Zorgbreed beleid</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950.840</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1.072.559</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70.655</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5</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Jeugd</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95.773</w:t>
            </w:r>
          </w:p>
        </w:tc>
        <w:tc>
          <w:tcPr>
            <w:tcW w:w="604" w:type="pct"/>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95.773</w:t>
            </w:r>
          </w:p>
        </w:tc>
        <w:tc>
          <w:tcPr>
            <w:tcW w:w="709" w:type="pct"/>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26.085</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7</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Oorlogsgetroffenen en Herinnering Wereldoorlog II</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254.599</w:t>
            </w:r>
          </w:p>
        </w:tc>
        <w:tc>
          <w:tcPr>
            <w:tcW w:w="604"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254.599</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2.901</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9</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Algemeen</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23.374</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26.572</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0</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10</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Apparaatsuitgaven</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338.243</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340.989</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8.603</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11</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Nog onverdeeld</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19.369</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19.369</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0</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p>
        </w:tc>
        <w:tc>
          <w:tcPr>
            <w:tcW w:w="2429" w:type="pct"/>
          </w:tcPr>
          <w:p w:rsidRPr="00035387" w:rsidR="004A45AE" w:rsidP="00E80FE5" w:rsidRDefault="004A45AE">
            <w:pPr>
              <w:rPr>
                <w:rFonts w:ascii="Times New Roman" w:hAnsi="Times New Roman" w:eastAsia="Times New Roman" w:cs="Times New Roman"/>
                <w:sz w:val="24"/>
                <w:lang w:eastAsia="nl-NL"/>
              </w:rPr>
            </w:pPr>
            <w:bookmarkStart w:name="_GoBack" w:id="0"/>
            <w:bookmarkEnd w:id="0"/>
          </w:p>
        </w:tc>
        <w:tc>
          <w:tcPr>
            <w:tcW w:w="815" w:type="pct"/>
          </w:tcPr>
          <w:p w:rsidRPr="00035387" w:rsidR="004A45AE" w:rsidP="00E80FE5" w:rsidRDefault="004A45AE">
            <w:pPr>
              <w:jc w:val="right"/>
              <w:rPr>
                <w:rFonts w:ascii="Times New Roman" w:hAnsi="Times New Roman" w:eastAsia="Times New Roman" w:cs="Times New Roman"/>
                <w:sz w:val="24"/>
                <w:lang w:eastAsia="nl-NL"/>
              </w:rPr>
            </w:pPr>
          </w:p>
        </w:tc>
        <w:tc>
          <w:tcPr>
            <w:tcW w:w="604" w:type="pct"/>
          </w:tcPr>
          <w:p w:rsidRPr="00035387" w:rsidR="004A45AE" w:rsidP="00E80FE5" w:rsidRDefault="004A45AE">
            <w:pPr>
              <w:jc w:val="right"/>
              <w:rPr>
                <w:rFonts w:ascii="Times New Roman" w:hAnsi="Times New Roman" w:eastAsia="Times New Roman" w:cs="Times New Roman"/>
                <w:sz w:val="24"/>
                <w:lang w:eastAsia="nl-NL"/>
              </w:rPr>
            </w:pPr>
          </w:p>
        </w:tc>
        <w:tc>
          <w:tcPr>
            <w:tcW w:w="709" w:type="pct"/>
          </w:tcPr>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p>
        </w:tc>
        <w:tc>
          <w:tcPr>
            <w:tcW w:w="2429" w:type="pct"/>
          </w:tcPr>
          <w:p w:rsidRPr="00035387" w:rsidR="004A45AE" w:rsidP="00E80FE5" w:rsidRDefault="004A45AE">
            <w:pPr>
              <w:rPr>
                <w:rFonts w:ascii="Times New Roman" w:hAnsi="Times New Roman" w:eastAsia="Times New Roman" w:cs="Times New Roman"/>
                <w:b/>
                <w:sz w:val="24"/>
                <w:lang w:eastAsia="nl-NL"/>
              </w:rPr>
            </w:pPr>
            <w:r w:rsidRPr="00035387">
              <w:rPr>
                <w:rFonts w:ascii="Times New Roman" w:hAnsi="Times New Roman" w:eastAsia="Times New Roman" w:cs="Times New Roman"/>
                <w:b/>
                <w:sz w:val="24"/>
                <w:lang w:eastAsia="nl-NL"/>
              </w:rPr>
              <w:t>Medische Zorg</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p>
        </w:tc>
        <w:tc>
          <w:tcPr>
            <w:tcW w:w="604" w:type="pct"/>
          </w:tcPr>
          <w:p w:rsidRPr="00035387" w:rsidR="004A45AE" w:rsidP="00E80FE5" w:rsidRDefault="004A45AE">
            <w:pPr>
              <w:jc w:val="right"/>
              <w:rPr>
                <w:rFonts w:ascii="Times New Roman" w:hAnsi="Times New Roman" w:eastAsia="Times New Roman" w:cs="Times New Roman"/>
                <w:sz w:val="24"/>
                <w:lang w:eastAsia="nl-NL"/>
              </w:rPr>
            </w:pPr>
          </w:p>
        </w:tc>
        <w:tc>
          <w:tcPr>
            <w:tcW w:w="709" w:type="pct"/>
          </w:tcPr>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2</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Curatieve Zorg</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3.087.725</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3.124.356</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5.053</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6</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Sport en bewegen</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343.274</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373.866</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740</w:t>
            </w:r>
          </w:p>
        </w:tc>
      </w:tr>
      <w:tr w:rsidRPr="00035387" w:rsidR="004A45AE" w:rsidTr="008C4253">
        <w:tc>
          <w:tcPr>
            <w:tcW w:w="443" w:type="pct"/>
            <w:tcBorders>
              <w:bottom w:val="single" w:color="auto" w:sz="4" w:space="0"/>
            </w:tcBorders>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8</w:t>
            </w:r>
          </w:p>
        </w:tc>
        <w:tc>
          <w:tcPr>
            <w:tcW w:w="2429" w:type="pct"/>
            <w:tcBorders>
              <w:bottom w:val="single" w:color="auto" w:sz="4" w:space="0"/>
            </w:tcBorders>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Tegemoetkoming specifieke kosten</w:t>
            </w:r>
          </w:p>
        </w:tc>
        <w:tc>
          <w:tcPr>
            <w:tcW w:w="815" w:type="pct"/>
            <w:tcBorders>
              <w:bottom w:val="single" w:color="auto" w:sz="4" w:space="0"/>
            </w:tcBorders>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5.238.449</w:t>
            </w:r>
          </w:p>
        </w:tc>
        <w:tc>
          <w:tcPr>
            <w:tcW w:w="604" w:type="pct"/>
            <w:tcBorders>
              <w:bottom w:val="single" w:color="auto" w:sz="4" w:space="0"/>
            </w:tcBorders>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5.238.449</w:t>
            </w:r>
          </w:p>
        </w:tc>
        <w:tc>
          <w:tcPr>
            <w:tcW w:w="709" w:type="pct"/>
            <w:tcBorders>
              <w:bottom w:val="single" w:color="auto" w:sz="4" w:space="0"/>
            </w:tcBorders>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0</w:t>
            </w:r>
          </w:p>
        </w:tc>
      </w:tr>
    </w:tbl>
    <w:p w:rsidR="004A45AE" w:rsidP="004A45AE" w:rsidRDefault="004A45AE">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7538"/>
        <w:gridCol w:w="1335"/>
        <w:gridCol w:w="1335"/>
        <w:gridCol w:w="3814"/>
      </w:tblGrid>
      <w:tr w:rsidRPr="005E50EC" w:rsidR="004A45AE" w:rsidTr="00E80FE5">
        <w:trPr>
          <w:tblHeader/>
        </w:trPr>
        <w:tc>
          <w:tcPr>
            <w:tcW w:w="5000" w:type="pct"/>
            <w:gridSpan w:val="4"/>
          </w:tcPr>
          <w:p w:rsidRPr="005E50EC" w:rsidR="004A45AE" w:rsidP="00E80FE5" w:rsidRDefault="004A45AE">
            <w:pPr>
              <w:keepNext/>
              <w:autoSpaceDN w:val="0"/>
              <w:textAlignment w:val="baseline"/>
              <w:rPr>
                <w:rFonts w:ascii="Times New Roman" w:hAnsi="Times New Roman" w:eastAsiaTheme="minorEastAsia"/>
                <w:b/>
                <w:kern w:val="3"/>
                <w:sz w:val="24"/>
              </w:rPr>
            </w:pPr>
            <w:r w:rsidRPr="005E50EC">
              <w:rPr>
                <w:rFonts w:ascii="Times New Roman" w:hAnsi="Times New Roman" w:eastAsiaTheme="minorEastAsia"/>
                <w:b/>
                <w:kern w:val="3"/>
                <w:sz w:val="24"/>
              </w:rPr>
              <w:lastRenderedPageBreak/>
              <w:t>Vastgestelde begrotingsstaat inzake de agentschappen voor het jaar 2020 (bedragen x € 1.000).</w:t>
            </w:r>
          </w:p>
        </w:tc>
      </w:tr>
      <w:tr w:rsidRPr="005E50EC" w:rsidR="004A45AE" w:rsidTr="00E80FE5">
        <w:trPr>
          <w:tblHeader/>
        </w:trPr>
        <w:tc>
          <w:tcPr>
            <w:tcW w:w="2688" w:type="pct"/>
            <w:tcBorders>
              <w:top w:val="single" w:color="000000" w:sz="4" w:space="0"/>
              <w:bottom w:val="single" w:color="000000" w:sz="4" w:space="0"/>
            </w:tcBorders>
            <w:tcMar>
              <w:top w:w="45" w:type="dxa"/>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Baten-lastenagentschap</w:t>
            </w:r>
          </w:p>
        </w:tc>
        <w:tc>
          <w:tcPr>
            <w:tcW w:w="476"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Baten</w:t>
            </w:r>
          </w:p>
        </w:tc>
        <w:tc>
          <w:tcPr>
            <w:tcW w:w="476"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Lasten</w:t>
            </w:r>
          </w:p>
        </w:tc>
        <w:tc>
          <w:tcPr>
            <w:tcW w:w="1360"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Saldo van baten en lasten</w:t>
            </w:r>
          </w:p>
        </w:tc>
      </w:tr>
      <w:tr w:rsidRPr="005E50EC" w:rsidR="004A45AE" w:rsidTr="00E80FE5">
        <w:tc>
          <w:tcPr>
            <w:tcW w:w="2688" w:type="pct"/>
            <w:tcMar>
              <w:top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College ter Beoordeling van Geneesmiddelen</w:t>
            </w:r>
          </w:p>
        </w:tc>
        <w:tc>
          <w:tcPr>
            <w:tcW w:w="476"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51.642</w:t>
            </w:r>
          </w:p>
        </w:tc>
        <w:tc>
          <w:tcPr>
            <w:tcW w:w="476"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51.642</w:t>
            </w:r>
          </w:p>
        </w:tc>
        <w:tc>
          <w:tcPr>
            <w:tcW w:w="1360"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r>
      <w:tr w:rsidRPr="005E50EC" w:rsidR="004A45AE" w:rsidTr="00E80FE5">
        <w:tc>
          <w:tcPr>
            <w:tcW w:w="2688"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Centraal Informatiepunt Beroepen Gezondheidszorg</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84.551</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84.551</w:t>
            </w:r>
          </w:p>
        </w:tc>
        <w:tc>
          <w:tcPr>
            <w:tcW w:w="1360"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r>
      <w:tr w:rsidRPr="005E50EC" w:rsidR="004A45AE" w:rsidTr="00E80FE5">
        <w:tc>
          <w:tcPr>
            <w:tcW w:w="2688"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Rijksinstituut voor Volksgezondheid en Milieu</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375.900</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375.900</w:t>
            </w:r>
          </w:p>
        </w:tc>
        <w:tc>
          <w:tcPr>
            <w:tcW w:w="1360"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r>
      <w:tr w:rsidRPr="005E50EC" w:rsidR="004A45AE" w:rsidTr="00E80FE5">
        <w:tc>
          <w:tcPr>
            <w:tcW w:w="2688" w:type="pct"/>
            <w:tcBorders>
              <w:bottom w:val="single" w:color="000000" w:sz="4" w:space="0"/>
            </w:tcBorders>
            <w:tcMar>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Totaal</w:t>
            </w:r>
          </w:p>
        </w:tc>
        <w:tc>
          <w:tcPr>
            <w:tcW w:w="476"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512.093</w:t>
            </w:r>
          </w:p>
        </w:tc>
        <w:tc>
          <w:tcPr>
            <w:tcW w:w="476"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512.093</w:t>
            </w:r>
          </w:p>
        </w:tc>
        <w:tc>
          <w:tcPr>
            <w:tcW w:w="1360"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0</w:t>
            </w:r>
          </w:p>
        </w:tc>
      </w:tr>
    </w:tbl>
    <w:p w:rsidR="004A45AE" w:rsidP="004A45AE" w:rsidRDefault="004A45AE">
      <w:pPr>
        <w:tabs>
          <w:tab w:val="left" w:pos="284"/>
          <w:tab w:val="left" w:pos="567"/>
          <w:tab w:val="left" w:pos="851"/>
        </w:tabs>
        <w:ind w:right="1848"/>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6689"/>
        <w:gridCol w:w="3923"/>
        <w:gridCol w:w="3410"/>
      </w:tblGrid>
      <w:tr w:rsidRPr="005E50EC" w:rsidR="004A45AE" w:rsidTr="00E80FE5">
        <w:trPr>
          <w:tblHeader/>
        </w:trPr>
        <w:tc>
          <w:tcPr>
            <w:tcW w:w="5000" w:type="pct"/>
            <w:gridSpan w:val="3"/>
          </w:tcPr>
          <w:p w:rsidRPr="005E50EC" w:rsidR="004A45AE" w:rsidP="00E80FE5" w:rsidRDefault="004A45AE">
            <w:pPr>
              <w:keepNext/>
              <w:autoSpaceDN w:val="0"/>
              <w:textAlignment w:val="baseline"/>
              <w:rPr>
                <w:rFonts w:ascii="Times New Roman" w:hAnsi="Times New Roman" w:eastAsiaTheme="minorEastAsia"/>
                <w:b/>
                <w:kern w:val="3"/>
                <w:sz w:val="24"/>
              </w:rPr>
            </w:pPr>
            <w:r w:rsidRPr="005E50EC">
              <w:rPr>
                <w:rFonts w:ascii="Times New Roman" w:hAnsi="Times New Roman" w:eastAsiaTheme="minorEastAsia"/>
                <w:b/>
                <w:kern w:val="3"/>
                <w:sz w:val="24"/>
              </w:rPr>
              <w:t>Vastgestelde begrotingsstaat inzake de baten-lastenagentschappen voor het jaar 2020 (bedragen x € 1.000).</w:t>
            </w:r>
          </w:p>
        </w:tc>
      </w:tr>
      <w:tr w:rsidRPr="005E50EC" w:rsidR="004A45AE" w:rsidTr="00E80FE5">
        <w:trPr>
          <w:tblHeader/>
        </w:trPr>
        <w:tc>
          <w:tcPr>
            <w:tcW w:w="2385" w:type="pct"/>
            <w:tcBorders>
              <w:top w:val="single" w:color="000000" w:sz="4" w:space="0"/>
              <w:bottom w:val="single" w:color="000000" w:sz="4" w:space="0"/>
            </w:tcBorders>
            <w:tcMar>
              <w:top w:w="45" w:type="dxa"/>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Baten-lastenagentschap</w:t>
            </w:r>
          </w:p>
        </w:tc>
        <w:tc>
          <w:tcPr>
            <w:tcW w:w="1399"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Totaal kapitaalontvangsten</w:t>
            </w:r>
          </w:p>
        </w:tc>
        <w:tc>
          <w:tcPr>
            <w:tcW w:w="1216"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Totaal kapitaaluitgaven</w:t>
            </w:r>
          </w:p>
        </w:tc>
      </w:tr>
      <w:tr w:rsidRPr="005E50EC" w:rsidR="004A45AE" w:rsidTr="00E80FE5">
        <w:tc>
          <w:tcPr>
            <w:tcW w:w="2385" w:type="pct"/>
            <w:tcMar>
              <w:top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College ter Beoordeling van Geneesmiddelen</w:t>
            </w:r>
          </w:p>
        </w:tc>
        <w:tc>
          <w:tcPr>
            <w:tcW w:w="1399"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c>
          <w:tcPr>
            <w:tcW w:w="1216"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500</w:t>
            </w:r>
          </w:p>
        </w:tc>
      </w:tr>
      <w:tr w:rsidRPr="005E50EC" w:rsidR="004A45AE" w:rsidTr="00E80FE5">
        <w:tc>
          <w:tcPr>
            <w:tcW w:w="2385"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Centraal Informatiepunt Beroepen Gezondheidszorg</w:t>
            </w:r>
          </w:p>
        </w:tc>
        <w:tc>
          <w:tcPr>
            <w:tcW w:w="1399"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3.720</w:t>
            </w:r>
          </w:p>
        </w:tc>
        <w:tc>
          <w:tcPr>
            <w:tcW w:w="121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6.691</w:t>
            </w:r>
          </w:p>
        </w:tc>
      </w:tr>
      <w:tr w:rsidRPr="005E50EC" w:rsidR="004A45AE" w:rsidTr="00E80FE5">
        <w:tc>
          <w:tcPr>
            <w:tcW w:w="2385"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Rijksinstituut voor Volksgezondheid en Milieu</w:t>
            </w:r>
          </w:p>
        </w:tc>
        <w:tc>
          <w:tcPr>
            <w:tcW w:w="1399"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c>
          <w:tcPr>
            <w:tcW w:w="121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4.800</w:t>
            </w:r>
          </w:p>
        </w:tc>
      </w:tr>
      <w:tr w:rsidRPr="005E50EC" w:rsidR="004A45AE" w:rsidTr="00E80FE5">
        <w:tc>
          <w:tcPr>
            <w:tcW w:w="2385" w:type="pct"/>
            <w:tcBorders>
              <w:bottom w:val="single" w:color="000000" w:sz="4" w:space="0"/>
            </w:tcBorders>
            <w:tcMar>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Totaal</w:t>
            </w:r>
          </w:p>
        </w:tc>
        <w:tc>
          <w:tcPr>
            <w:tcW w:w="1399"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3.720</w:t>
            </w:r>
          </w:p>
        </w:tc>
        <w:tc>
          <w:tcPr>
            <w:tcW w:w="1216"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11.991</w:t>
            </w:r>
          </w:p>
        </w:tc>
      </w:tr>
    </w:tbl>
    <w:p w:rsidRPr="002168F4" w:rsidR="004A45AE" w:rsidP="004A45AE" w:rsidRDefault="004A45AE">
      <w:pPr>
        <w:tabs>
          <w:tab w:val="left" w:pos="284"/>
          <w:tab w:val="left" w:pos="567"/>
          <w:tab w:val="left" w:pos="851"/>
        </w:tabs>
        <w:ind w:right="1848"/>
        <w:rPr>
          <w:rFonts w:ascii="Times New Roman" w:hAnsi="Times New Roman"/>
          <w:sz w:val="24"/>
          <w:szCs w:val="20"/>
        </w:rPr>
      </w:pPr>
    </w:p>
    <w:p w:rsidRPr="002168F4" w:rsidR="00640E91" w:rsidP="004A45AE" w:rsidRDefault="004A45AE">
      <w:pPr>
        <w:pStyle w:val="Geenafstand"/>
        <w:rPr>
          <w:rFonts w:ascii="Times New Roman" w:hAnsi="Times New Roman"/>
          <w:sz w:val="24"/>
          <w:szCs w:val="20"/>
        </w:rPr>
      </w:pPr>
      <w:r w:rsidRPr="002168F4">
        <w:rPr>
          <w:rFonts w:ascii="Times New Roman" w:hAnsi="Times New Roman"/>
          <w:sz w:val="24"/>
          <w:szCs w:val="20"/>
        </w:rPr>
        <w:t xml:space="preserve"> </w:t>
      </w:r>
    </w:p>
    <w:sectPr w:rsidRPr="002168F4" w:rsidR="00640E91" w:rsidSect="004A45AE">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91" w:rsidRDefault="00640E91">
      <w:pPr>
        <w:spacing w:line="20" w:lineRule="exact"/>
      </w:pPr>
    </w:p>
  </w:endnote>
  <w:endnote w:type="continuationSeparator" w:id="0">
    <w:p w:rsidR="00640E91" w:rsidRDefault="00640E91">
      <w:pPr>
        <w:pStyle w:val="Amendement"/>
      </w:pPr>
      <w:r>
        <w:rPr>
          <w:b w:val="0"/>
          <w:bCs w:val="0"/>
        </w:rPr>
        <w:t xml:space="preserve"> </w:t>
      </w:r>
    </w:p>
  </w:endnote>
  <w:endnote w:type="continuationNotice" w:id="1">
    <w:p w:rsidR="00640E91" w:rsidRDefault="00640E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C4253">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91" w:rsidRDefault="00640E91">
      <w:pPr>
        <w:pStyle w:val="Amendement"/>
      </w:pPr>
      <w:r>
        <w:rPr>
          <w:b w:val="0"/>
          <w:bCs w:val="0"/>
        </w:rPr>
        <w:separator/>
      </w:r>
    </w:p>
  </w:footnote>
  <w:footnote w:type="continuationSeparator" w:id="0">
    <w:p w:rsidR="00640E91" w:rsidRDefault="0064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E91"/>
    <w:rsid w:val="000069FF"/>
    <w:rsid w:val="00012DBE"/>
    <w:rsid w:val="000A1D81"/>
    <w:rsid w:val="00111ED3"/>
    <w:rsid w:val="001C190E"/>
    <w:rsid w:val="002168F4"/>
    <w:rsid w:val="002A727C"/>
    <w:rsid w:val="004A45AE"/>
    <w:rsid w:val="005D2707"/>
    <w:rsid w:val="005E50EC"/>
    <w:rsid w:val="00606255"/>
    <w:rsid w:val="00640E91"/>
    <w:rsid w:val="006B607A"/>
    <w:rsid w:val="007D451C"/>
    <w:rsid w:val="00826224"/>
    <w:rsid w:val="008C4253"/>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89846D-FB9E-44C3-BE86-1615D301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E50EC"/>
    <w:rPr>
      <w:rFonts w:ascii="Verdana" w:hAnsi="Verdana"/>
      <w:szCs w:val="24"/>
    </w:rPr>
  </w:style>
  <w:style w:type="table" w:styleId="Tabelraster">
    <w:name w:val="Table Grid"/>
    <w:basedOn w:val="Standaardtabel"/>
    <w:uiPriority w:val="39"/>
    <w:rsid w:val="000069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526</ap:Words>
  <ap:Characters>2898</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2019-12-02T17:39:00.0000000Z</dcterms:created>
  <dcterms:modified xsi:type="dcterms:W3CDTF">2019-12-03T08:52:00.0000000Z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0x01010055096DB4562E6D43BFC56EC91D2331A3</vt:lpwstr>
  </property>
</Properties>
</file>