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bookmarkStart w:name="_GoBack" w:id="0"/>
      <w:bookmarkEnd w:id="0"/>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FB5545">
        <w:rPr>
          <w:rFonts w:asciiTheme="minorHAnsi" w:hAnsiTheme="minorHAnsi" w:cstheme="minorHAnsi"/>
          <w:sz w:val="20"/>
          <w:szCs w:val="22"/>
        </w:rPr>
        <w:t>19</w:t>
      </w:r>
      <w:r w:rsidR="0094663D">
        <w:rPr>
          <w:rFonts w:asciiTheme="minorHAnsi" w:hAnsiTheme="minorHAnsi" w:cstheme="minorHAnsi"/>
          <w:sz w:val="20"/>
          <w:szCs w:val="22"/>
        </w:rPr>
        <w:t>-09-2019</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FB5545">
        <w:rPr>
          <w:rFonts w:asciiTheme="minorHAnsi" w:hAnsiTheme="minorHAnsi" w:cstheme="minorHAnsi"/>
          <w:b/>
          <w:sz w:val="20"/>
          <w:szCs w:val="22"/>
          <w:u w:val="single"/>
        </w:rPr>
        <w:t xml:space="preserve">6 </w:t>
      </w:r>
      <w:r w:rsidR="00596B6D">
        <w:rPr>
          <w:rFonts w:asciiTheme="minorHAnsi" w:hAnsiTheme="minorHAnsi" w:cstheme="minorHAnsi"/>
          <w:b/>
          <w:sz w:val="20"/>
          <w:szCs w:val="22"/>
          <w:u w:val="single"/>
        </w:rPr>
        <w:t xml:space="preserve">t/m </w:t>
      </w:r>
      <w:r w:rsidR="00FB5545">
        <w:rPr>
          <w:rFonts w:asciiTheme="minorHAnsi" w:hAnsiTheme="minorHAnsi" w:cstheme="minorHAnsi"/>
          <w:b/>
          <w:sz w:val="20"/>
          <w:szCs w:val="22"/>
          <w:u w:val="single"/>
        </w:rPr>
        <w:t>19</w:t>
      </w:r>
      <w:r w:rsidR="0094663D">
        <w:rPr>
          <w:rFonts w:asciiTheme="minorHAnsi" w:hAnsiTheme="minorHAnsi" w:cstheme="minorHAnsi"/>
          <w:b/>
          <w:sz w:val="20"/>
          <w:szCs w:val="22"/>
          <w:u w:val="single"/>
        </w:rPr>
        <w:t xml:space="preserve"> september </w:t>
      </w:r>
      <w:r w:rsidRPr="001B0359" w:rsidR="00FA790A">
        <w:rPr>
          <w:rFonts w:asciiTheme="minorHAnsi" w:hAnsiTheme="minorHAnsi" w:cstheme="minorHAnsi"/>
          <w:b/>
          <w:sz w:val="20"/>
          <w:szCs w:val="22"/>
          <w:u w:val="single"/>
        </w:rPr>
        <w:t>2019</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50"/>
        <w:gridCol w:w="5386"/>
      </w:tblGrid>
      <w:tr w:rsidRPr="001B0359" w:rsidR="001D7F4B" w:rsidTr="00B81109">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279"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468"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Sub.toets</w:t>
            </w:r>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B81109">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279"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468"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B81109">
        <w:trPr>
          <w:trHeight w:val="699"/>
        </w:trPr>
        <w:tc>
          <w:tcPr>
            <w:tcW w:w="435" w:type="dxa"/>
          </w:tcPr>
          <w:p w:rsidRPr="001B0359" w:rsidR="00026673" w:rsidP="00026673" w:rsidRDefault="00026673">
            <w:pPr>
              <w:jc w:val="center"/>
              <w:rPr>
                <w:rFonts w:asciiTheme="minorHAnsi" w:hAnsiTheme="minorHAnsi" w:cstheme="minorHAnsi"/>
                <w:sz w:val="22"/>
                <w:szCs w:val="22"/>
              </w:rPr>
            </w:pPr>
            <w:r w:rsidRPr="001B0359">
              <w:rPr>
                <w:rFonts w:asciiTheme="minorHAnsi" w:hAnsiTheme="minorHAnsi" w:cstheme="minorHAnsi"/>
                <w:sz w:val="22"/>
                <w:szCs w:val="22"/>
              </w:rPr>
              <w:t>1.</w:t>
            </w:r>
          </w:p>
        </w:tc>
        <w:tc>
          <w:tcPr>
            <w:tcW w:w="1279" w:type="dxa"/>
            <w:shd w:val="clear" w:color="auto" w:fill="auto"/>
            <w:noWrap/>
          </w:tcPr>
          <w:p w:rsidRPr="00F56E0C" w:rsidR="00F56E0C" w:rsidP="00F56E0C" w:rsidRDefault="00F56E0C">
            <w:pPr>
              <w:spacing w:before="100" w:beforeAutospacing="1" w:after="100" w:afterAutospacing="1"/>
              <w:rPr>
                <w:rFonts w:asciiTheme="minorHAnsi" w:hAnsiTheme="minorHAnsi"/>
                <w:sz w:val="22"/>
                <w:szCs w:val="22"/>
              </w:rPr>
            </w:pPr>
            <w:r w:rsidRPr="00F56E0C">
              <w:rPr>
                <w:rFonts w:asciiTheme="minorHAnsi" w:hAnsiTheme="minorHAnsi"/>
                <w:color w:val="000000"/>
                <w:sz w:val="22"/>
                <w:szCs w:val="22"/>
              </w:rPr>
              <w:t>13 september 2019</w:t>
            </w:r>
          </w:p>
          <w:p w:rsidRPr="00F56E0C" w:rsidR="00026673" w:rsidP="00026673" w:rsidRDefault="00026673">
            <w:pPr>
              <w:jc w:val="center"/>
              <w:rPr>
                <w:rFonts w:asciiTheme="minorHAnsi" w:hAnsiTheme="minorHAnsi" w:cstheme="minorHAnsi"/>
                <w:sz w:val="22"/>
                <w:szCs w:val="22"/>
              </w:rPr>
            </w:pPr>
          </w:p>
        </w:tc>
        <w:tc>
          <w:tcPr>
            <w:tcW w:w="1468" w:type="dxa"/>
            <w:shd w:val="clear" w:color="auto" w:fill="auto"/>
            <w:noWrap/>
          </w:tcPr>
          <w:p w:rsidRPr="001B0359" w:rsidR="00026673" w:rsidP="00026673" w:rsidRDefault="00F56E0C">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Besluit</w:t>
            </w:r>
          </w:p>
        </w:tc>
        <w:tc>
          <w:tcPr>
            <w:tcW w:w="3685" w:type="dxa"/>
            <w:shd w:val="clear" w:color="auto" w:fill="auto"/>
          </w:tcPr>
          <w:p w:rsidRPr="0094663D" w:rsidR="00026673" w:rsidP="00026673" w:rsidRDefault="00F56E0C">
            <w:pPr>
              <w:rPr>
                <w:rFonts w:asciiTheme="minorHAnsi" w:hAnsiTheme="minorHAnsi" w:cstheme="minorHAnsi"/>
                <w:sz w:val="22"/>
                <w:szCs w:val="22"/>
                <w:lang w:val="en-US"/>
              </w:rPr>
            </w:pPr>
            <w:r w:rsidRPr="00F56E0C">
              <w:rPr>
                <w:rFonts w:asciiTheme="minorHAnsi" w:hAnsiTheme="minorHAnsi" w:cstheme="minorHAnsi"/>
                <w:sz w:val="22"/>
                <w:szCs w:val="22"/>
                <w:lang w:val="en-US"/>
              </w:rPr>
              <w:t xml:space="preserve">Aanbeveling voor een BESLUIT VAN DE RAAD houdende machtiging tot het openen van onderhandelingen over een overeenkomst tussen de Europese Unie en de Republiek Kaapverdië tot wijziging van de Overeenkomst tussen de Europese Unie en de Republiek Kaapverdië inzake de versoepeling van de afgifte van visa voor kort verblijf aan de burgers van de Republiek Kaapverdië en van de Europese Unie           </w:t>
            </w:r>
          </w:p>
        </w:tc>
        <w:tc>
          <w:tcPr>
            <w:tcW w:w="1654" w:type="dxa"/>
            <w:shd w:val="clear" w:color="auto" w:fill="auto"/>
            <w:noWrap/>
          </w:tcPr>
          <w:p w:rsidRPr="00F56E0C" w:rsidR="00026673" w:rsidP="00026673" w:rsidRDefault="009C0AB2">
            <w:pPr>
              <w:jc w:val="center"/>
              <w:rPr>
                <w:rFonts w:asciiTheme="minorHAnsi" w:hAnsiTheme="minorHAnsi" w:cstheme="minorHAnsi"/>
                <w:color w:val="0000FF"/>
                <w:sz w:val="22"/>
                <w:szCs w:val="22"/>
              </w:rPr>
            </w:pPr>
            <w:hyperlink w:history="1" r:id="rId10">
              <w:r w:rsidRPr="00F56E0C" w:rsidR="00F56E0C">
                <w:rPr>
                  <w:rStyle w:val="Hyperlink"/>
                  <w:rFonts w:asciiTheme="minorHAnsi" w:hAnsiTheme="minorHAnsi" w:cstheme="minorHAnsi"/>
                  <w:sz w:val="22"/>
                  <w:szCs w:val="22"/>
                </w:rPr>
                <w:t xml:space="preserve">COM(2019)417                       </w:t>
              </w:r>
            </w:hyperlink>
            <w:r w:rsidRPr="00F56E0C" w:rsidR="00F56E0C">
              <w:rPr>
                <w:rFonts w:asciiTheme="minorHAnsi" w:hAnsiTheme="minorHAnsi" w:cstheme="minorHAnsi"/>
                <w:sz w:val="22"/>
                <w:szCs w:val="22"/>
              </w:rPr>
              <w:t xml:space="preserve"> </w:t>
            </w:r>
          </w:p>
        </w:tc>
        <w:tc>
          <w:tcPr>
            <w:tcW w:w="850" w:type="dxa"/>
            <w:shd w:val="clear" w:color="auto" w:fill="auto"/>
          </w:tcPr>
          <w:p w:rsidRPr="001B0359" w:rsidR="00026673" w:rsidP="00026673" w:rsidRDefault="00F56E0C">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00026673" w:rsidP="00026673" w:rsidRDefault="00F56E0C">
            <w:pPr>
              <w:rPr>
                <w:rFonts w:asciiTheme="minorHAnsi" w:hAnsiTheme="minorHAnsi" w:cstheme="minorHAnsi"/>
                <w:color w:val="000000"/>
                <w:sz w:val="22"/>
                <w:szCs w:val="22"/>
              </w:rPr>
            </w:pPr>
            <w:r w:rsidRPr="001E62F6">
              <w:rPr>
                <w:rFonts w:asciiTheme="minorHAnsi" w:hAnsiTheme="minorHAnsi" w:cstheme="minorHAnsi"/>
                <w:color w:val="000000"/>
                <w:sz w:val="22"/>
                <w:szCs w:val="22"/>
                <w:u w:val="single"/>
              </w:rPr>
              <w:t>Behandelvoorstel</w:t>
            </w:r>
            <w:r w:rsidRPr="001E62F6">
              <w:rPr>
                <w:rFonts w:asciiTheme="minorHAnsi" w:hAnsiTheme="minorHAnsi" w:cstheme="minorHAnsi"/>
                <w:color w:val="000000"/>
                <w:sz w:val="22"/>
                <w:szCs w:val="22"/>
              </w:rPr>
              <w:t>:</w:t>
            </w:r>
            <w:r w:rsidRPr="001E62F6" w:rsidR="001C3742">
              <w:rPr>
                <w:rFonts w:asciiTheme="minorHAnsi" w:hAnsiTheme="minorHAnsi" w:cstheme="minorHAnsi"/>
                <w:color w:val="000000"/>
                <w:sz w:val="22"/>
                <w:szCs w:val="22"/>
              </w:rPr>
              <w:t xml:space="preserve"> voor kennisgeving aannemen</w:t>
            </w:r>
          </w:p>
          <w:p w:rsidR="00F56E0C" w:rsidP="00026673" w:rsidRDefault="00F56E0C">
            <w:pPr>
              <w:rPr>
                <w:rFonts w:asciiTheme="minorHAnsi" w:hAnsiTheme="minorHAnsi" w:cstheme="minorHAnsi"/>
                <w:color w:val="000000"/>
                <w:sz w:val="22"/>
                <w:szCs w:val="22"/>
              </w:rPr>
            </w:pPr>
          </w:p>
          <w:p w:rsidRPr="001B0359" w:rsidR="00F56E0C" w:rsidP="001C3742" w:rsidRDefault="00F56E0C">
            <w:pPr>
              <w:rPr>
                <w:rFonts w:asciiTheme="minorHAnsi" w:hAnsiTheme="minorHAnsi" w:cstheme="minorHAnsi"/>
                <w:i/>
                <w:sz w:val="22"/>
                <w:szCs w:val="22"/>
              </w:rPr>
            </w:pPr>
            <w:r w:rsidRPr="001E62F6">
              <w:rPr>
                <w:rFonts w:asciiTheme="minorHAnsi" w:hAnsiTheme="minorHAnsi" w:cstheme="minorHAnsi"/>
                <w:i/>
                <w:color w:val="000000"/>
                <w:sz w:val="22"/>
                <w:szCs w:val="22"/>
              </w:rPr>
              <w:t>Noot:</w:t>
            </w:r>
            <w:r w:rsidR="001C3742">
              <w:rPr>
                <w:rFonts w:asciiTheme="minorHAnsi" w:hAnsiTheme="minorHAnsi" w:cstheme="minorHAnsi"/>
                <w:i/>
                <w:color w:val="000000"/>
                <w:sz w:val="22"/>
                <w:szCs w:val="22"/>
              </w:rPr>
              <w:t xml:space="preserve"> </w:t>
            </w:r>
            <w:r w:rsidRPr="00B37074" w:rsidR="00B37074">
              <w:rPr>
                <w:rFonts w:asciiTheme="minorHAnsi" w:hAnsiTheme="minorHAnsi"/>
                <w:i/>
                <w:sz w:val="22"/>
                <w:szCs w:val="22"/>
              </w:rPr>
              <w:t>Het betreft een besluit betreffende het (conform het toepasselijke EU-rechtskader inzake gegevensbescherming en PNR-gegevens) door de EU-lidstaten namens de Unie in te nemen standpunt in de onderhandelingen binnen de Raad van de Internationale Burgerluchtvaartorganisatie (“ICAO”) met betrekking tot de vaststelling van wereldwijde normen en aanbevolen praktijken met betrekking tot gegevens uit het Passenger Name Record (vervat in het “Verdrag van Chicago”).</w:t>
            </w:r>
          </w:p>
        </w:tc>
      </w:tr>
      <w:tr w:rsidRPr="001B0359" w:rsidR="00026673" w:rsidTr="00B81109">
        <w:trPr>
          <w:trHeight w:val="699"/>
        </w:trPr>
        <w:tc>
          <w:tcPr>
            <w:tcW w:w="435" w:type="dxa"/>
          </w:tcPr>
          <w:p w:rsidRPr="001B0359" w:rsidR="00026673" w:rsidP="00026673" w:rsidRDefault="00B22DD3">
            <w:pPr>
              <w:jc w:val="center"/>
              <w:rPr>
                <w:rFonts w:asciiTheme="minorHAnsi" w:hAnsiTheme="minorHAnsi" w:cstheme="minorHAnsi"/>
                <w:sz w:val="22"/>
                <w:szCs w:val="22"/>
              </w:rPr>
            </w:pPr>
            <w:r w:rsidRPr="001B0359">
              <w:rPr>
                <w:rFonts w:asciiTheme="minorHAnsi" w:hAnsiTheme="minorHAnsi" w:cstheme="minorHAnsi"/>
                <w:sz w:val="22"/>
                <w:szCs w:val="22"/>
              </w:rPr>
              <w:lastRenderedPageBreak/>
              <w:t>2.</w:t>
            </w:r>
          </w:p>
        </w:tc>
        <w:tc>
          <w:tcPr>
            <w:tcW w:w="1279" w:type="dxa"/>
            <w:shd w:val="clear" w:color="auto" w:fill="auto"/>
            <w:noWrap/>
          </w:tcPr>
          <w:p w:rsidRPr="00F56E0C" w:rsidR="00F56E0C" w:rsidP="00F56E0C" w:rsidRDefault="00F56E0C">
            <w:pPr>
              <w:spacing w:before="100" w:beforeAutospacing="1" w:after="100" w:afterAutospacing="1"/>
              <w:rPr>
                <w:rFonts w:asciiTheme="minorHAnsi" w:hAnsiTheme="minorHAnsi"/>
                <w:sz w:val="22"/>
                <w:szCs w:val="22"/>
              </w:rPr>
            </w:pPr>
            <w:r w:rsidRPr="00F56E0C">
              <w:rPr>
                <w:rFonts w:asciiTheme="minorHAnsi" w:hAnsiTheme="minorHAnsi"/>
                <w:color w:val="000000"/>
                <w:sz w:val="22"/>
                <w:szCs w:val="22"/>
              </w:rPr>
              <w:t>13 september 2019</w:t>
            </w:r>
          </w:p>
          <w:p w:rsidRPr="00F56E0C" w:rsidR="00026673" w:rsidP="00026673" w:rsidRDefault="00026673">
            <w:pPr>
              <w:jc w:val="center"/>
              <w:rPr>
                <w:rFonts w:asciiTheme="minorHAnsi" w:hAnsiTheme="minorHAnsi" w:cstheme="minorHAnsi"/>
                <w:sz w:val="22"/>
                <w:szCs w:val="22"/>
              </w:rPr>
            </w:pPr>
          </w:p>
        </w:tc>
        <w:tc>
          <w:tcPr>
            <w:tcW w:w="1468" w:type="dxa"/>
            <w:shd w:val="clear" w:color="auto" w:fill="auto"/>
            <w:noWrap/>
          </w:tcPr>
          <w:p w:rsidRPr="001B0359" w:rsidR="00026673" w:rsidP="00026673" w:rsidRDefault="00F56E0C">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Besluit</w:t>
            </w:r>
          </w:p>
        </w:tc>
        <w:tc>
          <w:tcPr>
            <w:tcW w:w="3685" w:type="dxa"/>
            <w:shd w:val="clear" w:color="auto" w:fill="auto"/>
          </w:tcPr>
          <w:p w:rsidRPr="0094663D" w:rsidR="00026673" w:rsidP="00026673" w:rsidRDefault="00F56E0C">
            <w:pPr>
              <w:rPr>
                <w:rFonts w:asciiTheme="minorHAnsi" w:hAnsiTheme="minorHAnsi" w:cstheme="minorHAnsi"/>
                <w:color w:val="000000"/>
                <w:sz w:val="22"/>
                <w:szCs w:val="22"/>
                <w:lang w:val="en-US"/>
              </w:rPr>
            </w:pPr>
            <w:r w:rsidRPr="00F56E0C">
              <w:rPr>
                <w:rFonts w:asciiTheme="minorHAnsi" w:hAnsiTheme="minorHAnsi" w:cstheme="minorHAnsi"/>
                <w:color w:val="000000"/>
                <w:sz w:val="22"/>
                <w:szCs w:val="22"/>
                <w:lang w:val="en-US"/>
              </w:rPr>
              <w:t xml:space="preserve">Voorstel voor een BESLUIT VAN DE RAAD betreffende het namens de Europese Unie in de Raad van de Internationale Burgerluchtvaartorganisatie in te nemen standpunt met betrekking tot de herziening van hoofdstuk 9 van bijlage 9 (“Facilitation”) bij het Verdrag inzake de internationale burgerluchtvaart met betrekking tot normen en aanbevolen praktijken op het gebied van persoonsgegevens van passagiers   </w:t>
            </w:r>
          </w:p>
        </w:tc>
        <w:tc>
          <w:tcPr>
            <w:tcW w:w="1654" w:type="dxa"/>
            <w:shd w:val="clear" w:color="auto" w:fill="auto"/>
            <w:noWrap/>
          </w:tcPr>
          <w:p w:rsidRPr="001B0359" w:rsidR="00026673" w:rsidP="00F56E0C" w:rsidRDefault="009C0AB2">
            <w:pPr>
              <w:jc w:val="center"/>
              <w:rPr>
                <w:rFonts w:asciiTheme="minorHAnsi" w:hAnsiTheme="minorHAnsi" w:cstheme="minorHAnsi"/>
                <w:sz w:val="22"/>
                <w:szCs w:val="22"/>
              </w:rPr>
            </w:pPr>
            <w:hyperlink w:history="1" r:id="rId11">
              <w:r w:rsidRPr="00F56E0C" w:rsidR="00F56E0C">
                <w:rPr>
                  <w:rStyle w:val="Hyperlink"/>
                  <w:rFonts w:asciiTheme="minorHAnsi" w:hAnsiTheme="minorHAnsi" w:cstheme="minorHAnsi"/>
                  <w:sz w:val="22"/>
                  <w:szCs w:val="22"/>
                </w:rPr>
                <w:t xml:space="preserve">COM(2019)416                                                                                            </w:t>
              </w:r>
            </w:hyperlink>
            <w:r w:rsidRPr="00F56E0C" w:rsidR="00F56E0C">
              <w:rPr>
                <w:rFonts w:asciiTheme="minorHAnsi" w:hAnsiTheme="minorHAnsi" w:cstheme="minorHAnsi"/>
                <w:sz w:val="22"/>
                <w:szCs w:val="22"/>
              </w:rPr>
              <w:t xml:space="preserve"> </w:t>
            </w:r>
          </w:p>
        </w:tc>
        <w:tc>
          <w:tcPr>
            <w:tcW w:w="850" w:type="dxa"/>
            <w:shd w:val="clear" w:color="auto" w:fill="auto"/>
          </w:tcPr>
          <w:p w:rsidRPr="001B0359" w:rsidR="00026673" w:rsidP="00026673" w:rsidRDefault="00F56E0C">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00026673" w:rsidP="00026673" w:rsidRDefault="00F56E0C">
            <w:pPr>
              <w:rPr>
                <w:rFonts w:asciiTheme="minorHAnsi" w:hAnsiTheme="minorHAnsi" w:cstheme="minorHAnsi"/>
                <w:color w:val="000000"/>
                <w:sz w:val="22"/>
                <w:szCs w:val="22"/>
              </w:rPr>
            </w:pPr>
            <w:r w:rsidRPr="001E62F6">
              <w:rPr>
                <w:rFonts w:asciiTheme="minorHAnsi" w:hAnsiTheme="minorHAnsi" w:cstheme="minorHAnsi"/>
                <w:color w:val="000000"/>
                <w:sz w:val="22"/>
                <w:szCs w:val="22"/>
                <w:u w:val="single"/>
              </w:rPr>
              <w:t>Behandelvoorstel</w:t>
            </w:r>
            <w:r w:rsidRPr="001E62F6">
              <w:rPr>
                <w:rFonts w:asciiTheme="minorHAnsi" w:hAnsiTheme="minorHAnsi" w:cstheme="minorHAnsi"/>
                <w:color w:val="000000"/>
                <w:sz w:val="22"/>
                <w:szCs w:val="22"/>
              </w:rPr>
              <w:t>:</w:t>
            </w:r>
            <w:r w:rsidRPr="001E62F6" w:rsidR="001C3742">
              <w:rPr>
                <w:rFonts w:asciiTheme="minorHAnsi" w:hAnsiTheme="minorHAnsi" w:cstheme="minorHAnsi"/>
                <w:color w:val="000000"/>
                <w:sz w:val="22"/>
                <w:szCs w:val="22"/>
              </w:rPr>
              <w:t xml:space="preserve"> voor kennisgeving aannemen</w:t>
            </w:r>
          </w:p>
          <w:p w:rsidR="00F56E0C" w:rsidP="00026673" w:rsidRDefault="00F56E0C">
            <w:pPr>
              <w:rPr>
                <w:rFonts w:asciiTheme="minorHAnsi" w:hAnsiTheme="minorHAnsi" w:cstheme="minorHAnsi"/>
                <w:color w:val="000000"/>
                <w:sz w:val="22"/>
                <w:szCs w:val="22"/>
              </w:rPr>
            </w:pPr>
          </w:p>
          <w:p w:rsidRPr="001B0359" w:rsidR="00F56E0C" w:rsidP="001C3742" w:rsidRDefault="00F56E0C">
            <w:pPr>
              <w:rPr>
                <w:rFonts w:asciiTheme="minorHAnsi" w:hAnsiTheme="minorHAnsi" w:cstheme="minorHAnsi"/>
                <w:sz w:val="22"/>
                <w:szCs w:val="22"/>
                <w:u w:val="single"/>
              </w:rPr>
            </w:pPr>
            <w:r w:rsidRPr="001E62F6">
              <w:rPr>
                <w:rFonts w:asciiTheme="minorHAnsi" w:hAnsiTheme="minorHAnsi" w:cstheme="minorHAnsi"/>
                <w:i/>
                <w:color w:val="000000"/>
                <w:sz w:val="22"/>
                <w:szCs w:val="22"/>
              </w:rPr>
              <w:t>Noot:</w:t>
            </w:r>
            <w:r w:rsidR="001C3742">
              <w:rPr>
                <w:rFonts w:asciiTheme="minorHAnsi" w:hAnsiTheme="minorHAnsi" w:cstheme="minorHAnsi"/>
                <w:i/>
                <w:color w:val="000000"/>
                <w:sz w:val="22"/>
                <w:szCs w:val="22"/>
              </w:rPr>
              <w:t xml:space="preserve"> Betreft een standpunt inname met betrekking tot de</w:t>
            </w:r>
            <w:r w:rsidRPr="001C3742" w:rsidR="001C3742">
              <w:rPr>
                <w:rFonts w:asciiTheme="minorHAnsi" w:hAnsiTheme="minorHAnsi" w:cstheme="minorHAnsi"/>
                <w:i/>
                <w:color w:val="000000"/>
                <w:sz w:val="22"/>
                <w:szCs w:val="22"/>
              </w:rPr>
              <w:t xml:space="preserve"> vaststelling van nieuwe ICAO-normen inzake persoonsgegevens van passagiers (PNR-gegevens).</w:t>
            </w:r>
            <w:r w:rsidR="001C3742">
              <w:rPr>
                <w:rFonts w:asciiTheme="minorHAnsi" w:hAnsiTheme="minorHAnsi" w:cstheme="minorHAnsi"/>
                <w:i/>
                <w:color w:val="000000"/>
                <w:sz w:val="22"/>
                <w:szCs w:val="22"/>
              </w:rPr>
              <w:t xml:space="preserve"> Het betreft hier delen van deze PNR-gegevens </w:t>
            </w:r>
            <w:r w:rsidRPr="001C3742" w:rsidR="001C3742">
              <w:rPr>
                <w:rFonts w:asciiTheme="minorHAnsi" w:hAnsiTheme="minorHAnsi" w:cstheme="minorHAnsi"/>
                <w:i/>
                <w:color w:val="000000"/>
                <w:sz w:val="22"/>
                <w:szCs w:val="22"/>
              </w:rPr>
              <w:t>in het kader van de gemeenschappelijke respons van de EU op terrorisme en ernstige criminaliteit</w:t>
            </w:r>
            <w:r w:rsidR="001C3742">
              <w:rPr>
                <w:rFonts w:asciiTheme="minorHAnsi" w:hAnsiTheme="minorHAnsi" w:cstheme="minorHAnsi"/>
                <w:i/>
                <w:color w:val="000000"/>
                <w:sz w:val="22"/>
                <w:szCs w:val="22"/>
              </w:rPr>
              <w:t>.</w:t>
            </w:r>
          </w:p>
        </w:tc>
      </w:tr>
    </w:tbl>
    <w:p w:rsidRPr="001B0359" w:rsidR="008256C6" w:rsidP="00352B37" w:rsidRDefault="00352B37">
      <w:pPr>
        <w:tabs>
          <w:tab w:val="left" w:pos="12150"/>
        </w:tabs>
        <w:rPr>
          <w:rFonts w:asciiTheme="minorHAnsi" w:hAnsiTheme="minorHAnsi" w:cstheme="minorHAnsi"/>
          <w:b/>
        </w:rPr>
      </w:pPr>
      <w:r w:rsidRPr="001B0359">
        <w:rPr>
          <w:rFonts w:asciiTheme="minorHAnsi" w:hAnsiTheme="minorHAnsi" w:cstheme="minorHAnsi"/>
          <w:b/>
        </w:rPr>
        <w:tab/>
      </w:r>
    </w:p>
    <w:p w:rsidRPr="001B0359" w:rsidR="00517A3B" w:rsidRDefault="00517A3B">
      <w:pPr>
        <w:rPr>
          <w:rFonts w:asciiTheme="minorHAnsi" w:hAnsiTheme="minorHAnsi" w:cstheme="minorHAnsi"/>
          <w:b/>
          <w:color w:val="FF0000"/>
        </w:rPr>
      </w:pPr>
    </w:p>
    <w:p w:rsidRPr="001B0359" w:rsidR="00026673" w:rsidRDefault="00026673">
      <w:pPr>
        <w:rPr>
          <w:rFonts w:asciiTheme="minorHAnsi" w:hAnsiTheme="minorHAnsi" w:cstheme="minorHAnsi"/>
          <w:b/>
        </w:rPr>
      </w:pPr>
    </w:p>
    <w:p w:rsidRPr="001B0359" w:rsidR="008775C9" w:rsidP="005420AB" w:rsidRDefault="008775C9">
      <w:pPr>
        <w:rPr>
          <w:rFonts w:asciiTheme="minorHAnsi" w:hAnsiTheme="minorHAnsi" w:cstheme="minorHAnsi"/>
          <w:b/>
        </w:rPr>
      </w:pPr>
      <w:r w:rsidRPr="001B0359">
        <w:rPr>
          <w:rFonts w:asciiTheme="minorHAnsi" w:hAnsiTheme="minorHAnsi" w:cstheme="minorHAnsi"/>
          <w:b/>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(i.h.k.v.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w:t>
            </w:r>
            <w:r w:rsidRPr="001B0359">
              <w:rPr>
                <w:rFonts w:asciiTheme="minorHAnsi" w:hAnsiTheme="minorHAnsi" w:cstheme="minorHAnsi"/>
                <w:sz w:val="18"/>
                <w:szCs w:val="18"/>
              </w:rPr>
              <w:lastRenderedPageBreak/>
              <w:t xml:space="preserve">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Uitvoerings-handeling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12">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(i.h.k.v.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Niet-bindende handelingen (soft-law)</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w:t>
            </w:r>
            <w:r w:rsidRPr="001B0359">
              <w:rPr>
                <w:rStyle w:val="Zwaar"/>
                <w:rFonts w:asciiTheme="minorHAnsi" w:hAnsiTheme="minorHAnsi" w:cstheme="minorHAnsi"/>
                <w:sz w:val="18"/>
                <w:szCs w:val="18"/>
              </w:rPr>
              <w:lastRenderedPageBreak/>
              <w:t>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w:t>
            </w:r>
            <w:r w:rsidRPr="001B0359">
              <w:rPr>
                <w:rFonts w:asciiTheme="minorHAnsi" w:hAnsiTheme="minorHAnsi" w:cstheme="minorHAnsi"/>
                <w:sz w:val="18"/>
                <w:szCs w:val="18"/>
              </w:rPr>
              <w:lastRenderedPageBreak/>
              <w:t xml:space="preserve">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 xml:space="preserve">bij wetgevende EU-voorstellen kan een commissie besluiten tot het uitvoeren van een zgn. ‘behandelvoorbehoud’. Over </w:t>
            </w:r>
            <w:r w:rsidRPr="001B0359">
              <w:rPr>
                <w:rFonts w:asciiTheme="minorHAnsi" w:hAnsiTheme="minorHAnsi" w:cstheme="minorHAnsi"/>
                <w:sz w:val="18"/>
                <w:szCs w:val="18"/>
              </w:rPr>
              <w:lastRenderedPageBreak/>
              <w:t>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behandelvoorbehouden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D6" w:rsidRDefault="00AA31D6" w:rsidP="008775C9">
      <w:r>
        <w:separator/>
      </w:r>
    </w:p>
  </w:endnote>
  <w:endnote w:type="continuationSeparator" w:id="0">
    <w:p w:rsidR="00AA31D6" w:rsidRDefault="00AA31D6"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C0AB2">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9C0A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D6" w:rsidRDefault="00AA31D6" w:rsidP="008775C9">
      <w:r>
        <w:separator/>
      </w:r>
    </w:p>
  </w:footnote>
  <w:footnote w:type="continuationSeparator" w:id="0">
    <w:p w:rsidR="00AA31D6" w:rsidRDefault="00AA31D6"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6673"/>
    <w:rsid w:val="00032E74"/>
    <w:rsid w:val="000553EC"/>
    <w:rsid w:val="000703BE"/>
    <w:rsid w:val="00077A11"/>
    <w:rsid w:val="00080700"/>
    <w:rsid w:val="000817A6"/>
    <w:rsid w:val="0009230A"/>
    <w:rsid w:val="00095203"/>
    <w:rsid w:val="00095742"/>
    <w:rsid w:val="001054B6"/>
    <w:rsid w:val="001635FC"/>
    <w:rsid w:val="00164AFF"/>
    <w:rsid w:val="0017040E"/>
    <w:rsid w:val="00175D08"/>
    <w:rsid w:val="00183FB5"/>
    <w:rsid w:val="00185618"/>
    <w:rsid w:val="00185A66"/>
    <w:rsid w:val="00196177"/>
    <w:rsid w:val="001B0359"/>
    <w:rsid w:val="001C3742"/>
    <w:rsid w:val="001D7F4B"/>
    <w:rsid w:val="001E62F6"/>
    <w:rsid w:val="001F199D"/>
    <w:rsid w:val="002246A5"/>
    <w:rsid w:val="00224D31"/>
    <w:rsid w:val="00227567"/>
    <w:rsid w:val="00232BD7"/>
    <w:rsid w:val="002567C8"/>
    <w:rsid w:val="0026057B"/>
    <w:rsid w:val="0027137C"/>
    <w:rsid w:val="00273A0F"/>
    <w:rsid w:val="002967AC"/>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6131B"/>
    <w:rsid w:val="00484A47"/>
    <w:rsid w:val="0048527A"/>
    <w:rsid w:val="004A0445"/>
    <w:rsid w:val="004B6B9F"/>
    <w:rsid w:val="004C2E69"/>
    <w:rsid w:val="004D1972"/>
    <w:rsid w:val="004D35D6"/>
    <w:rsid w:val="00501483"/>
    <w:rsid w:val="005044BE"/>
    <w:rsid w:val="0051504E"/>
    <w:rsid w:val="00515901"/>
    <w:rsid w:val="00517A3B"/>
    <w:rsid w:val="00523331"/>
    <w:rsid w:val="00536C52"/>
    <w:rsid w:val="005420AB"/>
    <w:rsid w:val="00551CCE"/>
    <w:rsid w:val="0058329B"/>
    <w:rsid w:val="005946A6"/>
    <w:rsid w:val="00596B6D"/>
    <w:rsid w:val="005A2877"/>
    <w:rsid w:val="005C2E82"/>
    <w:rsid w:val="006063AD"/>
    <w:rsid w:val="006B6A65"/>
    <w:rsid w:val="006C63FB"/>
    <w:rsid w:val="006C705A"/>
    <w:rsid w:val="00743DDD"/>
    <w:rsid w:val="00744D60"/>
    <w:rsid w:val="00746F71"/>
    <w:rsid w:val="00761446"/>
    <w:rsid w:val="00764F41"/>
    <w:rsid w:val="00781D6B"/>
    <w:rsid w:val="007904B9"/>
    <w:rsid w:val="007E7E44"/>
    <w:rsid w:val="00803506"/>
    <w:rsid w:val="00805A06"/>
    <w:rsid w:val="008256C6"/>
    <w:rsid w:val="008422B3"/>
    <w:rsid w:val="008526E2"/>
    <w:rsid w:val="008775C9"/>
    <w:rsid w:val="00882D47"/>
    <w:rsid w:val="0089164C"/>
    <w:rsid w:val="008C6DDB"/>
    <w:rsid w:val="00902CE1"/>
    <w:rsid w:val="00905708"/>
    <w:rsid w:val="0091640D"/>
    <w:rsid w:val="00937F8B"/>
    <w:rsid w:val="0094663D"/>
    <w:rsid w:val="00946E5B"/>
    <w:rsid w:val="00956B10"/>
    <w:rsid w:val="0096397C"/>
    <w:rsid w:val="009B3E04"/>
    <w:rsid w:val="009C0AB2"/>
    <w:rsid w:val="009D163E"/>
    <w:rsid w:val="009E6A25"/>
    <w:rsid w:val="009F77F1"/>
    <w:rsid w:val="00A2373B"/>
    <w:rsid w:val="00A24C1E"/>
    <w:rsid w:val="00A355CF"/>
    <w:rsid w:val="00A3565B"/>
    <w:rsid w:val="00A520DA"/>
    <w:rsid w:val="00A741CA"/>
    <w:rsid w:val="00AA31D6"/>
    <w:rsid w:val="00AB2618"/>
    <w:rsid w:val="00AC7F2B"/>
    <w:rsid w:val="00B028CC"/>
    <w:rsid w:val="00B22DD3"/>
    <w:rsid w:val="00B30B36"/>
    <w:rsid w:val="00B37074"/>
    <w:rsid w:val="00B803EF"/>
    <w:rsid w:val="00B81109"/>
    <w:rsid w:val="00BA2FB8"/>
    <w:rsid w:val="00BB20D2"/>
    <w:rsid w:val="00BC4469"/>
    <w:rsid w:val="00BC752C"/>
    <w:rsid w:val="00BE4600"/>
    <w:rsid w:val="00C123A1"/>
    <w:rsid w:val="00C15B68"/>
    <w:rsid w:val="00C3546B"/>
    <w:rsid w:val="00C45BE6"/>
    <w:rsid w:val="00C527BD"/>
    <w:rsid w:val="00C82B9A"/>
    <w:rsid w:val="00C9165B"/>
    <w:rsid w:val="00CB0113"/>
    <w:rsid w:val="00CC479E"/>
    <w:rsid w:val="00CF6ECA"/>
    <w:rsid w:val="00D05B54"/>
    <w:rsid w:val="00D25AAF"/>
    <w:rsid w:val="00D33F03"/>
    <w:rsid w:val="00D60B33"/>
    <w:rsid w:val="00D651A8"/>
    <w:rsid w:val="00D827D7"/>
    <w:rsid w:val="00D84194"/>
    <w:rsid w:val="00D92B5B"/>
    <w:rsid w:val="00DA2D2F"/>
    <w:rsid w:val="00DA4FC6"/>
    <w:rsid w:val="00DB138D"/>
    <w:rsid w:val="00E149AE"/>
    <w:rsid w:val="00E33CA1"/>
    <w:rsid w:val="00E3560E"/>
    <w:rsid w:val="00E42EA8"/>
    <w:rsid w:val="00EA1E08"/>
    <w:rsid w:val="00EF5A5D"/>
    <w:rsid w:val="00F26C28"/>
    <w:rsid w:val="00F40BFC"/>
    <w:rsid w:val="00F54E40"/>
    <w:rsid w:val="00F56E0C"/>
    <w:rsid w:val="00F61A7B"/>
    <w:rsid w:val="00F74F09"/>
    <w:rsid w:val="00F95454"/>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EC543-16AF-4D8B-BF2F-E9BF0F10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secure.ipex.eu/IPEXL-WEB/dossier/document/COM20190416.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cure.ipex.eu/IPEXL-WEB/dossier/document/COM20190417.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2802</ap:Words>
  <ap:Characters>15414</ap:Characters>
  <ap:DocSecurity>4</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2019-09-19T13:48:00.0000000Z</dcterms:created>
  <dcterms:modified xsi:type="dcterms:W3CDTF">2019-09-19T13:48:00.0000000Z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0x010100ACD2BC70113B0540BEE0ED9F01E12D00</vt:lpwstr>
  </property>
</Properties>
</file>