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E774B" w:rsidR="00553A75" w:rsidP="008E5AFF" w:rsidRDefault="00553A75" w14:paraId="27C7B711" w14:textId="6293C9FB">
      <w:pPr>
        <w:spacing w:after="0" w:line="360" w:lineRule="auto"/>
        <w:contextualSpacing/>
        <w:rPr>
          <w:b/>
          <w:szCs w:val="18"/>
          <w:u w:val="single"/>
          <w:lang w:val="nl-NL"/>
        </w:rPr>
      </w:pPr>
      <w:r w:rsidRPr="00EE774B">
        <w:rPr>
          <w:b/>
          <w:szCs w:val="18"/>
          <w:u w:val="single"/>
          <w:lang w:val="nl-NL"/>
        </w:rPr>
        <w:t xml:space="preserve">Verslag Eurogroep en Ecofinraad </w:t>
      </w:r>
      <w:r w:rsidR="005561A5">
        <w:rPr>
          <w:b/>
          <w:szCs w:val="18"/>
          <w:u w:val="single"/>
          <w:lang w:val="nl-NL"/>
        </w:rPr>
        <w:t xml:space="preserve">8 en 9 juli </w:t>
      </w:r>
      <w:r w:rsidRPr="00EE774B">
        <w:rPr>
          <w:b/>
          <w:szCs w:val="18"/>
          <w:u w:val="single"/>
          <w:lang w:val="nl-NL"/>
        </w:rPr>
        <w:t>2019</w:t>
      </w:r>
    </w:p>
    <w:p w:rsidRPr="00EE774B" w:rsidR="00553A75" w:rsidP="008E5AFF" w:rsidRDefault="00553A75" w14:paraId="33C6D254" w14:textId="77777777">
      <w:pPr>
        <w:spacing w:after="0" w:line="360" w:lineRule="auto"/>
        <w:contextualSpacing/>
        <w:rPr>
          <w:rFonts w:cs="Arial"/>
          <w:b/>
          <w:szCs w:val="18"/>
          <w:lang w:val="nl-NL"/>
        </w:rPr>
      </w:pPr>
    </w:p>
    <w:p w:rsidRPr="00AA25C1" w:rsidR="00553A75" w:rsidP="008E5AFF" w:rsidRDefault="00553A75" w14:paraId="6D7FC178" w14:textId="77777777">
      <w:pPr>
        <w:spacing w:after="0" w:line="360" w:lineRule="auto"/>
        <w:contextualSpacing/>
        <w:rPr>
          <w:rFonts w:cs="Arial"/>
          <w:b/>
          <w:szCs w:val="18"/>
          <w:u w:val="single"/>
          <w:lang w:val="nl-NL"/>
        </w:rPr>
      </w:pPr>
      <w:r w:rsidRPr="00AA25C1">
        <w:rPr>
          <w:rFonts w:cs="Arial"/>
          <w:b/>
          <w:szCs w:val="18"/>
          <w:u w:val="single"/>
          <w:lang w:val="nl-NL"/>
        </w:rPr>
        <w:t>Eurogroep</w:t>
      </w:r>
    </w:p>
    <w:p w:rsidRPr="00AA25C1" w:rsidR="00553A75" w:rsidP="008E5AFF" w:rsidRDefault="00553A75" w14:paraId="592E1A71" w14:textId="77777777">
      <w:pPr>
        <w:spacing w:after="0" w:line="360" w:lineRule="auto"/>
        <w:contextualSpacing/>
        <w:rPr>
          <w:rFonts w:cs="Arial"/>
          <w:b/>
          <w:szCs w:val="18"/>
          <w:lang w:val="nl-NL"/>
        </w:rPr>
      </w:pPr>
    </w:p>
    <w:p w:rsidRPr="00AA25C1" w:rsidR="005561A5" w:rsidP="008E5AFF" w:rsidRDefault="005561A5" w14:paraId="5154D88C" w14:textId="77777777">
      <w:pPr>
        <w:spacing w:after="0" w:line="360" w:lineRule="auto"/>
        <w:contextualSpacing/>
        <w:rPr>
          <w:b/>
          <w:bCs/>
          <w:szCs w:val="18"/>
          <w:lang w:val="nl-NL"/>
        </w:rPr>
      </w:pPr>
      <w:proofErr w:type="spellStart"/>
      <w:r w:rsidRPr="00AA25C1">
        <w:rPr>
          <w:b/>
          <w:bCs/>
          <w:szCs w:val="18"/>
          <w:lang w:val="nl-NL"/>
        </w:rPr>
        <w:t>Fiscal</w:t>
      </w:r>
      <w:proofErr w:type="spellEnd"/>
      <w:r w:rsidRPr="00AA25C1">
        <w:rPr>
          <w:b/>
          <w:bCs/>
          <w:szCs w:val="18"/>
          <w:lang w:val="nl-NL"/>
        </w:rPr>
        <w:t xml:space="preserve"> stance Eurozone</w:t>
      </w:r>
    </w:p>
    <w:p w:rsidR="008A326A" w:rsidP="008E5AFF" w:rsidRDefault="008A326A" w14:paraId="718F7D6E" w14:textId="6F16E1B1">
      <w:pPr>
        <w:spacing w:after="0" w:line="360" w:lineRule="auto"/>
        <w:contextualSpacing/>
        <w:rPr>
          <w:bCs/>
          <w:szCs w:val="18"/>
          <w:lang w:val="nl-NL"/>
        </w:rPr>
      </w:pPr>
      <w:r>
        <w:rPr>
          <w:bCs/>
          <w:szCs w:val="18"/>
          <w:lang w:val="nl-NL"/>
        </w:rPr>
        <w:t xml:space="preserve">In de Eurogroep is gesproken over de </w:t>
      </w:r>
      <w:proofErr w:type="spellStart"/>
      <w:r w:rsidRPr="008A326A">
        <w:rPr>
          <w:bCs/>
          <w:i/>
          <w:szCs w:val="18"/>
          <w:lang w:val="nl-NL"/>
        </w:rPr>
        <w:t>fiscal</w:t>
      </w:r>
      <w:proofErr w:type="spellEnd"/>
      <w:r w:rsidRPr="008A326A">
        <w:rPr>
          <w:bCs/>
          <w:i/>
          <w:szCs w:val="18"/>
          <w:lang w:val="nl-NL"/>
        </w:rPr>
        <w:t xml:space="preserve"> stance</w:t>
      </w:r>
      <w:r>
        <w:rPr>
          <w:bCs/>
          <w:szCs w:val="18"/>
          <w:lang w:val="nl-NL"/>
        </w:rPr>
        <w:t xml:space="preserve"> voor de Eurozone. </w:t>
      </w:r>
      <w:r w:rsidRPr="005561A5" w:rsidR="005561A5">
        <w:rPr>
          <w:bCs/>
          <w:szCs w:val="18"/>
          <w:lang w:val="nl-NL"/>
        </w:rPr>
        <w:t xml:space="preserve">Om de </w:t>
      </w:r>
      <w:proofErr w:type="spellStart"/>
      <w:r w:rsidRPr="008A326A" w:rsidR="005561A5">
        <w:rPr>
          <w:bCs/>
          <w:i/>
          <w:szCs w:val="18"/>
          <w:lang w:val="nl-NL"/>
        </w:rPr>
        <w:t>fiscal</w:t>
      </w:r>
      <w:proofErr w:type="spellEnd"/>
      <w:r w:rsidRPr="008A326A" w:rsidR="005561A5">
        <w:rPr>
          <w:bCs/>
          <w:i/>
          <w:szCs w:val="18"/>
          <w:lang w:val="nl-NL"/>
        </w:rPr>
        <w:t xml:space="preserve"> stance</w:t>
      </w:r>
      <w:r w:rsidRPr="005561A5" w:rsidR="005561A5">
        <w:rPr>
          <w:bCs/>
          <w:szCs w:val="18"/>
          <w:lang w:val="nl-NL"/>
        </w:rPr>
        <w:t xml:space="preserve"> vast te stellen, kijkt de Europese Commissie naar de ontwikkeling van het structureel begrotingssaldo voor de eurozone als geheel. Als deze verslechtert, dan is de </w:t>
      </w:r>
      <w:proofErr w:type="spellStart"/>
      <w:r w:rsidRPr="008A326A" w:rsidR="005561A5">
        <w:rPr>
          <w:bCs/>
          <w:i/>
          <w:szCs w:val="18"/>
          <w:lang w:val="nl-NL"/>
        </w:rPr>
        <w:t>fiscal</w:t>
      </w:r>
      <w:proofErr w:type="spellEnd"/>
      <w:r w:rsidRPr="008A326A" w:rsidR="005561A5">
        <w:rPr>
          <w:bCs/>
          <w:i/>
          <w:szCs w:val="18"/>
          <w:lang w:val="nl-NL"/>
        </w:rPr>
        <w:t xml:space="preserve"> stance</w:t>
      </w:r>
      <w:r w:rsidRPr="005561A5" w:rsidR="005561A5">
        <w:rPr>
          <w:bCs/>
          <w:szCs w:val="18"/>
          <w:lang w:val="nl-NL"/>
        </w:rPr>
        <w:t xml:space="preserve"> expansief (een positief effect op de economische groei). Als het structureel saldo verbetert, is de </w:t>
      </w:r>
      <w:proofErr w:type="spellStart"/>
      <w:r w:rsidRPr="008A326A" w:rsidR="005561A5">
        <w:rPr>
          <w:bCs/>
          <w:i/>
          <w:szCs w:val="18"/>
          <w:lang w:val="nl-NL"/>
        </w:rPr>
        <w:t>fiscal</w:t>
      </w:r>
      <w:proofErr w:type="spellEnd"/>
      <w:r w:rsidRPr="008A326A" w:rsidR="005561A5">
        <w:rPr>
          <w:bCs/>
          <w:i/>
          <w:szCs w:val="18"/>
          <w:lang w:val="nl-NL"/>
        </w:rPr>
        <w:t xml:space="preserve"> stance</w:t>
      </w:r>
      <w:r w:rsidRPr="005561A5" w:rsidR="005561A5">
        <w:rPr>
          <w:bCs/>
          <w:szCs w:val="18"/>
          <w:lang w:val="nl-NL"/>
        </w:rPr>
        <w:t xml:space="preserve"> juist restrictief (een negatief effect op de economische groei). </w:t>
      </w:r>
    </w:p>
    <w:p w:rsidR="008A326A" w:rsidP="008E5AFF" w:rsidRDefault="008A326A" w14:paraId="30F55013" w14:textId="77777777">
      <w:pPr>
        <w:spacing w:after="0" w:line="360" w:lineRule="auto"/>
        <w:contextualSpacing/>
        <w:rPr>
          <w:bCs/>
          <w:szCs w:val="18"/>
          <w:lang w:val="nl-NL"/>
        </w:rPr>
      </w:pPr>
    </w:p>
    <w:p w:rsidR="00A926F0" w:rsidP="008E5AFF" w:rsidRDefault="005561A5" w14:paraId="4A4B7F26" w14:textId="608A2C64">
      <w:pPr>
        <w:spacing w:after="0" w:line="360" w:lineRule="auto"/>
        <w:contextualSpacing/>
        <w:rPr>
          <w:bCs/>
          <w:szCs w:val="18"/>
          <w:lang w:val="nl-NL"/>
        </w:rPr>
      </w:pPr>
      <w:r w:rsidRPr="005561A5">
        <w:rPr>
          <w:bCs/>
          <w:szCs w:val="18"/>
          <w:lang w:val="nl-NL"/>
        </w:rPr>
        <w:t xml:space="preserve">De Commissie voorspelt dat de </w:t>
      </w:r>
      <w:proofErr w:type="spellStart"/>
      <w:r w:rsidRPr="008A326A">
        <w:rPr>
          <w:bCs/>
          <w:i/>
          <w:szCs w:val="18"/>
          <w:lang w:val="nl-NL"/>
        </w:rPr>
        <w:t>fiscal</w:t>
      </w:r>
      <w:proofErr w:type="spellEnd"/>
      <w:r w:rsidRPr="008A326A">
        <w:rPr>
          <w:bCs/>
          <w:i/>
          <w:szCs w:val="18"/>
          <w:lang w:val="nl-NL"/>
        </w:rPr>
        <w:t xml:space="preserve"> stance</w:t>
      </w:r>
      <w:r w:rsidRPr="005561A5">
        <w:rPr>
          <w:bCs/>
          <w:szCs w:val="18"/>
          <w:lang w:val="nl-NL"/>
        </w:rPr>
        <w:t xml:space="preserve"> in 2020 expansief zal zijn op basis van haar lenteraming en de begrotingsplannen van de lid</w:t>
      </w:r>
      <w:bookmarkStart w:name="_GoBack" w:id="0"/>
      <w:bookmarkEnd w:id="0"/>
      <w:r w:rsidRPr="005561A5">
        <w:rPr>
          <w:bCs/>
          <w:szCs w:val="18"/>
          <w:lang w:val="nl-NL"/>
        </w:rPr>
        <w:t>staten</w:t>
      </w:r>
      <w:r w:rsidR="00B160D8">
        <w:rPr>
          <w:bCs/>
          <w:szCs w:val="18"/>
          <w:lang w:val="nl-NL"/>
        </w:rPr>
        <w:t xml:space="preserve"> en</w:t>
      </w:r>
      <w:r w:rsidRPr="005561A5">
        <w:rPr>
          <w:bCs/>
          <w:szCs w:val="18"/>
          <w:lang w:val="nl-NL"/>
        </w:rPr>
        <w:t xml:space="preserve"> oordeelt dat een neutrale </w:t>
      </w:r>
      <w:proofErr w:type="spellStart"/>
      <w:r w:rsidRPr="008A326A">
        <w:rPr>
          <w:bCs/>
          <w:i/>
          <w:szCs w:val="18"/>
          <w:lang w:val="nl-NL"/>
        </w:rPr>
        <w:t>fiscal</w:t>
      </w:r>
      <w:proofErr w:type="spellEnd"/>
      <w:r w:rsidRPr="008A326A">
        <w:rPr>
          <w:bCs/>
          <w:i/>
          <w:szCs w:val="18"/>
          <w:lang w:val="nl-NL"/>
        </w:rPr>
        <w:t xml:space="preserve"> stance</w:t>
      </w:r>
      <w:r w:rsidRPr="005561A5">
        <w:rPr>
          <w:bCs/>
          <w:szCs w:val="18"/>
          <w:lang w:val="nl-NL"/>
        </w:rPr>
        <w:t xml:space="preserve"> </w:t>
      </w:r>
      <w:r w:rsidR="00B160D8">
        <w:rPr>
          <w:bCs/>
          <w:szCs w:val="18"/>
          <w:lang w:val="nl-NL"/>
        </w:rPr>
        <w:t>voor dat jaar passend zou zijn</w:t>
      </w:r>
      <w:r w:rsidRPr="005561A5">
        <w:rPr>
          <w:bCs/>
          <w:szCs w:val="18"/>
          <w:lang w:val="nl-NL"/>
        </w:rPr>
        <w:t xml:space="preserve">. Dit kan volgens de Commissie worden bereikt door een gedifferentieerd begrotingsbeleid, waarbij lidstaten met relatief hoge schuldenniveaus hun structurele begrotingssaldo verbeteren en schuld verlagen, terwijl lidstaten met begrotingsruimte deze ruimte benutten door extra te investeren. </w:t>
      </w:r>
      <w:r w:rsidR="008A326A">
        <w:rPr>
          <w:bCs/>
          <w:szCs w:val="18"/>
          <w:lang w:val="nl-NL"/>
        </w:rPr>
        <w:t xml:space="preserve">Ook de </w:t>
      </w:r>
      <w:r w:rsidRPr="005561A5" w:rsidR="008A326A">
        <w:rPr>
          <w:bCs/>
          <w:szCs w:val="18"/>
          <w:lang w:val="nl-NL"/>
        </w:rPr>
        <w:t xml:space="preserve">European </w:t>
      </w:r>
      <w:proofErr w:type="spellStart"/>
      <w:r w:rsidRPr="005561A5" w:rsidR="008A326A">
        <w:rPr>
          <w:bCs/>
          <w:szCs w:val="18"/>
          <w:lang w:val="nl-NL"/>
        </w:rPr>
        <w:t>Fiscal</w:t>
      </w:r>
      <w:proofErr w:type="spellEnd"/>
      <w:r w:rsidRPr="005561A5" w:rsidR="008A326A">
        <w:rPr>
          <w:bCs/>
          <w:szCs w:val="18"/>
          <w:lang w:val="nl-NL"/>
        </w:rPr>
        <w:t xml:space="preserve"> Board (EFB)</w:t>
      </w:r>
      <w:r w:rsidRPr="008A326A" w:rsidR="008A326A">
        <w:rPr>
          <w:bCs/>
          <w:szCs w:val="18"/>
          <w:lang w:val="nl-NL"/>
        </w:rPr>
        <w:t xml:space="preserve"> </w:t>
      </w:r>
      <w:r w:rsidRPr="005561A5" w:rsidR="008A326A">
        <w:rPr>
          <w:bCs/>
          <w:szCs w:val="18"/>
          <w:lang w:val="nl-NL"/>
        </w:rPr>
        <w:t xml:space="preserve">komt tot dezelfde conclusie als de Commissie dat een neutrale </w:t>
      </w:r>
      <w:proofErr w:type="spellStart"/>
      <w:r w:rsidRPr="008A326A" w:rsidR="008A326A">
        <w:rPr>
          <w:bCs/>
          <w:i/>
          <w:szCs w:val="18"/>
          <w:lang w:val="nl-NL"/>
        </w:rPr>
        <w:t>fiscal</w:t>
      </w:r>
      <w:proofErr w:type="spellEnd"/>
      <w:r w:rsidRPr="008A326A" w:rsidR="008A326A">
        <w:rPr>
          <w:bCs/>
          <w:i/>
          <w:szCs w:val="18"/>
          <w:lang w:val="nl-NL"/>
        </w:rPr>
        <w:t xml:space="preserve"> stance</w:t>
      </w:r>
      <w:r w:rsidRPr="005561A5" w:rsidR="008A326A">
        <w:rPr>
          <w:bCs/>
          <w:szCs w:val="18"/>
          <w:lang w:val="nl-NL"/>
        </w:rPr>
        <w:t xml:space="preserve"> passend zou zijn</w:t>
      </w:r>
      <w:r w:rsidR="008A326A">
        <w:rPr>
          <w:bCs/>
          <w:szCs w:val="18"/>
          <w:lang w:val="nl-NL"/>
        </w:rPr>
        <w:t xml:space="preserve">, zoals ook beschreven staat in een paper van de EFB over de </w:t>
      </w:r>
      <w:proofErr w:type="spellStart"/>
      <w:r w:rsidRPr="008A326A" w:rsidR="008A326A">
        <w:rPr>
          <w:bCs/>
          <w:i/>
          <w:szCs w:val="18"/>
          <w:lang w:val="nl-NL"/>
        </w:rPr>
        <w:t>fiscal</w:t>
      </w:r>
      <w:proofErr w:type="spellEnd"/>
      <w:r w:rsidRPr="008A326A" w:rsidR="008A326A">
        <w:rPr>
          <w:bCs/>
          <w:i/>
          <w:szCs w:val="18"/>
          <w:lang w:val="nl-NL"/>
        </w:rPr>
        <w:t xml:space="preserve"> stance</w:t>
      </w:r>
      <w:r w:rsidR="008A326A">
        <w:rPr>
          <w:bCs/>
          <w:szCs w:val="18"/>
          <w:lang w:val="nl-NL"/>
        </w:rPr>
        <w:t xml:space="preserve"> </w:t>
      </w:r>
      <w:r w:rsidR="00FC0E68">
        <w:rPr>
          <w:bCs/>
          <w:szCs w:val="18"/>
          <w:lang w:val="nl-NL"/>
        </w:rPr>
        <w:t xml:space="preserve">voor de Eurozone </w:t>
      </w:r>
      <w:r w:rsidR="008A326A">
        <w:rPr>
          <w:bCs/>
          <w:szCs w:val="18"/>
          <w:lang w:val="nl-NL"/>
        </w:rPr>
        <w:t xml:space="preserve">dat zij 25 juni jl. </w:t>
      </w:r>
      <w:r w:rsidR="005B0E47">
        <w:rPr>
          <w:bCs/>
          <w:szCs w:val="18"/>
          <w:lang w:val="nl-NL"/>
        </w:rPr>
        <w:t>heeft</w:t>
      </w:r>
      <w:r w:rsidR="008A326A">
        <w:rPr>
          <w:bCs/>
          <w:szCs w:val="18"/>
          <w:lang w:val="nl-NL"/>
        </w:rPr>
        <w:t xml:space="preserve"> gepubliceerd.</w:t>
      </w:r>
      <w:r w:rsidR="008A326A">
        <w:rPr>
          <w:rStyle w:val="Voetnootmarkering"/>
          <w:bCs/>
          <w:szCs w:val="18"/>
          <w:lang w:val="nl-NL"/>
        </w:rPr>
        <w:footnoteReference w:id="1"/>
      </w:r>
    </w:p>
    <w:p w:rsidR="00A926F0" w:rsidP="008E5AFF" w:rsidRDefault="00A926F0" w14:paraId="3B41E00C" w14:textId="3A51261E">
      <w:pPr>
        <w:spacing w:after="0" w:line="360" w:lineRule="auto"/>
        <w:contextualSpacing/>
        <w:rPr>
          <w:bCs/>
          <w:szCs w:val="18"/>
          <w:lang w:val="nl-NL"/>
        </w:rPr>
      </w:pPr>
    </w:p>
    <w:p w:rsidR="00B4336A" w:rsidP="008E5AFF" w:rsidRDefault="00B4336A" w14:paraId="52039D0A" w14:textId="200C819A">
      <w:pPr>
        <w:spacing w:after="0" w:line="360" w:lineRule="auto"/>
        <w:contextualSpacing/>
        <w:rPr>
          <w:bCs/>
          <w:szCs w:val="18"/>
          <w:lang w:val="nl-NL"/>
        </w:rPr>
      </w:pPr>
      <w:r>
        <w:rPr>
          <w:bCs/>
          <w:szCs w:val="18"/>
          <w:lang w:val="nl-NL"/>
        </w:rPr>
        <w:t>Enkele lidstaten onderstreepten dat r</w:t>
      </w:r>
      <w:r w:rsidRPr="005561A5">
        <w:rPr>
          <w:bCs/>
          <w:szCs w:val="18"/>
          <w:lang w:val="nl-NL"/>
        </w:rPr>
        <w:t xml:space="preserve">elatief hoge schuldenniveaus </w:t>
      </w:r>
      <w:r>
        <w:rPr>
          <w:bCs/>
          <w:szCs w:val="18"/>
          <w:lang w:val="nl-NL"/>
        </w:rPr>
        <w:t>dienen te</w:t>
      </w:r>
      <w:r w:rsidRPr="005561A5">
        <w:rPr>
          <w:bCs/>
          <w:szCs w:val="18"/>
          <w:lang w:val="nl-NL"/>
        </w:rPr>
        <w:t xml:space="preserve"> </w:t>
      </w:r>
      <w:r>
        <w:rPr>
          <w:bCs/>
          <w:szCs w:val="18"/>
          <w:lang w:val="nl-NL"/>
        </w:rPr>
        <w:t xml:space="preserve">worden </w:t>
      </w:r>
      <w:r w:rsidRPr="005561A5">
        <w:rPr>
          <w:bCs/>
          <w:szCs w:val="18"/>
          <w:lang w:val="nl-NL"/>
        </w:rPr>
        <w:t>verl</w:t>
      </w:r>
      <w:r>
        <w:rPr>
          <w:bCs/>
          <w:szCs w:val="18"/>
          <w:lang w:val="nl-NL"/>
        </w:rPr>
        <w:t>aagd</w:t>
      </w:r>
      <w:r w:rsidRPr="005561A5">
        <w:rPr>
          <w:bCs/>
          <w:szCs w:val="18"/>
          <w:lang w:val="nl-NL"/>
        </w:rPr>
        <w:t xml:space="preserve">, terwijl lidstaten met begrotingsruimte deze ruimte </w:t>
      </w:r>
      <w:r>
        <w:rPr>
          <w:bCs/>
          <w:szCs w:val="18"/>
          <w:lang w:val="nl-NL"/>
        </w:rPr>
        <w:t>dienen te b</w:t>
      </w:r>
      <w:r w:rsidRPr="005561A5">
        <w:rPr>
          <w:bCs/>
          <w:szCs w:val="18"/>
          <w:lang w:val="nl-NL"/>
        </w:rPr>
        <w:t>enutten door extra te investeren.</w:t>
      </w:r>
      <w:r w:rsidR="008A0E62">
        <w:rPr>
          <w:bCs/>
          <w:szCs w:val="18"/>
          <w:lang w:val="nl-NL"/>
        </w:rPr>
        <w:t xml:space="preserve"> </w:t>
      </w:r>
      <w:r>
        <w:rPr>
          <w:bCs/>
          <w:szCs w:val="18"/>
          <w:lang w:val="nl-NL"/>
        </w:rPr>
        <w:t>Daarnaast benoemde enkele lidstaten dat het van belang is dat lidstaten structurele hervormingen doorvoeren en dat investeringen vooral gebruikt moeten worden voor duurzame doeleinden zoals innovatie, infrastructuur en onderzoek.</w:t>
      </w:r>
      <w:r w:rsidR="008A0E62">
        <w:rPr>
          <w:bCs/>
          <w:szCs w:val="18"/>
          <w:lang w:val="nl-NL"/>
        </w:rPr>
        <w:t xml:space="preserve"> </w:t>
      </w:r>
    </w:p>
    <w:p w:rsidRPr="005561A5" w:rsidR="00A926F0" w:rsidP="008E5AFF" w:rsidRDefault="00A926F0" w14:paraId="6CF41701" w14:textId="77777777">
      <w:pPr>
        <w:spacing w:after="0" w:line="360" w:lineRule="auto"/>
        <w:contextualSpacing/>
        <w:rPr>
          <w:b/>
          <w:bCs/>
          <w:szCs w:val="18"/>
          <w:lang w:val="nl-NL"/>
        </w:rPr>
      </w:pPr>
    </w:p>
    <w:p w:rsidRPr="005561A5" w:rsidR="005561A5" w:rsidP="008E5AFF" w:rsidRDefault="005561A5" w14:paraId="1C0789C6" w14:textId="3C0B43C6">
      <w:pPr>
        <w:spacing w:after="0" w:line="360" w:lineRule="auto"/>
        <w:contextualSpacing/>
        <w:rPr>
          <w:b/>
          <w:bCs/>
          <w:szCs w:val="18"/>
          <w:lang w:val="nl-NL"/>
        </w:rPr>
      </w:pPr>
      <w:r w:rsidRPr="005561A5">
        <w:rPr>
          <w:b/>
          <w:bCs/>
          <w:szCs w:val="18"/>
          <w:lang w:val="nl-NL"/>
        </w:rPr>
        <w:t>Griekenland</w:t>
      </w:r>
      <w:r w:rsidR="002B6A69">
        <w:rPr>
          <w:b/>
          <w:bCs/>
          <w:szCs w:val="18"/>
          <w:lang w:val="nl-NL"/>
        </w:rPr>
        <w:t>:</w:t>
      </w:r>
      <w:r w:rsidRPr="005561A5">
        <w:rPr>
          <w:b/>
          <w:bCs/>
          <w:szCs w:val="18"/>
          <w:lang w:val="nl-NL"/>
        </w:rPr>
        <w:t xml:space="preserve"> derde </w:t>
      </w:r>
      <w:r w:rsidRPr="005561A5" w:rsidR="002B6A69">
        <w:rPr>
          <w:b/>
          <w:bCs/>
          <w:szCs w:val="18"/>
          <w:lang w:val="nl-NL"/>
        </w:rPr>
        <w:t xml:space="preserve">rapport </w:t>
      </w:r>
      <w:r w:rsidRPr="005561A5">
        <w:rPr>
          <w:b/>
          <w:bCs/>
          <w:szCs w:val="18"/>
          <w:lang w:val="nl-NL"/>
        </w:rPr>
        <w:t xml:space="preserve">verscherpt toezicht </w:t>
      </w:r>
    </w:p>
    <w:p w:rsidRPr="00072C6F" w:rsidR="00072C6F" w:rsidP="008E5AFF" w:rsidRDefault="00FC0E68" w14:paraId="600BB8AE" w14:textId="6786D9D9">
      <w:pPr>
        <w:spacing w:after="0" w:line="360" w:lineRule="auto"/>
        <w:contextualSpacing/>
        <w:rPr>
          <w:bCs/>
          <w:szCs w:val="18"/>
          <w:lang w:val="nl-NL"/>
        </w:rPr>
      </w:pPr>
      <w:r w:rsidRPr="00FC0E68">
        <w:rPr>
          <w:bCs/>
          <w:szCs w:val="18"/>
          <w:lang w:val="nl-NL"/>
        </w:rPr>
        <w:t>In de Eurogroep is gesproken over de</w:t>
      </w:r>
      <w:r>
        <w:rPr>
          <w:bCs/>
          <w:szCs w:val="18"/>
          <w:lang w:val="nl-NL"/>
        </w:rPr>
        <w:t xml:space="preserve"> het derde </w:t>
      </w:r>
      <w:proofErr w:type="spellStart"/>
      <w:r w:rsidRPr="00FC0E68">
        <w:rPr>
          <w:bCs/>
          <w:i/>
          <w:szCs w:val="18"/>
          <w:lang w:val="nl-NL"/>
        </w:rPr>
        <w:t>Enhanced</w:t>
      </w:r>
      <w:proofErr w:type="spellEnd"/>
      <w:r w:rsidRPr="00FC0E68">
        <w:rPr>
          <w:bCs/>
          <w:i/>
          <w:szCs w:val="18"/>
          <w:lang w:val="nl-NL"/>
        </w:rPr>
        <w:t xml:space="preserve"> Surveillance</w:t>
      </w:r>
      <w:r>
        <w:rPr>
          <w:bCs/>
          <w:szCs w:val="18"/>
          <w:lang w:val="nl-NL"/>
        </w:rPr>
        <w:t xml:space="preserve"> rapport over Griekenland dat op 5 juni jl. is gepubliceerd.</w:t>
      </w:r>
      <w:r>
        <w:rPr>
          <w:rStyle w:val="Voetnootmarkering"/>
          <w:bCs/>
          <w:szCs w:val="18"/>
          <w:lang w:val="nl-NL"/>
        </w:rPr>
        <w:footnoteReference w:id="2"/>
      </w:r>
      <w:r>
        <w:rPr>
          <w:bCs/>
          <w:szCs w:val="18"/>
          <w:lang w:val="nl-NL"/>
        </w:rPr>
        <w:t xml:space="preserve"> Sinds het einde van het ESM-</w:t>
      </w:r>
      <w:r w:rsidRPr="005561A5">
        <w:rPr>
          <w:bCs/>
          <w:szCs w:val="18"/>
          <w:lang w:val="nl-NL"/>
        </w:rPr>
        <w:t>programma, 20 augustus 2018, is op Griekenland tot en met eind 2022 een verscherpte vorm van post-prog</w:t>
      </w:r>
      <w:r>
        <w:rPr>
          <w:bCs/>
          <w:szCs w:val="18"/>
          <w:lang w:val="nl-NL"/>
        </w:rPr>
        <w:t xml:space="preserve">ramma toezicht van toepassing, </w:t>
      </w:r>
      <w:proofErr w:type="spellStart"/>
      <w:r w:rsidRPr="00FC0E68">
        <w:rPr>
          <w:bCs/>
          <w:i/>
          <w:szCs w:val="18"/>
          <w:lang w:val="nl-NL"/>
        </w:rPr>
        <w:t>Enhanced</w:t>
      </w:r>
      <w:proofErr w:type="spellEnd"/>
      <w:r w:rsidRPr="00FC0E68">
        <w:rPr>
          <w:bCs/>
          <w:i/>
          <w:szCs w:val="18"/>
          <w:lang w:val="nl-NL"/>
        </w:rPr>
        <w:t xml:space="preserve"> Surveillance</w:t>
      </w:r>
      <w:r>
        <w:rPr>
          <w:bCs/>
          <w:szCs w:val="18"/>
          <w:lang w:val="nl-NL"/>
        </w:rPr>
        <w:t xml:space="preserve">. </w:t>
      </w:r>
      <w:r w:rsidRPr="005561A5">
        <w:rPr>
          <w:bCs/>
          <w:szCs w:val="18"/>
          <w:lang w:val="nl-NL"/>
        </w:rPr>
        <w:t>Verscherpt toezicht biedt de mogelijkheid tot het monitoren van economische en beleidsontwikkelingen met als uiteindelijk doel een duurzaam economisch herstel. De</w:t>
      </w:r>
      <w:r>
        <w:rPr>
          <w:bCs/>
          <w:szCs w:val="18"/>
          <w:lang w:val="nl-NL"/>
        </w:rPr>
        <w:t xml:space="preserve"> derde missie in het kader van </w:t>
      </w:r>
      <w:proofErr w:type="spellStart"/>
      <w:r w:rsidRPr="00FC0E68">
        <w:rPr>
          <w:bCs/>
          <w:i/>
          <w:szCs w:val="18"/>
          <w:lang w:val="nl-NL"/>
        </w:rPr>
        <w:t>Enhanced</w:t>
      </w:r>
      <w:proofErr w:type="spellEnd"/>
      <w:r w:rsidRPr="00FC0E68">
        <w:rPr>
          <w:bCs/>
          <w:i/>
          <w:szCs w:val="18"/>
          <w:lang w:val="nl-NL"/>
        </w:rPr>
        <w:t xml:space="preserve"> Surveillance</w:t>
      </w:r>
      <w:r w:rsidRPr="005561A5">
        <w:rPr>
          <w:bCs/>
          <w:szCs w:val="18"/>
          <w:lang w:val="nl-NL"/>
        </w:rPr>
        <w:t xml:space="preserve">, waaraan naast de Commissie en de </w:t>
      </w:r>
      <w:r w:rsidR="00CF6AC8">
        <w:rPr>
          <w:bCs/>
          <w:szCs w:val="18"/>
          <w:lang w:val="nl-NL"/>
        </w:rPr>
        <w:t>Europese Centrale Bank (</w:t>
      </w:r>
      <w:r w:rsidRPr="005561A5">
        <w:rPr>
          <w:bCs/>
          <w:szCs w:val="18"/>
          <w:lang w:val="nl-NL"/>
        </w:rPr>
        <w:t>ECB</w:t>
      </w:r>
      <w:r w:rsidR="00CF6AC8">
        <w:rPr>
          <w:bCs/>
          <w:szCs w:val="18"/>
          <w:lang w:val="nl-NL"/>
        </w:rPr>
        <w:t>)</w:t>
      </w:r>
      <w:r w:rsidRPr="005561A5">
        <w:rPr>
          <w:bCs/>
          <w:szCs w:val="18"/>
          <w:lang w:val="nl-NL"/>
        </w:rPr>
        <w:t>, ook het</w:t>
      </w:r>
      <w:r w:rsidR="00CF6AC8">
        <w:rPr>
          <w:bCs/>
          <w:szCs w:val="18"/>
          <w:lang w:val="nl-NL"/>
        </w:rPr>
        <w:t xml:space="preserve"> Europees Stabiliteitsmechanisme (</w:t>
      </w:r>
      <w:r w:rsidRPr="005561A5">
        <w:rPr>
          <w:bCs/>
          <w:szCs w:val="18"/>
          <w:lang w:val="nl-NL"/>
        </w:rPr>
        <w:t>ESM</w:t>
      </w:r>
      <w:r w:rsidR="00CF6AC8">
        <w:rPr>
          <w:bCs/>
          <w:szCs w:val="18"/>
          <w:lang w:val="nl-NL"/>
        </w:rPr>
        <w:t>)</w:t>
      </w:r>
      <w:r w:rsidRPr="005561A5">
        <w:rPr>
          <w:bCs/>
          <w:szCs w:val="18"/>
          <w:lang w:val="nl-NL"/>
        </w:rPr>
        <w:t xml:space="preserve"> en het </w:t>
      </w:r>
      <w:r w:rsidR="00CF6AC8">
        <w:rPr>
          <w:bCs/>
          <w:szCs w:val="18"/>
          <w:lang w:val="nl-NL"/>
        </w:rPr>
        <w:t xml:space="preserve">Internationaal Monetair Fonds (IMF) </w:t>
      </w:r>
      <w:r w:rsidRPr="005561A5">
        <w:rPr>
          <w:bCs/>
          <w:szCs w:val="18"/>
          <w:lang w:val="nl-NL"/>
        </w:rPr>
        <w:t xml:space="preserve">in het kader van hun eigen </w:t>
      </w:r>
      <w:r w:rsidR="00B160D8">
        <w:rPr>
          <w:bCs/>
          <w:szCs w:val="18"/>
          <w:lang w:val="nl-NL"/>
        </w:rPr>
        <w:t>monitor</w:t>
      </w:r>
      <w:r w:rsidRPr="005561A5">
        <w:rPr>
          <w:bCs/>
          <w:szCs w:val="18"/>
          <w:lang w:val="nl-NL"/>
        </w:rPr>
        <w:t xml:space="preserve">activiteiten deelnamen, heeft plaatsgevonden van 6 tot 8 mei </w:t>
      </w:r>
      <w:r>
        <w:rPr>
          <w:bCs/>
          <w:szCs w:val="18"/>
          <w:lang w:val="nl-NL"/>
        </w:rPr>
        <w:t xml:space="preserve">jl. </w:t>
      </w:r>
    </w:p>
    <w:p w:rsidRPr="005561A5" w:rsidR="005561A5" w:rsidP="008E5AFF" w:rsidRDefault="005561A5" w14:paraId="2DE43B96" w14:textId="77777777">
      <w:pPr>
        <w:spacing w:after="0" w:line="360" w:lineRule="auto"/>
        <w:contextualSpacing/>
        <w:rPr>
          <w:bCs/>
          <w:szCs w:val="18"/>
          <w:lang w:val="nl-NL"/>
        </w:rPr>
      </w:pPr>
    </w:p>
    <w:p w:rsidR="005561A5" w:rsidP="008E5AFF" w:rsidRDefault="005561A5" w14:paraId="026A4809" w14:textId="7CE71D81">
      <w:pPr>
        <w:spacing w:after="0" w:line="360" w:lineRule="auto"/>
        <w:contextualSpacing/>
        <w:rPr>
          <w:bCs/>
          <w:szCs w:val="18"/>
          <w:lang w:val="nl-NL"/>
        </w:rPr>
      </w:pPr>
      <w:r w:rsidRPr="005561A5">
        <w:rPr>
          <w:bCs/>
          <w:szCs w:val="18"/>
          <w:lang w:val="nl-NL"/>
        </w:rPr>
        <w:lastRenderedPageBreak/>
        <w:t xml:space="preserve">De instellingen </w:t>
      </w:r>
      <w:r w:rsidR="00072C6F">
        <w:rPr>
          <w:bCs/>
          <w:szCs w:val="18"/>
          <w:lang w:val="nl-NL"/>
        </w:rPr>
        <w:t>hebben aangegeven</w:t>
      </w:r>
      <w:r w:rsidRPr="005561A5">
        <w:rPr>
          <w:bCs/>
          <w:szCs w:val="18"/>
          <w:lang w:val="nl-NL"/>
        </w:rPr>
        <w:t xml:space="preserve"> dat </w:t>
      </w:r>
      <w:r w:rsidR="00072C6F">
        <w:rPr>
          <w:bCs/>
          <w:szCs w:val="18"/>
          <w:lang w:val="nl-NL"/>
        </w:rPr>
        <w:t xml:space="preserve">het </w:t>
      </w:r>
      <w:r w:rsidRPr="005561A5">
        <w:rPr>
          <w:bCs/>
          <w:szCs w:val="18"/>
          <w:lang w:val="nl-NL"/>
        </w:rPr>
        <w:t xml:space="preserve">economisch herstel </w:t>
      </w:r>
      <w:r w:rsidR="00072C6F">
        <w:rPr>
          <w:bCs/>
          <w:szCs w:val="18"/>
          <w:lang w:val="nl-NL"/>
        </w:rPr>
        <w:t xml:space="preserve">in Griekenland </w:t>
      </w:r>
      <w:r w:rsidR="008B0BBB">
        <w:rPr>
          <w:bCs/>
          <w:szCs w:val="18"/>
          <w:lang w:val="nl-NL"/>
        </w:rPr>
        <w:t>zich naar verwachting</w:t>
      </w:r>
      <w:r w:rsidRPr="005561A5">
        <w:rPr>
          <w:bCs/>
          <w:szCs w:val="18"/>
          <w:lang w:val="nl-NL"/>
        </w:rPr>
        <w:t xml:space="preserve"> zal voortzetten gedurende 2019. Groei wordt voor de komende jaren geraamd rond 2%, voornamelijk gedreven door binnenlandse vraag. De arbeidsmarkt toont ook tekenen van herstel, hoewel het werkloosheidspercentage in de periode van oktober 2018 tot februari 2019 rond 18,6% is blijven hangen. </w:t>
      </w:r>
      <w:r w:rsidR="00B32BF5">
        <w:rPr>
          <w:bCs/>
          <w:szCs w:val="18"/>
          <w:lang w:val="nl-NL"/>
        </w:rPr>
        <w:t xml:space="preserve">Het handhaven van een primair begrotingsoverschot </w:t>
      </w:r>
      <w:r w:rsidRPr="005561A5" w:rsidR="00B32BF5">
        <w:rPr>
          <w:bCs/>
          <w:szCs w:val="18"/>
          <w:lang w:val="nl-NL"/>
        </w:rPr>
        <w:t>van 3,5% BBP</w:t>
      </w:r>
      <w:r w:rsidRPr="00B32BF5" w:rsidR="00B32BF5">
        <w:rPr>
          <w:bCs/>
          <w:szCs w:val="18"/>
          <w:lang w:val="nl-NL"/>
        </w:rPr>
        <w:t xml:space="preserve"> </w:t>
      </w:r>
      <w:r w:rsidRPr="005561A5" w:rsidR="00B32BF5">
        <w:rPr>
          <w:bCs/>
          <w:szCs w:val="18"/>
          <w:lang w:val="nl-NL"/>
        </w:rPr>
        <w:t>tot en met 2022</w:t>
      </w:r>
      <w:r w:rsidR="00B32BF5">
        <w:rPr>
          <w:bCs/>
          <w:szCs w:val="18"/>
          <w:lang w:val="nl-NL"/>
        </w:rPr>
        <w:t xml:space="preserve"> </w:t>
      </w:r>
      <w:r w:rsidR="00051C8F">
        <w:rPr>
          <w:bCs/>
          <w:szCs w:val="18"/>
          <w:lang w:val="nl-NL"/>
        </w:rPr>
        <w:t>is</w:t>
      </w:r>
      <w:r w:rsidR="00B32BF5">
        <w:rPr>
          <w:bCs/>
          <w:szCs w:val="18"/>
          <w:lang w:val="nl-NL"/>
        </w:rPr>
        <w:t xml:space="preserve"> </w:t>
      </w:r>
      <w:r w:rsidRPr="005561A5" w:rsidR="00B32BF5">
        <w:rPr>
          <w:bCs/>
          <w:szCs w:val="18"/>
          <w:lang w:val="nl-NL"/>
        </w:rPr>
        <w:t xml:space="preserve">volgens de instellingen </w:t>
      </w:r>
      <w:r w:rsidRPr="005561A5" w:rsidR="00051C8F">
        <w:rPr>
          <w:bCs/>
          <w:szCs w:val="18"/>
          <w:lang w:val="nl-NL"/>
        </w:rPr>
        <w:t>in 2018</w:t>
      </w:r>
      <w:r w:rsidR="00051C8F">
        <w:rPr>
          <w:bCs/>
          <w:szCs w:val="18"/>
          <w:lang w:val="nl-NL"/>
        </w:rPr>
        <w:t xml:space="preserve"> </w:t>
      </w:r>
      <w:r w:rsidRPr="005561A5" w:rsidR="00B32BF5">
        <w:rPr>
          <w:bCs/>
          <w:szCs w:val="18"/>
          <w:lang w:val="nl-NL"/>
        </w:rPr>
        <w:t xml:space="preserve">bereikt, met een primair </w:t>
      </w:r>
      <w:r w:rsidR="00B32BF5">
        <w:rPr>
          <w:bCs/>
          <w:szCs w:val="18"/>
          <w:lang w:val="nl-NL"/>
        </w:rPr>
        <w:t xml:space="preserve">begrotingsoverschot </w:t>
      </w:r>
      <w:r w:rsidRPr="005561A5" w:rsidR="00B32BF5">
        <w:rPr>
          <w:bCs/>
          <w:szCs w:val="18"/>
          <w:lang w:val="nl-NL"/>
        </w:rPr>
        <w:t>van 4,3%.</w:t>
      </w:r>
      <w:r w:rsidR="008B0BBB">
        <w:rPr>
          <w:bCs/>
          <w:szCs w:val="18"/>
          <w:lang w:val="nl-NL"/>
        </w:rPr>
        <w:t xml:space="preserve"> </w:t>
      </w:r>
      <w:r w:rsidR="00051C8F">
        <w:rPr>
          <w:bCs/>
          <w:szCs w:val="18"/>
          <w:lang w:val="nl-NL"/>
        </w:rPr>
        <w:t>De Commissie gaf aan uit te kijken naar de samenwerking met de volgende regering en dat met veel aandacht zal worden gekeken naar de begroting voor 2020. V</w:t>
      </w:r>
      <w:r w:rsidR="008B0BBB">
        <w:rPr>
          <w:bCs/>
          <w:szCs w:val="18"/>
          <w:lang w:val="nl-NL"/>
        </w:rPr>
        <w:t>an belang daarbij is dat Griekenland zich aan de gemaakte afspraken houdt, zoals overeengekomen tijdens de Eurogroep van juni 2018</w:t>
      </w:r>
      <w:r w:rsidR="005B0E47">
        <w:rPr>
          <w:bCs/>
          <w:szCs w:val="18"/>
          <w:lang w:val="nl-NL"/>
        </w:rPr>
        <w:t>.</w:t>
      </w:r>
      <w:r w:rsidR="008B0BBB">
        <w:rPr>
          <w:rStyle w:val="Voetnootmarkering"/>
          <w:bCs/>
          <w:szCs w:val="18"/>
          <w:lang w:val="nl-NL"/>
        </w:rPr>
        <w:footnoteReference w:id="3"/>
      </w:r>
    </w:p>
    <w:p w:rsidRPr="005561A5" w:rsidR="008B0BBB" w:rsidP="008E5AFF" w:rsidRDefault="008B0BBB" w14:paraId="45882903" w14:textId="0ED6B3E7">
      <w:pPr>
        <w:spacing w:after="0" w:line="360" w:lineRule="auto"/>
        <w:contextualSpacing/>
        <w:rPr>
          <w:b/>
          <w:bCs/>
          <w:szCs w:val="18"/>
          <w:lang w:val="nl-NL"/>
        </w:rPr>
      </w:pPr>
    </w:p>
    <w:p w:rsidRPr="009B61B2" w:rsidR="005561A5" w:rsidP="008E5AFF" w:rsidRDefault="005561A5" w14:paraId="3F0BD657" w14:textId="77777777">
      <w:pPr>
        <w:spacing w:after="0" w:line="360" w:lineRule="auto"/>
        <w:contextualSpacing/>
        <w:rPr>
          <w:b/>
          <w:bCs/>
          <w:szCs w:val="18"/>
          <w:lang w:val="nl-NL"/>
        </w:rPr>
      </w:pPr>
      <w:r w:rsidRPr="009B61B2">
        <w:rPr>
          <w:b/>
          <w:bCs/>
          <w:szCs w:val="18"/>
          <w:lang w:val="nl-NL"/>
        </w:rPr>
        <w:t>Spanje - Post-Programma Surveillance</w:t>
      </w:r>
    </w:p>
    <w:p w:rsidR="00CF6AC8" w:rsidP="008E5AFF" w:rsidRDefault="005561A5" w14:paraId="7A6FF406" w14:textId="12B1ED25">
      <w:pPr>
        <w:spacing w:after="0" w:line="360" w:lineRule="auto"/>
        <w:contextualSpacing/>
        <w:rPr>
          <w:bCs/>
          <w:szCs w:val="18"/>
          <w:lang w:val="nl-NL"/>
        </w:rPr>
      </w:pPr>
      <w:r w:rsidRPr="005561A5">
        <w:rPr>
          <w:bCs/>
          <w:szCs w:val="18"/>
          <w:lang w:val="nl-NL"/>
        </w:rPr>
        <w:t xml:space="preserve">De Eurogroep </w:t>
      </w:r>
      <w:r w:rsidR="00746776">
        <w:rPr>
          <w:bCs/>
          <w:szCs w:val="18"/>
          <w:lang w:val="nl-NL"/>
        </w:rPr>
        <w:t>heeft</w:t>
      </w:r>
      <w:r w:rsidRPr="005561A5">
        <w:rPr>
          <w:bCs/>
          <w:szCs w:val="18"/>
          <w:lang w:val="nl-NL"/>
        </w:rPr>
        <w:t xml:space="preserve"> een terugkoppeling ontvangen over de elfde missie in het kader van Post-Programma Surveillance (PPS) naar Spanje</w:t>
      </w:r>
      <w:r w:rsidR="00CF6AC8">
        <w:rPr>
          <w:bCs/>
          <w:szCs w:val="18"/>
          <w:lang w:val="nl-NL"/>
        </w:rPr>
        <w:t xml:space="preserve"> door de Commissie, in samenwerking met de ECB</w:t>
      </w:r>
      <w:r w:rsidRPr="005561A5" w:rsidR="00CF6AC8">
        <w:rPr>
          <w:bCs/>
          <w:szCs w:val="18"/>
          <w:lang w:val="nl-NL"/>
        </w:rPr>
        <w:t>, die plaatsvond op 7 en 8 mei jl</w:t>
      </w:r>
      <w:r w:rsidR="00CF6AC8">
        <w:rPr>
          <w:bCs/>
          <w:szCs w:val="18"/>
          <w:lang w:val="nl-NL"/>
        </w:rPr>
        <w:t>.</w:t>
      </w:r>
      <w:r w:rsidR="0055700B">
        <w:rPr>
          <w:rStyle w:val="Voetnootmarkering"/>
          <w:bCs/>
          <w:szCs w:val="18"/>
          <w:lang w:val="nl-NL"/>
        </w:rPr>
        <w:footnoteReference w:id="4"/>
      </w:r>
      <w:r w:rsidRPr="005561A5">
        <w:rPr>
          <w:bCs/>
          <w:szCs w:val="18"/>
          <w:lang w:val="nl-NL"/>
        </w:rPr>
        <w:t xml:space="preserve"> Het doel van PPS is om de economische, budgettaire en financiële ontwikkelingen van een land dat financiële steun heeft ontvangen te monitoren, om de terugbetaalcapaciteit te kunnen beoordelen. </w:t>
      </w:r>
    </w:p>
    <w:p w:rsidR="00914C2B" w:rsidP="008E5AFF" w:rsidRDefault="00914C2B" w14:paraId="7D8C6212" w14:textId="77777777">
      <w:pPr>
        <w:spacing w:after="0" w:line="360" w:lineRule="auto"/>
        <w:contextualSpacing/>
        <w:rPr>
          <w:bCs/>
          <w:szCs w:val="18"/>
          <w:lang w:val="nl-NL"/>
        </w:rPr>
      </w:pPr>
    </w:p>
    <w:p w:rsidRPr="005561A5" w:rsidR="009B61B2" w:rsidP="008E5AFF" w:rsidRDefault="00CF6AC8" w14:paraId="5F19BE58" w14:textId="7F3C8248">
      <w:pPr>
        <w:spacing w:after="0" w:line="360" w:lineRule="auto"/>
        <w:contextualSpacing/>
        <w:rPr>
          <w:bCs/>
          <w:szCs w:val="18"/>
          <w:lang w:val="nl-NL"/>
        </w:rPr>
      </w:pPr>
      <w:r>
        <w:rPr>
          <w:bCs/>
          <w:szCs w:val="18"/>
          <w:lang w:val="nl-NL"/>
        </w:rPr>
        <w:t xml:space="preserve">De bevindingen waren </w:t>
      </w:r>
      <w:r w:rsidRPr="005561A5" w:rsidR="005561A5">
        <w:rPr>
          <w:bCs/>
          <w:szCs w:val="18"/>
          <w:lang w:val="nl-NL"/>
        </w:rPr>
        <w:t xml:space="preserve">overwegend positief. De Spaanse economie </w:t>
      </w:r>
      <w:r>
        <w:rPr>
          <w:bCs/>
          <w:szCs w:val="18"/>
          <w:lang w:val="nl-NL"/>
        </w:rPr>
        <w:t>laat</w:t>
      </w:r>
      <w:r w:rsidRPr="005561A5" w:rsidR="005561A5">
        <w:rPr>
          <w:bCs/>
          <w:szCs w:val="18"/>
          <w:lang w:val="nl-NL"/>
        </w:rPr>
        <w:t xml:space="preserve"> een robuuste groei zien, banken verhoogden hun kapitaalbuffers, en het aandeel </w:t>
      </w:r>
      <w:r w:rsidR="00646879">
        <w:rPr>
          <w:bCs/>
          <w:szCs w:val="18"/>
          <w:lang w:val="nl-NL"/>
        </w:rPr>
        <w:t>niet-presterende leningen (</w:t>
      </w:r>
      <w:r w:rsidRPr="00646879" w:rsidR="00646879">
        <w:rPr>
          <w:bCs/>
          <w:i/>
          <w:szCs w:val="18"/>
          <w:lang w:val="nl-NL"/>
        </w:rPr>
        <w:t>non-</w:t>
      </w:r>
      <w:proofErr w:type="spellStart"/>
      <w:r w:rsidRPr="00646879" w:rsidR="00646879">
        <w:rPr>
          <w:bCs/>
          <w:i/>
          <w:szCs w:val="18"/>
          <w:lang w:val="nl-NL"/>
        </w:rPr>
        <w:t>performing</w:t>
      </w:r>
      <w:proofErr w:type="spellEnd"/>
      <w:r w:rsidRPr="00646879" w:rsidR="00646879">
        <w:rPr>
          <w:bCs/>
          <w:i/>
          <w:szCs w:val="18"/>
          <w:lang w:val="nl-NL"/>
        </w:rPr>
        <w:t xml:space="preserve"> </w:t>
      </w:r>
      <w:proofErr w:type="spellStart"/>
      <w:r w:rsidRPr="00646879" w:rsidR="00646879">
        <w:rPr>
          <w:bCs/>
          <w:i/>
          <w:szCs w:val="18"/>
          <w:lang w:val="nl-NL"/>
        </w:rPr>
        <w:t>loans</w:t>
      </w:r>
      <w:proofErr w:type="spellEnd"/>
      <w:r w:rsidR="00646879">
        <w:rPr>
          <w:bCs/>
          <w:szCs w:val="18"/>
          <w:lang w:val="nl-NL"/>
        </w:rPr>
        <w:t xml:space="preserve">; </w:t>
      </w:r>
      <w:proofErr w:type="spellStart"/>
      <w:r w:rsidRPr="005561A5" w:rsidR="005561A5">
        <w:rPr>
          <w:bCs/>
          <w:szCs w:val="18"/>
          <w:lang w:val="nl-NL"/>
        </w:rPr>
        <w:t>NPL’s</w:t>
      </w:r>
      <w:proofErr w:type="spellEnd"/>
      <w:r w:rsidRPr="005561A5" w:rsidR="005561A5">
        <w:rPr>
          <w:bCs/>
          <w:szCs w:val="18"/>
          <w:lang w:val="nl-NL"/>
        </w:rPr>
        <w:t xml:space="preserve">) daalde. De hoge private en publieke schuldlast en de hoge werkloosheid </w:t>
      </w:r>
      <w:r>
        <w:rPr>
          <w:bCs/>
          <w:szCs w:val="18"/>
          <w:lang w:val="nl-NL"/>
        </w:rPr>
        <w:t>worden</w:t>
      </w:r>
      <w:r w:rsidRPr="005561A5" w:rsidR="005561A5">
        <w:rPr>
          <w:bCs/>
          <w:szCs w:val="18"/>
          <w:lang w:val="nl-NL"/>
        </w:rPr>
        <w:t xml:space="preserve"> genoemd als kwetsbaarheden</w:t>
      </w:r>
      <w:r>
        <w:rPr>
          <w:bCs/>
          <w:szCs w:val="18"/>
          <w:lang w:val="nl-NL"/>
        </w:rPr>
        <w:t>. Ook wijzen de i</w:t>
      </w:r>
      <w:r w:rsidRPr="005561A5" w:rsidR="005561A5">
        <w:rPr>
          <w:bCs/>
          <w:szCs w:val="18"/>
          <w:lang w:val="nl-NL"/>
        </w:rPr>
        <w:t>nstellingen er</w:t>
      </w:r>
      <w:r>
        <w:rPr>
          <w:bCs/>
          <w:szCs w:val="18"/>
          <w:lang w:val="nl-NL"/>
        </w:rPr>
        <w:t xml:space="preserve">op </w:t>
      </w:r>
      <w:r w:rsidRPr="005561A5" w:rsidR="005561A5">
        <w:rPr>
          <w:bCs/>
          <w:szCs w:val="18"/>
          <w:lang w:val="nl-NL"/>
        </w:rPr>
        <w:t>dat Spanje zij</w:t>
      </w:r>
      <w:r>
        <w:rPr>
          <w:bCs/>
          <w:szCs w:val="18"/>
          <w:lang w:val="nl-NL"/>
        </w:rPr>
        <w:t>n groeipotentieel moet verhogen</w:t>
      </w:r>
      <w:r w:rsidRPr="005561A5" w:rsidR="005561A5">
        <w:rPr>
          <w:bCs/>
          <w:szCs w:val="18"/>
          <w:lang w:val="nl-NL"/>
        </w:rPr>
        <w:t xml:space="preserve"> en de gunstige economische omstandigheden moet aangrijpen om </w:t>
      </w:r>
      <w:r w:rsidR="00B160D8">
        <w:rPr>
          <w:bCs/>
          <w:szCs w:val="18"/>
          <w:lang w:val="nl-NL"/>
        </w:rPr>
        <w:t>het begrotingstekort verder te verlagen.</w:t>
      </w:r>
    </w:p>
    <w:p w:rsidRPr="005561A5" w:rsidR="005561A5" w:rsidP="008E5AFF" w:rsidRDefault="005561A5" w14:paraId="74E4CF16" w14:textId="77777777">
      <w:pPr>
        <w:spacing w:after="0" w:line="360" w:lineRule="auto"/>
        <w:contextualSpacing/>
        <w:rPr>
          <w:b/>
          <w:bCs/>
          <w:szCs w:val="18"/>
          <w:lang w:val="nl-NL"/>
        </w:rPr>
      </w:pPr>
    </w:p>
    <w:p w:rsidRPr="005561A5" w:rsidR="00C7042B" w:rsidP="008E5AFF" w:rsidRDefault="00C7042B" w14:paraId="6987DACE" w14:textId="77777777">
      <w:pPr>
        <w:spacing w:after="0" w:line="360" w:lineRule="auto"/>
        <w:contextualSpacing/>
        <w:rPr>
          <w:b/>
          <w:bCs/>
          <w:szCs w:val="18"/>
          <w:lang w:val="nl-NL"/>
        </w:rPr>
      </w:pPr>
      <w:r w:rsidRPr="005561A5">
        <w:rPr>
          <w:b/>
          <w:bCs/>
          <w:szCs w:val="18"/>
          <w:lang w:val="nl-NL"/>
        </w:rPr>
        <w:t>Internationale rol van de euro</w:t>
      </w:r>
    </w:p>
    <w:p w:rsidR="00DD440A" w:rsidP="008E5AFF" w:rsidRDefault="00C7042B" w14:paraId="255E2113" w14:textId="704C6B0F">
      <w:pPr>
        <w:spacing w:after="0" w:line="360" w:lineRule="auto"/>
        <w:contextualSpacing/>
        <w:rPr>
          <w:bCs/>
          <w:szCs w:val="18"/>
          <w:lang w:val="nl-NL"/>
        </w:rPr>
      </w:pPr>
      <w:r>
        <w:rPr>
          <w:bCs/>
          <w:szCs w:val="18"/>
          <w:lang w:val="nl-NL"/>
        </w:rPr>
        <w:t>De E</w:t>
      </w:r>
      <w:r w:rsidRPr="005561A5">
        <w:rPr>
          <w:bCs/>
          <w:szCs w:val="18"/>
          <w:lang w:val="nl-NL"/>
        </w:rPr>
        <w:t xml:space="preserve">urogroep </w:t>
      </w:r>
      <w:r>
        <w:rPr>
          <w:bCs/>
          <w:szCs w:val="18"/>
          <w:lang w:val="nl-NL"/>
        </w:rPr>
        <w:t>heeft</w:t>
      </w:r>
      <w:r w:rsidRPr="005561A5">
        <w:rPr>
          <w:bCs/>
          <w:szCs w:val="18"/>
          <w:lang w:val="nl-NL"/>
        </w:rPr>
        <w:t xml:space="preserve"> van gedachten </w:t>
      </w:r>
      <w:r>
        <w:rPr>
          <w:bCs/>
          <w:szCs w:val="18"/>
          <w:lang w:val="nl-NL"/>
        </w:rPr>
        <w:t>gewisseld</w:t>
      </w:r>
      <w:r w:rsidRPr="005561A5">
        <w:rPr>
          <w:bCs/>
          <w:szCs w:val="18"/>
          <w:lang w:val="nl-NL"/>
        </w:rPr>
        <w:t xml:space="preserve"> over het vergroten van de internationale rol van de euro. Op 5 december jl. heeft de Commissie een mededeling gedaan over het versterken van de internationale rol van de eu</w:t>
      </w:r>
      <w:r>
        <w:rPr>
          <w:bCs/>
          <w:szCs w:val="18"/>
          <w:lang w:val="nl-NL"/>
        </w:rPr>
        <w:t>ro.</w:t>
      </w:r>
      <w:r w:rsidR="0055700B">
        <w:rPr>
          <w:rStyle w:val="Voetnootmarkering"/>
          <w:bCs/>
          <w:szCs w:val="18"/>
          <w:lang w:val="nl-NL"/>
        </w:rPr>
        <w:footnoteReference w:id="5"/>
      </w:r>
      <w:r>
        <w:rPr>
          <w:bCs/>
          <w:szCs w:val="18"/>
          <w:lang w:val="nl-NL"/>
        </w:rPr>
        <w:t xml:space="preserve"> Nu de euro 20 jaar bestaat</w:t>
      </w:r>
      <w:r w:rsidRPr="005561A5">
        <w:rPr>
          <w:bCs/>
          <w:szCs w:val="18"/>
          <w:lang w:val="nl-NL"/>
        </w:rPr>
        <w:t xml:space="preserve"> is </w:t>
      </w:r>
      <w:r>
        <w:rPr>
          <w:bCs/>
          <w:szCs w:val="18"/>
          <w:lang w:val="nl-NL"/>
        </w:rPr>
        <w:t xml:space="preserve">volgens de Commissie </w:t>
      </w:r>
      <w:r w:rsidRPr="005561A5">
        <w:rPr>
          <w:bCs/>
          <w:szCs w:val="18"/>
          <w:lang w:val="nl-NL"/>
        </w:rPr>
        <w:t>de tijd aangebroken om het volledige pote</w:t>
      </w:r>
      <w:r>
        <w:rPr>
          <w:bCs/>
          <w:szCs w:val="18"/>
          <w:lang w:val="nl-NL"/>
        </w:rPr>
        <w:t xml:space="preserve">ntieel van de euro te benutten, </w:t>
      </w:r>
      <w:r w:rsidRPr="005561A5">
        <w:rPr>
          <w:bCs/>
          <w:szCs w:val="18"/>
          <w:lang w:val="nl-NL"/>
        </w:rPr>
        <w:t xml:space="preserve">door haar rol in het mondiale betalingsverkeer te vergroten. Omdat de keuze voor het gebruik van een munt uiteindelijk een keuze </w:t>
      </w:r>
      <w:r w:rsidR="004B24BB">
        <w:rPr>
          <w:bCs/>
          <w:szCs w:val="18"/>
          <w:lang w:val="nl-NL"/>
        </w:rPr>
        <w:t xml:space="preserve">is </w:t>
      </w:r>
      <w:r w:rsidRPr="005561A5">
        <w:rPr>
          <w:bCs/>
          <w:szCs w:val="18"/>
          <w:lang w:val="nl-NL"/>
        </w:rPr>
        <w:t xml:space="preserve">van marktpartijen benadrukt de Commissie het belang van gedegen nationaal begrotings- en economisch beleid, een stabiele financiële sector en </w:t>
      </w:r>
      <w:r w:rsidR="005B0E47">
        <w:rPr>
          <w:bCs/>
          <w:szCs w:val="18"/>
          <w:lang w:val="nl-NL"/>
        </w:rPr>
        <w:t>het voldoen aan</w:t>
      </w:r>
      <w:r w:rsidRPr="005561A5">
        <w:rPr>
          <w:bCs/>
          <w:szCs w:val="18"/>
          <w:lang w:val="nl-NL"/>
        </w:rPr>
        <w:t xml:space="preserve"> </w:t>
      </w:r>
      <w:r w:rsidR="005B0E47">
        <w:rPr>
          <w:bCs/>
          <w:szCs w:val="18"/>
          <w:lang w:val="nl-NL"/>
        </w:rPr>
        <w:t xml:space="preserve">de </w:t>
      </w:r>
      <w:r w:rsidRPr="005561A5">
        <w:rPr>
          <w:bCs/>
          <w:szCs w:val="18"/>
          <w:lang w:val="nl-NL"/>
        </w:rPr>
        <w:t xml:space="preserve">Europese begrotingsregels. Het voltooien van de </w:t>
      </w:r>
      <w:r>
        <w:rPr>
          <w:bCs/>
          <w:szCs w:val="18"/>
          <w:lang w:val="nl-NL"/>
        </w:rPr>
        <w:t>Economische en Monetaire Unie (</w:t>
      </w:r>
      <w:r w:rsidRPr="005561A5">
        <w:rPr>
          <w:bCs/>
          <w:szCs w:val="18"/>
          <w:lang w:val="nl-NL"/>
        </w:rPr>
        <w:t>EMU</w:t>
      </w:r>
      <w:r>
        <w:rPr>
          <w:bCs/>
          <w:szCs w:val="18"/>
          <w:lang w:val="nl-NL"/>
        </w:rPr>
        <w:t>)</w:t>
      </w:r>
      <w:r w:rsidRPr="005561A5">
        <w:rPr>
          <w:bCs/>
          <w:szCs w:val="18"/>
          <w:lang w:val="nl-NL"/>
        </w:rPr>
        <w:t>, inclusief de bankenunie en kapitaalmarktunie</w:t>
      </w:r>
      <w:r>
        <w:rPr>
          <w:bCs/>
          <w:szCs w:val="18"/>
          <w:lang w:val="nl-NL"/>
        </w:rPr>
        <w:t>,</w:t>
      </w:r>
      <w:r w:rsidRPr="005561A5">
        <w:rPr>
          <w:bCs/>
          <w:szCs w:val="18"/>
          <w:lang w:val="nl-NL"/>
        </w:rPr>
        <w:t xml:space="preserve"> kan daarbij ook de aantrekkelijkheid van de munt vergroten. </w:t>
      </w:r>
    </w:p>
    <w:p w:rsidR="00092219" w:rsidP="008E5AFF" w:rsidRDefault="00092219" w14:paraId="56FF3FE6" w14:textId="0492956C">
      <w:pPr>
        <w:spacing w:after="0" w:line="360" w:lineRule="auto"/>
        <w:contextualSpacing/>
        <w:rPr>
          <w:bCs/>
          <w:szCs w:val="18"/>
          <w:lang w:val="nl-NL"/>
        </w:rPr>
      </w:pPr>
    </w:p>
    <w:p w:rsidRPr="00302F7B" w:rsidR="004B24BB" w:rsidP="008E5AFF" w:rsidRDefault="004B24BB" w14:paraId="6991C351" w14:textId="57D85C64">
      <w:pPr>
        <w:spacing w:after="0" w:line="360" w:lineRule="auto"/>
        <w:contextualSpacing/>
        <w:rPr>
          <w:bCs/>
          <w:szCs w:val="18"/>
          <w:lang w:val="nl-NL"/>
        </w:rPr>
      </w:pPr>
      <w:r>
        <w:rPr>
          <w:bCs/>
          <w:szCs w:val="18"/>
          <w:lang w:val="nl-NL"/>
        </w:rPr>
        <w:lastRenderedPageBreak/>
        <w:t xml:space="preserve">In het kader van de mededeling van 5 december jl. </w:t>
      </w:r>
      <w:r w:rsidR="005B0E47">
        <w:rPr>
          <w:bCs/>
          <w:szCs w:val="18"/>
          <w:lang w:val="nl-NL"/>
        </w:rPr>
        <w:t>is door de Commissie</w:t>
      </w:r>
      <w:r>
        <w:rPr>
          <w:bCs/>
          <w:szCs w:val="18"/>
          <w:lang w:val="nl-NL"/>
        </w:rPr>
        <w:t xml:space="preserve"> een consultatie </w:t>
      </w:r>
      <w:r w:rsidR="005B0E47">
        <w:rPr>
          <w:bCs/>
          <w:szCs w:val="18"/>
          <w:lang w:val="nl-NL"/>
        </w:rPr>
        <w:t>gestart</w:t>
      </w:r>
      <w:r>
        <w:rPr>
          <w:bCs/>
          <w:szCs w:val="18"/>
          <w:lang w:val="nl-NL"/>
        </w:rPr>
        <w:t xml:space="preserve"> naar de rol van de euro in strategische sectoren (energie, la</w:t>
      </w:r>
      <w:r w:rsidR="005B0E47">
        <w:rPr>
          <w:bCs/>
          <w:szCs w:val="18"/>
          <w:lang w:val="nl-NL"/>
        </w:rPr>
        <w:t>ndbouwproducten, transport en r</w:t>
      </w:r>
      <w:r>
        <w:rPr>
          <w:bCs/>
          <w:szCs w:val="18"/>
          <w:lang w:val="nl-NL"/>
        </w:rPr>
        <w:t xml:space="preserve">uwe materialen). </w:t>
      </w:r>
      <w:r w:rsidRPr="00302F7B" w:rsidR="00302F7B">
        <w:rPr>
          <w:bCs/>
          <w:szCs w:val="18"/>
          <w:lang w:val="nl-NL"/>
        </w:rPr>
        <w:t>De consultatieresultaten onderstrepen volgens de Commissie in algemene zin dat (i) er brede steun is voor het versterken van de internationale rol van de euro, (ii) de euro de enige kandidaat is met alle noodzakelijke kenmerken van een mondiale munt die marktparticipanten kunnen gebruiken als alternatief voor de dollar, (iii) er mogelijkheden liggen in de energiesector, en dan met name voor gas</w:t>
      </w:r>
      <w:r w:rsidR="005B0E47">
        <w:rPr>
          <w:bCs/>
          <w:szCs w:val="18"/>
          <w:lang w:val="nl-NL"/>
        </w:rPr>
        <w:t>sector</w:t>
      </w:r>
      <w:r w:rsidRPr="00302F7B" w:rsidR="00302F7B">
        <w:rPr>
          <w:bCs/>
          <w:szCs w:val="18"/>
          <w:lang w:val="nl-NL"/>
        </w:rPr>
        <w:t xml:space="preserve"> </w:t>
      </w:r>
      <w:r w:rsidR="005B0E47">
        <w:rPr>
          <w:bCs/>
          <w:szCs w:val="18"/>
          <w:lang w:val="nl-NL"/>
        </w:rPr>
        <w:t xml:space="preserve">voor een grotere rol voor de euro, </w:t>
      </w:r>
      <w:r w:rsidRPr="00302F7B" w:rsidR="00302F7B">
        <w:rPr>
          <w:bCs/>
          <w:szCs w:val="18"/>
          <w:lang w:val="nl-NL"/>
        </w:rPr>
        <w:t>en (iv) de EU dankzij de euro haar economische soevereiniteit kan bestendigen en zo kan bijdragen aan voordelen voor consumenten en bedrijven alsook het vergroten van de financiële stabiliteit.</w:t>
      </w:r>
    </w:p>
    <w:p w:rsidR="00302F7B" w:rsidP="008E5AFF" w:rsidRDefault="00302F7B" w14:paraId="29413809" w14:textId="77777777">
      <w:pPr>
        <w:spacing w:after="0" w:line="360" w:lineRule="auto"/>
        <w:contextualSpacing/>
        <w:rPr>
          <w:bCs/>
          <w:szCs w:val="18"/>
          <w:lang w:val="nl-NL"/>
        </w:rPr>
      </w:pPr>
    </w:p>
    <w:p w:rsidR="00C7042B" w:rsidP="008E5AFF" w:rsidRDefault="008E0267" w14:paraId="7A65696D" w14:textId="225D3AAD">
      <w:pPr>
        <w:spacing w:after="0" w:line="360" w:lineRule="auto"/>
        <w:contextualSpacing/>
        <w:rPr>
          <w:bCs/>
          <w:szCs w:val="18"/>
          <w:lang w:val="nl-NL"/>
        </w:rPr>
      </w:pPr>
      <w:r>
        <w:rPr>
          <w:bCs/>
          <w:szCs w:val="18"/>
          <w:lang w:val="nl-NL"/>
        </w:rPr>
        <w:t xml:space="preserve">Enkele lidstaten gaven aan </w:t>
      </w:r>
      <w:r w:rsidR="00DD440A">
        <w:rPr>
          <w:bCs/>
          <w:szCs w:val="18"/>
          <w:lang w:val="nl-NL"/>
        </w:rPr>
        <w:t>het van belang te vinden een</w:t>
      </w:r>
      <w:r>
        <w:rPr>
          <w:bCs/>
          <w:szCs w:val="18"/>
          <w:lang w:val="nl-NL"/>
        </w:rPr>
        <w:t xml:space="preserve"> discussie </w:t>
      </w:r>
      <w:r w:rsidR="00DD440A">
        <w:rPr>
          <w:bCs/>
          <w:szCs w:val="18"/>
          <w:lang w:val="nl-NL"/>
        </w:rPr>
        <w:t xml:space="preserve">te hebben </w:t>
      </w:r>
      <w:r>
        <w:rPr>
          <w:bCs/>
          <w:szCs w:val="18"/>
          <w:lang w:val="nl-NL"/>
        </w:rPr>
        <w:t>over de internationale ro</w:t>
      </w:r>
      <w:r w:rsidR="00302F7B">
        <w:rPr>
          <w:bCs/>
          <w:szCs w:val="18"/>
          <w:lang w:val="nl-NL"/>
        </w:rPr>
        <w:t xml:space="preserve">l </w:t>
      </w:r>
      <w:r>
        <w:rPr>
          <w:bCs/>
          <w:szCs w:val="18"/>
          <w:lang w:val="nl-NL"/>
        </w:rPr>
        <w:t xml:space="preserve">van de euro </w:t>
      </w:r>
      <w:r w:rsidR="00DD440A">
        <w:rPr>
          <w:bCs/>
          <w:szCs w:val="18"/>
          <w:lang w:val="nl-NL"/>
        </w:rPr>
        <w:t>en te onderzoeken hoe</w:t>
      </w:r>
      <w:r>
        <w:rPr>
          <w:bCs/>
          <w:szCs w:val="18"/>
          <w:lang w:val="nl-NL"/>
        </w:rPr>
        <w:t xml:space="preserve"> deze rol versterkt kan worden. Verdere refereerde enkele lidstaten aan de mogelijkheden </w:t>
      </w:r>
      <w:r w:rsidR="00DD440A">
        <w:rPr>
          <w:bCs/>
          <w:szCs w:val="18"/>
          <w:lang w:val="nl-NL"/>
        </w:rPr>
        <w:t xml:space="preserve">voor de euro </w:t>
      </w:r>
      <w:r>
        <w:rPr>
          <w:bCs/>
          <w:szCs w:val="18"/>
          <w:lang w:val="nl-NL"/>
        </w:rPr>
        <w:t>in de energiesector.</w:t>
      </w:r>
      <w:r w:rsidR="00DD440A">
        <w:rPr>
          <w:bCs/>
          <w:szCs w:val="18"/>
          <w:lang w:val="nl-NL"/>
        </w:rPr>
        <w:t xml:space="preserve"> Tot slot waren er lidstaten die aangeven dat het goed is ontwikkelingen van cryptovaluta goed te blijven volgen.</w:t>
      </w:r>
    </w:p>
    <w:p w:rsidR="00375C7A" w:rsidP="008E5AFF" w:rsidRDefault="00375C7A" w14:paraId="53E2C2CA" w14:textId="77777777">
      <w:pPr>
        <w:spacing w:after="0" w:line="360" w:lineRule="auto"/>
        <w:contextualSpacing/>
        <w:rPr>
          <w:bCs/>
          <w:szCs w:val="18"/>
          <w:u w:val="single"/>
          <w:lang w:val="nl-NL"/>
        </w:rPr>
      </w:pPr>
    </w:p>
    <w:p w:rsidRPr="00375C7A" w:rsidR="005561A5" w:rsidP="008E5AFF" w:rsidRDefault="00DD440A" w14:paraId="08E96A85" w14:textId="1733DFB2">
      <w:pPr>
        <w:spacing w:after="0" w:line="360" w:lineRule="auto"/>
        <w:contextualSpacing/>
        <w:rPr>
          <w:b/>
          <w:bCs/>
          <w:szCs w:val="18"/>
          <w:lang w:val="nl-NL"/>
        </w:rPr>
      </w:pPr>
      <w:r w:rsidRPr="00375C7A">
        <w:rPr>
          <w:b/>
          <w:bCs/>
          <w:szCs w:val="18"/>
          <w:lang w:val="nl-NL"/>
        </w:rPr>
        <w:t xml:space="preserve">SGP </w:t>
      </w:r>
      <w:r w:rsidR="002B6A69">
        <w:rPr>
          <w:b/>
          <w:bCs/>
          <w:szCs w:val="18"/>
          <w:lang w:val="nl-NL"/>
        </w:rPr>
        <w:t>i</w:t>
      </w:r>
      <w:r w:rsidRPr="00375C7A">
        <w:rPr>
          <w:b/>
          <w:bCs/>
          <w:szCs w:val="18"/>
          <w:lang w:val="nl-NL"/>
        </w:rPr>
        <w:t>mplementatie</w:t>
      </w:r>
    </w:p>
    <w:p w:rsidR="008A0E62" w:rsidP="008E5AFF" w:rsidRDefault="008A0E62" w14:paraId="3E97A7D5" w14:textId="0ED21B74">
      <w:pPr>
        <w:spacing w:after="0" w:line="360" w:lineRule="auto"/>
        <w:contextualSpacing/>
        <w:rPr>
          <w:bCs/>
          <w:szCs w:val="18"/>
          <w:lang w:val="nl-NL"/>
        </w:rPr>
      </w:pPr>
      <w:r w:rsidRPr="005561A5">
        <w:rPr>
          <w:bCs/>
          <w:szCs w:val="18"/>
          <w:lang w:val="nl-NL"/>
        </w:rPr>
        <w:t xml:space="preserve">De Eurogroep </w:t>
      </w:r>
      <w:r>
        <w:rPr>
          <w:bCs/>
          <w:szCs w:val="18"/>
          <w:lang w:val="nl-NL"/>
        </w:rPr>
        <w:t xml:space="preserve">heeft van Italië een mondelinge toelichting gekregen op de recent aangekondigde aanpassingen aan de Italiaanse begroting van dit jaar. Daarnaast heeft de Commissie een toelichting gegeven op haar beslissing om geen </w:t>
      </w:r>
      <w:proofErr w:type="spellStart"/>
      <w:r>
        <w:rPr>
          <w:bCs/>
          <w:szCs w:val="18"/>
          <w:lang w:val="nl-NL"/>
        </w:rPr>
        <w:t>buitensporigtekortprocedure</w:t>
      </w:r>
      <w:proofErr w:type="spellEnd"/>
      <w:r>
        <w:rPr>
          <w:bCs/>
          <w:szCs w:val="18"/>
          <w:lang w:val="nl-NL"/>
        </w:rPr>
        <w:t xml:space="preserve"> voor Italië te openen in het kader </w:t>
      </w:r>
      <w:r w:rsidRPr="005561A5">
        <w:rPr>
          <w:bCs/>
          <w:szCs w:val="18"/>
          <w:lang w:val="nl-NL"/>
        </w:rPr>
        <w:t>van het St</w:t>
      </w:r>
      <w:r>
        <w:rPr>
          <w:bCs/>
          <w:szCs w:val="18"/>
          <w:lang w:val="nl-NL"/>
        </w:rPr>
        <w:t>abiliteits- en Groeipact (SGP).</w:t>
      </w:r>
      <w:r w:rsidR="00E962DD">
        <w:rPr>
          <w:rStyle w:val="Voetnootmarkering"/>
          <w:bCs/>
          <w:szCs w:val="18"/>
          <w:lang w:val="nl-NL"/>
        </w:rPr>
        <w:footnoteReference w:id="6"/>
      </w:r>
      <w:r>
        <w:rPr>
          <w:bCs/>
          <w:szCs w:val="18"/>
          <w:lang w:val="nl-NL"/>
        </w:rPr>
        <w:t xml:space="preserve"> </w:t>
      </w:r>
      <w:r w:rsidR="0078043F">
        <w:rPr>
          <w:bCs/>
          <w:szCs w:val="18"/>
          <w:lang w:val="nl-NL"/>
        </w:rPr>
        <w:t xml:space="preserve">Uw Kamer is op 5 juli jl. geïnformeerd over de kabinetspositie inzake het besluit van de Commissie om geen </w:t>
      </w:r>
      <w:proofErr w:type="spellStart"/>
      <w:r w:rsidR="0078043F">
        <w:rPr>
          <w:bCs/>
          <w:szCs w:val="18"/>
          <w:lang w:val="nl-NL"/>
        </w:rPr>
        <w:t>buitensporigtekortprocedure</w:t>
      </w:r>
      <w:proofErr w:type="spellEnd"/>
      <w:r w:rsidR="0078043F">
        <w:rPr>
          <w:bCs/>
          <w:szCs w:val="18"/>
          <w:lang w:val="nl-NL"/>
        </w:rPr>
        <w:t xml:space="preserve"> voor Italië te openen.</w:t>
      </w:r>
      <w:r w:rsidR="0078043F">
        <w:rPr>
          <w:rStyle w:val="Voetnootmarkering"/>
          <w:bCs/>
          <w:szCs w:val="18"/>
          <w:lang w:val="nl-NL"/>
        </w:rPr>
        <w:footnoteReference w:id="7"/>
      </w:r>
      <w:r w:rsidR="0078043F">
        <w:rPr>
          <w:bCs/>
          <w:szCs w:val="18"/>
          <w:lang w:val="nl-NL"/>
        </w:rPr>
        <w:t xml:space="preserve"> </w:t>
      </w:r>
      <w:r>
        <w:rPr>
          <w:bCs/>
          <w:szCs w:val="18"/>
          <w:lang w:val="nl-NL"/>
        </w:rPr>
        <w:t>Meerdere lidstaten gaven aan de gepresenteerde aanpassingen van Italië te verwelkomen. Sommige lidstaten</w:t>
      </w:r>
      <w:r w:rsidR="0078043F">
        <w:rPr>
          <w:bCs/>
          <w:szCs w:val="18"/>
          <w:lang w:val="nl-NL"/>
        </w:rPr>
        <w:t xml:space="preserve"> </w:t>
      </w:r>
      <w:r>
        <w:rPr>
          <w:bCs/>
          <w:szCs w:val="18"/>
          <w:lang w:val="nl-NL"/>
        </w:rPr>
        <w:t xml:space="preserve">vroegen zich af of dit voldoende zal zijn om eenzelfde discussie bij de volgende beoordeling in het najaar van 2019 te voorkomen en dat het daarnaast vooral van belang is dat Italië structurele hervormingen doorvoert om </w:t>
      </w:r>
      <w:r w:rsidR="00B160D8">
        <w:rPr>
          <w:bCs/>
          <w:szCs w:val="18"/>
          <w:lang w:val="nl-NL"/>
        </w:rPr>
        <w:t>economische</w:t>
      </w:r>
      <w:r>
        <w:rPr>
          <w:bCs/>
          <w:szCs w:val="18"/>
          <w:lang w:val="nl-NL"/>
        </w:rPr>
        <w:t xml:space="preserve"> groei te genereren. </w:t>
      </w:r>
      <w:r w:rsidR="0078043F">
        <w:rPr>
          <w:bCs/>
          <w:szCs w:val="18"/>
          <w:lang w:val="nl-NL"/>
        </w:rPr>
        <w:t xml:space="preserve">Nederland heeft – in lijn met de brief van 5 juli jl. – de aanpassingen verwelkomt en aangegeven </w:t>
      </w:r>
      <w:r>
        <w:rPr>
          <w:bCs/>
          <w:szCs w:val="18"/>
          <w:lang w:val="nl-NL"/>
        </w:rPr>
        <w:t>het positief te vinden dat de Commissie deze keer uit is gegaan van eigen berekeningen en voorafgaand aan de Ecofinraad een document heeft gepubliceerd met een toelichting op haar besluit.</w:t>
      </w:r>
      <w:r>
        <w:rPr>
          <w:rStyle w:val="Voetnootmarkering"/>
          <w:bCs/>
          <w:szCs w:val="18"/>
          <w:lang w:val="nl-NL"/>
        </w:rPr>
        <w:footnoteReference w:id="8"/>
      </w:r>
      <w:r>
        <w:rPr>
          <w:bCs/>
          <w:szCs w:val="18"/>
          <w:lang w:val="nl-NL"/>
        </w:rPr>
        <w:t xml:space="preserve"> </w:t>
      </w:r>
      <w:r w:rsidR="0078043F">
        <w:rPr>
          <w:bCs/>
          <w:szCs w:val="18"/>
          <w:lang w:val="nl-NL"/>
        </w:rPr>
        <w:t>Nederland heeft tot slot op het belang van structurele hervormingen en budgettaire consolidatie met het oog op de boordeling in het najaar 2019 gewezen.</w:t>
      </w:r>
    </w:p>
    <w:p w:rsidR="00375C7A" w:rsidP="008E5AFF" w:rsidRDefault="00375C7A" w14:paraId="5BC9C9FD" w14:textId="77777777">
      <w:pPr>
        <w:spacing w:after="0" w:line="360" w:lineRule="auto"/>
        <w:contextualSpacing/>
        <w:rPr>
          <w:szCs w:val="18"/>
          <w:lang w:val="nl-NL"/>
        </w:rPr>
      </w:pPr>
    </w:p>
    <w:p w:rsidRPr="00375C7A" w:rsidR="00375C7A" w:rsidP="008E5AFF" w:rsidRDefault="00375C7A" w14:paraId="6756E1EC" w14:textId="77777777">
      <w:pPr>
        <w:spacing w:after="0" w:line="360" w:lineRule="auto"/>
        <w:contextualSpacing/>
        <w:rPr>
          <w:b/>
          <w:szCs w:val="18"/>
          <w:lang w:val="nl-NL"/>
        </w:rPr>
      </w:pPr>
      <w:r w:rsidRPr="00DD440A">
        <w:rPr>
          <w:b/>
          <w:szCs w:val="18"/>
          <w:lang w:val="nl-NL"/>
        </w:rPr>
        <w:t xml:space="preserve">Overige zaken </w:t>
      </w:r>
    </w:p>
    <w:p w:rsidRPr="00375C7A" w:rsidR="00375C7A" w:rsidP="008E5AFF" w:rsidRDefault="00375C7A" w14:paraId="4FA5E7DD" w14:textId="68493F32">
      <w:pPr>
        <w:pStyle w:val="Plattetekst"/>
        <w:spacing w:after="0" w:line="360" w:lineRule="auto"/>
        <w:contextualSpacing/>
        <w:rPr>
          <w:rFonts w:ascii="Verdana" w:hAnsi="Verdana" w:cs="Arial" w:eastAsiaTheme="minorHAnsi"/>
          <w:b/>
          <w:sz w:val="18"/>
          <w:szCs w:val="18"/>
          <w:u w:val="single"/>
          <w:lang w:eastAsia="en-US"/>
        </w:rPr>
      </w:pPr>
      <w:r>
        <w:rPr>
          <w:rFonts w:ascii="Verdana" w:hAnsi="Verdana" w:cs="Arial" w:eastAsiaTheme="minorHAnsi"/>
          <w:sz w:val="18"/>
          <w:szCs w:val="18"/>
          <w:lang w:eastAsia="en-US"/>
        </w:rPr>
        <w:t xml:space="preserve">De nieuwe Oostenrijkse minister van Financiën heeft een korte toelichting gegeven op de plannen van de interim-regering. </w:t>
      </w:r>
      <w:r w:rsidRPr="00375C7A" w:rsidR="00B160D8">
        <w:rPr>
          <w:rFonts w:ascii="Verdana" w:hAnsi="Verdana" w:cs="Arial" w:eastAsiaTheme="minorHAnsi"/>
          <w:sz w:val="18"/>
          <w:szCs w:val="18"/>
          <w:lang w:eastAsia="en-US"/>
        </w:rPr>
        <w:t xml:space="preserve">Ook </w:t>
      </w:r>
      <w:r w:rsidR="00B160D8">
        <w:rPr>
          <w:rFonts w:ascii="Verdana" w:hAnsi="Verdana" w:cs="Arial" w:eastAsiaTheme="minorHAnsi"/>
          <w:sz w:val="18"/>
          <w:szCs w:val="18"/>
          <w:lang w:eastAsia="en-US"/>
        </w:rPr>
        <w:t>hebben</w:t>
      </w:r>
      <w:r w:rsidRPr="00375C7A" w:rsidR="00B160D8">
        <w:rPr>
          <w:rFonts w:ascii="Verdana" w:hAnsi="Verdana" w:cs="Arial" w:eastAsiaTheme="minorHAnsi"/>
          <w:sz w:val="18"/>
          <w:szCs w:val="18"/>
          <w:lang w:eastAsia="en-US"/>
        </w:rPr>
        <w:t xml:space="preserve"> de ministers </w:t>
      </w:r>
      <w:r w:rsidR="00B160D8">
        <w:rPr>
          <w:rFonts w:ascii="Verdana" w:hAnsi="Verdana" w:cs="Arial" w:eastAsiaTheme="minorHAnsi"/>
          <w:sz w:val="18"/>
          <w:szCs w:val="18"/>
          <w:lang w:eastAsia="en-US"/>
        </w:rPr>
        <w:t xml:space="preserve">gesproken over </w:t>
      </w:r>
      <w:r w:rsidRPr="00375C7A" w:rsidR="00B160D8">
        <w:rPr>
          <w:rFonts w:ascii="Verdana" w:hAnsi="Verdana" w:cs="Arial" w:eastAsiaTheme="minorHAnsi"/>
          <w:sz w:val="18"/>
          <w:szCs w:val="18"/>
          <w:lang w:eastAsia="en-US"/>
        </w:rPr>
        <w:t>de benoeming van de volgende ECB-president</w:t>
      </w:r>
      <w:r w:rsidR="00B160D8">
        <w:rPr>
          <w:rFonts w:ascii="Verdana" w:hAnsi="Verdana" w:cs="Arial" w:eastAsiaTheme="minorHAnsi"/>
          <w:sz w:val="18"/>
          <w:szCs w:val="18"/>
          <w:lang w:eastAsia="en-US"/>
        </w:rPr>
        <w:t xml:space="preserve">, in voorbereiding op een bespreking </w:t>
      </w:r>
      <w:r w:rsidR="002B6A69">
        <w:rPr>
          <w:rFonts w:ascii="Verdana" w:hAnsi="Verdana" w:cs="Arial" w:eastAsiaTheme="minorHAnsi"/>
          <w:sz w:val="18"/>
          <w:szCs w:val="18"/>
          <w:lang w:eastAsia="en-US"/>
        </w:rPr>
        <w:t xml:space="preserve">hierover </w:t>
      </w:r>
      <w:r w:rsidR="00B160D8">
        <w:rPr>
          <w:rFonts w:ascii="Verdana" w:hAnsi="Verdana" w:cs="Arial" w:eastAsiaTheme="minorHAnsi"/>
          <w:sz w:val="18"/>
          <w:szCs w:val="18"/>
          <w:lang w:eastAsia="en-US"/>
        </w:rPr>
        <w:t>tijdens de Ecofinraad</w:t>
      </w:r>
      <w:r w:rsidRPr="00375C7A" w:rsidR="00B160D8">
        <w:rPr>
          <w:rFonts w:ascii="Verdana" w:hAnsi="Verdana" w:cs="Arial" w:eastAsiaTheme="minorHAnsi"/>
          <w:sz w:val="18"/>
          <w:szCs w:val="18"/>
          <w:lang w:eastAsia="en-US"/>
        </w:rPr>
        <w:t xml:space="preserve">. </w:t>
      </w:r>
      <w:r w:rsidR="0078043F">
        <w:rPr>
          <w:rFonts w:ascii="Verdana" w:hAnsi="Verdana" w:cs="Arial" w:eastAsiaTheme="minorHAnsi"/>
          <w:sz w:val="18"/>
          <w:szCs w:val="18"/>
          <w:lang w:eastAsia="en-US"/>
        </w:rPr>
        <w:t xml:space="preserve">Verder heeft de </w:t>
      </w:r>
      <w:r w:rsidR="0078043F">
        <w:rPr>
          <w:rFonts w:ascii="Verdana" w:hAnsi="Verdana" w:cs="Arial" w:eastAsiaTheme="minorHAnsi"/>
          <w:sz w:val="18"/>
          <w:szCs w:val="18"/>
          <w:lang w:eastAsia="en-US"/>
        </w:rPr>
        <w:lastRenderedPageBreak/>
        <w:t xml:space="preserve">voorzitter van de Eurogroep op het belang gewezen met een Europese kandidaat als opvolger van Lagarde bij het IMF te komen. </w:t>
      </w:r>
      <w:r>
        <w:rPr>
          <w:rFonts w:ascii="Verdana" w:hAnsi="Verdana" w:cs="Arial" w:eastAsiaTheme="minorHAnsi"/>
          <w:sz w:val="18"/>
          <w:szCs w:val="18"/>
          <w:lang w:eastAsia="en-US"/>
        </w:rPr>
        <w:t>Tot slot is de</w:t>
      </w:r>
      <w:r w:rsidRPr="00375C7A">
        <w:rPr>
          <w:rFonts w:ascii="Verdana" w:hAnsi="Verdana" w:cs="Arial" w:eastAsiaTheme="minorHAnsi"/>
          <w:sz w:val="18"/>
          <w:szCs w:val="18"/>
          <w:lang w:eastAsia="en-US"/>
        </w:rPr>
        <w:t xml:space="preserve"> Eurogroep geïnformeerd over de voorgenomen uitgifte van een</w:t>
      </w:r>
      <w:r>
        <w:rPr>
          <w:rFonts w:ascii="Verdana" w:hAnsi="Verdana" w:cs="Arial" w:eastAsiaTheme="minorHAnsi"/>
          <w:sz w:val="18"/>
          <w:szCs w:val="18"/>
          <w:lang w:eastAsia="en-US"/>
        </w:rPr>
        <w:t xml:space="preserve"> gemeenschappelijke</w:t>
      </w:r>
      <w:r w:rsidRPr="00375C7A">
        <w:rPr>
          <w:rFonts w:ascii="Verdana" w:hAnsi="Verdana" w:cs="Arial" w:eastAsiaTheme="minorHAnsi"/>
          <w:sz w:val="18"/>
          <w:szCs w:val="18"/>
          <w:lang w:eastAsia="en-US"/>
        </w:rPr>
        <w:t xml:space="preserve"> herdenkingsmunt </w:t>
      </w:r>
      <w:r>
        <w:rPr>
          <w:rFonts w:ascii="Verdana" w:hAnsi="Verdana" w:cs="Arial" w:eastAsiaTheme="minorHAnsi"/>
          <w:sz w:val="18"/>
          <w:szCs w:val="18"/>
          <w:lang w:eastAsia="en-US"/>
        </w:rPr>
        <w:t xml:space="preserve">voor het 35-jarig bestaan van het Erasmusprogramma. </w:t>
      </w:r>
    </w:p>
    <w:p w:rsidR="008E0267" w:rsidP="008E5AFF" w:rsidRDefault="008E0267" w14:paraId="7448FFC8" w14:textId="730BC928">
      <w:pPr>
        <w:pStyle w:val="Plattetekst"/>
        <w:spacing w:after="0" w:line="360" w:lineRule="auto"/>
        <w:contextualSpacing/>
        <w:rPr>
          <w:rFonts w:ascii="Verdana" w:hAnsi="Verdana" w:cs="Arial" w:eastAsiaTheme="minorHAnsi"/>
          <w:b/>
          <w:sz w:val="18"/>
          <w:szCs w:val="18"/>
          <w:u w:val="single"/>
          <w:lang w:eastAsia="en-US"/>
        </w:rPr>
      </w:pPr>
    </w:p>
    <w:p w:rsidR="000B0C3D" w:rsidP="008E5AFF" w:rsidRDefault="00C7042B" w14:paraId="4DDE4328" w14:textId="77777777">
      <w:pPr>
        <w:spacing w:after="0" w:line="360" w:lineRule="auto"/>
        <w:contextualSpacing/>
        <w:rPr>
          <w:b/>
          <w:bCs/>
          <w:szCs w:val="18"/>
          <w:lang w:val="nl-NL"/>
        </w:rPr>
      </w:pPr>
      <w:r>
        <w:rPr>
          <w:b/>
          <w:bCs/>
          <w:szCs w:val="18"/>
          <w:lang w:val="nl-NL"/>
        </w:rPr>
        <w:t>ERM-II gerelateerde zaken</w:t>
      </w:r>
    </w:p>
    <w:p w:rsidR="000B0C3D" w:rsidP="008E5AFF" w:rsidRDefault="00F370C5" w14:paraId="666B81A2" w14:textId="04C9433E">
      <w:pPr>
        <w:widowControl w:val="0"/>
        <w:kinsoku w:val="0"/>
        <w:overflowPunct w:val="0"/>
        <w:autoSpaceDE w:val="0"/>
        <w:autoSpaceDN w:val="0"/>
        <w:adjustRightInd w:val="0"/>
        <w:spacing w:after="0" w:line="360" w:lineRule="auto"/>
        <w:ind w:right="113"/>
        <w:contextualSpacing/>
        <w:rPr>
          <w:rFonts w:cs="Verdana" w:eastAsiaTheme="minorEastAsia"/>
          <w:szCs w:val="18"/>
          <w:lang w:val="nl-NL" w:eastAsia="nl-NL"/>
        </w:rPr>
      </w:pPr>
      <w:r w:rsidRPr="00AD1528">
        <w:rPr>
          <w:rFonts w:cs="Verdana" w:eastAsiaTheme="minorEastAsia"/>
          <w:szCs w:val="18"/>
          <w:lang w:val="nl-NL" w:eastAsia="nl-NL"/>
        </w:rPr>
        <w:t xml:space="preserve">Na afloop </w:t>
      </w:r>
      <w:r w:rsidRPr="00AD1528">
        <w:rPr>
          <w:rFonts w:cs="Verdana" w:eastAsiaTheme="minorEastAsia"/>
          <w:spacing w:val="-3"/>
          <w:szCs w:val="18"/>
          <w:lang w:val="nl-NL" w:eastAsia="nl-NL"/>
        </w:rPr>
        <w:t xml:space="preserve">van </w:t>
      </w:r>
      <w:r w:rsidRPr="00AD1528">
        <w:rPr>
          <w:rFonts w:cs="Verdana" w:eastAsiaTheme="minorEastAsia"/>
          <w:szCs w:val="18"/>
          <w:lang w:val="nl-NL" w:eastAsia="nl-NL"/>
        </w:rPr>
        <w:t xml:space="preserve">de </w:t>
      </w:r>
      <w:r w:rsidRPr="00AD1528">
        <w:rPr>
          <w:rFonts w:cs="Verdana" w:eastAsiaTheme="minorEastAsia"/>
          <w:spacing w:val="-3"/>
          <w:szCs w:val="18"/>
          <w:lang w:val="nl-NL" w:eastAsia="nl-NL"/>
        </w:rPr>
        <w:t xml:space="preserve">Eurogroep </w:t>
      </w:r>
      <w:r w:rsidRPr="00AD1528">
        <w:rPr>
          <w:rFonts w:cs="Verdana" w:eastAsiaTheme="minorEastAsia"/>
          <w:spacing w:val="-2"/>
          <w:szCs w:val="18"/>
          <w:lang w:val="nl-NL" w:eastAsia="nl-NL"/>
        </w:rPr>
        <w:t xml:space="preserve">hebben </w:t>
      </w:r>
      <w:r w:rsidRPr="00AD1528">
        <w:rPr>
          <w:rFonts w:cs="Verdana" w:eastAsiaTheme="minorEastAsia"/>
          <w:szCs w:val="18"/>
          <w:lang w:val="nl-NL" w:eastAsia="nl-NL"/>
        </w:rPr>
        <w:t>de eurozonelidstaten, Denemarken en de ECB in bijzij</w:t>
      </w:r>
      <w:r>
        <w:rPr>
          <w:rFonts w:cs="Verdana" w:eastAsiaTheme="minorEastAsia"/>
          <w:szCs w:val="18"/>
          <w:lang w:val="nl-NL" w:eastAsia="nl-NL"/>
        </w:rPr>
        <w:t>n van de Commissie en Kroatië</w:t>
      </w:r>
      <w:r w:rsidRPr="00AD1528">
        <w:rPr>
          <w:rFonts w:cs="Verdana" w:eastAsiaTheme="minorEastAsia"/>
          <w:szCs w:val="18"/>
          <w:lang w:val="nl-NL" w:eastAsia="nl-NL"/>
        </w:rPr>
        <w:t xml:space="preserve"> gesproken over het vooruitzicht </w:t>
      </w:r>
      <w:r w:rsidRPr="00AD1528">
        <w:rPr>
          <w:rFonts w:cs="Verdana" w:eastAsiaTheme="minorEastAsia"/>
          <w:spacing w:val="-3"/>
          <w:szCs w:val="18"/>
          <w:lang w:val="nl-NL" w:eastAsia="nl-NL"/>
        </w:rPr>
        <w:t xml:space="preserve">van </w:t>
      </w:r>
      <w:r w:rsidRPr="00AD1528">
        <w:rPr>
          <w:rFonts w:cs="Verdana" w:eastAsiaTheme="minorEastAsia"/>
          <w:szCs w:val="18"/>
          <w:lang w:val="nl-NL" w:eastAsia="nl-NL"/>
        </w:rPr>
        <w:t>deelname aan</w:t>
      </w:r>
      <w:r w:rsidR="005A1E2D">
        <w:rPr>
          <w:rFonts w:cs="Verdana" w:eastAsiaTheme="minorEastAsia"/>
          <w:szCs w:val="18"/>
          <w:lang w:val="nl-NL" w:eastAsia="nl-NL"/>
        </w:rPr>
        <w:t xml:space="preserve"> het Europees Wisselkoersmechanisme (</w:t>
      </w:r>
      <w:r w:rsidRPr="005A1E2D" w:rsidR="005A1E2D">
        <w:rPr>
          <w:rFonts w:cs="Verdana" w:eastAsiaTheme="minorEastAsia"/>
          <w:i/>
          <w:szCs w:val="18"/>
          <w:lang w:val="nl-NL" w:eastAsia="nl-NL"/>
        </w:rPr>
        <w:t xml:space="preserve">Exchange </w:t>
      </w:r>
      <w:proofErr w:type="spellStart"/>
      <w:r w:rsidRPr="005A1E2D" w:rsidR="005A1E2D">
        <w:rPr>
          <w:rFonts w:cs="Verdana" w:eastAsiaTheme="minorEastAsia"/>
          <w:i/>
          <w:szCs w:val="18"/>
          <w:lang w:val="nl-NL" w:eastAsia="nl-NL"/>
        </w:rPr>
        <w:t>Rate</w:t>
      </w:r>
      <w:proofErr w:type="spellEnd"/>
      <w:r w:rsidRPr="005A1E2D" w:rsidR="005A1E2D">
        <w:rPr>
          <w:rFonts w:cs="Verdana" w:eastAsiaTheme="minorEastAsia"/>
          <w:i/>
          <w:szCs w:val="18"/>
          <w:lang w:val="nl-NL" w:eastAsia="nl-NL"/>
        </w:rPr>
        <w:t xml:space="preserve"> </w:t>
      </w:r>
      <w:proofErr w:type="spellStart"/>
      <w:r w:rsidRPr="005A1E2D" w:rsidR="005A1E2D">
        <w:rPr>
          <w:rFonts w:cs="Verdana" w:eastAsiaTheme="minorEastAsia"/>
          <w:i/>
          <w:szCs w:val="18"/>
          <w:lang w:val="nl-NL" w:eastAsia="nl-NL"/>
        </w:rPr>
        <w:t>Mechanism</w:t>
      </w:r>
      <w:proofErr w:type="spellEnd"/>
      <w:r w:rsidR="005A1E2D">
        <w:rPr>
          <w:rFonts w:cs="Verdana" w:eastAsiaTheme="minorEastAsia"/>
          <w:szCs w:val="18"/>
          <w:lang w:val="nl-NL" w:eastAsia="nl-NL"/>
        </w:rPr>
        <w:t xml:space="preserve">; </w:t>
      </w:r>
      <w:r w:rsidR="00B160D8">
        <w:rPr>
          <w:rFonts w:cs="Verdana" w:eastAsiaTheme="minorEastAsia"/>
          <w:spacing w:val="-3"/>
          <w:szCs w:val="18"/>
          <w:lang w:val="nl-NL" w:eastAsia="nl-NL"/>
        </w:rPr>
        <w:t>ERM-</w:t>
      </w:r>
      <w:r>
        <w:rPr>
          <w:rFonts w:cs="Verdana" w:eastAsiaTheme="minorEastAsia"/>
          <w:szCs w:val="18"/>
          <w:lang w:val="nl-NL" w:eastAsia="nl-NL"/>
        </w:rPr>
        <w:t>II</w:t>
      </w:r>
      <w:r w:rsidR="005A1E2D">
        <w:rPr>
          <w:rFonts w:cs="Verdana" w:eastAsiaTheme="minorEastAsia"/>
          <w:szCs w:val="18"/>
          <w:lang w:val="nl-NL" w:eastAsia="nl-NL"/>
        </w:rPr>
        <w:t>)</w:t>
      </w:r>
      <w:r w:rsidR="005A1E2D">
        <w:rPr>
          <w:rStyle w:val="Voetnootmarkering"/>
          <w:rFonts w:cs="Verdana" w:eastAsiaTheme="minorEastAsia"/>
          <w:szCs w:val="18"/>
          <w:lang w:val="nl-NL" w:eastAsia="nl-NL"/>
        </w:rPr>
        <w:footnoteReference w:id="9"/>
      </w:r>
      <w:r>
        <w:rPr>
          <w:rFonts w:cs="Verdana" w:eastAsiaTheme="minorEastAsia"/>
          <w:szCs w:val="18"/>
          <w:lang w:val="nl-NL" w:eastAsia="nl-NL"/>
        </w:rPr>
        <w:t xml:space="preserve"> door Kroatië</w:t>
      </w:r>
      <w:r w:rsidRPr="00AD1528">
        <w:rPr>
          <w:rFonts w:cs="Verdana" w:eastAsiaTheme="minorEastAsia"/>
          <w:szCs w:val="18"/>
          <w:lang w:val="nl-NL" w:eastAsia="nl-NL"/>
        </w:rPr>
        <w:t xml:space="preserve">. Hierbij is een </w:t>
      </w:r>
      <w:proofErr w:type="spellStart"/>
      <w:r w:rsidR="005A1E2D">
        <w:rPr>
          <w:rFonts w:cs="Verdana" w:eastAsiaTheme="minorEastAsia"/>
          <w:szCs w:val="18"/>
          <w:lang w:val="nl-NL" w:eastAsia="nl-NL"/>
        </w:rPr>
        <w:t>Eurogroep</w:t>
      </w:r>
      <w:r w:rsidRPr="00AD1528">
        <w:rPr>
          <w:rFonts w:cs="Verdana" w:eastAsiaTheme="minorEastAsia"/>
          <w:szCs w:val="18"/>
          <w:lang w:val="nl-NL" w:eastAsia="nl-NL"/>
        </w:rPr>
        <w:t>verklaring</w:t>
      </w:r>
      <w:proofErr w:type="spellEnd"/>
      <w:r w:rsidRPr="00AD1528">
        <w:rPr>
          <w:rFonts w:cs="Verdana" w:eastAsiaTheme="minorEastAsia"/>
          <w:szCs w:val="18"/>
          <w:lang w:val="nl-NL" w:eastAsia="nl-NL"/>
        </w:rPr>
        <w:t xml:space="preserve"> aangenomen.</w:t>
      </w:r>
      <w:r w:rsidR="0039227C">
        <w:rPr>
          <w:rStyle w:val="Voetnootmarkering"/>
          <w:rFonts w:cs="Verdana" w:eastAsiaTheme="minorEastAsia"/>
          <w:szCs w:val="18"/>
          <w:lang w:val="nl-NL" w:eastAsia="nl-NL"/>
        </w:rPr>
        <w:footnoteReference w:id="10"/>
      </w:r>
      <w:r w:rsidRPr="00AD1528">
        <w:rPr>
          <w:rFonts w:cs="Verdana" w:eastAsiaTheme="minorEastAsia"/>
          <w:szCs w:val="18"/>
          <w:lang w:val="nl-NL" w:eastAsia="nl-NL"/>
        </w:rPr>
        <w:t xml:space="preserve"> In de verklaring is </w:t>
      </w:r>
      <w:r w:rsidRPr="00AD1528">
        <w:rPr>
          <w:rFonts w:cs="Verdana" w:eastAsiaTheme="minorEastAsia"/>
          <w:spacing w:val="-3"/>
          <w:szCs w:val="18"/>
          <w:lang w:val="nl-NL" w:eastAsia="nl-NL"/>
        </w:rPr>
        <w:t xml:space="preserve">opgenomen </w:t>
      </w:r>
      <w:r w:rsidRPr="00AD1528">
        <w:rPr>
          <w:rFonts w:cs="Verdana" w:eastAsiaTheme="minorEastAsia"/>
          <w:szCs w:val="18"/>
          <w:lang w:val="nl-NL" w:eastAsia="nl-NL"/>
        </w:rPr>
        <w:t xml:space="preserve">dat </w:t>
      </w:r>
      <w:r>
        <w:rPr>
          <w:rFonts w:cs="Verdana" w:eastAsiaTheme="minorEastAsia"/>
          <w:szCs w:val="18"/>
          <w:lang w:val="nl-NL" w:eastAsia="nl-NL"/>
        </w:rPr>
        <w:t xml:space="preserve">Kroatië </w:t>
      </w:r>
      <w:r w:rsidRPr="00AD1528">
        <w:rPr>
          <w:rFonts w:cs="Verdana" w:eastAsiaTheme="minorEastAsia"/>
          <w:szCs w:val="18"/>
          <w:lang w:val="nl-NL" w:eastAsia="nl-NL"/>
        </w:rPr>
        <w:t xml:space="preserve">eerst een aantal beleidstoezeggingen zal implementeren </w:t>
      </w:r>
      <w:r w:rsidRPr="00AD1528">
        <w:rPr>
          <w:rFonts w:cs="Verdana" w:eastAsiaTheme="minorEastAsia"/>
          <w:spacing w:val="-3"/>
          <w:szCs w:val="18"/>
          <w:lang w:val="nl-NL" w:eastAsia="nl-NL"/>
        </w:rPr>
        <w:t xml:space="preserve">voor </w:t>
      </w:r>
      <w:r w:rsidR="0039227C">
        <w:rPr>
          <w:rFonts w:cs="Verdana" w:eastAsiaTheme="minorEastAsia"/>
          <w:szCs w:val="18"/>
          <w:lang w:val="nl-NL" w:eastAsia="nl-NL"/>
        </w:rPr>
        <w:t>deelname aan ERM-</w:t>
      </w:r>
      <w:r w:rsidRPr="00AD1528">
        <w:rPr>
          <w:rFonts w:cs="Verdana" w:eastAsiaTheme="minorEastAsia"/>
          <w:szCs w:val="18"/>
          <w:lang w:val="nl-NL" w:eastAsia="nl-NL"/>
        </w:rPr>
        <w:t xml:space="preserve">II en de bankenunie </w:t>
      </w:r>
      <w:r w:rsidR="00B160D8">
        <w:rPr>
          <w:rFonts w:cs="Verdana" w:eastAsiaTheme="minorEastAsia"/>
          <w:szCs w:val="18"/>
          <w:lang w:val="nl-NL" w:eastAsia="nl-NL"/>
        </w:rPr>
        <w:t>verder besproken wordt</w:t>
      </w:r>
      <w:r w:rsidRPr="00AD1528">
        <w:rPr>
          <w:rFonts w:cs="Verdana" w:eastAsiaTheme="minorEastAsia"/>
          <w:szCs w:val="18"/>
          <w:lang w:val="nl-NL" w:eastAsia="nl-NL"/>
        </w:rPr>
        <w:t xml:space="preserve">. </w:t>
      </w:r>
      <w:r w:rsidRPr="00AD1528">
        <w:rPr>
          <w:rFonts w:cs="Verdana" w:eastAsiaTheme="minorEastAsia"/>
          <w:spacing w:val="-4"/>
          <w:szCs w:val="18"/>
          <w:lang w:val="nl-NL" w:eastAsia="nl-NL"/>
        </w:rPr>
        <w:t xml:space="preserve">De </w:t>
      </w:r>
      <w:r w:rsidRPr="00AD1528">
        <w:rPr>
          <w:rFonts w:cs="Verdana" w:eastAsiaTheme="minorEastAsia"/>
          <w:szCs w:val="18"/>
          <w:lang w:val="nl-NL" w:eastAsia="nl-NL"/>
        </w:rPr>
        <w:t>beleidstoezeggingen zijn opge</w:t>
      </w:r>
      <w:r>
        <w:rPr>
          <w:rFonts w:cs="Verdana" w:eastAsiaTheme="minorEastAsia"/>
          <w:szCs w:val="18"/>
          <w:lang w:val="nl-NL" w:eastAsia="nl-NL"/>
        </w:rPr>
        <w:t>nomen in een brief van Kroatië</w:t>
      </w:r>
      <w:r w:rsidR="0039227C">
        <w:rPr>
          <w:rStyle w:val="Voetnootmarkering"/>
          <w:rFonts w:cs="Verdana" w:eastAsiaTheme="minorEastAsia"/>
          <w:szCs w:val="18"/>
          <w:lang w:val="nl-NL" w:eastAsia="nl-NL"/>
        </w:rPr>
        <w:footnoteReference w:id="11"/>
      </w:r>
      <w:r w:rsidRPr="00AD1528">
        <w:rPr>
          <w:rFonts w:cs="Verdana" w:eastAsiaTheme="minorEastAsia"/>
          <w:szCs w:val="18"/>
          <w:lang w:val="nl-NL" w:eastAsia="nl-NL"/>
        </w:rPr>
        <w:t xml:space="preserve"> </w:t>
      </w:r>
      <w:r w:rsidR="00B160D8">
        <w:rPr>
          <w:rFonts w:cs="Verdana" w:eastAsiaTheme="minorEastAsia"/>
          <w:szCs w:val="18"/>
          <w:lang w:val="nl-NL" w:eastAsia="nl-NL"/>
        </w:rPr>
        <w:t xml:space="preserve">en </w:t>
      </w:r>
      <w:r w:rsidRPr="00AD1528">
        <w:rPr>
          <w:rFonts w:cs="Verdana" w:eastAsiaTheme="minorEastAsia"/>
          <w:szCs w:val="18"/>
          <w:lang w:val="nl-NL" w:eastAsia="nl-NL"/>
        </w:rPr>
        <w:t>zien onder andere op b</w:t>
      </w:r>
      <w:r>
        <w:rPr>
          <w:rFonts w:cs="Verdana" w:eastAsiaTheme="minorEastAsia"/>
          <w:szCs w:val="18"/>
          <w:lang w:val="nl-NL" w:eastAsia="nl-NL"/>
        </w:rPr>
        <w:t xml:space="preserve">ankentoezicht, </w:t>
      </w:r>
      <w:proofErr w:type="spellStart"/>
      <w:r w:rsidR="00CC0BD9">
        <w:rPr>
          <w:rFonts w:cs="Verdana" w:eastAsiaTheme="minorEastAsia"/>
          <w:szCs w:val="18"/>
          <w:lang w:val="nl-NL" w:eastAsia="nl-NL"/>
        </w:rPr>
        <w:t>governance</w:t>
      </w:r>
      <w:proofErr w:type="spellEnd"/>
      <w:r>
        <w:rPr>
          <w:rFonts w:cs="Verdana" w:eastAsiaTheme="minorEastAsia"/>
          <w:szCs w:val="18"/>
          <w:lang w:val="nl-NL" w:eastAsia="nl-NL"/>
        </w:rPr>
        <w:t xml:space="preserve"> en investeringsklimaat. Om tot de bankenunie toe te treden is onder meer een doorlichting van de balansen van de Kroatische banken nodig. Kroatië </w:t>
      </w:r>
      <w:r w:rsidRPr="00AD1528">
        <w:rPr>
          <w:rFonts w:cs="Verdana" w:eastAsiaTheme="minorEastAsia"/>
          <w:szCs w:val="18"/>
          <w:lang w:val="nl-NL" w:eastAsia="nl-NL"/>
        </w:rPr>
        <w:t xml:space="preserve">zal </w:t>
      </w:r>
      <w:r>
        <w:rPr>
          <w:rFonts w:cs="Verdana" w:eastAsiaTheme="minorEastAsia"/>
          <w:szCs w:val="18"/>
          <w:lang w:val="nl-NL" w:eastAsia="nl-NL"/>
        </w:rPr>
        <w:t xml:space="preserve">daarnaast </w:t>
      </w:r>
      <w:r w:rsidRPr="00AD1528">
        <w:rPr>
          <w:rFonts w:cs="Verdana" w:eastAsiaTheme="minorEastAsia"/>
          <w:szCs w:val="18"/>
          <w:lang w:val="nl-NL" w:eastAsia="nl-NL"/>
        </w:rPr>
        <w:t xml:space="preserve">het </w:t>
      </w:r>
      <w:proofErr w:type="spellStart"/>
      <w:r w:rsidRPr="00AD1528">
        <w:rPr>
          <w:rFonts w:cs="Verdana" w:eastAsiaTheme="minorEastAsia"/>
          <w:szCs w:val="18"/>
          <w:lang w:val="nl-NL" w:eastAsia="nl-NL"/>
        </w:rPr>
        <w:t>macroprudentieel</w:t>
      </w:r>
      <w:proofErr w:type="spellEnd"/>
      <w:r w:rsidRPr="00AD1528">
        <w:rPr>
          <w:rFonts w:cs="Verdana" w:eastAsiaTheme="minorEastAsia"/>
          <w:szCs w:val="18"/>
          <w:lang w:val="nl-NL" w:eastAsia="nl-NL"/>
        </w:rPr>
        <w:t xml:space="preserve"> beleidsraamwerk versterken</w:t>
      </w:r>
      <w:r>
        <w:rPr>
          <w:rFonts w:cs="Verdana" w:eastAsiaTheme="minorEastAsia"/>
          <w:szCs w:val="18"/>
          <w:lang w:val="nl-NL" w:eastAsia="nl-NL"/>
        </w:rPr>
        <w:t>. Verder zegt Kroatië</w:t>
      </w:r>
      <w:r w:rsidRPr="00AD1528">
        <w:rPr>
          <w:rFonts w:cs="Verdana" w:eastAsiaTheme="minorEastAsia"/>
          <w:szCs w:val="18"/>
          <w:lang w:val="nl-NL" w:eastAsia="nl-NL"/>
        </w:rPr>
        <w:t xml:space="preserve"> toe </w:t>
      </w:r>
      <w:r>
        <w:rPr>
          <w:rFonts w:cs="Verdana" w:eastAsiaTheme="minorEastAsia"/>
          <w:szCs w:val="18"/>
          <w:lang w:val="nl-NL" w:eastAsia="nl-NL"/>
        </w:rPr>
        <w:t xml:space="preserve">de verzameling, ontwikkeling en verspreiding van economische statistieken voor overheidsfinanciën en nationale rekeningen te verbeteren en de </w:t>
      </w:r>
      <w:r w:rsidR="00B160D8">
        <w:rPr>
          <w:rFonts w:cs="Verdana" w:eastAsiaTheme="minorEastAsia"/>
          <w:szCs w:val="18"/>
          <w:lang w:val="nl-NL" w:eastAsia="nl-NL"/>
        </w:rPr>
        <w:t xml:space="preserve">Europese </w:t>
      </w:r>
      <w:r>
        <w:rPr>
          <w:rFonts w:cs="Verdana" w:eastAsiaTheme="minorEastAsia"/>
          <w:szCs w:val="18"/>
          <w:lang w:val="nl-NL" w:eastAsia="nl-NL"/>
        </w:rPr>
        <w:t xml:space="preserve">anti-witwasrichtlijn IV versneld te implementeren. Tot slot zal Kroatië diverse maatregelen nemen ter versterking van het bestuur van de publieke sector, zoals verkoop van niet-strategische staatsdeelnemingen en het depolitiseren van het overheidsapparaat, alsook ter verbetering van het investeringsklimaat, via onder meer verlaging van administratieve en financiële lasten voor het bedrijfsleven. </w:t>
      </w:r>
    </w:p>
    <w:p w:rsidR="000B0C3D" w:rsidP="008E5AFF" w:rsidRDefault="000B0C3D" w14:paraId="07CEBE81" w14:textId="77777777">
      <w:pPr>
        <w:widowControl w:val="0"/>
        <w:kinsoku w:val="0"/>
        <w:overflowPunct w:val="0"/>
        <w:autoSpaceDE w:val="0"/>
        <w:autoSpaceDN w:val="0"/>
        <w:adjustRightInd w:val="0"/>
        <w:spacing w:after="0" w:line="360" w:lineRule="auto"/>
        <w:ind w:right="98"/>
        <w:contextualSpacing/>
        <w:rPr>
          <w:rFonts w:cs="Verdana" w:eastAsiaTheme="minorEastAsia"/>
          <w:szCs w:val="18"/>
          <w:lang w:val="nl-NL" w:eastAsia="nl-NL"/>
        </w:rPr>
      </w:pPr>
    </w:p>
    <w:p w:rsidR="000B0C3D" w:rsidP="008E5AFF" w:rsidRDefault="00F370C5" w14:paraId="27AD23C8" w14:textId="0C83BF76">
      <w:pPr>
        <w:widowControl w:val="0"/>
        <w:kinsoku w:val="0"/>
        <w:overflowPunct w:val="0"/>
        <w:autoSpaceDE w:val="0"/>
        <w:autoSpaceDN w:val="0"/>
        <w:adjustRightInd w:val="0"/>
        <w:spacing w:after="0" w:line="360" w:lineRule="auto"/>
        <w:ind w:right="98"/>
        <w:contextualSpacing/>
        <w:rPr>
          <w:rFonts w:cs="Verdana" w:eastAsiaTheme="minorEastAsia"/>
          <w:szCs w:val="18"/>
          <w:lang w:val="nl-NL" w:eastAsia="nl-NL"/>
        </w:rPr>
      </w:pPr>
      <w:r>
        <w:rPr>
          <w:rFonts w:cs="Verdana" w:eastAsiaTheme="minorEastAsia"/>
          <w:szCs w:val="18"/>
          <w:lang w:val="nl-NL" w:eastAsia="nl-NL"/>
        </w:rPr>
        <w:t xml:space="preserve">De </w:t>
      </w:r>
      <w:proofErr w:type="spellStart"/>
      <w:r w:rsidR="00B160D8">
        <w:rPr>
          <w:rFonts w:cs="Verdana" w:eastAsiaTheme="minorEastAsia"/>
          <w:szCs w:val="18"/>
          <w:lang w:val="nl-NL" w:eastAsia="nl-NL"/>
        </w:rPr>
        <w:t>Eurogroep</w:t>
      </w:r>
      <w:r>
        <w:rPr>
          <w:rFonts w:cs="Verdana" w:eastAsiaTheme="minorEastAsia"/>
          <w:szCs w:val="18"/>
          <w:lang w:val="nl-NL" w:eastAsia="nl-NL"/>
        </w:rPr>
        <w:t>verklaring</w:t>
      </w:r>
      <w:proofErr w:type="spellEnd"/>
      <w:r>
        <w:rPr>
          <w:rFonts w:cs="Verdana" w:eastAsiaTheme="minorEastAsia"/>
          <w:szCs w:val="18"/>
          <w:lang w:val="nl-NL" w:eastAsia="nl-NL"/>
        </w:rPr>
        <w:t xml:space="preserve"> geeft ook aan dat voor Kroatië een vergelijkbare procedure is gevolgd als voor Bulgarije vorig jaar. Ook bij </w:t>
      </w:r>
      <w:r w:rsidRPr="00AD1528">
        <w:rPr>
          <w:rFonts w:cs="Verdana" w:eastAsiaTheme="minorEastAsia"/>
          <w:szCs w:val="18"/>
          <w:lang w:val="nl-NL" w:eastAsia="nl-NL"/>
        </w:rPr>
        <w:t>volgende lidstaten die tot ERM</w:t>
      </w:r>
      <w:r w:rsidR="0039227C">
        <w:rPr>
          <w:rFonts w:cs="Verdana" w:eastAsiaTheme="minorEastAsia"/>
          <w:szCs w:val="18"/>
          <w:lang w:val="nl-NL" w:eastAsia="nl-NL"/>
        </w:rPr>
        <w:t>-</w:t>
      </w:r>
      <w:r w:rsidRPr="00AD1528">
        <w:rPr>
          <w:rFonts w:cs="Verdana" w:eastAsiaTheme="minorEastAsia"/>
          <w:szCs w:val="18"/>
          <w:lang w:val="nl-NL" w:eastAsia="nl-NL"/>
        </w:rPr>
        <w:t xml:space="preserve">II en de bankenunie willen toetreden </w:t>
      </w:r>
      <w:r>
        <w:rPr>
          <w:rFonts w:cs="Verdana" w:eastAsiaTheme="minorEastAsia"/>
          <w:szCs w:val="18"/>
          <w:lang w:val="nl-NL" w:eastAsia="nl-NL"/>
        </w:rPr>
        <w:t xml:space="preserve">zal volgens dezelfde benadering </w:t>
      </w:r>
      <w:r w:rsidRPr="00AD1528">
        <w:rPr>
          <w:rFonts w:cs="Verdana" w:eastAsiaTheme="minorEastAsia"/>
          <w:szCs w:val="18"/>
          <w:lang w:val="nl-NL" w:eastAsia="nl-NL"/>
        </w:rPr>
        <w:t>worden gehandeld.</w:t>
      </w:r>
    </w:p>
    <w:p w:rsidR="000B0C3D" w:rsidP="008E5AFF" w:rsidRDefault="000B0C3D" w14:paraId="677FD9E6" w14:textId="77777777">
      <w:pPr>
        <w:widowControl w:val="0"/>
        <w:kinsoku w:val="0"/>
        <w:overflowPunct w:val="0"/>
        <w:autoSpaceDE w:val="0"/>
        <w:autoSpaceDN w:val="0"/>
        <w:adjustRightInd w:val="0"/>
        <w:spacing w:after="0" w:line="360" w:lineRule="auto"/>
        <w:ind w:right="98"/>
        <w:contextualSpacing/>
        <w:rPr>
          <w:rFonts w:cs="Verdana" w:eastAsiaTheme="minorEastAsia"/>
          <w:szCs w:val="18"/>
          <w:lang w:val="nl-NL" w:eastAsia="nl-NL"/>
        </w:rPr>
      </w:pPr>
    </w:p>
    <w:p w:rsidR="00F370C5" w:rsidP="008E5AFF" w:rsidRDefault="00F370C5" w14:paraId="2A450467" w14:textId="2D59A709">
      <w:pPr>
        <w:widowControl w:val="0"/>
        <w:kinsoku w:val="0"/>
        <w:overflowPunct w:val="0"/>
        <w:autoSpaceDE w:val="0"/>
        <w:autoSpaceDN w:val="0"/>
        <w:adjustRightInd w:val="0"/>
        <w:spacing w:after="0" w:line="360" w:lineRule="auto"/>
        <w:ind w:right="98"/>
        <w:contextualSpacing/>
        <w:rPr>
          <w:rFonts w:cs="Verdana" w:eastAsiaTheme="minorEastAsia"/>
          <w:szCs w:val="18"/>
          <w:lang w:val="nl-NL" w:eastAsia="nl-NL"/>
        </w:rPr>
      </w:pPr>
      <w:r w:rsidRPr="00DD440A">
        <w:rPr>
          <w:rFonts w:cs="Verdana" w:eastAsiaTheme="minorEastAsia"/>
          <w:szCs w:val="18"/>
          <w:lang w:val="nl-NL" w:eastAsia="nl-NL"/>
        </w:rPr>
        <w:t xml:space="preserve">Uw Kamer is voorafgaand aan de Eurogroep reeds </w:t>
      </w:r>
      <w:r w:rsidRPr="00DD440A" w:rsidR="00B160D8">
        <w:rPr>
          <w:rFonts w:cs="Verdana" w:eastAsiaTheme="minorEastAsia"/>
          <w:szCs w:val="18"/>
          <w:lang w:val="nl-NL" w:eastAsia="nl-NL"/>
        </w:rPr>
        <w:t xml:space="preserve">via een brief </w:t>
      </w:r>
      <w:r w:rsidRPr="00DD440A">
        <w:rPr>
          <w:rFonts w:cs="Verdana" w:eastAsiaTheme="minorEastAsia"/>
          <w:szCs w:val="18"/>
          <w:lang w:val="nl-NL" w:eastAsia="nl-NL"/>
        </w:rPr>
        <w:t xml:space="preserve">vertrouwelijk geïnformeerd over </w:t>
      </w:r>
      <w:r w:rsidR="00B160D8">
        <w:rPr>
          <w:rFonts w:cs="Verdana" w:eastAsiaTheme="minorEastAsia"/>
          <w:szCs w:val="18"/>
          <w:lang w:val="nl-NL" w:eastAsia="nl-NL"/>
        </w:rPr>
        <w:t xml:space="preserve">de wens van </w:t>
      </w:r>
      <w:r w:rsidRPr="00DD440A">
        <w:rPr>
          <w:rFonts w:cs="Verdana" w:eastAsiaTheme="minorEastAsia"/>
          <w:szCs w:val="18"/>
          <w:lang w:val="nl-NL" w:eastAsia="nl-NL"/>
        </w:rPr>
        <w:t>Kroatië</w:t>
      </w:r>
      <w:r w:rsidR="00B160D8">
        <w:rPr>
          <w:rFonts w:cs="Verdana" w:eastAsiaTheme="minorEastAsia"/>
          <w:szCs w:val="18"/>
          <w:lang w:val="nl-NL" w:eastAsia="nl-NL"/>
        </w:rPr>
        <w:t xml:space="preserve"> om toe te treden tot ERM-II</w:t>
      </w:r>
      <w:r w:rsidRPr="00DD440A">
        <w:rPr>
          <w:rFonts w:cs="Verdana" w:eastAsiaTheme="minorEastAsia"/>
          <w:szCs w:val="18"/>
          <w:lang w:val="nl-NL" w:eastAsia="nl-NL"/>
        </w:rPr>
        <w:t xml:space="preserve">. De vertrouwelijkheid van deze brief </w:t>
      </w:r>
      <w:r w:rsidR="00B160D8">
        <w:rPr>
          <w:rFonts w:cs="Verdana" w:eastAsiaTheme="minorEastAsia"/>
          <w:szCs w:val="18"/>
          <w:lang w:val="nl-NL" w:eastAsia="nl-NL"/>
        </w:rPr>
        <w:t>wordt bij dezen</w:t>
      </w:r>
      <w:r w:rsidRPr="00DD440A">
        <w:rPr>
          <w:rFonts w:cs="Verdana" w:eastAsiaTheme="minorEastAsia"/>
          <w:szCs w:val="18"/>
          <w:lang w:val="nl-NL" w:eastAsia="nl-NL"/>
        </w:rPr>
        <w:t xml:space="preserve"> opgeheven. De betreffende brief is als bijlage bij dit verslag gevoegd. De uitkomst van de bespreking over Kroatië en de verklaring is in lijn met de Nederlandse inzet als in deze brief verwoord.</w:t>
      </w:r>
      <w:r w:rsidR="00A77B11">
        <w:rPr>
          <w:rFonts w:cs="Verdana" w:eastAsiaTheme="minorEastAsia"/>
          <w:szCs w:val="18"/>
          <w:lang w:val="nl-NL" w:eastAsia="nl-NL"/>
        </w:rPr>
        <w:t xml:space="preserve"> Nederland steunt de beleidstoezeggingen die Kroatië heeft gedaan en benadrukt dat kwaliteit boven snelheid moet gaan.</w:t>
      </w:r>
    </w:p>
    <w:p w:rsidRPr="00F370C5" w:rsidR="008A0E62" w:rsidP="008E5AFF" w:rsidRDefault="008A0E62" w14:paraId="2975BA39" w14:textId="77777777">
      <w:pPr>
        <w:widowControl w:val="0"/>
        <w:kinsoku w:val="0"/>
        <w:overflowPunct w:val="0"/>
        <w:autoSpaceDE w:val="0"/>
        <w:autoSpaceDN w:val="0"/>
        <w:adjustRightInd w:val="0"/>
        <w:spacing w:after="0" w:line="360" w:lineRule="auto"/>
        <w:contextualSpacing/>
        <w:rPr>
          <w:rFonts w:cs="Verdana" w:eastAsiaTheme="minorEastAsia"/>
          <w:szCs w:val="18"/>
          <w:lang w:val="nl-NL" w:eastAsia="nl-NL"/>
        </w:rPr>
      </w:pPr>
    </w:p>
    <w:p w:rsidRPr="00EE774B" w:rsidR="00553A75" w:rsidP="008E5AFF" w:rsidRDefault="00553A75" w14:paraId="006EFEA9" w14:textId="77777777">
      <w:pPr>
        <w:pStyle w:val="Plattetekst"/>
        <w:spacing w:after="0" w:line="360" w:lineRule="auto"/>
        <w:contextualSpacing/>
        <w:rPr>
          <w:rFonts w:ascii="Verdana" w:hAnsi="Verdana" w:cs="Arial" w:eastAsiaTheme="minorHAnsi"/>
          <w:b/>
          <w:sz w:val="18"/>
          <w:szCs w:val="18"/>
          <w:u w:val="single"/>
          <w:lang w:eastAsia="en-US"/>
        </w:rPr>
      </w:pPr>
      <w:r w:rsidRPr="00EE774B">
        <w:rPr>
          <w:rFonts w:ascii="Verdana" w:hAnsi="Verdana" w:cs="Arial" w:eastAsiaTheme="minorHAnsi"/>
          <w:b/>
          <w:sz w:val="18"/>
          <w:szCs w:val="18"/>
          <w:u w:val="single"/>
          <w:lang w:eastAsia="en-US"/>
        </w:rPr>
        <w:t>Eurogroep (in inclusieve samenstelling</w:t>
      </w:r>
      <w:r w:rsidRPr="00EE774B">
        <w:rPr>
          <w:rStyle w:val="Voetnootmarkering"/>
          <w:rFonts w:ascii="Verdana" w:hAnsi="Verdana" w:cs="Arial" w:eastAsiaTheme="minorHAnsi"/>
          <w:b/>
          <w:sz w:val="18"/>
          <w:szCs w:val="18"/>
          <w:u w:val="single"/>
          <w:lang w:eastAsia="en-US"/>
        </w:rPr>
        <w:footnoteReference w:id="12"/>
      </w:r>
      <w:r w:rsidRPr="00EE774B">
        <w:rPr>
          <w:rFonts w:ascii="Verdana" w:hAnsi="Verdana" w:cs="Arial" w:eastAsiaTheme="minorHAnsi"/>
          <w:b/>
          <w:sz w:val="18"/>
          <w:szCs w:val="18"/>
          <w:u w:val="single"/>
          <w:lang w:eastAsia="en-US"/>
        </w:rPr>
        <w:t>)</w:t>
      </w:r>
    </w:p>
    <w:p w:rsidRPr="00EE774B" w:rsidR="00553A75" w:rsidP="008E5AFF" w:rsidRDefault="00553A75" w14:paraId="3D2C3F02" w14:textId="77777777">
      <w:pPr>
        <w:pStyle w:val="Plattetekst"/>
        <w:spacing w:after="0" w:line="360" w:lineRule="auto"/>
        <w:contextualSpacing/>
        <w:rPr>
          <w:rFonts w:ascii="Verdana" w:hAnsi="Verdana"/>
          <w:sz w:val="18"/>
          <w:szCs w:val="18"/>
        </w:rPr>
      </w:pPr>
    </w:p>
    <w:p w:rsidRPr="00EE774B" w:rsidR="00553A75" w:rsidP="008E5AFF" w:rsidRDefault="005561A5" w14:paraId="657A109C" w14:textId="79B6098C">
      <w:pPr>
        <w:spacing w:after="0" w:line="360" w:lineRule="auto"/>
        <w:contextualSpacing/>
        <w:rPr>
          <w:b/>
          <w:bCs/>
          <w:szCs w:val="18"/>
          <w:lang w:val="nl-NL"/>
        </w:rPr>
      </w:pPr>
      <w:r>
        <w:rPr>
          <w:b/>
          <w:bCs/>
          <w:szCs w:val="18"/>
          <w:lang w:val="nl-NL"/>
        </w:rPr>
        <w:t>Opvolging</w:t>
      </w:r>
      <w:r w:rsidRPr="00EE774B" w:rsidR="00553A75">
        <w:rPr>
          <w:b/>
          <w:bCs/>
          <w:szCs w:val="18"/>
          <w:lang w:val="nl-NL"/>
        </w:rPr>
        <w:t xml:space="preserve"> Eurotop </w:t>
      </w:r>
    </w:p>
    <w:p w:rsidRPr="005561A5" w:rsidR="005561A5" w:rsidP="008E5AFF" w:rsidRDefault="005561A5" w14:paraId="4ED93183" w14:textId="1034664F">
      <w:pPr>
        <w:widowControl w:val="0"/>
        <w:kinsoku w:val="0"/>
        <w:overflowPunct w:val="0"/>
        <w:autoSpaceDE w:val="0"/>
        <w:autoSpaceDN w:val="0"/>
        <w:adjustRightInd w:val="0"/>
        <w:spacing w:after="0" w:line="360" w:lineRule="auto"/>
        <w:ind w:right="195"/>
        <w:contextualSpacing/>
        <w:rPr>
          <w:szCs w:val="18"/>
          <w:lang w:val="nl-NL"/>
        </w:rPr>
      </w:pPr>
      <w:r w:rsidRPr="005561A5">
        <w:rPr>
          <w:szCs w:val="18"/>
          <w:lang w:val="nl-NL"/>
        </w:rPr>
        <w:lastRenderedPageBreak/>
        <w:t xml:space="preserve">De Eurogroep </w:t>
      </w:r>
      <w:r w:rsidR="005876B3">
        <w:rPr>
          <w:szCs w:val="18"/>
          <w:lang w:val="nl-NL"/>
        </w:rPr>
        <w:t>heeft</w:t>
      </w:r>
      <w:r w:rsidRPr="005561A5">
        <w:rPr>
          <w:szCs w:val="18"/>
          <w:lang w:val="nl-NL"/>
        </w:rPr>
        <w:t xml:space="preserve"> </w:t>
      </w:r>
      <w:r w:rsidR="005876B3">
        <w:rPr>
          <w:szCs w:val="18"/>
          <w:lang w:val="nl-NL"/>
        </w:rPr>
        <w:t>een terugkoppeling gekregen</w:t>
      </w:r>
      <w:r w:rsidRPr="005561A5">
        <w:rPr>
          <w:szCs w:val="18"/>
          <w:lang w:val="nl-NL"/>
        </w:rPr>
        <w:t xml:space="preserve"> over de uitkomsten van de Eurotop van 22 juni </w:t>
      </w:r>
      <w:r w:rsidR="005876B3">
        <w:rPr>
          <w:szCs w:val="18"/>
          <w:lang w:val="nl-NL"/>
        </w:rPr>
        <w:t xml:space="preserve">jl. </w:t>
      </w:r>
      <w:r w:rsidRPr="005561A5">
        <w:rPr>
          <w:szCs w:val="18"/>
          <w:lang w:val="nl-NL"/>
        </w:rPr>
        <w:t>en het vervolgproces in de tweede helft van het jaar. De Eurotop heeft de voortgang verwelkomd op het gebied van versterking van de Economische en Monetaire Unie (EMU), die is geboekt in de Eurogroep van 13 juni</w:t>
      </w:r>
      <w:r w:rsidR="005876B3">
        <w:rPr>
          <w:szCs w:val="18"/>
          <w:lang w:val="nl-NL"/>
        </w:rPr>
        <w:t xml:space="preserve"> jl</w:t>
      </w:r>
      <w:r w:rsidRPr="005561A5">
        <w:rPr>
          <w:szCs w:val="18"/>
          <w:lang w:val="nl-NL"/>
        </w:rPr>
        <w:t>.</w:t>
      </w:r>
      <w:r w:rsidR="005876B3">
        <w:rPr>
          <w:rStyle w:val="Voetnootmarkering"/>
          <w:szCs w:val="18"/>
          <w:lang w:val="nl-NL"/>
        </w:rPr>
        <w:footnoteReference w:id="13"/>
      </w:r>
      <w:r w:rsidR="005876B3">
        <w:rPr>
          <w:szCs w:val="18"/>
          <w:lang w:val="nl-NL"/>
        </w:rPr>
        <w:t xml:space="preserve"> </w:t>
      </w:r>
      <w:r w:rsidRPr="005561A5">
        <w:rPr>
          <w:szCs w:val="18"/>
          <w:lang w:val="nl-NL"/>
        </w:rPr>
        <w:t xml:space="preserve">In het bijzonder zijn stappen gezet ten aanzien van de aanpassing van het Europees Stabiliteitsmechanisme (ESM)-verdrag en een begrotingsinstrument voor convergentie en concurrentievermogen voor eurolanden (BICC). Daarnaast is gesproken over liquiditeit in resolutie en een Europees Depositoverzekeringsstelsel (EDIS). De Eurotop heeft de Eurogroep verzocht om in inclusieve samenstelling te blijven doorwerken aan alle elementen van dit alomvattend pakket. </w:t>
      </w:r>
    </w:p>
    <w:p w:rsidRPr="005561A5" w:rsidR="005561A5" w:rsidP="008E5AFF" w:rsidRDefault="005561A5" w14:paraId="7D4D4487" w14:textId="77777777">
      <w:pPr>
        <w:widowControl w:val="0"/>
        <w:kinsoku w:val="0"/>
        <w:overflowPunct w:val="0"/>
        <w:autoSpaceDE w:val="0"/>
        <w:autoSpaceDN w:val="0"/>
        <w:adjustRightInd w:val="0"/>
        <w:spacing w:after="0" w:line="360" w:lineRule="auto"/>
        <w:ind w:right="195"/>
        <w:contextualSpacing/>
        <w:rPr>
          <w:szCs w:val="18"/>
          <w:lang w:val="nl-NL"/>
        </w:rPr>
      </w:pPr>
    </w:p>
    <w:p w:rsidRPr="005561A5" w:rsidR="005561A5" w:rsidP="008E5AFF" w:rsidRDefault="005561A5" w14:paraId="184AFC5C" w14:textId="77777777">
      <w:pPr>
        <w:widowControl w:val="0"/>
        <w:kinsoku w:val="0"/>
        <w:overflowPunct w:val="0"/>
        <w:autoSpaceDE w:val="0"/>
        <w:autoSpaceDN w:val="0"/>
        <w:adjustRightInd w:val="0"/>
        <w:spacing w:after="0" w:line="360" w:lineRule="auto"/>
        <w:ind w:right="195"/>
        <w:contextualSpacing/>
        <w:rPr>
          <w:szCs w:val="18"/>
          <w:lang w:val="nl-NL"/>
        </w:rPr>
      </w:pPr>
      <w:r w:rsidRPr="005561A5">
        <w:rPr>
          <w:szCs w:val="18"/>
          <w:lang w:val="nl-NL"/>
        </w:rPr>
        <w:t xml:space="preserve">Ten aanzien van het ESM verwacht de Eurotop dat de Eurogroep haar werk voortzet, om in december 2019 tot een akkoord te kunnen komen over een volledig pakket van een wijziging van het ESM-verdrag en van aanverwante documenten. Een aantal voor Nederland relevante werkstromen die verband houden met de brede ESM-hervorming is nog niet afgerond. Dit geldt bijvoorbeeld voor de nieuwe </w:t>
      </w:r>
      <w:proofErr w:type="spellStart"/>
      <w:r w:rsidRPr="005561A5">
        <w:rPr>
          <w:szCs w:val="18"/>
          <w:lang w:val="nl-NL"/>
        </w:rPr>
        <w:t>collective</w:t>
      </w:r>
      <w:proofErr w:type="spellEnd"/>
      <w:r w:rsidRPr="005561A5">
        <w:rPr>
          <w:szCs w:val="18"/>
          <w:lang w:val="nl-NL"/>
        </w:rPr>
        <w:t xml:space="preserve"> action clause (CAC), het document over een transparante en voorspelbare schuldhoudbaarheidsanalyse en het richtsnoer voor de </w:t>
      </w:r>
      <w:proofErr w:type="spellStart"/>
      <w:r w:rsidRPr="005561A5">
        <w:rPr>
          <w:szCs w:val="18"/>
          <w:lang w:val="nl-NL"/>
        </w:rPr>
        <w:t>achtervang</w:t>
      </w:r>
      <w:proofErr w:type="spellEnd"/>
      <w:r w:rsidRPr="005561A5">
        <w:rPr>
          <w:szCs w:val="18"/>
          <w:lang w:val="nl-NL"/>
        </w:rPr>
        <w:t xml:space="preserve"> voor het gemeenschappelijk afwikkelingsfonds (SRF). In de periode tot december zullen deze stukken worden voorbereid.</w:t>
      </w:r>
    </w:p>
    <w:p w:rsidRPr="005561A5" w:rsidR="005561A5" w:rsidP="008E5AFF" w:rsidRDefault="005561A5" w14:paraId="0FC01F14" w14:textId="77777777">
      <w:pPr>
        <w:widowControl w:val="0"/>
        <w:kinsoku w:val="0"/>
        <w:overflowPunct w:val="0"/>
        <w:autoSpaceDE w:val="0"/>
        <w:autoSpaceDN w:val="0"/>
        <w:adjustRightInd w:val="0"/>
        <w:spacing w:after="0" w:line="360" w:lineRule="auto"/>
        <w:ind w:right="195"/>
        <w:contextualSpacing/>
        <w:rPr>
          <w:szCs w:val="18"/>
          <w:lang w:val="nl-NL"/>
        </w:rPr>
      </w:pPr>
    </w:p>
    <w:p w:rsidRPr="005561A5" w:rsidR="005561A5" w:rsidP="008E5AFF" w:rsidRDefault="005876B3" w14:paraId="58750AF2" w14:textId="29A4649B">
      <w:pPr>
        <w:widowControl w:val="0"/>
        <w:kinsoku w:val="0"/>
        <w:overflowPunct w:val="0"/>
        <w:autoSpaceDE w:val="0"/>
        <w:autoSpaceDN w:val="0"/>
        <w:adjustRightInd w:val="0"/>
        <w:spacing w:after="0" w:line="360" w:lineRule="auto"/>
        <w:ind w:right="195"/>
        <w:contextualSpacing/>
        <w:rPr>
          <w:szCs w:val="18"/>
          <w:lang w:val="nl-NL"/>
        </w:rPr>
      </w:pPr>
      <w:r>
        <w:rPr>
          <w:szCs w:val="18"/>
          <w:lang w:val="nl-NL"/>
        </w:rPr>
        <w:t>De Eurotop heeft kennis</w:t>
      </w:r>
      <w:r w:rsidRPr="005561A5" w:rsidR="005561A5">
        <w:rPr>
          <w:szCs w:val="18"/>
          <w:lang w:val="nl-NL"/>
        </w:rPr>
        <w:t>genomen van het akkoord in de Eurogroep ten aanzien van de kenmerken van het BICC. Belangrijke elementen daarin voor Nederland zijn de nadruk op hervormingen en de aansluiting van de investerings- en hervormingsplannen op het Europees Semester. De Eurotop heeft de Eurogroep en de Commissie verzocht verder te werken aa</w:t>
      </w:r>
      <w:r w:rsidR="00D60C80">
        <w:rPr>
          <w:szCs w:val="18"/>
          <w:lang w:val="nl-NL"/>
        </w:rPr>
        <w:t>n alle openstaande onderwerpen, zoals de financiering van het instrument. Sommige lidstaten gaven wederom aan dat ook verder gesproken zou moeten worden over een stabilisatiefunctie voor de Eurozone. Meerdere lidstaten, waaronder Nederland, gaven aan dat dit niet aan de orde is en dat niet getornd moet worden aan de afspraken van afgelopen juni.</w:t>
      </w:r>
    </w:p>
    <w:p w:rsidRPr="005561A5" w:rsidR="005561A5" w:rsidP="008E5AFF" w:rsidRDefault="005561A5" w14:paraId="1D31C719" w14:textId="77777777">
      <w:pPr>
        <w:widowControl w:val="0"/>
        <w:kinsoku w:val="0"/>
        <w:overflowPunct w:val="0"/>
        <w:autoSpaceDE w:val="0"/>
        <w:autoSpaceDN w:val="0"/>
        <w:adjustRightInd w:val="0"/>
        <w:spacing w:after="0" w:line="360" w:lineRule="auto"/>
        <w:ind w:right="195"/>
        <w:contextualSpacing/>
        <w:rPr>
          <w:szCs w:val="18"/>
          <w:lang w:val="nl-NL"/>
        </w:rPr>
      </w:pPr>
    </w:p>
    <w:p w:rsidR="005561A5" w:rsidP="008E5AFF" w:rsidRDefault="005561A5" w14:paraId="096921B3" w14:textId="0E5B91E9">
      <w:pPr>
        <w:widowControl w:val="0"/>
        <w:kinsoku w:val="0"/>
        <w:overflowPunct w:val="0"/>
        <w:autoSpaceDE w:val="0"/>
        <w:autoSpaceDN w:val="0"/>
        <w:adjustRightInd w:val="0"/>
        <w:spacing w:after="0" w:line="360" w:lineRule="auto"/>
        <w:ind w:right="195"/>
        <w:contextualSpacing/>
        <w:rPr>
          <w:szCs w:val="18"/>
          <w:lang w:val="nl-NL"/>
        </w:rPr>
      </w:pPr>
      <w:r w:rsidRPr="005561A5">
        <w:rPr>
          <w:szCs w:val="18"/>
          <w:lang w:val="nl-NL"/>
        </w:rPr>
        <w:t>Daarnaast heeft de Eurotop de Eurogroep gevraagd technisch verder te werken aan de versterking van de Bankenunie. Met betrekking tot EDIS heeft de Eurogroep geconcludeerd dat verder technisch werk nodig blijft om tot een routekaart te komen. De Eurogroep heeft de hoog-ambtelijke werkgroep (HLWG) gemandateerd om de komende tijd verder te werken aan een nieuwe routekaart voor EDIS en de conclusies daar</w:t>
      </w:r>
      <w:r w:rsidR="006C39CF">
        <w:rPr>
          <w:szCs w:val="18"/>
          <w:lang w:val="nl-NL"/>
        </w:rPr>
        <w:t>over in december te rapporteren</w:t>
      </w:r>
      <w:r w:rsidRPr="005561A5">
        <w:rPr>
          <w:szCs w:val="18"/>
          <w:lang w:val="nl-NL"/>
        </w:rPr>
        <w:t xml:space="preserve">. </w:t>
      </w:r>
    </w:p>
    <w:p w:rsidRPr="005561A5" w:rsidR="005876B3" w:rsidP="008E5AFF" w:rsidRDefault="005876B3" w14:paraId="226A07ED" w14:textId="77777777">
      <w:pPr>
        <w:widowControl w:val="0"/>
        <w:kinsoku w:val="0"/>
        <w:overflowPunct w:val="0"/>
        <w:autoSpaceDE w:val="0"/>
        <w:autoSpaceDN w:val="0"/>
        <w:adjustRightInd w:val="0"/>
        <w:spacing w:after="0" w:line="360" w:lineRule="auto"/>
        <w:ind w:right="195"/>
        <w:contextualSpacing/>
        <w:rPr>
          <w:szCs w:val="18"/>
          <w:lang w:val="nl-NL"/>
        </w:rPr>
      </w:pPr>
    </w:p>
    <w:p w:rsidR="005561A5" w:rsidP="008E5AFF" w:rsidRDefault="005561A5" w14:paraId="1B57CE75" w14:textId="58BED54E">
      <w:pPr>
        <w:widowControl w:val="0"/>
        <w:kinsoku w:val="0"/>
        <w:overflowPunct w:val="0"/>
        <w:autoSpaceDE w:val="0"/>
        <w:autoSpaceDN w:val="0"/>
        <w:adjustRightInd w:val="0"/>
        <w:spacing w:after="0" w:line="360" w:lineRule="auto"/>
        <w:ind w:right="195"/>
        <w:contextualSpacing/>
        <w:rPr>
          <w:szCs w:val="18"/>
          <w:lang w:val="nl-NL"/>
        </w:rPr>
      </w:pPr>
      <w:r w:rsidRPr="005561A5">
        <w:rPr>
          <w:szCs w:val="18"/>
          <w:lang w:val="nl-NL"/>
        </w:rPr>
        <w:t xml:space="preserve">Tot slot heeft de Eurotop de Eurogroep gevraagd technisch verder te werken aan mogelijkheden om de beperkingen van het huidige raamwerk voor liquiditeit in resolutie te adresseren. In de tweede helft van het jaar zal dit technische werk doorgaan en zich richten op voorstellen waarvoor het </w:t>
      </w:r>
      <w:r w:rsidRPr="005561A5">
        <w:rPr>
          <w:szCs w:val="18"/>
          <w:lang w:val="nl-NL"/>
        </w:rPr>
        <w:lastRenderedPageBreak/>
        <w:t xml:space="preserve">meeste draagvlak is. Dit zijn voorstellen die het toezicht- en resolutieraamwerk verbeteren en voorstellen die de beschikbare middelen voor de SRB vergroten. </w:t>
      </w:r>
    </w:p>
    <w:p w:rsidR="005561A5" w:rsidP="008E5AFF" w:rsidRDefault="005561A5" w14:paraId="72213762" w14:textId="77777777">
      <w:pPr>
        <w:widowControl w:val="0"/>
        <w:kinsoku w:val="0"/>
        <w:overflowPunct w:val="0"/>
        <w:autoSpaceDE w:val="0"/>
        <w:autoSpaceDN w:val="0"/>
        <w:adjustRightInd w:val="0"/>
        <w:spacing w:after="0" w:line="360" w:lineRule="auto"/>
        <w:ind w:right="195"/>
        <w:contextualSpacing/>
        <w:rPr>
          <w:szCs w:val="18"/>
          <w:lang w:val="nl-NL"/>
        </w:rPr>
      </w:pPr>
    </w:p>
    <w:p w:rsidR="005561A5" w:rsidP="008E5AFF" w:rsidRDefault="005561A5" w14:paraId="63E1EBC0" w14:textId="77777777">
      <w:pPr>
        <w:widowControl w:val="0"/>
        <w:kinsoku w:val="0"/>
        <w:overflowPunct w:val="0"/>
        <w:autoSpaceDE w:val="0"/>
        <w:autoSpaceDN w:val="0"/>
        <w:adjustRightInd w:val="0"/>
        <w:spacing w:after="0" w:line="360" w:lineRule="auto"/>
        <w:ind w:right="195"/>
        <w:contextualSpacing/>
        <w:rPr>
          <w:szCs w:val="18"/>
          <w:lang w:val="nl-NL"/>
        </w:rPr>
      </w:pPr>
    </w:p>
    <w:p w:rsidR="00E962DD" w:rsidP="008E5AFF" w:rsidRDefault="00E962DD" w14:paraId="55A982DB" w14:textId="77777777">
      <w:pPr>
        <w:spacing w:after="0" w:line="360" w:lineRule="auto"/>
        <w:contextualSpacing/>
        <w:rPr>
          <w:b/>
          <w:szCs w:val="18"/>
          <w:u w:val="single"/>
          <w:lang w:val="nl-NL"/>
        </w:rPr>
      </w:pPr>
      <w:r>
        <w:rPr>
          <w:b/>
          <w:szCs w:val="18"/>
          <w:u w:val="single"/>
          <w:lang w:val="nl-NL"/>
        </w:rPr>
        <w:br w:type="page"/>
      </w:r>
    </w:p>
    <w:p w:rsidRPr="00EE774B" w:rsidR="00553A75" w:rsidP="008E5AFF" w:rsidRDefault="00553A75" w14:paraId="436CFFC7" w14:textId="24687050">
      <w:pPr>
        <w:spacing w:after="0" w:line="360" w:lineRule="auto"/>
        <w:contextualSpacing/>
        <w:rPr>
          <w:b/>
          <w:szCs w:val="18"/>
          <w:u w:val="single"/>
          <w:lang w:val="nl-NL"/>
        </w:rPr>
      </w:pPr>
      <w:r w:rsidRPr="00EE774B">
        <w:rPr>
          <w:b/>
          <w:szCs w:val="18"/>
          <w:u w:val="single"/>
          <w:lang w:val="nl-NL"/>
        </w:rPr>
        <w:lastRenderedPageBreak/>
        <w:t>Ecofinraad</w:t>
      </w:r>
    </w:p>
    <w:p w:rsidR="005876B3" w:rsidP="008E5AFF" w:rsidRDefault="005876B3" w14:paraId="51014D4E" w14:textId="77777777">
      <w:pPr>
        <w:spacing w:after="0" w:line="360" w:lineRule="auto"/>
        <w:contextualSpacing/>
        <w:rPr>
          <w:b/>
          <w:bCs/>
          <w:szCs w:val="18"/>
          <w:lang w:val="nl-NL"/>
        </w:rPr>
      </w:pPr>
    </w:p>
    <w:p w:rsidRPr="000F1E61" w:rsidR="006E18B3" w:rsidP="006E18B3" w:rsidRDefault="006E18B3" w14:paraId="10511874" w14:textId="49050051">
      <w:pPr>
        <w:spacing w:after="0" w:line="360" w:lineRule="auto"/>
        <w:contextualSpacing/>
        <w:rPr>
          <w:b/>
          <w:szCs w:val="18"/>
          <w:lang w:val="nl-NL"/>
        </w:rPr>
      </w:pPr>
      <w:r>
        <w:rPr>
          <w:b/>
          <w:szCs w:val="18"/>
          <w:lang w:val="nl-NL"/>
        </w:rPr>
        <w:t xml:space="preserve">Aanname </w:t>
      </w:r>
      <w:r w:rsidR="00742B9B">
        <w:rPr>
          <w:b/>
          <w:szCs w:val="18"/>
          <w:lang w:val="nl-NL"/>
        </w:rPr>
        <w:t>verordening</w:t>
      </w:r>
      <w:r>
        <w:rPr>
          <w:b/>
          <w:szCs w:val="18"/>
          <w:lang w:val="nl-NL"/>
        </w:rPr>
        <w:t xml:space="preserve"> in geval van een </w:t>
      </w:r>
      <w:r w:rsidRPr="00F83C8F">
        <w:rPr>
          <w:b/>
          <w:i/>
          <w:szCs w:val="18"/>
          <w:lang w:val="nl-NL"/>
        </w:rPr>
        <w:t xml:space="preserve">no-deal </w:t>
      </w:r>
      <w:proofErr w:type="spellStart"/>
      <w:r>
        <w:rPr>
          <w:b/>
          <w:szCs w:val="18"/>
          <w:lang w:val="nl-NL"/>
        </w:rPr>
        <w:t>Brexit</w:t>
      </w:r>
      <w:proofErr w:type="spellEnd"/>
      <w:r>
        <w:rPr>
          <w:b/>
          <w:szCs w:val="18"/>
          <w:lang w:val="nl-NL"/>
        </w:rPr>
        <w:t xml:space="preserve"> (A-punt)</w:t>
      </w:r>
    </w:p>
    <w:p w:rsidR="00742B9B" w:rsidP="00742B9B" w:rsidRDefault="006E18B3" w14:paraId="0A149758" w14:textId="0EADE290">
      <w:pPr>
        <w:spacing w:after="0" w:line="360" w:lineRule="auto"/>
        <w:contextualSpacing/>
        <w:rPr>
          <w:szCs w:val="18"/>
          <w:lang w:val="nl-NL"/>
        </w:rPr>
      </w:pPr>
      <w:r w:rsidRPr="000F1E61">
        <w:rPr>
          <w:szCs w:val="18"/>
          <w:lang w:val="nl-NL"/>
        </w:rPr>
        <w:t xml:space="preserve">De </w:t>
      </w:r>
      <w:r>
        <w:rPr>
          <w:szCs w:val="18"/>
          <w:lang w:val="nl-NL"/>
        </w:rPr>
        <w:t>Ecofinraad</w:t>
      </w:r>
      <w:r w:rsidRPr="000F1E61">
        <w:rPr>
          <w:szCs w:val="18"/>
          <w:lang w:val="nl-NL"/>
        </w:rPr>
        <w:t xml:space="preserve"> heeft </w:t>
      </w:r>
      <w:r w:rsidR="00407351">
        <w:rPr>
          <w:szCs w:val="18"/>
          <w:lang w:val="nl-NL"/>
        </w:rPr>
        <w:t>een verordening</w:t>
      </w:r>
      <w:r w:rsidRPr="000F1E61">
        <w:rPr>
          <w:szCs w:val="18"/>
          <w:lang w:val="nl-NL"/>
        </w:rPr>
        <w:t xml:space="preserve"> aangenomen voor de uitvoering en financiering van de EU-begr</w:t>
      </w:r>
      <w:r>
        <w:rPr>
          <w:szCs w:val="18"/>
          <w:lang w:val="nl-NL"/>
        </w:rPr>
        <w:t xml:space="preserve">oting 2019 in het geval van een </w:t>
      </w:r>
      <w:r w:rsidRPr="006E18B3">
        <w:rPr>
          <w:i/>
          <w:szCs w:val="18"/>
          <w:lang w:val="nl-NL"/>
        </w:rPr>
        <w:t>no-deal</w:t>
      </w:r>
      <w:r>
        <w:rPr>
          <w:szCs w:val="18"/>
          <w:lang w:val="nl-NL"/>
        </w:rPr>
        <w:t xml:space="preserve"> </w:t>
      </w:r>
      <w:proofErr w:type="spellStart"/>
      <w:r w:rsidRPr="000F1E61">
        <w:rPr>
          <w:szCs w:val="18"/>
          <w:lang w:val="nl-NL"/>
        </w:rPr>
        <w:t>Brexit</w:t>
      </w:r>
      <w:proofErr w:type="spellEnd"/>
      <w:r w:rsidRPr="000F1E61">
        <w:rPr>
          <w:szCs w:val="18"/>
          <w:lang w:val="nl-NL"/>
        </w:rPr>
        <w:t>.</w:t>
      </w:r>
      <w:r>
        <w:rPr>
          <w:rStyle w:val="Voetnootmarkering"/>
          <w:szCs w:val="18"/>
          <w:lang w:val="nl-NL"/>
        </w:rPr>
        <w:footnoteReference w:id="14"/>
      </w:r>
      <w:r>
        <w:rPr>
          <w:szCs w:val="18"/>
          <w:lang w:val="nl-NL"/>
        </w:rPr>
        <w:t xml:space="preserve"> </w:t>
      </w:r>
      <w:r w:rsidR="00407351">
        <w:rPr>
          <w:szCs w:val="18"/>
          <w:lang w:val="nl-NL"/>
        </w:rPr>
        <w:t xml:space="preserve">Uw Kamer is in </w:t>
      </w:r>
      <w:r w:rsidR="00742B9B">
        <w:rPr>
          <w:szCs w:val="18"/>
          <w:lang w:val="nl-NL"/>
        </w:rPr>
        <w:t>een</w:t>
      </w:r>
      <w:r w:rsidR="00407351">
        <w:rPr>
          <w:szCs w:val="18"/>
          <w:lang w:val="nl-NL"/>
        </w:rPr>
        <w:t xml:space="preserve"> brief van </w:t>
      </w:r>
      <w:r w:rsidR="00742B9B">
        <w:rPr>
          <w:szCs w:val="18"/>
          <w:lang w:val="nl-NL"/>
        </w:rPr>
        <w:t>de minister van Buitenlandse Zaken</w:t>
      </w:r>
      <w:r w:rsidR="00407351">
        <w:rPr>
          <w:szCs w:val="18"/>
          <w:lang w:val="nl-NL"/>
        </w:rPr>
        <w:t xml:space="preserve"> op </w:t>
      </w:r>
      <w:r w:rsidR="00742B9B">
        <w:rPr>
          <w:szCs w:val="18"/>
          <w:lang w:val="nl-NL"/>
        </w:rPr>
        <w:t>5 april jl.</w:t>
      </w:r>
      <w:r w:rsidR="00407351">
        <w:rPr>
          <w:szCs w:val="18"/>
          <w:lang w:val="nl-NL"/>
        </w:rPr>
        <w:t xml:space="preserve"> over deze verordening geïnformeerd.</w:t>
      </w:r>
      <w:r w:rsidR="00407351">
        <w:rPr>
          <w:rStyle w:val="Voetnootmarkering"/>
          <w:szCs w:val="18"/>
          <w:lang w:val="nl-NL"/>
        </w:rPr>
        <w:footnoteReference w:id="15"/>
      </w:r>
      <w:r w:rsidR="00407351">
        <w:rPr>
          <w:szCs w:val="18"/>
          <w:lang w:val="nl-NL"/>
        </w:rPr>
        <w:t xml:space="preserve"> </w:t>
      </w:r>
      <w:r w:rsidRPr="00742B9B" w:rsidR="00742B9B">
        <w:rPr>
          <w:color w:val="211D1F"/>
          <w:szCs w:val="18"/>
          <w:lang w:val="nl-NL"/>
        </w:rPr>
        <w:t>Met deze veror</w:t>
      </w:r>
      <w:r w:rsidR="00742B9B">
        <w:rPr>
          <w:color w:val="211D1F"/>
          <w:szCs w:val="18"/>
          <w:lang w:val="nl-NL"/>
        </w:rPr>
        <w:t>dening wordt geregeld dat het Verenigd Koninkrijk (VK)</w:t>
      </w:r>
      <w:r w:rsidRPr="00742B9B" w:rsidR="00742B9B">
        <w:rPr>
          <w:color w:val="211D1F"/>
          <w:szCs w:val="18"/>
          <w:lang w:val="nl-NL"/>
        </w:rPr>
        <w:t xml:space="preserve"> in 2019 nog steeds kan blijven bijdragen aan de EU-begroting </w:t>
      </w:r>
      <w:r w:rsidR="00742B9B">
        <w:rPr>
          <w:color w:val="211D1F"/>
          <w:szCs w:val="18"/>
          <w:lang w:val="nl-NL"/>
        </w:rPr>
        <w:t>in geval van</w:t>
      </w:r>
      <w:r w:rsidRPr="00742B9B" w:rsidR="00742B9B">
        <w:rPr>
          <w:color w:val="211D1F"/>
          <w:szCs w:val="18"/>
          <w:lang w:val="nl-NL"/>
        </w:rPr>
        <w:t xml:space="preserve"> een </w:t>
      </w:r>
      <w:r w:rsidRPr="00742B9B" w:rsidR="00742B9B">
        <w:rPr>
          <w:i/>
          <w:color w:val="211D1F"/>
          <w:szCs w:val="18"/>
          <w:lang w:val="nl-NL"/>
        </w:rPr>
        <w:t>no-deal</w:t>
      </w:r>
      <w:r w:rsidR="00742B9B">
        <w:rPr>
          <w:color w:val="211D1F"/>
          <w:szCs w:val="18"/>
          <w:lang w:val="nl-NL"/>
        </w:rPr>
        <w:t xml:space="preserve"> </w:t>
      </w:r>
      <w:proofErr w:type="spellStart"/>
      <w:r w:rsidRPr="00742B9B" w:rsidR="00742B9B">
        <w:rPr>
          <w:color w:val="211D1F"/>
          <w:szCs w:val="18"/>
          <w:lang w:val="nl-NL"/>
        </w:rPr>
        <w:t>Brexit</w:t>
      </w:r>
      <w:proofErr w:type="spellEnd"/>
      <w:r w:rsidRPr="00742B9B" w:rsidR="00742B9B">
        <w:rPr>
          <w:color w:val="211D1F"/>
          <w:szCs w:val="18"/>
          <w:lang w:val="nl-NL"/>
        </w:rPr>
        <w:t>. Op deze manier kan het VK aan zijn financiële verplichtingen blijven voldoen. De verordening regelt ook dat wanneer het VK blijft bijdragen, de betalingen uit de EU-begroting aan begunstigden in het VK ook worden doorbetaald.</w:t>
      </w:r>
    </w:p>
    <w:p w:rsidR="006E18B3" w:rsidP="008E5AFF" w:rsidRDefault="006E18B3" w14:paraId="6273D221" w14:textId="73CECF7A">
      <w:pPr>
        <w:spacing w:after="0" w:line="360" w:lineRule="auto"/>
        <w:contextualSpacing/>
        <w:rPr>
          <w:b/>
          <w:bCs/>
          <w:szCs w:val="18"/>
          <w:lang w:val="nl-NL"/>
        </w:rPr>
      </w:pPr>
    </w:p>
    <w:p w:rsidRPr="005561A5" w:rsidR="005561A5" w:rsidP="008E5AFF" w:rsidRDefault="005561A5" w14:paraId="5F42F202" w14:textId="3885073F">
      <w:pPr>
        <w:spacing w:after="0" w:line="360" w:lineRule="auto"/>
        <w:contextualSpacing/>
        <w:rPr>
          <w:b/>
          <w:bCs/>
          <w:szCs w:val="18"/>
          <w:lang w:val="nl-NL"/>
        </w:rPr>
      </w:pPr>
      <w:r w:rsidRPr="005561A5">
        <w:rPr>
          <w:b/>
          <w:bCs/>
          <w:szCs w:val="18"/>
          <w:lang w:val="nl-NL"/>
        </w:rPr>
        <w:t>Eigen middelen EU</w:t>
      </w:r>
    </w:p>
    <w:p w:rsidR="00B71774" w:rsidP="008E5AFF" w:rsidRDefault="005876B3" w14:paraId="67491146" w14:textId="77777777">
      <w:pPr>
        <w:spacing w:after="0" w:line="360" w:lineRule="auto"/>
        <w:contextualSpacing/>
        <w:rPr>
          <w:bCs/>
          <w:szCs w:val="18"/>
          <w:lang w:val="nl-NL"/>
        </w:rPr>
      </w:pPr>
      <w:r>
        <w:rPr>
          <w:bCs/>
          <w:szCs w:val="18"/>
          <w:lang w:val="nl-NL"/>
        </w:rPr>
        <w:t>In de Ecofinraad is gesproken over</w:t>
      </w:r>
      <w:r w:rsidRPr="005561A5" w:rsidR="005561A5">
        <w:rPr>
          <w:bCs/>
          <w:szCs w:val="18"/>
          <w:lang w:val="nl-NL"/>
        </w:rPr>
        <w:t xml:space="preserve"> de voorstellen van de Commissie ten aanzien van de verschillende eigen middelen die de lidstaten afdragen aan de EU, met als doel de onderhandelingen over het </w:t>
      </w:r>
      <w:r>
        <w:rPr>
          <w:bCs/>
          <w:szCs w:val="18"/>
          <w:lang w:val="nl-NL"/>
        </w:rPr>
        <w:t>Meerjarig Financieel Kader (</w:t>
      </w:r>
      <w:r w:rsidRPr="005561A5" w:rsidR="005561A5">
        <w:rPr>
          <w:bCs/>
          <w:szCs w:val="18"/>
          <w:lang w:val="nl-NL"/>
        </w:rPr>
        <w:t>MFK</w:t>
      </w:r>
      <w:r>
        <w:rPr>
          <w:bCs/>
          <w:szCs w:val="18"/>
          <w:lang w:val="nl-NL"/>
        </w:rPr>
        <w:t>)</w:t>
      </w:r>
      <w:r w:rsidRPr="005561A5" w:rsidR="005561A5">
        <w:rPr>
          <w:bCs/>
          <w:szCs w:val="18"/>
          <w:lang w:val="nl-NL"/>
        </w:rPr>
        <w:t xml:space="preserve"> verder te brengen.</w:t>
      </w:r>
      <w:r w:rsidR="005A1E2D">
        <w:rPr>
          <w:rStyle w:val="Voetnootmarkering"/>
          <w:bCs/>
          <w:szCs w:val="18"/>
          <w:lang w:val="nl-NL"/>
        </w:rPr>
        <w:footnoteReference w:id="16"/>
      </w:r>
      <w:r w:rsidRPr="005561A5" w:rsidR="005561A5">
        <w:rPr>
          <w:bCs/>
          <w:szCs w:val="18"/>
          <w:lang w:val="nl-NL"/>
        </w:rPr>
        <w:t xml:space="preserve"> De onderhandelingen over het MFK vinden voornamelijk plaats in de Raad Algemene Zaken (RAZ). Echter, de eigen middelen vallen onder de bevoegdheid van de ministers van Financiën. </w:t>
      </w:r>
    </w:p>
    <w:p w:rsidR="00B71774" w:rsidP="008E5AFF" w:rsidRDefault="00B71774" w14:paraId="262A116A" w14:textId="77777777">
      <w:pPr>
        <w:spacing w:after="0" w:line="360" w:lineRule="auto"/>
        <w:contextualSpacing/>
        <w:rPr>
          <w:bCs/>
          <w:szCs w:val="18"/>
          <w:lang w:val="nl-NL"/>
        </w:rPr>
      </w:pPr>
    </w:p>
    <w:p w:rsidRPr="005561A5" w:rsidR="005561A5" w:rsidP="008E5AFF" w:rsidRDefault="005561A5" w14:paraId="4638A603" w14:textId="79289D5E">
      <w:pPr>
        <w:spacing w:after="0" w:line="360" w:lineRule="auto"/>
        <w:contextualSpacing/>
        <w:rPr>
          <w:bCs/>
          <w:szCs w:val="18"/>
          <w:lang w:val="nl-NL"/>
        </w:rPr>
      </w:pPr>
      <w:r w:rsidRPr="005561A5">
        <w:rPr>
          <w:bCs/>
          <w:szCs w:val="18"/>
          <w:lang w:val="nl-NL"/>
        </w:rPr>
        <w:t>In mei 2018 heeft de Commissie als onderdeel van het MFK-pakket drie nieuwe grondslagen voorgesteld op basis waarvan lidstaten zouden moeten gaan af</w:t>
      </w:r>
      <w:r w:rsidR="00980E19">
        <w:rPr>
          <w:bCs/>
          <w:szCs w:val="18"/>
          <w:lang w:val="nl-NL"/>
        </w:rPr>
        <w:t xml:space="preserve">dragen aan de EU-begroting: de </w:t>
      </w:r>
      <w:r w:rsidRPr="000F1E61" w:rsidR="00980E19">
        <w:rPr>
          <w:bCs/>
          <w:i/>
          <w:szCs w:val="18"/>
          <w:lang w:val="nl-NL"/>
        </w:rPr>
        <w:t xml:space="preserve">Common </w:t>
      </w:r>
      <w:proofErr w:type="spellStart"/>
      <w:r w:rsidRPr="000F1E61" w:rsidR="00980E19">
        <w:rPr>
          <w:bCs/>
          <w:i/>
          <w:szCs w:val="18"/>
          <w:lang w:val="nl-NL"/>
        </w:rPr>
        <w:t>Consolidated</w:t>
      </w:r>
      <w:proofErr w:type="spellEnd"/>
      <w:r w:rsidRPr="000F1E61" w:rsidR="00980E19">
        <w:rPr>
          <w:bCs/>
          <w:i/>
          <w:szCs w:val="18"/>
          <w:lang w:val="nl-NL"/>
        </w:rPr>
        <w:t xml:space="preserve"> Corporate T</w:t>
      </w:r>
      <w:r w:rsidRPr="000F1E61">
        <w:rPr>
          <w:bCs/>
          <w:i/>
          <w:szCs w:val="18"/>
          <w:lang w:val="nl-NL"/>
        </w:rPr>
        <w:t xml:space="preserve">ax </w:t>
      </w:r>
      <w:r w:rsidRPr="000F1E61" w:rsidR="00980E19">
        <w:rPr>
          <w:bCs/>
          <w:i/>
          <w:szCs w:val="18"/>
          <w:lang w:val="nl-NL"/>
        </w:rPr>
        <w:t>B</w:t>
      </w:r>
      <w:r w:rsidRPr="000F1E61">
        <w:rPr>
          <w:bCs/>
          <w:i/>
          <w:szCs w:val="18"/>
          <w:lang w:val="nl-NL"/>
        </w:rPr>
        <w:t>ase</w:t>
      </w:r>
      <w:r w:rsidRPr="005561A5">
        <w:rPr>
          <w:bCs/>
          <w:szCs w:val="18"/>
          <w:lang w:val="nl-NL"/>
        </w:rPr>
        <w:t xml:space="preserve"> (CCCTB), het </w:t>
      </w:r>
      <w:proofErr w:type="spellStart"/>
      <w:r w:rsidRPr="000F1E61">
        <w:rPr>
          <w:bCs/>
          <w:i/>
          <w:szCs w:val="18"/>
          <w:lang w:val="nl-NL"/>
        </w:rPr>
        <w:t>Emissions</w:t>
      </w:r>
      <w:proofErr w:type="spellEnd"/>
      <w:r w:rsidRPr="000F1E61">
        <w:rPr>
          <w:bCs/>
          <w:i/>
          <w:szCs w:val="18"/>
          <w:lang w:val="nl-NL"/>
        </w:rPr>
        <w:t xml:space="preserve"> </w:t>
      </w:r>
      <w:proofErr w:type="spellStart"/>
      <w:r w:rsidRPr="000F1E61">
        <w:rPr>
          <w:bCs/>
          <w:i/>
          <w:szCs w:val="18"/>
          <w:lang w:val="nl-NL"/>
        </w:rPr>
        <w:t>Trading</w:t>
      </w:r>
      <w:proofErr w:type="spellEnd"/>
      <w:r w:rsidRPr="000F1E61">
        <w:rPr>
          <w:bCs/>
          <w:i/>
          <w:szCs w:val="18"/>
          <w:lang w:val="nl-NL"/>
        </w:rPr>
        <w:t xml:space="preserve"> </w:t>
      </w:r>
      <w:proofErr w:type="spellStart"/>
      <w:r w:rsidRPr="000F1E61">
        <w:rPr>
          <w:bCs/>
          <w:i/>
          <w:szCs w:val="18"/>
          <w:lang w:val="nl-NL"/>
        </w:rPr>
        <w:t>Scheme</w:t>
      </w:r>
      <w:proofErr w:type="spellEnd"/>
      <w:r w:rsidRPr="005561A5">
        <w:rPr>
          <w:bCs/>
          <w:szCs w:val="18"/>
          <w:lang w:val="nl-NL"/>
        </w:rPr>
        <w:t xml:space="preserve"> (ETS) en niet-gerecycled plasticafval. Daarnaast stelt de Commissie voor het bestaande btw-middel te vereenvoudigen. De BNI-afdracht blijft in de voorstellen van de Commissie de belangrijkste afdracht en behoudt de huidige functie als sluitstuk van de financiering van het MFK. </w:t>
      </w:r>
    </w:p>
    <w:p w:rsidRPr="005561A5" w:rsidR="005561A5" w:rsidP="008E5AFF" w:rsidRDefault="005561A5" w14:paraId="064596BD" w14:textId="77777777">
      <w:pPr>
        <w:spacing w:after="0" w:line="360" w:lineRule="auto"/>
        <w:contextualSpacing/>
        <w:rPr>
          <w:bCs/>
          <w:szCs w:val="18"/>
          <w:lang w:val="nl-NL"/>
        </w:rPr>
      </w:pPr>
    </w:p>
    <w:p w:rsidR="00B33D41" w:rsidP="008E5AFF" w:rsidRDefault="005561A5" w14:paraId="4AA16BD5" w14:textId="096C949B">
      <w:pPr>
        <w:spacing w:after="0" w:line="360" w:lineRule="auto"/>
        <w:contextualSpacing/>
        <w:rPr>
          <w:bCs/>
          <w:szCs w:val="18"/>
          <w:lang w:val="nl-NL"/>
        </w:rPr>
      </w:pPr>
      <w:r w:rsidRPr="005561A5">
        <w:rPr>
          <w:bCs/>
          <w:szCs w:val="18"/>
          <w:lang w:val="nl-NL"/>
        </w:rPr>
        <w:t xml:space="preserve">Nederland </w:t>
      </w:r>
      <w:r w:rsidR="00B33D41">
        <w:rPr>
          <w:bCs/>
          <w:szCs w:val="18"/>
          <w:lang w:val="nl-NL"/>
        </w:rPr>
        <w:t>heeft aangegeven</w:t>
      </w:r>
      <w:r w:rsidRPr="005561A5">
        <w:rPr>
          <w:bCs/>
          <w:szCs w:val="18"/>
          <w:lang w:val="nl-NL"/>
        </w:rPr>
        <w:t xml:space="preserve"> terughoudend </w:t>
      </w:r>
      <w:r w:rsidR="00B33D41">
        <w:rPr>
          <w:bCs/>
          <w:szCs w:val="18"/>
          <w:lang w:val="nl-NL"/>
        </w:rPr>
        <w:t xml:space="preserve">te staan </w:t>
      </w:r>
      <w:r w:rsidRPr="005561A5">
        <w:rPr>
          <w:bCs/>
          <w:szCs w:val="18"/>
          <w:lang w:val="nl-NL"/>
        </w:rPr>
        <w:t>tegenover de introduc</w:t>
      </w:r>
      <w:r w:rsidR="005876B3">
        <w:rPr>
          <w:bCs/>
          <w:szCs w:val="18"/>
          <w:lang w:val="nl-NL"/>
        </w:rPr>
        <w:t>tie van nieuwe eigen middelen</w:t>
      </w:r>
      <w:r w:rsidR="00B33D41">
        <w:rPr>
          <w:bCs/>
          <w:szCs w:val="18"/>
          <w:lang w:val="nl-NL"/>
        </w:rPr>
        <w:t>, onder andere omdat het de afdrachten</w:t>
      </w:r>
      <w:r w:rsidR="002B6A69">
        <w:rPr>
          <w:bCs/>
          <w:szCs w:val="18"/>
          <w:lang w:val="nl-NL"/>
        </w:rPr>
        <w:t xml:space="preserve"> complexer</w:t>
      </w:r>
      <w:r w:rsidR="00B33D41">
        <w:rPr>
          <w:bCs/>
          <w:szCs w:val="18"/>
          <w:lang w:val="nl-NL"/>
        </w:rPr>
        <w:t xml:space="preserve"> </w:t>
      </w:r>
      <w:r w:rsidR="002B6A69">
        <w:rPr>
          <w:bCs/>
          <w:szCs w:val="18"/>
          <w:lang w:val="nl-NL"/>
        </w:rPr>
        <w:t xml:space="preserve">en </w:t>
      </w:r>
      <w:r w:rsidR="00B33D41">
        <w:rPr>
          <w:bCs/>
          <w:szCs w:val="18"/>
          <w:lang w:val="nl-NL"/>
        </w:rPr>
        <w:t>minder transparant zal maken. Meerdere andere lidstaten waren ook kritisch ten aanzien van nieuwe eigen middelen, met name over de CCCT</w:t>
      </w:r>
      <w:r w:rsidR="005A1E2D">
        <w:rPr>
          <w:bCs/>
          <w:szCs w:val="18"/>
          <w:lang w:val="nl-NL"/>
        </w:rPr>
        <w:t>B</w:t>
      </w:r>
      <w:r w:rsidR="00B33D41">
        <w:rPr>
          <w:bCs/>
          <w:szCs w:val="18"/>
          <w:lang w:val="nl-NL"/>
        </w:rPr>
        <w:t xml:space="preserve"> en ETS. Een afdracht op basis van niet-gerecycled plastic kon </w:t>
      </w:r>
      <w:r w:rsidR="00011D4E">
        <w:rPr>
          <w:bCs/>
          <w:szCs w:val="18"/>
          <w:lang w:val="nl-NL"/>
        </w:rPr>
        <w:t xml:space="preserve">in het krachtenveld </w:t>
      </w:r>
      <w:r w:rsidR="00B33D41">
        <w:rPr>
          <w:bCs/>
          <w:szCs w:val="18"/>
          <w:lang w:val="nl-NL"/>
        </w:rPr>
        <w:t>wel op brede steun rekenen. Daarnaast opperden meerdere lidstaten dat</w:t>
      </w:r>
      <w:r w:rsidR="008808A2">
        <w:rPr>
          <w:bCs/>
          <w:szCs w:val="18"/>
          <w:lang w:val="nl-NL"/>
        </w:rPr>
        <w:t xml:space="preserve"> het goed zou zijn om</w:t>
      </w:r>
      <w:r w:rsidR="00B33D41">
        <w:rPr>
          <w:bCs/>
          <w:szCs w:val="18"/>
          <w:lang w:val="nl-NL"/>
        </w:rPr>
        <w:t xml:space="preserve"> ook andere mogelijke eigen middelen </w:t>
      </w:r>
      <w:r w:rsidR="008808A2">
        <w:rPr>
          <w:bCs/>
          <w:szCs w:val="18"/>
          <w:lang w:val="nl-NL"/>
        </w:rPr>
        <w:t>verder te onderzoeken</w:t>
      </w:r>
      <w:r w:rsidR="00CA29E4">
        <w:rPr>
          <w:bCs/>
          <w:szCs w:val="18"/>
          <w:lang w:val="nl-NL"/>
        </w:rPr>
        <w:t xml:space="preserve">, </w:t>
      </w:r>
      <w:r w:rsidR="00FE0F2E">
        <w:rPr>
          <w:bCs/>
          <w:szCs w:val="18"/>
          <w:lang w:val="nl-NL"/>
        </w:rPr>
        <w:t xml:space="preserve">die </w:t>
      </w:r>
      <w:r w:rsidR="002B6A69">
        <w:rPr>
          <w:bCs/>
          <w:szCs w:val="18"/>
          <w:lang w:val="nl-NL"/>
        </w:rPr>
        <w:t xml:space="preserve">bijvoorbeeld </w:t>
      </w:r>
      <w:r w:rsidR="00FE0F2E">
        <w:rPr>
          <w:bCs/>
          <w:szCs w:val="18"/>
          <w:lang w:val="nl-NL"/>
        </w:rPr>
        <w:t>raken aan klimaat en milieu</w:t>
      </w:r>
      <w:r w:rsidR="00CA29E4">
        <w:rPr>
          <w:bCs/>
          <w:szCs w:val="18"/>
          <w:lang w:val="nl-NL"/>
        </w:rPr>
        <w:t>.</w:t>
      </w:r>
      <w:r w:rsidR="002B6A69">
        <w:rPr>
          <w:bCs/>
          <w:szCs w:val="18"/>
          <w:lang w:val="nl-NL"/>
        </w:rPr>
        <w:t xml:space="preserve"> Andere lidstaten, waaronder Nederland, toonden zich daarover terughoudend.</w:t>
      </w:r>
      <w:r w:rsidR="003749AB">
        <w:rPr>
          <w:bCs/>
          <w:szCs w:val="18"/>
          <w:lang w:val="nl-NL"/>
        </w:rPr>
        <w:t xml:space="preserve"> </w:t>
      </w:r>
    </w:p>
    <w:p w:rsidR="00B71774" w:rsidP="008E5AFF" w:rsidRDefault="00B71774" w14:paraId="7604F2D1" w14:textId="77777777">
      <w:pPr>
        <w:spacing w:after="0" w:line="360" w:lineRule="auto"/>
        <w:contextualSpacing/>
        <w:rPr>
          <w:b/>
          <w:bCs/>
          <w:szCs w:val="18"/>
          <w:lang w:val="nl-NL"/>
        </w:rPr>
      </w:pPr>
    </w:p>
    <w:p w:rsidR="00F37D5A" w:rsidP="008E5AFF" w:rsidRDefault="00F37D5A" w14:paraId="0389033B" w14:textId="77777777">
      <w:pPr>
        <w:spacing w:after="0" w:line="360" w:lineRule="auto"/>
        <w:contextualSpacing/>
        <w:rPr>
          <w:b/>
          <w:bCs/>
          <w:szCs w:val="18"/>
          <w:lang w:val="nl-NL"/>
        </w:rPr>
      </w:pPr>
    </w:p>
    <w:p w:rsidR="00F37D5A" w:rsidP="008E5AFF" w:rsidRDefault="00F37D5A" w14:paraId="515D0164" w14:textId="77777777">
      <w:pPr>
        <w:spacing w:after="0" w:line="360" w:lineRule="auto"/>
        <w:contextualSpacing/>
        <w:rPr>
          <w:b/>
          <w:bCs/>
          <w:szCs w:val="18"/>
          <w:lang w:val="nl-NL"/>
        </w:rPr>
      </w:pPr>
    </w:p>
    <w:p w:rsidRPr="005561A5" w:rsidR="005561A5" w:rsidP="008E5AFF" w:rsidRDefault="005561A5" w14:paraId="3979188B" w14:textId="3A4DAFC6">
      <w:pPr>
        <w:spacing w:after="0" w:line="360" w:lineRule="auto"/>
        <w:contextualSpacing/>
        <w:rPr>
          <w:b/>
          <w:bCs/>
          <w:szCs w:val="18"/>
          <w:lang w:val="nl-NL"/>
        </w:rPr>
      </w:pPr>
      <w:r w:rsidRPr="005561A5">
        <w:rPr>
          <w:b/>
          <w:bCs/>
          <w:szCs w:val="18"/>
          <w:lang w:val="nl-NL"/>
        </w:rPr>
        <w:lastRenderedPageBreak/>
        <w:t xml:space="preserve">Werkprogramma </w:t>
      </w:r>
      <w:proofErr w:type="spellStart"/>
      <w:r w:rsidRPr="005561A5">
        <w:rPr>
          <w:b/>
          <w:bCs/>
          <w:szCs w:val="18"/>
          <w:lang w:val="nl-NL"/>
        </w:rPr>
        <w:t>Ecofin</w:t>
      </w:r>
      <w:r w:rsidR="00367B4D">
        <w:rPr>
          <w:b/>
          <w:bCs/>
          <w:szCs w:val="18"/>
          <w:lang w:val="nl-NL"/>
        </w:rPr>
        <w:t>raad</w:t>
      </w:r>
      <w:proofErr w:type="spellEnd"/>
      <w:r w:rsidRPr="005561A5">
        <w:rPr>
          <w:b/>
          <w:bCs/>
          <w:szCs w:val="18"/>
          <w:lang w:val="nl-NL"/>
        </w:rPr>
        <w:t xml:space="preserve"> 2019-II</w:t>
      </w:r>
    </w:p>
    <w:p w:rsidR="005876B3" w:rsidP="008E5AFF" w:rsidRDefault="005876B3" w14:paraId="6816A775" w14:textId="75D595A1">
      <w:pPr>
        <w:spacing w:after="0" w:line="360" w:lineRule="auto"/>
        <w:contextualSpacing/>
        <w:rPr>
          <w:bCs/>
          <w:szCs w:val="18"/>
          <w:lang w:val="nl-NL"/>
        </w:rPr>
      </w:pPr>
      <w:r>
        <w:rPr>
          <w:bCs/>
          <w:szCs w:val="18"/>
          <w:lang w:val="nl-NL"/>
        </w:rPr>
        <w:t>D</w:t>
      </w:r>
      <w:r w:rsidRPr="005561A5" w:rsidR="005561A5">
        <w:rPr>
          <w:bCs/>
          <w:szCs w:val="18"/>
          <w:lang w:val="nl-NL"/>
        </w:rPr>
        <w:t xml:space="preserve">e tweede helft van 2019 is Finland de voorzitter van de Raad van de Europese Unie. In </w:t>
      </w:r>
      <w:r>
        <w:rPr>
          <w:bCs/>
          <w:szCs w:val="18"/>
          <w:lang w:val="nl-NL"/>
        </w:rPr>
        <w:t>de</w:t>
      </w:r>
      <w:r w:rsidRPr="005561A5" w:rsidR="005561A5">
        <w:rPr>
          <w:bCs/>
          <w:szCs w:val="18"/>
          <w:lang w:val="nl-NL"/>
        </w:rPr>
        <w:t xml:space="preserve"> Ecofinraad </w:t>
      </w:r>
      <w:r>
        <w:rPr>
          <w:bCs/>
          <w:szCs w:val="18"/>
          <w:lang w:val="nl-NL"/>
        </w:rPr>
        <w:t>heeft</w:t>
      </w:r>
      <w:r w:rsidRPr="005561A5" w:rsidR="005561A5">
        <w:rPr>
          <w:bCs/>
          <w:szCs w:val="18"/>
          <w:lang w:val="nl-NL"/>
        </w:rPr>
        <w:t xml:space="preserve"> Finland </w:t>
      </w:r>
      <w:r>
        <w:rPr>
          <w:bCs/>
          <w:szCs w:val="18"/>
          <w:lang w:val="nl-NL"/>
        </w:rPr>
        <w:t>haar</w:t>
      </w:r>
      <w:r w:rsidRPr="005561A5" w:rsidR="005561A5">
        <w:rPr>
          <w:bCs/>
          <w:szCs w:val="18"/>
          <w:lang w:val="nl-NL"/>
        </w:rPr>
        <w:t xml:space="preserve"> werkprogramma </w:t>
      </w:r>
      <w:r>
        <w:rPr>
          <w:bCs/>
          <w:szCs w:val="18"/>
          <w:lang w:val="nl-NL"/>
        </w:rPr>
        <w:t>gepresenteerd</w:t>
      </w:r>
      <w:r w:rsidRPr="005561A5" w:rsidR="005561A5">
        <w:rPr>
          <w:bCs/>
          <w:szCs w:val="18"/>
          <w:lang w:val="nl-NL"/>
        </w:rPr>
        <w:t>. Het Finse voorzitterschap zal zich richten op: manieren om de gemeenschappelijke waarden van de EU beter te borgen, het vergroten van het concurrentievermogen en inclusieve groei, duurzaamheid en klimaatverandering, veiligheid, migratie</w:t>
      </w:r>
      <w:r w:rsidR="002B6A69">
        <w:rPr>
          <w:bCs/>
          <w:szCs w:val="18"/>
          <w:lang w:val="nl-NL"/>
        </w:rPr>
        <w:t xml:space="preserve"> </w:t>
      </w:r>
      <w:r w:rsidRPr="005561A5" w:rsidR="005561A5">
        <w:rPr>
          <w:bCs/>
          <w:szCs w:val="18"/>
          <w:lang w:val="nl-NL"/>
        </w:rPr>
        <w:t xml:space="preserve">en het </w:t>
      </w:r>
      <w:r w:rsidR="002B6A69">
        <w:rPr>
          <w:bCs/>
          <w:szCs w:val="18"/>
          <w:lang w:val="nl-NL"/>
        </w:rPr>
        <w:t>volgende</w:t>
      </w:r>
      <w:r w:rsidRPr="005561A5" w:rsidR="002B6A69">
        <w:rPr>
          <w:bCs/>
          <w:szCs w:val="18"/>
          <w:lang w:val="nl-NL"/>
        </w:rPr>
        <w:t xml:space="preserve"> </w:t>
      </w:r>
      <w:r w:rsidRPr="005561A5" w:rsidR="005561A5">
        <w:rPr>
          <w:bCs/>
          <w:szCs w:val="18"/>
          <w:lang w:val="nl-NL"/>
        </w:rPr>
        <w:t>Meerjarig Financieel Kader (MFK). In de Ecofinraad zal het Finse voorzitterschap voortborduren op relevante discussies die de afgelopen periode hebben plaatsgevonden: versterking van de Economische en Monetaire Unie (EMU), het verder ontwikkelen van de bankenunie en de kapitaalmarktunie, eerlijke en effectieve belasting en bijdragen aan gecoördineerd economisch beleid om economieën veerkrachtiger te maken. Het volledige programma is te vinden op de website van het Finse voorzitterschap.</w:t>
      </w:r>
      <w:r>
        <w:rPr>
          <w:rStyle w:val="Voetnootmarkering"/>
          <w:bCs/>
          <w:szCs w:val="18"/>
          <w:lang w:val="nl-NL"/>
        </w:rPr>
        <w:footnoteReference w:id="17"/>
      </w:r>
    </w:p>
    <w:p w:rsidR="00C7042B" w:rsidP="008E5AFF" w:rsidRDefault="00C7042B" w14:paraId="17CABDB0" w14:textId="77777777">
      <w:pPr>
        <w:spacing w:after="0" w:line="360" w:lineRule="auto"/>
        <w:contextualSpacing/>
        <w:rPr>
          <w:b/>
          <w:bCs/>
          <w:szCs w:val="18"/>
          <w:lang w:val="nl-NL"/>
        </w:rPr>
      </w:pPr>
    </w:p>
    <w:p w:rsidRPr="005876B3" w:rsidR="005561A5" w:rsidP="008E5AFF" w:rsidRDefault="005561A5" w14:paraId="5A73C50A" w14:textId="0CF7C199">
      <w:pPr>
        <w:spacing w:after="0" w:line="360" w:lineRule="auto"/>
        <w:contextualSpacing/>
        <w:rPr>
          <w:b/>
          <w:bCs/>
          <w:szCs w:val="18"/>
          <w:lang w:val="nl-NL"/>
        </w:rPr>
      </w:pPr>
      <w:r w:rsidRPr="005876B3">
        <w:rPr>
          <w:b/>
          <w:bCs/>
          <w:szCs w:val="18"/>
          <w:lang w:val="nl-NL"/>
        </w:rPr>
        <w:t xml:space="preserve">Europees Semester </w:t>
      </w:r>
    </w:p>
    <w:p w:rsidRPr="005561A5" w:rsidR="00C7042B" w:rsidP="008E5AFF" w:rsidRDefault="005561A5" w14:paraId="2C223E33" w14:textId="1DDA32D2">
      <w:pPr>
        <w:spacing w:after="0" w:line="360" w:lineRule="auto"/>
        <w:contextualSpacing/>
        <w:rPr>
          <w:bCs/>
          <w:szCs w:val="18"/>
          <w:lang w:val="nl-NL"/>
        </w:rPr>
      </w:pPr>
      <w:r w:rsidRPr="005561A5">
        <w:rPr>
          <w:bCs/>
          <w:szCs w:val="18"/>
          <w:lang w:val="nl-NL"/>
        </w:rPr>
        <w:t xml:space="preserve">Op 5 juni </w:t>
      </w:r>
      <w:r w:rsidR="005876B3">
        <w:rPr>
          <w:bCs/>
          <w:szCs w:val="18"/>
          <w:lang w:val="nl-NL"/>
        </w:rPr>
        <w:t>jl.</w:t>
      </w:r>
      <w:r w:rsidRPr="005561A5">
        <w:rPr>
          <w:bCs/>
          <w:szCs w:val="18"/>
          <w:lang w:val="nl-NL"/>
        </w:rPr>
        <w:t xml:space="preserve"> publiceerde de Commissie haar voorstel voor </w:t>
      </w:r>
      <w:proofErr w:type="spellStart"/>
      <w:r w:rsidRPr="005561A5">
        <w:rPr>
          <w:bCs/>
          <w:szCs w:val="18"/>
          <w:lang w:val="nl-NL"/>
        </w:rPr>
        <w:t>landenspecifieke</w:t>
      </w:r>
      <w:proofErr w:type="spellEnd"/>
      <w:r w:rsidRPr="005561A5">
        <w:rPr>
          <w:bCs/>
          <w:szCs w:val="18"/>
          <w:lang w:val="nl-NL"/>
        </w:rPr>
        <w:t xml:space="preserve"> aanbevelingen in het kader van het Europees Semester.</w:t>
      </w:r>
      <w:r w:rsidR="005876B3">
        <w:rPr>
          <w:rStyle w:val="Voetnootmarkering"/>
          <w:bCs/>
          <w:szCs w:val="18"/>
          <w:lang w:val="nl-NL"/>
        </w:rPr>
        <w:footnoteReference w:id="18"/>
      </w:r>
      <w:r w:rsidRPr="005561A5">
        <w:rPr>
          <w:bCs/>
          <w:szCs w:val="18"/>
          <w:lang w:val="nl-NL"/>
        </w:rPr>
        <w:t xml:space="preserve"> Het Europees Semester is het jaarlijkse proces waarin EU-lidstaten hun economisch en budgettair beleid coördineren en combineert het toezicht op macro-economische onevenwichtigheden, overheidsfinanciën en het bevorderen van economische groei in Europa. De </w:t>
      </w:r>
      <w:proofErr w:type="spellStart"/>
      <w:r w:rsidRPr="005561A5">
        <w:rPr>
          <w:bCs/>
          <w:szCs w:val="18"/>
          <w:lang w:val="nl-NL"/>
        </w:rPr>
        <w:t>landenspecifieke</w:t>
      </w:r>
      <w:proofErr w:type="spellEnd"/>
      <w:r w:rsidRPr="005561A5">
        <w:rPr>
          <w:bCs/>
          <w:szCs w:val="18"/>
          <w:lang w:val="nl-NL"/>
        </w:rPr>
        <w:t xml:space="preserve"> aanbevelingen zijn gebaseerd op de landenrapportages van de Commissie, de lenteraming van de Commissie en de nationale hervormings- en stabiliteits- of convergentieprogramma’s die de lidstaten in april bij de Commissie hebben ingediend. </w:t>
      </w:r>
      <w:r w:rsidR="00C7042B">
        <w:rPr>
          <w:bCs/>
          <w:szCs w:val="18"/>
          <w:lang w:val="nl-NL"/>
        </w:rPr>
        <w:t xml:space="preserve">In de </w:t>
      </w:r>
      <w:proofErr w:type="spellStart"/>
      <w:r w:rsidR="00C7042B">
        <w:rPr>
          <w:bCs/>
          <w:szCs w:val="18"/>
          <w:lang w:val="nl-NL"/>
        </w:rPr>
        <w:t>Ecofinraad</w:t>
      </w:r>
      <w:proofErr w:type="spellEnd"/>
      <w:r w:rsidR="00C7042B">
        <w:rPr>
          <w:bCs/>
          <w:szCs w:val="18"/>
          <w:lang w:val="nl-NL"/>
        </w:rPr>
        <w:t xml:space="preserve"> zijn de </w:t>
      </w:r>
      <w:proofErr w:type="spellStart"/>
      <w:r w:rsidRPr="005561A5" w:rsidR="00C7042B">
        <w:rPr>
          <w:bCs/>
          <w:szCs w:val="18"/>
          <w:lang w:val="nl-NL"/>
        </w:rPr>
        <w:t>landenspecifieke</w:t>
      </w:r>
      <w:proofErr w:type="spellEnd"/>
      <w:r w:rsidRPr="005561A5" w:rsidR="00C7042B">
        <w:rPr>
          <w:bCs/>
          <w:szCs w:val="18"/>
          <w:lang w:val="nl-NL"/>
        </w:rPr>
        <w:t xml:space="preserve"> aanbevelingen</w:t>
      </w:r>
      <w:r w:rsidR="00C7042B">
        <w:rPr>
          <w:bCs/>
          <w:szCs w:val="18"/>
          <w:lang w:val="nl-NL"/>
        </w:rPr>
        <w:t xml:space="preserve"> aangenomen.</w:t>
      </w:r>
      <w:r w:rsidR="005A1E2D">
        <w:rPr>
          <w:rStyle w:val="Voetnootmarkering"/>
          <w:bCs/>
          <w:szCs w:val="18"/>
          <w:lang w:val="nl-NL"/>
        </w:rPr>
        <w:footnoteReference w:id="19"/>
      </w:r>
    </w:p>
    <w:p w:rsidR="005561A5" w:rsidP="008E5AFF" w:rsidRDefault="005561A5" w14:paraId="721B4749" w14:textId="099D2CC4">
      <w:pPr>
        <w:spacing w:after="0" w:line="360" w:lineRule="auto"/>
        <w:contextualSpacing/>
        <w:rPr>
          <w:b/>
          <w:bCs/>
          <w:szCs w:val="18"/>
          <w:lang w:val="nl-NL"/>
        </w:rPr>
      </w:pPr>
    </w:p>
    <w:p w:rsidRPr="0032216A" w:rsidR="0032216A" w:rsidP="008E5AFF" w:rsidRDefault="0032216A" w14:paraId="34CB3C12" w14:textId="3F273642">
      <w:pPr>
        <w:spacing w:after="0" w:line="360" w:lineRule="auto"/>
        <w:contextualSpacing/>
        <w:rPr>
          <w:b/>
          <w:bCs/>
          <w:szCs w:val="18"/>
          <w:lang w:val="nl-NL"/>
        </w:rPr>
      </w:pPr>
      <w:r>
        <w:rPr>
          <w:b/>
          <w:bCs/>
          <w:szCs w:val="18"/>
          <w:lang w:val="nl-NL"/>
        </w:rPr>
        <w:t xml:space="preserve">Benoeming </w:t>
      </w:r>
      <w:r w:rsidRPr="0032216A">
        <w:rPr>
          <w:b/>
          <w:bCs/>
          <w:szCs w:val="18"/>
          <w:lang w:val="nl-NL"/>
        </w:rPr>
        <w:t>voorzitter ECB</w:t>
      </w:r>
    </w:p>
    <w:p w:rsidR="0032216A" w:rsidP="008E5AFF" w:rsidRDefault="001D54FB" w14:paraId="092A4F56" w14:textId="157AA83C">
      <w:pPr>
        <w:spacing w:after="0" w:line="360" w:lineRule="auto"/>
        <w:contextualSpacing/>
        <w:rPr>
          <w:bCs/>
          <w:szCs w:val="18"/>
          <w:lang w:val="nl-NL"/>
        </w:rPr>
      </w:pPr>
      <w:r w:rsidRPr="001D54FB">
        <w:rPr>
          <w:bCs/>
          <w:szCs w:val="18"/>
          <w:lang w:val="nl-NL"/>
        </w:rPr>
        <w:t xml:space="preserve">Tijdens de Ecofinraad is een aanbeveling </w:t>
      </w:r>
      <w:r w:rsidR="00522756">
        <w:rPr>
          <w:bCs/>
          <w:szCs w:val="18"/>
          <w:lang w:val="nl-NL"/>
        </w:rPr>
        <w:t>aan</w:t>
      </w:r>
      <w:r w:rsidRPr="001D54FB">
        <w:rPr>
          <w:bCs/>
          <w:szCs w:val="18"/>
          <w:lang w:val="nl-NL"/>
        </w:rPr>
        <w:t xml:space="preserve"> de Europese Raad </w:t>
      </w:r>
      <w:r w:rsidRPr="001D54FB" w:rsidR="00522756">
        <w:rPr>
          <w:bCs/>
          <w:szCs w:val="18"/>
          <w:lang w:val="nl-NL"/>
        </w:rPr>
        <w:t xml:space="preserve">aangenomen </w:t>
      </w:r>
      <w:r w:rsidRPr="001D54FB">
        <w:rPr>
          <w:bCs/>
          <w:szCs w:val="18"/>
          <w:lang w:val="nl-NL"/>
        </w:rPr>
        <w:t xml:space="preserve">om </w:t>
      </w:r>
      <w:r>
        <w:rPr>
          <w:bCs/>
          <w:szCs w:val="18"/>
          <w:lang w:val="nl-NL"/>
        </w:rPr>
        <w:t xml:space="preserve">Christine Lagarde </w:t>
      </w:r>
      <w:r w:rsidRPr="001D54FB">
        <w:rPr>
          <w:bCs/>
          <w:szCs w:val="18"/>
          <w:lang w:val="nl-NL"/>
        </w:rPr>
        <w:t>te benoemen tot de n</w:t>
      </w:r>
      <w:r w:rsidR="001700CB">
        <w:rPr>
          <w:bCs/>
          <w:szCs w:val="18"/>
          <w:lang w:val="nl-NL"/>
        </w:rPr>
        <w:t xml:space="preserve">ieuwe </w:t>
      </w:r>
      <w:r>
        <w:rPr>
          <w:bCs/>
          <w:szCs w:val="18"/>
          <w:lang w:val="nl-NL"/>
        </w:rPr>
        <w:t xml:space="preserve">voorzitter van de ECB. </w:t>
      </w:r>
      <w:r w:rsidRPr="001D54FB" w:rsidR="00FC004C">
        <w:rPr>
          <w:bCs/>
          <w:szCs w:val="18"/>
          <w:lang w:val="nl-NL"/>
        </w:rPr>
        <w:t xml:space="preserve">Het Europees Parlement en de Raad van bestuur van de ECB </w:t>
      </w:r>
      <w:r w:rsidR="00FC004C">
        <w:rPr>
          <w:bCs/>
          <w:szCs w:val="18"/>
          <w:lang w:val="nl-NL"/>
        </w:rPr>
        <w:t xml:space="preserve">zullen over deze aanbeveling </w:t>
      </w:r>
      <w:r w:rsidRPr="001D54FB" w:rsidR="00FC004C">
        <w:rPr>
          <w:bCs/>
          <w:szCs w:val="18"/>
          <w:lang w:val="nl-NL"/>
        </w:rPr>
        <w:t>worden geraadpleegd</w:t>
      </w:r>
      <w:r w:rsidR="00FC004C">
        <w:rPr>
          <w:bCs/>
          <w:szCs w:val="18"/>
          <w:lang w:val="nl-NL"/>
        </w:rPr>
        <w:t xml:space="preserve">, waarna de Europese Raad de benoeming zal doen, </w:t>
      </w:r>
      <w:r w:rsidRPr="001D54FB">
        <w:rPr>
          <w:bCs/>
          <w:szCs w:val="18"/>
          <w:lang w:val="nl-NL"/>
        </w:rPr>
        <w:t xml:space="preserve">waarschijnlijk </w:t>
      </w:r>
      <w:r w:rsidR="00FC004C">
        <w:rPr>
          <w:bCs/>
          <w:szCs w:val="18"/>
          <w:lang w:val="nl-NL"/>
        </w:rPr>
        <w:t>in</w:t>
      </w:r>
      <w:r w:rsidRPr="001D54FB">
        <w:rPr>
          <w:bCs/>
          <w:szCs w:val="18"/>
          <w:lang w:val="nl-NL"/>
        </w:rPr>
        <w:t xml:space="preserve"> </w:t>
      </w:r>
      <w:r>
        <w:rPr>
          <w:bCs/>
          <w:szCs w:val="18"/>
          <w:lang w:val="nl-NL"/>
        </w:rPr>
        <w:t>oktober</w:t>
      </w:r>
      <w:r w:rsidRPr="001D54FB">
        <w:rPr>
          <w:bCs/>
          <w:szCs w:val="18"/>
          <w:lang w:val="nl-NL"/>
        </w:rPr>
        <w:t xml:space="preserve">. </w:t>
      </w:r>
    </w:p>
    <w:p w:rsidRPr="005561A5" w:rsidR="001D54FB" w:rsidP="008E5AFF" w:rsidRDefault="001D54FB" w14:paraId="111ED903" w14:textId="77777777">
      <w:pPr>
        <w:spacing w:after="0" w:line="360" w:lineRule="auto"/>
        <w:contextualSpacing/>
        <w:rPr>
          <w:b/>
          <w:bCs/>
          <w:szCs w:val="18"/>
          <w:lang w:val="nl-NL"/>
        </w:rPr>
      </w:pPr>
    </w:p>
    <w:p w:rsidR="00AA25C1" w:rsidP="008E5AFF" w:rsidRDefault="00AA25C1" w14:paraId="2A8E3B2E" w14:textId="77777777">
      <w:pPr>
        <w:pStyle w:val="Default"/>
        <w:spacing w:line="360" w:lineRule="auto"/>
        <w:contextualSpacing/>
        <w:rPr>
          <w:b/>
          <w:bCs/>
          <w:sz w:val="18"/>
          <w:szCs w:val="18"/>
        </w:rPr>
      </w:pPr>
      <w:r>
        <w:rPr>
          <w:b/>
          <w:bCs/>
          <w:sz w:val="18"/>
          <w:szCs w:val="18"/>
        </w:rPr>
        <w:t>AOB: terugkoppeling conferentie vliegbelasting en CO2-beprijzing</w:t>
      </w:r>
    </w:p>
    <w:p w:rsidR="000F1E61" w:rsidP="006E18B3" w:rsidRDefault="00AA25C1" w14:paraId="00833DA0" w14:textId="35E6AF8F">
      <w:pPr>
        <w:pStyle w:val="Default"/>
        <w:spacing w:line="360" w:lineRule="auto"/>
        <w:contextualSpacing/>
        <w:rPr>
          <w:b/>
          <w:szCs w:val="18"/>
          <w:u w:val="single"/>
        </w:rPr>
      </w:pPr>
      <w:r w:rsidRPr="00AA25C1">
        <w:rPr>
          <w:rFonts w:eastAsiaTheme="minorHAnsi" w:cstheme="minorBidi"/>
          <w:bCs/>
          <w:color w:val="auto"/>
          <w:sz w:val="18"/>
          <w:szCs w:val="18"/>
          <w:bdr w:val="none" w:color="auto" w:sz="0" w:space="0"/>
          <w:lang w:eastAsia="en-US"/>
        </w:rPr>
        <w:t xml:space="preserve">Nederland heeft een mondelinge terugkoppeling </w:t>
      </w:r>
      <w:r>
        <w:rPr>
          <w:rFonts w:eastAsiaTheme="minorHAnsi" w:cstheme="minorBidi"/>
          <w:bCs/>
          <w:color w:val="auto"/>
          <w:sz w:val="18"/>
          <w:szCs w:val="18"/>
          <w:bdr w:val="none" w:color="auto" w:sz="0" w:space="0"/>
          <w:lang w:eastAsia="en-US"/>
        </w:rPr>
        <w:t>ge</w:t>
      </w:r>
      <w:r w:rsidRPr="00AA25C1">
        <w:rPr>
          <w:rFonts w:eastAsiaTheme="minorHAnsi" w:cstheme="minorBidi"/>
          <w:bCs/>
          <w:color w:val="auto"/>
          <w:sz w:val="18"/>
          <w:szCs w:val="18"/>
          <w:bdr w:val="none" w:color="auto" w:sz="0" w:space="0"/>
          <w:lang w:eastAsia="en-US"/>
        </w:rPr>
        <w:t xml:space="preserve">geven van high-level conferentie over vliegbelasting en CO2-beprijzing, die plaatsvond in Den Haag op 20 en 21 juni jl. Nederland heeft bij deze terugkoppeling benadrukt dat het merendeel van de deelnemers van mening was dat een Europese of mondiale benadering voor het belasten van luchtvaart het meest effectief is. Nederland heeft ook aangeven van plan te zijn om een brief te sturen </w:t>
      </w:r>
      <w:r w:rsidRPr="00BE1648">
        <w:rPr>
          <w:rFonts w:eastAsiaTheme="minorHAnsi" w:cstheme="minorBidi"/>
          <w:bCs/>
          <w:color w:val="auto"/>
          <w:sz w:val="18"/>
          <w:szCs w:val="18"/>
          <w:bdr w:val="none" w:color="auto" w:sz="0" w:space="0"/>
          <w:lang w:eastAsia="en-US"/>
        </w:rPr>
        <w:t>aan de nieuwe Commissie met een oproep om te komen met een gecoördineerde Europese aanpak voor het belasten van luchtvaart.</w:t>
      </w:r>
      <w:r w:rsidR="005A1E2D">
        <w:rPr>
          <w:rFonts w:eastAsiaTheme="minorHAnsi" w:cstheme="minorBidi"/>
          <w:bCs/>
          <w:color w:val="auto"/>
          <w:sz w:val="18"/>
          <w:szCs w:val="18"/>
          <w:bdr w:val="none" w:color="auto" w:sz="0" w:space="0"/>
          <w:lang w:eastAsia="en-US"/>
        </w:rPr>
        <w:t xml:space="preserve"> </w:t>
      </w:r>
      <w:r w:rsidR="005A1E2D">
        <w:rPr>
          <w:sz w:val="18"/>
          <w:szCs w:val="18"/>
          <w:bdr w:val="none" w:color="auto" w:sz="0" w:space="0" w:frame="1"/>
          <w:lang w:eastAsia="en-US"/>
        </w:rPr>
        <w:t xml:space="preserve">Het Finse </w:t>
      </w:r>
      <w:r w:rsidR="005A1E2D">
        <w:rPr>
          <w:sz w:val="18"/>
          <w:szCs w:val="18"/>
          <w:bdr w:val="none" w:color="auto" w:sz="0" w:space="0" w:frame="1"/>
          <w:lang w:eastAsia="en-US"/>
        </w:rPr>
        <w:lastRenderedPageBreak/>
        <w:t>voorzitterschap gaf aan dat het belasten van luchtvaart past binnen de Finse prioriteiten voor dit half jaar. De Commissie bedankte Nederland voor de conferentie en gaf aan verschillende mogeli</w:t>
      </w:r>
      <w:r w:rsidR="00522756">
        <w:rPr>
          <w:sz w:val="18"/>
          <w:szCs w:val="18"/>
          <w:bdr w:val="none" w:color="auto" w:sz="0" w:space="0" w:frame="1"/>
          <w:lang w:eastAsia="en-US"/>
        </w:rPr>
        <w:t>jkheden te zien voor EU-</w:t>
      </w:r>
      <w:r w:rsidR="005A1E2D">
        <w:rPr>
          <w:sz w:val="18"/>
          <w:szCs w:val="18"/>
          <w:bdr w:val="none" w:color="auto" w:sz="0" w:space="0" w:frame="1"/>
          <w:lang w:eastAsia="en-US"/>
        </w:rPr>
        <w:t>coördinatie.</w:t>
      </w:r>
    </w:p>
    <w:p w:rsidR="00F37D5A" w:rsidP="008E5AFF" w:rsidRDefault="00F37D5A" w14:paraId="49B5E042" w14:textId="77777777">
      <w:pPr>
        <w:spacing w:after="0" w:line="360" w:lineRule="auto"/>
        <w:contextualSpacing/>
        <w:rPr>
          <w:b/>
          <w:szCs w:val="18"/>
          <w:u w:val="single"/>
          <w:lang w:val="nl-NL"/>
        </w:rPr>
      </w:pPr>
    </w:p>
    <w:p w:rsidR="00553A75" w:rsidP="008E5AFF" w:rsidRDefault="00553A75" w14:paraId="4DFBCBED" w14:textId="616062A9">
      <w:pPr>
        <w:spacing w:after="0" w:line="360" w:lineRule="auto"/>
        <w:contextualSpacing/>
        <w:rPr>
          <w:b/>
          <w:szCs w:val="18"/>
          <w:u w:val="single"/>
          <w:lang w:val="nl-NL"/>
        </w:rPr>
      </w:pPr>
      <w:r w:rsidRPr="00EE774B">
        <w:rPr>
          <w:b/>
          <w:szCs w:val="18"/>
          <w:u w:val="single"/>
          <w:lang w:val="nl-NL"/>
        </w:rPr>
        <w:t>Overig</w:t>
      </w:r>
    </w:p>
    <w:p w:rsidRPr="00EE774B" w:rsidR="00B33D41" w:rsidP="008E5AFF" w:rsidRDefault="00B33D41" w14:paraId="3604D824" w14:textId="77777777">
      <w:pPr>
        <w:spacing w:after="0" w:line="360" w:lineRule="auto"/>
        <w:contextualSpacing/>
        <w:rPr>
          <w:b/>
          <w:szCs w:val="18"/>
          <w:u w:val="single"/>
          <w:lang w:val="nl-NL"/>
        </w:rPr>
      </w:pPr>
    </w:p>
    <w:p w:rsidR="00FE2260" w:rsidP="008E5AFF" w:rsidRDefault="00FE2260" w14:paraId="28CF3CF7" w14:textId="2B615477">
      <w:pPr>
        <w:spacing w:after="0" w:line="360" w:lineRule="auto"/>
        <w:contextualSpacing/>
        <w:rPr>
          <w:b/>
          <w:szCs w:val="18"/>
          <w:lang w:val="nl-NL"/>
        </w:rPr>
      </w:pPr>
      <w:r>
        <w:rPr>
          <w:b/>
          <w:szCs w:val="18"/>
          <w:lang w:val="nl-NL"/>
        </w:rPr>
        <w:t>Publicatie Bundesbank Target2</w:t>
      </w:r>
    </w:p>
    <w:p w:rsidR="00AE1122" w:rsidP="008E5AFF" w:rsidRDefault="00F718FB" w14:paraId="17C5EA16" w14:textId="60146E80">
      <w:pPr>
        <w:spacing w:after="0" w:line="360" w:lineRule="auto"/>
        <w:contextualSpacing/>
        <w:rPr>
          <w:szCs w:val="18"/>
          <w:lang w:val="nl-NL"/>
        </w:rPr>
      </w:pPr>
      <w:r w:rsidRPr="00F718FB">
        <w:rPr>
          <w:szCs w:val="18"/>
          <w:lang w:val="nl-NL"/>
        </w:rPr>
        <w:t>Na kennis genomen te hebben van de publicatie van de Bundesbank omtrent Target</w:t>
      </w:r>
      <w:r w:rsidR="00FE2260">
        <w:rPr>
          <w:szCs w:val="18"/>
          <w:lang w:val="nl-NL"/>
        </w:rPr>
        <w:t>2</w:t>
      </w:r>
      <w:r w:rsidR="00FE2260">
        <w:rPr>
          <w:rStyle w:val="Voetnootmarkering"/>
          <w:szCs w:val="18"/>
          <w:lang w:val="nl-NL"/>
        </w:rPr>
        <w:footnoteReference w:id="20"/>
      </w:r>
      <w:r w:rsidRPr="00F718FB">
        <w:rPr>
          <w:szCs w:val="18"/>
          <w:lang w:val="nl-NL"/>
        </w:rPr>
        <w:t xml:space="preserve">, concludeer ik conform mijn toezegging aan het lid Omtzigt in het algemeen overleg van 5 juni </w:t>
      </w:r>
      <w:r w:rsidR="00D65755">
        <w:rPr>
          <w:szCs w:val="18"/>
          <w:lang w:val="nl-NL"/>
        </w:rPr>
        <w:t>jl.</w:t>
      </w:r>
      <w:r w:rsidRPr="00F718FB">
        <w:rPr>
          <w:szCs w:val="18"/>
          <w:lang w:val="nl-NL"/>
        </w:rPr>
        <w:t xml:space="preserve"> dat de Kamer </w:t>
      </w:r>
      <w:r w:rsidR="00FC004C">
        <w:rPr>
          <w:szCs w:val="18"/>
          <w:lang w:val="nl-NL"/>
        </w:rPr>
        <w:t xml:space="preserve">over dit onderwerp </w:t>
      </w:r>
      <w:r w:rsidRPr="00F718FB">
        <w:rPr>
          <w:szCs w:val="18"/>
          <w:lang w:val="nl-NL"/>
        </w:rPr>
        <w:t xml:space="preserve">reeds geïnformeerd is, in de Kamerbrief </w:t>
      </w:r>
      <w:r w:rsidR="00FC004C">
        <w:rPr>
          <w:szCs w:val="18"/>
          <w:lang w:val="nl-NL"/>
        </w:rPr>
        <w:t xml:space="preserve">over </w:t>
      </w:r>
      <w:r w:rsidRPr="00F718FB">
        <w:rPr>
          <w:szCs w:val="18"/>
          <w:lang w:val="nl-NL"/>
        </w:rPr>
        <w:t>risico</w:t>
      </w:r>
      <w:r w:rsidR="00FC004C">
        <w:rPr>
          <w:szCs w:val="18"/>
          <w:lang w:val="nl-NL"/>
        </w:rPr>
        <w:t>’</w:t>
      </w:r>
      <w:r w:rsidRPr="00F718FB">
        <w:rPr>
          <w:szCs w:val="18"/>
          <w:lang w:val="nl-NL"/>
        </w:rPr>
        <w:t>s</w:t>
      </w:r>
      <w:r w:rsidR="00FC004C">
        <w:rPr>
          <w:szCs w:val="18"/>
          <w:lang w:val="nl-NL"/>
        </w:rPr>
        <w:t xml:space="preserve"> voor de</w:t>
      </w:r>
      <w:r w:rsidRPr="00F718FB">
        <w:rPr>
          <w:szCs w:val="18"/>
          <w:lang w:val="nl-NL"/>
        </w:rPr>
        <w:t xml:space="preserve"> Nederlandse staat als gevolg van E</w:t>
      </w:r>
      <w:r>
        <w:rPr>
          <w:szCs w:val="18"/>
          <w:lang w:val="nl-NL"/>
        </w:rPr>
        <w:t>CB-Beleid van 19 januari 2018</w:t>
      </w:r>
      <w:r>
        <w:rPr>
          <w:rStyle w:val="Voetnootmarkering"/>
          <w:szCs w:val="18"/>
          <w:lang w:val="nl-NL"/>
        </w:rPr>
        <w:footnoteReference w:id="21"/>
      </w:r>
      <w:r w:rsidRPr="00F718FB">
        <w:rPr>
          <w:szCs w:val="18"/>
          <w:lang w:val="nl-NL"/>
        </w:rPr>
        <w:t xml:space="preserve"> almede </w:t>
      </w:r>
      <w:r w:rsidR="00FC004C">
        <w:rPr>
          <w:szCs w:val="18"/>
          <w:lang w:val="nl-NL"/>
        </w:rPr>
        <w:t xml:space="preserve">in </w:t>
      </w:r>
      <w:r w:rsidRPr="00F718FB">
        <w:rPr>
          <w:szCs w:val="18"/>
          <w:lang w:val="nl-NL"/>
        </w:rPr>
        <w:t>de beantwoording van schriftelijke Kamervragen over de balansen in Target2 en de daarmee verbonden risico’s van 14 december 20</w:t>
      </w:r>
      <w:r>
        <w:rPr>
          <w:szCs w:val="18"/>
          <w:lang w:val="nl-NL"/>
        </w:rPr>
        <w:t>17</w:t>
      </w:r>
      <w:r>
        <w:rPr>
          <w:rStyle w:val="Voetnootmarkering"/>
          <w:szCs w:val="18"/>
          <w:lang w:val="nl-NL"/>
        </w:rPr>
        <w:footnoteReference w:id="22"/>
      </w:r>
      <w:r>
        <w:rPr>
          <w:szCs w:val="18"/>
          <w:lang w:val="nl-NL"/>
        </w:rPr>
        <w:t xml:space="preserve"> en 8 februari 2018</w:t>
      </w:r>
      <w:r>
        <w:rPr>
          <w:rStyle w:val="Voetnootmarkering"/>
          <w:szCs w:val="18"/>
          <w:lang w:val="nl-NL"/>
        </w:rPr>
        <w:footnoteReference w:id="23"/>
      </w:r>
      <w:r>
        <w:rPr>
          <w:szCs w:val="18"/>
          <w:lang w:val="nl-NL"/>
        </w:rPr>
        <w:t>.</w:t>
      </w:r>
    </w:p>
    <w:p w:rsidR="009208C5" w:rsidP="008E5AFF" w:rsidRDefault="009208C5" w14:paraId="08970891" w14:textId="37DE074D">
      <w:pPr>
        <w:spacing w:after="0" w:line="360" w:lineRule="auto"/>
        <w:contextualSpacing/>
        <w:rPr>
          <w:szCs w:val="18"/>
          <w:lang w:val="nl-NL"/>
        </w:rPr>
      </w:pPr>
    </w:p>
    <w:p w:rsidRPr="009208C5" w:rsidR="009208C5" w:rsidP="008E5AFF" w:rsidRDefault="009208C5" w14:paraId="12F65636" w14:textId="77777777">
      <w:pPr>
        <w:spacing w:after="0" w:line="360" w:lineRule="auto"/>
        <w:contextualSpacing/>
        <w:rPr>
          <w:b/>
          <w:bCs/>
          <w:szCs w:val="18"/>
          <w:lang w:val="nl-NL"/>
        </w:rPr>
      </w:pPr>
      <w:r w:rsidRPr="009208C5">
        <w:rPr>
          <w:b/>
          <w:bCs/>
          <w:szCs w:val="18"/>
          <w:lang w:val="nl-NL"/>
        </w:rPr>
        <w:t xml:space="preserve">Verordening en richtlijn betreffende Europese aanbieders van </w:t>
      </w:r>
      <w:proofErr w:type="spellStart"/>
      <w:r w:rsidRPr="009208C5">
        <w:rPr>
          <w:b/>
          <w:bCs/>
          <w:szCs w:val="18"/>
          <w:lang w:val="nl-NL"/>
        </w:rPr>
        <w:t>crowdfundingdiensten</w:t>
      </w:r>
      <w:proofErr w:type="spellEnd"/>
      <w:r w:rsidRPr="009208C5">
        <w:rPr>
          <w:b/>
          <w:bCs/>
          <w:szCs w:val="18"/>
          <w:lang w:val="nl-NL"/>
        </w:rPr>
        <w:t xml:space="preserve"> voor ondernemingen</w:t>
      </w:r>
    </w:p>
    <w:p w:rsidRPr="009208C5" w:rsidR="009208C5" w:rsidP="008E5AFF" w:rsidRDefault="009208C5" w14:paraId="754B30FF" w14:textId="4BEDE52E">
      <w:pPr>
        <w:spacing w:after="0" w:line="360" w:lineRule="auto"/>
        <w:contextualSpacing/>
        <w:rPr>
          <w:bCs/>
          <w:szCs w:val="18"/>
          <w:lang w:val="nl-NL"/>
        </w:rPr>
      </w:pPr>
      <w:r w:rsidRPr="009208C5">
        <w:rPr>
          <w:bCs/>
          <w:szCs w:val="18"/>
          <w:lang w:val="nl-NL"/>
        </w:rPr>
        <w:t xml:space="preserve">In de Coreper van 26 juni </w:t>
      </w:r>
      <w:r>
        <w:rPr>
          <w:bCs/>
          <w:szCs w:val="18"/>
          <w:lang w:val="nl-NL"/>
        </w:rPr>
        <w:t>jl.</w:t>
      </w:r>
      <w:r w:rsidRPr="009208C5">
        <w:rPr>
          <w:bCs/>
          <w:szCs w:val="18"/>
          <w:lang w:val="nl-NL"/>
        </w:rPr>
        <w:t xml:space="preserve"> is overeenstemming bereikt over een algemene inzet </w:t>
      </w:r>
      <w:r w:rsidR="00FC004C">
        <w:rPr>
          <w:bCs/>
          <w:szCs w:val="18"/>
          <w:lang w:val="nl-NL"/>
        </w:rPr>
        <w:t xml:space="preserve">van de Raad </w:t>
      </w:r>
      <w:r w:rsidRPr="009208C5">
        <w:rPr>
          <w:bCs/>
          <w:szCs w:val="18"/>
          <w:lang w:val="nl-NL"/>
        </w:rPr>
        <w:t xml:space="preserve">voor het voorstel voor een verordening en het voorstel voor een richtlijn betreffende Europese aanbieders van </w:t>
      </w:r>
      <w:proofErr w:type="spellStart"/>
      <w:r w:rsidRPr="009208C5">
        <w:rPr>
          <w:bCs/>
          <w:szCs w:val="18"/>
          <w:lang w:val="nl-NL"/>
        </w:rPr>
        <w:t>crowdfundingdiensten</w:t>
      </w:r>
      <w:proofErr w:type="spellEnd"/>
      <w:r w:rsidRPr="009208C5">
        <w:rPr>
          <w:bCs/>
          <w:szCs w:val="18"/>
          <w:lang w:val="nl-NL"/>
        </w:rPr>
        <w:t xml:space="preserve"> voor ondernemingen. Het in de Raad bereikte compromis doet recht aan de initiële zorgen van Nederland, zoals verwoord in het BNC-fiche van 13 april 2018</w:t>
      </w:r>
      <w:r>
        <w:rPr>
          <w:bCs/>
          <w:szCs w:val="18"/>
          <w:lang w:val="nl-NL"/>
        </w:rPr>
        <w:t>.</w:t>
      </w:r>
      <w:r>
        <w:rPr>
          <w:rStyle w:val="Voetnootmarkering"/>
          <w:bCs/>
          <w:szCs w:val="18"/>
          <w:lang w:val="nl-NL"/>
        </w:rPr>
        <w:footnoteReference w:id="24"/>
      </w:r>
    </w:p>
    <w:p w:rsidRPr="009208C5" w:rsidR="009208C5" w:rsidP="008E5AFF" w:rsidRDefault="009208C5" w14:paraId="60A39D06" w14:textId="77777777">
      <w:pPr>
        <w:spacing w:after="0" w:line="360" w:lineRule="auto"/>
        <w:contextualSpacing/>
        <w:rPr>
          <w:bCs/>
          <w:szCs w:val="18"/>
          <w:lang w:val="nl-NL"/>
        </w:rPr>
      </w:pPr>
    </w:p>
    <w:p w:rsidRPr="009208C5" w:rsidR="009208C5" w:rsidP="008E5AFF" w:rsidRDefault="009208C5" w14:paraId="7ADF6B62" w14:textId="52C1EC83">
      <w:pPr>
        <w:spacing w:after="0" w:line="360" w:lineRule="auto"/>
        <w:contextualSpacing/>
        <w:rPr>
          <w:bCs/>
          <w:szCs w:val="18"/>
          <w:lang w:val="nl-NL"/>
        </w:rPr>
      </w:pPr>
      <w:r w:rsidRPr="009208C5">
        <w:rPr>
          <w:bCs/>
          <w:szCs w:val="18"/>
          <w:lang w:val="nl-NL"/>
        </w:rPr>
        <w:t xml:space="preserve">De belangrijkste zorgen van Nederland betroffen de verhouding tussen de </w:t>
      </w:r>
      <w:proofErr w:type="spellStart"/>
      <w:r w:rsidRPr="009208C5">
        <w:rPr>
          <w:bCs/>
          <w:szCs w:val="18"/>
          <w:lang w:val="nl-NL"/>
        </w:rPr>
        <w:t>crowdfundingverordening</w:t>
      </w:r>
      <w:proofErr w:type="spellEnd"/>
      <w:r w:rsidRPr="009208C5">
        <w:rPr>
          <w:bCs/>
          <w:szCs w:val="18"/>
          <w:lang w:val="nl-NL"/>
        </w:rPr>
        <w:t xml:space="preserve"> en andere (Europese) wet- en regelgeving en direct toezicht op </w:t>
      </w:r>
      <w:proofErr w:type="spellStart"/>
      <w:r w:rsidRPr="009208C5">
        <w:rPr>
          <w:bCs/>
          <w:szCs w:val="18"/>
          <w:lang w:val="nl-NL"/>
        </w:rPr>
        <w:t>crowdfundingplatformen</w:t>
      </w:r>
      <w:proofErr w:type="spellEnd"/>
      <w:r w:rsidRPr="009208C5">
        <w:rPr>
          <w:bCs/>
          <w:szCs w:val="18"/>
          <w:lang w:val="nl-NL"/>
        </w:rPr>
        <w:t xml:space="preserve"> door de Europese Effecten- en Marktenautoriteit (ESMA).</w:t>
      </w:r>
      <w:r>
        <w:rPr>
          <w:bCs/>
          <w:szCs w:val="18"/>
          <w:lang w:val="nl-NL"/>
        </w:rPr>
        <w:t xml:space="preserve"> </w:t>
      </w:r>
      <w:r w:rsidRPr="009208C5">
        <w:rPr>
          <w:bCs/>
          <w:szCs w:val="18"/>
          <w:lang w:val="nl-NL"/>
        </w:rPr>
        <w:t>Wat betreft de verhouding met andere regelgeving heeft Nederland zich ingezet voor een sche</w:t>
      </w:r>
      <w:r w:rsidR="00FC004C">
        <w:rPr>
          <w:bCs/>
          <w:szCs w:val="18"/>
          <w:lang w:val="nl-NL"/>
        </w:rPr>
        <w:t>r</w:t>
      </w:r>
      <w:r w:rsidRPr="009208C5">
        <w:rPr>
          <w:bCs/>
          <w:szCs w:val="18"/>
          <w:lang w:val="nl-NL"/>
        </w:rPr>
        <w:t>pere afbakening</w:t>
      </w:r>
      <w:r w:rsidR="00FC004C">
        <w:rPr>
          <w:bCs/>
          <w:szCs w:val="18"/>
          <w:lang w:val="nl-NL"/>
        </w:rPr>
        <w:t>,</w:t>
      </w:r>
      <w:r w:rsidRPr="009208C5">
        <w:rPr>
          <w:bCs/>
          <w:szCs w:val="18"/>
          <w:lang w:val="nl-NL"/>
        </w:rPr>
        <w:t xml:space="preserve"> om (onvoorziene) samenloop en mogelijkheden van arbitrage zoveel mogelijk te voorkomen. Het compromis reflecteert deze inzet.</w:t>
      </w:r>
      <w:r>
        <w:rPr>
          <w:bCs/>
          <w:szCs w:val="18"/>
          <w:lang w:val="nl-NL"/>
        </w:rPr>
        <w:t xml:space="preserve"> </w:t>
      </w:r>
      <w:r w:rsidRPr="009208C5">
        <w:rPr>
          <w:bCs/>
          <w:szCs w:val="18"/>
          <w:lang w:val="nl-NL"/>
        </w:rPr>
        <w:t xml:space="preserve">Op het gebied van toezicht was Nederland van mening dat toezicht door ESMA niet </w:t>
      </w:r>
      <w:r w:rsidR="00FC004C">
        <w:rPr>
          <w:bCs/>
          <w:szCs w:val="18"/>
          <w:lang w:val="nl-NL"/>
        </w:rPr>
        <w:t>gepast</w:t>
      </w:r>
      <w:r w:rsidRPr="009208C5">
        <w:rPr>
          <w:bCs/>
          <w:szCs w:val="18"/>
          <w:lang w:val="nl-NL"/>
        </w:rPr>
        <w:t xml:space="preserve"> is, omdat er nog veel kleine, lokale</w:t>
      </w:r>
      <w:r w:rsidR="00FC004C">
        <w:rPr>
          <w:bCs/>
          <w:szCs w:val="18"/>
          <w:lang w:val="nl-NL"/>
        </w:rPr>
        <w:t>,</w:t>
      </w:r>
      <w:r w:rsidRPr="009208C5">
        <w:rPr>
          <w:bCs/>
          <w:szCs w:val="18"/>
          <w:lang w:val="nl-NL"/>
        </w:rPr>
        <w:t xml:space="preserve"> marktpartijen zijn en het om dienstverlening aan voornamelijk consumenten gaat. Een grote meerderheid binnen de Raad deelde </w:t>
      </w:r>
      <w:r w:rsidR="00FC004C">
        <w:rPr>
          <w:bCs/>
          <w:szCs w:val="18"/>
          <w:lang w:val="nl-NL"/>
        </w:rPr>
        <w:t>d</w:t>
      </w:r>
      <w:r w:rsidRPr="009208C5">
        <w:rPr>
          <w:bCs/>
          <w:szCs w:val="18"/>
          <w:lang w:val="nl-NL"/>
        </w:rPr>
        <w:t>e zorgen van Nederland; de algemene inzet gaat daarom uit van toezicht door nationale toezichthouders.</w:t>
      </w:r>
    </w:p>
    <w:p w:rsidRPr="009208C5" w:rsidR="009208C5" w:rsidP="008E5AFF" w:rsidRDefault="009208C5" w14:paraId="68278FA0" w14:textId="77777777">
      <w:pPr>
        <w:spacing w:after="0" w:line="360" w:lineRule="auto"/>
        <w:contextualSpacing/>
        <w:rPr>
          <w:bCs/>
          <w:szCs w:val="18"/>
          <w:lang w:val="nl-NL"/>
        </w:rPr>
      </w:pPr>
    </w:p>
    <w:p w:rsidRPr="009208C5" w:rsidR="009208C5" w:rsidP="008E5AFF" w:rsidRDefault="009208C5" w14:paraId="50BDE53C" w14:textId="18B355CD">
      <w:pPr>
        <w:spacing w:after="0" w:line="360" w:lineRule="auto"/>
        <w:contextualSpacing/>
        <w:rPr>
          <w:bCs/>
          <w:szCs w:val="18"/>
          <w:lang w:val="nl-NL"/>
        </w:rPr>
      </w:pPr>
      <w:r w:rsidRPr="009208C5">
        <w:rPr>
          <w:bCs/>
          <w:szCs w:val="18"/>
          <w:lang w:val="nl-NL"/>
        </w:rPr>
        <w:t xml:space="preserve">Het Commissievoorstel was specifiek bedoeld voor grensoverschrijdende verlening van </w:t>
      </w:r>
      <w:proofErr w:type="spellStart"/>
      <w:r w:rsidRPr="009208C5">
        <w:rPr>
          <w:bCs/>
          <w:szCs w:val="18"/>
          <w:lang w:val="nl-NL"/>
        </w:rPr>
        <w:t>crowdfundingdiensten</w:t>
      </w:r>
      <w:proofErr w:type="spellEnd"/>
      <w:r w:rsidRPr="009208C5">
        <w:rPr>
          <w:bCs/>
          <w:szCs w:val="18"/>
          <w:lang w:val="nl-NL"/>
        </w:rPr>
        <w:t xml:space="preserve">; lidstaten hielden de mogelijkheid om voor niet-grensoverschrijdende </w:t>
      </w:r>
      <w:proofErr w:type="spellStart"/>
      <w:r w:rsidRPr="009208C5">
        <w:rPr>
          <w:bCs/>
          <w:szCs w:val="18"/>
          <w:lang w:val="nl-NL"/>
        </w:rPr>
        <w:lastRenderedPageBreak/>
        <w:t>crowdfunding</w:t>
      </w:r>
      <w:proofErr w:type="spellEnd"/>
      <w:r w:rsidRPr="009208C5">
        <w:rPr>
          <w:bCs/>
          <w:szCs w:val="18"/>
          <w:lang w:val="nl-NL"/>
        </w:rPr>
        <w:t xml:space="preserve"> eigen regels te hanteren. De Raad stond echter een aanzienlijke verruiming van de reikwijdte voor. De algemene inzet beidt een geharmoniseerd kader voor het verlenen van </w:t>
      </w:r>
      <w:proofErr w:type="spellStart"/>
      <w:r w:rsidRPr="009208C5">
        <w:rPr>
          <w:bCs/>
          <w:szCs w:val="18"/>
          <w:lang w:val="nl-NL"/>
        </w:rPr>
        <w:t>crowdfundingdiensten</w:t>
      </w:r>
      <w:proofErr w:type="spellEnd"/>
      <w:r w:rsidRPr="009208C5">
        <w:rPr>
          <w:bCs/>
          <w:szCs w:val="18"/>
          <w:lang w:val="nl-NL"/>
        </w:rPr>
        <w:t xml:space="preserve">, ongeacht of deze grensoverschrijdend worden aangeboden. In het licht van de kapitaalmarktunie steunt Nederland deze lijn; een Europees geharmoniseerd kader draagt bij een </w:t>
      </w:r>
      <w:r w:rsidR="000F1E61">
        <w:rPr>
          <w:bCs/>
          <w:szCs w:val="18"/>
          <w:lang w:val="nl-NL"/>
        </w:rPr>
        <w:t>gelijk</w:t>
      </w:r>
      <w:r w:rsidRPr="009208C5" w:rsidR="000F1E61">
        <w:rPr>
          <w:bCs/>
          <w:szCs w:val="18"/>
          <w:lang w:val="nl-NL"/>
        </w:rPr>
        <w:t xml:space="preserve"> </w:t>
      </w:r>
      <w:r w:rsidRPr="009208C5">
        <w:rPr>
          <w:bCs/>
          <w:szCs w:val="18"/>
          <w:lang w:val="nl-NL"/>
        </w:rPr>
        <w:t xml:space="preserve">speelveld voor </w:t>
      </w:r>
      <w:proofErr w:type="spellStart"/>
      <w:r w:rsidRPr="009208C5">
        <w:rPr>
          <w:bCs/>
          <w:szCs w:val="18"/>
          <w:lang w:val="nl-NL"/>
        </w:rPr>
        <w:t>crowdfundingplatformen</w:t>
      </w:r>
      <w:proofErr w:type="spellEnd"/>
      <w:r w:rsidRPr="009208C5">
        <w:rPr>
          <w:bCs/>
          <w:szCs w:val="18"/>
          <w:lang w:val="nl-NL"/>
        </w:rPr>
        <w:t>, de ver</w:t>
      </w:r>
      <w:r>
        <w:rPr>
          <w:bCs/>
          <w:szCs w:val="18"/>
          <w:lang w:val="nl-NL"/>
        </w:rPr>
        <w:t xml:space="preserve">dere professionalisering van de </w:t>
      </w:r>
      <w:r w:rsidRPr="009208C5">
        <w:rPr>
          <w:bCs/>
          <w:szCs w:val="18"/>
          <w:lang w:val="nl-NL"/>
        </w:rPr>
        <w:t xml:space="preserve">markt en een vergroting van de financieringsmogelijkheden voor het </w:t>
      </w:r>
      <w:r w:rsidR="000E6C66">
        <w:rPr>
          <w:bCs/>
          <w:szCs w:val="18"/>
          <w:lang w:val="nl-NL"/>
        </w:rPr>
        <w:t>midden- en kleinbedrijf</w:t>
      </w:r>
      <w:r w:rsidRPr="009208C5">
        <w:rPr>
          <w:bCs/>
          <w:szCs w:val="18"/>
          <w:lang w:val="nl-NL"/>
        </w:rPr>
        <w:t>.</w:t>
      </w:r>
    </w:p>
    <w:p w:rsidRPr="009208C5" w:rsidR="009208C5" w:rsidP="008E5AFF" w:rsidRDefault="009208C5" w14:paraId="20100F28" w14:textId="77777777">
      <w:pPr>
        <w:spacing w:after="0" w:line="360" w:lineRule="auto"/>
        <w:contextualSpacing/>
        <w:rPr>
          <w:bCs/>
          <w:szCs w:val="18"/>
          <w:lang w:val="nl-NL"/>
        </w:rPr>
      </w:pPr>
    </w:p>
    <w:p w:rsidRPr="009208C5" w:rsidR="009208C5" w:rsidP="008E5AFF" w:rsidRDefault="009208C5" w14:paraId="23223BA3" w14:textId="77777777">
      <w:pPr>
        <w:spacing w:after="0" w:line="360" w:lineRule="auto"/>
        <w:contextualSpacing/>
        <w:rPr>
          <w:bCs/>
          <w:szCs w:val="18"/>
          <w:lang w:val="nl-NL"/>
        </w:rPr>
      </w:pPr>
      <w:r w:rsidRPr="009208C5">
        <w:rPr>
          <w:bCs/>
          <w:szCs w:val="18"/>
          <w:lang w:val="nl-NL"/>
        </w:rPr>
        <w:t>De overeengekomen algemene inzet vormt een goede basis voor de Raad om de onderhandelingen met het Europees Parlement in te gaan. Die onderhandelingen zullen naar verwachting dit najaar van start gaan.</w:t>
      </w:r>
    </w:p>
    <w:p w:rsidRPr="00F718FB" w:rsidR="009208C5" w:rsidP="008E5AFF" w:rsidRDefault="009208C5" w14:paraId="5BCAED16" w14:textId="77777777">
      <w:pPr>
        <w:spacing w:after="0" w:line="360" w:lineRule="auto"/>
        <w:contextualSpacing/>
        <w:rPr>
          <w:szCs w:val="18"/>
          <w:lang w:val="nl-NL"/>
        </w:rPr>
      </w:pPr>
    </w:p>
    <w:sectPr w:rsidRPr="00F718FB" w:rsidR="009208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A1C0" w14:textId="77777777" w:rsidR="00F962DA" w:rsidRDefault="00F962DA" w:rsidP="00F962DA">
      <w:pPr>
        <w:spacing w:after="0" w:line="240" w:lineRule="auto"/>
      </w:pPr>
      <w:r>
        <w:separator/>
      </w:r>
    </w:p>
  </w:endnote>
  <w:endnote w:type="continuationSeparator" w:id="0">
    <w:p w14:paraId="13400754" w14:textId="77777777" w:rsidR="00F962DA" w:rsidRDefault="00F962DA" w:rsidP="00F96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837E" w14:textId="77777777" w:rsidR="00F962DA" w:rsidRDefault="00F962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08C9" w14:textId="77777777" w:rsidR="00F962DA" w:rsidRDefault="00F962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73C0" w14:textId="77777777" w:rsidR="00F962DA" w:rsidRDefault="00F962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DDFDF" w14:textId="77777777" w:rsidR="00F962DA" w:rsidRDefault="00F962DA" w:rsidP="00F962DA">
      <w:pPr>
        <w:spacing w:after="0" w:line="240" w:lineRule="auto"/>
      </w:pPr>
      <w:r>
        <w:separator/>
      </w:r>
    </w:p>
  </w:footnote>
  <w:footnote w:type="continuationSeparator" w:id="0">
    <w:p w14:paraId="42AD7B99" w14:textId="77777777" w:rsidR="00F962DA" w:rsidRDefault="00F962DA" w:rsidP="00F962DA">
      <w:pPr>
        <w:spacing w:after="0" w:line="240" w:lineRule="auto"/>
      </w:pPr>
      <w:r>
        <w:continuationSeparator/>
      </w:r>
    </w:p>
  </w:footnote>
  <w:footnote w:id="1">
    <w:p w14:paraId="75B9E2FD" w14:textId="36741F14" w:rsidR="008A326A" w:rsidRPr="00B71774" w:rsidRDefault="008A326A"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 w:history="1">
        <w:r w:rsidRPr="00B71774">
          <w:rPr>
            <w:rStyle w:val="Hyperlink"/>
            <w:rFonts w:ascii="Verdana" w:hAnsi="Verdana"/>
            <w:szCs w:val="16"/>
          </w:rPr>
          <w:t>https://ec.europa.eu/info/sites/info/files/2019_06_25_june_report_final.pdf</w:t>
        </w:r>
      </w:hyperlink>
      <w:r w:rsidRPr="00B71774">
        <w:rPr>
          <w:rFonts w:ascii="Verdana" w:hAnsi="Verdana"/>
          <w:szCs w:val="16"/>
        </w:rPr>
        <w:t xml:space="preserve"> </w:t>
      </w:r>
    </w:p>
  </w:footnote>
  <w:footnote w:id="2">
    <w:p w14:paraId="4EBAAAB1" w14:textId="6C4B3BC2" w:rsidR="00FC0E68" w:rsidRPr="00B71774" w:rsidRDefault="00FC0E68" w:rsidP="008E5AFF">
      <w:pPr>
        <w:spacing w:after="0" w:line="240" w:lineRule="auto"/>
        <w:rPr>
          <w:bCs/>
          <w:sz w:val="16"/>
          <w:szCs w:val="16"/>
          <w:lang w:val="nl-NL"/>
        </w:rPr>
      </w:pPr>
      <w:r w:rsidRPr="00B71774">
        <w:rPr>
          <w:rStyle w:val="Voetnootmarkering"/>
          <w:sz w:val="16"/>
          <w:szCs w:val="16"/>
        </w:rPr>
        <w:footnoteRef/>
      </w:r>
      <w:r w:rsidRPr="00B71774">
        <w:rPr>
          <w:sz w:val="16"/>
          <w:szCs w:val="16"/>
          <w:lang w:val="nl-NL"/>
        </w:rPr>
        <w:t xml:space="preserve"> </w:t>
      </w:r>
      <w:r w:rsidR="002C5842">
        <w:fldChar w:fldCharType="begin"/>
      </w:r>
      <w:r w:rsidR="002C5842" w:rsidRPr="002C5842">
        <w:rPr>
          <w:lang w:val="nl-NL"/>
        </w:rPr>
        <w:instrText xml:space="preserve"> HYPERLINK "https://ec.europa.eu/info/sites/info/files/economy-finance/ip103_en.pdf" </w:instrText>
      </w:r>
      <w:r w:rsidR="002C5842">
        <w:fldChar w:fldCharType="separate"/>
      </w:r>
      <w:r w:rsidRPr="00B71774">
        <w:rPr>
          <w:rStyle w:val="Hyperlink"/>
          <w:bCs/>
          <w:sz w:val="16"/>
          <w:szCs w:val="16"/>
          <w:lang w:val="nl-NL"/>
        </w:rPr>
        <w:t>https://ec.europa.eu/info/sites/info/files/economy-finance/ip103_en.pdf</w:t>
      </w:r>
      <w:r w:rsidR="002C5842">
        <w:rPr>
          <w:rStyle w:val="Hyperlink"/>
          <w:bCs/>
          <w:sz w:val="16"/>
          <w:szCs w:val="16"/>
          <w:lang w:val="nl-NL"/>
        </w:rPr>
        <w:fldChar w:fldCharType="end"/>
      </w:r>
    </w:p>
  </w:footnote>
  <w:footnote w:id="3">
    <w:p w14:paraId="18498803" w14:textId="21BD7D51" w:rsidR="008B0BBB" w:rsidRPr="00B71774" w:rsidRDefault="008B0BBB"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2" w:history="1">
        <w:r w:rsidRPr="00B71774">
          <w:rPr>
            <w:rStyle w:val="Hyperlink"/>
            <w:rFonts w:ascii="Verdana" w:hAnsi="Verdana"/>
            <w:szCs w:val="16"/>
          </w:rPr>
          <w:t>https://www.consilium.europa.eu/nl/press/press-releases/2018/06/22/eurogroup-statement-on-greece-22-june-2018/</w:t>
        </w:r>
      </w:hyperlink>
      <w:r w:rsidRPr="00B71774">
        <w:rPr>
          <w:rFonts w:ascii="Verdana" w:hAnsi="Verdana"/>
          <w:szCs w:val="16"/>
        </w:rPr>
        <w:t xml:space="preserve"> </w:t>
      </w:r>
    </w:p>
  </w:footnote>
  <w:footnote w:id="4">
    <w:p w14:paraId="4EE36434" w14:textId="68248214" w:rsidR="0055700B" w:rsidRPr="00B71774" w:rsidRDefault="0055700B"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3" w:history="1">
        <w:r w:rsidRPr="00B71774">
          <w:rPr>
            <w:rStyle w:val="Hyperlink"/>
            <w:rFonts w:ascii="Verdana" w:hAnsi="Verdana"/>
            <w:szCs w:val="16"/>
          </w:rPr>
          <w:t>https://ec.europa.eu/info/sites/info/files/economy-finance/ip106_en_1.pdf</w:t>
        </w:r>
      </w:hyperlink>
      <w:r w:rsidRPr="00B71774">
        <w:rPr>
          <w:rFonts w:ascii="Verdana" w:hAnsi="Verdana"/>
          <w:szCs w:val="16"/>
        </w:rPr>
        <w:t xml:space="preserve"> </w:t>
      </w:r>
    </w:p>
  </w:footnote>
  <w:footnote w:id="5">
    <w:p w14:paraId="069A8033" w14:textId="5EC29A13" w:rsidR="0055700B" w:rsidRPr="00B71774" w:rsidRDefault="0055700B"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4" w:history="1">
        <w:r w:rsidRPr="00B71774">
          <w:rPr>
            <w:rStyle w:val="Hyperlink"/>
            <w:rFonts w:ascii="Verdana" w:hAnsi="Verdana"/>
            <w:szCs w:val="16"/>
          </w:rPr>
          <w:t>https://ec.europa.eu/info/sites/info/files/com-2018-796-communication_en.pdf</w:t>
        </w:r>
      </w:hyperlink>
      <w:r w:rsidRPr="00B71774">
        <w:rPr>
          <w:rFonts w:ascii="Verdana" w:hAnsi="Verdana"/>
          <w:szCs w:val="16"/>
        </w:rPr>
        <w:t xml:space="preserve"> </w:t>
      </w:r>
    </w:p>
  </w:footnote>
  <w:footnote w:id="6">
    <w:p w14:paraId="3227FDED" w14:textId="6BC91A3F" w:rsidR="00E962DD" w:rsidRPr="00B71774" w:rsidRDefault="00E962DD"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5" w:history="1">
        <w:r w:rsidRPr="00B71774">
          <w:rPr>
            <w:rStyle w:val="Hyperlink"/>
            <w:rFonts w:ascii="Verdana" w:hAnsi="Verdana"/>
            <w:szCs w:val="16"/>
          </w:rPr>
          <w:t>https://ec.europa.eu/info/business-economy-euro/economic-and-fiscal-policy-coordination/eu-economic-governance-monitoring-prevention-correction/stability-and-growth-pact/corrective-arm-excessive-deficit-procedure/closed-excessive-deficit-procedures/italy_en</w:t>
        </w:r>
      </w:hyperlink>
      <w:r w:rsidRPr="00B71774">
        <w:rPr>
          <w:rFonts w:ascii="Verdana" w:hAnsi="Verdana"/>
          <w:szCs w:val="16"/>
        </w:rPr>
        <w:t xml:space="preserve"> </w:t>
      </w:r>
    </w:p>
  </w:footnote>
  <w:footnote w:id="7">
    <w:p w14:paraId="0EB62729" w14:textId="77777777" w:rsidR="0078043F" w:rsidRPr="00B71774" w:rsidRDefault="0078043F" w:rsidP="0078043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6" w:history="1">
        <w:r w:rsidRPr="00B71774">
          <w:rPr>
            <w:rStyle w:val="Hyperlink"/>
            <w:rFonts w:ascii="Verdana" w:hAnsi="Verdana"/>
            <w:szCs w:val="16"/>
          </w:rPr>
          <w:t>https://www.rijksoverheid.nl/documenten/kamerstukken/2019/07/05/kabinetsappreciatie-besluit-van-de-europese-commissie-op-3-juli-2019-om-voor-italie-geen-buitensporigtekortprocedure-te-openen</w:t>
        </w:r>
      </w:hyperlink>
      <w:r w:rsidRPr="00B71774">
        <w:rPr>
          <w:rFonts w:ascii="Verdana" w:hAnsi="Verdana"/>
          <w:szCs w:val="16"/>
        </w:rPr>
        <w:t xml:space="preserve"> </w:t>
      </w:r>
    </w:p>
  </w:footnote>
  <w:footnote w:id="8">
    <w:p w14:paraId="5B0E7144" w14:textId="77777777" w:rsidR="008A0E62" w:rsidRPr="00B71774" w:rsidRDefault="008A0E62"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7" w:history="1">
        <w:r w:rsidRPr="00B71774">
          <w:rPr>
            <w:rStyle w:val="Hyperlink"/>
            <w:rFonts w:ascii="Verdana" w:hAnsi="Verdana"/>
            <w:szCs w:val="16"/>
          </w:rPr>
          <w:t>https://ec.europa.eu/info/sites/info/files/economy-finance/swd_italys_fiscal_surveillance_aftercollege_-_final.pdf</w:t>
        </w:r>
      </w:hyperlink>
      <w:r w:rsidRPr="00B71774">
        <w:rPr>
          <w:rFonts w:ascii="Verdana" w:hAnsi="Verdana"/>
          <w:szCs w:val="16"/>
        </w:rPr>
        <w:t xml:space="preserve"> </w:t>
      </w:r>
    </w:p>
  </w:footnote>
  <w:footnote w:id="9">
    <w:p w14:paraId="66373ED9" w14:textId="54C86C94" w:rsidR="005A1E2D" w:rsidRPr="00B71774" w:rsidRDefault="005A1E2D"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8" w:history="1">
        <w:r w:rsidRPr="00B71774">
          <w:rPr>
            <w:rStyle w:val="Hyperlink"/>
            <w:rFonts w:ascii="Verdana" w:hAnsi="Verdana"/>
            <w:szCs w:val="16"/>
          </w:rPr>
          <w:t>https://ec.europa.eu/info/business-economy-euro/euro-area/enlargement-euro-area/introducing-euro/adoption-fixed-euro-conversion-rate/erm-ii-eus-exchange-rate-mechanism_en</w:t>
        </w:r>
      </w:hyperlink>
      <w:r w:rsidRPr="00B71774">
        <w:rPr>
          <w:rFonts w:ascii="Verdana" w:hAnsi="Verdana"/>
          <w:szCs w:val="16"/>
        </w:rPr>
        <w:t xml:space="preserve"> </w:t>
      </w:r>
    </w:p>
  </w:footnote>
  <w:footnote w:id="10">
    <w:p w14:paraId="1557E7C8" w14:textId="3003CAE3" w:rsidR="0039227C" w:rsidRPr="00B71774" w:rsidRDefault="0039227C"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9" w:history="1">
        <w:r w:rsidR="00E962DD" w:rsidRPr="00B71774">
          <w:rPr>
            <w:rStyle w:val="Hyperlink"/>
            <w:rFonts w:ascii="Verdana" w:hAnsi="Verdana"/>
            <w:szCs w:val="16"/>
          </w:rPr>
          <w:t>https://www.consilium.europa.eu/en/press/press-releases/2019/07/08/statement-on-croatia-s-path-towards-erm-ii-participation/</w:t>
        </w:r>
      </w:hyperlink>
      <w:r w:rsidR="00E962DD" w:rsidRPr="00B71774">
        <w:rPr>
          <w:rFonts w:ascii="Verdana" w:hAnsi="Verdana"/>
          <w:szCs w:val="16"/>
        </w:rPr>
        <w:t xml:space="preserve"> </w:t>
      </w:r>
    </w:p>
  </w:footnote>
  <w:footnote w:id="11">
    <w:p w14:paraId="22C75FEA" w14:textId="4EEE3206" w:rsidR="0039227C" w:rsidRPr="00B71774" w:rsidRDefault="0039227C"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0" w:history="1">
        <w:r w:rsidR="00E962DD" w:rsidRPr="00B71774">
          <w:rPr>
            <w:rStyle w:val="Hyperlink"/>
            <w:rFonts w:ascii="Verdana" w:hAnsi="Verdana"/>
            <w:szCs w:val="16"/>
          </w:rPr>
          <w:t>https://www.consilium.europa.eu/media/40282/letter-of-intent.pdf</w:t>
        </w:r>
      </w:hyperlink>
      <w:r w:rsidR="00E962DD" w:rsidRPr="00B71774">
        <w:rPr>
          <w:rFonts w:ascii="Verdana" w:hAnsi="Verdana"/>
          <w:szCs w:val="16"/>
        </w:rPr>
        <w:t xml:space="preserve"> </w:t>
      </w:r>
    </w:p>
  </w:footnote>
  <w:footnote w:id="12">
    <w:p w14:paraId="507A0501" w14:textId="77777777" w:rsidR="00553A75" w:rsidRPr="00B71774" w:rsidRDefault="00553A75" w:rsidP="008E5AFF">
      <w:pPr>
        <w:pStyle w:val="Voetnoottekst"/>
        <w:spacing w:line="240" w:lineRule="auto"/>
        <w:contextualSpacing/>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Alle EU-lidstaten zonder het VK</w:t>
      </w:r>
    </w:p>
  </w:footnote>
  <w:footnote w:id="13">
    <w:p w14:paraId="2FD246BE" w14:textId="64B7349C" w:rsidR="005876B3" w:rsidRPr="00B71774" w:rsidRDefault="005876B3"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1" w:history="1">
        <w:r w:rsidRPr="00B71774">
          <w:rPr>
            <w:rStyle w:val="Hyperlink"/>
            <w:rFonts w:ascii="Verdana" w:hAnsi="Verdana"/>
            <w:szCs w:val="16"/>
          </w:rPr>
          <w:t>https://www.rijksoverheid.nl/documenten/kamerstukken/2019/06/17/verslag-eurogroep-en-ecofin-13-en-14-juni-2019</w:t>
        </w:r>
      </w:hyperlink>
      <w:r w:rsidRPr="00B71774">
        <w:rPr>
          <w:rFonts w:ascii="Verdana" w:hAnsi="Verdana"/>
          <w:szCs w:val="16"/>
        </w:rPr>
        <w:t xml:space="preserve"> </w:t>
      </w:r>
    </w:p>
  </w:footnote>
  <w:footnote w:id="14">
    <w:p w14:paraId="4B51AF77" w14:textId="175750C1" w:rsidR="006E18B3" w:rsidRPr="00B71774" w:rsidRDefault="006E18B3">
      <w:pPr>
        <w:pStyle w:val="Voetnoottekst"/>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2" w:history="1">
        <w:r w:rsidRPr="00B71774">
          <w:rPr>
            <w:rStyle w:val="Hyperlink"/>
            <w:rFonts w:ascii="Verdana" w:hAnsi="Verdana"/>
            <w:szCs w:val="16"/>
          </w:rPr>
          <w:t>https://www.consilium.europa.eu/en/press/press-releases/2019/07/09/2019-eu-budget-council-adopts-contingency-measures-for-a-no-deal-brexit/</w:t>
        </w:r>
      </w:hyperlink>
      <w:r w:rsidRPr="00B71774">
        <w:rPr>
          <w:rFonts w:ascii="Verdana" w:hAnsi="Verdana"/>
          <w:szCs w:val="16"/>
        </w:rPr>
        <w:t xml:space="preserve"> </w:t>
      </w:r>
    </w:p>
  </w:footnote>
  <w:footnote w:id="15">
    <w:p w14:paraId="3FA51B38" w14:textId="037A3498" w:rsidR="00407351" w:rsidRPr="00B71774" w:rsidRDefault="00407351">
      <w:pPr>
        <w:pStyle w:val="Voetnoottekst"/>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3" w:history="1">
        <w:r w:rsidR="00742B9B" w:rsidRPr="00B71774">
          <w:rPr>
            <w:rStyle w:val="Hyperlink"/>
            <w:rFonts w:ascii="Verdana" w:hAnsi="Verdana"/>
            <w:szCs w:val="16"/>
          </w:rPr>
          <w:t>https://www.rijksoverheid.nl/documenten/kamerstukken/2019/04/05/beantwoording-kamervragen-over-contingency-maatregelen-brexit</w:t>
        </w:r>
      </w:hyperlink>
      <w:r w:rsidR="00742B9B" w:rsidRPr="00B71774">
        <w:rPr>
          <w:rFonts w:ascii="Verdana" w:hAnsi="Verdana"/>
          <w:szCs w:val="16"/>
        </w:rPr>
        <w:t xml:space="preserve"> </w:t>
      </w:r>
    </w:p>
  </w:footnote>
  <w:footnote w:id="16">
    <w:p w14:paraId="6AA452C8" w14:textId="750594F9" w:rsidR="005A1E2D" w:rsidRPr="00B71774" w:rsidRDefault="005A1E2D"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4" w:history="1">
        <w:r w:rsidRPr="00B71774">
          <w:rPr>
            <w:rStyle w:val="Hyperlink"/>
            <w:rFonts w:ascii="Verdana" w:hAnsi="Verdana"/>
            <w:szCs w:val="16"/>
          </w:rPr>
          <w:t>https://data.consilium.europa.eu/doc/document/ST-10653-2019-INIT/en/pdf</w:t>
        </w:r>
      </w:hyperlink>
      <w:r w:rsidRPr="00B71774">
        <w:rPr>
          <w:rFonts w:ascii="Verdana" w:hAnsi="Verdana"/>
          <w:szCs w:val="16"/>
        </w:rPr>
        <w:t xml:space="preserve"> </w:t>
      </w:r>
    </w:p>
  </w:footnote>
  <w:footnote w:id="17">
    <w:p w14:paraId="6D7E680D" w14:textId="53129366" w:rsidR="005876B3" w:rsidRPr="00B71774" w:rsidRDefault="005876B3"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5" w:history="1">
        <w:r w:rsidR="00C7042B" w:rsidRPr="00B71774">
          <w:rPr>
            <w:rStyle w:val="Hyperlink"/>
            <w:rFonts w:ascii="Verdana" w:hAnsi="Verdana"/>
            <w:bCs/>
            <w:szCs w:val="16"/>
          </w:rPr>
          <w:t>https://eu2019.fi/en/priorities-and-programme/programme</w:t>
        </w:r>
      </w:hyperlink>
      <w:r w:rsidR="00C7042B" w:rsidRPr="00B71774">
        <w:rPr>
          <w:rFonts w:ascii="Verdana" w:hAnsi="Verdana"/>
          <w:bCs/>
          <w:szCs w:val="16"/>
        </w:rPr>
        <w:t xml:space="preserve"> </w:t>
      </w:r>
    </w:p>
  </w:footnote>
  <w:footnote w:id="18">
    <w:p w14:paraId="54F0C689" w14:textId="66CBE3B4" w:rsidR="005876B3" w:rsidRPr="00B71774" w:rsidRDefault="005876B3"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6" w:history="1">
        <w:r w:rsidR="00C7042B" w:rsidRPr="00B71774">
          <w:rPr>
            <w:rStyle w:val="Hyperlink"/>
            <w:rFonts w:ascii="Verdana" w:hAnsi="Verdana"/>
            <w:szCs w:val="16"/>
          </w:rPr>
          <w:t>https://ec.europa.eu/info/publications/2019-european-semester-country-specific-recommendations-council-recommendations_en</w:t>
        </w:r>
      </w:hyperlink>
      <w:r w:rsidR="00C7042B" w:rsidRPr="00B71774">
        <w:rPr>
          <w:rFonts w:ascii="Verdana" w:hAnsi="Verdana"/>
          <w:szCs w:val="16"/>
        </w:rPr>
        <w:t xml:space="preserve"> </w:t>
      </w:r>
    </w:p>
  </w:footnote>
  <w:footnote w:id="19">
    <w:p w14:paraId="5BC7F90B" w14:textId="5EAF3BEC" w:rsidR="005A1E2D" w:rsidRPr="00B71774" w:rsidRDefault="005A1E2D"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7" w:history="1">
        <w:r w:rsidRPr="00B71774">
          <w:rPr>
            <w:rStyle w:val="Hyperlink"/>
            <w:rFonts w:ascii="Verdana" w:hAnsi="Verdana"/>
            <w:szCs w:val="16"/>
          </w:rPr>
          <w:t>https://www.consilium.europa.eu/en/press/press-releases/2019/07/09/economic-employment-and-fiscal-policies-2019-country-specific-recommendations/</w:t>
        </w:r>
      </w:hyperlink>
      <w:r w:rsidRPr="00B71774">
        <w:rPr>
          <w:rFonts w:ascii="Verdana" w:hAnsi="Verdana"/>
          <w:szCs w:val="16"/>
        </w:rPr>
        <w:t xml:space="preserve"> </w:t>
      </w:r>
    </w:p>
  </w:footnote>
  <w:footnote w:id="20">
    <w:p w14:paraId="638446E2" w14:textId="55D27F92" w:rsidR="00FE2260" w:rsidRPr="00B71774" w:rsidRDefault="00FE2260"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hyperlink r:id="rId18" w:history="1">
        <w:r w:rsidRPr="00B71774">
          <w:rPr>
            <w:rStyle w:val="Hyperlink"/>
            <w:rFonts w:ascii="Verdana" w:hAnsi="Verdana"/>
            <w:szCs w:val="16"/>
          </w:rPr>
          <w:t>https://www.bundesbank.de/de/presse/stellungnahmen/stellungnahme-der-deutschen-bundesbank-anlaesslich-der-oeffentlichen-anhoerung-des-finanzausschusses-des-deutschen-bundestags-am-5-juni-2019-798206</w:t>
        </w:r>
      </w:hyperlink>
      <w:r w:rsidRPr="00B71774">
        <w:rPr>
          <w:rFonts w:ascii="Verdana" w:hAnsi="Verdana"/>
          <w:szCs w:val="16"/>
        </w:rPr>
        <w:t xml:space="preserve"> </w:t>
      </w:r>
    </w:p>
  </w:footnote>
  <w:footnote w:id="21">
    <w:p w14:paraId="0400DB05" w14:textId="140FD217" w:rsidR="00F718FB" w:rsidRPr="00B71774" w:rsidRDefault="00F718FB"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Kamerstukken II 2017/2018 21 501-07, 1479 (Kamerbrief): Risico’s Nederlandse staat als gevolg van ECB-beleid. </w:t>
      </w:r>
    </w:p>
  </w:footnote>
  <w:footnote w:id="22">
    <w:p w14:paraId="4286924B" w14:textId="1C155A24" w:rsidR="00F718FB" w:rsidRPr="00B71774" w:rsidRDefault="00F718FB"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Kamerstukken II 2017/2018, 930 (Kamervragen): Vragen aan de Minister van Financiën over de balansen in Target2 en de daarmee verbonden risico’s.</w:t>
      </w:r>
    </w:p>
  </w:footnote>
  <w:footnote w:id="23">
    <w:p w14:paraId="4239A0C5" w14:textId="55704258" w:rsidR="00F718FB" w:rsidRPr="00B71774" w:rsidRDefault="00F718FB"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Kamerstukken II 2017/2018, 1273 (Kamervragen): Vragen aan de Minister van Financiën over de balansen in Target2 en de daarmee verbonden risico’s.</w:t>
      </w:r>
    </w:p>
  </w:footnote>
  <w:footnote w:id="24">
    <w:p w14:paraId="74001C44" w14:textId="38088631" w:rsidR="009208C5" w:rsidRPr="00B71774" w:rsidRDefault="009208C5" w:rsidP="008E5AFF">
      <w:pPr>
        <w:pStyle w:val="Voetnoottekst"/>
        <w:spacing w:line="240" w:lineRule="auto"/>
        <w:rPr>
          <w:rFonts w:ascii="Verdana" w:hAnsi="Verdana"/>
          <w:szCs w:val="16"/>
        </w:rPr>
      </w:pPr>
      <w:r w:rsidRPr="00B71774">
        <w:rPr>
          <w:rStyle w:val="Voetnootmarkering"/>
          <w:rFonts w:ascii="Verdana" w:hAnsi="Verdana"/>
          <w:szCs w:val="16"/>
        </w:rPr>
        <w:footnoteRef/>
      </w:r>
      <w:r w:rsidRPr="00B71774">
        <w:rPr>
          <w:rFonts w:ascii="Verdana" w:hAnsi="Verdana"/>
          <w:szCs w:val="16"/>
        </w:rPr>
        <w:t xml:space="preserve"> </w:t>
      </w:r>
      <w:r w:rsidRPr="00B71774">
        <w:rPr>
          <w:rFonts w:ascii="Verdana" w:hAnsi="Verdana"/>
          <w:bCs/>
          <w:szCs w:val="16"/>
        </w:rPr>
        <w:t>Kamerstukken II 2017/18, 22 112, nr. 2538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90F0" w14:textId="77777777" w:rsidR="00F962DA" w:rsidRDefault="00F962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3353" w14:textId="77777777" w:rsidR="00F962DA" w:rsidRDefault="00F962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C724" w14:textId="77777777" w:rsidR="00F962DA" w:rsidRDefault="00F962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409D"/>
    <w:multiLevelType w:val="hybridMultilevel"/>
    <w:tmpl w:val="2070F4A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5B67C25"/>
    <w:multiLevelType w:val="hybridMultilevel"/>
    <w:tmpl w:val="EB68A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6477CD"/>
    <w:multiLevelType w:val="hybridMultilevel"/>
    <w:tmpl w:val="C3820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D7061E"/>
    <w:multiLevelType w:val="hybridMultilevel"/>
    <w:tmpl w:val="945874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DA"/>
    <w:rsid w:val="00011D4E"/>
    <w:rsid w:val="00021FA5"/>
    <w:rsid w:val="00026DF0"/>
    <w:rsid w:val="000317AD"/>
    <w:rsid w:val="00051C8F"/>
    <w:rsid w:val="00072C6F"/>
    <w:rsid w:val="00083F6E"/>
    <w:rsid w:val="0009173F"/>
    <w:rsid w:val="00092219"/>
    <w:rsid w:val="00093F00"/>
    <w:rsid w:val="000B0C3D"/>
    <w:rsid w:val="000D549C"/>
    <w:rsid w:val="000E6C66"/>
    <w:rsid w:val="000F1E61"/>
    <w:rsid w:val="000F1F32"/>
    <w:rsid w:val="000F3D4D"/>
    <w:rsid w:val="0010119C"/>
    <w:rsid w:val="0010655D"/>
    <w:rsid w:val="001217BF"/>
    <w:rsid w:val="00137CA6"/>
    <w:rsid w:val="00150B1C"/>
    <w:rsid w:val="00151AB8"/>
    <w:rsid w:val="001700CB"/>
    <w:rsid w:val="00184525"/>
    <w:rsid w:val="001A1D1C"/>
    <w:rsid w:val="001A7268"/>
    <w:rsid w:val="001D30D2"/>
    <w:rsid w:val="001D54FB"/>
    <w:rsid w:val="001D773B"/>
    <w:rsid w:val="00207A53"/>
    <w:rsid w:val="0025458B"/>
    <w:rsid w:val="002B1C1B"/>
    <w:rsid w:val="002B6A69"/>
    <w:rsid w:val="002C558F"/>
    <w:rsid w:val="002C5842"/>
    <w:rsid w:val="002F16A7"/>
    <w:rsid w:val="00302F7B"/>
    <w:rsid w:val="0030656B"/>
    <w:rsid w:val="0032216A"/>
    <w:rsid w:val="00326F69"/>
    <w:rsid w:val="00343D9D"/>
    <w:rsid w:val="00352BF9"/>
    <w:rsid w:val="00367B4D"/>
    <w:rsid w:val="003749AB"/>
    <w:rsid w:val="00375C7A"/>
    <w:rsid w:val="00376334"/>
    <w:rsid w:val="003828E7"/>
    <w:rsid w:val="00391350"/>
    <w:rsid w:val="00391CDA"/>
    <w:rsid w:val="0039227C"/>
    <w:rsid w:val="003C269F"/>
    <w:rsid w:val="003E4A38"/>
    <w:rsid w:val="00407351"/>
    <w:rsid w:val="00421AF5"/>
    <w:rsid w:val="0045114B"/>
    <w:rsid w:val="00452802"/>
    <w:rsid w:val="00452F13"/>
    <w:rsid w:val="00457020"/>
    <w:rsid w:val="0046153A"/>
    <w:rsid w:val="004767CF"/>
    <w:rsid w:val="0048160C"/>
    <w:rsid w:val="00483042"/>
    <w:rsid w:val="004B24BB"/>
    <w:rsid w:val="004D4B8D"/>
    <w:rsid w:val="004D6C8C"/>
    <w:rsid w:val="004E155E"/>
    <w:rsid w:val="004F1843"/>
    <w:rsid w:val="00502DBC"/>
    <w:rsid w:val="00504927"/>
    <w:rsid w:val="0050675F"/>
    <w:rsid w:val="00522756"/>
    <w:rsid w:val="005422FA"/>
    <w:rsid w:val="00553A75"/>
    <w:rsid w:val="005561A5"/>
    <w:rsid w:val="0055700B"/>
    <w:rsid w:val="00560A29"/>
    <w:rsid w:val="00574B98"/>
    <w:rsid w:val="00582BAD"/>
    <w:rsid w:val="005876B3"/>
    <w:rsid w:val="005A1E2D"/>
    <w:rsid w:val="005B0E47"/>
    <w:rsid w:val="005C52C7"/>
    <w:rsid w:val="005D04D0"/>
    <w:rsid w:val="00614467"/>
    <w:rsid w:val="00622203"/>
    <w:rsid w:val="00625E58"/>
    <w:rsid w:val="00646879"/>
    <w:rsid w:val="006605A3"/>
    <w:rsid w:val="0068516C"/>
    <w:rsid w:val="006C39CF"/>
    <w:rsid w:val="006D798A"/>
    <w:rsid w:val="006E18B3"/>
    <w:rsid w:val="006E20AA"/>
    <w:rsid w:val="006E4989"/>
    <w:rsid w:val="006F28F2"/>
    <w:rsid w:val="006F46DA"/>
    <w:rsid w:val="007105E8"/>
    <w:rsid w:val="007208CE"/>
    <w:rsid w:val="0072237E"/>
    <w:rsid w:val="0072333B"/>
    <w:rsid w:val="00732DE5"/>
    <w:rsid w:val="00733E3C"/>
    <w:rsid w:val="00742B9B"/>
    <w:rsid w:val="00746776"/>
    <w:rsid w:val="00752AB4"/>
    <w:rsid w:val="007633C4"/>
    <w:rsid w:val="0076528F"/>
    <w:rsid w:val="0078043F"/>
    <w:rsid w:val="00784B50"/>
    <w:rsid w:val="007A3C8D"/>
    <w:rsid w:val="007B166C"/>
    <w:rsid w:val="007F049B"/>
    <w:rsid w:val="00815486"/>
    <w:rsid w:val="00823E6C"/>
    <w:rsid w:val="0083684C"/>
    <w:rsid w:val="00855EBA"/>
    <w:rsid w:val="00871508"/>
    <w:rsid w:val="00871A43"/>
    <w:rsid w:val="008808A2"/>
    <w:rsid w:val="00891E99"/>
    <w:rsid w:val="00895C83"/>
    <w:rsid w:val="008A0E62"/>
    <w:rsid w:val="008A326A"/>
    <w:rsid w:val="008B0BBB"/>
    <w:rsid w:val="008B274B"/>
    <w:rsid w:val="008E0267"/>
    <w:rsid w:val="008E5AFF"/>
    <w:rsid w:val="008F4DA1"/>
    <w:rsid w:val="008F7956"/>
    <w:rsid w:val="009067C7"/>
    <w:rsid w:val="00914C2B"/>
    <w:rsid w:val="009208C5"/>
    <w:rsid w:val="00921FA1"/>
    <w:rsid w:val="00932469"/>
    <w:rsid w:val="00947294"/>
    <w:rsid w:val="00980E19"/>
    <w:rsid w:val="00986AEA"/>
    <w:rsid w:val="00992B34"/>
    <w:rsid w:val="00992E16"/>
    <w:rsid w:val="009B61B2"/>
    <w:rsid w:val="009D6171"/>
    <w:rsid w:val="00A406EF"/>
    <w:rsid w:val="00A77B11"/>
    <w:rsid w:val="00A8332C"/>
    <w:rsid w:val="00A926F0"/>
    <w:rsid w:val="00AA25C1"/>
    <w:rsid w:val="00AB5EAF"/>
    <w:rsid w:val="00AC0CCD"/>
    <w:rsid w:val="00AC26CB"/>
    <w:rsid w:val="00AD7A90"/>
    <w:rsid w:val="00AE1122"/>
    <w:rsid w:val="00AE1CB3"/>
    <w:rsid w:val="00AF2790"/>
    <w:rsid w:val="00AF7772"/>
    <w:rsid w:val="00B06701"/>
    <w:rsid w:val="00B159C2"/>
    <w:rsid w:val="00B160D8"/>
    <w:rsid w:val="00B27A51"/>
    <w:rsid w:val="00B32BF5"/>
    <w:rsid w:val="00B32F2D"/>
    <w:rsid w:val="00B33D41"/>
    <w:rsid w:val="00B355F2"/>
    <w:rsid w:val="00B4336A"/>
    <w:rsid w:val="00B44C65"/>
    <w:rsid w:val="00B44E47"/>
    <w:rsid w:val="00B5248D"/>
    <w:rsid w:val="00B71774"/>
    <w:rsid w:val="00B83F55"/>
    <w:rsid w:val="00B949BD"/>
    <w:rsid w:val="00B96EFE"/>
    <w:rsid w:val="00BA3564"/>
    <w:rsid w:val="00BA7626"/>
    <w:rsid w:val="00BC2E27"/>
    <w:rsid w:val="00BE1648"/>
    <w:rsid w:val="00BF3E86"/>
    <w:rsid w:val="00BF4596"/>
    <w:rsid w:val="00C05FC1"/>
    <w:rsid w:val="00C11738"/>
    <w:rsid w:val="00C3126D"/>
    <w:rsid w:val="00C5148C"/>
    <w:rsid w:val="00C7042B"/>
    <w:rsid w:val="00C829B8"/>
    <w:rsid w:val="00CA29E4"/>
    <w:rsid w:val="00CA3459"/>
    <w:rsid w:val="00CC0BD9"/>
    <w:rsid w:val="00CD5BB0"/>
    <w:rsid w:val="00CF2BC4"/>
    <w:rsid w:val="00CF6AC8"/>
    <w:rsid w:val="00D126C5"/>
    <w:rsid w:val="00D337C2"/>
    <w:rsid w:val="00D527D6"/>
    <w:rsid w:val="00D547BF"/>
    <w:rsid w:val="00D55773"/>
    <w:rsid w:val="00D60C80"/>
    <w:rsid w:val="00D65755"/>
    <w:rsid w:val="00D70CAC"/>
    <w:rsid w:val="00D97109"/>
    <w:rsid w:val="00DB3306"/>
    <w:rsid w:val="00DB6130"/>
    <w:rsid w:val="00DC39DD"/>
    <w:rsid w:val="00DC6FDD"/>
    <w:rsid w:val="00DD440A"/>
    <w:rsid w:val="00DE78F4"/>
    <w:rsid w:val="00DF005F"/>
    <w:rsid w:val="00E378EA"/>
    <w:rsid w:val="00E41F98"/>
    <w:rsid w:val="00E50EF7"/>
    <w:rsid w:val="00E57361"/>
    <w:rsid w:val="00E836E1"/>
    <w:rsid w:val="00E962DD"/>
    <w:rsid w:val="00ED43FF"/>
    <w:rsid w:val="00ED73B9"/>
    <w:rsid w:val="00EF5DD6"/>
    <w:rsid w:val="00F370C5"/>
    <w:rsid w:val="00F37D5A"/>
    <w:rsid w:val="00F718FB"/>
    <w:rsid w:val="00F8338F"/>
    <w:rsid w:val="00F83C8F"/>
    <w:rsid w:val="00F962DA"/>
    <w:rsid w:val="00FB24DF"/>
    <w:rsid w:val="00FB578B"/>
    <w:rsid w:val="00FB79D8"/>
    <w:rsid w:val="00FC004C"/>
    <w:rsid w:val="00FC037D"/>
    <w:rsid w:val="00FC0E68"/>
    <w:rsid w:val="00FC73AE"/>
    <w:rsid w:val="00FE0F2E"/>
    <w:rsid w:val="00FE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49DE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62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2DA"/>
  </w:style>
  <w:style w:type="paragraph" w:styleId="Voettekst">
    <w:name w:val="footer"/>
    <w:basedOn w:val="Standaard"/>
    <w:link w:val="VoettekstChar"/>
    <w:uiPriority w:val="99"/>
    <w:unhideWhenUsed/>
    <w:rsid w:val="00F962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2DA"/>
  </w:style>
  <w:style w:type="paragraph" w:styleId="Plattetekst">
    <w:name w:val="Body Text"/>
    <w:basedOn w:val="Standaard"/>
    <w:link w:val="PlattetekstChar"/>
    <w:rsid w:val="00F962DA"/>
    <w:pPr>
      <w:spacing w:after="120" w:line="240" w:lineRule="auto"/>
    </w:pPr>
    <w:rPr>
      <w:rFonts w:ascii="Times New Roman" w:eastAsia="Times New Roman" w:hAnsi="Times New Roman" w:cs="Times New Roman"/>
      <w:sz w:val="24"/>
      <w:szCs w:val="24"/>
      <w:lang w:val="nl-NL" w:eastAsia="nl-NL"/>
    </w:rPr>
  </w:style>
  <w:style w:type="character" w:customStyle="1" w:styleId="PlattetekstChar">
    <w:name w:val="Platte tekst Char"/>
    <w:basedOn w:val="Standaardalinea-lettertype"/>
    <w:link w:val="Plattetekst"/>
    <w:rsid w:val="00F962DA"/>
    <w:rPr>
      <w:rFonts w:ascii="Times New Roman" w:eastAsia="Times New Roman" w:hAnsi="Times New Roman" w:cs="Times New Roman"/>
      <w:sz w:val="24"/>
      <w:szCs w:val="24"/>
      <w:lang w:val="nl-NL" w:eastAsia="nl-NL"/>
    </w:rPr>
  </w:style>
  <w:style w:type="paragraph" w:styleId="Geenafstand">
    <w:name w:val="No Spacing"/>
    <w:uiPriority w:val="1"/>
    <w:qFormat/>
    <w:rsid w:val="00F962DA"/>
    <w:pPr>
      <w:spacing w:after="0" w:line="240" w:lineRule="auto"/>
    </w:pPr>
    <w:rPr>
      <w:lang w:val="nl-NL"/>
    </w:rPr>
  </w:style>
  <w:style w:type="paragraph" w:customStyle="1" w:styleId="Default">
    <w:name w:val="Default"/>
    <w:rsid w:val="00F962DA"/>
    <w:pPr>
      <w:pBdr>
        <w:top w:val="nil"/>
        <w:left w:val="nil"/>
        <w:bottom w:val="nil"/>
        <w:right w:val="nil"/>
        <w:between w:val="nil"/>
        <w:bar w:val="nil"/>
      </w:pBdr>
      <w:suppressAutoHyphens/>
      <w:spacing w:after="0" w:line="240" w:lineRule="auto"/>
    </w:pPr>
    <w:rPr>
      <w:rFonts w:eastAsia="Arial Unicode MS" w:cs="Arial Unicode MS"/>
      <w:color w:val="000000"/>
      <w:sz w:val="24"/>
      <w:szCs w:val="24"/>
      <w:u w:color="000000"/>
      <w:bdr w:val="nil"/>
      <w:lang w:val="nl-NL" w:eastAsia="nl-NL"/>
    </w:r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iPriority w:val="99"/>
    <w:qFormat/>
    <w:rsid w:val="00F962DA"/>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val="nl-NL" w:eastAsia="nl-NL"/>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uiPriority w:val="99"/>
    <w:rsid w:val="00F962DA"/>
    <w:rPr>
      <w:rFonts w:ascii="Arial" w:eastAsia="Times New Roman" w:hAnsi="Arial" w:cs="Times New Roman"/>
      <w:sz w:val="16"/>
      <w:szCs w:val="20"/>
      <w:lang w:val="nl-NL" w:eastAsia="nl-NL"/>
    </w:rPr>
  </w:style>
  <w:style w:type="character" w:styleId="Voetnootmarkering">
    <w:name w:val="footnote reference"/>
    <w:uiPriority w:val="99"/>
    <w:unhideWhenUsed/>
    <w:rsid w:val="00F962DA"/>
    <w:rPr>
      <w:vertAlign w:val="superscript"/>
    </w:rPr>
  </w:style>
  <w:style w:type="character" w:customStyle="1" w:styleId="s5">
    <w:name w:val="s5"/>
    <w:rsid w:val="00F962DA"/>
  </w:style>
  <w:style w:type="character" w:styleId="Hyperlink">
    <w:name w:val="Hyperlink"/>
    <w:basedOn w:val="Standaardalinea-lettertype"/>
    <w:uiPriority w:val="99"/>
    <w:unhideWhenUsed/>
    <w:rsid w:val="00F962DA"/>
    <w:rPr>
      <w:color w:val="0563C1" w:themeColor="hyperlink"/>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828E7"/>
    <w:pPr>
      <w:spacing w:after="0" w:line="240" w:lineRule="atLeast"/>
      <w:ind w:left="720"/>
      <w:contextualSpacing/>
    </w:pPr>
    <w:rPr>
      <w:rFonts w:eastAsia="Times New Roman" w:cs="Times New Roman"/>
      <w:szCs w:val="24"/>
      <w:lang w:val="nl-NL" w:eastAsia="nl-NL"/>
    </w:rPr>
  </w:style>
  <w:style w:type="paragraph" w:styleId="Ballontekst">
    <w:name w:val="Balloon Text"/>
    <w:basedOn w:val="Standaard"/>
    <w:link w:val="BallontekstChar"/>
    <w:uiPriority w:val="99"/>
    <w:semiHidden/>
    <w:unhideWhenUsed/>
    <w:rsid w:val="003828E7"/>
    <w:pPr>
      <w:spacing w:after="0" w:line="240" w:lineRule="auto"/>
    </w:pPr>
    <w:rPr>
      <w:rFonts w:ascii="Tahoma" w:hAnsi="Tahoma" w:cs="Tahoma"/>
      <w:sz w:val="16"/>
      <w:szCs w:val="16"/>
      <w:lang w:val="nl-NL" w:eastAsia="nl-NL"/>
    </w:rPr>
  </w:style>
  <w:style w:type="character" w:customStyle="1" w:styleId="BallontekstChar">
    <w:name w:val="Ballontekst Char"/>
    <w:basedOn w:val="Standaardalinea-lettertype"/>
    <w:link w:val="Ballontekst"/>
    <w:uiPriority w:val="99"/>
    <w:semiHidden/>
    <w:rsid w:val="003828E7"/>
    <w:rPr>
      <w:rFonts w:ascii="Tahoma" w:hAnsi="Tahoma" w:cs="Tahoma"/>
      <w:sz w:val="16"/>
      <w:szCs w:val="16"/>
      <w:lang w:val="nl-NL" w:eastAsia="nl-NL"/>
    </w:rPr>
  </w:style>
  <w:style w:type="paragraph" w:customStyle="1" w:styleId="paragraph">
    <w:name w:val="paragraph"/>
    <w:basedOn w:val="Standaard"/>
    <w:rsid w:val="003828E7"/>
    <w:pPr>
      <w:spacing w:before="100" w:beforeAutospacing="1" w:after="100" w:afterAutospacing="1" w:line="240" w:lineRule="auto"/>
    </w:pPr>
    <w:rPr>
      <w:rFonts w:ascii="Calibri" w:hAnsi="Calibri" w:cs="Calibri"/>
      <w:sz w:val="22"/>
      <w:lang w:val="nl-NL" w:eastAsia="nl-NL"/>
    </w:rPr>
  </w:style>
  <w:style w:type="character" w:customStyle="1" w:styleId="spellingerror">
    <w:name w:val="spellingerror"/>
    <w:basedOn w:val="Standaardalinea-lettertype"/>
    <w:rsid w:val="003828E7"/>
  </w:style>
  <w:style w:type="character" w:customStyle="1" w:styleId="normaltextrun">
    <w:name w:val="normaltextrun"/>
    <w:basedOn w:val="Standaardalinea-lettertype"/>
    <w:rsid w:val="003828E7"/>
  </w:style>
  <w:style w:type="character" w:styleId="Verwijzingopmerking">
    <w:name w:val="annotation reference"/>
    <w:basedOn w:val="Standaardalinea-lettertype"/>
    <w:uiPriority w:val="99"/>
    <w:semiHidden/>
    <w:unhideWhenUsed/>
    <w:rsid w:val="00B44E47"/>
    <w:rPr>
      <w:sz w:val="16"/>
      <w:szCs w:val="16"/>
    </w:rPr>
  </w:style>
  <w:style w:type="paragraph" w:styleId="Tekstopmerking">
    <w:name w:val="annotation text"/>
    <w:basedOn w:val="Standaard"/>
    <w:link w:val="TekstopmerkingChar"/>
    <w:uiPriority w:val="99"/>
    <w:semiHidden/>
    <w:unhideWhenUsed/>
    <w:rsid w:val="00B44E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44E47"/>
    <w:rPr>
      <w:sz w:val="20"/>
      <w:szCs w:val="20"/>
    </w:rPr>
  </w:style>
  <w:style w:type="paragraph" w:styleId="Onderwerpvanopmerking">
    <w:name w:val="annotation subject"/>
    <w:basedOn w:val="Tekstopmerking"/>
    <w:next w:val="Tekstopmerking"/>
    <w:link w:val="OnderwerpvanopmerkingChar"/>
    <w:uiPriority w:val="99"/>
    <w:semiHidden/>
    <w:unhideWhenUsed/>
    <w:rsid w:val="00B44E47"/>
    <w:rPr>
      <w:b/>
      <w:bCs/>
    </w:rPr>
  </w:style>
  <w:style w:type="character" w:customStyle="1" w:styleId="OnderwerpvanopmerkingChar">
    <w:name w:val="Onderwerp van opmerking Char"/>
    <w:basedOn w:val="TekstopmerkingChar"/>
    <w:link w:val="Onderwerpvanopmerking"/>
    <w:uiPriority w:val="99"/>
    <w:semiHidden/>
    <w:rsid w:val="00B44E47"/>
    <w:rPr>
      <w:b/>
      <w:bCs/>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AE1122"/>
    <w:rPr>
      <w:rFonts w:eastAsia="Times New Roman" w:cs="Times New Roman"/>
      <w:szCs w:val="24"/>
      <w:lang w:val="nl-NL" w:eastAsia="nl-NL"/>
    </w:rPr>
  </w:style>
  <w:style w:type="character" w:styleId="GevolgdeHyperlink">
    <w:name w:val="FollowedHyperlink"/>
    <w:basedOn w:val="Standaardalinea-lettertype"/>
    <w:uiPriority w:val="99"/>
    <w:semiHidden/>
    <w:unhideWhenUsed/>
    <w:rsid w:val="00AD7A90"/>
    <w:rPr>
      <w:color w:val="954F72" w:themeColor="followedHyperlink"/>
      <w:u w:val="single"/>
    </w:rPr>
  </w:style>
  <w:style w:type="paragraph" w:styleId="Normaalweb">
    <w:name w:val="Normal (Web)"/>
    <w:basedOn w:val="Standaard"/>
    <w:uiPriority w:val="99"/>
    <w:unhideWhenUsed/>
    <w:rsid w:val="00E41F9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p1">
    <w:name w:val="p1"/>
    <w:basedOn w:val="Standaard"/>
    <w:rsid w:val="00E41F98"/>
    <w:pPr>
      <w:spacing w:before="100" w:beforeAutospacing="1" w:after="100" w:afterAutospacing="1" w:line="240" w:lineRule="auto"/>
    </w:pPr>
    <w:rPr>
      <w:rFonts w:ascii="Times New Roman" w:hAnsi="Times New Roman" w:cs="Times New Roman"/>
      <w:sz w:val="24"/>
      <w:szCs w:val="24"/>
      <w:lang w:val="nl-NL" w:eastAsia="nl-NL"/>
    </w:rPr>
  </w:style>
  <w:style w:type="paragraph" w:customStyle="1" w:styleId="p2">
    <w:name w:val="p2"/>
    <w:basedOn w:val="Standaard"/>
    <w:rsid w:val="00E41F98"/>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s1">
    <w:name w:val="s1"/>
    <w:basedOn w:val="Standaardalinea-lettertype"/>
    <w:rsid w:val="00E4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5030">
      <w:bodyDiv w:val="1"/>
      <w:marLeft w:val="0"/>
      <w:marRight w:val="0"/>
      <w:marTop w:val="0"/>
      <w:marBottom w:val="0"/>
      <w:divBdr>
        <w:top w:val="none" w:sz="0" w:space="0" w:color="auto"/>
        <w:left w:val="none" w:sz="0" w:space="0" w:color="auto"/>
        <w:bottom w:val="none" w:sz="0" w:space="0" w:color="auto"/>
        <w:right w:val="none" w:sz="0" w:space="0" w:color="auto"/>
      </w:divBdr>
      <w:divsChild>
        <w:div w:id="1179852682">
          <w:marLeft w:val="0"/>
          <w:marRight w:val="0"/>
          <w:marTop w:val="0"/>
          <w:marBottom w:val="0"/>
          <w:divBdr>
            <w:top w:val="none" w:sz="0" w:space="0" w:color="auto"/>
            <w:left w:val="none" w:sz="0" w:space="0" w:color="auto"/>
            <w:bottom w:val="none" w:sz="0" w:space="0" w:color="auto"/>
            <w:right w:val="none" w:sz="0" w:space="0" w:color="auto"/>
          </w:divBdr>
          <w:divsChild>
            <w:div w:id="2058040752">
              <w:marLeft w:val="0"/>
              <w:marRight w:val="0"/>
              <w:marTop w:val="0"/>
              <w:marBottom w:val="0"/>
              <w:divBdr>
                <w:top w:val="none" w:sz="0" w:space="0" w:color="auto"/>
                <w:left w:val="none" w:sz="0" w:space="0" w:color="auto"/>
                <w:bottom w:val="none" w:sz="0" w:space="0" w:color="auto"/>
                <w:right w:val="none" w:sz="0" w:space="0" w:color="auto"/>
              </w:divBdr>
              <w:divsChild>
                <w:div w:id="1848598785">
                  <w:marLeft w:val="0"/>
                  <w:marRight w:val="0"/>
                  <w:marTop w:val="0"/>
                  <w:marBottom w:val="0"/>
                  <w:divBdr>
                    <w:top w:val="none" w:sz="0" w:space="0" w:color="auto"/>
                    <w:left w:val="none" w:sz="0" w:space="0" w:color="auto"/>
                    <w:bottom w:val="none" w:sz="0" w:space="0" w:color="auto"/>
                    <w:right w:val="none" w:sz="0" w:space="0" w:color="auto"/>
                  </w:divBdr>
                  <w:divsChild>
                    <w:div w:id="1435130999">
                      <w:marLeft w:val="0"/>
                      <w:marRight w:val="0"/>
                      <w:marTop w:val="0"/>
                      <w:marBottom w:val="0"/>
                      <w:divBdr>
                        <w:top w:val="none" w:sz="0" w:space="0" w:color="auto"/>
                        <w:left w:val="none" w:sz="0" w:space="0" w:color="auto"/>
                        <w:bottom w:val="none" w:sz="0" w:space="0" w:color="auto"/>
                        <w:right w:val="none" w:sz="0" w:space="0" w:color="auto"/>
                      </w:divBdr>
                      <w:divsChild>
                        <w:div w:id="1781756935">
                          <w:marLeft w:val="0"/>
                          <w:marRight w:val="0"/>
                          <w:marTop w:val="0"/>
                          <w:marBottom w:val="0"/>
                          <w:divBdr>
                            <w:top w:val="none" w:sz="0" w:space="0" w:color="auto"/>
                            <w:left w:val="none" w:sz="0" w:space="0" w:color="auto"/>
                            <w:bottom w:val="none" w:sz="0" w:space="0" w:color="auto"/>
                            <w:right w:val="none" w:sz="0" w:space="0" w:color="auto"/>
                          </w:divBdr>
                          <w:divsChild>
                            <w:div w:id="1648708115">
                              <w:marLeft w:val="12300"/>
                              <w:marRight w:val="0"/>
                              <w:marTop w:val="0"/>
                              <w:marBottom w:val="0"/>
                              <w:divBdr>
                                <w:top w:val="none" w:sz="0" w:space="0" w:color="auto"/>
                                <w:left w:val="none" w:sz="0" w:space="0" w:color="auto"/>
                                <w:bottom w:val="none" w:sz="0" w:space="0" w:color="auto"/>
                                <w:right w:val="none" w:sz="0" w:space="0" w:color="auto"/>
                              </w:divBdr>
                              <w:divsChild>
                                <w:div w:id="669064874">
                                  <w:marLeft w:val="0"/>
                                  <w:marRight w:val="0"/>
                                  <w:marTop w:val="0"/>
                                  <w:marBottom w:val="0"/>
                                  <w:divBdr>
                                    <w:top w:val="none" w:sz="0" w:space="0" w:color="auto"/>
                                    <w:left w:val="none" w:sz="0" w:space="0" w:color="auto"/>
                                    <w:bottom w:val="none" w:sz="0" w:space="0" w:color="auto"/>
                                    <w:right w:val="none" w:sz="0" w:space="0" w:color="auto"/>
                                  </w:divBdr>
                                  <w:divsChild>
                                    <w:div w:id="2088838868">
                                      <w:marLeft w:val="0"/>
                                      <w:marRight w:val="0"/>
                                      <w:marTop w:val="0"/>
                                      <w:marBottom w:val="390"/>
                                      <w:divBdr>
                                        <w:top w:val="none" w:sz="0" w:space="0" w:color="auto"/>
                                        <w:left w:val="none" w:sz="0" w:space="0" w:color="auto"/>
                                        <w:bottom w:val="none" w:sz="0" w:space="0" w:color="auto"/>
                                        <w:right w:val="none" w:sz="0" w:space="0" w:color="auto"/>
                                      </w:divBdr>
                                      <w:divsChild>
                                        <w:div w:id="991910281">
                                          <w:marLeft w:val="0"/>
                                          <w:marRight w:val="0"/>
                                          <w:marTop w:val="0"/>
                                          <w:marBottom w:val="0"/>
                                          <w:divBdr>
                                            <w:top w:val="none" w:sz="0" w:space="0" w:color="auto"/>
                                            <w:left w:val="none" w:sz="0" w:space="0" w:color="auto"/>
                                            <w:bottom w:val="none" w:sz="0" w:space="0" w:color="auto"/>
                                            <w:right w:val="none" w:sz="0" w:space="0" w:color="auto"/>
                                          </w:divBdr>
                                          <w:divsChild>
                                            <w:div w:id="1257862751">
                                              <w:marLeft w:val="0"/>
                                              <w:marRight w:val="0"/>
                                              <w:marTop w:val="0"/>
                                              <w:marBottom w:val="0"/>
                                              <w:divBdr>
                                                <w:top w:val="none" w:sz="0" w:space="0" w:color="auto"/>
                                                <w:left w:val="none" w:sz="0" w:space="0" w:color="auto"/>
                                                <w:bottom w:val="none" w:sz="0" w:space="0" w:color="auto"/>
                                                <w:right w:val="none" w:sz="0" w:space="0" w:color="auto"/>
                                              </w:divBdr>
                                              <w:divsChild>
                                                <w:div w:id="295064000">
                                                  <w:marLeft w:val="0"/>
                                                  <w:marRight w:val="0"/>
                                                  <w:marTop w:val="0"/>
                                                  <w:marBottom w:val="0"/>
                                                  <w:divBdr>
                                                    <w:top w:val="none" w:sz="0" w:space="0" w:color="auto"/>
                                                    <w:left w:val="none" w:sz="0" w:space="0" w:color="auto"/>
                                                    <w:bottom w:val="none" w:sz="0" w:space="0" w:color="auto"/>
                                                    <w:right w:val="none" w:sz="0" w:space="0" w:color="auto"/>
                                                  </w:divBdr>
                                                  <w:divsChild>
                                                    <w:div w:id="2066179366">
                                                      <w:marLeft w:val="0"/>
                                                      <w:marRight w:val="0"/>
                                                      <w:marTop w:val="0"/>
                                                      <w:marBottom w:val="0"/>
                                                      <w:divBdr>
                                                        <w:top w:val="none" w:sz="0" w:space="0" w:color="auto"/>
                                                        <w:left w:val="none" w:sz="0" w:space="0" w:color="auto"/>
                                                        <w:bottom w:val="none" w:sz="0" w:space="0" w:color="auto"/>
                                                        <w:right w:val="none" w:sz="0" w:space="0" w:color="auto"/>
                                                      </w:divBdr>
                                                      <w:divsChild>
                                                        <w:div w:id="2048026060">
                                                          <w:marLeft w:val="0"/>
                                                          <w:marRight w:val="0"/>
                                                          <w:marTop w:val="0"/>
                                                          <w:marBottom w:val="0"/>
                                                          <w:divBdr>
                                                            <w:top w:val="none" w:sz="0" w:space="0" w:color="auto"/>
                                                            <w:left w:val="none" w:sz="0" w:space="0" w:color="auto"/>
                                                            <w:bottom w:val="none" w:sz="0" w:space="0" w:color="auto"/>
                                                            <w:right w:val="none" w:sz="0" w:space="0" w:color="auto"/>
                                                          </w:divBdr>
                                                          <w:divsChild>
                                                            <w:div w:id="1053043868">
                                                              <w:marLeft w:val="0"/>
                                                              <w:marRight w:val="0"/>
                                                              <w:marTop w:val="0"/>
                                                              <w:marBottom w:val="0"/>
                                                              <w:divBdr>
                                                                <w:top w:val="none" w:sz="0" w:space="0" w:color="auto"/>
                                                                <w:left w:val="none" w:sz="0" w:space="0" w:color="auto"/>
                                                                <w:bottom w:val="none" w:sz="0" w:space="0" w:color="auto"/>
                                                                <w:right w:val="none" w:sz="0" w:space="0" w:color="auto"/>
                                                              </w:divBdr>
                                                              <w:divsChild>
                                                                <w:div w:id="1678456113">
                                                                  <w:marLeft w:val="0"/>
                                                                  <w:marRight w:val="0"/>
                                                                  <w:marTop w:val="0"/>
                                                                  <w:marBottom w:val="0"/>
                                                                  <w:divBdr>
                                                                    <w:top w:val="none" w:sz="0" w:space="0" w:color="auto"/>
                                                                    <w:left w:val="none" w:sz="0" w:space="0" w:color="auto"/>
                                                                    <w:bottom w:val="none" w:sz="0" w:space="0" w:color="auto"/>
                                                                    <w:right w:val="none" w:sz="0" w:space="0" w:color="auto"/>
                                                                  </w:divBdr>
                                                                  <w:divsChild>
                                                                    <w:div w:id="1140070384">
                                                                      <w:marLeft w:val="0"/>
                                                                      <w:marRight w:val="0"/>
                                                                      <w:marTop w:val="0"/>
                                                                      <w:marBottom w:val="0"/>
                                                                      <w:divBdr>
                                                                        <w:top w:val="none" w:sz="0" w:space="0" w:color="auto"/>
                                                                        <w:left w:val="none" w:sz="0" w:space="0" w:color="auto"/>
                                                                        <w:bottom w:val="none" w:sz="0" w:space="0" w:color="auto"/>
                                                                        <w:right w:val="none" w:sz="0" w:space="0" w:color="auto"/>
                                                                      </w:divBdr>
                                                                      <w:divsChild>
                                                                        <w:div w:id="667904900">
                                                                          <w:marLeft w:val="0"/>
                                                                          <w:marRight w:val="0"/>
                                                                          <w:marTop w:val="0"/>
                                                                          <w:marBottom w:val="0"/>
                                                                          <w:divBdr>
                                                                            <w:top w:val="none" w:sz="0" w:space="0" w:color="auto"/>
                                                                            <w:left w:val="none" w:sz="0" w:space="0" w:color="auto"/>
                                                                            <w:bottom w:val="none" w:sz="0" w:space="0" w:color="auto"/>
                                                                            <w:right w:val="none" w:sz="0" w:space="0" w:color="auto"/>
                                                                          </w:divBdr>
                                                                          <w:divsChild>
                                                                            <w:div w:id="1221672945">
                                                                              <w:marLeft w:val="0"/>
                                                                              <w:marRight w:val="0"/>
                                                                              <w:marTop w:val="0"/>
                                                                              <w:marBottom w:val="0"/>
                                                                              <w:divBdr>
                                                                                <w:top w:val="none" w:sz="0" w:space="0" w:color="auto"/>
                                                                                <w:left w:val="none" w:sz="0" w:space="0" w:color="auto"/>
                                                                                <w:bottom w:val="none" w:sz="0" w:space="0" w:color="auto"/>
                                                                                <w:right w:val="none" w:sz="0" w:space="0" w:color="auto"/>
                                                                              </w:divBdr>
                                                                              <w:divsChild>
                                                                                <w:div w:id="3068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495489">
      <w:bodyDiv w:val="1"/>
      <w:marLeft w:val="0"/>
      <w:marRight w:val="0"/>
      <w:marTop w:val="0"/>
      <w:marBottom w:val="0"/>
      <w:divBdr>
        <w:top w:val="none" w:sz="0" w:space="0" w:color="auto"/>
        <w:left w:val="none" w:sz="0" w:space="0" w:color="auto"/>
        <w:bottom w:val="none" w:sz="0" w:space="0" w:color="auto"/>
        <w:right w:val="none" w:sz="0" w:space="0" w:color="auto"/>
      </w:divBdr>
    </w:div>
    <w:div w:id="383988946">
      <w:bodyDiv w:val="1"/>
      <w:marLeft w:val="0"/>
      <w:marRight w:val="0"/>
      <w:marTop w:val="0"/>
      <w:marBottom w:val="0"/>
      <w:divBdr>
        <w:top w:val="none" w:sz="0" w:space="0" w:color="auto"/>
        <w:left w:val="none" w:sz="0" w:space="0" w:color="auto"/>
        <w:bottom w:val="none" w:sz="0" w:space="0" w:color="auto"/>
        <w:right w:val="none" w:sz="0" w:space="0" w:color="auto"/>
      </w:divBdr>
    </w:div>
    <w:div w:id="733939097">
      <w:bodyDiv w:val="1"/>
      <w:marLeft w:val="0"/>
      <w:marRight w:val="0"/>
      <w:marTop w:val="0"/>
      <w:marBottom w:val="0"/>
      <w:divBdr>
        <w:top w:val="none" w:sz="0" w:space="0" w:color="auto"/>
        <w:left w:val="none" w:sz="0" w:space="0" w:color="auto"/>
        <w:bottom w:val="none" w:sz="0" w:space="0" w:color="auto"/>
        <w:right w:val="none" w:sz="0" w:space="0" w:color="auto"/>
      </w:divBdr>
    </w:div>
    <w:div w:id="763066302">
      <w:bodyDiv w:val="1"/>
      <w:marLeft w:val="0"/>
      <w:marRight w:val="0"/>
      <w:marTop w:val="0"/>
      <w:marBottom w:val="0"/>
      <w:divBdr>
        <w:top w:val="none" w:sz="0" w:space="0" w:color="auto"/>
        <w:left w:val="none" w:sz="0" w:space="0" w:color="auto"/>
        <w:bottom w:val="none" w:sz="0" w:space="0" w:color="auto"/>
        <w:right w:val="none" w:sz="0" w:space="0" w:color="auto"/>
      </w:divBdr>
      <w:divsChild>
        <w:div w:id="779185321">
          <w:marLeft w:val="0"/>
          <w:marRight w:val="0"/>
          <w:marTop w:val="0"/>
          <w:marBottom w:val="0"/>
          <w:divBdr>
            <w:top w:val="none" w:sz="0" w:space="0" w:color="auto"/>
            <w:left w:val="none" w:sz="0" w:space="0" w:color="auto"/>
            <w:bottom w:val="none" w:sz="0" w:space="0" w:color="auto"/>
            <w:right w:val="none" w:sz="0" w:space="0" w:color="auto"/>
          </w:divBdr>
          <w:divsChild>
            <w:div w:id="37827699">
              <w:marLeft w:val="0"/>
              <w:marRight w:val="0"/>
              <w:marTop w:val="0"/>
              <w:marBottom w:val="0"/>
              <w:divBdr>
                <w:top w:val="none" w:sz="0" w:space="0" w:color="auto"/>
                <w:left w:val="none" w:sz="0" w:space="0" w:color="auto"/>
                <w:bottom w:val="none" w:sz="0" w:space="0" w:color="auto"/>
                <w:right w:val="none" w:sz="0" w:space="0" w:color="auto"/>
              </w:divBdr>
              <w:divsChild>
                <w:div w:id="1835533789">
                  <w:marLeft w:val="0"/>
                  <w:marRight w:val="0"/>
                  <w:marTop w:val="0"/>
                  <w:marBottom w:val="0"/>
                  <w:divBdr>
                    <w:top w:val="none" w:sz="0" w:space="0" w:color="auto"/>
                    <w:left w:val="none" w:sz="0" w:space="0" w:color="auto"/>
                    <w:bottom w:val="none" w:sz="0" w:space="0" w:color="auto"/>
                    <w:right w:val="none" w:sz="0" w:space="0" w:color="auto"/>
                  </w:divBdr>
                  <w:divsChild>
                    <w:div w:id="255358880">
                      <w:marLeft w:val="0"/>
                      <w:marRight w:val="0"/>
                      <w:marTop w:val="0"/>
                      <w:marBottom w:val="0"/>
                      <w:divBdr>
                        <w:top w:val="none" w:sz="0" w:space="0" w:color="auto"/>
                        <w:left w:val="none" w:sz="0" w:space="0" w:color="auto"/>
                        <w:bottom w:val="none" w:sz="0" w:space="0" w:color="auto"/>
                        <w:right w:val="none" w:sz="0" w:space="0" w:color="auto"/>
                      </w:divBdr>
                      <w:divsChild>
                        <w:div w:id="1022319136">
                          <w:marLeft w:val="0"/>
                          <w:marRight w:val="0"/>
                          <w:marTop w:val="0"/>
                          <w:marBottom w:val="0"/>
                          <w:divBdr>
                            <w:top w:val="none" w:sz="0" w:space="0" w:color="auto"/>
                            <w:left w:val="none" w:sz="0" w:space="0" w:color="auto"/>
                            <w:bottom w:val="none" w:sz="0" w:space="0" w:color="auto"/>
                            <w:right w:val="none" w:sz="0" w:space="0" w:color="auto"/>
                          </w:divBdr>
                          <w:divsChild>
                            <w:div w:id="370695523">
                              <w:marLeft w:val="0"/>
                              <w:marRight w:val="0"/>
                              <w:marTop w:val="0"/>
                              <w:marBottom w:val="0"/>
                              <w:divBdr>
                                <w:top w:val="none" w:sz="0" w:space="0" w:color="auto"/>
                                <w:left w:val="none" w:sz="0" w:space="0" w:color="auto"/>
                                <w:bottom w:val="none" w:sz="0" w:space="0" w:color="auto"/>
                                <w:right w:val="none" w:sz="0" w:space="0" w:color="auto"/>
                              </w:divBdr>
                              <w:divsChild>
                                <w:div w:id="498929409">
                                  <w:marLeft w:val="0"/>
                                  <w:marRight w:val="0"/>
                                  <w:marTop w:val="0"/>
                                  <w:marBottom w:val="0"/>
                                  <w:divBdr>
                                    <w:top w:val="none" w:sz="0" w:space="0" w:color="auto"/>
                                    <w:left w:val="none" w:sz="0" w:space="0" w:color="auto"/>
                                    <w:bottom w:val="none" w:sz="0" w:space="0" w:color="auto"/>
                                    <w:right w:val="none" w:sz="0" w:space="0" w:color="auto"/>
                                  </w:divBdr>
                                  <w:divsChild>
                                    <w:div w:id="45296841">
                                      <w:marLeft w:val="0"/>
                                      <w:marRight w:val="0"/>
                                      <w:marTop w:val="0"/>
                                      <w:marBottom w:val="0"/>
                                      <w:divBdr>
                                        <w:top w:val="none" w:sz="0" w:space="0" w:color="auto"/>
                                        <w:left w:val="none" w:sz="0" w:space="0" w:color="auto"/>
                                        <w:bottom w:val="none" w:sz="0" w:space="0" w:color="auto"/>
                                        <w:right w:val="none" w:sz="0" w:space="0" w:color="auto"/>
                                      </w:divBdr>
                                      <w:divsChild>
                                        <w:div w:id="2111075720">
                                          <w:marLeft w:val="0"/>
                                          <w:marRight w:val="0"/>
                                          <w:marTop w:val="0"/>
                                          <w:marBottom w:val="495"/>
                                          <w:divBdr>
                                            <w:top w:val="none" w:sz="0" w:space="0" w:color="auto"/>
                                            <w:left w:val="none" w:sz="0" w:space="0" w:color="auto"/>
                                            <w:bottom w:val="none" w:sz="0" w:space="0" w:color="auto"/>
                                            <w:right w:val="none" w:sz="0" w:space="0" w:color="auto"/>
                                          </w:divBdr>
                                          <w:divsChild>
                                            <w:div w:id="107547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547024">
      <w:bodyDiv w:val="1"/>
      <w:marLeft w:val="0"/>
      <w:marRight w:val="0"/>
      <w:marTop w:val="0"/>
      <w:marBottom w:val="0"/>
      <w:divBdr>
        <w:top w:val="none" w:sz="0" w:space="0" w:color="auto"/>
        <w:left w:val="none" w:sz="0" w:space="0" w:color="auto"/>
        <w:bottom w:val="none" w:sz="0" w:space="0" w:color="auto"/>
        <w:right w:val="none" w:sz="0" w:space="0" w:color="auto"/>
      </w:divBdr>
    </w:div>
    <w:div w:id="1024331686">
      <w:bodyDiv w:val="1"/>
      <w:marLeft w:val="0"/>
      <w:marRight w:val="0"/>
      <w:marTop w:val="0"/>
      <w:marBottom w:val="0"/>
      <w:divBdr>
        <w:top w:val="none" w:sz="0" w:space="0" w:color="auto"/>
        <w:left w:val="none" w:sz="0" w:space="0" w:color="auto"/>
        <w:bottom w:val="none" w:sz="0" w:space="0" w:color="auto"/>
        <w:right w:val="none" w:sz="0" w:space="0" w:color="auto"/>
      </w:divBdr>
    </w:div>
    <w:div w:id="1411345427">
      <w:bodyDiv w:val="1"/>
      <w:marLeft w:val="0"/>
      <w:marRight w:val="0"/>
      <w:marTop w:val="0"/>
      <w:marBottom w:val="0"/>
      <w:divBdr>
        <w:top w:val="none" w:sz="0" w:space="0" w:color="auto"/>
        <w:left w:val="none" w:sz="0" w:space="0" w:color="auto"/>
        <w:bottom w:val="none" w:sz="0" w:space="0" w:color="auto"/>
        <w:right w:val="none" w:sz="0" w:space="0" w:color="auto"/>
      </w:divBdr>
    </w:div>
    <w:div w:id="1564868900">
      <w:bodyDiv w:val="1"/>
      <w:marLeft w:val="0"/>
      <w:marRight w:val="0"/>
      <w:marTop w:val="0"/>
      <w:marBottom w:val="0"/>
      <w:divBdr>
        <w:top w:val="none" w:sz="0" w:space="0" w:color="auto"/>
        <w:left w:val="none" w:sz="0" w:space="0" w:color="auto"/>
        <w:bottom w:val="none" w:sz="0" w:space="0" w:color="auto"/>
        <w:right w:val="none" w:sz="0" w:space="0" w:color="auto"/>
      </w:divBdr>
    </w:div>
    <w:div w:id="1687831183">
      <w:bodyDiv w:val="1"/>
      <w:marLeft w:val="0"/>
      <w:marRight w:val="0"/>
      <w:marTop w:val="0"/>
      <w:marBottom w:val="0"/>
      <w:divBdr>
        <w:top w:val="none" w:sz="0" w:space="0" w:color="auto"/>
        <w:left w:val="none" w:sz="0" w:space="0" w:color="auto"/>
        <w:bottom w:val="none" w:sz="0" w:space="0" w:color="auto"/>
        <w:right w:val="none" w:sz="0" w:space="0" w:color="auto"/>
      </w:divBdr>
    </w:div>
    <w:div w:id="1878469321">
      <w:bodyDiv w:val="1"/>
      <w:marLeft w:val="0"/>
      <w:marRight w:val="0"/>
      <w:marTop w:val="0"/>
      <w:marBottom w:val="0"/>
      <w:divBdr>
        <w:top w:val="none" w:sz="0" w:space="0" w:color="auto"/>
        <w:left w:val="none" w:sz="0" w:space="0" w:color="auto"/>
        <w:bottom w:val="none" w:sz="0" w:space="0" w:color="auto"/>
        <w:right w:val="none" w:sz="0" w:space="0" w:color="auto"/>
      </w:divBdr>
    </w:div>
    <w:div w:id="1989430283">
      <w:bodyDiv w:val="1"/>
      <w:marLeft w:val="0"/>
      <w:marRight w:val="0"/>
      <w:marTop w:val="0"/>
      <w:marBottom w:val="0"/>
      <w:divBdr>
        <w:top w:val="none" w:sz="0" w:space="0" w:color="auto"/>
        <w:left w:val="none" w:sz="0" w:space="0" w:color="auto"/>
        <w:bottom w:val="none" w:sz="0" w:space="0" w:color="auto"/>
        <w:right w:val="none" w:sz="0" w:space="0" w:color="auto"/>
      </w:divBdr>
      <w:divsChild>
        <w:div w:id="1023166515">
          <w:marLeft w:val="0"/>
          <w:marRight w:val="0"/>
          <w:marTop w:val="0"/>
          <w:marBottom w:val="0"/>
          <w:divBdr>
            <w:top w:val="none" w:sz="0" w:space="0" w:color="auto"/>
            <w:left w:val="none" w:sz="0" w:space="0" w:color="auto"/>
            <w:bottom w:val="none" w:sz="0" w:space="0" w:color="auto"/>
            <w:right w:val="none" w:sz="0" w:space="0" w:color="auto"/>
          </w:divBdr>
          <w:divsChild>
            <w:div w:id="1823082648">
              <w:marLeft w:val="0"/>
              <w:marRight w:val="0"/>
              <w:marTop w:val="0"/>
              <w:marBottom w:val="0"/>
              <w:divBdr>
                <w:top w:val="none" w:sz="0" w:space="0" w:color="auto"/>
                <w:left w:val="none" w:sz="0" w:space="0" w:color="auto"/>
                <w:bottom w:val="none" w:sz="0" w:space="0" w:color="auto"/>
                <w:right w:val="none" w:sz="0" w:space="0" w:color="auto"/>
              </w:divBdr>
              <w:divsChild>
                <w:div w:id="15268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0631">
      <w:bodyDiv w:val="1"/>
      <w:marLeft w:val="0"/>
      <w:marRight w:val="0"/>
      <w:marTop w:val="0"/>
      <w:marBottom w:val="0"/>
      <w:divBdr>
        <w:top w:val="none" w:sz="0" w:space="0" w:color="auto"/>
        <w:left w:val="none" w:sz="0" w:space="0" w:color="auto"/>
        <w:bottom w:val="none" w:sz="0" w:space="0" w:color="auto"/>
        <w:right w:val="none" w:sz="0" w:space="0" w:color="auto"/>
      </w:divBdr>
    </w:div>
    <w:div w:id="201729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business-economy-euro/euro-area/enlargement-euro-area/introducing-euro/adoption-fixed-euro-conversion-rate/erm-ii-eus-exchange-rate-mechanism_en" TargetMode="External"/><Relationship Id="rId13" Type="http://schemas.openxmlformats.org/officeDocument/2006/relationships/hyperlink" Target="https://www.rijksoverheid.nl/documenten/kamerstukken/2019/04/05/beantwoording-kamervragen-over-contingency-maatregelen-brexit" TargetMode="External"/><Relationship Id="rId18" Type="http://schemas.openxmlformats.org/officeDocument/2006/relationships/hyperlink" Target="https://www.bundesbank.de/de/presse/stellungnahmen/stellungnahme-der-deutschen-bundesbank-anlaesslich-der-oeffentlichen-anhoerung-des-finanzausschusses-des-deutschen-bundestags-am-5-juni-2019-798206" TargetMode="External"/><Relationship Id="rId3" Type="http://schemas.openxmlformats.org/officeDocument/2006/relationships/hyperlink" Target="https://ec.europa.eu/info/sites/info/files/economy-finance/ip106_en_1.pdf" TargetMode="External"/><Relationship Id="rId7" Type="http://schemas.openxmlformats.org/officeDocument/2006/relationships/hyperlink" Target="https://ec.europa.eu/info/sites/info/files/economy-finance/swd_italys_fiscal_surveillance_aftercollege_-_final.pdf" TargetMode="External"/><Relationship Id="rId12" Type="http://schemas.openxmlformats.org/officeDocument/2006/relationships/hyperlink" Target="https://www.consilium.europa.eu/en/press/press-releases/2019/07/09/2019-eu-budget-council-adopts-contingency-measures-for-a-no-deal-brexit/" TargetMode="External"/><Relationship Id="rId17" Type="http://schemas.openxmlformats.org/officeDocument/2006/relationships/hyperlink" Target="https://www.consilium.europa.eu/en/press/press-releases/2019/07/09/economic-employment-and-fiscal-policies-2019-country-specific-recommendations/" TargetMode="External"/><Relationship Id="rId2" Type="http://schemas.openxmlformats.org/officeDocument/2006/relationships/hyperlink" Target="https://www.consilium.europa.eu/nl/press/press-releases/2018/06/22/eurogroup-statement-on-greece-22-june-2018/" TargetMode="External"/><Relationship Id="rId16" Type="http://schemas.openxmlformats.org/officeDocument/2006/relationships/hyperlink" Target="https://ec.europa.eu/info/publications/2019-european-semester-country-specific-recommendations-council-recommendations_en" TargetMode="External"/><Relationship Id="rId1" Type="http://schemas.openxmlformats.org/officeDocument/2006/relationships/hyperlink" Target="https://ec.europa.eu/info/sites/info/files/2019_06_25_june_report_final.pdf" TargetMode="External"/><Relationship Id="rId6" Type="http://schemas.openxmlformats.org/officeDocument/2006/relationships/hyperlink" Target="https://www.rijksoverheid.nl/documenten/kamerstukken/2019/07/05/kabinetsappreciatie-besluit-van-de-europese-commissie-op-3-juli-2019-om-voor-italie-geen-buitensporigtekortprocedure-te-openen" TargetMode="External"/><Relationship Id="rId11" Type="http://schemas.openxmlformats.org/officeDocument/2006/relationships/hyperlink" Target="https://www.rijksoverheid.nl/documenten/kamerstukken/2019/06/17/verslag-eurogroep-en-ecofin-13-en-14-juni-2019" TargetMode="External"/><Relationship Id="rId5" Type="http://schemas.openxmlformats.org/officeDocument/2006/relationships/hyperlink" Target="https://ec.europa.eu/info/business-economy-euro/economic-and-fiscal-policy-coordination/eu-economic-governance-monitoring-prevention-correction/stability-and-growth-pact/corrective-arm-excessive-deficit-procedure/closed-excessive-deficit-procedures/italy_en" TargetMode="External"/><Relationship Id="rId15" Type="http://schemas.openxmlformats.org/officeDocument/2006/relationships/hyperlink" Target="https://eu2019.fi/en/priorities-and-programme/programme" TargetMode="External"/><Relationship Id="rId10" Type="http://schemas.openxmlformats.org/officeDocument/2006/relationships/hyperlink" Target="https://www.consilium.europa.eu/media/40282/letter-of-intent.pdf" TargetMode="External"/><Relationship Id="rId4" Type="http://schemas.openxmlformats.org/officeDocument/2006/relationships/hyperlink" Target="https://ec.europa.eu/info/sites/info/files/com-2018-796-communication_en.pdf" TargetMode="External"/><Relationship Id="rId9" Type="http://schemas.openxmlformats.org/officeDocument/2006/relationships/hyperlink" Target="https://www.consilium.europa.eu/en/press/press-releases/2019/07/08/statement-on-croatia-s-path-towards-erm-ii-participation/" TargetMode="External"/><Relationship Id="rId14" Type="http://schemas.openxmlformats.org/officeDocument/2006/relationships/hyperlink" Target="https://data.consilium.europa.eu/doc/document/ST-10653-2019-INIT/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3310</ap:Words>
  <ap:Characters>18206</ap:Characters>
  <ap:DocSecurity>4</ap:DocSecurity>
  <ap:Lines>151</ap:Lines>
  <ap:Paragraphs>42</ap:Paragraphs>
  <ap:ScaleCrop>false</ap:ScaleCrop>
  <ap:LinksUpToDate>false</ap:LinksUpToDate>
  <ap:CharactersWithSpaces>21474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2019-07-12T11:39:00.0000000Z</dcterms:created>
  <dcterms:modified xsi:type="dcterms:W3CDTF">2019-07-12T11:39:00.0000000Z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0x010100A8D3FD0545C0B0438FCFC3DABF40661D</vt:lpwstr>
  </property>
</Properties>
</file>