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B0772" w:rsidR="006972AF" w:rsidP="00915D2F" w:rsidRDefault="006972AF">
      <w:pPr>
        <w:spacing w:after="0"/>
        <w:rPr>
          <w:rFonts w:asciiTheme="majorHAnsi" w:hAnsiTheme="majorHAnsi"/>
          <w:b/>
          <w:szCs w:val="18"/>
        </w:rPr>
      </w:pPr>
      <w:r w:rsidRPr="005B0772">
        <w:rPr>
          <w:rFonts w:asciiTheme="majorHAnsi" w:hAnsiTheme="majorHAnsi"/>
          <w:b/>
          <w:szCs w:val="18"/>
        </w:rPr>
        <w:t>Bijlage</w:t>
      </w:r>
      <w:r w:rsidR="00C67384">
        <w:rPr>
          <w:rFonts w:asciiTheme="majorHAnsi" w:hAnsiTheme="majorHAnsi"/>
          <w:b/>
          <w:szCs w:val="18"/>
        </w:rPr>
        <w:t xml:space="preserve"> 5</w:t>
      </w:r>
      <w:r w:rsidR="009E03DE">
        <w:rPr>
          <w:rFonts w:asciiTheme="majorHAnsi" w:hAnsiTheme="majorHAnsi"/>
          <w:b/>
          <w:szCs w:val="18"/>
        </w:rPr>
        <w:t>.</w:t>
      </w:r>
      <w:r w:rsidRPr="005B0772">
        <w:rPr>
          <w:rFonts w:asciiTheme="majorHAnsi" w:hAnsiTheme="majorHAnsi"/>
          <w:b/>
          <w:szCs w:val="18"/>
        </w:rPr>
        <w:t xml:space="preserve"> </w:t>
      </w:r>
      <w:bookmarkStart w:name="_GoBack" w:id="0"/>
      <w:r w:rsidRPr="005B0772">
        <w:rPr>
          <w:rFonts w:asciiTheme="majorHAnsi" w:hAnsiTheme="majorHAnsi"/>
          <w:b/>
          <w:szCs w:val="18"/>
        </w:rPr>
        <w:t xml:space="preserve">Verticale </w:t>
      </w:r>
      <w:r w:rsidR="00AF3B96">
        <w:rPr>
          <w:rFonts w:asciiTheme="majorHAnsi" w:hAnsiTheme="majorHAnsi"/>
          <w:b/>
          <w:szCs w:val="18"/>
        </w:rPr>
        <w:t>t</w:t>
      </w:r>
      <w:r w:rsidRPr="005B0772">
        <w:rPr>
          <w:rFonts w:asciiTheme="majorHAnsi" w:hAnsiTheme="majorHAnsi"/>
          <w:b/>
          <w:szCs w:val="18"/>
        </w:rPr>
        <w:t xml:space="preserve">oelichting </w:t>
      </w:r>
      <w:r w:rsidR="00632AE9">
        <w:rPr>
          <w:rFonts w:asciiTheme="majorHAnsi" w:hAnsiTheme="majorHAnsi"/>
          <w:b/>
          <w:szCs w:val="18"/>
        </w:rPr>
        <w:t xml:space="preserve">bij </w:t>
      </w:r>
      <w:r w:rsidR="002E3C02">
        <w:rPr>
          <w:rFonts w:asciiTheme="majorHAnsi" w:hAnsiTheme="majorHAnsi"/>
          <w:b/>
          <w:szCs w:val="18"/>
        </w:rPr>
        <w:t>Voorjaarsnota 2019</w:t>
      </w:r>
      <w:bookmarkEnd w:id="0"/>
    </w:p>
    <w:p w:rsidRPr="005B0772" w:rsidR="006972AF" w:rsidP="00915D2F" w:rsidRDefault="006972AF">
      <w:pPr>
        <w:spacing w:after="0"/>
        <w:rPr>
          <w:rFonts w:asciiTheme="majorHAnsi" w:hAnsiTheme="majorHAnsi"/>
          <w:b/>
          <w:szCs w:val="18"/>
        </w:rPr>
      </w:pPr>
    </w:p>
    <w:p w:rsidRPr="005B0772" w:rsidR="006972AF" w:rsidP="00915D2F" w:rsidRDefault="006972AF">
      <w:pPr>
        <w:spacing w:after="0"/>
        <w:rPr>
          <w:rFonts w:cs="Verdana" w:asciiTheme="majorHAnsi" w:hAnsiTheme="majorHAnsi"/>
          <w:szCs w:val="18"/>
        </w:rPr>
      </w:pPr>
      <w:r w:rsidRPr="005B0772">
        <w:rPr>
          <w:rFonts w:cs="Verdana" w:asciiTheme="majorHAnsi" w:hAnsiTheme="majorHAnsi"/>
          <w:szCs w:val="18"/>
        </w:rPr>
        <w:t xml:space="preserve">De </w:t>
      </w:r>
      <w:r w:rsidR="00BC3397">
        <w:rPr>
          <w:rFonts w:cs="Verdana" w:asciiTheme="majorHAnsi" w:hAnsiTheme="majorHAnsi"/>
          <w:szCs w:val="18"/>
        </w:rPr>
        <w:t>v</w:t>
      </w:r>
      <w:r w:rsidRPr="005B0772">
        <w:rPr>
          <w:rFonts w:cs="Verdana" w:asciiTheme="majorHAnsi" w:hAnsiTheme="majorHAnsi"/>
          <w:szCs w:val="18"/>
        </w:rPr>
        <w:t xml:space="preserve">erticale </w:t>
      </w:r>
      <w:r w:rsidR="00BC3397">
        <w:rPr>
          <w:rFonts w:cs="Verdana" w:asciiTheme="majorHAnsi" w:hAnsiTheme="majorHAnsi"/>
          <w:szCs w:val="18"/>
        </w:rPr>
        <w:t>t</w:t>
      </w:r>
      <w:r w:rsidRPr="005B0772">
        <w:rPr>
          <w:rFonts w:cs="Verdana" w:asciiTheme="majorHAnsi" w:hAnsiTheme="majorHAnsi"/>
          <w:szCs w:val="18"/>
        </w:rPr>
        <w:t>oelichting g</w:t>
      </w:r>
      <w:r w:rsidR="00BC3397">
        <w:rPr>
          <w:rFonts w:cs="Verdana" w:asciiTheme="majorHAnsi" w:hAnsiTheme="majorHAnsi"/>
          <w:szCs w:val="18"/>
        </w:rPr>
        <w:t>eeft voor iedere begroting binnen de rijksbegroting een</w:t>
      </w:r>
      <w:r w:rsidRPr="00BC3397" w:rsidR="00BC3397">
        <w:rPr>
          <w:szCs w:val="18"/>
        </w:rPr>
        <w:t xml:space="preserve"> </w:t>
      </w:r>
      <w:r w:rsidRPr="006638DD" w:rsidR="00BC3397">
        <w:rPr>
          <w:szCs w:val="18"/>
        </w:rPr>
        <w:t xml:space="preserve">overzicht van </w:t>
      </w:r>
      <w:r w:rsidR="00BC3397">
        <w:rPr>
          <w:szCs w:val="18"/>
        </w:rPr>
        <w:t xml:space="preserve">de belangrijkste </w:t>
      </w:r>
      <w:r w:rsidRPr="006638DD" w:rsidR="00BC3397">
        <w:rPr>
          <w:szCs w:val="18"/>
        </w:rPr>
        <w:t xml:space="preserve">budgettaire veranderingen die zich hebben voorgedaan in de uitgaven en ontvangsten sinds de </w:t>
      </w:r>
      <w:r w:rsidR="00BC3397">
        <w:rPr>
          <w:szCs w:val="18"/>
        </w:rPr>
        <w:t>Miljoenennota</w:t>
      </w:r>
      <w:r w:rsidRPr="006638DD" w:rsidR="00BC3397">
        <w:rPr>
          <w:szCs w:val="18"/>
        </w:rPr>
        <w:t xml:space="preserve"> 201</w:t>
      </w:r>
      <w:r w:rsidR="002E3C02">
        <w:rPr>
          <w:szCs w:val="18"/>
        </w:rPr>
        <w:t>9</w:t>
      </w:r>
      <w:r w:rsidR="00BC3397">
        <w:rPr>
          <w:szCs w:val="18"/>
        </w:rPr>
        <w:t xml:space="preserve">. </w:t>
      </w:r>
      <w:r w:rsidR="00BC3397">
        <w:rPr>
          <w:rFonts w:cs="Verdana" w:asciiTheme="majorHAnsi" w:hAnsiTheme="majorHAnsi"/>
          <w:szCs w:val="18"/>
        </w:rPr>
        <w:t>E</w:t>
      </w:r>
      <w:r w:rsidRPr="005B0772">
        <w:rPr>
          <w:rFonts w:cs="Verdana" w:asciiTheme="majorHAnsi" w:hAnsiTheme="majorHAnsi"/>
          <w:szCs w:val="18"/>
        </w:rPr>
        <w:t xml:space="preserve">en meer gedetailleerde toelichting </w:t>
      </w:r>
      <w:r w:rsidR="00BC3397">
        <w:rPr>
          <w:rFonts w:cs="Verdana" w:asciiTheme="majorHAnsi" w:hAnsiTheme="majorHAnsi"/>
          <w:szCs w:val="18"/>
        </w:rPr>
        <w:t xml:space="preserve">kan worden gevonden in de memories van toelichting op de </w:t>
      </w:r>
      <w:r w:rsidR="002E3C02">
        <w:rPr>
          <w:rFonts w:cs="Verdana" w:asciiTheme="majorHAnsi" w:hAnsiTheme="majorHAnsi"/>
          <w:szCs w:val="18"/>
        </w:rPr>
        <w:t>eerste suppletoire begrotingswetten</w:t>
      </w:r>
      <w:r w:rsidR="00BC3397">
        <w:rPr>
          <w:rFonts w:cs="Verdana" w:asciiTheme="majorHAnsi" w:hAnsiTheme="majorHAnsi"/>
          <w:szCs w:val="18"/>
        </w:rPr>
        <w:t xml:space="preserve"> van de verschillende departementen.</w:t>
      </w:r>
    </w:p>
    <w:p w:rsidRPr="005B0772" w:rsidR="006972AF" w:rsidP="00915D2F" w:rsidRDefault="006972AF">
      <w:pPr>
        <w:spacing w:after="0"/>
        <w:rPr>
          <w:rFonts w:cs="Verdana" w:asciiTheme="majorHAnsi" w:hAnsiTheme="majorHAnsi"/>
          <w:szCs w:val="18"/>
        </w:rPr>
      </w:pPr>
    </w:p>
    <w:p w:rsidRPr="005B0772" w:rsidR="006972AF" w:rsidP="00915D2F" w:rsidRDefault="006972AF">
      <w:pPr>
        <w:spacing w:after="0"/>
        <w:rPr>
          <w:rFonts w:cs="Verdana" w:asciiTheme="majorHAnsi" w:hAnsiTheme="majorHAnsi"/>
          <w:i/>
          <w:iCs/>
          <w:szCs w:val="18"/>
        </w:rPr>
      </w:pPr>
      <w:r w:rsidRPr="005B0772">
        <w:rPr>
          <w:rFonts w:cs="Verdana" w:asciiTheme="majorHAnsi" w:hAnsiTheme="majorHAnsi"/>
          <w:i/>
          <w:iCs/>
          <w:szCs w:val="18"/>
        </w:rPr>
        <w:t>Leeswijzer</w:t>
      </w:r>
    </w:p>
    <w:p w:rsidRPr="005B0772" w:rsidR="006972AF" w:rsidP="00915D2F" w:rsidRDefault="00BC3397">
      <w:pPr>
        <w:spacing w:after="0"/>
        <w:rPr>
          <w:rFonts w:cs="Verdana" w:asciiTheme="majorHAnsi" w:hAnsiTheme="majorHAnsi"/>
          <w:szCs w:val="18"/>
        </w:rPr>
      </w:pPr>
      <w:r>
        <w:rPr>
          <w:rFonts w:cs="Verdana" w:asciiTheme="majorHAnsi" w:hAnsiTheme="majorHAnsi"/>
          <w:szCs w:val="18"/>
        </w:rPr>
        <w:t xml:space="preserve">Hierna volgt voor ieder begrotingshoofdstuk een tabel met de belangrijkste mutaties, gevolgd door toelichtingen hierop. </w:t>
      </w:r>
      <w:r w:rsidRPr="005B0772" w:rsidR="006972AF">
        <w:rPr>
          <w:rFonts w:cs="Verdana" w:asciiTheme="majorHAnsi" w:hAnsiTheme="majorHAnsi"/>
          <w:szCs w:val="18"/>
        </w:rPr>
        <w:t xml:space="preserve">De </w:t>
      </w:r>
      <w:r>
        <w:rPr>
          <w:rFonts w:cs="Verdana" w:asciiTheme="majorHAnsi" w:hAnsiTheme="majorHAnsi"/>
          <w:szCs w:val="18"/>
        </w:rPr>
        <w:t xml:space="preserve">verticale toelichting onderscheidt </w:t>
      </w:r>
      <w:r w:rsidRPr="005B0772" w:rsidR="006972AF">
        <w:rPr>
          <w:rFonts w:cs="Verdana" w:asciiTheme="majorHAnsi" w:hAnsiTheme="majorHAnsi"/>
          <w:szCs w:val="18"/>
        </w:rPr>
        <w:t>drie categorieën</w:t>
      </w:r>
      <w:r>
        <w:rPr>
          <w:rFonts w:cs="Verdana" w:asciiTheme="majorHAnsi" w:hAnsiTheme="majorHAnsi"/>
          <w:szCs w:val="18"/>
        </w:rPr>
        <w:t xml:space="preserve"> mutaties</w:t>
      </w:r>
      <w:r w:rsidRPr="005B0772" w:rsidR="006972AF">
        <w:rPr>
          <w:rFonts w:cs="Verdana" w:asciiTheme="majorHAnsi" w:hAnsiTheme="majorHAnsi"/>
          <w:szCs w:val="18"/>
        </w:rPr>
        <w:t>:</w:t>
      </w:r>
    </w:p>
    <w:p w:rsidRPr="005B0772" w:rsidR="006972AF" w:rsidP="007F7481" w:rsidRDefault="006972AF">
      <w:pPr>
        <w:spacing w:after="0"/>
        <w:ind w:left="708"/>
        <w:rPr>
          <w:rFonts w:cs="Verdana" w:asciiTheme="majorHAnsi" w:hAnsiTheme="majorHAnsi"/>
          <w:szCs w:val="18"/>
        </w:rPr>
      </w:pPr>
      <w:r w:rsidRPr="005B0772">
        <w:rPr>
          <w:rFonts w:cs="Verdana" w:asciiTheme="majorHAnsi" w:hAnsiTheme="majorHAnsi"/>
          <w:szCs w:val="18"/>
        </w:rPr>
        <w:t>1) Mee- en tegenvallers;</w:t>
      </w:r>
    </w:p>
    <w:p w:rsidRPr="005B0772" w:rsidR="006972AF" w:rsidP="007F7481" w:rsidRDefault="006972AF">
      <w:pPr>
        <w:spacing w:after="0"/>
        <w:ind w:left="708"/>
        <w:rPr>
          <w:rFonts w:cs="Verdana" w:asciiTheme="majorHAnsi" w:hAnsiTheme="majorHAnsi"/>
          <w:szCs w:val="18"/>
        </w:rPr>
      </w:pPr>
      <w:r w:rsidRPr="005B0772">
        <w:rPr>
          <w:rFonts w:cs="Verdana" w:asciiTheme="majorHAnsi" w:hAnsiTheme="majorHAnsi"/>
          <w:szCs w:val="18"/>
        </w:rPr>
        <w:t>2) Beleidsmatige mutaties;</w:t>
      </w:r>
    </w:p>
    <w:p w:rsidRPr="005B0772" w:rsidR="006972AF" w:rsidP="007F7481" w:rsidRDefault="006972AF">
      <w:pPr>
        <w:spacing w:after="0"/>
        <w:ind w:left="708"/>
        <w:rPr>
          <w:rFonts w:cs="Verdana" w:asciiTheme="majorHAnsi" w:hAnsiTheme="majorHAnsi"/>
          <w:szCs w:val="18"/>
        </w:rPr>
      </w:pPr>
      <w:r w:rsidRPr="005B0772">
        <w:rPr>
          <w:rFonts w:cs="Verdana" w:asciiTheme="majorHAnsi" w:hAnsiTheme="majorHAnsi"/>
          <w:szCs w:val="18"/>
        </w:rPr>
        <w:t>3) Technische mutaties.</w:t>
      </w:r>
    </w:p>
    <w:p w:rsidR="007F7481" w:rsidP="00D96051" w:rsidRDefault="006972AF">
      <w:pPr>
        <w:spacing w:after="0"/>
        <w:rPr>
          <w:rFonts w:cs="Verdana" w:asciiTheme="majorHAnsi" w:hAnsiTheme="majorHAnsi"/>
          <w:szCs w:val="18"/>
        </w:rPr>
      </w:pPr>
      <w:r w:rsidRPr="005B0772">
        <w:rPr>
          <w:rFonts w:cs="Verdana" w:asciiTheme="majorHAnsi" w:hAnsiTheme="majorHAnsi"/>
          <w:szCs w:val="18"/>
        </w:rPr>
        <w:t xml:space="preserve">De categorie </w:t>
      </w:r>
      <w:r w:rsidR="00D96051">
        <w:rPr>
          <w:rFonts w:cs="Verdana" w:asciiTheme="majorHAnsi" w:hAnsiTheme="majorHAnsi"/>
          <w:szCs w:val="18"/>
        </w:rPr>
        <w:t xml:space="preserve">technische mutaties </w:t>
      </w:r>
      <w:r w:rsidRPr="005B0772">
        <w:rPr>
          <w:rFonts w:cs="Verdana" w:asciiTheme="majorHAnsi" w:hAnsiTheme="majorHAnsi"/>
          <w:szCs w:val="18"/>
        </w:rPr>
        <w:t>omvat alle overboekingen</w:t>
      </w:r>
      <w:r w:rsidR="00D96051">
        <w:rPr>
          <w:rFonts w:cs="Verdana" w:asciiTheme="majorHAnsi" w:hAnsiTheme="majorHAnsi"/>
          <w:szCs w:val="18"/>
        </w:rPr>
        <w:t xml:space="preserve"> met andere begrotingen</w:t>
      </w:r>
      <w:r w:rsidRPr="005B0772">
        <w:rPr>
          <w:rFonts w:cs="Verdana" w:asciiTheme="majorHAnsi" w:hAnsiTheme="majorHAnsi"/>
          <w:szCs w:val="18"/>
        </w:rPr>
        <w:t>, desalderingen, statistische correcties en mutati</w:t>
      </w:r>
      <w:r w:rsidR="00F278A1">
        <w:rPr>
          <w:rFonts w:cs="Verdana" w:asciiTheme="majorHAnsi" w:hAnsiTheme="majorHAnsi"/>
          <w:szCs w:val="18"/>
        </w:rPr>
        <w:t>es die niet onder een uitgavenplafond</w:t>
      </w:r>
      <w:r w:rsidRPr="005B0772">
        <w:rPr>
          <w:rFonts w:cs="Verdana" w:asciiTheme="majorHAnsi" w:hAnsiTheme="majorHAnsi"/>
          <w:szCs w:val="18"/>
        </w:rPr>
        <w:t xml:space="preserve"> vallen. </w:t>
      </w:r>
    </w:p>
    <w:p w:rsidR="007F7481" w:rsidP="00D96051" w:rsidRDefault="007F7481">
      <w:pPr>
        <w:spacing w:after="0"/>
        <w:rPr>
          <w:rFonts w:cs="Verdana" w:asciiTheme="majorHAnsi" w:hAnsiTheme="majorHAnsi"/>
          <w:szCs w:val="18"/>
        </w:rPr>
      </w:pPr>
    </w:p>
    <w:p w:rsidRPr="005B0772" w:rsidR="006972AF" w:rsidP="00D96051" w:rsidRDefault="006972AF">
      <w:pPr>
        <w:spacing w:after="0"/>
        <w:rPr>
          <w:rFonts w:cs="Verdana" w:asciiTheme="majorHAnsi" w:hAnsiTheme="majorHAnsi"/>
          <w:szCs w:val="18"/>
        </w:rPr>
      </w:pPr>
      <w:r w:rsidRPr="005B0772">
        <w:rPr>
          <w:rFonts w:cs="Verdana" w:asciiTheme="majorHAnsi" w:hAnsiTheme="majorHAnsi"/>
          <w:szCs w:val="18"/>
        </w:rPr>
        <w:t xml:space="preserve">Mutaties worden toegelicht indien ze een bepaalde ondergrens overschrijden. De ondergrens is afhankelijk van de omvang van de begroting en verschilt voor de verschillende categorieën mutaties. De post diversen bevat de </w:t>
      </w:r>
      <w:r w:rsidR="007F7481">
        <w:rPr>
          <w:rFonts w:cs="Verdana" w:asciiTheme="majorHAnsi" w:hAnsiTheme="majorHAnsi"/>
          <w:szCs w:val="18"/>
        </w:rPr>
        <w:t xml:space="preserve">som van alle </w:t>
      </w:r>
      <w:r w:rsidRPr="005B0772">
        <w:rPr>
          <w:rFonts w:cs="Verdana" w:asciiTheme="majorHAnsi" w:hAnsiTheme="majorHAnsi"/>
          <w:szCs w:val="18"/>
        </w:rPr>
        <w:t>mutaties die onder de ondergrens vallen en wordt in principe alleen toegelicht indien zich bijzonderheden voordoen.</w:t>
      </w:r>
      <w:r w:rsidRPr="00D96051" w:rsidR="00D96051">
        <w:rPr>
          <w:szCs w:val="18"/>
        </w:rPr>
        <w:t xml:space="preserve"> </w:t>
      </w:r>
      <w:r w:rsidR="007F7481">
        <w:rPr>
          <w:szCs w:val="18"/>
        </w:rPr>
        <w:t>Als</w:t>
      </w:r>
      <w:r w:rsidRPr="006638DD" w:rsidR="00D96051">
        <w:rPr>
          <w:szCs w:val="18"/>
        </w:rPr>
        <w:t xml:space="preserve"> samenhangende mutaties in meerdere </w:t>
      </w:r>
      <w:r w:rsidR="007F7481">
        <w:rPr>
          <w:szCs w:val="18"/>
        </w:rPr>
        <w:t xml:space="preserve">categorieën voorkomen, worden </w:t>
      </w:r>
      <w:r w:rsidRPr="006638DD" w:rsidR="00D96051">
        <w:rPr>
          <w:szCs w:val="18"/>
        </w:rPr>
        <w:t>ze eenmaal toegelicht.</w:t>
      </w:r>
    </w:p>
    <w:p w:rsidRPr="005B0772" w:rsidR="006972AF" w:rsidP="00915D2F" w:rsidRDefault="006972AF">
      <w:pPr>
        <w:spacing w:after="0"/>
        <w:rPr>
          <w:rFonts w:cs="Verdana" w:asciiTheme="majorHAnsi" w:hAnsiTheme="majorHAnsi"/>
          <w:szCs w:val="18"/>
        </w:rPr>
      </w:pPr>
    </w:p>
    <w:p w:rsidRPr="006A66CE" w:rsidR="006972AF" w:rsidP="00915D2F" w:rsidRDefault="006972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Verdana" w:asciiTheme="majorHAnsi" w:hAnsiTheme="majorHAnsi"/>
          <w:szCs w:val="18"/>
        </w:rPr>
      </w:pPr>
      <w:r w:rsidRPr="005B0772">
        <w:rPr>
          <w:rFonts w:cs="Verdana" w:asciiTheme="majorHAnsi" w:hAnsiTheme="majorHAnsi"/>
          <w:szCs w:val="18"/>
        </w:rPr>
        <w:t xml:space="preserve">De totalen per begroting worden in eerste instantie gepresenteerd exclusief de bedragen die onder </w:t>
      </w:r>
      <w:r w:rsidRPr="006A66CE">
        <w:rPr>
          <w:rFonts w:cs="Verdana" w:asciiTheme="majorHAnsi" w:hAnsiTheme="majorHAnsi"/>
          <w:szCs w:val="18"/>
        </w:rPr>
        <w:t xml:space="preserve">de Homogene Groep Internationale Samenwerking (HGIS) vallen. Door middel van een aansluitregel wordt het deel van de begroting dat onder de HGIS valt zichtbaar gemaakt. De laatste regel geeft per begroting de totaalstand inclusief HGIS aan. De mutaties die optreden binnen </w:t>
      </w:r>
      <w:r w:rsidRPr="006A66CE" w:rsidR="007F7481">
        <w:rPr>
          <w:rFonts w:cs="Verdana" w:asciiTheme="majorHAnsi" w:hAnsiTheme="majorHAnsi"/>
          <w:szCs w:val="18"/>
        </w:rPr>
        <w:t>de</w:t>
      </w:r>
      <w:r w:rsidRPr="006A66CE">
        <w:rPr>
          <w:rFonts w:cs="Verdana" w:asciiTheme="majorHAnsi" w:hAnsiTheme="majorHAnsi"/>
          <w:szCs w:val="18"/>
        </w:rPr>
        <w:t xml:space="preserve"> HGIS </w:t>
      </w:r>
      <w:r w:rsidRPr="006A66CE" w:rsidR="007F7481">
        <w:rPr>
          <w:rFonts w:cs="Verdana" w:asciiTheme="majorHAnsi" w:hAnsiTheme="majorHAnsi"/>
          <w:szCs w:val="18"/>
        </w:rPr>
        <w:t>worden apart gepresenteerd in de verticale toelichting van de HGIS</w:t>
      </w:r>
      <w:r w:rsidRPr="006A66CE">
        <w:rPr>
          <w:rFonts w:cs="Verdana" w:asciiTheme="majorHAnsi" w:hAnsiTheme="majorHAnsi"/>
          <w:szCs w:val="18"/>
        </w:rPr>
        <w:t xml:space="preserve">. </w:t>
      </w:r>
    </w:p>
    <w:p w:rsidRPr="006A66CE" w:rsidR="006972AF" w:rsidP="00915D2F" w:rsidRDefault="006972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Verdana" w:asciiTheme="majorHAnsi" w:hAnsiTheme="majorHAnsi"/>
          <w:szCs w:val="18"/>
        </w:rPr>
      </w:pPr>
    </w:p>
    <w:p w:rsidR="00C32E3A" w:rsidP="00C32E3A" w:rsidRDefault="00C3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Verdana" w:asciiTheme="majorHAnsi" w:hAnsiTheme="majorHAnsi"/>
          <w:szCs w:val="18"/>
        </w:rPr>
      </w:pPr>
      <w:r w:rsidRPr="006A66CE">
        <w:rPr>
          <w:rFonts w:cs="Verdana" w:asciiTheme="majorHAnsi" w:hAnsiTheme="majorHAnsi"/>
          <w:szCs w:val="18"/>
        </w:rPr>
        <w:t>Met ingang van Voorjaarsnota 2019 worden in de</w:t>
      </w:r>
      <w:r w:rsidRPr="006A66CE" w:rsidR="004C24D2">
        <w:rPr>
          <w:rFonts w:cs="Verdana" w:asciiTheme="majorHAnsi" w:hAnsiTheme="majorHAnsi"/>
          <w:szCs w:val="18"/>
        </w:rPr>
        <w:t>ze</w:t>
      </w:r>
      <w:r w:rsidRPr="006A66CE">
        <w:rPr>
          <w:rFonts w:cs="Verdana" w:asciiTheme="majorHAnsi" w:hAnsiTheme="majorHAnsi"/>
          <w:szCs w:val="18"/>
        </w:rPr>
        <w:t xml:space="preserve"> </w:t>
      </w:r>
      <w:r w:rsidRPr="006A66CE" w:rsidR="004C24D2">
        <w:rPr>
          <w:rFonts w:cs="Verdana" w:asciiTheme="majorHAnsi" w:hAnsiTheme="majorHAnsi"/>
          <w:szCs w:val="18"/>
        </w:rPr>
        <w:t>verticale t</w:t>
      </w:r>
      <w:r w:rsidRPr="006A66CE">
        <w:rPr>
          <w:rFonts w:cs="Verdana" w:asciiTheme="majorHAnsi" w:hAnsiTheme="majorHAnsi"/>
          <w:szCs w:val="18"/>
        </w:rPr>
        <w:t>oelichting alle begrotingshoofdstukken die onder het uitgavenplafond Sociale Zekerheid vallen separaat gepresenteerd, te weten hoofdstuk 15 (</w:t>
      </w:r>
      <w:proofErr w:type="spellStart"/>
      <w:r w:rsidRPr="006A66CE">
        <w:rPr>
          <w:rFonts w:cs="Verdana" w:asciiTheme="majorHAnsi" w:hAnsiTheme="majorHAnsi"/>
          <w:szCs w:val="18"/>
        </w:rPr>
        <w:t>begrotingsgefinancierd</w:t>
      </w:r>
      <w:proofErr w:type="spellEnd"/>
      <w:r w:rsidRPr="006A66CE">
        <w:rPr>
          <w:rFonts w:cs="Verdana" w:asciiTheme="majorHAnsi" w:hAnsiTheme="majorHAnsi"/>
          <w:szCs w:val="18"/>
        </w:rPr>
        <w:t>; Sociale Zaken en Werkgelegenheid), hoofdstuk 40 (</w:t>
      </w:r>
      <w:proofErr w:type="spellStart"/>
      <w:r w:rsidRPr="006A66CE">
        <w:rPr>
          <w:rFonts w:cs="Verdana" w:asciiTheme="majorHAnsi" w:hAnsiTheme="majorHAnsi"/>
          <w:szCs w:val="18"/>
        </w:rPr>
        <w:t>premiegefinancierd</w:t>
      </w:r>
      <w:proofErr w:type="spellEnd"/>
      <w:r w:rsidRPr="006A66CE">
        <w:rPr>
          <w:rFonts w:cs="Verdana" w:asciiTheme="majorHAnsi" w:hAnsiTheme="majorHAnsi"/>
          <w:szCs w:val="18"/>
        </w:rPr>
        <w:t>; Sociale Verzekeringen) en hoofdstuk 83 (Koppeling uitkeringen). De oude situatie betrof een verticale toelichting voor hoofdstuk 15 en één voor uitgavenplafond Sociale Zekerheid.</w:t>
      </w:r>
      <w:r w:rsidRPr="006A66CE" w:rsidR="00205986">
        <w:rPr>
          <w:rFonts w:cs="Verdana" w:asciiTheme="majorHAnsi" w:hAnsiTheme="majorHAnsi"/>
          <w:szCs w:val="18"/>
        </w:rPr>
        <w:t xml:space="preserve"> </w:t>
      </w:r>
      <w:r w:rsidRPr="006A66CE">
        <w:rPr>
          <w:rFonts w:cs="Verdana" w:asciiTheme="majorHAnsi" w:hAnsiTheme="majorHAnsi"/>
          <w:szCs w:val="18"/>
        </w:rPr>
        <w:t>Met deze wijziging wordt de Kamer vollediger geïnformeerd en wordt overlap voorkomen. Omdat dit de eerste keer is van de nieuwe werkwijze ontvangt de TK nu ook eenmalig de VT van het uitgavenplafond Sociale Zekerheid.</w:t>
      </w:r>
    </w:p>
    <w:p w:rsidRPr="005B0772" w:rsidR="00C32E3A" w:rsidP="00915D2F" w:rsidRDefault="00C32E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Verdana" w:asciiTheme="majorHAnsi" w:hAnsiTheme="majorHAnsi"/>
          <w:szCs w:val="18"/>
        </w:rPr>
      </w:pPr>
    </w:p>
    <w:p w:rsidR="00BC3397" w:rsidP="00BC3397" w:rsidRDefault="006972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Verdana" w:asciiTheme="majorHAnsi" w:hAnsiTheme="majorHAnsi"/>
          <w:szCs w:val="18"/>
        </w:rPr>
      </w:pPr>
      <w:r w:rsidRPr="005B0772">
        <w:rPr>
          <w:rFonts w:cs="Verdana" w:asciiTheme="majorHAnsi" w:hAnsiTheme="majorHAnsi"/>
          <w:szCs w:val="18"/>
        </w:rPr>
        <w:t>De bedragen in de tabellen zijn in miljoenen euro. Door afrondingen kan het totaal afwijken van de som der onderdelen.</w:t>
      </w:r>
    </w:p>
    <w:p w:rsidR="00D96051" w:rsidRDefault="00D96051">
      <w:pPr>
        <w:rPr>
          <w:rFonts w:asciiTheme="majorHAnsi" w:hAnsiTheme="majorHAnsi"/>
          <w:szCs w:val="18"/>
        </w:rPr>
      </w:pPr>
      <w:r>
        <w:rPr>
          <w:rFonts w:asciiTheme="majorHAnsi" w:hAnsiTheme="majorHAnsi"/>
          <w:szCs w:val="18"/>
        </w:rPr>
        <w:br w:type="page"/>
      </w:r>
    </w:p>
    <w:p w:rsidRPr="005B0772" w:rsidR="006972AF" w:rsidP="00915D2F" w:rsidRDefault="006972AF">
      <w:pPr>
        <w:spacing w:after="0"/>
        <w:rPr>
          <w:rFonts w:asciiTheme="majorHAnsi" w:hAnsiTheme="majorHAnsi"/>
          <w:b/>
          <w:szCs w:val="18"/>
        </w:rPr>
      </w:pPr>
      <w:r w:rsidRPr="00723B61">
        <w:rPr>
          <w:rFonts w:asciiTheme="majorHAnsi" w:hAnsiTheme="majorHAnsi"/>
          <w:b/>
          <w:szCs w:val="18"/>
        </w:rPr>
        <w:lastRenderedPageBreak/>
        <w:t>Samenvattend overzicht mutatie</w:t>
      </w:r>
      <w:r w:rsidRPr="00723B61" w:rsidR="00E936BC">
        <w:rPr>
          <w:rFonts w:asciiTheme="majorHAnsi" w:hAnsiTheme="majorHAnsi"/>
          <w:b/>
          <w:szCs w:val="18"/>
        </w:rPr>
        <w:t>s s</w:t>
      </w:r>
      <w:r w:rsidR="00D96051">
        <w:rPr>
          <w:rFonts w:asciiTheme="majorHAnsi" w:hAnsiTheme="majorHAnsi"/>
          <w:b/>
          <w:szCs w:val="18"/>
        </w:rPr>
        <w:t>inds Miljoenennota 201</w:t>
      </w:r>
      <w:r w:rsidR="002E3C02">
        <w:rPr>
          <w:rFonts w:asciiTheme="majorHAnsi" w:hAnsiTheme="majorHAnsi"/>
          <w:b/>
          <w:szCs w:val="18"/>
        </w:rPr>
        <w:t>9</w:t>
      </w:r>
    </w:p>
    <w:p w:rsidRPr="005B0772" w:rsidR="006972AF" w:rsidP="00915D2F" w:rsidRDefault="006972AF">
      <w:pPr>
        <w:spacing w:after="0"/>
        <w:rPr>
          <w:rFonts w:asciiTheme="majorHAnsi" w:hAnsiTheme="majorHAnsi"/>
          <w:b/>
          <w:szCs w:val="18"/>
        </w:rPr>
      </w:pPr>
    </w:p>
    <w:tbl>
      <w:tblPr>
        <w:tblStyle w:val="Klassieketabel1"/>
        <w:tblW w:w="5000" w:type="pct"/>
        <w:tblLook w:val="04A0" w:firstRow="1" w:lastRow="0" w:firstColumn="1" w:lastColumn="0" w:noHBand="0" w:noVBand="1"/>
      </w:tblPr>
      <w:tblGrid>
        <w:gridCol w:w="706"/>
        <w:gridCol w:w="4813"/>
        <w:gridCol w:w="2129"/>
        <w:gridCol w:w="1640"/>
      </w:tblGrid>
      <w:tr w:rsidRPr="005B0772" w:rsidR="006972AF" w:rsidTr="00D96051">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2971" w:type="pct"/>
            <w:gridSpan w:val="2"/>
            <w:tcBorders>
              <w:top w:val="single" w:color="auto" w:sz="12" w:space="0"/>
              <w:bottom w:val="single" w:color="auto" w:sz="12" w:space="0"/>
              <w:right w:val="nil"/>
            </w:tcBorders>
            <w:hideMark/>
          </w:tcPr>
          <w:p w:rsidRPr="005B0772" w:rsidR="006972AF" w:rsidP="001A050D" w:rsidRDefault="006972AF">
            <w:pPr>
              <w:spacing w:line="276" w:lineRule="auto"/>
              <w:rPr>
                <w:rFonts w:asciiTheme="majorHAnsi" w:hAnsiTheme="majorHAnsi"/>
                <w:szCs w:val="18"/>
              </w:rPr>
            </w:pPr>
            <w:r w:rsidRPr="005B0772">
              <w:rPr>
                <w:rFonts w:asciiTheme="majorHAnsi" w:hAnsiTheme="majorHAnsi"/>
                <w:szCs w:val="18"/>
              </w:rPr>
              <w:t>Bedragen in miljoenen euro’s</w:t>
            </w:r>
          </w:p>
        </w:tc>
        <w:tc>
          <w:tcPr>
            <w:tcW w:w="1146" w:type="pct"/>
            <w:tcBorders>
              <w:top w:val="single" w:color="auto" w:sz="12" w:space="0"/>
              <w:left w:val="nil"/>
              <w:bottom w:val="single" w:color="auto" w:sz="12" w:space="0"/>
              <w:right w:val="nil"/>
            </w:tcBorders>
            <w:shd w:val="clear" w:color="auto" w:fill="auto"/>
            <w:hideMark/>
          </w:tcPr>
          <w:p w:rsidR="001A050D" w:rsidP="00915D2F" w:rsidRDefault="006972AF">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5B0772">
              <w:rPr>
                <w:rFonts w:asciiTheme="majorHAnsi" w:hAnsiTheme="majorHAnsi"/>
                <w:szCs w:val="18"/>
              </w:rPr>
              <w:t xml:space="preserve">Mutaties </w:t>
            </w:r>
          </w:p>
          <w:p w:rsidRPr="005B0772" w:rsidR="006972AF" w:rsidP="00915D2F" w:rsidRDefault="006972AF">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5B0772">
              <w:rPr>
                <w:rFonts w:asciiTheme="majorHAnsi" w:hAnsiTheme="majorHAnsi"/>
                <w:szCs w:val="18"/>
              </w:rPr>
              <w:t>uitgaven</w:t>
            </w:r>
          </w:p>
        </w:tc>
        <w:tc>
          <w:tcPr>
            <w:tcW w:w="883" w:type="pct"/>
            <w:tcBorders>
              <w:top w:val="single" w:color="auto" w:sz="12" w:space="0"/>
              <w:left w:val="nil"/>
              <w:bottom w:val="single" w:color="auto" w:sz="12" w:space="0"/>
            </w:tcBorders>
            <w:shd w:val="clear" w:color="auto" w:fill="auto"/>
            <w:hideMark/>
          </w:tcPr>
          <w:p w:rsidRPr="005B0772" w:rsidR="006972AF" w:rsidP="00915D2F" w:rsidRDefault="006972AF">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5B0772">
              <w:rPr>
                <w:rFonts w:asciiTheme="majorHAnsi" w:hAnsiTheme="majorHAnsi"/>
                <w:szCs w:val="18"/>
              </w:rPr>
              <w:t xml:space="preserve">Mutaties ontvangsten </w:t>
            </w:r>
          </w:p>
        </w:tc>
      </w:tr>
      <w:tr w:rsidRPr="005B0772" w:rsidR="006972AF" w:rsidTr="006972AF">
        <w:trPr>
          <w:trHeight w:val="21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color="auto" w:sz="12" w:space="0"/>
              <w:bottom w:val="nil"/>
              <w:right w:val="nil"/>
            </w:tcBorders>
            <w:shd w:val="clear" w:color="auto" w:fill="auto"/>
            <w:hideMark/>
          </w:tcPr>
          <w:p w:rsidRPr="005B0772" w:rsidR="006972AF" w:rsidP="00915D2F" w:rsidRDefault="006972AF">
            <w:pPr>
              <w:spacing w:line="276" w:lineRule="auto"/>
              <w:rPr>
                <w:rFonts w:asciiTheme="majorHAnsi" w:hAnsiTheme="majorHAnsi"/>
                <w:i/>
                <w:iCs/>
                <w:szCs w:val="18"/>
              </w:rPr>
            </w:pPr>
            <w:r w:rsidRPr="005B0772">
              <w:rPr>
                <w:rFonts w:asciiTheme="majorHAnsi" w:hAnsiTheme="majorHAnsi"/>
                <w:i/>
                <w:iCs/>
                <w:szCs w:val="18"/>
              </w:rPr>
              <w:t>Departementale begrotingen</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tcBorders>
              <w:top w:val="nil"/>
            </w:tcBorders>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I</w:t>
            </w:r>
          </w:p>
        </w:tc>
        <w:tc>
          <w:tcPr>
            <w:tcW w:w="2591" w:type="pct"/>
            <w:tcBorders>
              <w:top w:val="nil"/>
            </w:tcBorders>
            <w:hideMark/>
          </w:tcPr>
          <w:p w:rsidRPr="00723B61" w:rsidR="006972AF" w:rsidP="001D695D" w:rsidRDefault="004A4C7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De K</w:t>
            </w:r>
            <w:r w:rsidRPr="00723B61" w:rsidR="006972AF">
              <w:rPr>
                <w:rFonts w:asciiTheme="majorHAnsi" w:hAnsiTheme="majorHAnsi"/>
                <w:szCs w:val="18"/>
              </w:rPr>
              <w:t>oning</w:t>
            </w:r>
          </w:p>
        </w:tc>
        <w:tc>
          <w:tcPr>
            <w:tcW w:w="1146" w:type="pct"/>
            <w:tcBorders>
              <w:top w:val="nil"/>
            </w:tcBorders>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0,9</w:t>
            </w:r>
          </w:p>
        </w:tc>
        <w:tc>
          <w:tcPr>
            <w:tcW w:w="883" w:type="pct"/>
            <w:tcBorders>
              <w:top w:val="nil"/>
            </w:tcBorders>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0,2</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IIA</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Staten Generaal</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33,3</w:t>
            </w:r>
          </w:p>
        </w:tc>
        <w:tc>
          <w:tcPr>
            <w:tcW w:w="883"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IIB</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Hoge Colleges van Staat</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10,4</w:t>
            </w:r>
          </w:p>
        </w:tc>
        <w:tc>
          <w:tcPr>
            <w:tcW w:w="883" w:type="pct"/>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III</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Algemene Zaken</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2,3</w:t>
            </w:r>
          </w:p>
        </w:tc>
        <w:tc>
          <w:tcPr>
            <w:tcW w:w="883"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0,1</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shd w:val="clear" w:color="auto" w:fill="auto"/>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IV</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Koninkrijksrelaties</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90,6</w:t>
            </w:r>
          </w:p>
        </w:tc>
        <w:tc>
          <w:tcPr>
            <w:tcW w:w="883" w:type="pct"/>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1,7</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V</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Buitenlandse Zaken</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-105,2</w:t>
            </w:r>
          </w:p>
        </w:tc>
        <w:tc>
          <w:tcPr>
            <w:tcW w:w="883"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-331,4</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VI</w:t>
            </w:r>
          </w:p>
        </w:tc>
        <w:tc>
          <w:tcPr>
            <w:tcW w:w="2591" w:type="pct"/>
            <w:shd w:val="clear" w:color="auto" w:fill="auto"/>
            <w:hideMark/>
          </w:tcPr>
          <w:p w:rsidRPr="00723B61" w:rsidR="006972AF" w:rsidP="00D96051" w:rsidRDefault="00D96051">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 xml:space="preserve">Justitie en </w:t>
            </w:r>
            <w:r w:rsidRPr="00723B61" w:rsidR="006972AF">
              <w:rPr>
                <w:rFonts w:asciiTheme="majorHAnsi" w:hAnsiTheme="majorHAnsi"/>
                <w:szCs w:val="18"/>
              </w:rPr>
              <w:t>Veiligheid</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900,0</w:t>
            </w:r>
          </w:p>
        </w:tc>
        <w:tc>
          <w:tcPr>
            <w:tcW w:w="883"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65,8</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VII</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Binnenlandse Zaken en Koninkrijksrelaties</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201,9</w:t>
            </w:r>
          </w:p>
        </w:tc>
        <w:tc>
          <w:tcPr>
            <w:tcW w:w="883"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30,8</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VIII</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Onderwijs, Cultuur en Wetenschap</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1.017,2</w:t>
            </w:r>
          </w:p>
        </w:tc>
        <w:tc>
          <w:tcPr>
            <w:tcW w:w="883" w:type="pct"/>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-21,3</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IXA</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Nationale Schuld</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-179,9</w:t>
            </w:r>
          </w:p>
        </w:tc>
        <w:tc>
          <w:tcPr>
            <w:tcW w:w="883" w:type="pct"/>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-2.016,1</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IXB</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Financiën</w:t>
            </w:r>
          </w:p>
        </w:tc>
        <w:tc>
          <w:tcPr>
            <w:tcW w:w="1146" w:type="pct"/>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1.081,4</w:t>
            </w:r>
          </w:p>
        </w:tc>
        <w:tc>
          <w:tcPr>
            <w:tcW w:w="883"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970,8</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X</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Defensie</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352,8</w:t>
            </w:r>
          </w:p>
        </w:tc>
        <w:tc>
          <w:tcPr>
            <w:tcW w:w="883" w:type="pct"/>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13,8</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XII</w:t>
            </w:r>
          </w:p>
        </w:tc>
        <w:tc>
          <w:tcPr>
            <w:tcW w:w="2591" w:type="pct"/>
            <w:shd w:val="clear" w:color="auto" w:fill="auto"/>
            <w:hideMark/>
          </w:tcPr>
          <w:p w:rsidRPr="00723B61" w:rsidR="006972AF" w:rsidP="00D96051"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 xml:space="preserve">Infrastructuur en </w:t>
            </w:r>
            <w:r w:rsidR="00D96051">
              <w:rPr>
                <w:rFonts w:asciiTheme="majorHAnsi" w:hAnsiTheme="majorHAnsi"/>
                <w:szCs w:val="18"/>
              </w:rPr>
              <w:t>Waterstaat</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72,3</w:t>
            </w:r>
          </w:p>
        </w:tc>
        <w:tc>
          <w:tcPr>
            <w:tcW w:w="883"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24,2</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XIII</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Economische Zaken</w:t>
            </w:r>
            <w:r w:rsidR="00D96051">
              <w:rPr>
                <w:rFonts w:asciiTheme="majorHAnsi" w:hAnsiTheme="majorHAnsi"/>
                <w:szCs w:val="18"/>
              </w:rPr>
              <w:t xml:space="preserve"> en Klimaat</w:t>
            </w:r>
          </w:p>
        </w:tc>
        <w:tc>
          <w:tcPr>
            <w:tcW w:w="1146" w:type="pct"/>
            <w:shd w:val="clear" w:color="auto" w:fill="auto"/>
          </w:tcPr>
          <w:p w:rsidRPr="00831BE7" w:rsidR="006972AF" w:rsidP="00DE035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421,0</w:t>
            </w:r>
          </w:p>
        </w:tc>
        <w:tc>
          <w:tcPr>
            <w:tcW w:w="883" w:type="pct"/>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71,4</w:t>
            </w:r>
          </w:p>
        </w:tc>
      </w:tr>
      <w:tr w:rsidRPr="001D695D" w:rsidR="002E3C02"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tcPr>
          <w:p w:rsidRPr="001D695D" w:rsidR="002E3C02" w:rsidP="001D695D" w:rsidRDefault="002E3C02">
            <w:pPr>
              <w:rPr>
                <w:rFonts w:asciiTheme="majorHAnsi" w:hAnsiTheme="majorHAnsi"/>
                <w:szCs w:val="18"/>
              </w:rPr>
            </w:pPr>
            <w:r>
              <w:rPr>
                <w:rFonts w:asciiTheme="majorHAnsi" w:hAnsiTheme="majorHAnsi"/>
                <w:szCs w:val="18"/>
              </w:rPr>
              <w:t>XIV</w:t>
            </w:r>
          </w:p>
        </w:tc>
        <w:tc>
          <w:tcPr>
            <w:tcW w:w="2591" w:type="pct"/>
            <w:shd w:val="clear" w:color="auto" w:fill="auto"/>
          </w:tcPr>
          <w:p w:rsidRPr="00723B61" w:rsidR="002E3C02" w:rsidP="002E3C02" w:rsidRDefault="002E3C0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Landbouw, Natuur en Voedselkwaliteit</w:t>
            </w:r>
          </w:p>
        </w:tc>
        <w:tc>
          <w:tcPr>
            <w:tcW w:w="1146" w:type="pct"/>
            <w:shd w:val="clear" w:color="auto" w:fill="auto"/>
          </w:tcPr>
          <w:p w:rsidRPr="00831BE7" w:rsidR="002E3C02" w:rsidP="00DE0350" w:rsidRDefault="00A15F1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167,5</w:t>
            </w:r>
          </w:p>
        </w:tc>
        <w:tc>
          <w:tcPr>
            <w:tcW w:w="883" w:type="pct"/>
            <w:shd w:val="clear" w:color="auto" w:fill="auto"/>
          </w:tcPr>
          <w:p w:rsidRPr="00831BE7" w:rsidR="002E3C02" w:rsidP="001D695D" w:rsidRDefault="00A15F1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16,8</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XV</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Sociale Zaken en Werkgelegenheid</w:t>
            </w:r>
          </w:p>
        </w:tc>
        <w:tc>
          <w:tcPr>
            <w:tcW w:w="1146" w:type="pct"/>
            <w:shd w:val="clear" w:color="auto" w:fill="auto"/>
          </w:tcPr>
          <w:p w:rsidRPr="00831BE7"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2.831,5</w:t>
            </w:r>
          </w:p>
        </w:tc>
        <w:tc>
          <w:tcPr>
            <w:tcW w:w="883" w:type="pct"/>
            <w:shd w:val="clear" w:color="auto" w:fill="auto"/>
          </w:tcPr>
          <w:p w:rsidRPr="00831BE7"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9,3</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XVI</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Volksgezondheid, Welzijn en Sport</w:t>
            </w:r>
          </w:p>
        </w:tc>
        <w:tc>
          <w:tcPr>
            <w:tcW w:w="1146" w:type="pct"/>
            <w:shd w:val="clear" w:color="auto" w:fill="auto"/>
          </w:tcPr>
          <w:p w:rsidRPr="00831BE7" w:rsidR="006972AF" w:rsidP="00C74D83"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1.0</w:t>
            </w:r>
            <w:r w:rsidR="00C74D83">
              <w:rPr>
                <w:rFonts w:asciiTheme="majorHAnsi" w:hAnsiTheme="majorHAnsi"/>
                <w:szCs w:val="18"/>
              </w:rPr>
              <w:t>32</w:t>
            </w:r>
            <w:r>
              <w:rPr>
                <w:rFonts w:asciiTheme="majorHAnsi" w:hAnsiTheme="majorHAnsi"/>
                <w:szCs w:val="18"/>
              </w:rPr>
              <w:t>,</w:t>
            </w:r>
            <w:r w:rsidR="00C74D83">
              <w:rPr>
                <w:rFonts w:asciiTheme="majorHAnsi" w:hAnsiTheme="majorHAnsi"/>
                <w:szCs w:val="18"/>
              </w:rPr>
              <w:t>5</w:t>
            </w:r>
          </w:p>
        </w:tc>
        <w:tc>
          <w:tcPr>
            <w:tcW w:w="883" w:type="pct"/>
            <w:shd w:val="clear" w:color="auto" w:fill="auto"/>
          </w:tcPr>
          <w:p w:rsidRPr="00831BE7" w:rsidR="006972AF" w:rsidP="00C74D83"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4</w:t>
            </w:r>
            <w:r w:rsidR="00C74D83">
              <w:rPr>
                <w:rFonts w:asciiTheme="majorHAnsi" w:hAnsiTheme="majorHAnsi"/>
                <w:szCs w:val="18"/>
              </w:rPr>
              <w:t>6</w:t>
            </w:r>
            <w:r>
              <w:rPr>
                <w:rFonts w:asciiTheme="majorHAnsi" w:hAnsiTheme="majorHAnsi"/>
                <w:szCs w:val="18"/>
              </w:rPr>
              <w:t>,</w:t>
            </w:r>
            <w:r w:rsidR="00C74D83">
              <w:rPr>
                <w:rFonts w:asciiTheme="majorHAnsi" w:hAnsiTheme="majorHAnsi"/>
                <w:szCs w:val="18"/>
              </w:rPr>
              <w:t>7</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szCs w:val="18"/>
              </w:rPr>
            </w:pPr>
            <w:r w:rsidRPr="001D695D">
              <w:rPr>
                <w:rFonts w:asciiTheme="majorHAnsi" w:hAnsiTheme="majorHAnsi"/>
                <w:szCs w:val="18"/>
              </w:rPr>
              <w:t>XVII</w:t>
            </w:r>
          </w:p>
        </w:tc>
        <w:tc>
          <w:tcPr>
            <w:tcW w:w="2591" w:type="pct"/>
            <w:shd w:val="clear" w:color="auto" w:fill="auto"/>
            <w:hideMark/>
          </w:tcPr>
          <w:p w:rsidRPr="00723B61"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723B61">
              <w:rPr>
                <w:rFonts w:asciiTheme="majorHAnsi" w:hAnsiTheme="majorHAnsi"/>
                <w:szCs w:val="18"/>
              </w:rPr>
              <w:t>Buitenlandse Handel en Ontwikkelingssamenwerking</w:t>
            </w:r>
          </w:p>
        </w:tc>
        <w:tc>
          <w:tcPr>
            <w:tcW w:w="1146" w:type="pct"/>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c>
          <w:tcPr>
            <w:tcW w:w="883" w:type="pct"/>
            <w:shd w:val="clear" w:color="auto" w:fill="auto"/>
          </w:tcPr>
          <w:p w:rsidRPr="00831BE7"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831BE7" w:rsidTr="006972AF">
        <w:trPr>
          <w:trHeight w:val="19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bottom w:val="nil"/>
              <w:right w:val="nil"/>
            </w:tcBorders>
            <w:shd w:val="clear" w:color="auto" w:fill="auto"/>
          </w:tcPr>
          <w:p w:rsidRPr="00723B61" w:rsidR="00831BE7" w:rsidP="001D695D" w:rsidRDefault="00831BE7">
            <w:pPr>
              <w:rPr>
                <w:rFonts w:asciiTheme="majorHAnsi" w:hAnsiTheme="majorHAnsi"/>
                <w:i/>
                <w:iCs/>
                <w:szCs w:val="18"/>
              </w:rPr>
            </w:pPr>
          </w:p>
        </w:tc>
      </w:tr>
      <w:tr w:rsidRPr="001D695D" w:rsidR="006972AF" w:rsidTr="006972AF">
        <w:trPr>
          <w:trHeight w:val="19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bottom w:val="nil"/>
              <w:right w:val="nil"/>
            </w:tcBorders>
            <w:shd w:val="clear" w:color="auto" w:fill="auto"/>
            <w:hideMark/>
          </w:tcPr>
          <w:p w:rsidRPr="00723B61" w:rsidR="006972AF" w:rsidP="001D695D" w:rsidRDefault="006972AF">
            <w:pPr>
              <w:spacing w:line="276" w:lineRule="auto"/>
              <w:rPr>
                <w:rFonts w:asciiTheme="majorHAnsi" w:hAnsiTheme="majorHAnsi"/>
                <w:i/>
                <w:iCs/>
                <w:szCs w:val="18"/>
              </w:rPr>
            </w:pPr>
            <w:r w:rsidRPr="00723B61">
              <w:rPr>
                <w:rFonts w:asciiTheme="majorHAnsi" w:hAnsiTheme="majorHAnsi"/>
                <w:i/>
                <w:iCs/>
                <w:szCs w:val="18"/>
              </w:rPr>
              <w:t>Overige</w:t>
            </w:r>
            <w:r w:rsidR="00831BE7">
              <w:rPr>
                <w:rFonts w:asciiTheme="majorHAnsi" w:hAnsiTheme="majorHAnsi"/>
                <w:i/>
                <w:iCs/>
                <w:szCs w:val="18"/>
              </w:rPr>
              <w:t xml:space="preserve"> begrotingen</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tcBorders>
              <w:top w:val="nil"/>
            </w:tcBorders>
            <w:hideMark/>
          </w:tcPr>
          <w:p w:rsidRPr="001D695D" w:rsidR="006972AF" w:rsidP="001D695D" w:rsidRDefault="006972AF">
            <w:pPr>
              <w:spacing w:line="276" w:lineRule="auto"/>
              <w:rPr>
                <w:rFonts w:asciiTheme="majorHAnsi" w:hAnsiTheme="majorHAnsi"/>
                <w:color w:val="000000"/>
                <w:szCs w:val="18"/>
              </w:rPr>
            </w:pPr>
          </w:p>
        </w:tc>
        <w:tc>
          <w:tcPr>
            <w:tcW w:w="2591" w:type="pct"/>
            <w:tcBorders>
              <w:top w:val="nil"/>
            </w:tcBorders>
            <w:shd w:val="clear" w:color="auto" w:fill="auto"/>
            <w:hideMark/>
          </w:tcPr>
          <w:p w:rsidRPr="00D87A43" w:rsidR="006972AF" w:rsidP="002E3C02" w:rsidRDefault="002E3C02">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Sociale Verzekeringen</w:t>
            </w:r>
          </w:p>
        </w:tc>
        <w:tc>
          <w:tcPr>
            <w:tcW w:w="1146" w:type="pct"/>
            <w:tcBorders>
              <w:top w:val="nil"/>
            </w:tcBorders>
            <w:shd w:val="clear" w:color="auto" w:fill="auto"/>
          </w:tcPr>
          <w:p w:rsidRPr="00534116" w:rsidR="006972AF" w:rsidP="00E01EF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187,1</w:t>
            </w:r>
          </w:p>
        </w:tc>
        <w:tc>
          <w:tcPr>
            <w:tcW w:w="883" w:type="pct"/>
            <w:tcBorders>
              <w:top w:val="nil"/>
            </w:tcBorders>
            <w:shd w:val="clear" w:color="auto" w:fill="auto"/>
          </w:tcPr>
          <w:p w:rsidRPr="00534116" w:rsidR="006972AF" w:rsidP="00E01EF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-35,3</w:t>
            </w:r>
          </w:p>
        </w:tc>
      </w:tr>
      <w:tr w:rsidRPr="001D695D" w:rsidR="006972AF" w:rsidTr="00A15F10">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color w:val="000000"/>
                <w:szCs w:val="18"/>
              </w:rPr>
            </w:pPr>
          </w:p>
        </w:tc>
        <w:tc>
          <w:tcPr>
            <w:tcW w:w="2591" w:type="pct"/>
            <w:shd w:val="clear" w:color="auto" w:fill="auto"/>
            <w:hideMark/>
          </w:tcPr>
          <w:p w:rsidRPr="00D87A43"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Gemeentefonds</w:t>
            </w:r>
          </w:p>
        </w:tc>
        <w:tc>
          <w:tcPr>
            <w:tcW w:w="1146" w:type="pct"/>
            <w:shd w:val="clear" w:color="auto" w:fill="auto"/>
          </w:tcPr>
          <w:p w:rsidRPr="00534116" w:rsidR="006972AF" w:rsidP="00D87A43" w:rsidRDefault="00D87A43">
            <w:pPr>
              <w:tabs>
                <w:tab w:val="left" w:pos="1340"/>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1.011</w:t>
            </w:r>
            <w:r w:rsidR="00A15F10">
              <w:rPr>
                <w:rFonts w:asciiTheme="majorHAnsi" w:hAnsiTheme="majorHAnsi"/>
                <w:szCs w:val="18"/>
              </w:rPr>
              <w:t>,</w:t>
            </w:r>
            <w:r>
              <w:rPr>
                <w:rFonts w:asciiTheme="majorHAnsi" w:hAnsiTheme="majorHAnsi"/>
                <w:szCs w:val="18"/>
              </w:rPr>
              <w:t>7</w:t>
            </w:r>
          </w:p>
        </w:tc>
        <w:tc>
          <w:tcPr>
            <w:tcW w:w="883" w:type="pct"/>
            <w:shd w:val="clear" w:color="auto" w:fill="auto"/>
          </w:tcPr>
          <w:p w:rsidRPr="00534116"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color w:val="000000"/>
                <w:szCs w:val="18"/>
              </w:rPr>
            </w:pPr>
          </w:p>
        </w:tc>
        <w:tc>
          <w:tcPr>
            <w:tcW w:w="2591" w:type="pct"/>
            <w:shd w:val="clear" w:color="auto" w:fill="auto"/>
            <w:hideMark/>
          </w:tcPr>
          <w:p w:rsidRPr="00D87A43"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Provinciefonds</w:t>
            </w:r>
          </w:p>
        </w:tc>
        <w:tc>
          <w:tcPr>
            <w:tcW w:w="1146" w:type="pct"/>
            <w:shd w:val="clear" w:color="auto" w:fill="auto"/>
          </w:tcPr>
          <w:p w:rsidRPr="00534116" w:rsidR="006972AF" w:rsidP="00831BE7" w:rsidRDefault="00D87A43">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11,7</w:t>
            </w:r>
          </w:p>
        </w:tc>
        <w:tc>
          <w:tcPr>
            <w:tcW w:w="883" w:type="pct"/>
            <w:shd w:val="clear" w:color="auto" w:fill="auto"/>
          </w:tcPr>
          <w:p w:rsidRPr="00534116"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color w:val="000000"/>
                <w:szCs w:val="18"/>
              </w:rPr>
            </w:pPr>
          </w:p>
        </w:tc>
        <w:tc>
          <w:tcPr>
            <w:tcW w:w="2591" w:type="pct"/>
            <w:shd w:val="clear" w:color="auto" w:fill="auto"/>
            <w:hideMark/>
          </w:tcPr>
          <w:p w:rsidRPr="00D87A43"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Infrastructuurfonds</w:t>
            </w:r>
          </w:p>
        </w:tc>
        <w:tc>
          <w:tcPr>
            <w:tcW w:w="1146" w:type="pct"/>
            <w:shd w:val="clear" w:color="auto" w:fill="auto"/>
          </w:tcPr>
          <w:p w:rsidRPr="00534116"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41,3</w:t>
            </w:r>
          </w:p>
        </w:tc>
        <w:tc>
          <w:tcPr>
            <w:tcW w:w="883" w:type="pct"/>
            <w:shd w:val="clear" w:color="auto" w:fill="auto"/>
          </w:tcPr>
          <w:p w:rsidRPr="00534116"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41,3</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color w:val="000000"/>
                <w:szCs w:val="18"/>
              </w:rPr>
            </w:pPr>
          </w:p>
        </w:tc>
        <w:tc>
          <w:tcPr>
            <w:tcW w:w="2591" w:type="pct"/>
            <w:shd w:val="clear" w:color="auto" w:fill="auto"/>
            <w:hideMark/>
          </w:tcPr>
          <w:p w:rsidRPr="00D87A43"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Diergezondheidsfonds</w:t>
            </w:r>
          </w:p>
        </w:tc>
        <w:tc>
          <w:tcPr>
            <w:tcW w:w="1146" w:type="pct"/>
            <w:shd w:val="clear" w:color="auto" w:fill="auto"/>
          </w:tcPr>
          <w:p w:rsidRPr="00534116"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23,1</w:t>
            </w:r>
          </w:p>
        </w:tc>
        <w:tc>
          <w:tcPr>
            <w:tcW w:w="883" w:type="pct"/>
            <w:shd w:val="clear" w:color="auto" w:fill="auto"/>
          </w:tcPr>
          <w:p w:rsidRPr="00534116"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23,1</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color w:val="000000"/>
                <w:szCs w:val="18"/>
              </w:rPr>
            </w:pPr>
          </w:p>
        </w:tc>
        <w:tc>
          <w:tcPr>
            <w:tcW w:w="2591" w:type="pct"/>
            <w:hideMark/>
          </w:tcPr>
          <w:p w:rsidRPr="00D87A43" w:rsidR="006972AF" w:rsidP="001D695D" w:rsidRDefault="00DC642B">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BES-</w:t>
            </w:r>
            <w:r w:rsidRPr="00D87A43" w:rsidR="006972AF">
              <w:rPr>
                <w:rFonts w:asciiTheme="majorHAnsi" w:hAnsiTheme="majorHAnsi"/>
                <w:szCs w:val="18"/>
              </w:rPr>
              <w:t>fonds</w:t>
            </w:r>
          </w:p>
        </w:tc>
        <w:tc>
          <w:tcPr>
            <w:tcW w:w="1146" w:type="pct"/>
            <w:shd w:val="clear" w:color="auto" w:fill="auto"/>
          </w:tcPr>
          <w:p w:rsidRPr="00534116"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4,5</w:t>
            </w:r>
          </w:p>
        </w:tc>
        <w:tc>
          <w:tcPr>
            <w:tcW w:w="883" w:type="pct"/>
            <w:shd w:val="clear" w:color="auto" w:fill="auto"/>
          </w:tcPr>
          <w:p w:rsidRPr="00534116" w:rsidR="006972AF" w:rsidP="001D695D"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6972AF"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6972AF" w:rsidP="001D695D" w:rsidRDefault="006972AF">
            <w:pPr>
              <w:spacing w:line="276" w:lineRule="auto"/>
              <w:rPr>
                <w:rFonts w:asciiTheme="majorHAnsi" w:hAnsiTheme="majorHAnsi"/>
                <w:color w:val="000000"/>
                <w:szCs w:val="18"/>
              </w:rPr>
            </w:pPr>
          </w:p>
        </w:tc>
        <w:tc>
          <w:tcPr>
            <w:tcW w:w="2591" w:type="pct"/>
            <w:hideMark/>
          </w:tcPr>
          <w:p w:rsidRPr="00D87A43" w:rsidR="006972AF" w:rsidP="001D695D" w:rsidRDefault="006972A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Deltafonds</w:t>
            </w:r>
          </w:p>
        </w:tc>
        <w:tc>
          <w:tcPr>
            <w:tcW w:w="1146" w:type="pct"/>
            <w:shd w:val="clear" w:color="auto" w:fill="auto"/>
          </w:tcPr>
          <w:p w:rsidRPr="00534116"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20,7</w:t>
            </w:r>
          </w:p>
        </w:tc>
        <w:tc>
          <w:tcPr>
            <w:tcW w:w="883" w:type="pct"/>
            <w:shd w:val="clear" w:color="auto" w:fill="auto"/>
          </w:tcPr>
          <w:p w:rsidRPr="00534116" w:rsidR="006972AF" w:rsidP="00831BE7"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20,7</w:t>
            </w:r>
          </w:p>
        </w:tc>
      </w:tr>
      <w:tr w:rsidRPr="001D695D" w:rsidR="00031D8C"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tcPr>
          <w:p w:rsidRPr="001D695D" w:rsidR="00031D8C" w:rsidP="00031D8C" w:rsidRDefault="00031D8C">
            <w:pPr>
              <w:rPr>
                <w:rFonts w:asciiTheme="majorHAnsi" w:hAnsiTheme="majorHAnsi"/>
                <w:color w:val="000000"/>
                <w:szCs w:val="18"/>
              </w:rPr>
            </w:pPr>
          </w:p>
        </w:tc>
        <w:tc>
          <w:tcPr>
            <w:tcW w:w="2591" w:type="pct"/>
          </w:tcPr>
          <w:p w:rsidRPr="00D87A43" w:rsidR="00031D8C" w:rsidP="00031D8C" w:rsidRDefault="00031D8C">
            <w:pPr>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Accres Gemeentefonds</w:t>
            </w:r>
          </w:p>
        </w:tc>
        <w:tc>
          <w:tcPr>
            <w:tcW w:w="1146" w:type="pct"/>
            <w:shd w:val="clear" w:color="auto" w:fill="auto"/>
          </w:tcPr>
          <w:p w:rsidRPr="00534116" w:rsidR="00031D8C" w:rsidP="00D87A43" w:rsidRDefault="00D87A4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-14,7</w:t>
            </w:r>
          </w:p>
        </w:tc>
        <w:tc>
          <w:tcPr>
            <w:tcW w:w="883" w:type="pct"/>
            <w:shd w:val="clear" w:color="auto" w:fill="auto"/>
          </w:tcPr>
          <w:p w:rsidRPr="00534116" w:rsidR="00031D8C" w:rsidP="00031D8C" w:rsidRDefault="00A15F1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031D8C"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tcPr>
          <w:p w:rsidRPr="001D695D" w:rsidR="00031D8C" w:rsidP="00031D8C" w:rsidRDefault="00031D8C">
            <w:pPr>
              <w:rPr>
                <w:rFonts w:asciiTheme="majorHAnsi" w:hAnsiTheme="majorHAnsi"/>
                <w:color w:val="000000"/>
                <w:szCs w:val="18"/>
              </w:rPr>
            </w:pPr>
          </w:p>
        </w:tc>
        <w:tc>
          <w:tcPr>
            <w:tcW w:w="2591" w:type="pct"/>
          </w:tcPr>
          <w:p w:rsidRPr="00D87A43" w:rsidR="00031D8C" w:rsidP="00031D8C" w:rsidRDefault="00031D8C">
            <w:pPr>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Accres Provinciefonds</w:t>
            </w:r>
          </w:p>
        </w:tc>
        <w:tc>
          <w:tcPr>
            <w:tcW w:w="1146" w:type="pct"/>
            <w:shd w:val="clear" w:color="auto" w:fill="auto"/>
          </w:tcPr>
          <w:p w:rsidRPr="00534116" w:rsidR="00031D8C" w:rsidP="00143203" w:rsidRDefault="0014320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-2,3</w:t>
            </w:r>
          </w:p>
        </w:tc>
        <w:tc>
          <w:tcPr>
            <w:tcW w:w="883" w:type="pct"/>
            <w:shd w:val="clear" w:color="auto" w:fill="auto"/>
          </w:tcPr>
          <w:p w:rsidRPr="00534116" w:rsidR="00031D8C" w:rsidP="00031D8C" w:rsidRDefault="00A15F1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031D8C"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031D8C" w:rsidP="00031D8C" w:rsidRDefault="00031D8C">
            <w:pPr>
              <w:spacing w:line="276" w:lineRule="auto"/>
              <w:rPr>
                <w:rFonts w:asciiTheme="majorHAnsi" w:hAnsiTheme="majorHAnsi"/>
                <w:color w:val="000000"/>
                <w:szCs w:val="18"/>
              </w:rPr>
            </w:pPr>
          </w:p>
        </w:tc>
        <w:tc>
          <w:tcPr>
            <w:tcW w:w="2591" w:type="pct"/>
            <w:hideMark/>
          </w:tcPr>
          <w:p w:rsidRPr="00D87A43" w:rsidR="00031D8C" w:rsidP="00031D8C" w:rsidRDefault="00031D8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D87A43">
              <w:rPr>
                <w:rFonts w:asciiTheme="majorHAnsi" w:hAnsiTheme="majorHAnsi"/>
                <w:szCs w:val="18"/>
              </w:rPr>
              <w:t>Prijsbijstelling</w:t>
            </w:r>
          </w:p>
        </w:tc>
        <w:tc>
          <w:tcPr>
            <w:tcW w:w="1146" w:type="pct"/>
            <w:shd w:val="clear" w:color="auto" w:fill="auto"/>
          </w:tcPr>
          <w:p w:rsidRPr="00534116" w:rsidR="00031D8C" w:rsidP="00031D8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-624,2</w:t>
            </w:r>
          </w:p>
        </w:tc>
        <w:tc>
          <w:tcPr>
            <w:tcW w:w="883" w:type="pct"/>
            <w:shd w:val="clear" w:color="auto" w:fill="auto"/>
          </w:tcPr>
          <w:p w:rsidRPr="00534116" w:rsidR="00031D8C" w:rsidP="00031D8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031D8C"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031D8C" w:rsidP="00031D8C" w:rsidRDefault="00031D8C">
            <w:pPr>
              <w:spacing w:line="276" w:lineRule="auto"/>
              <w:rPr>
                <w:rFonts w:asciiTheme="majorHAnsi" w:hAnsiTheme="majorHAnsi"/>
                <w:color w:val="000000"/>
                <w:szCs w:val="18"/>
              </w:rPr>
            </w:pPr>
          </w:p>
        </w:tc>
        <w:tc>
          <w:tcPr>
            <w:tcW w:w="2591" w:type="pct"/>
            <w:hideMark/>
          </w:tcPr>
          <w:p w:rsidRPr="001D695D" w:rsidR="00031D8C" w:rsidP="00031D8C" w:rsidRDefault="00031D8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1D695D">
              <w:rPr>
                <w:rFonts w:asciiTheme="majorHAnsi" w:hAnsiTheme="majorHAnsi"/>
                <w:szCs w:val="18"/>
              </w:rPr>
              <w:t>Arbeidsvoorwaarden</w:t>
            </w:r>
          </w:p>
        </w:tc>
        <w:tc>
          <w:tcPr>
            <w:tcW w:w="1146" w:type="pct"/>
            <w:shd w:val="clear" w:color="auto" w:fill="auto"/>
          </w:tcPr>
          <w:p w:rsidRPr="00534116" w:rsidR="00031D8C" w:rsidP="00031D8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-2.005,4</w:t>
            </w:r>
          </w:p>
        </w:tc>
        <w:tc>
          <w:tcPr>
            <w:tcW w:w="883" w:type="pct"/>
            <w:shd w:val="clear" w:color="auto" w:fill="auto"/>
          </w:tcPr>
          <w:p w:rsidRPr="00534116" w:rsidR="00031D8C" w:rsidP="00031D8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031D8C"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031D8C" w:rsidP="00031D8C" w:rsidRDefault="00031D8C">
            <w:pPr>
              <w:spacing w:line="276" w:lineRule="auto"/>
              <w:rPr>
                <w:rFonts w:asciiTheme="majorHAnsi" w:hAnsiTheme="majorHAnsi"/>
                <w:color w:val="000000"/>
                <w:szCs w:val="18"/>
              </w:rPr>
            </w:pPr>
          </w:p>
        </w:tc>
        <w:tc>
          <w:tcPr>
            <w:tcW w:w="2591" w:type="pct"/>
            <w:hideMark/>
          </w:tcPr>
          <w:p w:rsidRPr="001D695D" w:rsidR="00031D8C" w:rsidP="00031D8C" w:rsidRDefault="00031D8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1D695D">
              <w:rPr>
                <w:rFonts w:asciiTheme="majorHAnsi" w:hAnsiTheme="majorHAnsi"/>
                <w:szCs w:val="18"/>
              </w:rPr>
              <w:t>Koppeling Uitkeringen</w:t>
            </w:r>
          </w:p>
        </w:tc>
        <w:tc>
          <w:tcPr>
            <w:tcW w:w="1146" w:type="pct"/>
            <w:shd w:val="clear" w:color="auto" w:fill="auto"/>
          </w:tcPr>
          <w:p w:rsidRPr="00534116" w:rsidR="00031D8C" w:rsidP="00A15F10"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-9,0</w:t>
            </w:r>
          </w:p>
        </w:tc>
        <w:tc>
          <w:tcPr>
            <w:tcW w:w="883" w:type="pct"/>
            <w:shd w:val="clear" w:color="auto" w:fill="auto"/>
          </w:tcPr>
          <w:p w:rsidRPr="00534116" w:rsidR="00031D8C" w:rsidP="00031D8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031D8C" w:rsidTr="002E3C02">
        <w:trPr>
          <w:trHeight w:val="180"/>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031D8C" w:rsidP="00031D8C" w:rsidRDefault="00031D8C">
            <w:pPr>
              <w:spacing w:line="276" w:lineRule="auto"/>
              <w:rPr>
                <w:rFonts w:asciiTheme="majorHAnsi" w:hAnsiTheme="majorHAnsi"/>
                <w:color w:val="000000"/>
                <w:szCs w:val="18"/>
              </w:rPr>
            </w:pPr>
          </w:p>
        </w:tc>
        <w:tc>
          <w:tcPr>
            <w:tcW w:w="2591" w:type="pct"/>
            <w:hideMark/>
          </w:tcPr>
          <w:p w:rsidRPr="001D695D" w:rsidR="00031D8C" w:rsidP="00031D8C" w:rsidRDefault="00031D8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1D695D">
              <w:rPr>
                <w:rFonts w:asciiTheme="majorHAnsi" w:hAnsiTheme="majorHAnsi"/>
                <w:szCs w:val="18"/>
              </w:rPr>
              <w:t>Aanvullende Post</w:t>
            </w:r>
          </w:p>
        </w:tc>
        <w:tc>
          <w:tcPr>
            <w:tcW w:w="1146" w:type="pct"/>
            <w:shd w:val="clear" w:color="auto" w:fill="auto"/>
          </w:tcPr>
          <w:p w:rsidRPr="00534116" w:rsidR="00031D8C" w:rsidP="00C74D83"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w:t>
            </w:r>
            <w:r w:rsidR="00C74D83">
              <w:rPr>
                <w:rFonts w:asciiTheme="majorHAnsi" w:hAnsiTheme="majorHAnsi"/>
                <w:szCs w:val="18"/>
              </w:rPr>
              <w:t>1</w:t>
            </w:r>
            <w:r>
              <w:rPr>
                <w:rFonts w:asciiTheme="majorHAnsi" w:hAnsiTheme="majorHAnsi"/>
                <w:szCs w:val="18"/>
              </w:rPr>
              <w:t>.</w:t>
            </w:r>
            <w:r w:rsidR="00C74D83">
              <w:rPr>
                <w:rFonts w:asciiTheme="majorHAnsi" w:hAnsiTheme="majorHAnsi"/>
                <w:szCs w:val="18"/>
              </w:rPr>
              <w:t>787</w:t>
            </w:r>
            <w:r>
              <w:rPr>
                <w:rFonts w:asciiTheme="majorHAnsi" w:hAnsiTheme="majorHAnsi"/>
                <w:szCs w:val="18"/>
              </w:rPr>
              <w:t>,</w:t>
            </w:r>
            <w:r w:rsidR="00C74D83">
              <w:rPr>
                <w:rFonts w:asciiTheme="majorHAnsi" w:hAnsiTheme="majorHAnsi"/>
                <w:szCs w:val="18"/>
              </w:rPr>
              <w:t>6</w:t>
            </w:r>
          </w:p>
        </w:tc>
        <w:tc>
          <w:tcPr>
            <w:tcW w:w="883" w:type="pct"/>
            <w:shd w:val="clear" w:color="auto" w:fill="auto"/>
          </w:tcPr>
          <w:p w:rsidRPr="00534116" w:rsidR="00031D8C" w:rsidP="00031D8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0,0</w:t>
            </w:r>
          </w:p>
        </w:tc>
      </w:tr>
      <w:tr w:rsidRPr="001D695D" w:rsidR="00031D8C" w:rsidTr="002E3C02">
        <w:trPr>
          <w:trHeight w:val="195"/>
        </w:trPr>
        <w:tc>
          <w:tcPr>
            <w:cnfStyle w:val="001000000000" w:firstRow="0" w:lastRow="0" w:firstColumn="1" w:lastColumn="0" w:oddVBand="0" w:evenVBand="0" w:oddHBand="0" w:evenHBand="0" w:firstRowFirstColumn="0" w:firstRowLastColumn="0" w:lastRowFirstColumn="0" w:lastRowLastColumn="0"/>
            <w:tcW w:w="380" w:type="pct"/>
          </w:tcPr>
          <w:p w:rsidRPr="001D695D" w:rsidR="00031D8C" w:rsidP="00031D8C" w:rsidRDefault="00031D8C">
            <w:pPr>
              <w:spacing w:line="276" w:lineRule="auto"/>
              <w:rPr>
                <w:rFonts w:asciiTheme="majorHAnsi" w:hAnsiTheme="majorHAnsi"/>
                <w:color w:val="000000"/>
                <w:szCs w:val="18"/>
              </w:rPr>
            </w:pPr>
          </w:p>
        </w:tc>
        <w:tc>
          <w:tcPr>
            <w:tcW w:w="2591" w:type="pct"/>
          </w:tcPr>
          <w:p w:rsidRPr="00723B61" w:rsidR="00031D8C" w:rsidP="00031D8C" w:rsidRDefault="00031D8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 xml:space="preserve">Deelplafond </w:t>
            </w:r>
            <w:r w:rsidRPr="00723B61">
              <w:rPr>
                <w:rFonts w:asciiTheme="majorHAnsi" w:hAnsiTheme="majorHAnsi"/>
                <w:szCs w:val="18"/>
              </w:rPr>
              <w:t>Sociale Zekerheid</w:t>
            </w:r>
          </w:p>
        </w:tc>
        <w:tc>
          <w:tcPr>
            <w:tcW w:w="1146" w:type="pct"/>
            <w:shd w:val="clear" w:color="auto" w:fill="auto"/>
          </w:tcPr>
          <w:p w:rsidRPr="00534116" w:rsidR="00031D8C" w:rsidP="00031D8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-122,0</w:t>
            </w:r>
          </w:p>
        </w:tc>
        <w:tc>
          <w:tcPr>
            <w:tcW w:w="883" w:type="pct"/>
            <w:shd w:val="clear" w:color="auto" w:fill="auto"/>
          </w:tcPr>
          <w:p w:rsidRPr="00534116" w:rsidR="00031D8C" w:rsidP="00031D8C" w:rsidRDefault="00A15F1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-31,5</w:t>
            </w:r>
          </w:p>
        </w:tc>
      </w:tr>
      <w:tr w:rsidRPr="001D695D" w:rsidR="00031D8C" w:rsidTr="002E3C02">
        <w:trPr>
          <w:trHeight w:val="195"/>
        </w:trPr>
        <w:tc>
          <w:tcPr>
            <w:cnfStyle w:val="001000000000" w:firstRow="0" w:lastRow="0" w:firstColumn="1" w:lastColumn="0" w:oddVBand="0" w:evenVBand="0" w:oddHBand="0" w:evenHBand="0" w:firstRowFirstColumn="0" w:firstRowLastColumn="0" w:lastRowFirstColumn="0" w:lastRowLastColumn="0"/>
            <w:tcW w:w="380" w:type="pct"/>
          </w:tcPr>
          <w:p w:rsidRPr="001D695D" w:rsidR="00031D8C" w:rsidP="00031D8C" w:rsidRDefault="00031D8C">
            <w:pPr>
              <w:spacing w:line="276" w:lineRule="auto"/>
              <w:rPr>
                <w:rFonts w:asciiTheme="majorHAnsi" w:hAnsiTheme="majorHAnsi"/>
                <w:color w:val="000000"/>
                <w:szCs w:val="18"/>
              </w:rPr>
            </w:pPr>
          </w:p>
        </w:tc>
        <w:tc>
          <w:tcPr>
            <w:tcW w:w="2591" w:type="pct"/>
          </w:tcPr>
          <w:p w:rsidRPr="00723B61" w:rsidR="00031D8C" w:rsidP="00031D8C" w:rsidRDefault="00031D8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 xml:space="preserve">Deelplafond </w:t>
            </w:r>
            <w:r w:rsidRPr="00723B61">
              <w:rPr>
                <w:rFonts w:asciiTheme="majorHAnsi" w:hAnsiTheme="majorHAnsi"/>
                <w:szCs w:val="18"/>
              </w:rPr>
              <w:t>Zorg</w:t>
            </w:r>
          </w:p>
        </w:tc>
        <w:tc>
          <w:tcPr>
            <w:tcW w:w="1146" w:type="pct"/>
            <w:shd w:val="clear" w:color="auto" w:fill="auto"/>
          </w:tcPr>
          <w:p w:rsidRPr="00534116" w:rsidR="00031D8C" w:rsidP="00C74D83" w:rsidRDefault="00CD34F9">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-1.1</w:t>
            </w:r>
            <w:r w:rsidR="00C74D83">
              <w:rPr>
                <w:rFonts w:asciiTheme="majorHAnsi" w:hAnsiTheme="majorHAnsi"/>
                <w:szCs w:val="18"/>
              </w:rPr>
              <w:t>32</w:t>
            </w:r>
            <w:r>
              <w:rPr>
                <w:rFonts w:asciiTheme="majorHAnsi" w:hAnsiTheme="majorHAnsi"/>
                <w:szCs w:val="18"/>
              </w:rPr>
              <w:t>,</w:t>
            </w:r>
            <w:r w:rsidR="00C74D83">
              <w:rPr>
                <w:rFonts w:asciiTheme="majorHAnsi" w:hAnsiTheme="majorHAnsi"/>
                <w:szCs w:val="18"/>
              </w:rPr>
              <w:t>2</w:t>
            </w:r>
          </w:p>
        </w:tc>
        <w:tc>
          <w:tcPr>
            <w:tcW w:w="883" w:type="pct"/>
            <w:shd w:val="clear" w:color="auto" w:fill="auto"/>
          </w:tcPr>
          <w:p w:rsidRPr="00534116" w:rsidR="00031D8C" w:rsidP="00031D8C" w:rsidRDefault="00CD34F9">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-25,3</w:t>
            </w:r>
          </w:p>
        </w:tc>
      </w:tr>
      <w:tr w:rsidRPr="005B0772" w:rsidR="00031D8C" w:rsidTr="002E3C02">
        <w:trPr>
          <w:trHeight w:val="195"/>
        </w:trPr>
        <w:tc>
          <w:tcPr>
            <w:cnfStyle w:val="001000000000" w:firstRow="0" w:lastRow="0" w:firstColumn="1" w:lastColumn="0" w:oddVBand="0" w:evenVBand="0" w:oddHBand="0" w:evenHBand="0" w:firstRowFirstColumn="0" w:firstRowLastColumn="0" w:lastRowFirstColumn="0" w:lastRowLastColumn="0"/>
            <w:tcW w:w="380" w:type="pct"/>
            <w:hideMark/>
          </w:tcPr>
          <w:p w:rsidRPr="001D695D" w:rsidR="00031D8C" w:rsidP="00031D8C" w:rsidRDefault="00031D8C">
            <w:pPr>
              <w:spacing w:line="276" w:lineRule="auto"/>
              <w:rPr>
                <w:rFonts w:asciiTheme="majorHAnsi" w:hAnsiTheme="majorHAnsi"/>
                <w:szCs w:val="18"/>
              </w:rPr>
            </w:pPr>
          </w:p>
        </w:tc>
        <w:tc>
          <w:tcPr>
            <w:tcW w:w="2591" w:type="pct"/>
            <w:hideMark/>
          </w:tcPr>
          <w:p w:rsidRPr="001D695D" w:rsidR="00031D8C" w:rsidP="00031D8C" w:rsidRDefault="00031D8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sidRPr="001D695D">
              <w:rPr>
                <w:rFonts w:asciiTheme="majorHAnsi" w:hAnsiTheme="majorHAnsi"/>
                <w:szCs w:val="18"/>
              </w:rPr>
              <w:t>Homogene Groep Internationale Samenwerking</w:t>
            </w:r>
          </w:p>
        </w:tc>
        <w:tc>
          <w:tcPr>
            <w:tcW w:w="1146" w:type="pct"/>
            <w:shd w:val="clear" w:color="auto" w:fill="auto"/>
          </w:tcPr>
          <w:p w:rsidRPr="00831BE7" w:rsidR="00031D8C" w:rsidP="00031D8C" w:rsidRDefault="00CD34F9">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197,8</w:t>
            </w:r>
          </w:p>
        </w:tc>
        <w:tc>
          <w:tcPr>
            <w:tcW w:w="883" w:type="pct"/>
            <w:shd w:val="clear" w:color="auto" w:fill="auto"/>
          </w:tcPr>
          <w:p w:rsidRPr="00831BE7" w:rsidR="00031D8C" w:rsidP="00031D8C" w:rsidRDefault="00CD34F9">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Cs w:val="18"/>
              </w:rPr>
            </w:pPr>
            <w:r>
              <w:rPr>
                <w:rFonts w:asciiTheme="majorHAnsi" w:hAnsiTheme="majorHAnsi"/>
                <w:szCs w:val="18"/>
              </w:rPr>
              <w:t>24,5</w:t>
            </w:r>
          </w:p>
        </w:tc>
      </w:tr>
    </w:tbl>
    <w:p w:rsidR="00403FED" w:rsidP="001D695D" w:rsidRDefault="006972AF">
      <w:pPr>
        <w:spacing w:after="0"/>
        <w:rPr>
          <w:rFonts w:asciiTheme="majorHAnsi" w:hAnsiTheme="majorHAnsi"/>
          <w:b/>
          <w:szCs w:val="18"/>
        </w:rPr>
      </w:pPr>
      <w:r w:rsidRPr="005B0772">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04169E" w:rsidR="0004169E" w:rsidTr="0004169E">
        <w:trPr>
          <w:trHeight w:val="225"/>
        </w:trPr>
        <w:tc>
          <w:tcPr>
            <w:tcW w:w="10860" w:type="dxa"/>
            <w:gridSpan w:val="7"/>
            <w:tcBorders>
              <w:top w:val="nil"/>
              <w:left w:val="nil"/>
              <w:bottom w:val="single" w:color="FFFFFF" w:themeColor="background1" w:sz="4" w:space="0"/>
              <w:right w:val="nil"/>
            </w:tcBorders>
            <w:shd w:val="clear" w:color="auto" w:fill="auto"/>
            <w:hideMark/>
          </w:tcPr>
          <w:p w:rsidRPr="0004169E" w:rsidR="0004169E" w:rsidP="0004169E" w:rsidRDefault="0004169E">
            <w:pPr>
              <w:spacing w:after="0" w:line="240" w:lineRule="auto"/>
              <w:rPr>
                <w:rFonts w:eastAsia="Times New Roman" w:cs="Times New Roman"/>
                <w:b/>
                <w:bCs/>
                <w:color w:val="000000"/>
                <w:szCs w:val="18"/>
                <w:lang w:eastAsia="nl-NL"/>
              </w:rPr>
            </w:pPr>
            <w:r w:rsidRPr="0004169E">
              <w:rPr>
                <w:rFonts w:eastAsia="Times New Roman" w:cs="Times New Roman"/>
                <w:b/>
                <w:bCs/>
                <w:color w:val="000000"/>
                <w:szCs w:val="18"/>
                <w:lang w:eastAsia="nl-NL"/>
              </w:rPr>
              <w:lastRenderedPageBreak/>
              <w:t>De Koning</w:t>
            </w:r>
          </w:p>
        </w:tc>
      </w:tr>
      <w:tr w:rsidRPr="0004169E" w:rsidR="0004169E" w:rsidTr="0004169E">
        <w:trPr>
          <w:trHeight w:val="240"/>
        </w:trPr>
        <w:tc>
          <w:tcPr>
            <w:tcW w:w="10860" w:type="dxa"/>
            <w:gridSpan w:val="7"/>
            <w:tcBorders>
              <w:top w:val="single" w:color="FFFFFF" w:themeColor="background1" w:sz="4" w:space="0"/>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 DE KONING: UITGAVEN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43,3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43,3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43,4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44,8</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44,8</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0,7</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180"/>
        </w:trPr>
        <w:tc>
          <w:tcPr>
            <w:tcW w:w="43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45,7</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45,7</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 DE KONING: NIET-BELASTINGONTVANGSTEN</w:t>
            </w:r>
          </w:p>
        </w:tc>
      </w:tr>
      <w:tr w:rsidRPr="0004169E" w:rsidR="0004169E" w:rsidTr="0004169E">
        <w:trPr>
          <w:trHeight w:val="240"/>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180"/>
        </w:trPr>
        <w:tc>
          <w:tcPr>
            <w:tcW w:w="43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bl>
    <w:p w:rsidR="00E936BC" w:rsidP="001D695D" w:rsidRDefault="00E936BC">
      <w:pPr>
        <w:spacing w:after="0"/>
        <w:rPr>
          <w:rFonts w:asciiTheme="majorHAnsi" w:hAnsiTheme="majorHAnsi"/>
          <w:b/>
          <w:szCs w:val="18"/>
        </w:rPr>
      </w:pPr>
    </w:p>
    <w:p w:rsidR="00626DC9" w:rsidP="00626DC9" w:rsidRDefault="00626DC9">
      <w:pPr>
        <w:spacing w:after="0"/>
        <w:rPr>
          <w:rFonts w:asciiTheme="majorHAnsi" w:hAnsiTheme="majorHAnsi"/>
          <w:i/>
          <w:szCs w:val="18"/>
        </w:rPr>
      </w:pPr>
    </w:p>
    <w:p w:rsidRPr="00626DC9" w:rsidR="00626DC9" w:rsidP="00626DC9" w:rsidRDefault="00626DC9">
      <w:pPr>
        <w:spacing w:after="0"/>
        <w:rPr>
          <w:rFonts w:asciiTheme="majorHAnsi" w:hAnsiTheme="majorHAnsi"/>
          <w:i/>
          <w:szCs w:val="18"/>
        </w:rPr>
      </w:pPr>
      <w:r w:rsidRPr="00626DC9">
        <w:rPr>
          <w:rFonts w:asciiTheme="majorHAnsi" w:hAnsiTheme="majorHAnsi"/>
          <w:i/>
          <w:szCs w:val="18"/>
        </w:rPr>
        <w:t>Diversen - uitgaven</w:t>
      </w:r>
    </w:p>
    <w:p w:rsidRPr="00626DC9" w:rsidR="00403FED" w:rsidP="00626DC9" w:rsidRDefault="00626DC9">
      <w:pPr>
        <w:spacing w:after="0"/>
        <w:rPr>
          <w:rFonts w:asciiTheme="majorHAnsi" w:hAnsiTheme="majorHAnsi"/>
          <w:szCs w:val="18"/>
        </w:rPr>
      </w:pPr>
      <w:r w:rsidRPr="00626DC9">
        <w:rPr>
          <w:rFonts w:asciiTheme="majorHAnsi" w:hAnsiTheme="majorHAnsi"/>
          <w:szCs w:val="18"/>
        </w:rPr>
        <w:t xml:space="preserve">Dit betreft </w:t>
      </w:r>
      <w:r>
        <w:rPr>
          <w:rFonts w:asciiTheme="majorHAnsi" w:hAnsiTheme="majorHAnsi"/>
          <w:szCs w:val="18"/>
        </w:rPr>
        <w:t>de</w:t>
      </w:r>
      <w:r w:rsidRPr="00626DC9">
        <w:rPr>
          <w:rFonts w:asciiTheme="majorHAnsi" w:hAnsiTheme="majorHAnsi"/>
          <w:szCs w:val="18"/>
        </w:rPr>
        <w:t xml:space="preserve"> som </w:t>
      </w:r>
      <w:r>
        <w:rPr>
          <w:rFonts w:asciiTheme="majorHAnsi" w:hAnsiTheme="majorHAnsi"/>
          <w:szCs w:val="18"/>
        </w:rPr>
        <w:t>van meerdere mutaties, waarvan de</w:t>
      </w:r>
      <w:r w:rsidRPr="00626DC9">
        <w:rPr>
          <w:rFonts w:asciiTheme="majorHAnsi" w:hAnsiTheme="majorHAnsi"/>
          <w:szCs w:val="18"/>
        </w:rPr>
        <w:t xml:space="preserve"> grootste </w:t>
      </w:r>
      <w:r>
        <w:rPr>
          <w:rFonts w:asciiTheme="majorHAnsi" w:hAnsiTheme="majorHAnsi"/>
          <w:szCs w:val="18"/>
        </w:rPr>
        <w:t xml:space="preserve">tranche 2019 van </w:t>
      </w:r>
      <w:r w:rsidRPr="00626DC9">
        <w:rPr>
          <w:rFonts w:asciiTheme="majorHAnsi" w:hAnsiTheme="majorHAnsi"/>
          <w:szCs w:val="18"/>
        </w:rPr>
        <w:t xml:space="preserve">de loon- en prijsbijstelling </w:t>
      </w:r>
      <w:r>
        <w:rPr>
          <w:rFonts w:asciiTheme="majorHAnsi" w:hAnsiTheme="majorHAnsi"/>
          <w:szCs w:val="18"/>
        </w:rPr>
        <w:t>is</w:t>
      </w:r>
      <w:r w:rsidRPr="00626DC9">
        <w:rPr>
          <w:rFonts w:asciiTheme="majorHAnsi" w:hAnsiTheme="majorHAnsi"/>
          <w:szCs w:val="18"/>
        </w:rPr>
        <w:t xml:space="preserve"> (0,7 mln.) die is overgeboekt naar de begroting</w:t>
      </w:r>
      <w:r>
        <w:rPr>
          <w:rFonts w:asciiTheme="majorHAnsi" w:hAnsiTheme="majorHAnsi"/>
          <w:szCs w:val="18"/>
        </w:rPr>
        <w:t>.</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04169E" w:rsidR="0004169E" w:rsidTr="0004169E">
        <w:trPr>
          <w:trHeight w:val="225"/>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b/>
                <w:bCs/>
                <w:color w:val="000000"/>
                <w:szCs w:val="18"/>
                <w:lang w:eastAsia="nl-NL"/>
              </w:rPr>
            </w:pPr>
            <w:r w:rsidRPr="0004169E">
              <w:rPr>
                <w:rFonts w:eastAsia="Times New Roman" w:cs="Times New Roman"/>
                <w:b/>
                <w:bCs/>
                <w:color w:val="000000"/>
                <w:szCs w:val="18"/>
                <w:lang w:eastAsia="nl-NL"/>
              </w:rPr>
              <w:lastRenderedPageBreak/>
              <w:t>Staten-Generaal</w:t>
            </w: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IIA STATEN-GENERAAL: UITGAVEN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145,5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145,5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150,4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147,3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147,4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 xml:space="preserve">Bedrijfsvoering </w:t>
            </w:r>
            <w:proofErr w:type="spellStart"/>
            <w:r w:rsidRPr="0004169E">
              <w:rPr>
                <w:rFonts w:eastAsia="Times New Roman" w:cs="Times New Roman"/>
                <w:color w:val="000000"/>
                <w:szCs w:val="18"/>
                <w:lang w:eastAsia="nl-NL"/>
              </w:rPr>
              <w:t>tk</w:t>
            </w:r>
            <w:proofErr w:type="spellEnd"/>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4,8</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 xml:space="preserve">Vervangingsinvesteringen </w:t>
            </w:r>
            <w:proofErr w:type="spellStart"/>
            <w:r w:rsidRPr="0004169E">
              <w:rPr>
                <w:rFonts w:eastAsia="Times New Roman" w:cs="Times New Roman"/>
                <w:color w:val="000000"/>
                <w:szCs w:val="18"/>
                <w:lang w:eastAsia="nl-NL"/>
              </w:rPr>
              <w:t>tk</w:t>
            </w:r>
            <w:proofErr w:type="spellEnd"/>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28,9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4,6</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4,6</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4,6</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4,6</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33,3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13,8</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6,6</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6,6</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4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178,8</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159,3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157,0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153,9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154,0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178,8</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159,3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157,0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153,9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154,0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IIA STATEN-GENERAAL: NIET-BELASTINGONTVANGSTEN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180"/>
        </w:trPr>
        <w:tc>
          <w:tcPr>
            <w:tcW w:w="43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4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Pr="00743C03" w:rsidR="00DA57DB" w:rsidP="00DA57DB" w:rsidRDefault="00DA57DB">
      <w:pPr>
        <w:spacing w:after="0"/>
        <w:rPr>
          <w:rFonts w:eastAsia="Times New Roman"/>
          <w:i/>
          <w:szCs w:val="18"/>
        </w:rPr>
      </w:pPr>
      <w:r w:rsidRPr="00743C03">
        <w:rPr>
          <w:rFonts w:eastAsia="Times New Roman"/>
          <w:i/>
          <w:szCs w:val="18"/>
        </w:rPr>
        <w:t>Bedrijfsvoering TK</w:t>
      </w:r>
    </w:p>
    <w:p w:rsidRPr="00743C03" w:rsidR="00DA57DB" w:rsidP="00DA57DB" w:rsidRDefault="00DA57DB">
      <w:pPr>
        <w:spacing w:after="0"/>
        <w:rPr>
          <w:rFonts w:eastAsia="Times New Roman"/>
          <w:szCs w:val="18"/>
        </w:rPr>
      </w:pPr>
      <w:r w:rsidRPr="00743C03">
        <w:rPr>
          <w:rFonts w:eastAsia="Times New Roman"/>
          <w:szCs w:val="18"/>
        </w:rPr>
        <w:t>Het budget voor bedrijfsvoering van de Tweede Kamer wordt in 2019 en 2020 opgehoogd voor investeringen in informatiebeveiliging, de toegankelijkheid van debatten en continuïteit van de dienstverlening.</w:t>
      </w:r>
    </w:p>
    <w:p w:rsidRPr="00743C03" w:rsidR="00DA57DB" w:rsidP="00DA57DB" w:rsidRDefault="00DA57DB">
      <w:pPr>
        <w:spacing w:after="0"/>
        <w:rPr>
          <w:rFonts w:eastAsia="Times New Roman"/>
          <w:i/>
          <w:szCs w:val="18"/>
        </w:rPr>
      </w:pPr>
    </w:p>
    <w:p w:rsidRPr="00743C03" w:rsidR="00DA57DB" w:rsidP="00DA57DB" w:rsidRDefault="000118D7">
      <w:pPr>
        <w:spacing w:after="0"/>
        <w:rPr>
          <w:rFonts w:eastAsia="Times New Roman"/>
          <w:i/>
          <w:szCs w:val="18"/>
        </w:rPr>
      </w:pPr>
      <w:r>
        <w:rPr>
          <w:rFonts w:eastAsia="Times New Roman"/>
          <w:i/>
          <w:szCs w:val="18"/>
        </w:rPr>
        <w:t>V</w:t>
      </w:r>
      <w:r w:rsidRPr="00743C03" w:rsidR="00DA57DB">
        <w:rPr>
          <w:rFonts w:eastAsia="Times New Roman"/>
          <w:i/>
          <w:szCs w:val="18"/>
        </w:rPr>
        <w:t>ervangingsinvesteringen TK</w:t>
      </w:r>
    </w:p>
    <w:p w:rsidRPr="00743C03" w:rsidR="00DA57DB" w:rsidP="00DA57DB" w:rsidRDefault="00DA57DB">
      <w:pPr>
        <w:spacing w:after="0"/>
        <w:rPr>
          <w:rFonts w:eastAsia="Times New Roman"/>
          <w:szCs w:val="18"/>
        </w:rPr>
      </w:pPr>
      <w:r w:rsidRPr="00743C03">
        <w:rPr>
          <w:rFonts w:eastAsia="Times New Roman"/>
          <w:szCs w:val="18"/>
        </w:rPr>
        <w:t>Aan de begroting van de Tweede Kamer worden middelen toegevoegd voor vervangingsinvesteringen in audiovisuele middelen en de verhuizing van het datacenter.</w:t>
      </w:r>
    </w:p>
    <w:p w:rsidRPr="00743C03" w:rsidR="00DA57DB" w:rsidP="00DA57DB" w:rsidRDefault="00DA57DB">
      <w:pPr>
        <w:spacing w:after="0"/>
        <w:rPr>
          <w:rFonts w:eastAsia="Times New Roman"/>
          <w:i/>
          <w:szCs w:val="18"/>
        </w:rPr>
      </w:pPr>
    </w:p>
    <w:p w:rsidRPr="00743C03" w:rsidR="00DA57DB" w:rsidP="00DA57DB" w:rsidRDefault="00DA57DB">
      <w:pPr>
        <w:spacing w:after="0"/>
        <w:rPr>
          <w:rFonts w:eastAsia="Times New Roman"/>
          <w:i/>
          <w:szCs w:val="18"/>
        </w:rPr>
      </w:pPr>
      <w:r>
        <w:rPr>
          <w:rFonts w:eastAsia="Times New Roman"/>
          <w:i/>
          <w:szCs w:val="18"/>
        </w:rPr>
        <w:t xml:space="preserve">Diversen - beleidsmatige </w:t>
      </w:r>
      <w:r w:rsidRPr="00743C03">
        <w:rPr>
          <w:rFonts w:eastAsia="Times New Roman"/>
          <w:i/>
          <w:szCs w:val="18"/>
        </w:rPr>
        <w:t>mutaties</w:t>
      </w:r>
      <w:r>
        <w:rPr>
          <w:rFonts w:eastAsia="Times New Roman"/>
          <w:i/>
          <w:szCs w:val="18"/>
        </w:rPr>
        <w:t>, uitgaven</w:t>
      </w:r>
    </w:p>
    <w:p w:rsidRPr="00743C03" w:rsidR="00DA57DB" w:rsidP="00DA57DB" w:rsidRDefault="00DA57DB">
      <w:pPr>
        <w:spacing w:after="0"/>
        <w:rPr>
          <w:rFonts w:eastAsia="Times New Roman"/>
          <w:szCs w:val="18"/>
        </w:rPr>
      </w:pPr>
      <w:r w:rsidRPr="00743C03">
        <w:rPr>
          <w:rFonts w:eastAsia="Times New Roman"/>
          <w:szCs w:val="18"/>
        </w:rPr>
        <w:t xml:space="preserve">Het oningevulde deel van de taakstelling uit Rutte I en II wordt structureel met generale middelen ingevuld. Verder wordt de negatieve eindejaarsmarge uit 2018 toegevoegd aan de begroting van de Staten-Generaal. Het deel van de negatieve eindejaarsmarge dat </w:t>
      </w:r>
      <w:r w:rsidR="000118D7">
        <w:rPr>
          <w:rFonts w:eastAsia="Times New Roman"/>
          <w:szCs w:val="18"/>
        </w:rPr>
        <w:t>samenhangt met e</w:t>
      </w:r>
      <w:r w:rsidRPr="00743C03">
        <w:rPr>
          <w:rFonts w:eastAsia="Times New Roman"/>
          <w:szCs w:val="18"/>
        </w:rPr>
        <w:t>e</w:t>
      </w:r>
      <w:r w:rsidR="00205986">
        <w:rPr>
          <w:rFonts w:eastAsia="Times New Roman"/>
          <w:szCs w:val="18"/>
        </w:rPr>
        <w:t>n</w:t>
      </w:r>
      <w:r w:rsidRPr="00743C03">
        <w:rPr>
          <w:rFonts w:eastAsia="Times New Roman"/>
          <w:szCs w:val="18"/>
        </w:rPr>
        <w:t xml:space="preserve"> oningevulde taakstelling 2018 wordt ook generaal gecompenseerd.</w:t>
      </w:r>
    </w:p>
    <w:p w:rsidRPr="00743C03" w:rsidR="00DA57DB" w:rsidP="00DA57DB" w:rsidRDefault="00DA57DB">
      <w:pPr>
        <w:spacing w:after="0"/>
        <w:rPr>
          <w:rFonts w:eastAsia="Times New Roman"/>
          <w:i/>
          <w:szCs w:val="18"/>
        </w:rPr>
      </w:pPr>
    </w:p>
    <w:p w:rsidRPr="00743C03" w:rsidR="00DA57DB" w:rsidP="00DA57DB" w:rsidRDefault="00DA57DB">
      <w:pPr>
        <w:spacing w:after="0"/>
        <w:rPr>
          <w:rFonts w:eastAsia="Times New Roman"/>
          <w:i/>
          <w:szCs w:val="18"/>
        </w:rPr>
      </w:pPr>
      <w:r>
        <w:rPr>
          <w:rFonts w:eastAsia="Times New Roman"/>
          <w:i/>
          <w:szCs w:val="18"/>
        </w:rPr>
        <w:t xml:space="preserve">Diversen - </w:t>
      </w:r>
      <w:r w:rsidRPr="00743C03">
        <w:rPr>
          <w:rFonts w:eastAsia="Times New Roman"/>
          <w:i/>
          <w:szCs w:val="18"/>
        </w:rPr>
        <w:t>technische mutaties</w:t>
      </w:r>
      <w:r>
        <w:rPr>
          <w:rFonts w:eastAsia="Times New Roman"/>
          <w:i/>
          <w:szCs w:val="18"/>
        </w:rPr>
        <w:t xml:space="preserve">, </w:t>
      </w:r>
      <w:r w:rsidRPr="00743C03">
        <w:rPr>
          <w:rFonts w:eastAsia="Times New Roman"/>
          <w:i/>
          <w:szCs w:val="18"/>
        </w:rPr>
        <w:t>uitgaven</w:t>
      </w:r>
    </w:p>
    <w:p w:rsidR="00DA57DB" w:rsidP="00DA57DB" w:rsidRDefault="00DA57DB">
      <w:pPr>
        <w:spacing w:after="0"/>
        <w:rPr>
          <w:rFonts w:asciiTheme="majorHAnsi" w:hAnsiTheme="majorHAnsi"/>
          <w:b/>
          <w:szCs w:val="18"/>
        </w:rPr>
      </w:pPr>
      <w:r w:rsidRPr="00743C03">
        <w:rPr>
          <w:rFonts w:eastAsia="Times New Roman"/>
          <w:szCs w:val="18"/>
        </w:rPr>
        <w:t xml:space="preserve">Er worden middelen overgeboekt vanaf de begroting </w:t>
      </w:r>
      <w:r w:rsidR="000118D7">
        <w:rPr>
          <w:rFonts w:eastAsia="Times New Roman"/>
          <w:szCs w:val="18"/>
        </w:rPr>
        <w:t>Onderwijs, Cultuur en Wetenschap</w:t>
      </w:r>
      <w:r w:rsidRPr="00743C03">
        <w:rPr>
          <w:rFonts w:eastAsia="Times New Roman"/>
          <w:szCs w:val="18"/>
        </w:rPr>
        <w:t xml:space="preserve"> voor extra beveiligingsmiddelen en informatiemateriaal bij het bezoek aan het parle</w:t>
      </w:r>
      <w:r>
        <w:rPr>
          <w:rFonts w:eastAsia="Times New Roman"/>
          <w:szCs w:val="18"/>
        </w:rPr>
        <w:t>ment door VO-leerlingen. Tevens</w:t>
      </w:r>
      <w:r w:rsidRPr="00743C03">
        <w:rPr>
          <w:rFonts w:eastAsia="Times New Roman"/>
          <w:szCs w:val="18"/>
        </w:rPr>
        <w:t xml:space="preserve"> wordt de loon- en prijsbijstelling </w:t>
      </w:r>
      <w:r>
        <w:rPr>
          <w:rFonts w:eastAsia="Times New Roman"/>
          <w:szCs w:val="18"/>
        </w:rPr>
        <w:t xml:space="preserve">tranche 2019 </w:t>
      </w:r>
      <w:r w:rsidRPr="00743C03">
        <w:rPr>
          <w:rFonts w:eastAsia="Times New Roman"/>
          <w:szCs w:val="18"/>
        </w:rPr>
        <w:t>toegevoegd aan de begroting van de Staten-Generaal.</w:t>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04169E" w:rsidR="0004169E" w:rsidTr="0004169E">
        <w:trPr>
          <w:trHeight w:val="225"/>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b/>
                <w:bCs/>
                <w:color w:val="000000"/>
                <w:szCs w:val="18"/>
                <w:lang w:eastAsia="nl-NL"/>
              </w:rPr>
            </w:pPr>
            <w:r w:rsidRPr="0004169E">
              <w:rPr>
                <w:rFonts w:eastAsia="Times New Roman" w:cs="Times New Roman"/>
                <w:b/>
                <w:bCs/>
                <w:color w:val="000000"/>
                <w:szCs w:val="18"/>
                <w:lang w:eastAsia="nl-NL"/>
              </w:rPr>
              <w:lastRenderedPageBreak/>
              <w:t>Overige Hoge Colleges van Staat, Kabinetten van de Gouverneurs en de Kiesraad</w:t>
            </w: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IIB OVERIGE HOGE COLLEGES VAN STAAT, KABINETTEN VAN DE GOUVERNEURS EN DE KIESRAAD: UITGAVEN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121,4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121,7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122,3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122,8</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122,4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1,1</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1,1</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3,4</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3,4</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3,4</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r>
      <w:tr w:rsidRPr="0004169E" w:rsidR="0004169E" w:rsidTr="0004169E">
        <w:trPr>
          <w:trHeight w:val="24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8,1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6,6</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4,5</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131,7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129,8</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128,9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127,3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126,9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131,7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129,8</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128,9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127,3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126,9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IIB OVERIGE HOGE COLLEGES VAN STAAT, KABINETTEN VAN DE GOUVERNEURS EN DE KIESRAAD: NIET-BELASTINGONTVANGSTEN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743C03" w:rsidR="00DA57DB" w:rsidP="00DA57DB" w:rsidRDefault="00DA57DB">
      <w:pPr>
        <w:spacing w:after="0"/>
        <w:rPr>
          <w:rFonts w:eastAsia="Times New Roman"/>
          <w:i/>
          <w:szCs w:val="18"/>
        </w:rPr>
      </w:pPr>
      <w:r w:rsidRPr="00743C03">
        <w:rPr>
          <w:rFonts w:eastAsia="Times New Roman"/>
          <w:i/>
          <w:szCs w:val="18"/>
        </w:rPr>
        <w:t xml:space="preserve">Diversen </w:t>
      </w:r>
      <w:r>
        <w:rPr>
          <w:rFonts w:eastAsia="Times New Roman"/>
          <w:i/>
          <w:szCs w:val="18"/>
        </w:rPr>
        <w:t xml:space="preserve">- </w:t>
      </w:r>
      <w:r w:rsidRPr="00743C03">
        <w:rPr>
          <w:rFonts w:eastAsia="Times New Roman"/>
          <w:i/>
          <w:szCs w:val="18"/>
        </w:rPr>
        <w:t>beleidsmatige mutaties</w:t>
      </w:r>
      <w:r>
        <w:rPr>
          <w:rFonts w:eastAsia="Times New Roman"/>
          <w:i/>
          <w:szCs w:val="18"/>
        </w:rPr>
        <w:t xml:space="preserve">, </w:t>
      </w:r>
      <w:r w:rsidRPr="00743C03">
        <w:rPr>
          <w:rFonts w:eastAsia="Times New Roman"/>
          <w:i/>
          <w:szCs w:val="18"/>
        </w:rPr>
        <w:t>uitgaven</w:t>
      </w:r>
    </w:p>
    <w:p w:rsidRPr="00743C03" w:rsidR="000118D7" w:rsidP="000118D7" w:rsidRDefault="000118D7">
      <w:pPr>
        <w:spacing w:after="0"/>
        <w:rPr>
          <w:rFonts w:eastAsia="Times New Roman"/>
          <w:szCs w:val="18"/>
        </w:rPr>
      </w:pPr>
      <w:r w:rsidRPr="00743C03">
        <w:rPr>
          <w:rFonts w:eastAsia="Times New Roman"/>
          <w:szCs w:val="18"/>
        </w:rPr>
        <w:t xml:space="preserve">De hogere kosten voor het Hoger Beroep Vreemdelingen (HBV) </w:t>
      </w:r>
      <w:r>
        <w:rPr>
          <w:rFonts w:eastAsia="Times New Roman"/>
          <w:szCs w:val="18"/>
        </w:rPr>
        <w:t>leiden tot bijstelling van de middelen die</w:t>
      </w:r>
      <w:r w:rsidRPr="00743C03">
        <w:rPr>
          <w:rFonts w:eastAsia="Times New Roman"/>
          <w:szCs w:val="18"/>
        </w:rPr>
        <w:t xml:space="preserve"> voor de jaren 2019 en 2020 aan de begroting van de Raad van State </w:t>
      </w:r>
      <w:r>
        <w:rPr>
          <w:rFonts w:eastAsia="Times New Roman"/>
          <w:szCs w:val="18"/>
        </w:rPr>
        <w:t xml:space="preserve">worden </w:t>
      </w:r>
      <w:r w:rsidRPr="00743C03">
        <w:rPr>
          <w:rFonts w:eastAsia="Times New Roman"/>
          <w:szCs w:val="18"/>
        </w:rPr>
        <w:t xml:space="preserve">toegevoegd. De </w:t>
      </w:r>
      <w:r>
        <w:rPr>
          <w:rFonts w:eastAsia="Times New Roman"/>
          <w:szCs w:val="18"/>
        </w:rPr>
        <w:t>Raad van State en de Nationale Ombudsman</w:t>
      </w:r>
      <w:r w:rsidRPr="00743C03">
        <w:rPr>
          <w:rFonts w:eastAsia="Times New Roman"/>
          <w:szCs w:val="18"/>
        </w:rPr>
        <w:t xml:space="preserve"> ontvangen middelen voor de uitvoering van hun wettelijke taken</w:t>
      </w:r>
      <w:r>
        <w:rPr>
          <w:rFonts w:eastAsia="Times New Roman"/>
          <w:szCs w:val="18"/>
        </w:rPr>
        <w:t>, conform de afspraken die hierover zijn gemaakt in 2018. Aan de begroting van de Kanselarij der Nederlandse Orde worden middelen toegevoegd voor de implementatie van het nieuwe digitale systeem LINT</w:t>
      </w:r>
      <w:r w:rsidRPr="00743C03">
        <w:rPr>
          <w:rFonts w:eastAsia="Times New Roman"/>
          <w:szCs w:val="18"/>
        </w:rPr>
        <w:t xml:space="preserve">. </w:t>
      </w:r>
      <w:r>
        <w:rPr>
          <w:rFonts w:eastAsia="Times New Roman"/>
          <w:szCs w:val="18"/>
        </w:rPr>
        <w:t>Daarnaast zijn voor het doorvoeren van een reorganisatie en modernisering van de Algemene Rekenkamer bij tweede suppletoire begroting 2018 middelen doorgeschoven naar 2019. Tot slot</w:t>
      </w:r>
      <w:r w:rsidRPr="00743C03">
        <w:rPr>
          <w:rFonts w:eastAsia="Times New Roman"/>
          <w:szCs w:val="18"/>
        </w:rPr>
        <w:t xml:space="preserve"> wordt de eindejaarsmarge toegevoegd aan de begroting van de</w:t>
      </w:r>
      <w:r>
        <w:rPr>
          <w:rFonts w:eastAsia="Times New Roman"/>
          <w:szCs w:val="18"/>
        </w:rPr>
        <w:t xml:space="preserve"> overige</w:t>
      </w:r>
      <w:r w:rsidRPr="00743C03">
        <w:rPr>
          <w:rFonts w:eastAsia="Times New Roman"/>
          <w:szCs w:val="18"/>
        </w:rPr>
        <w:t xml:space="preserve"> Hoge Colleges van Staat, de Kabinetten</w:t>
      </w:r>
      <w:r>
        <w:rPr>
          <w:rFonts w:eastAsia="Times New Roman"/>
          <w:szCs w:val="18"/>
        </w:rPr>
        <w:t xml:space="preserve"> van de Gouverneurs</w:t>
      </w:r>
      <w:r w:rsidRPr="00743C03">
        <w:rPr>
          <w:rFonts w:eastAsia="Times New Roman"/>
          <w:szCs w:val="18"/>
        </w:rPr>
        <w:t xml:space="preserve"> en de Kiesraad. </w:t>
      </w:r>
    </w:p>
    <w:p w:rsidRPr="00743C03" w:rsidR="00DA57DB" w:rsidP="00DA57DB" w:rsidRDefault="00DA57DB">
      <w:pPr>
        <w:spacing w:after="0"/>
        <w:rPr>
          <w:rFonts w:eastAsia="Times New Roman"/>
          <w:i/>
          <w:szCs w:val="18"/>
        </w:rPr>
      </w:pPr>
    </w:p>
    <w:p w:rsidRPr="00743C03" w:rsidR="00DA57DB" w:rsidP="00DA57DB" w:rsidRDefault="00DA57DB">
      <w:pPr>
        <w:spacing w:after="0"/>
        <w:rPr>
          <w:rFonts w:eastAsia="Times New Roman"/>
          <w:i/>
          <w:szCs w:val="18"/>
        </w:rPr>
      </w:pPr>
      <w:r w:rsidRPr="00743C03">
        <w:rPr>
          <w:rFonts w:eastAsia="Times New Roman"/>
          <w:i/>
          <w:szCs w:val="18"/>
        </w:rPr>
        <w:t xml:space="preserve">Diversen </w:t>
      </w:r>
      <w:r>
        <w:rPr>
          <w:rFonts w:eastAsia="Times New Roman"/>
          <w:i/>
          <w:szCs w:val="18"/>
        </w:rPr>
        <w:t xml:space="preserve">- </w:t>
      </w:r>
      <w:r w:rsidRPr="00743C03">
        <w:rPr>
          <w:rFonts w:eastAsia="Times New Roman"/>
          <w:i/>
          <w:szCs w:val="18"/>
        </w:rPr>
        <w:t>technische mutaties</w:t>
      </w:r>
      <w:r>
        <w:rPr>
          <w:rFonts w:eastAsia="Times New Roman"/>
          <w:i/>
          <w:szCs w:val="18"/>
        </w:rPr>
        <w:t xml:space="preserve">, </w:t>
      </w:r>
      <w:r w:rsidRPr="00743C03">
        <w:rPr>
          <w:rFonts w:eastAsia="Times New Roman"/>
          <w:i/>
          <w:szCs w:val="18"/>
        </w:rPr>
        <w:t>uitgaven</w:t>
      </w:r>
    </w:p>
    <w:p w:rsidR="00403FED" w:rsidP="00DA57DB" w:rsidRDefault="000118D7">
      <w:pPr>
        <w:spacing w:after="0"/>
        <w:rPr>
          <w:rFonts w:asciiTheme="majorHAnsi" w:hAnsiTheme="majorHAnsi"/>
          <w:b/>
          <w:szCs w:val="18"/>
        </w:rPr>
      </w:pPr>
      <w:r>
        <w:rPr>
          <w:rFonts w:eastAsia="Times New Roman"/>
          <w:szCs w:val="18"/>
        </w:rPr>
        <w:t>Conform de afspraak met betrekking tot de taken-middelenanalyse</w:t>
      </w:r>
      <w:r w:rsidRPr="00743C03">
        <w:rPr>
          <w:rFonts w:eastAsia="Times New Roman"/>
          <w:szCs w:val="18"/>
        </w:rPr>
        <w:t xml:space="preserve"> worden middelen overgeboekt vanaf de begroting van Binnenlandse Zaken en Koninkrijksrelaties naar de begroting van de Raad </w:t>
      </w:r>
      <w:r w:rsidRPr="00743C03">
        <w:rPr>
          <w:rFonts w:eastAsia="Times New Roman"/>
          <w:szCs w:val="18"/>
        </w:rPr>
        <w:lastRenderedPageBreak/>
        <w:t>van State voor de afschaffing van dubbelbenoemingen</w:t>
      </w:r>
      <w:r>
        <w:rPr>
          <w:rFonts w:eastAsia="Times New Roman"/>
          <w:szCs w:val="18"/>
        </w:rPr>
        <w:t>. Daarnaast worden vanaf de begroting van BZK middelen overgeheveld</w:t>
      </w:r>
      <w:r w:rsidRPr="00743C03">
        <w:rPr>
          <w:rFonts w:eastAsia="Times New Roman"/>
          <w:szCs w:val="18"/>
        </w:rPr>
        <w:t xml:space="preserve"> naar de begroting van de Kiesraad voor de verbetering van </w:t>
      </w:r>
      <w:r>
        <w:rPr>
          <w:rFonts w:eastAsia="Times New Roman"/>
          <w:szCs w:val="18"/>
        </w:rPr>
        <w:t>het Ondersteunende Software Verkiezingen (</w:t>
      </w:r>
      <w:r w:rsidRPr="00743C03">
        <w:rPr>
          <w:rFonts w:eastAsia="Times New Roman"/>
          <w:szCs w:val="18"/>
        </w:rPr>
        <w:t>OSV</w:t>
      </w:r>
      <w:r>
        <w:rPr>
          <w:rFonts w:eastAsia="Times New Roman"/>
          <w:szCs w:val="18"/>
        </w:rPr>
        <w:t>) systeem</w:t>
      </w:r>
      <w:r w:rsidRPr="00743C03">
        <w:rPr>
          <w:rFonts w:eastAsia="Times New Roman"/>
          <w:szCs w:val="18"/>
        </w:rPr>
        <w:t xml:space="preserve">. </w:t>
      </w:r>
      <w:r>
        <w:rPr>
          <w:rFonts w:eastAsia="Times New Roman"/>
          <w:szCs w:val="18"/>
        </w:rPr>
        <w:t>Tevens</w:t>
      </w:r>
      <w:r w:rsidRPr="00743C03">
        <w:rPr>
          <w:rFonts w:eastAsia="Times New Roman"/>
          <w:szCs w:val="18"/>
        </w:rPr>
        <w:t xml:space="preserve"> wordt de loon- en prijsbijstelling toegevoegd aan de begroting van de </w:t>
      </w:r>
      <w:r>
        <w:rPr>
          <w:rFonts w:eastAsia="Times New Roman"/>
          <w:szCs w:val="18"/>
        </w:rPr>
        <w:t xml:space="preserve">overige </w:t>
      </w:r>
      <w:r w:rsidRPr="00743C03">
        <w:rPr>
          <w:rFonts w:eastAsia="Times New Roman"/>
          <w:szCs w:val="18"/>
        </w:rPr>
        <w:t>Hoge Colleges van Staat, de Kabinetten</w:t>
      </w:r>
      <w:r>
        <w:rPr>
          <w:rFonts w:eastAsia="Times New Roman"/>
          <w:szCs w:val="18"/>
        </w:rPr>
        <w:t xml:space="preserve"> van de Gouverneurs</w:t>
      </w:r>
      <w:r w:rsidRPr="00743C03">
        <w:rPr>
          <w:rFonts w:eastAsia="Times New Roman"/>
          <w:szCs w:val="18"/>
        </w:rPr>
        <w:t xml:space="preserve"> en de Kiesraad</w:t>
      </w:r>
      <w:r>
        <w:rPr>
          <w:rFonts w:eastAsia="Times New Roman"/>
          <w:szCs w:val="18"/>
        </w:rPr>
        <w:t>.</w:t>
      </w:r>
      <w:r w:rsidR="00403FED">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04169E" w:rsidR="0004169E" w:rsidTr="0004169E">
        <w:trPr>
          <w:trHeight w:val="225"/>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b/>
                <w:bCs/>
                <w:color w:val="000000"/>
                <w:szCs w:val="18"/>
                <w:lang w:eastAsia="nl-NL"/>
              </w:rPr>
            </w:pPr>
            <w:r w:rsidRPr="0004169E">
              <w:rPr>
                <w:rFonts w:eastAsia="Times New Roman" w:cs="Times New Roman"/>
                <w:b/>
                <w:bCs/>
                <w:color w:val="000000"/>
                <w:szCs w:val="18"/>
                <w:lang w:eastAsia="nl-NL"/>
              </w:rPr>
              <w:lastRenderedPageBreak/>
              <w:t>Algemene Zaken</w:t>
            </w: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III ALGEMENE ZAKEN: UITGAVEN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67,3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67,4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4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0,6</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1,8</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1,8</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1,8</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1,8</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1,8</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1,8</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69,6</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70,9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73,1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73,1</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69,6</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70,9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73,1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73,1</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III ALGEMENE ZAKEN: NIET-BELASTINGONTVANGSTEN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0,1</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626DC9" w:rsidP="00626DC9" w:rsidRDefault="00626DC9">
      <w:pPr>
        <w:spacing w:after="0"/>
        <w:rPr>
          <w:rFonts w:asciiTheme="majorHAnsi" w:hAnsiTheme="majorHAnsi"/>
          <w:szCs w:val="18"/>
        </w:rPr>
      </w:pPr>
    </w:p>
    <w:p w:rsidRPr="00626DC9" w:rsidR="00626DC9" w:rsidP="00626DC9" w:rsidRDefault="00626DC9">
      <w:pPr>
        <w:spacing w:after="0"/>
        <w:rPr>
          <w:rFonts w:asciiTheme="majorHAnsi" w:hAnsiTheme="majorHAnsi"/>
          <w:i/>
          <w:szCs w:val="18"/>
        </w:rPr>
      </w:pPr>
      <w:r w:rsidRPr="00626DC9">
        <w:rPr>
          <w:rFonts w:asciiTheme="majorHAnsi" w:hAnsiTheme="majorHAnsi"/>
          <w:i/>
          <w:szCs w:val="18"/>
        </w:rPr>
        <w:t>Diversen – beleidsmatige mutaties</w:t>
      </w:r>
      <w:r>
        <w:rPr>
          <w:rFonts w:asciiTheme="majorHAnsi" w:hAnsiTheme="majorHAnsi"/>
          <w:i/>
          <w:szCs w:val="18"/>
        </w:rPr>
        <w:t>,</w:t>
      </w:r>
      <w:r w:rsidRPr="00626DC9">
        <w:rPr>
          <w:rFonts w:asciiTheme="majorHAnsi" w:hAnsiTheme="majorHAnsi"/>
          <w:i/>
          <w:szCs w:val="18"/>
        </w:rPr>
        <w:t xml:space="preserve"> uitgaven</w:t>
      </w:r>
    </w:p>
    <w:p w:rsidRPr="00626DC9" w:rsidR="00626DC9" w:rsidP="00626DC9" w:rsidRDefault="00626DC9">
      <w:pPr>
        <w:spacing w:after="0"/>
        <w:rPr>
          <w:rFonts w:asciiTheme="majorHAnsi" w:hAnsiTheme="majorHAnsi"/>
          <w:szCs w:val="18"/>
        </w:rPr>
      </w:pPr>
      <w:r w:rsidRPr="00626DC9">
        <w:rPr>
          <w:rFonts w:asciiTheme="majorHAnsi" w:hAnsiTheme="majorHAnsi"/>
          <w:szCs w:val="18"/>
        </w:rPr>
        <w:t>Dit betreft de eindejaarsmarge</w:t>
      </w:r>
      <w:r>
        <w:rPr>
          <w:rFonts w:asciiTheme="majorHAnsi" w:hAnsiTheme="majorHAnsi"/>
          <w:szCs w:val="18"/>
        </w:rPr>
        <w:t xml:space="preserve"> uit 2018</w:t>
      </w:r>
      <w:r w:rsidRPr="00626DC9">
        <w:rPr>
          <w:rFonts w:asciiTheme="majorHAnsi" w:hAnsiTheme="majorHAnsi"/>
          <w:szCs w:val="18"/>
        </w:rPr>
        <w:t xml:space="preserve"> die aan de begroting van AZ wordt toegevoegd.</w:t>
      </w:r>
    </w:p>
    <w:p w:rsidRPr="00626DC9" w:rsidR="00626DC9" w:rsidP="00626DC9" w:rsidRDefault="00626DC9">
      <w:pPr>
        <w:spacing w:after="0"/>
        <w:rPr>
          <w:rFonts w:asciiTheme="majorHAnsi" w:hAnsiTheme="majorHAnsi"/>
          <w:szCs w:val="18"/>
        </w:rPr>
      </w:pPr>
    </w:p>
    <w:p w:rsidRPr="00626DC9" w:rsidR="00626DC9" w:rsidP="00626DC9" w:rsidRDefault="00626DC9">
      <w:pPr>
        <w:spacing w:after="0"/>
        <w:rPr>
          <w:rFonts w:asciiTheme="majorHAnsi" w:hAnsiTheme="majorHAnsi"/>
          <w:i/>
          <w:szCs w:val="18"/>
        </w:rPr>
      </w:pPr>
      <w:r w:rsidRPr="00626DC9">
        <w:rPr>
          <w:rFonts w:asciiTheme="majorHAnsi" w:hAnsiTheme="majorHAnsi"/>
          <w:i/>
          <w:szCs w:val="18"/>
        </w:rPr>
        <w:t>Diversen – technische mutaties</w:t>
      </w:r>
      <w:r>
        <w:rPr>
          <w:rFonts w:asciiTheme="majorHAnsi" w:hAnsiTheme="majorHAnsi"/>
          <w:i/>
          <w:szCs w:val="18"/>
        </w:rPr>
        <w:t>,</w:t>
      </w:r>
      <w:r w:rsidRPr="00626DC9">
        <w:rPr>
          <w:rFonts w:asciiTheme="majorHAnsi" w:hAnsiTheme="majorHAnsi"/>
          <w:i/>
          <w:szCs w:val="18"/>
        </w:rPr>
        <w:t xml:space="preserve"> uitgaven</w:t>
      </w:r>
    </w:p>
    <w:p w:rsidR="00403FED" w:rsidP="00626DC9" w:rsidRDefault="00626DC9">
      <w:pPr>
        <w:spacing w:after="0"/>
        <w:rPr>
          <w:rFonts w:asciiTheme="majorHAnsi" w:hAnsiTheme="majorHAnsi"/>
          <w:b/>
          <w:szCs w:val="18"/>
        </w:rPr>
      </w:pPr>
      <w:r w:rsidRPr="00626DC9">
        <w:rPr>
          <w:rFonts w:asciiTheme="majorHAnsi" w:hAnsiTheme="majorHAnsi"/>
          <w:szCs w:val="18"/>
        </w:rPr>
        <w:t>Dit betreft</w:t>
      </w:r>
      <w:r>
        <w:rPr>
          <w:rFonts w:asciiTheme="majorHAnsi" w:hAnsiTheme="majorHAnsi"/>
          <w:szCs w:val="18"/>
        </w:rPr>
        <w:t xml:space="preserve"> tranche 2019 van</w:t>
      </w:r>
      <w:r w:rsidRPr="00626DC9">
        <w:rPr>
          <w:rFonts w:asciiTheme="majorHAnsi" w:hAnsiTheme="majorHAnsi"/>
          <w:szCs w:val="18"/>
        </w:rPr>
        <w:t xml:space="preserve"> de loon- en prijsbijstelling</w:t>
      </w:r>
      <w:r>
        <w:rPr>
          <w:rFonts w:asciiTheme="majorHAnsi" w:hAnsiTheme="majorHAnsi"/>
          <w:szCs w:val="18"/>
        </w:rPr>
        <w:t xml:space="preserve"> </w:t>
      </w:r>
      <w:r w:rsidRPr="00626DC9">
        <w:rPr>
          <w:rFonts w:asciiTheme="majorHAnsi" w:hAnsiTheme="majorHAnsi"/>
          <w:szCs w:val="18"/>
        </w:rPr>
        <w:t xml:space="preserve">die </w:t>
      </w:r>
      <w:r>
        <w:rPr>
          <w:rFonts w:asciiTheme="majorHAnsi" w:hAnsiTheme="majorHAnsi"/>
          <w:szCs w:val="18"/>
        </w:rPr>
        <w:t>wordt</w:t>
      </w:r>
      <w:r w:rsidRPr="00626DC9">
        <w:rPr>
          <w:rFonts w:asciiTheme="majorHAnsi" w:hAnsiTheme="majorHAnsi"/>
          <w:szCs w:val="18"/>
        </w:rPr>
        <w:t xml:space="preserve"> overgeboekt naar de begroting</w:t>
      </w:r>
      <w:r>
        <w:rPr>
          <w:rFonts w:asciiTheme="majorHAnsi" w:hAnsiTheme="majorHAnsi"/>
          <w:szCs w:val="18"/>
        </w:rPr>
        <w:t xml:space="preserve"> van AZ.</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04169E" w:rsidR="0004169E" w:rsidTr="0004169E">
        <w:trPr>
          <w:trHeight w:val="225"/>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b/>
                <w:bCs/>
                <w:color w:val="000000"/>
                <w:szCs w:val="18"/>
                <w:lang w:eastAsia="nl-NL"/>
              </w:rPr>
            </w:pPr>
            <w:r w:rsidRPr="0004169E">
              <w:rPr>
                <w:rFonts w:eastAsia="Times New Roman" w:cs="Times New Roman"/>
                <w:b/>
                <w:bCs/>
                <w:color w:val="000000"/>
                <w:szCs w:val="18"/>
                <w:lang w:eastAsia="nl-NL"/>
              </w:rPr>
              <w:lastRenderedPageBreak/>
              <w:t>Koninkrijksrelaties</w:t>
            </w: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IV KONINKRIJKSRELATIES: UITGAVEN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108,8</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104,6</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103,2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90,4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90,4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Wederopbouw</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28,0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Wisselkoersreserve</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4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35,7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 xml:space="preserve">Overbruggingskrediet luchthaven </w:t>
            </w:r>
            <w:proofErr w:type="spellStart"/>
            <w:r w:rsidRPr="0004169E">
              <w:rPr>
                <w:rFonts w:eastAsia="Times New Roman" w:cs="Times New Roman"/>
                <w:color w:val="000000"/>
                <w:szCs w:val="18"/>
                <w:lang w:eastAsia="nl-NL"/>
              </w:rPr>
              <w:t>sxm</w:t>
            </w:r>
            <w:proofErr w:type="spellEnd"/>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13,2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6,1</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45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 xml:space="preserve">Lening lopende inschrijving </w:t>
            </w:r>
            <w:proofErr w:type="spellStart"/>
            <w:r w:rsidRPr="0004169E">
              <w:rPr>
                <w:rFonts w:eastAsia="Times New Roman" w:cs="Times New Roman"/>
                <w:color w:val="000000"/>
                <w:szCs w:val="18"/>
                <w:lang w:eastAsia="nl-NL"/>
              </w:rPr>
              <w:t>curacao</w:t>
            </w:r>
            <w:proofErr w:type="spellEnd"/>
            <w:r w:rsidRPr="0004169E">
              <w:rPr>
                <w:rFonts w:eastAsia="Times New Roman" w:cs="Times New Roman"/>
                <w:color w:val="000000"/>
                <w:szCs w:val="18"/>
                <w:lang w:eastAsia="nl-NL"/>
              </w:rPr>
              <w:t xml:space="preserve"> 2019-2049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34,2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54,9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90,6</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199,4</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109,0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107,3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94,3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94,3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199,4</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109,0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107,3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94,3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94,3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IV KONINKRIJKSRELATIES: NIET-BELASTINGONTVANGSTEN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38,3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31,9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30,5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30,4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30,4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4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31,9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30,5</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30,4</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30,4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4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31,9</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30,5</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30,4</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30,4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743C03" w:rsidR="00DA57DB" w:rsidP="00DA57DB" w:rsidRDefault="00DA57DB">
      <w:pPr>
        <w:spacing w:after="0"/>
        <w:rPr>
          <w:rFonts w:eastAsia="Times New Roman"/>
          <w:i/>
          <w:szCs w:val="18"/>
        </w:rPr>
      </w:pPr>
      <w:r w:rsidRPr="00743C03">
        <w:rPr>
          <w:rFonts w:eastAsia="Times New Roman"/>
          <w:i/>
          <w:szCs w:val="18"/>
        </w:rPr>
        <w:t>Wederopbouw Sint Maarten</w:t>
      </w:r>
    </w:p>
    <w:p w:rsidRPr="00743C03" w:rsidR="00DA57DB" w:rsidP="00DA57DB" w:rsidRDefault="00DA57DB">
      <w:pPr>
        <w:spacing w:after="0"/>
        <w:rPr>
          <w:rFonts w:eastAsia="Times New Roman"/>
          <w:szCs w:val="18"/>
        </w:rPr>
      </w:pPr>
      <w:r w:rsidRPr="00743C03">
        <w:rPr>
          <w:rFonts w:eastAsia="Times New Roman"/>
          <w:szCs w:val="18"/>
        </w:rPr>
        <w:t xml:space="preserve">De middelen voor wederopbouw op Sint Maarten die in 2018 niet tot besteding zijn gekomen, worden buiten de eindejaarsmarge om aan de begroting </w:t>
      </w:r>
      <w:r w:rsidR="000118D7">
        <w:rPr>
          <w:rFonts w:eastAsia="Times New Roman"/>
          <w:szCs w:val="18"/>
        </w:rPr>
        <w:t xml:space="preserve">2019 </w:t>
      </w:r>
      <w:r w:rsidRPr="00743C03">
        <w:rPr>
          <w:rFonts w:eastAsia="Times New Roman"/>
          <w:szCs w:val="18"/>
        </w:rPr>
        <w:t>van Koninkrijksrelaties toegevoegd.</w:t>
      </w:r>
    </w:p>
    <w:p w:rsidRPr="00743C03" w:rsidR="00DA57DB" w:rsidP="00DA57DB" w:rsidRDefault="00DA57DB">
      <w:pPr>
        <w:spacing w:after="0"/>
        <w:rPr>
          <w:rFonts w:eastAsia="Times New Roman"/>
          <w:szCs w:val="18"/>
        </w:rPr>
      </w:pPr>
    </w:p>
    <w:p w:rsidRPr="00743C03" w:rsidR="00DA57DB" w:rsidP="00DA57DB" w:rsidRDefault="00DA57DB">
      <w:pPr>
        <w:spacing w:after="0"/>
        <w:rPr>
          <w:rFonts w:eastAsia="Times New Roman"/>
          <w:i/>
          <w:szCs w:val="18"/>
        </w:rPr>
      </w:pPr>
      <w:r w:rsidRPr="00743C03">
        <w:rPr>
          <w:rFonts w:eastAsia="Times New Roman"/>
          <w:i/>
          <w:szCs w:val="18"/>
        </w:rPr>
        <w:t>Wisselkoersreserve</w:t>
      </w:r>
    </w:p>
    <w:p w:rsidRPr="00743C03" w:rsidR="00DA57DB" w:rsidP="00DA57DB" w:rsidRDefault="00DA57DB">
      <w:pPr>
        <w:spacing w:after="0"/>
        <w:rPr>
          <w:rFonts w:eastAsia="Times New Roman"/>
          <w:szCs w:val="18"/>
        </w:rPr>
      </w:pPr>
      <w:r w:rsidRPr="00743C03">
        <w:rPr>
          <w:rFonts w:eastAsia="Times New Roman"/>
          <w:szCs w:val="18"/>
        </w:rPr>
        <w:t xml:space="preserve">Het saldo van de wisselkoersreserve eind 2018 wordt buiten de eindejaarsmarge toegevoegd aan de begroting </w:t>
      </w:r>
      <w:r w:rsidR="000118D7">
        <w:rPr>
          <w:rFonts w:eastAsia="Times New Roman"/>
          <w:szCs w:val="18"/>
        </w:rPr>
        <w:t xml:space="preserve">2019 </w:t>
      </w:r>
      <w:r w:rsidRPr="00743C03">
        <w:rPr>
          <w:rFonts w:eastAsia="Times New Roman"/>
          <w:szCs w:val="18"/>
        </w:rPr>
        <w:t>van Koninkrijksrelaties.</w:t>
      </w:r>
    </w:p>
    <w:p w:rsidRPr="00743C03" w:rsidR="00DA57DB" w:rsidP="00DA57DB" w:rsidRDefault="00DA57DB">
      <w:pPr>
        <w:spacing w:after="0"/>
        <w:rPr>
          <w:rFonts w:eastAsia="Times New Roman"/>
          <w:szCs w:val="18"/>
        </w:rPr>
      </w:pPr>
    </w:p>
    <w:p w:rsidRPr="00743C03" w:rsidR="00DA57DB" w:rsidP="00DA57DB" w:rsidRDefault="00DA57DB">
      <w:pPr>
        <w:spacing w:after="0"/>
        <w:rPr>
          <w:rFonts w:eastAsia="Times New Roman"/>
          <w:i/>
          <w:szCs w:val="18"/>
        </w:rPr>
      </w:pPr>
      <w:r>
        <w:rPr>
          <w:rFonts w:eastAsia="Times New Roman"/>
          <w:i/>
          <w:szCs w:val="18"/>
        </w:rPr>
        <w:t xml:space="preserve">Diversen - </w:t>
      </w:r>
      <w:r w:rsidRPr="00743C03">
        <w:rPr>
          <w:rFonts w:eastAsia="Times New Roman"/>
          <w:i/>
          <w:szCs w:val="18"/>
        </w:rPr>
        <w:t>beleidsmatige mutaties</w:t>
      </w:r>
      <w:r>
        <w:rPr>
          <w:rFonts w:eastAsia="Times New Roman"/>
          <w:i/>
          <w:szCs w:val="18"/>
        </w:rPr>
        <w:t xml:space="preserve">, </w:t>
      </w:r>
      <w:r w:rsidRPr="00743C03">
        <w:rPr>
          <w:rFonts w:eastAsia="Times New Roman"/>
          <w:i/>
          <w:szCs w:val="18"/>
        </w:rPr>
        <w:t>uitgaven</w:t>
      </w:r>
    </w:p>
    <w:p w:rsidRPr="00743C03" w:rsidR="00DA57DB" w:rsidP="00DA57DB" w:rsidRDefault="00DA57DB">
      <w:pPr>
        <w:spacing w:after="0"/>
        <w:rPr>
          <w:rFonts w:eastAsia="Times New Roman"/>
          <w:szCs w:val="18"/>
        </w:rPr>
      </w:pPr>
      <w:r w:rsidRPr="00743C03">
        <w:rPr>
          <w:rFonts w:eastAsia="Times New Roman"/>
          <w:szCs w:val="18"/>
        </w:rPr>
        <w:t xml:space="preserve">Met een kasschuif worden middelen voor de Integriteitskamer in 2019 doorgeschoven naar 2020. </w:t>
      </w:r>
      <w:r w:rsidR="000118D7">
        <w:rPr>
          <w:rFonts w:eastAsia="Times New Roman"/>
          <w:szCs w:val="18"/>
        </w:rPr>
        <w:t xml:space="preserve">Daarnaast worden als gevolg van de huidige wisselkoers van de dollar ten opzichte van de euro de budgetten 2019 geactualiseerd. </w:t>
      </w:r>
      <w:r w:rsidRPr="00743C03">
        <w:rPr>
          <w:rFonts w:eastAsia="Times New Roman"/>
          <w:szCs w:val="18"/>
        </w:rPr>
        <w:t>Tot slot wordt de eindejaarsmarge toegevoegd aan de begroting van Koninkrijksrelaties.</w:t>
      </w:r>
    </w:p>
    <w:p w:rsidRPr="00743C03" w:rsidR="00DA57DB" w:rsidP="00DA57DB" w:rsidRDefault="00DA57DB">
      <w:pPr>
        <w:spacing w:after="0"/>
        <w:rPr>
          <w:rFonts w:eastAsia="Times New Roman"/>
          <w:szCs w:val="18"/>
        </w:rPr>
      </w:pPr>
    </w:p>
    <w:p w:rsidRPr="00743C03" w:rsidR="00DA57DB" w:rsidP="00DA57DB" w:rsidRDefault="00DA57DB">
      <w:pPr>
        <w:spacing w:after="0"/>
        <w:rPr>
          <w:rFonts w:eastAsia="Times New Roman"/>
          <w:i/>
          <w:szCs w:val="18"/>
        </w:rPr>
      </w:pPr>
      <w:r w:rsidRPr="00743C03">
        <w:rPr>
          <w:rFonts w:eastAsia="Times New Roman"/>
          <w:i/>
          <w:szCs w:val="18"/>
        </w:rPr>
        <w:t>Overbruggingskrediet luchthaven SXM</w:t>
      </w:r>
    </w:p>
    <w:p w:rsidRPr="00743C03" w:rsidR="00DA57DB" w:rsidP="00DA57DB" w:rsidRDefault="00DA57DB">
      <w:pPr>
        <w:spacing w:after="0"/>
        <w:rPr>
          <w:rFonts w:eastAsia="Times New Roman"/>
          <w:szCs w:val="18"/>
        </w:rPr>
      </w:pPr>
      <w:r w:rsidRPr="00743C03">
        <w:rPr>
          <w:rFonts w:eastAsia="Times New Roman"/>
          <w:szCs w:val="18"/>
        </w:rPr>
        <w:t xml:space="preserve">Vanuit de wederopbouwmiddelen voor Sint Maarten die gereserveerd staan op de Aanvullende Post wordt een gedeelte overgeboekt naar de begroting van Koninkrijksrelaties om het overbruggingskrediet </w:t>
      </w:r>
      <w:r>
        <w:rPr>
          <w:rFonts w:eastAsia="Times New Roman"/>
          <w:szCs w:val="18"/>
        </w:rPr>
        <w:t>(13,3</w:t>
      </w:r>
      <w:r w:rsidRPr="00743C03">
        <w:rPr>
          <w:rFonts w:eastAsia="Times New Roman"/>
          <w:szCs w:val="18"/>
        </w:rPr>
        <w:t xml:space="preserve"> mln.) voor de luchthaven op Sint Maarten te financieren. In het wederopbouwfonds bij de Wereldbank zijn reeds middelen gereserveerd voor de luchthaven. Wanneer deze worden vrijgegeven zal een verrekening plaats vinden met het overbruggingskrediet.</w:t>
      </w:r>
    </w:p>
    <w:p w:rsidRPr="00743C03" w:rsidR="00DA57DB" w:rsidP="00DA57DB" w:rsidRDefault="00DA57DB">
      <w:pPr>
        <w:spacing w:after="0"/>
        <w:rPr>
          <w:rFonts w:eastAsia="Times New Roman"/>
          <w:i/>
          <w:szCs w:val="18"/>
        </w:rPr>
      </w:pPr>
    </w:p>
    <w:p w:rsidRPr="00743C03" w:rsidR="00DA57DB" w:rsidP="00DA57DB" w:rsidRDefault="00DA57DB">
      <w:pPr>
        <w:spacing w:after="0"/>
        <w:rPr>
          <w:rFonts w:eastAsia="Times New Roman"/>
          <w:i/>
          <w:szCs w:val="18"/>
        </w:rPr>
      </w:pPr>
      <w:r>
        <w:rPr>
          <w:rFonts w:eastAsia="Times New Roman"/>
          <w:i/>
          <w:szCs w:val="18"/>
        </w:rPr>
        <w:t xml:space="preserve">Diversen - </w:t>
      </w:r>
      <w:r w:rsidRPr="00743C03">
        <w:rPr>
          <w:rFonts w:eastAsia="Times New Roman"/>
          <w:i/>
          <w:szCs w:val="18"/>
        </w:rPr>
        <w:t>technische mutaties</w:t>
      </w:r>
      <w:r>
        <w:rPr>
          <w:rFonts w:eastAsia="Times New Roman"/>
          <w:i/>
          <w:szCs w:val="18"/>
        </w:rPr>
        <w:t xml:space="preserve">, </w:t>
      </w:r>
      <w:r w:rsidRPr="00743C03">
        <w:rPr>
          <w:rFonts w:eastAsia="Times New Roman"/>
          <w:i/>
          <w:szCs w:val="18"/>
        </w:rPr>
        <w:t>uitgaven</w:t>
      </w:r>
    </w:p>
    <w:p w:rsidRPr="00743C03" w:rsidR="00DA57DB" w:rsidP="00DA57DB" w:rsidRDefault="00DA57DB">
      <w:pPr>
        <w:spacing w:after="0"/>
        <w:rPr>
          <w:rFonts w:eastAsia="Times New Roman"/>
          <w:szCs w:val="18"/>
          <w:highlight w:val="yellow"/>
        </w:rPr>
      </w:pPr>
      <w:r>
        <w:rPr>
          <w:rFonts w:eastAsia="Times New Roman"/>
          <w:szCs w:val="18"/>
        </w:rPr>
        <w:t xml:space="preserve">Vanaf de begroting van BZK worden middelen overgeboekt voor de informatiebeveiliging van Rijksdienst Caribisch Nederland (RCN) (2,5 mln.) en voor technische ondersteuning vanuit Nederland bij </w:t>
      </w:r>
      <w:proofErr w:type="spellStart"/>
      <w:r>
        <w:rPr>
          <w:rFonts w:eastAsia="Times New Roman"/>
          <w:szCs w:val="18"/>
        </w:rPr>
        <w:t>bestuursontwikkeling</w:t>
      </w:r>
      <w:proofErr w:type="spellEnd"/>
      <w:r>
        <w:rPr>
          <w:rFonts w:eastAsia="Times New Roman"/>
          <w:szCs w:val="18"/>
        </w:rPr>
        <w:t xml:space="preserve"> (1,5 mln.). Verder vindt structurele overboeking van de jaarlijkse departementale bijdrage aan SSO-CN plaats. Tevens wordt d</w:t>
      </w:r>
      <w:r w:rsidRPr="00743C03">
        <w:rPr>
          <w:rFonts w:eastAsia="Times New Roman"/>
          <w:szCs w:val="18"/>
        </w:rPr>
        <w:t>e loon- en prijsbijstelling toegevoegd aan de begroting van</w:t>
      </w:r>
      <w:r>
        <w:rPr>
          <w:rFonts w:eastAsia="Times New Roman"/>
          <w:szCs w:val="18"/>
        </w:rPr>
        <w:t xml:space="preserve"> Koninkrijksrelaties en </w:t>
      </w:r>
      <w:r w:rsidRPr="00743C03">
        <w:rPr>
          <w:rFonts w:eastAsia="Times New Roman"/>
          <w:szCs w:val="18"/>
        </w:rPr>
        <w:t>de compensatie voor wisselkoerseffecten in 2019 geactualiseerd.</w:t>
      </w:r>
    </w:p>
    <w:p w:rsidRPr="00743C03" w:rsidR="00DA57DB" w:rsidP="00DA57DB" w:rsidRDefault="00DA57DB">
      <w:pPr>
        <w:spacing w:after="0"/>
        <w:rPr>
          <w:rFonts w:eastAsia="Times New Roman"/>
          <w:i/>
          <w:szCs w:val="18"/>
        </w:rPr>
      </w:pPr>
    </w:p>
    <w:p w:rsidRPr="00743C03" w:rsidR="00DA57DB" w:rsidP="00DA57DB" w:rsidRDefault="00DA57DB">
      <w:pPr>
        <w:spacing w:after="0"/>
        <w:rPr>
          <w:rFonts w:eastAsia="Times New Roman"/>
          <w:i/>
          <w:szCs w:val="18"/>
        </w:rPr>
      </w:pPr>
      <w:r w:rsidRPr="00743C03">
        <w:rPr>
          <w:rFonts w:eastAsia="Times New Roman"/>
          <w:i/>
          <w:szCs w:val="18"/>
        </w:rPr>
        <w:t>Lening lopende inschrijving Curaçao 2019-2049</w:t>
      </w:r>
    </w:p>
    <w:p w:rsidRPr="00743C03" w:rsidR="00DA57DB" w:rsidP="00DA57DB" w:rsidRDefault="00DA57DB">
      <w:pPr>
        <w:spacing w:after="0"/>
        <w:rPr>
          <w:rFonts w:eastAsia="Times New Roman"/>
          <w:szCs w:val="18"/>
        </w:rPr>
      </w:pPr>
      <w:r w:rsidRPr="00743C03">
        <w:rPr>
          <w:rFonts w:eastAsia="Times New Roman"/>
          <w:szCs w:val="18"/>
        </w:rPr>
        <w:t>Er wordt een nieuwe lening middels lopende inschrijving verstrekt aan Curaçao voor de periode 2019-2049.</w:t>
      </w:r>
    </w:p>
    <w:p w:rsidR="00DA57DB" w:rsidP="00DA57DB" w:rsidRDefault="00DA57DB">
      <w:pPr>
        <w:spacing w:after="0"/>
        <w:rPr>
          <w:rFonts w:eastAsia="Times New Roman"/>
          <w:i/>
          <w:szCs w:val="18"/>
        </w:rPr>
      </w:pPr>
    </w:p>
    <w:p w:rsidRPr="00743C03" w:rsidR="00DA57DB" w:rsidP="00DA57DB" w:rsidRDefault="00DA57DB">
      <w:pPr>
        <w:spacing w:after="0"/>
        <w:rPr>
          <w:rFonts w:eastAsia="Times New Roman"/>
          <w:i/>
          <w:szCs w:val="18"/>
        </w:rPr>
      </w:pPr>
      <w:r w:rsidRPr="00743C03">
        <w:rPr>
          <w:rFonts w:eastAsia="Times New Roman"/>
          <w:i/>
          <w:szCs w:val="18"/>
        </w:rPr>
        <w:t xml:space="preserve">Diversen </w:t>
      </w:r>
      <w:r>
        <w:rPr>
          <w:rFonts w:eastAsia="Times New Roman"/>
          <w:i/>
          <w:szCs w:val="18"/>
        </w:rPr>
        <w:t xml:space="preserve">- </w:t>
      </w:r>
      <w:r w:rsidRPr="00743C03">
        <w:rPr>
          <w:rFonts w:eastAsia="Times New Roman"/>
          <w:i/>
          <w:szCs w:val="18"/>
        </w:rPr>
        <w:t>technische mutaties</w:t>
      </w:r>
      <w:r>
        <w:rPr>
          <w:rFonts w:eastAsia="Times New Roman"/>
          <w:i/>
          <w:szCs w:val="18"/>
        </w:rPr>
        <w:t>, niet-belastingontvangsten</w:t>
      </w:r>
    </w:p>
    <w:p w:rsidR="00DA57DB" w:rsidP="001D695D" w:rsidRDefault="000118D7">
      <w:pPr>
        <w:spacing w:after="0"/>
        <w:rPr>
          <w:rFonts w:asciiTheme="majorHAnsi" w:hAnsiTheme="majorHAnsi"/>
          <w:b/>
          <w:szCs w:val="18"/>
        </w:rPr>
      </w:pPr>
      <w:r>
        <w:rPr>
          <w:rFonts w:eastAsia="Times New Roman"/>
          <w:szCs w:val="18"/>
        </w:rPr>
        <w:t>Als gevolg van de huidige wisselkoers van de dollar ten opzichte van de euro worden de budgetten 2019 geactualiseerd</w:t>
      </w:r>
      <w:r w:rsidRPr="00743C03" w:rsidDel="000118D7">
        <w:rPr>
          <w:rFonts w:eastAsia="Times New Roman"/>
          <w:szCs w:val="18"/>
          <w:highlight w:val="yellow"/>
        </w:rPr>
        <w:t xml:space="preserve"> </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b/>
                <w:bCs/>
                <w:color w:val="000000"/>
                <w:szCs w:val="18"/>
                <w:lang w:eastAsia="nl-NL"/>
              </w:rPr>
            </w:pPr>
            <w:r w:rsidRPr="0004169E">
              <w:rPr>
                <w:rFonts w:eastAsia="Times New Roman" w:cs="Times New Roman"/>
                <w:b/>
                <w:bCs/>
                <w:color w:val="000000"/>
                <w:szCs w:val="18"/>
                <w:lang w:eastAsia="nl-NL"/>
              </w:rPr>
              <w:lastRenderedPageBreak/>
              <w:t>Buitenlandse Zaken</w:t>
            </w: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V BUITENLANDSE ZAKEN: UITGAVEN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8.496,4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9.546,0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9.250,0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9.508,3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9.790,9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 xml:space="preserve">Bijstelling n.a.v. </w:t>
            </w:r>
            <w:proofErr w:type="spellStart"/>
            <w:r w:rsidRPr="0004169E">
              <w:rPr>
                <w:rFonts w:eastAsia="Times New Roman" w:cs="Times New Roman"/>
                <w:color w:val="000000"/>
                <w:szCs w:val="18"/>
                <w:lang w:eastAsia="nl-NL"/>
              </w:rPr>
              <w:t>eu</w:t>
            </w:r>
            <w:proofErr w:type="spellEnd"/>
            <w:r w:rsidRPr="0004169E">
              <w:rPr>
                <w:rFonts w:eastAsia="Times New Roman" w:cs="Times New Roman"/>
                <w:color w:val="000000"/>
                <w:szCs w:val="18"/>
                <w:lang w:eastAsia="nl-NL"/>
              </w:rPr>
              <w:t>-begroting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-17,2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 xml:space="preserve">Dab 1: surplus </w:t>
            </w:r>
            <w:proofErr w:type="spellStart"/>
            <w:r w:rsidRPr="0004169E">
              <w:rPr>
                <w:rFonts w:eastAsia="Times New Roman" w:cs="Times New Roman"/>
                <w:color w:val="000000"/>
                <w:szCs w:val="18"/>
                <w:lang w:eastAsia="nl-NL"/>
              </w:rPr>
              <w:t>eu</w:t>
            </w:r>
            <w:proofErr w:type="spellEnd"/>
            <w:r w:rsidRPr="0004169E">
              <w:rPr>
                <w:rFonts w:eastAsia="Times New Roman" w:cs="Times New Roman"/>
                <w:color w:val="000000"/>
                <w:szCs w:val="18"/>
                <w:lang w:eastAsia="nl-NL"/>
              </w:rPr>
              <w:t>-begroting 2018</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-88,0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Inzet reservering voor nacalculatie</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-318,5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-423,7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46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Overboeking reservering voor nacalculatie</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318,5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318,5</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-105,2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8.391,2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9.546,0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9.250,0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9.508,3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9.790,9</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1.558,0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1.520,7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1.533,3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1.562,4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1.601,5</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9.949,2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11.066,7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10.783,2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11.070,7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11.392,4</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40"/>
        </w:trPr>
        <w:tc>
          <w:tcPr>
            <w:tcW w:w="10860" w:type="dxa"/>
            <w:gridSpan w:val="7"/>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V BUITENLANDSE ZAKEN: NIET-BELASTINGONTVANGSTEN</w:t>
            </w:r>
          </w:p>
        </w:tc>
      </w:tr>
      <w:tr w:rsidRPr="0004169E" w:rsidR="0004169E" w:rsidTr="0004169E">
        <w:trPr>
          <w:trHeight w:val="315"/>
        </w:trPr>
        <w:tc>
          <w:tcPr>
            <w:tcW w:w="43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383,7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671,7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685,2</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696,7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712,8</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r w:rsidRPr="0004169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Nacalculatie incl. bronnenrevisie</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-318,5</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ind w:firstLine="360" w:firstLineChars="200"/>
              <w:rPr>
                <w:rFonts w:eastAsia="Times New Roman" w:cs="Times New Roman"/>
                <w:color w:val="000000"/>
                <w:szCs w:val="18"/>
                <w:lang w:eastAsia="nl-NL"/>
              </w:rPr>
            </w:pPr>
            <w:r w:rsidRPr="0004169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-12,9</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-331,4</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ascii="Times New Roman" w:hAnsi="Times New Roman" w:eastAsia="Times New Roman" w:cs="Times New Roman"/>
                <w:sz w:val="20"/>
                <w:szCs w:val="20"/>
                <w:lang w:eastAsia="nl-NL"/>
              </w:rPr>
            </w:pPr>
          </w:p>
        </w:tc>
      </w:tr>
      <w:tr w:rsidRPr="0004169E" w:rsidR="0004169E" w:rsidTr="0004169E">
        <w:trPr>
          <w:trHeight w:val="30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-331,4</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31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rPr>
                <w:rFonts w:ascii="Times New Roman" w:hAnsi="Times New Roman" w:eastAsia="Times New Roman" w:cs="Times New Roman"/>
                <w:sz w:val="20"/>
                <w:szCs w:val="20"/>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52,3</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671,7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685,2</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696,7</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712,8</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40"/>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99,7</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93,3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78,3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78,3</w:t>
            </w:r>
          </w:p>
        </w:tc>
        <w:tc>
          <w:tcPr>
            <w:tcW w:w="106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78,3</w:t>
            </w:r>
          </w:p>
        </w:tc>
        <w:tc>
          <w:tcPr>
            <w:tcW w:w="1080" w:type="dxa"/>
            <w:tcBorders>
              <w:top w:val="nil"/>
              <w:left w:val="nil"/>
              <w:bottom w:val="nil"/>
              <w:right w:val="nil"/>
            </w:tcBorders>
            <w:shd w:val="clear" w:color="auto" w:fill="auto"/>
            <w:noWrap/>
            <w:vAlign w:val="bottom"/>
            <w:hideMark/>
          </w:tcPr>
          <w:p w:rsidRPr="0004169E" w:rsidR="0004169E" w:rsidP="0004169E" w:rsidRDefault="0004169E">
            <w:pPr>
              <w:spacing w:after="0" w:line="240" w:lineRule="auto"/>
              <w:jc w:val="right"/>
              <w:rPr>
                <w:rFonts w:eastAsia="Times New Roman" w:cs="Times New Roman"/>
                <w:color w:val="000000"/>
                <w:szCs w:val="18"/>
                <w:lang w:eastAsia="nl-NL"/>
              </w:rPr>
            </w:pPr>
          </w:p>
        </w:tc>
      </w:tr>
      <w:tr w:rsidRPr="0004169E" w:rsidR="0004169E" w:rsidTr="0004169E">
        <w:trPr>
          <w:trHeight w:val="225"/>
        </w:trPr>
        <w:tc>
          <w:tcPr>
            <w:tcW w:w="4360" w:type="dxa"/>
            <w:tcBorders>
              <w:top w:val="nil"/>
              <w:left w:val="nil"/>
              <w:bottom w:val="nil"/>
              <w:right w:val="nil"/>
            </w:tcBorders>
            <w:shd w:val="clear" w:color="auto" w:fill="auto"/>
            <w:hideMark/>
          </w:tcPr>
          <w:p w:rsidRPr="0004169E" w:rsidR="0004169E" w:rsidP="0004169E" w:rsidRDefault="0004169E">
            <w:pPr>
              <w:spacing w:after="0" w:line="240" w:lineRule="auto"/>
              <w:rPr>
                <w:rFonts w:eastAsia="Times New Roman" w:cs="Times New Roman"/>
                <w:color w:val="000000"/>
                <w:szCs w:val="18"/>
                <w:lang w:eastAsia="nl-NL"/>
              </w:rPr>
            </w:pPr>
            <w:r w:rsidRPr="0004169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152,0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765,0</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763,5</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775,1</w:t>
            </w:r>
          </w:p>
        </w:tc>
        <w:tc>
          <w:tcPr>
            <w:tcW w:w="1060" w:type="dxa"/>
            <w:tcBorders>
              <w:top w:val="single" w:color="000000" w:sz="8" w:space="0"/>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r w:rsidRPr="0004169E">
              <w:rPr>
                <w:rFonts w:eastAsia="Times New Roman" w:cs="Times New Roman"/>
                <w:color w:val="000000"/>
                <w:szCs w:val="18"/>
                <w:lang w:eastAsia="nl-NL"/>
              </w:rPr>
              <w:t>791,1</w:t>
            </w:r>
          </w:p>
        </w:tc>
        <w:tc>
          <w:tcPr>
            <w:tcW w:w="1080" w:type="dxa"/>
            <w:tcBorders>
              <w:top w:val="nil"/>
              <w:left w:val="nil"/>
              <w:bottom w:val="nil"/>
              <w:right w:val="nil"/>
            </w:tcBorders>
            <w:shd w:val="clear" w:color="auto" w:fill="auto"/>
            <w:hideMark/>
          </w:tcPr>
          <w:p w:rsidRPr="0004169E" w:rsidR="0004169E" w:rsidP="0004169E" w:rsidRDefault="0004169E">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00C32E3A" w:rsidP="00C32E3A" w:rsidRDefault="00C32E3A">
      <w:pPr>
        <w:spacing w:after="0"/>
        <w:rPr>
          <w:rFonts w:eastAsia="Times New Roman"/>
          <w:i/>
          <w:szCs w:val="18"/>
        </w:rPr>
      </w:pPr>
      <w:r>
        <w:rPr>
          <w:rFonts w:eastAsia="Times New Roman"/>
          <w:i/>
          <w:szCs w:val="18"/>
        </w:rPr>
        <w:t>Bijstelling n.a.v. EU</w:t>
      </w:r>
      <w:r w:rsidRPr="003A34FB">
        <w:rPr>
          <w:rFonts w:eastAsia="Times New Roman"/>
          <w:i/>
          <w:szCs w:val="18"/>
        </w:rPr>
        <w:t>-begroting 2019</w:t>
      </w:r>
    </w:p>
    <w:p w:rsidRPr="003A34FB" w:rsidR="00C32E3A" w:rsidP="00C32E3A" w:rsidRDefault="00C32E3A">
      <w:pPr>
        <w:spacing w:after="0"/>
        <w:rPr>
          <w:rFonts w:eastAsia="Times New Roman"/>
          <w:szCs w:val="18"/>
        </w:rPr>
      </w:pPr>
      <w:r>
        <w:rPr>
          <w:rFonts w:eastAsia="Times New Roman"/>
          <w:szCs w:val="18"/>
        </w:rPr>
        <w:t>De raming van de BNI-afdracht in 2019 wordt met 17 mln. neerwaarts bijgesteld omdat de raming van de overige inkomsten op de Europese begroting voor 2019 hoger uitvalt dan verwacht.</w:t>
      </w:r>
    </w:p>
    <w:p w:rsidR="00C32E3A" w:rsidP="00C32E3A" w:rsidRDefault="00C32E3A">
      <w:pPr>
        <w:spacing w:after="0"/>
        <w:rPr>
          <w:rFonts w:eastAsia="Times New Roman"/>
          <w:i/>
          <w:szCs w:val="18"/>
        </w:rPr>
      </w:pPr>
    </w:p>
    <w:p w:rsidRPr="00B04B53" w:rsidR="00C32E3A" w:rsidP="00C32E3A" w:rsidRDefault="00C32E3A">
      <w:pPr>
        <w:spacing w:after="0"/>
        <w:rPr>
          <w:rFonts w:eastAsia="Times New Roman"/>
          <w:i/>
          <w:szCs w:val="18"/>
        </w:rPr>
      </w:pPr>
      <w:r w:rsidRPr="00B04B53">
        <w:rPr>
          <w:rFonts w:eastAsia="Times New Roman"/>
          <w:i/>
          <w:szCs w:val="18"/>
        </w:rPr>
        <w:t xml:space="preserve">Dab 1: surplus </w:t>
      </w:r>
      <w:r>
        <w:rPr>
          <w:rFonts w:eastAsia="Times New Roman"/>
          <w:i/>
          <w:szCs w:val="18"/>
        </w:rPr>
        <w:t>EU</w:t>
      </w:r>
      <w:r w:rsidRPr="00B04B53">
        <w:rPr>
          <w:rFonts w:eastAsia="Times New Roman"/>
          <w:i/>
          <w:szCs w:val="18"/>
        </w:rPr>
        <w:t>-begroting 2018</w:t>
      </w:r>
    </w:p>
    <w:p w:rsidR="00C32E3A" w:rsidP="00C32E3A" w:rsidRDefault="00C32E3A">
      <w:pPr>
        <w:spacing w:after="0"/>
        <w:rPr>
          <w:rFonts w:eastAsia="Times New Roman"/>
          <w:szCs w:val="18"/>
        </w:rPr>
      </w:pPr>
      <w:r w:rsidRPr="00B04B53">
        <w:rPr>
          <w:rFonts w:eastAsia="Times New Roman"/>
          <w:szCs w:val="18"/>
        </w:rPr>
        <w:t xml:space="preserve">De </w:t>
      </w:r>
      <w:r>
        <w:rPr>
          <w:rFonts w:eastAsia="Times New Roman"/>
          <w:szCs w:val="18"/>
        </w:rPr>
        <w:t xml:space="preserve">Europese </w:t>
      </w:r>
      <w:r w:rsidRPr="00B04B53">
        <w:rPr>
          <w:rFonts w:eastAsia="Times New Roman"/>
          <w:szCs w:val="18"/>
        </w:rPr>
        <w:t xml:space="preserve">Commissie heeft in april </w:t>
      </w:r>
      <w:r>
        <w:rPr>
          <w:rFonts w:eastAsia="Times New Roman"/>
          <w:szCs w:val="18"/>
        </w:rPr>
        <w:t xml:space="preserve">2019 </w:t>
      </w:r>
      <w:r w:rsidRPr="00B04B53">
        <w:rPr>
          <w:rFonts w:eastAsia="Times New Roman"/>
          <w:szCs w:val="18"/>
        </w:rPr>
        <w:t>de eerste aanvullende begroting gepresenteerd met daarin het surplus voor de Europese begroting</w:t>
      </w:r>
      <w:r>
        <w:rPr>
          <w:rFonts w:eastAsia="Times New Roman"/>
          <w:szCs w:val="18"/>
        </w:rPr>
        <w:t xml:space="preserve"> over 2018.</w:t>
      </w:r>
      <w:r w:rsidRPr="00B04B53">
        <w:rPr>
          <w:rFonts w:eastAsia="Times New Roman"/>
          <w:szCs w:val="18"/>
        </w:rPr>
        <w:t xml:space="preserve"> Het surplus</w:t>
      </w:r>
      <w:r>
        <w:rPr>
          <w:rFonts w:eastAsia="Times New Roman"/>
          <w:szCs w:val="18"/>
        </w:rPr>
        <w:t xml:space="preserve"> valt in totaal uit op 1,8 mld., </w:t>
      </w:r>
      <w:r w:rsidRPr="00B04B53">
        <w:rPr>
          <w:rFonts w:eastAsia="Times New Roman"/>
          <w:szCs w:val="18"/>
        </w:rPr>
        <w:t xml:space="preserve">wat voor Nederland </w:t>
      </w:r>
      <w:r>
        <w:rPr>
          <w:rFonts w:eastAsia="Times New Roman"/>
          <w:szCs w:val="18"/>
        </w:rPr>
        <w:t xml:space="preserve">incidenteel </w:t>
      </w:r>
      <w:r w:rsidRPr="00B04B53">
        <w:rPr>
          <w:rFonts w:eastAsia="Times New Roman"/>
          <w:szCs w:val="18"/>
        </w:rPr>
        <w:t xml:space="preserve">een lagere BNI-afdracht van 88 mln. </w:t>
      </w:r>
      <w:r>
        <w:rPr>
          <w:rFonts w:eastAsia="Times New Roman"/>
          <w:szCs w:val="18"/>
        </w:rPr>
        <w:t xml:space="preserve">in 2019 </w:t>
      </w:r>
      <w:r w:rsidRPr="00B04B53">
        <w:rPr>
          <w:rFonts w:eastAsia="Times New Roman"/>
          <w:szCs w:val="18"/>
        </w:rPr>
        <w:t>als gevolg heeft.</w:t>
      </w:r>
    </w:p>
    <w:p w:rsidR="00C32E3A" w:rsidP="00C32E3A" w:rsidRDefault="00C32E3A">
      <w:pPr>
        <w:spacing w:after="0"/>
        <w:rPr>
          <w:rFonts w:eastAsia="Times New Roman"/>
          <w:szCs w:val="18"/>
        </w:rPr>
      </w:pPr>
    </w:p>
    <w:p w:rsidR="00C32E3A" w:rsidP="00C32E3A" w:rsidRDefault="00C32E3A">
      <w:pPr>
        <w:spacing w:after="0"/>
        <w:rPr>
          <w:rFonts w:eastAsia="Times New Roman"/>
          <w:i/>
          <w:szCs w:val="18"/>
        </w:rPr>
      </w:pPr>
      <w:r w:rsidRPr="00B04B53">
        <w:rPr>
          <w:rFonts w:eastAsia="Times New Roman"/>
          <w:i/>
          <w:szCs w:val="18"/>
        </w:rPr>
        <w:t>Inzet reservering voor nacalculatie</w:t>
      </w:r>
      <w:r>
        <w:rPr>
          <w:rFonts w:eastAsia="Times New Roman"/>
          <w:i/>
          <w:szCs w:val="18"/>
        </w:rPr>
        <w:t xml:space="preserve"> &amp; overboeking reservering voor nacalculatie</w:t>
      </w:r>
    </w:p>
    <w:p w:rsidR="00C32E3A" w:rsidP="00C32E3A" w:rsidRDefault="00C32E3A">
      <w:pPr>
        <w:spacing w:after="0"/>
        <w:rPr>
          <w:rFonts w:eastAsia="Times New Roman"/>
          <w:szCs w:val="18"/>
        </w:rPr>
      </w:pPr>
      <w:r w:rsidRPr="00B04B53">
        <w:rPr>
          <w:rFonts w:eastAsia="Times New Roman"/>
          <w:szCs w:val="18"/>
        </w:rPr>
        <w:t>Naar aanleiding van de bronnenrevisie van het Centraal Bureau voor de Statistiek is het Nederlandse BNI opwaarts bijgesteld. Voor 2019 leidt dit via de jaarlijkse nacalculatie van de EU-</w:t>
      </w:r>
      <w:r w:rsidRPr="00B04B53">
        <w:rPr>
          <w:rFonts w:eastAsia="Times New Roman"/>
          <w:szCs w:val="18"/>
        </w:rPr>
        <w:lastRenderedPageBreak/>
        <w:t>afdrachten tot ophoging van</w:t>
      </w:r>
      <w:r>
        <w:rPr>
          <w:rFonts w:eastAsia="Times New Roman"/>
          <w:szCs w:val="18"/>
        </w:rPr>
        <w:t xml:space="preserve"> de BNI-afdracht van 318 mln. Eerder is h</w:t>
      </w:r>
      <w:r w:rsidRPr="00B04B53">
        <w:rPr>
          <w:rFonts w:eastAsia="Times New Roman"/>
          <w:szCs w:val="18"/>
        </w:rPr>
        <w:t xml:space="preserve">iervoor in de begroting </w:t>
      </w:r>
      <w:r>
        <w:rPr>
          <w:rFonts w:eastAsia="Times New Roman"/>
          <w:szCs w:val="18"/>
        </w:rPr>
        <w:t xml:space="preserve">een </w:t>
      </w:r>
      <w:r w:rsidRPr="00B04B53">
        <w:rPr>
          <w:rFonts w:eastAsia="Times New Roman"/>
          <w:szCs w:val="18"/>
        </w:rPr>
        <w:t>reservering</w:t>
      </w:r>
      <w:r>
        <w:rPr>
          <w:rFonts w:eastAsia="Times New Roman"/>
          <w:szCs w:val="18"/>
        </w:rPr>
        <w:t xml:space="preserve"> getroffen. De overboeking betreft de overboeking van de reservering vanaf de Aanvullende Post naar de begroting van BZ.</w:t>
      </w:r>
    </w:p>
    <w:p w:rsidR="00C32E3A" w:rsidP="00C32E3A" w:rsidRDefault="00C32E3A">
      <w:pPr>
        <w:spacing w:after="0"/>
        <w:rPr>
          <w:rFonts w:eastAsia="Times New Roman"/>
          <w:i/>
          <w:szCs w:val="18"/>
        </w:rPr>
      </w:pPr>
    </w:p>
    <w:p w:rsidR="00C32E3A" w:rsidP="00C32E3A" w:rsidRDefault="00C32E3A">
      <w:pPr>
        <w:spacing w:after="0"/>
        <w:rPr>
          <w:rFonts w:eastAsia="Times New Roman"/>
          <w:i/>
          <w:szCs w:val="18"/>
        </w:rPr>
      </w:pPr>
      <w:r>
        <w:rPr>
          <w:rFonts w:eastAsia="Times New Roman"/>
          <w:i/>
          <w:szCs w:val="18"/>
        </w:rPr>
        <w:t>Nacalculatie incl. bronnenrevisie</w:t>
      </w:r>
    </w:p>
    <w:p w:rsidR="00C32E3A" w:rsidP="00C32E3A" w:rsidRDefault="00C32E3A">
      <w:pPr>
        <w:spacing w:after="0"/>
        <w:rPr>
          <w:rFonts w:eastAsia="Times New Roman"/>
          <w:szCs w:val="18"/>
        </w:rPr>
      </w:pPr>
      <w:r w:rsidRPr="00B04B53">
        <w:rPr>
          <w:rFonts w:eastAsia="Times New Roman"/>
          <w:szCs w:val="18"/>
        </w:rPr>
        <w:t>Naar aanleiding van de bronnenrevisie van het Centraal Bureau voor de Statistiek is het Nederlandse BNI opwaarts bijgesteld. Voor 2019 leidt dit via de jaarlijkse nacalculatie van de EU-afdrachten tot ophoging van</w:t>
      </w:r>
      <w:r>
        <w:rPr>
          <w:rFonts w:eastAsia="Times New Roman"/>
          <w:szCs w:val="18"/>
        </w:rPr>
        <w:t xml:space="preserve"> deze afdracht van 318 mln. Eerder is h</w:t>
      </w:r>
      <w:r w:rsidRPr="00B04B53">
        <w:rPr>
          <w:rFonts w:eastAsia="Times New Roman"/>
          <w:szCs w:val="18"/>
        </w:rPr>
        <w:t xml:space="preserve">iervoor in de begroting </w:t>
      </w:r>
      <w:r>
        <w:rPr>
          <w:rFonts w:eastAsia="Times New Roman"/>
          <w:szCs w:val="18"/>
        </w:rPr>
        <w:t xml:space="preserve">een </w:t>
      </w:r>
      <w:r w:rsidRPr="00B04B53">
        <w:rPr>
          <w:rFonts w:eastAsia="Times New Roman"/>
          <w:szCs w:val="18"/>
        </w:rPr>
        <w:t xml:space="preserve">reservering </w:t>
      </w:r>
      <w:r>
        <w:rPr>
          <w:rFonts w:eastAsia="Times New Roman"/>
          <w:szCs w:val="18"/>
        </w:rPr>
        <w:t xml:space="preserve">getroffen. </w:t>
      </w:r>
    </w:p>
    <w:p w:rsidR="00C32E3A" w:rsidP="00C32E3A" w:rsidRDefault="00C32E3A">
      <w:pPr>
        <w:spacing w:after="0"/>
        <w:rPr>
          <w:rFonts w:eastAsia="Times New Roman"/>
          <w:i/>
          <w:szCs w:val="18"/>
        </w:rPr>
      </w:pPr>
    </w:p>
    <w:p w:rsidRPr="00B04B53" w:rsidR="00C32E3A" w:rsidP="00C32E3A" w:rsidRDefault="00C32E3A">
      <w:pPr>
        <w:spacing w:after="0"/>
        <w:rPr>
          <w:i/>
          <w:color w:val="1F497D"/>
          <w:szCs w:val="18"/>
        </w:rPr>
      </w:pPr>
      <w:r>
        <w:rPr>
          <w:rFonts w:eastAsia="Times New Roman"/>
          <w:i/>
          <w:szCs w:val="18"/>
        </w:rPr>
        <w:t>Diversen - ontvangsten</w:t>
      </w:r>
    </w:p>
    <w:p w:rsidR="00C32E3A" w:rsidP="00C32E3A" w:rsidRDefault="00C32E3A">
      <w:pPr>
        <w:spacing w:after="0"/>
        <w:rPr>
          <w:rFonts w:eastAsia="Times New Roman"/>
          <w:szCs w:val="18"/>
        </w:rPr>
      </w:pPr>
      <w:r>
        <w:rPr>
          <w:rFonts w:eastAsia="Times New Roman"/>
          <w:szCs w:val="18"/>
        </w:rPr>
        <w:t>Met de zesde aanvullende begroting over 2018 is de</w:t>
      </w:r>
      <w:r w:rsidRPr="00B04B53">
        <w:rPr>
          <w:rFonts w:eastAsia="Times New Roman"/>
          <w:szCs w:val="18"/>
        </w:rPr>
        <w:t xml:space="preserve"> raming van het effect van de Spring Forecast 2018 op de invoerrechten op basis van nieuwe ramingen en reali</w:t>
      </w:r>
      <w:r>
        <w:rPr>
          <w:rFonts w:eastAsia="Times New Roman"/>
          <w:szCs w:val="18"/>
        </w:rPr>
        <w:t>saties naar beneden bijgesteld. D</w:t>
      </w:r>
      <w:r w:rsidRPr="00B04B53">
        <w:rPr>
          <w:rFonts w:eastAsia="Times New Roman"/>
          <w:szCs w:val="18"/>
        </w:rPr>
        <w:t xml:space="preserve">it heeft compensatie vanuit de BNI-afdrachten van de lidstaten als gevolg </w:t>
      </w:r>
      <w:r>
        <w:rPr>
          <w:rFonts w:eastAsia="Times New Roman"/>
          <w:szCs w:val="18"/>
        </w:rPr>
        <w:t>en betekent voor</w:t>
      </w:r>
      <w:r w:rsidRPr="00B04B53">
        <w:rPr>
          <w:rFonts w:eastAsia="Times New Roman"/>
          <w:szCs w:val="18"/>
        </w:rPr>
        <w:t xml:space="preserve"> Nederland een opwaartse bijstelling van deze afdracht van 13 mln. Door de late aanname van de 6e aanvullende begroting 2018 is dat effect naar 2019 doorgeschoven</w:t>
      </w:r>
      <w:r>
        <w:rPr>
          <w:rFonts w:eastAsia="Times New Roman"/>
          <w:szCs w:val="18"/>
        </w:rPr>
        <w:t xml:space="preserve"> als negatieve overige ontvangst</w:t>
      </w:r>
    </w:p>
    <w:p w:rsidR="00C32E3A" w:rsidP="001D695D" w:rsidRDefault="00C32E3A">
      <w:pPr>
        <w:spacing w:after="0"/>
        <w:rPr>
          <w:rFonts w:asciiTheme="majorHAnsi" w:hAnsiTheme="majorHAnsi"/>
          <w:b/>
          <w:szCs w:val="18"/>
        </w:rPr>
      </w:pP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727EE" w:rsidR="003727EE" w:rsidTr="003727EE">
        <w:trPr>
          <w:trHeight w:val="225"/>
        </w:trPr>
        <w:tc>
          <w:tcPr>
            <w:tcW w:w="10860" w:type="dxa"/>
            <w:gridSpan w:val="7"/>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b/>
                <w:bCs/>
                <w:color w:val="000000"/>
                <w:szCs w:val="18"/>
                <w:lang w:eastAsia="nl-NL"/>
              </w:rPr>
            </w:pPr>
            <w:r w:rsidRPr="003727EE">
              <w:rPr>
                <w:rFonts w:eastAsia="Times New Roman" w:cs="Times New Roman"/>
                <w:b/>
                <w:bCs/>
                <w:color w:val="000000"/>
                <w:szCs w:val="18"/>
                <w:lang w:eastAsia="nl-NL"/>
              </w:rPr>
              <w:lastRenderedPageBreak/>
              <w:t>Justitie en Veiligheid</w:t>
            </w:r>
          </w:p>
        </w:tc>
      </w:tr>
      <w:tr w:rsidRPr="003727EE" w:rsidR="003727EE" w:rsidTr="003727EE">
        <w:trPr>
          <w:trHeight w:val="240"/>
        </w:trPr>
        <w:tc>
          <w:tcPr>
            <w:tcW w:w="10860" w:type="dxa"/>
            <w:gridSpan w:val="7"/>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VI JUSTITIE EN VEILIGHEID: UITGAVEN</w:t>
            </w:r>
          </w:p>
        </w:tc>
      </w:tr>
      <w:tr w:rsidRPr="003727EE" w:rsidR="003727EE" w:rsidTr="003727EE">
        <w:trPr>
          <w:trHeight w:val="315"/>
        </w:trPr>
        <w:tc>
          <w:tcPr>
            <w:tcW w:w="43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12.704,8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12.305,2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12.150,7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11.873,2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11.954,3</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180" w:firstLineChars="100"/>
              <w:rPr>
                <w:rFonts w:eastAsia="Times New Roman" w:cs="Times New Roman"/>
                <w:color w:val="000000"/>
                <w:szCs w:val="18"/>
                <w:lang w:eastAsia="nl-NL"/>
              </w:rPr>
            </w:pPr>
            <w:r w:rsidRPr="003727E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45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Asiel: </w:t>
            </w:r>
            <w:proofErr w:type="spellStart"/>
            <w:r w:rsidRPr="003727EE">
              <w:rPr>
                <w:rFonts w:eastAsia="Times New Roman" w:cs="Times New Roman"/>
                <w:color w:val="000000"/>
                <w:szCs w:val="18"/>
                <w:lang w:eastAsia="nl-NL"/>
              </w:rPr>
              <w:t>coa</w:t>
            </w:r>
            <w:proofErr w:type="spellEnd"/>
            <w:r w:rsidRPr="003727EE">
              <w:rPr>
                <w:rFonts w:eastAsia="Times New Roman" w:cs="Times New Roman"/>
                <w:color w:val="000000"/>
                <w:szCs w:val="18"/>
                <w:lang w:eastAsia="nl-NL"/>
              </w:rPr>
              <w:t xml:space="preserve"> herijkingsreeks </w:t>
            </w:r>
            <w:proofErr w:type="spellStart"/>
            <w:r w:rsidRPr="003727EE">
              <w:rPr>
                <w:rFonts w:eastAsia="Times New Roman" w:cs="Times New Roman"/>
                <w:color w:val="000000"/>
                <w:szCs w:val="18"/>
                <w:lang w:eastAsia="nl-NL"/>
              </w:rPr>
              <w:t>oda</w:t>
            </w:r>
            <w:proofErr w:type="spellEnd"/>
            <w:r w:rsidRPr="003727EE">
              <w:rPr>
                <w:rFonts w:eastAsia="Times New Roman" w:cs="Times New Roman"/>
                <w:color w:val="000000"/>
                <w:szCs w:val="18"/>
                <w:lang w:eastAsia="nl-NL"/>
              </w:rPr>
              <w:t xml:space="preserve"> oud en nieuw (non-</w:t>
            </w:r>
            <w:proofErr w:type="spellStart"/>
            <w:r w:rsidRPr="003727EE">
              <w:rPr>
                <w:rFonts w:eastAsia="Times New Roman" w:cs="Times New Roman"/>
                <w:color w:val="000000"/>
                <w:szCs w:val="18"/>
                <w:lang w:eastAsia="nl-NL"/>
              </w:rPr>
              <w:t>oda</w:t>
            </w:r>
            <w:proofErr w:type="spellEnd"/>
            <w:r w:rsidRPr="003727EE">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149,1</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99,0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50,6</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26,7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37,3</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Asiel: </w:t>
            </w:r>
            <w:proofErr w:type="spellStart"/>
            <w:r w:rsidRPr="003727EE">
              <w:rPr>
                <w:rFonts w:eastAsia="Times New Roman" w:cs="Times New Roman"/>
                <w:color w:val="000000"/>
                <w:szCs w:val="18"/>
                <w:lang w:eastAsia="nl-NL"/>
              </w:rPr>
              <w:t>coa</w:t>
            </w:r>
            <w:proofErr w:type="spellEnd"/>
            <w:r w:rsidRPr="003727EE">
              <w:rPr>
                <w:rFonts w:eastAsia="Times New Roman" w:cs="Times New Roman"/>
                <w:color w:val="000000"/>
                <w:szCs w:val="18"/>
                <w:lang w:eastAsia="nl-NL"/>
              </w:rPr>
              <w:t xml:space="preserve"> mutatie </w:t>
            </w:r>
            <w:proofErr w:type="spellStart"/>
            <w:r w:rsidRPr="003727EE">
              <w:rPr>
                <w:rFonts w:eastAsia="Times New Roman" w:cs="Times New Roman"/>
                <w:color w:val="000000"/>
                <w:szCs w:val="18"/>
                <w:lang w:eastAsia="nl-NL"/>
              </w:rPr>
              <w:t>vjn</w:t>
            </w:r>
            <w:proofErr w:type="spellEnd"/>
            <w:r w:rsidRPr="003727EE">
              <w:rPr>
                <w:rFonts w:eastAsia="Times New Roman" w:cs="Times New Roman"/>
                <w:color w:val="000000"/>
                <w:szCs w:val="18"/>
                <w:lang w:eastAsia="nl-NL"/>
              </w:rPr>
              <w:t xml:space="preserve"> (</w:t>
            </w:r>
            <w:proofErr w:type="spellStart"/>
            <w:r w:rsidRPr="003727EE">
              <w:rPr>
                <w:rFonts w:eastAsia="Times New Roman" w:cs="Times New Roman"/>
                <w:color w:val="000000"/>
                <w:szCs w:val="18"/>
                <w:lang w:eastAsia="nl-NL"/>
              </w:rPr>
              <w:t>oda</w:t>
            </w:r>
            <w:proofErr w:type="spellEnd"/>
            <w:r w:rsidRPr="003727EE">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-22,9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57,0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41,0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Asiel: </w:t>
            </w:r>
            <w:proofErr w:type="spellStart"/>
            <w:r w:rsidRPr="003727EE">
              <w:rPr>
                <w:rFonts w:eastAsia="Times New Roman" w:cs="Times New Roman"/>
                <w:color w:val="000000"/>
                <w:szCs w:val="18"/>
                <w:lang w:eastAsia="nl-NL"/>
              </w:rPr>
              <w:t>coa</w:t>
            </w:r>
            <w:proofErr w:type="spellEnd"/>
            <w:r w:rsidRPr="003727EE">
              <w:rPr>
                <w:rFonts w:eastAsia="Times New Roman" w:cs="Times New Roman"/>
                <w:color w:val="000000"/>
                <w:szCs w:val="18"/>
                <w:lang w:eastAsia="nl-NL"/>
              </w:rPr>
              <w:t xml:space="preserve"> non-</w:t>
            </w:r>
            <w:proofErr w:type="spellStart"/>
            <w:r w:rsidRPr="003727EE">
              <w:rPr>
                <w:rFonts w:eastAsia="Times New Roman" w:cs="Times New Roman"/>
                <w:color w:val="000000"/>
                <w:szCs w:val="18"/>
                <w:lang w:eastAsia="nl-NL"/>
              </w:rPr>
              <w:t>oda</w:t>
            </w:r>
            <w:proofErr w:type="spellEnd"/>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-40,1</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47,8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69,9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84,2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64,7</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Asiel: </w:t>
            </w:r>
            <w:proofErr w:type="spellStart"/>
            <w:r w:rsidRPr="003727EE">
              <w:rPr>
                <w:rFonts w:eastAsia="Times New Roman" w:cs="Times New Roman"/>
                <w:color w:val="000000"/>
                <w:szCs w:val="18"/>
                <w:lang w:eastAsia="nl-NL"/>
              </w:rPr>
              <w:t>ind</w:t>
            </w:r>
            <w:proofErr w:type="spellEnd"/>
            <w:r w:rsidRPr="003727EE">
              <w:rPr>
                <w:rFonts w:eastAsia="Times New Roman" w:cs="Times New Roman"/>
                <w:color w:val="000000"/>
                <w:szCs w:val="18"/>
                <w:lang w:eastAsia="nl-NL"/>
              </w:rPr>
              <w:t xml:space="preserve"> basisfinanciering</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41,5</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65,6</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65,3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65,4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65,6</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Asiel: </w:t>
            </w:r>
            <w:proofErr w:type="spellStart"/>
            <w:r w:rsidRPr="003727EE">
              <w:rPr>
                <w:rFonts w:eastAsia="Times New Roman" w:cs="Times New Roman"/>
                <w:color w:val="000000"/>
                <w:szCs w:val="18"/>
                <w:lang w:eastAsia="nl-NL"/>
              </w:rPr>
              <w:t>ind</w:t>
            </w:r>
            <w:proofErr w:type="spellEnd"/>
            <w:r w:rsidRPr="003727EE">
              <w:rPr>
                <w:rFonts w:eastAsia="Times New Roman" w:cs="Times New Roman"/>
                <w:color w:val="000000"/>
                <w:szCs w:val="18"/>
                <w:lang w:eastAsia="nl-NL"/>
              </w:rPr>
              <w:t xml:space="preserve"> </w:t>
            </w:r>
            <w:proofErr w:type="spellStart"/>
            <w:r w:rsidRPr="003727EE">
              <w:rPr>
                <w:rFonts w:eastAsia="Times New Roman" w:cs="Times New Roman"/>
                <w:color w:val="000000"/>
                <w:szCs w:val="18"/>
                <w:lang w:eastAsia="nl-NL"/>
              </w:rPr>
              <w:t>mpp</w:t>
            </w:r>
            <w:proofErr w:type="spellEnd"/>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32,9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34,6</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23,5</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Asiel: </w:t>
            </w:r>
            <w:proofErr w:type="spellStart"/>
            <w:r w:rsidRPr="003727EE">
              <w:rPr>
                <w:rFonts w:eastAsia="Times New Roman" w:cs="Times New Roman"/>
                <w:color w:val="000000"/>
                <w:szCs w:val="18"/>
                <w:lang w:eastAsia="nl-NL"/>
              </w:rPr>
              <w:t>mpp</w:t>
            </w:r>
            <w:proofErr w:type="spellEnd"/>
            <w:r w:rsidRPr="003727EE">
              <w:rPr>
                <w:rFonts w:eastAsia="Times New Roman" w:cs="Times New Roman"/>
                <w:color w:val="000000"/>
                <w:szCs w:val="18"/>
                <w:lang w:eastAsia="nl-NL"/>
              </w:rPr>
              <w:t xml:space="preserve"> </w:t>
            </w:r>
            <w:proofErr w:type="spellStart"/>
            <w:r w:rsidRPr="003727EE">
              <w:rPr>
                <w:rFonts w:eastAsia="Times New Roman" w:cs="Times New Roman"/>
                <w:color w:val="000000"/>
                <w:szCs w:val="18"/>
                <w:lang w:eastAsia="nl-NL"/>
              </w:rPr>
              <w:t>nidos</w:t>
            </w:r>
            <w:proofErr w:type="spellEnd"/>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-16,4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-17,2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-17,7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-18,1</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Asiel: </w:t>
            </w:r>
            <w:proofErr w:type="spellStart"/>
            <w:r w:rsidRPr="003727EE">
              <w:rPr>
                <w:rFonts w:eastAsia="Times New Roman" w:cs="Times New Roman"/>
                <w:color w:val="000000"/>
                <w:szCs w:val="18"/>
                <w:lang w:eastAsia="nl-NL"/>
              </w:rPr>
              <w:t>oda</w:t>
            </w:r>
            <w:proofErr w:type="spellEnd"/>
            <w:r w:rsidRPr="003727EE">
              <w:rPr>
                <w:rFonts w:eastAsia="Times New Roman" w:cs="Times New Roman"/>
                <w:color w:val="000000"/>
                <w:szCs w:val="18"/>
                <w:lang w:eastAsia="nl-NL"/>
              </w:rPr>
              <w:t>-toerekening</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24,7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Eindejaarsmarge</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24,7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Herstellen weeffout asiel onderwijs</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-45,6</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-45,7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-41,1</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-37,4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-35,4</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Kasschuiven: </w:t>
            </w:r>
            <w:proofErr w:type="spellStart"/>
            <w:r w:rsidRPr="003727EE">
              <w:rPr>
                <w:rFonts w:eastAsia="Times New Roman" w:cs="Times New Roman"/>
                <w:color w:val="000000"/>
                <w:szCs w:val="18"/>
                <w:lang w:eastAsia="nl-NL"/>
              </w:rPr>
              <w:t>dji</w:t>
            </w:r>
            <w:proofErr w:type="spellEnd"/>
            <w:r w:rsidRPr="003727EE">
              <w:rPr>
                <w:rFonts w:eastAsia="Times New Roman" w:cs="Times New Roman"/>
                <w:color w:val="000000"/>
                <w:szCs w:val="18"/>
                <w:lang w:eastAsia="nl-NL"/>
              </w:rPr>
              <w:t xml:space="preserve"> frictiekosten</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77,1</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Prognosemodel justitiële ketens (</w:t>
            </w:r>
            <w:proofErr w:type="spellStart"/>
            <w:r w:rsidRPr="003727EE">
              <w:rPr>
                <w:rFonts w:eastAsia="Times New Roman" w:cs="Times New Roman"/>
                <w:color w:val="000000"/>
                <w:szCs w:val="18"/>
                <w:lang w:eastAsia="nl-NL"/>
              </w:rPr>
              <w:t>pmj</w:t>
            </w:r>
            <w:proofErr w:type="spellEnd"/>
            <w:r w:rsidRPr="003727EE">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49,0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93,3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80,2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45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Ramingsbijstelling/ dekking problematiek </w:t>
            </w:r>
            <w:proofErr w:type="spellStart"/>
            <w:r w:rsidRPr="003727EE">
              <w:rPr>
                <w:rFonts w:eastAsia="Times New Roman" w:cs="Times New Roman"/>
                <w:color w:val="000000"/>
                <w:szCs w:val="18"/>
                <w:lang w:eastAsia="nl-NL"/>
              </w:rPr>
              <w:t>jenv</w:t>
            </w:r>
            <w:proofErr w:type="spellEnd"/>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-79,5</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-68,2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-67,3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-65,4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-41,5</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Rechtsbijstand</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-19,7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-19,4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-14,5</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25,8</w:t>
            </w:r>
          </w:p>
        </w:tc>
        <w:tc>
          <w:tcPr>
            <w:tcW w:w="1080" w:type="dxa"/>
            <w:tcBorders>
              <w:top w:val="nil"/>
              <w:left w:val="nil"/>
              <w:bottom w:val="nil"/>
              <w:right w:val="nil"/>
            </w:tcBorders>
            <w:shd w:val="clear" w:color="auto" w:fill="auto"/>
            <w:noWrap/>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4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Rechtspraak</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Terugdraaien taakstelling om</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11,3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17,3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17,3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17,3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12,3</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4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38,7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16,4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16,4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14,3</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270,5</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281,3</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224,1</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104,3</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124,0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180" w:firstLineChars="100"/>
              <w:rPr>
                <w:rFonts w:eastAsia="Times New Roman" w:cs="Times New Roman"/>
                <w:color w:val="000000"/>
                <w:szCs w:val="18"/>
                <w:lang w:eastAsia="nl-NL"/>
              </w:rPr>
            </w:pPr>
            <w:r w:rsidRPr="003727E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B12 ondermijningsbestrijdingsfonds</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B5 politie</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49,8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82,0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82,0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82,0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82,0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45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B6 digitalisering werkprocessen strafrechtketen</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69,9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24,9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24,9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24,0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Herstellen weeffout asiel onderwijs</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45,6</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45,7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41,2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37,4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35,4</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Loonbijstelling</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310,8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300,6</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297,4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290,9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293,1</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Prijsbijstelling</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44,5</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43,3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42,4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41,4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41,5</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1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9,1</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11,0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24,1</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24,2</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1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629,7</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502,5</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498,9</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499,8</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476,2</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900,0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783,8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723,0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604,0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600,1</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1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13.604,7</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13.089,0</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12.873,6</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12.477,2</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12.554,4</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1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48,4</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34,0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34,1</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34,1</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34,1</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13.653,1</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13.123,1</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12.907,7</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12.511,3</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12.588,5</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240"/>
        </w:trPr>
        <w:tc>
          <w:tcPr>
            <w:tcW w:w="10860" w:type="dxa"/>
            <w:gridSpan w:val="7"/>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VI JUSTITIE EN VEILIGHEID: NIET-BELASTINGONTVANGSTEN</w:t>
            </w:r>
          </w:p>
        </w:tc>
      </w:tr>
      <w:tr w:rsidRPr="003727EE" w:rsidR="003727EE" w:rsidTr="003727EE">
        <w:trPr>
          <w:trHeight w:val="240"/>
        </w:trPr>
        <w:tc>
          <w:tcPr>
            <w:tcW w:w="43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1.600,6</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1.544,9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1.539,8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1.499,2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1.495,0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24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180" w:firstLineChars="100"/>
              <w:rPr>
                <w:rFonts w:eastAsia="Times New Roman" w:cs="Times New Roman"/>
                <w:color w:val="000000"/>
                <w:szCs w:val="18"/>
                <w:lang w:eastAsia="nl-NL"/>
              </w:rPr>
            </w:pPr>
            <w:r w:rsidRPr="003727E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Asiel: inzet asielreserve</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21,5</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Prognosemodel justitiële ketens (</w:t>
            </w:r>
            <w:proofErr w:type="spellStart"/>
            <w:r w:rsidRPr="003727EE">
              <w:rPr>
                <w:rFonts w:eastAsia="Times New Roman" w:cs="Times New Roman"/>
                <w:color w:val="000000"/>
                <w:szCs w:val="18"/>
                <w:lang w:eastAsia="nl-NL"/>
              </w:rPr>
              <w:t>pmj</w:t>
            </w:r>
            <w:proofErr w:type="spellEnd"/>
            <w:r w:rsidRPr="003727EE">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-29,3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-33,3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-65,3</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45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 xml:space="preserve">Ramingsbijstelling/ dekking problematiek </w:t>
            </w:r>
            <w:proofErr w:type="spellStart"/>
            <w:r w:rsidRPr="003727EE">
              <w:rPr>
                <w:rFonts w:eastAsia="Times New Roman" w:cs="Times New Roman"/>
                <w:color w:val="000000"/>
                <w:szCs w:val="18"/>
                <w:lang w:eastAsia="nl-NL"/>
              </w:rPr>
              <w:t>jenv</w:t>
            </w:r>
            <w:proofErr w:type="spellEnd"/>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75,7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4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lastRenderedPageBreak/>
              <w:t>Diversen</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-5,8</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62,1</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-36,1</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-66,1</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-0,8</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-0,8</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30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180" w:firstLineChars="100"/>
              <w:rPr>
                <w:rFonts w:eastAsia="Times New Roman" w:cs="Times New Roman"/>
                <w:color w:val="000000"/>
                <w:szCs w:val="18"/>
                <w:lang w:eastAsia="nl-NL"/>
              </w:rPr>
            </w:pPr>
            <w:r w:rsidRPr="003727E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24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ind w:firstLine="360" w:firstLineChars="200"/>
              <w:rPr>
                <w:rFonts w:eastAsia="Times New Roman" w:cs="Times New Roman"/>
                <w:color w:val="000000"/>
                <w:szCs w:val="18"/>
                <w:lang w:eastAsia="nl-NL"/>
              </w:rPr>
            </w:pPr>
            <w:r w:rsidRPr="003727E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3,7</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0,9</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4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3,7</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0,9</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0,9</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0,9</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0,9</w:t>
            </w:r>
          </w:p>
        </w:tc>
        <w:tc>
          <w:tcPr>
            <w:tcW w:w="10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 </w:t>
            </w:r>
          </w:p>
        </w:tc>
        <w:tc>
          <w:tcPr>
            <w:tcW w:w="10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65,8</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-35,2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-65,2</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0,1</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31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rPr>
                <w:rFonts w:ascii="Times New Roman" w:hAnsi="Times New Roman" w:eastAsia="Times New Roman" w:cs="Times New Roman"/>
                <w:sz w:val="20"/>
                <w:szCs w:val="20"/>
                <w:lang w:eastAsia="nl-NL"/>
              </w:rPr>
            </w:pPr>
          </w:p>
        </w:tc>
      </w:tr>
      <w:tr w:rsidRPr="003727EE" w:rsidR="003727EE" w:rsidTr="003727EE">
        <w:trPr>
          <w:trHeight w:val="225"/>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1.666,3</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1.509,6</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1.474,6</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1.499,3</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1.495,1</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4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r w:rsidRPr="003727EE" w:rsidR="003727EE" w:rsidTr="003727EE">
        <w:trPr>
          <w:trHeight w:val="240"/>
        </w:trPr>
        <w:tc>
          <w:tcPr>
            <w:tcW w:w="4360" w:type="dxa"/>
            <w:tcBorders>
              <w:top w:val="nil"/>
              <w:left w:val="nil"/>
              <w:bottom w:val="nil"/>
              <w:right w:val="nil"/>
            </w:tcBorders>
            <w:shd w:val="clear" w:color="auto" w:fill="auto"/>
            <w:hideMark/>
          </w:tcPr>
          <w:p w:rsidRPr="003727EE" w:rsidR="003727EE" w:rsidP="003727EE" w:rsidRDefault="003727EE">
            <w:pPr>
              <w:spacing w:after="0" w:line="240" w:lineRule="auto"/>
              <w:rPr>
                <w:rFonts w:eastAsia="Times New Roman" w:cs="Times New Roman"/>
                <w:color w:val="000000"/>
                <w:szCs w:val="18"/>
                <w:lang w:eastAsia="nl-NL"/>
              </w:rPr>
            </w:pPr>
            <w:r w:rsidRPr="003727E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1.666,3</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1.509,6</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1.474,6</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1.499,3</w:t>
            </w:r>
          </w:p>
        </w:tc>
        <w:tc>
          <w:tcPr>
            <w:tcW w:w="1060" w:type="dxa"/>
            <w:tcBorders>
              <w:top w:val="single" w:color="000000" w:sz="8" w:space="0"/>
              <w:left w:val="nil"/>
              <w:bottom w:val="nil"/>
              <w:right w:val="nil"/>
            </w:tcBorders>
            <w:shd w:val="clear" w:color="auto" w:fill="auto"/>
            <w:hideMark/>
          </w:tcPr>
          <w:p w:rsidRPr="003727EE" w:rsidR="003727EE" w:rsidP="003727EE" w:rsidRDefault="003727EE">
            <w:pPr>
              <w:spacing w:after="0" w:line="240" w:lineRule="auto"/>
              <w:jc w:val="right"/>
              <w:rPr>
                <w:rFonts w:eastAsia="Times New Roman" w:cs="Times New Roman"/>
                <w:color w:val="000000"/>
                <w:szCs w:val="18"/>
                <w:lang w:eastAsia="nl-NL"/>
              </w:rPr>
            </w:pPr>
            <w:r w:rsidRPr="003727EE">
              <w:rPr>
                <w:rFonts w:eastAsia="Times New Roman" w:cs="Times New Roman"/>
                <w:color w:val="000000"/>
                <w:szCs w:val="18"/>
                <w:lang w:eastAsia="nl-NL"/>
              </w:rPr>
              <w:t>1.495,1</w:t>
            </w:r>
          </w:p>
        </w:tc>
        <w:tc>
          <w:tcPr>
            <w:tcW w:w="1080" w:type="dxa"/>
            <w:tcBorders>
              <w:top w:val="nil"/>
              <w:left w:val="nil"/>
              <w:bottom w:val="nil"/>
              <w:right w:val="nil"/>
            </w:tcBorders>
            <w:shd w:val="clear" w:color="auto" w:fill="auto"/>
            <w:noWrap/>
            <w:vAlign w:val="bottom"/>
            <w:hideMark/>
          </w:tcPr>
          <w:p w:rsidRPr="003727EE" w:rsidR="003727EE" w:rsidP="003727EE" w:rsidRDefault="003727EE">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Asiel:</w:t>
      </w:r>
      <w:r w:rsidRPr="0003638F">
        <w:rPr>
          <w:rFonts w:ascii="Times New Roman" w:hAnsi="Times New Roman" w:eastAsia="Times New Roman" w:cs="Times New Roman"/>
          <w:sz w:val="24"/>
          <w:szCs w:val="24"/>
          <w:lang w:eastAsia="nl-NL"/>
        </w:rPr>
        <w:t xml:space="preserve"> </w:t>
      </w:r>
      <w:r w:rsidRPr="0003638F">
        <w:rPr>
          <w:rFonts w:eastAsia="Times New Roman" w:cs="Times New Roman"/>
          <w:i/>
          <w:szCs w:val="18"/>
          <w:lang w:eastAsia="nl-NL"/>
        </w:rPr>
        <w:t>COA herijkingsreeks ODA oud en nieuw (non-ODA)</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De toerekening aan official development assistance (ODA) van de kosten van de eerstejaarsopvang van asielzoekers wordt met ingang van 2019 conform de verduidelijkte richtlijn van OESO-DAC herijkt. Dit leidt er onder meer toe dat de kosten voor vastgoed en overhead niet meer mogen worden toegerekend en dat de toerekening</w:t>
      </w:r>
      <w:r w:rsidR="00E70B70">
        <w:rPr>
          <w:rFonts w:eastAsia="Times New Roman" w:cs="Times New Roman"/>
          <w:szCs w:val="18"/>
          <w:lang w:eastAsia="nl-NL"/>
        </w:rPr>
        <w:t xml:space="preserve"> </w:t>
      </w:r>
      <w:r w:rsidRPr="0091727A" w:rsidR="00E70B70">
        <w:rPr>
          <w:rFonts w:eastAsia="Times New Roman"/>
          <w:szCs w:val="18"/>
        </w:rPr>
        <w:t>en kosten voor rechtsbijstand, tolken IND en voorlichting wel</w:t>
      </w:r>
      <w:r w:rsidR="00E70B70">
        <w:rPr>
          <w:rFonts w:eastAsia="Times New Roman"/>
          <w:szCs w:val="18"/>
        </w:rPr>
        <w:t>. Voorts wordt</w:t>
      </w:r>
      <w:r w:rsidRPr="0003638F">
        <w:rPr>
          <w:rFonts w:eastAsia="Times New Roman" w:cs="Times New Roman"/>
          <w:szCs w:val="18"/>
          <w:lang w:eastAsia="nl-NL"/>
        </w:rPr>
        <w:t xml:space="preserve"> de </w:t>
      </w:r>
      <w:proofErr w:type="spellStart"/>
      <w:r w:rsidRPr="0003638F">
        <w:rPr>
          <w:rFonts w:eastAsia="Times New Roman" w:cs="Times New Roman"/>
          <w:szCs w:val="18"/>
          <w:lang w:eastAsia="nl-NL"/>
        </w:rPr>
        <w:t>eerstejaarsasielopvang</w:t>
      </w:r>
      <w:proofErr w:type="spellEnd"/>
      <w:r w:rsidRPr="0003638F">
        <w:rPr>
          <w:rFonts w:eastAsia="Times New Roman" w:cs="Times New Roman"/>
          <w:szCs w:val="18"/>
          <w:lang w:eastAsia="nl-NL"/>
        </w:rPr>
        <w:t xml:space="preserve"> voortaan op individueel niveau wordt bepaald. Daarnaast wordt een verbetering van de toerekeningsystematiek doorgevoerd. In de nieuwe systematiek wordt de raming gebaseerd op de verwachte bezetting in het Centraal Orgaan opvang Asiel (COA) in plaats van de asielinstroom. Dit leidt tot een transparantere, schokbestendigere en doelmatigere toerekening. Gevolg van deze herijking is dat per saldo minder kosten mogen worden toegerekend aan ODA. Deze lagere toerekening wordt éénmalig </w:t>
      </w:r>
      <w:r w:rsidR="003C2C10">
        <w:rPr>
          <w:rFonts w:eastAsia="Times New Roman" w:cs="Times New Roman"/>
          <w:szCs w:val="18"/>
          <w:lang w:eastAsia="nl-NL"/>
        </w:rPr>
        <w:t>generaal gedekt en</w:t>
      </w:r>
      <w:r w:rsidRPr="0003638F">
        <w:rPr>
          <w:rFonts w:eastAsia="Times New Roman" w:cs="Times New Roman"/>
          <w:szCs w:val="18"/>
          <w:lang w:eastAsia="nl-NL"/>
        </w:rPr>
        <w:t xml:space="preserve"> toegevoegd aan de begroting van Buitenlandse Handel en Ontwikkelingssamenwerking (BHOS). Deze herijkingsreeks (non-ODA) wordt ook op de JenV-begroting inzichtelijk gemaakt en moet worden bezien in samenhang met de posten COA non-ODA en COA mutatie VJN (ODA).</w:t>
      </w:r>
    </w:p>
    <w:p w:rsidRPr="0003638F" w:rsidR="0003638F" w:rsidP="0003638F" w:rsidRDefault="0003638F">
      <w:pPr>
        <w:spacing w:after="0" w:line="24" w:lineRule="atLeast"/>
        <w:rPr>
          <w:rFonts w:eastAsia="Times New Roman" w:cs="Times New Roman"/>
          <w:i/>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Asiel: COA mutatie VJN (ODA)</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 xml:space="preserve">De nieuwe systematiek voor de ODA-toerekening leidt tot aanpassing van de stand van de ODA-toerekening voor de </w:t>
      </w:r>
      <w:proofErr w:type="spellStart"/>
      <w:r w:rsidRPr="0003638F">
        <w:rPr>
          <w:rFonts w:eastAsia="Times New Roman" w:cs="Times New Roman"/>
          <w:szCs w:val="18"/>
          <w:lang w:eastAsia="nl-NL"/>
        </w:rPr>
        <w:t>eerstejaarsasielopvang</w:t>
      </w:r>
      <w:proofErr w:type="spellEnd"/>
      <w:r w:rsidRPr="0003638F">
        <w:rPr>
          <w:rFonts w:eastAsia="Times New Roman" w:cs="Times New Roman"/>
          <w:szCs w:val="18"/>
          <w:lang w:eastAsia="nl-NL"/>
        </w:rPr>
        <w:t xml:space="preserve">. Zie toelichting bij de COA herijkingsreeks ODA oud en nieuw (non-ODA). Dat leidt tezamen met de nieuwe </w:t>
      </w:r>
      <w:proofErr w:type="spellStart"/>
      <w:r w:rsidRPr="0003638F">
        <w:rPr>
          <w:rFonts w:eastAsia="Times New Roman" w:cs="Times New Roman"/>
          <w:szCs w:val="18"/>
          <w:lang w:eastAsia="nl-NL"/>
        </w:rPr>
        <w:t>Meerjaren</w:t>
      </w:r>
      <w:proofErr w:type="spellEnd"/>
      <w:r w:rsidRPr="0003638F">
        <w:rPr>
          <w:rFonts w:eastAsia="Times New Roman" w:cs="Times New Roman"/>
          <w:szCs w:val="18"/>
          <w:lang w:eastAsia="nl-NL"/>
        </w:rPr>
        <w:t xml:space="preserve"> Productie Prognose (MPP) tot aanpassing van de ODA-toerekening. </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Asiel: COA non-ODA</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 xml:space="preserve">De ramingsbijstelling naar aanleiding van de MPP en de stabielere financiering voor het COA leidt tot een verhoging van de uitgaven voor het COA. Deze reeks voor het COA moet worden bezien in relatie tot de volgende posten: COA mutatie VJN (ODA) en de COA herijkingsreeks ODA oud en nieuw (non-ODA). Tezamen zorgen deze drie mutaties voor de benodigde verhoging van het budget voor COA. </w:t>
      </w:r>
    </w:p>
    <w:p w:rsidRPr="0003638F" w:rsidR="0003638F" w:rsidP="0003638F" w:rsidRDefault="0003638F">
      <w:pPr>
        <w:spacing w:after="0" w:line="24" w:lineRule="atLeast"/>
        <w:rPr>
          <w:rFonts w:eastAsia="Times New Roman" w:cs="Times New Roman"/>
          <w:i/>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Asiel: IND basisfinanciering</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Het kabinet stelt extra middelen ter beschikking voor de stabiele financiering van de asielketen, waaronder voor de Immigratie en Naturalisatiedienst (IND).</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Asiel: IND MPP</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 xml:space="preserve">De ramingsbijstelling op basis van de MPP wordt tot en met 2021 verwerkt. </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 xml:space="preserve">Asiel: MPP </w:t>
      </w:r>
      <w:proofErr w:type="spellStart"/>
      <w:r w:rsidRPr="0003638F">
        <w:rPr>
          <w:rFonts w:eastAsia="Times New Roman" w:cs="Times New Roman"/>
          <w:i/>
          <w:szCs w:val="18"/>
          <w:lang w:eastAsia="nl-NL"/>
        </w:rPr>
        <w:t>Nidos</w:t>
      </w:r>
      <w:proofErr w:type="spellEnd"/>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 xml:space="preserve">Op basis van de MPP-raming wordt voor </w:t>
      </w:r>
      <w:proofErr w:type="spellStart"/>
      <w:r w:rsidRPr="0003638F">
        <w:rPr>
          <w:rFonts w:eastAsia="Times New Roman" w:cs="Times New Roman"/>
          <w:szCs w:val="18"/>
          <w:lang w:eastAsia="nl-NL"/>
        </w:rPr>
        <w:t>Nidos</w:t>
      </w:r>
      <w:proofErr w:type="spellEnd"/>
      <w:r w:rsidRPr="0003638F">
        <w:rPr>
          <w:rFonts w:eastAsia="Times New Roman" w:cs="Times New Roman"/>
          <w:szCs w:val="18"/>
          <w:lang w:eastAsia="nl-NL"/>
        </w:rPr>
        <w:t xml:space="preserve"> een lagere bezetting verwacht. De uitgaven aan </w:t>
      </w:r>
      <w:proofErr w:type="spellStart"/>
      <w:r w:rsidRPr="0003638F">
        <w:rPr>
          <w:rFonts w:eastAsia="Times New Roman" w:cs="Times New Roman"/>
          <w:szCs w:val="18"/>
          <w:lang w:eastAsia="nl-NL"/>
        </w:rPr>
        <w:t>Nidos</w:t>
      </w:r>
      <w:proofErr w:type="spellEnd"/>
      <w:r w:rsidRPr="0003638F">
        <w:rPr>
          <w:rFonts w:eastAsia="Times New Roman" w:cs="Times New Roman"/>
          <w:szCs w:val="18"/>
          <w:lang w:eastAsia="nl-NL"/>
        </w:rPr>
        <w:t xml:space="preserve"> worden daarop aangepast. </w:t>
      </w:r>
    </w:p>
    <w:p w:rsidRPr="0003638F" w:rsidR="0003638F" w:rsidP="0003638F" w:rsidRDefault="0003638F">
      <w:pPr>
        <w:spacing w:after="0" w:line="24" w:lineRule="atLeast"/>
        <w:rPr>
          <w:rFonts w:eastAsia="Times New Roman" w:cs="Times New Roman"/>
          <w:i/>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Asiel: ODA-toerekening</w:t>
      </w:r>
    </w:p>
    <w:p w:rsidRPr="00253C09"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Vanwege de hogere asielinstroom in 2018 is de ODA-toerekening naar bo</w:t>
      </w:r>
      <w:r w:rsidR="002B1507">
        <w:rPr>
          <w:rFonts w:eastAsia="Times New Roman" w:cs="Times New Roman"/>
          <w:szCs w:val="18"/>
          <w:lang w:eastAsia="nl-NL"/>
        </w:rPr>
        <w:t xml:space="preserve">ven bijgesteld. JenV ontvangt </w:t>
      </w:r>
      <w:r w:rsidRPr="0003638F">
        <w:rPr>
          <w:rFonts w:eastAsia="Times New Roman" w:cs="Times New Roman"/>
          <w:szCs w:val="18"/>
          <w:lang w:eastAsia="nl-NL"/>
        </w:rPr>
        <w:t xml:space="preserve">24,7 </w:t>
      </w:r>
      <w:r w:rsidR="00253C09">
        <w:rPr>
          <w:rFonts w:eastAsia="Times New Roman" w:cs="Times New Roman"/>
          <w:szCs w:val="18"/>
          <w:lang w:eastAsia="nl-NL"/>
        </w:rPr>
        <w:t>mln. van de begroting van BHOS.</w:t>
      </w:r>
    </w:p>
    <w:p w:rsidR="00AF3B96" w:rsidP="0003638F" w:rsidRDefault="00AF3B96">
      <w:pPr>
        <w:spacing w:after="0" w:line="24" w:lineRule="atLeast"/>
        <w:rPr>
          <w:rFonts w:eastAsia="Times New Roman" w:cs="Times New Roman"/>
          <w:i/>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Eindejaarsmarge</w:t>
      </w:r>
    </w:p>
    <w:p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De eindejaarsmarge (EJM) van 24,7 mln. is toegevoegd aan de begroting van het Ministerie van JenV.</w:t>
      </w:r>
    </w:p>
    <w:p w:rsidRPr="0003638F" w:rsidR="00253C09" w:rsidP="0003638F" w:rsidRDefault="00253C09">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lastRenderedPageBreak/>
        <w:t>Herstellen weeffout asiel onderwijs</w:t>
      </w: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szCs w:val="18"/>
          <w:lang w:eastAsia="nl-NL"/>
        </w:rPr>
        <w:t xml:space="preserve">Voortaan wordt de toerekening aan ODA van onderwijsuitgaven ten behoeve van asielzoekerskinderen op de begroting van Onderwijs, Cultuur en Wetenschap (OCW) geboekt in plaats van op de begroting van JenV. Hiervoor vindt een aantal budgettair neutrale boekingen plaats tussen de begrotingen van JenV en BHOS en van BHOS en OCW. Op de begroting van JenV is de overboeking van de JenV-begroting naar de BHOS-begroting zichtbaar (niet-HGIS naar HGIS; deze gelden worden vervolgens van BHOS naar OCW overgeheveld). </w:t>
      </w:r>
    </w:p>
    <w:p w:rsidRPr="0003638F" w:rsidR="0003638F" w:rsidP="0003638F" w:rsidRDefault="0003638F">
      <w:pPr>
        <w:spacing w:after="0" w:line="24" w:lineRule="atLeast"/>
        <w:rPr>
          <w:rFonts w:eastAsia="Times New Roman" w:cs="Times New Roman"/>
          <w:i/>
          <w:szCs w:val="18"/>
          <w:lang w:eastAsia="nl-NL"/>
        </w:rPr>
      </w:pPr>
    </w:p>
    <w:p w:rsidR="001A03B6" w:rsidP="001A03B6" w:rsidRDefault="001A03B6">
      <w:pPr>
        <w:spacing w:after="0" w:line="24" w:lineRule="atLeast"/>
        <w:rPr>
          <w:rFonts w:eastAsia="Times New Roman"/>
          <w:szCs w:val="18"/>
        </w:rPr>
      </w:pPr>
      <w:r>
        <w:rPr>
          <w:rFonts w:eastAsia="Times New Roman" w:cs="Times New Roman"/>
          <w:i/>
          <w:szCs w:val="18"/>
          <w:lang w:eastAsia="nl-NL"/>
        </w:rPr>
        <w:t>Kasschuiven: DJI frictiekosten</w:t>
      </w:r>
      <w:r w:rsidRPr="0003638F" w:rsidR="0003638F">
        <w:rPr>
          <w:rFonts w:eastAsia="Times New Roman" w:cs="Times New Roman"/>
          <w:i/>
          <w:szCs w:val="18"/>
          <w:lang w:eastAsia="nl-NL"/>
        </w:rPr>
        <w:br/>
      </w:r>
      <w:r w:rsidRPr="00B77064">
        <w:rPr>
          <w:rFonts w:eastAsia="Times New Roman"/>
          <w:szCs w:val="18"/>
        </w:rPr>
        <w:t xml:space="preserve">Er wordt een reservering gemaakt van 77,1 mln. ter financiering van de frictiekosten van het sluiten van verschillende locaties van Dienst Justitiële Inrichtingen (DJI). </w:t>
      </w:r>
    </w:p>
    <w:p w:rsidR="001A03B6" w:rsidP="001A03B6" w:rsidRDefault="001A03B6">
      <w:pPr>
        <w:spacing w:after="0" w:line="24" w:lineRule="atLeast"/>
        <w:rPr>
          <w:rFonts w:eastAsia="Times New Roman" w:cs="Times New Roman"/>
          <w:i/>
          <w:szCs w:val="18"/>
          <w:lang w:eastAsia="nl-NL"/>
        </w:rPr>
      </w:pPr>
    </w:p>
    <w:p w:rsidRPr="001A03B6" w:rsidR="001A03B6" w:rsidP="001A03B6"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Prognosemodel justitiële ketens (</w:t>
      </w:r>
      <w:proofErr w:type="spellStart"/>
      <w:r w:rsidRPr="0003638F">
        <w:rPr>
          <w:rFonts w:eastAsia="Times New Roman" w:cs="Times New Roman"/>
          <w:i/>
          <w:szCs w:val="18"/>
          <w:lang w:eastAsia="nl-NL"/>
        </w:rPr>
        <w:t>pmj</w:t>
      </w:r>
      <w:proofErr w:type="spellEnd"/>
      <w:r w:rsidRPr="0003638F">
        <w:rPr>
          <w:rFonts w:eastAsia="Times New Roman" w:cs="Times New Roman"/>
          <w:i/>
          <w:szCs w:val="18"/>
          <w:lang w:eastAsia="nl-NL"/>
        </w:rPr>
        <w:t>)</w:t>
      </w:r>
    </w:p>
    <w:p w:rsidRPr="001A03B6" w:rsidR="0003638F" w:rsidP="001A03B6" w:rsidRDefault="0003638F">
      <w:pPr>
        <w:spacing w:after="0" w:line="24" w:lineRule="atLeast"/>
        <w:rPr>
          <w:rFonts w:eastAsia="Times New Roman"/>
          <w:szCs w:val="18"/>
        </w:rPr>
      </w:pPr>
      <w:r w:rsidRPr="001A03B6">
        <w:rPr>
          <w:rFonts w:eastAsia="Times New Roman" w:cs="Times New Roman"/>
          <w:i/>
          <w:szCs w:val="18"/>
          <w:lang w:eastAsia="nl-NL"/>
        </w:rPr>
        <w:t>Dit betreft de budgettaire verwerking van de uitkomsten van het Prognosemodel Justitiële Ketens. De</w:t>
      </w:r>
      <w:r w:rsidRPr="0003638F">
        <w:rPr>
          <w:rFonts w:eastAsia="Times New Roman" w:cs="Times New Roman"/>
          <w:szCs w:val="18"/>
          <w:lang w:eastAsia="nl-NL"/>
        </w:rPr>
        <w:t xml:space="preserve"> raming van de capaciteitsbehoefte in de justitiële ketens wordt verwerkt in de diverse uitgavenramingen op de JenV-begroting, voor de jaren 2019-2021, waaronder voor het Openbaar Ministerie en de forensische zorg. </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Ramingsbijstelling/ dekking problematiek JenV</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JenV zet verschillende incidentele meevallers, waaronder het afromen van het eigen vermogen boven de 5% bij de agentschappen, en de prijsbijstelling in ter dekking van de problematiek.</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trike/>
          <w:szCs w:val="18"/>
          <w:lang w:eastAsia="nl-NL"/>
        </w:rPr>
      </w:pPr>
      <w:r w:rsidRPr="0003638F">
        <w:rPr>
          <w:rFonts w:eastAsia="Times New Roman" w:cs="Times New Roman"/>
          <w:i/>
          <w:szCs w:val="18"/>
          <w:lang w:eastAsia="nl-NL"/>
        </w:rPr>
        <w:t>Rechtsbijstand</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De meevallers in 2019 t/m 2021 volgend uit de PMJ-raming worden ingezet om ingeboekte besparingen vanaf 2022 te compenseren. De besparingen gaan niet door vanwege het aanhouden van het Wetsvoorstel duurzaam stelsel rechtsbijstand.</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Rechtspraak</w:t>
      </w:r>
    </w:p>
    <w:p w:rsidR="001A03B6" w:rsidP="001A03B6" w:rsidRDefault="001A03B6">
      <w:pPr>
        <w:spacing w:line="24" w:lineRule="atLeast"/>
        <w:rPr>
          <w:rFonts w:eastAsia="Times New Roman"/>
          <w:szCs w:val="18"/>
        </w:rPr>
      </w:pPr>
      <w:r w:rsidRPr="00B77064">
        <w:rPr>
          <w:rFonts w:eastAsia="Times New Roman"/>
          <w:szCs w:val="18"/>
        </w:rPr>
        <w:t>De Rechtspraak kampt met een structureel tekort door de autonome terugloop van het aantal zaken en het uitblijven van baten van het inmiddels stopgezette digitaliseringsprogramma “Kwaliteit en Innovatie”.</w:t>
      </w: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 xml:space="preserve">Terugdraaien taakstelling OM </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Het nog niet ingevulde deel van de taakstelling Rutte II voor het Openbaar Ministerie (OM) wordt teruggedraaid.</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Diversen – beleidsmatige mutaties, uitgaven</w:t>
      </w:r>
    </w:p>
    <w:p w:rsidRPr="003438D4" w:rsidR="00D145C6" w:rsidP="00D145C6" w:rsidRDefault="0003638F">
      <w:pPr>
        <w:spacing w:after="0"/>
        <w:rPr>
          <w:rFonts w:eastAsia="Verdana" w:cs="Times New Roman"/>
          <w:i/>
        </w:rPr>
      </w:pPr>
      <w:r w:rsidRPr="0003638F">
        <w:rPr>
          <w:rFonts w:eastAsia="Times New Roman" w:cs="Times New Roman"/>
          <w:szCs w:val="18"/>
          <w:lang w:eastAsia="nl-NL"/>
        </w:rPr>
        <w:t xml:space="preserve">In de post diversen zitten verschillende onderdelen, waaronder </w:t>
      </w:r>
      <w:r w:rsidR="000A174C">
        <w:rPr>
          <w:rFonts w:eastAsia="Times New Roman" w:cs="Times New Roman"/>
          <w:szCs w:val="18"/>
          <w:lang w:eastAsia="nl-NL"/>
        </w:rPr>
        <w:t>5 mln. incidenteel</w:t>
      </w:r>
      <w:r w:rsidR="00D145C6">
        <w:rPr>
          <w:rFonts w:eastAsia="Times New Roman" w:cs="Times New Roman"/>
          <w:szCs w:val="18"/>
          <w:lang w:eastAsia="nl-NL"/>
        </w:rPr>
        <w:t xml:space="preserve"> voor </w:t>
      </w:r>
      <w:r w:rsidRPr="0003638F">
        <w:rPr>
          <w:rFonts w:eastAsia="Times New Roman" w:cs="Times New Roman"/>
          <w:szCs w:val="18"/>
          <w:lang w:eastAsia="nl-NL"/>
        </w:rPr>
        <w:t xml:space="preserve">de aanschaf van toerusting voor de politie, extra middelen voor de Autoriteit persoonsgegevens in verband met extra werkzaamheden voortvloeiend uit de Algemene Verordening Gegevensbescherming (AVG) en de ramingsbijstelling Raad voor de Rechtspraak voor Asielzaken. </w:t>
      </w:r>
      <w:r w:rsidR="00D145C6">
        <w:rPr>
          <w:rFonts w:eastAsia="Times New Roman" w:cs="Times New Roman"/>
          <w:szCs w:val="18"/>
          <w:lang w:eastAsia="nl-NL"/>
        </w:rPr>
        <w:t xml:space="preserve">Ook bevat deze post de toegevoegde middelen </w:t>
      </w:r>
      <w:r w:rsidRPr="003438D4" w:rsidR="00D145C6">
        <w:rPr>
          <w:rFonts w:eastAsia="Verdana" w:cs="Times New Roman"/>
        </w:rPr>
        <w:t>voor de campagne tegen antisemitisme</w:t>
      </w:r>
      <w:r w:rsidR="00A122CB">
        <w:rPr>
          <w:rFonts w:eastAsia="Verdana" w:cs="Times New Roman"/>
        </w:rPr>
        <w:t xml:space="preserve"> (1 mln. per jaar t/m 2021)</w:t>
      </w:r>
      <w:r w:rsidR="00D145C6">
        <w:rPr>
          <w:rFonts w:eastAsia="Verdana" w:cs="Times New Roman"/>
        </w:rPr>
        <w:t>, voor het Uitstapprogramma voor prostituees (RUPS)</w:t>
      </w:r>
      <w:r w:rsidR="00A122CB">
        <w:rPr>
          <w:rFonts w:eastAsia="Verdana" w:cs="Times New Roman"/>
        </w:rPr>
        <w:t xml:space="preserve"> (1 mln. per jaar t/m 2021)</w:t>
      </w:r>
      <w:r w:rsidR="00D145C6">
        <w:rPr>
          <w:rFonts w:eastAsia="Verdana" w:cs="Times New Roman"/>
        </w:rPr>
        <w:t xml:space="preserve">, </w:t>
      </w:r>
      <w:r w:rsidR="00A122CB">
        <w:rPr>
          <w:rFonts w:eastAsia="Verdana" w:cs="Times New Roman"/>
        </w:rPr>
        <w:t xml:space="preserve">structureel 1 mln. </w:t>
      </w:r>
      <w:r w:rsidR="00D145C6">
        <w:rPr>
          <w:rFonts w:eastAsia="Verdana" w:cs="Times New Roman"/>
        </w:rPr>
        <w:t xml:space="preserve">voor het tegengaan van drugsdumpingen en </w:t>
      </w:r>
      <w:r w:rsidR="00A122CB">
        <w:rPr>
          <w:rFonts w:eastAsia="Verdana" w:cs="Times New Roman"/>
        </w:rPr>
        <w:t xml:space="preserve">structureel 3 mln. </w:t>
      </w:r>
      <w:r w:rsidRPr="00902BEA" w:rsidR="00902BEA">
        <w:rPr>
          <w:rFonts w:eastAsia="Verdana" w:cs="Times New Roman"/>
        </w:rPr>
        <w:t>voor aanpak van contrabande. Voor dit laatste reserveert het kabinet structureel 3 mln.</w:t>
      </w:r>
    </w:p>
    <w:p w:rsidRPr="0003638F" w:rsidR="0003638F" w:rsidP="0003638F" w:rsidRDefault="0003638F">
      <w:pPr>
        <w:spacing w:after="0" w:line="24" w:lineRule="atLeast"/>
        <w:rPr>
          <w:rFonts w:eastAsia="Times New Roman" w:cs="Times New Roman"/>
          <w:i/>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 xml:space="preserve">B12 ondermijningsbestrijdingsfonds </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Er is incidenteel 100 mln. van de Aanvullende Post naar JenV overgeheveld voor de aanpak van ondermijnende criminaliteit, zoals aangekondigd in de Nota van Wijziging (Kamerstukken 35000-VI, nr. 12).</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B5 politie</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JenV ontvangt Regeerakkoordmiddelen vanaf de Aanvullende Post voor verschillende doeleinden bij de Politie, onder andere voor het terugdringen van arbeidsverzuim en voor het centraliseren van arrestantenzorg.</w:t>
      </w:r>
      <w:r w:rsidR="00D40E20">
        <w:rPr>
          <w:rFonts w:eastAsia="Times New Roman" w:cs="Times New Roman"/>
          <w:szCs w:val="18"/>
          <w:lang w:eastAsia="nl-NL"/>
        </w:rPr>
        <w:t xml:space="preserve"> Een deel van de middelen wordt ingezet voor dekking van problematiek op de JenV-begroting.</w:t>
      </w:r>
      <w:r w:rsidRPr="0003638F">
        <w:rPr>
          <w:rFonts w:eastAsia="Times New Roman" w:cs="Times New Roman"/>
          <w:szCs w:val="18"/>
          <w:lang w:eastAsia="nl-NL"/>
        </w:rPr>
        <w:t xml:space="preserve"> Daarnaast wordt de volgende tranche van B5 Politie (bestedingsplan 2018) overgeheveld. </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B6 digitalisering werkprocessen strafrechtketen</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 xml:space="preserve">De Regeerakkoordmiddelen voor de digitalisering van werkprocessen in de strafrechtketen worden overgeheveld naar de JenV-begroting. De middelen worden besteed aan verscheidende projecten met als doel om papier uit de keten te krijgen, de dienstverlening te verbeteren en te investeren in </w:t>
      </w:r>
      <w:r w:rsidRPr="0003638F">
        <w:rPr>
          <w:rFonts w:eastAsia="Times New Roman" w:cs="Times New Roman"/>
          <w:szCs w:val="18"/>
          <w:lang w:eastAsia="nl-NL"/>
        </w:rPr>
        <w:lastRenderedPageBreak/>
        <w:t>de kernsystemen. Een deel van de middelen wordt ingezet voor dekking van tekorten in de justitiële ketens.</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Herstellen weeffout asiel onderwijs</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Voortaan wordt de toerekening aan ODA van onderwijsuitgaven ten behoeve van asielzoekerskinderen op de begroting van OCW geboekt in plaats van op de begroting van JenV. Hiervoor vindt een aantal budgettair neutrale boekingen plaats tussen de begrotingen van JenV en BHOS en van BHOS en OCW. Op de begroting van JenV is de overboeking van de JenV-begroting naar de BHOS-begroting zichtbaar (niet-HGIS naar HGIS; deze gelden worden vervolgens van BHOS naar OCW overgeheveld).</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Loonbijstelling</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De loonbijstelling tranche 2019 wordt toegevoegd aan de begroting van JenV.</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Prijsbijstelling</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De prijsbijstelling tranche 2019 wordt toegevoegd aan de begroting van JenV.</w:t>
      </w:r>
    </w:p>
    <w:p w:rsidRPr="0003638F" w:rsidR="0003638F" w:rsidP="0003638F" w:rsidRDefault="0003638F">
      <w:pPr>
        <w:spacing w:after="0" w:line="24" w:lineRule="atLeast"/>
        <w:rPr>
          <w:rFonts w:eastAsia="Times New Roman" w:cs="Times New Roman"/>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Diversen – technische mutaties, uitgaven</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 xml:space="preserve">In de post diversen zitten verschillende onderdelen, waaronder de </w:t>
      </w:r>
      <w:r w:rsidR="0062085A">
        <w:rPr>
          <w:rFonts w:eastAsia="Times New Roman" w:cs="Times New Roman"/>
          <w:szCs w:val="18"/>
          <w:lang w:eastAsia="nl-NL"/>
        </w:rPr>
        <w:t>R</w:t>
      </w:r>
      <w:r w:rsidRPr="0003638F">
        <w:rPr>
          <w:rFonts w:eastAsia="Times New Roman" w:cs="Times New Roman"/>
          <w:szCs w:val="18"/>
          <w:lang w:eastAsia="nl-NL"/>
        </w:rPr>
        <w:t xml:space="preserve">egeerakkoordmiddelen B10 voor de bestrijding van ondermijnende criminaliteit en de overheveling van middelen voor de landelijke vreemdelingenvoorzieningen naar het gemeentefonds. </w:t>
      </w:r>
    </w:p>
    <w:p w:rsidRPr="0003638F" w:rsidR="0003638F" w:rsidP="0003638F" w:rsidRDefault="0003638F">
      <w:pPr>
        <w:spacing w:after="0" w:line="24" w:lineRule="atLeast"/>
        <w:rPr>
          <w:rFonts w:eastAsia="Times New Roman" w:cs="Times New Roman"/>
          <w:b/>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Asiel: inzet asielreserve</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De resterende middelen in de asielreserve worden ingezet voor de problematiek.</w:t>
      </w:r>
    </w:p>
    <w:p w:rsidRPr="0003638F" w:rsidR="0003638F" w:rsidP="0003638F" w:rsidRDefault="0003638F">
      <w:pPr>
        <w:spacing w:after="0" w:line="24" w:lineRule="atLeast"/>
        <w:rPr>
          <w:rFonts w:eastAsia="Times New Roman" w:cs="Times New Roman"/>
          <w:i/>
          <w:szCs w:val="18"/>
          <w:lang w:eastAsia="nl-NL"/>
        </w:rPr>
      </w:pP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i/>
          <w:szCs w:val="18"/>
          <w:lang w:eastAsia="nl-NL"/>
        </w:rPr>
        <w:t>Prognosemodel justitiële ketens (</w:t>
      </w:r>
      <w:proofErr w:type="spellStart"/>
      <w:r w:rsidRPr="0003638F">
        <w:rPr>
          <w:rFonts w:eastAsia="Times New Roman" w:cs="Times New Roman"/>
          <w:i/>
          <w:szCs w:val="18"/>
          <w:lang w:eastAsia="nl-NL"/>
        </w:rPr>
        <w:t>pmj</w:t>
      </w:r>
      <w:proofErr w:type="spellEnd"/>
      <w:r w:rsidRPr="0003638F">
        <w:rPr>
          <w:rFonts w:eastAsia="Times New Roman" w:cs="Times New Roman"/>
          <w:i/>
          <w:szCs w:val="18"/>
          <w:lang w:eastAsia="nl-NL"/>
        </w:rPr>
        <w:t>)</w:t>
      </w:r>
      <w:r w:rsidRPr="0003638F">
        <w:rPr>
          <w:rFonts w:eastAsia="Times New Roman" w:cs="Times New Roman"/>
          <w:i/>
          <w:szCs w:val="18"/>
          <w:lang w:eastAsia="nl-NL"/>
        </w:rPr>
        <w:br/>
      </w:r>
      <w:r w:rsidRPr="0003638F">
        <w:rPr>
          <w:rFonts w:eastAsia="Times New Roman" w:cs="Times New Roman"/>
          <w:szCs w:val="18"/>
          <w:lang w:eastAsia="nl-NL"/>
        </w:rPr>
        <w:t>Dit betreft de budgettaire verwerking van de uitkomsten van het Prognosemodel Justitiële Ketens. De raming van de capaciteitsbehoefte in de justitiële ketens wordt verwerkt in de diverse ontvangstenramingen op de JenV-begroting, voor de jaren 2019-2021, waaronder administratiekosten van het Centraal Justitieel Incassobureau (CJIB) en griffierechten.</w:t>
      </w:r>
    </w:p>
    <w:p w:rsidRPr="0003638F" w:rsidR="0003638F" w:rsidP="0003638F" w:rsidRDefault="0003638F">
      <w:pPr>
        <w:spacing w:after="0" w:line="24" w:lineRule="atLeast"/>
        <w:rPr>
          <w:rFonts w:eastAsia="Times New Roman" w:cs="Times New Roman"/>
          <w:i/>
          <w:szCs w:val="18"/>
          <w:lang w:eastAsia="nl-NL"/>
        </w:rPr>
      </w:pP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i/>
          <w:szCs w:val="18"/>
          <w:lang w:eastAsia="nl-NL"/>
        </w:rPr>
        <w:t>Ramingsbij</w:t>
      </w:r>
      <w:r w:rsidR="00FC0E80">
        <w:rPr>
          <w:rFonts w:eastAsia="Times New Roman" w:cs="Times New Roman"/>
          <w:i/>
          <w:szCs w:val="18"/>
          <w:lang w:eastAsia="nl-NL"/>
        </w:rPr>
        <w:t xml:space="preserve">stelling/ dekking problematiek </w:t>
      </w:r>
      <w:proofErr w:type="spellStart"/>
      <w:r w:rsidR="00FC0E80">
        <w:rPr>
          <w:rFonts w:eastAsia="Times New Roman" w:cs="Times New Roman"/>
          <w:i/>
          <w:szCs w:val="18"/>
          <w:lang w:eastAsia="nl-NL"/>
        </w:rPr>
        <w:t>JenV</w:t>
      </w:r>
      <w:proofErr w:type="spellEnd"/>
      <w:r w:rsidRPr="0003638F">
        <w:rPr>
          <w:rFonts w:eastAsia="Times New Roman" w:cs="Times New Roman"/>
          <w:i/>
          <w:szCs w:val="18"/>
          <w:lang w:eastAsia="nl-NL"/>
        </w:rPr>
        <w:br/>
      </w:r>
      <w:proofErr w:type="spellStart"/>
      <w:r w:rsidRPr="0003638F">
        <w:rPr>
          <w:rFonts w:eastAsia="Times New Roman" w:cs="Times New Roman"/>
          <w:szCs w:val="18"/>
          <w:lang w:eastAsia="nl-NL"/>
        </w:rPr>
        <w:t>JenV</w:t>
      </w:r>
      <w:proofErr w:type="spellEnd"/>
      <w:r w:rsidRPr="0003638F">
        <w:rPr>
          <w:rFonts w:eastAsia="Times New Roman" w:cs="Times New Roman"/>
          <w:szCs w:val="18"/>
          <w:lang w:eastAsia="nl-NL"/>
        </w:rPr>
        <w:t xml:space="preserve"> zet verschillende incidentele meevallers, waaronder het afromen van het eigen vermogen boven de 5% bij de agentschappen, in ter dekking van de problematiek.</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Daarnaast wordt de raming van de boeteopbrengsten van de Autoriteit Persoonsgegevens stapsgewijs verhoogd.</w:t>
      </w:r>
    </w:p>
    <w:p w:rsidRPr="0003638F" w:rsidR="0003638F" w:rsidP="0003638F" w:rsidRDefault="0003638F">
      <w:pPr>
        <w:spacing w:after="0" w:line="24" w:lineRule="atLeast"/>
        <w:rPr>
          <w:rFonts w:eastAsia="Times New Roman" w:cs="Times New Roman"/>
          <w:i/>
          <w:szCs w:val="18"/>
          <w:lang w:eastAsia="nl-NL"/>
        </w:rPr>
      </w:pPr>
    </w:p>
    <w:p w:rsidRPr="0003638F" w:rsidR="0003638F" w:rsidP="0003638F" w:rsidRDefault="0003638F">
      <w:pPr>
        <w:spacing w:after="0" w:line="24" w:lineRule="atLeast"/>
        <w:rPr>
          <w:rFonts w:eastAsia="Times New Roman" w:cs="Times New Roman"/>
          <w:i/>
          <w:szCs w:val="18"/>
          <w:lang w:eastAsia="nl-NL"/>
        </w:rPr>
      </w:pPr>
      <w:r w:rsidRPr="0003638F">
        <w:rPr>
          <w:rFonts w:eastAsia="Times New Roman" w:cs="Times New Roman"/>
          <w:i/>
          <w:szCs w:val="18"/>
          <w:lang w:eastAsia="nl-NL"/>
        </w:rPr>
        <w:t>Diversen – beleidsmatige mutaties, niet-belastingontvangsten</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De post diversen betreft de actualisatie van de raming voor boeten en transacties (B&amp;T).</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szCs w:val="18"/>
          <w:lang w:eastAsia="nl-NL"/>
        </w:rPr>
        <w:t xml:space="preserve"> </w:t>
      </w:r>
    </w:p>
    <w:p w:rsidRPr="0003638F" w:rsidR="0003638F" w:rsidP="0003638F" w:rsidRDefault="0003638F">
      <w:pPr>
        <w:spacing w:after="0" w:line="24" w:lineRule="atLeast"/>
        <w:rPr>
          <w:rFonts w:eastAsia="Times New Roman" w:cs="Times New Roman"/>
          <w:szCs w:val="18"/>
          <w:lang w:eastAsia="nl-NL"/>
        </w:rPr>
      </w:pPr>
      <w:r w:rsidRPr="0003638F">
        <w:rPr>
          <w:rFonts w:eastAsia="Times New Roman" w:cs="Times New Roman"/>
          <w:i/>
          <w:szCs w:val="18"/>
          <w:lang w:eastAsia="nl-NL"/>
        </w:rPr>
        <w:t xml:space="preserve">Diversen – technische mutaties, niet-belastingontvangsten </w:t>
      </w:r>
      <w:r w:rsidRPr="0003638F">
        <w:rPr>
          <w:rFonts w:eastAsia="Times New Roman" w:cs="Times New Roman"/>
          <w:i/>
          <w:szCs w:val="18"/>
          <w:lang w:eastAsia="nl-NL"/>
        </w:rPr>
        <w:br/>
      </w:r>
      <w:r w:rsidRPr="0003638F">
        <w:rPr>
          <w:rFonts w:eastAsia="Times New Roman" w:cs="Times New Roman"/>
          <w:szCs w:val="18"/>
          <w:lang w:eastAsia="nl-NL"/>
        </w:rPr>
        <w:t>De post diversen bestaat voornamelijk uit een desaldering van de opbrengsten voor het medegebruik van C2000 in 2018.</w:t>
      </w:r>
    </w:p>
    <w:p w:rsidRPr="0003638F" w:rsidR="0003638F" w:rsidP="0003638F" w:rsidRDefault="0003638F">
      <w:pPr>
        <w:spacing w:after="0" w:line="24" w:lineRule="atLeast"/>
        <w:rPr>
          <w:rFonts w:eastAsia="Times New Roman" w:cs="Times New Roman"/>
          <w:szCs w:val="18"/>
          <w:lang w:eastAsia="nl-NL"/>
        </w:rPr>
      </w:pP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D72210" w:rsidR="00D72210" w:rsidTr="00D72210">
        <w:trPr>
          <w:trHeight w:val="225"/>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b/>
                <w:bCs/>
                <w:color w:val="000000"/>
                <w:szCs w:val="18"/>
                <w:lang w:eastAsia="nl-NL"/>
              </w:rPr>
            </w:pPr>
            <w:r w:rsidRPr="00D72210">
              <w:rPr>
                <w:rFonts w:eastAsia="Times New Roman" w:cs="Times New Roman"/>
                <w:b/>
                <w:bCs/>
                <w:color w:val="000000"/>
                <w:szCs w:val="18"/>
                <w:lang w:eastAsia="nl-NL"/>
              </w:rPr>
              <w:lastRenderedPageBreak/>
              <w:t>Binnenlandse Zaken en Koninkrijksrelaties</w:t>
            </w: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VII BINNENLANDSE ZAKEN EN KONINKRIJKSRELATIES: UITGAVEN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5.481,3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5.586,2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5.549,6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5.629,2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5.777,2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proofErr w:type="spellStart"/>
            <w:r w:rsidRPr="00D72210">
              <w:rPr>
                <w:rFonts w:eastAsia="Times New Roman" w:cs="Times New Roman"/>
                <w:color w:val="000000"/>
                <w:szCs w:val="18"/>
                <w:lang w:eastAsia="nl-NL"/>
              </w:rPr>
              <w:t>Ejm</w:t>
            </w:r>
            <w:proofErr w:type="spellEnd"/>
            <w:r w:rsidRPr="00D72210">
              <w:rPr>
                <w:rFonts w:eastAsia="Times New Roman" w:cs="Times New Roman"/>
                <w:color w:val="000000"/>
                <w:szCs w:val="18"/>
                <w:lang w:eastAsia="nl-NL"/>
              </w:rPr>
              <w:t xml:space="preserve"> h7</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48,2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proofErr w:type="spellStart"/>
            <w:r w:rsidRPr="00D72210">
              <w:rPr>
                <w:rFonts w:eastAsia="Times New Roman" w:cs="Times New Roman"/>
                <w:color w:val="000000"/>
                <w:szCs w:val="18"/>
                <w:lang w:eastAsia="nl-NL"/>
              </w:rPr>
              <w:t>Ejm</w:t>
            </w:r>
            <w:proofErr w:type="spellEnd"/>
            <w:r w:rsidRPr="00D72210">
              <w:rPr>
                <w:rFonts w:eastAsia="Times New Roman" w:cs="Times New Roman"/>
                <w:color w:val="000000"/>
                <w:szCs w:val="18"/>
                <w:lang w:eastAsia="nl-NL"/>
              </w:rPr>
              <w:t xml:space="preserve"> h7 (specifieke inzet)</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Huurtoeslag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-34,2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25,1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46,9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34,0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Klimaatenvelop gasvrije wijken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113,6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36,3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33,9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31,9</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155,0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36,3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33,9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31,9</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200" w:firstLineChars="1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70,3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47,0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35,3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5.683,2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5.656,5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5.596,6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5.664,5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5.794,8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5.683,7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5.657,0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5.597,1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5.665,1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5.795,5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VII BINNENLANDSE ZAKEN EN KONINKRIJKSRELATIES: NIET-BELASTINGONTVANGSTEN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679,4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696,3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657,8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640,5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634,5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Huurtoeslag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-33,1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-44,0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-44,0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47,1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47,1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w:t>
            </w: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710,2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654,4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647,5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644,3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637,5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710,2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654,4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647,5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644,3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637,5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AF3B96" w:rsidP="001D695D" w:rsidRDefault="00AF3B96">
      <w:pPr>
        <w:spacing w:after="0"/>
        <w:rPr>
          <w:rFonts w:asciiTheme="majorHAnsi" w:hAnsiTheme="majorHAnsi"/>
          <w:b/>
          <w:szCs w:val="18"/>
        </w:rPr>
      </w:pPr>
    </w:p>
    <w:p w:rsidRPr="00743C03" w:rsidR="00A92162" w:rsidP="00A92162" w:rsidRDefault="00A92162">
      <w:pPr>
        <w:spacing w:after="0"/>
        <w:rPr>
          <w:rFonts w:eastAsia="Times New Roman"/>
          <w:szCs w:val="18"/>
        </w:rPr>
      </w:pPr>
      <w:r w:rsidRPr="00743C03">
        <w:rPr>
          <w:rFonts w:eastAsia="Times New Roman"/>
          <w:i/>
          <w:szCs w:val="18"/>
        </w:rPr>
        <w:t>EJM H7</w:t>
      </w:r>
    </w:p>
    <w:p w:rsidR="00A92162" w:rsidP="00A92162" w:rsidRDefault="00A92162">
      <w:pPr>
        <w:spacing w:after="0"/>
        <w:rPr>
          <w:sz w:val="22"/>
        </w:rPr>
      </w:pPr>
      <w:r>
        <w:rPr>
          <w:szCs w:val="18"/>
        </w:rPr>
        <w:t>De eindejaarsmarge van 54,6 mln. wordt toegevoegd aan de begroting van BZK. Hiervan zet BZK 6,4 mln. via het generale beeld in voor dekking van problematiek binnen eigen begroting. </w:t>
      </w:r>
    </w:p>
    <w:p w:rsidR="00AF3B96" w:rsidP="00A92162" w:rsidRDefault="00AF3B96">
      <w:pPr>
        <w:spacing w:after="0"/>
        <w:rPr>
          <w:rFonts w:eastAsia="Times New Roman"/>
          <w:i/>
          <w:szCs w:val="18"/>
        </w:rPr>
      </w:pPr>
    </w:p>
    <w:p w:rsidR="00467DCF" w:rsidP="00A92162" w:rsidRDefault="00467DCF">
      <w:pPr>
        <w:spacing w:after="0"/>
        <w:rPr>
          <w:rFonts w:eastAsia="Times New Roman"/>
          <w:i/>
          <w:szCs w:val="18"/>
        </w:rPr>
      </w:pPr>
    </w:p>
    <w:p w:rsidR="00467DCF" w:rsidP="00A92162" w:rsidRDefault="00467DCF">
      <w:pPr>
        <w:spacing w:after="0"/>
        <w:rPr>
          <w:rFonts w:eastAsia="Times New Roman"/>
          <w:i/>
          <w:szCs w:val="18"/>
        </w:rPr>
      </w:pPr>
    </w:p>
    <w:p w:rsidR="00467DCF" w:rsidP="00A92162" w:rsidRDefault="00467DCF">
      <w:pPr>
        <w:spacing w:after="0"/>
        <w:rPr>
          <w:rFonts w:eastAsia="Times New Roman"/>
          <w:i/>
          <w:szCs w:val="18"/>
        </w:rPr>
      </w:pPr>
    </w:p>
    <w:p w:rsidR="00A92162" w:rsidP="00A92162" w:rsidRDefault="00A92162">
      <w:pPr>
        <w:spacing w:after="0"/>
        <w:rPr>
          <w:rFonts w:eastAsia="Times New Roman"/>
          <w:i/>
          <w:szCs w:val="18"/>
        </w:rPr>
      </w:pPr>
      <w:r>
        <w:rPr>
          <w:rFonts w:eastAsia="Times New Roman"/>
          <w:i/>
          <w:szCs w:val="18"/>
        </w:rPr>
        <w:lastRenderedPageBreak/>
        <w:t>EJM H7 (specifieke inzet)</w:t>
      </w:r>
    </w:p>
    <w:p w:rsidR="00362B14" w:rsidP="00A92162" w:rsidRDefault="00A92162">
      <w:pPr>
        <w:spacing w:after="0"/>
        <w:rPr>
          <w:rFonts w:eastAsia="Times New Roman"/>
          <w:szCs w:val="18"/>
        </w:rPr>
      </w:pPr>
      <w:r w:rsidRPr="009A4C0D">
        <w:rPr>
          <w:szCs w:val="18"/>
        </w:rPr>
        <w:t>BZK zet een deel van de eindejaarsmar</w:t>
      </w:r>
      <w:r>
        <w:rPr>
          <w:szCs w:val="18"/>
        </w:rPr>
        <w:t>ge binnen de eigen begroting in,</w:t>
      </w:r>
      <w:r w:rsidRPr="009A4C0D">
        <w:rPr>
          <w:szCs w:val="18"/>
        </w:rPr>
        <w:t xml:space="preserve"> onder andere voor </w:t>
      </w:r>
      <w:r w:rsidRPr="009A4C0D">
        <w:rPr>
          <w:rFonts w:eastAsia="Times New Roman"/>
          <w:szCs w:val="18"/>
        </w:rPr>
        <w:t xml:space="preserve">de Omgevingswet, het aanvullen van het negatief eigen vermogen 2018 van SSC-ICT, de desinformatiecampagne, de woondeals en de archiefachterstanden bij </w:t>
      </w:r>
      <w:proofErr w:type="spellStart"/>
      <w:r w:rsidRPr="009A4C0D">
        <w:rPr>
          <w:rFonts w:eastAsia="Times New Roman"/>
          <w:szCs w:val="18"/>
        </w:rPr>
        <w:t>Doc-Direkt</w:t>
      </w:r>
      <w:proofErr w:type="spellEnd"/>
      <w:r w:rsidRPr="009A4C0D" w:rsidR="00362B14">
        <w:rPr>
          <w:rFonts w:eastAsia="Times New Roman"/>
          <w:szCs w:val="18"/>
        </w:rPr>
        <w:t>.</w:t>
      </w:r>
    </w:p>
    <w:p w:rsidR="00AF3B96" w:rsidP="00362B14" w:rsidRDefault="00AF3B96">
      <w:pPr>
        <w:spacing w:after="0"/>
        <w:rPr>
          <w:rFonts w:eastAsia="Times New Roman"/>
          <w:i/>
          <w:szCs w:val="18"/>
        </w:rPr>
      </w:pPr>
    </w:p>
    <w:p w:rsidRPr="00743C03" w:rsidR="00362B14" w:rsidP="00362B14" w:rsidRDefault="00362B14">
      <w:pPr>
        <w:spacing w:after="0"/>
        <w:rPr>
          <w:rFonts w:eastAsia="Times New Roman"/>
          <w:i/>
          <w:szCs w:val="18"/>
        </w:rPr>
      </w:pPr>
      <w:r w:rsidRPr="00743C03">
        <w:rPr>
          <w:rFonts w:eastAsia="Times New Roman"/>
          <w:i/>
          <w:szCs w:val="18"/>
        </w:rPr>
        <w:t>Huurtoeslag</w:t>
      </w:r>
    </w:p>
    <w:p w:rsidRPr="00743C03" w:rsidR="00362B14" w:rsidP="00362B14" w:rsidRDefault="00362B14">
      <w:pPr>
        <w:spacing w:after="0"/>
        <w:rPr>
          <w:rFonts w:eastAsia="Times New Roman"/>
          <w:szCs w:val="18"/>
        </w:rPr>
      </w:pPr>
      <w:r w:rsidRPr="00743C03">
        <w:rPr>
          <w:rFonts w:eastAsia="Times New Roman"/>
          <w:szCs w:val="18"/>
        </w:rPr>
        <w:t>De raming van de huurtoeslag laat in de eerste jaren tegenvallers zien die vanaf 2022 omslaan in meevallers. De structurele meevaller is het gevolg van een lagere huurprijsontwikkeling. De belangrijkste oorzaken van de tekorten in 2019-2021 zijn de bijstelling van de verwachte hoogte van de werkloosheid in 2019 en het uitstellen van de stroomlijning van het invorderingsbeleid bij de Belastingdienst. De meerjarenraming sluit op 0 door een incidentele bijdrage van 14,4 mln. vanuit de eindejaarsmarge 2018 van de begroting van BZK.</w:t>
      </w:r>
    </w:p>
    <w:p w:rsidRPr="00743C03" w:rsidR="00362B14" w:rsidP="00362B14" w:rsidRDefault="00362B14">
      <w:pPr>
        <w:spacing w:after="0"/>
        <w:rPr>
          <w:rFonts w:eastAsia="Times New Roman"/>
          <w:szCs w:val="18"/>
        </w:rPr>
      </w:pPr>
    </w:p>
    <w:p w:rsidRPr="00743C03" w:rsidR="00362B14" w:rsidP="00362B14" w:rsidRDefault="00362B14">
      <w:pPr>
        <w:spacing w:after="0"/>
        <w:rPr>
          <w:rFonts w:eastAsia="Times New Roman"/>
          <w:i/>
          <w:szCs w:val="18"/>
        </w:rPr>
      </w:pPr>
      <w:r w:rsidRPr="00743C03">
        <w:rPr>
          <w:rFonts w:eastAsia="Times New Roman"/>
          <w:i/>
          <w:szCs w:val="18"/>
        </w:rPr>
        <w:t xml:space="preserve">Diversen </w:t>
      </w:r>
      <w:r>
        <w:rPr>
          <w:rFonts w:eastAsia="Times New Roman"/>
          <w:i/>
          <w:szCs w:val="18"/>
        </w:rPr>
        <w:t xml:space="preserve">- </w:t>
      </w:r>
      <w:r w:rsidRPr="00743C03">
        <w:rPr>
          <w:rFonts w:eastAsia="Times New Roman"/>
          <w:i/>
          <w:szCs w:val="18"/>
        </w:rPr>
        <w:t>beleidsmatige mutaties</w:t>
      </w:r>
      <w:r>
        <w:rPr>
          <w:rFonts w:eastAsia="Times New Roman"/>
          <w:i/>
          <w:szCs w:val="18"/>
        </w:rPr>
        <w:t xml:space="preserve">, </w:t>
      </w:r>
      <w:r w:rsidRPr="00743C03">
        <w:rPr>
          <w:rFonts w:eastAsia="Times New Roman"/>
          <w:i/>
          <w:szCs w:val="18"/>
        </w:rPr>
        <w:t>uitgaven</w:t>
      </w:r>
    </w:p>
    <w:p w:rsidRPr="00743C03" w:rsidR="00362B14" w:rsidP="00362B14" w:rsidRDefault="00362B14">
      <w:pPr>
        <w:spacing w:after="0"/>
        <w:rPr>
          <w:rFonts w:eastAsia="Times New Roman"/>
          <w:szCs w:val="18"/>
        </w:rPr>
      </w:pPr>
      <w:r w:rsidRPr="00743C03">
        <w:rPr>
          <w:rFonts w:eastAsia="Times New Roman"/>
          <w:szCs w:val="18"/>
        </w:rPr>
        <w:t xml:space="preserve">Er worden middelen toegevoegd aan de begroting van BZK voor de niet-huisvestingskosten die de gebruikers (Staten-Generaal, Raad van State, AZ) maken vanwege de </w:t>
      </w:r>
      <w:r>
        <w:rPr>
          <w:rFonts w:eastAsia="Times New Roman"/>
          <w:szCs w:val="18"/>
        </w:rPr>
        <w:t xml:space="preserve">renovatie van het Binnenhof. Daarnaast worden middelen toegevoegd </w:t>
      </w:r>
      <w:r w:rsidR="000118D7">
        <w:rPr>
          <w:rFonts w:eastAsia="Times New Roman"/>
          <w:szCs w:val="18"/>
        </w:rPr>
        <w:t xml:space="preserve">aan de begroting van BZK </w:t>
      </w:r>
      <w:r>
        <w:rPr>
          <w:rFonts w:eastAsia="Times New Roman"/>
          <w:szCs w:val="18"/>
        </w:rPr>
        <w:t>voor</w:t>
      </w:r>
      <w:r w:rsidRPr="00743C03">
        <w:rPr>
          <w:rFonts w:eastAsia="Times New Roman"/>
          <w:szCs w:val="18"/>
        </w:rPr>
        <w:t xml:space="preserve"> de Omgevingswet, de capaciteitsuitbreiding van de AIVD voor het uitvoeren van de Geïntegreerde Aanwijzing en een </w:t>
      </w:r>
      <w:r w:rsidR="00A122CB">
        <w:rPr>
          <w:rFonts w:eastAsia="Times New Roman"/>
          <w:szCs w:val="18"/>
        </w:rPr>
        <w:t xml:space="preserve">structurele </w:t>
      </w:r>
      <w:r w:rsidRPr="00743C03">
        <w:rPr>
          <w:rFonts w:eastAsia="Times New Roman"/>
          <w:szCs w:val="18"/>
        </w:rPr>
        <w:t>bijdrage</w:t>
      </w:r>
      <w:r w:rsidR="00A122CB">
        <w:rPr>
          <w:rFonts w:eastAsia="Times New Roman"/>
          <w:szCs w:val="18"/>
        </w:rPr>
        <w:t xml:space="preserve"> van 5 mln.</w:t>
      </w:r>
      <w:r w:rsidRPr="00743C03">
        <w:rPr>
          <w:rFonts w:eastAsia="Times New Roman"/>
          <w:szCs w:val="18"/>
        </w:rPr>
        <w:t xml:space="preserve"> </w:t>
      </w:r>
      <w:r w:rsidR="007F47A8">
        <w:rPr>
          <w:rFonts w:eastAsia="Times New Roman"/>
          <w:szCs w:val="18"/>
        </w:rPr>
        <w:t xml:space="preserve">aan de AIVD </w:t>
      </w:r>
      <w:r w:rsidRPr="00743C03">
        <w:rPr>
          <w:rFonts w:eastAsia="Times New Roman"/>
          <w:szCs w:val="18"/>
        </w:rPr>
        <w:t xml:space="preserve">voor bestrijding van jihadisten. Daarnaast </w:t>
      </w:r>
      <w:r w:rsidR="000118D7">
        <w:rPr>
          <w:rFonts w:eastAsia="Times New Roman"/>
          <w:szCs w:val="18"/>
        </w:rPr>
        <w:t>zet BZK</w:t>
      </w:r>
      <w:r w:rsidRPr="00743C03" w:rsidR="000118D7">
        <w:rPr>
          <w:rFonts w:eastAsia="Times New Roman"/>
          <w:szCs w:val="18"/>
        </w:rPr>
        <w:t xml:space="preserve"> </w:t>
      </w:r>
      <w:r w:rsidRPr="00743C03">
        <w:rPr>
          <w:rFonts w:eastAsia="Times New Roman"/>
          <w:szCs w:val="18"/>
        </w:rPr>
        <w:t xml:space="preserve">een </w:t>
      </w:r>
      <w:r w:rsidR="000118D7">
        <w:rPr>
          <w:rFonts w:eastAsia="Times New Roman"/>
          <w:szCs w:val="18"/>
        </w:rPr>
        <w:t>deel</w:t>
      </w:r>
      <w:r w:rsidRPr="00743C03" w:rsidR="000118D7">
        <w:rPr>
          <w:rFonts w:eastAsia="Times New Roman"/>
          <w:szCs w:val="18"/>
        </w:rPr>
        <w:t xml:space="preserve"> </w:t>
      </w:r>
      <w:r w:rsidRPr="00743C03">
        <w:rPr>
          <w:rFonts w:eastAsia="Times New Roman"/>
          <w:szCs w:val="18"/>
        </w:rPr>
        <w:t>van</w:t>
      </w:r>
      <w:r w:rsidR="000118D7">
        <w:rPr>
          <w:rFonts w:eastAsia="Times New Roman"/>
          <w:szCs w:val="18"/>
        </w:rPr>
        <w:t xml:space="preserve"> de LPO en</w:t>
      </w:r>
      <w:r w:rsidRPr="00743C03">
        <w:rPr>
          <w:rFonts w:eastAsia="Times New Roman"/>
          <w:szCs w:val="18"/>
        </w:rPr>
        <w:t xml:space="preserve"> de eindejaarsmarge </w:t>
      </w:r>
      <w:r w:rsidR="000118D7">
        <w:rPr>
          <w:rFonts w:eastAsia="Times New Roman"/>
          <w:szCs w:val="18"/>
        </w:rPr>
        <w:t>in</w:t>
      </w:r>
      <w:r w:rsidRPr="00743C03">
        <w:rPr>
          <w:rFonts w:eastAsia="Times New Roman"/>
          <w:szCs w:val="18"/>
        </w:rPr>
        <w:t xml:space="preserve"> voor o.a. de Omgevingswet, het </w:t>
      </w:r>
      <w:r w:rsidR="000118D7">
        <w:rPr>
          <w:rFonts w:eastAsia="Times New Roman"/>
          <w:szCs w:val="18"/>
        </w:rPr>
        <w:t>aanzuiveren</w:t>
      </w:r>
      <w:r w:rsidRPr="00743C03" w:rsidR="000118D7">
        <w:rPr>
          <w:rFonts w:eastAsia="Times New Roman"/>
          <w:szCs w:val="18"/>
        </w:rPr>
        <w:t xml:space="preserve"> </w:t>
      </w:r>
      <w:r w:rsidRPr="00743C03">
        <w:rPr>
          <w:rFonts w:eastAsia="Times New Roman"/>
          <w:szCs w:val="18"/>
        </w:rPr>
        <w:t xml:space="preserve">van het negatief eigen vermogen 2018 van SSC-ICT, de woondeals en de archiefachterstanden bij </w:t>
      </w:r>
      <w:proofErr w:type="spellStart"/>
      <w:r w:rsidRPr="00743C03">
        <w:rPr>
          <w:rFonts w:eastAsia="Times New Roman"/>
          <w:szCs w:val="18"/>
        </w:rPr>
        <w:t>Doc-Direkt</w:t>
      </w:r>
      <w:proofErr w:type="spellEnd"/>
      <w:r w:rsidRPr="00743C03">
        <w:rPr>
          <w:rFonts w:eastAsia="Times New Roman"/>
          <w:szCs w:val="18"/>
        </w:rPr>
        <w:t>.</w:t>
      </w:r>
    </w:p>
    <w:p w:rsidR="00362B14" w:rsidP="00362B14" w:rsidRDefault="00362B14">
      <w:pPr>
        <w:spacing w:after="0"/>
        <w:rPr>
          <w:rFonts w:eastAsia="Times New Roman"/>
          <w:i/>
          <w:szCs w:val="18"/>
        </w:rPr>
      </w:pPr>
    </w:p>
    <w:p w:rsidRPr="00743C03" w:rsidR="00362B14" w:rsidP="00362B14" w:rsidRDefault="00362B14">
      <w:pPr>
        <w:spacing w:after="0"/>
        <w:rPr>
          <w:rFonts w:eastAsia="Times New Roman"/>
          <w:i/>
          <w:szCs w:val="18"/>
        </w:rPr>
      </w:pPr>
      <w:r w:rsidRPr="00743C03">
        <w:rPr>
          <w:rFonts w:eastAsia="Times New Roman"/>
          <w:i/>
          <w:szCs w:val="18"/>
        </w:rPr>
        <w:t xml:space="preserve">Klimaatenvelop </w:t>
      </w:r>
      <w:r w:rsidR="000118D7">
        <w:rPr>
          <w:rFonts w:eastAsia="Times New Roman"/>
          <w:i/>
          <w:szCs w:val="18"/>
        </w:rPr>
        <w:t>aard</w:t>
      </w:r>
      <w:r w:rsidRPr="00743C03">
        <w:rPr>
          <w:rFonts w:eastAsia="Times New Roman"/>
          <w:i/>
          <w:szCs w:val="18"/>
        </w:rPr>
        <w:t>gasvrije wijken</w:t>
      </w:r>
    </w:p>
    <w:p w:rsidRPr="00743C03" w:rsidR="00362B14" w:rsidP="00362B14" w:rsidRDefault="00362B14">
      <w:pPr>
        <w:spacing w:after="0"/>
        <w:rPr>
          <w:rFonts w:eastAsia="Times New Roman"/>
          <w:szCs w:val="18"/>
        </w:rPr>
      </w:pPr>
      <w:r>
        <w:rPr>
          <w:rFonts w:eastAsia="Times New Roman"/>
          <w:szCs w:val="18"/>
        </w:rPr>
        <w:t>Vanaf de aanvullende post is budget overgemaakt voor het programma aardgasvrije wijken. Het doel van dit programma</w:t>
      </w:r>
      <w:r w:rsidRPr="00743C03">
        <w:rPr>
          <w:rFonts w:eastAsia="Times New Roman"/>
          <w:szCs w:val="18"/>
        </w:rPr>
        <w:t xml:space="preserve"> is om kennis en ervaring op te doen </w:t>
      </w:r>
      <w:r>
        <w:rPr>
          <w:rFonts w:eastAsia="Times New Roman"/>
          <w:szCs w:val="18"/>
        </w:rPr>
        <w:t xml:space="preserve">met het aardgasvrij maken van wijken </w:t>
      </w:r>
      <w:r w:rsidRPr="00743C03">
        <w:rPr>
          <w:rFonts w:eastAsia="Times New Roman"/>
          <w:szCs w:val="18"/>
        </w:rPr>
        <w:t xml:space="preserve">om later op te kunnen schalen naar de aantallen die nodig zijn voor een CO2 arme gebouwde omgeving in 2050. In totaal is in 2019 41,4 mln. beschikbaar. Hiervan is 35 mln. voor het aardgasvrij maken van wijken. </w:t>
      </w:r>
      <w:r w:rsidR="000118D7">
        <w:rPr>
          <w:rFonts w:eastAsia="Times New Roman"/>
          <w:szCs w:val="18"/>
        </w:rPr>
        <w:t xml:space="preserve">Een bedrag van </w:t>
      </w:r>
      <w:r w:rsidRPr="00743C03">
        <w:rPr>
          <w:rFonts w:eastAsia="Times New Roman"/>
          <w:szCs w:val="18"/>
        </w:rPr>
        <w:t>5 mln. is voor de uitvoering van het programma Aardgasvrije wijken met onder meer een kennis- en leerprogramma voor gemeenten. Het resterende deel van 1,4 mln. is voor de uitvoeringskosten.</w:t>
      </w:r>
    </w:p>
    <w:p w:rsidRPr="00743C03" w:rsidR="00362B14" w:rsidP="00362B14" w:rsidRDefault="00362B14">
      <w:pPr>
        <w:spacing w:after="0"/>
        <w:rPr>
          <w:rFonts w:eastAsia="Times New Roman"/>
          <w:szCs w:val="18"/>
        </w:rPr>
      </w:pPr>
    </w:p>
    <w:p w:rsidRPr="00743C03" w:rsidR="00362B14" w:rsidP="00362B14" w:rsidRDefault="00362B14">
      <w:pPr>
        <w:spacing w:after="0"/>
        <w:rPr>
          <w:rFonts w:eastAsia="Times New Roman"/>
          <w:i/>
          <w:szCs w:val="18"/>
        </w:rPr>
      </w:pPr>
      <w:r w:rsidRPr="00743C03">
        <w:rPr>
          <w:rFonts w:eastAsia="Times New Roman"/>
          <w:i/>
          <w:szCs w:val="18"/>
        </w:rPr>
        <w:t>Diverse</w:t>
      </w:r>
      <w:r>
        <w:rPr>
          <w:rFonts w:eastAsia="Times New Roman"/>
          <w:i/>
          <w:szCs w:val="18"/>
        </w:rPr>
        <w:t xml:space="preserve">n - </w:t>
      </w:r>
      <w:r w:rsidRPr="00743C03">
        <w:rPr>
          <w:rFonts w:eastAsia="Times New Roman"/>
          <w:i/>
          <w:szCs w:val="18"/>
        </w:rPr>
        <w:t>technische mutaties</w:t>
      </w:r>
      <w:r>
        <w:rPr>
          <w:rFonts w:eastAsia="Times New Roman"/>
          <w:i/>
          <w:szCs w:val="18"/>
        </w:rPr>
        <w:t xml:space="preserve">, </w:t>
      </w:r>
      <w:r w:rsidRPr="00743C03">
        <w:rPr>
          <w:rFonts w:eastAsia="Times New Roman"/>
          <w:i/>
          <w:szCs w:val="18"/>
        </w:rPr>
        <w:t>uitgaven</w:t>
      </w:r>
    </w:p>
    <w:p w:rsidRPr="00743C03" w:rsidR="00362B14" w:rsidP="00362B14" w:rsidRDefault="00362B14">
      <w:pPr>
        <w:spacing w:after="0"/>
        <w:rPr>
          <w:rFonts w:eastAsia="Times New Roman"/>
          <w:szCs w:val="18"/>
        </w:rPr>
      </w:pPr>
      <w:r>
        <w:rPr>
          <w:rFonts w:eastAsia="Times New Roman"/>
          <w:szCs w:val="18"/>
        </w:rPr>
        <w:t xml:space="preserve">Vanaf de aanvullende post zijn middelen overgemaakt voor het innovatieprogramma Gebouwde Omgeving (25 mln.) en de Regionale Energiestrategieën (12,5 mln.). Daarnaast worden vanaf de begroting van BZK middelen overgeboekt naar de begrotingen van de Overige Colleges van Staat voor de kosten van dubbelbenoemingen (2,4 mln.) en naar de begroting van Koninkrijksrelaties voor kosten van technische ondersteuning bij </w:t>
      </w:r>
      <w:proofErr w:type="spellStart"/>
      <w:r>
        <w:rPr>
          <w:rFonts w:eastAsia="Times New Roman"/>
          <w:szCs w:val="18"/>
        </w:rPr>
        <w:t>bestuursontwikkeling</w:t>
      </w:r>
      <w:proofErr w:type="spellEnd"/>
      <w:r>
        <w:rPr>
          <w:rFonts w:eastAsia="Times New Roman"/>
          <w:szCs w:val="18"/>
        </w:rPr>
        <w:t xml:space="preserve"> (1,4 mln.). Tot slot</w:t>
      </w:r>
      <w:r w:rsidRPr="00743C03">
        <w:rPr>
          <w:rFonts w:eastAsia="Times New Roman"/>
          <w:szCs w:val="18"/>
        </w:rPr>
        <w:t xml:space="preserve"> wordt de loon- en prijsbijstelling toegevoegd aan de begroting van BZK.</w:t>
      </w:r>
    </w:p>
    <w:p w:rsidRPr="00743C03" w:rsidR="00362B14" w:rsidP="00362B14" w:rsidRDefault="00362B14">
      <w:pPr>
        <w:spacing w:after="0"/>
        <w:rPr>
          <w:rFonts w:eastAsia="Times New Roman"/>
          <w:szCs w:val="18"/>
        </w:rPr>
      </w:pPr>
    </w:p>
    <w:p w:rsidRPr="00743C03" w:rsidR="00362B14" w:rsidP="00362B14" w:rsidRDefault="00362B14">
      <w:pPr>
        <w:spacing w:after="0"/>
        <w:rPr>
          <w:rFonts w:eastAsia="Times New Roman"/>
          <w:i/>
          <w:szCs w:val="18"/>
        </w:rPr>
      </w:pPr>
      <w:r>
        <w:rPr>
          <w:rFonts w:eastAsia="Times New Roman"/>
          <w:i/>
          <w:szCs w:val="18"/>
        </w:rPr>
        <w:t xml:space="preserve">Diversen - </w:t>
      </w:r>
      <w:r w:rsidRPr="00743C03">
        <w:rPr>
          <w:rFonts w:eastAsia="Times New Roman"/>
          <w:i/>
          <w:szCs w:val="18"/>
        </w:rPr>
        <w:t>beleidsmatige mutaties</w:t>
      </w:r>
      <w:r>
        <w:rPr>
          <w:rFonts w:eastAsia="Times New Roman"/>
          <w:i/>
          <w:szCs w:val="18"/>
        </w:rPr>
        <w:t>, niet-belastingontvangsten</w:t>
      </w:r>
    </w:p>
    <w:p w:rsidRPr="00743C03" w:rsidR="00362B14" w:rsidP="00362B14" w:rsidRDefault="00362B14">
      <w:pPr>
        <w:spacing w:after="0"/>
        <w:rPr>
          <w:rFonts w:eastAsia="Times New Roman"/>
          <w:szCs w:val="18"/>
        </w:rPr>
      </w:pPr>
      <w:r w:rsidRPr="00743C03">
        <w:rPr>
          <w:rFonts w:eastAsia="Times New Roman"/>
          <w:szCs w:val="18"/>
        </w:rPr>
        <w:t xml:space="preserve">Conform de regeling agentschappen wordt het surplus eigen vermogen van </w:t>
      </w:r>
      <w:proofErr w:type="spellStart"/>
      <w:r w:rsidRPr="00743C03">
        <w:rPr>
          <w:rFonts w:eastAsia="Times New Roman"/>
          <w:szCs w:val="18"/>
        </w:rPr>
        <w:t>FMH</w:t>
      </w:r>
      <w:r w:rsidR="000118D7">
        <w:rPr>
          <w:rFonts w:eastAsia="Times New Roman"/>
          <w:szCs w:val="18"/>
        </w:rPr>
        <w:t>aaglanden</w:t>
      </w:r>
      <w:proofErr w:type="spellEnd"/>
      <w:r w:rsidR="000118D7">
        <w:rPr>
          <w:rFonts w:eastAsia="Times New Roman"/>
          <w:szCs w:val="18"/>
        </w:rPr>
        <w:t xml:space="preserve"> (FMH)</w:t>
      </w:r>
      <w:r w:rsidRPr="00743C03">
        <w:rPr>
          <w:rFonts w:eastAsia="Times New Roman"/>
          <w:szCs w:val="18"/>
        </w:rPr>
        <w:t xml:space="preserve"> en </w:t>
      </w:r>
      <w:r w:rsidR="000118D7">
        <w:rPr>
          <w:rFonts w:eastAsia="Times New Roman"/>
          <w:szCs w:val="18"/>
        </w:rPr>
        <w:t>Rijksvastgoedbedrijf (</w:t>
      </w:r>
      <w:r w:rsidRPr="00743C03">
        <w:rPr>
          <w:rFonts w:eastAsia="Times New Roman"/>
          <w:szCs w:val="18"/>
        </w:rPr>
        <w:t>RVB</w:t>
      </w:r>
      <w:r w:rsidR="000118D7">
        <w:rPr>
          <w:rFonts w:eastAsia="Times New Roman"/>
          <w:szCs w:val="18"/>
        </w:rPr>
        <w:t>)</w:t>
      </w:r>
      <w:r w:rsidRPr="00743C03">
        <w:rPr>
          <w:rFonts w:eastAsia="Times New Roman"/>
          <w:szCs w:val="18"/>
        </w:rPr>
        <w:t xml:space="preserve"> bij voorjaarsnota afgeroomd. Het bedrag wordt ingezet voor het </w:t>
      </w:r>
      <w:r w:rsidR="000118D7">
        <w:rPr>
          <w:rFonts w:eastAsia="Times New Roman"/>
          <w:szCs w:val="18"/>
        </w:rPr>
        <w:t xml:space="preserve">aanzuiveren van het negatief </w:t>
      </w:r>
      <w:r w:rsidRPr="00743C03">
        <w:rPr>
          <w:rFonts w:eastAsia="Times New Roman"/>
          <w:szCs w:val="18"/>
        </w:rPr>
        <w:t>eigen vermogen</w:t>
      </w:r>
      <w:r w:rsidR="000118D7">
        <w:rPr>
          <w:rFonts w:eastAsia="Times New Roman"/>
          <w:szCs w:val="18"/>
        </w:rPr>
        <w:t xml:space="preserve"> in 2018 van</w:t>
      </w:r>
      <w:r w:rsidRPr="00743C03">
        <w:rPr>
          <w:rFonts w:eastAsia="Times New Roman"/>
          <w:szCs w:val="18"/>
        </w:rPr>
        <w:t xml:space="preserve"> SSC-ICT. Daarnaast leidt de verkoop van bufferzonegronden tot incidentele extra opbrengsten.</w:t>
      </w:r>
    </w:p>
    <w:p w:rsidRPr="00743C03" w:rsidR="00362B14" w:rsidP="00362B14" w:rsidRDefault="00362B14">
      <w:pPr>
        <w:spacing w:after="0"/>
        <w:rPr>
          <w:rFonts w:eastAsia="Times New Roman"/>
          <w:szCs w:val="18"/>
        </w:rPr>
      </w:pPr>
    </w:p>
    <w:p w:rsidRPr="00743C03" w:rsidR="00362B14" w:rsidP="00362B14" w:rsidRDefault="00362B14">
      <w:pPr>
        <w:spacing w:after="0"/>
        <w:rPr>
          <w:rFonts w:eastAsia="Times New Roman"/>
          <w:i/>
          <w:szCs w:val="18"/>
        </w:rPr>
      </w:pPr>
      <w:r w:rsidRPr="00743C03">
        <w:rPr>
          <w:rFonts w:eastAsia="Times New Roman"/>
          <w:i/>
          <w:szCs w:val="18"/>
        </w:rPr>
        <w:t xml:space="preserve">Diversen </w:t>
      </w:r>
      <w:r>
        <w:rPr>
          <w:rFonts w:eastAsia="Times New Roman"/>
          <w:i/>
          <w:szCs w:val="18"/>
        </w:rPr>
        <w:t xml:space="preserve">- </w:t>
      </w:r>
      <w:r w:rsidRPr="00743C03">
        <w:rPr>
          <w:rFonts w:eastAsia="Times New Roman"/>
          <w:i/>
          <w:szCs w:val="18"/>
        </w:rPr>
        <w:t>technische mutaties</w:t>
      </w:r>
      <w:r>
        <w:rPr>
          <w:rFonts w:eastAsia="Times New Roman"/>
          <w:i/>
          <w:szCs w:val="18"/>
        </w:rPr>
        <w:t>, niet-belastingontvangsten</w:t>
      </w:r>
    </w:p>
    <w:p w:rsidRPr="00743C03" w:rsidR="00362B14" w:rsidP="00362B14" w:rsidRDefault="00362B14">
      <w:pPr>
        <w:spacing w:after="0"/>
        <w:rPr>
          <w:rFonts w:eastAsia="Times New Roman"/>
          <w:szCs w:val="18"/>
        </w:rPr>
      </w:pPr>
      <w:r w:rsidRPr="00743C03">
        <w:rPr>
          <w:rFonts w:eastAsia="Times New Roman"/>
          <w:szCs w:val="18"/>
        </w:rPr>
        <w:t xml:space="preserve">Het betreft o.a. de jaarlijkse desaldering voor </w:t>
      </w:r>
      <w:proofErr w:type="spellStart"/>
      <w:r w:rsidRPr="00743C03">
        <w:rPr>
          <w:rFonts w:eastAsia="Times New Roman"/>
          <w:szCs w:val="18"/>
        </w:rPr>
        <w:t>Doc</w:t>
      </w:r>
      <w:proofErr w:type="spellEnd"/>
      <w:r w:rsidRPr="00743C03">
        <w:rPr>
          <w:rFonts w:eastAsia="Times New Roman"/>
          <w:szCs w:val="18"/>
        </w:rPr>
        <w:t>-Direct voor de dienstverlening aan notarissen en een desaldering voor de verwachte ontvangsten van de</w:t>
      </w:r>
      <w:r>
        <w:rPr>
          <w:rFonts w:eastAsia="Times New Roman"/>
          <w:szCs w:val="18"/>
        </w:rPr>
        <w:t xml:space="preserve"> Shared Service Organisaties</w:t>
      </w:r>
      <w:r w:rsidRPr="00743C03">
        <w:rPr>
          <w:rFonts w:eastAsia="Times New Roman"/>
          <w:szCs w:val="18"/>
        </w:rPr>
        <w:t xml:space="preserve"> </w:t>
      </w:r>
      <w:r>
        <w:rPr>
          <w:rFonts w:eastAsia="Times New Roman"/>
          <w:szCs w:val="18"/>
        </w:rPr>
        <w:t>(</w:t>
      </w:r>
      <w:r w:rsidRPr="00743C03">
        <w:rPr>
          <w:rFonts w:eastAsia="Times New Roman"/>
          <w:szCs w:val="18"/>
        </w:rPr>
        <w:t>SSO's</w:t>
      </w:r>
      <w:r>
        <w:rPr>
          <w:rFonts w:eastAsia="Times New Roman"/>
          <w:szCs w:val="18"/>
        </w:rPr>
        <w:t>)</w:t>
      </w:r>
      <w:r w:rsidRPr="00743C03">
        <w:rPr>
          <w:rFonts w:eastAsia="Times New Roman"/>
          <w:szCs w:val="18"/>
        </w:rPr>
        <w:t xml:space="preserve">. Daarnaast </w:t>
      </w:r>
      <w:r w:rsidR="000118D7">
        <w:rPr>
          <w:rFonts w:eastAsia="Times New Roman"/>
          <w:szCs w:val="18"/>
        </w:rPr>
        <w:t>zijn</w:t>
      </w:r>
      <w:r w:rsidRPr="00743C03" w:rsidR="000118D7">
        <w:rPr>
          <w:rFonts w:eastAsia="Times New Roman"/>
          <w:szCs w:val="18"/>
        </w:rPr>
        <w:t xml:space="preserve"> </w:t>
      </w:r>
      <w:r w:rsidRPr="00743C03">
        <w:rPr>
          <w:rFonts w:eastAsia="Times New Roman"/>
          <w:szCs w:val="18"/>
        </w:rPr>
        <w:t>de detacheringsontvangsten en –uitgaven structureel hoger</w:t>
      </w:r>
      <w:r w:rsidR="000118D7">
        <w:rPr>
          <w:rFonts w:eastAsia="Times New Roman"/>
          <w:szCs w:val="18"/>
        </w:rPr>
        <w:t xml:space="preserve"> bijgesteld</w:t>
      </w:r>
      <w:r w:rsidRPr="00743C03">
        <w:rPr>
          <w:rFonts w:eastAsia="Times New Roman"/>
          <w:szCs w:val="18"/>
        </w:rPr>
        <w:t>.</w:t>
      </w:r>
      <w:r w:rsidR="00205986">
        <w:rPr>
          <w:rFonts w:eastAsia="Times New Roman"/>
          <w:szCs w:val="18"/>
        </w:rPr>
        <w:t xml:space="preserve"> </w:t>
      </w:r>
      <w:r w:rsidRPr="00743C03" w:rsidR="000118D7">
        <w:rPr>
          <w:rFonts w:eastAsia="Times New Roman"/>
          <w:szCs w:val="18"/>
        </w:rPr>
        <w:t>Tot slot</w:t>
      </w:r>
      <w:r w:rsidR="000118D7">
        <w:rPr>
          <w:rFonts w:eastAsia="Times New Roman"/>
          <w:szCs w:val="18"/>
        </w:rPr>
        <w:t xml:space="preserve"> als gevolg van de structurele toename van de aanvragen voor veiligheidsonderzoeken nemen de uitgaven voor veiligheidsonderzoeken structureel toe. Hier staan hogere ontvangsten tegenover.</w:t>
      </w:r>
    </w:p>
    <w:p w:rsidR="00362B14" w:rsidP="001D695D" w:rsidRDefault="00362B14">
      <w:pPr>
        <w:spacing w:after="0"/>
        <w:rPr>
          <w:rFonts w:asciiTheme="majorHAnsi" w:hAnsiTheme="majorHAnsi"/>
          <w:b/>
          <w:szCs w:val="18"/>
        </w:rPr>
      </w:pP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D72210" w:rsidR="00D72210" w:rsidTr="00D72210">
        <w:trPr>
          <w:trHeight w:val="225"/>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b/>
                <w:bCs/>
                <w:color w:val="000000"/>
                <w:szCs w:val="18"/>
                <w:lang w:eastAsia="nl-NL"/>
              </w:rPr>
            </w:pPr>
            <w:r w:rsidRPr="00D72210">
              <w:rPr>
                <w:rFonts w:eastAsia="Times New Roman" w:cs="Times New Roman"/>
                <w:b/>
                <w:bCs/>
                <w:color w:val="000000"/>
                <w:szCs w:val="18"/>
                <w:lang w:eastAsia="nl-NL"/>
              </w:rPr>
              <w:lastRenderedPageBreak/>
              <w:t>Onderwijs, Cultuur en Wetenschap</w:t>
            </w: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VIII ONDERWIJS, CULTUUR EN WETENSCHAP: UITGAVEN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41.923,9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41.534,2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41.522,1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41.727,2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42.054,7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Mutaties art 11 autonoom (r)</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-55,5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-69,3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-57,2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-58,8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-66,8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Referentieraming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84,0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108,5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75,0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87,2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101,2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proofErr w:type="spellStart"/>
            <w:r w:rsidRPr="00D72210">
              <w:rPr>
                <w:rFonts w:eastAsia="Times New Roman" w:cs="Times New Roman"/>
                <w:color w:val="000000"/>
                <w:szCs w:val="18"/>
                <w:lang w:eastAsia="nl-NL"/>
              </w:rPr>
              <w:t>Beta</w:t>
            </w:r>
            <w:proofErr w:type="spellEnd"/>
            <w:r w:rsidRPr="00D72210">
              <w:rPr>
                <w:rFonts w:eastAsia="Times New Roman" w:cs="Times New Roman"/>
                <w:color w:val="000000"/>
                <w:szCs w:val="18"/>
                <w:lang w:eastAsia="nl-NL"/>
              </w:rPr>
              <w:t xml:space="preserve"> techniek</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Compensatie tegenvallende reclame-inkomsten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 xml:space="preserve">Duo problematiek investering onderhoud en vervanging </w:t>
            </w:r>
            <w:proofErr w:type="spellStart"/>
            <w:r w:rsidRPr="00D72210">
              <w:rPr>
                <w:rFonts w:eastAsia="Times New Roman" w:cs="Times New Roman"/>
                <w:color w:val="000000"/>
                <w:szCs w:val="18"/>
                <w:lang w:eastAsia="nl-NL"/>
              </w:rPr>
              <w:t>ict</w:t>
            </w:r>
            <w:proofErr w:type="spellEnd"/>
            <w:r w:rsidRPr="00D72210">
              <w:rPr>
                <w:rFonts w:eastAsia="Times New Roman" w:cs="Times New Roman"/>
                <w:color w:val="000000"/>
                <w:szCs w:val="18"/>
                <w:lang w:eastAsia="nl-NL"/>
              </w:rPr>
              <w:t>-systemen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Kasschuif ov</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Kasschuif werkdrukmiddelen g33 po</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96,5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-96,5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-56,0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0655C3">
            <w:pPr>
              <w:spacing w:after="0" w:line="240" w:lineRule="auto"/>
              <w:ind w:firstLine="360" w:firstLineChars="200"/>
              <w:rPr>
                <w:rFonts w:eastAsia="Times New Roman" w:cs="Times New Roman"/>
                <w:color w:val="000000"/>
                <w:szCs w:val="18"/>
                <w:lang w:eastAsia="nl-NL"/>
              </w:rPr>
            </w:pPr>
            <w:r>
              <w:rPr>
                <w:rFonts w:eastAsia="Times New Roman" w:cs="Times New Roman"/>
                <w:color w:val="000000"/>
                <w:szCs w:val="18"/>
                <w:lang w:eastAsia="nl-NL"/>
              </w:rPr>
              <w:t>Inzet</w:t>
            </w:r>
            <w:r w:rsidRPr="00D72210" w:rsidR="00D72210">
              <w:rPr>
                <w:rFonts w:eastAsia="Times New Roman" w:cs="Times New Roman"/>
                <w:color w:val="000000"/>
                <w:szCs w:val="18"/>
                <w:lang w:eastAsia="nl-NL"/>
              </w:rPr>
              <w:t xml:space="preserve"> </w:t>
            </w:r>
            <w:proofErr w:type="spellStart"/>
            <w:r w:rsidRPr="00D72210" w:rsidR="00D72210">
              <w:rPr>
                <w:rFonts w:eastAsia="Times New Roman" w:cs="Times New Roman"/>
                <w:color w:val="000000"/>
                <w:szCs w:val="18"/>
                <w:lang w:eastAsia="nl-NL"/>
              </w:rPr>
              <w:t>lpo</w:t>
            </w:r>
            <w:proofErr w:type="spellEnd"/>
            <w:r w:rsidRPr="00D72210" w:rsidR="00D72210">
              <w:rPr>
                <w:rFonts w:eastAsia="Times New Roman" w:cs="Times New Roman"/>
                <w:color w:val="000000"/>
                <w:szCs w:val="18"/>
                <w:lang w:eastAsia="nl-NL"/>
              </w:rPr>
              <w:t xml:space="preserve"> tranche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-145,3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-148,3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-148,3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-148,6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-148,8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Vullen taakstelling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114,4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140,3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156,2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160,9</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57,9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57,1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67,7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57,6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G33 aanvullende post werkdruk primair onderwijs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81,0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193,0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152,5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Loonbijstelling tranche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876,8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877,0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875,8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868,4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874,5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Prijsbijstelling tranche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163,6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154,0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154,0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162,7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164,3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-29,3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Mutaties art. 11 autonoom (</w:t>
            </w:r>
            <w:proofErr w:type="spellStart"/>
            <w:r w:rsidRPr="00D72210">
              <w:rPr>
                <w:rFonts w:eastAsia="Times New Roman" w:cs="Times New Roman"/>
                <w:color w:val="000000"/>
                <w:szCs w:val="18"/>
                <w:lang w:eastAsia="nl-NL"/>
              </w:rPr>
              <w:t>nr</w:t>
            </w:r>
            <w:proofErr w:type="spellEnd"/>
            <w:r w:rsidRPr="00D72210">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-179,1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-147,4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-137,0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-131,7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-120,5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Uitdeling prijsbijstelling niet-relevant tranche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72,2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72,6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73,4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74,2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74,8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33,5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937,7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914,2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1.020,1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1.148,3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1.152,3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1.017,2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995,9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1.078,6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1.140,8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1.227,9</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42.941,1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42.530,1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42.600,7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42.868,0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43.282,6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106,0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106,2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101,7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98,0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96,0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43.047,1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42.636,3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42.702,4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42.966,0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43.378,7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VIII ONDERWIJS, CULTUUR EN WETENSCHAP: NIET-BELASTINGONTVANGSTEN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1.329,2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1.390,2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1.436,7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1.515,9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1.555,2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Mutaties art. 11 autonoom ontvangsten (r)</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-43,4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-45,8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-43,1</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-37,4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-55,0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-55,2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7,7</w:t>
            </w: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25,1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29,5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33,8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52,1</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-25,8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19,1</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1.307,9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1.364,3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1.416,1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1.499,6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1.574,3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1.307,9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1.364,3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1.416,1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1.499,6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1.574,3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D72210" w:rsidP="00455EF1" w:rsidRDefault="00D72210">
      <w:pPr>
        <w:spacing w:after="0" w:line="240" w:lineRule="atLeast"/>
        <w:rPr>
          <w:rFonts w:eastAsia="Times New Roman" w:cs="Calibri"/>
          <w:i/>
          <w:color w:val="000000"/>
          <w:szCs w:val="18"/>
          <w:lang w:eastAsia="nl-NL"/>
        </w:rPr>
      </w:pPr>
    </w:p>
    <w:p w:rsidRPr="00467A4F" w:rsidR="00455EF1" w:rsidP="00455EF1" w:rsidRDefault="00455EF1">
      <w:pPr>
        <w:spacing w:after="0" w:line="240" w:lineRule="atLeast"/>
        <w:rPr>
          <w:rFonts w:eastAsia="Times New Roman" w:cs="Calibri"/>
          <w:i/>
          <w:color w:val="000000"/>
          <w:szCs w:val="18"/>
          <w:lang w:eastAsia="nl-NL"/>
        </w:rPr>
      </w:pPr>
      <w:r w:rsidRPr="00467A4F">
        <w:rPr>
          <w:rFonts w:eastAsia="Times New Roman" w:cs="Calibri"/>
          <w:i/>
          <w:color w:val="000000"/>
          <w:szCs w:val="18"/>
          <w:lang w:eastAsia="nl-NL"/>
        </w:rPr>
        <w:t>Mutaties art 11 autonoom (r)</w:t>
      </w:r>
    </w:p>
    <w:p w:rsidR="00455EF1" w:rsidP="00455EF1" w:rsidRDefault="00455EF1">
      <w:pPr>
        <w:spacing w:after="0" w:line="240" w:lineRule="atLeast"/>
        <w:rPr>
          <w:szCs w:val="18"/>
        </w:rPr>
      </w:pPr>
      <w:r w:rsidRPr="00F0419E">
        <w:rPr>
          <w:szCs w:val="18"/>
        </w:rPr>
        <w:t xml:space="preserve">De </w:t>
      </w:r>
      <w:r>
        <w:rPr>
          <w:szCs w:val="18"/>
        </w:rPr>
        <w:t>plafond</w:t>
      </w:r>
      <w:r w:rsidRPr="00F0419E">
        <w:rPr>
          <w:szCs w:val="18"/>
        </w:rPr>
        <w:t>relevante uitgaven aan studiefinanciering zijn voor de komende jaren naar beneden bijgesteld met bedragen tussen 56 m</w:t>
      </w:r>
      <w:r>
        <w:rPr>
          <w:szCs w:val="18"/>
        </w:rPr>
        <w:t>ln.</w:t>
      </w:r>
      <w:r w:rsidRPr="00F0419E">
        <w:rPr>
          <w:szCs w:val="18"/>
        </w:rPr>
        <w:t xml:space="preserve"> en 67 </w:t>
      </w:r>
      <w:r>
        <w:rPr>
          <w:szCs w:val="18"/>
        </w:rPr>
        <w:t>mln.</w:t>
      </w:r>
      <w:r w:rsidRPr="00F0419E">
        <w:rPr>
          <w:szCs w:val="18"/>
        </w:rPr>
        <w:t xml:space="preserve"> </w:t>
      </w:r>
      <w:r w:rsidRPr="00F0419E">
        <w:t xml:space="preserve">Voor 2019 gaat het om een bijstelling van circa 56 </w:t>
      </w:r>
      <w:r>
        <w:t>mln</w:t>
      </w:r>
      <w:r w:rsidRPr="00F0419E">
        <w:t>. Dit wordt deels veroorzaakt door lagere uitgaven op de omzetting</w:t>
      </w:r>
      <w:r>
        <w:t>en</w:t>
      </w:r>
      <w:r w:rsidR="0020037D">
        <w:t xml:space="preserve"> van prestatiebeurs in gift </w:t>
      </w:r>
      <w:r w:rsidRPr="00F0419E">
        <w:t xml:space="preserve">in </w:t>
      </w:r>
      <w:r>
        <w:t>de beroeps opleidende leerweg (bol)</w:t>
      </w:r>
      <w:r w:rsidRPr="00F0419E">
        <w:t xml:space="preserve">. Ook is er een </w:t>
      </w:r>
      <w:r w:rsidR="0020037D">
        <w:t xml:space="preserve">neerwaartse </w:t>
      </w:r>
      <w:r w:rsidRPr="00F0419E">
        <w:t xml:space="preserve">bijstelling op de uitgaven aan het OV. </w:t>
      </w:r>
      <w:r w:rsidRPr="00F0419E">
        <w:rPr>
          <w:szCs w:val="18"/>
        </w:rPr>
        <w:t xml:space="preserve">De realisatie over 2018 laat zien dat het aandeel ho-studenten dat de reisvoorziening activeert wat lager is dan aanvankelijk geraamd, mede doordat het aandeel internationale studenten zonder recht op ov stijgt. Daarnaast zijn er nog diverse </w:t>
      </w:r>
      <w:r>
        <w:rPr>
          <w:szCs w:val="18"/>
        </w:rPr>
        <w:t xml:space="preserve">kleine </w:t>
      </w:r>
      <w:r w:rsidRPr="00F0419E">
        <w:rPr>
          <w:szCs w:val="18"/>
        </w:rPr>
        <w:t>mutaties.</w:t>
      </w:r>
    </w:p>
    <w:p w:rsidR="00455EF1" w:rsidP="00455EF1" w:rsidRDefault="00455EF1">
      <w:pPr>
        <w:spacing w:after="0" w:line="240" w:lineRule="atLeast"/>
        <w:rPr>
          <w:rFonts w:eastAsia="Times New Roman" w:cs="Calibri"/>
          <w:color w:val="000000"/>
          <w:szCs w:val="18"/>
          <w:lang w:eastAsia="nl-NL"/>
        </w:rPr>
      </w:pPr>
    </w:p>
    <w:p w:rsidRPr="00467A4F" w:rsidR="00455EF1" w:rsidP="00455EF1" w:rsidRDefault="00455EF1">
      <w:pPr>
        <w:spacing w:after="0" w:line="240" w:lineRule="atLeast"/>
        <w:rPr>
          <w:rFonts w:eastAsia="Times New Roman" w:cs="Calibri"/>
          <w:i/>
          <w:color w:val="000000"/>
          <w:szCs w:val="18"/>
          <w:lang w:eastAsia="nl-NL"/>
        </w:rPr>
      </w:pPr>
      <w:r w:rsidRPr="00467A4F">
        <w:rPr>
          <w:rFonts w:eastAsia="Times New Roman" w:cs="Calibri"/>
          <w:i/>
          <w:color w:val="000000"/>
          <w:szCs w:val="18"/>
          <w:lang w:eastAsia="nl-NL"/>
        </w:rPr>
        <w:t>Referentieraming</w:t>
      </w:r>
    </w:p>
    <w:p w:rsidR="00455EF1" w:rsidP="00455EF1" w:rsidRDefault="00455EF1">
      <w:pPr>
        <w:spacing w:after="0" w:line="240" w:lineRule="atLeast"/>
        <w:rPr>
          <w:rFonts w:eastAsia="Times New Roman" w:cs="Calibri"/>
          <w:color w:val="000000"/>
          <w:szCs w:val="18"/>
          <w:lang w:eastAsia="nl-NL"/>
        </w:rPr>
      </w:pPr>
      <w:r w:rsidRPr="00467A4F">
        <w:rPr>
          <w:szCs w:val="18"/>
        </w:rPr>
        <w:t>Uit de Referentieraming 2019 blijkt dat het totale aantal leerlingen en studenten hoger uitvalt dan de aantallen die in de OCW-begroting 2019 waren geraamd. Dit geldt vooral in het hoger onderwijs en het primair onderwijs.</w:t>
      </w:r>
      <w:r>
        <w:rPr>
          <w:szCs w:val="18"/>
        </w:rPr>
        <w:t xml:space="preserve"> </w:t>
      </w:r>
    </w:p>
    <w:p w:rsidRPr="00467A4F" w:rsidR="00455EF1" w:rsidP="00455EF1" w:rsidRDefault="00455EF1">
      <w:pPr>
        <w:spacing w:after="0" w:line="240" w:lineRule="atLeast"/>
        <w:rPr>
          <w:rFonts w:eastAsia="Times New Roman" w:cs="Calibri"/>
          <w:color w:val="000000"/>
          <w:szCs w:val="18"/>
          <w:lang w:eastAsia="nl-NL"/>
        </w:rPr>
      </w:pPr>
    </w:p>
    <w:p w:rsidRPr="00467A4F" w:rsidR="00455EF1" w:rsidP="00455EF1" w:rsidRDefault="00455EF1">
      <w:pPr>
        <w:pStyle w:val="Geenafstand"/>
        <w:spacing w:line="240" w:lineRule="atLeast"/>
        <w:rPr>
          <w:i/>
        </w:rPr>
      </w:pPr>
      <w:r w:rsidRPr="00467A4F">
        <w:rPr>
          <w:i/>
        </w:rPr>
        <w:t>Diversen</w:t>
      </w:r>
      <w:r>
        <w:rPr>
          <w:i/>
        </w:rPr>
        <w:t xml:space="preserve"> – mee- en tegenvallers, uitgaven</w:t>
      </w:r>
    </w:p>
    <w:p w:rsidRPr="00467A4F" w:rsidR="00455EF1" w:rsidP="00455EF1" w:rsidRDefault="00455EF1">
      <w:pPr>
        <w:pStyle w:val="Geenafstand"/>
        <w:spacing w:line="240" w:lineRule="atLeast"/>
        <w:rPr>
          <w:i/>
        </w:rPr>
      </w:pPr>
      <w:r>
        <w:t xml:space="preserve">Deze post bestaat uit verschillende mutaties. </w:t>
      </w:r>
      <w:r w:rsidRPr="00F0419E">
        <w:rPr>
          <w:szCs w:val="18"/>
        </w:rPr>
        <w:t xml:space="preserve">De Referentieraming 2019 zorgt voor een meevaller op relevante uitgaven </w:t>
      </w:r>
      <w:r>
        <w:rPr>
          <w:szCs w:val="18"/>
        </w:rPr>
        <w:t xml:space="preserve">op </w:t>
      </w:r>
      <w:r w:rsidRPr="00F0419E">
        <w:rPr>
          <w:szCs w:val="18"/>
        </w:rPr>
        <w:t>artikel 11 door een verschuiving van studenten aan b</w:t>
      </w:r>
      <w:r>
        <w:rPr>
          <w:szCs w:val="18"/>
        </w:rPr>
        <w:t xml:space="preserve">eroeps </w:t>
      </w:r>
      <w:r w:rsidRPr="00F0419E">
        <w:rPr>
          <w:szCs w:val="18"/>
        </w:rPr>
        <w:t>o</w:t>
      </w:r>
      <w:r>
        <w:rPr>
          <w:szCs w:val="18"/>
        </w:rPr>
        <w:t xml:space="preserve">pleidende </w:t>
      </w:r>
      <w:r w:rsidRPr="00F0419E">
        <w:rPr>
          <w:szCs w:val="18"/>
        </w:rPr>
        <w:t>l</w:t>
      </w:r>
      <w:r>
        <w:rPr>
          <w:szCs w:val="18"/>
        </w:rPr>
        <w:t>eerwegen (bol)</w:t>
      </w:r>
      <w:r w:rsidRPr="00F0419E">
        <w:rPr>
          <w:szCs w:val="18"/>
        </w:rPr>
        <w:t xml:space="preserve"> naar b</w:t>
      </w:r>
      <w:r>
        <w:rPr>
          <w:szCs w:val="18"/>
        </w:rPr>
        <w:t xml:space="preserve">eroeps </w:t>
      </w:r>
      <w:r w:rsidRPr="00F0419E">
        <w:rPr>
          <w:szCs w:val="18"/>
        </w:rPr>
        <w:t>b</w:t>
      </w:r>
      <w:r>
        <w:rPr>
          <w:szCs w:val="18"/>
        </w:rPr>
        <w:t xml:space="preserve">egeleidende </w:t>
      </w:r>
      <w:r w:rsidRPr="00F0419E">
        <w:rPr>
          <w:szCs w:val="18"/>
        </w:rPr>
        <w:t>l</w:t>
      </w:r>
      <w:r>
        <w:rPr>
          <w:szCs w:val="18"/>
        </w:rPr>
        <w:t>eerwegen (</w:t>
      </w:r>
      <w:proofErr w:type="spellStart"/>
      <w:r>
        <w:rPr>
          <w:szCs w:val="18"/>
        </w:rPr>
        <w:t>bbl</w:t>
      </w:r>
      <w:proofErr w:type="spellEnd"/>
      <w:r>
        <w:rPr>
          <w:szCs w:val="18"/>
        </w:rPr>
        <w:t>)</w:t>
      </w:r>
      <w:r w:rsidRPr="00F0419E">
        <w:rPr>
          <w:szCs w:val="18"/>
        </w:rPr>
        <w:t xml:space="preserve">. </w:t>
      </w:r>
      <w:proofErr w:type="spellStart"/>
      <w:r w:rsidRPr="00F0419E">
        <w:rPr>
          <w:szCs w:val="18"/>
        </w:rPr>
        <w:t>Bbl</w:t>
      </w:r>
      <w:proofErr w:type="spellEnd"/>
      <w:r>
        <w:rPr>
          <w:szCs w:val="18"/>
        </w:rPr>
        <w:t>-</w:t>
      </w:r>
      <w:r w:rsidRPr="00F0419E">
        <w:rPr>
          <w:szCs w:val="18"/>
        </w:rPr>
        <w:t>studenten hebben geen recht op studiefinanciering</w:t>
      </w:r>
      <w:r w:rsidR="0020037D">
        <w:rPr>
          <w:szCs w:val="18"/>
        </w:rPr>
        <w:t xml:space="preserve">. </w:t>
      </w:r>
      <w:r>
        <w:rPr>
          <w:szCs w:val="18"/>
        </w:rPr>
        <w:t>Op</w:t>
      </w:r>
      <w:r w:rsidRPr="00F0419E">
        <w:rPr>
          <w:szCs w:val="18"/>
        </w:rPr>
        <w:t xml:space="preserve"> artikel 12 zorgt de </w:t>
      </w:r>
      <w:r w:rsidR="0020037D">
        <w:rPr>
          <w:szCs w:val="18"/>
        </w:rPr>
        <w:t>R</w:t>
      </w:r>
      <w:r w:rsidRPr="00F0419E">
        <w:rPr>
          <w:szCs w:val="18"/>
        </w:rPr>
        <w:t>eferentieram</w:t>
      </w:r>
      <w:r>
        <w:rPr>
          <w:szCs w:val="18"/>
        </w:rPr>
        <w:t>ing 2019 ook voor een meevaller</w:t>
      </w:r>
      <w:r w:rsidRPr="00F0419E">
        <w:rPr>
          <w:szCs w:val="18"/>
        </w:rPr>
        <w:t xml:space="preserve"> door lagere aantallen meerderjarige scholieren in het voortgezet onderwijs.</w:t>
      </w:r>
    </w:p>
    <w:p w:rsidRPr="004651A1" w:rsidR="00455EF1" w:rsidP="00455EF1" w:rsidRDefault="00455EF1">
      <w:pPr>
        <w:pStyle w:val="Geenafstand"/>
        <w:spacing w:line="240" w:lineRule="atLeast"/>
        <w:rPr>
          <w:i/>
        </w:rPr>
      </w:pPr>
    </w:p>
    <w:p w:rsidRPr="00C52C82" w:rsidR="00455EF1" w:rsidP="00455EF1" w:rsidRDefault="00455EF1">
      <w:pPr>
        <w:pStyle w:val="Geenafstand"/>
        <w:spacing w:line="240" w:lineRule="atLeast"/>
        <w:rPr>
          <w:i/>
        </w:rPr>
      </w:pPr>
      <w:r w:rsidRPr="00C52C82">
        <w:rPr>
          <w:i/>
        </w:rPr>
        <w:t>Bèta techniek</w:t>
      </w:r>
    </w:p>
    <w:p w:rsidR="00455EF1" w:rsidP="00455EF1" w:rsidRDefault="00455EF1">
      <w:pPr>
        <w:pStyle w:val="Geenafstand"/>
        <w:spacing w:line="240" w:lineRule="atLeast"/>
        <w:rPr>
          <w:szCs w:val="18"/>
        </w:rPr>
      </w:pPr>
      <w:r w:rsidRPr="0021709B">
        <w:rPr>
          <w:szCs w:val="18"/>
        </w:rPr>
        <w:t>Het kabinet heeft structureel</w:t>
      </w:r>
      <w:r w:rsidRPr="005C3DD9">
        <w:rPr>
          <w:szCs w:val="18"/>
        </w:rPr>
        <w:t xml:space="preserve"> 41 mln</w:t>
      </w:r>
      <w:r>
        <w:rPr>
          <w:szCs w:val="18"/>
        </w:rPr>
        <w:t>.</w:t>
      </w:r>
      <w:r w:rsidRPr="005C3DD9">
        <w:rPr>
          <w:szCs w:val="18"/>
        </w:rPr>
        <w:t xml:space="preserve"> per jaar beschikbaar gesteld voor het stimuleren van </w:t>
      </w:r>
      <w:r w:rsidRPr="00D97CE9">
        <w:rPr>
          <w:szCs w:val="18"/>
        </w:rPr>
        <w:t>bèta- en techniekopleidingen</w:t>
      </w:r>
      <w:r w:rsidRPr="005C3DD9">
        <w:rPr>
          <w:szCs w:val="18"/>
        </w:rPr>
        <w:t xml:space="preserve">. In 2019 worden de middelen gebruikt om te investeren in de opleidings- en lerarencapaciteiten voor </w:t>
      </w:r>
      <w:r w:rsidR="0020037D">
        <w:rPr>
          <w:szCs w:val="18"/>
        </w:rPr>
        <w:t>b</w:t>
      </w:r>
      <w:r w:rsidRPr="005C3DD9">
        <w:rPr>
          <w:szCs w:val="18"/>
        </w:rPr>
        <w:t xml:space="preserve">èta- en technisch onderwijs in het mbo en hoger onderwijs. </w:t>
      </w:r>
      <w:r>
        <w:rPr>
          <w:szCs w:val="18"/>
        </w:rPr>
        <w:t xml:space="preserve">De middelen voor 2020 en verder worden eerst gereserveerd op artikel 91. </w:t>
      </w:r>
      <w:r w:rsidRPr="005C3DD9">
        <w:rPr>
          <w:szCs w:val="18"/>
        </w:rPr>
        <w:t>Vanaf volgend jaar worden de</w:t>
      </w:r>
      <w:r>
        <w:rPr>
          <w:szCs w:val="18"/>
        </w:rPr>
        <w:t>ze</w:t>
      </w:r>
      <w:r w:rsidRPr="005C3DD9">
        <w:rPr>
          <w:szCs w:val="18"/>
        </w:rPr>
        <w:t xml:space="preserve"> middelen structureel verwerkt in de onderwijsbudgetten. Hierbij wordt het adviesrapport van de commissie Van Rijn in beschouwing genomen. </w:t>
      </w:r>
    </w:p>
    <w:p w:rsidRPr="005C3DD9" w:rsidR="00455EF1" w:rsidP="00455EF1" w:rsidRDefault="00455EF1">
      <w:pPr>
        <w:pStyle w:val="Geenafstand"/>
        <w:spacing w:line="240" w:lineRule="atLeast"/>
        <w:rPr>
          <w:szCs w:val="18"/>
        </w:rPr>
      </w:pPr>
    </w:p>
    <w:p w:rsidRPr="004651A1" w:rsidR="00455EF1" w:rsidP="00455EF1" w:rsidRDefault="00455EF1">
      <w:pPr>
        <w:pStyle w:val="Geenafstand"/>
        <w:spacing w:line="240" w:lineRule="atLeast"/>
        <w:rPr>
          <w:i/>
        </w:rPr>
      </w:pPr>
      <w:r w:rsidRPr="004651A1">
        <w:rPr>
          <w:i/>
        </w:rPr>
        <w:t>Compensatie tegenvallende reclame-inkomsten</w:t>
      </w:r>
    </w:p>
    <w:p w:rsidR="00455EF1" w:rsidP="00455EF1" w:rsidRDefault="00455EF1">
      <w:pPr>
        <w:spacing w:after="0" w:line="240" w:lineRule="atLeast"/>
        <w:rPr>
          <w:rFonts w:eastAsia="Times New Roman" w:cs="Calibri"/>
          <w:color w:val="000000"/>
          <w:szCs w:val="18"/>
          <w:lang w:eastAsia="nl-NL"/>
        </w:rPr>
      </w:pPr>
      <w:r w:rsidRPr="00DA51D4">
        <w:rPr>
          <w:rFonts w:eastAsia="Times New Roman" w:cs="Calibri"/>
          <w:color w:val="000000"/>
          <w:szCs w:val="18"/>
          <w:lang w:eastAsia="nl-NL"/>
        </w:rPr>
        <w:t xml:space="preserve">Op basis van de motie </w:t>
      </w:r>
      <w:proofErr w:type="spellStart"/>
      <w:r w:rsidRPr="00DA51D4">
        <w:rPr>
          <w:rFonts w:eastAsia="Times New Roman" w:cs="Calibri"/>
          <w:color w:val="000000"/>
          <w:szCs w:val="18"/>
          <w:lang w:eastAsia="nl-NL"/>
        </w:rPr>
        <w:t>Pechtold</w:t>
      </w:r>
      <w:proofErr w:type="spellEnd"/>
      <w:r w:rsidRPr="00DA51D4">
        <w:rPr>
          <w:rFonts w:eastAsia="Times New Roman" w:cs="Calibri"/>
          <w:color w:val="000000"/>
          <w:szCs w:val="18"/>
          <w:lang w:eastAsia="nl-NL"/>
        </w:rPr>
        <w:t xml:space="preserve"> worden de tegenvallende recl</w:t>
      </w:r>
      <w:r>
        <w:rPr>
          <w:rFonts w:eastAsia="Times New Roman" w:cs="Calibri"/>
          <w:color w:val="000000"/>
          <w:szCs w:val="18"/>
          <w:lang w:eastAsia="nl-NL"/>
        </w:rPr>
        <w:t xml:space="preserve">ame-inkomsten voor 2019 met </w:t>
      </w:r>
      <w:r w:rsidRPr="00DA51D4">
        <w:rPr>
          <w:rFonts w:eastAsia="Times New Roman" w:cs="Calibri"/>
          <w:color w:val="000000"/>
          <w:szCs w:val="18"/>
          <w:lang w:eastAsia="nl-NL"/>
        </w:rPr>
        <w:t xml:space="preserve">40 </w:t>
      </w:r>
      <w:r>
        <w:rPr>
          <w:rFonts w:eastAsia="Times New Roman" w:cs="Calibri"/>
          <w:color w:val="000000"/>
          <w:szCs w:val="18"/>
          <w:lang w:eastAsia="nl-NL"/>
        </w:rPr>
        <w:t>mln.</w:t>
      </w:r>
      <w:r w:rsidRPr="00DA51D4">
        <w:rPr>
          <w:rFonts w:eastAsia="Times New Roman" w:cs="Calibri"/>
          <w:color w:val="000000"/>
          <w:szCs w:val="18"/>
          <w:lang w:eastAsia="nl-NL"/>
        </w:rPr>
        <w:t xml:space="preserve"> gecompenseerd</w:t>
      </w:r>
      <w:r>
        <w:rPr>
          <w:rFonts w:eastAsia="Times New Roman" w:cs="Calibri"/>
          <w:color w:val="000000"/>
          <w:szCs w:val="18"/>
          <w:lang w:eastAsia="nl-NL"/>
        </w:rPr>
        <w:t>.</w:t>
      </w:r>
    </w:p>
    <w:p w:rsidR="00455EF1" w:rsidP="00455EF1" w:rsidRDefault="00455EF1">
      <w:pPr>
        <w:pStyle w:val="Geenafstand"/>
        <w:spacing w:line="240" w:lineRule="atLeast"/>
      </w:pPr>
    </w:p>
    <w:p w:rsidRPr="00544B83" w:rsidR="00455EF1" w:rsidP="00455EF1" w:rsidRDefault="00455EF1">
      <w:pPr>
        <w:pStyle w:val="Geenafstand"/>
        <w:spacing w:line="240" w:lineRule="atLeast"/>
        <w:rPr>
          <w:i/>
        </w:rPr>
      </w:pPr>
      <w:r w:rsidRPr="00544B83">
        <w:rPr>
          <w:i/>
        </w:rPr>
        <w:t xml:space="preserve">DUO problematiek investering onderhoud en vervanging ICT-systemen. </w:t>
      </w:r>
    </w:p>
    <w:p w:rsidRPr="00F85472" w:rsidR="00455EF1" w:rsidP="00455EF1" w:rsidRDefault="00455EF1">
      <w:pPr>
        <w:spacing w:line="240" w:lineRule="atLeast"/>
      </w:pPr>
      <w:r w:rsidRPr="00F85472">
        <w:rPr>
          <w:szCs w:val="18"/>
        </w:rPr>
        <w:t xml:space="preserve">Uit de doorlichting van DUO blijkt dat sprake is van onderhoud- en vervangingsproblematiek oplopend tot structureel 49,1 mln. </w:t>
      </w:r>
      <w:r w:rsidR="0020037D">
        <w:rPr>
          <w:szCs w:val="18"/>
        </w:rPr>
        <w:t xml:space="preserve">in 2030. </w:t>
      </w:r>
      <w:r w:rsidRPr="00544B83">
        <w:rPr>
          <w:szCs w:val="18"/>
        </w:rPr>
        <w:t xml:space="preserve">Per 2021 wordt de oploop van de middelen t.o.v. 2020 </w:t>
      </w:r>
      <w:r w:rsidRPr="00544B83">
        <w:rPr>
          <w:szCs w:val="18"/>
        </w:rPr>
        <w:lastRenderedPageBreak/>
        <w:t>op art</w:t>
      </w:r>
      <w:r>
        <w:rPr>
          <w:szCs w:val="18"/>
        </w:rPr>
        <w:t>ikel</w:t>
      </w:r>
      <w:r w:rsidRPr="00544B83">
        <w:rPr>
          <w:szCs w:val="18"/>
        </w:rPr>
        <w:t xml:space="preserve"> 91 gereserveerd. </w:t>
      </w:r>
      <w:r w:rsidRPr="00F85472">
        <w:rPr>
          <w:szCs w:val="18"/>
        </w:rPr>
        <w:t xml:space="preserve">Dit wordt </w:t>
      </w:r>
      <w:proofErr w:type="spellStart"/>
      <w:r w:rsidRPr="00F85472">
        <w:rPr>
          <w:szCs w:val="18"/>
        </w:rPr>
        <w:t>doorverdeeld</w:t>
      </w:r>
      <w:proofErr w:type="spellEnd"/>
      <w:r w:rsidRPr="00F85472">
        <w:rPr>
          <w:szCs w:val="18"/>
        </w:rPr>
        <w:t xml:space="preserve"> naar de beleidsartikelen als de aanbevelingen uit het implementatieplan van de doorlichting zijn doorgevoerd.</w:t>
      </w:r>
    </w:p>
    <w:p w:rsidRPr="004651A1" w:rsidR="00455EF1" w:rsidP="00455EF1" w:rsidRDefault="00455EF1">
      <w:pPr>
        <w:spacing w:after="0" w:line="240" w:lineRule="atLeast"/>
        <w:rPr>
          <w:rFonts w:eastAsia="Times New Roman" w:cs="Calibri"/>
          <w:i/>
          <w:color w:val="000000"/>
          <w:szCs w:val="18"/>
          <w:lang w:eastAsia="nl-NL"/>
        </w:rPr>
      </w:pPr>
      <w:r w:rsidRPr="004651A1">
        <w:rPr>
          <w:rFonts w:eastAsia="Times New Roman" w:cs="Calibri"/>
          <w:i/>
          <w:color w:val="000000"/>
          <w:szCs w:val="18"/>
          <w:lang w:eastAsia="nl-NL"/>
        </w:rPr>
        <w:t>Kasschuif ov</w:t>
      </w:r>
    </w:p>
    <w:p w:rsidRPr="00FD2BC6" w:rsidR="00455EF1" w:rsidP="00455EF1" w:rsidRDefault="00455EF1">
      <w:pPr>
        <w:spacing w:after="0" w:line="240" w:lineRule="atLeast"/>
        <w:rPr>
          <w:rFonts w:eastAsia="Times New Roman" w:cs="Calibri"/>
          <w:i/>
          <w:color w:val="000000"/>
          <w:szCs w:val="18"/>
          <w:lang w:eastAsia="nl-NL"/>
        </w:rPr>
      </w:pPr>
      <w:r>
        <w:rPr>
          <w:szCs w:val="18"/>
        </w:rPr>
        <w:t>I</w:t>
      </w:r>
      <w:r w:rsidRPr="004651A1">
        <w:rPr>
          <w:szCs w:val="18"/>
        </w:rPr>
        <w:t xml:space="preserve">n 2019 </w:t>
      </w:r>
      <w:r>
        <w:rPr>
          <w:szCs w:val="18"/>
        </w:rPr>
        <w:t xml:space="preserve">wordt </w:t>
      </w:r>
      <w:r w:rsidRPr="004651A1">
        <w:rPr>
          <w:szCs w:val="18"/>
        </w:rPr>
        <w:t>50 mln. vooruitbetaald aan OV-bedrijven voor het studentenreisproduct in 2020.</w:t>
      </w:r>
      <w:r>
        <w:rPr>
          <w:szCs w:val="18"/>
        </w:rPr>
        <w:t xml:space="preserve"> </w:t>
      </w:r>
      <w:r w:rsidRPr="00FD2BC6">
        <w:t xml:space="preserve">Contractueel is vastgelegd dat OCW de vergoeding voor de </w:t>
      </w:r>
      <w:proofErr w:type="spellStart"/>
      <w:r w:rsidRPr="00FD2BC6">
        <w:t>OV-studentenkaart</w:t>
      </w:r>
      <w:proofErr w:type="spellEnd"/>
      <w:r w:rsidRPr="00FD2BC6">
        <w:t xml:space="preserve"> uiterlijk medio januari van het betreffende jaar aan de vervoerbedrijven betaalt. Door de betaling aan de vervoerbedrijven (gedeeltelijk) al aan het eind van het voorafgaande jaar in plaats van aan het begin van het betreffende jaar te doen, kan zonder af te wijken van de afspraken met de vervoerbedrijven een bijdrage worden geleverd aan de optimalisering van de kasritmes van de staat over de jaren heen.</w:t>
      </w:r>
    </w:p>
    <w:p w:rsidR="00455EF1" w:rsidP="00455EF1" w:rsidRDefault="00455EF1">
      <w:pPr>
        <w:spacing w:after="0" w:line="240" w:lineRule="atLeast"/>
        <w:rPr>
          <w:rFonts w:eastAsia="Times New Roman" w:cs="Calibri"/>
          <w:i/>
          <w:color w:val="000000"/>
          <w:szCs w:val="18"/>
          <w:lang w:eastAsia="nl-NL"/>
        </w:rPr>
      </w:pPr>
    </w:p>
    <w:p w:rsidRPr="004651A1" w:rsidR="00455EF1" w:rsidP="00455EF1" w:rsidRDefault="00455EF1">
      <w:pPr>
        <w:spacing w:after="0" w:line="240" w:lineRule="atLeast"/>
        <w:rPr>
          <w:rFonts w:eastAsia="Times New Roman" w:cs="Calibri"/>
          <w:i/>
          <w:color w:val="000000"/>
          <w:szCs w:val="18"/>
          <w:lang w:eastAsia="nl-NL"/>
        </w:rPr>
      </w:pPr>
      <w:r w:rsidRPr="004651A1">
        <w:rPr>
          <w:rFonts w:eastAsia="Times New Roman" w:cs="Calibri"/>
          <w:i/>
          <w:color w:val="000000"/>
          <w:szCs w:val="18"/>
          <w:lang w:eastAsia="nl-NL"/>
        </w:rPr>
        <w:t>Kasschuif werkdrukmiddelen g33 po</w:t>
      </w:r>
    </w:p>
    <w:p w:rsidRPr="004651A1" w:rsidR="00455EF1" w:rsidP="00455EF1" w:rsidRDefault="00455EF1">
      <w:pPr>
        <w:spacing w:after="0" w:line="240" w:lineRule="atLeast"/>
        <w:rPr>
          <w:rFonts w:eastAsia="Times New Roman" w:cs="Calibri"/>
          <w:color w:val="000000"/>
          <w:szCs w:val="18"/>
          <w:lang w:eastAsia="nl-NL"/>
        </w:rPr>
      </w:pPr>
      <w:r>
        <w:rPr>
          <w:rFonts w:eastAsia="Times New Roman" w:cs="Calibri"/>
          <w:color w:val="000000"/>
          <w:szCs w:val="18"/>
          <w:lang w:eastAsia="nl-NL"/>
        </w:rPr>
        <w:t xml:space="preserve">Deze kasschuif vindt plaats om de werkdrukmiddelen vanuit 2022 en 2023 naar voren te schuiven. </w:t>
      </w:r>
    </w:p>
    <w:p w:rsidRPr="004651A1" w:rsidR="00455EF1" w:rsidP="00455EF1" w:rsidRDefault="00455EF1">
      <w:pPr>
        <w:spacing w:after="0" w:line="240" w:lineRule="atLeast"/>
        <w:rPr>
          <w:rFonts w:eastAsia="Times New Roman" w:cs="Calibri"/>
          <w:i/>
          <w:color w:val="000000"/>
          <w:szCs w:val="18"/>
          <w:lang w:eastAsia="nl-NL"/>
        </w:rPr>
      </w:pPr>
    </w:p>
    <w:p w:rsidRPr="004651A1" w:rsidR="00455EF1" w:rsidP="00455EF1" w:rsidRDefault="000655C3">
      <w:pPr>
        <w:spacing w:after="0" w:line="240" w:lineRule="atLeast"/>
        <w:rPr>
          <w:rFonts w:eastAsia="Times New Roman" w:cs="Calibri"/>
          <w:i/>
          <w:color w:val="000000"/>
          <w:szCs w:val="18"/>
          <w:lang w:eastAsia="nl-NL"/>
        </w:rPr>
      </w:pPr>
      <w:r>
        <w:rPr>
          <w:rFonts w:eastAsia="Times New Roman" w:cs="Calibri"/>
          <w:i/>
          <w:color w:val="000000"/>
          <w:szCs w:val="18"/>
          <w:lang w:eastAsia="nl-NL"/>
        </w:rPr>
        <w:t>Inzet</w:t>
      </w:r>
      <w:r w:rsidRPr="004651A1" w:rsidR="00455EF1">
        <w:rPr>
          <w:rFonts w:eastAsia="Times New Roman" w:cs="Calibri"/>
          <w:i/>
          <w:color w:val="000000"/>
          <w:szCs w:val="18"/>
          <w:lang w:eastAsia="nl-NL"/>
        </w:rPr>
        <w:t xml:space="preserve"> </w:t>
      </w:r>
      <w:proofErr w:type="spellStart"/>
      <w:r w:rsidRPr="004651A1" w:rsidR="00455EF1">
        <w:rPr>
          <w:rFonts w:eastAsia="Times New Roman" w:cs="Calibri"/>
          <w:i/>
          <w:color w:val="000000"/>
          <w:szCs w:val="18"/>
          <w:lang w:eastAsia="nl-NL"/>
        </w:rPr>
        <w:t>lpo</w:t>
      </w:r>
      <w:proofErr w:type="spellEnd"/>
      <w:r w:rsidRPr="004651A1" w:rsidR="00455EF1">
        <w:rPr>
          <w:rFonts w:eastAsia="Times New Roman" w:cs="Calibri"/>
          <w:i/>
          <w:color w:val="000000"/>
          <w:szCs w:val="18"/>
          <w:lang w:eastAsia="nl-NL"/>
        </w:rPr>
        <w:t xml:space="preserve"> tranche 2019</w:t>
      </w:r>
    </w:p>
    <w:p w:rsidRPr="004651A1" w:rsidR="00455EF1" w:rsidP="00455EF1" w:rsidRDefault="000655C3">
      <w:pPr>
        <w:spacing w:after="0" w:line="240" w:lineRule="atLeast"/>
        <w:rPr>
          <w:rFonts w:eastAsia="Times New Roman" w:cs="Calibri"/>
          <w:i/>
          <w:color w:val="000000"/>
          <w:szCs w:val="18"/>
          <w:lang w:eastAsia="nl-NL"/>
        </w:rPr>
      </w:pPr>
      <w:r>
        <w:rPr>
          <w:szCs w:val="18"/>
        </w:rPr>
        <w:t>Een deel van de</w:t>
      </w:r>
      <w:r w:rsidRPr="004651A1" w:rsidR="00455EF1">
        <w:rPr>
          <w:szCs w:val="18"/>
        </w:rPr>
        <w:t xml:space="preserve"> verplichte loon-en prijsbijstelling tranche 2019 wordt ingezet als dekking voor de openstaande taakstelling op art</w:t>
      </w:r>
      <w:r w:rsidR="00455EF1">
        <w:rPr>
          <w:szCs w:val="18"/>
        </w:rPr>
        <w:t>ikel</w:t>
      </w:r>
      <w:r w:rsidRPr="004651A1" w:rsidR="00455EF1">
        <w:rPr>
          <w:szCs w:val="18"/>
        </w:rPr>
        <w:t xml:space="preserve"> 91 en de onderhoud- en vervangingsproblematiek bij DUO.</w:t>
      </w:r>
    </w:p>
    <w:p w:rsidR="00455EF1" w:rsidP="00455EF1" w:rsidRDefault="00455EF1">
      <w:pPr>
        <w:spacing w:after="0" w:line="240" w:lineRule="atLeast"/>
        <w:rPr>
          <w:rFonts w:eastAsia="Times New Roman" w:cs="Calibri"/>
          <w:i/>
          <w:color w:val="000000"/>
          <w:szCs w:val="18"/>
          <w:lang w:eastAsia="nl-NL"/>
        </w:rPr>
      </w:pPr>
    </w:p>
    <w:p w:rsidRPr="004651A1" w:rsidR="00455EF1" w:rsidP="00455EF1" w:rsidRDefault="00455EF1">
      <w:pPr>
        <w:spacing w:after="0" w:line="240" w:lineRule="atLeast"/>
        <w:rPr>
          <w:rFonts w:eastAsia="Times New Roman" w:cs="Calibri"/>
          <w:i/>
          <w:color w:val="000000"/>
          <w:szCs w:val="18"/>
          <w:lang w:eastAsia="nl-NL"/>
        </w:rPr>
      </w:pPr>
      <w:r>
        <w:rPr>
          <w:rFonts w:eastAsia="Times New Roman" w:cs="Calibri"/>
          <w:i/>
          <w:color w:val="000000"/>
          <w:szCs w:val="18"/>
          <w:lang w:eastAsia="nl-NL"/>
        </w:rPr>
        <w:t>Vullen taakstelling</w:t>
      </w:r>
    </w:p>
    <w:p w:rsidRPr="004651A1" w:rsidR="00455EF1" w:rsidP="00455EF1" w:rsidRDefault="00455EF1">
      <w:pPr>
        <w:pStyle w:val="Geenafstand"/>
        <w:spacing w:line="240" w:lineRule="atLeast"/>
      </w:pPr>
      <w:r w:rsidRPr="004651A1">
        <w:t xml:space="preserve">De taakstelling op de begroting van OCW wordt gevuld. </w:t>
      </w:r>
    </w:p>
    <w:p w:rsidR="00455EF1" w:rsidP="00455EF1" w:rsidRDefault="00455EF1">
      <w:pPr>
        <w:spacing w:after="0" w:line="240" w:lineRule="atLeast"/>
        <w:rPr>
          <w:rFonts w:eastAsia="Times New Roman" w:cs="Calibri"/>
          <w:i/>
          <w:color w:val="000000"/>
          <w:szCs w:val="18"/>
          <w:lang w:eastAsia="nl-NL"/>
        </w:rPr>
      </w:pPr>
    </w:p>
    <w:p w:rsidRPr="004651A1" w:rsidR="00455EF1" w:rsidP="00455EF1" w:rsidRDefault="00455EF1">
      <w:pPr>
        <w:spacing w:after="0" w:line="240" w:lineRule="atLeast"/>
        <w:rPr>
          <w:rFonts w:eastAsia="Times New Roman" w:cs="Calibri"/>
          <w:i/>
          <w:color w:val="000000"/>
          <w:szCs w:val="18"/>
          <w:lang w:eastAsia="nl-NL"/>
        </w:rPr>
      </w:pPr>
      <w:r>
        <w:rPr>
          <w:rFonts w:eastAsia="Times New Roman" w:cs="Calibri"/>
          <w:i/>
          <w:color w:val="000000"/>
          <w:szCs w:val="18"/>
          <w:lang w:eastAsia="nl-NL"/>
        </w:rPr>
        <w:t xml:space="preserve">Diversen - </w:t>
      </w:r>
      <w:r w:rsidRPr="004651A1">
        <w:rPr>
          <w:rFonts w:eastAsia="Times New Roman" w:cs="Calibri"/>
          <w:i/>
          <w:color w:val="000000"/>
          <w:szCs w:val="18"/>
          <w:lang w:eastAsia="nl-NL"/>
        </w:rPr>
        <w:t>b</w:t>
      </w:r>
      <w:r>
        <w:rPr>
          <w:rFonts w:eastAsia="Times New Roman" w:cs="Calibri"/>
          <w:i/>
          <w:color w:val="000000"/>
          <w:szCs w:val="18"/>
          <w:lang w:eastAsia="nl-NL"/>
        </w:rPr>
        <w:t>eleidsmatige mutaties, uitgaven</w:t>
      </w:r>
    </w:p>
    <w:p w:rsidR="00455EF1" w:rsidP="00455EF1" w:rsidRDefault="00455EF1">
      <w:pPr>
        <w:spacing w:after="0" w:line="240" w:lineRule="atLeast"/>
        <w:rPr>
          <w:rFonts w:eastAsia="Times New Roman" w:cs="Calibri"/>
          <w:color w:val="000000"/>
          <w:szCs w:val="18"/>
          <w:lang w:eastAsia="nl-NL"/>
        </w:rPr>
      </w:pPr>
      <w:r>
        <w:rPr>
          <w:rFonts w:eastAsia="Times New Roman" w:cs="Calibri"/>
          <w:color w:val="000000"/>
          <w:szCs w:val="18"/>
          <w:lang w:eastAsia="nl-NL"/>
        </w:rPr>
        <w:t xml:space="preserve">Deze post bestaat uit verschillende kasschuiven, de </w:t>
      </w:r>
      <w:proofErr w:type="spellStart"/>
      <w:r>
        <w:rPr>
          <w:rFonts w:eastAsia="Times New Roman" w:cs="Calibri"/>
          <w:color w:val="000000"/>
          <w:szCs w:val="18"/>
          <w:lang w:eastAsia="nl-NL"/>
        </w:rPr>
        <w:t>opboeking</w:t>
      </w:r>
      <w:proofErr w:type="spellEnd"/>
      <w:r>
        <w:rPr>
          <w:rFonts w:eastAsia="Times New Roman" w:cs="Calibri"/>
          <w:color w:val="000000"/>
          <w:szCs w:val="18"/>
          <w:lang w:eastAsia="nl-NL"/>
        </w:rPr>
        <w:t xml:space="preserve"> van de eindejaarsmarge, het investeringsvoorstel persoonsgericht innen,</w:t>
      </w:r>
      <w:r w:rsidR="00FC0E80">
        <w:rPr>
          <w:rFonts w:eastAsia="Times New Roman" w:cs="Calibri"/>
          <w:color w:val="000000"/>
          <w:szCs w:val="18"/>
          <w:lang w:eastAsia="nl-NL"/>
        </w:rPr>
        <w:t xml:space="preserve"> een bijdrage aan BZK voor rijksb</w:t>
      </w:r>
      <w:r>
        <w:rPr>
          <w:rFonts w:eastAsia="Times New Roman" w:cs="Calibri"/>
          <w:color w:val="000000"/>
          <w:szCs w:val="18"/>
          <w:lang w:eastAsia="nl-NL"/>
        </w:rPr>
        <w:t xml:space="preserve">rede IT-ontwikkelingen, overige DUO-problematiek en enkele kleine tegenvallers en meevallers. </w:t>
      </w:r>
    </w:p>
    <w:p w:rsidR="00455EF1" w:rsidP="00455EF1" w:rsidRDefault="00455EF1">
      <w:pPr>
        <w:spacing w:after="0" w:line="240" w:lineRule="atLeast"/>
        <w:rPr>
          <w:rFonts w:eastAsia="Times New Roman" w:cs="Calibri"/>
          <w:color w:val="000000"/>
          <w:szCs w:val="18"/>
          <w:lang w:eastAsia="nl-NL"/>
        </w:rPr>
      </w:pPr>
    </w:p>
    <w:p w:rsidR="0020037D" w:rsidP="0020037D" w:rsidRDefault="0020037D">
      <w:pPr>
        <w:spacing w:after="0" w:line="240" w:lineRule="atLeast"/>
        <w:rPr>
          <w:rFonts w:eastAsia="Times New Roman" w:cs="Calibri"/>
          <w:i/>
          <w:color w:val="000000"/>
          <w:szCs w:val="18"/>
          <w:lang w:eastAsia="nl-NL"/>
        </w:rPr>
      </w:pPr>
      <w:r>
        <w:rPr>
          <w:rFonts w:eastAsia="Times New Roman" w:cs="Calibri"/>
          <w:i/>
          <w:color w:val="000000"/>
          <w:szCs w:val="18"/>
          <w:lang w:eastAsia="nl-NL"/>
        </w:rPr>
        <w:t xml:space="preserve">G33 </w:t>
      </w:r>
      <w:r w:rsidRPr="00E412AC">
        <w:rPr>
          <w:rFonts w:eastAsia="Times New Roman" w:cs="Calibri"/>
          <w:i/>
          <w:color w:val="000000"/>
          <w:szCs w:val="18"/>
          <w:lang w:eastAsia="nl-NL"/>
        </w:rPr>
        <w:t>A</w:t>
      </w:r>
      <w:r>
        <w:rPr>
          <w:rFonts w:eastAsia="Times New Roman" w:cs="Calibri"/>
          <w:i/>
          <w:color w:val="000000"/>
          <w:szCs w:val="18"/>
          <w:lang w:eastAsia="nl-NL"/>
        </w:rPr>
        <w:t>anvullende post</w:t>
      </w:r>
      <w:r w:rsidRPr="00E412AC">
        <w:rPr>
          <w:rFonts w:eastAsia="Times New Roman" w:cs="Calibri"/>
          <w:i/>
          <w:color w:val="000000"/>
          <w:szCs w:val="18"/>
          <w:lang w:eastAsia="nl-NL"/>
        </w:rPr>
        <w:t xml:space="preserve"> werkdruk primair onderwijs</w:t>
      </w:r>
    </w:p>
    <w:p w:rsidR="0020037D" w:rsidP="0020037D" w:rsidRDefault="0020037D">
      <w:pPr>
        <w:spacing w:after="0" w:line="240" w:lineRule="atLeast"/>
        <w:rPr>
          <w:rFonts w:eastAsia="Times New Roman" w:cs="Calibri"/>
          <w:color w:val="000000"/>
          <w:szCs w:val="18"/>
          <w:lang w:eastAsia="nl-NL"/>
        </w:rPr>
      </w:pPr>
      <w:r>
        <w:rPr>
          <w:rFonts w:eastAsia="Times New Roman" w:cs="Calibri"/>
          <w:color w:val="000000"/>
          <w:szCs w:val="18"/>
          <w:lang w:eastAsia="nl-NL"/>
        </w:rPr>
        <w:t xml:space="preserve">Dit betreft de werkdrukmiddelen die eerder zijn overgeboekt van de aanvullende post naar de begroting van OCW (Kamerbrief 31 293 nr. 435). </w:t>
      </w:r>
    </w:p>
    <w:p w:rsidRPr="00E412AC" w:rsidR="00455EF1" w:rsidP="00455EF1" w:rsidRDefault="00455EF1">
      <w:pPr>
        <w:spacing w:after="0" w:line="240" w:lineRule="atLeast"/>
        <w:rPr>
          <w:rFonts w:eastAsia="Times New Roman" w:cs="Calibri"/>
          <w:color w:val="000000"/>
          <w:szCs w:val="18"/>
          <w:lang w:eastAsia="nl-NL"/>
        </w:rPr>
      </w:pPr>
    </w:p>
    <w:p w:rsidR="00455EF1" w:rsidP="00455EF1" w:rsidRDefault="00455EF1">
      <w:pPr>
        <w:spacing w:after="0" w:line="240" w:lineRule="atLeast"/>
        <w:rPr>
          <w:rFonts w:eastAsia="Times New Roman" w:cs="Calibri"/>
          <w:i/>
          <w:color w:val="000000"/>
          <w:szCs w:val="18"/>
          <w:lang w:eastAsia="nl-NL"/>
        </w:rPr>
      </w:pPr>
      <w:r w:rsidRPr="00E412AC">
        <w:rPr>
          <w:rFonts w:eastAsia="Times New Roman" w:cs="Calibri"/>
          <w:i/>
          <w:color w:val="000000"/>
          <w:szCs w:val="18"/>
          <w:lang w:eastAsia="nl-NL"/>
        </w:rPr>
        <w:t>Loonbijstelling tranche 2019</w:t>
      </w:r>
    </w:p>
    <w:p w:rsidRPr="00E412AC" w:rsidR="00455EF1" w:rsidP="00455EF1" w:rsidRDefault="00455EF1">
      <w:pPr>
        <w:spacing w:after="0" w:line="240" w:lineRule="atLeast"/>
        <w:rPr>
          <w:rFonts w:eastAsia="Times New Roman" w:cs="Calibri"/>
          <w:i/>
          <w:color w:val="000000"/>
          <w:szCs w:val="18"/>
          <w:lang w:eastAsia="nl-NL"/>
        </w:rPr>
      </w:pPr>
      <w:r w:rsidRPr="00E412AC">
        <w:rPr>
          <w:szCs w:val="18"/>
        </w:rPr>
        <w:t>De tr</w:t>
      </w:r>
      <w:r>
        <w:rPr>
          <w:szCs w:val="18"/>
        </w:rPr>
        <w:t>anche 2019 van de loon</w:t>
      </w:r>
      <w:r w:rsidRPr="00E412AC">
        <w:rPr>
          <w:szCs w:val="18"/>
        </w:rPr>
        <w:t xml:space="preserve">bijstelling is overgemaakt naar </w:t>
      </w:r>
      <w:r>
        <w:rPr>
          <w:szCs w:val="18"/>
        </w:rPr>
        <w:t xml:space="preserve">OCW. </w:t>
      </w:r>
    </w:p>
    <w:p w:rsidR="00455EF1" w:rsidP="00455EF1" w:rsidRDefault="00455EF1">
      <w:pPr>
        <w:spacing w:after="0" w:line="240" w:lineRule="atLeast"/>
        <w:rPr>
          <w:rFonts w:eastAsia="Times New Roman" w:cs="Calibri"/>
          <w:i/>
          <w:color w:val="000000"/>
          <w:szCs w:val="18"/>
          <w:lang w:eastAsia="nl-NL"/>
        </w:rPr>
      </w:pPr>
    </w:p>
    <w:p w:rsidRPr="00E412AC" w:rsidR="00455EF1" w:rsidP="00455EF1" w:rsidRDefault="00455EF1">
      <w:pPr>
        <w:spacing w:after="0" w:line="240" w:lineRule="atLeast"/>
        <w:rPr>
          <w:rFonts w:eastAsia="Times New Roman" w:cs="Calibri"/>
          <w:i/>
          <w:color w:val="000000"/>
          <w:szCs w:val="18"/>
          <w:lang w:eastAsia="nl-NL"/>
        </w:rPr>
      </w:pPr>
      <w:r w:rsidRPr="00E412AC">
        <w:rPr>
          <w:rFonts w:eastAsia="Times New Roman" w:cs="Calibri"/>
          <w:i/>
          <w:color w:val="000000"/>
          <w:szCs w:val="18"/>
          <w:lang w:eastAsia="nl-NL"/>
        </w:rPr>
        <w:t>Prijsbijstelling tranche 2019</w:t>
      </w:r>
    </w:p>
    <w:p w:rsidRPr="00E412AC" w:rsidR="00455EF1" w:rsidP="00455EF1" w:rsidRDefault="00455EF1">
      <w:pPr>
        <w:spacing w:after="0" w:line="240" w:lineRule="atLeast"/>
        <w:rPr>
          <w:rFonts w:eastAsia="Times New Roman" w:cs="Calibri"/>
          <w:i/>
          <w:color w:val="000000"/>
          <w:szCs w:val="18"/>
          <w:lang w:eastAsia="nl-NL"/>
        </w:rPr>
      </w:pPr>
      <w:r w:rsidRPr="00E412AC">
        <w:rPr>
          <w:szCs w:val="18"/>
        </w:rPr>
        <w:t>De tr</w:t>
      </w:r>
      <w:r>
        <w:rPr>
          <w:szCs w:val="18"/>
        </w:rPr>
        <w:t>anche 2019 van de prijs</w:t>
      </w:r>
      <w:r w:rsidRPr="00E412AC">
        <w:rPr>
          <w:szCs w:val="18"/>
        </w:rPr>
        <w:t xml:space="preserve">bijstelling is overgemaakt naar </w:t>
      </w:r>
      <w:r>
        <w:rPr>
          <w:szCs w:val="18"/>
        </w:rPr>
        <w:t xml:space="preserve">OCW. </w:t>
      </w:r>
    </w:p>
    <w:p w:rsidR="00455EF1" w:rsidP="00455EF1" w:rsidRDefault="00455EF1">
      <w:pPr>
        <w:spacing w:after="0" w:line="240" w:lineRule="atLeast"/>
        <w:rPr>
          <w:rFonts w:eastAsia="Times New Roman" w:cs="Calibri"/>
          <w:i/>
          <w:color w:val="000000"/>
          <w:szCs w:val="18"/>
          <w:lang w:eastAsia="nl-NL"/>
        </w:rPr>
      </w:pPr>
    </w:p>
    <w:p w:rsidR="00455EF1" w:rsidP="00455EF1" w:rsidRDefault="00455EF1">
      <w:pPr>
        <w:spacing w:after="0" w:line="240" w:lineRule="atLeast"/>
        <w:rPr>
          <w:rFonts w:eastAsia="Times New Roman" w:cs="Calibri"/>
          <w:i/>
          <w:color w:val="000000"/>
          <w:szCs w:val="18"/>
          <w:lang w:eastAsia="nl-NL"/>
        </w:rPr>
      </w:pPr>
      <w:r w:rsidRPr="00E412AC">
        <w:rPr>
          <w:rFonts w:eastAsia="Times New Roman" w:cs="Calibri"/>
          <w:i/>
          <w:color w:val="000000"/>
          <w:szCs w:val="18"/>
          <w:lang w:eastAsia="nl-NL"/>
        </w:rPr>
        <w:t>Diversen</w:t>
      </w:r>
      <w:r>
        <w:rPr>
          <w:rFonts w:eastAsia="Times New Roman" w:cs="Calibri"/>
          <w:i/>
          <w:color w:val="000000"/>
          <w:szCs w:val="18"/>
          <w:lang w:eastAsia="nl-NL"/>
        </w:rPr>
        <w:t xml:space="preserve"> - technische mutaties, uitgaven</w:t>
      </w:r>
    </w:p>
    <w:p w:rsidR="00455EF1" w:rsidP="00455EF1" w:rsidRDefault="00455EF1">
      <w:pPr>
        <w:spacing w:after="0" w:line="240" w:lineRule="atLeast"/>
        <w:rPr>
          <w:lang w:eastAsia="nl-NL"/>
        </w:rPr>
      </w:pPr>
      <w:r>
        <w:rPr>
          <w:lang w:eastAsia="nl-NL"/>
        </w:rPr>
        <w:t xml:space="preserve">Deze post bestaat uit diverse (kleine) overboekingen en een tweetal desalderingen als gevolg van lagere STER-inkomsten en hogere ontvangsten op MBO-subsidies. Grote overboekingen zijn de RA-reeksen G40 (cultuur), G42 (onderzoeksjournalistiek), G43 (erfgoed en monumenten) en een overboeking voor buurtcoaches. </w:t>
      </w:r>
    </w:p>
    <w:p w:rsidR="00455EF1" w:rsidP="00455EF1" w:rsidRDefault="00455EF1">
      <w:pPr>
        <w:spacing w:after="0" w:line="240" w:lineRule="atLeast"/>
      </w:pPr>
      <w:r w:rsidRPr="007D7323">
        <w:rPr>
          <w:szCs w:val="18"/>
        </w:rPr>
        <w:t>Voortaan worden onderwijsuitgaven ten behoeve van asielzoekerskinderen op de OCW</w:t>
      </w:r>
      <w:r w:rsidR="0020037D">
        <w:rPr>
          <w:szCs w:val="18"/>
        </w:rPr>
        <w:t>-</w:t>
      </w:r>
      <w:r w:rsidRPr="007D7323">
        <w:rPr>
          <w:szCs w:val="18"/>
        </w:rPr>
        <w:t>begroting toegerekend aan ODA. Hiervoor vindt een budgettair neutrale boeking plaats tussen de begrotingen van BHOS en OCW.</w:t>
      </w:r>
    </w:p>
    <w:p w:rsidRPr="00E412AC" w:rsidR="00455EF1" w:rsidP="00455EF1" w:rsidRDefault="00455EF1">
      <w:pPr>
        <w:spacing w:after="0" w:line="240" w:lineRule="atLeast"/>
        <w:rPr>
          <w:rFonts w:eastAsia="Times New Roman" w:cs="Calibri"/>
          <w:color w:val="000000"/>
          <w:szCs w:val="18"/>
          <w:lang w:eastAsia="nl-NL"/>
        </w:rPr>
      </w:pPr>
    </w:p>
    <w:p w:rsidR="00455EF1" w:rsidP="00455EF1" w:rsidRDefault="00455EF1">
      <w:pPr>
        <w:spacing w:after="0" w:line="240" w:lineRule="atLeast"/>
        <w:rPr>
          <w:rFonts w:eastAsia="Times New Roman" w:cs="Calibri"/>
          <w:i/>
          <w:color w:val="000000"/>
          <w:szCs w:val="18"/>
          <w:lang w:eastAsia="nl-NL"/>
        </w:rPr>
      </w:pPr>
      <w:r w:rsidRPr="00E412AC">
        <w:rPr>
          <w:rFonts w:eastAsia="Times New Roman" w:cs="Calibri"/>
          <w:i/>
          <w:color w:val="000000"/>
          <w:szCs w:val="18"/>
          <w:lang w:eastAsia="nl-NL"/>
        </w:rPr>
        <w:t>Mutaties art. 11 autonoom (</w:t>
      </w:r>
      <w:proofErr w:type="spellStart"/>
      <w:r w:rsidRPr="00E412AC">
        <w:rPr>
          <w:rFonts w:eastAsia="Times New Roman" w:cs="Calibri"/>
          <w:i/>
          <w:color w:val="000000"/>
          <w:szCs w:val="18"/>
          <w:lang w:eastAsia="nl-NL"/>
        </w:rPr>
        <w:t>nr</w:t>
      </w:r>
      <w:proofErr w:type="spellEnd"/>
      <w:r w:rsidRPr="00E412AC">
        <w:rPr>
          <w:rFonts w:eastAsia="Times New Roman" w:cs="Calibri"/>
          <w:i/>
          <w:color w:val="000000"/>
          <w:szCs w:val="18"/>
          <w:lang w:eastAsia="nl-NL"/>
        </w:rPr>
        <w:t>)</w:t>
      </w:r>
      <w:r>
        <w:rPr>
          <w:rFonts w:eastAsia="Times New Roman" w:cs="Calibri"/>
          <w:i/>
          <w:color w:val="000000"/>
          <w:szCs w:val="18"/>
          <w:lang w:eastAsia="nl-NL"/>
        </w:rPr>
        <w:t xml:space="preserve"> </w:t>
      </w:r>
    </w:p>
    <w:p w:rsidRPr="00F0419E" w:rsidR="00455EF1" w:rsidP="00455EF1" w:rsidRDefault="00455EF1">
      <w:pPr>
        <w:spacing w:line="240" w:lineRule="atLeast"/>
      </w:pPr>
      <w:r w:rsidRPr="00F0419E">
        <w:t>De niet-</w:t>
      </w:r>
      <w:r>
        <w:t>plafond</w:t>
      </w:r>
      <w:r w:rsidRPr="00F0419E">
        <w:t xml:space="preserve">relevante uitgaven aan studiefinanciering zijn voor de komende jaren naar beneden bijgesteld. Voor 2019 gaat het om een bijstelling van circa 179 </w:t>
      </w:r>
      <w:r>
        <w:t>mln</w:t>
      </w:r>
      <w:r w:rsidRPr="00F0419E">
        <w:t xml:space="preserve">. Ruim de helft van dit bedrag wordt veroorzaakt door lager geraamde uitgaven aan de leningen (rentedragende lening, collegegeldkrediet en </w:t>
      </w:r>
      <w:proofErr w:type="spellStart"/>
      <w:r w:rsidRPr="00F0419E">
        <w:t>levenlanglerenkrediet</w:t>
      </w:r>
      <w:proofErr w:type="spellEnd"/>
      <w:r w:rsidRPr="00F0419E">
        <w:t xml:space="preserve">) als gevolg van de lagere realisatie in 2018. De andere helft wordt veroorzaakt door diverse mutaties. </w:t>
      </w:r>
    </w:p>
    <w:p w:rsidR="00455EF1" w:rsidP="00455EF1" w:rsidRDefault="00455EF1">
      <w:pPr>
        <w:spacing w:after="0" w:line="240" w:lineRule="atLeast"/>
        <w:rPr>
          <w:rFonts w:eastAsia="Times New Roman" w:cs="Calibri"/>
          <w:i/>
          <w:color w:val="000000"/>
          <w:szCs w:val="18"/>
          <w:lang w:eastAsia="nl-NL"/>
        </w:rPr>
      </w:pPr>
      <w:r w:rsidRPr="00E412AC">
        <w:rPr>
          <w:rFonts w:eastAsia="Times New Roman" w:cs="Calibri"/>
          <w:i/>
          <w:color w:val="000000"/>
          <w:szCs w:val="18"/>
          <w:lang w:eastAsia="nl-NL"/>
        </w:rPr>
        <w:t>Uitdeling prijsbijstelling niet-relevant tranche 2019</w:t>
      </w:r>
    </w:p>
    <w:p w:rsidRPr="00E412AC" w:rsidR="00455EF1" w:rsidP="00455EF1" w:rsidRDefault="00455EF1">
      <w:pPr>
        <w:spacing w:after="0" w:line="240" w:lineRule="atLeast"/>
        <w:rPr>
          <w:rFonts w:eastAsia="Times New Roman" w:cs="Calibri"/>
          <w:i/>
          <w:color w:val="000000"/>
          <w:szCs w:val="18"/>
          <w:lang w:eastAsia="nl-NL"/>
        </w:rPr>
      </w:pPr>
      <w:r w:rsidRPr="00E412AC">
        <w:rPr>
          <w:szCs w:val="18"/>
        </w:rPr>
        <w:t>De tr</w:t>
      </w:r>
      <w:r>
        <w:rPr>
          <w:szCs w:val="18"/>
        </w:rPr>
        <w:t>anche 2019 (niet-relevant) van de prijs</w:t>
      </w:r>
      <w:r w:rsidRPr="00E412AC">
        <w:rPr>
          <w:szCs w:val="18"/>
        </w:rPr>
        <w:t xml:space="preserve">bijstelling is overgemaakt naar </w:t>
      </w:r>
      <w:r>
        <w:rPr>
          <w:szCs w:val="18"/>
        </w:rPr>
        <w:t xml:space="preserve">OCW. </w:t>
      </w:r>
    </w:p>
    <w:p w:rsidR="00455EF1" w:rsidP="00455EF1" w:rsidRDefault="00455EF1">
      <w:pPr>
        <w:spacing w:after="0" w:line="240" w:lineRule="atLeast"/>
        <w:rPr>
          <w:rFonts w:eastAsia="Times New Roman" w:cs="Calibri"/>
          <w:i/>
          <w:color w:val="000000"/>
          <w:szCs w:val="18"/>
          <w:lang w:eastAsia="nl-NL"/>
        </w:rPr>
      </w:pPr>
    </w:p>
    <w:p w:rsidR="00D72210" w:rsidP="00455EF1" w:rsidRDefault="00D72210">
      <w:pPr>
        <w:spacing w:after="0" w:line="240" w:lineRule="atLeast"/>
        <w:rPr>
          <w:rFonts w:eastAsia="Times New Roman" w:cs="Calibri"/>
          <w:i/>
          <w:color w:val="000000"/>
          <w:szCs w:val="18"/>
          <w:lang w:eastAsia="nl-NL"/>
        </w:rPr>
      </w:pPr>
    </w:p>
    <w:p w:rsidRPr="00E412AC" w:rsidR="00D72210" w:rsidP="00455EF1" w:rsidRDefault="00D72210">
      <w:pPr>
        <w:spacing w:after="0" w:line="240" w:lineRule="atLeast"/>
        <w:rPr>
          <w:rFonts w:eastAsia="Times New Roman" w:cs="Calibri"/>
          <w:i/>
          <w:color w:val="000000"/>
          <w:szCs w:val="18"/>
          <w:lang w:eastAsia="nl-NL"/>
        </w:rPr>
      </w:pPr>
    </w:p>
    <w:p w:rsidR="00455EF1" w:rsidP="00455EF1" w:rsidRDefault="00455EF1">
      <w:pPr>
        <w:spacing w:after="0" w:line="240" w:lineRule="atLeast"/>
        <w:rPr>
          <w:rFonts w:eastAsia="Times New Roman" w:cs="Calibri"/>
          <w:i/>
          <w:color w:val="000000"/>
          <w:szCs w:val="18"/>
          <w:lang w:eastAsia="nl-NL"/>
        </w:rPr>
      </w:pPr>
      <w:r w:rsidRPr="00E412AC">
        <w:rPr>
          <w:rFonts w:eastAsia="Times New Roman" w:cs="Calibri"/>
          <w:i/>
          <w:color w:val="000000"/>
          <w:szCs w:val="18"/>
          <w:lang w:eastAsia="nl-NL"/>
        </w:rPr>
        <w:lastRenderedPageBreak/>
        <w:t>Diversen</w:t>
      </w:r>
      <w:r>
        <w:rPr>
          <w:rFonts w:eastAsia="Times New Roman" w:cs="Calibri"/>
          <w:i/>
          <w:color w:val="000000"/>
          <w:szCs w:val="18"/>
          <w:lang w:eastAsia="nl-NL"/>
        </w:rPr>
        <w:t xml:space="preserve"> - niet relevant voor het uitgavenplafond, uitgaven</w:t>
      </w:r>
    </w:p>
    <w:p w:rsidR="00455EF1" w:rsidP="00455EF1" w:rsidRDefault="00455EF1">
      <w:pPr>
        <w:spacing w:after="0" w:line="240" w:lineRule="atLeast"/>
        <w:rPr>
          <w:rFonts w:eastAsia="Times New Roman" w:cs="Calibri"/>
          <w:color w:val="000000"/>
          <w:szCs w:val="18"/>
          <w:lang w:eastAsia="nl-NL"/>
        </w:rPr>
      </w:pPr>
      <w:r>
        <w:rPr>
          <w:rFonts w:eastAsia="Times New Roman" w:cs="Calibri"/>
          <w:color w:val="000000"/>
          <w:szCs w:val="18"/>
          <w:lang w:eastAsia="nl-NL"/>
        </w:rPr>
        <w:t xml:space="preserve">Deze post bestaat uit diverse mutaties. </w:t>
      </w:r>
      <w:r w:rsidRPr="00F0419E">
        <w:rPr>
          <w:rFonts w:eastAsia="Times New Roman" w:cs="Calibri"/>
          <w:color w:val="000000"/>
          <w:szCs w:val="18"/>
          <w:lang w:eastAsia="nl-NL"/>
        </w:rPr>
        <w:t xml:space="preserve">De Referentieraming 2019 zorgt voor een tegenvaller op artikel 11 op de niet-relevante uitgaven. Vanaf 2020 en verder zorgt de referentieraming 2019 voor een meevaller op artikel 11. De niet-relevante uitgaven op artikel 12 zijn naar boven bijgesteld op grond van </w:t>
      </w:r>
      <w:r>
        <w:rPr>
          <w:rFonts w:eastAsia="Times New Roman" w:cs="Calibri"/>
          <w:color w:val="000000"/>
          <w:szCs w:val="18"/>
          <w:lang w:eastAsia="nl-NL"/>
        </w:rPr>
        <w:t xml:space="preserve">de </w:t>
      </w:r>
      <w:r w:rsidRPr="00F0419E">
        <w:rPr>
          <w:rFonts w:eastAsia="Times New Roman" w:cs="Calibri"/>
          <w:color w:val="000000"/>
          <w:szCs w:val="18"/>
          <w:lang w:eastAsia="nl-NL"/>
        </w:rPr>
        <w:t>realisatie</w:t>
      </w:r>
      <w:r>
        <w:rPr>
          <w:rFonts w:eastAsia="Times New Roman" w:cs="Calibri"/>
          <w:color w:val="000000"/>
          <w:szCs w:val="18"/>
          <w:lang w:eastAsia="nl-NL"/>
        </w:rPr>
        <w:t xml:space="preserve"> in</w:t>
      </w:r>
      <w:r w:rsidRPr="00F0419E">
        <w:rPr>
          <w:rFonts w:eastAsia="Times New Roman" w:cs="Calibri"/>
          <w:color w:val="000000"/>
          <w:szCs w:val="18"/>
          <w:lang w:eastAsia="nl-NL"/>
        </w:rPr>
        <w:t xml:space="preserve"> 2018.</w:t>
      </w:r>
    </w:p>
    <w:p w:rsidR="00455EF1" w:rsidP="00455EF1" w:rsidRDefault="00455EF1">
      <w:pPr>
        <w:spacing w:after="0" w:line="240" w:lineRule="atLeast"/>
        <w:rPr>
          <w:rFonts w:eastAsia="Times New Roman" w:cs="Calibri"/>
          <w:color w:val="000000"/>
          <w:szCs w:val="18"/>
          <w:lang w:eastAsia="nl-NL"/>
        </w:rPr>
      </w:pPr>
    </w:p>
    <w:p w:rsidRPr="005017A6" w:rsidR="00455EF1" w:rsidP="00455EF1" w:rsidRDefault="00455EF1">
      <w:pPr>
        <w:spacing w:after="0" w:line="240" w:lineRule="atLeast"/>
        <w:rPr>
          <w:rFonts w:eastAsia="Times New Roman" w:cs="Calibri"/>
          <w:i/>
          <w:color w:val="000000"/>
          <w:szCs w:val="18"/>
          <w:lang w:eastAsia="nl-NL"/>
        </w:rPr>
      </w:pPr>
      <w:r w:rsidRPr="005017A6">
        <w:rPr>
          <w:rFonts w:eastAsia="Times New Roman" w:cs="Calibri"/>
          <w:i/>
          <w:color w:val="000000"/>
          <w:szCs w:val="18"/>
          <w:lang w:eastAsia="nl-NL"/>
        </w:rPr>
        <w:t>Mutaties art. 11 autonoom ontvangsten (r)</w:t>
      </w:r>
    </w:p>
    <w:p w:rsidRPr="005017A6" w:rsidR="00455EF1" w:rsidP="00455EF1" w:rsidRDefault="00455EF1">
      <w:pPr>
        <w:spacing w:after="0" w:line="240" w:lineRule="atLeast"/>
        <w:rPr>
          <w:rFonts w:eastAsia="Times New Roman" w:cs="Calibri"/>
          <w:i/>
          <w:color w:val="000000"/>
          <w:szCs w:val="18"/>
          <w:lang w:eastAsia="nl-NL"/>
        </w:rPr>
      </w:pPr>
      <w:r w:rsidRPr="00F0419E">
        <w:t>De niet-relevante ontvangsten van terugbetaalde leningen zijn naar boven bijgesteld op grond van de realisatie in 2018.</w:t>
      </w:r>
    </w:p>
    <w:p w:rsidR="00455EF1" w:rsidP="00455EF1" w:rsidRDefault="00455EF1">
      <w:pPr>
        <w:spacing w:after="0" w:line="240" w:lineRule="atLeast"/>
        <w:rPr>
          <w:rFonts w:eastAsia="Times New Roman" w:cs="Calibri"/>
          <w:color w:val="000000"/>
          <w:szCs w:val="18"/>
          <w:lang w:eastAsia="nl-NL"/>
        </w:rPr>
      </w:pPr>
    </w:p>
    <w:p w:rsidRPr="00FD2BC6" w:rsidR="00455EF1" w:rsidP="00455EF1" w:rsidRDefault="00455EF1">
      <w:pPr>
        <w:spacing w:after="0" w:line="240" w:lineRule="atLeast"/>
        <w:rPr>
          <w:rFonts w:eastAsia="Times New Roman" w:cs="Calibri"/>
          <w:i/>
          <w:color w:val="000000"/>
          <w:szCs w:val="18"/>
          <w:lang w:eastAsia="nl-NL"/>
        </w:rPr>
      </w:pPr>
      <w:r>
        <w:rPr>
          <w:rFonts w:eastAsia="Times New Roman" w:cs="Calibri"/>
          <w:i/>
          <w:color w:val="000000"/>
          <w:szCs w:val="18"/>
          <w:lang w:eastAsia="nl-NL"/>
        </w:rPr>
        <w:t xml:space="preserve">Diversen - </w:t>
      </w:r>
      <w:r w:rsidRPr="00FD2BC6">
        <w:rPr>
          <w:rFonts w:eastAsia="Times New Roman" w:cs="Calibri"/>
          <w:i/>
          <w:color w:val="000000"/>
          <w:szCs w:val="18"/>
          <w:lang w:eastAsia="nl-NL"/>
        </w:rPr>
        <w:t>mee- en tegenval</w:t>
      </w:r>
      <w:r>
        <w:rPr>
          <w:rFonts w:eastAsia="Times New Roman" w:cs="Calibri"/>
          <w:i/>
          <w:color w:val="000000"/>
          <w:szCs w:val="18"/>
          <w:lang w:eastAsia="nl-NL"/>
        </w:rPr>
        <w:t>lers, niet-belastingontvangsten</w:t>
      </w:r>
    </w:p>
    <w:p w:rsidRPr="00C0392B" w:rsidR="00455EF1" w:rsidP="00455EF1" w:rsidRDefault="00455EF1">
      <w:pPr>
        <w:spacing w:after="0" w:line="240" w:lineRule="atLeast"/>
        <w:rPr>
          <w:rFonts w:eastAsia="Times New Roman" w:cs="Calibri"/>
          <w:color w:val="000000"/>
          <w:szCs w:val="18"/>
          <w:lang w:eastAsia="nl-NL"/>
        </w:rPr>
      </w:pPr>
      <w:r>
        <w:rPr>
          <w:rFonts w:eastAsia="Times New Roman" w:cs="Calibri"/>
          <w:color w:val="000000"/>
          <w:szCs w:val="18"/>
          <w:lang w:eastAsia="nl-NL"/>
        </w:rPr>
        <w:t xml:space="preserve">Deze post bestaat uit diverse mutaties. </w:t>
      </w:r>
      <w:r w:rsidRPr="00123839">
        <w:rPr>
          <w:rFonts w:eastAsia="Times New Roman" w:cs="Calibri"/>
          <w:color w:val="000000"/>
          <w:szCs w:val="18"/>
          <w:lang w:eastAsia="nl-NL"/>
        </w:rPr>
        <w:t xml:space="preserve">De referentieraming 2019 zorgt voor lagere lesgeldontvangsten op artikel 13, door lagere aantallen in het bol onderwijs. Een hogere CPI zorgt op artikel 13 voor een autonome oplopende meevaller. </w:t>
      </w:r>
      <w:r w:rsidRPr="00123839">
        <w:t>Een hogere prijsontwikkeling zorgt namelijk voor hogere lesgeldontvangsten dan eerder geraamd.</w:t>
      </w:r>
    </w:p>
    <w:p w:rsidR="00455EF1" w:rsidP="00455EF1" w:rsidRDefault="00455EF1">
      <w:pPr>
        <w:pStyle w:val="Geenafstand"/>
        <w:spacing w:line="240" w:lineRule="atLeast"/>
      </w:pPr>
    </w:p>
    <w:p w:rsidR="00455EF1" w:rsidP="00455EF1" w:rsidRDefault="00455EF1">
      <w:pPr>
        <w:pStyle w:val="Geenafstand"/>
        <w:spacing w:line="240" w:lineRule="atLeast"/>
      </w:pPr>
      <w:r>
        <w:t>Diversen - beleidsmatige mutaties, niet-belastingontvangsten</w:t>
      </w:r>
    </w:p>
    <w:p w:rsidR="00455EF1" w:rsidP="0020037D" w:rsidRDefault="00455EF1">
      <w:pPr>
        <w:pStyle w:val="Geenafstand"/>
        <w:spacing w:line="240" w:lineRule="atLeast"/>
      </w:pPr>
      <w:r>
        <w:t xml:space="preserve">Deze post bestaat uit een desaldering, dekking voor tegenvallers en hogere ontvangsten als gevolg van het investeringsvoorstel persoonsgericht innen. </w:t>
      </w:r>
      <w:r w:rsidR="0020037D">
        <w:t>Dit voorstel zet in op een actieve en persoonsgerichte manier van het innen van studieschulden om vroegtijdig betaalproblemen op te sporen en te voorkomen.</w:t>
      </w:r>
    </w:p>
    <w:p w:rsidR="00455EF1" w:rsidP="00455EF1" w:rsidRDefault="00455EF1">
      <w:pPr>
        <w:pStyle w:val="Geenafstand"/>
        <w:spacing w:line="240" w:lineRule="atLeast"/>
        <w:rPr>
          <w:i/>
        </w:rPr>
      </w:pPr>
    </w:p>
    <w:p w:rsidRPr="00184E66" w:rsidR="00455EF1" w:rsidP="00455EF1" w:rsidRDefault="00455EF1">
      <w:pPr>
        <w:pStyle w:val="Geenafstand"/>
        <w:spacing w:line="240" w:lineRule="atLeast"/>
        <w:rPr>
          <w:i/>
        </w:rPr>
      </w:pPr>
      <w:r>
        <w:rPr>
          <w:i/>
        </w:rPr>
        <w:t>Diversen - technische mutaties, niet-belastingontvangsten</w:t>
      </w:r>
    </w:p>
    <w:p w:rsidR="00455EF1" w:rsidP="00455EF1" w:rsidRDefault="00455EF1">
      <w:pPr>
        <w:spacing w:line="240" w:lineRule="atLeast"/>
        <w:rPr>
          <w:rFonts w:eastAsia="Times New Roman" w:cs="Calibri"/>
          <w:color w:val="000000"/>
          <w:szCs w:val="18"/>
          <w:lang w:eastAsia="nl-NL"/>
        </w:rPr>
      </w:pPr>
      <w:r>
        <w:t xml:space="preserve">Deze post bestaat uit een tweetal </w:t>
      </w:r>
      <w:r>
        <w:rPr>
          <w:rFonts w:eastAsia="Times New Roman" w:cs="Calibri"/>
          <w:color w:val="000000"/>
          <w:szCs w:val="18"/>
          <w:lang w:eastAsia="nl-NL"/>
        </w:rPr>
        <w:t>desalderingen als gevolg van lagere STER-inkomsten en hogere ontvangsten op MBO-subsidies.</w:t>
      </w:r>
    </w:p>
    <w:p w:rsidRPr="0087094A" w:rsidR="00455EF1" w:rsidP="00455EF1" w:rsidRDefault="00455EF1">
      <w:pPr>
        <w:pStyle w:val="Geenafstand"/>
        <w:spacing w:line="240" w:lineRule="atLeast"/>
        <w:rPr>
          <w:i/>
          <w:lang w:eastAsia="nl-NL"/>
        </w:rPr>
      </w:pPr>
      <w:r>
        <w:rPr>
          <w:i/>
          <w:lang w:eastAsia="nl-NL"/>
        </w:rPr>
        <w:t xml:space="preserve">Diversen - </w:t>
      </w:r>
      <w:r w:rsidRPr="0087094A">
        <w:rPr>
          <w:i/>
          <w:lang w:eastAsia="nl-NL"/>
        </w:rPr>
        <w:t>niet relevant voor het uitgavenplafond, niet-</w:t>
      </w:r>
      <w:r>
        <w:rPr>
          <w:i/>
          <w:lang w:eastAsia="nl-NL"/>
        </w:rPr>
        <w:t>belastingontvangsten</w:t>
      </w:r>
    </w:p>
    <w:p w:rsidR="00403FED" w:rsidP="00455EF1" w:rsidRDefault="00455EF1">
      <w:pPr>
        <w:rPr>
          <w:rFonts w:asciiTheme="majorHAnsi" w:hAnsiTheme="majorHAnsi"/>
          <w:b/>
          <w:szCs w:val="18"/>
        </w:rPr>
      </w:pPr>
      <w:r>
        <w:rPr>
          <w:lang w:eastAsia="nl-NL"/>
        </w:rPr>
        <w:t>Deze post bestaat uit hogere n</w:t>
      </w:r>
      <w:r w:rsidRPr="0087094A">
        <w:t>iet-</w:t>
      </w:r>
      <w:r>
        <w:t>plafond</w:t>
      </w:r>
      <w:r w:rsidRPr="0087094A">
        <w:t>relevante ontvangsten als gevolg van het investeringsvoorstel persoonsgericht innen</w:t>
      </w:r>
      <w:r>
        <w:t>. Daarnaast zijn de</w:t>
      </w:r>
      <w:r w:rsidRPr="00F85472">
        <w:t xml:space="preserve"> niet-</w:t>
      </w:r>
      <w:r>
        <w:t>plafond</w:t>
      </w:r>
      <w:r w:rsidRPr="00F85472">
        <w:t>relevante ontvangsten van terugbetaalde leningen op artikel 11 naar boven bijgesteld op grond van de realisatie in 2018</w:t>
      </w:r>
      <w:r w:rsidR="0020037D">
        <w:t>.</w:t>
      </w:r>
      <w:r w:rsidR="00403FED">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101B26" w:rsidR="00101B26" w:rsidTr="00101B26">
        <w:trPr>
          <w:trHeight w:val="225"/>
        </w:trPr>
        <w:tc>
          <w:tcPr>
            <w:tcW w:w="10860" w:type="dxa"/>
            <w:gridSpan w:val="7"/>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b/>
                <w:bCs/>
                <w:color w:val="000000"/>
                <w:szCs w:val="18"/>
                <w:lang w:eastAsia="nl-NL"/>
              </w:rPr>
            </w:pPr>
            <w:r w:rsidRPr="00101B26">
              <w:rPr>
                <w:rFonts w:eastAsia="Times New Roman" w:cs="Times New Roman"/>
                <w:b/>
                <w:bCs/>
                <w:color w:val="000000"/>
                <w:szCs w:val="18"/>
                <w:lang w:eastAsia="nl-NL"/>
              </w:rPr>
              <w:lastRenderedPageBreak/>
              <w:t>Nationale Schuld (Transactiebasis)</w:t>
            </w:r>
          </w:p>
        </w:tc>
      </w:tr>
      <w:tr w:rsidRPr="00101B26" w:rsidR="00101B26" w:rsidTr="00101B26">
        <w:trPr>
          <w:trHeight w:val="240"/>
        </w:trPr>
        <w:tc>
          <w:tcPr>
            <w:tcW w:w="10860" w:type="dxa"/>
            <w:gridSpan w:val="7"/>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IXA NATIONALE SCHULD (TRANSACTIEBASIS): UITGAVEN</w:t>
            </w:r>
          </w:p>
        </w:tc>
      </w:tr>
      <w:tr w:rsidRPr="00101B26" w:rsidR="00101B26" w:rsidTr="00101B26">
        <w:trPr>
          <w:trHeight w:val="240"/>
        </w:trPr>
        <w:tc>
          <w:tcPr>
            <w:tcW w:w="43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7.370,0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7.276,0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7.348,7</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7.625,1</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6.977,0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r w:rsidRPr="00101B26">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Rente vaste schuld</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-179,0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-278,0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-351,0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-351,0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-351,0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Rente vlottende schuld</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-26,0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-180,0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1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Rentelasten</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-112,1</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-112,1</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-112,1</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-179,0</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-364,0</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-643,1</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-463,1</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-463,1</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r w:rsidRPr="00101B26">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31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-0,9</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r w:rsidRPr="00101B26">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Rente vaste schuld</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-92,0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-138,0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Rente vlottende schuld</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-216,0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-97,0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Rentelasten</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7,5</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70,9</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r w:rsidRPr="00101B26">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31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Rentelasten</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-19,3</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-69,0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-100,7</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-54,9</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-19,3</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-69,0</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-401,2</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-219,0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ascii="Times New Roman" w:hAnsi="Times New Roman" w:eastAsia="Times New Roman" w:cs="Times New Roman"/>
                <w:sz w:val="20"/>
                <w:szCs w:val="20"/>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-179,9</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-383,3</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-712,1</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-864,4</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-682,2</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4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7.190,1</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6.892,7</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6.636,5</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6.760,7</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6.294,8</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1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7.190,1</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6.892,7</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6.636,5</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6.760,7</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6.294,8</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240"/>
        </w:trPr>
        <w:tc>
          <w:tcPr>
            <w:tcW w:w="10860" w:type="dxa"/>
            <w:gridSpan w:val="7"/>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IXA NATIONALE SCHULD (TRANSACTIEBASIS): NIET-BELASTINGONTVANGSTEN</w:t>
            </w:r>
          </w:p>
        </w:tc>
      </w:tr>
      <w:tr w:rsidRPr="00101B26" w:rsidR="00101B26" w:rsidTr="00101B26">
        <w:trPr>
          <w:trHeight w:val="315"/>
        </w:trPr>
        <w:tc>
          <w:tcPr>
            <w:tcW w:w="43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11.097,0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9.013,4</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7.413,6</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7.137,9</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5.650,5</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r w:rsidRPr="00101B26">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Rente vlottende schuld</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-23,0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123,0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34,0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4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-10,7</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-10,7</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-10,7</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-22,4</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118,5</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23,3</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-10,7</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-10,7</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24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r w:rsidRPr="00101B26">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-17,2</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-21,3</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0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r w:rsidRPr="00101B26">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Aflossingen op leningen</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228,4</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-25,2</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-7,2</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-24,9</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-43,4</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Mutatie in rekening-courant en deposito</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1.838,2</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1.474,7</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891,5</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1.795,9</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2.093,2</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4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ind w:firstLine="360" w:firstLineChars="200"/>
              <w:rPr>
                <w:rFonts w:eastAsia="Times New Roman" w:cs="Times New Roman"/>
                <w:color w:val="000000"/>
                <w:szCs w:val="18"/>
                <w:lang w:eastAsia="nl-NL"/>
              </w:rPr>
            </w:pPr>
            <w:r w:rsidRPr="00101B26">
              <w:rPr>
                <w:rFonts w:eastAsia="Times New Roman" w:cs="Times New Roman"/>
                <w:color w:val="000000"/>
                <w:szCs w:val="18"/>
                <w:lang w:eastAsia="nl-NL"/>
              </w:rPr>
              <w:t>Rente derivaten</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-279,0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-302,0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-64,0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152,0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80,0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1.787,6</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1.147,5</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820,3</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1.905,8</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2.108,5</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180"/>
        </w:trPr>
        <w:tc>
          <w:tcPr>
            <w:tcW w:w="43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1.765,2</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1.265,9</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843,6</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1.895,1</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2.097,9</w:t>
            </w:r>
          </w:p>
        </w:tc>
        <w:tc>
          <w:tcPr>
            <w:tcW w:w="10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31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101B26" w:rsidR="00101B26" w:rsidP="00101B26" w:rsidRDefault="00101B26">
            <w:pPr>
              <w:spacing w:after="0" w:line="240" w:lineRule="auto"/>
              <w:rPr>
                <w:rFonts w:ascii="Times New Roman" w:hAnsi="Times New Roman" w:eastAsia="Times New Roman" w:cs="Times New Roman"/>
                <w:sz w:val="20"/>
                <w:szCs w:val="20"/>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12.862,2</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10.279,3</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8.257,2</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9.033,0</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7.748,3</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40"/>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r w:rsidRPr="00101B26" w:rsidR="00101B26" w:rsidTr="00101B26">
        <w:trPr>
          <w:trHeight w:val="225"/>
        </w:trPr>
        <w:tc>
          <w:tcPr>
            <w:tcW w:w="4360" w:type="dxa"/>
            <w:tcBorders>
              <w:top w:val="nil"/>
              <w:left w:val="nil"/>
              <w:bottom w:val="nil"/>
              <w:right w:val="nil"/>
            </w:tcBorders>
            <w:shd w:val="clear" w:color="auto" w:fill="auto"/>
            <w:hideMark/>
          </w:tcPr>
          <w:p w:rsidRPr="00101B26" w:rsidR="00101B26" w:rsidP="00101B26" w:rsidRDefault="00101B26">
            <w:pPr>
              <w:spacing w:after="0" w:line="240" w:lineRule="auto"/>
              <w:rPr>
                <w:rFonts w:eastAsia="Times New Roman" w:cs="Times New Roman"/>
                <w:color w:val="000000"/>
                <w:szCs w:val="18"/>
                <w:lang w:eastAsia="nl-NL"/>
              </w:rPr>
            </w:pPr>
            <w:r w:rsidRPr="00101B26">
              <w:rPr>
                <w:rFonts w:eastAsia="Times New Roman" w:cs="Times New Roman"/>
                <w:color w:val="000000"/>
                <w:szCs w:val="18"/>
                <w:lang w:eastAsia="nl-NL"/>
              </w:rPr>
              <w:lastRenderedPageBreak/>
              <w:t>Stand Voorjaarsnota 2019</w:t>
            </w:r>
          </w:p>
        </w:tc>
        <w:tc>
          <w:tcPr>
            <w:tcW w:w="118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12.862,2</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10.279,3</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8.257,2</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9.033,0</w:t>
            </w:r>
          </w:p>
        </w:tc>
        <w:tc>
          <w:tcPr>
            <w:tcW w:w="1060" w:type="dxa"/>
            <w:tcBorders>
              <w:top w:val="single" w:color="000000" w:sz="8" w:space="0"/>
              <w:left w:val="nil"/>
              <w:bottom w:val="nil"/>
              <w:right w:val="nil"/>
            </w:tcBorders>
            <w:shd w:val="clear" w:color="auto" w:fill="auto"/>
            <w:hideMark/>
          </w:tcPr>
          <w:p w:rsidRPr="00101B26" w:rsidR="00101B26" w:rsidP="00101B26" w:rsidRDefault="00101B26">
            <w:pPr>
              <w:spacing w:after="0" w:line="240" w:lineRule="auto"/>
              <w:jc w:val="right"/>
              <w:rPr>
                <w:rFonts w:eastAsia="Times New Roman" w:cs="Times New Roman"/>
                <w:color w:val="000000"/>
                <w:szCs w:val="18"/>
                <w:lang w:eastAsia="nl-NL"/>
              </w:rPr>
            </w:pPr>
            <w:r w:rsidRPr="00101B26">
              <w:rPr>
                <w:rFonts w:eastAsia="Times New Roman" w:cs="Times New Roman"/>
                <w:color w:val="000000"/>
                <w:szCs w:val="18"/>
                <w:lang w:eastAsia="nl-NL"/>
              </w:rPr>
              <w:t>7.748,3</w:t>
            </w:r>
          </w:p>
        </w:tc>
        <w:tc>
          <w:tcPr>
            <w:tcW w:w="1080" w:type="dxa"/>
            <w:tcBorders>
              <w:top w:val="nil"/>
              <w:left w:val="nil"/>
              <w:bottom w:val="nil"/>
              <w:right w:val="nil"/>
            </w:tcBorders>
            <w:shd w:val="clear" w:color="auto" w:fill="auto"/>
            <w:noWrap/>
            <w:vAlign w:val="bottom"/>
            <w:hideMark/>
          </w:tcPr>
          <w:p w:rsidRPr="00101B26" w:rsidR="00101B26" w:rsidP="00101B26" w:rsidRDefault="00101B26">
            <w:pPr>
              <w:spacing w:after="0" w:line="240" w:lineRule="auto"/>
              <w:jc w:val="right"/>
              <w:rPr>
                <w:rFonts w:eastAsia="Times New Roman" w:cs="Times New Roman"/>
                <w:color w:val="000000"/>
                <w:szCs w:val="18"/>
                <w:lang w:eastAsia="nl-NL"/>
              </w:rPr>
            </w:pPr>
          </w:p>
        </w:tc>
      </w:tr>
    </w:tbl>
    <w:p w:rsidR="00101B26" w:rsidP="00101B26" w:rsidRDefault="00101B26">
      <w:pPr>
        <w:rPr>
          <w:rFonts w:eastAsia="Times New Roman"/>
          <w:i/>
          <w:szCs w:val="18"/>
        </w:rPr>
      </w:pPr>
    </w:p>
    <w:p w:rsidRPr="00C5064A" w:rsidR="00101B26" w:rsidP="00101B26" w:rsidRDefault="00101B26">
      <w:pPr>
        <w:spacing w:after="0"/>
        <w:rPr>
          <w:rFonts w:eastAsia="Times New Roman"/>
          <w:i/>
          <w:szCs w:val="18"/>
        </w:rPr>
      </w:pPr>
      <w:r w:rsidRPr="00C5064A">
        <w:rPr>
          <w:rFonts w:eastAsia="Times New Roman"/>
          <w:i/>
          <w:szCs w:val="18"/>
        </w:rPr>
        <w:t>Rente vaste schuld</w:t>
      </w:r>
      <w:r>
        <w:rPr>
          <w:rFonts w:eastAsia="Times New Roman"/>
          <w:i/>
          <w:szCs w:val="18"/>
        </w:rPr>
        <w:t xml:space="preserve"> – mee- en tegenvallers en technische mutaties</w:t>
      </w:r>
    </w:p>
    <w:p w:rsidRPr="00C5064A" w:rsidR="00101B26" w:rsidP="00101B26" w:rsidRDefault="00101B26">
      <w:pPr>
        <w:spacing w:after="0"/>
        <w:rPr>
          <w:szCs w:val="18"/>
        </w:rPr>
      </w:pPr>
      <w:r w:rsidRPr="00C5064A">
        <w:rPr>
          <w:szCs w:val="18"/>
        </w:rPr>
        <w:t xml:space="preserve">De raming van de rentelasten vaste schuld wijzigt </w:t>
      </w:r>
      <w:r>
        <w:rPr>
          <w:szCs w:val="18"/>
        </w:rPr>
        <w:t xml:space="preserve">met name </w:t>
      </w:r>
      <w:r w:rsidRPr="00C5064A">
        <w:rPr>
          <w:szCs w:val="18"/>
        </w:rPr>
        <w:t>als gevolg van geactualiseerde rentestanden in de CEP-raming van het CPB</w:t>
      </w:r>
      <w:r>
        <w:rPr>
          <w:szCs w:val="18"/>
        </w:rPr>
        <w:t xml:space="preserve"> en doordat actuele rentes bij de uitgifte van nieuwe leningen lager waren dan de geraamde rentestanden van het CPB</w:t>
      </w:r>
      <w:r w:rsidRPr="00C5064A">
        <w:rPr>
          <w:szCs w:val="18"/>
        </w:rPr>
        <w:t>.</w:t>
      </w:r>
    </w:p>
    <w:p w:rsidRPr="00C5064A" w:rsidR="00101B26" w:rsidP="00101B26" w:rsidRDefault="00101B26">
      <w:pPr>
        <w:spacing w:after="0"/>
        <w:rPr>
          <w:rFonts w:eastAsia="Times New Roman"/>
          <w:szCs w:val="18"/>
        </w:rPr>
      </w:pPr>
    </w:p>
    <w:p w:rsidRPr="00C5064A" w:rsidR="00101B26" w:rsidP="00101B26" w:rsidRDefault="00101B26">
      <w:pPr>
        <w:spacing w:after="0"/>
        <w:rPr>
          <w:rFonts w:eastAsia="Times New Roman"/>
          <w:i/>
          <w:szCs w:val="18"/>
        </w:rPr>
      </w:pPr>
      <w:r w:rsidRPr="00C5064A">
        <w:rPr>
          <w:rFonts w:eastAsia="Times New Roman"/>
          <w:i/>
          <w:szCs w:val="18"/>
        </w:rPr>
        <w:t>Rente vlottende schuld</w:t>
      </w:r>
      <w:r>
        <w:rPr>
          <w:rFonts w:eastAsia="Times New Roman"/>
          <w:i/>
          <w:szCs w:val="18"/>
        </w:rPr>
        <w:t xml:space="preserve"> – uitgaven, mee- en tegenvallers en technische mutaties</w:t>
      </w:r>
    </w:p>
    <w:p w:rsidR="00101B26" w:rsidP="00101B26" w:rsidRDefault="00101B26">
      <w:pPr>
        <w:spacing w:after="0"/>
        <w:rPr>
          <w:rFonts w:eastAsia="Times New Roman"/>
          <w:szCs w:val="18"/>
        </w:rPr>
      </w:pPr>
      <w:r w:rsidRPr="00C5064A">
        <w:rPr>
          <w:szCs w:val="18"/>
        </w:rPr>
        <w:t xml:space="preserve">De raming van de rentelasten </w:t>
      </w:r>
      <w:r>
        <w:rPr>
          <w:szCs w:val="18"/>
        </w:rPr>
        <w:t>vlottende</w:t>
      </w:r>
      <w:r w:rsidRPr="00C5064A">
        <w:rPr>
          <w:szCs w:val="18"/>
        </w:rPr>
        <w:t xml:space="preserve"> schuld wijzigt</w:t>
      </w:r>
      <w:r>
        <w:rPr>
          <w:szCs w:val="18"/>
        </w:rPr>
        <w:t xml:space="preserve"> met name</w:t>
      </w:r>
      <w:r w:rsidRPr="00C5064A">
        <w:rPr>
          <w:szCs w:val="18"/>
        </w:rPr>
        <w:t xml:space="preserve"> als gevolg van geactualiseerde rentestanden in de CEP-raming van het CPB</w:t>
      </w:r>
      <w:r>
        <w:rPr>
          <w:szCs w:val="18"/>
        </w:rPr>
        <w:t>.</w:t>
      </w:r>
    </w:p>
    <w:p w:rsidR="00101B26" w:rsidP="00101B26" w:rsidRDefault="00101B26">
      <w:pPr>
        <w:spacing w:after="0"/>
        <w:rPr>
          <w:rFonts w:eastAsia="Times New Roman"/>
          <w:szCs w:val="18"/>
        </w:rPr>
      </w:pPr>
    </w:p>
    <w:p w:rsidRPr="00C5064A" w:rsidR="00101B26" w:rsidP="00101B26" w:rsidRDefault="00101B26">
      <w:pPr>
        <w:spacing w:after="0"/>
        <w:rPr>
          <w:rFonts w:eastAsia="Times New Roman"/>
          <w:i/>
          <w:szCs w:val="18"/>
        </w:rPr>
      </w:pPr>
      <w:r w:rsidRPr="00C5064A">
        <w:rPr>
          <w:rFonts w:eastAsia="Times New Roman"/>
          <w:i/>
          <w:szCs w:val="18"/>
        </w:rPr>
        <w:t>Rentelasten</w:t>
      </w:r>
      <w:r>
        <w:rPr>
          <w:rFonts w:eastAsia="Times New Roman"/>
          <w:i/>
          <w:szCs w:val="18"/>
        </w:rPr>
        <w:t xml:space="preserve"> – mee- en tegenvallers en technische mutaties</w:t>
      </w:r>
    </w:p>
    <w:p w:rsidR="00101B26" w:rsidP="00101B26" w:rsidRDefault="00101B26">
      <w:pPr>
        <w:spacing w:after="0"/>
        <w:rPr>
          <w:rFonts w:eastAsia="Times New Roman"/>
          <w:szCs w:val="18"/>
        </w:rPr>
      </w:pPr>
      <w:r>
        <w:rPr>
          <w:szCs w:val="18"/>
        </w:rPr>
        <w:t xml:space="preserve">Deze post betreft de rentelasten binnen het kasbeheer die aan deelnemers wordt vergoed voor de tegoeden die worden aangehouden in de schatkist. Een deel van deze rentelasten, namelijk de rentelasten van de sociale fondsen, is niet relevant voor het uitgavenplafond. De ramingen </w:t>
      </w:r>
      <w:r w:rsidRPr="00C5064A">
        <w:rPr>
          <w:szCs w:val="18"/>
        </w:rPr>
        <w:t xml:space="preserve">van de rentelasten </w:t>
      </w:r>
      <w:r>
        <w:rPr>
          <w:szCs w:val="18"/>
        </w:rPr>
        <w:t>is gewij</w:t>
      </w:r>
      <w:r w:rsidRPr="00C5064A">
        <w:rPr>
          <w:szCs w:val="18"/>
        </w:rPr>
        <w:t>zig</w:t>
      </w:r>
      <w:r>
        <w:rPr>
          <w:szCs w:val="18"/>
        </w:rPr>
        <w:t>d</w:t>
      </w:r>
      <w:r w:rsidRPr="00C5064A">
        <w:rPr>
          <w:szCs w:val="18"/>
        </w:rPr>
        <w:t xml:space="preserve"> als gevolg van geactualiseerde rentestanden in de CEP-raming van het CPB</w:t>
      </w:r>
      <w:r>
        <w:rPr>
          <w:szCs w:val="18"/>
        </w:rPr>
        <w:t>.</w:t>
      </w:r>
    </w:p>
    <w:p w:rsidR="00101B26" w:rsidP="00101B26" w:rsidRDefault="00101B26">
      <w:pPr>
        <w:spacing w:after="0"/>
        <w:rPr>
          <w:rFonts w:eastAsia="Times New Roman"/>
          <w:szCs w:val="18"/>
        </w:rPr>
      </w:pPr>
    </w:p>
    <w:p w:rsidRPr="00B06803" w:rsidR="00101B26" w:rsidP="00101B26" w:rsidRDefault="00101B26">
      <w:pPr>
        <w:spacing w:after="0"/>
        <w:rPr>
          <w:rFonts w:eastAsia="Times New Roman"/>
          <w:i/>
          <w:szCs w:val="18"/>
        </w:rPr>
      </w:pPr>
      <w:r w:rsidRPr="00B06803">
        <w:rPr>
          <w:rFonts w:eastAsia="Times New Roman"/>
          <w:i/>
          <w:szCs w:val="18"/>
        </w:rPr>
        <w:t>Rente vlottende schuld</w:t>
      </w:r>
      <w:r>
        <w:rPr>
          <w:rFonts w:eastAsia="Times New Roman"/>
          <w:i/>
          <w:szCs w:val="18"/>
        </w:rPr>
        <w:t xml:space="preserve"> – ontvangsten </w:t>
      </w:r>
    </w:p>
    <w:p w:rsidRPr="00C5064A" w:rsidR="00101B26" w:rsidP="00101B26" w:rsidRDefault="00101B26">
      <w:pPr>
        <w:spacing w:after="0"/>
        <w:rPr>
          <w:rFonts w:eastAsia="Times New Roman"/>
          <w:szCs w:val="18"/>
        </w:rPr>
      </w:pPr>
      <w:r w:rsidRPr="004F26CA">
        <w:rPr>
          <w:rFonts w:eastAsia="Times New Roman"/>
          <w:szCs w:val="18"/>
        </w:rPr>
        <w:t>De raming van de rentelasten vlottende schuld wijzigt als gevolg van geactualiseerde rentestanden in de CEP-raming van het CPB en doordat de verwachte financieringsbehoefte is geactualiseerd</w:t>
      </w:r>
      <w:r>
        <w:rPr>
          <w:rFonts w:eastAsia="Times New Roman"/>
          <w:szCs w:val="18"/>
        </w:rPr>
        <w:t>.</w:t>
      </w:r>
    </w:p>
    <w:p w:rsidRPr="00C5064A" w:rsidR="00101B26" w:rsidP="00101B26" w:rsidRDefault="00101B26">
      <w:pPr>
        <w:spacing w:after="0"/>
        <w:rPr>
          <w:rFonts w:eastAsia="Times New Roman"/>
          <w:szCs w:val="18"/>
        </w:rPr>
      </w:pPr>
    </w:p>
    <w:p w:rsidRPr="00B06803" w:rsidR="00101B26" w:rsidP="00101B26" w:rsidRDefault="00101B26">
      <w:pPr>
        <w:spacing w:after="0"/>
        <w:rPr>
          <w:rFonts w:eastAsia="Times New Roman"/>
          <w:i/>
          <w:szCs w:val="18"/>
        </w:rPr>
      </w:pPr>
      <w:r w:rsidRPr="00B06803">
        <w:rPr>
          <w:rFonts w:eastAsia="Times New Roman"/>
          <w:i/>
          <w:szCs w:val="18"/>
        </w:rPr>
        <w:t>Aflossingen op leningen</w:t>
      </w:r>
    </w:p>
    <w:p w:rsidR="00101B26" w:rsidP="00101B26" w:rsidRDefault="00101B26">
      <w:pPr>
        <w:spacing w:after="0"/>
        <w:rPr>
          <w:rFonts w:eastAsia="Times New Roman"/>
          <w:szCs w:val="18"/>
        </w:rPr>
      </w:pPr>
      <w:r w:rsidRPr="008D561D">
        <w:rPr>
          <w:rFonts w:eastAsia="Times New Roman"/>
          <w:szCs w:val="18"/>
        </w:rPr>
        <w:t xml:space="preserve">Gewijzigde inzichten in het leengedrag van agentschappen en </w:t>
      </w:r>
      <w:proofErr w:type="spellStart"/>
      <w:r w:rsidRPr="008D561D">
        <w:rPr>
          <w:rFonts w:eastAsia="Times New Roman"/>
          <w:szCs w:val="18"/>
        </w:rPr>
        <w:t>RWT’s</w:t>
      </w:r>
      <w:proofErr w:type="spellEnd"/>
      <w:r w:rsidRPr="008D561D">
        <w:rPr>
          <w:rFonts w:eastAsia="Times New Roman"/>
          <w:szCs w:val="18"/>
        </w:rPr>
        <w:t xml:space="preserve"> leiden tot een aanpassing van de voorziene ontvangsten.</w:t>
      </w:r>
    </w:p>
    <w:p w:rsidRPr="00C5064A" w:rsidR="00101B26" w:rsidP="00101B26" w:rsidRDefault="00101B26">
      <w:pPr>
        <w:spacing w:after="0"/>
        <w:rPr>
          <w:rFonts w:eastAsia="Times New Roman"/>
          <w:szCs w:val="18"/>
        </w:rPr>
      </w:pPr>
    </w:p>
    <w:p w:rsidRPr="00C5064A" w:rsidR="00101B26" w:rsidP="00101B26" w:rsidRDefault="00101B26">
      <w:pPr>
        <w:spacing w:after="0"/>
        <w:rPr>
          <w:rFonts w:eastAsia="Times New Roman"/>
          <w:szCs w:val="18"/>
        </w:rPr>
      </w:pPr>
      <w:r w:rsidRPr="00B06803">
        <w:rPr>
          <w:rFonts w:eastAsia="Times New Roman"/>
          <w:i/>
          <w:szCs w:val="18"/>
        </w:rPr>
        <w:t>Mutatie in rekening-courant en deposito</w:t>
      </w:r>
    </w:p>
    <w:p w:rsidR="00101B26" w:rsidP="00101B26" w:rsidRDefault="00101B26">
      <w:pPr>
        <w:spacing w:after="0"/>
        <w:rPr>
          <w:rFonts w:eastAsia="Times New Roman"/>
          <w:szCs w:val="18"/>
        </w:rPr>
      </w:pPr>
      <w:r w:rsidRPr="004F26CA">
        <w:rPr>
          <w:rFonts w:eastAsia="Times New Roman"/>
          <w:szCs w:val="18"/>
        </w:rPr>
        <w:t>De geraamde mutatie van het saldo op de rekening-couranten en deposito’s van de deelnemers aan schatkistbankieren is het gevolg van het actualiseren van de geraamde uitgaven en inkomsten van de sociale fondsen</w:t>
      </w:r>
      <w:r>
        <w:rPr>
          <w:rFonts w:eastAsia="Times New Roman"/>
          <w:szCs w:val="18"/>
        </w:rPr>
        <w:t>.</w:t>
      </w:r>
    </w:p>
    <w:p w:rsidRPr="00C5064A" w:rsidR="00101B26" w:rsidP="00101B26" w:rsidRDefault="00101B26">
      <w:pPr>
        <w:spacing w:after="0"/>
        <w:rPr>
          <w:rFonts w:eastAsia="Times New Roman"/>
          <w:szCs w:val="18"/>
        </w:rPr>
      </w:pPr>
    </w:p>
    <w:p w:rsidRPr="00C5064A" w:rsidR="00101B26" w:rsidP="00101B26" w:rsidRDefault="00101B26">
      <w:pPr>
        <w:spacing w:after="0"/>
        <w:rPr>
          <w:rFonts w:eastAsia="Times New Roman"/>
          <w:szCs w:val="18"/>
        </w:rPr>
      </w:pPr>
      <w:r w:rsidRPr="00B06803">
        <w:rPr>
          <w:rFonts w:eastAsia="Times New Roman"/>
          <w:i/>
          <w:szCs w:val="18"/>
        </w:rPr>
        <w:t>Rente derivaten</w:t>
      </w:r>
    </w:p>
    <w:p w:rsidR="00101B26" w:rsidP="00101B26" w:rsidRDefault="00101B26">
      <w:pPr>
        <w:rPr>
          <w:rFonts w:eastAsia="Times New Roman"/>
          <w:szCs w:val="18"/>
        </w:rPr>
      </w:pPr>
      <w:r>
        <w:rPr>
          <w:rFonts w:eastAsia="Times New Roman"/>
          <w:szCs w:val="18"/>
        </w:rPr>
        <w:t>De raming van de renteontvangsten op renteswaps is naar beneden bijgesteld als gevolg van het voortijdig beëindigen van rentederivaten in de laatste maanden van 2018, na de raming voor de Miljoenennota 2019. Tevens is de raming bijgesteld als gevolg van de geactualiseerde rentestanden in de CEP-raming van het CPB.</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971AAE" w:rsidR="00971AAE" w:rsidTr="00971AAE">
        <w:trPr>
          <w:trHeight w:val="225"/>
        </w:trPr>
        <w:tc>
          <w:tcPr>
            <w:tcW w:w="10860" w:type="dxa"/>
            <w:gridSpan w:val="7"/>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b/>
                <w:bCs/>
                <w:color w:val="000000"/>
                <w:szCs w:val="18"/>
                <w:lang w:eastAsia="nl-NL"/>
              </w:rPr>
            </w:pPr>
            <w:r w:rsidRPr="00971AAE">
              <w:rPr>
                <w:rFonts w:eastAsia="Times New Roman" w:cs="Times New Roman"/>
                <w:b/>
                <w:bCs/>
                <w:color w:val="000000"/>
                <w:szCs w:val="18"/>
                <w:lang w:eastAsia="nl-NL"/>
              </w:rPr>
              <w:lastRenderedPageBreak/>
              <w:t>Financiën</w:t>
            </w:r>
          </w:p>
        </w:tc>
      </w:tr>
      <w:tr w:rsidRPr="00971AAE" w:rsidR="00971AAE" w:rsidTr="00971AAE">
        <w:trPr>
          <w:trHeight w:val="240"/>
        </w:trPr>
        <w:tc>
          <w:tcPr>
            <w:tcW w:w="10860" w:type="dxa"/>
            <w:gridSpan w:val="7"/>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IXB FINANCIËN: UITGAVEN</w:t>
            </w:r>
          </w:p>
        </w:tc>
      </w:tr>
      <w:tr w:rsidRPr="00971AAE" w:rsidR="00971AAE" w:rsidTr="00971AAE">
        <w:trPr>
          <w:trHeight w:val="315"/>
        </w:trPr>
        <w:tc>
          <w:tcPr>
            <w:tcW w:w="43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7.205,7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6.815,1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6.519,1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6.546,3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6.478,1</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r w:rsidRPr="00971AA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Afdrachten staatsloterij</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45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Belasting- en invorderingsrente (dekking problematiek)</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37,2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49,2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49,2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49,2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49,2</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1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0,8</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138,0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149,4</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149,2</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149,2</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149,2</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r w:rsidRPr="00971AA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 xml:space="preserve">Bijdrage </w:t>
            </w:r>
            <w:proofErr w:type="spellStart"/>
            <w:r w:rsidRPr="00971AAE">
              <w:rPr>
                <w:rFonts w:eastAsia="Times New Roman" w:cs="Times New Roman"/>
                <w:color w:val="000000"/>
                <w:szCs w:val="18"/>
                <w:lang w:eastAsia="nl-NL"/>
              </w:rPr>
              <w:t>logius</w:t>
            </w:r>
            <w:proofErr w:type="spellEnd"/>
            <w:r w:rsidRPr="00971AAE">
              <w:rPr>
                <w:rFonts w:eastAsia="Times New Roman" w:cs="Times New Roman"/>
                <w:color w:val="000000"/>
                <w:szCs w:val="18"/>
                <w:lang w:eastAsia="nl-NL"/>
              </w:rPr>
              <w:t xml:space="preserve"> (</w:t>
            </w:r>
            <w:proofErr w:type="spellStart"/>
            <w:r w:rsidRPr="00971AAE">
              <w:rPr>
                <w:rFonts w:eastAsia="Times New Roman" w:cs="Times New Roman"/>
                <w:color w:val="000000"/>
                <w:szCs w:val="18"/>
                <w:lang w:eastAsia="nl-NL"/>
              </w:rPr>
              <w:t>gdi</w:t>
            </w:r>
            <w:proofErr w:type="spellEnd"/>
            <w:r w:rsidRPr="00971AAE">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68,0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72,7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63,7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51,9</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41,7</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 xml:space="preserve">Eigen personeel (overig </w:t>
            </w:r>
            <w:proofErr w:type="spellStart"/>
            <w:r w:rsidRPr="00971AAE">
              <w:rPr>
                <w:rFonts w:eastAsia="Times New Roman" w:cs="Times New Roman"/>
                <w:color w:val="000000"/>
                <w:szCs w:val="18"/>
                <w:lang w:eastAsia="nl-NL"/>
              </w:rPr>
              <w:t>bd</w:t>
            </w:r>
            <w:proofErr w:type="spellEnd"/>
            <w:r w:rsidRPr="00971AAE">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47,0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45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Intensivering witwassen, fraudebestrijding en ondermijning</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29,0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29,0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29,0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Kasschuiven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-106,3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25,5</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51,4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15,7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8,6</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proofErr w:type="spellStart"/>
            <w:r w:rsidRPr="00971AAE">
              <w:rPr>
                <w:rFonts w:eastAsia="Times New Roman" w:cs="Times New Roman"/>
                <w:color w:val="000000"/>
                <w:szCs w:val="18"/>
                <w:lang w:eastAsia="nl-NL"/>
              </w:rPr>
              <w:t>Rvu</w:t>
            </w:r>
            <w:proofErr w:type="spellEnd"/>
            <w:r w:rsidRPr="00971AAE">
              <w:rPr>
                <w:rFonts w:eastAsia="Times New Roman" w:cs="Times New Roman"/>
                <w:color w:val="000000"/>
                <w:szCs w:val="18"/>
                <w:lang w:eastAsia="nl-NL"/>
              </w:rPr>
              <w:t xml:space="preserve"> (dekking problematiek)</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-30,1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-43,0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-4,8</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-4,9</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-21,4</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68,1</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139,3</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91,5</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74,4</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r w:rsidRPr="00971AA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Loonbijstelling</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78,9</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77,6</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70,8</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71,6</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69,7</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38,1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41,3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2,1</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r w:rsidRPr="00971AAE">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val="en-US" w:eastAsia="nl-NL"/>
              </w:rPr>
            </w:pPr>
            <w:proofErr w:type="spellStart"/>
            <w:r w:rsidRPr="00971AAE">
              <w:rPr>
                <w:rFonts w:eastAsia="Times New Roman" w:cs="Times New Roman"/>
                <w:color w:val="000000"/>
                <w:szCs w:val="18"/>
                <w:lang w:val="en-US" w:eastAsia="nl-NL"/>
              </w:rPr>
              <w:t>Aankoop</w:t>
            </w:r>
            <w:proofErr w:type="spellEnd"/>
            <w:r w:rsidRPr="00971AAE">
              <w:rPr>
                <w:rFonts w:eastAsia="Times New Roman" w:cs="Times New Roman"/>
                <w:color w:val="000000"/>
                <w:szCs w:val="18"/>
                <w:lang w:val="en-US" w:eastAsia="nl-NL"/>
              </w:rPr>
              <w:t xml:space="preserve"> air </w:t>
            </w:r>
            <w:proofErr w:type="spellStart"/>
            <w:r w:rsidRPr="00971AAE">
              <w:rPr>
                <w:rFonts w:eastAsia="Times New Roman" w:cs="Times New Roman"/>
                <w:color w:val="000000"/>
                <w:szCs w:val="18"/>
                <w:lang w:val="en-US" w:eastAsia="nl-NL"/>
              </w:rPr>
              <w:t>france-klm</w:t>
            </w:r>
            <w:proofErr w:type="spellEnd"/>
            <w:r w:rsidRPr="00971AAE">
              <w:rPr>
                <w:rFonts w:eastAsia="Times New Roman" w:cs="Times New Roman"/>
                <w:color w:val="000000"/>
                <w:szCs w:val="18"/>
                <w:lang w:val="en-US" w:eastAsia="nl-NL"/>
              </w:rPr>
              <w:t xml:space="preserve"> (holding)</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744,4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 xml:space="preserve">Schade-uitkering </w:t>
            </w:r>
            <w:proofErr w:type="spellStart"/>
            <w:r w:rsidRPr="00971AAE">
              <w:rPr>
                <w:rFonts w:eastAsia="Times New Roman" w:cs="Times New Roman"/>
                <w:color w:val="000000"/>
                <w:szCs w:val="18"/>
                <w:lang w:eastAsia="nl-NL"/>
              </w:rPr>
              <w:t>ekv</w:t>
            </w:r>
            <w:proofErr w:type="spellEnd"/>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135,0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7,0</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 xml:space="preserve">Teruggave gelden </w:t>
            </w:r>
            <w:proofErr w:type="spellStart"/>
            <w:r w:rsidRPr="00971AAE">
              <w:rPr>
                <w:rFonts w:eastAsia="Times New Roman" w:cs="Times New Roman"/>
                <w:color w:val="000000"/>
                <w:szCs w:val="18"/>
                <w:lang w:eastAsia="nl-NL"/>
              </w:rPr>
              <w:t>smp</w:t>
            </w:r>
            <w:proofErr w:type="spellEnd"/>
            <w:r w:rsidRPr="00971AAE">
              <w:rPr>
                <w:rFonts w:eastAsia="Times New Roman" w:cs="Times New Roman"/>
                <w:color w:val="000000"/>
                <w:szCs w:val="18"/>
                <w:lang w:eastAsia="nl-NL"/>
              </w:rPr>
              <w:t>/</w:t>
            </w:r>
            <w:proofErr w:type="spellStart"/>
            <w:r w:rsidRPr="00971AAE">
              <w:rPr>
                <w:rFonts w:eastAsia="Times New Roman" w:cs="Times New Roman"/>
                <w:color w:val="000000"/>
                <w:szCs w:val="18"/>
                <w:lang w:eastAsia="nl-NL"/>
              </w:rPr>
              <w:t>anfa</w:t>
            </w:r>
            <w:proofErr w:type="spellEnd"/>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-33,0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23,7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21,4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-6,6</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4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1,5</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964,8</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136,7</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111,7</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105,0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72,2</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ascii="Times New Roman" w:hAnsi="Times New Roman" w:eastAsia="Times New Roman" w:cs="Times New Roman"/>
                <w:sz w:val="20"/>
                <w:szCs w:val="20"/>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1.081,4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354,2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400,3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345,7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295,9</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1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8.287,2</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7.169,3</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6.919,4</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6.892,1</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6.774,0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1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365,7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51,1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178,8</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287,5</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337,4</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8.652,9</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7.220,4</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7.098,2</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7.179,6</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7.111,4</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240"/>
        </w:trPr>
        <w:tc>
          <w:tcPr>
            <w:tcW w:w="10860" w:type="dxa"/>
            <w:gridSpan w:val="7"/>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IXB FINANCIËN: NIET-BELASTINGONTVANGSTEN</w:t>
            </w:r>
          </w:p>
        </w:tc>
      </w:tr>
      <w:tr w:rsidRPr="00971AAE" w:rsidR="00971AAE" w:rsidTr="00971AAE">
        <w:trPr>
          <w:trHeight w:val="315"/>
        </w:trPr>
        <w:tc>
          <w:tcPr>
            <w:tcW w:w="43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2.385,1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2.405,3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2.212,8</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2.252,4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2.619,1</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r w:rsidRPr="00971AA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Afdrachten staatsloterij</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100,0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45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Belasting- en invorderingsrente (dekking problematiek)</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84,2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67,3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67,3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64,2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64,2</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Dividenden staatsdeelnemingen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120,0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65,0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55,0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70,0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proofErr w:type="spellStart"/>
            <w:r w:rsidRPr="00971AAE">
              <w:rPr>
                <w:rFonts w:eastAsia="Times New Roman" w:cs="Times New Roman"/>
                <w:color w:val="000000"/>
                <w:szCs w:val="18"/>
                <w:lang w:eastAsia="nl-NL"/>
              </w:rPr>
              <w:t>Dnb</w:t>
            </w:r>
            <w:proofErr w:type="spellEnd"/>
            <w:r w:rsidRPr="00971AAE">
              <w:rPr>
                <w:rFonts w:eastAsia="Times New Roman" w:cs="Times New Roman"/>
                <w:color w:val="000000"/>
                <w:szCs w:val="18"/>
                <w:lang w:eastAsia="nl-NL"/>
              </w:rPr>
              <w:t xml:space="preserve"> winstafdracht</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311,0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282,0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-102,0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45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Doorbelasten kosten vervolging (dekking problematiek)</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3,6</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15,0</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1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11,7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-0,9</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-0,7</w:t>
            </w:r>
          </w:p>
        </w:tc>
        <w:tc>
          <w:tcPr>
            <w:tcW w:w="10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359,5</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247,6</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547,7</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530,3</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146,5</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lastRenderedPageBreak/>
              <w:t>Beleidsmatige mutaties</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r w:rsidRPr="00971AA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proofErr w:type="spellStart"/>
            <w:r w:rsidRPr="00971AAE">
              <w:rPr>
                <w:rFonts w:eastAsia="Times New Roman" w:cs="Times New Roman"/>
                <w:color w:val="000000"/>
                <w:szCs w:val="18"/>
                <w:lang w:eastAsia="nl-NL"/>
              </w:rPr>
              <w:t>Rvu</w:t>
            </w:r>
            <w:proofErr w:type="spellEnd"/>
            <w:r w:rsidRPr="00971AAE">
              <w:rPr>
                <w:rFonts w:eastAsia="Times New Roman" w:cs="Times New Roman"/>
                <w:color w:val="000000"/>
                <w:szCs w:val="18"/>
                <w:lang w:eastAsia="nl-NL"/>
              </w:rPr>
              <w:t xml:space="preserve"> (dekking problematiek)</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95,1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4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-2,6</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-5,5</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96,4</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-2,6</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-4,5</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-4,5</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-5,5</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r w:rsidRPr="00971AAE">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 xml:space="preserve">Schaderestituties </w:t>
            </w:r>
            <w:proofErr w:type="spellStart"/>
            <w:r w:rsidRPr="00971AAE">
              <w:rPr>
                <w:rFonts w:eastAsia="Times New Roman" w:cs="Times New Roman"/>
                <w:color w:val="000000"/>
                <w:szCs w:val="18"/>
                <w:lang w:eastAsia="nl-NL"/>
              </w:rPr>
              <w:t>ekv</w:t>
            </w:r>
            <w:proofErr w:type="spellEnd"/>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-44,9</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-7,1</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-7,0</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7,2</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3,8</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0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r w:rsidRPr="00971AAE">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Dividenden staatsdeelnemingen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541,0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386,0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386,0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386,0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386,0</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proofErr w:type="spellStart"/>
            <w:r w:rsidRPr="00971AAE">
              <w:rPr>
                <w:rFonts w:eastAsia="Times New Roman" w:cs="Times New Roman"/>
                <w:color w:val="000000"/>
                <w:szCs w:val="18"/>
                <w:lang w:eastAsia="nl-NL"/>
              </w:rPr>
              <w:t>Dnb</w:t>
            </w:r>
            <w:proofErr w:type="spellEnd"/>
            <w:r w:rsidRPr="00971AAE">
              <w:rPr>
                <w:rFonts w:eastAsia="Times New Roman" w:cs="Times New Roman"/>
                <w:color w:val="000000"/>
                <w:szCs w:val="18"/>
                <w:lang w:eastAsia="nl-NL"/>
              </w:rPr>
              <w:t xml:space="preserve"> winstafdracht</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40,0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18,0</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-2,0</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4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ind w:firstLine="360" w:firstLineChars="200"/>
              <w:rPr>
                <w:rFonts w:eastAsia="Times New Roman" w:cs="Times New Roman"/>
                <w:color w:val="000000"/>
                <w:szCs w:val="18"/>
                <w:lang w:eastAsia="nl-NL"/>
              </w:rPr>
            </w:pPr>
            <w:r w:rsidRPr="00971AAE">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3,8</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-8,4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-11,5</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0,4</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514,9</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378,1</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420,5</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393,6</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381,2</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970,8</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623</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963,7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919,4</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522,2</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31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rPr>
                <w:rFonts w:ascii="Times New Roman" w:hAnsi="Times New Roman" w:eastAsia="Times New Roman" w:cs="Times New Roman"/>
                <w:sz w:val="20"/>
                <w:szCs w:val="20"/>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3.355,90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3.028,40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3.176,50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3.171,70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3.141,20</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40"/>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4,8</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4,7</w:t>
            </w:r>
          </w:p>
        </w:tc>
        <w:tc>
          <w:tcPr>
            <w:tcW w:w="106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4,7</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r w:rsidRPr="00971AAE" w:rsidR="00971AAE" w:rsidTr="00971AAE">
        <w:trPr>
          <w:trHeight w:val="225"/>
        </w:trPr>
        <w:tc>
          <w:tcPr>
            <w:tcW w:w="4360" w:type="dxa"/>
            <w:tcBorders>
              <w:top w:val="nil"/>
              <w:left w:val="nil"/>
              <w:bottom w:val="nil"/>
              <w:right w:val="nil"/>
            </w:tcBorders>
            <w:shd w:val="clear" w:color="auto" w:fill="auto"/>
            <w:hideMark/>
          </w:tcPr>
          <w:p w:rsidRPr="00971AAE" w:rsidR="00971AAE" w:rsidP="00971AAE" w:rsidRDefault="00971AAE">
            <w:pPr>
              <w:spacing w:after="0" w:line="240" w:lineRule="auto"/>
              <w:rPr>
                <w:rFonts w:eastAsia="Times New Roman" w:cs="Times New Roman"/>
                <w:color w:val="000000"/>
                <w:szCs w:val="18"/>
                <w:lang w:eastAsia="nl-NL"/>
              </w:rPr>
            </w:pPr>
            <w:r w:rsidRPr="00971AAE">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3.360,60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3.033,20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3.181,20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3.176,40</w:t>
            </w:r>
          </w:p>
        </w:tc>
        <w:tc>
          <w:tcPr>
            <w:tcW w:w="1060" w:type="dxa"/>
            <w:tcBorders>
              <w:top w:val="single" w:color="000000" w:sz="8" w:space="0"/>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r w:rsidRPr="00971AAE">
              <w:rPr>
                <w:rFonts w:eastAsia="Times New Roman" w:cs="Times New Roman"/>
                <w:color w:val="000000"/>
                <w:szCs w:val="18"/>
                <w:lang w:eastAsia="nl-NL"/>
              </w:rPr>
              <w:t>3.145,90</w:t>
            </w:r>
          </w:p>
        </w:tc>
        <w:tc>
          <w:tcPr>
            <w:tcW w:w="1080" w:type="dxa"/>
            <w:tcBorders>
              <w:top w:val="nil"/>
              <w:left w:val="nil"/>
              <w:bottom w:val="nil"/>
              <w:right w:val="nil"/>
            </w:tcBorders>
            <w:shd w:val="clear" w:color="auto" w:fill="auto"/>
            <w:hideMark/>
          </w:tcPr>
          <w:p w:rsidRPr="00971AAE" w:rsidR="00971AAE" w:rsidP="00971AAE" w:rsidRDefault="00971AAE">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EE13E0" w:rsidR="009C28D1" w:rsidP="009C28D1" w:rsidRDefault="009C28D1">
      <w:pPr>
        <w:spacing w:after="0"/>
        <w:rPr>
          <w:rFonts w:eastAsia="Times New Roman"/>
          <w:i/>
          <w:szCs w:val="18"/>
        </w:rPr>
      </w:pPr>
      <w:r w:rsidRPr="00EE13E0">
        <w:rPr>
          <w:rFonts w:eastAsia="Times New Roman"/>
          <w:i/>
          <w:szCs w:val="18"/>
        </w:rPr>
        <w:t>Afdrachten staatsloterij – uitgaven en niet-belastingontvangsten</w:t>
      </w:r>
    </w:p>
    <w:p w:rsidRPr="00EE13E0" w:rsidR="009C28D1" w:rsidP="009C28D1" w:rsidRDefault="009C28D1">
      <w:pPr>
        <w:spacing w:after="0"/>
        <w:rPr>
          <w:rFonts w:eastAsia="Times New Roman"/>
          <w:szCs w:val="18"/>
        </w:rPr>
      </w:pPr>
      <w:r w:rsidRPr="00EE13E0">
        <w:rPr>
          <w:rFonts w:eastAsia="Times New Roman"/>
          <w:szCs w:val="18"/>
        </w:rPr>
        <w:t>Om te voldoen aan de wettelijke bepalingen in de Wet op de Kansspelen dat alle afdrachten van de Staatsloterij aan de staat toekomen, wordt structureel bij zowel uitgaven als ontvangsten een boekhoudkundige reeks opgenomen voor afdrachten Staatsloterij.</w:t>
      </w:r>
    </w:p>
    <w:p w:rsidR="009C28D1" w:rsidP="009C28D1" w:rsidRDefault="009C28D1">
      <w:pPr>
        <w:spacing w:after="0"/>
        <w:rPr>
          <w:rFonts w:eastAsia="Times New Roman"/>
          <w:i/>
          <w:szCs w:val="18"/>
        </w:rPr>
      </w:pPr>
    </w:p>
    <w:p w:rsidR="009C28D1" w:rsidP="009C28D1" w:rsidRDefault="009C28D1">
      <w:pPr>
        <w:spacing w:after="0"/>
        <w:rPr>
          <w:rFonts w:eastAsia="Times New Roman"/>
          <w:i/>
          <w:szCs w:val="18"/>
        </w:rPr>
      </w:pPr>
      <w:r>
        <w:rPr>
          <w:rFonts w:eastAsia="Times New Roman"/>
          <w:i/>
          <w:szCs w:val="18"/>
        </w:rPr>
        <w:t>Belasting- en invorderingsrente (dekking problematiek) – uitgaven en niet-belastingontvangsten</w:t>
      </w:r>
    </w:p>
    <w:p w:rsidR="009C28D1" w:rsidP="009C28D1" w:rsidRDefault="009C28D1">
      <w:pPr>
        <w:spacing w:after="0"/>
        <w:rPr>
          <w:szCs w:val="18"/>
        </w:rPr>
      </w:pPr>
      <w:r>
        <w:rPr>
          <w:szCs w:val="18"/>
        </w:rPr>
        <w:t xml:space="preserve">Bij de </w:t>
      </w:r>
      <w:r w:rsidR="00AE41A0">
        <w:rPr>
          <w:szCs w:val="18"/>
        </w:rPr>
        <w:t xml:space="preserve">ontvangsten van de </w:t>
      </w:r>
      <w:r>
        <w:rPr>
          <w:szCs w:val="18"/>
        </w:rPr>
        <w:t xml:space="preserve">Belasting- en invorderingsrente wordt een meevaller verwacht bij de ontvangsten van 64 mln. structureel. Ook wordt er een tegenvaller bij de uitgaven verwacht van 49 mln. structureel. De per saldo meevaller wordt structureel ingezet als onderdeel van de dekking voor de bijdrage aan </w:t>
      </w:r>
      <w:proofErr w:type="spellStart"/>
      <w:r>
        <w:rPr>
          <w:szCs w:val="18"/>
        </w:rPr>
        <w:t>Logius</w:t>
      </w:r>
      <w:proofErr w:type="spellEnd"/>
      <w:r>
        <w:rPr>
          <w:szCs w:val="18"/>
        </w:rPr>
        <w:t xml:space="preserve"> en incidenteel voor hogere uitgaven aan eigen personeel bij de Belastingdienst.</w:t>
      </w:r>
      <w:r w:rsidR="00205986">
        <w:rPr>
          <w:szCs w:val="18"/>
        </w:rPr>
        <w:t xml:space="preserve"> </w:t>
      </w:r>
    </w:p>
    <w:p w:rsidR="009C28D1" w:rsidP="009C28D1" w:rsidRDefault="009C28D1">
      <w:pPr>
        <w:spacing w:after="0"/>
        <w:rPr>
          <w:rFonts w:eastAsia="Times New Roman"/>
          <w:i/>
          <w:szCs w:val="18"/>
        </w:rPr>
      </w:pPr>
    </w:p>
    <w:p w:rsidR="009C28D1" w:rsidP="009C28D1" w:rsidRDefault="009C28D1">
      <w:pPr>
        <w:spacing w:after="0"/>
        <w:rPr>
          <w:rFonts w:eastAsia="Times New Roman"/>
          <w:i/>
          <w:szCs w:val="18"/>
        </w:rPr>
      </w:pPr>
      <w:r>
        <w:rPr>
          <w:rFonts w:eastAsia="Times New Roman"/>
          <w:i/>
          <w:szCs w:val="18"/>
        </w:rPr>
        <w:t>Diversen - uitgaven</w:t>
      </w:r>
    </w:p>
    <w:p w:rsidR="009C28D1" w:rsidP="009C28D1" w:rsidRDefault="009C28D1">
      <w:pPr>
        <w:spacing w:after="0"/>
        <w:rPr>
          <w:rFonts w:eastAsia="Times New Roman"/>
          <w:i/>
          <w:szCs w:val="18"/>
        </w:rPr>
      </w:pPr>
      <w:r>
        <w:rPr>
          <w:rFonts w:eastAsia="Times New Roman"/>
          <w:szCs w:val="18"/>
        </w:rPr>
        <w:t xml:space="preserve">Dit betreft een som van meerdere mutaties. Zo worden er voor de Belastingtelefoon, bedrijfsvoering, managementinformatie en risicomanagement middelen van de Aanvullende Post overgeheveld naar de Financiën-begroting (20,2 mln. in 2019 en 26,6 mln. in 2020). Ook wordt de prijsbijstelling tranche 2019 aan de begroting van Financiën toegevoegd (15,8 mln. in 2019, aflopend tot 14,1 mln. in 2024). </w:t>
      </w:r>
    </w:p>
    <w:p w:rsidR="009C28D1" w:rsidP="009C28D1" w:rsidRDefault="009C28D1">
      <w:pPr>
        <w:spacing w:after="0"/>
        <w:rPr>
          <w:rFonts w:eastAsia="Times New Roman"/>
          <w:i/>
          <w:szCs w:val="18"/>
        </w:rPr>
      </w:pPr>
      <w:r>
        <w:rPr>
          <w:rFonts w:eastAsia="Times New Roman"/>
          <w:i/>
          <w:szCs w:val="18"/>
        </w:rPr>
        <w:t xml:space="preserve"> </w:t>
      </w:r>
    </w:p>
    <w:p w:rsidR="009C28D1" w:rsidP="009C28D1" w:rsidRDefault="009C28D1">
      <w:pPr>
        <w:spacing w:after="0"/>
        <w:rPr>
          <w:rFonts w:eastAsia="Times New Roman"/>
          <w:i/>
          <w:szCs w:val="18"/>
        </w:rPr>
      </w:pPr>
      <w:r>
        <w:rPr>
          <w:rFonts w:eastAsia="Times New Roman"/>
          <w:i/>
          <w:szCs w:val="18"/>
        </w:rPr>
        <w:t xml:space="preserve">Bijdrage </w:t>
      </w:r>
      <w:proofErr w:type="spellStart"/>
      <w:r>
        <w:rPr>
          <w:rFonts w:eastAsia="Times New Roman"/>
          <w:i/>
          <w:szCs w:val="18"/>
        </w:rPr>
        <w:t>Logius</w:t>
      </w:r>
      <w:proofErr w:type="spellEnd"/>
      <w:r>
        <w:rPr>
          <w:rFonts w:eastAsia="Times New Roman"/>
          <w:i/>
          <w:szCs w:val="18"/>
        </w:rPr>
        <w:t xml:space="preserve"> (GDI)</w:t>
      </w:r>
    </w:p>
    <w:p w:rsidRPr="00803758" w:rsidR="009C28D1" w:rsidP="009C28D1" w:rsidRDefault="009C28D1">
      <w:pPr>
        <w:spacing w:after="0"/>
        <w:rPr>
          <w:rFonts w:eastAsia="Times New Roman"/>
          <w:i/>
          <w:szCs w:val="18"/>
        </w:rPr>
      </w:pPr>
      <w:r w:rsidRPr="00803758">
        <w:rPr>
          <w:szCs w:val="18"/>
        </w:rPr>
        <w:t xml:space="preserve">De kosten voor de Generieke Digitale Infrastructuur (GDI) </w:t>
      </w:r>
      <w:r>
        <w:rPr>
          <w:szCs w:val="18"/>
        </w:rPr>
        <w:t xml:space="preserve">aan </w:t>
      </w:r>
      <w:proofErr w:type="spellStart"/>
      <w:r>
        <w:rPr>
          <w:szCs w:val="18"/>
        </w:rPr>
        <w:t>Logius</w:t>
      </w:r>
      <w:proofErr w:type="spellEnd"/>
      <w:r>
        <w:rPr>
          <w:szCs w:val="18"/>
        </w:rPr>
        <w:t xml:space="preserve"> </w:t>
      </w:r>
      <w:r w:rsidRPr="00803758">
        <w:rPr>
          <w:szCs w:val="18"/>
        </w:rPr>
        <w:t>worden gedekt binnen de begroting van Financiën.</w:t>
      </w:r>
    </w:p>
    <w:p w:rsidR="009C28D1" w:rsidP="009C28D1" w:rsidRDefault="009C28D1">
      <w:pPr>
        <w:spacing w:after="0"/>
        <w:rPr>
          <w:rFonts w:eastAsia="Times New Roman"/>
          <w:i/>
          <w:szCs w:val="18"/>
        </w:rPr>
      </w:pPr>
    </w:p>
    <w:p w:rsidR="009C28D1" w:rsidP="009C28D1" w:rsidRDefault="009C28D1">
      <w:pPr>
        <w:spacing w:after="0"/>
        <w:rPr>
          <w:rFonts w:eastAsia="Times New Roman"/>
          <w:i/>
          <w:szCs w:val="18"/>
        </w:rPr>
      </w:pPr>
      <w:r>
        <w:rPr>
          <w:rFonts w:eastAsia="Times New Roman"/>
          <w:i/>
          <w:szCs w:val="18"/>
        </w:rPr>
        <w:t>Eigen personeel (overig BD)</w:t>
      </w:r>
    </w:p>
    <w:p w:rsidRPr="00272BD4" w:rsidR="009C28D1" w:rsidP="009C28D1" w:rsidRDefault="009C28D1">
      <w:pPr>
        <w:pStyle w:val="Lijstalinea"/>
        <w:spacing w:after="0"/>
        <w:ind w:left="0"/>
      </w:pPr>
      <w:r>
        <w:rPr>
          <w:lang w:val="nl"/>
        </w:rPr>
        <w:t>H</w:t>
      </w:r>
      <w:r w:rsidRPr="00272BD4">
        <w:t xml:space="preserve">et budget </w:t>
      </w:r>
      <w:r>
        <w:t>voor eigen personeel bij de Belastingdienst wordt</w:t>
      </w:r>
      <w:r w:rsidRPr="00272BD4">
        <w:t xml:space="preserve"> meerjarig in lijn gebracht met de formatiekaders,</w:t>
      </w:r>
      <w:r>
        <w:t xml:space="preserve"> cumulatief 47</w:t>
      </w:r>
      <w:r w:rsidRPr="00272BD4">
        <w:t xml:space="preserve"> mln. (7 mln. in 2020, 31 mln. in 2021 en 9 mln. in 202</w:t>
      </w:r>
      <w:r w:rsidR="0020037D">
        <w:t>2</w:t>
      </w:r>
      <w:r w:rsidRPr="00272BD4">
        <w:t xml:space="preserve">). De </w:t>
      </w:r>
      <w:r>
        <w:t xml:space="preserve">verwachte </w:t>
      </w:r>
      <w:r w:rsidRPr="00272BD4">
        <w:t>meevaller van 4</w:t>
      </w:r>
      <w:r>
        <w:t>7</w:t>
      </w:r>
      <w:r w:rsidRPr="00272BD4">
        <w:t xml:space="preserve"> mln.</w:t>
      </w:r>
      <w:r>
        <w:t xml:space="preserve"> in 2019</w:t>
      </w:r>
      <w:r w:rsidRPr="00272BD4">
        <w:t xml:space="preserve"> bij de belasting</w:t>
      </w:r>
      <w:r>
        <w:t>-</w:t>
      </w:r>
      <w:r w:rsidRPr="00272BD4">
        <w:t xml:space="preserve"> en invorderingsrente wordt als dekking ingezet. Deze meevaller wordt</w:t>
      </w:r>
      <w:r>
        <w:t>, via een kasschuif,</w:t>
      </w:r>
      <w:r w:rsidRPr="00272BD4">
        <w:t xml:space="preserve"> naar toekomstige jaren geschoven om aan te sluiten bij het juiste tempo</w:t>
      </w:r>
      <w:r w:rsidR="00AE41A0">
        <w:t xml:space="preserve"> van de uitgaven</w:t>
      </w:r>
      <w:r w:rsidRPr="00272BD4">
        <w:t>.</w:t>
      </w:r>
      <w:r>
        <w:t xml:space="preserve"> Per saldo heeft dit geen effect op de personele uitgaven in 2019.</w:t>
      </w:r>
    </w:p>
    <w:p w:rsidR="00971AAE" w:rsidP="009C28D1" w:rsidRDefault="00971AAE">
      <w:pPr>
        <w:spacing w:after="0"/>
        <w:rPr>
          <w:rFonts w:eastAsia="Times New Roman"/>
          <w:i/>
          <w:szCs w:val="18"/>
        </w:rPr>
      </w:pPr>
    </w:p>
    <w:p w:rsidR="00C74D83" w:rsidP="009C28D1" w:rsidRDefault="00C74D83">
      <w:pPr>
        <w:spacing w:after="0"/>
        <w:rPr>
          <w:rFonts w:eastAsia="Times New Roman"/>
          <w:i/>
          <w:szCs w:val="18"/>
        </w:rPr>
      </w:pPr>
    </w:p>
    <w:p w:rsidR="00C74D83" w:rsidP="009C28D1" w:rsidRDefault="00C74D83">
      <w:pPr>
        <w:spacing w:after="0"/>
        <w:rPr>
          <w:rFonts w:eastAsia="Times New Roman"/>
          <w:i/>
          <w:szCs w:val="18"/>
        </w:rPr>
      </w:pPr>
    </w:p>
    <w:p w:rsidR="009C28D1" w:rsidP="009C28D1" w:rsidRDefault="009C28D1">
      <w:pPr>
        <w:spacing w:after="0"/>
        <w:rPr>
          <w:rFonts w:eastAsia="Times New Roman"/>
          <w:i/>
          <w:szCs w:val="18"/>
        </w:rPr>
      </w:pPr>
      <w:r>
        <w:rPr>
          <w:rFonts w:eastAsia="Times New Roman"/>
          <w:i/>
          <w:szCs w:val="18"/>
        </w:rPr>
        <w:lastRenderedPageBreak/>
        <w:t>Intensivering witwassen, fraudebestrijding en ondermijning</w:t>
      </w:r>
    </w:p>
    <w:p w:rsidR="009C28D1" w:rsidP="009C28D1" w:rsidRDefault="009C28D1">
      <w:pPr>
        <w:spacing w:after="0"/>
        <w:rPr>
          <w:rFonts w:eastAsia="Times New Roman"/>
          <w:szCs w:val="18"/>
        </w:rPr>
      </w:pPr>
      <w:r>
        <w:rPr>
          <w:rFonts w:eastAsia="Times New Roman"/>
          <w:szCs w:val="18"/>
        </w:rPr>
        <w:t xml:space="preserve">Dit betreft een intensivering bij de Belastingdienst voor de aanpak van fraude, witwassen en ondermijning. </w:t>
      </w:r>
      <w:r w:rsidR="0020037D">
        <w:rPr>
          <w:rFonts w:eastAsia="Times New Roman"/>
          <w:szCs w:val="18"/>
        </w:rPr>
        <w:t xml:space="preserve">Voor dit pakket wordt </w:t>
      </w:r>
      <w:r>
        <w:rPr>
          <w:rFonts w:eastAsia="Times New Roman"/>
          <w:szCs w:val="18"/>
        </w:rPr>
        <w:t xml:space="preserve">structureel 29 mln. generaal toegekend. </w:t>
      </w:r>
    </w:p>
    <w:p w:rsidR="009C28D1" w:rsidP="009C28D1" w:rsidRDefault="009C28D1">
      <w:pPr>
        <w:spacing w:after="0"/>
        <w:rPr>
          <w:rFonts w:eastAsia="Times New Roman"/>
          <w:i/>
          <w:szCs w:val="18"/>
        </w:rPr>
      </w:pPr>
    </w:p>
    <w:p w:rsidR="009C28D1" w:rsidP="009C28D1" w:rsidRDefault="009C28D1">
      <w:pPr>
        <w:spacing w:after="0"/>
        <w:rPr>
          <w:rFonts w:eastAsia="Times New Roman"/>
          <w:i/>
          <w:szCs w:val="18"/>
        </w:rPr>
      </w:pPr>
      <w:r>
        <w:rPr>
          <w:rFonts w:eastAsia="Times New Roman"/>
          <w:i/>
          <w:szCs w:val="18"/>
        </w:rPr>
        <w:t>Kasschuiven</w:t>
      </w:r>
    </w:p>
    <w:p w:rsidRPr="00803758" w:rsidR="009C28D1" w:rsidP="009C28D1" w:rsidRDefault="009C28D1">
      <w:pPr>
        <w:spacing w:after="0"/>
        <w:rPr>
          <w:rFonts w:eastAsia="Times New Roman"/>
          <w:szCs w:val="18"/>
        </w:rPr>
      </w:pPr>
      <w:r>
        <w:rPr>
          <w:szCs w:val="18"/>
        </w:rPr>
        <w:t>Met behulp van kasschuiven worden</w:t>
      </w:r>
      <w:r w:rsidRPr="00803758">
        <w:rPr>
          <w:szCs w:val="18"/>
        </w:rPr>
        <w:t xml:space="preserve"> middelen van 2019 </w:t>
      </w:r>
      <w:r>
        <w:rPr>
          <w:szCs w:val="18"/>
        </w:rPr>
        <w:t>doorgeschoven</w:t>
      </w:r>
      <w:r w:rsidRPr="00803758">
        <w:rPr>
          <w:szCs w:val="18"/>
        </w:rPr>
        <w:t xml:space="preserve"> naar 2020 en verder</w:t>
      </w:r>
      <w:r>
        <w:rPr>
          <w:szCs w:val="18"/>
        </w:rPr>
        <w:t>, waarmee het budget in lijn gebracht wordt met het ritme van de verwachte uitgaven</w:t>
      </w:r>
      <w:r w:rsidRPr="00803758">
        <w:rPr>
          <w:szCs w:val="18"/>
        </w:rPr>
        <w:t xml:space="preserve">. Een deel van de schuif heeft betrekking op de budgetten voor het personeel van de Belastingdienst. Daarnaast vindt een aantal kleinere kasschuiven plaats, waaronder een schuif van middelen voor </w:t>
      </w:r>
      <w:proofErr w:type="spellStart"/>
      <w:r>
        <w:rPr>
          <w:szCs w:val="18"/>
        </w:rPr>
        <w:t>Invest</w:t>
      </w:r>
      <w:proofErr w:type="spellEnd"/>
      <w:r>
        <w:rPr>
          <w:szCs w:val="18"/>
        </w:rPr>
        <w:t xml:space="preserve">-NL en </w:t>
      </w:r>
      <w:r w:rsidRPr="00803758">
        <w:rPr>
          <w:szCs w:val="18"/>
        </w:rPr>
        <w:t>de uitvoering</w:t>
      </w:r>
      <w:r>
        <w:rPr>
          <w:szCs w:val="18"/>
        </w:rPr>
        <w:t>skosten</w:t>
      </w:r>
      <w:r w:rsidRPr="00803758">
        <w:rPr>
          <w:szCs w:val="18"/>
        </w:rPr>
        <w:t xml:space="preserve"> van fiscale beleidswijzigingen.</w:t>
      </w:r>
    </w:p>
    <w:p w:rsidR="009C28D1" w:rsidP="009C28D1" w:rsidRDefault="009C28D1">
      <w:pPr>
        <w:spacing w:after="0"/>
        <w:rPr>
          <w:rFonts w:eastAsia="Times New Roman"/>
          <w:i/>
          <w:szCs w:val="18"/>
        </w:rPr>
      </w:pPr>
    </w:p>
    <w:p w:rsidR="009C28D1" w:rsidP="009C28D1" w:rsidRDefault="009C28D1">
      <w:pPr>
        <w:spacing w:after="0"/>
        <w:rPr>
          <w:rFonts w:eastAsia="Times New Roman"/>
          <w:i/>
          <w:szCs w:val="18"/>
        </w:rPr>
      </w:pPr>
      <w:r>
        <w:rPr>
          <w:rFonts w:eastAsia="Times New Roman"/>
          <w:i/>
          <w:szCs w:val="18"/>
        </w:rPr>
        <w:t>RVU (dekking problematiek) – uitgaven en niet-belastingontvangsten</w:t>
      </w:r>
    </w:p>
    <w:p w:rsidR="009C28D1" w:rsidP="009C28D1" w:rsidRDefault="009C28D1">
      <w:pPr>
        <w:spacing w:after="0"/>
        <w:rPr>
          <w:szCs w:val="18"/>
        </w:rPr>
      </w:pPr>
      <w:r>
        <w:rPr>
          <w:szCs w:val="18"/>
        </w:rPr>
        <w:t>E</w:t>
      </w:r>
      <w:r w:rsidRPr="00803758">
        <w:rPr>
          <w:szCs w:val="18"/>
        </w:rPr>
        <w:t xml:space="preserve">en uitspraak van de belastinginspecteur </w:t>
      </w:r>
      <w:r>
        <w:rPr>
          <w:szCs w:val="18"/>
        </w:rPr>
        <w:t xml:space="preserve">heeft </w:t>
      </w:r>
      <w:r w:rsidRPr="00803758">
        <w:rPr>
          <w:szCs w:val="18"/>
        </w:rPr>
        <w:t xml:space="preserve">tot gevolg dat de vertrekregeling bij de Belastingdienst niet als </w:t>
      </w:r>
      <w:r>
        <w:rPr>
          <w:szCs w:val="18"/>
        </w:rPr>
        <w:t>Regeling Vervroegde Uittreding (</w:t>
      </w:r>
      <w:r w:rsidRPr="00803758">
        <w:rPr>
          <w:szCs w:val="18"/>
        </w:rPr>
        <w:t>RVU</w:t>
      </w:r>
      <w:r>
        <w:rPr>
          <w:szCs w:val="18"/>
        </w:rPr>
        <w:t>)</w:t>
      </w:r>
      <w:r w:rsidRPr="00803758">
        <w:rPr>
          <w:szCs w:val="18"/>
        </w:rPr>
        <w:t xml:space="preserve"> wordt aangemerkt.</w:t>
      </w:r>
      <w:r>
        <w:rPr>
          <w:szCs w:val="18"/>
        </w:rPr>
        <w:t xml:space="preserve"> Deze meevaller wordt ingezet</w:t>
      </w:r>
      <w:r w:rsidRPr="00803758">
        <w:rPr>
          <w:szCs w:val="18"/>
        </w:rPr>
        <w:t xml:space="preserve"> </w:t>
      </w:r>
      <w:r>
        <w:rPr>
          <w:szCs w:val="18"/>
        </w:rPr>
        <w:t xml:space="preserve">als onderdeel van de dekking voor de bijdrage aan </w:t>
      </w:r>
      <w:proofErr w:type="spellStart"/>
      <w:r>
        <w:rPr>
          <w:szCs w:val="18"/>
        </w:rPr>
        <w:t>Logius</w:t>
      </w:r>
      <w:proofErr w:type="spellEnd"/>
      <w:r>
        <w:rPr>
          <w:szCs w:val="18"/>
        </w:rPr>
        <w:t xml:space="preserve">. </w:t>
      </w:r>
    </w:p>
    <w:p w:rsidR="009C28D1" w:rsidP="009C28D1" w:rsidRDefault="009C28D1">
      <w:pPr>
        <w:spacing w:after="0"/>
        <w:rPr>
          <w:rFonts w:eastAsia="Times New Roman"/>
          <w:i/>
          <w:szCs w:val="18"/>
        </w:rPr>
      </w:pPr>
    </w:p>
    <w:p w:rsidR="009C28D1" w:rsidP="009C28D1" w:rsidRDefault="009C28D1">
      <w:pPr>
        <w:spacing w:after="0"/>
        <w:rPr>
          <w:rFonts w:eastAsia="Times New Roman"/>
          <w:i/>
          <w:szCs w:val="18"/>
        </w:rPr>
      </w:pPr>
      <w:r>
        <w:rPr>
          <w:rFonts w:eastAsia="Times New Roman"/>
          <w:i/>
          <w:szCs w:val="18"/>
        </w:rPr>
        <w:t>Loonbijstelling</w:t>
      </w:r>
    </w:p>
    <w:p w:rsidRPr="00803758" w:rsidR="009C28D1" w:rsidP="009C28D1" w:rsidRDefault="009C28D1">
      <w:pPr>
        <w:spacing w:after="0"/>
        <w:rPr>
          <w:rFonts w:eastAsia="Times New Roman"/>
          <w:szCs w:val="18"/>
        </w:rPr>
      </w:pPr>
      <w:r w:rsidRPr="00803758">
        <w:rPr>
          <w:szCs w:val="18"/>
        </w:rPr>
        <w:t>De tranche 2019 van de loon- en prijsbijstelling is overgemaakt naar de departementale begroting.</w:t>
      </w:r>
    </w:p>
    <w:p w:rsidR="009C28D1" w:rsidP="009C28D1" w:rsidRDefault="009C28D1">
      <w:pPr>
        <w:spacing w:after="0"/>
        <w:rPr>
          <w:rFonts w:eastAsia="Times New Roman"/>
          <w:i/>
          <w:szCs w:val="18"/>
        </w:rPr>
      </w:pPr>
    </w:p>
    <w:p w:rsidRPr="00EE13E0" w:rsidR="009C28D1" w:rsidP="009C28D1" w:rsidRDefault="009C28D1">
      <w:pPr>
        <w:spacing w:after="0"/>
        <w:rPr>
          <w:rFonts w:eastAsia="Times New Roman"/>
          <w:i/>
          <w:szCs w:val="18"/>
          <w:lang w:val="en-US"/>
        </w:rPr>
      </w:pPr>
      <w:proofErr w:type="spellStart"/>
      <w:r w:rsidRPr="00EE13E0">
        <w:rPr>
          <w:rFonts w:eastAsia="Times New Roman"/>
          <w:i/>
          <w:szCs w:val="18"/>
          <w:lang w:val="en-US"/>
        </w:rPr>
        <w:t>Aankoop</w:t>
      </w:r>
      <w:proofErr w:type="spellEnd"/>
      <w:r w:rsidRPr="00EE13E0">
        <w:rPr>
          <w:rFonts w:eastAsia="Times New Roman"/>
          <w:i/>
          <w:szCs w:val="18"/>
          <w:lang w:val="en-US"/>
        </w:rPr>
        <w:t xml:space="preserve"> </w:t>
      </w:r>
      <w:r w:rsidR="00AE41A0">
        <w:rPr>
          <w:rFonts w:eastAsia="Times New Roman"/>
          <w:i/>
          <w:szCs w:val="18"/>
          <w:lang w:val="en-US"/>
        </w:rPr>
        <w:t>A</w:t>
      </w:r>
      <w:r w:rsidRPr="00EE13E0">
        <w:rPr>
          <w:rFonts w:eastAsia="Times New Roman"/>
          <w:i/>
          <w:szCs w:val="18"/>
          <w:lang w:val="en-US"/>
        </w:rPr>
        <w:t xml:space="preserve">ir </w:t>
      </w:r>
      <w:r w:rsidR="00AE41A0">
        <w:rPr>
          <w:rFonts w:eastAsia="Times New Roman"/>
          <w:i/>
          <w:szCs w:val="18"/>
          <w:lang w:val="en-US"/>
        </w:rPr>
        <w:t>F</w:t>
      </w:r>
      <w:r w:rsidRPr="00EE13E0">
        <w:rPr>
          <w:rFonts w:eastAsia="Times New Roman"/>
          <w:i/>
          <w:szCs w:val="18"/>
          <w:lang w:val="en-US"/>
        </w:rPr>
        <w:t>rance-</w:t>
      </w:r>
      <w:r w:rsidR="00AE41A0">
        <w:rPr>
          <w:rFonts w:eastAsia="Times New Roman"/>
          <w:i/>
          <w:szCs w:val="18"/>
          <w:lang w:val="en-US"/>
        </w:rPr>
        <w:t>KLM</w:t>
      </w:r>
      <w:r w:rsidRPr="00EE13E0">
        <w:rPr>
          <w:rFonts w:eastAsia="Times New Roman"/>
          <w:i/>
          <w:szCs w:val="18"/>
          <w:lang w:val="en-US"/>
        </w:rPr>
        <w:t xml:space="preserve"> (holding)</w:t>
      </w:r>
    </w:p>
    <w:p w:rsidRPr="00EE13E0" w:rsidR="009C28D1" w:rsidP="009C28D1" w:rsidRDefault="009C28D1">
      <w:pPr>
        <w:tabs>
          <w:tab w:val="left" w:pos="1110"/>
        </w:tabs>
        <w:spacing w:after="0"/>
        <w:rPr>
          <w:rFonts w:eastAsia="Times New Roman"/>
          <w:szCs w:val="18"/>
        </w:rPr>
      </w:pPr>
      <w:r w:rsidRPr="00EE13E0">
        <w:rPr>
          <w:rFonts w:eastAsia="Times New Roman"/>
          <w:szCs w:val="18"/>
        </w:rPr>
        <w:t>Op 26 februari jl. is bekend gemaakt dat de staat aandelen Air France-KLM heeft gekocht voor een bedrag van 744,4 mln. Dit is verwerkt in een incidentele suppletoire begroting.</w:t>
      </w:r>
    </w:p>
    <w:p w:rsidR="009C28D1" w:rsidP="009C28D1" w:rsidRDefault="009C28D1">
      <w:pPr>
        <w:spacing w:after="0"/>
        <w:rPr>
          <w:rFonts w:eastAsia="Times New Roman"/>
          <w:i/>
          <w:szCs w:val="18"/>
        </w:rPr>
      </w:pPr>
    </w:p>
    <w:p w:rsidRPr="00AE41A0" w:rsidR="009C28D1" w:rsidP="00AE41A0" w:rsidRDefault="009C28D1">
      <w:pPr>
        <w:spacing w:after="0"/>
        <w:rPr>
          <w:rFonts w:eastAsia="Times New Roman" w:asciiTheme="majorHAnsi" w:hAnsiTheme="majorHAnsi"/>
          <w:i/>
          <w:szCs w:val="18"/>
        </w:rPr>
      </w:pPr>
      <w:r w:rsidRPr="00AE41A0">
        <w:rPr>
          <w:rFonts w:eastAsia="Times New Roman" w:asciiTheme="majorHAnsi" w:hAnsiTheme="majorHAnsi"/>
          <w:i/>
          <w:szCs w:val="18"/>
        </w:rPr>
        <w:t xml:space="preserve">Schade-uitkering </w:t>
      </w:r>
      <w:proofErr w:type="spellStart"/>
      <w:r w:rsidRPr="00AE41A0">
        <w:rPr>
          <w:rFonts w:eastAsia="Times New Roman" w:asciiTheme="majorHAnsi" w:hAnsiTheme="majorHAnsi"/>
          <w:i/>
          <w:szCs w:val="18"/>
        </w:rPr>
        <w:t>ekv</w:t>
      </w:r>
      <w:proofErr w:type="spellEnd"/>
    </w:p>
    <w:p w:rsidRPr="00AE41A0" w:rsidR="009C28D1" w:rsidP="00AE41A0" w:rsidRDefault="009C28D1">
      <w:pPr>
        <w:spacing w:after="0"/>
        <w:rPr>
          <w:rFonts w:eastAsia="Times New Roman" w:asciiTheme="majorHAnsi" w:hAnsiTheme="majorHAnsi"/>
          <w:szCs w:val="18"/>
        </w:rPr>
      </w:pPr>
      <w:r w:rsidRPr="00AE41A0">
        <w:rPr>
          <w:rFonts w:eastAsia="Times New Roman" w:asciiTheme="majorHAnsi" w:hAnsiTheme="majorHAnsi"/>
          <w:szCs w:val="18"/>
        </w:rPr>
        <w:t>Na de revisie van de nationale rekeningen verwerkt het CBS de schade-uitkeringen van de exportkredietverzekering (EKV) als financiële transacties. Pas bij het sluiten van de polis wordt schade geboekt ten laste van het plafond. Er worden enkele niet-kaderrelevante ramingsbijstellingen bij EKV doorgevoerd, om ervoor te zorgen dat de ramingen beter aansluiten bij de verwachte realisatie.</w:t>
      </w:r>
    </w:p>
    <w:p w:rsidRPr="00AE41A0" w:rsidR="009C28D1" w:rsidP="00AE41A0" w:rsidRDefault="009C28D1">
      <w:pPr>
        <w:spacing w:after="0"/>
        <w:rPr>
          <w:rFonts w:eastAsia="Times New Roman" w:asciiTheme="majorHAnsi" w:hAnsiTheme="majorHAnsi"/>
          <w:i/>
          <w:szCs w:val="18"/>
        </w:rPr>
      </w:pPr>
    </w:p>
    <w:p w:rsidRPr="00AE41A0" w:rsidR="009C28D1" w:rsidP="00AE41A0" w:rsidRDefault="009C28D1">
      <w:pPr>
        <w:spacing w:after="0"/>
        <w:rPr>
          <w:rFonts w:eastAsia="Times New Roman" w:asciiTheme="majorHAnsi" w:hAnsiTheme="majorHAnsi"/>
          <w:i/>
          <w:szCs w:val="18"/>
        </w:rPr>
      </w:pPr>
      <w:r w:rsidRPr="00AE41A0">
        <w:rPr>
          <w:rFonts w:eastAsia="Times New Roman" w:asciiTheme="majorHAnsi" w:hAnsiTheme="majorHAnsi"/>
          <w:i/>
          <w:szCs w:val="18"/>
        </w:rPr>
        <w:t>Teruggave gelden SMP/ANFA</w:t>
      </w:r>
    </w:p>
    <w:p w:rsidRPr="00AE41A0" w:rsidR="009C28D1" w:rsidP="00AE41A0" w:rsidRDefault="009C28D1">
      <w:pPr>
        <w:pStyle w:val="Default"/>
        <w:spacing w:line="276" w:lineRule="auto"/>
        <w:rPr>
          <w:rFonts w:asciiTheme="majorHAnsi" w:hAnsiTheme="majorHAnsi"/>
          <w:sz w:val="18"/>
          <w:szCs w:val="18"/>
        </w:rPr>
      </w:pPr>
      <w:r w:rsidRPr="00AE41A0">
        <w:rPr>
          <w:rFonts w:asciiTheme="majorHAnsi" w:hAnsiTheme="majorHAnsi"/>
          <w:sz w:val="18"/>
          <w:szCs w:val="18"/>
        </w:rPr>
        <w:t>Binnen de EU is een nieuw ritme afgesproken van de teruggave van gelden SMP/ANFA aan Griekenland.</w:t>
      </w:r>
    </w:p>
    <w:p w:rsidRPr="00AE41A0" w:rsidR="009C28D1" w:rsidP="00AE41A0" w:rsidRDefault="009C28D1">
      <w:pPr>
        <w:spacing w:after="0"/>
        <w:rPr>
          <w:rFonts w:eastAsia="Times New Roman" w:asciiTheme="majorHAnsi" w:hAnsiTheme="majorHAnsi"/>
          <w:i/>
          <w:szCs w:val="18"/>
        </w:rPr>
      </w:pPr>
    </w:p>
    <w:p w:rsidRPr="00AE41A0" w:rsidR="009C28D1" w:rsidP="00AE41A0" w:rsidRDefault="009C28D1">
      <w:pPr>
        <w:spacing w:after="0"/>
        <w:rPr>
          <w:rFonts w:eastAsia="Times New Roman" w:asciiTheme="majorHAnsi" w:hAnsiTheme="majorHAnsi"/>
          <w:i/>
          <w:szCs w:val="18"/>
        </w:rPr>
      </w:pPr>
      <w:r w:rsidRPr="00AE41A0">
        <w:rPr>
          <w:rFonts w:eastAsia="Times New Roman" w:asciiTheme="majorHAnsi" w:hAnsiTheme="majorHAnsi"/>
          <w:i/>
          <w:szCs w:val="18"/>
        </w:rPr>
        <w:t>Dividenden staatsdeelnemingen –mee- en tegenvallers en technische mutaties, niet-belastingontvangsten</w:t>
      </w:r>
    </w:p>
    <w:p w:rsidRPr="00AE41A0" w:rsidR="009C28D1" w:rsidP="00AE41A0" w:rsidRDefault="009C28D1">
      <w:pPr>
        <w:spacing w:after="0"/>
        <w:rPr>
          <w:rFonts w:eastAsia="Times New Roman" w:asciiTheme="majorHAnsi" w:hAnsiTheme="majorHAnsi"/>
          <w:i/>
          <w:szCs w:val="18"/>
        </w:rPr>
      </w:pPr>
      <w:r w:rsidRPr="00AE41A0">
        <w:rPr>
          <w:rFonts w:asciiTheme="majorHAnsi" w:hAnsiTheme="majorHAnsi"/>
          <w:szCs w:val="18"/>
        </w:rPr>
        <w:t>De nieuwste winstramingen van de staatsdeelnemingen leiden tot een hogere dividendraming.</w:t>
      </w:r>
    </w:p>
    <w:p w:rsidRPr="00AE41A0" w:rsidR="009C28D1" w:rsidP="00AE41A0" w:rsidRDefault="009C28D1">
      <w:pPr>
        <w:spacing w:after="0"/>
        <w:rPr>
          <w:rFonts w:eastAsia="Times New Roman" w:asciiTheme="majorHAnsi" w:hAnsiTheme="majorHAnsi"/>
          <w:szCs w:val="18"/>
        </w:rPr>
      </w:pPr>
    </w:p>
    <w:p w:rsidRPr="00AE41A0" w:rsidR="009C28D1" w:rsidP="00AE41A0" w:rsidRDefault="009C28D1">
      <w:pPr>
        <w:spacing w:after="0"/>
        <w:rPr>
          <w:rFonts w:eastAsia="Times New Roman" w:asciiTheme="majorHAnsi" w:hAnsiTheme="majorHAnsi"/>
          <w:i/>
          <w:szCs w:val="18"/>
        </w:rPr>
      </w:pPr>
      <w:r w:rsidRPr="00AE41A0">
        <w:rPr>
          <w:rFonts w:eastAsia="Times New Roman" w:asciiTheme="majorHAnsi" w:hAnsiTheme="majorHAnsi"/>
          <w:i/>
          <w:szCs w:val="18"/>
        </w:rPr>
        <w:t>DNB winstafdracht – mee- en tegenvallers en technische mutaties, niet-belastingontvangsten</w:t>
      </w:r>
    </w:p>
    <w:p w:rsidRPr="00AE41A0" w:rsidR="009C28D1" w:rsidP="00AE41A0" w:rsidRDefault="009C28D1">
      <w:pPr>
        <w:spacing w:after="0"/>
        <w:rPr>
          <w:rFonts w:eastAsia="Times New Roman" w:asciiTheme="majorHAnsi" w:hAnsiTheme="majorHAnsi"/>
          <w:i/>
          <w:szCs w:val="18"/>
        </w:rPr>
      </w:pPr>
      <w:r w:rsidRPr="00AE41A0">
        <w:rPr>
          <w:rFonts w:asciiTheme="majorHAnsi" w:hAnsiTheme="majorHAnsi"/>
          <w:szCs w:val="18"/>
        </w:rPr>
        <w:t>De raming winstafdracht DNB wordt aangepast n.a.v. de meest recente winstraming.</w:t>
      </w:r>
    </w:p>
    <w:p w:rsidRPr="00AE41A0" w:rsidR="009C28D1" w:rsidP="00AE41A0" w:rsidRDefault="009C28D1">
      <w:pPr>
        <w:spacing w:after="0"/>
        <w:rPr>
          <w:rFonts w:eastAsia="Times New Roman" w:asciiTheme="majorHAnsi" w:hAnsiTheme="majorHAnsi"/>
          <w:i/>
          <w:szCs w:val="18"/>
        </w:rPr>
      </w:pPr>
    </w:p>
    <w:p w:rsidRPr="00AE41A0" w:rsidR="009C28D1" w:rsidP="00AE41A0" w:rsidRDefault="009C28D1">
      <w:pPr>
        <w:spacing w:after="0"/>
        <w:rPr>
          <w:rFonts w:eastAsia="Times New Roman" w:asciiTheme="majorHAnsi" w:hAnsiTheme="majorHAnsi"/>
          <w:i/>
          <w:szCs w:val="18"/>
        </w:rPr>
      </w:pPr>
      <w:r w:rsidRPr="00AE41A0">
        <w:rPr>
          <w:rFonts w:eastAsia="Times New Roman" w:asciiTheme="majorHAnsi" w:hAnsiTheme="majorHAnsi"/>
          <w:i/>
          <w:szCs w:val="18"/>
        </w:rPr>
        <w:t>Doorbelasten kosten vervolging (dekking problematiek)</w:t>
      </w:r>
    </w:p>
    <w:p w:rsidRPr="00AE41A0" w:rsidR="009C28D1" w:rsidP="00AE41A0" w:rsidRDefault="009C28D1">
      <w:pPr>
        <w:spacing w:after="0"/>
        <w:rPr>
          <w:rFonts w:eastAsia="Times New Roman" w:asciiTheme="majorHAnsi" w:hAnsiTheme="majorHAnsi"/>
          <w:i/>
          <w:szCs w:val="18"/>
        </w:rPr>
      </w:pPr>
      <w:r w:rsidRPr="00AE41A0">
        <w:rPr>
          <w:rFonts w:asciiTheme="majorHAnsi" w:hAnsiTheme="majorHAnsi"/>
          <w:szCs w:val="18"/>
        </w:rPr>
        <w:t xml:space="preserve">Aan belastingschuldigen worden de kosten doorberekend van invorderingsmaatregelen. Op basis van de realisatiecijfers van de afgelopen jaren en de verwachtingen voor de komende jaren wordt de raming van de verwachte ontvangsten voor kostenvervolging opwaarts bijgesteld. Deze meevaller wordt gebruikt als dekking voor de bijdrage aan </w:t>
      </w:r>
      <w:proofErr w:type="spellStart"/>
      <w:r w:rsidRPr="00AE41A0">
        <w:rPr>
          <w:rFonts w:asciiTheme="majorHAnsi" w:hAnsiTheme="majorHAnsi"/>
          <w:szCs w:val="18"/>
        </w:rPr>
        <w:t>Logius</w:t>
      </w:r>
      <w:proofErr w:type="spellEnd"/>
      <w:r w:rsidRPr="00AE41A0">
        <w:rPr>
          <w:rFonts w:asciiTheme="majorHAnsi" w:hAnsiTheme="majorHAnsi"/>
          <w:szCs w:val="18"/>
        </w:rPr>
        <w:t xml:space="preserve">. Van de meevaller in 2019 van 15 mln. wordt 11,4 mln. gebruikt als dekking van de negatieve eindejaarsmarge (zie ook diversen). </w:t>
      </w:r>
    </w:p>
    <w:p w:rsidRPr="00AE41A0" w:rsidR="009C28D1" w:rsidP="00AE41A0" w:rsidRDefault="009C28D1">
      <w:pPr>
        <w:spacing w:after="0"/>
        <w:rPr>
          <w:rFonts w:eastAsia="Times New Roman" w:asciiTheme="majorHAnsi" w:hAnsiTheme="majorHAnsi"/>
          <w:i/>
          <w:szCs w:val="18"/>
        </w:rPr>
      </w:pPr>
    </w:p>
    <w:p w:rsidRPr="00AE41A0" w:rsidR="009C28D1" w:rsidP="00AE41A0" w:rsidRDefault="009C28D1">
      <w:pPr>
        <w:spacing w:after="0"/>
        <w:rPr>
          <w:rFonts w:eastAsia="Times New Roman" w:asciiTheme="majorHAnsi" w:hAnsiTheme="majorHAnsi"/>
          <w:i/>
          <w:szCs w:val="18"/>
        </w:rPr>
      </w:pPr>
      <w:r w:rsidRPr="00AE41A0">
        <w:rPr>
          <w:rFonts w:eastAsia="Times New Roman" w:asciiTheme="majorHAnsi" w:hAnsiTheme="majorHAnsi"/>
          <w:i/>
          <w:szCs w:val="18"/>
        </w:rPr>
        <w:t>Diversen – niet-belastingontvangsten</w:t>
      </w:r>
    </w:p>
    <w:p w:rsidRPr="00AE41A0" w:rsidR="009C28D1" w:rsidP="00AE41A0" w:rsidRDefault="009C28D1">
      <w:pPr>
        <w:spacing w:after="0"/>
        <w:rPr>
          <w:rFonts w:eastAsia="Times New Roman" w:asciiTheme="majorHAnsi" w:hAnsiTheme="majorHAnsi"/>
          <w:i/>
          <w:szCs w:val="18"/>
        </w:rPr>
      </w:pPr>
      <w:r w:rsidRPr="00AE41A0">
        <w:rPr>
          <w:rFonts w:eastAsia="Times New Roman" w:asciiTheme="majorHAnsi" w:hAnsiTheme="majorHAnsi"/>
          <w:szCs w:val="18"/>
        </w:rPr>
        <w:t xml:space="preserve">Dit betreft een som van meerdere mutaties. Zo leiden ramingsbijstellingen bij de EKV tot 7 mln. hogere ontvangsten in 2019 en 2020 en 4,1 mln. in de jaren daarna. In 2019 wordt 11,4 mln. van de hogere ontvangsten voor doorbelasting van kosten voor vervolging ingezet ter dekking van de negatieve eindejaarsmarge van Financiën. Ook worden de verwachte renteontvangsten van de </w:t>
      </w:r>
      <w:r w:rsidRPr="00AE41A0">
        <w:rPr>
          <w:rFonts w:eastAsia="Times New Roman" w:asciiTheme="majorHAnsi" w:hAnsiTheme="majorHAnsi"/>
          <w:szCs w:val="18"/>
        </w:rPr>
        <w:lastRenderedPageBreak/>
        <w:t>lening aan Griekenland naar beneden bijgesteld op basis van de meest recente renteramingen van het CPB.</w:t>
      </w:r>
    </w:p>
    <w:p w:rsidR="009C28D1" w:rsidP="009C28D1" w:rsidRDefault="009C28D1">
      <w:pPr>
        <w:spacing w:after="0"/>
        <w:rPr>
          <w:rFonts w:eastAsia="Times New Roman"/>
          <w:i/>
          <w:szCs w:val="18"/>
        </w:rPr>
      </w:pPr>
      <w:r>
        <w:rPr>
          <w:rFonts w:eastAsia="Times New Roman"/>
          <w:i/>
          <w:szCs w:val="18"/>
        </w:rPr>
        <w:t xml:space="preserve"> </w:t>
      </w:r>
    </w:p>
    <w:p w:rsidR="009C28D1" w:rsidP="009C28D1" w:rsidRDefault="009C28D1">
      <w:pPr>
        <w:spacing w:after="0"/>
        <w:rPr>
          <w:rFonts w:eastAsia="Times New Roman"/>
          <w:i/>
          <w:szCs w:val="18"/>
        </w:rPr>
      </w:pPr>
      <w:r>
        <w:rPr>
          <w:rFonts w:eastAsia="Times New Roman"/>
          <w:i/>
          <w:szCs w:val="18"/>
        </w:rPr>
        <w:t xml:space="preserve">Schaderestituties </w:t>
      </w:r>
      <w:r w:rsidR="00AE41A0">
        <w:rPr>
          <w:rFonts w:eastAsia="Times New Roman"/>
          <w:i/>
          <w:szCs w:val="18"/>
        </w:rPr>
        <w:t>EKV</w:t>
      </w:r>
    </w:p>
    <w:p w:rsidR="009C28D1" w:rsidP="009C28D1" w:rsidRDefault="009C28D1">
      <w:pPr>
        <w:spacing w:after="0"/>
        <w:rPr>
          <w:rFonts w:asciiTheme="majorHAnsi" w:hAnsiTheme="majorHAnsi"/>
          <w:b/>
          <w:szCs w:val="18"/>
        </w:rPr>
      </w:pPr>
      <w:r>
        <w:rPr>
          <w:rFonts w:eastAsia="Times New Roman"/>
          <w:szCs w:val="18"/>
        </w:rPr>
        <w:t>Na de revisie van de nationale rekeningen verwerkt het CBS de schaderestituties van de EKV als financiële transacties. Dit betekent dat de schaderestituties geen effect hebben op het EMU-saldo. Volgens de begrotingsregels betekent dit dat de schaderestituties daarom ook niet meer plafondrelevant zijn. Met deze mutatie wordt deze aanpassing budgettair verwerkt.</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D72210" w:rsidR="00D72210" w:rsidTr="00D72210">
        <w:trPr>
          <w:trHeight w:val="225"/>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b/>
                <w:bCs/>
                <w:color w:val="000000"/>
                <w:szCs w:val="18"/>
                <w:lang w:eastAsia="nl-NL"/>
              </w:rPr>
            </w:pPr>
            <w:r w:rsidRPr="00D72210">
              <w:rPr>
                <w:rFonts w:eastAsia="Times New Roman" w:cs="Times New Roman"/>
                <w:b/>
                <w:bCs/>
                <w:color w:val="000000"/>
                <w:szCs w:val="18"/>
                <w:lang w:eastAsia="nl-NL"/>
              </w:rPr>
              <w:lastRenderedPageBreak/>
              <w:t>Defensie</w:t>
            </w: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X DEFENSIE: UITGAVEN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10.270,6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10.726,9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10.916,4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10.523,2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10.295,9</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Budget convenant brigade speciale beveiligingsopdrachten (</w:t>
            </w:r>
            <w:proofErr w:type="spellStart"/>
            <w:r w:rsidRPr="00D72210">
              <w:rPr>
                <w:rFonts w:eastAsia="Times New Roman" w:cs="Times New Roman"/>
                <w:color w:val="000000"/>
                <w:szCs w:val="18"/>
                <w:lang w:eastAsia="nl-NL"/>
              </w:rPr>
              <w:t>bsb</w:t>
            </w:r>
            <w:proofErr w:type="spellEnd"/>
            <w:r w:rsidRPr="00D72210">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 xml:space="preserve">Capaciteitsdoelstellingen </w:t>
            </w:r>
            <w:proofErr w:type="spellStart"/>
            <w:r w:rsidRPr="00D72210">
              <w:rPr>
                <w:rFonts w:eastAsia="Times New Roman" w:cs="Times New Roman"/>
                <w:color w:val="000000"/>
                <w:szCs w:val="18"/>
                <w:lang w:eastAsia="nl-NL"/>
              </w:rPr>
              <w:t>navo</w:t>
            </w:r>
            <w:proofErr w:type="spellEnd"/>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249,0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358,0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406,0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Eindejaarsmarge 2018</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81,5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110,8</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262,4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375,5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423,5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Loonbijstelling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144,0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146,0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146,9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146,2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145,8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Prijsbijstelling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91,5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99,0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101,6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94,1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89,9</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242,0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244,2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248,2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239,7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235,1</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180"/>
        </w:trPr>
        <w:tc>
          <w:tcPr>
            <w:tcW w:w="43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352,8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294,7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510,6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615,1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658,5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10.623,4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11.021,5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11.427,0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11.138,3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10.954,4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258,5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208,4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208,4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208,4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10.881,8</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11.231,5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11.635,4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11.346,7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11.162,8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X DEFENSIE: NIET-BELASTINGONTVANGSTEN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310,3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279,3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277,8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278,5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331,6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13,8</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324,1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278,5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279,3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332,3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325,5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281,4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279,9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280,7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333,7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bl>
    <w:p w:rsidR="00CF4D00" w:rsidP="00CF4D00" w:rsidRDefault="00CF4D00">
      <w:pPr>
        <w:spacing w:after="0" w:line="240" w:lineRule="atLeast"/>
        <w:rPr>
          <w:rFonts w:eastAsia="Times New Roman"/>
          <w:i/>
          <w:szCs w:val="18"/>
        </w:rPr>
      </w:pPr>
    </w:p>
    <w:p w:rsidR="00CF4D00" w:rsidP="00CF4D00" w:rsidRDefault="00CF4D00">
      <w:pPr>
        <w:spacing w:after="0" w:line="240" w:lineRule="atLeast"/>
        <w:rPr>
          <w:rFonts w:eastAsia="Times New Roman"/>
          <w:i/>
          <w:szCs w:val="18"/>
        </w:rPr>
      </w:pPr>
    </w:p>
    <w:p w:rsidRPr="00F0474E" w:rsidR="00CF4D00" w:rsidP="00CF4D00" w:rsidRDefault="00CF4D00">
      <w:pPr>
        <w:spacing w:after="0" w:line="240" w:lineRule="atLeast"/>
        <w:rPr>
          <w:rFonts w:eastAsia="Times New Roman"/>
          <w:i/>
          <w:szCs w:val="18"/>
        </w:rPr>
      </w:pPr>
      <w:r w:rsidRPr="00F0474E">
        <w:rPr>
          <w:rFonts w:eastAsia="Times New Roman"/>
          <w:i/>
          <w:szCs w:val="18"/>
        </w:rPr>
        <w:t>Budget convenant brigade speciale beveiligingsopdrachten (</w:t>
      </w:r>
      <w:r>
        <w:rPr>
          <w:rFonts w:eastAsia="Times New Roman"/>
          <w:i/>
          <w:szCs w:val="18"/>
        </w:rPr>
        <w:t>BSB</w:t>
      </w:r>
      <w:r w:rsidRPr="00F0474E">
        <w:rPr>
          <w:rFonts w:eastAsia="Times New Roman"/>
          <w:i/>
          <w:szCs w:val="18"/>
        </w:rPr>
        <w:t>)</w:t>
      </w:r>
    </w:p>
    <w:p w:rsidRPr="00F0474E" w:rsidR="00CF4D00" w:rsidP="00CF4D00" w:rsidRDefault="00CF4D00">
      <w:pPr>
        <w:spacing w:after="0" w:line="240" w:lineRule="atLeast"/>
        <w:rPr>
          <w:rFonts w:eastAsia="Times New Roman"/>
          <w:szCs w:val="18"/>
        </w:rPr>
      </w:pPr>
      <w:r w:rsidRPr="00F0474E">
        <w:rPr>
          <w:rFonts w:eastAsia="Times New Roman"/>
          <w:szCs w:val="18"/>
        </w:rPr>
        <w:t xml:space="preserve">Het </w:t>
      </w:r>
      <w:r>
        <w:rPr>
          <w:rFonts w:eastAsia="Times New Roman"/>
          <w:szCs w:val="18"/>
        </w:rPr>
        <w:t>m</w:t>
      </w:r>
      <w:r w:rsidRPr="00F0474E">
        <w:rPr>
          <w:rFonts w:eastAsia="Times New Roman"/>
          <w:szCs w:val="18"/>
        </w:rPr>
        <w:t xml:space="preserve">inisterie van Buitenlandse Zaken hevelt 15,3 mln. over naar het </w:t>
      </w:r>
      <w:r>
        <w:rPr>
          <w:rFonts w:eastAsia="Times New Roman"/>
          <w:szCs w:val="18"/>
        </w:rPr>
        <w:t>m</w:t>
      </w:r>
      <w:r w:rsidRPr="00F0474E">
        <w:rPr>
          <w:rFonts w:eastAsia="Times New Roman"/>
          <w:szCs w:val="18"/>
        </w:rPr>
        <w:t>inisterie van Defensie ten behoeve van de bescherming van diplomaten en ambassades door de Brigade Speciale Beveiligingsopdrachten (BSB).</w:t>
      </w:r>
    </w:p>
    <w:p w:rsidR="00CF4D00" w:rsidP="00CF4D00" w:rsidRDefault="00CF4D00">
      <w:pPr>
        <w:spacing w:after="0" w:line="240" w:lineRule="atLeast"/>
        <w:rPr>
          <w:rFonts w:eastAsia="Times New Roman"/>
          <w:szCs w:val="18"/>
        </w:rPr>
      </w:pPr>
    </w:p>
    <w:p w:rsidRPr="00F0474E" w:rsidR="006239BD" w:rsidP="00CF4D00" w:rsidRDefault="006239BD">
      <w:pPr>
        <w:spacing w:after="0" w:line="240" w:lineRule="atLeast"/>
        <w:rPr>
          <w:rFonts w:eastAsia="Times New Roman"/>
          <w:szCs w:val="18"/>
        </w:rPr>
      </w:pPr>
    </w:p>
    <w:p w:rsidRPr="00F0474E" w:rsidR="00CF4D00" w:rsidP="00CF4D00" w:rsidRDefault="00CF4D00">
      <w:pPr>
        <w:spacing w:after="0" w:line="240" w:lineRule="atLeast"/>
        <w:rPr>
          <w:rFonts w:eastAsia="Times New Roman"/>
          <w:i/>
          <w:szCs w:val="18"/>
        </w:rPr>
      </w:pPr>
      <w:r w:rsidRPr="00F0474E">
        <w:rPr>
          <w:rFonts w:eastAsia="Times New Roman"/>
          <w:i/>
          <w:szCs w:val="18"/>
        </w:rPr>
        <w:lastRenderedPageBreak/>
        <w:t>Capaciteitsdoelstellingen NAVO</w:t>
      </w:r>
    </w:p>
    <w:p w:rsidRPr="00B05FB8" w:rsidR="00CF4D00" w:rsidP="00B05FB8" w:rsidRDefault="00CF4D00">
      <w:pPr>
        <w:spacing w:after="0" w:line="240" w:lineRule="atLeast"/>
        <w:rPr>
          <w:iCs/>
          <w:szCs w:val="18"/>
        </w:rPr>
      </w:pPr>
      <w:r w:rsidRPr="00F0474E">
        <w:rPr>
          <w:iCs/>
          <w:szCs w:val="18"/>
        </w:rPr>
        <w:t>De minister-president heeft in december het nationaal plan defensie-uitgaven bij de NAVO aangeboden. In dit plan bevestigt de regering haar politieke intentie om structureel te investeren in een aantal prioritaire capaciteiten, die aansluiten bij de capaciteitendoelstellingen van de NAVO. In lijn met deze intentieverklaring maakt het kabinet hier structureel extra geld voor vrij. De extra middelen worden primair aangewend voor prioritaire capaciteiten.</w:t>
      </w:r>
      <w:r w:rsidRPr="00B05FB8" w:rsidR="00B05FB8">
        <w:t xml:space="preserve"> </w:t>
      </w:r>
      <w:r w:rsidRPr="00B05FB8" w:rsidR="00B05FB8">
        <w:rPr>
          <w:iCs/>
          <w:szCs w:val="18"/>
        </w:rPr>
        <w:t>Ten aanzien van de precieze invulling van het Nationaal Plan zal binnenkort worden gecommuniceerd.</w:t>
      </w:r>
    </w:p>
    <w:p w:rsidR="006239BD" w:rsidP="00CF4D00" w:rsidRDefault="006239BD">
      <w:pPr>
        <w:spacing w:after="0" w:line="240" w:lineRule="atLeast"/>
        <w:rPr>
          <w:rFonts w:eastAsia="Times New Roman"/>
          <w:i/>
          <w:szCs w:val="18"/>
        </w:rPr>
      </w:pPr>
    </w:p>
    <w:p w:rsidRPr="00F0474E" w:rsidR="00CF4D00" w:rsidP="00CF4D00" w:rsidRDefault="00CF4D00">
      <w:pPr>
        <w:spacing w:after="0" w:line="240" w:lineRule="atLeast"/>
        <w:rPr>
          <w:rFonts w:eastAsia="Times New Roman"/>
          <w:i/>
          <w:szCs w:val="18"/>
        </w:rPr>
      </w:pPr>
      <w:r w:rsidRPr="00F0474E">
        <w:rPr>
          <w:rFonts w:eastAsia="Times New Roman"/>
          <w:i/>
          <w:szCs w:val="18"/>
        </w:rPr>
        <w:t>Eindejaarsmarge 2018</w:t>
      </w:r>
    </w:p>
    <w:p w:rsidRPr="00F0474E" w:rsidR="00CF4D00" w:rsidP="00CF4D00" w:rsidRDefault="00007DD9">
      <w:pPr>
        <w:spacing w:after="0" w:line="240" w:lineRule="atLeast"/>
        <w:rPr>
          <w:rFonts w:eastAsia="Times New Roman"/>
          <w:szCs w:val="18"/>
        </w:rPr>
      </w:pPr>
      <w:r>
        <w:rPr>
          <w:rFonts w:eastAsia="Times New Roman"/>
          <w:szCs w:val="18"/>
        </w:rPr>
        <w:t>D</w:t>
      </w:r>
      <w:r w:rsidRPr="00F0474E" w:rsidR="00CF4D00">
        <w:rPr>
          <w:rFonts w:eastAsia="Times New Roman"/>
          <w:szCs w:val="18"/>
        </w:rPr>
        <w:t>e eindejaarsmarge</w:t>
      </w:r>
      <w:r>
        <w:rPr>
          <w:rFonts w:eastAsia="Times New Roman"/>
          <w:szCs w:val="18"/>
        </w:rPr>
        <w:t xml:space="preserve"> wordt</w:t>
      </w:r>
      <w:r w:rsidRPr="00F0474E" w:rsidR="00CF4D00">
        <w:rPr>
          <w:rFonts w:eastAsia="Times New Roman"/>
          <w:szCs w:val="18"/>
        </w:rPr>
        <w:t xml:space="preserve"> toegevoegd aan de begroting van Defensie.</w:t>
      </w:r>
    </w:p>
    <w:p w:rsidRPr="00F0474E" w:rsidR="00CF4D00" w:rsidP="00CF4D00" w:rsidRDefault="00CF4D00">
      <w:pPr>
        <w:spacing w:after="0" w:line="240" w:lineRule="atLeast"/>
        <w:rPr>
          <w:rFonts w:eastAsia="Times New Roman"/>
          <w:szCs w:val="18"/>
        </w:rPr>
      </w:pPr>
    </w:p>
    <w:p w:rsidRPr="00F0474E" w:rsidR="00CF4D00" w:rsidP="00CF4D00" w:rsidRDefault="00CF4D00">
      <w:pPr>
        <w:spacing w:after="0" w:line="240" w:lineRule="atLeast"/>
        <w:rPr>
          <w:rFonts w:eastAsia="Times New Roman"/>
          <w:i/>
          <w:szCs w:val="18"/>
        </w:rPr>
      </w:pPr>
      <w:r w:rsidRPr="00F0474E">
        <w:rPr>
          <w:rFonts w:eastAsia="Times New Roman"/>
          <w:i/>
          <w:szCs w:val="18"/>
        </w:rPr>
        <w:t>Diversen – beleidsmatige mutaties</w:t>
      </w:r>
      <w:r>
        <w:rPr>
          <w:rFonts w:eastAsia="Times New Roman"/>
          <w:i/>
          <w:szCs w:val="18"/>
        </w:rPr>
        <w:t>, uitgaven</w:t>
      </w:r>
    </w:p>
    <w:p w:rsidRPr="00F0474E" w:rsidR="00CF4D00" w:rsidP="00CF4D00" w:rsidRDefault="00CF4D00">
      <w:pPr>
        <w:spacing w:after="0" w:line="240" w:lineRule="atLeast"/>
        <w:rPr>
          <w:rFonts w:eastAsia="Verdana"/>
          <w:szCs w:val="18"/>
        </w:rPr>
      </w:pPr>
      <w:r w:rsidRPr="00F0474E">
        <w:rPr>
          <w:rFonts w:eastAsia="Verdana"/>
          <w:szCs w:val="18"/>
        </w:rPr>
        <w:t xml:space="preserve">Dit is </w:t>
      </w:r>
      <w:r>
        <w:rPr>
          <w:rFonts w:eastAsia="Verdana"/>
          <w:szCs w:val="18"/>
        </w:rPr>
        <w:t>het</w:t>
      </w:r>
      <w:r w:rsidRPr="00F0474E">
        <w:rPr>
          <w:rFonts w:eastAsia="Verdana"/>
          <w:szCs w:val="18"/>
        </w:rPr>
        <w:t xml:space="preserve"> saldo van verschillende mutaties, waaronder capaciteitsuitbreiding van de MIVD voor het uitvoeren van de geïntegreerde aanwijzing en een </w:t>
      </w:r>
      <w:r w:rsidR="00A122CB">
        <w:rPr>
          <w:rFonts w:eastAsia="Verdana"/>
          <w:szCs w:val="18"/>
        </w:rPr>
        <w:t xml:space="preserve">bedrag van structureel 3 mln. voor </w:t>
      </w:r>
      <w:r w:rsidRPr="00F0474E">
        <w:rPr>
          <w:rFonts w:eastAsia="Verdana"/>
          <w:szCs w:val="18"/>
        </w:rPr>
        <w:t>de Koninklijke Marechaussee (</w:t>
      </w:r>
      <w:proofErr w:type="spellStart"/>
      <w:r w:rsidRPr="00F0474E">
        <w:rPr>
          <w:rFonts w:eastAsia="Verdana"/>
          <w:szCs w:val="18"/>
        </w:rPr>
        <w:t>KMar</w:t>
      </w:r>
      <w:proofErr w:type="spellEnd"/>
      <w:r w:rsidRPr="00F0474E">
        <w:rPr>
          <w:rFonts w:eastAsia="Verdana"/>
          <w:szCs w:val="18"/>
        </w:rPr>
        <w:t xml:space="preserve">) om de capaciteit voor grensbewaking verder te versterken. </w:t>
      </w:r>
    </w:p>
    <w:p w:rsidRPr="00F0474E" w:rsidR="00CF4D00" w:rsidP="00CF4D00" w:rsidRDefault="00CF4D00">
      <w:pPr>
        <w:spacing w:after="0" w:line="240" w:lineRule="atLeast"/>
        <w:rPr>
          <w:rFonts w:eastAsia="Times New Roman"/>
          <w:szCs w:val="18"/>
        </w:rPr>
      </w:pPr>
    </w:p>
    <w:p w:rsidRPr="00F0474E" w:rsidR="00CF4D00" w:rsidP="00CF4D00" w:rsidRDefault="00CF4D00">
      <w:pPr>
        <w:spacing w:after="0" w:line="240" w:lineRule="atLeast"/>
        <w:rPr>
          <w:i/>
          <w:iCs/>
          <w:szCs w:val="18"/>
        </w:rPr>
      </w:pPr>
      <w:r w:rsidRPr="00F0474E">
        <w:rPr>
          <w:i/>
          <w:iCs/>
          <w:szCs w:val="18"/>
        </w:rPr>
        <w:t>Loon-</w:t>
      </w:r>
      <w:r>
        <w:rPr>
          <w:i/>
          <w:iCs/>
          <w:szCs w:val="18"/>
        </w:rPr>
        <w:t xml:space="preserve"> </w:t>
      </w:r>
      <w:r w:rsidRPr="00F0474E">
        <w:rPr>
          <w:i/>
          <w:iCs/>
          <w:szCs w:val="18"/>
        </w:rPr>
        <w:t>en prijsbijstelling</w:t>
      </w:r>
    </w:p>
    <w:p w:rsidRPr="00F0474E" w:rsidR="00CF4D00" w:rsidP="00CF4D00" w:rsidRDefault="00CF4D00">
      <w:pPr>
        <w:spacing w:after="0" w:line="240" w:lineRule="atLeast"/>
        <w:rPr>
          <w:iCs/>
          <w:szCs w:val="18"/>
        </w:rPr>
      </w:pPr>
      <w:r w:rsidRPr="00F0474E">
        <w:rPr>
          <w:iCs/>
          <w:szCs w:val="18"/>
        </w:rPr>
        <w:t>De tranche 2019 van de loon- en prijsbijstelling is overgemaakt naar de departementale begroting.</w:t>
      </w:r>
    </w:p>
    <w:p w:rsidRPr="00F0474E" w:rsidR="00CF4D00" w:rsidP="00CF4D00" w:rsidRDefault="00CF4D00">
      <w:pPr>
        <w:spacing w:after="0" w:line="240" w:lineRule="atLeast"/>
        <w:rPr>
          <w:rFonts w:eastAsia="Times New Roman"/>
          <w:szCs w:val="18"/>
        </w:rPr>
      </w:pPr>
    </w:p>
    <w:p w:rsidRPr="00F0474E" w:rsidR="00CF4D00" w:rsidP="00CF4D00" w:rsidRDefault="00CF4D00">
      <w:pPr>
        <w:spacing w:after="0" w:line="240" w:lineRule="atLeast"/>
        <w:rPr>
          <w:rFonts w:eastAsia="Times New Roman"/>
          <w:i/>
          <w:szCs w:val="18"/>
        </w:rPr>
      </w:pPr>
      <w:r w:rsidRPr="00F0474E">
        <w:rPr>
          <w:rFonts w:eastAsia="Times New Roman"/>
          <w:i/>
          <w:szCs w:val="18"/>
        </w:rPr>
        <w:t>Diversen – technische mutaties</w:t>
      </w:r>
      <w:r>
        <w:rPr>
          <w:rFonts w:eastAsia="Times New Roman"/>
          <w:i/>
          <w:szCs w:val="18"/>
        </w:rPr>
        <w:t>, uitgaven</w:t>
      </w:r>
    </w:p>
    <w:p w:rsidRPr="00F0474E" w:rsidR="00CF4D00" w:rsidP="00CF4D00" w:rsidRDefault="00CF4D00">
      <w:pPr>
        <w:spacing w:after="0" w:line="240" w:lineRule="atLeast"/>
        <w:rPr>
          <w:rFonts w:eastAsia="Times New Roman"/>
          <w:szCs w:val="18"/>
        </w:rPr>
      </w:pPr>
      <w:r w:rsidRPr="00F0474E">
        <w:rPr>
          <w:rFonts w:eastAsia="Times New Roman"/>
          <w:szCs w:val="18"/>
        </w:rPr>
        <w:t xml:space="preserve">Dit is </w:t>
      </w:r>
      <w:r>
        <w:rPr>
          <w:rFonts w:eastAsia="Times New Roman"/>
          <w:szCs w:val="18"/>
        </w:rPr>
        <w:t>het</w:t>
      </w:r>
      <w:r w:rsidRPr="00F0474E">
        <w:rPr>
          <w:rFonts w:eastAsia="Times New Roman"/>
          <w:szCs w:val="18"/>
        </w:rPr>
        <w:t xml:space="preserve"> saldo van verschillende mutaties, waaronder exploitatiekosten voor het digitale landelijke netwerk voor mobiele communicatie ten behoeve van de hulpverlenende instanties, zoals politie, brandweer, ambulancediensten en de Koninklijke Marechaussee (C2000) en een overboeking voor noodsleephulp en betonningstaken door Kustwacht Nederland.</w:t>
      </w:r>
    </w:p>
    <w:p w:rsidRPr="00F0474E" w:rsidR="00CF4D00" w:rsidP="00CF4D00" w:rsidRDefault="00CF4D00">
      <w:pPr>
        <w:spacing w:after="0" w:line="240" w:lineRule="atLeast"/>
        <w:rPr>
          <w:rFonts w:eastAsia="Times New Roman"/>
          <w:szCs w:val="18"/>
        </w:rPr>
      </w:pPr>
    </w:p>
    <w:p w:rsidRPr="00F0474E" w:rsidR="00CF4D00" w:rsidP="00CF4D00" w:rsidRDefault="00CF4D00">
      <w:pPr>
        <w:spacing w:after="0" w:line="240" w:lineRule="atLeast"/>
        <w:rPr>
          <w:rFonts w:eastAsia="Times New Roman"/>
          <w:i/>
          <w:szCs w:val="18"/>
        </w:rPr>
      </w:pPr>
      <w:r w:rsidRPr="00F0474E">
        <w:rPr>
          <w:rFonts w:eastAsia="Times New Roman"/>
          <w:i/>
          <w:szCs w:val="18"/>
        </w:rPr>
        <w:t>Diversen – technische mutaties</w:t>
      </w:r>
      <w:r>
        <w:rPr>
          <w:rFonts w:eastAsia="Times New Roman"/>
          <w:i/>
          <w:szCs w:val="18"/>
        </w:rPr>
        <w:t>,</w:t>
      </w:r>
      <w:r w:rsidRPr="00F0474E">
        <w:rPr>
          <w:rFonts w:eastAsia="Times New Roman"/>
          <w:i/>
          <w:szCs w:val="18"/>
        </w:rPr>
        <w:t xml:space="preserve"> niet belastingontvangsten</w:t>
      </w:r>
    </w:p>
    <w:p w:rsidR="00CF4D00" w:rsidP="00CF4D00" w:rsidRDefault="00CF4D00">
      <w:pPr>
        <w:spacing w:after="0"/>
        <w:rPr>
          <w:rFonts w:asciiTheme="majorHAnsi" w:hAnsiTheme="majorHAnsi"/>
          <w:b/>
          <w:szCs w:val="18"/>
        </w:rPr>
      </w:pPr>
      <w:r w:rsidRPr="00F0474E">
        <w:rPr>
          <w:rFonts w:eastAsia="Times New Roman"/>
          <w:szCs w:val="18"/>
        </w:rPr>
        <w:t>De technische mutaties</w:t>
      </w:r>
      <w:r>
        <w:rPr>
          <w:rFonts w:eastAsia="Times New Roman"/>
          <w:szCs w:val="18"/>
        </w:rPr>
        <w:t xml:space="preserve"> bij de</w:t>
      </w:r>
      <w:r w:rsidRPr="00F0474E">
        <w:rPr>
          <w:rFonts w:eastAsia="Times New Roman"/>
          <w:szCs w:val="18"/>
        </w:rPr>
        <w:t xml:space="preserve"> niet</w:t>
      </w:r>
      <w:r>
        <w:rPr>
          <w:rFonts w:eastAsia="Times New Roman"/>
          <w:szCs w:val="18"/>
        </w:rPr>
        <w:t>-</w:t>
      </w:r>
      <w:r w:rsidRPr="00F0474E">
        <w:rPr>
          <w:rFonts w:eastAsia="Times New Roman"/>
          <w:szCs w:val="18"/>
        </w:rPr>
        <w:t>belastingontvangsten bestaan uit een saldo van diverse mutaties</w:t>
      </w:r>
      <w:r>
        <w:rPr>
          <w:rFonts w:eastAsia="Times New Roman"/>
          <w:szCs w:val="18"/>
        </w:rPr>
        <w:t>,</w:t>
      </w:r>
      <w:r w:rsidRPr="00F0474E">
        <w:rPr>
          <w:rFonts w:eastAsia="Times New Roman"/>
          <w:szCs w:val="18"/>
        </w:rPr>
        <w:t xml:space="preserve"> waaronder een afdracht van het surplus van het agentschap</w:t>
      </w:r>
      <w:r w:rsidR="00007DD9">
        <w:rPr>
          <w:rFonts w:eastAsia="Times New Roman"/>
          <w:szCs w:val="18"/>
        </w:rPr>
        <w:t xml:space="preserve"> operations (</w:t>
      </w:r>
      <w:r w:rsidRPr="00F0474E">
        <w:rPr>
          <w:rFonts w:eastAsia="Times New Roman"/>
          <w:szCs w:val="18"/>
        </w:rPr>
        <w:t>OPS</w:t>
      </w:r>
      <w:r w:rsidR="00007DD9">
        <w:rPr>
          <w:rFonts w:eastAsia="Times New Roman"/>
          <w:szCs w:val="18"/>
        </w:rPr>
        <w:t>)</w:t>
      </w:r>
      <w:r>
        <w:rPr>
          <w:rFonts w:eastAsia="Times New Roman"/>
          <w:szCs w:val="18"/>
        </w:rPr>
        <w:t>.</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D72210" w:rsidR="00D72210" w:rsidTr="00D72210">
        <w:trPr>
          <w:trHeight w:val="225"/>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b/>
                <w:bCs/>
                <w:color w:val="000000"/>
                <w:szCs w:val="18"/>
                <w:lang w:eastAsia="nl-NL"/>
              </w:rPr>
            </w:pPr>
            <w:r w:rsidRPr="00D72210">
              <w:rPr>
                <w:rFonts w:eastAsia="Times New Roman" w:cs="Times New Roman"/>
                <w:b/>
                <w:bCs/>
                <w:color w:val="000000"/>
                <w:szCs w:val="18"/>
                <w:lang w:eastAsia="nl-NL"/>
              </w:rPr>
              <w:lastRenderedPageBreak/>
              <w:t>Infrastructuur en Waterstaat</w:t>
            </w: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XII INFRASTRUCTUUR EN WATERSTAAT: UITGAVEN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9.527,0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9.269,4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9.304,9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9.148,9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9.361,2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Dekking voor vullen taakstellende onderuitputting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proofErr w:type="spellStart"/>
            <w:r w:rsidRPr="00D72210">
              <w:rPr>
                <w:rFonts w:eastAsia="Times New Roman" w:cs="Times New Roman"/>
                <w:color w:val="000000"/>
                <w:szCs w:val="18"/>
                <w:lang w:eastAsia="nl-NL"/>
              </w:rPr>
              <w:t>Ejm</w:t>
            </w:r>
            <w:proofErr w:type="spellEnd"/>
            <w:r w:rsidRPr="00D72210">
              <w:rPr>
                <w:rFonts w:eastAsia="Times New Roman" w:cs="Times New Roman"/>
                <w:color w:val="000000"/>
                <w:szCs w:val="18"/>
                <w:lang w:eastAsia="nl-NL"/>
              </w:rPr>
              <w:t xml:space="preserve"> regeringsvliegtuig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 xml:space="preserve">Intensivering </w:t>
            </w:r>
            <w:proofErr w:type="spellStart"/>
            <w:r w:rsidRPr="00D72210">
              <w:rPr>
                <w:rFonts w:eastAsia="Times New Roman" w:cs="Times New Roman"/>
                <w:color w:val="000000"/>
                <w:szCs w:val="18"/>
                <w:lang w:eastAsia="nl-NL"/>
              </w:rPr>
              <w:t>ilt</w:t>
            </w:r>
            <w:proofErr w:type="spellEnd"/>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Invullen taakstellende onderuitputting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Kornwerderzand</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80,6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E23 envelop klimaat</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65,9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 xml:space="preserve">Inpassing </w:t>
            </w:r>
            <w:proofErr w:type="spellStart"/>
            <w:r w:rsidRPr="00D72210">
              <w:rPr>
                <w:rFonts w:eastAsia="Times New Roman" w:cs="Times New Roman"/>
                <w:color w:val="000000"/>
                <w:szCs w:val="18"/>
                <w:lang w:eastAsia="nl-NL"/>
              </w:rPr>
              <w:t>dbfm</w:t>
            </w:r>
            <w:proofErr w:type="spellEnd"/>
            <w:r w:rsidRPr="00D72210">
              <w:rPr>
                <w:rFonts w:eastAsia="Times New Roman" w:cs="Times New Roman"/>
                <w:color w:val="000000"/>
                <w:szCs w:val="18"/>
                <w:lang w:eastAsia="nl-NL"/>
              </w:rPr>
              <w:t xml:space="preserve"> a16 </w:t>
            </w:r>
            <w:proofErr w:type="spellStart"/>
            <w:r w:rsidRPr="00D72210">
              <w:rPr>
                <w:rFonts w:eastAsia="Times New Roman" w:cs="Times New Roman"/>
                <w:color w:val="000000"/>
                <w:szCs w:val="18"/>
                <w:lang w:eastAsia="nl-NL"/>
              </w:rPr>
              <w:t>rotterdam</w:t>
            </w:r>
            <w:proofErr w:type="spellEnd"/>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-95,2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-92,8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-137,5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-289,9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46,1</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 xml:space="preserve">Inpassing </w:t>
            </w:r>
            <w:proofErr w:type="spellStart"/>
            <w:r w:rsidRPr="00D72210">
              <w:rPr>
                <w:rFonts w:eastAsia="Times New Roman" w:cs="Times New Roman"/>
                <w:color w:val="000000"/>
                <w:szCs w:val="18"/>
                <w:lang w:eastAsia="nl-NL"/>
              </w:rPr>
              <w:t>dbfm</w:t>
            </w:r>
            <w:proofErr w:type="spellEnd"/>
            <w:r w:rsidRPr="00D72210">
              <w:rPr>
                <w:rFonts w:eastAsia="Times New Roman" w:cs="Times New Roman"/>
                <w:color w:val="000000"/>
                <w:szCs w:val="18"/>
                <w:lang w:eastAsia="nl-NL"/>
              </w:rPr>
              <w:t xml:space="preserve"> a24 blankenburgverbinding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-181,9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-220,2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-117,0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132,6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Loon- en prijsbijstelling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213,8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210,6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210,5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204,3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207,1</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-95,1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-44,5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-83,0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386,1</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72,3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-86,0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-70,9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401,1</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9.599,2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9.183,4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9.272,5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9.078,0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9.762,2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29,1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9.628,3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9.210,4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9.298,6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9.098,3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9.780,8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XII INFRASTRUCTUUR EN WATERSTAAT: NIET-BELASTINGONTVANGSTEN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19,4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43,6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14,8</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43,6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14,8</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002748F4" w:rsidP="002748F4" w:rsidRDefault="002748F4">
      <w:pPr>
        <w:tabs>
          <w:tab w:val="left" w:pos="1350"/>
        </w:tabs>
        <w:spacing w:after="0"/>
        <w:rPr>
          <w:rFonts w:eastAsia="Times New Roman"/>
          <w:i/>
          <w:szCs w:val="18"/>
        </w:rPr>
      </w:pPr>
      <w:r w:rsidRPr="002748F4">
        <w:rPr>
          <w:rFonts w:eastAsia="Times New Roman"/>
          <w:i/>
          <w:szCs w:val="18"/>
        </w:rPr>
        <w:t xml:space="preserve">Dekking voor vullen taakstellende onderuitputting </w:t>
      </w:r>
      <w:r>
        <w:rPr>
          <w:rFonts w:eastAsia="Times New Roman"/>
          <w:i/>
          <w:szCs w:val="18"/>
        </w:rPr>
        <w:t>en Invullen taakstellende onderuitputting</w:t>
      </w:r>
    </w:p>
    <w:p w:rsidR="002748F4" w:rsidP="002748F4" w:rsidRDefault="002748F4">
      <w:pPr>
        <w:spacing w:after="0"/>
        <w:rPr>
          <w:sz w:val="22"/>
        </w:rPr>
      </w:pPr>
      <w:r>
        <w:rPr>
          <w:szCs w:val="18"/>
        </w:rPr>
        <w:t>De taakstellende onderuitputting op artikel 99 nominaal en onvoorzien wordt budgettair ingevuld op de beleidsbegroting van IenW (HXII).</w:t>
      </w:r>
      <w:r w:rsidR="00EA0CF8">
        <w:rPr>
          <w:szCs w:val="18"/>
        </w:rPr>
        <w:t xml:space="preserve"> Om 2019 te ontlasten wordt middels een kasschuif budget uit de jaren 2020, 2021 en 2022 naar 2019 gehaald om de negatieve eindejaarsmarge 2018 te dekken.</w:t>
      </w:r>
    </w:p>
    <w:p w:rsidR="002748F4" w:rsidP="002748F4" w:rsidRDefault="002748F4">
      <w:pPr>
        <w:autoSpaceDE w:val="0"/>
        <w:autoSpaceDN w:val="0"/>
        <w:adjustRightInd w:val="0"/>
        <w:spacing w:after="0"/>
        <w:ind w:right="1133"/>
        <w:rPr>
          <w:rFonts w:cs="Univers"/>
          <w:i/>
          <w:szCs w:val="18"/>
        </w:rPr>
      </w:pPr>
      <w:r>
        <w:rPr>
          <w:rFonts w:cs="Univers"/>
          <w:i/>
          <w:szCs w:val="18"/>
        </w:rPr>
        <w:lastRenderedPageBreak/>
        <w:t>EJM regeringsvliegtuig</w:t>
      </w:r>
    </w:p>
    <w:p w:rsidRPr="005E39BC" w:rsidR="00A92162" w:rsidP="00A92162" w:rsidRDefault="00A92162">
      <w:pPr>
        <w:spacing w:after="0"/>
        <w:ind w:right="1133"/>
        <w:rPr>
          <w:szCs w:val="18"/>
        </w:rPr>
      </w:pPr>
      <w:r>
        <w:rPr>
          <w:szCs w:val="18"/>
        </w:rPr>
        <w:t>I</w:t>
      </w:r>
      <w:r w:rsidRPr="005E39BC">
        <w:rPr>
          <w:szCs w:val="18"/>
        </w:rPr>
        <w:t xml:space="preserve">n 2016 </w:t>
      </w:r>
      <w:r>
        <w:rPr>
          <w:szCs w:val="18"/>
        </w:rPr>
        <w:t xml:space="preserve">is </w:t>
      </w:r>
      <w:r w:rsidRPr="005E39BC">
        <w:rPr>
          <w:szCs w:val="18"/>
        </w:rPr>
        <w:t xml:space="preserve">een reservering getroffen van 90 mln. op de IenW-begroting voor de vervanging van het regeringsvliegtuig. In 2017 is het koopcontract voor de levering van het nieuwe regeringsvliegtuig getekend en is het oude regeringsvliegtuig verkocht. </w:t>
      </w:r>
      <w:r>
        <w:rPr>
          <w:szCs w:val="18"/>
        </w:rPr>
        <w:t>Het</w:t>
      </w:r>
      <w:r w:rsidRPr="005E39BC">
        <w:rPr>
          <w:szCs w:val="18"/>
        </w:rPr>
        <w:t xml:space="preserve"> niet-bestede </w:t>
      </w:r>
      <w:r>
        <w:rPr>
          <w:szCs w:val="18"/>
        </w:rPr>
        <w:t xml:space="preserve">deel </w:t>
      </w:r>
      <w:r w:rsidR="00EA0CF8">
        <w:rPr>
          <w:szCs w:val="18"/>
        </w:rPr>
        <w:t xml:space="preserve">(28,3 mln.) </w:t>
      </w:r>
      <w:r>
        <w:rPr>
          <w:szCs w:val="18"/>
        </w:rPr>
        <w:t xml:space="preserve">van de </w:t>
      </w:r>
      <w:r w:rsidRPr="005E39BC">
        <w:rPr>
          <w:szCs w:val="18"/>
        </w:rPr>
        <w:t>reservering voor het regeringsvliegtuig uit 201</w:t>
      </w:r>
      <w:r>
        <w:rPr>
          <w:szCs w:val="18"/>
        </w:rPr>
        <w:t>8 wordt toegevoegd aan de IenW-begroting 2019</w:t>
      </w:r>
      <w:r w:rsidRPr="005E39BC">
        <w:rPr>
          <w:szCs w:val="18"/>
        </w:rPr>
        <w:t xml:space="preserve">. </w:t>
      </w:r>
      <w:r w:rsidRPr="00F14D24" w:rsidR="00F14D24">
        <w:rPr>
          <w:szCs w:val="18"/>
        </w:rPr>
        <w:t>Dit omdat één van de betalingen voor de vervanging van het Regeringsvliegtuig pas in 2019 plaatsvindt.</w:t>
      </w:r>
    </w:p>
    <w:p w:rsidR="002748F4" w:rsidP="002748F4" w:rsidRDefault="002748F4">
      <w:pPr>
        <w:autoSpaceDE w:val="0"/>
        <w:autoSpaceDN w:val="0"/>
        <w:adjustRightInd w:val="0"/>
        <w:spacing w:after="0"/>
        <w:ind w:right="1133"/>
        <w:rPr>
          <w:rFonts w:cs="Univers"/>
          <w:szCs w:val="18"/>
        </w:rPr>
      </w:pPr>
    </w:p>
    <w:p w:rsidR="002748F4" w:rsidP="002748F4" w:rsidRDefault="002748F4">
      <w:pPr>
        <w:autoSpaceDE w:val="0"/>
        <w:autoSpaceDN w:val="0"/>
        <w:adjustRightInd w:val="0"/>
        <w:spacing w:after="0"/>
        <w:ind w:right="1133"/>
        <w:rPr>
          <w:rFonts w:cs="Univers"/>
          <w:i/>
          <w:szCs w:val="18"/>
        </w:rPr>
      </w:pPr>
      <w:r>
        <w:rPr>
          <w:rFonts w:cs="Univers"/>
          <w:i/>
          <w:szCs w:val="18"/>
        </w:rPr>
        <w:t>Intensivering ILT</w:t>
      </w:r>
    </w:p>
    <w:p w:rsidR="002748F4" w:rsidP="002748F4" w:rsidRDefault="00A92162">
      <w:pPr>
        <w:autoSpaceDE w:val="0"/>
        <w:autoSpaceDN w:val="0"/>
        <w:adjustRightInd w:val="0"/>
        <w:spacing w:after="0"/>
        <w:ind w:right="1133"/>
        <w:rPr>
          <w:rFonts w:cs="Univers"/>
          <w:szCs w:val="18"/>
        </w:rPr>
      </w:pPr>
      <w:r w:rsidRPr="00A92162">
        <w:rPr>
          <w:rFonts w:cs="Univers"/>
          <w:szCs w:val="18"/>
        </w:rPr>
        <w:t>Op de IenW-begroting worden middelen toegevoegd voor de Inspectie voor Leefomgeving en Transport (ILT) om urgente knelpunten</w:t>
      </w:r>
      <w:r w:rsidR="00EA0CF8">
        <w:rPr>
          <w:rFonts w:cs="Univers"/>
          <w:szCs w:val="18"/>
        </w:rPr>
        <w:t xml:space="preserve"> binnen de bedrijfsvoering</w:t>
      </w:r>
      <w:r w:rsidRPr="00A92162">
        <w:rPr>
          <w:rFonts w:cs="Univers"/>
          <w:szCs w:val="18"/>
        </w:rPr>
        <w:t xml:space="preserve"> aan te pakken en invulling te geven aan de risicogerichte aanpak.</w:t>
      </w:r>
    </w:p>
    <w:p w:rsidR="00A92162" w:rsidP="002748F4" w:rsidRDefault="00A92162">
      <w:pPr>
        <w:autoSpaceDE w:val="0"/>
        <w:autoSpaceDN w:val="0"/>
        <w:adjustRightInd w:val="0"/>
        <w:spacing w:after="0"/>
        <w:ind w:right="1133"/>
        <w:rPr>
          <w:rFonts w:cs="Univers"/>
          <w:i/>
          <w:szCs w:val="18"/>
        </w:rPr>
      </w:pPr>
    </w:p>
    <w:p w:rsidR="002748F4" w:rsidP="002748F4" w:rsidRDefault="002748F4">
      <w:pPr>
        <w:autoSpaceDE w:val="0"/>
        <w:autoSpaceDN w:val="0"/>
        <w:adjustRightInd w:val="0"/>
        <w:spacing w:after="0"/>
        <w:ind w:right="1133"/>
        <w:rPr>
          <w:rFonts w:cs="Univers"/>
          <w:i/>
          <w:szCs w:val="18"/>
        </w:rPr>
      </w:pPr>
      <w:r>
        <w:rPr>
          <w:rFonts w:cs="Univers"/>
          <w:i/>
          <w:szCs w:val="18"/>
        </w:rPr>
        <w:t>Kornwerderzand</w:t>
      </w:r>
    </w:p>
    <w:p w:rsidR="002748F4" w:rsidP="002748F4" w:rsidRDefault="002748F4">
      <w:pPr>
        <w:autoSpaceDE w:val="0"/>
        <w:autoSpaceDN w:val="0"/>
        <w:adjustRightInd w:val="0"/>
        <w:spacing w:after="0"/>
        <w:ind w:right="1133"/>
        <w:rPr>
          <w:rFonts w:cs="Univers"/>
          <w:szCs w:val="18"/>
        </w:rPr>
      </w:pPr>
      <w:r>
        <w:rPr>
          <w:rFonts w:cs="Univers"/>
          <w:szCs w:val="18"/>
        </w:rPr>
        <w:t>Ten behoeve van de verbreding van de sluis en bruggen bij Kornwerderzand wordt een bijdrage van 40 mln. beschikbaar gesteld in 2019.</w:t>
      </w:r>
    </w:p>
    <w:p w:rsidR="002748F4" w:rsidP="002748F4" w:rsidRDefault="002748F4">
      <w:pPr>
        <w:autoSpaceDE w:val="0"/>
        <w:autoSpaceDN w:val="0"/>
        <w:adjustRightInd w:val="0"/>
        <w:spacing w:after="0"/>
        <w:ind w:right="1133"/>
        <w:rPr>
          <w:rFonts w:cs="Univers"/>
          <w:szCs w:val="18"/>
        </w:rPr>
      </w:pPr>
    </w:p>
    <w:p w:rsidR="002748F4" w:rsidP="002748F4" w:rsidRDefault="002748F4">
      <w:pPr>
        <w:autoSpaceDE w:val="0"/>
        <w:autoSpaceDN w:val="0"/>
        <w:adjustRightInd w:val="0"/>
        <w:spacing w:after="0"/>
        <w:ind w:right="1133"/>
        <w:rPr>
          <w:rFonts w:cs="Univers"/>
          <w:i/>
          <w:szCs w:val="18"/>
        </w:rPr>
      </w:pPr>
      <w:r>
        <w:rPr>
          <w:rFonts w:cs="Univers"/>
          <w:i/>
          <w:szCs w:val="18"/>
        </w:rPr>
        <w:t>Diversen - beleidsmatige mutaties, uitgaven</w:t>
      </w:r>
    </w:p>
    <w:p w:rsidR="00A92162" w:rsidP="00A92162" w:rsidRDefault="00A92162">
      <w:pPr>
        <w:autoSpaceDE w:val="0"/>
        <w:autoSpaceDN w:val="0"/>
        <w:adjustRightInd w:val="0"/>
        <w:spacing w:after="0" w:line="240" w:lineRule="atLeast"/>
        <w:ind w:right="1133"/>
        <w:rPr>
          <w:rFonts w:cs="Univers"/>
          <w:szCs w:val="18"/>
        </w:rPr>
      </w:pPr>
      <w:r>
        <w:rPr>
          <w:rFonts w:cs="Univers"/>
          <w:szCs w:val="18"/>
        </w:rPr>
        <w:t>Deze post bestaat uit verschillende beleidsmatige mutaties. De grootste mutaties betreffen onderstaande overboekingen met het IF en DF:</w:t>
      </w:r>
    </w:p>
    <w:p w:rsidR="00A92162" w:rsidP="00A92162" w:rsidRDefault="00A92162">
      <w:pPr>
        <w:pStyle w:val="Lijstalinea"/>
        <w:widowControl w:val="0"/>
        <w:numPr>
          <w:ilvl w:val="0"/>
          <w:numId w:val="26"/>
        </w:numPr>
        <w:suppressAutoHyphens/>
        <w:autoSpaceDE w:val="0"/>
        <w:autoSpaceDN w:val="0"/>
        <w:adjustRightInd w:val="0"/>
        <w:spacing w:after="0" w:line="240" w:lineRule="atLeast"/>
        <w:ind w:right="1133"/>
        <w:textAlignment w:val="baseline"/>
        <w:rPr>
          <w:rFonts w:cs="Univers"/>
          <w:szCs w:val="18"/>
        </w:rPr>
      </w:pPr>
      <w:r>
        <w:rPr>
          <w:rFonts w:cs="Univers"/>
          <w:szCs w:val="18"/>
        </w:rPr>
        <w:t>O</w:t>
      </w:r>
      <w:r w:rsidRPr="00F31574">
        <w:rPr>
          <w:rFonts w:cs="Univers"/>
          <w:szCs w:val="18"/>
        </w:rPr>
        <w:t>verhevelingen naar de Brede Doeluitkering voor projecten Kw</w:t>
      </w:r>
      <w:r>
        <w:rPr>
          <w:rFonts w:cs="Univers"/>
          <w:szCs w:val="18"/>
        </w:rPr>
        <w:t>aliteit Blankenburgverbinding (</w:t>
      </w:r>
      <w:r w:rsidRPr="00F31574">
        <w:rPr>
          <w:rFonts w:cs="Univers"/>
          <w:szCs w:val="18"/>
        </w:rPr>
        <w:t>20,2 mln.)</w:t>
      </w:r>
      <w:r>
        <w:rPr>
          <w:rFonts w:cs="Univers"/>
          <w:szCs w:val="18"/>
        </w:rPr>
        <w:t xml:space="preserve"> en Beter Benutten/Snelfietsroutes (12,5 mln)</w:t>
      </w:r>
      <w:r w:rsidRPr="00F31574">
        <w:rPr>
          <w:rFonts w:cs="Univers"/>
          <w:szCs w:val="18"/>
        </w:rPr>
        <w:t xml:space="preserve">, </w:t>
      </w:r>
    </w:p>
    <w:p w:rsidRPr="00EA0CF8" w:rsidR="00A92162" w:rsidP="00EA0CF8" w:rsidRDefault="00A92162">
      <w:pPr>
        <w:pStyle w:val="Lijstalinea"/>
        <w:widowControl w:val="0"/>
        <w:numPr>
          <w:ilvl w:val="0"/>
          <w:numId w:val="26"/>
        </w:numPr>
        <w:suppressAutoHyphens/>
        <w:autoSpaceDE w:val="0"/>
        <w:autoSpaceDN w:val="0"/>
        <w:adjustRightInd w:val="0"/>
        <w:spacing w:after="0" w:line="240" w:lineRule="atLeast"/>
        <w:ind w:right="1133"/>
        <w:textAlignment w:val="baseline"/>
        <w:rPr>
          <w:rFonts w:cs="Univers"/>
          <w:szCs w:val="18"/>
        </w:rPr>
      </w:pPr>
      <w:r>
        <w:rPr>
          <w:rFonts w:cs="Univers"/>
          <w:szCs w:val="18"/>
        </w:rPr>
        <w:t>Een b</w:t>
      </w:r>
      <w:r w:rsidRPr="00F31574">
        <w:rPr>
          <w:rFonts w:cs="Univers"/>
          <w:szCs w:val="18"/>
        </w:rPr>
        <w:t>ijzonder</w:t>
      </w:r>
      <w:r>
        <w:rPr>
          <w:rFonts w:cs="Univers"/>
          <w:szCs w:val="18"/>
        </w:rPr>
        <w:t>e u</w:t>
      </w:r>
      <w:r w:rsidRPr="00F31574">
        <w:rPr>
          <w:rFonts w:cs="Univers"/>
          <w:szCs w:val="18"/>
        </w:rPr>
        <w:t xml:space="preserve">itkering </w:t>
      </w:r>
      <w:r>
        <w:rPr>
          <w:rFonts w:cs="Univers"/>
          <w:szCs w:val="18"/>
        </w:rPr>
        <w:t xml:space="preserve">aan </w:t>
      </w:r>
      <w:r w:rsidRPr="00F31574">
        <w:rPr>
          <w:rFonts w:cs="Univers"/>
          <w:szCs w:val="18"/>
        </w:rPr>
        <w:t xml:space="preserve">Caribisch Nederland </w:t>
      </w:r>
      <w:r>
        <w:rPr>
          <w:rFonts w:cs="Univers"/>
          <w:szCs w:val="18"/>
        </w:rPr>
        <w:t>in 2019 (</w:t>
      </w:r>
      <w:r w:rsidRPr="00F31574">
        <w:rPr>
          <w:rFonts w:cs="Univers"/>
          <w:szCs w:val="18"/>
        </w:rPr>
        <w:t xml:space="preserve">15 mln.) </w:t>
      </w:r>
      <w:r w:rsidRPr="0072705D" w:rsidR="00EA0CF8">
        <w:rPr>
          <w:rFonts w:cs="Univers"/>
          <w:szCs w:val="18"/>
        </w:rPr>
        <w:t>voor het beheer en het onderhoud van de infrastructuur op de eilanden</w:t>
      </w:r>
      <w:r w:rsidR="00EA0CF8">
        <w:rPr>
          <w:rFonts w:cs="Univers"/>
          <w:szCs w:val="18"/>
        </w:rPr>
        <w:t>.</w:t>
      </w:r>
      <w:r w:rsidRPr="00F31574" w:rsidR="00EA0CF8">
        <w:rPr>
          <w:rFonts w:cs="Univers"/>
          <w:szCs w:val="18"/>
        </w:rPr>
        <w:t xml:space="preserve"> </w:t>
      </w:r>
    </w:p>
    <w:p w:rsidR="002748F4" w:rsidP="00A92162" w:rsidRDefault="00A92162">
      <w:pPr>
        <w:autoSpaceDE w:val="0"/>
        <w:autoSpaceDN w:val="0"/>
        <w:adjustRightInd w:val="0"/>
        <w:spacing w:after="0"/>
        <w:ind w:right="1133"/>
        <w:rPr>
          <w:rFonts w:cs="Univers"/>
          <w:szCs w:val="18"/>
        </w:rPr>
      </w:pPr>
      <w:r w:rsidRPr="00F31574">
        <w:rPr>
          <w:rFonts w:cs="Univers"/>
          <w:szCs w:val="18"/>
        </w:rPr>
        <w:t>D</w:t>
      </w:r>
      <w:r>
        <w:rPr>
          <w:rFonts w:cs="Univers"/>
          <w:szCs w:val="18"/>
        </w:rPr>
        <w:t>aarnaast vallen onder deze post d</w:t>
      </w:r>
      <w:r w:rsidRPr="00F31574">
        <w:rPr>
          <w:rFonts w:cs="Univers"/>
          <w:szCs w:val="18"/>
        </w:rPr>
        <w:t xml:space="preserve">e hogere ontvangsten in het kader van de middelenafspraak bodem (0,8 mln.) uit </w:t>
      </w:r>
      <w:r w:rsidRPr="00016AC5">
        <w:rPr>
          <w:rFonts w:cs="Univers"/>
          <w:szCs w:val="18"/>
        </w:rPr>
        <w:t xml:space="preserve">2018 </w:t>
      </w:r>
      <w:r w:rsidRPr="00016AC5" w:rsidR="00016AC5">
        <w:rPr>
          <w:bCs/>
        </w:rPr>
        <w:t>en een bedrag van 5 mln. voor een maatregel van asbest- naar duurzaam</w:t>
      </w:r>
      <w:r w:rsidRPr="00016AC5" w:rsidR="00016AC5">
        <w:t>’.</w:t>
      </w:r>
    </w:p>
    <w:p w:rsidR="00A92162" w:rsidP="00A92162" w:rsidRDefault="00A92162">
      <w:pPr>
        <w:autoSpaceDE w:val="0"/>
        <w:autoSpaceDN w:val="0"/>
        <w:adjustRightInd w:val="0"/>
        <w:spacing w:after="0"/>
        <w:ind w:right="1133"/>
        <w:rPr>
          <w:rFonts w:cs="Univers"/>
          <w:i/>
          <w:szCs w:val="18"/>
        </w:rPr>
      </w:pPr>
    </w:p>
    <w:p w:rsidR="002748F4" w:rsidP="002748F4" w:rsidRDefault="002748F4">
      <w:pPr>
        <w:autoSpaceDE w:val="0"/>
        <w:autoSpaceDN w:val="0"/>
        <w:adjustRightInd w:val="0"/>
        <w:spacing w:after="0"/>
        <w:ind w:right="1133"/>
        <w:rPr>
          <w:rFonts w:cs="Univers"/>
          <w:i/>
          <w:szCs w:val="18"/>
        </w:rPr>
      </w:pPr>
      <w:r>
        <w:rPr>
          <w:rFonts w:cs="Univers"/>
          <w:i/>
          <w:szCs w:val="18"/>
        </w:rPr>
        <w:t>E23 Envelop klimaat</w:t>
      </w:r>
    </w:p>
    <w:p w:rsidR="002748F4" w:rsidP="00A92162" w:rsidRDefault="00A92162">
      <w:pPr>
        <w:autoSpaceDE w:val="0"/>
        <w:autoSpaceDN w:val="0"/>
        <w:adjustRightInd w:val="0"/>
        <w:spacing w:after="0"/>
        <w:ind w:right="1133"/>
        <w:rPr>
          <w:rFonts w:cs="Univers"/>
          <w:szCs w:val="18"/>
        </w:rPr>
      </w:pPr>
      <w:r w:rsidRPr="00A92162">
        <w:rPr>
          <w:rFonts w:cs="Univers"/>
          <w:szCs w:val="18"/>
        </w:rPr>
        <w:t>Via een Nota van Wijziging zijn de Regeerakkoordmiddelen uit de Klimaatenvelop 2019 voor Mobiliteit (43,4 mln.) en Circulaire Economie (22,5 mln.) aan de begroting van Ien</w:t>
      </w:r>
      <w:r>
        <w:rPr>
          <w:rFonts w:cs="Univers"/>
          <w:szCs w:val="18"/>
        </w:rPr>
        <w:t>W toegevoegd (</w:t>
      </w:r>
      <w:r w:rsidR="00EA0CF8">
        <w:rPr>
          <w:szCs w:val="18"/>
        </w:rPr>
        <w:t>Kamerstukken II, 2018–2019, 35 000, nr. 6</w:t>
      </w:r>
      <w:r>
        <w:rPr>
          <w:rFonts w:cs="Univers"/>
          <w:szCs w:val="18"/>
        </w:rPr>
        <w:t>)</w:t>
      </w:r>
      <w:r w:rsidRPr="00A92162">
        <w:rPr>
          <w:rFonts w:cs="Univers"/>
          <w:szCs w:val="18"/>
        </w:rPr>
        <w:t>.</w:t>
      </w:r>
    </w:p>
    <w:p w:rsidRPr="00A92162" w:rsidR="00A92162" w:rsidP="00A92162" w:rsidRDefault="00A92162">
      <w:pPr>
        <w:autoSpaceDE w:val="0"/>
        <w:autoSpaceDN w:val="0"/>
        <w:adjustRightInd w:val="0"/>
        <w:spacing w:after="0"/>
        <w:ind w:right="1133"/>
        <w:rPr>
          <w:rFonts w:cs="Univers"/>
          <w:szCs w:val="18"/>
        </w:rPr>
      </w:pPr>
    </w:p>
    <w:p w:rsidRPr="004D0766" w:rsidR="002748F4" w:rsidP="002748F4" w:rsidRDefault="002748F4">
      <w:pPr>
        <w:autoSpaceDE w:val="0"/>
        <w:autoSpaceDN w:val="0"/>
        <w:adjustRightInd w:val="0"/>
        <w:spacing w:after="0"/>
        <w:ind w:right="1133"/>
        <w:rPr>
          <w:rFonts w:cs="Univers"/>
          <w:i/>
          <w:szCs w:val="18"/>
        </w:rPr>
      </w:pPr>
      <w:r>
        <w:rPr>
          <w:rFonts w:eastAsia="Times New Roman"/>
          <w:i/>
          <w:szCs w:val="18"/>
        </w:rPr>
        <w:t>Inpassing DBFM A</w:t>
      </w:r>
      <w:r w:rsidRPr="004D0766">
        <w:rPr>
          <w:rFonts w:eastAsia="Times New Roman"/>
          <w:i/>
          <w:szCs w:val="18"/>
        </w:rPr>
        <w:t xml:space="preserve">16 </w:t>
      </w:r>
      <w:r>
        <w:rPr>
          <w:rFonts w:eastAsia="Times New Roman"/>
          <w:i/>
          <w:szCs w:val="18"/>
        </w:rPr>
        <w:t>R</w:t>
      </w:r>
      <w:r w:rsidRPr="004D0766">
        <w:rPr>
          <w:rFonts w:eastAsia="Times New Roman"/>
          <w:i/>
          <w:szCs w:val="18"/>
        </w:rPr>
        <w:t>otterdam</w:t>
      </w:r>
      <w:r>
        <w:rPr>
          <w:rFonts w:eastAsia="Times New Roman"/>
          <w:i/>
          <w:szCs w:val="18"/>
        </w:rPr>
        <w:t xml:space="preserve"> en </w:t>
      </w:r>
      <w:r>
        <w:rPr>
          <w:rFonts w:eastAsia="Times New Roman"/>
          <w:szCs w:val="18"/>
        </w:rPr>
        <w:t>A24 Blankenburgverbinding</w:t>
      </w:r>
    </w:p>
    <w:p w:rsidRPr="009A7500" w:rsidR="002748F4" w:rsidP="002748F4" w:rsidRDefault="002748F4">
      <w:pPr>
        <w:autoSpaceDE w:val="0"/>
        <w:autoSpaceDN w:val="0"/>
        <w:adjustRightInd w:val="0"/>
        <w:spacing w:after="0"/>
        <w:ind w:right="1133"/>
        <w:rPr>
          <w:rFonts w:cs="Univers"/>
          <w:szCs w:val="18"/>
        </w:rPr>
      </w:pPr>
      <w:r>
        <w:rPr>
          <w:rFonts w:cs="Univers"/>
          <w:szCs w:val="18"/>
        </w:rPr>
        <w:t>De projectbudgetten voor de DBFM</w:t>
      </w:r>
      <w:r w:rsidR="00EA0CF8">
        <w:rPr>
          <w:rFonts w:cs="Univers"/>
          <w:szCs w:val="18"/>
        </w:rPr>
        <w:t xml:space="preserve"> (</w:t>
      </w:r>
      <w:r w:rsidRPr="00593C46" w:rsidR="00EA0CF8">
        <w:rPr>
          <w:rFonts w:cs="Univers"/>
          <w:szCs w:val="18"/>
        </w:rPr>
        <w:t xml:space="preserve">Design, </w:t>
      </w:r>
      <w:proofErr w:type="spellStart"/>
      <w:r w:rsidRPr="00593C46" w:rsidR="00EA0CF8">
        <w:rPr>
          <w:rFonts w:cs="Univers"/>
          <w:szCs w:val="18"/>
        </w:rPr>
        <w:t>Build</w:t>
      </w:r>
      <w:proofErr w:type="spellEnd"/>
      <w:r w:rsidRPr="00593C46" w:rsidR="00EA0CF8">
        <w:rPr>
          <w:rFonts w:cs="Univers"/>
          <w:szCs w:val="18"/>
        </w:rPr>
        <w:t xml:space="preserve">, Finance &amp; </w:t>
      </w:r>
      <w:proofErr w:type="spellStart"/>
      <w:r w:rsidRPr="00593C46" w:rsidR="00EA0CF8">
        <w:rPr>
          <w:rFonts w:cs="Univers"/>
          <w:szCs w:val="18"/>
        </w:rPr>
        <w:t>Maintain</w:t>
      </w:r>
      <w:proofErr w:type="spellEnd"/>
      <w:r w:rsidR="00205986">
        <w:rPr>
          <w:rFonts w:cs="Univers"/>
          <w:szCs w:val="18"/>
        </w:rPr>
        <w:t>)</w:t>
      </w:r>
      <w:r>
        <w:rPr>
          <w:rFonts w:cs="Univers"/>
          <w:szCs w:val="18"/>
        </w:rPr>
        <w:t>-projecten A16 Rotterdam en A24 Blankenburgverbinding worden omgezet in begrotingsreeksen voor betaling van de jaarlijkse beschikbaarheidsvergoeding.</w:t>
      </w:r>
    </w:p>
    <w:p w:rsidRPr="005E39BC" w:rsidR="002748F4" w:rsidP="002748F4" w:rsidRDefault="002748F4">
      <w:pPr>
        <w:autoSpaceDE w:val="0"/>
        <w:autoSpaceDN w:val="0"/>
        <w:adjustRightInd w:val="0"/>
        <w:spacing w:after="0"/>
        <w:ind w:right="1133"/>
        <w:rPr>
          <w:rFonts w:cs="Univers"/>
          <w:szCs w:val="18"/>
        </w:rPr>
      </w:pPr>
    </w:p>
    <w:p w:rsidRPr="00396692" w:rsidR="002748F4" w:rsidP="002748F4" w:rsidRDefault="002748F4">
      <w:pPr>
        <w:spacing w:after="0"/>
        <w:ind w:right="1133"/>
        <w:rPr>
          <w:i/>
          <w:szCs w:val="18"/>
        </w:rPr>
      </w:pPr>
      <w:r>
        <w:rPr>
          <w:i/>
          <w:szCs w:val="18"/>
        </w:rPr>
        <w:t>Loon- en prijsbijstelling 2019</w:t>
      </w:r>
    </w:p>
    <w:p w:rsidRPr="009A7500" w:rsidR="002748F4" w:rsidP="002748F4" w:rsidRDefault="00EA0CF8">
      <w:pPr>
        <w:tabs>
          <w:tab w:val="left" w:pos="1350"/>
        </w:tabs>
        <w:spacing w:after="0"/>
        <w:rPr>
          <w:rFonts w:eastAsia="Times New Roman"/>
          <w:szCs w:val="18"/>
        </w:rPr>
      </w:pPr>
      <w:r w:rsidRPr="00F0474E">
        <w:rPr>
          <w:iCs/>
          <w:szCs w:val="18"/>
        </w:rPr>
        <w:t>De tranche 2019 van de loon- en prijsbijstelling is overgemaakt naar de departementale begroting.</w:t>
      </w:r>
    </w:p>
    <w:p w:rsidRPr="00C3325B" w:rsidR="002748F4" w:rsidP="002748F4" w:rsidRDefault="002748F4">
      <w:pPr>
        <w:spacing w:after="0"/>
        <w:rPr>
          <w:i/>
          <w:szCs w:val="18"/>
        </w:rPr>
      </w:pPr>
      <w:r w:rsidRPr="00C3325B">
        <w:rPr>
          <w:i/>
          <w:szCs w:val="18"/>
        </w:rPr>
        <w:t xml:space="preserve">Diversen – </w:t>
      </w:r>
      <w:r>
        <w:rPr>
          <w:i/>
          <w:szCs w:val="18"/>
        </w:rPr>
        <w:t>t</w:t>
      </w:r>
      <w:r w:rsidRPr="00C3325B">
        <w:rPr>
          <w:i/>
          <w:szCs w:val="18"/>
        </w:rPr>
        <w:t>echnische mutaties</w:t>
      </w:r>
      <w:r>
        <w:rPr>
          <w:i/>
          <w:szCs w:val="18"/>
        </w:rPr>
        <w:t>, u</w:t>
      </w:r>
      <w:r w:rsidRPr="00C3325B">
        <w:rPr>
          <w:i/>
          <w:szCs w:val="18"/>
        </w:rPr>
        <w:t>itgaven</w:t>
      </w:r>
    </w:p>
    <w:p w:rsidRPr="00C3325B" w:rsidR="002748F4" w:rsidP="002748F4" w:rsidRDefault="002748F4">
      <w:pPr>
        <w:spacing w:after="0"/>
        <w:rPr>
          <w:rFonts w:cs="Univers"/>
          <w:szCs w:val="18"/>
        </w:rPr>
      </w:pPr>
      <w:r w:rsidRPr="00C3325B">
        <w:rPr>
          <w:rFonts w:cs="Univers"/>
          <w:szCs w:val="18"/>
        </w:rPr>
        <w:t>Deze post bestaat uit diverse desalderingen (24,2 mln.) en overboekingen (-35,2 mln.);</w:t>
      </w:r>
    </w:p>
    <w:p w:rsidRPr="00C3325B" w:rsidR="002748F4" w:rsidP="00D72210" w:rsidRDefault="002748F4">
      <w:pPr>
        <w:numPr>
          <w:ilvl w:val="0"/>
          <w:numId w:val="27"/>
        </w:numPr>
        <w:spacing w:after="0"/>
        <w:ind w:left="284" w:hanging="284"/>
        <w:contextualSpacing/>
        <w:rPr>
          <w:rFonts w:cs="Univers"/>
          <w:szCs w:val="18"/>
        </w:rPr>
      </w:pPr>
      <w:r w:rsidRPr="00C3325B">
        <w:rPr>
          <w:rFonts w:cs="Univers"/>
          <w:szCs w:val="18"/>
        </w:rPr>
        <w:t xml:space="preserve">De grootste desalderingen zijn de bijdragen voor de Waterschappen via het </w:t>
      </w:r>
      <w:r w:rsidR="00B01063">
        <w:rPr>
          <w:rFonts w:cs="Univers"/>
          <w:szCs w:val="18"/>
        </w:rPr>
        <w:t>g</w:t>
      </w:r>
      <w:r w:rsidRPr="00C3325B">
        <w:rPr>
          <w:rFonts w:cs="Univers"/>
          <w:szCs w:val="18"/>
        </w:rPr>
        <w:t>emeentefonds ten behoeve van de Waterschapsverkiezingen (+12,0 mln.), bijdragen van co-</w:t>
      </w:r>
      <w:proofErr w:type="spellStart"/>
      <w:r w:rsidRPr="00C3325B">
        <w:rPr>
          <w:rFonts w:cs="Univers"/>
          <w:szCs w:val="18"/>
        </w:rPr>
        <w:t>financierders</w:t>
      </w:r>
      <w:proofErr w:type="spellEnd"/>
      <w:r w:rsidRPr="00C3325B">
        <w:rPr>
          <w:rFonts w:cs="Univers"/>
          <w:szCs w:val="18"/>
        </w:rPr>
        <w:t xml:space="preserve"> (Canada, UK en Denemarken) ten behoeve van de Global </w:t>
      </w:r>
      <w:proofErr w:type="spellStart"/>
      <w:r w:rsidRPr="00C3325B">
        <w:rPr>
          <w:rFonts w:cs="Univers"/>
          <w:szCs w:val="18"/>
        </w:rPr>
        <w:t>Commission</w:t>
      </w:r>
      <w:proofErr w:type="spellEnd"/>
      <w:r w:rsidRPr="00C3325B">
        <w:rPr>
          <w:rFonts w:cs="Univers"/>
          <w:szCs w:val="18"/>
        </w:rPr>
        <w:t xml:space="preserve"> on Adaptation (+5,0 mln.) en meer externe ontvangsten op het onderzoeksprogramma H2020 en ESPON door het Planbureau Leefomgeving (+1,8 mln.).</w:t>
      </w:r>
    </w:p>
    <w:p w:rsidRPr="00C3325B" w:rsidR="002748F4" w:rsidP="00D72210" w:rsidRDefault="002748F4">
      <w:pPr>
        <w:numPr>
          <w:ilvl w:val="0"/>
          <w:numId w:val="27"/>
        </w:numPr>
        <w:spacing w:after="0"/>
        <w:ind w:left="284" w:hanging="284"/>
        <w:contextualSpacing/>
        <w:rPr>
          <w:rFonts w:cs="Univers"/>
          <w:szCs w:val="18"/>
        </w:rPr>
      </w:pPr>
      <w:r w:rsidRPr="00C3325B">
        <w:rPr>
          <w:rFonts w:cs="Univers"/>
          <w:szCs w:val="18"/>
        </w:rPr>
        <w:t>De overboekingen bestaa</w:t>
      </w:r>
      <w:r>
        <w:rPr>
          <w:rFonts w:cs="Univers"/>
          <w:szCs w:val="18"/>
        </w:rPr>
        <w:t>n</w:t>
      </w:r>
      <w:r w:rsidRPr="00C3325B">
        <w:rPr>
          <w:rFonts w:cs="Univers"/>
          <w:szCs w:val="18"/>
        </w:rPr>
        <w:t xml:space="preserve"> uit twee posten;</w:t>
      </w:r>
    </w:p>
    <w:p w:rsidRPr="00C3325B" w:rsidR="002748F4" w:rsidP="00D72210" w:rsidRDefault="002748F4">
      <w:pPr>
        <w:numPr>
          <w:ilvl w:val="1"/>
          <w:numId w:val="27"/>
        </w:numPr>
        <w:spacing w:after="0"/>
        <w:ind w:left="567" w:hanging="283"/>
        <w:contextualSpacing/>
        <w:rPr>
          <w:rFonts w:cs="Univers"/>
          <w:szCs w:val="18"/>
        </w:rPr>
      </w:pPr>
      <w:r w:rsidRPr="00C3325B">
        <w:rPr>
          <w:rFonts w:cs="Univers"/>
          <w:szCs w:val="18"/>
        </w:rPr>
        <w:t xml:space="preserve">Overboekingen naar het </w:t>
      </w:r>
      <w:r w:rsidR="00B01063">
        <w:rPr>
          <w:rFonts w:cs="Univers"/>
          <w:szCs w:val="18"/>
        </w:rPr>
        <w:t>g</w:t>
      </w:r>
      <w:r w:rsidRPr="00C3325B">
        <w:rPr>
          <w:rFonts w:cs="Univers"/>
          <w:szCs w:val="18"/>
        </w:rPr>
        <w:t xml:space="preserve">emeentefonds, </w:t>
      </w:r>
      <w:r w:rsidR="00B01063">
        <w:rPr>
          <w:rFonts w:cs="Univers"/>
          <w:szCs w:val="18"/>
        </w:rPr>
        <w:t>p</w:t>
      </w:r>
      <w:r w:rsidRPr="00C3325B">
        <w:rPr>
          <w:rFonts w:cs="Univers"/>
          <w:szCs w:val="18"/>
        </w:rPr>
        <w:t>rovinciefonds en BTW</w:t>
      </w:r>
      <w:r>
        <w:rPr>
          <w:rFonts w:cs="Univers"/>
          <w:szCs w:val="18"/>
        </w:rPr>
        <w:t>-</w:t>
      </w:r>
      <w:r w:rsidRPr="00C3325B">
        <w:rPr>
          <w:rFonts w:cs="Univers"/>
          <w:szCs w:val="18"/>
        </w:rPr>
        <w:t xml:space="preserve">compensatiefonds (-28,5 mln.), waaronder de bijdrage voor de </w:t>
      </w:r>
      <w:r>
        <w:rPr>
          <w:rFonts w:cs="Univers"/>
          <w:szCs w:val="18"/>
        </w:rPr>
        <w:t>w</w:t>
      </w:r>
      <w:r w:rsidRPr="00C3325B">
        <w:rPr>
          <w:rFonts w:cs="Univers"/>
          <w:szCs w:val="18"/>
        </w:rPr>
        <w:t>aterschapsverkiezingen (-12,0 mln.) en het programma Beter Benutten (-9,5 mln.).</w:t>
      </w:r>
    </w:p>
    <w:p w:rsidRPr="00C3325B" w:rsidR="002748F4" w:rsidP="00D72210" w:rsidRDefault="002748F4">
      <w:pPr>
        <w:numPr>
          <w:ilvl w:val="1"/>
          <w:numId w:val="27"/>
        </w:numPr>
        <w:spacing w:after="0"/>
        <w:ind w:left="567" w:hanging="283"/>
        <w:contextualSpacing/>
        <w:rPr>
          <w:rFonts w:cs="Univers"/>
          <w:szCs w:val="18"/>
        </w:rPr>
      </w:pPr>
      <w:r w:rsidRPr="00C3325B">
        <w:rPr>
          <w:rFonts w:cs="Univers"/>
          <w:szCs w:val="18"/>
        </w:rPr>
        <w:t xml:space="preserve">Diverse overboekingen met andere departementen (-6,7 mln.). De grootste posten zijn met </w:t>
      </w:r>
      <w:r>
        <w:rPr>
          <w:rFonts w:cs="Univers"/>
          <w:szCs w:val="18"/>
        </w:rPr>
        <w:t>LNV</w:t>
      </w:r>
      <w:r w:rsidRPr="00C3325B">
        <w:rPr>
          <w:rFonts w:cs="Univers"/>
          <w:szCs w:val="18"/>
        </w:rPr>
        <w:t xml:space="preserve"> vanuit </w:t>
      </w:r>
      <w:r>
        <w:rPr>
          <w:rFonts w:cs="Univers"/>
          <w:szCs w:val="18"/>
        </w:rPr>
        <w:t>de r</w:t>
      </w:r>
      <w:r w:rsidRPr="00C3325B">
        <w:rPr>
          <w:rFonts w:cs="Univers"/>
          <w:szCs w:val="18"/>
        </w:rPr>
        <w:t>egio</w:t>
      </w:r>
      <w:r>
        <w:rPr>
          <w:rFonts w:cs="Univers"/>
          <w:szCs w:val="18"/>
        </w:rPr>
        <w:t>-e</w:t>
      </w:r>
      <w:r w:rsidRPr="00C3325B">
        <w:rPr>
          <w:rFonts w:cs="Univers"/>
          <w:szCs w:val="18"/>
        </w:rPr>
        <w:t xml:space="preserve">nvelop voor Erosieproblematiek op St. Eustatius (+3,5 mln.), met </w:t>
      </w:r>
      <w:r>
        <w:rPr>
          <w:rFonts w:cs="Univers"/>
          <w:szCs w:val="18"/>
        </w:rPr>
        <w:t>EZK</w:t>
      </w:r>
      <w:r w:rsidRPr="00C3325B">
        <w:rPr>
          <w:rFonts w:cs="Univers"/>
          <w:szCs w:val="18"/>
        </w:rPr>
        <w:t xml:space="preserve"> voor </w:t>
      </w:r>
      <w:r>
        <w:rPr>
          <w:rFonts w:cs="Univers"/>
          <w:szCs w:val="18"/>
        </w:rPr>
        <w:t>een p</w:t>
      </w:r>
      <w:r w:rsidRPr="00C3325B">
        <w:rPr>
          <w:rFonts w:cs="Univers"/>
          <w:szCs w:val="18"/>
        </w:rPr>
        <w:t>ilot Co2-reductie (-5,1 mln.), met Defensie voor Noodsleephulp en Betonning (-</w:t>
      </w:r>
      <w:r w:rsidRPr="00C3325B">
        <w:rPr>
          <w:rFonts w:cs="Univers"/>
          <w:szCs w:val="18"/>
        </w:rPr>
        <w:lastRenderedPageBreak/>
        <w:t xml:space="preserve">3,0 mln.) en </w:t>
      </w:r>
      <w:r>
        <w:rPr>
          <w:rFonts w:cs="Univers"/>
          <w:szCs w:val="18"/>
        </w:rPr>
        <w:t xml:space="preserve">een </w:t>
      </w:r>
      <w:r w:rsidRPr="00C3325B">
        <w:rPr>
          <w:rFonts w:cs="Univers"/>
          <w:szCs w:val="18"/>
        </w:rPr>
        <w:t xml:space="preserve">overboeking naar BZK voor </w:t>
      </w:r>
      <w:r>
        <w:rPr>
          <w:rFonts w:cs="Univers"/>
          <w:szCs w:val="18"/>
        </w:rPr>
        <w:t xml:space="preserve">het </w:t>
      </w:r>
      <w:r w:rsidRPr="00C3325B">
        <w:rPr>
          <w:rFonts w:cs="Univers"/>
          <w:szCs w:val="18"/>
        </w:rPr>
        <w:t xml:space="preserve">nationaal Energiebesparingsfonds (-2,0 mln.). </w:t>
      </w:r>
    </w:p>
    <w:p w:rsidR="002748F4" w:rsidP="002748F4" w:rsidRDefault="002748F4">
      <w:pPr>
        <w:spacing w:after="0"/>
        <w:rPr>
          <w:rFonts w:eastAsia="Times New Roman"/>
          <w:sz w:val="14"/>
          <w:szCs w:val="14"/>
        </w:rPr>
      </w:pPr>
      <w:r>
        <w:rPr>
          <w:rFonts w:eastAsia="Times New Roman"/>
          <w:sz w:val="14"/>
          <w:szCs w:val="14"/>
        </w:rPr>
        <w:t> </w:t>
      </w:r>
    </w:p>
    <w:p w:rsidRPr="008C0BCB" w:rsidR="002748F4" w:rsidP="002748F4" w:rsidRDefault="002748F4">
      <w:pPr>
        <w:spacing w:after="0"/>
        <w:rPr>
          <w:rFonts w:eastAsia="Times New Roman"/>
          <w:i/>
          <w:szCs w:val="18"/>
        </w:rPr>
      </w:pPr>
      <w:r>
        <w:rPr>
          <w:i/>
          <w:szCs w:val="18"/>
        </w:rPr>
        <w:t>Diversen – technische mutaties, o</w:t>
      </w:r>
      <w:r w:rsidRPr="00C3325B">
        <w:rPr>
          <w:i/>
          <w:szCs w:val="18"/>
        </w:rPr>
        <w:t>ntvangsten</w:t>
      </w:r>
    </w:p>
    <w:p w:rsidRPr="00C3325B" w:rsidR="002748F4" w:rsidP="002748F4" w:rsidRDefault="002748F4">
      <w:pPr>
        <w:spacing w:after="0"/>
        <w:contextualSpacing/>
        <w:rPr>
          <w:rFonts w:cs="Univers"/>
          <w:szCs w:val="18"/>
        </w:rPr>
      </w:pPr>
      <w:r w:rsidRPr="00C3325B">
        <w:rPr>
          <w:rFonts w:cs="Univers"/>
          <w:szCs w:val="18"/>
        </w:rPr>
        <w:t xml:space="preserve">Deze post bestaat uit diverse desalderingen waarvan de grootste bijdragen </w:t>
      </w:r>
      <w:r>
        <w:rPr>
          <w:rFonts w:cs="Univers"/>
          <w:szCs w:val="18"/>
        </w:rPr>
        <w:t xml:space="preserve">zijn </w:t>
      </w:r>
      <w:r w:rsidRPr="00C3325B">
        <w:rPr>
          <w:rFonts w:cs="Univers"/>
          <w:szCs w:val="18"/>
        </w:rPr>
        <w:t xml:space="preserve">voor de </w:t>
      </w:r>
      <w:r w:rsidR="00EA0CF8">
        <w:rPr>
          <w:rFonts w:cs="Univers"/>
          <w:szCs w:val="18"/>
        </w:rPr>
        <w:t>W</w:t>
      </w:r>
      <w:r w:rsidRPr="00C3325B">
        <w:rPr>
          <w:rFonts w:cs="Univers"/>
          <w:szCs w:val="18"/>
        </w:rPr>
        <w:t xml:space="preserve">aterschappen via het </w:t>
      </w:r>
      <w:r w:rsidR="00B01063">
        <w:rPr>
          <w:rFonts w:cs="Univers"/>
          <w:szCs w:val="18"/>
        </w:rPr>
        <w:t>g</w:t>
      </w:r>
      <w:r w:rsidRPr="00C3325B">
        <w:rPr>
          <w:rFonts w:cs="Univers"/>
          <w:szCs w:val="18"/>
        </w:rPr>
        <w:t xml:space="preserve">emeentefonds ten behoeve van de </w:t>
      </w:r>
      <w:r>
        <w:rPr>
          <w:rFonts w:cs="Univers"/>
          <w:szCs w:val="18"/>
        </w:rPr>
        <w:t>w</w:t>
      </w:r>
      <w:r w:rsidRPr="00C3325B">
        <w:rPr>
          <w:rFonts w:cs="Univers"/>
          <w:szCs w:val="18"/>
        </w:rPr>
        <w:t>aterschapsverkiezingen (+12,0 mln.), bijdragen van co-</w:t>
      </w:r>
      <w:proofErr w:type="spellStart"/>
      <w:r w:rsidRPr="00C3325B">
        <w:rPr>
          <w:rFonts w:cs="Univers"/>
          <w:szCs w:val="18"/>
        </w:rPr>
        <w:t>financierders</w:t>
      </w:r>
      <w:proofErr w:type="spellEnd"/>
      <w:r w:rsidRPr="00C3325B">
        <w:rPr>
          <w:rFonts w:cs="Univers"/>
          <w:szCs w:val="18"/>
        </w:rPr>
        <w:t xml:space="preserve"> (Canada, UK en Denemarken) ten behoeve van de Global </w:t>
      </w:r>
      <w:proofErr w:type="spellStart"/>
      <w:r w:rsidRPr="00C3325B">
        <w:rPr>
          <w:rFonts w:cs="Univers"/>
          <w:szCs w:val="18"/>
        </w:rPr>
        <w:t>Commission</w:t>
      </w:r>
      <w:proofErr w:type="spellEnd"/>
      <w:r w:rsidRPr="00C3325B">
        <w:rPr>
          <w:rFonts w:cs="Univers"/>
          <w:szCs w:val="18"/>
        </w:rPr>
        <w:t xml:space="preserve"> on Adaptation (+5,0 mln.) en meer externe ontvangsten op het onderzoeksprogramma H2020 en ESPON door het Planbureau Leefomgeving (+1,8 mln.).</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D72210" w:rsidR="00D72210" w:rsidTr="00D72210">
        <w:trPr>
          <w:trHeight w:val="225"/>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b/>
                <w:bCs/>
                <w:color w:val="000000"/>
                <w:szCs w:val="18"/>
                <w:lang w:eastAsia="nl-NL"/>
              </w:rPr>
            </w:pPr>
            <w:r w:rsidRPr="00D72210">
              <w:rPr>
                <w:rFonts w:eastAsia="Times New Roman" w:cs="Times New Roman"/>
                <w:b/>
                <w:bCs/>
                <w:color w:val="000000"/>
                <w:szCs w:val="18"/>
                <w:lang w:eastAsia="nl-NL"/>
              </w:rPr>
              <w:lastRenderedPageBreak/>
              <w:t>Economische Zaken en Klimaat</w:t>
            </w: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XIII ECONOMISCHE ZAKEN EN KLIMAAT: UITGAVEN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4.460,6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5.077,7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4.971,3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5.053,4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5.136,2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Dekking interne problematiek</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Eindejaarsmarge toekomstfonds 2018</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93,6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Eindejaarsmarge 2018</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19,2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Interne problematiek</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38,7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95,9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31,1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16,8</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E23 envelop klimaat</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122,8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 xml:space="preserve">Reservering l108 </w:t>
            </w:r>
            <w:proofErr w:type="spellStart"/>
            <w:r w:rsidRPr="00D72210">
              <w:rPr>
                <w:rFonts w:eastAsia="Times New Roman" w:cs="Times New Roman"/>
                <w:color w:val="000000"/>
                <w:szCs w:val="18"/>
                <w:lang w:eastAsia="nl-NL"/>
              </w:rPr>
              <w:t>groningen</w:t>
            </w:r>
            <w:proofErr w:type="spellEnd"/>
            <w:r w:rsidRPr="00D72210">
              <w:rPr>
                <w:rFonts w:eastAsia="Times New Roman" w:cs="Times New Roman"/>
                <w:color w:val="000000"/>
                <w:szCs w:val="18"/>
                <w:lang w:eastAsia="nl-NL"/>
              </w:rPr>
              <w:t xml:space="preserve"> reeks van de aanvullende post .</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44,4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Uitvoeringskosten rvo voor afwikkeling schadevergoedingen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53,0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88,2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65,0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64,8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48,1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45,6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0,1</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325,0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69,7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69,5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45,7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421,0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96,1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70,1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62,5</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4.881,5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5.173,7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5.072,0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5.123,6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5.198,7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4.910,0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5.201,0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5.098,0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5.149,5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5.224,7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XIII ECONOMISCHE ZAKEN EN KLIMAAT: NIET-BELASTINGONTVANGSTEN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4.179,8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4.560,4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4.429,9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4.169,0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4.121,0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Aanpassing raming volume aardgasbaten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Dekking interne problematiek</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23,3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Aanpassing raming volume aardgasbaten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Uitvoeringskosten rvo voor afwikkeling schadevergoedingen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53,0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Aanpassing raming prijs aardgasbaten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Aanpassing raming volume aardgasbaten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Correctie aardgasbaten afronding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lastRenderedPageBreak/>
              <w:t>Meevaller ets-ontvangsten (niet-plafondrelevant)</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78,1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295,4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225,4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145,4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185,4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71,4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175,4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45,4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55,4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4.251,2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4.735,7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4.475,2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4.184,3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4.176,4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4.251,2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4.735,7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4.475,2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4.184,3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4.176,4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bl>
    <w:p w:rsidR="00D72210" w:rsidP="001D695D" w:rsidRDefault="00D72210">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8902DC" w:rsidR="00A6086E" w:rsidP="00A6086E" w:rsidRDefault="00A6086E">
      <w:pPr>
        <w:pStyle w:val="Geenafstand"/>
        <w:spacing w:line="276" w:lineRule="auto"/>
        <w:rPr>
          <w:i/>
        </w:rPr>
      </w:pPr>
      <w:r w:rsidRPr="008902DC">
        <w:rPr>
          <w:i/>
        </w:rPr>
        <w:t xml:space="preserve">Dekking interne problematiek – uitgaven en niet-belastingontvangsten </w:t>
      </w:r>
    </w:p>
    <w:p w:rsidR="00A6086E" w:rsidP="00A6086E" w:rsidRDefault="00A6086E">
      <w:pPr>
        <w:pStyle w:val="Geenafstand"/>
        <w:spacing w:line="276" w:lineRule="auto"/>
        <w:rPr>
          <w:szCs w:val="18"/>
        </w:rPr>
      </w:pPr>
      <w:r w:rsidRPr="008902DC">
        <w:rPr>
          <w:szCs w:val="18"/>
        </w:rPr>
        <w:t>Deze post bevat de dekking voor de interne problematiek van EZK. Dekking</w:t>
      </w:r>
      <w:r w:rsidRPr="007B13F4">
        <w:rPr>
          <w:szCs w:val="18"/>
        </w:rPr>
        <w:t xml:space="preserve"> voor de interne problematiek komt uit de eindejaarsmarge 2018, nagekomen ontvangsten, een kleiner voorschot voor de Rijksdienst voor Ondernemend Nederland (RVO) schadeafhandeling, enkele ramingsbijstellingen van ontvangsten en onverdeelde middelen op het artikel voor nominaal en onvoorzien.</w:t>
      </w:r>
    </w:p>
    <w:p w:rsidR="00A6086E" w:rsidP="00A6086E" w:rsidRDefault="00A6086E">
      <w:pPr>
        <w:pStyle w:val="Geenafstand"/>
        <w:spacing w:line="276" w:lineRule="auto"/>
        <w:rPr>
          <w:szCs w:val="18"/>
        </w:rPr>
      </w:pPr>
    </w:p>
    <w:p w:rsidR="00A6086E" w:rsidP="00A6086E" w:rsidRDefault="00A6086E">
      <w:pPr>
        <w:pStyle w:val="Geenafstand"/>
        <w:spacing w:line="276" w:lineRule="auto"/>
        <w:rPr>
          <w:i/>
          <w:szCs w:val="18"/>
        </w:rPr>
      </w:pPr>
      <w:r>
        <w:rPr>
          <w:i/>
          <w:szCs w:val="18"/>
        </w:rPr>
        <w:t>Eindejaarsmarge toekomstfonds</w:t>
      </w:r>
    </w:p>
    <w:p w:rsidR="00A6086E" w:rsidP="00A6086E" w:rsidRDefault="00A6086E">
      <w:pPr>
        <w:spacing w:after="0"/>
        <w:contextualSpacing/>
        <w:rPr>
          <w:szCs w:val="18"/>
        </w:rPr>
      </w:pPr>
      <w:r w:rsidRPr="00A85535">
        <w:rPr>
          <w:szCs w:val="18"/>
        </w:rPr>
        <w:t xml:space="preserve">Dit betreft het toevoegen van de </w:t>
      </w:r>
      <w:r>
        <w:rPr>
          <w:szCs w:val="18"/>
        </w:rPr>
        <w:t>eindejaarsmarge van het Toekomstfonds 2018</w:t>
      </w:r>
      <w:r w:rsidRPr="00A85535">
        <w:rPr>
          <w:szCs w:val="18"/>
        </w:rPr>
        <w:t xml:space="preserve"> aan de begroting van EZK.</w:t>
      </w:r>
    </w:p>
    <w:p w:rsidR="00A6086E" w:rsidP="00A6086E" w:rsidRDefault="00A6086E">
      <w:pPr>
        <w:spacing w:after="0"/>
        <w:contextualSpacing/>
        <w:rPr>
          <w:szCs w:val="18"/>
        </w:rPr>
      </w:pPr>
    </w:p>
    <w:p w:rsidR="00A6086E" w:rsidP="00A6086E" w:rsidRDefault="00A6086E">
      <w:pPr>
        <w:spacing w:after="0"/>
        <w:contextualSpacing/>
        <w:rPr>
          <w:i/>
          <w:szCs w:val="18"/>
        </w:rPr>
      </w:pPr>
      <w:r w:rsidRPr="008902DC">
        <w:rPr>
          <w:i/>
          <w:szCs w:val="18"/>
        </w:rPr>
        <w:t>Eindejaarsmarge 2018</w:t>
      </w:r>
      <w:r>
        <w:rPr>
          <w:i/>
          <w:szCs w:val="18"/>
        </w:rPr>
        <w:t xml:space="preserve"> </w:t>
      </w:r>
    </w:p>
    <w:p w:rsidR="00A6086E" w:rsidP="00A6086E" w:rsidRDefault="00A6086E">
      <w:pPr>
        <w:pStyle w:val="Geenafstand"/>
        <w:spacing w:line="276" w:lineRule="auto"/>
        <w:rPr>
          <w:szCs w:val="18"/>
        </w:rPr>
      </w:pPr>
      <w:r w:rsidRPr="007B13F4">
        <w:rPr>
          <w:szCs w:val="18"/>
        </w:rPr>
        <w:t>De eindejaarsmarge van EZK over 2018 bedraagt 19,</w:t>
      </w:r>
      <w:r>
        <w:rPr>
          <w:szCs w:val="18"/>
        </w:rPr>
        <w:t>2</w:t>
      </w:r>
      <w:r w:rsidRPr="007B13F4">
        <w:rPr>
          <w:szCs w:val="18"/>
        </w:rPr>
        <w:t xml:space="preserve"> mln. </w:t>
      </w:r>
      <w:r w:rsidR="00980981">
        <w:rPr>
          <w:szCs w:val="18"/>
        </w:rPr>
        <w:t>Deze</w:t>
      </w:r>
      <w:r w:rsidRPr="007B13F4" w:rsidR="00980981">
        <w:rPr>
          <w:szCs w:val="18"/>
        </w:rPr>
        <w:t xml:space="preserve"> </w:t>
      </w:r>
      <w:r w:rsidRPr="007B13F4">
        <w:rPr>
          <w:szCs w:val="18"/>
        </w:rPr>
        <w:t>wordt aan de begroting van EZK toegevoegd.</w:t>
      </w:r>
    </w:p>
    <w:p w:rsidR="00A6086E" w:rsidP="00A6086E" w:rsidRDefault="00A6086E">
      <w:pPr>
        <w:pStyle w:val="Geenafstand"/>
        <w:spacing w:line="276" w:lineRule="auto"/>
        <w:rPr>
          <w:szCs w:val="18"/>
        </w:rPr>
      </w:pPr>
    </w:p>
    <w:p w:rsidR="00A6086E" w:rsidP="00A6086E" w:rsidRDefault="00A6086E">
      <w:pPr>
        <w:pStyle w:val="Geenafstand"/>
        <w:spacing w:line="276" w:lineRule="auto"/>
        <w:rPr>
          <w:i/>
          <w:szCs w:val="18"/>
        </w:rPr>
      </w:pPr>
      <w:r w:rsidRPr="008902DC">
        <w:rPr>
          <w:i/>
          <w:szCs w:val="18"/>
        </w:rPr>
        <w:t>Interne problematiek</w:t>
      </w:r>
      <w:r>
        <w:rPr>
          <w:i/>
          <w:szCs w:val="18"/>
        </w:rPr>
        <w:t xml:space="preserve"> </w:t>
      </w:r>
    </w:p>
    <w:p w:rsidR="00A6086E" w:rsidP="00A6086E" w:rsidRDefault="00A6086E">
      <w:pPr>
        <w:pStyle w:val="Geenafstand"/>
        <w:spacing w:line="276" w:lineRule="auto"/>
        <w:rPr>
          <w:szCs w:val="18"/>
        </w:rPr>
      </w:pPr>
      <w:r w:rsidRPr="007B13F4">
        <w:rPr>
          <w:szCs w:val="18"/>
        </w:rPr>
        <w:t xml:space="preserve">De interne problematiek bestaat grotendeels uit de nog in te vullen taakstelling </w:t>
      </w:r>
      <w:r>
        <w:rPr>
          <w:szCs w:val="18"/>
        </w:rPr>
        <w:t>die op het artikel nominaal en onverdeeld stond</w:t>
      </w:r>
      <w:r w:rsidRPr="007B13F4">
        <w:rPr>
          <w:szCs w:val="18"/>
        </w:rPr>
        <w:t xml:space="preserve">. Deze taakstelling wordt nu </w:t>
      </w:r>
      <w:r>
        <w:rPr>
          <w:szCs w:val="18"/>
        </w:rPr>
        <w:t>ingevuld</w:t>
      </w:r>
      <w:r w:rsidRPr="007B13F4">
        <w:rPr>
          <w:szCs w:val="18"/>
        </w:rPr>
        <w:t xml:space="preserve">. Daarnaast </w:t>
      </w:r>
      <w:r w:rsidR="00980981">
        <w:rPr>
          <w:szCs w:val="18"/>
        </w:rPr>
        <w:t>wordt</w:t>
      </w:r>
      <w:r w:rsidR="00FC0E80">
        <w:rPr>
          <w:szCs w:val="18"/>
        </w:rPr>
        <w:t xml:space="preserve"> </w:t>
      </w:r>
      <w:r w:rsidRPr="007B13F4">
        <w:rPr>
          <w:szCs w:val="18"/>
        </w:rPr>
        <w:t xml:space="preserve">een </w:t>
      </w:r>
      <w:r>
        <w:rPr>
          <w:szCs w:val="18"/>
        </w:rPr>
        <w:t>aantal</w:t>
      </w:r>
      <w:r w:rsidRPr="007B13F4">
        <w:rPr>
          <w:szCs w:val="18"/>
        </w:rPr>
        <w:t xml:space="preserve"> uitgaven (Nationaal Coördinator Groningen (NCG), Verduurzaming Industrie, klimaatmiddelen) </w:t>
      </w:r>
      <w:r w:rsidR="00980981">
        <w:rPr>
          <w:szCs w:val="18"/>
        </w:rPr>
        <w:t>gedekt uit</w:t>
      </w:r>
      <w:r w:rsidRPr="007B13F4">
        <w:rPr>
          <w:szCs w:val="18"/>
        </w:rPr>
        <w:t xml:space="preserve"> de eindejaarsmarge, en zijn diverse kleine knelpunten op het apparaat gedekt.</w:t>
      </w:r>
    </w:p>
    <w:p w:rsidR="00A6086E" w:rsidP="00A6086E" w:rsidRDefault="00A6086E">
      <w:pPr>
        <w:pStyle w:val="Geenafstand"/>
        <w:spacing w:line="276" w:lineRule="auto"/>
        <w:rPr>
          <w:szCs w:val="18"/>
        </w:rPr>
      </w:pPr>
    </w:p>
    <w:p w:rsidR="00A6086E" w:rsidP="00A6086E" w:rsidRDefault="00A6086E">
      <w:pPr>
        <w:pStyle w:val="Geenafstand"/>
        <w:spacing w:line="276" w:lineRule="auto"/>
        <w:rPr>
          <w:i/>
          <w:szCs w:val="18"/>
        </w:rPr>
      </w:pPr>
      <w:r w:rsidRPr="008902DC">
        <w:rPr>
          <w:i/>
          <w:szCs w:val="18"/>
        </w:rPr>
        <w:t>Diversen – beleidsmatige mutaties, uitgaven</w:t>
      </w:r>
      <w:r w:rsidR="00205986">
        <w:rPr>
          <w:i/>
          <w:szCs w:val="18"/>
        </w:rPr>
        <w:t xml:space="preserve"> </w:t>
      </w:r>
    </w:p>
    <w:p w:rsidR="00980981" w:rsidP="00A6086E" w:rsidRDefault="00A6086E">
      <w:pPr>
        <w:pStyle w:val="Geenafstand"/>
        <w:spacing w:line="276" w:lineRule="auto"/>
        <w:rPr>
          <w:szCs w:val="18"/>
        </w:rPr>
      </w:pPr>
      <w:r>
        <w:rPr>
          <w:szCs w:val="18"/>
        </w:rPr>
        <w:t>Deze post bevat verschillende mutaties waaronder</w:t>
      </w:r>
      <w:r w:rsidRPr="00F37CD3">
        <w:rPr>
          <w:szCs w:val="18"/>
        </w:rPr>
        <w:t xml:space="preserve"> </w:t>
      </w:r>
      <w:r>
        <w:rPr>
          <w:szCs w:val="18"/>
        </w:rPr>
        <w:t xml:space="preserve">een kasschuif voor verduurzaming industrie. Met deze schuif wordt 6,4 mln. van 2019 naar 2020 verschoven. </w:t>
      </w:r>
      <w:r w:rsidRPr="001D77A8">
        <w:rPr>
          <w:szCs w:val="18"/>
        </w:rPr>
        <w:t>Naar verwa</w:t>
      </w:r>
      <w:r>
        <w:rPr>
          <w:szCs w:val="18"/>
        </w:rPr>
        <w:t>chting worden de middelen voor v</w:t>
      </w:r>
      <w:r w:rsidRPr="001D77A8">
        <w:rPr>
          <w:szCs w:val="18"/>
        </w:rPr>
        <w:t>erduurzaming</w:t>
      </w:r>
      <w:r>
        <w:rPr>
          <w:szCs w:val="18"/>
        </w:rPr>
        <w:t xml:space="preserve"> i</w:t>
      </w:r>
      <w:r w:rsidRPr="001D77A8">
        <w:rPr>
          <w:szCs w:val="18"/>
        </w:rPr>
        <w:t xml:space="preserve">ndustrie dit jaar niet volledig uitgeput. Het is wenselijk dat de middelen </w:t>
      </w:r>
      <w:r>
        <w:rPr>
          <w:szCs w:val="18"/>
        </w:rPr>
        <w:t xml:space="preserve">in 2020 </w:t>
      </w:r>
      <w:r w:rsidRPr="001D77A8">
        <w:rPr>
          <w:szCs w:val="18"/>
        </w:rPr>
        <w:t xml:space="preserve">beschikbaar </w:t>
      </w:r>
      <w:r>
        <w:rPr>
          <w:szCs w:val="18"/>
        </w:rPr>
        <w:t>blijven</w:t>
      </w:r>
      <w:r w:rsidRPr="003912C9">
        <w:rPr>
          <w:szCs w:val="18"/>
        </w:rPr>
        <w:t>.</w:t>
      </w:r>
      <w:r>
        <w:rPr>
          <w:szCs w:val="18"/>
        </w:rPr>
        <w:t xml:space="preserve"> Ook bevat deze diversenpost een kasschuif voor ETS-compensatie van 14,1 mln. van 2019 naar 2021. </w:t>
      </w:r>
      <w:r w:rsidRPr="003912C9">
        <w:rPr>
          <w:szCs w:val="18"/>
        </w:rPr>
        <w:t>Op basis van de huidige raming hoeft dit jaar minder compensatie uitgekeerd te worden. 2021 is het laatste jaar van de looptijd voor deze regeling. Het budget in dat jaar wordt gevoed met onderuitputting uit de voorgaande jaren. Voor deze regeling geldt dat onderuitputting geheel meegenomen mag worden naar het volgende jaar. Met deze kasschuif worden deze middelen meteen aan het laatste jaar toegevoegd.</w:t>
      </w:r>
      <w:r>
        <w:rPr>
          <w:szCs w:val="18"/>
        </w:rPr>
        <w:t xml:space="preserve"> </w:t>
      </w:r>
    </w:p>
    <w:p w:rsidR="00AF3B96" w:rsidP="00A6086E" w:rsidRDefault="00AF3B96">
      <w:pPr>
        <w:pStyle w:val="Geenafstand"/>
        <w:spacing w:line="276" w:lineRule="auto"/>
        <w:rPr>
          <w:szCs w:val="18"/>
        </w:rPr>
      </w:pPr>
    </w:p>
    <w:p w:rsidR="00A6086E" w:rsidP="00A6086E" w:rsidRDefault="00A6086E">
      <w:pPr>
        <w:pStyle w:val="Geenafstand"/>
        <w:spacing w:line="276" w:lineRule="auto"/>
        <w:rPr>
          <w:i/>
          <w:szCs w:val="18"/>
        </w:rPr>
      </w:pPr>
      <w:r>
        <w:rPr>
          <w:szCs w:val="18"/>
        </w:rPr>
        <w:t xml:space="preserve">Daarnaast bevat deze post in het bijzonder </w:t>
      </w:r>
      <w:r w:rsidR="00AF3B96">
        <w:rPr>
          <w:szCs w:val="18"/>
        </w:rPr>
        <w:t xml:space="preserve">de reeks </w:t>
      </w:r>
      <w:r w:rsidRPr="00AF3B96" w:rsidR="00AF3B96">
        <w:rPr>
          <w:szCs w:val="18"/>
        </w:rPr>
        <w:t>E</w:t>
      </w:r>
      <w:r w:rsidRPr="00AF3B96">
        <w:rPr>
          <w:szCs w:val="18"/>
        </w:rPr>
        <w:t>conomische ontwikkeling en technologie</w:t>
      </w:r>
      <w:r>
        <w:rPr>
          <w:szCs w:val="18"/>
        </w:rPr>
        <w:t xml:space="preserve">. Deze reeks bestaat uit 5 mln. in 2019, 7,5 mln. in 2020 en vanaf 2021 structureel 10 mln. </w:t>
      </w:r>
      <w:r w:rsidRPr="003912C9">
        <w:rPr>
          <w:szCs w:val="18"/>
        </w:rPr>
        <w:t xml:space="preserve">EZK ontvangt </w:t>
      </w:r>
      <w:r>
        <w:rPr>
          <w:szCs w:val="18"/>
        </w:rPr>
        <w:t xml:space="preserve">deze </w:t>
      </w:r>
      <w:r w:rsidRPr="003912C9">
        <w:rPr>
          <w:szCs w:val="18"/>
        </w:rPr>
        <w:t>extra middelen om te investeren in meerjarige innovatieprogramma’s, zoals ruimtevaart en sleuteltechnologieën</w:t>
      </w:r>
      <w:r>
        <w:rPr>
          <w:szCs w:val="18"/>
        </w:rPr>
        <w:t xml:space="preserve">. </w:t>
      </w:r>
    </w:p>
    <w:p w:rsidR="00A6086E" w:rsidP="00A6086E" w:rsidRDefault="00A6086E">
      <w:pPr>
        <w:pStyle w:val="Geenafstand"/>
        <w:spacing w:line="276" w:lineRule="auto"/>
        <w:rPr>
          <w:i/>
        </w:rPr>
      </w:pPr>
    </w:p>
    <w:p w:rsidR="00A6086E" w:rsidP="00A6086E" w:rsidRDefault="00A6086E">
      <w:pPr>
        <w:pStyle w:val="Geenafstand"/>
        <w:spacing w:line="276" w:lineRule="auto"/>
        <w:rPr>
          <w:i/>
        </w:rPr>
      </w:pPr>
      <w:r w:rsidRPr="008902DC">
        <w:rPr>
          <w:i/>
        </w:rPr>
        <w:t>E23 envelop klimaat</w:t>
      </w:r>
      <w:r>
        <w:rPr>
          <w:i/>
        </w:rPr>
        <w:t xml:space="preserve"> </w:t>
      </w:r>
    </w:p>
    <w:p w:rsidR="00A6086E" w:rsidP="00A6086E" w:rsidRDefault="00A6086E">
      <w:pPr>
        <w:pStyle w:val="Geenafstand"/>
        <w:spacing w:line="276" w:lineRule="auto"/>
        <w:rPr>
          <w:szCs w:val="18"/>
        </w:rPr>
      </w:pPr>
      <w:r w:rsidRPr="00AB2856">
        <w:rPr>
          <w:szCs w:val="18"/>
        </w:rPr>
        <w:t xml:space="preserve">In het Regeerakkoord is een envelop van 300 mln. per jaar (2018-2030) opgenomen op de aanvullende post voor </w:t>
      </w:r>
      <w:r>
        <w:rPr>
          <w:szCs w:val="18"/>
        </w:rPr>
        <w:t>k</w:t>
      </w:r>
      <w:r w:rsidRPr="00AB2856">
        <w:rPr>
          <w:szCs w:val="18"/>
        </w:rPr>
        <w:t>limaat (maatregel E23 u</w:t>
      </w:r>
      <w:r>
        <w:rPr>
          <w:szCs w:val="18"/>
        </w:rPr>
        <w:t>it het Regeerakkoord). Voor 2019 is er een bedrag van 122,8</w:t>
      </w:r>
      <w:r w:rsidRPr="00AB2856">
        <w:rPr>
          <w:szCs w:val="18"/>
        </w:rPr>
        <w:t xml:space="preserve"> mln. overgeh</w:t>
      </w:r>
      <w:r>
        <w:rPr>
          <w:szCs w:val="18"/>
        </w:rPr>
        <w:t>eveld naar de begroting van EZK.</w:t>
      </w:r>
    </w:p>
    <w:p w:rsidR="00A6086E" w:rsidP="00A6086E" w:rsidRDefault="00A6086E">
      <w:pPr>
        <w:pStyle w:val="Geenafstand"/>
        <w:spacing w:line="276" w:lineRule="auto"/>
        <w:rPr>
          <w:i/>
        </w:rPr>
      </w:pPr>
    </w:p>
    <w:p w:rsidR="00A6086E" w:rsidP="00A6086E" w:rsidRDefault="00A6086E">
      <w:pPr>
        <w:pStyle w:val="Geenafstand"/>
        <w:spacing w:line="276" w:lineRule="auto"/>
        <w:rPr>
          <w:i/>
        </w:rPr>
      </w:pPr>
    </w:p>
    <w:p w:rsidR="00A6086E" w:rsidP="00A6086E" w:rsidRDefault="00A6086E">
      <w:pPr>
        <w:pStyle w:val="Geenafstand"/>
        <w:spacing w:line="276" w:lineRule="auto"/>
        <w:rPr>
          <w:i/>
        </w:rPr>
      </w:pPr>
    </w:p>
    <w:p w:rsidR="00A6086E" w:rsidP="00A6086E" w:rsidRDefault="00A6086E">
      <w:pPr>
        <w:pStyle w:val="Geenafstand"/>
        <w:spacing w:line="276" w:lineRule="auto"/>
        <w:rPr>
          <w:i/>
        </w:rPr>
      </w:pPr>
      <w:r w:rsidRPr="008902DC">
        <w:rPr>
          <w:i/>
        </w:rPr>
        <w:lastRenderedPageBreak/>
        <w:t>Reservering L108 Groningen reeks van de aanvullende post</w:t>
      </w:r>
    </w:p>
    <w:p w:rsidR="00A6086E" w:rsidP="00A6086E" w:rsidRDefault="00A6086E">
      <w:pPr>
        <w:pStyle w:val="Geenafstand"/>
        <w:spacing w:line="276" w:lineRule="auto"/>
        <w:rPr>
          <w:i/>
        </w:rPr>
      </w:pPr>
      <w:r w:rsidRPr="007B13F4">
        <w:rPr>
          <w:szCs w:val="18"/>
        </w:rPr>
        <w:t xml:space="preserve">Voor het Nationaal Programma Groningen wordt 44,4 mln. </w:t>
      </w:r>
      <w:r w:rsidR="00980981">
        <w:rPr>
          <w:szCs w:val="18"/>
        </w:rPr>
        <w:t>overgeheveld</w:t>
      </w:r>
      <w:r w:rsidRPr="007B13F4" w:rsidR="00980981">
        <w:rPr>
          <w:szCs w:val="18"/>
        </w:rPr>
        <w:t xml:space="preserve"> </w:t>
      </w:r>
      <w:r w:rsidRPr="007B13F4">
        <w:rPr>
          <w:szCs w:val="18"/>
        </w:rPr>
        <w:t>van de middelen die hiervoor op de Aanvullende Post staan gereserveerd</w:t>
      </w:r>
      <w:r w:rsidR="00980981">
        <w:rPr>
          <w:szCs w:val="18"/>
        </w:rPr>
        <w:t xml:space="preserve"> naar de begroting van EZK</w:t>
      </w:r>
      <w:r w:rsidRPr="007B13F4">
        <w:rPr>
          <w:szCs w:val="18"/>
        </w:rPr>
        <w:t>. Hiervan is 2,4 mln. voor kleine projecten in de regio en 42 mln. voor batch 1588.</w:t>
      </w:r>
    </w:p>
    <w:p w:rsidR="00A6086E" w:rsidP="00A6086E" w:rsidRDefault="00A6086E">
      <w:pPr>
        <w:pStyle w:val="Geenafstand"/>
        <w:spacing w:line="276" w:lineRule="auto"/>
        <w:rPr>
          <w:i/>
        </w:rPr>
      </w:pPr>
    </w:p>
    <w:p w:rsidRPr="00BA3195" w:rsidR="00A6086E" w:rsidP="00A6086E" w:rsidRDefault="00A6086E">
      <w:pPr>
        <w:pStyle w:val="Geenafstand"/>
        <w:spacing w:line="276" w:lineRule="auto"/>
        <w:rPr>
          <w:i/>
          <w:szCs w:val="18"/>
        </w:rPr>
      </w:pPr>
      <w:r w:rsidRPr="00BA3195">
        <w:rPr>
          <w:i/>
          <w:szCs w:val="18"/>
        </w:rPr>
        <w:t>Uitvoeringskosten rvo voor afwikkeling schadevergoedingen</w:t>
      </w:r>
    </w:p>
    <w:p w:rsidR="00A6086E" w:rsidP="00A6086E" w:rsidRDefault="00A6086E">
      <w:pPr>
        <w:pStyle w:val="Geenafstand"/>
        <w:spacing w:line="276" w:lineRule="auto"/>
        <w:rPr>
          <w:szCs w:val="18"/>
        </w:rPr>
      </w:pPr>
      <w:r w:rsidRPr="00BA3195">
        <w:rPr>
          <w:szCs w:val="18"/>
        </w:rPr>
        <w:t>Deze post omvat de uitvoeringskosten die RVO.nl maakt voor het hele proces van de schadeafhandeling voor Groningen. Conform het nieuwe schadeprotocol is de schadeafhandeling publiek gemaakt en is de NAM op afstand gezet. RVO.nl voert de schadeafhandeling</w:t>
      </w:r>
      <w:r>
        <w:rPr>
          <w:szCs w:val="18"/>
        </w:rPr>
        <w:t xml:space="preserve"> uit. Conform de </w:t>
      </w:r>
      <w:r w:rsidRPr="00BA3195">
        <w:rPr>
          <w:szCs w:val="18"/>
        </w:rPr>
        <w:t>gemaakte afspraken declareert EZK bij de NAM de door RVO.nl uit te keren schadevergoedingen en de uitvoeringskosten voor de schadeafwikkeling.</w:t>
      </w:r>
    </w:p>
    <w:p w:rsidR="00A6086E" w:rsidP="00A6086E" w:rsidRDefault="00A6086E">
      <w:pPr>
        <w:pStyle w:val="Geenafstand"/>
        <w:spacing w:line="276" w:lineRule="auto"/>
        <w:rPr>
          <w:szCs w:val="18"/>
        </w:rPr>
      </w:pPr>
    </w:p>
    <w:p w:rsidR="00A6086E" w:rsidP="00A6086E" w:rsidRDefault="00A6086E">
      <w:pPr>
        <w:pStyle w:val="Geenafstand"/>
        <w:spacing w:line="276" w:lineRule="auto"/>
        <w:rPr>
          <w:i/>
          <w:szCs w:val="18"/>
        </w:rPr>
      </w:pPr>
      <w:r>
        <w:rPr>
          <w:i/>
          <w:szCs w:val="18"/>
        </w:rPr>
        <w:t xml:space="preserve">Diversen – technische mutaties, uitgaven </w:t>
      </w:r>
    </w:p>
    <w:p w:rsidRPr="00637780" w:rsidR="00A6086E" w:rsidP="00A6086E" w:rsidRDefault="00A6086E">
      <w:pPr>
        <w:pStyle w:val="Geenafstand"/>
        <w:spacing w:line="276" w:lineRule="auto"/>
        <w:rPr>
          <w:szCs w:val="18"/>
        </w:rPr>
      </w:pPr>
      <w:r>
        <w:rPr>
          <w:szCs w:val="18"/>
        </w:rPr>
        <w:t>Deze post bevat o.a. een overheveling van structureel 14 mln. van de Aanvullende Post</w:t>
      </w:r>
      <w:r w:rsidR="00980981">
        <w:rPr>
          <w:szCs w:val="18"/>
        </w:rPr>
        <w:t xml:space="preserve"> naar de begroting van EZK</w:t>
      </w:r>
      <w:r>
        <w:rPr>
          <w:szCs w:val="18"/>
        </w:rPr>
        <w:t xml:space="preserve">. </w:t>
      </w:r>
      <w:r w:rsidRPr="00637780">
        <w:rPr>
          <w:szCs w:val="18"/>
        </w:rPr>
        <w:t xml:space="preserve">Conform de afspraak uit de Startnota 2017 ontvangt EZK </w:t>
      </w:r>
      <w:r>
        <w:rPr>
          <w:szCs w:val="18"/>
        </w:rPr>
        <w:t>deze re</w:t>
      </w:r>
      <w:r w:rsidRPr="00637780">
        <w:rPr>
          <w:szCs w:val="18"/>
        </w:rPr>
        <w:t>eks voor compensatie van de kennisinstellingen</w:t>
      </w:r>
      <w:r>
        <w:rPr>
          <w:szCs w:val="18"/>
        </w:rPr>
        <w:t>. Daarnaast bevat deze post d</w:t>
      </w:r>
      <w:r w:rsidRPr="00637780">
        <w:rPr>
          <w:szCs w:val="18"/>
        </w:rPr>
        <w:t xml:space="preserve">e tranche 2019 van de loon- en prijsbijstelling </w:t>
      </w:r>
      <w:r>
        <w:rPr>
          <w:szCs w:val="18"/>
        </w:rPr>
        <w:t xml:space="preserve">die </w:t>
      </w:r>
      <w:r w:rsidRPr="00637780">
        <w:rPr>
          <w:szCs w:val="18"/>
        </w:rPr>
        <w:t>is overgemaakt n</w:t>
      </w:r>
      <w:r>
        <w:rPr>
          <w:szCs w:val="18"/>
        </w:rPr>
        <w:t xml:space="preserve">aar EZK. De loonbijstelling bedraagt gemiddeld 24,1 mln. over de jaren 2019-2023. De prijsbijstelling bedraagt gemiddeld 18,1 mln. over de jaren. </w:t>
      </w:r>
    </w:p>
    <w:p w:rsidR="00A6086E" w:rsidP="00A6086E" w:rsidRDefault="00A6086E">
      <w:pPr>
        <w:pStyle w:val="Geenafstand"/>
        <w:spacing w:line="276" w:lineRule="auto"/>
        <w:rPr>
          <w:i/>
          <w:szCs w:val="18"/>
        </w:rPr>
      </w:pPr>
    </w:p>
    <w:p w:rsidR="00A6086E" w:rsidP="00A6086E" w:rsidRDefault="00A6086E">
      <w:pPr>
        <w:pStyle w:val="Geenafstand"/>
        <w:spacing w:line="276" w:lineRule="auto"/>
        <w:rPr>
          <w:i/>
          <w:szCs w:val="18"/>
        </w:rPr>
      </w:pPr>
      <w:r>
        <w:rPr>
          <w:i/>
          <w:szCs w:val="18"/>
        </w:rPr>
        <w:t xml:space="preserve">Diversen – niet relevant voor het uitgavenplafond, uitgaven </w:t>
      </w:r>
    </w:p>
    <w:p w:rsidR="00A6086E" w:rsidP="00A6086E" w:rsidRDefault="00A6086E">
      <w:pPr>
        <w:pStyle w:val="Geenafstand"/>
        <w:spacing w:line="276" w:lineRule="auto"/>
        <w:rPr>
          <w:i/>
          <w:szCs w:val="18"/>
        </w:rPr>
      </w:pPr>
      <w:r>
        <w:rPr>
          <w:szCs w:val="18"/>
        </w:rPr>
        <w:t xml:space="preserve">Deze post betreft het toevoegen van de </w:t>
      </w:r>
      <w:r w:rsidRPr="000A486F">
        <w:rPr>
          <w:szCs w:val="18"/>
        </w:rPr>
        <w:t>middel</w:t>
      </w:r>
      <w:r>
        <w:rPr>
          <w:szCs w:val="18"/>
        </w:rPr>
        <w:t>en voor</w:t>
      </w:r>
      <w:r w:rsidR="00980981">
        <w:rPr>
          <w:szCs w:val="18"/>
        </w:rPr>
        <w:t xml:space="preserve"> de</w:t>
      </w:r>
      <w:r>
        <w:rPr>
          <w:szCs w:val="18"/>
        </w:rPr>
        <w:t xml:space="preserve"> </w:t>
      </w:r>
      <w:r w:rsidRPr="000A486F">
        <w:rPr>
          <w:szCs w:val="18"/>
        </w:rPr>
        <w:t xml:space="preserve">Nationaal Coördinator Groningen </w:t>
      </w:r>
      <w:r>
        <w:rPr>
          <w:szCs w:val="18"/>
        </w:rPr>
        <w:t xml:space="preserve">(NCG) </w:t>
      </w:r>
      <w:r w:rsidRPr="000A486F">
        <w:rPr>
          <w:szCs w:val="18"/>
        </w:rPr>
        <w:t>die in 2018 niet zijn benut</w:t>
      </w:r>
      <w:r>
        <w:rPr>
          <w:szCs w:val="18"/>
        </w:rPr>
        <w:t xml:space="preserve"> (28,2 mln.)</w:t>
      </w:r>
      <w:r w:rsidRPr="000A486F">
        <w:rPr>
          <w:szCs w:val="18"/>
        </w:rPr>
        <w:t>. Omdat deze budgetten een 100% eindejaarsmarge kennen, wordt dit bedrag weer toegevoegd aan het budget van 2019.</w:t>
      </w:r>
      <w:r>
        <w:rPr>
          <w:szCs w:val="18"/>
        </w:rPr>
        <w:t xml:space="preserve"> Daarnaast bevat deze post een kasschuif van 12,2 mln. in 2019 naar 2020-2022, waarmee de NCG-middelen in een realistisch ritme worden geraamd. Tot slot bevat deze post het niet-plafondrelevante deel van de prijsbijstelling (gemiddeld 0,5 mln. in de jaren 2019-2023). </w:t>
      </w:r>
    </w:p>
    <w:p w:rsidR="00A6086E" w:rsidP="00A6086E" w:rsidRDefault="00A6086E">
      <w:pPr>
        <w:pStyle w:val="Geenafstand"/>
        <w:spacing w:line="276" w:lineRule="auto"/>
        <w:rPr>
          <w:szCs w:val="18"/>
        </w:rPr>
      </w:pPr>
    </w:p>
    <w:p w:rsidR="00A6086E" w:rsidP="00A6086E" w:rsidRDefault="00A6086E">
      <w:pPr>
        <w:pStyle w:val="Geenafstand"/>
        <w:spacing w:line="276" w:lineRule="auto"/>
        <w:rPr>
          <w:i/>
          <w:szCs w:val="18"/>
        </w:rPr>
      </w:pPr>
      <w:r w:rsidRPr="008902DC">
        <w:rPr>
          <w:i/>
          <w:szCs w:val="18"/>
        </w:rPr>
        <w:t>Aanpassing raming volume aardgasbaten – beleidsmatige mutaties, technische mutaties, niet relevant voor het uitgavenplafonds, niet-belastingontvangsten</w:t>
      </w:r>
    </w:p>
    <w:p w:rsidR="00A6086E" w:rsidP="00A6086E" w:rsidRDefault="00A6086E">
      <w:pPr>
        <w:pStyle w:val="Geenafstand"/>
        <w:spacing w:line="276" w:lineRule="auto"/>
        <w:rPr>
          <w:szCs w:val="18"/>
        </w:rPr>
      </w:pPr>
      <w:r>
        <w:rPr>
          <w:szCs w:val="18"/>
        </w:rPr>
        <w:t>De</w:t>
      </w:r>
      <w:r w:rsidRPr="001D35DA">
        <w:rPr>
          <w:szCs w:val="18"/>
        </w:rPr>
        <w:t xml:space="preserve"> </w:t>
      </w:r>
      <w:r>
        <w:rPr>
          <w:szCs w:val="18"/>
        </w:rPr>
        <w:t>ministerraad</w:t>
      </w:r>
      <w:r w:rsidRPr="001D35DA">
        <w:rPr>
          <w:szCs w:val="18"/>
        </w:rPr>
        <w:t xml:space="preserve"> </w:t>
      </w:r>
      <w:r>
        <w:rPr>
          <w:szCs w:val="18"/>
        </w:rPr>
        <w:t xml:space="preserve">heeft </w:t>
      </w:r>
      <w:r w:rsidRPr="001D35DA">
        <w:rPr>
          <w:szCs w:val="18"/>
        </w:rPr>
        <w:t>op 8 februari 2019 besloten tot versnelde afbouw van de gaswinning in Groningen. Dit volume-effect wordt nu conform Regeerakkoord in de aardgasbaten verwerkt. Het volume-effect is relevant voor het uitgavenplafond en wordt generaal behandeld.</w:t>
      </w:r>
    </w:p>
    <w:p w:rsidR="00A6086E" w:rsidP="00A6086E" w:rsidRDefault="00A6086E">
      <w:pPr>
        <w:pStyle w:val="Geenafstand"/>
        <w:spacing w:line="276" w:lineRule="auto"/>
        <w:rPr>
          <w:szCs w:val="18"/>
        </w:rPr>
      </w:pPr>
    </w:p>
    <w:p w:rsidRPr="001D35DA" w:rsidR="00A6086E" w:rsidP="00A6086E" w:rsidRDefault="00A6086E">
      <w:pPr>
        <w:pStyle w:val="Geenafstand"/>
        <w:spacing w:line="276" w:lineRule="auto"/>
        <w:rPr>
          <w:i/>
        </w:rPr>
      </w:pPr>
      <w:r w:rsidRPr="008902DC">
        <w:rPr>
          <w:i/>
        </w:rPr>
        <w:t>Dekking interne problematiek</w:t>
      </w:r>
      <w:r w:rsidRPr="001D35DA">
        <w:rPr>
          <w:i/>
        </w:rPr>
        <w:t xml:space="preserve"> </w:t>
      </w:r>
      <w:r>
        <w:rPr>
          <w:i/>
        </w:rPr>
        <w:t xml:space="preserve">– uitgaven en </w:t>
      </w:r>
      <w:r w:rsidRPr="001D35DA">
        <w:rPr>
          <w:i/>
        </w:rPr>
        <w:t>niet-belastingontvangsten</w:t>
      </w:r>
      <w:r>
        <w:rPr>
          <w:i/>
        </w:rPr>
        <w:t xml:space="preserve"> </w:t>
      </w:r>
    </w:p>
    <w:p w:rsidR="00A6086E" w:rsidP="00A6086E" w:rsidRDefault="00A6086E">
      <w:pPr>
        <w:pStyle w:val="Geenafstand"/>
        <w:spacing w:line="276" w:lineRule="auto"/>
        <w:rPr>
          <w:szCs w:val="18"/>
        </w:rPr>
      </w:pPr>
      <w:r>
        <w:rPr>
          <w:szCs w:val="18"/>
        </w:rPr>
        <w:t xml:space="preserve">Deze post bevat de dekking voor de interne problematiek van EZK. </w:t>
      </w:r>
      <w:r w:rsidRPr="007B13F4">
        <w:rPr>
          <w:szCs w:val="18"/>
        </w:rPr>
        <w:t>Dekking voor de interne problematiek komt uit de eindejaarsmarge 2018, nagekomen ontvangsten, een kleiner voorschot voor de Rijksdienst voor Ondernemend Nederland (RVO) schadeafhandeling, enkele ramingsbijstellingen van ontvangsten en onverdeelde middelen op het artikel voor nominaal en onvoorzien.</w:t>
      </w:r>
    </w:p>
    <w:p w:rsidR="00A6086E" w:rsidP="00A6086E" w:rsidRDefault="00A6086E">
      <w:pPr>
        <w:pStyle w:val="Geenafstand"/>
        <w:spacing w:line="276" w:lineRule="auto"/>
      </w:pPr>
    </w:p>
    <w:p w:rsidRPr="00BA3195" w:rsidR="00A6086E" w:rsidP="00A6086E" w:rsidRDefault="00A6086E">
      <w:pPr>
        <w:pStyle w:val="Geenafstand"/>
        <w:spacing w:line="276" w:lineRule="auto"/>
        <w:rPr>
          <w:i/>
          <w:szCs w:val="18"/>
        </w:rPr>
      </w:pPr>
      <w:r w:rsidRPr="00BA3195">
        <w:rPr>
          <w:i/>
          <w:szCs w:val="18"/>
        </w:rPr>
        <w:t>Uitvoeringskosten rvo voor afwikkeling schadevergoedingen</w:t>
      </w:r>
    </w:p>
    <w:p w:rsidR="00A6086E" w:rsidP="00A6086E" w:rsidRDefault="00A6086E">
      <w:pPr>
        <w:pStyle w:val="Geenafstand"/>
        <w:spacing w:line="276" w:lineRule="auto"/>
        <w:rPr>
          <w:szCs w:val="18"/>
        </w:rPr>
      </w:pPr>
      <w:r w:rsidRPr="00BA3195">
        <w:rPr>
          <w:szCs w:val="18"/>
        </w:rPr>
        <w:t>Deze post omvat de uitvoeringskosten die RVO.nl maakt voor het hele proces van de schadeafhandeling voor Groningen. Conform het nieuwe schadeprotocol is de schadeafhandeling publiek gemaakt en is de NAM op afstand van de schadeafhandeling gezet. RVO.nl voert de schadeafhandeling</w:t>
      </w:r>
      <w:r>
        <w:rPr>
          <w:szCs w:val="18"/>
        </w:rPr>
        <w:t xml:space="preserve"> uit. Conform de </w:t>
      </w:r>
      <w:r w:rsidRPr="00BA3195">
        <w:rPr>
          <w:szCs w:val="18"/>
        </w:rPr>
        <w:t>gemaakte afspraken declareert EZK bij de NAM de door RVO.nl uit te keren schadevergoedingen en de uitvoeringskosten voor de schadeafwikkeling.</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gridCol w:w="36"/>
        <w:gridCol w:w="36"/>
        <w:gridCol w:w="36"/>
      </w:tblGrid>
      <w:tr w:rsidR="00A6086E" w:rsidTr="00C109C8">
        <w:tc>
          <w:tcPr>
            <w:tcW w:w="0" w:type="auto"/>
            <w:tcBorders>
              <w:left w:val="nil"/>
              <w:right w:val="nil"/>
            </w:tcBorders>
          </w:tcPr>
          <w:p w:rsidR="00A6086E" w:rsidP="00A6086E" w:rsidRDefault="00A6086E">
            <w:pPr>
              <w:spacing w:after="0"/>
              <w:jc w:val="right"/>
              <w:rPr>
                <w:rFonts w:eastAsia="Times New Roman"/>
                <w:szCs w:val="18"/>
              </w:rPr>
            </w:pPr>
          </w:p>
        </w:tc>
        <w:tc>
          <w:tcPr>
            <w:tcW w:w="0" w:type="auto"/>
            <w:tcBorders>
              <w:left w:val="nil"/>
              <w:right w:val="nil"/>
            </w:tcBorders>
          </w:tcPr>
          <w:p w:rsidR="00A6086E" w:rsidP="00A6086E" w:rsidRDefault="00A6086E">
            <w:pPr>
              <w:spacing w:after="0"/>
              <w:jc w:val="right"/>
              <w:rPr>
                <w:rFonts w:eastAsia="Times New Roman"/>
                <w:szCs w:val="18"/>
              </w:rPr>
            </w:pPr>
          </w:p>
        </w:tc>
        <w:tc>
          <w:tcPr>
            <w:tcW w:w="0" w:type="auto"/>
            <w:tcBorders>
              <w:left w:val="nil"/>
              <w:right w:val="nil"/>
            </w:tcBorders>
          </w:tcPr>
          <w:p w:rsidR="00A6086E" w:rsidP="00A6086E" w:rsidRDefault="00A6086E">
            <w:pPr>
              <w:spacing w:after="0"/>
              <w:jc w:val="right"/>
              <w:rPr>
                <w:rFonts w:eastAsia="Times New Roman"/>
                <w:szCs w:val="18"/>
              </w:rPr>
            </w:pPr>
          </w:p>
        </w:tc>
        <w:tc>
          <w:tcPr>
            <w:tcW w:w="0" w:type="auto"/>
            <w:tcBorders>
              <w:left w:val="nil"/>
              <w:right w:val="nil"/>
            </w:tcBorders>
          </w:tcPr>
          <w:p w:rsidR="00A6086E" w:rsidP="00A6086E" w:rsidRDefault="00A6086E">
            <w:pPr>
              <w:spacing w:after="0"/>
              <w:jc w:val="right"/>
              <w:rPr>
                <w:rFonts w:eastAsia="Times New Roman"/>
                <w:szCs w:val="18"/>
              </w:rPr>
            </w:pPr>
          </w:p>
        </w:tc>
        <w:tc>
          <w:tcPr>
            <w:tcW w:w="0" w:type="auto"/>
            <w:tcBorders>
              <w:left w:val="nil"/>
              <w:right w:val="nil"/>
            </w:tcBorders>
          </w:tcPr>
          <w:p w:rsidR="00A6086E" w:rsidP="00A6086E" w:rsidRDefault="00A6086E">
            <w:pPr>
              <w:spacing w:after="0"/>
              <w:jc w:val="right"/>
              <w:rPr>
                <w:rFonts w:eastAsia="Times New Roman"/>
                <w:szCs w:val="18"/>
              </w:rPr>
            </w:pPr>
          </w:p>
        </w:tc>
        <w:tc>
          <w:tcPr>
            <w:tcW w:w="0" w:type="auto"/>
            <w:vAlign w:val="center"/>
          </w:tcPr>
          <w:p w:rsidR="00A6086E" w:rsidP="00A6086E" w:rsidRDefault="00A6086E">
            <w:pPr>
              <w:spacing w:after="0"/>
              <w:rPr>
                <w:rFonts w:eastAsia="Times New Roman"/>
                <w:sz w:val="20"/>
                <w:szCs w:val="20"/>
              </w:rPr>
            </w:pPr>
          </w:p>
        </w:tc>
      </w:tr>
      <w:tr w:rsidR="00A6086E" w:rsidTr="00C109C8">
        <w:tc>
          <w:tcPr>
            <w:tcW w:w="0" w:type="auto"/>
            <w:vAlign w:val="center"/>
            <w:hideMark/>
          </w:tcPr>
          <w:p w:rsidR="00A6086E" w:rsidP="00A6086E" w:rsidRDefault="00A6086E">
            <w:pPr>
              <w:spacing w:after="0"/>
              <w:rPr>
                <w:rFonts w:eastAsia="Times New Roman"/>
                <w:sz w:val="20"/>
                <w:szCs w:val="20"/>
              </w:rPr>
            </w:pPr>
          </w:p>
        </w:tc>
        <w:tc>
          <w:tcPr>
            <w:tcW w:w="0" w:type="auto"/>
            <w:vAlign w:val="center"/>
            <w:hideMark/>
          </w:tcPr>
          <w:p w:rsidR="00A6086E" w:rsidP="00A6086E" w:rsidRDefault="00A6086E">
            <w:pPr>
              <w:spacing w:after="0"/>
              <w:rPr>
                <w:rFonts w:eastAsia="Times New Roman"/>
                <w:sz w:val="20"/>
                <w:szCs w:val="20"/>
              </w:rPr>
            </w:pPr>
          </w:p>
        </w:tc>
        <w:tc>
          <w:tcPr>
            <w:tcW w:w="0" w:type="auto"/>
            <w:vAlign w:val="center"/>
            <w:hideMark/>
          </w:tcPr>
          <w:p w:rsidR="00A6086E" w:rsidP="00A6086E" w:rsidRDefault="00A6086E">
            <w:pPr>
              <w:spacing w:after="0"/>
              <w:rPr>
                <w:rFonts w:eastAsia="Times New Roman"/>
                <w:sz w:val="20"/>
                <w:szCs w:val="20"/>
              </w:rPr>
            </w:pPr>
          </w:p>
        </w:tc>
        <w:tc>
          <w:tcPr>
            <w:tcW w:w="0" w:type="auto"/>
            <w:vAlign w:val="center"/>
            <w:hideMark/>
          </w:tcPr>
          <w:p w:rsidR="00A6086E" w:rsidP="00A6086E" w:rsidRDefault="00A6086E">
            <w:pPr>
              <w:spacing w:after="0"/>
              <w:rPr>
                <w:rFonts w:eastAsia="Times New Roman"/>
                <w:sz w:val="20"/>
                <w:szCs w:val="20"/>
              </w:rPr>
            </w:pPr>
          </w:p>
        </w:tc>
        <w:tc>
          <w:tcPr>
            <w:tcW w:w="0" w:type="auto"/>
            <w:vAlign w:val="center"/>
            <w:hideMark/>
          </w:tcPr>
          <w:p w:rsidR="00A6086E" w:rsidP="00A6086E" w:rsidRDefault="00A6086E">
            <w:pPr>
              <w:spacing w:after="0"/>
              <w:rPr>
                <w:rFonts w:eastAsia="Times New Roman"/>
                <w:sz w:val="20"/>
                <w:szCs w:val="20"/>
              </w:rPr>
            </w:pPr>
          </w:p>
        </w:tc>
        <w:tc>
          <w:tcPr>
            <w:tcW w:w="0" w:type="auto"/>
            <w:vAlign w:val="center"/>
            <w:hideMark/>
          </w:tcPr>
          <w:p w:rsidR="00A6086E" w:rsidP="00A6086E" w:rsidRDefault="00A6086E">
            <w:pPr>
              <w:spacing w:after="0"/>
              <w:rPr>
                <w:rFonts w:eastAsia="Times New Roman"/>
                <w:sz w:val="20"/>
                <w:szCs w:val="20"/>
              </w:rPr>
            </w:pPr>
          </w:p>
        </w:tc>
      </w:tr>
    </w:tbl>
    <w:p w:rsidR="00A6086E" w:rsidP="00A6086E" w:rsidRDefault="00A6086E">
      <w:pPr>
        <w:pStyle w:val="Geenafstand"/>
        <w:spacing w:line="276" w:lineRule="auto"/>
        <w:rPr>
          <w:i/>
        </w:rPr>
      </w:pPr>
      <w:r>
        <w:rPr>
          <w:i/>
        </w:rPr>
        <w:t xml:space="preserve">Diversen – technische mutaties, niet-belastingontvangsten </w:t>
      </w:r>
    </w:p>
    <w:p w:rsidRPr="0040452F" w:rsidR="00A6086E" w:rsidP="00A6086E" w:rsidRDefault="00A6086E">
      <w:pPr>
        <w:pStyle w:val="Geenafstand"/>
        <w:spacing w:line="276" w:lineRule="auto"/>
      </w:pPr>
      <w:r>
        <w:t xml:space="preserve">Deze post betreft o.a. een desaldering van 0,9 mln. in 2019-2023. Deze desaldering houdt </w:t>
      </w:r>
      <w:r w:rsidRPr="00337A5F">
        <w:t>verband met de gunning aan KPN van de bemiddelingsdienst voor doven en slecht</w:t>
      </w:r>
      <w:r>
        <w:t>horende</w:t>
      </w:r>
      <w:r w:rsidR="00980981">
        <w:t>n</w:t>
      </w:r>
      <w:r>
        <w:t xml:space="preserve"> voor een nieuwe periode. Daarnaast bevat deze post een desaldering van 4,5 mln. in 2019-2023 </w:t>
      </w:r>
      <w:r w:rsidRPr="0040452F">
        <w:t xml:space="preserve">inzake RVO, waarbij terugontvangen subsidievoorschotten worden ingezet voor subsidiebudgetten. </w:t>
      </w:r>
    </w:p>
    <w:p w:rsidRPr="0040452F" w:rsidR="00A6086E" w:rsidP="00A6086E" w:rsidRDefault="00A6086E">
      <w:pPr>
        <w:pStyle w:val="Geenafstand"/>
        <w:spacing w:line="276" w:lineRule="auto"/>
        <w:rPr>
          <w:i/>
        </w:rPr>
      </w:pPr>
    </w:p>
    <w:p w:rsidR="00D72210" w:rsidP="00A6086E" w:rsidRDefault="00D72210">
      <w:pPr>
        <w:pStyle w:val="Geenafstand"/>
        <w:spacing w:line="276" w:lineRule="auto"/>
        <w:rPr>
          <w:i/>
          <w:szCs w:val="18"/>
        </w:rPr>
      </w:pPr>
    </w:p>
    <w:p w:rsidR="00D72210" w:rsidP="00A6086E" w:rsidRDefault="00D72210">
      <w:pPr>
        <w:pStyle w:val="Geenafstand"/>
        <w:spacing w:line="276" w:lineRule="auto"/>
        <w:rPr>
          <w:i/>
          <w:szCs w:val="18"/>
        </w:rPr>
      </w:pPr>
    </w:p>
    <w:p w:rsidRPr="0040452F" w:rsidR="00A6086E" w:rsidP="00A6086E" w:rsidRDefault="00A6086E">
      <w:pPr>
        <w:pStyle w:val="Geenafstand"/>
        <w:spacing w:line="276" w:lineRule="auto"/>
        <w:rPr>
          <w:i/>
          <w:szCs w:val="18"/>
        </w:rPr>
      </w:pPr>
      <w:r w:rsidRPr="0040452F">
        <w:rPr>
          <w:i/>
          <w:szCs w:val="18"/>
        </w:rPr>
        <w:lastRenderedPageBreak/>
        <w:t>Aanpassing raming prijs aardgasbaten</w:t>
      </w:r>
    </w:p>
    <w:p w:rsidRPr="0040452F" w:rsidR="00A6086E" w:rsidP="00A6086E" w:rsidRDefault="00A6086E">
      <w:pPr>
        <w:pStyle w:val="Geenafstand"/>
        <w:spacing w:line="276" w:lineRule="auto"/>
        <w:rPr>
          <w:szCs w:val="18"/>
        </w:rPr>
      </w:pPr>
      <w:r w:rsidRPr="0040452F">
        <w:rPr>
          <w:szCs w:val="18"/>
        </w:rPr>
        <w:t xml:space="preserve">Deze post betreft het bijstellen van de aardgasbaten naar aanleiding van de nieuwe gasprijs (prijseffect). </w:t>
      </w:r>
    </w:p>
    <w:p w:rsidRPr="0040452F" w:rsidR="00A6086E" w:rsidP="00A6086E" w:rsidRDefault="00A6086E">
      <w:pPr>
        <w:pStyle w:val="Geenafstand"/>
        <w:spacing w:line="276" w:lineRule="auto"/>
        <w:rPr>
          <w:szCs w:val="18"/>
        </w:rPr>
      </w:pPr>
    </w:p>
    <w:p w:rsidRPr="0040452F" w:rsidR="00A6086E" w:rsidP="00A6086E" w:rsidRDefault="00A6086E">
      <w:pPr>
        <w:pStyle w:val="Geenafstand"/>
        <w:spacing w:line="276" w:lineRule="auto"/>
        <w:rPr>
          <w:i/>
          <w:szCs w:val="18"/>
        </w:rPr>
      </w:pPr>
      <w:r w:rsidRPr="0040452F">
        <w:rPr>
          <w:i/>
          <w:szCs w:val="18"/>
        </w:rPr>
        <w:t xml:space="preserve">Correctie aardgasbaten afronding </w:t>
      </w:r>
    </w:p>
    <w:p w:rsidRPr="0040452F" w:rsidR="00A6086E" w:rsidP="00A6086E" w:rsidRDefault="00A6086E">
      <w:pPr>
        <w:pStyle w:val="Geenafstand"/>
        <w:spacing w:line="276" w:lineRule="auto"/>
        <w:rPr>
          <w:szCs w:val="18"/>
        </w:rPr>
      </w:pPr>
      <w:r w:rsidRPr="0040452F">
        <w:rPr>
          <w:szCs w:val="18"/>
        </w:rPr>
        <w:t>Tot en met 2018 werden de gasbaten afgerond op 50 mln. Omdat de gasbaten echter steeds verder afnemen, word</w:t>
      </w:r>
      <w:r>
        <w:rPr>
          <w:szCs w:val="18"/>
        </w:rPr>
        <w:t>t deze volumereeks</w:t>
      </w:r>
      <w:r w:rsidRPr="0040452F">
        <w:rPr>
          <w:szCs w:val="18"/>
        </w:rPr>
        <w:t xml:space="preserve"> voortaan op 10 mln. afgerond.</w:t>
      </w:r>
    </w:p>
    <w:p w:rsidRPr="0040452F" w:rsidR="00A6086E" w:rsidP="00A6086E" w:rsidRDefault="00A6086E">
      <w:pPr>
        <w:pStyle w:val="Geenafstand"/>
        <w:spacing w:line="276" w:lineRule="auto"/>
        <w:rPr>
          <w:szCs w:val="18"/>
        </w:rPr>
      </w:pPr>
    </w:p>
    <w:p w:rsidRPr="0040452F" w:rsidR="00A6086E" w:rsidP="00A6086E" w:rsidRDefault="00A6086E">
      <w:pPr>
        <w:pStyle w:val="Geenafstand"/>
        <w:spacing w:line="276" w:lineRule="auto"/>
        <w:rPr>
          <w:i/>
          <w:szCs w:val="18"/>
        </w:rPr>
      </w:pPr>
      <w:r w:rsidRPr="0040452F">
        <w:rPr>
          <w:i/>
          <w:szCs w:val="18"/>
        </w:rPr>
        <w:t xml:space="preserve">Meevaller ETS-ontvangsten </w:t>
      </w:r>
    </w:p>
    <w:p w:rsidRPr="0040452F" w:rsidR="00A6086E" w:rsidP="00A6086E" w:rsidRDefault="00A6086E">
      <w:pPr>
        <w:pStyle w:val="Geenafstand"/>
        <w:spacing w:line="276" w:lineRule="auto"/>
        <w:rPr>
          <w:szCs w:val="18"/>
        </w:rPr>
      </w:pPr>
      <w:r w:rsidRPr="0040452F">
        <w:rPr>
          <w:szCs w:val="18"/>
        </w:rPr>
        <w:t>Ten opzichte van eerdere ramingen is de verwachte gemiddelde prijs van ETS-rech</w:t>
      </w:r>
      <w:r w:rsidR="002B1507">
        <w:rPr>
          <w:szCs w:val="18"/>
        </w:rPr>
        <w:t>ten in 2019 sterk gestegen (van</w:t>
      </w:r>
      <w:r w:rsidRPr="0040452F">
        <w:rPr>
          <w:szCs w:val="18"/>
        </w:rPr>
        <w:t xml:space="preserve"> 16,32 naar € 20,41 per ETS-recht). Hierdoor is ten opzichte van de eerdere ramingen een meevaller voorzien.</w:t>
      </w:r>
    </w:p>
    <w:p w:rsidRPr="0040452F" w:rsidR="00A6086E" w:rsidP="00A6086E" w:rsidRDefault="00A6086E">
      <w:pPr>
        <w:pStyle w:val="Geenafstand"/>
        <w:spacing w:line="276" w:lineRule="auto"/>
        <w:rPr>
          <w:szCs w:val="18"/>
        </w:rPr>
      </w:pPr>
    </w:p>
    <w:p w:rsidRPr="0040452F" w:rsidR="00A6086E" w:rsidP="00A6086E" w:rsidRDefault="00A6086E">
      <w:pPr>
        <w:pStyle w:val="Geenafstand"/>
        <w:spacing w:line="276" w:lineRule="auto"/>
        <w:rPr>
          <w:i/>
          <w:szCs w:val="18"/>
        </w:rPr>
      </w:pPr>
      <w:r w:rsidRPr="0040452F">
        <w:rPr>
          <w:i/>
          <w:szCs w:val="18"/>
        </w:rPr>
        <w:t xml:space="preserve">Diversen – niet relevant voor het uitgavenplafond, niet-belastingontvangsten </w:t>
      </w:r>
    </w:p>
    <w:p w:rsidR="00A6086E" w:rsidP="00A6086E" w:rsidRDefault="00A6086E">
      <w:pPr>
        <w:spacing w:after="0"/>
        <w:rPr>
          <w:rFonts w:asciiTheme="majorHAnsi" w:hAnsiTheme="majorHAnsi"/>
          <w:b/>
          <w:szCs w:val="18"/>
        </w:rPr>
      </w:pPr>
      <w:r w:rsidRPr="0040452F">
        <w:rPr>
          <w:szCs w:val="18"/>
        </w:rPr>
        <w:t xml:space="preserve">Deze post bevat een afrondingscorrectie op </w:t>
      </w:r>
      <w:r>
        <w:rPr>
          <w:szCs w:val="18"/>
        </w:rPr>
        <w:t xml:space="preserve">bovenstaande mutatie </w:t>
      </w:r>
      <w:r w:rsidRPr="0040452F">
        <w:rPr>
          <w:szCs w:val="18"/>
        </w:rPr>
        <w:t>‘aanpassing raming prijs aardgasbaten’</w:t>
      </w:r>
      <w:r>
        <w:rPr>
          <w:szCs w:val="18"/>
        </w:rPr>
        <w:t xml:space="preserve">. Niet alleen de volumereeks moet worden afgerond op 10 mln. i.p.v. 50 mln., maar ook het prijseffect van de gasprijs moet worden afgerond naar 10 mln. </w:t>
      </w:r>
      <w:r w:rsidRPr="0040452F">
        <w:rPr>
          <w:szCs w:val="18"/>
        </w:rPr>
        <w:t xml:space="preserve">Met deze correctie wordt </w:t>
      </w:r>
      <w:r>
        <w:rPr>
          <w:szCs w:val="18"/>
        </w:rPr>
        <w:t xml:space="preserve">de afronding van het prijseffect op tientallen miljoenen bewerkstelligd. </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D72210" w:rsidR="00D72210" w:rsidTr="00D72210">
        <w:trPr>
          <w:trHeight w:val="225"/>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b/>
                <w:bCs/>
                <w:color w:val="000000"/>
                <w:szCs w:val="18"/>
                <w:lang w:eastAsia="nl-NL"/>
              </w:rPr>
            </w:pPr>
            <w:r w:rsidRPr="00D72210">
              <w:rPr>
                <w:rFonts w:eastAsia="Times New Roman" w:cs="Times New Roman"/>
                <w:b/>
                <w:bCs/>
                <w:color w:val="000000"/>
                <w:szCs w:val="18"/>
                <w:lang w:eastAsia="nl-NL"/>
              </w:rPr>
              <w:lastRenderedPageBreak/>
              <w:t>Landbouw, Natuur en Voedselkwaliteit</w:t>
            </w: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XIV LANDBOUW, NATUUR EN VOEDSELKWALITEIT: UITGAVEN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852,2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826,2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813,3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798,5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805,0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 xml:space="preserve">Interne problematiek </w:t>
            </w:r>
            <w:proofErr w:type="spellStart"/>
            <w:r w:rsidRPr="00D72210">
              <w:rPr>
                <w:rFonts w:eastAsia="Times New Roman" w:cs="Times New Roman"/>
                <w:color w:val="000000"/>
                <w:szCs w:val="18"/>
                <w:lang w:eastAsia="nl-NL"/>
              </w:rPr>
              <w:t>lnv</w:t>
            </w:r>
            <w:proofErr w:type="spellEnd"/>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22,4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Problematiek landbouwbeleid (</w:t>
            </w:r>
            <w:proofErr w:type="spellStart"/>
            <w:r w:rsidRPr="00D72210">
              <w:rPr>
                <w:rFonts w:eastAsia="Times New Roman" w:cs="Times New Roman"/>
                <w:color w:val="000000"/>
                <w:szCs w:val="18"/>
                <w:lang w:eastAsia="nl-NL"/>
              </w:rPr>
              <w:t>glb</w:t>
            </w:r>
            <w:proofErr w:type="spellEnd"/>
            <w:r w:rsidRPr="00D72210">
              <w:rPr>
                <w:rFonts w:eastAsia="Times New Roman" w:cs="Times New Roman"/>
                <w:color w:val="000000"/>
                <w:szCs w:val="18"/>
                <w:lang w:eastAsia="nl-NL"/>
              </w:rPr>
              <w:t xml:space="preserve">, </w:t>
            </w:r>
            <w:proofErr w:type="spellStart"/>
            <w:r w:rsidRPr="00D72210">
              <w:rPr>
                <w:rFonts w:eastAsia="Times New Roman" w:cs="Times New Roman"/>
                <w:color w:val="000000"/>
                <w:szCs w:val="18"/>
                <w:lang w:eastAsia="nl-NL"/>
              </w:rPr>
              <w:t>nvwa</w:t>
            </w:r>
            <w:proofErr w:type="spellEnd"/>
            <w:r w:rsidRPr="00D72210">
              <w:rPr>
                <w:rFonts w:eastAsia="Times New Roman" w:cs="Times New Roman"/>
                <w:color w:val="000000"/>
                <w:szCs w:val="18"/>
                <w:lang w:eastAsia="nl-NL"/>
              </w:rPr>
              <w:t xml:space="preserve"> en fosfaat)</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25,5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42,9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26,1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13,3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51,6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66,3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45,5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2,7</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E23 envelop klimaat</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F29 regeling sanering varkenshouderij incl. uitvoering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101,2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48,5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18,1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F30 enveloppe agrarische bedrijfsopvolging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25,0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45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 xml:space="preserve">L105 overboeking regionale knelpunten vanaf </w:t>
            </w:r>
            <w:proofErr w:type="spellStart"/>
            <w:r w:rsidRPr="00D72210">
              <w:rPr>
                <w:rFonts w:eastAsia="Times New Roman" w:cs="Times New Roman"/>
                <w:color w:val="000000"/>
                <w:szCs w:val="18"/>
                <w:lang w:eastAsia="nl-NL"/>
              </w:rPr>
              <w:t>ap</w:t>
            </w:r>
            <w:proofErr w:type="spellEnd"/>
            <w:r w:rsidRPr="00D72210">
              <w:rPr>
                <w:rFonts w:eastAsia="Times New Roman" w:cs="Times New Roman"/>
                <w:color w:val="000000"/>
                <w:szCs w:val="18"/>
                <w:lang w:eastAsia="nl-NL"/>
              </w:rPr>
              <w:t xml:space="preserve">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59,9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 xml:space="preserve">Regiodeal 2019 </w:t>
            </w:r>
            <w:proofErr w:type="spellStart"/>
            <w:r w:rsidRPr="00D72210">
              <w:rPr>
                <w:rFonts w:eastAsia="Times New Roman" w:cs="Times New Roman"/>
                <w:color w:val="000000"/>
                <w:szCs w:val="18"/>
                <w:lang w:eastAsia="nl-NL"/>
              </w:rPr>
              <w:t>brainport</w:t>
            </w:r>
            <w:proofErr w:type="spellEnd"/>
            <w:r w:rsidRPr="00D72210">
              <w:rPr>
                <w:rFonts w:eastAsia="Times New Roman" w:cs="Times New Roman"/>
                <w:color w:val="000000"/>
                <w:szCs w:val="18"/>
                <w:lang w:eastAsia="nl-NL"/>
              </w:rPr>
              <w:t xml:space="preserve"> </w:t>
            </w:r>
            <w:proofErr w:type="spellStart"/>
            <w:r w:rsidRPr="00D72210">
              <w:rPr>
                <w:rFonts w:eastAsia="Times New Roman" w:cs="Times New Roman"/>
                <w:color w:val="000000"/>
                <w:szCs w:val="18"/>
                <w:lang w:eastAsia="nl-NL"/>
              </w:rPr>
              <w:t>eindhoven</w:t>
            </w:r>
            <w:proofErr w:type="spellEnd"/>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-41,6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22,9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28,3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34,4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37,9</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115,9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156,4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80,9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54,9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46,3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167,5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222,6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126,3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66,4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49,0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1.019,7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1.048,9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939,7</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864,9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854,0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32,9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31,6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31,2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31,2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31,2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1.052,6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1.080,5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970,8</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896,1</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885,2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10860" w:type="dxa"/>
            <w:gridSpan w:val="7"/>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XIV LANDBOUW, NATUUR EN VOEDSELKWALITEIT: NIET-BELASTINGONTVANGSTEN</w:t>
            </w:r>
          </w:p>
        </w:tc>
      </w:tr>
      <w:tr w:rsidRPr="00D72210" w:rsidR="00D72210" w:rsidTr="00D72210">
        <w:trPr>
          <w:trHeight w:val="315"/>
        </w:trPr>
        <w:tc>
          <w:tcPr>
            <w:tcW w:w="43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88,6</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75,8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73,2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66,8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62,4</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8,3</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3,8</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30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r w:rsidRPr="00D72210">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ind w:firstLine="360" w:firstLineChars="200"/>
              <w:rPr>
                <w:rFonts w:eastAsia="Times New Roman" w:cs="Times New Roman"/>
                <w:color w:val="000000"/>
                <w:szCs w:val="18"/>
                <w:lang w:eastAsia="nl-NL"/>
              </w:rPr>
            </w:pPr>
            <w:r w:rsidRPr="00D72210">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8,5</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5,9</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5,4</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8,5</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5,9</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16,8</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9,7</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12,3</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5,2</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6,2</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31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rPr>
                <w:rFonts w:ascii="Times New Roman" w:hAnsi="Times New Roman" w:eastAsia="Times New Roman" w:cs="Times New Roman"/>
                <w:sz w:val="20"/>
                <w:szCs w:val="20"/>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105,4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85,4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85,6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72,0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68,6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40"/>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r w:rsidRPr="00D72210" w:rsidR="00D72210" w:rsidTr="00D72210">
        <w:trPr>
          <w:trHeight w:val="225"/>
        </w:trPr>
        <w:tc>
          <w:tcPr>
            <w:tcW w:w="4360" w:type="dxa"/>
            <w:tcBorders>
              <w:top w:val="nil"/>
              <w:left w:val="nil"/>
              <w:bottom w:val="nil"/>
              <w:right w:val="nil"/>
            </w:tcBorders>
            <w:shd w:val="clear" w:color="auto" w:fill="auto"/>
            <w:hideMark/>
          </w:tcPr>
          <w:p w:rsidRPr="00D72210" w:rsidR="00D72210" w:rsidP="00D72210" w:rsidRDefault="00D72210">
            <w:pPr>
              <w:spacing w:after="0" w:line="240" w:lineRule="auto"/>
              <w:rPr>
                <w:rFonts w:eastAsia="Times New Roman" w:cs="Times New Roman"/>
                <w:color w:val="000000"/>
                <w:szCs w:val="18"/>
                <w:lang w:eastAsia="nl-NL"/>
              </w:rPr>
            </w:pPr>
            <w:r w:rsidRPr="00D72210">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105,4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85,4</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85,6</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72,0</w:t>
            </w:r>
          </w:p>
        </w:tc>
        <w:tc>
          <w:tcPr>
            <w:tcW w:w="1060" w:type="dxa"/>
            <w:tcBorders>
              <w:top w:val="single" w:color="000000" w:sz="8" w:space="0"/>
              <w:left w:val="nil"/>
              <w:bottom w:val="nil"/>
              <w:right w:val="nil"/>
            </w:tcBorders>
            <w:shd w:val="clear" w:color="auto" w:fill="auto"/>
            <w:hideMark/>
          </w:tcPr>
          <w:p w:rsidRPr="00D72210" w:rsidR="00D72210" w:rsidP="00D72210" w:rsidRDefault="00D72210">
            <w:pPr>
              <w:spacing w:after="0" w:line="240" w:lineRule="auto"/>
              <w:jc w:val="right"/>
              <w:rPr>
                <w:rFonts w:eastAsia="Times New Roman" w:cs="Times New Roman"/>
                <w:color w:val="000000"/>
                <w:szCs w:val="18"/>
                <w:lang w:eastAsia="nl-NL"/>
              </w:rPr>
            </w:pPr>
            <w:r w:rsidRPr="00D72210">
              <w:rPr>
                <w:rFonts w:eastAsia="Times New Roman" w:cs="Times New Roman"/>
                <w:color w:val="000000"/>
                <w:szCs w:val="18"/>
                <w:lang w:eastAsia="nl-NL"/>
              </w:rPr>
              <w:t>68,6</w:t>
            </w:r>
          </w:p>
        </w:tc>
        <w:tc>
          <w:tcPr>
            <w:tcW w:w="1080" w:type="dxa"/>
            <w:tcBorders>
              <w:top w:val="nil"/>
              <w:left w:val="nil"/>
              <w:bottom w:val="nil"/>
              <w:right w:val="nil"/>
            </w:tcBorders>
            <w:shd w:val="clear" w:color="auto" w:fill="auto"/>
            <w:noWrap/>
            <w:vAlign w:val="bottom"/>
            <w:hideMark/>
          </w:tcPr>
          <w:p w:rsidRPr="00D72210" w:rsidR="00D72210" w:rsidP="00D72210" w:rsidRDefault="00D72210">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00F47B65" w:rsidP="00F47B65" w:rsidRDefault="00F47B65">
      <w:pPr>
        <w:spacing w:line="240" w:lineRule="atLeast"/>
        <w:contextualSpacing/>
        <w:rPr>
          <w:i/>
          <w:szCs w:val="18"/>
        </w:rPr>
      </w:pPr>
    </w:p>
    <w:p w:rsidR="00F47B65" w:rsidP="00F47B65" w:rsidRDefault="00F47B65">
      <w:pPr>
        <w:spacing w:line="240" w:lineRule="atLeast"/>
        <w:contextualSpacing/>
        <w:rPr>
          <w:i/>
          <w:szCs w:val="18"/>
        </w:rPr>
      </w:pPr>
    </w:p>
    <w:p w:rsidRPr="00323E12" w:rsidR="00F47B65" w:rsidP="00F47B65" w:rsidRDefault="00F47B65">
      <w:pPr>
        <w:spacing w:after="0" w:line="240" w:lineRule="atLeast"/>
        <w:contextualSpacing/>
        <w:rPr>
          <w:i/>
          <w:szCs w:val="18"/>
        </w:rPr>
      </w:pPr>
      <w:r>
        <w:rPr>
          <w:i/>
          <w:szCs w:val="18"/>
        </w:rPr>
        <w:lastRenderedPageBreak/>
        <w:t>Interne problematiek LNV</w:t>
      </w:r>
    </w:p>
    <w:p w:rsidRPr="00323E12" w:rsidR="00657536" w:rsidP="00657536" w:rsidRDefault="00657536">
      <w:pPr>
        <w:spacing w:after="0" w:line="240" w:lineRule="atLeast"/>
        <w:contextualSpacing/>
        <w:rPr>
          <w:szCs w:val="18"/>
        </w:rPr>
      </w:pPr>
      <w:r w:rsidRPr="00323E12">
        <w:rPr>
          <w:szCs w:val="18"/>
        </w:rPr>
        <w:t xml:space="preserve">Deze verzamelpost bestaat uit een aantal tegenvallers die LNV dekt middels meevallers en ombuigingen. De tegenvallers bestaan o.a. uit betalingen aan de kustwacht, meerwerk </w:t>
      </w:r>
      <w:r>
        <w:rPr>
          <w:szCs w:val="18"/>
        </w:rPr>
        <w:t>van de Rijksdienst voor Ondernemend Nederland (</w:t>
      </w:r>
      <w:r w:rsidRPr="00323E12">
        <w:rPr>
          <w:szCs w:val="18"/>
        </w:rPr>
        <w:t>RVO</w:t>
      </w:r>
      <w:r>
        <w:rPr>
          <w:szCs w:val="18"/>
        </w:rPr>
        <w:t>)</w:t>
      </w:r>
      <w:r w:rsidRPr="00323E12">
        <w:rPr>
          <w:szCs w:val="18"/>
        </w:rPr>
        <w:t xml:space="preserve"> en </w:t>
      </w:r>
      <w:r>
        <w:rPr>
          <w:szCs w:val="18"/>
        </w:rPr>
        <w:t>de versterkte handhavingsstrategie voor mestbeleid</w:t>
      </w:r>
      <w:r w:rsidRPr="00323E12">
        <w:rPr>
          <w:szCs w:val="18"/>
        </w:rPr>
        <w:t>.</w:t>
      </w:r>
    </w:p>
    <w:p w:rsidRPr="00323E12" w:rsidR="00F47B65" w:rsidP="00F47B65" w:rsidRDefault="00F47B65">
      <w:pPr>
        <w:spacing w:after="0" w:line="240" w:lineRule="atLeast"/>
        <w:contextualSpacing/>
        <w:rPr>
          <w:i/>
          <w:szCs w:val="18"/>
        </w:rPr>
      </w:pPr>
    </w:p>
    <w:p w:rsidRPr="00323E12" w:rsidR="00F47B65" w:rsidP="00F47B65" w:rsidRDefault="00F47B65">
      <w:pPr>
        <w:spacing w:after="0" w:line="240" w:lineRule="atLeast"/>
        <w:contextualSpacing/>
        <w:rPr>
          <w:i/>
          <w:szCs w:val="18"/>
        </w:rPr>
      </w:pPr>
      <w:r w:rsidRPr="00323E12">
        <w:rPr>
          <w:i/>
          <w:szCs w:val="18"/>
        </w:rPr>
        <w:t>Problematiek Landbouwbeleid (GLB, NVWA, Fosfaat)</w:t>
      </w:r>
    </w:p>
    <w:p w:rsidRPr="00323E12" w:rsidR="00F47B65" w:rsidP="00F47B65" w:rsidRDefault="00F47B65">
      <w:pPr>
        <w:spacing w:after="0" w:line="240" w:lineRule="atLeast"/>
        <w:contextualSpacing/>
        <w:rPr>
          <w:szCs w:val="18"/>
        </w:rPr>
      </w:pPr>
      <w:r w:rsidRPr="00323E12">
        <w:rPr>
          <w:szCs w:val="18"/>
        </w:rPr>
        <w:t>LNV heeft een aantal tegenvallers op haar begroting, zoals de gevolgen van een uitspraak van het College van</w:t>
      </w:r>
      <w:r>
        <w:rPr>
          <w:szCs w:val="18"/>
        </w:rPr>
        <w:t xml:space="preserve"> Beroep voor het bedrijfsleven</w:t>
      </w:r>
      <w:r w:rsidRPr="00323E12">
        <w:rPr>
          <w:szCs w:val="18"/>
        </w:rPr>
        <w:t xml:space="preserve"> over retributies bij de </w:t>
      </w:r>
      <w:r w:rsidR="00657536">
        <w:rPr>
          <w:szCs w:val="18"/>
        </w:rPr>
        <w:t>Nederlandse Voedsel- en warenautoriteit (NVWA)</w:t>
      </w:r>
      <w:r w:rsidRPr="00323E12">
        <w:rPr>
          <w:szCs w:val="18"/>
        </w:rPr>
        <w:t xml:space="preserve"> en extra kosten bij </w:t>
      </w:r>
      <w:r>
        <w:rPr>
          <w:szCs w:val="18"/>
        </w:rPr>
        <w:t xml:space="preserve">de </w:t>
      </w:r>
      <w:r w:rsidRPr="00323E12">
        <w:rPr>
          <w:szCs w:val="18"/>
        </w:rPr>
        <w:t>RVO door de vele procedures die voortkomen uit de wet- en regelgeving omtrent het fosfaatrechtensysteem. Daarnaast zijn er implementatiekosten voor het nieuwe Europese Gemeenschappelijk Landbouwbeleid (GLB).</w:t>
      </w:r>
    </w:p>
    <w:p w:rsidRPr="00323E12" w:rsidR="00F47B65" w:rsidP="00F47B65" w:rsidRDefault="00F47B65">
      <w:pPr>
        <w:pStyle w:val="Geenafstand"/>
        <w:spacing w:line="240" w:lineRule="atLeast"/>
        <w:rPr>
          <w:i/>
        </w:rPr>
      </w:pPr>
    </w:p>
    <w:p w:rsidRPr="00323E12" w:rsidR="00F47B65" w:rsidP="00F47B65" w:rsidRDefault="00F47B65">
      <w:pPr>
        <w:pStyle w:val="Geenafstand"/>
        <w:spacing w:line="240" w:lineRule="atLeast"/>
        <w:rPr>
          <w:i/>
        </w:rPr>
      </w:pPr>
      <w:r w:rsidRPr="00323E12">
        <w:rPr>
          <w:i/>
        </w:rPr>
        <w:t>Diversen – beleidsmatige mutaties</w:t>
      </w:r>
      <w:r>
        <w:rPr>
          <w:i/>
        </w:rPr>
        <w:t>, uitgaven</w:t>
      </w:r>
    </w:p>
    <w:p w:rsidRPr="0023004A" w:rsidR="00F47B65" w:rsidP="00F47B65" w:rsidRDefault="00F47B65">
      <w:pPr>
        <w:pStyle w:val="Geenafstand"/>
        <w:spacing w:line="240" w:lineRule="atLeast"/>
      </w:pPr>
      <w:r w:rsidRPr="0023004A">
        <w:t xml:space="preserve">Hieronder vallen </w:t>
      </w:r>
      <w:r>
        <w:t>onder andere extra kosten voor Cloud-werkplekken</w:t>
      </w:r>
      <w:r w:rsidRPr="0023004A">
        <w:t xml:space="preserve"> en een kasschuif van 2018 naar 2019 </w:t>
      </w:r>
      <w:r>
        <w:t>ten behoeve van</w:t>
      </w:r>
      <w:r w:rsidRPr="0023004A">
        <w:t xml:space="preserve"> klimaatmiddelen. </w:t>
      </w:r>
    </w:p>
    <w:p w:rsidRPr="00323E12" w:rsidR="00F47B65" w:rsidP="00F47B65" w:rsidRDefault="00F47B65">
      <w:pPr>
        <w:pStyle w:val="Geenafstand"/>
        <w:spacing w:line="240" w:lineRule="atLeast"/>
        <w:rPr>
          <w:i/>
        </w:rPr>
      </w:pPr>
    </w:p>
    <w:p w:rsidRPr="00323E12" w:rsidR="00F47B65" w:rsidP="00F47B65" w:rsidRDefault="00F47B65">
      <w:pPr>
        <w:pStyle w:val="Geenafstand"/>
        <w:spacing w:line="240" w:lineRule="atLeast"/>
        <w:rPr>
          <w:i/>
        </w:rPr>
      </w:pPr>
      <w:r>
        <w:rPr>
          <w:i/>
        </w:rPr>
        <w:t>E23 E</w:t>
      </w:r>
      <w:r w:rsidRPr="00323E12">
        <w:rPr>
          <w:i/>
        </w:rPr>
        <w:t xml:space="preserve">nvelop klimaat </w:t>
      </w:r>
    </w:p>
    <w:p w:rsidRPr="00323E12" w:rsidR="00F47B65" w:rsidP="00F47B65" w:rsidRDefault="00F47B65">
      <w:pPr>
        <w:pStyle w:val="Geenafstand"/>
        <w:spacing w:line="240" w:lineRule="atLeast"/>
        <w:rPr>
          <w:szCs w:val="18"/>
        </w:rPr>
      </w:pPr>
      <w:r w:rsidRPr="00323E12">
        <w:rPr>
          <w:szCs w:val="18"/>
        </w:rPr>
        <w:t xml:space="preserve">In het Regeerakkoord is een enveloppe van 300 mln. per jaar (2018-2030) opgenomen op de </w:t>
      </w:r>
      <w:r>
        <w:rPr>
          <w:szCs w:val="18"/>
        </w:rPr>
        <w:t>A</w:t>
      </w:r>
      <w:r w:rsidRPr="00323E12">
        <w:rPr>
          <w:szCs w:val="18"/>
        </w:rPr>
        <w:t xml:space="preserve">anvullende </w:t>
      </w:r>
      <w:r>
        <w:rPr>
          <w:szCs w:val="18"/>
        </w:rPr>
        <w:t>P</w:t>
      </w:r>
      <w:r w:rsidRPr="00323E12">
        <w:rPr>
          <w:szCs w:val="18"/>
        </w:rPr>
        <w:t xml:space="preserve">ost voor </w:t>
      </w:r>
      <w:r>
        <w:rPr>
          <w:szCs w:val="18"/>
        </w:rPr>
        <w:t>k</w:t>
      </w:r>
      <w:r w:rsidRPr="00323E12">
        <w:rPr>
          <w:szCs w:val="18"/>
        </w:rPr>
        <w:t>limaat (maatregel E23 uit het Regeerakkoord). Voor</w:t>
      </w:r>
      <w:r>
        <w:rPr>
          <w:szCs w:val="18"/>
        </w:rPr>
        <w:t xml:space="preserve"> 2019 is er met een Nota van Wijziging een bedrag van 32,4</w:t>
      </w:r>
      <w:r w:rsidRPr="00323E12">
        <w:rPr>
          <w:szCs w:val="18"/>
        </w:rPr>
        <w:t xml:space="preserve"> mln. overgeh</w:t>
      </w:r>
      <w:r>
        <w:rPr>
          <w:szCs w:val="18"/>
        </w:rPr>
        <w:t>eveld naar de begroting van LNV</w:t>
      </w:r>
      <w:r w:rsidRPr="00323E12">
        <w:rPr>
          <w:szCs w:val="18"/>
        </w:rPr>
        <w:t>.</w:t>
      </w:r>
    </w:p>
    <w:p w:rsidRPr="00323E12" w:rsidR="00F47B65" w:rsidP="00F47B65" w:rsidRDefault="00F47B65">
      <w:pPr>
        <w:spacing w:after="0" w:line="240" w:lineRule="atLeast"/>
        <w:rPr>
          <w:rFonts w:eastAsia="Times New Roman"/>
        </w:rPr>
      </w:pPr>
    </w:p>
    <w:p w:rsidRPr="00323E12" w:rsidR="00F47B65" w:rsidP="00F47B65" w:rsidRDefault="00F47B65">
      <w:pPr>
        <w:spacing w:after="0" w:line="240" w:lineRule="atLeast"/>
        <w:rPr>
          <w:i/>
          <w:iCs/>
          <w:szCs w:val="18"/>
        </w:rPr>
      </w:pPr>
      <w:r w:rsidRPr="00323E12">
        <w:rPr>
          <w:i/>
          <w:iCs/>
          <w:szCs w:val="18"/>
        </w:rPr>
        <w:t>F29 Cofinanciering Fonds warme sanering varkenshouderij</w:t>
      </w:r>
    </w:p>
    <w:p w:rsidRPr="00323E12" w:rsidR="00F47B65" w:rsidP="00F47B65" w:rsidRDefault="00F47B65">
      <w:pPr>
        <w:spacing w:after="0" w:line="240" w:lineRule="atLeast"/>
        <w:rPr>
          <w:szCs w:val="18"/>
        </w:rPr>
      </w:pPr>
      <w:r w:rsidRPr="007371C2">
        <w:rPr>
          <w:szCs w:val="18"/>
        </w:rPr>
        <w:t xml:space="preserve">Dit betreft de overboeking van middelen voor de warme sanering van de varkenshouderij </w:t>
      </w:r>
      <w:r>
        <w:rPr>
          <w:szCs w:val="18"/>
        </w:rPr>
        <w:t xml:space="preserve">van de Aanvullende Post </w:t>
      </w:r>
      <w:r w:rsidRPr="007371C2">
        <w:rPr>
          <w:szCs w:val="18"/>
        </w:rPr>
        <w:t xml:space="preserve">naar de begroting van LNV. Deze maatregel uit het Regeerakkoord </w:t>
      </w:r>
      <w:r w:rsidRPr="00323E12">
        <w:rPr>
          <w:szCs w:val="18"/>
        </w:rPr>
        <w:t xml:space="preserve">wordt vormgegeven door een saneringsregeling in de gebieden </w:t>
      </w:r>
      <w:r w:rsidR="00657536">
        <w:rPr>
          <w:szCs w:val="18"/>
        </w:rPr>
        <w:t>Z</w:t>
      </w:r>
      <w:r w:rsidRPr="00323E12">
        <w:rPr>
          <w:szCs w:val="18"/>
        </w:rPr>
        <w:t xml:space="preserve">uid en </w:t>
      </w:r>
      <w:r w:rsidR="00657536">
        <w:rPr>
          <w:szCs w:val="18"/>
        </w:rPr>
        <w:t>O</w:t>
      </w:r>
      <w:r w:rsidRPr="00323E12">
        <w:rPr>
          <w:szCs w:val="18"/>
        </w:rPr>
        <w:t xml:space="preserve">ost, waarbij de grootste veroorzakers van stankoverlast tegen een vergoeding kunnen stoppen. Daarnaast zijn er middelen voor stalinnovaties in de varkenshouderij, pluimveehouderij en </w:t>
      </w:r>
      <w:proofErr w:type="spellStart"/>
      <w:r w:rsidRPr="00323E12">
        <w:rPr>
          <w:szCs w:val="18"/>
        </w:rPr>
        <w:t>melkgeitenhouderij</w:t>
      </w:r>
      <w:proofErr w:type="spellEnd"/>
      <w:r w:rsidRPr="00323E12">
        <w:rPr>
          <w:szCs w:val="18"/>
        </w:rPr>
        <w:t xml:space="preserve">. </w:t>
      </w:r>
    </w:p>
    <w:p w:rsidRPr="00323E12" w:rsidR="00F47B65" w:rsidP="00F47B65" w:rsidRDefault="00F47B65">
      <w:pPr>
        <w:spacing w:after="0" w:line="240" w:lineRule="atLeast"/>
        <w:contextualSpacing/>
        <w:rPr>
          <w:szCs w:val="18"/>
        </w:rPr>
      </w:pPr>
    </w:p>
    <w:p w:rsidRPr="00323E12" w:rsidR="00F47B65" w:rsidP="00F47B65" w:rsidRDefault="00F47B65">
      <w:pPr>
        <w:spacing w:after="0" w:line="240" w:lineRule="atLeast"/>
        <w:rPr>
          <w:i/>
          <w:iCs/>
          <w:szCs w:val="18"/>
        </w:rPr>
      </w:pPr>
      <w:r w:rsidRPr="00323E12">
        <w:rPr>
          <w:i/>
          <w:iCs/>
          <w:szCs w:val="18"/>
        </w:rPr>
        <w:t>F30 Fonds bedrijfsopvolging agrarische sector</w:t>
      </w:r>
    </w:p>
    <w:p w:rsidRPr="00323E12" w:rsidR="00F47B65" w:rsidP="00F47B65" w:rsidRDefault="00F47B65">
      <w:pPr>
        <w:spacing w:after="0" w:line="240" w:lineRule="atLeast"/>
        <w:rPr>
          <w:szCs w:val="18"/>
        </w:rPr>
      </w:pPr>
      <w:r w:rsidRPr="007371C2">
        <w:rPr>
          <w:szCs w:val="18"/>
        </w:rPr>
        <w:t xml:space="preserve">Dit betreft de overboeking van middelen voor </w:t>
      </w:r>
      <w:r>
        <w:rPr>
          <w:szCs w:val="18"/>
        </w:rPr>
        <w:t xml:space="preserve">bedrijfsopvolging in de agrarische sector van de Aanvullende Post </w:t>
      </w:r>
      <w:r w:rsidRPr="007371C2">
        <w:rPr>
          <w:szCs w:val="18"/>
        </w:rPr>
        <w:t>naar de begroting van LNV</w:t>
      </w:r>
      <w:r>
        <w:rPr>
          <w:szCs w:val="18"/>
        </w:rPr>
        <w:t>.</w:t>
      </w:r>
      <w:r w:rsidRPr="00323E12">
        <w:rPr>
          <w:szCs w:val="18"/>
        </w:rPr>
        <w:t xml:space="preserve"> In het </w:t>
      </w:r>
      <w:r>
        <w:rPr>
          <w:szCs w:val="18"/>
        </w:rPr>
        <w:t>Regeerakkoord</w:t>
      </w:r>
      <w:r w:rsidRPr="00323E12">
        <w:rPr>
          <w:szCs w:val="18"/>
        </w:rPr>
        <w:t xml:space="preserve"> is opgenomen dat er, om de bedrijfsopvolging binnen het boerenbedrijf te steunen, een fonds voor ondersteuning van bedrijfsopvolging bij jonge agrariërs komt. Dit wordt vormgegeven via een garantieregeling waarmee starters/overnemers aanvullende investeringen kunnen doen voor verduurzaming. Daarnaast worden jonge agrariërs ondersteund bij de socio-economische aspecten van overnames.</w:t>
      </w:r>
    </w:p>
    <w:p w:rsidRPr="00323E12" w:rsidR="00F47B65" w:rsidP="00F47B65" w:rsidRDefault="00F47B65">
      <w:pPr>
        <w:spacing w:after="0" w:line="240" w:lineRule="atLeast"/>
        <w:contextualSpacing/>
        <w:rPr>
          <w:szCs w:val="18"/>
        </w:rPr>
      </w:pPr>
    </w:p>
    <w:p w:rsidRPr="00323E12" w:rsidR="00F47B65" w:rsidP="00F47B65" w:rsidRDefault="00F47B65">
      <w:pPr>
        <w:spacing w:after="0" w:line="240" w:lineRule="atLeast"/>
        <w:rPr>
          <w:i/>
          <w:iCs/>
          <w:szCs w:val="18"/>
        </w:rPr>
      </w:pPr>
      <w:r w:rsidRPr="00323E12">
        <w:rPr>
          <w:i/>
          <w:iCs/>
          <w:szCs w:val="18"/>
        </w:rPr>
        <w:t>L105 Overboeking regionale knelpunten vanaf AP 2019</w:t>
      </w:r>
    </w:p>
    <w:p w:rsidRPr="00323E12" w:rsidR="00F47B65" w:rsidP="00F47B65" w:rsidRDefault="00F47B65">
      <w:pPr>
        <w:spacing w:after="0" w:line="240" w:lineRule="atLeast"/>
        <w:rPr>
          <w:szCs w:val="18"/>
        </w:rPr>
      </w:pPr>
      <w:r w:rsidRPr="00323E12">
        <w:rPr>
          <w:szCs w:val="18"/>
        </w:rPr>
        <w:t>Deze overboeking betreft middelen vanuit de regio</w:t>
      </w:r>
      <w:r>
        <w:rPr>
          <w:szCs w:val="18"/>
        </w:rPr>
        <w:t>-</w:t>
      </w:r>
      <w:r w:rsidRPr="00323E12">
        <w:rPr>
          <w:szCs w:val="18"/>
        </w:rPr>
        <w:t xml:space="preserve">envelop voor de preferente opgaven Eindhoven en Zeeland. Ook zijn er middelen beschikbaar gesteld voor de BES-eilanden. </w:t>
      </w:r>
      <w:r>
        <w:rPr>
          <w:szCs w:val="18"/>
        </w:rPr>
        <w:t xml:space="preserve">Deze middelen worden vanaf de LNV-begroting doorgezet naar het </w:t>
      </w:r>
      <w:r w:rsidR="00B01063">
        <w:rPr>
          <w:szCs w:val="18"/>
        </w:rPr>
        <w:t>p</w:t>
      </w:r>
      <w:r>
        <w:rPr>
          <w:szCs w:val="18"/>
        </w:rPr>
        <w:t xml:space="preserve">rovinciefonds en het </w:t>
      </w:r>
      <w:r w:rsidR="00B01063">
        <w:rPr>
          <w:szCs w:val="18"/>
        </w:rPr>
        <w:t>g</w:t>
      </w:r>
      <w:r>
        <w:rPr>
          <w:szCs w:val="18"/>
        </w:rPr>
        <w:t>emeentefonds.</w:t>
      </w:r>
    </w:p>
    <w:p w:rsidR="00F47B65" w:rsidP="00F47B65" w:rsidRDefault="00F47B65">
      <w:pPr>
        <w:spacing w:after="0" w:line="240" w:lineRule="atLeast"/>
        <w:rPr>
          <w:i/>
          <w:iCs/>
          <w:szCs w:val="18"/>
        </w:rPr>
      </w:pPr>
    </w:p>
    <w:p w:rsidR="00F47B65" w:rsidP="00F47B65" w:rsidRDefault="00F47B65">
      <w:pPr>
        <w:spacing w:after="0" w:line="240" w:lineRule="atLeast"/>
        <w:rPr>
          <w:i/>
          <w:iCs/>
          <w:szCs w:val="18"/>
        </w:rPr>
      </w:pPr>
      <w:r>
        <w:rPr>
          <w:i/>
          <w:iCs/>
          <w:szCs w:val="18"/>
        </w:rPr>
        <w:t>Regiodeal 2019 Brainport Eindhoven</w:t>
      </w:r>
    </w:p>
    <w:p w:rsidRPr="0023004A" w:rsidR="00F47B65" w:rsidP="00F47B65" w:rsidRDefault="00F47B65">
      <w:pPr>
        <w:spacing w:after="0" w:line="240" w:lineRule="atLeast"/>
        <w:rPr>
          <w:iCs/>
          <w:szCs w:val="18"/>
        </w:rPr>
      </w:pPr>
      <w:r>
        <w:rPr>
          <w:iCs/>
          <w:szCs w:val="18"/>
        </w:rPr>
        <w:t>Met deze overboeking worden middelen van de regio-envelop via de begroting van LNV doorgezet naar het Gemeentefonds.</w:t>
      </w:r>
    </w:p>
    <w:p w:rsidRPr="0023004A" w:rsidR="00F47B65" w:rsidP="00F47B65" w:rsidRDefault="00F47B65">
      <w:pPr>
        <w:spacing w:after="0" w:line="240" w:lineRule="atLeast"/>
        <w:rPr>
          <w:i/>
          <w:szCs w:val="18"/>
        </w:rPr>
      </w:pPr>
    </w:p>
    <w:p w:rsidRPr="0023004A" w:rsidR="00F47B65" w:rsidP="00F47B65" w:rsidRDefault="00F47B65">
      <w:pPr>
        <w:spacing w:after="0" w:line="240" w:lineRule="atLeast"/>
        <w:rPr>
          <w:i/>
          <w:szCs w:val="18"/>
        </w:rPr>
      </w:pPr>
      <w:r w:rsidRPr="0023004A">
        <w:rPr>
          <w:i/>
          <w:szCs w:val="18"/>
        </w:rPr>
        <w:t>Diversen – technische mutaties</w:t>
      </w:r>
      <w:r>
        <w:rPr>
          <w:i/>
          <w:szCs w:val="18"/>
        </w:rPr>
        <w:t>, uitgaven</w:t>
      </w:r>
    </w:p>
    <w:p w:rsidRPr="00B0312E" w:rsidR="00F47B65" w:rsidP="00F47B65" w:rsidRDefault="00F47B65">
      <w:pPr>
        <w:spacing w:after="0" w:line="240" w:lineRule="atLeast"/>
        <w:rPr>
          <w:szCs w:val="18"/>
        </w:rPr>
      </w:pPr>
      <w:r>
        <w:rPr>
          <w:szCs w:val="18"/>
        </w:rPr>
        <w:t xml:space="preserve">Onder de diversenpost vallen onder andere de bijdrage van LNV aan informatiebeveiliging, een overheveling van EZK naar LNV </w:t>
      </w:r>
      <w:r w:rsidRPr="00B0312E">
        <w:rPr>
          <w:szCs w:val="18"/>
        </w:rPr>
        <w:t>vanwege de herinrichting van het departement en de toekenning van de loon- en prijsbijstellingstranches 2019. Ook zijn er middelen overgeboekt naar de provincies voor project veenweiden in het kader van klimaatproblematiek.</w:t>
      </w:r>
    </w:p>
    <w:p w:rsidRPr="00B0312E" w:rsidR="00F47B65" w:rsidP="00F47B65" w:rsidRDefault="00F47B65">
      <w:pPr>
        <w:spacing w:after="0" w:line="240" w:lineRule="atLeast"/>
        <w:rPr>
          <w:i/>
          <w:szCs w:val="18"/>
        </w:rPr>
      </w:pPr>
    </w:p>
    <w:p w:rsidRPr="00B0312E" w:rsidR="00F47B65" w:rsidP="00F47B65" w:rsidRDefault="00F47B65">
      <w:pPr>
        <w:spacing w:after="0" w:line="240" w:lineRule="atLeast"/>
        <w:rPr>
          <w:rFonts w:eastAsia="Times New Roman"/>
          <w:i/>
          <w:szCs w:val="18"/>
        </w:rPr>
      </w:pPr>
      <w:r w:rsidRPr="00B0312E">
        <w:rPr>
          <w:rFonts w:eastAsia="Times New Roman"/>
          <w:i/>
          <w:szCs w:val="18"/>
        </w:rPr>
        <w:t>Diversen – beleidsmatige mutaties</w:t>
      </w:r>
      <w:r>
        <w:rPr>
          <w:rFonts w:eastAsia="Times New Roman"/>
          <w:i/>
          <w:szCs w:val="18"/>
        </w:rPr>
        <w:t>, ontvangsten</w:t>
      </w:r>
    </w:p>
    <w:p w:rsidRPr="00B0312E" w:rsidR="00F47B65" w:rsidP="00F47B65" w:rsidRDefault="00F47B65">
      <w:pPr>
        <w:spacing w:after="0" w:line="240" w:lineRule="atLeast"/>
        <w:rPr>
          <w:rFonts w:eastAsia="Times New Roman"/>
          <w:szCs w:val="18"/>
        </w:rPr>
      </w:pPr>
      <w:r w:rsidRPr="00B0312E">
        <w:rPr>
          <w:rFonts w:eastAsia="Times New Roman"/>
          <w:szCs w:val="18"/>
        </w:rPr>
        <w:t xml:space="preserve">Onder de beleidsmatige ontvangsten wordt de dekking voor de problematiek geschaard. Zo zet LNV middelen in vanuit de reserve </w:t>
      </w:r>
      <w:proofErr w:type="spellStart"/>
      <w:r w:rsidRPr="00B0312E">
        <w:rPr>
          <w:rFonts w:eastAsia="Times New Roman"/>
          <w:szCs w:val="18"/>
        </w:rPr>
        <w:t>apurement</w:t>
      </w:r>
      <w:proofErr w:type="spellEnd"/>
      <w:r w:rsidRPr="00B0312E">
        <w:rPr>
          <w:rFonts w:eastAsia="Times New Roman"/>
          <w:szCs w:val="18"/>
        </w:rPr>
        <w:t xml:space="preserve"> en </w:t>
      </w:r>
      <w:r>
        <w:rPr>
          <w:rFonts w:eastAsia="Times New Roman"/>
          <w:szCs w:val="18"/>
        </w:rPr>
        <w:t>worden ontvangstenmeevallers gebruikt om interne problematiek te dekken</w:t>
      </w:r>
      <w:r w:rsidRPr="00B0312E">
        <w:rPr>
          <w:rFonts w:eastAsia="Times New Roman"/>
          <w:szCs w:val="18"/>
        </w:rPr>
        <w:t>. Ook wordt een meevaller op de rente als dekking opgevoerd.</w:t>
      </w:r>
    </w:p>
    <w:p w:rsidRPr="00B0312E" w:rsidR="00F47B65" w:rsidP="00F47B65" w:rsidRDefault="00F47B65">
      <w:pPr>
        <w:spacing w:after="0" w:line="240" w:lineRule="atLeast"/>
        <w:rPr>
          <w:rFonts w:eastAsia="Times New Roman"/>
          <w:szCs w:val="18"/>
        </w:rPr>
      </w:pPr>
    </w:p>
    <w:p w:rsidR="00362B14" w:rsidP="00F47B65" w:rsidRDefault="00362B14">
      <w:pPr>
        <w:spacing w:after="0" w:line="240" w:lineRule="atLeast"/>
        <w:rPr>
          <w:rFonts w:eastAsia="Times New Roman"/>
          <w:i/>
          <w:szCs w:val="18"/>
        </w:rPr>
      </w:pPr>
    </w:p>
    <w:p w:rsidRPr="00B0312E" w:rsidR="00F47B65" w:rsidP="00F47B65" w:rsidRDefault="00F47B65">
      <w:pPr>
        <w:spacing w:after="0" w:line="240" w:lineRule="atLeast"/>
        <w:rPr>
          <w:rFonts w:eastAsia="Times New Roman"/>
          <w:i/>
          <w:szCs w:val="18"/>
        </w:rPr>
      </w:pPr>
      <w:r w:rsidRPr="00B0312E">
        <w:rPr>
          <w:rFonts w:eastAsia="Times New Roman"/>
          <w:i/>
          <w:szCs w:val="18"/>
        </w:rPr>
        <w:lastRenderedPageBreak/>
        <w:t>Diversen – technische mutaties</w:t>
      </w:r>
      <w:r>
        <w:rPr>
          <w:rFonts w:eastAsia="Times New Roman"/>
          <w:i/>
          <w:szCs w:val="18"/>
        </w:rPr>
        <w:t>, ontvangsten</w:t>
      </w:r>
    </w:p>
    <w:p w:rsidRPr="00DA4033" w:rsidR="00F47B65" w:rsidP="00F47B65" w:rsidRDefault="00F47B65">
      <w:pPr>
        <w:spacing w:after="0" w:line="240" w:lineRule="atLeast"/>
        <w:rPr>
          <w:rFonts w:eastAsia="Times New Roman"/>
          <w:szCs w:val="18"/>
        </w:rPr>
      </w:pPr>
      <w:r w:rsidRPr="00B0312E">
        <w:rPr>
          <w:rFonts w:eastAsia="Times New Roman"/>
          <w:szCs w:val="18"/>
        </w:rPr>
        <w:t xml:space="preserve">Hieronder vallen </w:t>
      </w:r>
      <w:r>
        <w:rPr>
          <w:rFonts w:eastAsia="Times New Roman"/>
          <w:szCs w:val="18"/>
        </w:rPr>
        <w:t xml:space="preserve">onder andere </w:t>
      </w:r>
      <w:r w:rsidRPr="00B0312E">
        <w:rPr>
          <w:rFonts w:eastAsia="Times New Roman"/>
          <w:szCs w:val="18"/>
        </w:rPr>
        <w:t>retributie-inkomsten van de commissie dierproeven, ontvangste</w:t>
      </w:r>
      <w:r>
        <w:rPr>
          <w:rFonts w:eastAsia="Times New Roman"/>
          <w:szCs w:val="18"/>
        </w:rPr>
        <w:t xml:space="preserve">n van de High </w:t>
      </w:r>
      <w:proofErr w:type="spellStart"/>
      <w:r>
        <w:rPr>
          <w:rFonts w:eastAsia="Times New Roman"/>
          <w:szCs w:val="18"/>
        </w:rPr>
        <w:t>Containment</w:t>
      </w:r>
      <w:proofErr w:type="spellEnd"/>
      <w:r>
        <w:rPr>
          <w:rFonts w:eastAsia="Times New Roman"/>
          <w:szCs w:val="18"/>
        </w:rPr>
        <w:t xml:space="preserve"> Unit</w:t>
      </w:r>
      <w:r w:rsidRPr="00B0312E">
        <w:rPr>
          <w:rFonts w:eastAsia="Times New Roman"/>
          <w:szCs w:val="18"/>
        </w:rPr>
        <w:t xml:space="preserve"> van </w:t>
      </w:r>
      <w:r>
        <w:rPr>
          <w:rFonts w:eastAsia="Times New Roman"/>
          <w:szCs w:val="18"/>
        </w:rPr>
        <w:t xml:space="preserve">het </w:t>
      </w:r>
      <w:proofErr w:type="spellStart"/>
      <w:r>
        <w:rPr>
          <w:rFonts w:eastAsia="Times New Roman"/>
          <w:szCs w:val="18"/>
        </w:rPr>
        <w:t>Diergezondsheidsfonds</w:t>
      </w:r>
      <w:proofErr w:type="spellEnd"/>
      <w:r w:rsidRPr="00B0312E">
        <w:rPr>
          <w:rFonts w:eastAsia="Times New Roman"/>
          <w:szCs w:val="18"/>
        </w:rPr>
        <w:t xml:space="preserve"> en inkomsten van een opdracht vanuit de provincies in het kader van het Gemeenschappelijk Landbouwbeleid (GLB).</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DC7E88" w:rsidR="00DC7E88" w:rsidTr="00DC7E88">
        <w:trPr>
          <w:trHeight w:val="225"/>
        </w:trPr>
        <w:tc>
          <w:tcPr>
            <w:tcW w:w="10860" w:type="dxa"/>
            <w:gridSpan w:val="7"/>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b/>
                <w:bCs/>
                <w:color w:val="000000"/>
                <w:szCs w:val="18"/>
                <w:lang w:eastAsia="nl-NL"/>
              </w:rPr>
            </w:pPr>
            <w:r w:rsidRPr="00DC7E88">
              <w:rPr>
                <w:rFonts w:eastAsia="Times New Roman" w:cs="Times New Roman"/>
                <w:b/>
                <w:bCs/>
                <w:color w:val="000000"/>
                <w:szCs w:val="18"/>
                <w:lang w:eastAsia="nl-NL"/>
              </w:rPr>
              <w:lastRenderedPageBreak/>
              <w:t>Sociale Zaken en Werkgelegenheid</w:t>
            </w:r>
          </w:p>
        </w:tc>
      </w:tr>
      <w:tr w:rsidRPr="00DC7E88" w:rsidR="00DC7E88" w:rsidTr="00DC7E88">
        <w:trPr>
          <w:trHeight w:val="240"/>
        </w:trPr>
        <w:tc>
          <w:tcPr>
            <w:tcW w:w="10860" w:type="dxa"/>
            <w:gridSpan w:val="7"/>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XV SOCIALE ZAKEN EN WERKGELEGENHEID: UITGAVEN</w:t>
            </w:r>
          </w:p>
        </w:tc>
      </w:tr>
      <w:tr w:rsidRPr="00DC7E88" w:rsidR="00DC7E88" w:rsidTr="00DC7E88">
        <w:trPr>
          <w:trHeight w:val="315"/>
        </w:trPr>
        <w:tc>
          <w:tcPr>
            <w:tcW w:w="43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36.135,4</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36.341,2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36.591,3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36.823,7</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37.644,3</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Aio</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16,1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25,4</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34,5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42,3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47,7</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Compensatie dagloon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-31,5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Fraudewet</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4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 xml:space="preserve">Herstel niet-automatisch herstarten </w:t>
            </w:r>
            <w:proofErr w:type="spellStart"/>
            <w:r w:rsidRPr="00DC7E88">
              <w:rPr>
                <w:rFonts w:eastAsia="Times New Roman" w:cs="Times New Roman"/>
                <w:color w:val="000000"/>
                <w:szCs w:val="18"/>
                <w:lang w:eastAsia="nl-NL"/>
              </w:rPr>
              <w:t>wkb</w:t>
            </w:r>
            <w:proofErr w:type="spellEnd"/>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215,0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255,0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proofErr w:type="spellStart"/>
            <w:r w:rsidRPr="00DC7E88">
              <w:rPr>
                <w:rFonts w:eastAsia="Times New Roman" w:cs="Times New Roman"/>
                <w:color w:val="000000"/>
                <w:szCs w:val="18"/>
                <w:lang w:eastAsia="nl-NL"/>
              </w:rPr>
              <w:t>Iow</w:t>
            </w:r>
            <w:proofErr w:type="spellEnd"/>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-9,2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-22,1</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proofErr w:type="spellStart"/>
            <w:r w:rsidRPr="00DC7E88">
              <w:rPr>
                <w:rFonts w:eastAsia="Times New Roman" w:cs="Times New Roman"/>
                <w:color w:val="000000"/>
                <w:szCs w:val="18"/>
                <w:lang w:eastAsia="nl-NL"/>
              </w:rPr>
              <w:t>Kindregelingen</w:t>
            </w:r>
            <w:proofErr w:type="spellEnd"/>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-14,1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21,3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27,4</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33,0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Loonkostenvoordeel</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-131,5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-59,5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-54,6</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Participatiewet</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-46,7</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-42,0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-34,5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-30,3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-29,4</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Toeslagenwet</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-25,0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-21,0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-18,8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-21,0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-22,7</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Wajong</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-75,9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-72,9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-74,6</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-76,1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-75,3</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4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-8,3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9,8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13,9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13,7</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-92,2</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105,2</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-73,4</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-62,5</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-59,7</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45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Kasschuiven uitgavenplafond rijksbegroting</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-16,6</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13,1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10,4</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45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 xml:space="preserve">Dekking herstel niet-automatisch herstarten </w:t>
            </w:r>
            <w:proofErr w:type="spellStart"/>
            <w:r w:rsidRPr="00DC7E88">
              <w:rPr>
                <w:rFonts w:eastAsia="Times New Roman" w:cs="Times New Roman"/>
                <w:color w:val="000000"/>
                <w:szCs w:val="18"/>
                <w:lang w:eastAsia="nl-NL"/>
              </w:rPr>
              <w:t>wkb</w:t>
            </w:r>
            <w:proofErr w:type="spellEnd"/>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-29,9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-50,2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-14,0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-19,7</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Herijking light model</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36,8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31,9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36,1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37,3</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45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Inzet voor dekking algemene problematiek</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-21,7</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45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Kasschuiven uitgavenplafond sociale zekerheid</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-17,2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3,7</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3,3</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Uitboeken activeren quotum</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4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12,9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-11,5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18,1</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-40,3</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-5,5</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31,2</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22,3</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45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 xml:space="preserve">Naar </w:t>
            </w:r>
            <w:proofErr w:type="spellStart"/>
            <w:r w:rsidRPr="00DC7E88">
              <w:rPr>
                <w:rFonts w:eastAsia="Times New Roman" w:cs="Times New Roman"/>
                <w:color w:val="000000"/>
                <w:szCs w:val="18"/>
                <w:lang w:eastAsia="nl-NL"/>
              </w:rPr>
              <w:t>gf</w:t>
            </w:r>
            <w:proofErr w:type="spellEnd"/>
            <w:r w:rsidRPr="00DC7E88">
              <w:rPr>
                <w:rFonts w:eastAsia="Times New Roman" w:cs="Times New Roman"/>
                <w:color w:val="000000"/>
                <w:szCs w:val="18"/>
                <w:lang w:eastAsia="nl-NL"/>
              </w:rPr>
              <w:t>: bijdrage maatschappelijke begeleiding</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-32,6</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0,4</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-6,4</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13,8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16,6</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16,8</w:t>
            </w:r>
          </w:p>
        </w:tc>
        <w:tc>
          <w:tcPr>
            <w:tcW w:w="10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45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 xml:space="preserve">Nieuw pakket van maatregelen </w:t>
            </w:r>
            <w:proofErr w:type="spellStart"/>
            <w:r w:rsidRPr="00DC7E88">
              <w:rPr>
                <w:rFonts w:eastAsia="Times New Roman" w:cs="Times New Roman"/>
                <w:color w:val="000000"/>
                <w:szCs w:val="18"/>
                <w:lang w:eastAsia="nl-NL"/>
              </w:rPr>
              <w:t>wia</w:t>
            </w:r>
            <w:proofErr w:type="spellEnd"/>
            <w:r w:rsidRPr="00DC7E88">
              <w:rPr>
                <w:rFonts w:eastAsia="Times New Roman" w:cs="Times New Roman"/>
                <w:color w:val="000000"/>
                <w:szCs w:val="18"/>
                <w:lang w:eastAsia="nl-NL"/>
              </w:rPr>
              <w:t xml:space="preserve"> en </w:t>
            </w:r>
            <w:proofErr w:type="spellStart"/>
            <w:r w:rsidRPr="00DC7E88">
              <w:rPr>
                <w:rFonts w:eastAsia="Times New Roman" w:cs="Times New Roman"/>
                <w:color w:val="000000"/>
                <w:szCs w:val="18"/>
                <w:lang w:eastAsia="nl-NL"/>
              </w:rPr>
              <w:t>lbz</w:t>
            </w:r>
            <w:proofErr w:type="spellEnd"/>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8,0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-208,1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-282,2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-291,0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Participatiewet</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-152,2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-61,5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-52,1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-49,0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-47,7</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30,8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22,6</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29,3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34,4</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38,4</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proofErr w:type="spellStart"/>
            <w:r w:rsidRPr="00DC7E88">
              <w:rPr>
                <w:rFonts w:eastAsia="Times New Roman" w:cs="Times New Roman"/>
                <w:color w:val="000000"/>
                <w:szCs w:val="18"/>
                <w:lang w:eastAsia="nl-NL"/>
              </w:rPr>
              <w:t>Bikk</w:t>
            </w:r>
            <w:proofErr w:type="spellEnd"/>
            <w:r w:rsidRPr="00DC7E88">
              <w:rPr>
                <w:rFonts w:eastAsia="Times New Roman" w:cs="Times New Roman"/>
                <w:color w:val="000000"/>
                <w:szCs w:val="18"/>
                <w:lang w:eastAsia="nl-NL"/>
              </w:rPr>
              <w:t xml:space="preserve"> </w:t>
            </w:r>
            <w:proofErr w:type="spellStart"/>
            <w:r w:rsidRPr="00DC7E88">
              <w:rPr>
                <w:rFonts w:eastAsia="Times New Roman" w:cs="Times New Roman"/>
                <w:color w:val="000000"/>
                <w:szCs w:val="18"/>
                <w:lang w:eastAsia="nl-NL"/>
              </w:rPr>
              <w:t>aow</w:t>
            </w:r>
            <w:proofErr w:type="spellEnd"/>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-24,2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-60,1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-100,5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-168,1</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45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Rijksbijdrage vermogenstekort ouderenfonds</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3.104,1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2.214,0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2.302,1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2.391,1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2.493,7</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4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1,6</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2,4</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2.964,2</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2.154,8</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2.027,4</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2.012,8</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2.044,1</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24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2.831,5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2.254,5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1.985,2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1.972,6</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2.022,2</w:t>
            </w:r>
          </w:p>
        </w:tc>
        <w:tc>
          <w:tcPr>
            <w:tcW w:w="10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1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38.966,8</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38.595,8</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38.576,4</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38.796,3</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39.666,5</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1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lastRenderedPageBreak/>
              <w:t>Totaal Internationale samenwerking</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38.967,3</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38.596,3</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38.577,0</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38.796,8</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39.667,0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240"/>
        </w:trPr>
        <w:tc>
          <w:tcPr>
            <w:tcW w:w="10860" w:type="dxa"/>
            <w:gridSpan w:val="7"/>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XV SOCIALE ZAKEN EN WERKGELEGENHEID: NIET-BELASTINGONTVANGSTEN</w:t>
            </w:r>
          </w:p>
        </w:tc>
      </w:tr>
      <w:tr w:rsidRPr="00DC7E88" w:rsidR="00DC7E88" w:rsidTr="00DC7E88">
        <w:trPr>
          <w:trHeight w:val="315"/>
        </w:trPr>
        <w:tc>
          <w:tcPr>
            <w:tcW w:w="43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1.870,9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1.925,9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1.997,4</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2.042,7</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2.056,5</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proofErr w:type="spellStart"/>
            <w:r w:rsidRPr="00DC7E88">
              <w:rPr>
                <w:rFonts w:eastAsia="Times New Roman" w:cs="Times New Roman"/>
                <w:color w:val="000000"/>
                <w:szCs w:val="18"/>
                <w:lang w:eastAsia="nl-NL"/>
              </w:rPr>
              <w:t>Kindregelingen</w:t>
            </w:r>
            <w:proofErr w:type="spellEnd"/>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-51,1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-66,1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-77,8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-80,2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-79,9</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Wajong</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22,2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1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7,1</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-21,8</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-64,8</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-77,8</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-80,2</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-79,9</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24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0,5</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2,9</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3,2</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0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r w:rsidRPr="00DC7E88">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24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ind w:firstLine="360" w:firstLineChars="200"/>
              <w:rPr>
                <w:rFonts w:eastAsia="Times New Roman" w:cs="Times New Roman"/>
                <w:color w:val="000000"/>
                <w:szCs w:val="18"/>
                <w:lang w:eastAsia="nl-NL"/>
              </w:rPr>
            </w:pPr>
            <w:r w:rsidRPr="00DC7E88">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25,5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3,8</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30,5</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6,7</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7,0</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7,0</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ascii="Times New Roman" w:hAnsi="Times New Roman" w:eastAsia="Times New Roman" w:cs="Times New Roman"/>
                <w:sz w:val="20"/>
                <w:szCs w:val="20"/>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9,3</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-57,5</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-70,2</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-72,7</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-72,3</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31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rPr>
                <w:rFonts w:ascii="Times New Roman" w:hAnsi="Times New Roman" w:eastAsia="Times New Roman" w:cs="Times New Roman"/>
                <w:sz w:val="20"/>
                <w:szCs w:val="20"/>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1.880,2</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1.868,4</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1.927,1</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1.970,0</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1.984,2</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40"/>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r w:rsidRPr="00DC7E88" w:rsidR="00DC7E88" w:rsidTr="00DC7E88">
        <w:trPr>
          <w:trHeight w:val="225"/>
        </w:trPr>
        <w:tc>
          <w:tcPr>
            <w:tcW w:w="4360" w:type="dxa"/>
            <w:tcBorders>
              <w:top w:val="nil"/>
              <w:left w:val="nil"/>
              <w:bottom w:val="nil"/>
              <w:right w:val="nil"/>
            </w:tcBorders>
            <w:shd w:val="clear" w:color="auto" w:fill="auto"/>
            <w:hideMark/>
          </w:tcPr>
          <w:p w:rsidRPr="00DC7E88" w:rsidR="00DC7E88" w:rsidP="00DC7E88" w:rsidRDefault="00DC7E88">
            <w:pPr>
              <w:spacing w:after="0" w:line="240" w:lineRule="auto"/>
              <w:rPr>
                <w:rFonts w:eastAsia="Times New Roman" w:cs="Times New Roman"/>
                <w:color w:val="000000"/>
                <w:szCs w:val="18"/>
                <w:lang w:eastAsia="nl-NL"/>
              </w:rPr>
            </w:pPr>
            <w:r w:rsidRPr="00DC7E88">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1.880,2</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1.868,4</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1.927,1</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1.970,0</w:t>
            </w:r>
          </w:p>
        </w:tc>
        <w:tc>
          <w:tcPr>
            <w:tcW w:w="1060" w:type="dxa"/>
            <w:tcBorders>
              <w:top w:val="single" w:color="000000" w:sz="8" w:space="0"/>
              <w:left w:val="nil"/>
              <w:bottom w:val="nil"/>
              <w:right w:val="nil"/>
            </w:tcBorders>
            <w:shd w:val="clear" w:color="auto" w:fill="auto"/>
            <w:hideMark/>
          </w:tcPr>
          <w:p w:rsidRPr="00DC7E88" w:rsidR="00DC7E88" w:rsidP="00DC7E88" w:rsidRDefault="00DC7E88">
            <w:pPr>
              <w:spacing w:after="0" w:line="240" w:lineRule="auto"/>
              <w:jc w:val="right"/>
              <w:rPr>
                <w:rFonts w:eastAsia="Times New Roman" w:cs="Times New Roman"/>
                <w:color w:val="000000"/>
                <w:szCs w:val="18"/>
                <w:lang w:eastAsia="nl-NL"/>
              </w:rPr>
            </w:pPr>
            <w:r w:rsidRPr="00DC7E88">
              <w:rPr>
                <w:rFonts w:eastAsia="Times New Roman" w:cs="Times New Roman"/>
                <w:color w:val="000000"/>
                <w:szCs w:val="18"/>
                <w:lang w:eastAsia="nl-NL"/>
              </w:rPr>
              <w:t>1.984,2</w:t>
            </w:r>
          </w:p>
        </w:tc>
        <w:tc>
          <w:tcPr>
            <w:tcW w:w="1080" w:type="dxa"/>
            <w:tcBorders>
              <w:top w:val="nil"/>
              <w:left w:val="nil"/>
              <w:bottom w:val="nil"/>
              <w:right w:val="nil"/>
            </w:tcBorders>
            <w:shd w:val="clear" w:color="auto" w:fill="auto"/>
            <w:noWrap/>
            <w:vAlign w:val="bottom"/>
            <w:hideMark/>
          </w:tcPr>
          <w:p w:rsidRPr="00DC7E88" w:rsidR="00DC7E88" w:rsidP="00DC7E88" w:rsidRDefault="00DC7E88">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E323FB" w:rsidR="004F053F" w:rsidP="004F053F" w:rsidRDefault="004F053F">
      <w:pPr>
        <w:spacing w:after="0"/>
        <w:rPr>
          <w:rFonts w:eastAsia="Times New Roman"/>
          <w:b/>
          <w:szCs w:val="18"/>
        </w:rPr>
      </w:pPr>
      <w:r w:rsidRPr="00E323FB">
        <w:rPr>
          <w:rFonts w:eastAsia="Times New Roman"/>
          <w:b/>
          <w:szCs w:val="18"/>
        </w:rPr>
        <w:t>Uitgaven</w:t>
      </w:r>
    </w:p>
    <w:p w:rsidRPr="00E323FB" w:rsidR="004F053F" w:rsidP="004F053F" w:rsidRDefault="004F053F">
      <w:pPr>
        <w:spacing w:after="0"/>
        <w:rPr>
          <w:rFonts w:eastAsia="Times New Roman"/>
          <w:szCs w:val="18"/>
        </w:rPr>
      </w:pPr>
    </w:p>
    <w:p w:rsidRPr="00E323FB" w:rsidR="004F053F" w:rsidP="004F053F" w:rsidRDefault="004F053F">
      <w:pPr>
        <w:spacing w:after="0"/>
        <w:rPr>
          <w:rFonts w:eastAsia="Times New Roman"/>
          <w:szCs w:val="18"/>
          <w:u w:val="single"/>
        </w:rPr>
      </w:pPr>
      <w:r w:rsidRPr="00E323FB">
        <w:rPr>
          <w:rFonts w:eastAsia="Times New Roman"/>
          <w:szCs w:val="18"/>
          <w:u w:val="single"/>
        </w:rPr>
        <w:t>Mee- en tegenvallers</w:t>
      </w:r>
    </w:p>
    <w:p w:rsidRPr="00E323FB" w:rsidR="004F053F" w:rsidP="004F053F" w:rsidRDefault="004F053F">
      <w:pPr>
        <w:spacing w:after="0"/>
        <w:rPr>
          <w:rFonts w:eastAsia="Times New Roman"/>
          <w:szCs w:val="18"/>
        </w:rPr>
      </w:pPr>
      <w:r w:rsidRPr="00E323FB">
        <w:rPr>
          <w:rFonts w:eastAsia="Times New Roman"/>
          <w:szCs w:val="18"/>
        </w:rPr>
        <w:t>Sociale zekerheid</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73003F">
        <w:rPr>
          <w:rFonts w:eastAsia="Times New Roman"/>
          <w:i/>
          <w:szCs w:val="18"/>
        </w:rPr>
        <w:t>AIO (Aanvullende Inkomensondersteuning Ouderen)</w:t>
      </w:r>
    </w:p>
    <w:p w:rsidR="004F053F" w:rsidP="004F053F" w:rsidRDefault="004F053F">
      <w:pPr>
        <w:spacing w:after="0"/>
        <w:rPr>
          <w:rFonts w:eastAsia="Times New Roman"/>
          <w:szCs w:val="18"/>
        </w:rPr>
      </w:pPr>
      <w:r w:rsidRPr="006F5B3A">
        <w:rPr>
          <w:rFonts w:eastAsia="Times New Roman"/>
          <w:szCs w:val="18"/>
        </w:rPr>
        <w:t>De opwaartse bijstelling is</w:t>
      </w:r>
      <w:r>
        <w:rPr>
          <w:rFonts w:eastAsia="Times New Roman"/>
          <w:szCs w:val="18"/>
        </w:rPr>
        <w:t xml:space="preserve"> voornamelijk</w:t>
      </w:r>
      <w:r w:rsidRPr="006F5B3A">
        <w:rPr>
          <w:rFonts w:eastAsia="Times New Roman"/>
          <w:szCs w:val="18"/>
        </w:rPr>
        <w:t xml:space="preserve"> het gevolg van</w:t>
      </w:r>
      <w:r>
        <w:rPr>
          <w:rFonts w:eastAsia="Times New Roman"/>
          <w:szCs w:val="18"/>
        </w:rPr>
        <w:t xml:space="preserve"> nieuwe</w:t>
      </w:r>
      <w:r w:rsidRPr="006F5B3A">
        <w:rPr>
          <w:rFonts w:eastAsia="Times New Roman"/>
          <w:szCs w:val="18"/>
        </w:rPr>
        <w:t xml:space="preserve"> uitvoeringsinformatie van de S</w:t>
      </w:r>
      <w:r w:rsidR="005572E9">
        <w:rPr>
          <w:rFonts w:eastAsia="Times New Roman"/>
          <w:szCs w:val="18"/>
        </w:rPr>
        <w:t>ociale Verzekeringsbank (S</w:t>
      </w:r>
      <w:r w:rsidRPr="006F5B3A">
        <w:rPr>
          <w:rFonts w:eastAsia="Times New Roman"/>
          <w:szCs w:val="18"/>
        </w:rPr>
        <w:t>VB</w:t>
      </w:r>
      <w:r w:rsidR="005572E9">
        <w:rPr>
          <w:rFonts w:eastAsia="Times New Roman"/>
          <w:szCs w:val="18"/>
        </w:rPr>
        <w:t>)</w:t>
      </w:r>
      <w:r w:rsidRPr="006F5B3A">
        <w:rPr>
          <w:rFonts w:eastAsia="Times New Roman"/>
          <w:szCs w:val="18"/>
        </w:rPr>
        <w:t xml:space="preserve"> over 2018.</w:t>
      </w:r>
      <w:r>
        <w:rPr>
          <w:rFonts w:eastAsia="Times New Roman"/>
          <w:szCs w:val="18"/>
        </w:rPr>
        <w:t xml:space="preserve"> De uitstroom in 2018 is lager uitgevallen dan verwacht en dit werkt meerjarig door in het verwachte aantal huishoudens in de AIO. Daarnaast wordt in de nieuwe raming uitgegaan van een hogere gemiddelde AIO-uitkering.</w:t>
      </w:r>
      <w:r w:rsidRPr="006F5B3A">
        <w:rPr>
          <w:rFonts w:eastAsia="Times New Roman"/>
          <w:szCs w:val="18"/>
        </w:rPr>
        <w:t xml:space="preserve"> </w:t>
      </w:r>
    </w:p>
    <w:p w:rsidRPr="006F5B3A" w:rsidR="004F053F" w:rsidP="004F053F" w:rsidRDefault="004F053F">
      <w:pPr>
        <w:spacing w:after="0"/>
        <w:rPr>
          <w:rFonts w:eastAsia="Times New Roman"/>
          <w:szCs w:val="18"/>
        </w:rPr>
      </w:pPr>
    </w:p>
    <w:p w:rsidRPr="005B4EAA" w:rsidR="004F053F" w:rsidP="004F053F" w:rsidRDefault="004F053F">
      <w:pPr>
        <w:spacing w:after="0"/>
        <w:rPr>
          <w:rFonts w:eastAsia="Times New Roman"/>
          <w:i/>
          <w:szCs w:val="18"/>
        </w:rPr>
      </w:pPr>
      <w:r>
        <w:rPr>
          <w:rFonts w:eastAsia="Times New Roman"/>
          <w:i/>
          <w:szCs w:val="18"/>
        </w:rPr>
        <w:t>Compensatie dagloon</w:t>
      </w:r>
    </w:p>
    <w:p w:rsidRPr="0073003F" w:rsidR="004F053F" w:rsidP="004F053F" w:rsidRDefault="004F053F">
      <w:pPr>
        <w:spacing w:after="0"/>
        <w:rPr>
          <w:rFonts w:eastAsia="Times New Roman"/>
          <w:szCs w:val="18"/>
          <w:highlight w:val="cyan"/>
        </w:rPr>
      </w:pPr>
      <w:r w:rsidRPr="005B4EAA">
        <w:rPr>
          <w:rFonts w:eastAsia="Times New Roman"/>
          <w:szCs w:val="18"/>
        </w:rPr>
        <w:t>Via een kasschuif was 32,5 mln</w:t>
      </w:r>
      <w:r>
        <w:rPr>
          <w:rFonts w:eastAsia="Times New Roman"/>
          <w:szCs w:val="18"/>
        </w:rPr>
        <w:t>.</w:t>
      </w:r>
      <w:r w:rsidRPr="005B4EAA">
        <w:rPr>
          <w:rFonts w:eastAsia="Times New Roman"/>
          <w:szCs w:val="18"/>
        </w:rPr>
        <w:t xml:space="preserve"> naar 2019 verschoven ter dekking van dagloon compensatie. Inmiddels is de inschatting dat compensatie in 2019 1 mln</w:t>
      </w:r>
      <w:r>
        <w:rPr>
          <w:rFonts w:eastAsia="Times New Roman"/>
          <w:szCs w:val="18"/>
        </w:rPr>
        <w:t>.</w:t>
      </w:r>
      <w:r w:rsidRPr="005B4EAA">
        <w:rPr>
          <w:rFonts w:eastAsia="Times New Roman"/>
          <w:szCs w:val="18"/>
        </w:rPr>
        <w:t xml:space="preserve"> zal kosten. Restant van het</w:t>
      </w:r>
      <w:r>
        <w:rPr>
          <w:rFonts w:eastAsia="Times New Roman"/>
          <w:szCs w:val="18"/>
        </w:rPr>
        <w:t xml:space="preserve"> </w:t>
      </w:r>
      <w:r w:rsidRPr="005B4EAA">
        <w:rPr>
          <w:rFonts w:eastAsia="Times New Roman"/>
          <w:szCs w:val="18"/>
        </w:rPr>
        <w:t>bedrag is afgeboekt.</w:t>
      </w:r>
    </w:p>
    <w:p w:rsidRPr="0073003F" w:rsidR="004F053F" w:rsidP="004F053F" w:rsidRDefault="004F053F">
      <w:pPr>
        <w:spacing w:after="0"/>
        <w:rPr>
          <w:rFonts w:eastAsia="Times New Roman"/>
          <w:i/>
          <w:szCs w:val="18"/>
          <w:highlight w:val="cyan"/>
        </w:rPr>
      </w:pPr>
    </w:p>
    <w:p w:rsidRPr="00E323FB" w:rsidR="004F053F" w:rsidP="004F053F" w:rsidRDefault="004F053F">
      <w:pPr>
        <w:spacing w:after="0"/>
        <w:rPr>
          <w:rFonts w:eastAsia="Times New Roman"/>
          <w:i/>
          <w:szCs w:val="18"/>
        </w:rPr>
      </w:pPr>
      <w:r w:rsidRPr="00800CAB">
        <w:rPr>
          <w:rFonts w:eastAsia="Times New Roman"/>
          <w:i/>
          <w:szCs w:val="18"/>
        </w:rPr>
        <w:t>Fraudewet</w:t>
      </w:r>
    </w:p>
    <w:p w:rsidR="004F053F" w:rsidP="004F053F" w:rsidRDefault="004F053F">
      <w:pPr>
        <w:spacing w:after="0"/>
        <w:rPr>
          <w:rFonts w:eastAsia="Times New Roman"/>
          <w:szCs w:val="18"/>
        </w:rPr>
      </w:pPr>
      <w:r>
        <w:rPr>
          <w:rFonts w:eastAsia="Times New Roman"/>
          <w:szCs w:val="18"/>
        </w:rPr>
        <w:t xml:space="preserve">Dit betreft een reservering voor de </w:t>
      </w:r>
      <w:r w:rsidR="005572E9">
        <w:rPr>
          <w:rFonts w:eastAsia="Times New Roman"/>
          <w:szCs w:val="18"/>
        </w:rPr>
        <w:t xml:space="preserve">mogelijke financiële gevolgen van de </w:t>
      </w:r>
      <w:r>
        <w:rPr>
          <w:rFonts w:eastAsia="Times New Roman"/>
          <w:szCs w:val="18"/>
        </w:rPr>
        <w:t xml:space="preserve">recente uitspraak van de Centrale Raad van Beroep, die heeft geoordeeld dat de </w:t>
      </w:r>
      <w:r w:rsidRPr="00800CAB">
        <w:rPr>
          <w:rFonts w:eastAsia="Times New Roman"/>
          <w:szCs w:val="18"/>
        </w:rPr>
        <w:t xml:space="preserve">in 2013 en 2014 opgelegde boetes deels </w:t>
      </w:r>
      <w:r w:rsidRPr="00800CAB">
        <w:rPr>
          <w:rFonts w:eastAsia="Times New Roman"/>
          <w:szCs w:val="18"/>
        </w:rPr>
        <w:lastRenderedPageBreak/>
        <w:t>moeten worden herzien</w:t>
      </w:r>
      <w:r>
        <w:rPr>
          <w:rFonts w:eastAsia="Times New Roman"/>
          <w:szCs w:val="18"/>
        </w:rPr>
        <w:t xml:space="preserve">. </w:t>
      </w:r>
      <w:r w:rsidRPr="00903FC8" w:rsidR="005572E9">
        <w:rPr>
          <w:rFonts w:eastAsia="Times New Roman"/>
          <w:szCs w:val="18"/>
        </w:rPr>
        <w:t>De Kamer wordt voor het zomerreces geïnformeerd over de gevolgen van de uitspraak.</w:t>
      </w:r>
    </w:p>
    <w:p w:rsidR="005572E9" w:rsidP="004F053F" w:rsidRDefault="005572E9">
      <w:pPr>
        <w:spacing w:after="0"/>
        <w:rPr>
          <w:rFonts w:eastAsia="Times New Roman"/>
          <w:szCs w:val="18"/>
        </w:rPr>
      </w:pPr>
    </w:p>
    <w:p w:rsidRPr="008948F4" w:rsidR="004F053F" w:rsidP="004F053F" w:rsidRDefault="004F053F">
      <w:pPr>
        <w:spacing w:after="0"/>
        <w:rPr>
          <w:rFonts w:eastAsia="Times New Roman"/>
          <w:i/>
          <w:szCs w:val="18"/>
        </w:rPr>
      </w:pPr>
      <w:r w:rsidRPr="008948F4">
        <w:rPr>
          <w:rFonts w:eastAsia="Times New Roman"/>
          <w:i/>
          <w:szCs w:val="18"/>
        </w:rPr>
        <w:t xml:space="preserve">Herstel niet-automatisch herstarten WKB </w:t>
      </w:r>
    </w:p>
    <w:p w:rsidRPr="008948F4" w:rsidR="004F053F" w:rsidP="004F053F" w:rsidRDefault="004F053F">
      <w:pPr>
        <w:spacing w:after="0"/>
        <w:rPr>
          <w:rFonts w:eastAsia="Times New Roman"/>
          <w:szCs w:val="18"/>
        </w:rPr>
      </w:pPr>
      <w:r w:rsidRPr="008948F4">
        <w:rPr>
          <w:rFonts w:eastAsia="Times New Roman"/>
          <w:szCs w:val="18"/>
        </w:rPr>
        <w:t xml:space="preserve">De Belastingdienst is er bij een onderzoek naar het niet-gebruik van de WKB achter gekomen dat er een groep mensen is die ten onrechte geen WKB heeft ontvangen. Het kabinet gaat deze omissie herstellen voor de periode </w:t>
      </w:r>
      <w:r>
        <w:rPr>
          <w:rFonts w:eastAsia="Times New Roman"/>
          <w:szCs w:val="18"/>
        </w:rPr>
        <w:t>vanaf 2013 tot en met het lopende toeslagjaar</w:t>
      </w:r>
      <w:r w:rsidRPr="008948F4">
        <w:rPr>
          <w:rFonts w:eastAsia="Times New Roman"/>
          <w:szCs w:val="18"/>
        </w:rPr>
        <w:t>. Dit leidt tot incidentele uitgaven v</w:t>
      </w:r>
      <w:r>
        <w:rPr>
          <w:rFonts w:eastAsia="Times New Roman"/>
          <w:szCs w:val="18"/>
        </w:rPr>
        <w:t>an in totaal naar verwachting 420 mln.</w:t>
      </w:r>
      <w:r w:rsidRPr="008948F4">
        <w:rPr>
          <w:rFonts w:eastAsia="Times New Roman"/>
          <w:szCs w:val="18"/>
        </w:rPr>
        <w:t xml:space="preserve"> verdeeld over 2019 en 2020. </w:t>
      </w:r>
    </w:p>
    <w:p w:rsidRPr="008948F4" w:rsidR="004F053F" w:rsidP="004F053F" w:rsidRDefault="004F053F">
      <w:pPr>
        <w:spacing w:after="0"/>
        <w:rPr>
          <w:rFonts w:eastAsia="Times New Roman"/>
          <w:szCs w:val="18"/>
        </w:rPr>
      </w:pPr>
      <w:r w:rsidRPr="008948F4">
        <w:rPr>
          <w:rFonts w:eastAsia="Times New Roman"/>
          <w:szCs w:val="18"/>
        </w:rPr>
        <w:t>De gevolgen van</w:t>
      </w:r>
      <w:r w:rsidR="00205986">
        <w:rPr>
          <w:rFonts w:eastAsia="Times New Roman"/>
          <w:szCs w:val="18"/>
        </w:rPr>
        <w:t xml:space="preserve"> </w:t>
      </w:r>
      <w:r w:rsidRPr="008948F4">
        <w:rPr>
          <w:rFonts w:eastAsia="Times New Roman"/>
          <w:szCs w:val="18"/>
        </w:rPr>
        <w:t>het herstel van het niet-automatisch herstarten van de WKB zijn voor een deel ook structureel (50 mln.), omdat de uitvoering ook naar de toekomst toe wordt aangepast.</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73003F">
        <w:rPr>
          <w:rFonts w:eastAsia="Times New Roman"/>
          <w:i/>
          <w:szCs w:val="18"/>
        </w:rPr>
        <w:t>IOW (Inkomensvoorziening oudere Werkloze)</w:t>
      </w:r>
    </w:p>
    <w:p w:rsidRPr="006F5B3A" w:rsidR="004F053F" w:rsidP="004F053F" w:rsidRDefault="004F053F">
      <w:pPr>
        <w:spacing w:after="0"/>
        <w:rPr>
          <w:rFonts w:eastAsia="Times New Roman"/>
          <w:szCs w:val="18"/>
        </w:rPr>
      </w:pPr>
      <w:r>
        <w:rPr>
          <w:rFonts w:eastAsia="Times New Roman"/>
          <w:szCs w:val="18"/>
        </w:rPr>
        <w:t>Er is sprake van een structurele meevaller in de IOW die op</w:t>
      </w:r>
      <w:r w:rsidRPr="006F5B3A">
        <w:rPr>
          <w:rFonts w:eastAsia="Times New Roman"/>
          <w:szCs w:val="18"/>
        </w:rPr>
        <w:t>loopt in 202</w:t>
      </w:r>
      <w:r>
        <w:rPr>
          <w:rFonts w:eastAsia="Times New Roman"/>
          <w:szCs w:val="18"/>
        </w:rPr>
        <w:t>3</w:t>
      </w:r>
      <w:r w:rsidRPr="006F5B3A">
        <w:rPr>
          <w:rFonts w:eastAsia="Times New Roman"/>
          <w:szCs w:val="18"/>
        </w:rPr>
        <w:t xml:space="preserve">. Dit is enerzijds het gevolg van nieuwe inzichten rond de ontwikkeling van het volume, zoals het effect van WW-duurverkorting en de doorwerking van instroom op het volume. Anderzijds is dit het gevolg van de verwerking van de </w:t>
      </w:r>
      <w:r w:rsidR="005572E9">
        <w:rPr>
          <w:rFonts w:eastAsia="Times New Roman"/>
          <w:szCs w:val="18"/>
        </w:rPr>
        <w:t>uitvoeringsgegevens van het UWV</w:t>
      </w:r>
      <w:r w:rsidRPr="006F5B3A">
        <w:rPr>
          <w:rFonts w:eastAsia="Times New Roman"/>
          <w:szCs w:val="18"/>
        </w:rPr>
        <w:t>, zoals een iets hogere prijs, lagere instroom door ijking op realisaties en lagere instroom in de WW.</w:t>
      </w:r>
    </w:p>
    <w:p w:rsidR="004F053F" w:rsidP="004F053F" w:rsidRDefault="004F053F">
      <w:pPr>
        <w:spacing w:after="0"/>
        <w:rPr>
          <w:rFonts w:eastAsia="Times New Roman"/>
          <w:i/>
          <w:szCs w:val="18"/>
        </w:rPr>
      </w:pPr>
    </w:p>
    <w:p w:rsidRPr="00E323FB" w:rsidR="004F053F" w:rsidP="004F053F" w:rsidRDefault="004F053F">
      <w:pPr>
        <w:spacing w:after="0"/>
        <w:rPr>
          <w:rFonts w:eastAsia="Times New Roman"/>
          <w:i/>
          <w:szCs w:val="18"/>
        </w:rPr>
      </w:pPr>
      <w:proofErr w:type="spellStart"/>
      <w:r w:rsidRPr="00E323FB">
        <w:rPr>
          <w:rFonts w:eastAsia="Times New Roman"/>
          <w:i/>
          <w:szCs w:val="18"/>
        </w:rPr>
        <w:t>Kindregelingen</w:t>
      </w:r>
      <w:proofErr w:type="spellEnd"/>
    </w:p>
    <w:p w:rsidR="004F053F" w:rsidP="004F053F" w:rsidRDefault="005572E9">
      <w:pPr>
        <w:spacing w:after="0"/>
        <w:rPr>
          <w:rFonts w:eastAsia="Times New Roman"/>
          <w:szCs w:val="18"/>
        </w:rPr>
      </w:pPr>
      <w:r>
        <w:rPr>
          <w:rFonts w:eastAsia="Times New Roman"/>
          <w:szCs w:val="18"/>
        </w:rPr>
        <w:t xml:space="preserve">Hieronder vallen de </w:t>
      </w:r>
      <w:r w:rsidRPr="006F5B3A">
        <w:rPr>
          <w:rFonts w:eastAsia="Times New Roman"/>
          <w:szCs w:val="18"/>
        </w:rPr>
        <w:t>Kinderbijslag (AKW)</w:t>
      </w:r>
      <w:r>
        <w:rPr>
          <w:rFonts w:eastAsia="Times New Roman"/>
          <w:szCs w:val="18"/>
        </w:rPr>
        <w:t xml:space="preserve">, het </w:t>
      </w:r>
      <w:proofErr w:type="spellStart"/>
      <w:r w:rsidRPr="006F5B3A">
        <w:rPr>
          <w:rFonts w:eastAsia="Times New Roman"/>
          <w:szCs w:val="18"/>
        </w:rPr>
        <w:t>Kindgebonden</w:t>
      </w:r>
      <w:proofErr w:type="spellEnd"/>
      <w:r w:rsidRPr="006F5B3A">
        <w:rPr>
          <w:rFonts w:eastAsia="Times New Roman"/>
          <w:szCs w:val="18"/>
        </w:rPr>
        <w:t xml:space="preserve"> budget (WKB) </w:t>
      </w:r>
      <w:r>
        <w:rPr>
          <w:rFonts w:eastAsia="Times New Roman"/>
          <w:szCs w:val="18"/>
        </w:rPr>
        <w:t xml:space="preserve">en de </w:t>
      </w:r>
      <w:r w:rsidRPr="00AE4C02">
        <w:rPr>
          <w:rFonts w:eastAsia="Times New Roman"/>
          <w:szCs w:val="18"/>
        </w:rPr>
        <w:t>Kinderopvangtoeslag (KOT)</w:t>
      </w:r>
      <w:r>
        <w:rPr>
          <w:rFonts w:eastAsia="Times New Roman"/>
          <w:szCs w:val="18"/>
        </w:rPr>
        <w:t xml:space="preserve">. </w:t>
      </w:r>
      <w:r w:rsidRPr="006F5B3A" w:rsidR="004F053F">
        <w:rPr>
          <w:rFonts w:eastAsia="Times New Roman"/>
          <w:szCs w:val="18"/>
        </w:rPr>
        <w:t xml:space="preserve">De uitgaven aan de AKW en </w:t>
      </w:r>
      <w:r>
        <w:rPr>
          <w:rFonts w:eastAsia="Times New Roman"/>
          <w:szCs w:val="18"/>
        </w:rPr>
        <w:t xml:space="preserve">de </w:t>
      </w:r>
      <w:r w:rsidRPr="006F5B3A" w:rsidR="004F053F">
        <w:rPr>
          <w:rFonts w:eastAsia="Times New Roman"/>
          <w:szCs w:val="18"/>
        </w:rPr>
        <w:t xml:space="preserve">WKB zijn meerjarig opwaarts bijgesteld. De bijstelling in de AKW is grotendeels het gevolg van een hoger aantal kinderen volgens de laatste bevolkingsprognose van het CBS, met name door een opwaartse bijstelling van het migratiesaldo. De bijstelling bij de WKB wordt, naast de hogere bevolkingsprognose, met name verklaard door een lagere verwachte inkomensontwikkeling op grond van </w:t>
      </w:r>
      <w:r>
        <w:rPr>
          <w:rFonts w:eastAsia="Times New Roman"/>
          <w:szCs w:val="18"/>
        </w:rPr>
        <w:t>de</w:t>
      </w:r>
      <w:r w:rsidRPr="006F5B3A">
        <w:rPr>
          <w:rFonts w:eastAsia="Times New Roman"/>
          <w:szCs w:val="18"/>
        </w:rPr>
        <w:t xml:space="preserve"> </w:t>
      </w:r>
      <w:r w:rsidRPr="006F5B3A" w:rsidR="004F053F">
        <w:rPr>
          <w:rFonts w:eastAsia="Times New Roman"/>
          <w:szCs w:val="18"/>
        </w:rPr>
        <w:t>CEP</w:t>
      </w:r>
      <w:r>
        <w:rPr>
          <w:rFonts w:eastAsia="Times New Roman"/>
          <w:szCs w:val="18"/>
        </w:rPr>
        <w:t>-cijfers van het CPB</w:t>
      </w:r>
      <w:r w:rsidRPr="006F5B3A" w:rsidR="004F053F">
        <w:rPr>
          <w:rFonts w:eastAsia="Times New Roman"/>
          <w:szCs w:val="18"/>
        </w:rPr>
        <w:t>.</w:t>
      </w:r>
    </w:p>
    <w:p w:rsidRPr="006F5B3A" w:rsidR="004F053F" w:rsidP="004F053F" w:rsidRDefault="004F053F">
      <w:pPr>
        <w:spacing w:after="0"/>
        <w:rPr>
          <w:rFonts w:eastAsia="Times New Roman"/>
          <w:szCs w:val="18"/>
        </w:rPr>
      </w:pPr>
    </w:p>
    <w:p w:rsidRPr="00DC3434" w:rsidR="004F053F" w:rsidP="004F053F" w:rsidRDefault="004F053F">
      <w:pPr>
        <w:spacing w:after="0"/>
        <w:rPr>
          <w:rFonts w:eastAsia="Times New Roman"/>
          <w:color w:val="FF0000"/>
          <w:szCs w:val="18"/>
        </w:rPr>
      </w:pPr>
      <w:r w:rsidRPr="00AE4C02">
        <w:rPr>
          <w:rFonts w:eastAsia="Times New Roman"/>
          <w:szCs w:val="18"/>
        </w:rPr>
        <w:t>De neerwaartse bijstelling van de uitgaven aan de KOT is het saldo van verschillende tegengestelde effecten. Het gebruik van kinderopvang stijgt naar verwachting meer dan eerder werd verwacht. De voorschotbetalingen sluiten naar verwachting beter aan bij de definitief vastgestelde hoogte van de KOT; dit leidt tot lagere kasuitgaven. Tot slot zijn er minder nabetalingen. Per saldo resulteert een meevaller op de uitgaven KOT.</w:t>
      </w:r>
      <w:r w:rsidR="00AF3B96">
        <w:rPr>
          <w:rFonts w:eastAsia="Times New Roman"/>
          <w:szCs w:val="18"/>
        </w:rPr>
        <w:t xml:space="preserve"> </w:t>
      </w:r>
      <w:r>
        <w:rPr>
          <w:rFonts w:eastAsia="Times New Roman"/>
          <w:szCs w:val="18"/>
        </w:rPr>
        <w:t>V</w:t>
      </w:r>
      <w:r w:rsidRPr="002C2850">
        <w:rPr>
          <w:rFonts w:eastAsia="Times New Roman"/>
          <w:szCs w:val="18"/>
        </w:rPr>
        <w:t>oorschotbetalingen</w:t>
      </w:r>
      <w:r>
        <w:rPr>
          <w:rFonts w:eastAsia="Times New Roman"/>
          <w:szCs w:val="18"/>
        </w:rPr>
        <w:t xml:space="preserve"> sluiten</w:t>
      </w:r>
      <w:r w:rsidRPr="002C2850">
        <w:rPr>
          <w:rFonts w:eastAsia="Times New Roman"/>
          <w:szCs w:val="18"/>
        </w:rPr>
        <w:t xml:space="preserve"> naar verwachting beter aan bij de definitief beschikte hoogte van het </w:t>
      </w:r>
      <w:proofErr w:type="spellStart"/>
      <w:r w:rsidRPr="002C2850">
        <w:rPr>
          <w:rFonts w:eastAsia="Times New Roman"/>
          <w:szCs w:val="18"/>
        </w:rPr>
        <w:t>kindgebonden</w:t>
      </w:r>
      <w:proofErr w:type="spellEnd"/>
      <w:r w:rsidRPr="002C2850">
        <w:rPr>
          <w:rFonts w:eastAsia="Times New Roman"/>
          <w:szCs w:val="18"/>
        </w:rPr>
        <w:t xml:space="preserve"> budget</w:t>
      </w:r>
      <w:r>
        <w:rPr>
          <w:rFonts w:eastAsia="Times New Roman"/>
          <w:szCs w:val="18"/>
        </w:rPr>
        <w:t xml:space="preserve"> dan waarvan werd uitgegaan ten tijde van het opstellen van de begroting</w:t>
      </w:r>
      <w:r w:rsidRPr="002C2850">
        <w:rPr>
          <w:rFonts w:eastAsia="Times New Roman"/>
          <w:szCs w:val="18"/>
        </w:rPr>
        <w:t>.</w:t>
      </w:r>
      <w:r w:rsidRPr="005572E9" w:rsidR="005572E9">
        <w:rPr>
          <w:rFonts w:eastAsia="Times New Roman"/>
          <w:color w:val="FF0000"/>
          <w:szCs w:val="18"/>
        </w:rPr>
        <w:t xml:space="preserve"> </w:t>
      </w:r>
    </w:p>
    <w:p w:rsidR="004F053F" w:rsidP="004F053F" w:rsidRDefault="004F053F">
      <w:pPr>
        <w:spacing w:after="0"/>
        <w:rPr>
          <w:rFonts w:eastAsia="Times New Roman"/>
          <w:i/>
          <w:szCs w:val="18"/>
        </w:rPr>
      </w:pPr>
    </w:p>
    <w:p w:rsidRPr="00E323FB" w:rsidR="004F053F" w:rsidP="004F053F" w:rsidRDefault="004F053F">
      <w:pPr>
        <w:spacing w:after="0"/>
        <w:rPr>
          <w:rFonts w:eastAsia="Times New Roman"/>
          <w:i/>
          <w:szCs w:val="18"/>
        </w:rPr>
      </w:pPr>
      <w:r w:rsidRPr="00E323FB">
        <w:rPr>
          <w:rFonts w:eastAsia="Times New Roman"/>
          <w:i/>
          <w:szCs w:val="18"/>
        </w:rPr>
        <w:t>Loonkostenvoordeel</w:t>
      </w:r>
    </w:p>
    <w:p w:rsidR="004F053F" w:rsidP="004F053F" w:rsidRDefault="004F053F">
      <w:pPr>
        <w:spacing w:after="0"/>
        <w:rPr>
          <w:rFonts w:eastAsia="Times New Roman"/>
          <w:szCs w:val="18"/>
        </w:rPr>
      </w:pPr>
      <w:r w:rsidRPr="006F5B3A">
        <w:rPr>
          <w:rFonts w:eastAsia="Times New Roman"/>
          <w:szCs w:val="18"/>
        </w:rPr>
        <w:t xml:space="preserve">De realisatiecijfers van het </w:t>
      </w:r>
      <w:r w:rsidR="005572E9">
        <w:rPr>
          <w:rFonts w:eastAsia="Times New Roman"/>
          <w:szCs w:val="18"/>
        </w:rPr>
        <w:t>Loonkostenvoordeel (</w:t>
      </w:r>
      <w:r w:rsidRPr="006F5B3A" w:rsidR="005572E9">
        <w:rPr>
          <w:rFonts w:eastAsia="Times New Roman"/>
          <w:szCs w:val="18"/>
        </w:rPr>
        <w:t>LKV</w:t>
      </w:r>
      <w:r w:rsidR="005572E9">
        <w:rPr>
          <w:rFonts w:eastAsia="Times New Roman"/>
          <w:szCs w:val="18"/>
        </w:rPr>
        <w:t>)</w:t>
      </w:r>
      <w:r w:rsidRPr="006F5B3A" w:rsidR="005572E9">
        <w:rPr>
          <w:rFonts w:eastAsia="Times New Roman"/>
          <w:szCs w:val="18"/>
        </w:rPr>
        <w:t xml:space="preserve"> </w:t>
      </w:r>
      <w:r w:rsidRPr="006F5B3A">
        <w:rPr>
          <w:rFonts w:eastAsia="Times New Roman"/>
          <w:szCs w:val="18"/>
        </w:rPr>
        <w:t xml:space="preserve">over 2018 (uitbetaling in 2019) laten een meevaller in 2019 zien. </w:t>
      </w:r>
    </w:p>
    <w:p w:rsidR="004F053F" w:rsidP="004F053F" w:rsidRDefault="004F053F">
      <w:pPr>
        <w:spacing w:after="0"/>
        <w:rPr>
          <w:rFonts w:eastAsia="Times New Roman"/>
          <w:szCs w:val="18"/>
        </w:rPr>
      </w:pPr>
    </w:p>
    <w:p w:rsidRPr="00A405F7" w:rsidR="004F053F" w:rsidP="004F053F" w:rsidRDefault="004F053F">
      <w:pPr>
        <w:spacing w:after="0"/>
        <w:rPr>
          <w:rFonts w:eastAsia="Times New Roman"/>
          <w:i/>
          <w:szCs w:val="18"/>
        </w:rPr>
      </w:pPr>
      <w:r w:rsidRPr="00A405F7">
        <w:rPr>
          <w:rFonts w:eastAsia="Times New Roman"/>
          <w:i/>
          <w:szCs w:val="18"/>
        </w:rPr>
        <w:t>Participatiewet</w:t>
      </w:r>
    </w:p>
    <w:p w:rsidRPr="00D36776" w:rsidR="004F053F" w:rsidP="004F053F" w:rsidRDefault="004F053F">
      <w:pPr>
        <w:spacing w:after="0"/>
        <w:rPr>
          <w:rFonts w:eastAsia="Times New Roman"/>
          <w:szCs w:val="18"/>
        </w:rPr>
      </w:pPr>
      <w:r w:rsidRPr="00D36776">
        <w:rPr>
          <w:rFonts w:eastAsia="Times New Roman"/>
          <w:szCs w:val="18"/>
        </w:rPr>
        <w:t>De raming van de Participatiewet heeft betrekking op de P</w:t>
      </w:r>
      <w:r>
        <w:rPr>
          <w:rFonts w:eastAsia="Times New Roman"/>
          <w:szCs w:val="18"/>
        </w:rPr>
        <w:t xml:space="preserve">articipatiewet, </w:t>
      </w:r>
      <w:r w:rsidRPr="00D36776">
        <w:rPr>
          <w:rFonts w:eastAsia="Times New Roman"/>
          <w:szCs w:val="18"/>
        </w:rPr>
        <w:t>inkomensvoorziening oudere en gedeeltelijk arbeidsongeschikte werkloze werknemers (IOAW), Inkomensvoorziening oudere en gedeeltelijk arbeidsongeschikte zelfstandigen (IOAZ) en bijstand voor zelfstandigen voor startende ondernemers (</w:t>
      </w:r>
      <w:proofErr w:type="spellStart"/>
      <w:r w:rsidRPr="00D36776">
        <w:rPr>
          <w:rFonts w:eastAsia="Times New Roman"/>
          <w:szCs w:val="18"/>
        </w:rPr>
        <w:t>Bbz</w:t>
      </w:r>
      <w:proofErr w:type="spellEnd"/>
      <w:r w:rsidRPr="00D36776">
        <w:rPr>
          <w:rFonts w:eastAsia="Times New Roman"/>
          <w:szCs w:val="18"/>
        </w:rPr>
        <w:t xml:space="preserve">). </w:t>
      </w:r>
    </w:p>
    <w:p w:rsidR="004F053F" w:rsidP="004F053F" w:rsidRDefault="004F053F">
      <w:pPr>
        <w:spacing w:after="0"/>
        <w:rPr>
          <w:rFonts w:eastAsia="Times New Roman"/>
          <w:szCs w:val="18"/>
        </w:rPr>
      </w:pPr>
      <w:r w:rsidRPr="00D36776">
        <w:rPr>
          <w:rFonts w:eastAsia="Times New Roman"/>
          <w:szCs w:val="18"/>
        </w:rPr>
        <w:t>De raming is neerwaarts bijgesteld door de verwerking van de realisatiecijfers over 2018 in de ramingen voor de regelingen IOAW, IOAZ een BBZ. In de begrotingsregels die door dit kabinet zijn va</w:t>
      </w:r>
      <w:r>
        <w:rPr>
          <w:rFonts w:eastAsia="Times New Roman"/>
          <w:szCs w:val="18"/>
        </w:rPr>
        <w:t xml:space="preserve">stgesteld is afgesproken dat het uitgavenplafond wordt aangepast voor de conjuncturele component van de bijstand. </w:t>
      </w:r>
      <w:r w:rsidRPr="00D36776">
        <w:rPr>
          <w:rFonts w:eastAsia="Times New Roman"/>
          <w:szCs w:val="18"/>
        </w:rPr>
        <w:t>Hierdoor valt de verwerking van de realisatiecijfers 2018 in de bijstandsraming onder de technische mutaties.</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E323FB">
        <w:rPr>
          <w:rFonts w:eastAsia="Times New Roman"/>
          <w:i/>
          <w:szCs w:val="18"/>
        </w:rPr>
        <w:t>Toeslagenwet</w:t>
      </w:r>
    </w:p>
    <w:p w:rsidRPr="006F5B3A" w:rsidR="004F053F" w:rsidP="004F053F" w:rsidRDefault="004F053F">
      <w:pPr>
        <w:spacing w:after="0"/>
        <w:rPr>
          <w:rFonts w:eastAsia="Times New Roman"/>
          <w:szCs w:val="18"/>
        </w:rPr>
      </w:pPr>
      <w:r w:rsidRPr="006F5B3A">
        <w:rPr>
          <w:rFonts w:eastAsia="Times New Roman"/>
          <w:szCs w:val="18"/>
        </w:rPr>
        <w:t xml:space="preserve">De uitgaven zijn neerwaarts bijgesteld naar aanleiding van uitvoeringsinformatie van het UWV. Zo ligt het aantal </w:t>
      </w:r>
      <w:proofErr w:type="spellStart"/>
      <w:r w:rsidRPr="006F5B3A">
        <w:rPr>
          <w:rFonts w:eastAsia="Times New Roman"/>
          <w:szCs w:val="18"/>
        </w:rPr>
        <w:t>Wajongers</w:t>
      </w:r>
      <w:proofErr w:type="spellEnd"/>
      <w:r w:rsidRPr="006F5B3A">
        <w:rPr>
          <w:rFonts w:eastAsia="Times New Roman"/>
          <w:szCs w:val="18"/>
        </w:rPr>
        <w:t xml:space="preserve"> met arbeidsvermogen dat een aanvulling vanuit de </w:t>
      </w:r>
      <w:r w:rsidR="005572E9">
        <w:rPr>
          <w:rFonts w:eastAsia="Times New Roman"/>
          <w:szCs w:val="18"/>
        </w:rPr>
        <w:t>Toeslagenwet (</w:t>
      </w:r>
      <w:r w:rsidRPr="006F5B3A">
        <w:rPr>
          <w:rFonts w:eastAsia="Times New Roman"/>
          <w:szCs w:val="18"/>
        </w:rPr>
        <w:t>TW</w:t>
      </w:r>
      <w:r w:rsidR="005572E9">
        <w:rPr>
          <w:rFonts w:eastAsia="Times New Roman"/>
          <w:szCs w:val="18"/>
        </w:rPr>
        <w:t>)</w:t>
      </w:r>
      <w:r w:rsidRPr="006F5B3A">
        <w:rPr>
          <w:rFonts w:eastAsia="Times New Roman"/>
          <w:szCs w:val="18"/>
        </w:rPr>
        <w:t xml:space="preserve"> heeft aangevraagd lager dan verwacht. Ook de TW-aanvulling op de WW- en ZW-uitkeringen is lager dan geraamd.</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E323FB">
        <w:rPr>
          <w:rFonts w:eastAsia="Times New Roman"/>
          <w:i/>
          <w:szCs w:val="18"/>
        </w:rPr>
        <w:t>Wajong</w:t>
      </w:r>
    </w:p>
    <w:p w:rsidRPr="006F5B3A" w:rsidR="004F053F" w:rsidP="004F053F" w:rsidRDefault="004F053F">
      <w:pPr>
        <w:spacing w:after="0"/>
        <w:rPr>
          <w:rFonts w:eastAsia="Times New Roman"/>
          <w:szCs w:val="18"/>
        </w:rPr>
      </w:pPr>
      <w:r w:rsidRPr="006F5B3A">
        <w:rPr>
          <w:rFonts w:eastAsia="Times New Roman"/>
          <w:szCs w:val="18"/>
        </w:rPr>
        <w:t xml:space="preserve">Op basis van realisatiegegevens van het UWV zijn de verwachte uitkeringslasten Wajong neerwaarts bijgesteld. Dit komt onder andere doordat er meer </w:t>
      </w:r>
      <w:proofErr w:type="spellStart"/>
      <w:r w:rsidRPr="006F5B3A">
        <w:rPr>
          <w:rFonts w:eastAsia="Times New Roman"/>
          <w:szCs w:val="18"/>
        </w:rPr>
        <w:t>Wajongers</w:t>
      </w:r>
      <w:proofErr w:type="spellEnd"/>
      <w:r w:rsidRPr="006F5B3A">
        <w:rPr>
          <w:rFonts w:eastAsia="Times New Roman"/>
          <w:szCs w:val="18"/>
        </w:rPr>
        <w:t xml:space="preserve"> werken dan verwacht, wat zorgt voor een lagere gemiddelde uitkering.</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3C19B0">
        <w:rPr>
          <w:rFonts w:eastAsia="Times New Roman"/>
          <w:i/>
          <w:szCs w:val="18"/>
        </w:rPr>
        <w:t>Diversen</w:t>
      </w:r>
    </w:p>
    <w:p w:rsidRPr="003C19B0" w:rsidR="004F053F" w:rsidP="004F053F" w:rsidRDefault="004F053F">
      <w:pPr>
        <w:spacing w:after="0"/>
        <w:rPr>
          <w:rFonts w:eastAsia="Times New Roman"/>
          <w:szCs w:val="18"/>
        </w:rPr>
      </w:pPr>
      <w:r>
        <w:rPr>
          <w:rFonts w:eastAsia="Times New Roman"/>
          <w:szCs w:val="18"/>
        </w:rPr>
        <w:t xml:space="preserve">Dit betreft o.a. mutaties op de IOW en de uitkeringslasten </w:t>
      </w:r>
      <w:r w:rsidR="005572E9">
        <w:rPr>
          <w:rFonts w:eastAsia="Times New Roman"/>
          <w:szCs w:val="18"/>
        </w:rPr>
        <w:t>Caribisch Nederland</w:t>
      </w:r>
      <w:r>
        <w:rPr>
          <w:rFonts w:eastAsia="Times New Roman"/>
          <w:szCs w:val="18"/>
        </w:rPr>
        <w:t xml:space="preserve">. </w:t>
      </w:r>
    </w:p>
    <w:p w:rsidRPr="00E323FB" w:rsidR="004F053F" w:rsidP="004F053F" w:rsidRDefault="004F053F">
      <w:pPr>
        <w:spacing w:after="0"/>
        <w:rPr>
          <w:rFonts w:eastAsia="Times New Roman"/>
          <w:szCs w:val="18"/>
        </w:rPr>
      </w:pPr>
      <w:r w:rsidRPr="00E323FB">
        <w:rPr>
          <w:rFonts w:eastAsia="Times New Roman"/>
          <w:szCs w:val="18"/>
        </w:rPr>
        <w:t xml:space="preserve"> </w:t>
      </w:r>
    </w:p>
    <w:p w:rsidRPr="00E323FB" w:rsidR="004F053F" w:rsidP="004F053F" w:rsidRDefault="004F053F">
      <w:pPr>
        <w:spacing w:after="0"/>
        <w:rPr>
          <w:rFonts w:eastAsia="Times New Roman"/>
          <w:szCs w:val="18"/>
          <w:u w:val="single"/>
        </w:rPr>
      </w:pPr>
      <w:r w:rsidRPr="00E323FB">
        <w:rPr>
          <w:rFonts w:eastAsia="Times New Roman"/>
          <w:szCs w:val="18"/>
          <w:u w:val="single"/>
        </w:rPr>
        <w:t>Beleidsmatige mutaties</w:t>
      </w:r>
    </w:p>
    <w:p w:rsidRPr="00E323FB" w:rsidR="004F053F" w:rsidP="004F053F" w:rsidRDefault="004F053F">
      <w:pPr>
        <w:spacing w:after="0"/>
        <w:rPr>
          <w:rFonts w:eastAsia="Times New Roman"/>
          <w:szCs w:val="18"/>
        </w:rPr>
      </w:pPr>
      <w:r w:rsidRPr="00E323FB">
        <w:rPr>
          <w:rFonts w:eastAsia="Times New Roman"/>
          <w:szCs w:val="18"/>
        </w:rPr>
        <w:t>Rijksbegroting</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857D05">
        <w:rPr>
          <w:rFonts w:eastAsia="Times New Roman"/>
          <w:i/>
          <w:szCs w:val="18"/>
        </w:rPr>
        <w:t>Kasschuiven uitgavenplafond rijksbegroting</w:t>
      </w:r>
    </w:p>
    <w:p w:rsidRPr="00857D05" w:rsidR="004F053F" w:rsidP="004F053F" w:rsidRDefault="004F053F">
      <w:pPr>
        <w:spacing w:after="0"/>
        <w:rPr>
          <w:rFonts w:eastAsia="Times New Roman"/>
          <w:szCs w:val="18"/>
        </w:rPr>
      </w:pPr>
      <w:r w:rsidRPr="00857D05">
        <w:rPr>
          <w:rFonts w:eastAsia="Times New Roman"/>
          <w:szCs w:val="18"/>
        </w:rPr>
        <w:t>Dit betreffen kleine kasschuiven onder plafond Rijksbegroting. Dit zijn onder andere kasschuiven voor amendementen op de begroting, voor Caribisch Nederland en voor de Inspectie SZW.</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E323FB">
        <w:rPr>
          <w:rFonts w:eastAsia="Times New Roman"/>
          <w:i/>
          <w:szCs w:val="18"/>
        </w:rPr>
        <w:t>Diversen</w:t>
      </w:r>
    </w:p>
    <w:p w:rsidRPr="0073003F" w:rsidR="004F053F" w:rsidP="004F053F" w:rsidRDefault="004F053F">
      <w:pPr>
        <w:spacing w:after="0"/>
        <w:rPr>
          <w:rFonts w:eastAsia="Times New Roman"/>
          <w:szCs w:val="18"/>
        </w:rPr>
      </w:pPr>
      <w:r w:rsidRPr="0073003F">
        <w:rPr>
          <w:rFonts w:eastAsia="Times New Roman"/>
          <w:szCs w:val="18"/>
        </w:rPr>
        <w:t>Hieronder vallen onder andere de dekking afkomstig van de post nominaal onvoorzien (artikel 99), de eindejaarsmarges onder plafond Rijksbegroting, de regeling kansen voor kinderen, tel mee met taal en de veranderopgave inburgering.</w:t>
      </w:r>
    </w:p>
    <w:p w:rsidR="004F053F" w:rsidP="004F053F" w:rsidRDefault="004F053F">
      <w:pPr>
        <w:spacing w:after="0"/>
        <w:rPr>
          <w:rFonts w:eastAsia="Times New Roman"/>
          <w:szCs w:val="18"/>
        </w:rPr>
      </w:pPr>
    </w:p>
    <w:p w:rsidR="004F053F" w:rsidP="004F053F" w:rsidRDefault="004F053F">
      <w:pPr>
        <w:spacing w:after="0"/>
        <w:rPr>
          <w:rFonts w:eastAsia="Times New Roman"/>
          <w:szCs w:val="18"/>
        </w:rPr>
      </w:pPr>
      <w:r w:rsidRPr="00E323FB">
        <w:rPr>
          <w:rFonts w:eastAsia="Times New Roman"/>
          <w:szCs w:val="18"/>
        </w:rPr>
        <w:t>Sociale zekerheid</w:t>
      </w:r>
    </w:p>
    <w:p w:rsidR="004F053F" w:rsidP="004F053F" w:rsidRDefault="004F053F">
      <w:pPr>
        <w:spacing w:after="0"/>
        <w:rPr>
          <w:rFonts w:eastAsia="Times New Roman"/>
          <w:szCs w:val="18"/>
        </w:rPr>
      </w:pPr>
    </w:p>
    <w:p w:rsidRPr="00A405F7" w:rsidR="004F053F" w:rsidP="004F053F" w:rsidRDefault="004F053F">
      <w:pPr>
        <w:spacing w:after="0"/>
        <w:rPr>
          <w:rFonts w:eastAsia="Times New Roman"/>
          <w:i/>
          <w:szCs w:val="18"/>
        </w:rPr>
      </w:pPr>
      <w:r w:rsidRPr="00A405F7">
        <w:rPr>
          <w:rFonts w:eastAsia="Times New Roman"/>
          <w:i/>
          <w:szCs w:val="18"/>
        </w:rPr>
        <w:t xml:space="preserve">Dekking herstel niet-automatisch herstarten WKB </w:t>
      </w:r>
    </w:p>
    <w:p w:rsidR="004F053F" w:rsidP="004F053F" w:rsidRDefault="004F053F">
      <w:pPr>
        <w:spacing w:after="0"/>
        <w:rPr>
          <w:rFonts w:eastAsia="Times New Roman"/>
          <w:szCs w:val="18"/>
        </w:rPr>
      </w:pPr>
      <w:r w:rsidRPr="000736BE">
        <w:rPr>
          <w:rFonts w:eastAsia="Times New Roman"/>
          <w:szCs w:val="18"/>
        </w:rPr>
        <w:t xml:space="preserve">Deze reeks bestaat uit dekking voor de incidentele kosten voor het herstellen van ten onrechte niet ontvangen van </w:t>
      </w:r>
      <w:proofErr w:type="spellStart"/>
      <w:r w:rsidRPr="000736BE">
        <w:rPr>
          <w:rFonts w:eastAsia="Times New Roman"/>
          <w:szCs w:val="18"/>
        </w:rPr>
        <w:t>kindgebonden</w:t>
      </w:r>
      <w:proofErr w:type="spellEnd"/>
      <w:r w:rsidRPr="000736BE">
        <w:rPr>
          <w:rFonts w:eastAsia="Times New Roman"/>
          <w:szCs w:val="18"/>
        </w:rPr>
        <w:t xml:space="preserve"> budget, in het kader van het hierboven beschreven herstel niet-automatisch herstarten WKB.</w:t>
      </w:r>
      <w:r>
        <w:rPr>
          <w:rFonts w:eastAsia="Times New Roman"/>
          <w:szCs w:val="18"/>
        </w:rPr>
        <w:t xml:space="preserve"> </w:t>
      </w:r>
    </w:p>
    <w:p w:rsidRPr="00E323FB" w:rsidR="004F053F" w:rsidP="004F053F" w:rsidRDefault="004F053F">
      <w:pPr>
        <w:spacing w:after="0"/>
        <w:rPr>
          <w:rFonts w:eastAsia="Times New Roman"/>
          <w:szCs w:val="18"/>
        </w:rPr>
      </w:pPr>
      <w:r w:rsidRPr="00A405F7">
        <w:rPr>
          <w:rFonts w:eastAsia="Times New Roman"/>
          <w:szCs w:val="18"/>
        </w:rPr>
        <w:t>De structurele kosten van het herstel van het niet-automatisch herstarten van de WKB worden beleidsmatig gedekt door middel van het</w:t>
      </w:r>
      <w:r>
        <w:rPr>
          <w:rFonts w:eastAsia="Times New Roman"/>
          <w:szCs w:val="18"/>
        </w:rPr>
        <w:t xml:space="preserve"> eenmalig</w:t>
      </w:r>
      <w:r w:rsidRPr="00A405F7">
        <w:rPr>
          <w:rFonts w:eastAsia="Times New Roman"/>
          <w:szCs w:val="18"/>
        </w:rPr>
        <w:t xml:space="preserve"> niet</w:t>
      </w:r>
      <w:r>
        <w:rPr>
          <w:rFonts w:eastAsia="Times New Roman"/>
          <w:szCs w:val="18"/>
        </w:rPr>
        <w:t>-</w:t>
      </w:r>
      <w:r w:rsidRPr="00A405F7">
        <w:rPr>
          <w:rFonts w:eastAsia="Times New Roman"/>
          <w:szCs w:val="18"/>
        </w:rPr>
        <w:t xml:space="preserve">indexeren van het </w:t>
      </w:r>
      <w:proofErr w:type="spellStart"/>
      <w:r w:rsidRPr="00A405F7">
        <w:rPr>
          <w:rFonts w:eastAsia="Times New Roman"/>
          <w:szCs w:val="18"/>
        </w:rPr>
        <w:t>kindgebonden</w:t>
      </w:r>
      <w:proofErr w:type="spellEnd"/>
      <w:r w:rsidRPr="00A405F7">
        <w:rPr>
          <w:rFonts w:eastAsia="Times New Roman"/>
          <w:szCs w:val="18"/>
        </w:rPr>
        <w:t xml:space="preserve"> budget </w:t>
      </w:r>
      <w:r>
        <w:rPr>
          <w:rFonts w:eastAsia="Times New Roman"/>
          <w:szCs w:val="18"/>
        </w:rPr>
        <w:t>per</w:t>
      </w:r>
      <w:r w:rsidRPr="00A405F7">
        <w:rPr>
          <w:rFonts w:eastAsia="Times New Roman"/>
          <w:szCs w:val="18"/>
        </w:rPr>
        <w:t xml:space="preserve"> 2020. Deze wijziging is meegenomen in het wetsvoorstel wijziging van de Wet op het </w:t>
      </w:r>
      <w:proofErr w:type="spellStart"/>
      <w:r w:rsidRPr="00A405F7">
        <w:rPr>
          <w:rFonts w:eastAsia="Times New Roman"/>
          <w:szCs w:val="18"/>
        </w:rPr>
        <w:t>kindgebonden</w:t>
      </w:r>
      <w:proofErr w:type="spellEnd"/>
      <w:r w:rsidRPr="00A405F7">
        <w:rPr>
          <w:rFonts w:eastAsia="Times New Roman"/>
          <w:szCs w:val="18"/>
        </w:rPr>
        <w:t xml:space="preserve"> budget. De Tweede Kamer heeft op 5 maart 2019 ingestemd met dit wetsvoorstel.</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876010">
        <w:rPr>
          <w:rFonts w:eastAsia="Times New Roman"/>
          <w:i/>
          <w:szCs w:val="18"/>
        </w:rPr>
        <w:t>Herijking light model</w:t>
      </w:r>
    </w:p>
    <w:p w:rsidR="004F053F" w:rsidP="004F053F" w:rsidRDefault="004F053F">
      <w:pPr>
        <w:spacing w:after="0"/>
        <w:rPr>
          <w:rFonts w:eastAsia="Times New Roman"/>
          <w:szCs w:val="18"/>
        </w:rPr>
      </w:pPr>
      <w:r>
        <w:rPr>
          <w:rFonts w:eastAsia="Times New Roman"/>
          <w:szCs w:val="18"/>
        </w:rPr>
        <w:t xml:space="preserve">Elk jaar wordt het bekostigingsmodel van het UWV (Light model) herijkt. Deze herijking leidt ieder jaar tot een budgetneutrale schuif tussen premie- en </w:t>
      </w:r>
      <w:proofErr w:type="spellStart"/>
      <w:r>
        <w:rPr>
          <w:rFonts w:eastAsia="Times New Roman"/>
          <w:szCs w:val="18"/>
        </w:rPr>
        <w:t>begrotingsgefinancierde</w:t>
      </w:r>
      <w:proofErr w:type="spellEnd"/>
      <w:r>
        <w:rPr>
          <w:rFonts w:eastAsia="Times New Roman"/>
          <w:szCs w:val="18"/>
        </w:rPr>
        <w:t xml:space="preserve"> uitvoeringskosten. </w:t>
      </w:r>
    </w:p>
    <w:p w:rsidR="004F053F" w:rsidP="004F053F" w:rsidRDefault="004F053F">
      <w:pPr>
        <w:spacing w:after="0"/>
        <w:rPr>
          <w:rFonts w:eastAsia="Times New Roman"/>
          <w:i/>
          <w:szCs w:val="18"/>
        </w:rPr>
      </w:pPr>
    </w:p>
    <w:p w:rsidRPr="00E323FB" w:rsidR="004F053F" w:rsidP="004F053F" w:rsidRDefault="004F053F">
      <w:pPr>
        <w:spacing w:after="0"/>
        <w:rPr>
          <w:rFonts w:eastAsia="Times New Roman"/>
          <w:i/>
          <w:szCs w:val="18"/>
        </w:rPr>
      </w:pPr>
      <w:r w:rsidRPr="003C19B0">
        <w:rPr>
          <w:rFonts w:eastAsia="Times New Roman"/>
          <w:i/>
          <w:szCs w:val="18"/>
        </w:rPr>
        <w:t>Inzet voor dekking algemene problematiek</w:t>
      </w:r>
    </w:p>
    <w:p w:rsidRPr="003C19B0" w:rsidR="004F053F" w:rsidP="004F053F" w:rsidRDefault="004F053F">
      <w:pPr>
        <w:spacing w:after="0"/>
        <w:rPr>
          <w:rFonts w:eastAsia="Times New Roman"/>
          <w:szCs w:val="18"/>
        </w:rPr>
      </w:pPr>
      <w:r w:rsidRPr="003C19B0">
        <w:rPr>
          <w:rFonts w:eastAsia="Times New Roman"/>
          <w:szCs w:val="18"/>
        </w:rPr>
        <w:t>SZW ontvangt in 2019 eenmalig 21,7 mln. terug van Capgemini. Deze teruggave wordt ingezet als dekking voor de algemene problematiek waaronder voor onvermijdelijke uitvoeringskosten CIZ.</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857D05">
        <w:rPr>
          <w:rFonts w:eastAsia="Times New Roman"/>
          <w:i/>
          <w:szCs w:val="18"/>
        </w:rPr>
        <w:t>Kasschuiven uitgavenplafond sociale zekerheid</w:t>
      </w:r>
    </w:p>
    <w:p w:rsidRPr="00857D05" w:rsidR="004F053F" w:rsidP="004F053F" w:rsidRDefault="004F053F">
      <w:pPr>
        <w:spacing w:after="0"/>
        <w:rPr>
          <w:rFonts w:eastAsia="Times New Roman"/>
          <w:szCs w:val="18"/>
        </w:rPr>
      </w:pPr>
      <w:r>
        <w:rPr>
          <w:rFonts w:eastAsia="Times New Roman"/>
          <w:szCs w:val="18"/>
        </w:rPr>
        <w:t>Hieronder</w:t>
      </w:r>
      <w:r w:rsidRPr="00857D05">
        <w:rPr>
          <w:rFonts w:eastAsia="Times New Roman"/>
          <w:szCs w:val="18"/>
        </w:rPr>
        <w:t xml:space="preserve"> vallen o.a. een kasschuif voor de herziening van het Besluit bijstandverlening zelfstandigen (BBZ), een kasschuif voor de vereenvoudiging van de Wajong en een kasschuif voor een IT-plan bij </w:t>
      </w:r>
      <w:r w:rsidR="00F74698">
        <w:rPr>
          <w:rFonts w:eastAsia="Times New Roman"/>
          <w:szCs w:val="18"/>
        </w:rPr>
        <w:t>SVB</w:t>
      </w:r>
      <w:r w:rsidRPr="00857D05">
        <w:rPr>
          <w:rFonts w:eastAsia="Times New Roman"/>
          <w:szCs w:val="18"/>
        </w:rPr>
        <w:t>.</w:t>
      </w:r>
    </w:p>
    <w:p w:rsidR="004F053F" w:rsidP="004F053F" w:rsidRDefault="004F053F">
      <w:pPr>
        <w:spacing w:after="0"/>
        <w:rPr>
          <w:rFonts w:eastAsia="Times New Roman"/>
          <w:i/>
          <w:szCs w:val="18"/>
        </w:rPr>
      </w:pPr>
    </w:p>
    <w:p w:rsidR="004F053F" w:rsidP="004F053F" w:rsidRDefault="004F053F">
      <w:pPr>
        <w:spacing w:after="0"/>
        <w:rPr>
          <w:rFonts w:eastAsia="Times New Roman"/>
          <w:i/>
          <w:szCs w:val="18"/>
        </w:rPr>
      </w:pPr>
      <w:r w:rsidRPr="008948F4">
        <w:rPr>
          <w:rFonts w:eastAsia="Times New Roman"/>
          <w:i/>
          <w:szCs w:val="18"/>
        </w:rPr>
        <w:t>Uitboeken activeren quotum</w:t>
      </w:r>
    </w:p>
    <w:p w:rsidRPr="003173BF" w:rsidR="004F053F" w:rsidP="004F053F" w:rsidRDefault="004F053F">
      <w:pPr>
        <w:spacing w:after="0"/>
        <w:rPr>
          <w:rFonts w:eastAsia="Times New Roman"/>
          <w:szCs w:val="18"/>
        </w:rPr>
      </w:pPr>
      <w:r w:rsidRPr="003173BF">
        <w:rPr>
          <w:rFonts w:eastAsia="Times New Roman"/>
          <w:szCs w:val="18"/>
        </w:rPr>
        <w:t>Eerder werd gedacht dat de overheid de banenafspraak niet zou halen en hiermee in totaal niet voldoende banen volgens de banenafspraak zouden worden gecreëerd. Hiervoor is een besparingsverlies op de bijstand ingeboekt.</w:t>
      </w:r>
    </w:p>
    <w:p w:rsidR="004F053F" w:rsidP="004F053F" w:rsidRDefault="004F053F">
      <w:pPr>
        <w:spacing w:after="0"/>
        <w:rPr>
          <w:rFonts w:eastAsia="Times New Roman"/>
          <w:szCs w:val="18"/>
        </w:rPr>
      </w:pPr>
      <w:r w:rsidRPr="003173BF">
        <w:rPr>
          <w:rFonts w:eastAsia="Times New Roman"/>
          <w:szCs w:val="18"/>
        </w:rPr>
        <w:t>Nu blijk</w:t>
      </w:r>
      <w:r>
        <w:rPr>
          <w:rFonts w:eastAsia="Times New Roman"/>
          <w:szCs w:val="18"/>
        </w:rPr>
        <w:t>t</w:t>
      </w:r>
      <w:r w:rsidRPr="003173BF">
        <w:rPr>
          <w:rFonts w:eastAsia="Times New Roman"/>
          <w:szCs w:val="18"/>
        </w:rPr>
        <w:t xml:space="preserve"> dat de overheid en de markt samen wel voldoende banen hebben gecreëerd. Daarom is het besparingsverlies weer uitgeboekt.</w:t>
      </w:r>
    </w:p>
    <w:p w:rsidR="004F053F" w:rsidP="004F053F" w:rsidRDefault="004F053F">
      <w:pPr>
        <w:spacing w:after="0"/>
        <w:rPr>
          <w:rFonts w:eastAsia="Times New Roman"/>
          <w:i/>
          <w:szCs w:val="18"/>
        </w:rPr>
      </w:pPr>
    </w:p>
    <w:p w:rsidRPr="004808F5" w:rsidR="004F053F" w:rsidP="004F053F" w:rsidRDefault="004F053F">
      <w:pPr>
        <w:spacing w:after="0"/>
        <w:rPr>
          <w:rFonts w:eastAsia="Times New Roman"/>
          <w:i/>
          <w:szCs w:val="18"/>
        </w:rPr>
      </w:pPr>
      <w:r w:rsidRPr="004808F5">
        <w:rPr>
          <w:rFonts w:eastAsia="Times New Roman"/>
          <w:i/>
          <w:szCs w:val="18"/>
        </w:rPr>
        <w:t>Diversen</w:t>
      </w:r>
    </w:p>
    <w:p w:rsidRPr="003C19B0" w:rsidR="004F053F" w:rsidP="004F053F" w:rsidRDefault="004F053F">
      <w:pPr>
        <w:spacing w:after="0"/>
        <w:rPr>
          <w:rFonts w:eastAsia="Times New Roman"/>
          <w:szCs w:val="18"/>
        </w:rPr>
      </w:pPr>
      <w:r w:rsidRPr="004808F5">
        <w:rPr>
          <w:rFonts w:eastAsia="Times New Roman"/>
          <w:szCs w:val="18"/>
        </w:rPr>
        <w:t>Dit betreft o.a. de intertemporele tegemoetkoming asielinstroom, re-integratie Wajong en diverse overboekingen met andere departementen.</w:t>
      </w:r>
      <w:r>
        <w:rPr>
          <w:rFonts w:eastAsia="Times New Roman"/>
          <w:szCs w:val="18"/>
        </w:rPr>
        <w:t xml:space="preserve"> </w:t>
      </w:r>
    </w:p>
    <w:p w:rsidRPr="00E323FB" w:rsidR="004F053F" w:rsidP="004F053F" w:rsidRDefault="004F053F">
      <w:pPr>
        <w:spacing w:after="0"/>
        <w:rPr>
          <w:rFonts w:eastAsia="Times New Roman"/>
          <w:szCs w:val="18"/>
        </w:rPr>
      </w:pPr>
    </w:p>
    <w:p w:rsidRPr="00E323FB" w:rsidR="004F053F" w:rsidP="004F053F" w:rsidRDefault="004F053F">
      <w:pPr>
        <w:spacing w:after="0"/>
        <w:rPr>
          <w:rFonts w:eastAsia="Times New Roman"/>
          <w:szCs w:val="18"/>
          <w:u w:val="single"/>
        </w:rPr>
      </w:pPr>
      <w:r w:rsidRPr="00E323FB">
        <w:rPr>
          <w:rFonts w:eastAsia="Times New Roman"/>
          <w:szCs w:val="18"/>
          <w:u w:val="single"/>
        </w:rPr>
        <w:t>Technische mutaties</w:t>
      </w:r>
    </w:p>
    <w:p w:rsidRPr="00E323FB" w:rsidR="004F053F" w:rsidP="004F053F" w:rsidRDefault="004F053F">
      <w:pPr>
        <w:spacing w:after="0"/>
        <w:rPr>
          <w:rFonts w:eastAsia="Times New Roman"/>
          <w:szCs w:val="18"/>
        </w:rPr>
      </w:pPr>
      <w:r w:rsidRPr="00E323FB">
        <w:rPr>
          <w:rFonts w:eastAsia="Times New Roman"/>
          <w:szCs w:val="18"/>
        </w:rPr>
        <w:t>Rijksbegroting</w:t>
      </w:r>
    </w:p>
    <w:p w:rsidR="004F053F" w:rsidP="004F053F" w:rsidRDefault="004F053F">
      <w:pPr>
        <w:spacing w:after="0"/>
        <w:rPr>
          <w:rFonts w:eastAsia="Times New Roman"/>
          <w:i/>
          <w:szCs w:val="18"/>
        </w:rPr>
      </w:pPr>
    </w:p>
    <w:p w:rsidRPr="008948F4" w:rsidR="004F053F" w:rsidP="004F053F" w:rsidRDefault="004F053F">
      <w:pPr>
        <w:spacing w:after="0"/>
        <w:rPr>
          <w:rFonts w:eastAsia="Times New Roman"/>
          <w:i/>
          <w:szCs w:val="18"/>
        </w:rPr>
      </w:pPr>
      <w:r w:rsidRPr="008948F4">
        <w:rPr>
          <w:rFonts w:eastAsia="Times New Roman"/>
          <w:i/>
          <w:szCs w:val="18"/>
        </w:rPr>
        <w:t>Naar GF: bijdrage maatschappelijke begeleiding</w:t>
      </w:r>
    </w:p>
    <w:p w:rsidRPr="004808F5" w:rsidR="004F053F" w:rsidP="004F053F" w:rsidRDefault="004F053F">
      <w:pPr>
        <w:spacing w:after="0"/>
        <w:rPr>
          <w:rFonts w:eastAsia="Times New Roman"/>
          <w:szCs w:val="18"/>
        </w:rPr>
      </w:pPr>
      <w:r w:rsidRPr="008948F4">
        <w:rPr>
          <w:rFonts w:eastAsia="Times New Roman"/>
          <w:szCs w:val="18"/>
        </w:rPr>
        <w:t xml:space="preserve">Dit betreft een decentralisatie uitkering die een bijdrage geeft aan het gemeentefonds voor de maatschappelijke </w:t>
      </w:r>
      <w:r w:rsidRPr="004808F5">
        <w:rPr>
          <w:rFonts w:eastAsia="Times New Roman"/>
          <w:szCs w:val="18"/>
        </w:rPr>
        <w:t xml:space="preserve">begeleiding. </w:t>
      </w:r>
    </w:p>
    <w:p w:rsidRPr="004808F5" w:rsidR="004F053F" w:rsidP="004F053F" w:rsidRDefault="004F053F">
      <w:pPr>
        <w:spacing w:after="0"/>
        <w:rPr>
          <w:rFonts w:eastAsia="Times New Roman"/>
          <w:i/>
          <w:szCs w:val="18"/>
        </w:rPr>
      </w:pPr>
    </w:p>
    <w:p w:rsidRPr="004808F5" w:rsidR="004F053F" w:rsidP="004F053F" w:rsidRDefault="004F053F">
      <w:pPr>
        <w:spacing w:after="0"/>
        <w:rPr>
          <w:rFonts w:eastAsia="Times New Roman"/>
          <w:i/>
          <w:szCs w:val="18"/>
        </w:rPr>
      </w:pPr>
      <w:r w:rsidRPr="004808F5">
        <w:rPr>
          <w:rFonts w:eastAsia="Times New Roman"/>
          <w:i/>
          <w:szCs w:val="18"/>
        </w:rPr>
        <w:t>Diversen</w:t>
      </w:r>
    </w:p>
    <w:p w:rsidRPr="004808F5" w:rsidR="004F053F" w:rsidP="004F053F" w:rsidRDefault="004F053F">
      <w:pPr>
        <w:spacing w:after="0"/>
        <w:rPr>
          <w:rFonts w:eastAsia="Times New Roman"/>
          <w:szCs w:val="18"/>
        </w:rPr>
      </w:pPr>
      <w:r w:rsidRPr="004808F5">
        <w:rPr>
          <w:rFonts w:eastAsia="Times New Roman"/>
          <w:szCs w:val="18"/>
        </w:rPr>
        <w:t>Dit gaat o.a. over een bijdrage aan het schakelpunt werkgevers en de programmaraad door een beleidsdirectie van SZW.</w:t>
      </w:r>
      <w:r>
        <w:rPr>
          <w:rFonts w:eastAsia="Times New Roman"/>
          <w:szCs w:val="18"/>
        </w:rPr>
        <w:t xml:space="preserve"> </w:t>
      </w:r>
    </w:p>
    <w:p w:rsidR="004F053F" w:rsidP="004F053F" w:rsidRDefault="004F053F">
      <w:pPr>
        <w:spacing w:after="0"/>
        <w:rPr>
          <w:rFonts w:eastAsia="Times New Roman"/>
          <w:szCs w:val="18"/>
        </w:rPr>
      </w:pPr>
    </w:p>
    <w:p w:rsidRPr="0073003F" w:rsidR="004F053F" w:rsidP="004F053F" w:rsidRDefault="004F053F">
      <w:pPr>
        <w:spacing w:after="0"/>
        <w:rPr>
          <w:rFonts w:eastAsia="Times New Roman"/>
          <w:szCs w:val="18"/>
        </w:rPr>
      </w:pPr>
      <w:r>
        <w:rPr>
          <w:rFonts w:eastAsia="Times New Roman"/>
          <w:szCs w:val="18"/>
        </w:rPr>
        <w:t>Sociale zekerheid</w:t>
      </w:r>
    </w:p>
    <w:p w:rsidRPr="0073003F" w:rsidR="004F053F" w:rsidP="004F053F" w:rsidRDefault="004F053F">
      <w:pPr>
        <w:spacing w:after="0"/>
        <w:rPr>
          <w:rFonts w:eastAsia="Times New Roman"/>
          <w:i/>
          <w:szCs w:val="18"/>
          <w:highlight w:val="cyan"/>
        </w:rPr>
      </w:pPr>
    </w:p>
    <w:p w:rsidRPr="00A405F7" w:rsidR="004F053F" w:rsidP="004F053F" w:rsidRDefault="004F053F">
      <w:pPr>
        <w:spacing w:after="0"/>
        <w:rPr>
          <w:rFonts w:eastAsia="Times New Roman"/>
          <w:i/>
          <w:szCs w:val="18"/>
        </w:rPr>
      </w:pPr>
      <w:r w:rsidRPr="00A405F7">
        <w:rPr>
          <w:rFonts w:eastAsia="Times New Roman"/>
          <w:i/>
          <w:szCs w:val="18"/>
        </w:rPr>
        <w:t>Nieuw pakket van maatregelen WIA en LBZ</w:t>
      </w:r>
    </w:p>
    <w:p w:rsidRPr="000C037A" w:rsidR="004F053F" w:rsidP="004F053F" w:rsidRDefault="002B1507">
      <w:pPr>
        <w:spacing w:after="0"/>
        <w:rPr>
          <w:szCs w:val="18"/>
        </w:rPr>
      </w:pPr>
      <w:r>
        <w:rPr>
          <w:szCs w:val="18"/>
        </w:rPr>
        <w:t>In het R</w:t>
      </w:r>
      <w:r w:rsidRPr="000C037A" w:rsidR="004F053F">
        <w:rPr>
          <w:szCs w:val="18"/>
        </w:rPr>
        <w:t>egeerakkoord zijn afspraken opgenomen over de WIA en loondoorbetaling bij ziekte. In plaats daarvan is in december 2018 een alternatief pakket afgesproken. Dat is nu verwerkt.</w:t>
      </w:r>
    </w:p>
    <w:p w:rsidR="004F053F" w:rsidP="004F053F" w:rsidRDefault="004F053F">
      <w:pPr>
        <w:spacing w:after="0"/>
        <w:rPr>
          <w:szCs w:val="18"/>
        </w:rPr>
      </w:pPr>
      <w:r w:rsidRPr="000C037A">
        <w:rPr>
          <w:szCs w:val="18"/>
        </w:rPr>
        <w:t>Zie voor de uitgebreide tabel met de verwerking van deze cijfers de laatste bladzijde van deze VT.</w:t>
      </w:r>
    </w:p>
    <w:p w:rsidRPr="00A405F7" w:rsidR="004F053F" w:rsidP="004F053F" w:rsidRDefault="004F053F">
      <w:pPr>
        <w:spacing w:after="0"/>
        <w:rPr>
          <w:rFonts w:eastAsia="Times New Roman"/>
          <w:i/>
          <w:szCs w:val="18"/>
        </w:rPr>
      </w:pPr>
    </w:p>
    <w:p w:rsidRPr="00A405F7" w:rsidR="004F053F" w:rsidP="004F053F" w:rsidRDefault="004F053F">
      <w:pPr>
        <w:spacing w:after="0"/>
        <w:rPr>
          <w:rFonts w:eastAsia="Times New Roman"/>
          <w:i/>
          <w:szCs w:val="18"/>
        </w:rPr>
      </w:pPr>
      <w:r w:rsidRPr="00A405F7">
        <w:rPr>
          <w:rFonts w:eastAsia="Times New Roman"/>
          <w:i/>
          <w:szCs w:val="18"/>
        </w:rPr>
        <w:t>Participatiewet</w:t>
      </w:r>
    </w:p>
    <w:p w:rsidR="004F053F" w:rsidP="004F053F" w:rsidRDefault="004F053F">
      <w:pPr>
        <w:spacing w:after="0"/>
        <w:rPr>
          <w:rFonts w:eastAsia="Times New Roman"/>
          <w:szCs w:val="18"/>
        </w:rPr>
      </w:pPr>
      <w:r>
        <w:rPr>
          <w:rFonts w:eastAsia="Times New Roman"/>
          <w:szCs w:val="18"/>
        </w:rPr>
        <w:t xml:space="preserve">De Participatiewet-raming </w:t>
      </w:r>
      <w:r w:rsidRPr="003173BF">
        <w:rPr>
          <w:rFonts w:eastAsia="Times New Roman"/>
          <w:szCs w:val="18"/>
        </w:rPr>
        <w:t>is bijgesteld aan de hand van de werklo</w:t>
      </w:r>
      <w:r>
        <w:rPr>
          <w:rFonts w:eastAsia="Times New Roman"/>
          <w:szCs w:val="18"/>
        </w:rPr>
        <w:t>osheidscijfers van het CPB (</w:t>
      </w:r>
      <w:r w:rsidRPr="003173BF">
        <w:rPr>
          <w:rFonts w:eastAsia="Times New Roman"/>
          <w:szCs w:val="18"/>
        </w:rPr>
        <w:t xml:space="preserve">neerwaarts in 2019 </w:t>
      </w:r>
      <w:r>
        <w:rPr>
          <w:rFonts w:eastAsia="Times New Roman"/>
          <w:szCs w:val="18"/>
        </w:rPr>
        <w:t xml:space="preserve">en </w:t>
      </w:r>
      <w:r w:rsidRPr="003173BF">
        <w:rPr>
          <w:rFonts w:eastAsia="Times New Roman"/>
          <w:szCs w:val="18"/>
        </w:rPr>
        <w:t>latere jaren opwaarts) en de verwerking van re</w:t>
      </w:r>
      <w:r>
        <w:rPr>
          <w:rFonts w:eastAsia="Times New Roman"/>
          <w:szCs w:val="18"/>
        </w:rPr>
        <w:t>alisatiegegevens over 2018 (neer</w:t>
      </w:r>
      <w:r w:rsidRPr="003173BF">
        <w:rPr>
          <w:rFonts w:eastAsia="Times New Roman"/>
          <w:szCs w:val="18"/>
        </w:rPr>
        <w:t>waarts). In de begrotingsregels is afgesproken dat het SZ-plafond hiervoor wordt aangepast.</w:t>
      </w:r>
    </w:p>
    <w:p w:rsidR="004F053F" w:rsidP="004F053F" w:rsidRDefault="004F053F">
      <w:pPr>
        <w:spacing w:after="0"/>
        <w:rPr>
          <w:rFonts w:eastAsia="Times New Roman"/>
          <w:i/>
          <w:szCs w:val="18"/>
        </w:rPr>
      </w:pPr>
    </w:p>
    <w:p w:rsidRPr="004808F5" w:rsidR="004F053F" w:rsidP="004F053F" w:rsidRDefault="004F053F">
      <w:pPr>
        <w:spacing w:after="0"/>
        <w:rPr>
          <w:rFonts w:eastAsia="Times New Roman"/>
          <w:i/>
          <w:szCs w:val="18"/>
        </w:rPr>
      </w:pPr>
      <w:r w:rsidRPr="004808F5">
        <w:rPr>
          <w:rFonts w:eastAsia="Times New Roman"/>
          <w:i/>
          <w:szCs w:val="18"/>
        </w:rPr>
        <w:t>Diversen</w:t>
      </w:r>
    </w:p>
    <w:p w:rsidRPr="004808F5" w:rsidR="004F053F" w:rsidP="004F053F" w:rsidRDefault="004F053F">
      <w:pPr>
        <w:spacing w:after="0"/>
        <w:rPr>
          <w:rFonts w:eastAsia="Times New Roman"/>
          <w:szCs w:val="18"/>
        </w:rPr>
      </w:pPr>
      <w:r w:rsidRPr="004808F5">
        <w:rPr>
          <w:rFonts w:eastAsia="Times New Roman"/>
          <w:szCs w:val="18"/>
        </w:rPr>
        <w:t>Dit betreft o.a</w:t>
      </w:r>
      <w:r>
        <w:rPr>
          <w:rFonts w:eastAsia="Times New Roman"/>
          <w:szCs w:val="18"/>
        </w:rPr>
        <w:t xml:space="preserve">. overboekingen met het plafond Zorg en de uitvoering van de sociaaleconomische agenda Caribisch Nederland. </w:t>
      </w:r>
    </w:p>
    <w:p w:rsidR="004F053F" w:rsidP="004F053F" w:rsidRDefault="004F053F">
      <w:pPr>
        <w:spacing w:after="0"/>
        <w:rPr>
          <w:rFonts w:eastAsia="Times New Roman"/>
          <w:szCs w:val="18"/>
        </w:rPr>
      </w:pPr>
    </w:p>
    <w:p w:rsidRPr="00E323FB" w:rsidR="004F053F" w:rsidP="004F053F" w:rsidRDefault="004F053F">
      <w:pPr>
        <w:spacing w:after="0"/>
        <w:rPr>
          <w:rFonts w:eastAsia="Times New Roman"/>
          <w:szCs w:val="18"/>
          <w:u w:val="single"/>
        </w:rPr>
      </w:pPr>
      <w:r w:rsidRPr="00E323FB">
        <w:rPr>
          <w:rFonts w:eastAsia="Times New Roman"/>
          <w:szCs w:val="18"/>
          <w:u w:val="single"/>
        </w:rPr>
        <w:t>Niet relevant voor het uitgavenplafond</w:t>
      </w:r>
    </w:p>
    <w:p w:rsidR="004F053F" w:rsidP="004F053F" w:rsidRDefault="004F053F">
      <w:pPr>
        <w:spacing w:after="0"/>
        <w:rPr>
          <w:rFonts w:eastAsia="Times New Roman"/>
          <w:i/>
          <w:szCs w:val="18"/>
        </w:rPr>
      </w:pPr>
      <w:proofErr w:type="spellStart"/>
      <w:r w:rsidRPr="00E323FB">
        <w:rPr>
          <w:rFonts w:eastAsia="Times New Roman"/>
          <w:i/>
          <w:szCs w:val="18"/>
        </w:rPr>
        <w:t>Bikk</w:t>
      </w:r>
      <w:proofErr w:type="spellEnd"/>
      <w:r w:rsidRPr="00E323FB">
        <w:rPr>
          <w:rFonts w:eastAsia="Times New Roman"/>
          <w:i/>
          <w:szCs w:val="18"/>
        </w:rPr>
        <w:t xml:space="preserve"> AOW</w:t>
      </w:r>
    </w:p>
    <w:p w:rsidRPr="00E323FB" w:rsidR="004F053F" w:rsidP="004F053F" w:rsidRDefault="004F053F">
      <w:pPr>
        <w:spacing w:after="0"/>
        <w:rPr>
          <w:rFonts w:eastAsia="Times New Roman"/>
          <w:szCs w:val="18"/>
        </w:rPr>
      </w:pPr>
      <w:r w:rsidRPr="00E323FB">
        <w:rPr>
          <w:rFonts w:eastAsia="Times New Roman"/>
          <w:szCs w:val="18"/>
        </w:rPr>
        <w:t xml:space="preserve">In de </w:t>
      </w:r>
      <w:r w:rsidR="005572E9">
        <w:rPr>
          <w:rFonts w:eastAsia="Times New Roman"/>
          <w:szCs w:val="18"/>
        </w:rPr>
        <w:t>CEP-</w:t>
      </w:r>
      <w:r w:rsidRPr="00E323FB">
        <w:rPr>
          <w:rFonts w:eastAsia="Times New Roman"/>
          <w:szCs w:val="18"/>
        </w:rPr>
        <w:t>cijfers van het CPB is de raming voor de inkomsten van heffingskortingen verlaagd. De bijdrage in de kosten van de heffingskortingen (</w:t>
      </w:r>
      <w:proofErr w:type="spellStart"/>
      <w:r w:rsidRPr="00E323FB">
        <w:rPr>
          <w:rFonts w:eastAsia="Times New Roman"/>
          <w:szCs w:val="18"/>
        </w:rPr>
        <w:t>Bikk</w:t>
      </w:r>
      <w:proofErr w:type="spellEnd"/>
      <w:r w:rsidRPr="00E323FB">
        <w:rPr>
          <w:rFonts w:eastAsia="Times New Roman"/>
          <w:szCs w:val="18"/>
        </w:rPr>
        <w:t>) daalt mee met de heffingskortingen en wordt daarom ook verlaagd.</w:t>
      </w:r>
    </w:p>
    <w:p w:rsidR="004F053F" w:rsidP="004F053F" w:rsidRDefault="004F053F">
      <w:pPr>
        <w:spacing w:after="0"/>
        <w:rPr>
          <w:rFonts w:eastAsia="Times New Roman"/>
          <w:i/>
          <w:szCs w:val="18"/>
        </w:rPr>
      </w:pPr>
    </w:p>
    <w:p w:rsidRPr="00E323FB" w:rsidR="004F053F" w:rsidP="004F053F" w:rsidRDefault="004F053F">
      <w:pPr>
        <w:spacing w:after="0"/>
        <w:rPr>
          <w:rFonts w:eastAsia="Times New Roman"/>
          <w:i/>
          <w:szCs w:val="18"/>
        </w:rPr>
      </w:pPr>
      <w:r w:rsidRPr="00E323FB">
        <w:rPr>
          <w:rFonts w:eastAsia="Times New Roman"/>
          <w:i/>
          <w:szCs w:val="18"/>
        </w:rPr>
        <w:t>Rijksbijdrage vermogenstekort ouderenfonds</w:t>
      </w:r>
    </w:p>
    <w:p w:rsidRPr="00E323FB" w:rsidR="004F053F" w:rsidP="004F053F" w:rsidRDefault="004F053F">
      <w:pPr>
        <w:spacing w:after="0"/>
        <w:rPr>
          <w:rFonts w:eastAsia="Times New Roman"/>
          <w:szCs w:val="18"/>
        </w:rPr>
      </w:pPr>
      <w:r w:rsidRPr="00E323FB">
        <w:rPr>
          <w:rFonts w:eastAsia="Times New Roman"/>
          <w:szCs w:val="18"/>
        </w:rPr>
        <w:t>Op basis van het Centraal Economisch Plan van het CPB is de raming voor de rijksbijdrage aan het vermogenstekort van het Ouderdomsfonds opwaarts bijgesteld.</w:t>
      </w:r>
    </w:p>
    <w:p w:rsidR="004F053F" w:rsidP="004F053F" w:rsidRDefault="004F053F">
      <w:pPr>
        <w:spacing w:after="0"/>
        <w:rPr>
          <w:rFonts w:eastAsia="Times New Roman"/>
          <w:i/>
          <w:szCs w:val="18"/>
        </w:rPr>
      </w:pPr>
    </w:p>
    <w:p w:rsidRPr="00E323FB" w:rsidR="004F053F" w:rsidP="004F053F" w:rsidRDefault="004F053F">
      <w:pPr>
        <w:spacing w:after="0"/>
        <w:rPr>
          <w:rFonts w:eastAsia="Times New Roman"/>
          <w:i/>
          <w:szCs w:val="18"/>
        </w:rPr>
      </w:pPr>
      <w:r w:rsidRPr="00E323FB">
        <w:rPr>
          <w:rFonts w:eastAsia="Times New Roman"/>
          <w:i/>
          <w:szCs w:val="18"/>
        </w:rPr>
        <w:t>Diversen</w:t>
      </w:r>
    </w:p>
    <w:p w:rsidR="004F053F" w:rsidP="004F053F" w:rsidRDefault="004F053F">
      <w:pPr>
        <w:spacing w:after="0"/>
        <w:rPr>
          <w:rFonts w:eastAsia="Times New Roman"/>
          <w:szCs w:val="18"/>
        </w:rPr>
      </w:pPr>
      <w:r>
        <w:rPr>
          <w:rFonts w:eastAsia="Times New Roman"/>
          <w:szCs w:val="18"/>
        </w:rPr>
        <w:t xml:space="preserve">Dit betreft o.a. kleine mutaties in de rijksbijdragen aan de arbeidsongeschiktheidsregelingen. </w:t>
      </w:r>
    </w:p>
    <w:p w:rsidR="004F053F" w:rsidP="004F053F" w:rsidRDefault="004F053F">
      <w:pPr>
        <w:spacing w:after="0"/>
        <w:rPr>
          <w:rFonts w:eastAsia="Times New Roman"/>
          <w:szCs w:val="18"/>
        </w:rPr>
      </w:pPr>
    </w:p>
    <w:p w:rsidRPr="000C037A" w:rsidR="004F053F" w:rsidP="004F053F" w:rsidRDefault="004F053F">
      <w:pPr>
        <w:spacing w:after="0"/>
        <w:rPr>
          <w:rFonts w:eastAsia="Times New Roman"/>
          <w:szCs w:val="18"/>
        </w:rPr>
      </w:pPr>
      <w:r w:rsidRPr="00E323FB">
        <w:rPr>
          <w:rFonts w:eastAsia="Times New Roman"/>
          <w:b/>
          <w:szCs w:val="18"/>
        </w:rPr>
        <w:t>Ontvangsten</w:t>
      </w:r>
    </w:p>
    <w:p w:rsidRPr="00E323FB" w:rsidR="004F053F" w:rsidP="004F053F" w:rsidRDefault="004F053F">
      <w:pPr>
        <w:spacing w:after="0"/>
        <w:rPr>
          <w:rFonts w:eastAsia="Times New Roman"/>
          <w:szCs w:val="18"/>
        </w:rPr>
      </w:pPr>
    </w:p>
    <w:p w:rsidRPr="00E323FB" w:rsidR="004F053F" w:rsidP="004F053F" w:rsidRDefault="004F053F">
      <w:pPr>
        <w:spacing w:after="0"/>
        <w:rPr>
          <w:rFonts w:eastAsia="Times New Roman"/>
          <w:szCs w:val="18"/>
          <w:u w:val="single"/>
        </w:rPr>
      </w:pPr>
      <w:r w:rsidRPr="00E323FB">
        <w:rPr>
          <w:rFonts w:eastAsia="Times New Roman"/>
          <w:szCs w:val="18"/>
          <w:u w:val="single"/>
        </w:rPr>
        <w:t>Mee- en tegenvallers</w:t>
      </w:r>
    </w:p>
    <w:p w:rsidRPr="00E323FB" w:rsidR="004F053F" w:rsidP="004F053F" w:rsidRDefault="004F053F">
      <w:pPr>
        <w:spacing w:after="0"/>
        <w:rPr>
          <w:rFonts w:eastAsia="Times New Roman"/>
          <w:szCs w:val="18"/>
        </w:rPr>
      </w:pPr>
      <w:r w:rsidRPr="00E323FB">
        <w:rPr>
          <w:rFonts w:eastAsia="Times New Roman"/>
          <w:szCs w:val="18"/>
        </w:rPr>
        <w:t>Rijksbegroting</w:t>
      </w:r>
    </w:p>
    <w:p w:rsidR="004F053F" w:rsidP="004F053F" w:rsidRDefault="004F053F">
      <w:pPr>
        <w:spacing w:after="0"/>
        <w:rPr>
          <w:rFonts w:eastAsia="Times New Roman"/>
          <w:i/>
          <w:szCs w:val="18"/>
        </w:rPr>
      </w:pPr>
      <w:r w:rsidRPr="00E323FB">
        <w:rPr>
          <w:rFonts w:eastAsia="Times New Roman"/>
          <w:i/>
          <w:szCs w:val="18"/>
        </w:rPr>
        <w:t>Diversen</w:t>
      </w:r>
    </w:p>
    <w:p w:rsidRPr="0073003F" w:rsidR="004F053F" w:rsidP="004F053F" w:rsidRDefault="004F053F">
      <w:pPr>
        <w:spacing w:after="0"/>
        <w:rPr>
          <w:rFonts w:eastAsia="Times New Roman"/>
          <w:szCs w:val="18"/>
        </w:rPr>
      </w:pPr>
      <w:r w:rsidRPr="0073003F">
        <w:rPr>
          <w:rFonts w:eastAsia="Times New Roman"/>
          <w:szCs w:val="18"/>
        </w:rPr>
        <w:t xml:space="preserve">Hieronder </w:t>
      </w:r>
      <w:r>
        <w:rPr>
          <w:rFonts w:eastAsia="Times New Roman"/>
          <w:szCs w:val="18"/>
        </w:rPr>
        <w:t xml:space="preserve">vallen o.a. de ontvangsten betreffende de RSO. </w:t>
      </w:r>
    </w:p>
    <w:p w:rsidR="004F053F" w:rsidP="004F053F" w:rsidRDefault="004F053F">
      <w:pPr>
        <w:spacing w:after="0"/>
        <w:rPr>
          <w:rFonts w:eastAsia="Times New Roman"/>
          <w:szCs w:val="18"/>
        </w:rPr>
      </w:pPr>
    </w:p>
    <w:p w:rsidRPr="00E323FB" w:rsidR="004F053F" w:rsidP="004F053F" w:rsidRDefault="004F053F">
      <w:pPr>
        <w:spacing w:after="0"/>
        <w:rPr>
          <w:rFonts w:eastAsia="Times New Roman"/>
          <w:szCs w:val="18"/>
        </w:rPr>
      </w:pPr>
      <w:r w:rsidRPr="00E323FB">
        <w:rPr>
          <w:rFonts w:eastAsia="Times New Roman"/>
          <w:szCs w:val="18"/>
        </w:rPr>
        <w:t>Sociale zekerheid</w:t>
      </w:r>
    </w:p>
    <w:p w:rsidRPr="00732BD3" w:rsidR="004F053F" w:rsidP="004F053F" w:rsidRDefault="004F053F">
      <w:pPr>
        <w:spacing w:after="0"/>
        <w:rPr>
          <w:rFonts w:eastAsia="Times New Roman"/>
          <w:i/>
          <w:szCs w:val="18"/>
        </w:rPr>
      </w:pPr>
      <w:proofErr w:type="spellStart"/>
      <w:r w:rsidRPr="00732BD3">
        <w:rPr>
          <w:rFonts w:eastAsia="Times New Roman"/>
          <w:i/>
          <w:szCs w:val="18"/>
        </w:rPr>
        <w:t>Kindregelingen</w:t>
      </w:r>
      <w:proofErr w:type="spellEnd"/>
    </w:p>
    <w:p w:rsidRPr="00732BD3" w:rsidR="004F053F" w:rsidP="004F053F" w:rsidRDefault="004F053F">
      <w:pPr>
        <w:spacing w:after="0"/>
        <w:rPr>
          <w:rFonts w:eastAsia="Times New Roman"/>
          <w:szCs w:val="18"/>
        </w:rPr>
      </w:pPr>
      <w:r w:rsidRPr="00732BD3">
        <w:rPr>
          <w:rFonts w:eastAsia="Times New Roman"/>
          <w:szCs w:val="18"/>
        </w:rPr>
        <w:t xml:space="preserve">Dit betreft ontvangsten op de kinderopvangtoeslag en het </w:t>
      </w:r>
      <w:proofErr w:type="spellStart"/>
      <w:r w:rsidRPr="00732BD3">
        <w:rPr>
          <w:rFonts w:eastAsia="Times New Roman"/>
          <w:szCs w:val="18"/>
        </w:rPr>
        <w:t>kindgebonden</w:t>
      </w:r>
      <w:proofErr w:type="spellEnd"/>
      <w:r w:rsidRPr="00732BD3">
        <w:rPr>
          <w:rFonts w:eastAsia="Times New Roman"/>
          <w:szCs w:val="18"/>
        </w:rPr>
        <w:t xml:space="preserve"> budget. De raming is meerjarig naar beneden bijgesteld. </w:t>
      </w:r>
    </w:p>
    <w:p w:rsidRPr="00857D05" w:rsidR="004F053F" w:rsidP="004F053F" w:rsidRDefault="004F053F">
      <w:pPr>
        <w:spacing w:after="0"/>
        <w:rPr>
          <w:rFonts w:eastAsia="Times New Roman"/>
          <w:i/>
          <w:szCs w:val="18"/>
        </w:rPr>
      </w:pPr>
      <w:r w:rsidRPr="00857D05">
        <w:rPr>
          <w:rFonts w:eastAsia="Times New Roman"/>
          <w:i/>
          <w:szCs w:val="18"/>
        </w:rPr>
        <w:t>Wajong</w:t>
      </w:r>
    </w:p>
    <w:p w:rsidRPr="004808F5" w:rsidR="004F053F" w:rsidP="004F053F" w:rsidRDefault="004F053F">
      <w:pPr>
        <w:spacing w:after="0"/>
        <w:rPr>
          <w:rFonts w:eastAsia="Times New Roman"/>
          <w:szCs w:val="18"/>
        </w:rPr>
      </w:pPr>
      <w:r w:rsidRPr="00857D05">
        <w:rPr>
          <w:rFonts w:eastAsia="Times New Roman"/>
          <w:szCs w:val="18"/>
        </w:rPr>
        <w:t>De ontvangsten betreffen een terugbetaling van het UWV aan te</w:t>
      </w:r>
      <w:r>
        <w:rPr>
          <w:rFonts w:eastAsia="Times New Roman"/>
          <w:szCs w:val="18"/>
        </w:rPr>
        <w:t xml:space="preserve"> </w:t>
      </w:r>
      <w:r w:rsidRPr="00857D05">
        <w:rPr>
          <w:rFonts w:eastAsia="Times New Roman"/>
          <w:szCs w:val="18"/>
        </w:rPr>
        <w:t xml:space="preserve">veel ontvangen middelen in 2018. Het voorschot dat in </w:t>
      </w:r>
      <w:r w:rsidRPr="004808F5">
        <w:rPr>
          <w:rFonts w:eastAsia="Times New Roman"/>
          <w:szCs w:val="18"/>
        </w:rPr>
        <w:t>2018 aan het UWV is overgemaakt met betrekking tot de Wajong en re-</w:t>
      </w:r>
      <w:r w:rsidRPr="004808F5">
        <w:rPr>
          <w:rFonts w:eastAsia="Times New Roman"/>
          <w:szCs w:val="18"/>
        </w:rPr>
        <w:lastRenderedPageBreak/>
        <w:t>integrati</w:t>
      </w:r>
      <w:r w:rsidR="002B1507">
        <w:rPr>
          <w:rFonts w:eastAsia="Times New Roman"/>
          <w:szCs w:val="18"/>
        </w:rPr>
        <w:t>e Wajong bleek achteraf circa 22 mln.</w:t>
      </w:r>
      <w:r w:rsidRPr="004808F5">
        <w:rPr>
          <w:rFonts w:eastAsia="Times New Roman"/>
          <w:szCs w:val="18"/>
        </w:rPr>
        <w:t xml:space="preserve"> hoger te zijn dan de uitgaven van het UWV in dat jaar. Dit bedrag is in 2019 terugbetaald.</w:t>
      </w:r>
    </w:p>
    <w:p w:rsidRPr="004808F5" w:rsidR="004F053F" w:rsidP="004F053F" w:rsidRDefault="004F053F">
      <w:pPr>
        <w:spacing w:after="0"/>
        <w:rPr>
          <w:rFonts w:eastAsia="Times New Roman"/>
          <w:i/>
          <w:szCs w:val="18"/>
        </w:rPr>
      </w:pPr>
    </w:p>
    <w:p w:rsidRPr="004808F5" w:rsidR="004F053F" w:rsidP="004F053F" w:rsidRDefault="004F053F">
      <w:pPr>
        <w:spacing w:after="0"/>
        <w:rPr>
          <w:rFonts w:eastAsia="Times New Roman"/>
          <w:i/>
          <w:szCs w:val="18"/>
        </w:rPr>
      </w:pPr>
      <w:r w:rsidRPr="004808F5">
        <w:rPr>
          <w:rFonts w:eastAsia="Times New Roman"/>
          <w:i/>
          <w:szCs w:val="18"/>
        </w:rPr>
        <w:t>Diversen</w:t>
      </w:r>
    </w:p>
    <w:p w:rsidRPr="004808F5" w:rsidR="004F053F" w:rsidP="004F053F" w:rsidRDefault="004F053F">
      <w:pPr>
        <w:spacing w:after="0"/>
        <w:rPr>
          <w:rFonts w:eastAsia="Times New Roman"/>
          <w:szCs w:val="18"/>
        </w:rPr>
      </w:pPr>
      <w:r w:rsidRPr="004808F5">
        <w:rPr>
          <w:rFonts w:eastAsia="Times New Roman"/>
          <w:szCs w:val="18"/>
        </w:rPr>
        <w:t>Dit betreft o.a. de ontvangsten op de Toeslagenwet.</w:t>
      </w:r>
    </w:p>
    <w:p w:rsidRPr="004808F5" w:rsidR="004F053F" w:rsidP="004F053F" w:rsidRDefault="004F053F">
      <w:pPr>
        <w:spacing w:after="0"/>
        <w:rPr>
          <w:rFonts w:eastAsia="Times New Roman"/>
          <w:szCs w:val="18"/>
        </w:rPr>
      </w:pPr>
    </w:p>
    <w:p w:rsidRPr="004808F5" w:rsidR="004F053F" w:rsidP="004F053F" w:rsidRDefault="004F053F">
      <w:pPr>
        <w:spacing w:after="0"/>
        <w:rPr>
          <w:rFonts w:eastAsia="Times New Roman"/>
          <w:szCs w:val="18"/>
          <w:u w:val="single"/>
        </w:rPr>
      </w:pPr>
      <w:r w:rsidRPr="004808F5">
        <w:rPr>
          <w:rFonts w:eastAsia="Times New Roman"/>
          <w:szCs w:val="18"/>
          <w:u w:val="single"/>
        </w:rPr>
        <w:t>Beleidsmatige mutaties</w:t>
      </w:r>
    </w:p>
    <w:p w:rsidRPr="004808F5" w:rsidR="004F053F" w:rsidP="004F053F" w:rsidRDefault="004F053F">
      <w:pPr>
        <w:spacing w:after="0"/>
        <w:rPr>
          <w:rFonts w:eastAsia="Times New Roman"/>
          <w:szCs w:val="18"/>
        </w:rPr>
      </w:pPr>
      <w:r w:rsidRPr="004808F5">
        <w:rPr>
          <w:rFonts w:eastAsia="Times New Roman"/>
          <w:szCs w:val="18"/>
        </w:rPr>
        <w:t>Rijksbegroting</w:t>
      </w:r>
    </w:p>
    <w:p w:rsidRPr="004808F5" w:rsidR="004F053F" w:rsidP="004F053F" w:rsidRDefault="004F053F">
      <w:pPr>
        <w:spacing w:after="0"/>
        <w:rPr>
          <w:rFonts w:eastAsia="Times New Roman"/>
          <w:i/>
          <w:szCs w:val="18"/>
        </w:rPr>
      </w:pPr>
      <w:r w:rsidRPr="004808F5">
        <w:rPr>
          <w:rFonts w:eastAsia="Times New Roman"/>
          <w:i/>
          <w:szCs w:val="18"/>
        </w:rPr>
        <w:t>Diversen</w:t>
      </w:r>
    </w:p>
    <w:p w:rsidRPr="004808F5" w:rsidR="004F053F" w:rsidP="004F053F" w:rsidRDefault="004F053F">
      <w:pPr>
        <w:spacing w:after="0"/>
        <w:rPr>
          <w:rFonts w:eastAsia="Times New Roman"/>
          <w:szCs w:val="18"/>
        </w:rPr>
      </w:pPr>
      <w:r w:rsidRPr="004808F5">
        <w:rPr>
          <w:rFonts w:eastAsia="Times New Roman"/>
          <w:szCs w:val="18"/>
        </w:rPr>
        <w:t>Hieronder vallen de ontvangsten van de leges.</w:t>
      </w:r>
    </w:p>
    <w:p w:rsidRPr="004808F5" w:rsidR="004F053F" w:rsidP="004F053F" w:rsidRDefault="004F053F">
      <w:pPr>
        <w:spacing w:after="0"/>
        <w:rPr>
          <w:rFonts w:eastAsia="Times New Roman"/>
          <w:szCs w:val="18"/>
        </w:rPr>
      </w:pPr>
    </w:p>
    <w:p w:rsidRPr="004808F5" w:rsidR="004F053F" w:rsidP="004F053F" w:rsidRDefault="004F053F">
      <w:pPr>
        <w:spacing w:after="0"/>
        <w:rPr>
          <w:rFonts w:eastAsia="Times New Roman"/>
          <w:szCs w:val="18"/>
          <w:u w:val="single"/>
        </w:rPr>
      </w:pPr>
      <w:r w:rsidRPr="004808F5">
        <w:rPr>
          <w:rFonts w:eastAsia="Times New Roman"/>
          <w:szCs w:val="18"/>
          <w:u w:val="single"/>
        </w:rPr>
        <w:t>Technische mutaties</w:t>
      </w:r>
    </w:p>
    <w:p w:rsidRPr="004808F5" w:rsidR="004F053F" w:rsidP="004F053F" w:rsidRDefault="004F053F">
      <w:pPr>
        <w:spacing w:after="0"/>
        <w:rPr>
          <w:rFonts w:eastAsia="Times New Roman"/>
          <w:szCs w:val="18"/>
        </w:rPr>
      </w:pPr>
      <w:r w:rsidRPr="004808F5">
        <w:rPr>
          <w:rFonts w:eastAsia="Times New Roman"/>
          <w:szCs w:val="18"/>
        </w:rPr>
        <w:t>Rijksbegroting</w:t>
      </w:r>
    </w:p>
    <w:p w:rsidRPr="004808F5" w:rsidR="004F053F" w:rsidP="004F053F" w:rsidRDefault="004F053F">
      <w:pPr>
        <w:spacing w:after="0"/>
        <w:rPr>
          <w:rFonts w:eastAsia="Times New Roman"/>
          <w:i/>
          <w:szCs w:val="18"/>
        </w:rPr>
      </w:pPr>
      <w:r w:rsidRPr="004808F5">
        <w:rPr>
          <w:rFonts w:eastAsia="Times New Roman"/>
          <w:i/>
          <w:szCs w:val="18"/>
        </w:rPr>
        <w:t>Diversen</w:t>
      </w:r>
    </w:p>
    <w:p w:rsidRPr="004808F5" w:rsidR="004F053F" w:rsidP="004F053F" w:rsidRDefault="004F053F">
      <w:pPr>
        <w:spacing w:after="0"/>
        <w:rPr>
          <w:rFonts w:eastAsia="Times New Roman"/>
          <w:szCs w:val="18"/>
        </w:rPr>
      </w:pPr>
      <w:r w:rsidRPr="004808F5">
        <w:rPr>
          <w:rFonts w:eastAsia="Times New Roman"/>
          <w:szCs w:val="18"/>
        </w:rPr>
        <w:t>Hieronder vallen onder andere desalderingen en correcties.</w:t>
      </w:r>
    </w:p>
    <w:p w:rsidRPr="004808F5" w:rsidR="004F053F" w:rsidP="004F053F" w:rsidRDefault="004F053F">
      <w:pPr>
        <w:spacing w:after="0"/>
        <w:rPr>
          <w:rFonts w:eastAsia="Times New Roman"/>
          <w:szCs w:val="18"/>
        </w:rPr>
      </w:pPr>
    </w:p>
    <w:p w:rsidRPr="004808F5" w:rsidR="004F053F" w:rsidP="004F053F" w:rsidRDefault="004F053F">
      <w:pPr>
        <w:spacing w:after="0"/>
        <w:rPr>
          <w:rFonts w:eastAsia="Times New Roman"/>
          <w:szCs w:val="18"/>
        </w:rPr>
      </w:pPr>
      <w:r w:rsidRPr="004808F5">
        <w:rPr>
          <w:rFonts w:eastAsia="Times New Roman"/>
          <w:szCs w:val="18"/>
        </w:rPr>
        <w:t>Sociale zekerheid</w:t>
      </w:r>
    </w:p>
    <w:p w:rsidRPr="004808F5" w:rsidR="004F053F" w:rsidP="004F053F" w:rsidRDefault="004F053F">
      <w:pPr>
        <w:spacing w:after="0"/>
        <w:rPr>
          <w:rFonts w:eastAsia="Times New Roman"/>
          <w:i/>
          <w:szCs w:val="18"/>
        </w:rPr>
      </w:pPr>
      <w:r w:rsidRPr="004808F5">
        <w:rPr>
          <w:rFonts w:eastAsia="Times New Roman"/>
          <w:i/>
          <w:szCs w:val="18"/>
        </w:rPr>
        <w:t>Diversen</w:t>
      </w:r>
    </w:p>
    <w:p w:rsidR="004F053F" w:rsidP="004F053F" w:rsidRDefault="004F053F">
      <w:pPr>
        <w:spacing w:after="0"/>
        <w:rPr>
          <w:rFonts w:eastAsia="Times New Roman"/>
          <w:szCs w:val="18"/>
        </w:rPr>
      </w:pPr>
      <w:r w:rsidRPr="004808F5">
        <w:rPr>
          <w:rFonts w:eastAsia="Times New Roman"/>
          <w:szCs w:val="18"/>
        </w:rPr>
        <w:t>Dit betreft o.a. de ontvangsten van Capgemini.</w:t>
      </w:r>
    </w:p>
    <w:p w:rsidRPr="00E323FB" w:rsidR="00E54DF4" w:rsidP="004F053F" w:rsidRDefault="00E54DF4">
      <w:pPr>
        <w:spacing w:after="0"/>
        <w:rPr>
          <w:rFonts w:eastAsia="Times New Roman"/>
          <w:szCs w:val="18"/>
        </w:rPr>
      </w:pPr>
    </w:p>
    <w:p w:rsidR="004F053F" w:rsidP="004F053F" w:rsidRDefault="004F053F">
      <w:pPr>
        <w:spacing w:after="0"/>
        <w:rPr>
          <w:i/>
          <w:szCs w:val="18"/>
        </w:rPr>
      </w:pPr>
      <w:r w:rsidRPr="000C037A">
        <w:rPr>
          <w:i/>
          <w:szCs w:val="18"/>
        </w:rPr>
        <w:t>Loondoorbetaling bij ziekte</w:t>
      </w:r>
    </w:p>
    <w:p w:rsidRPr="000C037A" w:rsidR="00E54DF4" w:rsidP="004F053F" w:rsidRDefault="00E54DF4">
      <w:pPr>
        <w:spacing w:after="0"/>
        <w:rPr>
          <w:i/>
          <w:szCs w:val="18"/>
        </w:rPr>
      </w:pPr>
    </w:p>
    <w:tbl>
      <w:tblPr>
        <w:tblW w:w="9074" w:type="dxa"/>
        <w:jc w:val="center"/>
        <w:tblCellMar>
          <w:left w:w="0" w:type="dxa"/>
          <w:right w:w="0" w:type="dxa"/>
        </w:tblCellMar>
        <w:tblLook w:val="04A0" w:firstRow="1" w:lastRow="0" w:firstColumn="1" w:lastColumn="0" w:noHBand="0" w:noVBand="1"/>
      </w:tblPr>
      <w:tblGrid>
        <w:gridCol w:w="5896"/>
        <w:gridCol w:w="458"/>
        <w:gridCol w:w="680"/>
        <w:gridCol w:w="680"/>
        <w:gridCol w:w="680"/>
        <w:gridCol w:w="680"/>
      </w:tblGrid>
      <w:tr w:rsidRPr="000C037A" w:rsidR="004F053F" w:rsidTr="004F053F">
        <w:trPr>
          <w:trHeight w:val="210"/>
          <w:jc w:val="center"/>
        </w:trPr>
        <w:tc>
          <w:tcPr>
            <w:tcW w:w="9074" w:type="dxa"/>
            <w:gridSpan w:val="6"/>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0C037A" w:rsidR="004F053F" w:rsidP="004F053F" w:rsidRDefault="004F053F">
            <w:pPr>
              <w:spacing w:after="0"/>
              <w:rPr>
                <w:bCs/>
                <w:szCs w:val="18"/>
              </w:rPr>
            </w:pPr>
            <w:r w:rsidRPr="000C037A">
              <w:rPr>
                <w:szCs w:val="18"/>
              </w:rPr>
              <w:t>Tabel: budgettaire consequenties pakket Loondoorbetaling bij Ziekte op uitgaven Rijksbegroting</w:t>
            </w:r>
          </w:p>
        </w:tc>
      </w:tr>
      <w:tr w:rsidRPr="000C037A" w:rsidR="004F053F" w:rsidTr="004F053F">
        <w:trPr>
          <w:trHeight w:val="210"/>
          <w:jc w:val="center"/>
        </w:trPr>
        <w:tc>
          <w:tcPr>
            <w:tcW w:w="5896" w:type="dxa"/>
            <w:tcBorders>
              <w:top w:val="single" w:color="auto" w:sz="8" w:space="0"/>
              <w:bottom w:val="single" w:color="auto" w:sz="4" w:space="0"/>
            </w:tcBorders>
            <w:shd w:val="clear" w:color="auto" w:fill="auto"/>
            <w:noWrap/>
            <w:tcMar>
              <w:top w:w="0" w:type="dxa"/>
              <w:left w:w="70" w:type="dxa"/>
              <w:bottom w:w="0" w:type="dxa"/>
              <w:right w:w="70" w:type="dxa"/>
            </w:tcMar>
            <w:vAlign w:val="bottom"/>
          </w:tcPr>
          <w:p w:rsidRPr="000C037A" w:rsidR="004F053F" w:rsidP="004F053F" w:rsidRDefault="004F053F">
            <w:pPr>
              <w:spacing w:after="0"/>
              <w:rPr>
                <w:szCs w:val="18"/>
              </w:rPr>
            </w:pPr>
            <w:r w:rsidRPr="000C037A">
              <w:rPr>
                <w:szCs w:val="18"/>
              </w:rPr>
              <w:t>(in miljoenen euro’s; - is onderschrijding)</w:t>
            </w:r>
          </w:p>
        </w:tc>
        <w:tc>
          <w:tcPr>
            <w:tcW w:w="458" w:type="dxa"/>
            <w:tcBorders>
              <w:top w:val="single" w:color="auto" w:sz="8" w:space="0"/>
              <w:bottom w:val="single" w:color="auto" w:sz="4" w:space="0"/>
            </w:tcBorders>
            <w:shd w:val="clear" w:color="auto" w:fill="auto"/>
          </w:tcPr>
          <w:p w:rsidRPr="000C037A" w:rsidR="004F053F" w:rsidP="004F053F" w:rsidRDefault="004F053F">
            <w:pPr>
              <w:spacing w:after="0"/>
              <w:rPr>
                <w:bCs/>
                <w:szCs w:val="18"/>
              </w:rPr>
            </w:pPr>
            <w:r w:rsidRPr="000C037A">
              <w:rPr>
                <w:bCs/>
                <w:szCs w:val="18"/>
              </w:rPr>
              <w:t>2019</w:t>
            </w:r>
          </w:p>
        </w:tc>
        <w:tc>
          <w:tcPr>
            <w:tcW w:w="680" w:type="dxa"/>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0C037A" w:rsidR="004F053F" w:rsidP="004F053F" w:rsidRDefault="004F053F">
            <w:pPr>
              <w:spacing w:after="0"/>
              <w:rPr>
                <w:szCs w:val="18"/>
              </w:rPr>
            </w:pPr>
            <w:r w:rsidRPr="000C037A">
              <w:rPr>
                <w:bCs/>
                <w:szCs w:val="18"/>
              </w:rPr>
              <w:t>2020</w:t>
            </w:r>
          </w:p>
        </w:tc>
        <w:tc>
          <w:tcPr>
            <w:tcW w:w="680" w:type="dxa"/>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0C037A" w:rsidR="004F053F" w:rsidP="004F053F" w:rsidRDefault="004F053F">
            <w:pPr>
              <w:spacing w:after="0"/>
              <w:rPr>
                <w:szCs w:val="18"/>
              </w:rPr>
            </w:pPr>
            <w:r w:rsidRPr="000C037A">
              <w:rPr>
                <w:bCs/>
                <w:szCs w:val="18"/>
              </w:rPr>
              <w:t>2021</w:t>
            </w:r>
          </w:p>
        </w:tc>
        <w:tc>
          <w:tcPr>
            <w:tcW w:w="680" w:type="dxa"/>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0C037A" w:rsidR="004F053F" w:rsidP="004F053F" w:rsidRDefault="004F053F">
            <w:pPr>
              <w:spacing w:after="0"/>
              <w:rPr>
                <w:szCs w:val="18"/>
              </w:rPr>
            </w:pPr>
            <w:r w:rsidRPr="000C037A">
              <w:rPr>
                <w:bCs/>
                <w:szCs w:val="18"/>
              </w:rPr>
              <w:t>2022</w:t>
            </w:r>
          </w:p>
        </w:tc>
        <w:tc>
          <w:tcPr>
            <w:tcW w:w="680" w:type="dxa"/>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0C037A" w:rsidR="004F053F" w:rsidP="004F053F" w:rsidRDefault="004F053F">
            <w:pPr>
              <w:spacing w:after="0"/>
              <w:rPr>
                <w:szCs w:val="18"/>
              </w:rPr>
            </w:pPr>
            <w:r w:rsidRPr="000C037A">
              <w:rPr>
                <w:bCs/>
                <w:szCs w:val="18"/>
              </w:rPr>
              <w:t>2023</w:t>
            </w:r>
          </w:p>
        </w:tc>
      </w:tr>
      <w:tr w:rsidRPr="000C037A" w:rsidR="004F053F" w:rsidTr="004F053F">
        <w:trPr>
          <w:trHeight w:val="210"/>
          <w:jc w:val="center"/>
        </w:trPr>
        <w:tc>
          <w:tcPr>
            <w:tcW w:w="5896" w:type="dxa"/>
            <w:tcBorders>
              <w:top w:val="single" w:color="auto" w:sz="4" w:space="0"/>
            </w:tcBorders>
            <w:shd w:val="clear" w:color="auto" w:fill="auto"/>
            <w:noWrap/>
            <w:tcMar>
              <w:top w:w="0" w:type="dxa"/>
              <w:left w:w="70" w:type="dxa"/>
              <w:bottom w:w="0" w:type="dxa"/>
              <w:right w:w="70" w:type="dxa"/>
            </w:tcMar>
            <w:vAlign w:val="bottom"/>
            <w:hideMark/>
          </w:tcPr>
          <w:p w:rsidRPr="000C037A" w:rsidR="004F053F" w:rsidP="004F053F" w:rsidRDefault="004F053F">
            <w:pPr>
              <w:spacing w:after="0"/>
              <w:rPr>
                <w:b/>
                <w:szCs w:val="18"/>
              </w:rPr>
            </w:pPr>
            <w:r w:rsidRPr="000C037A">
              <w:rPr>
                <w:b/>
                <w:szCs w:val="18"/>
              </w:rPr>
              <w:t>Vervallen van maatregelen Regeerakkoord</w:t>
            </w:r>
          </w:p>
        </w:tc>
        <w:tc>
          <w:tcPr>
            <w:tcW w:w="458" w:type="dxa"/>
            <w:tcBorders>
              <w:top w:val="single" w:color="auto" w:sz="4" w:space="0"/>
            </w:tcBorders>
            <w:shd w:val="clear" w:color="auto" w:fill="auto"/>
          </w:tcPr>
          <w:p w:rsidRPr="000C037A" w:rsidR="004F053F" w:rsidP="00622B7E" w:rsidRDefault="004F053F">
            <w:pPr>
              <w:spacing w:after="0"/>
              <w:jc w:val="right"/>
              <w:rPr>
                <w:b/>
                <w:szCs w:val="18"/>
              </w:rPr>
            </w:pPr>
            <w:r w:rsidRPr="000C037A">
              <w:rPr>
                <w:b/>
                <w:szCs w:val="18"/>
              </w:rPr>
              <w:t xml:space="preserve"> -10 </w:t>
            </w:r>
          </w:p>
        </w:tc>
        <w:tc>
          <w:tcPr>
            <w:tcW w:w="680" w:type="dxa"/>
            <w:tcBorders>
              <w:top w:val="single" w:color="auto" w:sz="4" w:space="0"/>
            </w:tcBorders>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-18 </w:t>
            </w:r>
          </w:p>
        </w:tc>
        <w:tc>
          <w:tcPr>
            <w:tcW w:w="680" w:type="dxa"/>
            <w:tcBorders>
              <w:top w:val="single" w:color="auto" w:sz="4" w:space="0"/>
            </w:tcBorders>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-225 </w:t>
            </w:r>
          </w:p>
        </w:tc>
        <w:tc>
          <w:tcPr>
            <w:tcW w:w="680" w:type="dxa"/>
            <w:tcBorders>
              <w:top w:val="single" w:color="auto" w:sz="4" w:space="0"/>
            </w:tcBorders>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-307 </w:t>
            </w:r>
          </w:p>
        </w:tc>
        <w:tc>
          <w:tcPr>
            <w:tcW w:w="680" w:type="dxa"/>
            <w:tcBorders>
              <w:top w:val="single" w:color="auto" w:sz="4" w:space="0"/>
            </w:tcBorders>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-305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vAlign w:val="bottom"/>
            <w:hideMark/>
          </w:tcPr>
          <w:p w:rsidRPr="000C037A" w:rsidR="004F053F" w:rsidP="004F053F" w:rsidRDefault="004F053F">
            <w:pPr>
              <w:spacing w:after="0"/>
              <w:rPr>
                <w:rFonts w:cs="Calibri"/>
                <w:color w:val="000000"/>
                <w:szCs w:val="18"/>
              </w:rPr>
            </w:pPr>
            <w:r w:rsidRPr="000C037A">
              <w:rPr>
                <w:rFonts w:cs="Calibri"/>
                <w:color w:val="000000"/>
                <w:szCs w:val="18"/>
              </w:rPr>
              <w:t xml:space="preserve">I79) WGA 35-80 wordt WGA 35-99 </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-3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3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7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vAlign w:val="bottom"/>
            <w:hideMark/>
          </w:tcPr>
          <w:p w:rsidRPr="000C037A" w:rsidR="004F053F" w:rsidP="004F053F" w:rsidRDefault="004F053F">
            <w:pPr>
              <w:spacing w:after="0"/>
              <w:rPr>
                <w:rFonts w:cs="Calibri"/>
                <w:color w:val="000000"/>
                <w:szCs w:val="18"/>
              </w:rPr>
            </w:pPr>
            <w:r w:rsidRPr="000C037A">
              <w:rPr>
                <w:rFonts w:cs="Calibri"/>
                <w:color w:val="000000"/>
                <w:szCs w:val="18"/>
              </w:rPr>
              <w:t xml:space="preserve">I83) Toerekening WGA-lasten werkgever inkorten naar 5 jaar </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-1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-8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-18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-31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-41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vAlign w:val="bottom"/>
            <w:hideMark/>
          </w:tcPr>
          <w:p w:rsidRPr="000C037A" w:rsidR="004F053F" w:rsidP="004F053F" w:rsidRDefault="004F053F">
            <w:pPr>
              <w:spacing w:after="0"/>
              <w:rPr>
                <w:rFonts w:cs="Calibri"/>
                <w:color w:val="000000"/>
                <w:szCs w:val="18"/>
              </w:rPr>
            </w:pPr>
            <w:r w:rsidRPr="000C037A">
              <w:rPr>
                <w:rFonts w:cs="Calibri"/>
                <w:color w:val="000000"/>
                <w:szCs w:val="18"/>
              </w:rPr>
              <w:t>I84) Loondoorbetaling bij ziekte jaar kleine werkgevers</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-5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-218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-299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-301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vAlign w:val="bottom"/>
            <w:hideMark/>
          </w:tcPr>
          <w:p w:rsidRPr="000C037A" w:rsidR="004F053F" w:rsidP="004F053F" w:rsidRDefault="004F053F">
            <w:pPr>
              <w:spacing w:after="0"/>
              <w:rPr>
                <w:rFonts w:cs="Calibri"/>
                <w:color w:val="000000"/>
                <w:szCs w:val="18"/>
              </w:rPr>
            </w:pPr>
            <w:r w:rsidRPr="000C037A">
              <w:rPr>
                <w:rFonts w:cs="Calibri"/>
                <w:color w:val="000000"/>
                <w:szCs w:val="18"/>
              </w:rPr>
              <w:t xml:space="preserve">I85) Loonsanctie voor re-integratie vervalt </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-3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-10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-16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-22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vAlign w:val="bottom"/>
            <w:hideMark/>
          </w:tcPr>
          <w:p w:rsidRPr="000C037A" w:rsidR="004F053F" w:rsidP="004F053F" w:rsidRDefault="004F053F">
            <w:pPr>
              <w:spacing w:after="0"/>
              <w:rPr>
                <w:rFonts w:cs="Calibri"/>
                <w:color w:val="000000"/>
                <w:szCs w:val="18"/>
              </w:rPr>
            </w:pPr>
            <w:r w:rsidRPr="000C037A">
              <w:rPr>
                <w:rFonts w:cs="Calibri"/>
                <w:color w:val="000000"/>
                <w:szCs w:val="18"/>
              </w:rPr>
              <w:t xml:space="preserve">I94) Aanscherping schattingsbesluit WIA van 3x3 naar 9 banen </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-7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36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53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vAlign w:val="bottom"/>
            <w:hideMark/>
          </w:tcPr>
          <w:p w:rsidRPr="000C037A" w:rsidR="004F053F" w:rsidP="004F053F" w:rsidRDefault="004F053F">
            <w:pPr>
              <w:spacing w:after="0"/>
              <w:rPr>
                <w:szCs w:val="18"/>
              </w:rPr>
            </w:pPr>
            <w:r w:rsidRPr="000C037A">
              <w:rPr>
                <w:b/>
                <w:bCs/>
                <w:szCs w:val="18"/>
              </w:rPr>
              <w:t> </w:t>
            </w:r>
          </w:p>
        </w:tc>
        <w:tc>
          <w:tcPr>
            <w:tcW w:w="458" w:type="dxa"/>
            <w:shd w:val="clear" w:color="auto" w:fill="auto"/>
          </w:tcPr>
          <w:p w:rsidRPr="000C037A" w:rsidR="004F053F" w:rsidP="00622B7E" w:rsidRDefault="004F053F">
            <w:pPr>
              <w:spacing w:after="0"/>
              <w:jc w:val="right"/>
              <w:rPr>
                <w:b/>
                <w:szCs w:val="18"/>
              </w:rPr>
            </w:pP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vAlign w:val="bottom"/>
          </w:tcPr>
          <w:p w:rsidRPr="000C037A" w:rsidR="004F053F" w:rsidP="004F053F" w:rsidRDefault="004F053F">
            <w:pPr>
              <w:spacing w:after="0"/>
              <w:rPr>
                <w:b/>
                <w:bCs/>
                <w:szCs w:val="18"/>
              </w:rPr>
            </w:pPr>
            <w:r w:rsidRPr="000C037A">
              <w:rPr>
                <w:b/>
                <w:bCs/>
                <w:szCs w:val="18"/>
              </w:rPr>
              <w:t>Nieuwe maatregelen Loondoorbetaling bij ziekte</w:t>
            </w:r>
          </w:p>
        </w:tc>
        <w:tc>
          <w:tcPr>
            <w:tcW w:w="458" w:type="dxa"/>
            <w:shd w:val="clear" w:color="auto" w:fill="auto"/>
          </w:tcPr>
          <w:p w:rsidRPr="000C037A" w:rsidR="004F053F" w:rsidP="00622B7E" w:rsidRDefault="004F053F">
            <w:pPr>
              <w:spacing w:after="0"/>
              <w:jc w:val="right"/>
              <w:rPr>
                <w:b/>
                <w:szCs w:val="18"/>
              </w:rPr>
            </w:pPr>
            <w:r w:rsidRPr="000C037A">
              <w:rPr>
                <w:b/>
                <w:szCs w:val="18"/>
              </w:rPr>
              <w:t xml:space="preserve"> 11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21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27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38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39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tcPr>
          <w:p w:rsidRPr="000C037A" w:rsidR="004F053F" w:rsidP="004F053F" w:rsidRDefault="004F053F">
            <w:pPr>
              <w:spacing w:after="0"/>
              <w:rPr>
                <w:szCs w:val="18"/>
              </w:rPr>
            </w:pPr>
            <w:r w:rsidRPr="000C037A">
              <w:rPr>
                <w:szCs w:val="18"/>
              </w:rPr>
              <w:t>Artsenreeks UWV</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4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7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7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10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10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tcPr>
          <w:p w:rsidRPr="000C037A" w:rsidR="004F053F" w:rsidP="004F053F" w:rsidRDefault="004F053F">
            <w:pPr>
              <w:spacing w:after="0"/>
              <w:rPr>
                <w:szCs w:val="18"/>
              </w:rPr>
            </w:pPr>
            <w:r w:rsidRPr="000C037A">
              <w:rPr>
                <w:szCs w:val="18"/>
              </w:rPr>
              <w:t>Grip op het tweede spoor experimenten</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5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10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15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15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tcPr>
          <w:p w:rsidRPr="000C037A" w:rsidR="004F053F" w:rsidP="004F053F" w:rsidRDefault="004F053F">
            <w:pPr>
              <w:spacing w:after="0"/>
              <w:rPr>
                <w:szCs w:val="18"/>
              </w:rPr>
            </w:pPr>
            <w:r w:rsidRPr="000C037A">
              <w:rPr>
                <w:szCs w:val="18"/>
              </w:rPr>
              <w:t>Kwaliteitsimpuls bedrijfsarts &amp; verzekeringsarts</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1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3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3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3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tcPr>
          <w:p w:rsidRPr="000C037A" w:rsidR="004F053F" w:rsidP="004F053F" w:rsidRDefault="004F053F">
            <w:pPr>
              <w:spacing w:after="0"/>
              <w:rPr>
                <w:szCs w:val="18"/>
              </w:rPr>
            </w:pPr>
            <w:r w:rsidRPr="000C037A">
              <w:rPr>
                <w:szCs w:val="18"/>
              </w:rPr>
              <w:t>Landelijk uniforme werkwijze RIV-toets</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tcPr>
          <w:p w:rsidRPr="000C037A" w:rsidR="004F053F" w:rsidP="004F053F" w:rsidRDefault="004F053F">
            <w:pPr>
              <w:spacing w:after="0"/>
              <w:rPr>
                <w:szCs w:val="18"/>
              </w:rPr>
            </w:pPr>
            <w:r w:rsidRPr="000C037A">
              <w:rPr>
                <w:szCs w:val="18"/>
              </w:rPr>
              <w:t>Medisch advies bedrijfsarts leidend bij RIV-toets</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4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8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12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tcPr>
          <w:p w:rsidRPr="000C037A" w:rsidR="004F053F" w:rsidP="004F053F" w:rsidRDefault="004F053F">
            <w:pPr>
              <w:spacing w:after="0"/>
              <w:rPr>
                <w:szCs w:val="18"/>
              </w:rPr>
            </w:pPr>
            <w:r w:rsidRPr="000C037A">
              <w:rPr>
                <w:szCs w:val="18"/>
              </w:rPr>
              <w:t>MKB-verzuim-</w:t>
            </w:r>
            <w:proofErr w:type="spellStart"/>
            <w:r w:rsidRPr="000C037A">
              <w:rPr>
                <w:szCs w:val="18"/>
              </w:rPr>
              <w:t>ontzorg</w:t>
            </w:r>
            <w:proofErr w:type="spellEnd"/>
            <w:r w:rsidRPr="000C037A">
              <w:rPr>
                <w:szCs w:val="18"/>
              </w:rPr>
              <w:t>-verzekering</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tcPr>
          <w:p w:rsidRPr="000C037A" w:rsidR="004F053F" w:rsidP="004F053F" w:rsidRDefault="004F053F">
            <w:pPr>
              <w:spacing w:after="0"/>
              <w:rPr>
                <w:szCs w:val="18"/>
              </w:rPr>
            </w:pPr>
            <w:r w:rsidRPr="000C037A">
              <w:rPr>
                <w:szCs w:val="18"/>
              </w:rPr>
              <w:t>Transparantiebudget loondoorbetaling</w:t>
            </w:r>
          </w:p>
        </w:tc>
        <w:tc>
          <w:tcPr>
            <w:tcW w:w="458" w:type="dxa"/>
            <w:shd w:val="clear" w:color="auto" w:fill="auto"/>
          </w:tcPr>
          <w:p w:rsidRPr="000C037A" w:rsidR="004F053F" w:rsidP="00622B7E" w:rsidRDefault="004F053F">
            <w:pPr>
              <w:spacing w:after="0"/>
              <w:jc w:val="right"/>
              <w:rPr>
                <w:szCs w:val="18"/>
              </w:rPr>
            </w:pPr>
            <w:r w:rsidRPr="000C037A">
              <w:rPr>
                <w:szCs w:val="18"/>
              </w:rPr>
              <w:t xml:space="preserve"> 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2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1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   </w:t>
            </w: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r w:rsidRPr="000C037A">
              <w:rPr>
                <w:szCs w:val="18"/>
              </w:rPr>
              <w:t xml:space="preserve"> -   </w:t>
            </w:r>
          </w:p>
        </w:tc>
      </w:tr>
      <w:tr w:rsidRPr="000C037A" w:rsidR="004F053F" w:rsidTr="004F053F">
        <w:trPr>
          <w:trHeight w:val="210"/>
          <w:jc w:val="center"/>
        </w:trPr>
        <w:tc>
          <w:tcPr>
            <w:tcW w:w="5896" w:type="dxa"/>
            <w:shd w:val="clear" w:color="auto" w:fill="auto"/>
            <w:noWrap/>
            <w:tcMar>
              <w:top w:w="0" w:type="dxa"/>
              <w:left w:w="70" w:type="dxa"/>
              <w:bottom w:w="0" w:type="dxa"/>
              <w:right w:w="70" w:type="dxa"/>
            </w:tcMar>
          </w:tcPr>
          <w:p w:rsidRPr="000C037A" w:rsidR="004F053F" w:rsidP="004F053F" w:rsidRDefault="004F053F">
            <w:pPr>
              <w:spacing w:after="0"/>
              <w:rPr>
                <w:szCs w:val="18"/>
              </w:rPr>
            </w:pPr>
          </w:p>
        </w:tc>
        <w:tc>
          <w:tcPr>
            <w:tcW w:w="458" w:type="dxa"/>
            <w:shd w:val="clear" w:color="auto" w:fill="auto"/>
          </w:tcPr>
          <w:p w:rsidRPr="000C037A" w:rsidR="004F053F" w:rsidP="00622B7E" w:rsidRDefault="004F053F">
            <w:pPr>
              <w:spacing w:after="0"/>
              <w:jc w:val="right"/>
              <w:rPr>
                <w:szCs w:val="18"/>
              </w:rPr>
            </w:pP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p>
        </w:tc>
        <w:tc>
          <w:tcPr>
            <w:tcW w:w="680" w:type="dxa"/>
            <w:shd w:val="clear" w:color="auto" w:fill="auto"/>
            <w:noWrap/>
            <w:tcMar>
              <w:top w:w="0" w:type="dxa"/>
              <w:left w:w="70" w:type="dxa"/>
              <w:bottom w:w="0" w:type="dxa"/>
              <w:right w:w="70" w:type="dxa"/>
            </w:tcMar>
          </w:tcPr>
          <w:p w:rsidRPr="000C037A" w:rsidR="004F053F" w:rsidP="00622B7E" w:rsidRDefault="004F053F">
            <w:pPr>
              <w:spacing w:after="0"/>
              <w:jc w:val="right"/>
              <w:rPr>
                <w:szCs w:val="18"/>
              </w:rPr>
            </w:pPr>
          </w:p>
        </w:tc>
      </w:tr>
      <w:tr w:rsidRPr="000C037A" w:rsidR="004F053F" w:rsidTr="00205986">
        <w:trPr>
          <w:trHeight w:val="210"/>
          <w:jc w:val="center"/>
        </w:trPr>
        <w:tc>
          <w:tcPr>
            <w:tcW w:w="5896" w:type="dxa"/>
            <w:tcBorders>
              <w:top w:val="nil"/>
              <w:left w:val="nil"/>
              <w:bottom w:val="nil"/>
              <w:right w:val="nil"/>
            </w:tcBorders>
            <w:shd w:val="clear" w:color="auto" w:fill="auto"/>
            <w:tcMar>
              <w:top w:w="0" w:type="dxa"/>
              <w:left w:w="70" w:type="dxa"/>
              <w:bottom w:w="0" w:type="dxa"/>
              <w:right w:w="70" w:type="dxa"/>
            </w:tcMar>
            <w:vAlign w:val="center"/>
          </w:tcPr>
          <w:p w:rsidRPr="000C037A" w:rsidR="004F053F" w:rsidP="004F053F" w:rsidRDefault="004F053F">
            <w:pPr>
              <w:spacing w:after="0"/>
              <w:rPr>
                <w:b/>
                <w:szCs w:val="18"/>
              </w:rPr>
            </w:pPr>
            <w:r w:rsidRPr="000C037A">
              <w:rPr>
                <w:b/>
                <w:szCs w:val="18"/>
              </w:rPr>
              <w:t>Totaal</w:t>
            </w:r>
          </w:p>
        </w:tc>
        <w:tc>
          <w:tcPr>
            <w:tcW w:w="458" w:type="dxa"/>
            <w:tcBorders>
              <w:top w:val="nil"/>
              <w:left w:val="nil"/>
              <w:bottom w:val="nil"/>
              <w:right w:val="nil"/>
            </w:tcBorders>
            <w:shd w:val="clear" w:color="auto" w:fill="auto"/>
          </w:tcPr>
          <w:p w:rsidRPr="000C037A" w:rsidR="004F053F" w:rsidP="00622B7E" w:rsidRDefault="004F053F">
            <w:pPr>
              <w:spacing w:after="0"/>
              <w:jc w:val="right"/>
              <w:rPr>
                <w:b/>
                <w:szCs w:val="18"/>
              </w:rPr>
            </w:pPr>
            <w:r w:rsidRPr="000C037A">
              <w:rPr>
                <w:b/>
                <w:szCs w:val="18"/>
              </w:rPr>
              <w:t xml:space="preserve"> 1 </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3 </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-198 </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-269 </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0C037A" w:rsidR="004F053F" w:rsidP="00622B7E" w:rsidRDefault="004F053F">
            <w:pPr>
              <w:spacing w:after="0"/>
              <w:jc w:val="right"/>
              <w:rPr>
                <w:b/>
                <w:szCs w:val="18"/>
              </w:rPr>
            </w:pPr>
            <w:r w:rsidRPr="000C037A">
              <w:rPr>
                <w:b/>
                <w:szCs w:val="18"/>
              </w:rPr>
              <w:t xml:space="preserve"> -266 </w:t>
            </w:r>
          </w:p>
        </w:tc>
      </w:tr>
      <w:tr w:rsidRPr="000C037A" w:rsidR="005572E9" w:rsidTr="00205986">
        <w:trPr>
          <w:trHeight w:val="210"/>
          <w:jc w:val="center"/>
        </w:trPr>
        <w:tc>
          <w:tcPr>
            <w:tcW w:w="5896" w:type="dxa"/>
            <w:tcBorders>
              <w:top w:val="nil"/>
              <w:left w:val="nil"/>
              <w:bottom w:val="nil"/>
              <w:right w:val="nil"/>
            </w:tcBorders>
            <w:shd w:val="clear" w:color="auto" w:fill="auto"/>
            <w:tcMar>
              <w:top w:w="0" w:type="dxa"/>
              <w:left w:w="70" w:type="dxa"/>
              <w:bottom w:w="0" w:type="dxa"/>
              <w:right w:w="70" w:type="dxa"/>
            </w:tcMar>
          </w:tcPr>
          <w:p w:rsidRPr="000C037A" w:rsidR="005572E9" w:rsidP="005572E9" w:rsidRDefault="005572E9">
            <w:pPr>
              <w:spacing w:after="0"/>
              <w:rPr>
                <w:b/>
                <w:szCs w:val="18"/>
              </w:rPr>
            </w:pPr>
            <w:r w:rsidRPr="00FA3284">
              <w:t>Waarvan Hoofdstuk XV</w:t>
            </w:r>
          </w:p>
        </w:tc>
        <w:tc>
          <w:tcPr>
            <w:tcW w:w="458" w:type="dxa"/>
            <w:tcBorders>
              <w:top w:val="nil"/>
              <w:left w:val="nil"/>
              <w:bottom w:val="nil"/>
              <w:right w:val="nil"/>
            </w:tcBorders>
            <w:shd w:val="clear" w:color="auto" w:fill="auto"/>
          </w:tcPr>
          <w:p w:rsidRPr="000C037A" w:rsidR="005572E9" w:rsidP="00622B7E" w:rsidRDefault="005572E9">
            <w:pPr>
              <w:spacing w:after="0"/>
              <w:jc w:val="right"/>
              <w:rPr>
                <w:b/>
                <w:szCs w:val="18"/>
              </w:rPr>
            </w:pPr>
            <w:r w:rsidRPr="00FA3284">
              <w:t>5</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0C037A" w:rsidR="005572E9" w:rsidP="00622B7E" w:rsidRDefault="005572E9">
            <w:pPr>
              <w:spacing w:after="0"/>
              <w:jc w:val="right"/>
              <w:rPr>
                <w:b/>
                <w:szCs w:val="18"/>
              </w:rPr>
            </w:pPr>
            <w:r w:rsidRPr="00FA3284">
              <w:t>8</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0C037A" w:rsidR="005572E9" w:rsidP="00622B7E" w:rsidRDefault="005572E9">
            <w:pPr>
              <w:spacing w:after="0"/>
              <w:jc w:val="right"/>
              <w:rPr>
                <w:b/>
                <w:szCs w:val="18"/>
              </w:rPr>
            </w:pPr>
            <w:r w:rsidRPr="00FA3284">
              <w:t>-208</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0C037A" w:rsidR="005572E9" w:rsidP="00622B7E" w:rsidRDefault="005572E9">
            <w:pPr>
              <w:spacing w:after="0"/>
              <w:jc w:val="right"/>
              <w:rPr>
                <w:b/>
                <w:szCs w:val="18"/>
              </w:rPr>
            </w:pPr>
            <w:r w:rsidRPr="00FA3284">
              <w:t>-282</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0C037A" w:rsidR="005572E9" w:rsidP="00622B7E" w:rsidRDefault="005572E9">
            <w:pPr>
              <w:spacing w:after="0"/>
              <w:jc w:val="right"/>
              <w:rPr>
                <w:b/>
                <w:szCs w:val="18"/>
              </w:rPr>
            </w:pPr>
            <w:r w:rsidRPr="00FA3284">
              <w:t>-291</w:t>
            </w:r>
          </w:p>
        </w:tc>
      </w:tr>
      <w:tr w:rsidRPr="000C037A" w:rsidR="005572E9" w:rsidTr="00205986">
        <w:trPr>
          <w:trHeight w:val="210"/>
          <w:jc w:val="center"/>
        </w:trPr>
        <w:tc>
          <w:tcPr>
            <w:tcW w:w="5896" w:type="dxa"/>
            <w:tcBorders>
              <w:top w:val="nil"/>
              <w:left w:val="nil"/>
              <w:bottom w:val="single" w:color="auto" w:sz="8" w:space="0"/>
              <w:right w:val="nil"/>
            </w:tcBorders>
            <w:shd w:val="clear" w:color="auto" w:fill="auto"/>
            <w:tcMar>
              <w:top w:w="0" w:type="dxa"/>
              <w:left w:w="70" w:type="dxa"/>
              <w:bottom w:w="0" w:type="dxa"/>
              <w:right w:w="70" w:type="dxa"/>
            </w:tcMar>
          </w:tcPr>
          <w:p w:rsidRPr="000C037A" w:rsidR="005572E9" w:rsidP="005572E9" w:rsidRDefault="005572E9">
            <w:pPr>
              <w:spacing w:after="0"/>
              <w:rPr>
                <w:b/>
                <w:szCs w:val="18"/>
              </w:rPr>
            </w:pPr>
            <w:r w:rsidRPr="00FA3284">
              <w:t>Waarvan Hoofdstuk 40</w:t>
            </w:r>
          </w:p>
        </w:tc>
        <w:tc>
          <w:tcPr>
            <w:tcW w:w="458" w:type="dxa"/>
            <w:tcBorders>
              <w:top w:val="nil"/>
              <w:left w:val="nil"/>
              <w:bottom w:val="single" w:color="auto" w:sz="8" w:space="0"/>
              <w:right w:val="nil"/>
            </w:tcBorders>
            <w:shd w:val="clear" w:color="auto" w:fill="auto"/>
          </w:tcPr>
          <w:p w:rsidRPr="000C037A" w:rsidR="005572E9" w:rsidP="00622B7E" w:rsidRDefault="005572E9">
            <w:pPr>
              <w:spacing w:after="0"/>
              <w:jc w:val="right"/>
              <w:rPr>
                <w:b/>
                <w:szCs w:val="18"/>
              </w:rPr>
            </w:pPr>
            <w:r w:rsidRPr="00FA3284">
              <w:t>-4</w:t>
            </w:r>
          </w:p>
        </w:tc>
        <w:tc>
          <w:tcPr>
            <w:tcW w:w="680" w:type="dxa"/>
            <w:tcBorders>
              <w:top w:val="nil"/>
              <w:left w:val="nil"/>
              <w:bottom w:val="single" w:color="auto" w:sz="8" w:space="0"/>
              <w:right w:val="nil"/>
            </w:tcBorders>
            <w:shd w:val="clear" w:color="auto" w:fill="auto"/>
            <w:noWrap/>
            <w:tcMar>
              <w:top w:w="0" w:type="dxa"/>
              <w:left w:w="70" w:type="dxa"/>
              <w:bottom w:w="0" w:type="dxa"/>
              <w:right w:w="70" w:type="dxa"/>
            </w:tcMar>
          </w:tcPr>
          <w:p w:rsidRPr="000C037A" w:rsidR="005572E9" w:rsidP="00622B7E" w:rsidRDefault="005572E9">
            <w:pPr>
              <w:spacing w:after="0"/>
              <w:jc w:val="right"/>
              <w:rPr>
                <w:b/>
                <w:szCs w:val="18"/>
              </w:rPr>
            </w:pPr>
            <w:r w:rsidRPr="00FA3284">
              <w:t>-5</w:t>
            </w:r>
          </w:p>
        </w:tc>
        <w:tc>
          <w:tcPr>
            <w:tcW w:w="680" w:type="dxa"/>
            <w:tcBorders>
              <w:top w:val="nil"/>
              <w:left w:val="nil"/>
              <w:bottom w:val="single" w:color="auto" w:sz="8" w:space="0"/>
              <w:right w:val="nil"/>
            </w:tcBorders>
            <w:shd w:val="clear" w:color="auto" w:fill="auto"/>
            <w:noWrap/>
            <w:tcMar>
              <w:top w:w="0" w:type="dxa"/>
              <w:left w:w="70" w:type="dxa"/>
              <w:bottom w:w="0" w:type="dxa"/>
              <w:right w:w="70" w:type="dxa"/>
            </w:tcMar>
          </w:tcPr>
          <w:p w:rsidRPr="000C037A" w:rsidR="005572E9" w:rsidP="00622B7E" w:rsidRDefault="005572E9">
            <w:pPr>
              <w:spacing w:after="0"/>
              <w:jc w:val="right"/>
              <w:rPr>
                <w:b/>
                <w:szCs w:val="18"/>
              </w:rPr>
            </w:pPr>
            <w:r w:rsidRPr="00FA3284">
              <w:t>10</w:t>
            </w:r>
          </w:p>
        </w:tc>
        <w:tc>
          <w:tcPr>
            <w:tcW w:w="680" w:type="dxa"/>
            <w:tcBorders>
              <w:top w:val="nil"/>
              <w:left w:val="nil"/>
              <w:bottom w:val="single" w:color="auto" w:sz="8" w:space="0"/>
              <w:right w:val="nil"/>
            </w:tcBorders>
            <w:shd w:val="clear" w:color="auto" w:fill="auto"/>
            <w:noWrap/>
            <w:tcMar>
              <w:top w:w="0" w:type="dxa"/>
              <w:left w:w="70" w:type="dxa"/>
              <w:bottom w:w="0" w:type="dxa"/>
              <w:right w:w="70" w:type="dxa"/>
            </w:tcMar>
          </w:tcPr>
          <w:p w:rsidRPr="000C037A" w:rsidR="005572E9" w:rsidP="00622B7E" w:rsidRDefault="005572E9">
            <w:pPr>
              <w:spacing w:after="0"/>
              <w:jc w:val="right"/>
              <w:rPr>
                <w:b/>
                <w:szCs w:val="18"/>
              </w:rPr>
            </w:pPr>
            <w:r w:rsidRPr="00FA3284">
              <w:t>14</w:t>
            </w:r>
          </w:p>
        </w:tc>
        <w:tc>
          <w:tcPr>
            <w:tcW w:w="680" w:type="dxa"/>
            <w:tcBorders>
              <w:top w:val="nil"/>
              <w:left w:val="nil"/>
              <w:bottom w:val="single" w:color="auto" w:sz="8" w:space="0"/>
              <w:right w:val="nil"/>
            </w:tcBorders>
            <w:shd w:val="clear" w:color="auto" w:fill="auto"/>
            <w:noWrap/>
            <w:tcMar>
              <w:top w:w="0" w:type="dxa"/>
              <w:left w:w="70" w:type="dxa"/>
              <w:bottom w:w="0" w:type="dxa"/>
              <w:right w:w="70" w:type="dxa"/>
            </w:tcMar>
          </w:tcPr>
          <w:p w:rsidRPr="000C037A" w:rsidR="005572E9" w:rsidP="00622B7E" w:rsidRDefault="005572E9">
            <w:pPr>
              <w:spacing w:after="0"/>
              <w:jc w:val="right"/>
              <w:rPr>
                <w:b/>
                <w:szCs w:val="18"/>
              </w:rPr>
            </w:pPr>
            <w:r w:rsidRPr="00FA3284">
              <w:t>25</w:t>
            </w:r>
          </w:p>
        </w:tc>
      </w:tr>
    </w:tbl>
    <w:p w:rsidRPr="000C037A" w:rsidR="004F053F" w:rsidP="004F053F" w:rsidRDefault="004F053F">
      <w:pPr>
        <w:spacing w:after="0"/>
        <w:rPr>
          <w:szCs w:val="18"/>
        </w:rPr>
      </w:pPr>
    </w:p>
    <w:p w:rsidRPr="000C037A" w:rsidR="004F053F" w:rsidP="004F053F" w:rsidRDefault="00FB05A0">
      <w:pPr>
        <w:spacing w:after="0"/>
        <w:rPr>
          <w:szCs w:val="18"/>
        </w:rPr>
      </w:pPr>
      <w:r>
        <w:rPr>
          <w:szCs w:val="18"/>
        </w:rPr>
        <w:t>In het R</w:t>
      </w:r>
      <w:r w:rsidRPr="000C037A" w:rsidR="004F053F">
        <w:rPr>
          <w:szCs w:val="18"/>
        </w:rPr>
        <w:t>egeerakkoord zijn afspraken opgenomen over loondoorbetaling bij ziekte en de WIA. Met deze maatregelen beoogde het kabinet de last te verminderen die werkgevers ervaren door de loondoorbetalingsverplichting en betere prikkels richting werk te introduceren in arbeidsongeschiktheidsregelingen. Sociale partners werden uitgenodigd om binnen de budgettaire kaders met werkbare alternatieven voor deze maatregelen te komen. In december 2018 is de Tweede Kamer middels twee brieven geïnformeerd over een nieuw pakket aan maatregelen</w:t>
      </w:r>
      <w:r w:rsidR="004F053F">
        <w:rPr>
          <w:szCs w:val="18"/>
        </w:rPr>
        <w:t xml:space="preserve"> (</w:t>
      </w:r>
      <w:r w:rsidRPr="00406E49" w:rsidR="004F053F">
        <w:rPr>
          <w:szCs w:val="18"/>
        </w:rPr>
        <w:t>Kamerstukken II, 2018/19, 29544 nr. 873 en Kamerstukken II, 2018/19, 32716 nr. 37)</w:t>
      </w:r>
      <w:r w:rsidRPr="000C037A" w:rsidR="004F053F">
        <w:rPr>
          <w:szCs w:val="18"/>
        </w:rPr>
        <w:t>.</w:t>
      </w:r>
    </w:p>
    <w:p w:rsidR="004F053F" w:rsidP="004F053F" w:rsidRDefault="004F053F">
      <w:pPr>
        <w:spacing w:after="0"/>
        <w:rPr>
          <w:szCs w:val="18"/>
        </w:rPr>
      </w:pPr>
      <w:r w:rsidRPr="000C037A">
        <w:rPr>
          <w:szCs w:val="18"/>
        </w:rPr>
        <w:t>Het nieuwe pakket maatregelen rondom loondoorbetaling bij ziekte heeft het kabinet ertoe geb</w:t>
      </w:r>
      <w:r w:rsidR="002B1507">
        <w:rPr>
          <w:szCs w:val="18"/>
        </w:rPr>
        <w:t>racht om de balans in de R</w:t>
      </w:r>
      <w:r w:rsidRPr="000C037A">
        <w:rPr>
          <w:szCs w:val="18"/>
        </w:rPr>
        <w:t>egeerakkoordmaatregelen opnieuw te bezien. Daarbij is ook meegenomen dat de verwachte instroom in de WIA lager is door de nieuwe afspraken op het gebied van loondoorbetaling bij ziekte.</w:t>
      </w:r>
    </w:p>
    <w:p w:rsidRPr="000C037A" w:rsidR="004F053F" w:rsidP="004F053F" w:rsidRDefault="004F053F">
      <w:pPr>
        <w:spacing w:after="0"/>
        <w:rPr>
          <w:szCs w:val="18"/>
        </w:rPr>
      </w:pPr>
      <w:r w:rsidRPr="000C037A">
        <w:rPr>
          <w:szCs w:val="18"/>
        </w:rPr>
        <w:lastRenderedPageBreak/>
        <w:t>De nieuwe maatregelen op het terrein van loondoorbetaling bij ziekte en WIA leiden tot bovenstaande verschu</w:t>
      </w:r>
      <w:r>
        <w:rPr>
          <w:szCs w:val="18"/>
        </w:rPr>
        <w:t xml:space="preserve">ivingen in het budgettaire beeld. </w:t>
      </w:r>
      <w:r w:rsidRPr="00406E49">
        <w:rPr>
          <w:szCs w:val="18"/>
        </w:rPr>
        <w:t>De premiekorting bij loondoorbetaling valt niet onder het uitgavenplafond Sociale Zekerheid en ontbreekt dus ook in bovenstaande tabel.</w:t>
      </w:r>
      <w:r>
        <w:rPr>
          <w:szCs w:val="18"/>
        </w:rPr>
        <w:t xml:space="preserve"> </w:t>
      </w:r>
      <w:r w:rsidRPr="000C037A">
        <w:rPr>
          <w:szCs w:val="18"/>
        </w:rPr>
        <w:t>In de tweede helft van 2019 wordt het bijbehorende wetsvoorstel aan de Tweede Kamer gestuurd.</w:t>
      </w:r>
    </w:p>
    <w:p w:rsidR="00C32E3A" w:rsidP="001D695D" w:rsidRDefault="00C32E3A">
      <w:pPr>
        <w:spacing w:after="0"/>
        <w:rPr>
          <w:rFonts w:asciiTheme="majorHAnsi" w:hAnsiTheme="majorHAnsi"/>
          <w:b/>
          <w:szCs w:val="18"/>
        </w:rPr>
      </w:pP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746A72" w:rsidR="00746A72" w:rsidTr="00746A72">
        <w:trPr>
          <w:trHeight w:val="225"/>
        </w:trPr>
        <w:tc>
          <w:tcPr>
            <w:tcW w:w="10860" w:type="dxa"/>
            <w:gridSpan w:val="7"/>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b/>
                <w:bCs/>
                <w:color w:val="000000"/>
                <w:szCs w:val="18"/>
                <w:lang w:eastAsia="nl-NL"/>
              </w:rPr>
            </w:pPr>
            <w:r w:rsidRPr="00746A72">
              <w:rPr>
                <w:rFonts w:eastAsia="Times New Roman" w:cs="Times New Roman"/>
                <w:b/>
                <w:bCs/>
                <w:color w:val="000000"/>
                <w:szCs w:val="18"/>
                <w:lang w:eastAsia="nl-NL"/>
              </w:rPr>
              <w:lastRenderedPageBreak/>
              <w:t>Volksgezondheid, Welzijn en Sport</w:t>
            </w:r>
          </w:p>
        </w:tc>
      </w:tr>
      <w:tr w:rsidRPr="00746A72" w:rsidR="00746A72" w:rsidTr="00746A72">
        <w:trPr>
          <w:trHeight w:val="240"/>
        </w:trPr>
        <w:tc>
          <w:tcPr>
            <w:tcW w:w="10860" w:type="dxa"/>
            <w:gridSpan w:val="7"/>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XVI VOLKSGEZONDHEID, WELZIJN EN SPORT: UITGAVEN</w:t>
            </w:r>
          </w:p>
        </w:tc>
      </w:tr>
      <w:tr w:rsidRPr="00746A72" w:rsidR="00746A72" w:rsidTr="00746A72">
        <w:trPr>
          <w:trHeight w:val="315"/>
        </w:trPr>
        <w:tc>
          <w:tcPr>
            <w:tcW w:w="43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16.392,8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18.967,3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21.419,6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22.758,9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24.180,3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Affinanciering transitie autoriteit jeugd</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43,6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Informatiebeleid</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17,6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13,9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9,1</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Kasschuif inzicht</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45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Kasschuif levensbegeleiding/geestelijke verzorging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16,5</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 xml:space="preserve">Kasschuif programma's </w:t>
            </w:r>
            <w:proofErr w:type="spellStart"/>
            <w:r w:rsidRPr="00746A72">
              <w:rPr>
                <w:rFonts w:eastAsia="Times New Roman" w:cs="Times New Roman"/>
                <w:color w:val="000000"/>
                <w:szCs w:val="18"/>
                <w:lang w:eastAsia="nl-NL"/>
              </w:rPr>
              <w:t>zonmw</w:t>
            </w:r>
            <w:proofErr w:type="spellEnd"/>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16,1</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56,9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62,3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-1,8</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Kasschuif sectorplanplus</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-55,4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3,7</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55,0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45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Stimulering medisch specialisten in loondienst/participatiemodel (h58)</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4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3,5</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-3,6</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26,4</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85,7</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45,8</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47,2</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19,8</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Buurtsportcoaches</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-60,8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G39 maatschappelijke diensttijd</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Loonbijstelling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82,1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78,4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75,1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71,4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69,7</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Regeling veelbelovende zorg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12,0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31,0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63,0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127,6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141,8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84,5</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82,8</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15,1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14,7</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12,8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12,1</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proofErr w:type="spellStart"/>
            <w:r w:rsidRPr="00746A72">
              <w:rPr>
                <w:rFonts w:eastAsia="Times New Roman" w:cs="Times New Roman"/>
                <w:color w:val="000000"/>
                <w:szCs w:val="18"/>
                <w:lang w:eastAsia="nl-NL"/>
              </w:rPr>
              <w:t>Bikk</w:t>
            </w:r>
            <w:proofErr w:type="spellEnd"/>
            <w:r w:rsidRPr="00746A72">
              <w:rPr>
                <w:rFonts w:eastAsia="Times New Roman" w:cs="Times New Roman"/>
                <w:color w:val="000000"/>
                <w:szCs w:val="18"/>
                <w:lang w:eastAsia="nl-NL"/>
              </w:rPr>
              <w:t xml:space="preserve"> </w:t>
            </w:r>
            <w:proofErr w:type="spellStart"/>
            <w:r w:rsidRPr="00746A72">
              <w:rPr>
                <w:rFonts w:eastAsia="Times New Roman" w:cs="Times New Roman"/>
                <w:color w:val="000000"/>
                <w:szCs w:val="18"/>
                <w:lang w:eastAsia="nl-NL"/>
              </w:rPr>
              <w:t>wlz</w:t>
            </w:r>
            <w:proofErr w:type="spellEnd"/>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-62,8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-132,1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-248,5</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 xml:space="preserve">Rijksbijdrage </w:t>
            </w:r>
            <w:proofErr w:type="spellStart"/>
            <w:r w:rsidRPr="00746A72">
              <w:rPr>
                <w:rFonts w:eastAsia="Times New Roman" w:cs="Times New Roman"/>
                <w:color w:val="000000"/>
                <w:szCs w:val="18"/>
                <w:lang w:eastAsia="nl-NL"/>
              </w:rPr>
              <w:t>wlz</w:t>
            </w:r>
            <w:proofErr w:type="spellEnd"/>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900,0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-400,0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600,0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100,0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Rijksbijdrage 18-</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-57,5</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-59,3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-90,9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-85,6</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Zorgtoeslag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-124,6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-53,5</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-59,3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-196,8</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1.006,2</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-262,0</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138,7</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397,3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-199,3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1.032,5</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-176,2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184,5</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444,5</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-179,5</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17.425,4</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18.791,1</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21.604,1</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23.203,5</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24.000,8</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22,2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13,8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5,1</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17.447,6</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18.804,9</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21.611,4</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23.208,9</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24.005,9</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40"/>
        </w:trPr>
        <w:tc>
          <w:tcPr>
            <w:tcW w:w="10860" w:type="dxa"/>
            <w:gridSpan w:val="7"/>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XVI VOLKSGEZONDHEID, WELZIJN EN SPORT: NIET-BELASTINGONTVANGSTEN</w:t>
            </w:r>
          </w:p>
        </w:tc>
      </w:tr>
      <w:tr w:rsidRPr="00746A72" w:rsidR="00746A72" w:rsidTr="00746A72">
        <w:trPr>
          <w:trHeight w:val="315"/>
        </w:trPr>
        <w:tc>
          <w:tcPr>
            <w:tcW w:w="43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87,6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82,9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82,9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82,9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82,9</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Affinanciering transitie autoriteit jeugd</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24,0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12,8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12,8</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30,3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11,4</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lastRenderedPageBreak/>
              <w:t>Rijksbegroting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4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33,9</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46,7</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30,3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134,3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113,2</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94,3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85,2</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85,2</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4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134,3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113,2</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94,3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85,2</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85,2</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bl>
    <w:p w:rsidR="00E94AC9" w:rsidP="001D695D" w:rsidRDefault="00E94AC9">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871FE4" w:rsidR="00740585" w:rsidP="00740585" w:rsidRDefault="00740585">
      <w:pPr>
        <w:spacing w:after="0"/>
        <w:rPr>
          <w:rFonts w:eastAsia="Times New Roman"/>
          <w:i/>
          <w:szCs w:val="18"/>
        </w:rPr>
      </w:pPr>
      <w:r w:rsidRPr="00871FE4">
        <w:rPr>
          <w:rFonts w:eastAsia="Times New Roman"/>
          <w:i/>
          <w:szCs w:val="18"/>
        </w:rPr>
        <w:t>Affinanciering transitieautoriteit jeugd</w:t>
      </w:r>
    </w:p>
    <w:p w:rsidRPr="00871FE4" w:rsidR="00740585" w:rsidP="00740585" w:rsidRDefault="00740585">
      <w:pPr>
        <w:spacing w:after="0"/>
        <w:rPr>
          <w:rFonts w:eastAsia="Times New Roman"/>
          <w:szCs w:val="18"/>
        </w:rPr>
      </w:pPr>
      <w:r w:rsidRPr="00871FE4">
        <w:rPr>
          <w:rFonts w:eastAsia="Times New Roman"/>
          <w:szCs w:val="18"/>
        </w:rPr>
        <w:t>Dit betreft middelen voor de Transitieautoriteit Jeugd (TAJ) voor herziene aanvragen van subsidies en tijdelijke liquiditeitssteun door diverse jeugdinstellingen in 2018.</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Informatiebeleid</w:t>
      </w:r>
    </w:p>
    <w:p w:rsidRPr="00871FE4" w:rsidR="00740585" w:rsidP="00740585" w:rsidRDefault="00740585">
      <w:pPr>
        <w:spacing w:after="0"/>
        <w:rPr>
          <w:rFonts w:eastAsia="Times New Roman"/>
          <w:szCs w:val="18"/>
        </w:rPr>
      </w:pPr>
      <w:r w:rsidRPr="00871FE4">
        <w:rPr>
          <w:rFonts w:eastAsia="Times New Roman"/>
          <w:szCs w:val="18"/>
        </w:rPr>
        <w:t>Om digitalisering in de zorg te versnellen zijn extra middelen beschikbaar gesteld voor thema’s authenticatie in de zorg, privacy en informatieveiligheid in de zorg, uitvoeringstaken agentschap CIBG, faciliteren verbinding zorgveld en het programma data, programma gegevensuitwisseling en programma internationaal.</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 xml:space="preserve">Kasschuif </w:t>
      </w:r>
      <w:proofErr w:type="spellStart"/>
      <w:r w:rsidRPr="00871FE4">
        <w:rPr>
          <w:rFonts w:eastAsia="Times New Roman"/>
          <w:i/>
          <w:szCs w:val="18"/>
        </w:rPr>
        <w:t>InZicht</w:t>
      </w:r>
      <w:proofErr w:type="spellEnd"/>
    </w:p>
    <w:p w:rsidRPr="00871FE4" w:rsidR="00740585" w:rsidP="00740585" w:rsidRDefault="00740585">
      <w:pPr>
        <w:spacing w:after="0"/>
        <w:rPr>
          <w:rFonts w:eastAsia="Times New Roman"/>
          <w:szCs w:val="18"/>
        </w:rPr>
      </w:pPr>
      <w:r w:rsidRPr="00871FE4">
        <w:rPr>
          <w:rFonts w:eastAsia="Times New Roman"/>
          <w:szCs w:val="18"/>
        </w:rPr>
        <w:t xml:space="preserve">De middelen voor de subsidieregeling </w:t>
      </w:r>
      <w:proofErr w:type="spellStart"/>
      <w:r w:rsidRPr="00871FE4">
        <w:rPr>
          <w:rFonts w:eastAsia="Times New Roman"/>
          <w:szCs w:val="18"/>
        </w:rPr>
        <w:t>InZicht</w:t>
      </w:r>
      <w:proofErr w:type="spellEnd"/>
      <w:r w:rsidRPr="00871FE4">
        <w:rPr>
          <w:rFonts w:eastAsia="Times New Roman"/>
          <w:szCs w:val="18"/>
        </w:rPr>
        <w:t xml:space="preserve"> worden naar een later jaar geschoven, omdat de regeling pas in de loop van 2019 wordt opengesteld en de opzet van de regeling tot hogere subsidieaanvragen in 2021 leidt.</w:t>
      </w:r>
    </w:p>
    <w:p w:rsidRPr="00871FE4" w:rsidR="00740585" w:rsidP="00740585" w:rsidRDefault="00740585">
      <w:pPr>
        <w:spacing w:after="0"/>
        <w:rPr>
          <w:rFonts w:eastAsia="Times New Roman"/>
          <w:i/>
          <w:szCs w:val="18"/>
        </w:rPr>
      </w:pPr>
    </w:p>
    <w:p w:rsidRPr="00871FE4" w:rsidR="00740585" w:rsidP="00740585" w:rsidRDefault="00740585">
      <w:pPr>
        <w:spacing w:after="0"/>
        <w:rPr>
          <w:rFonts w:eastAsia="Times New Roman"/>
          <w:i/>
          <w:szCs w:val="18"/>
        </w:rPr>
      </w:pPr>
      <w:r w:rsidRPr="00871FE4">
        <w:rPr>
          <w:rFonts w:eastAsia="Times New Roman"/>
          <w:i/>
          <w:szCs w:val="18"/>
        </w:rPr>
        <w:t>Kasschuif levensbegeleiding/geestelijke verzorging</w:t>
      </w:r>
    </w:p>
    <w:p w:rsidRPr="00871FE4" w:rsidR="00740585" w:rsidP="00740585" w:rsidRDefault="00740585">
      <w:pPr>
        <w:spacing w:after="0"/>
        <w:rPr>
          <w:rFonts w:eastAsia="Times New Roman"/>
          <w:szCs w:val="18"/>
        </w:rPr>
      </w:pPr>
      <w:r w:rsidRPr="00871FE4">
        <w:rPr>
          <w:rFonts w:eastAsia="Times New Roman"/>
          <w:szCs w:val="18"/>
        </w:rPr>
        <w:t>In 2018 zijn de middelen voor geestelijke verzorging niet tot besteding gekomen en daarom doorgeschoven naar 2019. De middelen zijn niet tot besteding gekomen, doordat er eerst een onderzoek is uitgevoerd naar de goede manier van besteding.</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Kasschuif programma’s ZonMw</w:t>
      </w:r>
    </w:p>
    <w:p w:rsidRPr="00871FE4" w:rsidR="00740585" w:rsidP="00740585" w:rsidRDefault="00740585">
      <w:pPr>
        <w:spacing w:after="0"/>
        <w:rPr>
          <w:rFonts w:eastAsia="Times New Roman"/>
          <w:szCs w:val="18"/>
        </w:rPr>
      </w:pPr>
      <w:r w:rsidRPr="00871FE4">
        <w:rPr>
          <w:rFonts w:eastAsia="Times New Roman"/>
          <w:szCs w:val="18"/>
        </w:rPr>
        <w:t>Dit betreft een herschikking van de budgetten voor diverse programma’s van ZonMw.</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Diversen – Beleidsmatige mutaties – Rijksbegroting</w:t>
      </w:r>
    </w:p>
    <w:p w:rsidRPr="00871FE4" w:rsidR="00740585" w:rsidP="00740585" w:rsidRDefault="00740585">
      <w:pPr>
        <w:spacing w:after="0"/>
        <w:rPr>
          <w:rFonts w:eastAsia="Times New Roman"/>
          <w:szCs w:val="18"/>
        </w:rPr>
      </w:pPr>
      <w:r w:rsidRPr="00871FE4">
        <w:rPr>
          <w:rFonts w:eastAsia="Times New Roman"/>
          <w:szCs w:val="18"/>
        </w:rPr>
        <w:t>Deze post betreft onder meer een verhoging van het budget voor de tegemoetkoming Q-koortspatiënten (11,5 mln. in 2019), middelen voor het bewaren en toegankelijk houden van de dossiers van het MC Slotervaart en MC IJsselmeerziekenhuizen (7,5 mln. in 2019), middelen voor de viering van 75 jaar vrijheid in Nederland (5 mln. in 2019 en 10 mln. in 2020), middelen voor het Programma inkoop en aanbesteden sociaal domein (4 mln. in 2019) en voor diverse kleinere knelpunten op de VWS-begroting.</w:t>
      </w:r>
      <w:r>
        <w:rPr>
          <w:rFonts w:eastAsia="Times New Roman"/>
          <w:szCs w:val="18"/>
        </w:rPr>
        <w:t xml:space="preserve"> </w:t>
      </w:r>
      <w:r w:rsidRPr="00982354">
        <w:rPr>
          <w:rFonts w:eastAsia="Times New Roman"/>
          <w:szCs w:val="18"/>
        </w:rPr>
        <w:t xml:space="preserve">Ook bevat deze post de toegevoegde </w:t>
      </w:r>
      <w:r w:rsidRPr="00982354">
        <w:rPr>
          <w:rFonts w:eastAsia="Verdana"/>
        </w:rPr>
        <w:t>middelen voor kunstmatige inseminatie. Hiermee wordt kunstmatige inseminatie met donorzaad (KID) zonder medische indicatie vergoed. Het gaat om de behandeling van lesbische stellen en alleenstaande vrouwen. De vergoeding van de KID zal via een subsidieregeling worden uitgevoerd.</w:t>
      </w:r>
      <w:r>
        <w:rPr>
          <w:rFonts w:eastAsia="Verdana"/>
        </w:rPr>
        <w:t xml:space="preserve"> Tenslotte zijn middelen vrijgemaakt voor het programma Kansrijke Start (3 mln. in de jaren 2019 t/m 2021) en in het kader van het Sportakkoord (4 mln. in 2019). Deze middelen zijn overgeheveld naar het Gemeentefonds.</w:t>
      </w:r>
    </w:p>
    <w:p w:rsidRPr="00871FE4" w:rsidR="00740585" w:rsidP="00740585" w:rsidRDefault="00740585">
      <w:pPr>
        <w:spacing w:after="0"/>
        <w:rPr>
          <w:rFonts w:eastAsia="Times New Roman"/>
          <w:i/>
          <w:szCs w:val="18"/>
        </w:rPr>
      </w:pPr>
      <w:r w:rsidRPr="00871FE4">
        <w:rPr>
          <w:rFonts w:eastAsia="Times New Roman"/>
          <w:i/>
          <w:szCs w:val="18"/>
        </w:rPr>
        <w:br/>
        <w:t xml:space="preserve">Kasschuif </w:t>
      </w:r>
      <w:proofErr w:type="spellStart"/>
      <w:r w:rsidRPr="00871FE4">
        <w:rPr>
          <w:rFonts w:eastAsia="Times New Roman"/>
          <w:i/>
          <w:szCs w:val="18"/>
        </w:rPr>
        <w:t>SectorPlanPlus</w:t>
      </w:r>
      <w:proofErr w:type="spellEnd"/>
    </w:p>
    <w:p w:rsidRPr="00871FE4" w:rsidR="00740585" w:rsidP="00740585" w:rsidRDefault="00740585">
      <w:pPr>
        <w:spacing w:after="0"/>
        <w:rPr>
          <w:rFonts w:eastAsia="Times New Roman"/>
          <w:szCs w:val="18"/>
        </w:rPr>
      </w:pPr>
      <w:r w:rsidRPr="00871FE4">
        <w:rPr>
          <w:rFonts w:eastAsia="Times New Roman"/>
          <w:szCs w:val="18"/>
        </w:rPr>
        <w:t xml:space="preserve">VWS ondersteunt door middel van subsidies initiatieven gericht op nieuwe personeelsinstroom in de zorg middels </w:t>
      </w:r>
      <w:proofErr w:type="spellStart"/>
      <w:r w:rsidRPr="00871FE4">
        <w:rPr>
          <w:rFonts w:eastAsia="Times New Roman"/>
          <w:szCs w:val="18"/>
        </w:rPr>
        <w:t>SectorPlanPlus</w:t>
      </w:r>
      <w:proofErr w:type="spellEnd"/>
      <w:r w:rsidRPr="00871FE4">
        <w:rPr>
          <w:rFonts w:eastAsia="Times New Roman"/>
          <w:szCs w:val="18"/>
        </w:rPr>
        <w:t>. Met deze kasschuif wordt het budget aangepast aan het juiste kasritme.</w:t>
      </w:r>
    </w:p>
    <w:p w:rsidR="00746A72" w:rsidP="00740585" w:rsidRDefault="00746A72">
      <w:pPr>
        <w:spacing w:after="0"/>
        <w:rPr>
          <w:rFonts w:eastAsia="Times New Roman"/>
          <w:i/>
          <w:szCs w:val="18"/>
        </w:rPr>
      </w:pPr>
    </w:p>
    <w:p w:rsidR="00746A72" w:rsidP="00740585" w:rsidRDefault="00746A72">
      <w:pPr>
        <w:spacing w:after="0"/>
        <w:rPr>
          <w:rFonts w:eastAsia="Times New Roman"/>
          <w:i/>
          <w:szCs w:val="18"/>
        </w:rPr>
      </w:pPr>
    </w:p>
    <w:p w:rsidR="00746A72" w:rsidP="00740585" w:rsidRDefault="00746A72">
      <w:pPr>
        <w:spacing w:after="0"/>
        <w:rPr>
          <w:rFonts w:eastAsia="Times New Roman"/>
          <w:i/>
          <w:szCs w:val="18"/>
        </w:rPr>
      </w:pPr>
    </w:p>
    <w:p w:rsidRPr="00871FE4" w:rsidR="00740585" w:rsidP="00740585" w:rsidRDefault="00740585">
      <w:pPr>
        <w:spacing w:after="0"/>
        <w:rPr>
          <w:rFonts w:eastAsia="Times New Roman"/>
          <w:i/>
          <w:szCs w:val="18"/>
        </w:rPr>
      </w:pPr>
      <w:r w:rsidRPr="00871FE4">
        <w:rPr>
          <w:rFonts w:eastAsia="Times New Roman"/>
          <w:i/>
          <w:szCs w:val="18"/>
        </w:rPr>
        <w:lastRenderedPageBreak/>
        <w:t>Stimulering medisch specialisten in loondienst/participatiemodel (H58)</w:t>
      </w:r>
    </w:p>
    <w:p w:rsidRPr="00871FE4" w:rsidR="00740585" w:rsidP="00740585" w:rsidRDefault="00740585">
      <w:pPr>
        <w:spacing w:after="0"/>
        <w:rPr>
          <w:rFonts w:eastAsia="Times New Roman"/>
          <w:szCs w:val="18"/>
        </w:rPr>
      </w:pPr>
      <w:r w:rsidRPr="00871FE4">
        <w:rPr>
          <w:rFonts w:eastAsia="Times New Roman"/>
          <w:szCs w:val="18"/>
        </w:rPr>
        <w:t>De in het Regeerakkoord gereserveerde middelen voor stimulering van medisch specialisten in loondienst/participatiemodel komen in 2019 niet tot besteding.</w:t>
      </w:r>
    </w:p>
    <w:p w:rsidRPr="00871FE4" w:rsidR="00746A72" w:rsidP="00740585" w:rsidRDefault="00746A72">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Diversen – Beleidsmatige mutaties – Zorg</w:t>
      </w:r>
    </w:p>
    <w:p w:rsidRPr="00871FE4" w:rsidR="00740585" w:rsidP="00740585" w:rsidRDefault="00740585">
      <w:pPr>
        <w:spacing w:after="0"/>
        <w:rPr>
          <w:rFonts w:eastAsia="Times New Roman"/>
          <w:szCs w:val="18"/>
        </w:rPr>
      </w:pPr>
      <w:r w:rsidRPr="00871FE4">
        <w:rPr>
          <w:rFonts w:eastAsia="Times New Roman"/>
          <w:szCs w:val="18"/>
        </w:rPr>
        <w:t>Deze post betreft onder meer een ramingsbijstelling van de Niet Invasieve Prenatale Test (NIPT) vanwege lagere uitvoeringskosten en extra middelen voor zorguitgaven in Caribisch Nederland.</w:t>
      </w:r>
    </w:p>
    <w:p w:rsidRPr="00871FE4" w:rsidR="00740585" w:rsidP="00740585" w:rsidRDefault="00740585">
      <w:pPr>
        <w:spacing w:after="0"/>
        <w:rPr>
          <w:rFonts w:eastAsia="Times New Roman"/>
          <w:i/>
          <w:szCs w:val="18"/>
        </w:rPr>
      </w:pPr>
      <w:r w:rsidRPr="00871FE4">
        <w:rPr>
          <w:rFonts w:eastAsia="Times New Roman"/>
          <w:i/>
          <w:szCs w:val="18"/>
        </w:rPr>
        <w:t>Buurtsportcoaches</w:t>
      </w:r>
    </w:p>
    <w:p w:rsidRPr="00871FE4" w:rsidR="00740585" w:rsidP="00740585" w:rsidRDefault="00740585">
      <w:pPr>
        <w:spacing w:after="0"/>
        <w:rPr>
          <w:rFonts w:eastAsia="Times New Roman"/>
          <w:szCs w:val="18"/>
        </w:rPr>
      </w:pPr>
      <w:r w:rsidRPr="00871FE4">
        <w:rPr>
          <w:rFonts w:eastAsia="Times New Roman"/>
          <w:szCs w:val="18"/>
        </w:rPr>
        <w:t>Dit betreft een overboeking naar het gemeentefonds voor de buurtsportcoaches.</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G39 Maatschappelijke diensttijd</w:t>
      </w:r>
    </w:p>
    <w:p w:rsidRPr="00871FE4" w:rsidR="00740585" w:rsidP="00740585" w:rsidRDefault="00740585">
      <w:pPr>
        <w:spacing w:after="0"/>
        <w:rPr>
          <w:rFonts w:eastAsia="Times New Roman"/>
          <w:szCs w:val="18"/>
        </w:rPr>
      </w:pPr>
      <w:r w:rsidRPr="00871FE4">
        <w:rPr>
          <w:rFonts w:eastAsia="Times New Roman"/>
          <w:szCs w:val="18"/>
        </w:rPr>
        <w:t>De resterende middelen voor 2019 worden vrijgegeven voor een derde ronde projecten. Het in stappen vrijgeven van middelen past bij de vroege fase van dit programma, waarbij de ervaringen uit pilotprojecten worden gebruikt om het definitieve instrument te ontwikkelen.</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Loonbijstelling 2019</w:t>
      </w:r>
    </w:p>
    <w:p w:rsidRPr="00871FE4" w:rsidR="00740585" w:rsidP="00740585" w:rsidRDefault="00740585">
      <w:pPr>
        <w:spacing w:after="0"/>
        <w:rPr>
          <w:rFonts w:eastAsia="Times New Roman"/>
          <w:szCs w:val="18"/>
        </w:rPr>
      </w:pPr>
      <w:r w:rsidRPr="00871FE4">
        <w:rPr>
          <w:rFonts w:eastAsia="Times New Roman"/>
          <w:szCs w:val="18"/>
        </w:rPr>
        <w:t>Dit betreft tranche 2019 van de loonbijstelling.</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Regeling veelbelovende zorg</w:t>
      </w:r>
    </w:p>
    <w:p w:rsidRPr="00871FE4" w:rsidR="00740585" w:rsidP="00740585" w:rsidRDefault="00740585">
      <w:pPr>
        <w:spacing w:after="0"/>
        <w:rPr>
          <w:rFonts w:eastAsia="Times New Roman"/>
          <w:szCs w:val="18"/>
        </w:rPr>
      </w:pPr>
      <w:r w:rsidRPr="00871FE4">
        <w:rPr>
          <w:rFonts w:eastAsia="Times New Roman"/>
          <w:szCs w:val="18"/>
        </w:rPr>
        <w:t>De huidige regeling voorwaardelijke toelating wordt vervangen door nieuwe regelingen. Een deel van de gereserveerde middelen binnen het plafond Zorg worden overgeheveld naar de VWS-begroting. Het gaat om de programmakosten voor de regelingen Veelbelovende zorg en Zorgevaluatie en gepast gebruik en de uitvoeringskosten.</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Diversen – Technische mutaties, rijksbegroting</w:t>
      </w:r>
    </w:p>
    <w:p w:rsidRPr="00656C28" w:rsidR="00740585" w:rsidP="00740585" w:rsidRDefault="00740585">
      <w:pPr>
        <w:spacing w:after="0"/>
        <w:rPr>
          <w:rFonts w:eastAsia="Times New Roman"/>
          <w:szCs w:val="18"/>
        </w:rPr>
      </w:pPr>
      <w:r w:rsidRPr="00871FE4">
        <w:rPr>
          <w:rFonts w:eastAsia="Times New Roman"/>
          <w:szCs w:val="18"/>
        </w:rPr>
        <w:t>Deze post betreft onder andere overboekingen voor Regeerakkoordmiddelen van de Aanvullende Post voor H59 Preventieakkoord (23 mln. in 2019) en H59 Onbedoelde zwangerschappen (12 mln. in 2019) die reeds bij Nota van Wijziging zijn verwerkt. Daarnaast betreft deze post middelen voor het PBG2.0-systeem, dat budgethouders, verstrekkers en de SVB ondersteunt bij het beheren van budgetten en verzekeren van de rechtmatigheid van de besteding. Daarnaast betreft deze post overboekingen naar het gemeentefonds voor onafhankelijke cliëntondersteuning (-8,0 mln.) en projectleiders Geweld hoort nergens thuis (-2,6 mln.), een desaldering bij de projectdirectie Antonie van Leeuwenhoek terrein (PD Alt) vanwege hogere uitgaven voor en ontvangsten van derden (11,5 mln.) en een desaldering van de bijdrage van het CIBG in verband met kosten aan SSC ICT (5,3 mln.).</w:t>
      </w:r>
      <w:r>
        <w:rPr>
          <w:rFonts w:eastAsia="Times New Roman"/>
          <w:szCs w:val="18"/>
        </w:rPr>
        <w:t xml:space="preserve"> </w:t>
      </w:r>
      <w:r w:rsidRPr="00656C28">
        <w:rPr>
          <w:szCs w:val="18"/>
        </w:rPr>
        <w:t>Ten slotte wordt 20 mln</w:t>
      </w:r>
      <w:r>
        <w:rPr>
          <w:szCs w:val="18"/>
        </w:rPr>
        <w:t>.</w:t>
      </w:r>
      <w:r w:rsidRPr="00656C28">
        <w:rPr>
          <w:szCs w:val="18"/>
        </w:rPr>
        <w:t xml:space="preserve"> gereserveerd voor de Jeugdautoriteit (tot en met 2021). Daarmee wordt een tijdelijk vangnet gecreëerd gericht op het bieden van snelle steun aan levensvatbare jeugdhulpinstellingen die tijdelijk niet liquide zijn.</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Diversen – Technische mutaties, zorg</w:t>
      </w:r>
    </w:p>
    <w:p w:rsidRPr="00871FE4" w:rsidR="00740585" w:rsidP="00740585" w:rsidRDefault="00740585">
      <w:pPr>
        <w:spacing w:after="0"/>
        <w:rPr>
          <w:rFonts w:eastAsia="Times New Roman"/>
          <w:szCs w:val="18"/>
        </w:rPr>
      </w:pPr>
      <w:r w:rsidRPr="00871FE4">
        <w:rPr>
          <w:rFonts w:eastAsia="Times New Roman"/>
          <w:szCs w:val="18"/>
        </w:rPr>
        <w:t xml:space="preserve">Deze post betreft onder meer de loonbijstelling van het plafond Zorg en een overboeking naar de begroting van BZK (volgens het Tijdelijk Besluit bijzondere uitkeringen integrale projecten BES) voor de stichting </w:t>
      </w:r>
      <w:proofErr w:type="spellStart"/>
      <w:r w:rsidRPr="00871FE4">
        <w:rPr>
          <w:rFonts w:eastAsia="Times New Roman"/>
          <w:szCs w:val="18"/>
        </w:rPr>
        <w:t>Krusada</w:t>
      </w:r>
      <w:proofErr w:type="spellEnd"/>
      <w:r w:rsidRPr="00871FE4">
        <w:rPr>
          <w:rFonts w:eastAsia="Times New Roman"/>
          <w:szCs w:val="18"/>
        </w:rPr>
        <w:t xml:space="preserve"> (-0,3 mln.).</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proofErr w:type="spellStart"/>
      <w:r w:rsidRPr="00871FE4">
        <w:rPr>
          <w:rFonts w:eastAsia="Times New Roman"/>
          <w:i/>
          <w:szCs w:val="18"/>
        </w:rPr>
        <w:t>Bikk</w:t>
      </w:r>
      <w:proofErr w:type="spellEnd"/>
      <w:r w:rsidRPr="00871FE4">
        <w:rPr>
          <w:rFonts w:eastAsia="Times New Roman"/>
          <w:i/>
          <w:szCs w:val="18"/>
        </w:rPr>
        <w:t xml:space="preserve"> </w:t>
      </w:r>
      <w:proofErr w:type="spellStart"/>
      <w:r w:rsidRPr="00871FE4">
        <w:rPr>
          <w:rFonts w:eastAsia="Times New Roman"/>
          <w:i/>
          <w:szCs w:val="18"/>
        </w:rPr>
        <w:t>wlz</w:t>
      </w:r>
      <w:proofErr w:type="spellEnd"/>
    </w:p>
    <w:p w:rsidRPr="00871FE4" w:rsidR="00740585" w:rsidP="00740585" w:rsidRDefault="00740585">
      <w:pPr>
        <w:spacing w:after="0"/>
        <w:rPr>
          <w:rFonts w:eastAsia="Times New Roman"/>
          <w:szCs w:val="18"/>
        </w:rPr>
      </w:pPr>
      <w:r w:rsidRPr="00871FE4">
        <w:rPr>
          <w:rFonts w:eastAsia="Times New Roman"/>
          <w:szCs w:val="18"/>
        </w:rPr>
        <w:t xml:space="preserve">Dit is de bijstelling Bijdrage in Kosten van Kortingen (BIKK) naar aanleiding van de CEP-raming van het Centraal Planbureau. </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 xml:space="preserve">Rijksbijdrage </w:t>
      </w:r>
      <w:proofErr w:type="spellStart"/>
      <w:r w:rsidRPr="00871FE4">
        <w:rPr>
          <w:rFonts w:eastAsia="Times New Roman"/>
          <w:i/>
          <w:szCs w:val="18"/>
        </w:rPr>
        <w:t>wlz</w:t>
      </w:r>
      <w:proofErr w:type="spellEnd"/>
    </w:p>
    <w:p w:rsidRPr="00871FE4" w:rsidR="00740585" w:rsidP="00740585" w:rsidRDefault="00740585">
      <w:pPr>
        <w:spacing w:after="0"/>
        <w:rPr>
          <w:rFonts w:eastAsia="Times New Roman"/>
          <w:szCs w:val="18"/>
        </w:rPr>
      </w:pPr>
      <w:r w:rsidRPr="00871FE4">
        <w:rPr>
          <w:rFonts w:eastAsia="Times New Roman"/>
          <w:szCs w:val="18"/>
        </w:rPr>
        <w:t>Dit is de bijstelling van de Rijksbijdrage Wlz naar aanleiding van de CEP-raming van het Centraal Planbureau.</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Rijksbijdrage 18-</w:t>
      </w:r>
    </w:p>
    <w:p w:rsidRPr="00871FE4" w:rsidR="00740585" w:rsidP="00740585" w:rsidRDefault="00740585">
      <w:pPr>
        <w:spacing w:after="0"/>
        <w:rPr>
          <w:rFonts w:eastAsia="Times New Roman"/>
          <w:szCs w:val="18"/>
        </w:rPr>
      </w:pPr>
      <w:r w:rsidRPr="00871FE4">
        <w:rPr>
          <w:rFonts w:eastAsia="Times New Roman"/>
          <w:szCs w:val="18"/>
        </w:rPr>
        <w:t>Dit is de bijstelling van de Rijksbijdrage 18- naar aanleiding van de CEP-raming van het Centraal Planbureau.</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lastRenderedPageBreak/>
        <w:t>Zorgtoeslag</w:t>
      </w:r>
    </w:p>
    <w:p w:rsidRPr="00871FE4" w:rsidR="00740585" w:rsidP="00740585" w:rsidRDefault="00740585">
      <w:pPr>
        <w:spacing w:after="0"/>
        <w:rPr>
          <w:rFonts w:eastAsia="Times New Roman"/>
          <w:szCs w:val="18"/>
        </w:rPr>
      </w:pPr>
      <w:r w:rsidRPr="00871FE4">
        <w:rPr>
          <w:rFonts w:eastAsia="Times New Roman"/>
          <w:szCs w:val="18"/>
        </w:rPr>
        <w:t>Dit is de bijstelling van de uitgavenraming zorgtoeslag naar aanleiding van de CEP-raming van het Centraal Planbureau.</w:t>
      </w:r>
    </w:p>
    <w:p w:rsidRPr="00871FE4" w:rsidR="00740585" w:rsidP="00740585" w:rsidRDefault="00740585">
      <w:pPr>
        <w:spacing w:after="0"/>
        <w:rPr>
          <w:rFonts w:eastAsia="Times New Roman"/>
          <w:i/>
          <w:szCs w:val="18"/>
        </w:rPr>
      </w:pPr>
    </w:p>
    <w:p w:rsidRPr="00871FE4" w:rsidR="00740585" w:rsidP="00740585" w:rsidRDefault="00740585">
      <w:pPr>
        <w:spacing w:after="0"/>
        <w:rPr>
          <w:rFonts w:eastAsia="Times New Roman"/>
          <w:i/>
          <w:szCs w:val="18"/>
        </w:rPr>
      </w:pPr>
      <w:r w:rsidRPr="00871FE4">
        <w:rPr>
          <w:rFonts w:eastAsia="Times New Roman"/>
          <w:i/>
          <w:szCs w:val="18"/>
        </w:rPr>
        <w:t>Diversen – Technische mutaties, Niet relevant voor het uitgavenplafond</w:t>
      </w:r>
    </w:p>
    <w:p w:rsidRPr="00871FE4" w:rsidR="00740585" w:rsidP="00740585" w:rsidRDefault="00740585">
      <w:pPr>
        <w:spacing w:after="0"/>
        <w:rPr>
          <w:rFonts w:eastAsia="Times New Roman"/>
          <w:szCs w:val="18"/>
        </w:rPr>
      </w:pPr>
      <w:r w:rsidRPr="00871FE4">
        <w:rPr>
          <w:rFonts w:eastAsia="Times New Roman"/>
          <w:szCs w:val="18"/>
        </w:rPr>
        <w:t xml:space="preserve">Dit betreft een verhoging van het budget voor de Tegemoetkoming Specifieke Zorgkosten (TSZ). Uit actuele realisatiecijfers van de Belastingdienst blijkt dat het aantal ontvangers licht is gestegen en de verwachting is dat dit ook de komende jaren hoger zal zijn. </w:t>
      </w:r>
    </w:p>
    <w:p w:rsidRPr="00871FE4" w:rsidR="00740585" w:rsidP="00740585" w:rsidRDefault="00740585">
      <w:pPr>
        <w:spacing w:after="0"/>
        <w:rPr>
          <w:rFonts w:eastAsia="Times New Roman"/>
          <w:i/>
          <w:szCs w:val="18"/>
        </w:rPr>
      </w:pPr>
    </w:p>
    <w:p w:rsidRPr="00871FE4" w:rsidR="00740585" w:rsidP="00740585" w:rsidRDefault="00740585">
      <w:pPr>
        <w:spacing w:after="0"/>
        <w:rPr>
          <w:rFonts w:eastAsia="Times New Roman"/>
          <w:i/>
          <w:szCs w:val="18"/>
        </w:rPr>
      </w:pPr>
      <w:r w:rsidRPr="00871FE4">
        <w:rPr>
          <w:rFonts w:eastAsia="Times New Roman"/>
          <w:i/>
          <w:szCs w:val="18"/>
        </w:rPr>
        <w:t>Affinanciering transitieautoriteit jeugd</w:t>
      </w:r>
    </w:p>
    <w:p w:rsidRPr="00871FE4" w:rsidR="00740585" w:rsidP="00740585" w:rsidRDefault="00740585">
      <w:pPr>
        <w:spacing w:after="0"/>
        <w:rPr>
          <w:rFonts w:eastAsia="Times New Roman"/>
          <w:szCs w:val="18"/>
        </w:rPr>
      </w:pPr>
      <w:r w:rsidRPr="00871FE4">
        <w:rPr>
          <w:rFonts w:eastAsia="Times New Roman"/>
          <w:szCs w:val="18"/>
        </w:rPr>
        <w:t>Deze post betreft de ontvangsten die samenhangen met de herziene verzoeken in 2018 voor tijdelijke liquiditeitssteun door de Transitie Autoriteit Jeugd. De middelen voor tijdelijke liquiditeitssteun moeten door de instellingen worden terugbetaald.</w:t>
      </w:r>
    </w:p>
    <w:p w:rsidRPr="00871FE4" w:rsidR="00740585" w:rsidP="00740585" w:rsidRDefault="00740585">
      <w:pPr>
        <w:spacing w:after="0"/>
        <w:rPr>
          <w:rFonts w:eastAsia="Times New Roman"/>
          <w:szCs w:val="18"/>
        </w:rPr>
      </w:pPr>
    </w:p>
    <w:p w:rsidRPr="00871FE4" w:rsidR="00740585" w:rsidP="00740585" w:rsidRDefault="00740585">
      <w:pPr>
        <w:spacing w:after="0"/>
        <w:rPr>
          <w:rFonts w:eastAsia="Times New Roman"/>
          <w:i/>
          <w:szCs w:val="18"/>
        </w:rPr>
      </w:pPr>
      <w:r w:rsidRPr="00871FE4">
        <w:rPr>
          <w:rFonts w:eastAsia="Times New Roman"/>
          <w:i/>
          <w:szCs w:val="18"/>
        </w:rPr>
        <w:t>Diversen – Beleidsmatige mutaties, Rijksbegroting, niet-belastingontvangsten</w:t>
      </w:r>
    </w:p>
    <w:p w:rsidRPr="00871FE4" w:rsidR="00740585" w:rsidP="00740585" w:rsidRDefault="00740585">
      <w:pPr>
        <w:spacing w:after="0"/>
        <w:rPr>
          <w:rFonts w:eastAsia="Times New Roman"/>
          <w:szCs w:val="18"/>
        </w:rPr>
      </w:pPr>
      <w:r w:rsidRPr="00871FE4">
        <w:rPr>
          <w:rFonts w:eastAsia="Times New Roman"/>
          <w:szCs w:val="18"/>
        </w:rPr>
        <w:t xml:space="preserve">Deze post betreft onder meer </w:t>
      </w:r>
      <w:proofErr w:type="spellStart"/>
      <w:r w:rsidRPr="00871FE4">
        <w:rPr>
          <w:rFonts w:eastAsia="Times New Roman"/>
          <w:szCs w:val="18"/>
        </w:rPr>
        <w:t>terugontvangsten</w:t>
      </w:r>
      <w:proofErr w:type="spellEnd"/>
      <w:r w:rsidRPr="00871FE4">
        <w:rPr>
          <w:rFonts w:eastAsia="Times New Roman"/>
          <w:szCs w:val="18"/>
        </w:rPr>
        <w:t xml:space="preserve"> van een verstrekte lening aan het CAK.</w:t>
      </w:r>
    </w:p>
    <w:p w:rsidRPr="00871FE4" w:rsidR="00740585" w:rsidP="00740585" w:rsidRDefault="00740585">
      <w:pPr>
        <w:spacing w:after="0"/>
        <w:rPr>
          <w:rFonts w:eastAsia="Times New Roman"/>
          <w:szCs w:val="18"/>
        </w:rPr>
      </w:pPr>
      <w:r w:rsidRPr="00871FE4">
        <w:rPr>
          <w:rFonts w:eastAsia="Times New Roman"/>
          <w:szCs w:val="18"/>
        </w:rPr>
        <w:t xml:space="preserve"> </w:t>
      </w:r>
    </w:p>
    <w:p w:rsidRPr="00871FE4" w:rsidR="00740585" w:rsidP="00740585" w:rsidRDefault="00740585">
      <w:pPr>
        <w:spacing w:after="0"/>
        <w:rPr>
          <w:rFonts w:eastAsia="Times New Roman"/>
          <w:i/>
          <w:szCs w:val="18"/>
        </w:rPr>
      </w:pPr>
      <w:r w:rsidRPr="00871FE4">
        <w:rPr>
          <w:rFonts w:eastAsia="Times New Roman"/>
          <w:i/>
          <w:szCs w:val="18"/>
        </w:rPr>
        <w:t>Diversen – Technische mutaties, Rijksbegroting, niet-belastingontvangsten</w:t>
      </w:r>
    </w:p>
    <w:p w:rsidR="00740585" w:rsidP="00740585" w:rsidRDefault="00740585">
      <w:pPr>
        <w:spacing w:after="0"/>
        <w:rPr>
          <w:rFonts w:eastAsia="Times New Roman"/>
        </w:rPr>
      </w:pPr>
      <w:r w:rsidRPr="00871FE4">
        <w:rPr>
          <w:rFonts w:eastAsia="Times New Roman"/>
          <w:szCs w:val="18"/>
        </w:rPr>
        <w:t>Deze post betreft onder andere een desaldering bij de projectdirectie Antonie van Leeuwenhoek terrein (PD Alt) vanwege hogere uitgaven voor en ontvangsten van derden (11,5 mln.) en een desaldering van de bijdrage van het CIBG in verband met kosten voor SSC ICT (5,3 mln.).</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7738F4" w:rsidR="007738F4" w:rsidTr="007738F4">
        <w:trPr>
          <w:trHeight w:val="225"/>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b/>
                <w:bCs/>
                <w:color w:val="000000"/>
                <w:szCs w:val="18"/>
                <w:lang w:eastAsia="nl-NL"/>
              </w:rPr>
            </w:pPr>
            <w:r w:rsidRPr="007738F4">
              <w:rPr>
                <w:rFonts w:eastAsia="Times New Roman" w:cs="Times New Roman"/>
                <w:b/>
                <w:bCs/>
                <w:color w:val="000000"/>
                <w:szCs w:val="18"/>
                <w:lang w:eastAsia="nl-NL"/>
              </w:rPr>
              <w:lastRenderedPageBreak/>
              <w:t>Buitenlandse Handel en Ontwikkelingssamenwerking</w:t>
            </w: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XVII BUITENLANDSE HANDEL EN ONTWIKKELINGSSAMENWERKING: UITGAVEN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200" w:firstLineChars="1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3.002,8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3.060,1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3.130,9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3.149,2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3.290,2</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3.002,8</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3.060,1</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3.130,9</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3.149,2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3.290,2</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XVII BUITENLANDSE HANDEL EN ONTWIKKELINGSSAMENWERKING: NIET-BELASTINGONTVANGSTEN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9,4</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4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13,1</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9,8</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9,4</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4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66,3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66,2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66,1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66,1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66,1</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79,7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79,3</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75,9</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75,7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75,5</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A80F78" w:rsidP="001D695D" w:rsidRDefault="00A80F78">
      <w:pPr>
        <w:spacing w:after="0"/>
        <w:rPr>
          <w:rFonts w:asciiTheme="majorHAnsi" w:hAnsiTheme="majorHAnsi"/>
          <w:b/>
          <w:szCs w:val="18"/>
        </w:rPr>
      </w:pPr>
    </w:p>
    <w:p w:rsidR="00403FED" w:rsidP="001D695D" w:rsidRDefault="00C109C8">
      <w:pPr>
        <w:spacing w:after="0"/>
        <w:rPr>
          <w:rFonts w:asciiTheme="majorHAnsi" w:hAnsiTheme="majorHAnsi"/>
          <w:i/>
          <w:szCs w:val="18"/>
        </w:rPr>
      </w:pPr>
      <w:r>
        <w:rPr>
          <w:rFonts w:asciiTheme="majorHAnsi" w:hAnsiTheme="majorHAnsi"/>
          <w:i/>
          <w:szCs w:val="18"/>
        </w:rPr>
        <w:t>Op de begroting van Buitenlandse Handel en Ontwikkelingssamenwerking hebben zich sinds Miljoenennota 2019 geen mutaties buiten de HGIS om voorgedaan.</w:t>
      </w:r>
      <w:r w:rsidR="00467DCF">
        <w:rPr>
          <w:rFonts w:asciiTheme="majorHAnsi" w:hAnsiTheme="majorHAnsi"/>
          <w:i/>
          <w:szCs w:val="18"/>
        </w:rPr>
        <w:t xml:space="preserve"> De HGIS-mutaties worden separaat toegelicht.</w:t>
      </w:r>
    </w:p>
    <w:p w:rsidR="00632AE9" w:rsidRDefault="00632AE9">
      <w:pPr>
        <w:rPr>
          <w:rFonts w:asciiTheme="majorHAnsi" w:hAnsiTheme="majorHAnsi"/>
          <w:szCs w:val="18"/>
        </w:rPr>
      </w:pPr>
      <w:r>
        <w:rPr>
          <w:rFonts w:asciiTheme="majorHAnsi" w:hAnsiTheme="majorHAnsi"/>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7738F4" w:rsidR="007738F4" w:rsidTr="007738F4">
        <w:trPr>
          <w:trHeight w:val="225"/>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b/>
                <w:bCs/>
                <w:color w:val="000000"/>
                <w:szCs w:val="18"/>
                <w:lang w:eastAsia="nl-NL"/>
              </w:rPr>
            </w:pPr>
            <w:r w:rsidRPr="007738F4">
              <w:rPr>
                <w:rFonts w:eastAsia="Times New Roman" w:cs="Times New Roman"/>
                <w:b/>
                <w:bCs/>
                <w:color w:val="000000"/>
                <w:szCs w:val="18"/>
                <w:lang w:eastAsia="nl-NL"/>
              </w:rPr>
              <w:lastRenderedPageBreak/>
              <w:t>Sociale Verzekeringen</w:t>
            </w: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SOCIALE VERZEKERINGEN: UITGAVEN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58.424,0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61.012,8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62.764,2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64.881,1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67.918,8</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proofErr w:type="spellStart"/>
            <w:r w:rsidRPr="007738F4">
              <w:rPr>
                <w:rFonts w:eastAsia="Times New Roman" w:cs="Times New Roman"/>
                <w:color w:val="000000"/>
                <w:szCs w:val="18"/>
                <w:lang w:eastAsia="nl-NL"/>
              </w:rPr>
              <w:t>Aow</w:t>
            </w:r>
            <w:proofErr w:type="spellEnd"/>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-87,3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-62,7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-102,3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-137,2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-144,9</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Arbeidsongeschiktheid</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19,1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70,5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82,4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65,2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35,2</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proofErr w:type="spellStart"/>
            <w:r w:rsidRPr="007738F4">
              <w:rPr>
                <w:rFonts w:eastAsia="Times New Roman" w:cs="Times New Roman"/>
                <w:color w:val="000000"/>
                <w:szCs w:val="18"/>
                <w:lang w:eastAsia="nl-NL"/>
              </w:rPr>
              <w:t>Wazo</w:t>
            </w:r>
            <w:proofErr w:type="spellEnd"/>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8,8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8,3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Ziektewet</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56,2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83,7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77,6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83,9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84,7</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38,7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102,2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69,8</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22,2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-13,4</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Herijking light model</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-36,8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-38,3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-36,1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-37,3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15,1</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-48,6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-37,0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-38,5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-22,4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-22,2</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Bruteringen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-25,0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-46,7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-137,2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-176,9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Nominale ontwikkeling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-93,3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-259,6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-442,2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-604,8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-943,8</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proofErr w:type="spellStart"/>
            <w:r w:rsidRPr="007738F4">
              <w:rPr>
                <w:rFonts w:eastAsia="Times New Roman" w:cs="Times New Roman"/>
                <w:color w:val="000000"/>
                <w:szCs w:val="18"/>
                <w:lang w:eastAsia="nl-NL"/>
              </w:rPr>
              <w:t>Ww</w:t>
            </w:r>
            <w:proofErr w:type="spellEnd"/>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312,2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398,2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439,0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446,4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449,2</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23,9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35,0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197,0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97,4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-119,6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-311,4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-661,8</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187,1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162,6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-88,3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-311,8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-697,4</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58.611,1</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61.175,4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62.676,0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64.569,4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67.221,4</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58.611,1</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61.175,4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62.676,0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64.569,4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67.221,4</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SOCIALE VERZEKERINGEN: NIET-BELASTINGONTVANGSTEN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310,3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321,4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332,3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342,5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353,0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-35,3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-39,3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-42,8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-45,8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-48,9</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-35,3</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-39,3</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-42,8</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-45,8</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-48,9</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180"/>
        </w:trPr>
        <w:tc>
          <w:tcPr>
            <w:tcW w:w="43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-35,3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-39,3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-42,8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-45,8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-48,9</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275,0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282,2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289,5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296,7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304,1</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275,0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282,2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289,5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296,7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304,1</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bl>
    <w:p w:rsidR="00632AE9" w:rsidP="001D695D" w:rsidRDefault="00632AE9">
      <w:pPr>
        <w:spacing w:after="0"/>
        <w:rPr>
          <w:rFonts w:asciiTheme="majorHAnsi" w:hAnsiTheme="majorHAnsi"/>
          <w:szCs w:val="18"/>
        </w:rPr>
      </w:pPr>
    </w:p>
    <w:p w:rsidR="00632AE9" w:rsidP="001D695D" w:rsidRDefault="00632AE9">
      <w:pPr>
        <w:spacing w:after="0"/>
        <w:rPr>
          <w:rFonts w:asciiTheme="majorHAnsi" w:hAnsiTheme="majorHAnsi"/>
          <w:szCs w:val="18"/>
        </w:rPr>
      </w:pPr>
    </w:p>
    <w:p w:rsidR="00632AE9" w:rsidP="00632AE9" w:rsidRDefault="00632AE9">
      <w:pPr>
        <w:spacing w:after="0"/>
        <w:rPr>
          <w:rFonts w:eastAsia="Times New Roman" w:asciiTheme="majorHAnsi" w:hAnsiTheme="majorHAnsi"/>
          <w:b/>
          <w:szCs w:val="18"/>
        </w:rPr>
      </w:pPr>
    </w:p>
    <w:p w:rsidRPr="00632AE9" w:rsidR="00632AE9" w:rsidP="00632AE9" w:rsidRDefault="00632AE9">
      <w:pPr>
        <w:spacing w:after="0"/>
        <w:rPr>
          <w:rFonts w:eastAsia="Times New Roman" w:asciiTheme="majorHAnsi" w:hAnsiTheme="majorHAnsi"/>
          <w:b/>
          <w:szCs w:val="18"/>
        </w:rPr>
      </w:pPr>
      <w:r w:rsidRPr="00632AE9">
        <w:rPr>
          <w:rFonts w:eastAsia="Times New Roman" w:asciiTheme="majorHAnsi" w:hAnsiTheme="majorHAnsi"/>
          <w:b/>
          <w:szCs w:val="18"/>
        </w:rPr>
        <w:lastRenderedPageBreak/>
        <w:t>Uitgaven</w:t>
      </w:r>
    </w:p>
    <w:p w:rsidRPr="00632AE9" w:rsidR="00632AE9" w:rsidP="00632AE9" w:rsidRDefault="00632AE9">
      <w:pPr>
        <w:spacing w:after="0"/>
        <w:rPr>
          <w:rFonts w:eastAsia="Times New Roman" w:asciiTheme="majorHAnsi" w:hAnsiTheme="majorHAnsi"/>
          <w:b/>
          <w:szCs w:val="18"/>
        </w:rPr>
      </w:pPr>
    </w:p>
    <w:p w:rsidRPr="00632AE9" w:rsidR="00632AE9" w:rsidP="00632AE9" w:rsidRDefault="00632AE9">
      <w:pPr>
        <w:spacing w:after="0"/>
        <w:rPr>
          <w:rFonts w:eastAsia="Times New Roman" w:asciiTheme="majorHAnsi" w:hAnsiTheme="majorHAnsi"/>
          <w:szCs w:val="18"/>
          <w:u w:val="single"/>
        </w:rPr>
      </w:pPr>
      <w:r w:rsidRPr="00632AE9">
        <w:rPr>
          <w:rFonts w:eastAsia="Times New Roman" w:asciiTheme="majorHAnsi" w:hAnsiTheme="majorHAnsi"/>
          <w:szCs w:val="18"/>
          <w:u w:val="single"/>
        </w:rPr>
        <w:t>Mee- en tegenvallers</w:t>
      </w: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AOW (Algemene Ouderdomswet)</w:t>
      </w:r>
    </w:p>
    <w:p w:rsidRPr="00632AE9" w:rsidR="00632AE9" w:rsidP="00632AE9" w:rsidRDefault="00632AE9">
      <w:pPr>
        <w:pStyle w:val="Geenafstand"/>
        <w:spacing w:line="276" w:lineRule="auto"/>
        <w:rPr>
          <w:rFonts w:asciiTheme="majorHAnsi" w:hAnsiTheme="majorHAnsi"/>
          <w:szCs w:val="18"/>
        </w:rPr>
      </w:pPr>
      <w:r w:rsidRPr="00632AE9">
        <w:rPr>
          <w:rFonts w:asciiTheme="majorHAnsi" w:hAnsiTheme="majorHAnsi"/>
          <w:szCs w:val="18"/>
        </w:rPr>
        <w:t>De bijstelling wordt vooral verklaard door een lager aantal AOW’ers, wat voornamelijk samenhangt met de nieuwe CBS-bevolkingsprognose. Het aantal AOW’ers viel in 2018 lager uit dan verwacht, doordat de sterfte in 2018 hoger uitviel dan het CBS verwachtte. Dit werkt meerjarig door doordat het verwachte aantal AOW'ers ook in latere jaren lager uitkomt dan ten tijde van de Begroting 2019 werd geraamd.</w:t>
      </w:r>
      <w:r w:rsidR="00BB306A">
        <w:rPr>
          <w:rFonts w:asciiTheme="majorHAnsi" w:hAnsiTheme="majorHAnsi"/>
          <w:szCs w:val="18"/>
        </w:rPr>
        <w:t xml:space="preserve"> </w:t>
      </w:r>
    </w:p>
    <w:p w:rsidRPr="00632AE9" w:rsidR="00632AE9" w:rsidP="00632AE9" w:rsidRDefault="00632AE9">
      <w:pPr>
        <w:spacing w:after="0"/>
        <w:rPr>
          <w:rFonts w:asciiTheme="majorHAnsi" w:hAnsiTheme="majorHAnsi"/>
          <w:szCs w:val="18"/>
        </w:rPr>
      </w:pP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Arbeidsongeschiktheid</w:t>
      </w:r>
    </w:p>
    <w:p w:rsidRPr="00632AE9" w:rsidR="00632AE9" w:rsidP="00632AE9" w:rsidRDefault="00632AE9">
      <w:pPr>
        <w:pStyle w:val="Geenafstand"/>
        <w:spacing w:line="276" w:lineRule="auto"/>
        <w:rPr>
          <w:rFonts w:asciiTheme="majorHAnsi" w:hAnsiTheme="majorHAnsi"/>
          <w:szCs w:val="18"/>
        </w:rPr>
      </w:pPr>
      <w:r w:rsidRPr="00632AE9">
        <w:rPr>
          <w:rFonts w:asciiTheme="majorHAnsi" w:hAnsiTheme="majorHAnsi"/>
          <w:szCs w:val="18"/>
        </w:rPr>
        <w:t>De tegenvaller op de arbeidsongeschiktheidsuitkeringen wordt voornamelijk veroorzaakt door een stijging van het aantal uitkeringen Inkomensvoorziening Volledig Arbeidsongeschikten (IVA). Ten opzichte van de vorige raming valt de doorstroom uit de Werkhervattingsregeling Gedeeltelijk Arbeidsgeschikten (WGA) naar de IVA hoger uit. Bij de WGA is een tegenovergesteld effect zichtbaar, daar daalt het volume. Omdat de IVA een duurdere regeling is, levert dit per saldo een tegenvaller op.</w:t>
      </w:r>
    </w:p>
    <w:p w:rsidRPr="00632AE9" w:rsidR="00632AE9" w:rsidP="00632AE9" w:rsidRDefault="00632AE9">
      <w:pPr>
        <w:spacing w:after="0"/>
        <w:rPr>
          <w:rFonts w:eastAsia="Times New Roman" w:asciiTheme="majorHAnsi" w:hAnsiTheme="majorHAnsi"/>
          <w:i/>
          <w:szCs w:val="18"/>
        </w:rPr>
      </w:pP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WAZO (Wet Arbeid en Zorg)</w:t>
      </w:r>
    </w:p>
    <w:p w:rsidRPr="00632AE9" w:rsidR="00632AE9" w:rsidP="00632AE9" w:rsidRDefault="00632AE9">
      <w:pPr>
        <w:pStyle w:val="Geenafstand"/>
        <w:spacing w:line="276" w:lineRule="auto"/>
        <w:rPr>
          <w:rFonts w:asciiTheme="majorHAnsi" w:hAnsiTheme="majorHAnsi"/>
          <w:szCs w:val="18"/>
        </w:rPr>
      </w:pPr>
      <w:r w:rsidRPr="00632AE9">
        <w:rPr>
          <w:rFonts w:asciiTheme="majorHAnsi" w:hAnsiTheme="majorHAnsi"/>
          <w:szCs w:val="18"/>
        </w:rPr>
        <w:t xml:space="preserve">De WAZO laat een tegenvaller zien ten opzichte van de verwachting bij Miljoenennota 2019. Voor 2019 liggen de uitgaven </w:t>
      </w:r>
      <w:r w:rsidR="005572E9">
        <w:rPr>
          <w:rFonts w:asciiTheme="majorHAnsi" w:hAnsiTheme="majorHAnsi"/>
          <w:szCs w:val="18"/>
        </w:rPr>
        <w:t xml:space="preserve">aan o.a. zwangerschapsverlof </w:t>
      </w:r>
      <w:r w:rsidRPr="00632AE9">
        <w:rPr>
          <w:rFonts w:asciiTheme="majorHAnsi" w:hAnsiTheme="majorHAnsi"/>
          <w:szCs w:val="18"/>
        </w:rPr>
        <w:t xml:space="preserve">hoger vanwege een hoger gebruik van de ZEZ-compensatieregeling </w:t>
      </w:r>
      <w:r w:rsidR="005572E9">
        <w:rPr>
          <w:rFonts w:asciiTheme="majorHAnsi" w:hAnsiTheme="majorHAnsi"/>
          <w:szCs w:val="18"/>
        </w:rPr>
        <w:t xml:space="preserve">(regeling voor zwangere zelfstandigen) </w:t>
      </w:r>
      <w:r w:rsidRPr="00632AE9">
        <w:rPr>
          <w:rFonts w:asciiTheme="majorHAnsi" w:hAnsiTheme="majorHAnsi"/>
          <w:szCs w:val="18"/>
        </w:rPr>
        <w:t>dan eerder geraamd. Daarnaast is het volume aan WAZO-uitkeringen toegenomen door een in 2018 hogere arbeidsparticipatie onder vrouwen dan eerder verwacht en de opwaartse bijstelling van de geboorteprognose van het CBS. Daartegenover staat een lagere gemiddelde prijs. Het saldo van het prijs- en volume effect zorgt voor de opwaartse bijstelling.</w:t>
      </w:r>
    </w:p>
    <w:p w:rsidRPr="00632AE9" w:rsidR="00632AE9" w:rsidP="00632AE9" w:rsidRDefault="00632AE9">
      <w:pPr>
        <w:spacing w:after="0"/>
        <w:rPr>
          <w:rFonts w:eastAsia="Times New Roman" w:asciiTheme="majorHAnsi" w:hAnsiTheme="majorHAnsi"/>
          <w:i/>
          <w:szCs w:val="18"/>
        </w:rPr>
      </w:pP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Ziektewet (ZW)</w:t>
      </w:r>
    </w:p>
    <w:p w:rsidRPr="00632AE9" w:rsidR="00632AE9" w:rsidP="00632AE9" w:rsidRDefault="00632AE9">
      <w:pPr>
        <w:pStyle w:val="Geenafstand"/>
        <w:spacing w:line="276" w:lineRule="auto"/>
        <w:rPr>
          <w:rFonts w:asciiTheme="majorHAnsi" w:hAnsiTheme="majorHAnsi"/>
          <w:szCs w:val="18"/>
        </w:rPr>
      </w:pPr>
      <w:r w:rsidRPr="00632AE9">
        <w:rPr>
          <w:rFonts w:asciiTheme="majorHAnsi" w:hAnsiTheme="majorHAnsi"/>
          <w:szCs w:val="18"/>
        </w:rPr>
        <w:t>De tegenvaller op de Ziektewet wordt hoofdzakelijk veroorzaakt door een opwaartse bijstelling van het aantal ZW-uitkeringen. Ten tijde van de vorige raming werd de stijging van het aantal ziektejaren incidenteel toegeschreven aan de griepgolf die in het eerste kwartaal van 2018 plaatsvond. Uit de realisatiecijfers over 2018 blijkt echter dat de stijging van het aantal ziektejaren tegen de verwachting in heeft doorgezet. Door deze toename wordt ook het volume voor 2019 en verder verhoogd. Daarnaast is de werkloosheidsraming van het CPB (CEP) opwaarts bijgesteld. Hieruit volgt dat het aantal zieke werklozen naar verwachting toeneemt in de ZW, waarvoor het volume is aangepast.</w:t>
      </w:r>
    </w:p>
    <w:p w:rsidRPr="00632AE9" w:rsidR="00632AE9" w:rsidP="00632AE9" w:rsidRDefault="00632AE9">
      <w:pPr>
        <w:pStyle w:val="Geenafstand"/>
        <w:spacing w:line="276" w:lineRule="auto"/>
        <w:rPr>
          <w:rFonts w:asciiTheme="majorHAnsi" w:hAnsiTheme="majorHAnsi"/>
          <w:szCs w:val="18"/>
        </w:rPr>
      </w:pPr>
    </w:p>
    <w:p w:rsidRPr="00632AE9" w:rsidR="00632AE9" w:rsidP="00632AE9" w:rsidRDefault="00632AE9">
      <w:pPr>
        <w:pStyle w:val="Geenafstand"/>
        <w:spacing w:line="276" w:lineRule="auto"/>
        <w:rPr>
          <w:rFonts w:asciiTheme="majorHAnsi" w:hAnsiTheme="majorHAnsi"/>
          <w:i/>
          <w:szCs w:val="18"/>
        </w:rPr>
      </w:pPr>
      <w:r w:rsidRPr="00632AE9">
        <w:rPr>
          <w:rFonts w:asciiTheme="majorHAnsi" w:hAnsiTheme="majorHAnsi"/>
          <w:i/>
          <w:szCs w:val="18"/>
        </w:rPr>
        <w:t>Diversen</w:t>
      </w:r>
    </w:p>
    <w:p w:rsidRPr="00632AE9" w:rsidR="00632AE9" w:rsidP="00632AE9" w:rsidRDefault="00632AE9">
      <w:pPr>
        <w:pStyle w:val="Geenafstand"/>
        <w:spacing w:line="276" w:lineRule="auto"/>
        <w:rPr>
          <w:rFonts w:asciiTheme="majorHAnsi" w:hAnsiTheme="majorHAnsi"/>
          <w:szCs w:val="18"/>
        </w:rPr>
      </w:pPr>
      <w:r w:rsidRPr="00632AE9">
        <w:rPr>
          <w:rFonts w:asciiTheme="majorHAnsi" w:hAnsiTheme="majorHAnsi"/>
          <w:szCs w:val="18"/>
        </w:rPr>
        <w:t>Hieronder vallen een meevaller op de Inkomensondersteuning AOW (IOAOW), een tegenvaller op de Nabestaandenwet (</w:t>
      </w:r>
      <w:proofErr w:type="spellStart"/>
      <w:r w:rsidRPr="00632AE9">
        <w:rPr>
          <w:rFonts w:asciiTheme="majorHAnsi" w:hAnsiTheme="majorHAnsi"/>
          <w:szCs w:val="18"/>
        </w:rPr>
        <w:t>Anw</w:t>
      </w:r>
      <w:proofErr w:type="spellEnd"/>
      <w:r w:rsidRPr="00632AE9">
        <w:rPr>
          <w:rFonts w:asciiTheme="majorHAnsi" w:hAnsiTheme="majorHAnsi"/>
          <w:szCs w:val="18"/>
        </w:rPr>
        <w:t>) en een tegenvaller op de uitvoeringskosten UWV.</w:t>
      </w:r>
    </w:p>
    <w:p w:rsidRPr="00632AE9" w:rsidR="00632AE9" w:rsidP="00632AE9" w:rsidRDefault="00632AE9">
      <w:pPr>
        <w:pStyle w:val="Geenafstand"/>
        <w:spacing w:line="276" w:lineRule="auto"/>
        <w:rPr>
          <w:rFonts w:asciiTheme="majorHAnsi" w:hAnsiTheme="majorHAnsi"/>
          <w:szCs w:val="18"/>
        </w:rPr>
      </w:pPr>
    </w:p>
    <w:p w:rsidRPr="00632AE9" w:rsidR="00632AE9" w:rsidP="00632AE9" w:rsidRDefault="00632AE9">
      <w:pPr>
        <w:spacing w:after="0"/>
        <w:rPr>
          <w:rFonts w:eastAsia="Times New Roman" w:asciiTheme="majorHAnsi" w:hAnsiTheme="majorHAnsi"/>
          <w:szCs w:val="18"/>
          <w:u w:val="single"/>
        </w:rPr>
      </w:pPr>
      <w:r w:rsidRPr="00632AE9">
        <w:rPr>
          <w:rFonts w:eastAsia="Times New Roman" w:asciiTheme="majorHAnsi" w:hAnsiTheme="majorHAnsi"/>
          <w:szCs w:val="18"/>
          <w:u w:val="single"/>
        </w:rPr>
        <w:t>Beleidsmatige mutaties</w:t>
      </w: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Herijking light model</w:t>
      </w:r>
    </w:p>
    <w:p w:rsidRPr="00632AE9" w:rsidR="00632AE9" w:rsidP="00632AE9" w:rsidRDefault="00632AE9">
      <w:pPr>
        <w:spacing w:after="0"/>
        <w:rPr>
          <w:rFonts w:eastAsia="Times New Roman" w:asciiTheme="majorHAnsi" w:hAnsiTheme="majorHAnsi"/>
          <w:szCs w:val="18"/>
        </w:rPr>
      </w:pPr>
      <w:r w:rsidRPr="00632AE9">
        <w:rPr>
          <w:rFonts w:eastAsia="Times New Roman" w:asciiTheme="majorHAnsi" w:hAnsiTheme="majorHAnsi"/>
          <w:szCs w:val="18"/>
        </w:rPr>
        <w:t xml:space="preserve">Elk jaar wordt het bekostigingsmodel van het UWV (Light model) herijkt. Deze herijking leidt ieder jaar tot een budgettair neutrale schuif tussen premie- en </w:t>
      </w:r>
      <w:proofErr w:type="spellStart"/>
      <w:r w:rsidRPr="00632AE9">
        <w:rPr>
          <w:rFonts w:eastAsia="Times New Roman" w:asciiTheme="majorHAnsi" w:hAnsiTheme="majorHAnsi"/>
          <w:szCs w:val="18"/>
        </w:rPr>
        <w:t>begrotingsgefinancierde</w:t>
      </w:r>
      <w:proofErr w:type="spellEnd"/>
      <w:r w:rsidRPr="00632AE9">
        <w:rPr>
          <w:rFonts w:eastAsia="Times New Roman" w:asciiTheme="majorHAnsi" w:hAnsiTheme="majorHAnsi"/>
          <w:szCs w:val="18"/>
        </w:rPr>
        <w:t xml:space="preserve"> uitvoeringskosten. </w:t>
      </w:r>
    </w:p>
    <w:p w:rsidRPr="00632AE9" w:rsidR="00632AE9" w:rsidP="00632AE9" w:rsidRDefault="00632AE9">
      <w:pPr>
        <w:spacing w:after="0"/>
        <w:rPr>
          <w:rFonts w:eastAsia="Times New Roman" w:asciiTheme="majorHAnsi" w:hAnsiTheme="majorHAnsi"/>
          <w:i/>
          <w:szCs w:val="18"/>
        </w:rPr>
      </w:pP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Diversen</w:t>
      </w:r>
    </w:p>
    <w:p w:rsidRPr="00632AE9" w:rsidR="00632AE9" w:rsidP="00632AE9" w:rsidRDefault="00632AE9">
      <w:pPr>
        <w:spacing w:after="0"/>
        <w:rPr>
          <w:rFonts w:eastAsia="Times New Roman" w:asciiTheme="majorHAnsi" w:hAnsiTheme="majorHAnsi"/>
          <w:szCs w:val="18"/>
        </w:rPr>
      </w:pPr>
      <w:r w:rsidRPr="00632AE9">
        <w:rPr>
          <w:rFonts w:eastAsia="Times New Roman" w:asciiTheme="majorHAnsi" w:hAnsiTheme="majorHAnsi"/>
          <w:szCs w:val="18"/>
        </w:rPr>
        <w:t>Hieronder vallen de kasschuiven voor plafond S</w:t>
      </w:r>
      <w:r w:rsidR="005572E9">
        <w:rPr>
          <w:rFonts w:eastAsia="Times New Roman" w:asciiTheme="majorHAnsi" w:hAnsiTheme="majorHAnsi"/>
          <w:szCs w:val="18"/>
        </w:rPr>
        <w:t>ociale Zekerheid</w:t>
      </w:r>
      <w:r w:rsidRPr="00632AE9">
        <w:rPr>
          <w:rFonts w:eastAsia="Times New Roman" w:asciiTheme="majorHAnsi" w:hAnsiTheme="majorHAnsi"/>
          <w:szCs w:val="18"/>
        </w:rPr>
        <w:t>, de uitvoeringskosten door de invoering van de Wet arbeidsmarkt in balans (WAB) en een meevaller door de re-integratie WIA/WAO/WAZ.</w:t>
      </w:r>
    </w:p>
    <w:p w:rsidR="00632AE9" w:rsidP="00632AE9" w:rsidRDefault="00632AE9">
      <w:pPr>
        <w:spacing w:after="0"/>
        <w:rPr>
          <w:rFonts w:eastAsia="Times New Roman" w:asciiTheme="majorHAnsi" w:hAnsiTheme="majorHAnsi"/>
          <w:i/>
          <w:szCs w:val="18"/>
        </w:rPr>
      </w:pPr>
    </w:p>
    <w:p w:rsidR="007738F4" w:rsidP="00632AE9" w:rsidRDefault="007738F4">
      <w:pPr>
        <w:spacing w:after="0"/>
        <w:rPr>
          <w:rFonts w:eastAsia="Times New Roman" w:asciiTheme="majorHAnsi" w:hAnsiTheme="majorHAnsi"/>
          <w:i/>
          <w:szCs w:val="18"/>
        </w:rPr>
      </w:pPr>
    </w:p>
    <w:p w:rsidR="007738F4" w:rsidP="00632AE9" w:rsidRDefault="007738F4">
      <w:pPr>
        <w:spacing w:after="0"/>
        <w:rPr>
          <w:rFonts w:eastAsia="Times New Roman" w:asciiTheme="majorHAnsi" w:hAnsiTheme="majorHAnsi"/>
          <w:i/>
          <w:szCs w:val="18"/>
        </w:rPr>
      </w:pPr>
    </w:p>
    <w:p w:rsidRPr="00632AE9" w:rsidR="007738F4" w:rsidP="00632AE9" w:rsidRDefault="007738F4">
      <w:pPr>
        <w:spacing w:after="0"/>
        <w:rPr>
          <w:rFonts w:eastAsia="Times New Roman" w:asciiTheme="majorHAnsi" w:hAnsiTheme="majorHAnsi"/>
          <w:i/>
          <w:szCs w:val="18"/>
        </w:rPr>
      </w:pPr>
    </w:p>
    <w:p w:rsidRPr="00632AE9" w:rsidR="00632AE9" w:rsidP="00632AE9" w:rsidRDefault="00632AE9">
      <w:pPr>
        <w:spacing w:after="0"/>
        <w:rPr>
          <w:rFonts w:eastAsia="Times New Roman" w:asciiTheme="majorHAnsi" w:hAnsiTheme="majorHAnsi"/>
          <w:szCs w:val="18"/>
          <w:u w:val="single"/>
        </w:rPr>
      </w:pPr>
      <w:r w:rsidRPr="00632AE9">
        <w:rPr>
          <w:rFonts w:eastAsia="Times New Roman" w:asciiTheme="majorHAnsi" w:hAnsiTheme="majorHAnsi"/>
          <w:szCs w:val="18"/>
          <w:u w:val="single"/>
        </w:rPr>
        <w:lastRenderedPageBreak/>
        <w:t>Technische mutaties</w:t>
      </w: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Bruteringen</w:t>
      </w:r>
    </w:p>
    <w:p w:rsidRPr="00632AE9" w:rsidR="00632AE9" w:rsidP="00632AE9" w:rsidRDefault="00632AE9">
      <w:pPr>
        <w:spacing w:after="0"/>
        <w:rPr>
          <w:rFonts w:eastAsia="Times New Roman" w:asciiTheme="majorHAnsi" w:hAnsiTheme="majorHAnsi"/>
          <w:szCs w:val="18"/>
        </w:rPr>
      </w:pPr>
      <w:r w:rsidRPr="00632AE9">
        <w:rPr>
          <w:rFonts w:eastAsia="Times New Roman" w:asciiTheme="majorHAnsi" w:hAnsiTheme="majorHAnsi"/>
          <w:szCs w:val="18"/>
        </w:rPr>
        <w:t xml:space="preserve">Bruteringen houden verband met de koppeling van diverse uitkeringen aan het nettominimumloon. Een brutering komt voor als de bruto uitkering meer verandert dan de netto uitkering, bijvoorbeeld door wijzigingen in de fiscaliteit. Hierdoor kunnen de uitgaven van SZW stijgen of dalen terwijl de belastinginkomsten één-op-één meebewegen. Een brutering heeft geen effect op het saldo van de overheid. Om deze reden wordt het uitgavenplafond Sociale Zekerheid gecorrigeerd voor bruteringen. Dit is daarmee een technische mutatie waar het uitgavenplafond Sociale Zekerheid voor gecorrigeerd wordt. </w:t>
      </w:r>
    </w:p>
    <w:p w:rsidRPr="00632AE9" w:rsidR="00632AE9" w:rsidP="00632AE9" w:rsidRDefault="00632AE9">
      <w:pPr>
        <w:spacing w:after="0"/>
        <w:rPr>
          <w:rFonts w:eastAsia="Times New Roman" w:asciiTheme="majorHAnsi" w:hAnsiTheme="majorHAnsi"/>
          <w:i/>
          <w:szCs w:val="18"/>
        </w:rPr>
      </w:pP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Nominale ontwikkeling</w:t>
      </w:r>
    </w:p>
    <w:p w:rsidRPr="00632AE9" w:rsidR="00632AE9" w:rsidP="00632AE9" w:rsidRDefault="00632AE9">
      <w:pPr>
        <w:spacing w:after="0"/>
        <w:rPr>
          <w:rFonts w:eastAsia="Times New Roman" w:asciiTheme="majorHAnsi" w:hAnsiTheme="majorHAnsi"/>
          <w:szCs w:val="18"/>
        </w:rPr>
      </w:pPr>
      <w:r w:rsidRPr="00632AE9">
        <w:rPr>
          <w:rFonts w:eastAsia="Times New Roman" w:asciiTheme="majorHAnsi" w:hAnsiTheme="majorHAnsi"/>
          <w:szCs w:val="18"/>
        </w:rPr>
        <w:t xml:space="preserve">Deze mutatie betreft een aanpassing in de geraamde nominale ontwikkeling onder het uitgavenplafond Sociale Zekerheid als gevolg van CEP 2019-ramingen van loon- en prijsontwikkeling en als gevolg van mutaties in uitgavenramingen binnen de sociale zekerheid. </w:t>
      </w:r>
    </w:p>
    <w:p w:rsidRPr="00632AE9" w:rsidR="00632AE9" w:rsidP="00632AE9" w:rsidRDefault="00632AE9">
      <w:pPr>
        <w:spacing w:after="0"/>
        <w:rPr>
          <w:rFonts w:eastAsia="Times New Roman" w:asciiTheme="majorHAnsi" w:hAnsiTheme="majorHAnsi"/>
          <w:i/>
          <w:szCs w:val="18"/>
        </w:rPr>
      </w:pP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WW (Werkloosheidswet)</w:t>
      </w:r>
    </w:p>
    <w:p w:rsidRPr="00632AE9" w:rsidR="00632AE9" w:rsidP="00632AE9" w:rsidRDefault="00632AE9">
      <w:pPr>
        <w:autoSpaceDE w:val="0"/>
        <w:autoSpaceDN w:val="0"/>
        <w:spacing w:after="0"/>
        <w:rPr>
          <w:rFonts w:asciiTheme="majorHAnsi" w:hAnsiTheme="majorHAnsi"/>
          <w:szCs w:val="18"/>
        </w:rPr>
      </w:pPr>
      <w:r w:rsidRPr="00632AE9">
        <w:rPr>
          <w:rFonts w:asciiTheme="majorHAnsi" w:hAnsiTheme="majorHAnsi"/>
          <w:szCs w:val="18"/>
        </w:rPr>
        <w:t>De uitkeringslasten van de Werkloosheidswet (WW) zijn opwaarts bijgesteld aan de hand van de hogere werkloosheidsramingen van het CPB en de verwerking van realisatiegegevens over 2018. In de begrotingsregels is afgesproken dat het SZ-plafond hiervoor wordt aangepast.</w:t>
      </w:r>
    </w:p>
    <w:p w:rsidRPr="00632AE9" w:rsidR="00632AE9" w:rsidP="00632AE9" w:rsidRDefault="00632AE9">
      <w:pPr>
        <w:spacing w:after="0"/>
        <w:rPr>
          <w:rFonts w:eastAsia="Times New Roman" w:asciiTheme="majorHAnsi" w:hAnsiTheme="majorHAnsi"/>
          <w:i/>
          <w:szCs w:val="18"/>
        </w:rPr>
      </w:pP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Diversen</w:t>
      </w:r>
    </w:p>
    <w:p w:rsidRPr="00632AE9" w:rsidR="00632AE9" w:rsidP="00632AE9" w:rsidRDefault="00632AE9">
      <w:pPr>
        <w:spacing w:after="0"/>
        <w:rPr>
          <w:rFonts w:eastAsia="Times New Roman" w:asciiTheme="majorHAnsi" w:hAnsiTheme="majorHAnsi"/>
          <w:szCs w:val="18"/>
        </w:rPr>
      </w:pPr>
      <w:r w:rsidRPr="00632AE9">
        <w:rPr>
          <w:rFonts w:asciiTheme="majorHAnsi" w:hAnsiTheme="majorHAnsi"/>
          <w:szCs w:val="18"/>
        </w:rPr>
        <w:t>Hieronder vallen diverse mutaties. Een daar</w:t>
      </w:r>
      <w:r w:rsidR="002B1507">
        <w:rPr>
          <w:rFonts w:asciiTheme="majorHAnsi" w:hAnsiTheme="majorHAnsi"/>
          <w:szCs w:val="18"/>
        </w:rPr>
        <w:t>van is gekoppeld aan de in het R</w:t>
      </w:r>
      <w:r w:rsidRPr="00632AE9">
        <w:rPr>
          <w:rFonts w:asciiTheme="majorHAnsi" w:hAnsiTheme="majorHAnsi"/>
          <w:szCs w:val="18"/>
        </w:rPr>
        <w:t>egeerakkoord opgenomen afspraken over de WIA en loondoorbetaling bij ziekte. In plaats daarvan is in december 2018 een alternatief pakket afgesproken. Dat is nu verwerkt. Zie voor de uitgebreide tabel met de verwerking van deze cijfers de laatste bladzijde van deze VT.</w:t>
      </w:r>
    </w:p>
    <w:p w:rsidRPr="00632AE9" w:rsidR="00632AE9" w:rsidP="00632AE9" w:rsidRDefault="00632AE9">
      <w:pPr>
        <w:spacing w:after="0"/>
        <w:rPr>
          <w:rFonts w:eastAsia="Times New Roman" w:asciiTheme="majorHAnsi" w:hAnsiTheme="majorHAnsi"/>
          <w:i/>
          <w:szCs w:val="18"/>
        </w:rPr>
      </w:pPr>
    </w:p>
    <w:p w:rsidRPr="00632AE9" w:rsidR="00632AE9" w:rsidP="00632AE9" w:rsidRDefault="00632AE9">
      <w:pPr>
        <w:spacing w:after="0"/>
        <w:rPr>
          <w:rFonts w:eastAsia="Times New Roman" w:asciiTheme="majorHAnsi" w:hAnsiTheme="majorHAnsi"/>
          <w:b/>
          <w:szCs w:val="18"/>
        </w:rPr>
      </w:pPr>
      <w:r w:rsidRPr="00632AE9">
        <w:rPr>
          <w:rFonts w:eastAsia="Times New Roman" w:asciiTheme="majorHAnsi" w:hAnsiTheme="majorHAnsi"/>
          <w:b/>
          <w:szCs w:val="18"/>
        </w:rPr>
        <w:t>Ontvangsten</w:t>
      </w:r>
    </w:p>
    <w:p w:rsidRPr="00632AE9" w:rsidR="00632AE9" w:rsidP="00632AE9" w:rsidRDefault="00632AE9">
      <w:pPr>
        <w:spacing w:after="0"/>
        <w:rPr>
          <w:rFonts w:eastAsia="Times New Roman" w:asciiTheme="majorHAnsi" w:hAnsiTheme="majorHAnsi"/>
          <w:b/>
          <w:szCs w:val="18"/>
          <w:u w:val="single"/>
        </w:rPr>
      </w:pPr>
    </w:p>
    <w:p w:rsidRPr="00632AE9" w:rsidR="00632AE9" w:rsidP="00632AE9" w:rsidRDefault="00632AE9">
      <w:pPr>
        <w:spacing w:after="0"/>
        <w:rPr>
          <w:rFonts w:eastAsia="Times New Roman" w:asciiTheme="majorHAnsi" w:hAnsiTheme="majorHAnsi"/>
          <w:szCs w:val="18"/>
          <w:u w:val="single"/>
        </w:rPr>
      </w:pPr>
      <w:r w:rsidRPr="00632AE9">
        <w:rPr>
          <w:rFonts w:eastAsia="Times New Roman" w:asciiTheme="majorHAnsi" w:hAnsiTheme="majorHAnsi"/>
          <w:szCs w:val="18"/>
          <w:u w:val="single"/>
        </w:rPr>
        <w:t>Technische mutaties</w:t>
      </w:r>
    </w:p>
    <w:p w:rsidRPr="00632AE9" w:rsidR="00632AE9" w:rsidP="00632AE9" w:rsidRDefault="00632AE9">
      <w:pPr>
        <w:spacing w:after="0"/>
        <w:rPr>
          <w:rFonts w:eastAsia="Times New Roman" w:asciiTheme="majorHAnsi" w:hAnsiTheme="majorHAnsi"/>
          <w:i/>
          <w:szCs w:val="18"/>
        </w:rPr>
      </w:pPr>
      <w:r w:rsidRPr="00632AE9">
        <w:rPr>
          <w:rFonts w:eastAsia="Times New Roman" w:asciiTheme="majorHAnsi" w:hAnsiTheme="majorHAnsi"/>
          <w:i/>
          <w:szCs w:val="18"/>
        </w:rPr>
        <w:t>Diversen</w:t>
      </w:r>
    </w:p>
    <w:p w:rsidRPr="00632AE9" w:rsidR="00632AE9" w:rsidP="00632AE9" w:rsidRDefault="00632AE9">
      <w:pPr>
        <w:spacing w:after="0"/>
        <w:rPr>
          <w:rFonts w:eastAsia="Times New Roman" w:asciiTheme="majorHAnsi" w:hAnsiTheme="majorHAnsi"/>
          <w:szCs w:val="18"/>
        </w:rPr>
      </w:pPr>
      <w:r w:rsidRPr="00632AE9">
        <w:rPr>
          <w:rFonts w:eastAsia="Times New Roman" w:asciiTheme="majorHAnsi" w:hAnsiTheme="majorHAnsi"/>
          <w:szCs w:val="18"/>
        </w:rPr>
        <w:t>Dit betreft een technische correctie van de ontvangsten op het Uitvoeringsfonds voor de overheid (UFO-ontvangsten). Hieronder vallen aanpassingen vanwege nominale ontwikkelingen op de ontvangsten.</w:t>
      </w:r>
    </w:p>
    <w:p w:rsidRPr="00632AE9" w:rsidR="00632AE9" w:rsidP="00632AE9" w:rsidRDefault="00632AE9">
      <w:pPr>
        <w:spacing w:after="0"/>
        <w:rPr>
          <w:rFonts w:eastAsia="Times New Roman" w:asciiTheme="majorHAnsi" w:hAnsiTheme="majorHAnsi"/>
          <w:szCs w:val="18"/>
        </w:rPr>
      </w:pPr>
    </w:p>
    <w:p w:rsidR="00632AE9" w:rsidP="00632AE9" w:rsidRDefault="00632AE9">
      <w:pPr>
        <w:spacing w:after="0"/>
        <w:rPr>
          <w:rFonts w:asciiTheme="majorHAnsi" w:hAnsiTheme="majorHAnsi"/>
          <w:i/>
          <w:szCs w:val="18"/>
        </w:rPr>
      </w:pPr>
      <w:r w:rsidRPr="00632AE9">
        <w:rPr>
          <w:rFonts w:asciiTheme="majorHAnsi" w:hAnsiTheme="majorHAnsi"/>
          <w:i/>
          <w:szCs w:val="18"/>
        </w:rPr>
        <w:t>Loondoorbetaling bij ziekte</w:t>
      </w:r>
    </w:p>
    <w:p w:rsidRPr="00632AE9" w:rsidR="00632AE9" w:rsidP="00632AE9" w:rsidRDefault="00632AE9">
      <w:pPr>
        <w:spacing w:after="0"/>
        <w:rPr>
          <w:rFonts w:asciiTheme="majorHAnsi" w:hAnsiTheme="majorHAnsi"/>
          <w:i/>
          <w:szCs w:val="18"/>
        </w:rPr>
      </w:pPr>
    </w:p>
    <w:tbl>
      <w:tblPr>
        <w:tblW w:w="9074" w:type="dxa"/>
        <w:jc w:val="center"/>
        <w:tblCellMar>
          <w:left w:w="0" w:type="dxa"/>
          <w:right w:w="0" w:type="dxa"/>
        </w:tblCellMar>
        <w:tblLook w:val="04A0" w:firstRow="1" w:lastRow="0" w:firstColumn="1" w:lastColumn="0" w:noHBand="0" w:noVBand="1"/>
      </w:tblPr>
      <w:tblGrid>
        <w:gridCol w:w="5896"/>
        <w:gridCol w:w="458"/>
        <w:gridCol w:w="680"/>
        <w:gridCol w:w="680"/>
        <w:gridCol w:w="680"/>
        <w:gridCol w:w="680"/>
      </w:tblGrid>
      <w:tr w:rsidRPr="00632AE9" w:rsidR="00632AE9" w:rsidTr="00A92162">
        <w:trPr>
          <w:trHeight w:val="210"/>
          <w:jc w:val="center"/>
        </w:trPr>
        <w:tc>
          <w:tcPr>
            <w:tcW w:w="9074" w:type="dxa"/>
            <w:gridSpan w:val="6"/>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632AE9" w:rsidR="00632AE9" w:rsidP="00632AE9" w:rsidRDefault="00632AE9">
            <w:pPr>
              <w:spacing w:after="0"/>
              <w:rPr>
                <w:rFonts w:asciiTheme="majorHAnsi" w:hAnsiTheme="majorHAnsi"/>
                <w:bCs/>
                <w:szCs w:val="18"/>
              </w:rPr>
            </w:pPr>
            <w:r w:rsidRPr="00632AE9">
              <w:rPr>
                <w:rFonts w:asciiTheme="majorHAnsi" w:hAnsiTheme="majorHAnsi"/>
                <w:szCs w:val="18"/>
              </w:rPr>
              <w:t>Tabel: budgettaire consequenties pakket Loondoorbetaling bij Ziekte op uitgaven Rijksbegroting</w:t>
            </w:r>
          </w:p>
        </w:tc>
      </w:tr>
      <w:tr w:rsidRPr="00632AE9" w:rsidR="00632AE9" w:rsidTr="00A92162">
        <w:trPr>
          <w:trHeight w:val="210"/>
          <w:jc w:val="center"/>
        </w:trPr>
        <w:tc>
          <w:tcPr>
            <w:tcW w:w="5896" w:type="dxa"/>
            <w:tcBorders>
              <w:top w:val="single" w:color="auto" w:sz="8" w:space="0"/>
              <w:bottom w:val="single" w:color="auto" w:sz="4" w:space="0"/>
            </w:tcBorders>
            <w:shd w:val="clear" w:color="auto" w:fill="auto"/>
            <w:noWrap/>
            <w:tcMar>
              <w:top w:w="0" w:type="dxa"/>
              <w:left w:w="70" w:type="dxa"/>
              <w:bottom w:w="0" w:type="dxa"/>
              <w:right w:w="70" w:type="dxa"/>
            </w:tcMar>
            <w:vAlign w:val="bottom"/>
          </w:tcPr>
          <w:p w:rsidRPr="00632AE9" w:rsidR="00632AE9" w:rsidP="00632AE9" w:rsidRDefault="00632AE9">
            <w:pPr>
              <w:spacing w:after="0"/>
              <w:rPr>
                <w:rFonts w:asciiTheme="majorHAnsi" w:hAnsiTheme="majorHAnsi"/>
                <w:szCs w:val="18"/>
              </w:rPr>
            </w:pPr>
            <w:r w:rsidRPr="00632AE9">
              <w:rPr>
                <w:rFonts w:asciiTheme="majorHAnsi" w:hAnsiTheme="majorHAnsi"/>
                <w:szCs w:val="18"/>
              </w:rPr>
              <w:t>(in miljoenen euro’s; - is onderschrijding)</w:t>
            </w:r>
          </w:p>
        </w:tc>
        <w:tc>
          <w:tcPr>
            <w:tcW w:w="458" w:type="dxa"/>
            <w:tcBorders>
              <w:top w:val="single" w:color="auto" w:sz="8" w:space="0"/>
              <w:bottom w:val="single" w:color="auto" w:sz="4" w:space="0"/>
            </w:tcBorders>
            <w:shd w:val="clear" w:color="auto" w:fill="auto"/>
          </w:tcPr>
          <w:p w:rsidRPr="00632AE9" w:rsidR="00632AE9" w:rsidP="00632AE9" w:rsidRDefault="00632AE9">
            <w:pPr>
              <w:spacing w:after="0"/>
              <w:rPr>
                <w:rFonts w:asciiTheme="majorHAnsi" w:hAnsiTheme="majorHAnsi"/>
                <w:bCs/>
                <w:szCs w:val="18"/>
              </w:rPr>
            </w:pPr>
            <w:r w:rsidRPr="00632AE9">
              <w:rPr>
                <w:rFonts w:asciiTheme="majorHAnsi" w:hAnsiTheme="majorHAnsi"/>
                <w:bCs/>
                <w:szCs w:val="18"/>
              </w:rPr>
              <w:t>2019</w:t>
            </w:r>
          </w:p>
        </w:tc>
        <w:tc>
          <w:tcPr>
            <w:tcW w:w="680" w:type="dxa"/>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632AE9" w:rsidR="00632AE9" w:rsidP="00632AE9" w:rsidRDefault="00632AE9">
            <w:pPr>
              <w:spacing w:after="0"/>
              <w:rPr>
                <w:rFonts w:asciiTheme="majorHAnsi" w:hAnsiTheme="majorHAnsi"/>
                <w:szCs w:val="18"/>
              </w:rPr>
            </w:pPr>
            <w:r w:rsidRPr="00632AE9">
              <w:rPr>
                <w:rFonts w:asciiTheme="majorHAnsi" w:hAnsiTheme="majorHAnsi"/>
                <w:bCs/>
                <w:szCs w:val="18"/>
              </w:rPr>
              <w:t>2020</w:t>
            </w:r>
          </w:p>
        </w:tc>
        <w:tc>
          <w:tcPr>
            <w:tcW w:w="680" w:type="dxa"/>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632AE9" w:rsidR="00632AE9" w:rsidP="00632AE9" w:rsidRDefault="00632AE9">
            <w:pPr>
              <w:spacing w:after="0"/>
              <w:rPr>
                <w:rFonts w:asciiTheme="majorHAnsi" w:hAnsiTheme="majorHAnsi"/>
                <w:szCs w:val="18"/>
              </w:rPr>
            </w:pPr>
            <w:r w:rsidRPr="00632AE9">
              <w:rPr>
                <w:rFonts w:asciiTheme="majorHAnsi" w:hAnsiTheme="majorHAnsi"/>
                <w:bCs/>
                <w:szCs w:val="18"/>
              </w:rPr>
              <w:t>2021</w:t>
            </w:r>
          </w:p>
        </w:tc>
        <w:tc>
          <w:tcPr>
            <w:tcW w:w="680" w:type="dxa"/>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632AE9" w:rsidR="00632AE9" w:rsidP="00632AE9" w:rsidRDefault="00632AE9">
            <w:pPr>
              <w:spacing w:after="0"/>
              <w:rPr>
                <w:rFonts w:asciiTheme="majorHAnsi" w:hAnsiTheme="majorHAnsi"/>
                <w:szCs w:val="18"/>
              </w:rPr>
            </w:pPr>
            <w:r w:rsidRPr="00632AE9">
              <w:rPr>
                <w:rFonts w:asciiTheme="majorHAnsi" w:hAnsiTheme="majorHAnsi"/>
                <w:bCs/>
                <w:szCs w:val="18"/>
              </w:rPr>
              <w:t>2022</w:t>
            </w:r>
          </w:p>
        </w:tc>
        <w:tc>
          <w:tcPr>
            <w:tcW w:w="680" w:type="dxa"/>
            <w:tcBorders>
              <w:top w:val="single" w:color="auto" w:sz="8" w:space="0"/>
              <w:bottom w:val="single" w:color="auto" w:sz="4" w:space="0"/>
            </w:tcBorders>
            <w:shd w:val="clear" w:color="auto" w:fill="auto"/>
            <w:noWrap/>
            <w:tcMar>
              <w:top w:w="0" w:type="dxa"/>
              <w:left w:w="70" w:type="dxa"/>
              <w:bottom w:w="0" w:type="dxa"/>
              <w:right w:w="70" w:type="dxa"/>
            </w:tcMar>
            <w:vAlign w:val="center"/>
          </w:tcPr>
          <w:p w:rsidRPr="00632AE9" w:rsidR="00632AE9" w:rsidP="00632AE9" w:rsidRDefault="00632AE9">
            <w:pPr>
              <w:spacing w:after="0"/>
              <w:rPr>
                <w:rFonts w:asciiTheme="majorHAnsi" w:hAnsiTheme="majorHAnsi"/>
                <w:szCs w:val="18"/>
              </w:rPr>
            </w:pPr>
            <w:r w:rsidRPr="00632AE9">
              <w:rPr>
                <w:rFonts w:asciiTheme="majorHAnsi" w:hAnsiTheme="majorHAnsi"/>
                <w:bCs/>
                <w:szCs w:val="18"/>
              </w:rPr>
              <w:t>2023</w:t>
            </w:r>
          </w:p>
        </w:tc>
      </w:tr>
      <w:tr w:rsidRPr="00632AE9" w:rsidR="00632AE9" w:rsidTr="00A92162">
        <w:trPr>
          <w:trHeight w:val="210"/>
          <w:jc w:val="center"/>
        </w:trPr>
        <w:tc>
          <w:tcPr>
            <w:tcW w:w="5896" w:type="dxa"/>
            <w:tcBorders>
              <w:top w:val="single" w:color="auto" w:sz="4" w:space="0"/>
            </w:tcBorders>
            <w:shd w:val="clear" w:color="auto" w:fill="auto"/>
            <w:noWrap/>
            <w:tcMar>
              <w:top w:w="0" w:type="dxa"/>
              <w:left w:w="70" w:type="dxa"/>
              <w:bottom w:w="0" w:type="dxa"/>
              <w:right w:w="70" w:type="dxa"/>
            </w:tcMar>
            <w:vAlign w:val="bottom"/>
            <w:hideMark/>
          </w:tcPr>
          <w:p w:rsidRPr="00632AE9" w:rsidR="00632AE9" w:rsidP="00632AE9" w:rsidRDefault="00632AE9">
            <w:pPr>
              <w:spacing w:after="0"/>
              <w:rPr>
                <w:rFonts w:asciiTheme="majorHAnsi" w:hAnsiTheme="majorHAnsi"/>
                <w:b/>
                <w:szCs w:val="18"/>
              </w:rPr>
            </w:pPr>
            <w:r w:rsidRPr="00632AE9">
              <w:rPr>
                <w:rFonts w:asciiTheme="majorHAnsi" w:hAnsiTheme="majorHAnsi"/>
                <w:b/>
                <w:szCs w:val="18"/>
              </w:rPr>
              <w:t>Vervallen van maatregelen Regeerakkoord</w:t>
            </w:r>
          </w:p>
        </w:tc>
        <w:tc>
          <w:tcPr>
            <w:tcW w:w="458" w:type="dxa"/>
            <w:tcBorders>
              <w:top w:val="single" w:color="auto" w:sz="4" w:space="0"/>
            </w:tcBorders>
            <w:shd w:val="clear" w:color="auto" w:fill="auto"/>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-10 </w:t>
            </w:r>
          </w:p>
        </w:tc>
        <w:tc>
          <w:tcPr>
            <w:tcW w:w="680" w:type="dxa"/>
            <w:tcBorders>
              <w:top w:val="single" w:color="auto" w:sz="4" w:space="0"/>
            </w:tcBorders>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-18 </w:t>
            </w:r>
          </w:p>
        </w:tc>
        <w:tc>
          <w:tcPr>
            <w:tcW w:w="680" w:type="dxa"/>
            <w:tcBorders>
              <w:top w:val="single" w:color="auto" w:sz="4" w:space="0"/>
            </w:tcBorders>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-225 </w:t>
            </w:r>
          </w:p>
        </w:tc>
        <w:tc>
          <w:tcPr>
            <w:tcW w:w="680" w:type="dxa"/>
            <w:tcBorders>
              <w:top w:val="single" w:color="auto" w:sz="4" w:space="0"/>
            </w:tcBorders>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-307 </w:t>
            </w:r>
          </w:p>
        </w:tc>
        <w:tc>
          <w:tcPr>
            <w:tcW w:w="680" w:type="dxa"/>
            <w:tcBorders>
              <w:top w:val="single" w:color="auto" w:sz="4" w:space="0"/>
            </w:tcBorders>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-305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vAlign w:val="bottom"/>
            <w:hideMark/>
          </w:tcPr>
          <w:p w:rsidRPr="00632AE9" w:rsidR="00632AE9" w:rsidP="00632AE9" w:rsidRDefault="00632AE9">
            <w:pPr>
              <w:spacing w:after="0"/>
              <w:rPr>
                <w:rFonts w:cs="Calibri" w:asciiTheme="majorHAnsi" w:hAnsiTheme="majorHAnsi"/>
                <w:color w:val="000000"/>
                <w:szCs w:val="18"/>
              </w:rPr>
            </w:pPr>
            <w:r w:rsidRPr="00632AE9">
              <w:rPr>
                <w:rFonts w:cs="Calibri" w:asciiTheme="majorHAnsi" w:hAnsiTheme="majorHAnsi"/>
                <w:color w:val="000000"/>
                <w:szCs w:val="18"/>
              </w:rPr>
              <w:t xml:space="preserve">I79) WGA 35-80 wordt WGA 35-99 </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-3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3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7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vAlign w:val="bottom"/>
            <w:hideMark/>
          </w:tcPr>
          <w:p w:rsidRPr="00632AE9" w:rsidR="00632AE9" w:rsidP="00632AE9" w:rsidRDefault="00632AE9">
            <w:pPr>
              <w:spacing w:after="0"/>
              <w:rPr>
                <w:rFonts w:cs="Calibri" w:asciiTheme="majorHAnsi" w:hAnsiTheme="majorHAnsi"/>
                <w:color w:val="000000"/>
                <w:szCs w:val="18"/>
              </w:rPr>
            </w:pPr>
            <w:r w:rsidRPr="00632AE9">
              <w:rPr>
                <w:rFonts w:cs="Calibri" w:asciiTheme="majorHAnsi" w:hAnsiTheme="majorHAnsi"/>
                <w:color w:val="000000"/>
                <w:szCs w:val="18"/>
              </w:rPr>
              <w:t xml:space="preserve">I83) Toerekening WGA-lasten werkgever inkorten naar 5 jaar </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-8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-18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-31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-41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vAlign w:val="bottom"/>
            <w:hideMark/>
          </w:tcPr>
          <w:p w:rsidRPr="00632AE9" w:rsidR="00632AE9" w:rsidP="00632AE9" w:rsidRDefault="00632AE9">
            <w:pPr>
              <w:spacing w:after="0"/>
              <w:rPr>
                <w:rFonts w:cs="Calibri" w:asciiTheme="majorHAnsi" w:hAnsiTheme="majorHAnsi"/>
                <w:color w:val="000000"/>
                <w:szCs w:val="18"/>
              </w:rPr>
            </w:pPr>
            <w:r w:rsidRPr="00632AE9">
              <w:rPr>
                <w:rFonts w:cs="Calibri" w:asciiTheme="majorHAnsi" w:hAnsiTheme="majorHAnsi"/>
                <w:color w:val="000000"/>
                <w:szCs w:val="18"/>
              </w:rPr>
              <w:t>I84) Loondoorbetaling bij ziekte jaar kleine werkgevers</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-5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-218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-299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-301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vAlign w:val="bottom"/>
            <w:hideMark/>
          </w:tcPr>
          <w:p w:rsidRPr="00632AE9" w:rsidR="00632AE9" w:rsidP="00632AE9" w:rsidRDefault="00632AE9">
            <w:pPr>
              <w:spacing w:after="0"/>
              <w:rPr>
                <w:rFonts w:cs="Calibri" w:asciiTheme="majorHAnsi" w:hAnsiTheme="majorHAnsi"/>
                <w:color w:val="000000"/>
                <w:szCs w:val="18"/>
              </w:rPr>
            </w:pPr>
            <w:r w:rsidRPr="00632AE9">
              <w:rPr>
                <w:rFonts w:cs="Calibri" w:asciiTheme="majorHAnsi" w:hAnsiTheme="majorHAnsi"/>
                <w:color w:val="000000"/>
                <w:szCs w:val="18"/>
              </w:rPr>
              <w:t xml:space="preserve">I85) Loonsanctie voor re-integratie vervalt </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-3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-10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-16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-22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vAlign w:val="bottom"/>
            <w:hideMark/>
          </w:tcPr>
          <w:p w:rsidRPr="00632AE9" w:rsidR="00632AE9" w:rsidP="00632AE9" w:rsidRDefault="00632AE9">
            <w:pPr>
              <w:spacing w:after="0"/>
              <w:rPr>
                <w:rFonts w:cs="Calibri" w:asciiTheme="majorHAnsi" w:hAnsiTheme="majorHAnsi"/>
                <w:color w:val="000000"/>
                <w:szCs w:val="18"/>
              </w:rPr>
            </w:pPr>
            <w:r w:rsidRPr="00632AE9">
              <w:rPr>
                <w:rFonts w:cs="Calibri" w:asciiTheme="majorHAnsi" w:hAnsiTheme="majorHAnsi"/>
                <w:color w:val="000000"/>
                <w:szCs w:val="18"/>
              </w:rPr>
              <w:t xml:space="preserve">I94) Aanscherping schattingsbesluit WIA van 3x3 naar 9 banen </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-7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36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53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vAlign w:val="bottom"/>
            <w:hideMark/>
          </w:tcPr>
          <w:p w:rsidRPr="00632AE9" w:rsidR="00632AE9" w:rsidP="00632AE9" w:rsidRDefault="00632AE9">
            <w:pPr>
              <w:spacing w:after="0"/>
              <w:rPr>
                <w:rFonts w:asciiTheme="majorHAnsi" w:hAnsiTheme="majorHAnsi"/>
                <w:szCs w:val="18"/>
              </w:rPr>
            </w:pPr>
            <w:r w:rsidRPr="00632AE9">
              <w:rPr>
                <w:rFonts w:asciiTheme="majorHAnsi" w:hAnsiTheme="majorHAnsi"/>
                <w:b/>
                <w:bCs/>
                <w:szCs w:val="18"/>
              </w:rPr>
              <w:t> </w:t>
            </w:r>
          </w:p>
        </w:tc>
        <w:tc>
          <w:tcPr>
            <w:tcW w:w="458" w:type="dxa"/>
            <w:shd w:val="clear" w:color="auto" w:fill="auto"/>
          </w:tcPr>
          <w:p w:rsidRPr="00632AE9" w:rsidR="00632AE9" w:rsidP="00622B7E" w:rsidRDefault="00632AE9">
            <w:pPr>
              <w:spacing w:after="0"/>
              <w:jc w:val="right"/>
              <w:rPr>
                <w:rFonts w:asciiTheme="majorHAnsi" w:hAnsiTheme="majorHAnsi"/>
                <w:b/>
                <w:szCs w:val="18"/>
              </w:rPr>
            </w:pP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vAlign w:val="bottom"/>
          </w:tcPr>
          <w:p w:rsidRPr="00632AE9" w:rsidR="00632AE9" w:rsidP="00632AE9" w:rsidRDefault="00632AE9">
            <w:pPr>
              <w:spacing w:after="0"/>
              <w:rPr>
                <w:rFonts w:asciiTheme="majorHAnsi" w:hAnsiTheme="majorHAnsi"/>
                <w:b/>
                <w:bCs/>
                <w:szCs w:val="18"/>
              </w:rPr>
            </w:pPr>
            <w:r w:rsidRPr="00632AE9">
              <w:rPr>
                <w:rFonts w:asciiTheme="majorHAnsi" w:hAnsiTheme="majorHAnsi"/>
                <w:b/>
                <w:bCs/>
                <w:szCs w:val="18"/>
              </w:rPr>
              <w:t>Nieuwe maatregelen Loondoorbetaling bij ziekte</w:t>
            </w:r>
          </w:p>
        </w:tc>
        <w:tc>
          <w:tcPr>
            <w:tcW w:w="458" w:type="dxa"/>
            <w:shd w:val="clear" w:color="auto" w:fill="auto"/>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11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21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27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38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39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tcPr>
          <w:p w:rsidRPr="00632AE9" w:rsidR="00632AE9" w:rsidP="00632AE9" w:rsidRDefault="00632AE9">
            <w:pPr>
              <w:spacing w:after="0"/>
              <w:rPr>
                <w:rFonts w:asciiTheme="majorHAnsi" w:hAnsiTheme="majorHAnsi"/>
                <w:szCs w:val="18"/>
              </w:rPr>
            </w:pPr>
            <w:r w:rsidRPr="00632AE9">
              <w:rPr>
                <w:rFonts w:asciiTheme="majorHAnsi" w:hAnsiTheme="majorHAnsi"/>
                <w:szCs w:val="18"/>
              </w:rPr>
              <w:t>Artsenreeks UWV</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4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7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7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10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10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tcPr>
          <w:p w:rsidRPr="00632AE9" w:rsidR="00632AE9" w:rsidP="00632AE9" w:rsidRDefault="00632AE9">
            <w:pPr>
              <w:spacing w:after="0"/>
              <w:rPr>
                <w:rFonts w:asciiTheme="majorHAnsi" w:hAnsiTheme="majorHAnsi"/>
                <w:szCs w:val="18"/>
              </w:rPr>
            </w:pPr>
            <w:r w:rsidRPr="00632AE9">
              <w:rPr>
                <w:rFonts w:asciiTheme="majorHAnsi" w:hAnsiTheme="majorHAnsi"/>
                <w:szCs w:val="18"/>
              </w:rPr>
              <w:t>Grip op het tweede spoor experimenten</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5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10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15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15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tcPr>
          <w:p w:rsidRPr="00632AE9" w:rsidR="00632AE9" w:rsidP="00632AE9" w:rsidRDefault="00632AE9">
            <w:pPr>
              <w:spacing w:after="0"/>
              <w:rPr>
                <w:rFonts w:asciiTheme="majorHAnsi" w:hAnsiTheme="majorHAnsi"/>
                <w:szCs w:val="18"/>
              </w:rPr>
            </w:pPr>
            <w:r w:rsidRPr="00632AE9">
              <w:rPr>
                <w:rFonts w:asciiTheme="majorHAnsi" w:hAnsiTheme="majorHAnsi"/>
                <w:szCs w:val="18"/>
              </w:rPr>
              <w:t>Kwaliteitsimpuls bedrijfsarts &amp; verzekeringsarts</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3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3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3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tcPr>
          <w:p w:rsidRPr="00632AE9" w:rsidR="00632AE9" w:rsidP="00632AE9" w:rsidRDefault="00632AE9">
            <w:pPr>
              <w:spacing w:after="0"/>
              <w:rPr>
                <w:rFonts w:asciiTheme="majorHAnsi" w:hAnsiTheme="majorHAnsi"/>
                <w:szCs w:val="18"/>
              </w:rPr>
            </w:pPr>
            <w:r w:rsidRPr="00632AE9">
              <w:rPr>
                <w:rFonts w:asciiTheme="majorHAnsi" w:hAnsiTheme="majorHAnsi"/>
                <w:szCs w:val="18"/>
              </w:rPr>
              <w:t>Landelijk uniforme werkwijze RIV-toets</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tcPr>
          <w:p w:rsidRPr="00632AE9" w:rsidR="00632AE9" w:rsidP="00632AE9" w:rsidRDefault="00632AE9">
            <w:pPr>
              <w:spacing w:after="0"/>
              <w:rPr>
                <w:rFonts w:asciiTheme="majorHAnsi" w:hAnsiTheme="majorHAnsi"/>
                <w:szCs w:val="18"/>
              </w:rPr>
            </w:pPr>
            <w:r w:rsidRPr="00632AE9">
              <w:rPr>
                <w:rFonts w:asciiTheme="majorHAnsi" w:hAnsiTheme="majorHAnsi"/>
                <w:szCs w:val="18"/>
              </w:rPr>
              <w:t>Medisch advies bedrijfsarts leidend bij RIV-toets</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4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8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12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tcPr>
          <w:p w:rsidRPr="00632AE9" w:rsidR="00632AE9" w:rsidP="00632AE9" w:rsidRDefault="00632AE9">
            <w:pPr>
              <w:spacing w:after="0"/>
              <w:rPr>
                <w:rFonts w:asciiTheme="majorHAnsi" w:hAnsiTheme="majorHAnsi"/>
                <w:szCs w:val="18"/>
              </w:rPr>
            </w:pPr>
            <w:r w:rsidRPr="00632AE9">
              <w:rPr>
                <w:rFonts w:asciiTheme="majorHAnsi" w:hAnsiTheme="majorHAnsi"/>
                <w:szCs w:val="18"/>
              </w:rPr>
              <w:t>MKB-verzuim-</w:t>
            </w:r>
            <w:proofErr w:type="spellStart"/>
            <w:r w:rsidRPr="00632AE9">
              <w:rPr>
                <w:rFonts w:asciiTheme="majorHAnsi" w:hAnsiTheme="majorHAnsi"/>
                <w:szCs w:val="18"/>
              </w:rPr>
              <w:t>ontzorg</w:t>
            </w:r>
            <w:proofErr w:type="spellEnd"/>
            <w:r w:rsidRPr="00632AE9">
              <w:rPr>
                <w:rFonts w:asciiTheme="majorHAnsi" w:hAnsiTheme="majorHAnsi"/>
                <w:szCs w:val="18"/>
              </w:rPr>
              <w:t>-verzekering</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tcPr>
          <w:p w:rsidRPr="00632AE9" w:rsidR="00632AE9" w:rsidP="00632AE9" w:rsidRDefault="00632AE9">
            <w:pPr>
              <w:spacing w:after="0"/>
              <w:rPr>
                <w:rFonts w:asciiTheme="majorHAnsi" w:hAnsiTheme="majorHAnsi"/>
                <w:szCs w:val="18"/>
              </w:rPr>
            </w:pPr>
            <w:r w:rsidRPr="00632AE9">
              <w:rPr>
                <w:rFonts w:asciiTheme="majorHAnsi" w:hAnsiTheme="majorHAnsi"/>
                <w:szCs w:val="18"/>
              </w:rPr>
              <w:t>Transparantiebudget loondoorbetaling</w:t>
            </w:r>
          </w:p>
        </w:tc>
        <w:tc>
          <w:tcPr>
            <w:tcW w:w="458" w:type="dxa"/>
            <w:shd w:val="clear" w:color="auto" w:fill="auto"/>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2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1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r w:rsidRPr="00632AE9">
              <w:rPr>
                <w:rFonts w:asciiTheme="majorHAnsi" w:hAnsiTheme="majorHAnsi"/>
                <w:szCs w:val="18"/>
              </w:rPr>
              <w:t xml:space="preserve"> -   </w:t>
            </w:r>
          </w:p>
        </w:tc>
      </w:tr>
      <w:tr w:rsidRPr="00632AE9" w:rsidR="00632AE9" w:rsidTr="00A92162">
        <w:trPr>
          <w:trHeight w:val="210"/>
          <w:jc w:val="center"/>
        </w:trPr>
        <w:tc>
          <w:tcPr>
            <w:tcW w:w="5896" w:type="dxa"/>
            <w:shd w:val="clear" w:color="auto" w:fill="auto"/>
            <w:noWrap/>
            <w:tcMar>
              <w:top w:w="0" w:type="dxa"/>
              <w:left w:w="70" w:type="dxa"/>
              <w:bottom w:w="0" w:type="dxa"/>
              <w:right w:w="70" w:type="dxa"/>
            </w:tcMar>
          </w:tcPr>
          <w:p w:rsidRPr="00632AE9" w:rsidR="00632AE9" w:rsidP="00632AE9" w:rsidRDefault="00632AE9">
            <w:pPr>
              <w:spacing w:after="0"/>
              <w:rPr>
                <w:rFonts w:asciiTheme="majorHAnsi" w:hAnsiTheme="majorHAnsi"/>
                <w:szCs w:val="18"/>
              </w:rPr>
            </w:pPr>
          </w:p>
        </w:tc>
        <w:tc>
          <w:tcPr>
            <w:tcW w:w="458" w:type="dxa"/>
            <w:shd w:val="clear" w:color="auto" w:fill="auto"/>
          </w:tcPr>
          <w:p w:rsidRPr="00632AE9" w:rsidR="00632AE9" w:rsidP="00622B7E" w:rsidRDefault="00632AE9">
            <w:pPr>
              <w:spacing w:after="0"/>
              <w:jc w:val="right"/>
              <w:rPr>
                <w:rFonts w:asciiTheme="majorHAnsi" w:hAnsiTheme="majorHAnsi"/>
                <w:szCs w:val="18"/>
              </w:rPr>
            </w:pP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p>
        </w:tc>
        <w:tc>
          <w:tcPr>
            <w:tcW w:w="680" w:type="dxa"/>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szCs w:val="18"/>
              </w:rPr>
            </w:pPr>
          </w:p>
        </w:tc>
      </w:tr>
      <w:tr w:rsidRPr="00632AE9" w:rsidR="00632AE9" w:rsidTr="00205986">
        <w:trPr>
          <w:trHeight w:val="210"/>
          <w:jc w:val="center"/>
        </w:trPr>
        <w:tc>
          <w:tcPr>
            <w:tcW w:w="5896" w:type="dxa"/>
            <w:tcBorders>
              <w:top w:val="nil"/>
              <w:left w:val="nil"/>
              <w:bottom w:val="nil"/>
              <w:right w:val="nil"/>
            </w:tcBorders>
            <w:shd w:val="clear" w:color="auto" w:fill="auto"/>
            <w:tcMar>
              <w:top w:w="0" w:type="dxa"/>
              <w:left w:w="70" w:type="dxa"/>
              <w:bottom w:w="0" w:type="dxa"/>
              <w:right w:w="70" w:type="dxa"/>
            </w:tcMar>
            <w:vAlign w:val="center"/>
          </w:tcPr>
          <w:p w:rsidRPr="00632AE9" w:rsidR="00632AE9" w:rsidP="00632AE9" w:rsidRDefault="00632AE9">
            <w:pPr>
              <w:spacing w:after="0"/>
              <w:rPr>
                <w:rFonts w:asciiTheme="majorHAnsi" w:hAnsiTheme="majorHAnsi"/>
                <w:b/>
                <w:szCs w:val="18"/>
              </w:rPr>
            </w:pPr>
            <w:r w:rsidRPr="00632AE9">
              <w:rPr>
                <w:rFonts w:asciiTheme="majorHAnsi" w:hAnsiTheme="majorHAnsi"/>
                <w:b/>
                <w:szCs w:val="18"/>
              </w:rPr>
              <w:t>Totaal</w:t>
            </w:r>
          </w:p>
        </w:tc>
        <w:tc>
          <w:tcPr>
            <w:tcW w:w="458" w:type="dxa"/>
            <w:tcBorders>
              <w:top w:val="nil"/>
              <w:left w:val="nil"/>
              <w:bottom w:val="nil"/>
              <w:right w:val="nil"/>
            </w:tcBorders>
            <w:shd w:val="clear" w:color="auto" w:fill="auto"/>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1 </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3 </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-198 </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-269 </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632AE9" w:rsidR="00632AE9" w:rsidP="00622B7E" w:rsidRDefault="00632AE9">
            <w:pPr>
              <w:spacing w:after="0"/>
              <w:jc w:val="right"/>
              <w:rPr>
                <w:rFonts w:asciiTheme="majorHAnsi" w:hAnsiTheme="majorHAnsi"/>
                <w:b/>
                <w:szCs w:val="18"/>
              </w:rPr>
            </w:pPr>
            <w:r w:rsidRPr="00632AE9">
              <w:rPr>
                <w:rFonts w:asciiTheme="majorHAnsi" w:hAnsiTheme="majorHAnsi"/>
                <w:b/>
                <w:szCs w:val="18"/>
              </w:rPr>
              <w:t xml:space="preserve"> -266 </w:t>
            </w:r>
          </w:p>
        </w:tc>
      </w:tr>
      <w:tr w:rsidRPr="00632AE9" w:rsidR="005572E9" w:rsidTr="00205986">
        <w:trPr>
          <w:trHeight w:val="210"/>
          <w:jc w:val="center"/>
        </w:trPr>
        <w:tc>
          <w:tcPr>
            <w:tcW w:w="5896" w:type="dxa"/>
            <w:tcBorders>
              <w:top w:val="nil"/>
              <w:left w:val="nil"/>
              <w:bottom w:val="nil"/>
              <w:right w:val="nil"/>
            </w:tcBorders>
            <w:shd w:val="clear" w:color="auto" w:fill="auto"/>
            <w:tcMar>
              <w:top w:w="0" w:type="dxa"/>
              <w:left w:w="70" w:type="dxa"/>
              <w:bottom w:w="0" w:type="dxa"/>
              <w:right w:w="70" w:type="dxa"/>
            </w:tcMar>
          </w:tcPr>
          <w:p w:rsidRPr="00632AE9" w:rsidR="005572E9" w:rsidP="005572E9" w:rsidRDefault="005572E9">
            <w:pPr>
              <w:spacing w:after="0"/>
              <w:rPr>
                <w:rFonts w:asciiTheme="majorHAnsi" w:hAnsiTheme="majorHAnsi"/>
                <w:b/>
                <w:szCs w:val="18"/>
              </w:rPr>
            </w:pPr>
            <w:r w:rsidRPr="00F76477">
              <w:lastRenderedPageBreak/>
              <w:t>Waarvan Hoofdstuk XV</w:t>
            </w:r>
          </w:p>
        </w:tc>
        <w:tc>
          <w:tcPr>
            <w:tcW w:w="458" w:type="dxa"/>
            <w:tcBorders>
              <w:top w:val="nil"/>
              <w:left w:val="nil"/>
              <w:bottom w:val="nil"/>
              <w:right w:val="nil"/>
            </w:tcBorders>
            <w:shd w:val="clear" w:color="auto" w:fill="auto"/>
          </w:tcPr>
          <w:p w:rsidRPr="00632AE9" w:rsidR="005572E9" w:rsidP="00622B7E" w:rsidRDefault="005572E9">
            <w:pPr>
              <w:spacing w:after="0"/>
              <w:jc w:val="right"/>
              <w:rPr>
                <w:rFonts w:asciiTheme="majorHAnsi" w:hAnsiTheme="majorHAnsi"/>
                <w:b/>
                <w:szCs w:val="18"/>
              </w:rPr>
            </w:pPr>
            <w:r w:rsidRPr="00F76477">
              <w:t>5</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632AE9" w:rsidR="005572E9" w:rsidP="00622B7E" w:rsidRDefault="005572E9">
            <w:pPr>
              <w:spacing w:after="0"/>
              <w:jc w:val="right"/>
              <w:rPr>
                <w:rFonts w:asciiTheme="majorHAnsi" w:hAnsiTheme="majorHAnsi"/>
                <w:b/>
                <w:szCs w:val="18"/>
              </w:rPr>
            </w:pPr>
            <w:r w:rsidRPr="00F76477">
              <w:t>8</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632AE9" w:rsidR="005572E9" w:rsidP="00622B7E" w:rsidRDefault="005572E9">
            <w:pPr>
              <w:spacing w:after="0"/>
              <w:jc w:val="right"/>
              <w:rPr>
                <w:rFonts w:asciiTheme="majorHAnsi" w:hAnsiTheme="majorHAnsi"/>
                <w:b/>
                <w:szCs w:val="18"/>
              </w:rPr>
            </w:pPr>
            <w:r w:rsidRPr="00F76477">
              <w:t>-208</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632AE9" w:rsidR="005572E9" w:rsidP="00622B7E" w:rsidRDefault="005572E9">
            <w:pPr>
              <w:spacing w:after="0"/>
              <w:jc w:val="right"/>
              <w:rPr>
                <w:rFonts w:asciiTheme="majorHAnsi" w:hAnsiTheme="majorHAnsi"/>
                <w:b/>
                <w:szCs w:val="18"/>
              </w:rPr>
            </w:pPr>
            <w:r w:rsidRPr="00F76477">
              <w:t>-282</w:t>
            </w:r>
          </w:p>
        </w:tc>
        <w:tc>
          <w:tcPr>
            <w:tcW w:w="680" w:type="dxa"/>
            <w:tcBorders>
              <w:top w:val="nil"/>
              <w:left w:val="nil"/>
              <w:bottom w:val="nil"/>
              <w:right w:val="nil"/>
            </w:tcBorders>
            <w:shd w:val="clear" w:color="auto" w:fill="auto"/>
            <w:noWrap/>
            <w:tcMar>
              <w:top w:w="0" w:type="dxa"/>
              <w:left w:w="70" w:type="dxa"/>
              <w:bottom w:w="0" w:type="dxa"/>
              <w:right w:w="70" w:type="dxa"/>
            </w:tcMar>
          </w:tcPr>
          <w:p w:rsidRPr="00632AE9" w:rsidR="005572E9" w:rsidP="00622B7E" w:rsidRDefault="005572E9">
            <w:pPr>
              <w:spacing w:after="0"/>
              <w:jc w:val="right"/>
              <w:rPr>
                <w:rFonts w:asciiTheme="majorHAnsi" w:hAnsiTheme="majorHAnsi"/>
                <w:b/>
                <w:szCs w:val="18"/>
              </w:rPr>
            </w:pPr>
            <w:r w:rsidRPr="00F76477">
              <w:t>-291</w:t>
            </w:r>
          </w:p>
        </w:tc>
      </w:tr>
      <w:tr w:rsidRPr="00632AE9" w:rsidR="005572E9" w:rsidTr="00205986">
        <w:trPr>
          <w:trHeight w:val="210"/>
          <w:jc w:val="center"/>
        </w:trPr>
        <w:tc>
          <w:tcPr>
            <w:tcW w:w="5896" w:type="dxa"/>
            <w:tcBorders>
              <w:top w:val="nil"/>
              <w:left w:val="nil"/>
              <w:bottom w:val="single" w:color="auto" w:sz="8" w:space="0"/>
              <w:right w:val="nil"/>
            </w:tcBorders>
            <w:shd w:val="clear" w:color="auto" w:fill="auto"/>
            <w:tcMar>
              <w:top w:w="0" w:type="dxa"/>
              <w:left w:w="70" w:type="dxa"/>
              <w:bottom w:w="0" w:type="dxa"/>
              <w:right w:w="70" w:type="dxa"/>
            </w:tcMar>
          </w:tcPr>
          <w:p w:rsidRPr="00632AE9" w:rsidR="005572E9" w:rsidP="005572E9" w:rsidRDefault="005572E9">
            <w:pPr>
              <w:spacing w:after="0"/>
              <w:rPr>
                <w:rFonts w:asciiTheme="majorHAnsi" w:hAnsiTheme="majorHAnsi"/>
                <w:b/>
                <w:szCs w:val="18"/>
              </w:rPr>
            </w:pPr>
            <w:r w:rsidRPr="00F76477">
              <w:t>Waarvan Hoofdstuk 40</w:t>
            </w:r>
          </w:p>
        </w:tc>
        <w:tc>
          <w:tcPr>
            <w:tcW w:w="458" w:type="dxa"/>
            <w:tcBorders>
              <w:top w:val="nil"/>
              <w:left w:val="nil"/>
              <w:bottom w:val="single" w:color="auto" w:sz="8" w:space="0"/>
              <w:right w:val="nil"/>
            </w:tcBorders>
            <w:shd w:val="clear" w:color="auto" w:fill="auto"/>
          </w:tcPr>
          <w:p w:rsidRPr="00632AE9" w:rsidR="005572E9" w:rsidP="00622B7E" w:rsidRDefault="005572E9">
            <w:pPr>
              <w:spacing w:after="0"/>
              <w:jc w:val="right"/>
              <w:rPr>
                <w:rFonts w:asciiTheme="majorHAnsi" w:hAnsiTheme="majorHAnsi"/>
                <w:b/>
                <w:szCs w:val="18"/>
              </w:rPr>
            </w:pPr>
            <w:r w:rsidRPr="00F76477">
              <w:t>-4</w:t>
            </w:r>
          </w:p>
        </w:tc>
        <w:tc>
          <w:tcPr>
            <w:tcW w:w="680" w:type="dxa"/>
            <w:tcBorders>
              <w:top w:val="nil"/>
              <w:left w:val="nil"/>
              <w:bottom w:val="single" w:color="auto" w:sz="8" w:space="0"/>
              <w:right w:val="nil"/>
            </w:tcBorders>
            <w:shd w:val="clear" w:color="auto" w:fill="auto"/>
            <w:noWrap/>
            <w:tcMar>
              <w:top w:w="0" w:type="dxa"/>
              <w:left w:w="70" w:type="dxa"/>
              <w:bottom w:w="0" w:type="dxa"/>
              <w:right w:w="70" w:type="dxa"/>
            </w:tcMar>
          </w:tcPr>
          <w:p w:rsidRPr="00632AE9" w:rsidR="005572E9" w:rsidP="00622B7E" w:rsidRDefault="005572E9">
            <w:pPr>
              <w:spacing w:after="0"/>
              <w:jc w:val="right"/>
              <w:rPr>
                <w:rFonts w:asciiTheme="majorHAnsi" w:hAnsiTheme="majorHAnsi"/>
                <w:b/>
                <w:szCs w:val="18"/>
              </w:rPr>
            </w:pPr>
            <w:r w:rsidRPr="00F76477">
              <w:t>-5</w:t>
            </w:r>
          </w:p>
        </w:tc>
        <w:tc>
          <w:tcPr>
            <w:tcW w:w="680" w:type="dxa"/>
            <w:tcBorders>
              <w:top w:val="nil"/>
              <w:left w:val="nil"/>
              <w:bottom w:val="single" w:color="auto" w:sz="8" w:space="0"/>
              <w:right w:val="nil"/>
            </w:tcBorders>
            <w:shd w:val="clear" w:color="auto" w:fill="auto"/>
            <w:noWrap/>
            <w:tcMar>
              <w:top w:w="0" w:type="dxa"/>
              <w:left w:w="70" w:type="dxa"/>
              <w:bottom w:w="0" w:type="dxa"/>
              <w:right w:w="70" w:type="dxa"/>
            </w:tcMar>
          </w:tcPr>
          <w:p w:rsidRPr="00632AE9" w:rsidR="005572E9" w:rsidP="00622B7E" w:rsidRDefault="005572E9">
            <w:pPr>
              <w:spacing w:after="0"/>
              <w:jc w:val="right"/>
              <w:rPr>
                <w:rFonts w:asciiTheme="majorHAnsi" w:hAnsiTheme="majorHAnsi"/>
                <w:b/>
                <w:szCs w:val="18"/>
              </w:rPr>
            </w:pPr>
            <w:r w:rsidRPr="00F76477">
              <w:t>10</w:t>
            </w:r>
          </w:p>
        </w:tc>
        <w:tc>
          <w:tcPr>
            <w:tcW w:w="680" w:type="dxa"/>
            <w:tcBorders>
              <w:top w:val="nil"/>
              <w:left w:val="nil"/>
              <w:bottom w:val="single" w:color="auto" w:sz="8" w:space="0"/>
              <w:right w:val="nil"/>
            </w:tcBorders>
            <w:shd w:val="clear" w:color="auto" w:fill="auto"/>
            <w:noWrap/>
            <w:tcMar>
              <w:top w:w="0" w:type="dxa"/>
              <w:left w:w="70" w:type="dxa"/>
              <w:bottom w:w="0" w:type="dxa"/>
              <w:right w:w="70" w:type="dxa"/>
            </w:tcMar>
          </w:tcPr>
          <w:p w:rsidRPr="00632AE9" w:rsidR="005572E9" w:rsidP="00622B7E" w:rsidRDefault="005572E9">
            <w:pPr>
              <w:spacing w:after="0"/>
              <w:jc w:val="right"/>
              <w:rPr>
                <w:rFonts w:asciiTheme="majorHAnsi" w:hAnsiTheme="majorHAnsi"/>
                <w:b/>
                <w:szCs w:val="18"/>
              </w:rPr>
            </w:pPr>
            <w:r w:rsidRPr="00F76477">
              <w:t>14</w:t>
            </w:r>
          </w:p>
        </w:tc>
        <w:tc>
          <w:tcPr>
            <w:tcW w:w="680" w:type="dxa"/>
            <w:tcBorders>
              <w:top w:val="nil"/>
              <w:left w:val="nil"/>
              <w:bottom w:val="single" w:color="auto" w:sz="8" w:space="0"/>
              <w:right w:val="nil"/>
            </w:tcBorders>
            <w:shd w:val="clear" w:color="auto" w:fill="auto"/>
            <w:noWrap/>
            <w:tcMar>
              <w:top w:w="0" w:type="dxa"/>
              <w:left w:w="70" w:type="dxa"/>
              <w:bottom w:w="0" w:type="dxa"/>
              <w:right w:w="70" w:type="dxa"/>
            </w:tcMar>
          </w:tcPr>
          <w:p w:rsidRPr="00632AE9" w:rsidR="005572E9" w:rsidP="00622B7E" w:rsidRDefault="005572E9">
            <w:pPr>
              <w:spacing w:after="0"/>
              <w:jc w:val="right"/>
              <w:rPr>
                <w:rFonts w:asciiTheme="majorHAnsi" w:hAnsiTheme="majorHAnsi"/>
                <w:b/>
                <w:szCs w:val="18"/>
              </w:rPr>
            </w:pPr>
            <w:r w:rsidRPr="00F76477">
              <w:t>25</w:t>
            </w:r>
          </w:p>
        </w:tc>
      </w:tr>
    </w:tbl>
    <w:p w:rsidRPr="00632AE9" w:rsidR="00632AE9" w:rsidP="00632AE9" w:rsidRDefault="00632AE9">
      <w:pPr>
        <w:spacing w:after="0"/>
        <w:rPr>
          <w:rFonts w:asciiTheme="majorHAnsi" w:hAnsiTheme="majorHAnsi"/>
          <w:szCs w:val="18"/>
        </w:rPr>
      </w:pPr>
    </w:p>
    <w:p w:rsidRPr="00632AE9" w:rsidR="00632AE9" w:rsidP="00632AE9" w:rsidRDefault="00FB05A0">
      <w:pPr>
        <w:spacing w:after="0"/>
        <w:rPr>
          <w:rFonts w:asciiTheme="majorHAnsi" w:hAnsiTheme="majorHAnsi"/>
          <w:szCs w:val="18"/>
        </w:rPr>
      </w:pPr>
      <w:r>
        <w:rPr>
          <w:rFonts w:asciiTheme="majorHAnsi" w:hAnsiTheme="majorHAnsi"/>
          <w:szCs w:val="18"/>
        </w:rPr>
        <w:t>In het R</w:t>
      </w:r>
      <w:r w:rsidRPr="00632AE9" w:rsidR="00632AE9">
        <w:rPr>
          <w:rFonts w:asciiTheme="majorHAnsi" w:hAnsiTheme="majorHAnsi"/>
          <w:szCs w:val="18"/>
        </w:rPr>
        <w:t>egeerakkoord zijn afspraken opgenomen over loondoorbetaling bij ziekte en de WIA. Met deze maatregelen beoogde het kabinet de last te verminderen die werkgevers ervaren door de loondoorbetalingsverplichting en betere prikkels richting werk te introduceren in arbeidsongeschiktheidsregelingen. Sociale partners werden uitgenodigd om binnen de budgettaire kaders met werkbare alternatieven voor deze maatregelen te komen. In december 2018 is de Tweede Kamer middels twee brieven geïnformeerd over een nieuw pakket aan maatregelen (Kamerstukken II, 2018/19, 29544 nr. 873 en Kamerstukken II, 2018/19, 32716 nr. 37).</w:t>
      </w:r>
    </w:p>
    <w:p w:rsidR="00632AE9" w:rsidP="00632AE9" w:rsidRDefault="00632AE9">
      <w:pPr>
        <w:spacing w:after="0"/>
        <w:rPr>
          <w:rFonts w:asciiTheme="majorHAnsi" w:hAnsiTheme="majorHAnsi"/>
          <w:szCs w:val="18"/>
        </w:rPr>
      </w:pPr>
      <w:r w:rsidRPr="00632AE9">
        <w:rPr>
          <w:rFonts w:asciiTheme="majorHAnsi" w:hAnsiTheme="majorHAnsi"/>
          <w:szCs w:val="18"/>
        </w:rPr>
        <w:t>Het nieuwe pakket maatregelen rondom loondoorbetaling bij ziekte heeft het kabinet ert</w:t>
      </w:r>
      <w:r w:rsidR="002B1507">
        <w:rPr>
          <w:rFonts w:asciiTheme="majorHAnsi" w:hAnsiTheme="majorHAnsi"/>
          <w:szCs w:val="18"/>
        </w:rPr>
        <w:t>oe gebracht om de balans in de R</w:t>
      </w:r>
      <w:r w:rsidRPr="00632AE9">
        <w:rPr>
          <w:rFonts w:asciiTheme="majorHAnsi" w:hAnsiTheme="majorHAnsi"/>
          <w:szCs w:val="18"/>
        </w:rPr>
        <w:t>egeerakkoordmaatregelen opnieuw te bezien. Daarbij is ook meegenomen dat de verwachte instroom in de WIA lager is door de nieuwe afspraken op het gebied van loondoorbetaling bij ziekte.</w:t>
      </w:r>
    </w:p>
    <w:p w:rsidRPr="00632AE9" w:rsidR="00632AE9" w:rsidP="00632AE9" w:rsidRDefault="00632AE9">
      <w:pPr>
        <w:spacing w:after="0"/>
        <w:rPr>
          <w:rFonts w:asciiTheme="majorHAnsi" w:hAnsiTheme="majorHAnsi"/>
          <w:szCs w:val="18"/>
        </w:rPr>
      </w:pPr>
    </w:p>
    <w:p w:rsidRPr="00632AE9" w:rsidR="00632AE9" w:rsidP="00632AE9" w:rsidRDefault="00632AE9">
      <w:pPr>
        <w:spacing w:after="0"/>
        <w:rPr>
          <w:rFonts w:asciiTheme="majorHAnsi" w:hAnsiTheme="majorHAnsi"/>
          <w:szCs w:val="18"/>
        </w:rPr>
      </w:pPr>
      <w:r w:rsidRPr="00632AE9">
        <w:rPr>
          <w:rFonts w:asciiTheme="majorHAnsi" w:hAnsiTheme="majorHAnsi"/>
          <w:szCs w:val="18"/>
        </w:rPr>
        <w:t>De nieuwe maatregelen op het terrein van loondoorbetaling bij ziekte en WIA leiden tot bovenstaande verschuivingen in het budgettaire beeld. De premiekorting bij loondoorbetaling valt niet onder het uitgavenplafond Sociale Zekerheid en ontbreekt dus ook in bovenstaande tabel. In de tweede helft van 2019 wordt het bijbehorende wetsvoorstel aan de Tweede Kamer gestuurd.</w:t>
      </w:r>
    </w:p>
    <w:p w:rsidRPr="00632AE9" w:rsidR="00632AE9" w:rsidP="001D695D" w:rsidRDefault="00632AE9">
      <w:pPr>
        <w:spacing w:after="0"/>
        <w:rPr>
          <w:rFonts w:asciiTheme="majorHAnsi" w:hAnsiTheme="majorHAnsi"/>
          <w:szCs w:val="18"/>
        </w:rPr>
      </w:pP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C530A3" w:rsidR="00C530A3" w:rsidTr="00C530A3">
        <w:trPr>
          <w:trHeight w:val="225"/>
        </w:trPr>
        <w:tc>
          <w:tcPr>
            <w:tcW w:w="10860" w:type="dxa"/>
            <w:gridSpan w:val="7"/>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b/>
                <w:bCs/>
                <w:color w:val="000000"/>
                <w:szCs w:val="18"/>
                <w:lang w:eastAsia="nl-NL"/>
              </w:rPr>
            </w:pPr>
            <w:r w:rsidRPr="00C530A3">
              <w:rPr>
                <w:rFonts w:eastAsia="Times New Roman" w:cs="Times New Roman"/>
                <w:b/>
                <w:bCs/>
                <w:color w:val="000000"/>
                <w:szCs w:val="18"/>
                <w:lang w:eastAsia="nl-NL"/>
              </w:rPr>
              <w:lastRenderedPageBreak/>
              <w:t>Gemeentefonds</w:t>
            </w:r>
          </w:p>
        </w:tc>
      </w:tr>
      <w:tr w:rsidRPr="00C530A3" w:rsidR="00C530A3" w:rsidTr="00C530A3">
        <w:trPr>
          <w:trHeight w:val="240"/>
        </w:trPr>
        <w:tc>
          <w:tcPr>
            <w:tcW w:w="10860" w:type="dxa"/>
            <w:gridSpan w:val="7"/>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B GEMEENTEFONDS: UITGAVEN</w:t>
            </w:r>
          </w:p>
        </w:tc>
      </w:tr>
      <w:tr w:rsidRPr="00C530A3" w:rsidR="00C530A3" w:rsidTr="00C530A3">
        <w:trPr>
          <w:trHeight w:val="315"/>
        </w:trPr>
        <w:tc>
          <w:tcPr>
            <w:tcW w:w="43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30.148,0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30.042,2</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29.874,9</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29.700,0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29.522,8</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180" w:firstLineChars="100"/>
              <w:rPr>
                <w:rFonts w:eastAsia="Times New Roman" w:cs="Times New Roman"/>
                <w:color w:val="000000"/>
                <w:szCs w:val="18"/>
                <w:lang w:eastAsia="nl-NL"/>
              </w:rPr>
            </w:pPr>
            <w:r w:rsidRPr="00C530A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Jeugdhulp</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70,0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110,0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-190,0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45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Wijziging betalingsverloop alg.-</w:t>
            </w:r>
            <w:proofErr w:type="spellStart"/>
            <w:r w:rsidRPr="00C530A3">
              <w:rPr>
                <w:rFonts w:eastAsia="Times New Roman" w:cs="Times New Roman"/>
                <w:color w:val="000000"/>
                <w:szCs w:val="18"/>
                <w:lang w:eastAsia="nl-NL"/>
              </w:rPr>
              <w:t>uitk</w:t>
            </w:r>
            <w:proofErr w:type="spellEnd"/>
            <w:r w:rsidRPr="00C530A3">
              <w:rPr>
                <w:rFonts w:eastAsia="Times New Roman" w:cs="Times New Roman"/>
                <w:color w:val="000000"/>
                <w:szCs w:val="18"/>
                <w:lang w:eastAsia="nl-NL"/>
              </w:rPr>
              <w:t>. 2018</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33,2</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45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Wijziging betalingsverloop dec.-</w:t>
            </w:r>
            <w:proofErr w:type="spellStart"/>
            <w:r w:rsidRPr="00C530A3">
              <w:rPr>
                <w:rFonts w:eastAsia="Times New Roman" w:cs="Times New Roman"/>
                <w:color w:val="000000"/>
                <w:szCs w:val="18"/>
                <w:lang w:eastAsia="nl-NL"/>
              </w:rPr>
              <w:t>uitk</w:t>
            </w:r>
            <w:proofErr w:type="spellEnd"/>
            <w:r w:rsidRPr="00C530A3">
              <w:rPr>
                <w:rFonts w:eastAsia="Times New Roman" w:cs="Times New Roman"/>
                <w:color w:val="000000"/>
                <w:szCs w:val="18"/>
                <w:lang w:eastAsia="nl-NL"/>
              </w:rPr>
              <w:t>. 2018</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276,1</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1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2,7</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382,0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109,5</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9,5</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-190,5</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180" w:firstLineChars="100"/>
              <w:rPr>
                <w:rFonts w:eastAsia="Times New Roman" w:cs="Times New Roman"/>
                <w:color w:val="000000"/>
                <w:szCs w:val="18"/>
                <w:lang w:eastAsia="nl-NL"/>
              </w:rPr>
            </w:pPr>
            <w:r w:rsidRPr="00C530A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 xml:space="preserve">Afrekening accres 2018 </w:t>
            </w:r>
            <w:proofErr w:type="spellStart"/>
            <w:r w:rsidRPr="00C530A3">
              <w:rPr>
                <w:rFonts w:eastAsia="Times New Roman" w:cs="Times New Roman"/>
                <w:color w:val="000000"/>
                <w:szCs w:val="18"/>
                <w:lang w:eastAsia="nl-NL"/>
              </w:rPr>
              <w:t>incidentel</w:t>
            </w:r>
            <w:proofErr w:type="spellEnd"/>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-147,7</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Afrekening accres 2018 structureel</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-147,7</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-147,7</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-147,7</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-147,7</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-147,7</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 xml:space="preserve">Afrekening </w:t>
            </w:r>
            <w:proofErr w:type="spellStart"/>
            <w:r w:rsidRPr="00C530A3">
              <w:rPr>
                <w:rFonts w:eastAsia="Times New Roman" w:cs="Times New Roman"/>
                <w:color w:val="000000"/>
                <w:szCs w:val="18"/>
                <w:lang w:eastAsia="nl-NL"/>
              </w:rPr>
              <w:t>bcf</w:t>
            </w:r>
            <w:proofErr w:type="spellEnd"/>
            <w:r w:rsidRPr="00C530A3">
              <w:rPr>
                <w:rFonts w:eastAsia="Times New Roman" w:cs="Times New Roman"/>
                <w:color w:val="000000"/>
                <w:szCs w:val="18"/>
                <w:lang w:eastAsia="nl-NL"/>
              </w:rPr>
              <w:t xml:space="preserve"> 2018</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-66,9</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Buurtsportcoaches</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73,3</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Jeugdhulp</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350,0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190,0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290,0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190,0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Loon- en prijsbijstelling 2019</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272,2</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272,0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274,8</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274,5</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274,2</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Maatschappelijke begeleiding</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32,6</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Mutatie accres tranche 2019</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74,3</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74,3</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74,3</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74,3</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74,3</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 xml:space="preserve">Regio-enveloppe </w:t>
            </w:r>
            <w:proofErr w:type="spellStart"/>
            <w:r w:rsidRPr="00C530A3">
              <w:rPr>
                <w:rFonts w:eastAsia="Times New Roman" w:cs="Times New Roman"/>
                <w:color w:val="000000"/>
                <w:szCs w:val="18"/>
                <w:lang w:eastAsia="nl-NL"/>
              </w:rPr>
              <w:t>eindhoven</w:t>
            </w:r>
            <w:proofErr w:type="spellEnd"/>
            <w:r w:rsidRPr="00C530A3">
              <w:rPr>
                <w:rFonts w:eastAsia="Times New Roman" w:cs="Times New Roman"/>
                <w:color w:val="000000"/>
                <w:szCs w:val="18"/>
                <w:lang w:eastAsia="nl-NL"/>
              </w:rPr>
              <w:t xml:space="preserve"> 2019</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41,6</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47,6</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74,3</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53,8</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34,1</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36,0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180" w:firstLineChars="100"/>
              <w:rPr>
                <w:rFonts w:eastAsia="Times New Roman" w:cs="Times New Roman"/>
                <w:color w:val="000000"/>
                <w:szCs w:val="18"/>
                <w:lang w:eastAsia="nl-NL"/>
              </w:rPr>
            </w:pPr>
            <w:r w:rsidRPr="00C530A3">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Loon- en prijsbijstelling 2019</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45,9</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43,9</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43,0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42,0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41,1</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-2,6</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-8,2</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-14,6</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-17,8</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-21,9</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180" w:firstLineChars="100"/>
              <w:rPr>
                <w:rFonts w:eastAsia="Times New Roman" w:cs="Times New Roman"/>
                <w:color w:val="000000"/>
                <w:szCs w:val="18"/>
                <w:lang w:eastAsia="nl-NL"/>
              </w:rPr>
            </w:pPr>
            <w:r w:rsidRPr="00C530A3">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24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ind w:firstLine="360" w:firstLineChars="200"/>
              <w:rPr>
                <w:rFonts w:eastAsia="Times New Roman" w:cs="Times New Roman"/>
                <w:color w:val="000000"/>
                <w:szCs w:val="18"/>
                <w:lang w:eastAsia="nl-NL"/>
              </w:rPr>
            </w:pPr>
            <w:r w:rsidRPr="00C530A3">
              <w:rPr>
                <w:rFonts w:eastAsia="Times New Roman" w:cs="Times New Roman"/>
                <w:color w:val="000000"/>
                <w:szCs w:val="18"/>
                <w:lang w:eastAsia="nl-NL"/>
              </w:rPr>
              <w:t>Loon- en prijsbijstelling 2019</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57,0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57,0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56,9</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56,9</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57,0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629,6</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555,6</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630,5</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506,3</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313,0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1.011,7</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665,2</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640,2</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315,9</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313,0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1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31.159,7</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30.707,4</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30.515,0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30.016,0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29.835,8</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1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31.159,7</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30.707,4</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30.515,0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30.016,0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29.835,8</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240"/>
        </w:trPr>
        <w:tc>
          <w:tcPr>
            <w:tcW w:w="10860" w:type="dxa"/>
            <w:gridSpan w:val="7"/>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B GEMEENTEFONDS: NIET-BELASTINGONTVANGSTEN</w:t>
            </w:r>
          </w:p>
        </w:tc>
      </w:tr>
      <w:tr w:rsidRPr="00C530A3" w:rsidR="00C530A3" w:rsidTr="00C530A3">
        <w:trPr>
          <w:trHeight w:val="315"/>
        </w:trPr>
        <w:tc>
          <w:tcPr>
            <w:tcW w:w="43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225"/>
        </w:trPr>
        <w:tc>
          <w:tcPr>
            <w:tcW w:w="43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1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rPr>
                <w:rFonts w:ascii="Times New Roman" w:hAnsi="Times New Roman" w:eastAsia="Times New Roman" w:cs="Times New Roman"/>
                <w:sz w:val="20"/>
                <w:szCs w:val="20"/>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15"/>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r w:rsidRPr="00C530A3" w:rsidR="00C530A3" w:rsidTr="00C530A3">
        <w:trPr>
          <w:trHeight w:val="300"/>
        </w:trPr>
        <w:tc>
          <w:tcPr>
            <w:tcW w:w="4360" w:type="dxa"/>
            <w:tcBorders>
              <w:top w:val="nil"/>
              <w:left w:val="nil"/>
              <w:bottom w:val="nil"/>
              <w:right w:val="nil"/>
            </w:tcBorders>
            <w:shd w:val="clear" w:color="auto" w:fill="auto"/>
            <w:hideMark/>
          </w:tcPr>
          <w:p w:rsidRPr="00C530A3" w:rsidR="00C530A3" w:rsidP="00C530A3" w:rsidRDefault="00C530A3">
            <w:pPr>
              <w:spacing w:after="0" w:line="240" w:lineRule="auto"/>
              <w:rPr>
                <w:rFonts w:eastAsia="Times New Roman" w:cs="Times New Roman"/>
                <w:color w:val="000000"/>
                <w:szCs w:val="18"/>
                <w:lang w:eastAsia="nl-NL"/>
              </w:rPr>
            </w:pPr>
            <w:r w:rsidRPr="00C530A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C530A3" w:rsidR="00C530A3" w:rsidP="00C530A3" w:rsidRDefault="00C530A3">
            <w:pPr>
              <w:spacing w:after="0" w:line="240" w:lineRule="auto"/>
              <w:jc w:val="right"/>
              <w:rPr>
                <w:rFonts w:eastAsia="Times New Roman" w:cs="Times New Roman"/>
                <w:color w:val="000000"/>
                <w:szCs w:val="18"/>
                <w:lang w:eastAsia="nl-NL"/>
              </w:rPr>
            </w:pPr>
            <w:r w:rsidRPr="00C530A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C530A3" w:rsidR="00C530A3" w:rsidP="00C530A3" w:rsidRDefault="00C530A3">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C530A3" w:rsidP="001D695D" w:rsidRDefault="00C530A3">
      <w:pPr>
        <w:spacing w:after="0"/>
        <w:rPr>
          <w:rFonts w:asciiTheme="majorHAnsi" w:hAnsiTheme="majorHAnsi"/>
          <w:b/>
          <w:szCs w:val="18"/>
        </w:rPr>
      </w:pPr>
    </w:p>
    <w:p w:rsidRPr="00D273C5" w:rsidR="008D699A" w:rsidP="008D699A" w:rsidRDefault="008D699A">
      <w:pPr>
        <w:spacing w:after="0"/>
        <w:rPr>
          <w:i/>
          <w:szCs w:val="18"/>
        </w:rPr>
      </w:pPr>
      <w:r w:rsidRPr="00D273C5">
        <w:rPr>
          <w:i/>
          <w:szCs w:val="18"/>
        </w:rPr>
        <w:t>Wijziging betalingsverloop algemene uitkering 2018</w:t>
      </w:r>
    </w:p>
    <w:p w:rsidRPr="00D273C5" w:rsidR="008D699A" w:rsidP="008D699A" w:rsidRDefault="008D699A">
      <w:pPr>
        <w:spacing w:after="0"/>
        <w:rPr>
          <w:szCs w:val="18"/>
        </w:rPr>
      </w:pPr>
      <w:r w:rsidRPr="00D273C5">
        <w:rPr>
          <w:szCs w:val="18"/>
        </w:rPr>
        <w:t xml:space="preserve">Dit betreft de wijziging </w:t>
      </w:r>
      <w:r>
        <w:rPr>
          <w:szCs w:val="18"/>
        </w:rPr>
        <w:t xml:space="preserve">van het </w:t>
      </w:r>
      <w:r w:rsidRPr="00D273C5">
        <w:rPr>
          <w:szCs w:val="18"/>
        </w:rPr>
        <w:t xml:space="preserve">betalingsverloop voor de algemene uitkering 2018. Een beperkt deel van de algemene uitkering kon in 2018 niet meer tot betaling komen. Omdat gemeenten recht </w:t>
      </w:r>
      <w:r w:rsidRPr="00D273C5">
        <w:rPr>
          <w:szCs w:val="18"/>
        </w:rPr>
        <w:lastRenderedPageBreak/>
        <w:t>hebben op deze bedragen wordt het kasbudget 2019 met dit bedrag opgehoogd. Dat maakt het mogelijk om de uitkering in 2019 alsnog tot betaling te laten komen.</w:t>
      </w:r>
    </w:p>
    <w:p w:rsidR="00D25EF1" w:rsidP="008D699A" w:rsidRDefault="00D25EF1">
      <w:pPr>
        <w:spacing w:after="0"/>
        <w:rPr>
          <w:i/>
          <w:szCs w:val="18"/>
        </w:rPr>
      </w:pPr>
    </w:p>
    <w:p w:rsidRPr="00D273C5" w:rsidR="008D699A" w:rsidP="008D699A" w:rsidRDefault="008D699A">
      <w:pPr>
        <w:spacing w:after="0"/>
        <w:rPr>
          <w:i/>
          <w:szCs w:val="18"/>
        </w:rPr>
      </w:pPr>
      <w:r w:rsidRPr="00D273C5">
        <w:rPr>
          <w:i/>
          <w:szCs w:val="18"/>
        </w:rPr>
        <w:t>Wijziging betalingsverloop decentralisatie-uitkeringen 2018</w:t>
      </w:r>
    </w:p>
    <w:p w:rsidRPr="00D273C5" w:rsidR="008D699A" w:rsidP="008D699A" w:rsidRDefault="008D699A">
      <w:pPr>
        <w:spacing w:after="0"/>
        <w:rPr>
          <w:szCs w:val="18"/>
        </w:rPr>
      </w:pPr>
      <w:r w:rsidRPr="00D273C5">
        <w:rPr>
          <w:szCs w:val="18"/>
        </w:rPr>
        <w:t xml:space="preserve">Dit betreft de wijziging </w:t>
      </w:r>
      <w:r>
        <w:rPr>
          <w:szCs w:val="18"/>
        </w:rPr>
        <w:t xml:space="preserve">van het </w:t>
      </w:r>
      <w:r w:rsidRPr="00D273C5">
        <w:rPr>
          <w:szCs w:val="18"/>
        </w:rPr>
        <w:t>betalingsverloop voor de decentralisatie-uitkeringen 2018. De verdeling van enkele decentralisatie-uitkeringen werd pas laat in 2018 bekend, waardoor deze niet meer in dat jaar tot betaling zijn gekomen. Omdat gemeenten recht hebben op deze bedragen wordt het kasbudget 2019 met dit bedrag opgehoogd. Dat maakt het mogelijk om de uitkeringen in 2019 alsnog tot betaling te laten komen.</w:t>
      </w:r>
    </w:p>
    <w:p w:rsidRPr="00D273C5" w:rsidR="008D699A" w:rsidP="008D699A" w:rsidRDefault="008D699A">
      <w:pPr>
        <w:spacing w:after="0"/>
        <w:rPr>
          <w:szCs w:val="18"/>
        </w:rPr>
      </w:pPr>
    </w:p>
    <w:p w:rsidRPr="00D273C5" w:rsidR="008D699A" w:rsidP="008D699A" w:rsidRDefault="008D699A">
      <w:pPr>
        <w:spacing w:after="0"/>
        <w:rPr>
          <w:i/>
          <w:szCs w:val="18"/>
        </w:rPr>
      </w:pPr>
      <w:r w:rsidRPr="00D273C5">
        <w:rPr>
          <w:i/>
          <w:szCs w:val="18"/>
        </w:rPr>
        <w:t>Diversen</w:t>
      </w:r>
      <w:r>
        <w:rPr>
          <w:i/>
          <w:szCs w:val="18"/>
        </w:rPr>
        <w:t xml:space="preserve"> - b</w:t>
      </w:r>
      <w:r w:rsidRPr="00D273C5">
        <w:rPr>
          <w:i/>
          <w:szCs w:val="18"/>
        </w:rPr>
        <w:t>eleidsmatige mutaties</w:t>
      </w:r>
      <w:r>
        <w:rPr>
          <w:i/>
          <w:szCs w:val="18"/>
        </w:rPr>
        <w:t>, rijksbegroting</w:t>
      </w:r>
    </w:p>
    <w:p w:rsidRPr="00D273C5" w:rsidR="00A2160C" w:rsidP="00A2160C" w:rsidRDefault="00A2160C">
      <w:pPr>
        <w:spacing w:after="0"/>
        <w:rPr>
          <w:szCs w:val="18"/>
        </w:rPr>
      </w:pPr>
      <w:r>
        <w:rPr>
          <w:szCs w:val="18"/>
        </w:rPr>
        <w:t>Van h</w:t>
      </w:r>
      <w:r w:rsidRPr="00D273C5">
        <w:rPr>
          <w:szCs w:val="18"/>
        </w:rPr>
        <w:t xml:space="preserve">et </w:t>
      </w:r>
      <w:r>
        <w:rPr>
          <w:szCs w:val="18"/>
        </w:rPr>
        <w:t>onderzoeks</w:t>
      </w:r>
      <w:r w:rsidRPr="00D273C5">
        <w:rPr>
          <w:szCs w:val="18"/>
        </w:rPr>
        <w:t xml:space="preserve">budget 2018 wordt 1 mln. </w:t>
      </w:r>
      <w:r>
        <w:rPr>
          <w:szCs w:val="18"/>
        </w:rPr>
        <w:t xml:space="preserve">aan onderuitputting meegenomen naar </w:t>
      </w:r>
      <w:r w:rsidRPr="00D273C5">
        <w:rPr>
          <w:szCs w:val="18"/>
        </w:rPr>
        <w:t>2019. Verder vindt er een kasschuif plaats</w:t>
      </w:r>
      <w:r>
        <w:rPr>
          <w:szCs w:val="18"/>
        </w:rPr>
        <w:t xml:space="preserve"> op het onderzoeksbudget, waarmee toekomstige middelen naar 2019 worden gehaald</w:t>
      </w:r>
      <w:r w:rsidRPr="00D273C5">
        <w:rPr>
          <w:szCs w:val="18"/>
        </w:rPr>
        <w:t>.</w:t>
      </w:r>
    </w:p>
    <w:p w:rsidR="008D699A" w:rsidP="008D699A" w:rsidRDefault="008D699A">
      <w:pPr>
        <w:spacing w:after="0"/>
        <w:rPr>
          <w:szCs w:val="18"/>
        </w:rPr>
      </w:pPr>
    </w:p>
    <w:p w:rsidRPr="00DC1091" w:rsidR="003C44FF" w:rsidP="003C44FF" w:rsidRDefault="003C44FF">
      <w:pPr>
        <w:spacing w:after="0"/>
        <w:rPr>
          <w:i/>
          <w:szCs w:val="18"/>
        </w:rPr>
      </w:pPr>
      <w:r w:rsidRPr="00DC1091">
        <w:rPr>
          <w:i/>
          <w:szCs w:val="18"/>
        </w:rPr>
        <w:t>Afrekening accres 2018 (incidenteel en structureel)</w:t>
      </w:r>
    </w:p>
    <w:p w:rsidR="003C44FF" w:rsidP="003C44FF" w:rsidRDefault="003C44FF">
      <w:pPr>
        <w:spacing w:after="0"/>
        <w:rPr>
          <w:szCs w:val="18"/>
        </w:rPr>
      </w:pPr>
      <w:r w:rsidRPr="00F77BF2">
        <w:rPr>
          <w:szCs w:val="18"/>
        </w:rPr>
        <w:t xml:space="preserve">De omvang van het gemeentefonds ademt mee met de Rijksbegroting. Omdat het Rijk in 2018 meer heeft uitgegeven dan het jaar ervoor, ontvangen gemeenten accres. Het definitieve accres voor 2018 ligt 148 mln. lager ten opzichte van de raming ten tijde van de Miljoenennota 2019. Deze bijstelling van de accrestranche </w:t>
      </w:r>
      <w:r>
        <w:rPr>
          <w:szCs w:val="18"/>
        </w:rPr>
        <w:t xml:space="preserve">die betrekking heeft op 2019 en verder </w:t>
      </w:r>
      <w:r w:rsidRPr="00F77BF2">
        <w:rPr>
          <w:szCs w:val="18"/>
        </w:rPr>
        <w:t>wordt structureel verwerkt bij Voorjaarsnota. De verwerking van de accrestranche 2018 die betrekking heeft op het boekjaar 2018 wordt incidenteel verwerkt bij Voorjaarsnota.</w:t>
      </w:r>
    </w:p>
    <w:p w:rsidR="003C44FF" w:rsidP="003C44FF" w:rsidRDefault="003C44FF">
      <w:pPr>
        <w:spacing w:after="0"/>
        <w:rPr>
          <w:szCs w:val="18"/>
        </w:rPr>
      </w:pPr>
    </w:p>
    <w:p w:rsidRPr="00DC1091" w:rsidR="003C44FF" w:rsidP="003C44FF" w:rsidRDefault="003C44FF">
      <w:pPr>
        <w:spacing w:after="0"/>
        <w:rPr>
          <w:i/>
          <w:szCs w:val="18"/>
        </w:rPr>
      </w:pPr>
      <w:r w:rsidRPr="00DC1091">
        <w:rPr>
          <w:i/>
          <w:szCs w:val="18"/>
        </w:rPr>
        <w:t>Afrekening BCF 2018</w:t>
      </w:r>
    </w:p>
    <w:p w:rsidR="003C44FF" w:rsidP="003C44FF" w:rsidRDefault="003C44FF">
      <w:pPr>
        <w:spacing w:after="0"/>
        <w:rPr>
          <w:szCs w:val="18"/>
        </w:rPr>
      </w:pPr>
      <w:r w:rsidRPr="00F77BF2">
        <w:rPr>
          <w:szCs w:val="18"/>
        </w:rPr>
        <w:t>Gemeenten kunnen uitgaven aan btw terugvragen via het BTW-compensatiefonds (BCF). Wanneer er geld overblijft in het BCF, dan wordt dit aan het gemeentefonds toegevoegd. Bij Miljoenennota 2019 heeft hiervoor een voorlopige afrekening plaatsgevonden. Uiteindelijk bleek het overgebleven bedrag bij de realisatie kleiner te zijn dan verwacht, waardoor er nu een verrekening</w:t>
      </w:r>
      <w:r>
        <w:rPr>
          <w:szCs w:val="18"/>
        </w:rPr>
        <w:t xml:space="preserve"> over 2018</w:t>
      </w:r>
      <w:r w:rsidRPr="00F77BF2">
        <w:rPr>
          <w:szCs w:val="18"/>
        </w:rPr>
        <w:t xml:space="preserve"> plaatsvindt van 67 mln.</w:t>
      </w:r>
    </w:p>
    <w:p w:rsidR="003C44FF" w:rsidP="008D699A" w:rsidRDefault="003C44FF">
      <w:pPr>
        <w:spacing w:after="0"/>
        <w:rPr>
          <w:szCs w:val="18"/>
        </w:rPr>
      </w:pPr>
    </w:p>
    <w:p w:rsidRPr="00D273C5" w:rsidR="008D699A" w:rsidP="008D699A" w:rsidRDefault="008D699A">
      <w:pPr>
        <w:spacing w:after="0"/>
        <w:rPr>
          <w:i/>
          <w:szCs w:val="18"/>
        </w:rPr>
      </w:pPr>
      <w:r w:rsidRPr="00D273C5">
        <w:rPr>
          <w:i/>
          <w:szCs w:val="18"/>
        </w:rPr>
        <w:t>Buurtsportcoaches</w:t>
      </w:r>
    </w:p>
    <w:p w:rsidRPr="00D273C5" w:rsidR="008D699A" w:rsidP="008D699A" w:rsidRDefault="008D699A">
      <w:pPr>
        <w:spacing w:after="0"/>
        <w:rPr>
          <w:szCs w:val="18"/>
        </w:rPr>
      </w:pPr>
      <w:r w:rsidRPr="00D273C5">
        <w:rPr>
          <w:szCs w:val="18"/>
        </w:rPr>
        <w:t xml:space="preserve">Dit betreft de overboeking vanuit de ministeries van VWS (60,8 mln.) en OCW (12,5 mln.) voor de decentralisatie-uitkering buurtsportcoaches 2019. </w:t>
      </w:r>
      <w:r w:rsidRPr="00FB3AD3">
        <w:rPr>
          <w:szCs w:val="18"/>
        </w:rPr>
        <w:t xml:space="preserve">Aan deze decentralisatie-uitkering zijn voorwaarden verbonden die volgens de Algemene Rekenkamer niet zijn toegestaan. Omdat </w:t>
      </w:r>
      <w:r>
        <w:rPr>
          <w:szCs w:val="18"/>
        </w:rPr>
        <w:t>gemeenten</w:t>
      </w:r>
      <w:r w:rsidRPr="00FB3AD3">
        <w:rPr>
          <w:szCs w:val="18"/>
        </w:rPr>
        <w:t xml:space="preserve"> deze middelen verwacht</w:t>
      </w:r>
      <w:r>
        <w:rPr>
          <w:szCs w:val="18"/>
        </w:rPr>
        <w:t>en</w:t>
      </w:r>
      <w:r w:rsidRPr="00FB3AD3">
        <w:rPr>
          <w:szCs w:val="18"/>
        </w:rPr>
        <w:t>, is besloten om ze in 2019 wel als decentralisatie-uitkering met voorwaarden uit te keren. De implicaties voor de vormgeving van deze bijdrage in volgende jaren worden momenteel bezien.</w:t>
      </w:r>
    </w:p>
    <w:p w:rsidRPr="00D273C5" w:rsidR="008D699A" w:rsidP="008D699A" w:rsidRDefault="008D699A">
      <w:pPr>
        <w:spacing w:after="0"/>
        <w:rPr>
          <w:szCs w:val="18"/>
        </w:rPr>
      </w:pPr>
    </w:p>
    <w:p w:rsidRPr="00D273C5" w:rsidR="00C530A3" w:rsidP="00C530A3" w:rsidRDefault="00C530A3">
      <w:pPr>
        <w:spacing w:after="0"/>
        <w:rPr>
          <w:i/>
          <w:szCs w:val="18"/>
        </w:rPr>
      </w:pPr>
      <w:r w:rsidRPr="00D273C5">
        <w:rPr>
          <w:i/>
          <w:szCs w:val="18"/>
        </w:rPr>
        <w:t>Jeugdhulp</w:t>
      </w:r>
    </w:p>
    <w:p w:rsidR="00C530A3" w:rsidP="00C530A3" w:rsidRDefault="00C530A3">
      <w:pPr>
        <w:spacing w:after="0"/>
        <w:rPr>
          <w:szCs w:val="18"/>
        </w:rPr>
      </w:pPr>
      <w:r w:rsidRPr="00E157BA">
        <w:rPr>
          <w:szCs w:val="18"/>
        </w:rPr>
        <w:t>Gemeenten zijn nog niet in staat geweest om de transitie- en transformatiedoelen van de decentralisatie van de jeugdhulp binnen een termijn van vier jaar te realiseren. Daarvoor komt het kabinet de gemeenten de komende jaren tegemoet.</w:t>
      </w:r>
      <w:r>
        <w:rPr>
          <w:szCs w:val="18"/>
        </w:rPr>
        <w:t xml:space="preserve"> Het extra budget bedraagt 420 mln. in 2019, 300 mln. in 2020 en 300 mln. in 2021. Deze middelen bestaan uit twee reeksen die optellen tot deze reeks. </w:t>
      </w:r>
    </w:p>
    <w:p w:rsidR="00C530A3" w:rsidP="00C530A3" w:rsidRDefault="00C530A3">
      <w:pPr>
        <w:spacing w:after="0"/>
        <w:rPr>
          <w:szCs w:val="18"/>
        </w:rPr>
      </w:pPr>
    </w:p>
    <w:tbl>
      <w:tblPr>
        <w:tblStyle w:val="Tabelraster"/>
        <w:tblW w:w="9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4"/>
        <w:gridCol w:w="1028"/>
        <w:gridCol w:w="1029"/>
        <w:gridCol w:w="1029"/>
        <w:gridCol w:w="1029"/>
        <w:gridCol w:w="1029"/>
      </w:tblGrid>
      <w:tr w:rsidR="00C530A3" w:rsidTr="00C530A3">
        <w:tc>
          <w:tcPr>
            <w:tcW w:w="3964" w:type="dxa"/>
            <w:tcBorders>
              <w:top w:val="single" w:color="auto" w:sz="4" w:space="0"/>
              <w:bottom w:val="single" w:color="auto" w:sz="4" w:space="0"/>
            </w:tcBorders>
          </w:tcPr>
          <w:p w:rsidR="00C530A3" w:rsidP="00C530A3" w:rsidRDefault="00C530A3">
            <w:pPr>
              <w:rPr>
                <w:szCs w:val="18"/>
              </w:rPr>
            </w:pPr>
          </w:p>
        </w:tc>
        <w:tc>
          <w:tcPr>
            <w:tcW w:w="1028" w:type="dxa"/>
            <w:tcBorders>
              <w:top w:val="single" w:color="auto" w:sz="4" w:space="0"/>
              <w:bottom w:val="single" w:color="auto" w:sz="4" w:space="0"/>
            </w:tcBorders>
          </w:tcPr>
          <w:p w:rsidR="00C530A3" w:rsidP="00C530A3" w:rsidRDefault="00C530A3">
            <w:pPr>
              <w:rPr>
                <w:szCs w:val="18"/>
              </w:rPr>
            </w:pPr>
            <w:r>
              <w:rPr>
                <w:szCs w:val="18"/>
              </w:rPr>
              <w:t>2019</w:t>
            </w:r>
          </w:p>
        </w:tc>
        <w:tc>
          <w:tcPr>
            <w:tcW w:w="1029" w:type="dxa"/>
            <w:tcBorders>
              <w:top w:val="single" w:color="auto" w:sz="4" w:space="0"/>
              <w:bottom w:val="single" w:color="auto" w:sz="4" w:space="0"/>
            </w:tcBorders>
          </w:tcPr>
          <w:p w:rsidR="00C530A3" w:rsidP="00C530A3" w:rsidRDefault="00C530A3">
            <w:pPr>
              <w:rPr>
                <w:szCs w:val="18"/>
              </w:rPr>
            </w:pPr>
            <w:r>
              <w:rPr>
                <w:szCs w:val="18"/>
              </w:rPr>
              <w:t>2020</w:t>
            </w:r>
          </w:p>
        </w:tc>
        <w:tc>
          <w:tcPr>
            <w:tcW w:w="1029" w:type="dxa"/>
            <w:tcBorders>
              <w:top w:val="single" w:color="auto" w:sz="4" w:space="0"/>
              <w:bottom w:val="single" w:color="auto" w:sz="4" w:space="0"/>
            </w:tcBorders>
          </w:tcPr>
          <w:p w:rsidR="00C530A3" w:rsidP="00C530A3" w:rsidRDefault="00C530A3">
            <w:pPr>
              <w:rPr>
                <w:szCs w:val="18"/>
              </w:rPr>
            </w:pPr>
            <w:r>
              <w:rPr>
                <w:szCs w:val="18"/>
              </w:rPr>
              <w:t>2021</w:t>
            </w:r>
          </w:p>
        </w:tc>
        <w:tc>
          <w:tcPr>
            <w:tcW w:w="1029" w:type="dxa"/>
            <w:tcBorders>
              <w:top w:val="single" w:color="auto" w:sz="4" w:space="0"/>
              <w:bottom w:val="single" w:color="auto" w:sz="4" w:space="0"/>
            </w:tcBorders>
          </w:tcPr>
          <w:p w:rsidR="00C530A3" w:rsidP="00C530A3" w:rsidRDefault="00C530A3">
            <w:pPr>
              <w:rPr>
                <w:szCs w:val="18"/>
              </w:rPr>
            </w:pPr>
            <w:r>
              <w:rPr>
                <w:szCs w:val="18"/>
              </w:rPr>
              <w:t>2022</w:t>
            </w:r>
          </w:p>
        </w:tc>
        <w:tc>
          <w:tcPr>
            <w:tcW w:w="1029" w:type="dxa"/>
            <w:tcBorders>
              <w:top w:val="single" w:color="auto" w:sz="4" w:space="0"/>
              <w:bottom w:val="single" w:color="auto" w:sz="4" w:space="0"/>
            </w:tcBorders>
          </w:tcPr>
          <w:p w:rsidR="00C530A3" w:rsidP="00C530A3" w:rsidRDefault="00C530A3">
            <w:pPr>
              <w:rPr>
                <w:szCs w:val="18"/>
              </w:rPr>
            </w:pPr>
            <w:r>
              <w:rPr>
                <w:szCs w:val="18"/>
              </w:rPr>
              <w:t>2023</w:t>
            </w:r>
          </w:p>
        </w:tc>
      </w:tr>
      <w:tr w:rsidR="00C530A3" w:rsidTr="00C530A3">
        <w:tc>
          <w:tcPr>
            <w:tcW w:w="3964" w:type="dxa"/>
            <w:tcBorders>
              <w:top w:val="single" w:color="auto" w:sz="4" w:space="0"/>
            </w:tcBorders>
          </w:tcPr>
          <w:p w:rsidR="00C530A3" w:rsidP="00C530A3" w:rsidRDefault="00C530A3">
            <w:pPr>
              <w:rPr>
                <w:szCs w:val="18"/>
              </w:rPr>
            </w:pPr>
            <w:r>
              <w:rPr>
                <w:szCs w:val="18"/>
              </w:rPr>
              <w:t>Beleidsmatige mutaties, rijksbegroting</w:t>
            </w:r>
          </w:p>
        </w:tc>
        <w:tc>
          <w:tcPr>
            <w:tcW w:w="1028" w:type="dxa"/>
            <w:tcBorders>
              <w:top w:val="single" w:color="auto" w:sz="4" w:space="0"/>
            </w:tcBorders>
          </w:tcPr>
          <w:p w:rsidR="00C530A3" w:rsidP="00C530A3" w:rsidRDefault="00C530A3">
            <w:pPr>
              <w:rPr>
                <w:szCs w:val="18"/>
              </w:rPr>
            </w:pPr>
            <w:r>
              <w:rPr>
                <w:szCs w:val="18"/>
              </w:rPr>
              <w:t>70</w:t>
            </w:r>
          </w:p>
        </w:tc>
        <w:tc>
          <w:tcPr>
            <w:tcW w:w="1029" w:type="dxa"/>
            <w:tcBorders>
              <w:top w:val="single" w:color="auto" w:sz="4" w:space="0"/>
            </w:tcBorders>
          </w:tcPr>
          <w:p w:rsidR="00C530A3" w:rsidP="00C530A3" w:rsidRDefault="00C530A3">
            <w:pPr>
              <w:rPr>
                <w:szCs w:val="18"/>
              </w:rPr>
            </w:pPr>
            <w:r>
              <w:rPr>
                <w:szCs w:val="18"/>
              </w:rPr>
              <w:t>110</w:t>
            </w:r>
          </w:p>
        </w:tc>
        <w:tc>
          <w:tcPr>
            <w:tcW w:w="1029" w:type="dxa"/>
            <w:tcBorders>
              <w:top w:val="single" w:color="auto" w:sz="4" w:space="0"/>
            </w:tcBorders>
          </w:tcPr>
          <w:p w:rsidR="00C530A3" w:rsidP="00C530A3" w:rsidRDefault="00C530A3">
            <w:pPr>
              <w:rPr>
                <w:szCs w:val="18"/>
              </w:rPr>
            </w:pPr>
            <w:r>
              <w:rPr>
                <w:szCs w:val="18"/>
              </w:rPr>
              <w:t>10</w:t>
            </w:r>
          </w:p>
        </w:tc>
        <w:tc>
          <w:tcPr>
            <w:tcW w:w="1029" w:type="dxa"/>
            <w:tcBorders>
              <w:top w:val="single" w:color="auto" w:sz="4" w:space="0"/>
            </w:tcBorders>
          </w:tcPr>
          <w:p w:rsidR="00C530A3" w:rsidP="00C530A3" w:rsidRDefault="00C530A3">
            <w:pPr>
              <w:rPr>
                <w:szCs w:val="18"/>
              </w:rPr>
            </w:pPr>
            <w:r>
              <w:rPr>
                <w:szCs w:val="18"/>
              </w:rPr>
              <w:t>-190</w:t>
            </w:r>
          </w:p>
        </w:tc>
        <w:tc>
          <w:tcPr>
            <w:tcW w:w="1029" w:type="dxa"/>
            <w:tcBorders>
              <w:top w:val="single" w:color="auto" w:sz="4" w:space="0"/>
            </w:tcBorders>
          </w:tcPr>
          <w:p w:rsidR="00C530A3" w:rsidP="00C530A3" w:rsidRDefault="00C530A3">
            <w:pPr>
              <w:rPr>
                <w:szCs w:val="18"/>
              </w:rPr>
            </w:pPr>
          </w:p>
        </w:tc>
      </w:tr>
      <w:tr w:rsidR="00C530A3" w:rsidTr="00C530A3">
        <w:tc>
          <w:tcPr>
            <w:tcW w:w="3964" w:type="dxa"/>
          </w:tcPr>
          <w:p w:rsidR="00C530A3" w:rsidP="00C530A3" w:rsidRDefault="00C530A3">
            <w:pPr>
              <w:rPr>
                <w:szCs w:val="18"/>
              </w:rPr>
            </w:pPr>
            <w:r w:rsidRPr="00D25EF1">
              <w:rPr>
                <w:rFonts w:eastAsia="Times New Roman" w:cs="Times New Roman"/>
                <w:color w:val="000000"/>
                <w:szCs w:val="18"/>
                <w:lang w:eastAsia="nl-NL"/>
              </w:rPr>
              <w:t>Technische mutaties</w:t>
            </w:r>
            <w:r>
              <w:rPr>
                <w:rFonts w:eastAsia="Times New Roman" w:cs="Times New Roman"/>
                <w:color w:val="000000"/>
                <w:szCs w:val="18"/>
                <w:lang w:eastAsia="nl-NL"/>
              </w:rPr>
              <w:t>, rijksbegroting</w:t>
            </w:r>
          </w:p>
        </w:tc>
        <w:tc>
          <w:tcPr>
            <w:tcW w:w="1028" w:type="dxa"/>
            <w:tcBorders>
              <w:bottom w:val="single" w:color="auto" w:sz="4" w:space="0"/>
            </w:tcBorders>
          </w:tcPr>
          <w:p w:rsidR="00C530A3" w:rsidP="00C530A3" w:rsidRDefault="00C530A3">
            <w:pPr>
              <w:rPr>
                <w:szCs w:val="18"/>
              </w:rPr>
            </w:pPr>
            <w:r>
              <w:rPr>
                <w:szCs w:val="18"/>
              </w:rPr>
              <w:t>350</w:t>
            </w:r>
          </w:p>
        </w:tc>
        <w:tc>
          <w:tcPr>
            <w:tcW w:w="1029" w:type="dxa"/>
            <w:tcBorders>
              <w:bottom w:val="single" w:color="auto" w:sz="4" w:space="0"/>
            </w:tcBorders>
          </w:tcPr>
          <w:p w:rsidR="00C530A3" w:rsidP="00C530A3" w:rsidRDefault="00C530A3">
            <w:pPr>
              <w:rPr>
                <w:szCs w:val="18"/>
              </w:rPr>
            </w:pPr>
            <w:r>
              <w:rPr>
                <w:szCs w:val="18"/>
              </w:rPr>
              <w:t>190</w:t>
            </w:r>
          </w:p>
        </w:tc>
        <w:tc>
          <w:tcPr>
            <w:tcW w:w="1029" w:type="dxa"/>
            <w:tcBorders>
              <w:bottom w:val="single" w:color="auto" w:sz="4" w:space="0"/>
            </w:tcBorders>
          </w:tcPr>
          <w:p w:rsidR="00C530A3" w:rsidP="00C530A3" w:rsidRDefault="00C530A3">
            <w:pPr>
              <w:rPr>
                <w:szCs w:val="18"/>
              </w:rPr>
            </w:pPr>
            <w:r>
              <w:rPr>
                <w:szCs w:val="18"/>
              </w:rPr>
              <w:t>290</w:t>
            </w:r>
          </w:p>
        </w:tc>
        <w:tc>
          <w:tcPr>
            <w:tcW w:w="1029" w:type="dxa"/>
            <w:tcBorders>
              <w:bottom w:val="single" w:color="auto" w:sz="4" w:space="0"/>
            </w:tcBorders>
          </w:tcPr>
          <w:p w:rsidR="00C530A3" w:rsidP="00C530A3" w:rsidRDefault="00C530A3">
            <w:pPr>
              <w:rPr>
                <w:szCs w:val="18"/>
              </w:rPr>
            </w:pPr>
            <w:r>
              <w:rPr>
                <w:szCs w:val="18"/>
              </w:rPr>
              <w:t>190</w:t>
            </w:r>
          </w:p>
        </w:tc>
        <w:tc>
          <w:tcPr>
            <w:tcW w:w="1029" w:type="dxa"/>
            <w:tcBorders>
              <w:bottom w:val="single" w:color="auto" w:sz="4" w:space="0"/>
            </w:tcBorders>
          </w:tcPr>
          <w:p w:rsidR="00C530A3" w:rsidP="00C530A3" w:rsidRDefault="00C530A3">
            <w:pPr>
              <w:rPr>
                <w:szCs w:val="18"/>
              </w:rPr>
            </w:pPr>
          </w:p>
        </w:tc>
      </w:tr>
      <w:tr w:rsidR="00C530A3" w:rsidTr="00C530A3">
        <w:tc>
          <w:tcPr>
            <w:tcW w:w="3964" w:type="dxa"/>
          </w:tcPr>
          <w:p w:rsidR="00C530A3" w:rsidP="00C530A3" w:rsidRDefault="00C530A3">
            <w:pPr>
              <w:rPr>
                <w:szCs w:val="18"/>
              </w:rPr>
            </w:pPr>
            <w:r>
              <w:rPr>
                <w:szCs w:val="18"/>
              </w:rPr>
              <w:t>Totaal</w:t>
            </w:r>
          </w:p>
        </w:tc>
        <w:tc>
          <w:tcPr>
            <w:tcW w:w="1028" w:type="dxa"/>
            <w:tcBorders>
              <w:top w:val="single" w:color="auto" w:sz="4" w:space="0"/>
            </w:tcBorders>
          </w:tcPr>
          <w:p w:rsidR="00C530A3" w:rsidP="00C530A3" w:rsidRDefault="00C530A3">
            <w:pPr>
              <w:rPr>
                <w:szCs w:val="18"/>
              </w:rPr>
            </w:pPr>
            <w:r>
              <w:rPr>
                <w:szCs w:val="18"/>
              </w:rPr>
              <w:t>420</w:t>
            </w:r>
          </w:p>
        </w:tc>
        <w:tc>
          <w:tcPr>
            <w:tcW w:w="1029" w:type="dxa"/>
            <w:tcBorders>
              <w:top w:val="single" w:color="auto" w:sz="4" w:space="0"/>
            </w:tcBorders>
          </w:tcPr>
          <w:p w:rsidR="00C530A3" w:rsidP="00C530A3" w:rsidRDefault="00C530A3">
            <w:pPr>
              <w:rPr>
                <w:szCs w:val="18"/>
              </w:rPr>
            </w:pPr>
            <w:r>
              <w:rPr>
                <w:szCs w:val="18"/>
              </w:rPr>
              <w:t>300</w:t>
            </w:r>
          </w:p>
        </w:tc>
        <w:tc>
          <w:tcPr>
            <w:tcW w:w="1029" w:type="dxa"/>
            <w:tcBorders>
              <w:top w:val="single" w:color="auto" w:sz="4" w:space="0"/>
            </w:tcBorders>
          </w:tcPr>
          <w:p w:rsidR="00C530A3" w:rsidP="00C530A3" w:rsidRDefault="00C530A3">
            <w:pPr>
              <w:rPr>
                <w:szCs w:val="18"/>
              </w:rPr>
            </w:pPr>
            <w:r>
              <w:rPr>
                <w:szCs w:val="18"/>
              </w:rPr>
              <w:t>300</w:t>
            </w:r>
          </w:p>
        </w:tc>
        <w:tc>
          <w:tcPr>
            <w:tcW w:w="1029" w:type="dxa"/>
            <w:tcBorders>
              <w:top w:val="single" w:color="auto" w:sz="4" w:space="0"/>
            </w:tcBorders>
          </w:tcPr>
          <w:p w:rsidR="00C530A3" w:rsidP="00C530A3" w:rsidRDefault="00C530A3">
            <w:pPr>
              <w:rPr>
                <w:szCs w:val="18"/>
              </w:rPr>
            </w:pPr>
            <w:r>
              <w:rPr>
                <w:szCs w:val="18"/>
              </w:rPr>
              <w:t>0</w:t>
            </w:r>
          </w:p>
        </w:tc>
        <w:tc>
          <w:tcPr>
            <w:tcW w:w="1029" w:type="dxa"/>
            <w:tcBorders>
              <w:top w:val="single" w:color="auto" w:sz="4" w:space="0"/>
            </w:tcBorders>
          </w:tcPr>
          <w:p w:rsidR="00C530A3" w:rsidP="00C530A3" w:rsidRDefault="00C530A3">
            <w:pPr>
              <w:rPr>
                <w:szCs w:val="18"/>
              </w:rPr>
            </w:pPr>
          </w:p>
        </w:tc>
      </w:tr>
    </w:tbl>
    <w:p w:rsidRPr="00D273C5" w:rsidR="00C530A3" w:rsidP="00C530A3" w:rsidRDefault="00C530A3">
      <w:pPr>
        <w:spacing w:after="0"/>
        <w:rPr>
          <w:szCs w:val="18"/>
        </w:rPr>
      </w:pPr>
    </w:p>
    <w:p w:rsidRPr="00B22B99" w:rsidR="00C530A3" w:rsidP="00C530A3" w:rsidRDefault="00C530A3">
      <w:pPr>
        <w:spacing w:after="0"/>
        <w:rPr>
          <w:szCs w:val="18"/>
        </w:rPr>
      </w:pPr>
      <w:r w:rsidRPr="00B22B99">
        <w:rPr>
          <w:szCs w:val="18"/>
        </w:rPr>
        <w:t>V</w:t>
      </w:r>
      <w:r>
        <w:rPr>
          <w:szCs w:val="18"/>
        </w:rPr>
        <w:t xml:space="preserve">anuit deze middelen wordt in 2019 20 mln. beschikbaar gesteld aan de Jeugdautoriteit. </w:t>
      </w:r>
      <w:r>
        <w:t xml:space="preserve">In de bestuurlijke afspraken met de VNG is vastgelegd dat hiermee, </w:t>
      </w:r>
      <w:r>
        <w:rPr>
          <w:szCs w:val="18"/>
        </w:rPr>
        <w:t xml:space="preserve">tot en met 2021, </w:t>
      </w:r>
      <w:r w:rsidRPr="00B22B99">
        <w:rPr>
          <w:szCs w:val="18"/>
        </w:rPr>
        <w:t xml:space="preserve">een tijdelijk vangnet </w:t>
      </w:r>
      <w:r>
        <w:rPr>
          <w:szCs w:val="18"/>
        </w:rPr>
        <w:t xml:space="preserve">wordt </w:t>
      </w:r>
      <w:r w:rsidRPr="00B22B99">
        <w:rPr>
          <w:szCs w:val="18"/>
        </w:rPr>
        <w:t>gecreëerd</w:t>
      </w:r>
      <w:r>
        <w:rPr>
          <w:szCs w:val="18"/>
        </w:rPr>
        <w:t xml:space="preserve"> om de </w:t>
      </w:r>
      <w:r w:rsidRPr="00B22B99">
        <w:rPr>
          <w:szCs w:val="18"/>
        </w:rPr>
        <w:t xml:space="preserve">continuïteit van </w:t>
      </w:r>
      <w:r>
        <w:rPr>
          <w:szCs w:val="18"/>
        </w:rPr>
        <w:t>essentiële</w:t>
      </w:r>
      <w:r w:rsidRPr="00B22B99">
        <w:rPr>
          <w:szCs w:val="18"/>
        </w:rPr>
        <w:t xml:space="preserve"> jeugdhulp </w:t>
      </w:r>
      <w:r>
        <w:rPr>
          <w:szCs w:val="18"/>
        </w:rPr>
        <w:t>te garanderen</w:t>
      </w:r>
      <w:r w:rsidRPr="00B22B99">
        <w:rPr>
          <w:szCs w:val="18"/>
        </w:rPr>
        <w:t xml:space="preserve">. </w:t>
      </w:r>
      <w:r>
        <w:t xml:space="preserve">De overboeking van het gemeentefonds naar de begroting van VWS is verwerkt in de regel </w:t>
      </w:r>
      <w:r w:rsidRPr="00C530A3">
        <w:rPr>
          <w:i/>
        </w:rPr>
        <w:t>technische mutaties, rijksbegroting, diversen</w:t>
      </w:r>
      <w:r>
        <w:t xml:space="preserve">. </w:t>
      </w:r>
      <w:r w:rsidRPr="00B22B99">
        <w:rPr>
          <w:szCs w:val="18"/>
        </w:rPr>
        <w:t>In 2022 zullen deze financiële middelen, voor zover deze zijn teruggevloeid naar de Jeugdautoriteit, toegevoegd worden aan het gemeentefonds.</w:t>
      </w:r>
    </w:p>
    <w:p w:rsidRPr="00D273C5" w:rsidR="008D699A" w:rsidP="008D699A" w:rsidRDefault="008D699A">
      <w:pPr>
        <w:spacing w:after="0"/>
        <w:rPr>
          <w:i/>
          <w:szCs w:val="18"/>
        </w:rPr>
      </w:pPr>
      <w:r w:rsidRPr="00D273C5">
        <w:rPr>
          <w:i/>
          <w:szCs w:val="18"/>
        </w:rPr>
        <w:lastRenderedPageBreak/>
        <w:t>Loon- en prijsbijstelling 2019</w:t>
      </w:r>
    </w:p>
    <w:p w:rsidRPr="00D273C5" w:rsidR="008D699A" w:rsidP="008D699A" w:rsidRDefault="008D699A">
      <w:pPr>
        <w:spacing w:after="0"/>
        <w:rPr>
          <w:szCs w:val="18"/>
        </w:rPr>
      </w:pPr>
      <w:r w:rsidRPr="00D273C5">
        <w:rPr>
          <w:szCs w:val="18"/>
        </w:rPr>
        <w:t>De loon- en prijsbijstelling</w:t>
      </w:r>
      <w:r>
        <w:rPr>
          <w:szCs w:val="18"/>
        </w:rPr>
        <w:t xml:space="preserve"> tranche</w:t>
      </w:r>
      <w:r w:rsidRPr="00D273C5">
        <w:rPr>
          <w:szCs w:val="18"/>
        </w:rPr>
        <w:t xml:space="preserve"> 2019 wordt toegevoegd.</w:t>
      </w:r>
    </w:p>
    <w:p w:rsidR="008D699A" w:rsidP="008D699A" w:rsidRDefault="008D699A">
      <w:pPr>
        <w:spacing w:after="0"/>
        <w:rPr>
          <w:szCs w:val="18"/>
        </w:rPr>
      </w:pPr>
    </w:p>
    <w:p w:rsidRPr="00D273C5" w:rsidR="008D699A" w:rsidP="008D699A" w:rsidRDefault="008D699A">
      <w:pPr>
        <w:spacing w:after="0"/>
        <w:rPr>
          <w:i/>
          <w:szCs w:val="18"/>
        </w:rPr>
      </w:pPr>
      <w:r w:rsidRPr="00D273C5">
        <w:rPr>
          <w:i/>
          <w:szCs w:val="18"/>
        </w:rPr>
        <w:t>Maatschappelijke begeleiding</w:t>
      </w:r>
    </w:p>
    <w:p w:rsidRPr="00D273C5" w:rsidR="008D699A" w:rsidP="008D699A" w:rsidRDefault="008D699A">
      <w:pPr>
        <w:spacing w:after="0"/>
        <w:rPr>
          <w:szCs w:val="18"/>
        </w:rPr>
      </w:pPr>
      <w:r w:rsidRPr="00D273C5">
        <w:rPr>
          <w:szCs w:val="18"/>
        </w:rPr>
        <w:t>De middelen voor de jaarlijkse bijdrage aan het programma Maatschappelijke begeleiding worden vanuit SZW overgeboekt.</w:t>
      </w:r>
    </w:p>
    <w:p w:rsidR="003C44FF" w:rsidP="008D699A" w:rsidRDefault="003C44FF">
      <w:pPr>
        <w:spacing w:after="0"/>
        <w:rPr>
          <w:szCs w:val="18"/>
        </w:rPr>
      </w:pPr>
    </w:p>
    <w:p w:rsidRPr="00DC1091" w:rsidR="003C44FF" w:rsidP="003C44FF" w:rsidRDefault="003C44FF">
      <w:pPr>
        <w:spacing w:after="0"/>
        <w:rPr>
          <w:rFonts w:ascii="Calibri" w:hAnsi="Calibri"/>
          <w:i/>
          <w:sz w:val="22"/>
        </w:rPr>
      </w:pPr>
      <w:r w:rsidRPr="00DC1091">
        <w:rPr>
          <w:i/>
        </w:rPr>
        <w:t>Mutatie accres tranche 2019</w:t>
      </w:r>
    </w:p>
    <w:p w:rsidR="003C44FF" w:rsidP="003C44FF" w:rsidRDefault="003C44FF">
      <w:pPr>
        <w:spacing w:after="0"/>
        <w:rPr>
          <w:szCs w:val="18"/>
        </w:rPr>
      </w:pPr>
      <w:r>
        <w:t>Op basis van de geactualiseerde begroting van het Rijk voor 2019 ligt de accrestranche 2019 voor het gemeentefonds 7</w:t>
      </w:r>
      <w:r w:rsidR="00B22B99">
        <w:t>4,3</w:t>
      </w:r>
      <w:r>
        <w:t xml:space="preserve"> mln. hoger dan de raming ten tijde van de Miljoenennota 2019.</w:t>
      </w:r>
    </w:p>
    <w:p w:rsidRPr="00D273C5" w:rsidR="003C44FF" w:rsidP="008D699A" w:rsidRDefault="003C44FF">
      <w:pPr>
        <w:spacing w:after="0"/>
        <w:rPr>
          <w:szCs w:val="18"/>
        </w:rPr>
      </w:pPr>
    </w:p>
    <w:p w:rsidRPr="00D273C5" w:rsidR="008D699A" w:rsidP="008D699A" w:rsidRDefault="008D699A">
      <w:pPr>
        <w:spacing w:after="0"/>
        <w:rPr>
          <w:i/>
          <w:szCs w:val="18"/>
        </w:rPr>
      </w:pPr>
      <w:r w:rsidRPr="00D273C5">
        <w:rPr>
          <w:i/>
          <w:szCs w:val="18"/>
        </w:rPr>
        <w:t>Regio-enveloppe Eindhoven 2019</w:t>
      </w:r>
    </w:p>
    <w:p w:rsidRPr="00D273C5" w:rsidR="008D699A" w:rsidP="008D699A" w:rsidRDefault="008D699A">
      <w:pPr>
        <w:spacing w:after="0"/>
        <w:rPr>
          <w:szCs w:val="18"/>
        </w:rPr>
      </w:pPr>
      <w:r w:rsidRPr="00D273C5">
        <w:rPr>
          <w:szCs w:val="18"/>
        </w:rPr>
        <w:t xml:space="preserve">De middelen voor de tranche 2019 vanuit de regio-enveloppen uit het </w:t>
      </w:r>
      <w:r w:rsidR="00A2160C">
        <w:rPr>
          <w:szCs w:val="18"/>
        </w:rPr>
        <w:t>R</w:t>
      </w:r>
      <w:r w:rsidRPr="00D273C5">
        <w:rPr>
          <w:szCs w:val="18"/>
        </w:rPr>
        <w:t>egeerakkoord word</w:t>
      </w:r>
      <w:r w:rsidR="00A2160C">
        <w:rPr>
          <w:szCs w:val="18"/>
        </w:rPr>
        <w:t>en</w:t>
      </w:r>
      <w:r w:rsidRPr="00D273C5">
        <w:rPr>
          <w:szCs w:val="18"/>
        </w:rPr>
        <w:t xml:space="preserve"> vanuit LNV overgeboekt. Deze bijdrage is bestemd voor Brainport Eindhoven. </w:t>
      </w:r>
      <w:r>
        <w:rPr>
          <w:szCs w:val="18"/>
        </w:rPr>
        <w:t>A</w:t>
      </w:r>
      <w:r w:rsidRPr="00D273C5">
        <w:rPr>
          <w:szCs w:val="18"/>
        </w:rPr>
        <w:t xml:space="preserve">an deze decentralisatie-uitkering </w:t>
      </w:r>
      <w:r>
        <w:rPr>
          <w:szCs w:val="18"/>
        </w:rPr>
        <w:t xml:space="preserve">zijn </w:t>
      </w:r>
      <w:r w:rsidRPr="00D273C5">
        <w:rPr>
          <w:szCs w:val="18"/>
        </w:rPr>
        <w:t xml:space="preserve">voorwaarden </w:t>
      </w:r>
      <w:r>
        <w:rPr>
          <w:szCs w:val="18"/>
        </w:rPr>
        <w:t>verbonden die volgens de Algemene Rekenkamer niet zijn toegestaan</w:t>
      </w:r>
      <w:r w:rsidRPr="00D273C5">
        <w:rPr>
          <w:szCs w:val="18"/>
        </w:rPr>
        <w:t xml:space="preserve">. Omdat de regio Eindhoven deze middelen verwacht, is besloten om ze in 2019 </w:t>
      </w:r>
      <w:r>
        <w:rPr>
          <w:szCs w:val="18"/>
        </w:rPr>
        <w:t>nog als</w:t>
      </w:r>
      <w:r w:rsidRPr="00D273C5">
        <w:rPr>
          <w:szCs w:val="18"/>
        </w:rPr>
        <w:t xml:space="preserve"> decentralisatie-uitkering met voorwaarden uit te keren. De </w:t>
      </w:r>
      <w:r>
        <w:rPr>
          <w:szCs w:val="18"/>
        </w:rPr>
        <w:t xml:space="preserve">implicaties voor de vormgeving van deze bijdrage </w:t>
      </w:r>
      <w:r w:rsidRPr="00D273C5">
        <w:rPr>
          <w:szCs w:val="18"/>
        </w:rPr>
        <w:t>in volgende jaren word</w:t>
      </w:r>
      <w:r>
        <w:rPr>
          <w:szCs w:val="18"/>
        </w:rPr>
        <w:t>en</w:t>
      </w:r>
      <w:r w:rsidRPr="00D273C5">
        <w:rPr>
          <w:szCs w:val="18"/>
        </w:rPr>
        <w:t xml:space="preserve"> </w:t>
      </w:r>
      <w:r>
        <w:rPr>
          <w:szCs w:val="18"/>
        </w:rPr>
        <w:t>momenteel bezien</w:t>
      </w:r>
      <w:r w:rsidRPr="00D273C5">
        <w:rPr>
          <w:szCs w:val="18"/>
        </w:rPr>
        <w:t>.</w:t>
      </w:r>
    </w:p>
    <w:p w:rsidRPr="00D273C5" w:rsidR="008D699A" w:rsidP="008D699A" w:rsidRDefault="008D699A">
      <w:pPr>
        <w:spacing w:after="0"/>
        <w:rPr>
          <w:szCs w:val="18"/>
        </w:rPr>
      </w:pPr>
    </w:p>
    <w:p w:rsidRPr="00D273C5" w:rsidR="008D699A" w:rsidP="008D699A" w:rsidRDefault="008D699A">
      <w:pPr>
        <w:spacing w:after="0"/>
        <w:rPr>
          <w:i/>
          <w:szCs w:val="18"/>
        </w:rPr>
      </w:pPr>
      <w:r w:rsidRPr="00D273C5">
        <w:rPr>
          <w:i/>
          <w:szCs w:val="18"/>
        </w:rPr>
        <w:t>Diversen</w:t>
      </w:r>
      <w:r>
        <w:rPr>
          <w:i/>
          <w:szCs w:val="18"/>
        </w:rPr>
        <w:t xml:space="preserve"> - t</w:t>
      </w:r>
      <w:r w:rsidRPr="00D273C5">
        <w:rPr>
          <w:i/>
          <w:szCs w:val="18"/>
        </w:rPr>
        <w:t>echnische mutaties, rijksbegroting</w:t>
      </w:r>
    </w:p>
    <w:p w:rsidRPr="00D273C5" w:rsidR="008D699A" w:rsidP="008D699A" w:rsidRDefault="008D699A">
      <w:pPr>
        <w:spacing w:after="0"/>
        <w:rPr>
          <w:szCs w:val="18"/>
        </w:rPr>
      </w:pPr>
      <w:r w:rsidRPr="00D273C5">
        <w:rPr>
          <w:szCs w:val="18"/>
        </w:rPr>
        <w:t>Er worden diverse bedragen overgemaakt aan het gemeentefonds om gemeenten te compenseren voor kosten aan uiteenlopende onderwerpen</w:t>
      </w:r>
      <w:r w:rsidR="00B22B99">
        <w:rPr>
          <w:szCs w:val="18"/>
        </w:rPr>
        <w:t xml:space="preserve">, </w:t>
      </w:r>
      <w:r w:rsidRPr="00B22B99" w:rsidR="00B22B99">
        <w:rPr>
          <w:szCs w:val="18"/>
        </w:rPr>
        <w:t>met name decentralisatie-uitkeringen</w:t>
      </w:r>
      <w:r w:rsidRPr="00D273C5">
        <w:rPr>
          <w:szCs w:val="18"/>
        </w:rPr>
        <w:t xml:space="preserve">. Het betreft vanuit JenV onder meer bijdragen voor </w:t>
      </w:r>
      <w:r>
        <w:rPr>
          <w:szCs w:val="18"/>
        </w:rPr>
        <w:t xml:space="preserve">de overgang van </w:t>
      </w:r>
      <w:r w:rsidRPr="00D273C5">
        <w:rPr>
          <w:szCs w:val="18"/>
        </w:rPr>
        <w:t>de jeugdhulp aan kinderen in een AZC</w:t>
      </w:r>
      <w:r>
        <w:rPr>
          <w:szCs w:val="18"/>
        </w:rPr>
        <w:t xml:space="preserve"> </w:t>
      </w:r>
      <w:r w:rsidRPr="00D273C5">
        <w:rPr>
          <w:szCs w:val="18"/>
        </w:rPr>
        <w:t>naar gemeenten</w:t>
      </w:r>
      <w:r>
        <w:rPr>
          <w:szCs w:val="18"/>
        </w:rPr>
        <w:t xml:space="preserve"> (</w:t>
      </w:r>
      <w:r w:rsidRPr="00D273C5">
        <w:rPr>
          <w:szCs w:val="18"/>
        </w:rPr>
        <w:t>2,1 mln.</w:t>
      </w:r>
      <w:r>
        <w:rPr>
          <w:szCs w:val="18"/>
        </w:rPr>
        <w:t>), het</w:t>
      </w:r>
      <w:r w:rsidRPr="00D273C5">
        <w:rPr>
          <w:szCs w:val="18"/>
        </w:rPr>
        <w:t xml:space="preserve"> Faciliteitenbesluit (0,9 mln.) en de Landelijke voorziening vreemdelingen (12 mln.). JenV en VWS dragen gezamenlijk bij voor het programma</w:t>
      </w:r>
      <w:r>
        <w:rPr>
          <w:szCs w:val="18"/>
        </w:rPr>
        <w:t xml:space="preserve"> </w:t>
      </w:r>
      <w:proofErr w:type="spellStart"/>
      <w:r w:rsidRPr="00D273C5">
        <w:rPr>
          <w:szCs w:val="18"/>
        </w:rPr>
        <w:t>Eergerelateerd</w:t>
      </w:r>
      <w:proofErr w:type="spellEnd"/>
      <w:r w:rsidRPr="00D273C5">
        <w:rPr>
          <w:szCs w:val="18"/>
        </w:rPr>
        <w:t xml:space="preserve"> geweld (2,5 </w:t>
      </w:r>
      <w:proofErr w:type="spellStart"/>
      <w:r w:rsidRPr="00D273C5">
        <w:rPr>
          <w:szCs w:val="18"/>
        </w:rPr>
        <w:t>mln</w:t>
      </w:r>
      <w:proofErr w:type="spellEnd"/>
      <w:r w:rsidRPr="00D273C5">
        <w:rPr>
          <w:szCs w:val="18"/>
        </w:rPr>
        <w:t xml:space="preserve">). Vanuit OCW wordt bijgedragen aan de Kerkenvisies (3,5 mln.). IenW draagt bij aan de waterschapsverkiezingen 2019 (12 mln.). Vanuit SZW wordt bijgedragen aan de Herstructurering </w:t>
      </w:r>
      <w:proofErr w:type="spellStart"/>
      <w:r w:rsidRPr="00D273C5">
        <w:rPr>
          <w:szCs w:val="18"/>
        </w:rPr>
        <w:t>Wsw</w:t>
      </w:r>
      <w:proofErr w:type="spellEnd"/>
      <w:r w:rsidRPr="00D273C5">
        <w:rPr>
          <w:szCs w:val="18"/>
        </w:rPr>
        <w:t xml:space="preserve"> Oost-Groningen (3,2 mln.) en Verhoging taalniveau statushouders (20 mln.). Vanuit VWS wordt </w:t>
      </w:r>
      <w:r w:rsidR="00B22B99">
        <w:rPr>
          <w:szCs w:val="18"/>
        </w:rPr>
        <w:t xml:space="preserve">onder meer </w:t>
      </w:r>
      <w:r w:rsidRPr="00D273C5">
        <w:rPr>
          <w:szCs w:val="18"/>
        </w:rPr>
        <w:t xml:space="preserve">bijgedragen voor Geweld hoort nergens thuis pilots en projectleiders (3,6 mln.), koplopergemeenten cliëntondersteuning (8 mln.), </w:t>
      </w:r>
      <w:r w:rsidRPr="00B22B99" w:rsidR="00B22B99">
        <w:rPr>
          <w:szCs w:val="18"/>
        </w:rPr>
        <w:t>sportakkoorden (3,7 mln.), kansrijke start (2,9 mln.),</w:t>
      </w:r>
      <w:r w:rsidR="00B22B99">
        <w:rPr>
          <w:szCs w:val="18"/>
        </w:rPr>
        <w:t xml:space="preserve"> </w:t>
      </w:r>
      <w:r w:rsidRPr="00D273C5">
        <w:rPr>
          <w:szCs w:val="18"/>
        </w:rPr>
        <w:t>pilots logeerzorg (0.9 mln.), slachtoffers mensenhandel</w:t>
      </w:r>
      <w:r>
        <w:rPr>
          <w:szCs w:val="18"/>
        </w:rPr>
        <w:t xml:space="preserve"> </w:t>
      </w:r>
      <w:r w:rsidRPr="00D273C5">
        <w:rPr>
          <w:szCs w:val="18"/>
        </w:rPr>
        <w:t>/vrouwenopvang (1 mln</w:t>
      </w:r>
      <w:r w:rsidR="00B22B99">
        <w:rPr>
          <w:szCs w:val="18"/>
        </w:rPr>
        <w:t xml:space="preserve">.), de </w:t>
      </w:r>
      <w:proofErr w:type="spellStart"/>
      <w:r w:rsidR="00B22B99">
        <w:rPr>
          <w:szCs w:val="18"/>
        </w:rPr>
        <w:t>Vuelta</w:t>
      </w:r>
      <w:proofErr w:type="spellEnd"/>
      <w:r w:rsidR="00B22B99">
        <w:rPr>
          <w:szCs w:val="18"/>
        </w:rPr>
        <w:t xml:space="preserve"> 2020 (1 mln.), </w:t>
      </w:r>
      <w:r w:rsidRPr="00D273C5">
        <w:rPr>
          <w:szCs w:val="18"/>
        </w:rPr>
        <w:t xml:space="preserve">invoeren van de </w:t>
      </w:r>
      <w:proofErr w:type="spellStart"/>
      <w:r w:rsidRPr="00D273C5">
        <w:rPr>
          <w:szCs w:val="18"/>
        </w:rPr>
        <w:t>Wvggz</w:t>
      </w:r>
      <w:proofErr w:type="spellEnd"/>
      <w:r w:rsidRPr="00D273C5">
        <w:rPr>
          <w:szCs w:val="18"/>
        </w:rPr>
        <w:t xml:space="preserve"> (20 mln. vanaf 2020) en verhoging van de leeftijdsgrenzen van gezinshuizen (2,2 mln.). Ook worden er enkele bedragen van het gemeentefonds afgeboekt. Het gaat om een bijdrage in de kosten van </w:t>
      </w:r>
      <w:proofErr w:type="spellStart"/>
      <w:r w:rsidRPr="00D273C5">
        <w:rPr>
          <w:szCs w:val="18"/>
        </w:rPr>
        <w:t>Di</w:t>
      </w:r>
      <w:r>
        <w:rPr>
          <w:szCs w:val="18"/>
        </w:rPr>
        <w:t>g</w:t>
      </w:r>
      <w:r w:rsidRPr="00D273C5">
        <w:rPr>
          <w:szCs w:val="18"/>
        </w:rPr>
        <w:t>iD</w:t>
      </w:r>
      <w:proofErr w:type="spellEnd"/>
      <w:r w:rsidRPr="00D273C5">
        <w:rPr>
          <w:szCs w:val="18"/>
        </w:rPr>
        <w:t xml:space="preserve"> en </w:t>
      </w:r>
      <w:proofErr w:type="spellStart"/>
      <w:r w:rsidRPr="00D273C5">
        <w:rPr>
          <w:szCs w:val="18"/>
        </w:rPr>
        <w:t>MijnOverheid</w:t>
      </w:r>
      <w:proofErr w:type="spellEnd"/>
      <w:r w:rsidRPr="00D273C5">
        <w:rPr>
          <w:szCs w:val="18"/>
        </w:rPr>
        <w:t xml:space="preserve"> (3,4 mln.) en van GDI-voorzieningen (1,9 mln.). Daarnaast wordt door middel van een kasschuif van 2019 naar 2018 door SZW in 2019 8 mln. minder bijgedragen aan de voorkoming van schulden en bestrijding van armoede in gemeenten.</w:t>
      </w:r>
    </w:p>
    <w:p w:rsidRPr="00D273C5" w:rsidR="008D699A" w:rsidP="008D699A" w:rsidRDefault="008D699A">
      <w:pPr>
        <w:spacing w:after="0"/>
        <w:rPr>
          <w:szCs w:val="18"/>
        </w:rPr>
      </w:pPr>
    </w:p>
    <w:p w:rsidRPr="00D273C5" w:rsidR="008D699A" w:rsidP="008D699A" w:rsidRDefault="008D699A">
      <w:pPr>
        <w:spacing w:after="0"/>
        <w:rPr>
          <w:i/>
          <w:szCs w:val="18"/>
        </w:rPr>
      </w:pPr>
      <w:r w:rsidRPr="00D273C5">
        <w:rPr>
          <w:i/>
          <w:szCs w:val="18"/>
        </w:rPr>
        <w:t>Diversen - technische mutaties, sociale zekerheid</w:t>
      </w:r>
    </w:p>
    <w:p w:rsidRPr="00D273C5" w:rsidR="008D699A" w:rsidP="008D699A" w:rsidRDefault="00A37C42">
      <w:pPr>
        <w:spacing w:after="0"/>
        <w:rPr>
          <w:szCs w:val="18"/>
        </w:rPr>
      </w:pPr>
      <w:r w:rsidRPr="00A37C42">
        <w:rPr>
          <w:szCs w:val="18"/>
        </w:rPr>
        <w:t>De maatregel loondispensatie uit het Regeerakkoord wordt teruggedraaid. Daarom wordt het resterende deel van het budget voor 20.000 extra banen beschut werk teruggeboekt naar SZW</w:t>
      </w:r>
      <w:r>
        <w:rPr>
          <w:szCs w:val="18"/>
        </w:rPr>
        <w:t>.</w:t>
      </w:r>
    </w:p>
    <w:p w:rsidRPr="00D273C5" w:rsidR="008D699A" w:rsidP="008D699A" w:rsidRDefault="008D699A">
      <w:pPr>
        <w:spacing w:after="0"/>
        <w:rPr>
          <w:szCs w:val="18"/>
        </w:rPr>
      </w:pPr>
    </w:p>
    <w:p w:rsidRPr="00D273C5" w:rsidR="008D699A" w:rsidP="008D699A" w:rsidRDefault="008D699A">
      <w:pPr>
        <w:spacing w:after="0"/>
        <w:rPr>
          <w:szCs w:val="18"/>
        </w:rPr>
      </w:pPr>
    </w:p>
    <w:p w:rsidR="008D699A" w:rsidP="001D695D" w:rsidRDefault="008D699A">
      <w:pPr>
        <w:spacing w:after="0"/>
        <w:rPr>
          <w:rFonts w:asciiTheme="majorHAnsi" w:hAnsiTheme="majorHAnsi"/>
          <w:b/>
          <w:szCs w:val="18"/>
        </w:rPr>
      </w:pP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143203" w:rsidR="00143203" w:rsidTr="00143203">
        <w:trPr>
          <w:trHeight w:val="225"/>
        </w:trPr>
        <w:tc>
          <w:tcPr>
            <w:tcW w:w="10860" w:type="dxa"/>
            <w:gridSpan w:val="7"/>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b/>
                <w:bCs/>
                <w:color w:val="000000"/>
                <w:szCs w:val="18"/>
                <w:lang w:eastAsia="nl-NL"/>
              </w:rPr>
            </w:pPr>
            <w:r w:rsidRPr="00143203">
              <w:rPr>
                <w:rFonts w:eastAsia="Times New Roman" w:cs="Times New Roman"/>
                <w:b/>
                <w:bCs/>
                <w:color w:val="000000"/>
                <w:szCs w:val="18"/>
                <w:lang w:eastAsia="nl-NL"/>
              </w:rPr>
              <w:lastRenderedPageBreak/>
              <w:t>Provinciefonds</w:t>
            </w:r>
          </w:p>
        </w:tc>
      </w:tr>
      <w:tr w:rsidRPr="00143203" w:rsidR="00143203" w:rsidTr="00143203">
        <w:trPr>
          <w:trHeight w:val="240"/>
        </w:trPr>
        <w:tc>
          <w:tcPr>
            <w:tcW w:w="10860" w:type="dxa"/>
            <w:gridSpan w:val="7"/>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C PROVINCIEFONDS: UITGAVEN</w:t>
            </w:r>
          </w:p>
        </w:tc>
      </w:tr>
      <w:tr w:rsidRPr="00143203" w:rsidR="00143203" w:rsidTr="00143203">
        <w:trPr>
          <w:trHeight w:val="315"/>
        </w:trPr>
        <w:tc>
          <w:tcPr>
            <w:tcW w:w="43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2.407,7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2.372,0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2.270,9</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2.250,7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2.240,7</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r w:rsidRPr="0014320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r w:rsidRPr="0014320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 xml:space="preserve">Afrekening accres 2018 </w:t>
            </w:r>
            <w:proofErr w:type="spellStart"/>
            <w:r w:rsidRPr="00143203">
              <w:rPr>
                <w:rFonts w:eastAsia="Times New Roman" w:cs="Times New Roman"/>
                <w:color w:val="000000"/>
                <w:szCs w:val="18"/>
                <w:lang w:eastAsia="nl-NL"/>
              </w:rPr>
              <w:t>incidentel</w:t>
            </w:r>
            <w:proofErr w:type="spellEnd"/>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Afrekening accres 2018 structureel</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Mutatie accres tranche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20,9</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20,9</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20,9</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20,9</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20,9</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36,1</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0,2</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11,6</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-1,6</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-1,8</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-1,8</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11,7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-1,6</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-1,7</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2.419,4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2.370,7</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2.269,3</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2.249,0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2.239,0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2.419,4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2.370,7</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2.269,3</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2.249,0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2.239,0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240"/>
        </w:trPr>
        <w:tc>
          <w:tcPr>
            <w:tcW w:w="10860" w:type="dxa"/>
            <w:gridSpan w:val="7"/>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C PROVINCIEFONDS: NIET-BELASTINGONTVANGSTEN</w:t>
            </w:r>
          </w:p>
        </w:tc>
      </w:tr>
      <w:tr w:rsidRPr="00143203" w:rsidR="00143203" w:rsidTr="00143203">
        <w:trPr>
          <w:trHeight w:val="315"/>
        </w:trPr>
        <w:tc>
          <w:tcPr>
            <w:tcW w:w="43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D273C5" w:rsidR="008D699A" w:rsidP="008D699A" w:rsidRDefault="008D699A">
      <w:pPr>
        <w:spacing w:after="0"/>
        <w:rPr>
          <w:i/>
          <w:szCs w:val="18"/>
        </w:rPr>
      </w:pPr>
      <w:r w:rsidRPr="00D273C5">
        <w:rPr>
          <w:i/>
          <w:szCs w:val="18"/>
        </w:rPr>
        <w:t>Diversen</w:t>
      </w:r>
      <w:r>
        <w:rPr>
          <w:i/>
          <w:szCs w:val="18"/>
        </w:rPr>
        <w:t xml:space="preserve"> - b</w:t>
      </w:r>
      <w:r w:rsidRPr="00D273C5">
        <w:rPr>
          <w:i/>
          <w:szCs w:val="18"/>
        </w:rPr>
        <w:t>eleidsmatige mutaties, rijksbegroting</w:t>
      </w:r>
    </w:p>
    <w:p w:rsidRPr="00D273C5" w:rsidR="008D699A" w:rsidP="008D699A" w:rsidRDefault="008D699A">
      <w:pPr>
        <w:spacing w:after="0"/>
        <w:rPr>
          <w:szCs w:val="18"/>
        </w:rPr>
      </w:pPr>
      <w:r w:rsidRPr="00D273C5">
        <w:rPr>
          <w:szCs w:val="18"/>
        </w:rPr>
        <w:t>Dit betreft de wijziging</w:t>
      </w:r>
      <w:r>
        <w:rPr>
          <w:szCs w:val="18"/>
        </w:rPr>
        <w:t xml:space="preserve"> van het</w:t>
      </w:r>
      <w:r w:rsidRPr="00D273C5">
        <w:rPr>
          <w:szCs w:val="18"/>
        </w:rPr>
        <w:t xml:space="preserve"> betalingsverloop voor de algemene uitkering 2018. Een beperkt deel van de algemene uitkering kon in 2018 niet meer tot betaling komen. Omdat provincies recht hebben op deze bedragen wordt het kasbudget 2019 met dit bedrag opgehoogd. Dat maakt het mogelijk om de uitkering in 2019 alsnog tot betaling te laten komen.</w:t>
      </w:r>
    </w:p>
    <w:p w:rsidR="008D699A" w:rsidP="008D699A" w:rsidRDefault="008D699A">
      <w:pPr>
        <w:spacing w:after="0"/>
        <w:rPr>
          <w:szCs w:val="18"/>
        </w:rPr>
      </w:pPr>
    </w:p>
    <w:p w:rsidRPr="00DC1091" w:rsidR="003C44FF" w:rsidP="003C44FF" w:rsidRDefault="003C44FF">
      <w:pPr>
        <w:spacing w:after="0"/>
        <w:rPr>
          <w:i/>
          <w:szCs w:val="18"/>
        </w:rPr>
      </w:pPr>
      <w:r>
        <w:rPr>
          <w:i/>
          <w:szCs w:val="18"/>
        </w:rPr>
        <w:t>Afrekening a</w:t>
      </w:r>
      <w:r w:rsidRPr="00DC1091">
        <w:rPr>
          <w:i/>
          <w:szCs w:val="18"/>
        </w:rPr>
        <w:t>ccres 2018</w:t>
      </w:r>
      <w:r>
        <w:rPr>
          <w:i/>
          <w:szCs w:val="18"/>
        </w:rPr>
        <w:t xml:space="preserve"> (incidenteel en structureel)</w:t>
      </w:r>
    </w:p>
    <w:p w:rsidR="003C44FF" w:rsidP="003C44FF" w:rsidRDefault="003C44FF">
      <w:pPr>
        <w:spacing w:after="0"/>
        <w:rPr>
          <w:szCs w:val="18"/>
        </w:rPr>
      </w:pPr>
      <w:r w:rsidRPr="00F77BF2">
        <w:rPr>
          <w:szCs w:val="18"/>
        </w:rPr>
        <w:t xml:space="preserve">De omvang van het provinciefonds ademt mee met de Rijksbegroting. Omdat het Rijk in 2018 meer heeft uitgegeven dan het jaar ervoor, ontvangen provincies accres. Het definitieve accres voor 2018 ligt 23 mln. lager ten opzichte van de raming ten tijde van de Miljoenennota 2019. Deze bijstelling van de accrestranche </w:t>
      </w:r>
      <w:r>
        <w:rPr>
          <w:szCs w:val="18"/>
        </w:rPr>
        <w:t xml:space="preserve">die betrekking heeft op 2019 en verder </w:t>
      </w:r>
      <w:r w:rsidRPr="00F77BF2">
        <w:rPr>
          <w:szCs w:val="18"/>
        </w:rPr>
        <w:t>wordt structureel verwerkt bij Voorjaarsnota. De verwerking van de accrestranche 2018 die betrekking heeft op het boekjaar 2018 wordt incidenteel verwerkt bij Voorjaarsnota.</w:t>
      </w:r>
    </w:p>
    <w:p w:rsidRPr="00F77BF2" w:rsidR="003C44FF" w:rsidP="003C44FF" w:rsidRDefault="003C44FF">
      <w:pPr>
        <w:spacing w:after="0"/>
        <w:rPr>
          <w:szCs w:val="18"/>
        </w:rPr>
      </w:pPr>
    </w:p>
    <w:p w:rsidRPr="00DC1091" w:rsidR="003C44FF" w:rsidP="003C44FF" w:rsidRDefault="003C44FF">
      <w:pPr>
        <w:spacing w:after="0"/>
        <w:rPr>
          <w:i/>
          <w:szCs w:val="18"/>
        </w:rPr>
      </w:pPr>
      <w:r w:rsidRPr="00DC1091">
        <w:rPr>
          <w:i/>
          <w:szCs w:val="18"/>
        </w:rPr>
        <w:t>Mutatie accres tranche 2019</w:t>
      </w:r>
    </w:p>
    <w:p w:rsidRPr="00D273C5" w:rsidR="003C44FF" w:rsidP="003C44FF" w:rsidRDefault="003C44FF">
      <w:pPr>
        <w:spacing w:after="0"/>
        <w:rPr>
          <w:szCs w:val="18"/>
        </w:rPr>
      </w:pPr>
      <w:r w:rsidRPr="00F77BF2">
        <w:rPr>
          <w:szCs w:val="18"/>
        </w:rPr>
        <w:t>Op basis van de geactualiseerde begroting van het Rijk voor 2019 ligt de accrestranche 2019 voor het provinciefonds 2</w:t>
      </w:r>
      <w:r w:rsidR="00B22B99">
        <w:rPr>
          <w:szCs w:val="18"/>
        </w:rPr>
        <w:t>0,9</w:t>
      </w:r>
      <w:r w:rsidRPr="00F77BF2">
        <w:rPr>
          <w:szCs w:val="18"/>
        </w:rPr>
        <w:t xml:space="preserve"> mln. hoger dan de </w:t>
      </w:r>
      <w:r>
        <w:rPr>
          <w:szCs w:val="18"/>
        </w:rPr>
        <w:t>raming</w:t>
      </w:r>
      <w:r w:rsidRPr="00F77BF2">
        <w:rPr>
          <w:szCs w:val="18"/>
        </w:rPr>
        <w:t xml:space="preserve"> ten tijde van de Miljoenennota 2019.</w:t>
      </w:r>
    </w:p>
    <w:p w:rsidRPr="00D273C5" w:rsidR="008D699A" w:rsidP="008D699A" w:rsidRDefault="008D699A">
      <w:pPr>
        <w:spacing w:after="0"/>
        <w:rPr>
          <w:i/>
          <w:szCs w:val="18"/>
        </w:rPr>
      </w:pPr>
      <w:r w:rsidRPr="00D273C5">
        <w:rPr>
          <w:i/>
          <w:szCs w:val="18"/>
        </w:rPr>
        <w:lastRenderedPageBreak/>
        <w:t>Diversen</w:t>
      </w:r>
      <w:r>
        <w:rPr>
          <w:i/>
          <w:szCs w:val="18"/>
        </w:rPr>
        <w:t xml:space="preserve"> - t</w:t>
      </w:r>
      <w:r w:rsidRPr="00D273C5">
        <w:rPr>
          <w:i/>
          <w:szCs w:val="18"/>
        </w:rPr>
        <w:t>echnische mutaties, rijksbegroting</w:t>
      </w:r>
    </w:p>
    <w:p w:rsidR="008D699A" w:rsidP="008D699A" w:rsidRDefault="008D699A">
      <w:pPr>
        <w:spacing w:after="0"/>
        <w:rPr>
          <w:szCs w:val="18"/>
        </w:rPr>
      </w:pPr>
      <w:r w:rsidRPr="00D273C5">
        <w:rPr>
          <w:szCs w:val="18"/>
        </w:rPr>
        <w:t xml:space="preserve">Er worden diverse bedragen overgemaakt aan het provinciefonds om provincies te compenseren voor kosten aan uiteenlopende onderwerpen. Vanuit OCW betreft het onder meer Erfgoedprogramma Groningen (4 mln.) en Schokland werelderfgoed (5 mln.). Het betreft de uitvoering van het Amendement Hoogland (3,2 mln.), Beter benutten (8,8 mln.), gebiedsontwikkeling Ooijen Wanssum (0,5 mln.), Perronfasering Arnhem (1,8 mln.) en de Versterking van de Friese IJsselmeerkust (0,6 mln.) van IenW. Vanuit EZK betreft het onder andere de MKB-innovatiestimulering topsectoren (6,3 mln.). Vanuit LNV betreft het onder meer de Gebiedsaanpak veenweiden (6 mln.) en jong leren eten (0,5 mln.). Verder betreft het enkele kleine overboekingen vanuit BZK. Ook worden er enkele bedragen van het provinciefonds afgeboekt. Het gaat onder meer om een bijdrage in de kosten van GDI-voorzieningen (0,4 mln.). </w:t>
      </w:r>
    </w:p>
    <w:p w:rsidR="003C44FF" w:rsidP="008D699A" w:rsidRDefault="003C44FF">
      <w:pPr>
        <w:spacing w:after="0"/>
        <w:rPr>
          <w:szCs w:val="18"/>
        </w:rPr>
      </w:pPr>
    </w:p>
    <w:p w:rsidRPr="00D273C5" w:rsidR="003C44FF" w:rsidP="008D699A" w:rsidRDefault="003C44FF">
      <w:pPr>
        <w:spacing w:after="0"/>
        <w:rPr>
          <w:szCs w:val="18"/>
        </w:rPr>
      </w:pPr>
      <w:r>
        <w:rPr>
          <w:szCs w:val="18"/>
        </w:rPr>
        <w:t>Verder kunnen p</w:t>
      </w:r>
      <w:r w:rsidRPr="00F77BF2">
        <w:rPr>
          <w:szCs w:val="18"/>
        </w:rPr>
        <w:t xml:space="preserve">rovincies uitgaven aan btw terugvragen via het BTW-compensatiefonds (BCF). Wanneer er geld overblijft in het BCF, dan wordt dit aan het provinciefonds toegevoegd. Bij Miljoenennota 2019 heeft hiervoor een voorlopige afrekening plaatsgevonden. Uiteindelijk bleek het overgebleven bedrag bij de realisatie kleiner te zijn dan verwacht, waardoor er nu een verrekening </w:t>
      </w:r>
      <w:r>
        <w:rPr>
          <w:szCs w:val="18"/>
        </w:rPr>
        <w:t xml:space="preserve">over het jaar 2018 </w:t>
      </w:r>
      <w:r w:rsidRPr="00F77BF2">
        <w:rPr>
          <w:szCs w:val="18"/>
        </w:rPr>
        <w:t>plaatsvindt van 10 mln.</w:t>
      </w:r>
    </w:p>
    <w:p w:rsidRPr="00D273C5" w:rsidR="008D699A" w:rsidP="008D699A" w:rsidRDefault="008D699A">
      <w:pPr>
        <w:spacing w:after="0"/>
        <w:rPr>
          <w:szCs w:val="18"/>
        </w:rPr>
      </w:pPr>
    </w:p>
    <w:p w:rsidR="008D699A" w:rsidP="008D699A" w:rsidRDefault="003C44FF">
      <w:pPr>
        <w:spacing w:after="0"/>
        <w:rPr>
          <w:rFonts w:asciiTheme="majorHAnsi" w:hAnsiTheme="majorHAnsi"/>
          <w:b/>
          <w:szCs w:val="18"/>
        </w:rPr>
      </w:pPr>
      <w:r>
        <w:rPr>
          <w:szCs w:val="18"/>
        </w:rPr>
        <w:t>Ten slotte</w:t>
      </w:r>
      <w:r w:rsidRPr="00D273C5" w:rsidR="008D699A">
        <w:rPr>
          <w:szCs w:val="18"/>
        </w:rPr>
        <w:t xml:space="preserve"> betreft het vanuit LNV de tranche 2019 voor de regio-enveloppe Zeeland (9,2 mln.). </w:t>
      </w:r>
      <w:r w:rsidR="008D699A">
        <w:rPr>
          <w:szCs w:val="18"/>
        </w:rPr>
        <w:t>A</w:t>
      </w:r>
      <w:r w:rsidRPr="00D273C5" w:rsidR="008D699A">
        <w:rPr>
          <w:szCs w:val="18"/>
        </w:rPr>
        <w:t xml:space="preserve">an deze decentralisatie-uitkering </w:t>
      </w:r>
      <w:r w:rsidR="008D699A">
        <w:rPr>
          <w:szCs w:val="18"/>
        </w:rPr>
        <w:t xml:space="preserve">zijn </w:t>
      </w:r>
      <w:r w:rsidRPr="00D273C5" w:rsidR="008D699A">
        <w:rPr>
          <w:szCs w:val="18"/>
        </w:rPr>
        <w:t xml:space="preserve">voorwaarden </w:t>
      </w:r>
      <w:r w:rsidR="008D699A">
        <w:rPr>
          <w:szCs w:val="18"/>
        </w:rPr>
        <w:t>verbonden die volgens de Algemene Rekenkamer niet zijn toegestaan</w:t>
      </w:r>
      <w:r w:rsidRPr="00D273C5" w:rsidR="008D699A">
        <w:rPr>
          <w:szCs w:val="18"/>
        </w:rPr>
        <w:t xml:space="preserve">. Omdat </w:t>
      </w:r>
      <w:r w:rsidR="008D699A">
        <w:rPr>
          <w:szCs w:val="18"/>
        </w:rPr>
        <w:t xml:space="preserve">Zeeland </w:t>
      </w:r>
      <w:r w:rsidRPr="00D273C5" w:rsidR="008D699A">
        <w:rPr>
          <w:szCs w:val="18"/>
        </w:rPr>
        <w:t xml:space="preserve">deze middelen verwacht, is besloten om ze in 2019 </w:t>
      </w:r>
      <w:r w:rsidR="008D699A">
        <w:rPr>
          <w:szCs w:val="18"/>
        </w:rPr>
        <w:t>nog als</w:t>
      </w:r>
      <w:r w:rsidRPr="00D273C5" w:rsidR="008D699A">
        <w:rPr>
          <w:szCs w:val="18"/>
        </w:rPr>
        <w:t xml:space="preserve"> decentralisatie-uitkering met voorwaarden uit te keren. De </w:t>
      </w:r>
      <w:r w:rsidR="008D699A">
        <w:rPr>
          <w:szCs w:val="18"/>
        </w:rPr>
        <w:t xml:space="preserve">implicaties voor de vormgeving van deze bijdrage </w:t>
      </w:r>
      <w:r w:rsidRPr="00D273C5" w:rsidR="008D699A">
        <w:rPr>
          <w:szCs w:val="18"/>
        </w:rPr>
        <w:t>in volgende jaren word</w:t>
      </w:r>
      <w:r w:rsidR="008D699A">
        <w:rPr>
          <w:szCs w:val="18"/>
        </w:rPr>
        <w:t>en</w:t>
      </w:r>
      <w:r w:rsidRPr="00D273C5" w:rsidR="008D699A">
        <w:rPr>
          <w:szCs w:val="18"/>
        </w:rPr>
        <w:t xml:space="preserve"> </w:t>
      </w:r>
      <w:r w:rsidR="008D699A">
        <w:rPr>
          <w:szCs w:val="18"/>
        </w:rPr>
        <w:t>momenteel bezien</w:t>
      </w:r>
      <w:r w:rsidRPr="00D273C5" w:rsidR="008D699A">
        <w:rPr>
          <w:szCs w:val="18"/>
        </w:rPr>
        <w:t>.</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1039C6" w:rsidR="001039C6" w:rsidTr="001039C6">
        <w:trPr>
          <w:trHeight w:val="225"/>
        </w:trPr>
        <w:tc>
          <w:tcPr>
            <w:tcW w:w="10860" w:type="dxa"/>
            <w:gridSpan w:val="7"/>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b/>
                <w:bCs/>
                <w:color w:val="000000"/>
                <w:szCs w:val="18"/>
                <w:lang w:eastAsia="nl-NL"/>
              </w:rPr>
            </w:pPr>
            <w:r w:rsidRPr="001039C6">
              <w:rPr>
                <w:rFonts w:eastAsia="Times New Roman" w:cs="Times New Roman"/>
                <w:b/>
                <w:bCs/>
                <w:color w:val="000000"/>
                <w:szCs w:val="18"/>
                <w:lang w:eastAsia="nl-NL"/>
              </w:rPr>
              <w:lastRenderedPageBreak/>
              <w:t>Infrastructuurfonds</w:t>
            </w:r>
          </w:p>
        </w:tc>
      </w:tr>
      <w:tr w:rsidRPr="001039C6" w:rsidR="001039C6" w:rsidTr="001039C6">
        <w:trPr>
          <w:trHeight w:val="240"/>
        </w:trPr>
        <w:tc>
          <w:tcPr>
            <w:tcW w:w="10860" w:type="dxa"/>
            <w:gridSpan w:val="7"/>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A INFRASTRUCTUURFONDS: UITGAVEN</w:t>
            </w:r>
          </w:p>
        </w:tc>
      </w:tr>
      <w:tr w:rsidRPr="001039C6" w:rsidR="001039C6" w:rsidTr="001039C6">
        <w:trPr>
          <w:trHeight w:val="315"/>
        </w:trPr>
        <w:tc>
          <w:tcPr>
            <w:tcW w:w="43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7.368,0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7.177,8</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7.155,7</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6.687,7</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6.805,5</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r w:rsidRPr="001039C6">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Actualisatie programma</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2,1</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-49,2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-13,4</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-46,1</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27,6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1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Saldo 2018</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351,5</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353,6</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-49,2</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-13,4</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-46,1</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27,6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r w:rsidRPr="001039C6">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 xml:space="preserve">Inpassing </w:t>
            </w:r>
            <w:proofErr w:type="spellStart"/>
            <w:r w:rsidRPr="001039C6">
              <w:rPr>
                <w:rFonts w:eastAsia="Times New Roman" w:cs="Times New Roman"/>
                <w:color w:val="000000"/>
                <w:szCs w:val="18"/>
                <w:lang w:eastAsia="nl-NL"/>
              </w:rPr>
              <w:t>dbfm</w:t>
            </w:r>
            <w:proofErr w:type="spellEnd"/>
            <w:r w:rsidRPr="001039C6">
              <w:rPr>
                <w:rFonts w:eastAsia="Times New Roman" w:cs="Times New Roman"/>
                <w:color w:val="000000"/>
                <w:szCs w:val="18"/>
                <w:lang w:eastAsia="nl-NL"/>
              </w:rPr>
              <w:t xml:space="preserve"> a16 </w:t>
            </w:r>
            <w:proofErr w:type="spellStart"/>
            <w:r w:rsidRPr="001039C6">
              <w:rPr>
                <w:rFonts w:eastAsia="Times New Roman" w:cs="Times New Roman"/>
                <w:color w:val="000000"/>
                <w:szCs w:val="18"/>
                <w:lang w:eastAsia="nl-NL"/>
              </w:rPr>
              <w:t>rotterdam</w:t>
            </w:r>
            <w:proofErr w:type="spellEnd"/>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-95,2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-92,8</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-137,5</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-289,9</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46,1</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45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 xml:space="preserve">Inpassing </w:t>
            </w:r>
            <w:proofErr w:type="spellStart"/>
            <w:r w:rsidRPr="001039C6">
              <w:rPr>
                <w:rFonts w:eastAsia="Times New Roman" w:cs="Times New Roman"/>
                <w:color w:val="000000"/>
                <w:szCs w:val="18"/>
                <w:lang w:eastAsia="nl-NL"/>
              </w:rPr>
              <w:t>dbfm</w:t>
            </w:r>
            <w:proofErr w:type="spellEnd"/>
            <w:r w:rsidRPr="001039C6">
              <w:rPr>
                <w:rFonts w:eastAsia="Times New Roman" w:cs="Times New Roman"/>
                <w:color w:val="000000"/>
                <w:szCs w:val="18"/>
                <w:lang w:eastAsia="nl-NL"/>
              </w:rPr>
              <w:t xml:space="preserve"> a24 blankenburgverbinding</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-181,9</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-220,2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-117,0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2,7</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132,6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Kornwerderzand</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1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-73,1</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-9,3</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-13,1</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-310,2</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-313,6</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-263,8</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-307,2</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165,6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ascii="Times New Roman" w:hAnsi="Times New Roman" w:eastAsia="Times New Roman" w:cs="Times New Roman"/>
                <w:sz w:val="20"/>
                <w:szCs w:val="20"/>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43,4</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-362,7</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-277,2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-353,2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193,1</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1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7.411,4</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6.815,1</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6.878,5</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6.334,5</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6.998,6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1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7.411,4</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6.815,1</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6.878,5</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6.334,5</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6.998,6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24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240"/>
        </w:trPr>
        <w:tc>
          <w:tcPr>
            <w:tcW w:w="10860" w:type="dxa"/>
            <w:gridSpan w:val="7"/>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A INFRASTRUCTUURFONDS: NIET-BELASTINGONTVANGSTEN</w:t>
            </w:r>
          </w:p>
        </w:tc>
      </w:tr>
      <w:tr w:rsidRPr="001039C6" w:rsidR="001039C6" w:rsidTr="001039C6">
        <w:trPr>
          <w:trHeight w:val="315"/>
        </w:trPr>
        <w:tc>
          <w:tcPr>
            <w:tcW w:w="43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7.368,0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7.177,8</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7.155,7</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6.687,7</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6.805,5</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r w:rsidRPr="001039C6">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Actualisatie programma</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2,1</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-49,2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-13,4</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-46,1</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27,6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24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Saldo 2018</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155,9</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158,0</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-49,2</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-13,4</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-46,1</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27,6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r w:rsidRPr="001039C6">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22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 xml:space="preserve">Inpassing </w:t>
            </w:r>
            <w:proofErr w:type="spellStart"/>
            <w:r w:rsidRPr="001039C6">
              <w:rPr>
                <w:rFonts w:eastAsia="Times New Roman" w:cs="Times New Roman"/>
                <w:color w:val="000000"/>
                <w:szCs w:val="18"/>
                <w:lang w:eastAsia="nl-NL"/>
              </w:rPr>
              <w:t>dbfm</w:t>
            </w:r>
            <w:proofErr w:type="spellEnd"/>
            <w:r w:rsidRPr="001039C6">
              <w:rPr>
                <w:rFonts w:eastAsia="Times New Roman" w:cs="Times New Roman"/>
                <w:color w:val="000000"/>
                <w:szCs w:val="18"/>
                <w:lang w:eastAsia="nl-NL"/>
              </w:rPr>
              <w:t xml:space="preserve"> a16 </w:t>
            </w:r>
            <w:proofErr w:type="spellStart"/>
            <w:r w:rsidRPr="001039C6">
              <w:rPr>
                <w:rFonts w:eastAsia="Times New Roman" w:cs="Times New Roman"/>
                <w:color w:val="000000"/>
                <w:szCs w:val="18"/>
                <w:lang w:eastAsia="nl-NL"/>
              </w:rPr>
              <w:t>rotterdam</w:t>
            </w:r>
            <w:proofErr w:type="spellEnd"/>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-95,2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-92,8</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-137,5</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-289,9</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46,1</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45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 xml:space="preserve">Inpassing </w:t>
            </w:r>
            <w:proofErr w:type="spellStart"/>
            <w:r w:rsidRPr="001039C6">
              <w:rPr>
                <w:rFonts w:eastAsia="Times New Roman" w:cs="Times New Roman"/>
                <w:color w:val="000000"/>
                <w:szCs w:val="18"/>
                <w:lang w:eastAsia="nl-NL"/>
              </w:rPr>
              <w:t>dbfm</w:t>
            </w:r>
            <w:proofErr w:type="spellEnd"/>
            <w:r w:rsidRPr="001039C6">
              <w:rPr>
                <w:rFonts w:eastAsia="Times New Roman" w:cs="Times New Roman"/>
                <w:color w:val="000000"/>
                <w:szCs w:val="18"/>
                <w:lang w:eastAsia="nl-NL"/>
              </w:rPr>
              <w:t xml:space="preserve"> a24 blankenburgverbinding</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-181,9</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-220,2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-117,0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2,7</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132,6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22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Kornwerderzand</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22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-73,1</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-9,3</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-13,1</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r w:rsidRPr="001039C6">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24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ind w:firstLine="360" w:firstLineChars="200"/>
              <w:rPr>
                <w:rFonts w:eastAsia="Times New Roman" w:cs="Times New Roman"/>
                <w:color w:val="000000"/>
                <w:szCs w:val="18"/>
                <w:lang w:eastAsia="nl-NL"/>
              </w:rPr>
            </w:pPr>
            <w:r w:rsidRPr="001039C6">
              <w:rPr>
                <w:rFonts w:eastAsia="Times New Roman" w:cs="Times New Roman"/>
                <w:color w:val="000000"/>
                <w:szCs w:val="18"/>
                <w:lang w:eastAsia="nl-NL"/>
              </w:rPr>
              <w:t>Saldo 2018</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195,5</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22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-114,7</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-313,6</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-263,8</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-307,2</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165,6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0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22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43,4</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-362,7</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-277,2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-353,2</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193,1</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31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rPr>
                <w:rFonts w:ascii="Times New Roman" w:hAnsi="Times New Roman" w:eastAsia="Times New Roman" w:cs="Times New Roman"/>
                <w:sz w:val="20"/>
                <w:szCs w:val="20"/>
                <w:lang w:eastAsia="nl-NL"/>
              </w:rPr>
            </w:pPr>
          </w:p>
        </w:tc>
      </w:tr>
      <w:tr w:rsidRPr="001039C6" w:rsidR="001039C6" w:rsidTr="001039C6">
        <w:trPr>
          <w:trHeight w:val="22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7.411,4</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6.815,1</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6.878,5</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6.334,5</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6.998,6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240"/>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r w:rsidRPr="001039C6" w:rsidR="001039C6" w:rsidTr="001039C6">
        <w:trPr>
          <w:trHeight w:val="225"/>
        </w:trPr>
        <w:tc>
          <w:tcPr>
            <w:tcW w:w="4360" w:type="dxa"/>
            <w:tcBorders>
              <w:top w:val="nil"/>
              <w:left w:val="nil"/>
              <w:bottom w:val="nil"/>
              <w:right w:val="nil"/>
            </w:tcBorders>
            <w:shd w:val="clear" w:color="auto" w:fill="auto"/>
            <w:hideMark/>
          </w:tcPr>
          <w:p w:rsidRPr="001039C6" w:rsidR="001039C6" w:rsidP="001039C6" w:rsidRDefault="001039C6">
            <w:pPr>
              <w:spacing w:after="0" w:line="240" w:lineRule="auto"/>
              <w:rPr>
                <w:rFonts w:eastAsia="Times New Roman" w:cs="Times New Roman"/>
                <w:color w:val="000000"/>
                <w:szCs w:val="18"/>
                <w:lang w:eastAsia="nl-NL"/>
              </w:rPr>
            </w:pPr>
            <w:r w:rsidRPr="001039C6">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7.411,4</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6.815,1</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6.878,5</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6.334,5</w:t>
            </w:r>
          </w:p>
        </w:tc>
        <w:tc>
          <w:tcPr>
            <w:tcW w:w="1060" w:type="dxa"/>
            <w:tcBorders>
              <w:top w:val="single" w:color="000000" w:sz="8" w:space="0"/>
              <w:left w:val="nil"/>
              <w:bottom w:val="nil"/>
              <w:right w:val="nil"/>
            </w:tcBorders>
            <w:shd w:val="clear" w:color="auto" w:fill="auto"/>
            <w:hideMark/>
          </w:tcPr>
          <w:p w:rsidRPr="001039C6" w:rsidR="001039C6" w:rsidP="001039C6" w:rsidRDefault="001039C6">
            <w:pPr>
              <w:spacing w:after="0" w:line="240" w:lineRule="auto"/>
              <w:jc w:val="right"/>
              <w:rPr>
                <w:rFonts w:eastAsia="Times New Roman" w:cs="Times New Roman"/>
                <w:color w:val="000000"/>
                <w:szCs w:val="18"/>
                <w:lang w:eastAsia="nl-NL"/>
              </w:rPr>
            </w:pPr>
            <w:r w:rsidRPr="001039C6">
              <w:rPr>
                <w:rFonts w:eastAsia="Times New Roman" w:cs="Times New Roman"/>
                <w:color w:val="000000"/>
                <w:szCs w:val="18"/>
                <w:lang w:eastAsia="nl-NL"/>
              </w:rPr>
              <w:t>6.998,6</w:t>
            </w:r>
          </w:p>
        </w:tc>
        <w:tc>
          <w:tcPr>
            <w:tcW w:w="1080" w:type="dxa"/>
            <w:tcBorders>
              <w:top w:val="nil"/>
              <w:left w:val="nil"/>
              <w:bottom w:val="nil"/>
              <w:right w:val="nil"/>
            </w:tcBorders>
            <w:shd w:val="clear" w:color="auto" w:fill="auto"/>
            <w:noWrap/>
            <w:vAlign w:val="bottom"/>
            <w:hideMark/>
          </w:tcPr>
          <w:p w:rsidRPr="001039C6" w:rsidR="001039C6" w:rsidP="001039C6" w:rsidRDefault="001039C6">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7738F4" w:rsidP="00221652" w:rsidRDefault="007738F4">
      <w:pPr>
        <w:spacing w:after="0"/>
        <w:rPr>
          <w:i/>
          <w:szCs w:val="18"/>
        </w:rPr>
      </w:pPr>
    </w:p>
    <w:p w:rsidRPr="001039C6" w:rsidR="001039C6" w:rsidP="001039C6" w:rsidRDefault="001039C6">
      <w:pPr>
        <w:spacing w:after="0"/>
        <w:rPr>
          <w:i/>
          <w:szCs w:val="18"/>
        </w:rPr>
      </w:pPr>
      <w:r w:rsidRPr="001039C6">
        <w:rPr>
          <w:i/>
          <w:szCs w:val="18"/>
        </w:rPr>
        <w:lastRenderedPageBreak/>
        <w:t>Actualisatie programma</w:t>
      </w:r>
    </w:p>
    <w:p w:rsidRPr="00F54441" w:rsidR="001039C6" w:rsidP="00F54441" w:rsidRDefault="00F54441">
      <w:pPr>
        <w:spacing w:after="0"/>
        <w:rPr>
          <w:szCs w:val="18"/>
        </w:rPr>
      </w:pPr>
      <w:r w:rsidRPr="00F54441">
        <w:rPr>
          <w:szCs w:val="18"/>
        </w:rPr>
        <w:t>Dit betreft het deel van de actualisatie waarbij de prognoses voor de ontvangsten en de prognose hoofdvaarwegennet worden bijgesteld middels desalderingen.</w:t>
      </w:r>
    </w:p>
    <w:p w:rsidR="00F54441" w:rsidP="00221652" w:rsidRDefault="00F54441">
      <w:pPr>
        <w:spacing w:after="0"/>
        <w:rPr>
          <w:i/>
          <w:szCs w:val="18"/>
        </w:rPr>
      </w:pPr>
    </w:p>
    <w:p w:rsidRPr="00C1534E" w:rsidR="00221652" w:rsidP="00221652" w:rsidRDefault="00221652">
      <w:pPr>
        <w:spacing w:after="0"/>
        <w:rPr>
          <w:i/>
          <w:szCs w:val="18"/>
        </w:rPr>
      </w:pPr>
      <w:r w:rsidRPr="00C1534E">
        <w:rPr>
          <w:i/>
          <w:szCs w:val="18"/>
        </w:rPr>
        <w:t>Saldo 201</w:t>
      </w:r>
      <w:r>
        <w:rPr>
          <w:i/>
          <w:szCs w:val="18"/>
        </w:rPr>
        <w:t>8</w:t>
      </w:r>
    </w:p>
    <w:p w:rsidRPr="00C1534E" w:rsidR="00221652" w:rsidP="00221652" w:rsidRDefault="00221652">
      <w:pPr>
        <w:spacing w:after="0"/>
        <w:rPr>
          <w:szCs w:val="18"/>
        </w:rPr>
      </w:pPr>
      <w:r w:rsidRPr="00C1534E">
        <w:rPr>
          <w:szCs w:val="18"/>
        </w:rPr>
        <w:t>Het voordelig saldo over 201</w:t>
      </w:r>
      <w:r>
        <w:rPr>
          <w:szCs w:val="18"/>
        </w:rPr>
        <w:t>8</w:t>
      </w:r>
      <w:r w:rsidRPr="00C1534E">
        <w:rPr>
          <w:szCs w:val="18"/>
        </w:rPr>
        <w:t xml:space="preserve"> is in 201</w:t>
      </w:r>
      <w:r>
        <w:rPr>
          <w:szCs w:val="18"/>
        </w:rPr>
        <w:t>9</w:t>
      </w:r>
      <w:r w:rsidRPr="00C1534E">
        <w:rPr>
          <w:szCs w:val="18"/>
        </w:rPr>
        <w:t xml:space="preserve"> toegevoegd aan de begroting van het Infrastructuurfonds. Het saldo 201</w:t>
      </w:r>
      <w:r>
        <w:rPr>
          <w:szCs w:val="18"/>
        </w:rPr>
        <w:t>8</w:t>
      </w:r>
      <w:r w:rsidRPr="00C1534E">
        <w:rPr>
          <w:szCs w:val="18"/>
        </w:rPr>
        <w:t xml:space="preserve"> bedraagt </w:t>
      </w:r>
      <w:r w:rsidRPr="00920ACC">
        <w:rPr>
          <w:rFonts w:eastAsia="Times New Roman"/>
          <w:szCs w:val="18"/>
        </w:rPr>
        <w:t>351,5</w:t>
      </w:r>
      <w:r>
        <w:rPr>
          <w:rFonts w:eastAsia="Times New Roman"/>
          <w:szCs w:val="18"/>
        </w:rPr>
        <w:t xml:space="preserve"> </w:t>
      </w:r>
      <w:r w:rsidRPr="00C1534E">
        <w:rPr>
          <w:szCs w:val="18"/>
        </w:rPr>
        <w:t xml:space="preserve">mln. op de uitgaven en </w:t>
      </w:r>
      <w:r w:rsidRPr="00920ACC">
        <w:rPr>
          <w:rFonts w:eastAsia="Times New Roman"/>
          <w:szCs w:val="18"/>
        </w:rPr>
        <w:t>155,9</w:t>
      </w:r>
      <w:r>
        <w:rPr>
          <w:rFonts w:eastAsia="Times New Roman"/>
          <w:szCs w:val="18"/>
        </w:rPr>
        <w:t xml:space="preserve"> </w:t>
      </w:r>
      <w:r w:rsidRPr="00C1534E">
        <w:rPr>
          <w:szCs w:val="18"/>
        </w:rPr>
        <w:t xml:space="preserve">mln. op de ontvangsten, waardoor het netto saldo (uitgaven minus ontvangsten) uitkomt op </w:t>
      </w:r>
      <w:r>
        <w:rPr>
          <w:rFonts w:eastAsia="Times New Roman"/>
          <w:szCs w:val="18"/>
        </w:rPr>
        <w:t xml:space="preserve">195,5 </w:t>
      </w:r>
      <w:r w:rsidRPr="00C1534E">
        <w:rPr>
          <w:szCs w:val="18"/>
        </w:rPr>
        <w:t>mln.</w:t>
      </w:r>
    </w:p>
    <w:p w:rsidR="00221652" w:rsidP="00221652" w:rsidRDefault="00221652">
      <w:pPr>
        <w:spacing w:after="0"/>
        <w:rPr>
          <w:rFonts w:eastAsia="Times New Roman"/>
        </w:rPr>
      </w:pPr>
    </w:p>
    <w:p w:rsidRPr="001039C6" w:rsidR="00221652" w:rsidP="00221652" w:rsidRDefault="00221652">
      <w:pPr>
        <w:autoSpaceDE w:val="0"/>
        <w:autoSpaceDN w:val="0"/>
        <w:adjustRightInd w:val="0"/>
        <w:spacing w:after="0"/>
        <w:ind w:right="1133"/>
        <w:rPr>
          <w:rFonts w:cs="Univers"/>
          <w:i/>
          <w:szCs w:val="18"/>
        </w:rPr>
      </w:pPr>
      <w:r w:rsidRPr="001039C6">
        <w:rPr>
          <w:rFonts w:eastAsia="Times New Roman"/>
          <w:i/>
          <w:szCs w:val="18"/>
        </w:rPr>
        <w:t>Inpassing DBFM A16 Rotterdam en A24 Blankenburgverbinding</w:t>
      </w:r>
    </w:p>
    <w:p w:rsidR="00221652" w:rsidP="00221652" w:rsidRDefault="00221652">
      <w:pPr>
        <w:autoSpaceDE w:val="0"/>
        <w:autoSpaceDN w:val="0"/>
        <w:adjustRightInd w:val="0"/>
        <w:spacing w:after="0"/>
        <w:ind w:right="1133"/>
        <w:rPr>
          <w:rFonts w:cs="Univers"/>
          <w:szCs w:val="18"/>
        </w:rPr>
      </w:pPr>
      <w:r>
        <w:rPr>
          <w:rFonts w:cs="Univers"/>
          <w:szCs w:val="18"/>
        </w:rPr>
        <w:t>De projectbudgetten voor de DBFM-projecten A16 Rotterdam en A24 Blankenburgverbinding worden omgezet in begrotingsreeksen voor betaling van de jaarlijkse beschikbaarheidsvergoeding.</w:t>
      </w:r>
    </w:p>
    <w:p w:rsidR="001039C6" w:rsidP="00221652" w:rsidRDefault="001039C6">
      <w:pPr>
        <w:autoSpaceDE w:val="0"/>
        <w:autoSpaceDN w:val="0"/>
        <w:adjustRightInd w:val="0"/>
        <w:spacing w:after="0"/>
        <w:ind w:right="1133"/>
        <w:rPr>
          <w:rFonts w:cs="Univers"/>
          <w:szCs w:val="18"/>
        </w:rPr>
      </w:pPr>
    </w:p>
    <w:p w:rsidR="001039C6" w:rsidP="001039C6" w:rsidRDefault="001039C6">
      <w:pPr>
        <w:autoSpaceDE w:val="0"/>
        <w:autoSpaceDN w:val="0"/>
        <w:adjustRightInd w:val="0"/>
        <w:spacing w:after="0"/>
        <w:ind w:right="1133"/>
        <w:rPr>
          <w:rFonts w:cs="Univers"/>
          <w:i/>
          <w:szCs w:val="18"/>
        </w:rPr>
      </w:pPr>
      <w:r>
        <w:rPr>
          <w:rFonts w:cs="Univers"/>
          <w:i/>
          <w:szCs w:val="18"/>
        </w:rPr>
        <w:t>Kornwerderzand</w:t>
      </w:r>
    </w:p>
    <w:p w:rsidRPr="009A7500" w:rsidR="001039C6" w:rsidP="00221652" w:rsidRDefault="001039C6">
      <w:pPr>
        <w:autoSpaceDE w:val="0"/>
        <w:autoSpaceDN w:val="0"/>
        <w:adjustRightInd w:val="0"/>
        <w:spacing w:after="0"/>
        <w:ind w:right="1133"/>
        <w:rPr>
          <w:rFonts w:cs="Univers"/>
          <w:szCs w:val="18"/>
        </w:rPr>
      </w:pPr>
      <w:r>
        <w:rPr>
          <w:rFonts w:cs="Univers"/>
          <w:szCs w:val="18"/>
        </w:rPr>
        <w:t>Ten behoeve van de verbreding van de sluis en bruggen bij Kornwerderzand wordt een bijdrage van 40 mln. beschikbaar gesteld in 2019.</w:t>
      </w:r>
    </w:p>
    <w:p w:rsidR="00221652" w:rsidP="00221652" w:rsidRDefault="00221652">
      <w:pPr>
        <w:spacing w:after="0"/>
        <w:rPr>
          <w:rFonts w:eastAsia="Times New Roman"/>
        </w:rPr>
      </w:pPr>
    </w:p>
    <w:p w:rsidRPr="004B598A" w:rsidR="00221652" w:rsidP="00221652" w:rsidRDefault="00221652">
      <w:pPr>
        <w:spacing w:after="0"/>
        <w:rPr>
          <w:rFonts w:eastAsia="Times New Roman"/>
          <w:i/>
          <w:color w:val="000000"/>
          <w:szCs w:val="18"/>
        </w:rPr>
      </w:pPr>
      <w:r w:rsidRPr="004B598A">
        <w:rPr>
          <w:rFonts w:eastAsia="Times New Roman"/>
          <w:i/>
          <w:color w:val="000000"/>
          <w:szCs w:val="18"/>
        </w:rPr>
        <w:t>Diversen - technische mutaties</w:t>
      </w:r>
    </w:p>
    <w:p w:rsidR="00221652" w:rsidP="00221652" w:rsidRDefault="00221652">
      <w:pPr>
        <w:spacing w:after="0"/>
        <w:rPr>
          <w:szCs w:val="18"/>
        </w:rPr>
      </w:pPr>
      <w:r w:rsidRPr="004B598A">
        <w:rPr>
          <w:szCs w:val="18"/>
        </w:rPr>
        <w:t xml:space="preserve">Deze post bestaat </w:t>
      </w:r>
      <w:r>
        <w:rPr>
          <w:szCs w:val="18"/>
        </w:rPr>
        <w:t>volledig</w:t>
      </w:r>
      <w:r w:rsidRPr="004B598A">
        <w:rPr>
          <w:szCs w:val="18"/>
        </w:rPr>
        <w:t xml:space="preserve"> uit </w:t>
      </w:r>
      <w:r>
        <w:rPr>
          <w:szCs w:val="18"/>
        </w:rPr>
        <w:t>desalderingen, waarvan dit de grootste vijf zijn:</w:t>
      </w:r>
    </w:p>
    <w:p w:rsidR="00221652" w:rsidP="00221652" w:rsidRDefault="00221652">
      <w:pPr>
        <w:pStyle w:val="Lijstalinea"/>
        <w:numPr>
          <w:ilvl w:val="0"/>
          <w:numId w:val="25"/>
        </w:numPr>
        <w:spacing w:after="0"/>
        <w:rPr>
          <w:szCs w:val="18"/>
        </w:rPr>
      </w:pPr>
      <w:r>
        <w:rPr>
          <w:szCs w:val="18"/>
        </w:rPr>
        <w:t>H</w:t>
      </w:r>
      <w:r w:rsidRPr="004B598A">
        <w:rPr>
          <w:szCs w:val="18"/>
        </w:rPr>
        <w:t>ogere ontvangsten van derden t</w:t>
      </w:r>
      <w:r>
        <w:rPr>
          <w:szCs w:val="18"/>
        </w:rPr>
        <w:t>en behoeve van het</w:t>
      </w:r>
      <w:r w:rsidRPr="004B598A">
        <w:rPr>
          <w:szCs w:val="18"/>
        </w:rPr>
        <w:t xml:space="preserve"> hoofdwegennet (</w:t>
      </w:r>
      <w:r>
        <w:rPr>
          <w:szCs w:val="18"/>
        </w:rPr>
        <w:t>20,3 mln. in 2019),</w:t>
      </w:r>
    </w:p>
    <w:p w:rsidR="00221652" w:rsidP="00221652" w:rsidRDefault="00221652">
      <w:pPr>
        <w:pStyle w:val="Lijstalinea"/>
        <w:numPr>
          <w:ilvl w:val="0"/>
          <w:numId w:val="25"/>
        </w:numPr>
        <w:spacing w:after="0"/>
        <w:rPr>
          <w:szCs w:val="18"/>
        </w:rPr>
      </w:pPr>
      <w:r>
        <w:rPr>
          <w:szCs w:val="18"/>
        </w:rPr>
        <w:t>E</w:t>
      </w:r>
      <w:r w:rsidRPr="00BB4104">
        <w:rPr>
          <w:szCs w:val="18"/>
        </w:rPr>
        <w:t>en overboeking naar het IenW</w:t>
      </w:r>
      <w:r>
        <w:rPr>
          <w:szCs w:val="18"/>
        </w:rPr>
        <w:t>-</w:t>
      </w:r>
      <w:r w:rsidRPr="00BB4104">
        <w:rPr>
          <w:szCs w:val="18"/>
        </w:rPr>
        <w:t>beleidsartikel t</w:t>
      </w:r>
      <w:r>
        <w:rPr>
          <w:szCs w:val="18"/>
        </w:rPr>
        <w:t>en behoeve van</w:t>
      </w:r>
      <w:r w:rsidRPr="00BB4104">
        <w:rPr>
          <w:szCs w:val="18"/>
        </w:rPr>
        <w:t xml:space="preserve"> de betaling aan de Metropoolregio Rotterdam Den Haag van (het restant van) de Rijksbijdrage aan het Kwaliteitsprogramma Blankenburgverbinding (20,2 mln.), </w:t>
      </w:r>
    </w:p>
    <w:p w:rsidR="00221652" w:rsidP="00221652" w:rsidRDefault="00221652">
      <w:pPr>
        <w:pStyle w:val="Lijstalinea"/>
        <w:numPr>
          <w:ilvl w:val="0"/>
          <w:numId w:val="25"/>
        </w:numPr>
        <w:spacing w:after="0"/>
        <w:rPr>
          <w:szCs w:val="18"/>
        </w:rPr>
      </w:pPr>
      <w:r>
        <w:rPr>
          <w:szCs w:val="18"/>
        </w:rPr>
        <w:t>E</w:t>
      </w:r>
      <w:r w:rsidRPr="00BB4104">
        <w:rPr>
          <w:szCs w:val="18"/>
        </w:rPr>
        <w:t>en overboeking naar het IenW</w:t>
      </w:r>
      <w:r>
        <w:rPr>
          <w:szCs w:val="18"/>
        </w:rPr>
        <w:t>-</w:t>
      </w:r>
      <w:r w:rsidRPr="00BB4104">
        <w:rPr>
          <w:szCs w:val="18"/>
        </w:rPr>
        <w:t xml:space="preserve">beleidsartikel ter dekking van de subsidieregeling spoorgoederenvervoer (14,5 mln. in 2019), </w:t>
      </w:r>
    </w:p>
    <w:p w:rsidR="00221652" w:rsidP="00221652" w:rsidRDefault="00221652">
      <w:pPr>
        <w:pStyle w:val="Lijstalinea"/>
        <w:numPr>
          <w:ilvl w:val="0"/>
          <w:numId w:val="25"/>
        </w:numPr>
        <w:spacing w:after="0"/>
        <w:rPr>
          <w:szCs w:val="18"/>
        </w:rPr>
      </w:pPr>
      <w:r w:rsidRPr="00BB4104">
        <w:rPr>
          <w:rFonts w:eastAsia="Times New Roman"/>
          <w:szCs w:val="14"/>
        </w:rPr>
        <w:t xml:space="preserve">Een verrekening van de compensatie </w:t>
      </w:r>
      <w:r w:rsidRPr="00BB4104">
        <w:rPr>
          <w:szCs w:val="18"/>
        </w:rPr>
        <w:t>voor de gebruiksvergoeding IC-Brussel over de periode 2015-2018 (12,7 mln.) aan NS</w:t>
      </w:r>
      <w:r>
        <w:rPr>
          <w:szCs w:val="18"/>
        </w:rPr>
        <w:t>,</w:t>
      </w:r>
    </w:p>
    <w:p w:rsidRPr="00BB4104" w:rsidR="00221652" w:rsidP="00221652" w:rsidRDefault="00221652">
      <w:pPr>
        <w:pStyle w:val="Lijstalinea"/>
        <w:numPr>
          <w:ilvl w:val="0"/>
          <w:numId w:val="25"/>
        </w:numPr>
        <w:spacing w:after="0"/>
        <w:rPr>
          <w:szCs w:val="18"/>
        </w:rPr>
      </w:pPr>
      <w:r w:rsidRPr="00BB4104">
        <w:rPr>
          <w:szCs w:val="18"/>
        </w:rPr>
        <w:t>Brede doeluitkering beter benutten en snelfietsroutes (12,5 mln.)</w:t>
      </w:r>
      <w:r>
        <w:rPr>
          <w:szCs w:val="18"/>
        </w:rPr>
        <w:t>.</w:t>
      </w:r>
    </w:p>
    <w:p w:rsidR="00221652" w:rsidP="001D695D" w:rsidRDefault="00221652">
      <w:pPr>
        <w:spacing w:after="0"/>
        <w:rPr>
          <w:rFonts w:asciiTheme="majorHAnsi" w:hAnsiTheme="majorHAnsi"/>
          <w:b/>
          <w:szCs w:val="18"/>
        </w:rPr>
      </w:pP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7738F4" w:rsidR="007738F4" w:rsidTr="007738F4">
        <w:trPr>
          <w:trHeight w:val="225"/>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b/>
                <w:bCs/>
                <w:color w:val="000000"/>
                <w:szCs w:val="18"/>
                <w:lang w:eastAsia="nl-NL"/>
              </w:rPr>
            </w:pPr>
            <w:r w:rsidRPr="007738F4">
              <w:rPr>
                <w:rFonts w:eastAsia="Times New Roman" w:cs="Times New Roman"/>
                <w:b/>
                <w:bCs/>
                <w:color w:val="000000"/>
                <w:szCs w:val="18"/>
                <w:lang w:eastAsia="nl-NL"/>
              </w:rPr>
              <w:lastRenderedPageBreak/>
              <w:t>Diergezondheidsfonds</w:t>
            </w: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F DIERGEZONDHEIDSFONDS: UITGAVEN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46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 xml:space="preserve">Toevoeging eindsaldo </w:t>
            </w:r>
            <w:proofErr w:type="spellStart"/>
            <w:r w:rsidRPr="007738F4">
              <w:rPr>
                <w:rFonts w:eastAsia="Times New Roman" w:cs="Times New Roman"/>
                <w:color w:val="000000"/>
                <w:szCs w:val="18"/>
                <w:lang w:eastAsia="nl-NL"/>
              </w:rPr>
              <w:t>dgf</w:t>
            </w:r>
            <w:proofErr w:type="spellEnd"/>
            <w:r w:rsidRPr="007738F4">
              <w:rPr>
                <w:rFonts w:eastAsia="Times New Roman" w:cs="Times New Roman"/>
                <w:color w:val="000000"/>
                <w:szCs w:val="18"/>
                <w:lang w:eastAsia="nl-NL"/>
              </w:rPr>
              <w:t xml:space="preserve"> 2018 aan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23,1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23,1</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23,1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57,7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57,7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F DIERGEZONDHEIDSFONDS: NIET-BELASTINGONTVANGSTEN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46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 xml:space="preserve">Toevoeging eindsaldo </w:t>
            </w:r>
            <w:proofErr w:type="spellStart"/>
            <w:r w:rsidRPr="007738F4">
              <w:rPr>
                <w:rFonts w:eastAsia="Times New Roman" w:cs="Times New Roman"/>
                <w:color w:val="000000"/>
                <w:szCs w:val="18"/>
                <w:lang w:eastAsia="nl-NL"/>
              </w:rPr>
              <w:t>dgf</w:t>
            </w:r>
            <w:proofErr w:type="spellEnd"/>
            <w:r w:rsidRPr="007738F4">
              <w:rPr>
                <w:rFonts w:eastAsia="Times New Roman" w:cs="Times New Roman"/>
                <w:color w:val="000000"/>
                <w:szCs w:val="18"/>
                <w:lang w:eastAsia="nl-NL"/>
              </w:rPr>
              <w:t xml:space="preserve"> 2018 aan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23,1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23,1</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4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23,1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57,7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57,7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34,6</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C109C8" w:rsidR="00C109C8" w:rsidP="001D695D" w:rsidRDefault="00C109C8">
      <w:pPr>
        <w:spacing w:after="0"/>
        <w:rPr>
          <w:rFonts w:asciiTheme="majorHAnsi" w:hAnsiTheme="majorHAnsi"/>
          <w:i/>
          <w:szCs w:val="18"/>
        </w:rPr>
      </w:pPr>
      <w:r w:rsidRPr="00C109C8">
        <w:rPr>
          <w:rFonts w:asciiTheme="majorHAnsi" w:hAnsiTheme="majorHAnsi"/>
          <w:i/>
          <w:szCs w:val="18"/>
        </w:rPr>
        <w:t>Toevoeging eindsaldo DGF 2018 aan 2019</w:t>
      </w:r>
    </w:p>
    <w:p w:rsidRPr="00C109C8" w:rsidR="00C109C8" w:rsidP="001D695D" w:rsidRDefault="00A37C42">
      <w:pPr>
        <w:spacing w:after="0"/>
        <w:rPr>
          <w:rFonts w:asciiTheme="majorHAnsi" w:hAnsiTheme="majorHAnsi"/>
          <w:szCs w:val="18"/>
        </w:rPr>
      </w:pPr>
      <w:r>
        <w:rPr>
          <w:szCs w:val="18"/>
        </w:rPr>
        <w:t>De mutatie van 23,1 mln. betreft de toevoeging van het eindsaldo van 2018 aan het beginsaldo van 2019. Dit is volgens de reguliere systematiek van het diergezondheidsfonds</w:t>
      </w:r>
      <w:r w:rsidRPr="00C109C8" w:rsidR="00C109C8">
        <w:rPr>
          <w:rFonts w:asciiTheme="majorHAnsi" w:hAnsiTheme="majorHAnsi"/>
          <w:szCs w:val="18"/>
        </w:rPr>
        <w:t>.</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7738F4" w:rsidR="007738F4" w:rsidTr="007738F4">
        <w:trPr>
          <w:trHeight w:val="225"/>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b/>
                <w:bCs/>
                <w:color w:val="000000"/>
                <w:szCs w:val="18"/>
                <w:lang w:eastAsia="nl-NL"/>
              </w:rPr>
            </w:pPr>
            <w:r w:rsidRPr="007738F4">
              <w:rPr>
                <w:rFonts w:eastAsia="Times New Roman" w:cs="Times New Roman"/>
                <w:b/>
                <w:bCs/>
                <w:color w:val="000000"/>
                <w:szCs w:val="18"/>
                <w:lang w:eastAsia="nl-NL"/>
              </w:rPr>
              <w:lastRenderedPageBreak/>
              <w:t>BES-fonds</w:t>
            </w: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H BES-FONDS: UITGAVEN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38,3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33,5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33,3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33,4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33,4</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4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42,8</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34,3</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42,8</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34,3</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34,3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4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H BES-FONDS: NIET-BELASTINGONTVANGSTEN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743C03" w:rsidR="00DA57DB" w:rsidP="00DA57DB" w:rsidRDefault="00DA57DB">
      <w:pPr>
        <w:pStyle w:val="Geenafstand"/>
        <w:spacing w:line="276" w:lineRule="auto"/>
        <w:rPr>
          <w:rFonts w:eastAsia="Times New Roman"/>
          <w:i/>
          <w:szCs w:val="18"/>
        </w:rPr>
      </w:pPr>
      <w:r>
        <w:rPr>
          <w:rFonts w:eastAsia="Times New Roman"/>
          <w:i/>
          <w:szCs w:val="18"/>
        </w:rPr>
        <w:t xml:space="preserve">Diversen - </w:t>
      </w:r>
      <w:r w:rsidRPr="00743C03">
        <w:rPr>
          <w:rFonts w:eastAsia="Times New Roman"/>
          <w:i/>
          <w:szCs w:val="18"/>
        </w:rPr>
        <w:t>technische mutaties</w:t>
      </w:r>
      <w:r>
        <w:rPr>
          <w:rFonts w:eastAsia="Times New Roman"/>
          <w:i/>
          <w:szCs w:val="18"/>
        </w:rPr>
        <w:t xml:space="preserve">, </w:t>
      </w:r>
      <w:r w:rsidRPr="00743C03">
        <w:rPr>
          <w:rFonts w:eastAsia="Times New Roman"/>
          <w:i/>
          <w:szCs w:val="18"/>
        </w:rPr>
        <w:t>uitgaven</w:t>
      </w:r>
    </w:p>
    <w:p w:rsidR="00DA57DB" w:rsidP="00DA57DB" w:rsidRDefault="00DA57DB">
      <w:pPr>
        <w:spacing w:after="0"/>
        <w:rPr>
          <w:rFonts w:asciiTheme="majorHAnsi" w:hAnsiTheme="majorHAnsi"/>
          <w:b/>
          <w:szCs w:val="18"/>
        </w:rPr>
      </w:pPr>
      <w:r>
        <w:rPr>
          <w:rFonts w:eastAsia="Times New Roman"/>
          <w:szCs w:val="18"/>
        </w:rPr>
        <w:t xml:space="preserve">Sinds 2018 ontvangt het BES-fonds compensatie voor loon- en prijsontwikkeling. </w:t>
      </w:r>
      <w:r w:rsidRPr="00743C03">
        <w:rPr>
          <w:rFonts w:eastAsia="Times New Roman"/>
          <w:szCs w:val="18"/>
        </w:rPr>
        <w:t xml:space="preserve">De </w:t>
      </w:r>
      <w:r>
        <w:rPr>
          <w:rFonts w:eastAsia="Times New Roman"/>
          <w:szCs w:val="18"/>
        </w:rPr>
        <w:t xml:space="preserve">loon- en prijsbijstelling is in 2018 via de begroting van Koninkrijksrelaties aan het BES-fonds toegevoegd. Vanaf dit jaar wordt de LPO tranche 2019 direct aan het </w:t>
      </w:r>
      <w:r w:rsidRPr="00743C03">
        <w:rPr>
          <w:rFonts w:eastAsia="Times New Roman"/>
          <w:szCs w:val="18"/>
        </w:rPr>
        <w:t>BES-fonds</w:t>
      </w:r>
      <w:r>
        <w:rPr>
          <w:rFonts w:eastAsia="Times New Roman"/>
          <w:szCs w:val="18"/>
        </w:rPr>
        <w:t xml:space="preserve"> uitgekeerd</w:t>
      </w:r>
      <w:r w:rsidRPr="00743C03">
        <w:rPr>
          <w:rFonts w:eastAsia="Times New Roman"/>
          <w:szCs w:val="18"/>
        </w:rPr>
        <w:t xml:space="preserve">. </w:t>
      </w:r>
      <w:r>
        <w:rPr>
          <w:rFonts w:eastAsia="Times New Roman"/>
          <w:szCs w:val="18"/>
        </w:rPr>
        <w:t>Daarnaast</w:t>
      </w:r>
      <w:r w:rsidRPr="00743C03">
        <w:rPr>
          <w:rFonts w:eastAsia="Times New Roman"/>
          <w:szCs w:val="18"/>
        </w:rPr>
        <w:t xml:space="preserve"> wordt de compensatie voor wisselkoerseffecten in 2019 geactualiseerd.</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7738F4" w:rsidR="007738F4" w:rsidTr="007738F4">
        <w:trPr>
          <w:trHeight w:val="225"/>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b/>
                <w:bCs/>
                <w:color w:val="000000"/>
                <w:szCs w:val="18"/>
                <w:lang w:eastAsia="nl-NL"/>
              </w:rPr>
            </w:pPr>
            <w:r w:rsidRPr="007738F4">
              <w:rPr>
                <w:rFonts w:eastAsia="Times New Roman" w:cs="Times New Roman"/>
                <w:b/>
                <w:bCs/>
                <w:color w:val="000000"/>
                <w:szCs w:val="18"/>
                <w:lang w:eastAsia="nl-NL"/>
              </w:rPr>
              <w:lastRenderedPageBreak/>
              <w:t>Deltafonds</w:t>
            </w: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J DELTAFONDS: UITGAVEN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1.042,9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1.118,1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1.104,9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1.263,5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1.271,8</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Saldo 2018</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24,5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24,5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4,3</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4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1.063,6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1.112,7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1.109,2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1.268,7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1.276,8</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1.063,6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1.112,7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1.109,2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1.268,7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1.276,8</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J DELTAFONDS: NIET-BELASTINGONTVANGSTEN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1.042,9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1.118,1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1.104,9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1.263,5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1.271,8</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29,9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26,2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4,3</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1.063,6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1.112,7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1.109,2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1.268,7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1.276,8</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4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1.063,6</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1.112,7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1.109,2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1.268,7</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1.276,8</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5875ED" w:rsidR="00221652" w:rsidP="00221652" w:rsidRDefault="00221652">
      <w:pPr>
        <w:spacing w:after="0"/>
        <w:rPr>
          <w:rFonts w:eastAsia="Times New Roman"/>
          <w:i/>
          <w:szCs w:val="18"/>
        </w:rPr>
      </w:pPr>
      <w:r>
        <w:rPr>
          <w:rFonts w:eastAsia="Times New Roman"/>
          <w:i/>
          <w:szCs w:val="18"/>
        </w:rPr>
        <w:t>Saldo 2018</w:t>
      </w:r>
    </w:p>
    <w:p w:rsidR="00221652" w:rsidP="00221652" w:rsidRDefault="00221652">
      <w:pPr>
        <w:spacing w:after="0"/>
        <w:rPr>
          <w:rFonts w:eastAsia="Times New Roman"/>
          <w:szCs w:val="18"/>
        </w:rPr>
      </w:pPr>
      <w:r w:rsidRPr="005875ED">
        <w:rPr>
          <w:rFonts w:eastAsia="Times New Roman"/>
          <w:szCs w:val="18"/>
        </w:rPr>
        <w:t>Het voordelig saldo over 201</w:t>
      </w:r>
      <w:r>
        <w:rPr>
          <w:rFonts w:eastAsia="Times New Roman"/>
          <w:szCs w:val="18"/>
        </w:rPr>
        <w:t>8 is bij Voorjaarsnota 2019</w:t>
      </w:r>
      <w:r w:rsidRPr="005875ED">
        <w:rPr>
          <w:rFonts w:eastAsia="Times New Roman"/>
          <w:szCs w:val="18"/>
        </w:rPr>
        <w:t xml:space="preserve"> toegevoegd aan de begroting van het Deltafonds. Het saldo 201</w:t>
      </w:r>
      <w:r>
        <w:rPr>
          <w:rFonts w:eastAsia="Times New Roman"/>
          <w:szCs w:val="18"/>
        </w:rPr>
        <w:t>8</w:t>
      </w:r>
      <w:r w:rsidRPr="005875ED">
        <w:rPr>
          <w:rFonts w:eastAsia="Times New Roman"/>
          <w:szCs w:val="18"/>
        </w:rPr>
        <w:t xml:space="preserve"> bedraagt 24,5</w:t>
      </w:r>
      <w:r>
        <w:rPr>
          <w:rFonts w:eastAsia="Times New Roman"/>
          <w:szCs w:val="18"/>
        </w:rPr>
        <w:t xml:space="preserve"> </w:t>
      </w:r>
      <w:r w:rsidRPr="005875ED">
        <w:rPr>
          <w:rFonts w:eastAsia="Times New Roman"/>
          <w:szCs w:val="18"/>
        </w:rPr>
        <w:t xml:space="preserve">mln. op de uitgaven en -5,5 mln. op de ontvangsten, waardoor het netto saldo (uitgaven minus ontvangsten) uitkomt op </w:t>
      </w:r>
      <w:r>
        <w:rPr>
          <w:rFonts w:eastAsia="Times New Roman"/>
          <w:szCs w:val="18"/>
        </w:rPr>
        <w:t>29,9</w:t>
      </w:r>
      <w:r w:rsidRPr="005875ED">
        <w:rPr>
          <w:rFonts w:eastAsia="Times New Roman"/>
          <w:szCs w:val="18"/>
        </w:rPr>
        <w:t xml:space="preserve"> mln.</w:t>
      </w:r>
    </w:p>
    <w:p w:rsidR="00221652" w:rsidP="00221652" w:rsidRDefault="00221652">
      <w:pPr>
        <w:spacing w:after="0"/>
        <w:rPr>
          <w:rFonts w:eastAsia="Times New Roman"/>
          <w:szCs w:val="18"/>
        </w:rPr>
      </w:pPr>
    </w:p>
    <w:p w:rsidRPr="003E77AB" w:rsidR="00221652" w:rsidP="00221652" w:rsidRDefault="00221652">
      <w:pPr>
        <w:spacing w:after="0"/>
        <w:rPr>
          <w:rFonts w:eastAsia="Times New Roman"/>
          <w:i/>
          <w:color w:val="000000"/>
          <w:szCs w:val="18"/>
        </w:rPr>
      </w:pPr>
      <w:r w:rsidRPr="003E77AB">
        <w:rPr>
          <w:rFonts w:eastAsia="Times New Roman"/>
          <w:i/>
          <w:color w:val="000000"/>
          <w:szCs w:val="18"/>
        </w:rPr>
        <w:t>Diversen - technische mutaties</w:t>
      </w:r>
    </w:p>
    <w:p w:rsidR="00403FED" w:rsidP="007738F4" w:rsidRDefault="00221652">
      <w:pPr>
        <w:spacing w:after="0"/>
        <w:rPr>
          <w:rFonts w:asciiTheme="majorHAnsi" w:hAnsiTheme="majorHAnsi"/>
          <w:b/>
          <w:szCs w:val="18"/>
        </w:rPr>
      </w:pPr>
      <w:r w:rsidRPr="003E77AB">
        <w:rPr>
          <w:szCs w:val="18"/>
        </w:rPr>
        <w:t xml:space="preserve">Deze post </w:t>
      </w:r>
      <w:r>
        <w:rPr>
          <w:szCs w:val="18"/>
        </w:rPr>
        <w:t xml:space="preserve">is een saldo van diverse onderliggende uitgaven en ontvangsten. De grootste post is de overboeking vanuit de beleidsreservering op het Deltafonds naar </w:t>
      </w:r>
      <w:r w:rsidRPr="00711DFD">
        <w:rPr>
          <w:szCs w:val="18"/>
        </w:rPr>
        <w:t>de beleidsbegroting van Ien</w:t>
      </w:r>
      <w:r>
        <w:rPr>
          <w:szCs w:val="18"/>
        </w:rPr>
        <w:t>W</w:t>
      </w:r>
      <w:r w:rsidRPr="00711DFD">
        <w:rPr>
          <w:szCs w:val="18"/>
        </w:rPr>
        <w:t xml:space="preserve"> </w:t>
      </w:r>
      <w:r>
        <w:rPr>
          <w:szCs w:val="18"/>
        </w:rPr>
        <w:t>voor ruimtelijke adaptatie. Deze overboeking bedraagt 6,3 mln. in 2019 en 9,4 mln. in 2020.</w:t>
      </w:r>
      <w:r w:rsidR="00403FED">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143203" w:rsidR="00143203" w:rsidTr="00143203">
        <w:trPr>
          <w:trHeight w:val="225"/>
        </w:trPr>
        <w:tc>
          <w:tcPr>
            <w:tcW w:w="10860" w:type="dxa"/>
            <w:gridSpan w:val="7"/>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b/>
                <w:bCs/>
                <w:color w:val="000000"/>
                <w:szCs w:val="18"/>
                <w:lang w:eastAsia="nl-NL"/>
              </w:rPr>
            </w:pPr>
            <w:r w:rsidRPr="00143203">
              <w:rPr>
                <w:rFonts w:eastAsia="Times New Roman" w:cs="Times New Roman"/>
                <w:b/>
                <w:bCs/>
                <w:color w:val="000000"/>
                <w:szCs w:val="18"/>
                <w:lang w:eastAsia="nl-NL"/>
              </w:rPr>
              <w:lastRenderedPageBreak/>
              <w:t>Accres Gemeentefonds</w:t>
            </w:r>
          </w:p>
        </w:tc>
      </w:tr>
      <w:tr w:rsidRPr="00143203" w:rsidR="00143203" w:rsidTr="00143203">
        <w:trPr>
          <w:trHeight w:val="240"/>
        </w:trPr>
        <w:tc>
          <w:tcPr>
            <w:tcW w:w="10860" w:type="dxa"/>
            <w:gridSpan w:val="7"/>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ACCRES GEMEENTEFONDS: UITGAVEN</w:t>
            </w:r>
          </w:p>
        </w:tc>
      </w:tr>
      <w:tr w:rsidRPr="00143203" w:rsidR="00143203" w:rsidTr="00143203">
        <w:trPr>
          <w:trHeight w:val="315"/>
        </w:trPr>
        <w:tc>
          <w:tcPr>
            <w:tcW w:w="43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302,6</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1.434,9</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2.373,1</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3.496,1</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4.721,1</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r w:rsidRPr="0014320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2018</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-295,3</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-147,7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-147,7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-147,7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-147,7</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130,7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130,7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130,7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130,7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130,7</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2020</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49,5</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49,5</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49,5</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49,5</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2021</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-49,7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-49,7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-49,7</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2022</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-41,0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-41,0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2023</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72,3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 xml:space="preserve">Bijstelling </w:t>
            </w:r>
            <w:proofErr w:type="spellStart"/>
            <w:r w:rsidRPr="00143203">
              <w:rPr>
                <w:rFonts w:eastAsia="Times New Roman" w:cs="Times New Roman"/>
                <w:color w:val="000000"/>
                <w:szCs w:val="18"/>
                <w:lang w:eastAsia="nl-NL"/>
              </w:rPr>
              <w:t>bcf</w:t>
            </w:r>
            <w:proofErr w:type="spellEnd"/>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-79,3</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-7,0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-14,9</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-243,9</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25,5</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-32,2</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-80,9</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-0,8</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r w:rsidRPr="0014320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gemeentefonds</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221,0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73,3</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73,3</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73,3</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73,3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-56,4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-56,4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-56,4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-56,4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-56,4</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2020</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-224,7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-224,7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-224,7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-224,7</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2021</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-89,4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-89,4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-89,4</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2022</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-140,2</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-140,2</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2023</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-106,8</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 xml:space="preserve">Afrekening </w:t>
            </w:r>
            <w:proofErr w:type="spellStart"/>
            <w:r w:rsidRPr="00143203">
              <w:rPr>
                <w:rFonts w:eastAsia="Times New Roman" w:cs="Times New Roman"/>
                <w:color w:val="000000"/>
                <w:szCs w:val="18"/>
                <w:lang w:eastAsia="nl-NL"/>
              </w:rPr>
              <w:t>bcf</w:t>
            </w:r>
            <w:proofErr w:type="spellEnd"/>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66,9</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4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 xml:space="preserve">Bijstelling </w:t>
            </w:r>
            <w:proofErr w:type="spellStart"/>
            <w:r w:rsidRPr="00143203">
              <w:rPr>
                <w:rFonts w:eastAsia="Times New Roman" w:cs="Times New Roman"/>
                <w:color w:val="000000"/>
                <w:szCs w:val="18"/>
                <w:lang w:eastAsia="nl-NL"/>
              </w:rPr>
              <w:t>bcf</w:t>
            </w:r>
            <w:proofErr w:type="spellEnd"/>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-2,3</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-43,6</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-60,5</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-74,3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229,2</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-240,5</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-340,8</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-497,9</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-618,5</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-14,7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-214,9</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-373,0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-578,7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-619,2</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287,9</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1.220,0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2.000,1</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2.917,4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4.102,0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4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287,9</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1.220,0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2.000,1</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2.917,4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4.102,0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240"/>
        </w:trPr>
        <w:tc>
          <w:tcPr>
            <w:tcW w:w="10860" w:type="dxa"/>
            <w:gridSpan w:val="7"/>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ACCRES GEMEENTEFONDS: NIET-BELASTINGONTVANGSTEN</w:t>
            </w:r>
          </w:p>
        </w:tc>
      </w:tr>
      <w:tr w:rsidRPr="00143203" w:rsidR="00143203" w:rsidTr="00143203">
        <w:trPr>
          <w:trHeight w:val="315"/>
        </w:trPr>
        <w:tc>
          <w:tcPr>
            <w:tcW w:w="43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BB306A" w:rsidP="00BB306A" w:rsidRDefault="00BB306A">
      <w:pPr>
        <w:spacing w:after="0"/>
        <w:rPr>
          <w:i/>
        </w:rPr>
      </w:pPr>
    </w:p>
    <w:p w:rsidRPr="008705EB" w:rsidR="00BB306A" w:rsidP="00BB306A" w:rsidRDefault="00BB306A">
      <w:pPr>
        <w:spacing w:after="0"/>
        <w:rPr>
          <w:i/>
        </w:rPr>
      </w:pPr>
      <w:r w:rsidRPr="008705EB">
        <w:rPr>
          <w:i/>
        </w:rPr>
        <w:t>Afrekening 2018 en accresontwikkeling tranche 2019-2024</w:t>
      </w:r>
    </w:p>
    <w:p w:rsidR="00BB306A" w:rsidP="00BB306A" w:rsidRDefault="00BB306A">
      <w:pPr>
        <w:spacing w:after="0"/>
        <w:rPr>
          <w:szCs w:val="18"/>
        </w:rPr>
      </w:pPr>
      <w:r w:rsidRPr="0038665B">
        <w:rPr>
          <w:szCs w:val="18"/>
        </w:rPr>
        <w:t>Het accres kent jaar</w:t>
      </w:r>
      <w:r>
        <w:rPr>
          <w:szCs w:val="18"/>
        </w:rPr>
        <w:t xml:space="preserve">lijks twee bijstellingsmomenten, </w:t>
      </w:r>
      <w:r w:rsidRPr="0038665B">
        <w:rPr>
          <w:szCs w:val="18"/>
        </w:rPr>
        <w:t>namelijk</w:t>
      </w:r>
      <w:r>
        <w:rPr>
          <w:szCs w:val="18"/>
        </w:rPr>
        <w:t xml:space="preserve"> </w:t>
      </w:r>
      <w:r w:rsidRPr="0038665B">
        <w:rPr>
          <w:szCs w:val="18"/>
        </w:rPr>
        <w:t>de Voorjaarsnota en de Miljoenennota. Daarnaast is er één vaststellingsmo</w:t>
      </w:r>
      <w:r>
        <w:rPr>
          <w:szCs w:val="18"/>
        </w:rPr>
        <w:t>ment van het definitieve accres:</w:t>
      </w:r>
      <w:r w:rsidRPr="0038665B">
        <w:rPr>
          <w:szCs w:val="18"/>
        </w:rPr>
        <w:t xml:space="preserve"> het Financieel Jaarverslag Rijk (FJR). Het definitieve accrespercentage</w:t>
      </w:r>
      <w:r>
        <w:rPr>
          <w:szCs w:val="18"/>
        </w:rPr>
        <w:t xml:space="preserve"> over 2018 </w:t>
      </w:r>
      <w:r w:rsidRPr="0038665B">
        <w:rPr>
          <w:szCs w:val="18"/>
        </w:rPr>
        <w:t xml:space="preserve">is, op basis van de FJR-realisatiestanden uitgekomen op </w:t>
      </w:r>
      <w:r>
        <w:rPr>
          <w:szCs w:val="18"/>
        </w:rPr>
        <w:t>4</w:t>
      </w:r>
      <w:r w:rsidRPr="0038665B">
        <w:rPr>
          <w:szCs w:val="18"/>
        </w:rPr>
        <w:t>,</w:t>
      </w:r>
      <w:r>
        <w:rPr>
          <w:szCs w:val="18"/>
        </w:rPr>
        <w:t>8</w:t>
      </w:r>
      <w:r w:rsidRPr="0038665B">
        <w:rPr>
          <w:szCs w:val="18"/>
        </w:rPr>
        <w:t xml:space="preserve"> procent. Dat betekent een neerwaartse aanpassing van </w:t>
      </w:r>
      <w:r>
        <w:rPr>
          <w:szCs w:val="18"/>
        </w:rPr>
        <w:t>accrestranche 2018 van 147</w:t>
      </w:r>
      <w:r w:rsidRPr="0038665B">
        <w:rPr>
          <w:szCs w:val="18"/>
        </w:rPr>
        <w:t xml:space="preserve"> miljoen euro ten opzichte</w:t>
      </w:r>
      <w:r>
        <w:rPr>
          <w:szCs w:val="18"/>
        </w:rPr>
        <w:t xml:space="preserve"> van de stand Miljoenennota 2019</w:t>
      </w:r>
      <w:r w:rsidRPr="0038665B">
        <w:rPr>
          <w:szCs w:val="18"/>
        </w:rPr>
        <w:t xml:space="preserve">. Omdat het jaar </w:t>
      </w:r>
      <w:r>
        <w:rPr>
          <w:szCs w:val="18"/>
        </w:rPr>
        <w:t>2018</w:t>
      </w:r>
      <w:r w:rsidRPr="0038665B">
        <w:rPr>
          <w:szCs w:val="18"/>
        </w:rPr>
        <w:t xml:space="preserve"> is afgesloten, vindt de afrekening plaats bij voorjaarsnota 201</w:t>
      </w:r>
      <w:r>
        <w:rPr>
          <w:szCs w:val="18"/>
        </w:rPr>
        <w:t>9.</w:t>
      </w:r>
    </w:p>
    <w:p w:rsidR="00BB306A" w:rsidP="00BB306A" w:rsidRDefault="00BB306A">
      <w:pPr>
        <w:spacing w:after="0"/>
        <w:rPr>
          <w:szCs w:val="18"/>
        </w:rPr>
      </w:pPr>
      <w:r w:rsidRPr="0038665B">
        <w:rPr>
          <w:szCs w:val="18"/>
        </w:rPr>
        <w:t xml:space="preserve">Daarnaast is op basis van de integrale voorjaarsbesluitvorming de accresraming voor de jaren </w:t>
      </w:r>
      <w:r>
        <w:rPr>
          <w:szCs w:val="18"/>
        </w:rPr>
        <w:t>2019</w:t>
      </w:r>
      <w:r w:rsidRPr="0038665B">
        <w:rPr>
          <w:szCs w:val="18"/>
        </w:rPr>
        <w:t xml:space="preserve"> en verder aangepast op basis van de ontwikkeling van de accresrelevante rijksuitgaven. Als </w:t>
      </w:r>
      <w:r w:rsidRPr="0038665B">
        <w:rPr>
          <w:szCs w:val="18"/>
        </w:rPr>
        <w:lastRenderedPageBreak/>
        <w:t>gevolg hiervan wordt de tranche 201</w:t>
      </w:r>
      <w:r>
        <w:rPr>
          <w:szCs w:val="18"/>
        </w:rPr>
        <w:t>9</w:t>
      </w:r>
      <w:r w:rsidRPr="0038665B">
        <w:rPr>
          <w:szCs w:val="18"/>
        </w:rPr>
        <w:t xml:space="preserve"> met </w:t>
      </w:r>
      <w:r>
        <w:rPr>
          <w:szCs w:val="18"/>
        </w:rPr>
        <w:t>ruim 7</w:t>
      </w:r>
      <w:r w:rsidR="00B717DD">
        <w:rPr>
          <w:szCs w:val="18"/>
        </w:rPr>
        <w:t>4</w:t>
      </w:r>
      <w:r w:rsidRPr="0038665B">
        <w:rPr>
          <w:szCs w:val="18"/>
        </w:rPr>
        <w:t xml:space="preserve"> miljoen euro opwaarts aangepast. De accres tranches </w:t>
      </w:r>
      <w:r>
        <w:rPr>
          <w:szCs w:val="18"/>
        </w:rPr>
        <w:t xml:space="preserve">2018 en 2019 </w:t>
      </w:r>
      <w:r w:rsidRPr="0038665B">
        <w:rPr>
          <w:szCs w:val="18"/>
        </w:rPr>
        <w:t xml:space="preserve">zijn </w:t>
      </w:r>
      <w:r>
        <w:rPr>
          <w:szCs w:val="18"/>
        </w:rPr>
        <w:t xml:space="preserve">verrekend en overgeboekt met </w:t>
      </w:r>
      <w:r w:rsidRPr="0038665B">
        <w:rPr>
          <w:szCs w:val="18"/>
        </w:rPr>
        <w:t>het Gemeentefonds</w:t>
      </w:r>
      <w:r>
        <w:rPr>
          <w:szCs w:val="18"/>
        </w:rPr>
        <w:t>.</w:t>
      </w:r>
    </w:p>
    <w:p w:rsidR="00BB306A" w:rsidP="00BB306A" w:rsidRDefault="00BB306A">
      <w:pPr>
        <w:spacing w:after="0"/>
        <w:rPr>
          <w:szCs w:val="18"/>
        </w:rPr>
      </w:pPr>
    </w:p>
    <w:p w:rsidRPr="0038665B" w:rsidR="00BB306A" w:rsidP="00BB306A" w:rsidRDefault="00BB306A">
      <w:pPr>
        <w:autoSpaceDE w:val="0"/>
        <w:autoSpaceDN w:val="0"/>
        <w:adjustRightInd w:val="0"/>
        <w:spacing w:after="0" w:line="240" w:lineRule="atLeast"/>
        <w:rPr>
          <w:i/>
          <w:szCs w:val="18"/>
        </w:rPr>
      </w:pPr>
      <w:r w:rsidRPr="0038665B">
        <w:rPr>
          <w:i/>
          <w:szCs w:val="18"/>
        </w:rPr>
        <w:t xml:space="preserve">Mutatie plafond BCF </w:t>
      </w:r>
      <w:proofErr w:type="spellStart"/>
      <w:r w:rsidRPr="0038665B">
        <w:rPr>
          <w:i/>
          <w:szCs w:val="18"/>
        </w:rPr>
        <w:t>a.g.v.</w:t>
      </w:r>
      <w:proofErr w:type="spellEnd"/>
      <w:r w:rsidRPr="0038665B">
        <w:rPr>
          <w:i/>
          <w:szCs w:val="18"/>
        </w:rPr>
        <w:t xml:space="preserve"> accresontwikkeling</w:t>
      </w:r>
    </w:p>
    <w:p w:rsidRPr="0038665B" w:rsidR="00BB306A" w:rsidP="00BB306A" w:rsidRDefault="00BB306A">
      <w:pPr>
        <w:spacing w:after="0"/>
        <w:rPr>
          <w:szCs w:val="18"/>
        </w:rPr>
      </w:pPr>
      <w:r w:rsidRPr="0038665B">
        <w:rPr>
          <w:szCs w:val="18"/>
        </w:rPr>
        <w:t xml:space="preserve">De ontwikkeling van het </w:t>
      </w:r>
      <w:r w:rsidR="00B01063">
        <w:rPr>
          <w:szCs w:val="18"/>
        </w:rPr>
        <w:t>BTW</w:t>
      </w:r>
      <w:r w:rsidRPr="0038665B">
        <w:rPr>
          <w:szCs w:val="18"/>
        </w:rPr>
        <w:t>-compensatiefonds (BCF) is sinds 2015 gekoppeld aan de accrespercentages zoals deze voortvloeien uit de</w:t>
      </w:r>
      <w:r w:rsidR="00B01063">
        <w:rPr>
          <w:szCs w:val="18"/>
        </w:rPr>
        <w:t xml:space="preserve"> normeringssystematiek van het g</w:t>
      </w:r>
      <w:r w:rsidRPr="0038665B">
        <w:rPr>
          <w:szCs w:val="18"/>
        </w:rPr>
        <w:t xml:space="preserve">emeentefonds en het </w:t>
      </w:r>
      <w:r w:rsidR="00B01063">
        <w:rPr>
          <w:szCs w:val="18"/>
        </w:rPr>
        <w:t>p</w:t>
      </w:r>
      <w:r w:rsidRPr="0038665B">
        <w:rPr>
          <w:szCs w:val="18"/>
        </w:rPr>
        <w:t xml:space="preserve">rovinciefonds (GF/PF). Alle declaraties van gemeenten en provincies bij het BCF worden vergoed mits voldaan aan de declaratievoorwaarden. De budgettering wordt vormgegeven via het GF/PF. Overschrijdingen op het vastgestelde BCF-plafond worden verhaald op het GF/PF en onderschrijdingen van het BCF-plafond worden gestort in het GF/PF. Op basis van de accresontwikkeling van de Voorjaarsnota </w:t>
      </w:r>
      <w:r>
        <w:rPr>
          <w:szCs w:val="18"/>
        </w:rPr>
        <w:t>2019</w:t>
      </w:r>
      <w:r w:rsidRPr="0038665B">
        <w:rPr>
          <w:szCs w:val="18"/>
        </w:rPr>
        <w:t xml:space="preserve"> is het BCF-plafond aangepast. Ook vindt bij Voorjaarsnota </w:t>
      </w:r>
      <w:r>
        <w:rPr>
          <w:szCs w:val="18"/>
        </w:rPr>
        <w:t>2019</w:t>
      </w:r>
      <w:r w:rsidRPr="0038665B">
        <w:rPr>
          <w:szCs w:val="18"/>
        </w:rPr>
        <w:t xml:space="preserve"> de afrekening van het BCF-plafond </w:t>
      </w:r>
      <w:r>
        <w:rPr>
          <w:szCs w:val="18"/>
        </w:rPr>
        <w:t>2018</w:t>
      </w:r>
      <w:r w:rsidRPr="0038665B">
        <w:rPr>
          <w:szCs w:val="18"/>
        </w:rPr>
        <w:t xml:space="preserve"> plaats.</w:t>
      </w: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143203" w:rsidR="00143203" w:rsidTr="00143203">
        <w:trPr>
          <w:trHeight w:val="225"/>
        </w:trPr>
        <w:tc>
          <w:tcPr>
            <w:tcW w:w="10860" w:type="dxa"/>
            <w:gridSpan w:val="7"/>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b/>
                <w:bCs/>
                <w:color w:val="000000"/>
                <w:szCs w:val="18"/>
                <w:lang w:eastAsia="nl-NL"/>
              </w:rPr>
            </w:pPr>
            <w:r w:rsidRPr="00143203">
              <w:rPr>
                <w:rFonts w:eastAsia="Times New Roman" w:cs="Times New Roman"/>
                <w:b/>
                <w:bCs/>
                <w:color w:val="000000"/>
                <w:szCs w:val="18"/>
                <w:lang w:eastAsia="nl-NL"/>
              </w:rPr>
              <w:lastRenderedPageBreak/>
              <w:t>Accres Provinciefonds</w:t>
            </w:r>
          </w:p>
        </w:tc>
      </w:tr>
      <w:tr w:rsidRPr="00143203" w:rsidR="00143203" w:rsidTr="00143203">
        <w:trPr>
          <w:trHeight w:val="240"/>
        </w:trPr>
        <w:tc>
          <w:tcPr>
            <w:tcW w:w="10860" w:type="dxa"/>
            <w:gridSpan w:val="7"/>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ACCRES PROVINCIEFONDS: UITGAVEN</w:t>
            </w:r>
          </w:p>
        </w:tc>
      </w:tr>
      <w:tr w:rsidRPr="00143203" w:rsidR="00143203" w:rsidTr="00143203">
        <w:trPr>
          <w:trHeight w:val="315"/>
        </w:trPr>
        <w:tc>
          <w:tcPr>
            <w:tcW w:w="43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41,8</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153,4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244,7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350,8</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466,3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r w:rsidRPr="0014320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2018</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-45,3</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-22,7</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Accres tranche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28,8</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28,8</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28,8</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28,8</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28,8</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-3,7</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-2,2</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-9,6</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-17,4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-10,6</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3,9</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-3,5</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-11,3</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-4,5</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r w:rsidRPr="0014320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ind w:firstLine="360" w:firstLineChars="200"/>
              <w:rPr>
                <w:rFonts w:eastAsia="Times New Roman" w:cs="Times New Roman"/>
                <w:color w:val="000000"/>
                <w:szCs w:val="18"/>
                <w:lang w:eastAsia="nl-NL"/>
              </w:rPr>
            </w:pPr>
            <w:r w:rsidRPr="0014320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18,0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-37,8</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-51,2</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-62,8</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18,0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-37,8</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-51,2</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-62,8</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-2,3</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-24,4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-41,3</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-62,4</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-67,3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39,5</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128,9</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203,4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288,4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398,9</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39,5</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128,9</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203,4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288,4</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398,9</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240"/>
        </w:trPr>
        <w:tc>
          <w:tcPr>
            <w:tcW w:w="10860" w:type="dxa"/>
            <w:gridSpan w:val="7"/>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ACCRES PROVINCIEFONDS: NIET-BELASTINGONTVANGSTEN</w:t>
            </w:r>
          </w:p>
        </w:tc>
      </w:tr>
      <w:tr w:rsidRPr="00143203" w:rsidR="00143203" w:rsidTr="00143203">
        <w:trPr>
          <w:trHeight w:val="315"/>
        </w:trPr>
        <w:tc>
          <w:tcPr>
            <w:tcW w:w="43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225"/>
        </w:trPr>
        <w:tc>
          <w:tcPr>
            <w:tcW w:w="43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rPr>
                <w:rFonts w:ascii="Times New Roman" w:hAnsi="Times New Roman" w:eastAsia="Times New Roman" w:cs="Times New Roman"/>
                <w:sz w:val="20"/>
                <w:szCs w:val="20"/>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15"/>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r w:rsidRPr="00143203" w:rsidR="00143203" w:rsidTr="00143203">
        <w:trPr>
          <w:trHeight w:val="300"/>
        </w:trPr>
        <w:tc>
          <w:tcPr>
            <w:tcW w:w="4360" w:type="dxa"/>
            <w:tcBorders>
              <w:top w:val="nil"/>
              <w:left w:val="nil"/>
              <w:bottom w:val="nil"/>
              <w:right w:val="nil"/>
            </w:tcBorders>
            <w:shd w:val="clear" w:color="auto" w:fill="auto"/>
            <w:hideMark/>
          </w:tcPr>
          <w:p w:rsidRPr="00143203" w:rsidR="00143203" w:rsidP="00143203" w:rsidRDefault="00143203">
            <w:pPr>
              <w:spacing w:after="0" w:line="240" w:lineRule="auto"/>
              <w:rPr>
                <w:rFonts w:eastAsia="Times New Roman" w:cs="Times New Roman"/>
                <w:color w:val="000000"/>
                <w:szCs w:val="18"/>
                <w:lang w:eastAsia="nl-NL"/>
              </w:rPr>
            </w:pPr>
            <w:r w:rsidRPr="0014320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143203" w:rsidR="00143203" w:rsidP="00143203" w:rsidRDefault="00143203">
            <w:pPr>
              <w:spacing w:after="0" w:line="240" w:lineRule="auto"/>
              <w:jc w:val="right"/>
              <w:rPr>
                <w:rFonts w:eastAsia="Times New Roman" w:cs="Times New Roman"/>
                <w:color w:val="000000"/>
                <w:szCs w:val="18"/>
                <w:lang w:eastAsia="nl-NL"/>
              </w:rPr>
            </w:pPr>
            <w:r w:rsidRPr="0014320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143203" w:rsidR="00143203" w:rsidP="00143203" w:rsidRDefault="00143203">
            <w:pPr>
              <w:spacing w:after="0" w:line="240" w:lineRule="auto"/>
              <w:jc w:val="right"/>
              <w:rPr>
                <w:rFonts w:eastAsia="Times New Roman" w:cs="Times New Roman"/>
                <w:color w:val="000000"/>
                <w:szCs w:val="18"/>
                <w:lang w:eastAsia="nl-NL"/>
              </w:rPr>
            </w:pPr>
          </w:p>
        </w:tc>
      </w:tr>
    </w:tbl>
    <w:p w:rsidR="00143203" w:rsidP="00143203" w:rsidRDefault="00BB306A">
      <w:pPr>
        <w:pStyle w:val="Geenafstand"/>
        <w:spacing w:line="240" w:lineRule="atLeast"/>
        <w:rPr>
          <w:i/>
          <w:szCs w:val="18"/>
        </w:rPr>
      </w:pPr>
      <w:r>
        <w:rPr>
          <w:i/>
          <w:szCs w:val="18"/>
        </w:rPr>
        <w:br/>
      </w:r>
    </w:p>
    <w:p w:rsidRPr="00BB306A" w:rsidR="00BB306A" w:rsidP="00BB306A" w:rsidRDefault="00BB306A">
      <w:pPr>
        <w:pStyle w:val="Geenafstand"/>
        <w:spacing w:after="240" w:line="240" w:lineRule="atLeast"/>
        <w:rPr>
          <w:i/>
          <w:szCs w:val="18"/>
        </w:rPr>
      </w:pPr>
      <w:r>
        <w:rPr>
          <w:i/>
          <w:szCs w:val="18"/>
        </w:rPr>
        <w:t>Afrekening accres 2018 en accresontwikkeling tranche 2019-2024</w:t>
      </w:r>
      <w:r>
        <w:rPr>
          <w:i/>
          <w:szCs w:val="18"/>
        </w:rPr>
        <w:br/>
      </w:r>
      <w:r w:rsidRPr="0038665B">
        <w:rPr>
          <w:szCs w:val="18"/>
        </w:rPr>
        <w:t>Het accres kent jaar</w:t>
      </w:r>
      <w:r>
        <w:rPr>
          <w:szCs w:val="18"/>
        </w:rPr>
        <w:t xml:space="preserve">lijks twee bijstellingsmomenten, </w:t>
      </w:r>
      <w:r w:rsidRPr="0038665B">
        <w:rPr>
          <w:szCs w:val="18"/>
        </w:rPr>
        <w:t>namelijk</w:t>
      </w:r>
      <w:r>
        <w:rPr>
          <w:szCs w:val="18"/>
        </w:rPr>
        <w:t xml:space="preserve"> </w:t>
      </w:r>
      <w:r w:rsidRPr="0038665B">
        <w:rPr>
          <w:szCs w:val="18"/>
        </w:rPr>
        <w:t>de Voorjaarsnota en de Miljoenennota. Daarnaast is er één vaststellingsmo</w:t>
      </w:r>
      <w:r>
        <w:rPr>
          <w:szCs w:val="18"/>
        </w:rPr>
        <w:t>ment van het definitieve accres:</w:t>
      </w:r>
      <w:r w:rsidRPr="0038665B">
        <w:rPr>
          <w:szCs w:val="18"/>
        </w:rPr>
        <w:t xml:space="preserve"> het Financieel Jaarverslag Rijk (FJR). </w:t>
      </w:r>
      <w:r w:rsidRPr="007542C3">
        <w:rPr>
          <w:szCs w:val="18"/>
        </w:rPr>
        <w:t xml:space="preserve">Het definitieve accrespercentage over </w:t>
      </w:r>
      <w:r>
        <w:rPr>
          <w:szCs w:val="18"/>
        </w:rPr>
        <w:t>2018</w:t>
      </w:r>
      <w:r w:rsidRPr="007542C3">
        <w:rPr>
          <w:szCs w:val="18"/>
        </w:rPr>
        <w:t xml:space="preserve"> is, op basis van de FJR-realisatiestanden uitgekomen op </w:t>
      </w:r>
      <w:r>
        <w:rPr>
          <w:szCs w:val="18"/>
        </w:rPr>
        <w:t>4,8</w:t>
      </w:r>
      <w:r w:rsidRPr="007542C3">
        <w:rPr>
          <w:szCs w:val="18"/>
        </w:rPr>
        <w:t xml:space="preserve"> procent. Dat betekent een neerwaarts</w:t>
      </w:r>
      <w:r>
        <w:rPr>
          <w:szCs w:val="18"/>
        </w:rPr>
        <w:t>e aanpassing van structureel 22,7</w:t>
      </w:r>
      <w:r w:rsidRPr="007542C3">
        <w:rPr>
          <w:szCs w:val="18"/>
        </w:rPr>
        <w:t xml:space="preserve"> miljoen euro ten opzichte van de stand Miljoenennota 201</w:t>
      </w:r>
      <w:r>
        <w:rPr>
          <w:szCs w:val="18"/>
        </w:rPr>
        <w:t>9</w:t>
      </w:r>
      <w:r w:rsidRPr="007542C3">
        <w:rPr>
          <w:szCs w:val="18"/>
        </w:rPr>
        <w:t xml:space="preserve">. Omdat het jaar </w:t>
      </w:r>
      <w:r>
        <w:rPr>
          <w:szCs w:val="18"/>
        </w:rPr>
        <w:t>2018</w:t>
      </w:r>
      <w:r w:rsidRPr="007542C3">
        <w:rPr>
          <w:szCs w:val="18"/>
        </w:rPr>
        <w:t xml:space="preserve"> is afgesloten, </w:t>
      </w:r>
      <w:r>
        <w:rPr>
          <w:szCs w:val="18"/>
        </w:rPr>
        <w:t>vindt de afrekening plaats bij V</w:t>
      </w:r>
      <w:r w:rsidRPr="007542C3">
        <w:rPr>
          <w:szCs w:val="18"/>
        </w:rPr>
        <w:t xml:space="preserve">oorjaarsnota </w:t>
      </w:r>
      <w:r>
        <w:rPr>
          <w:szCs w:val="18"/>
        </w:rPr>
        <w:t>2019</w:t>
      </w:r>
      <w:r w:rsidRPr="007542C3">
        <w:rPr>
          <w:szCs w:val="18"/>
        </w:rPr>
        <w:t>.</w:t>
      </w:r>
    </w:p>
    <w:p w:rsidRPr="007542C3" w:rsidR="00BB306A" w:rsidP="00BB306A" w:rsidRDefault="00BB306A">
      <w:pPr>
        <w:spacing w:after="240"/>
        <w:rPr>
          <w:szCs w:val="18"/>
        </w:rPr>
      </w:pPr>
      <w:r w:rsidRPr="007542C3">
        <w:rPr>
          <w:szCs w:val="18"/>
        </w:rPr>
        <w:t xml:space="preserve">Daarnaast is op basis van de integrale voorjaarsbesluitvorming de accresraming voor de jaren </w:t>
      </w:r>
      <w:r>
        <w:rPr>
          <w:szCs w:val="18"/>
        </w:rPr>
        <w:t>2019</w:t>
      </w:r>
      <w:r w:rsidRPr="007542C3">
        <w:rPr>
          <w:szCs w:val="18"/>
        </w:rPr>
        <w:t xml:space="preserve"> en verder aangepast op basis van de ontwikkeling van </w:t>
      </w:r>
      <w:r>
        <w:rPr>
          <w:szCs w:val="18"/>
        </w:rPr>
        <w:t>accresrelevante uitgaven</w:t>
      </w:r>
      <w:r w:rsidRPr="007542C3">
        <w:rPr>
          <w:szCs w:val="18"/>
        </w:rPr>
        <w:t xml:space="preserve">. Als gevolg hiervan wordt de tranche </w:t>
      </w:r>
      <w:r>
        <w:rPr>
          <w:szCs w:val="18"/>
        </w:rPr>
        <w:t>2019</w:t>
      </w:r>
      <w:r w:rsidRPr="007542C3">
        <w:rPr>
          <w:szCs w:val="18"/>
        </w:rPr>
        <w:t xml:space="preserve"> met </w:t>
      </w:r>
      <w:r>
        <w:rPr>
          <w:szCs w:val="18"/>
        </w:rPr>
        <w:t>2</w:t>
      </w:r>
      <w:r w:rsidR="00B717DD">
        <w:rPr>
          <w:szCs w:val="18"/>
        </w:rPr>
        <w:t>0,9</w:t>
      </w:r>
      <w:r w:rsidRPr="007542C3">
        <w:rPr>
          <w:szCs w:val="18"/>
        </w:rPr>
        <w:t xml:space="preserve"> miljoen euro opwaarts aangepast. De accres tranches </w:t>
      </w:r>
      <w:r>
        <w:rPr>
          <w:szCs w:val="18"/>
        </w:rPr>
        <w:t>2018</w:t>
      </w:r>
      <w:r w:rsidRPr="007542C3">
        <w:rPr>
          <w:szCs w:val="18"/>
        </w:rPr>
        <w:t xml:space="preserve"> en </w:t>
      </w:r>
      <w:r>
        <w:rPr>
          <w:szCs w:val="18"/>
        </w:rPr>
        <w:t xml:space="preserve">2019 </w:t>
      </w:r>
      <w:r w:rsidRPr="007542C3">
        <w:rPr>
          <w:szCs w:val="18"/>
        </w:rPr>
        <w:t xml:space="preserve">zijn overgeboekt naar het </w:t>
      </w:r>
      <w:r w:rsidR="00B01063">
        <w:rPr>
          <w:szCs w:val="18"/>
        </w:rPr>
        <w:t>p</w:t>
      </w:r>
      <w:r w:rsidRPr="007542C3">
        <w:rPr>
          <w:szCs w:val="18"/>
        </w:rPr>
        <w:t>rovinciefonds</w:t>
      </w:r>
      <w:r>
        <w:rPr>
          <w:szCs w:val="18"/>
        </w:rPr>
        <w:t>.</w:t>
      </w:r>
    </w:p>
    <w:p w:rsidRPr="00BB306A" w:rsidR="00BB306A" w:rsidP="00BB306A" w:rsidRDefault="00BB306A">
      <w:pPr>
        <w:autoSpaceDE w:val="0"/>
        <w:autoSpaceDN w:val="0"/>
        <w:adjustRightInd w:val="0"/>
        <w:spacing w:after="240" w:line="240" w:lineRule="atLeast"/>
        <w:rPr>
          <w:i/>
          <w:szCs w:val="18"/>
        </w:rPr>
      </w:pPr>
      <w:r w:rsidRPr="007542C3">
        <w:rPr>
          <w:i/>
          <w:szCs w:val="18"/>
        </w:rPr>
        <w:t xml:space="preserve">Mutatie plafond BCF </w:t>
      </w:r>
      <w:proofErr w:type="spellStart"/>
      <w:r w:rsidRPr="007542C3">
        <w:rPr>
          <w:i/>
          <w:szCs w:val="18"/>
        </w:rPr>
        <w:t>agv</w:t>
      </w:r>
      <w:proofErr w:type="spellEnd"/>
      <w:r w:rsidRPr="007542C3">
        <w:rPr>
          <w:i/>
          <w:szCs w:val="18"/>
        </w:rPr>
        <w:t xml:space="preserve"> accresontwikkeling</w:t>
      </w:r>
      <w:r>
        <w:rPr>
          <w:i/>
          <w:szCs w:val="18"/>
        </w:rPr>
        <w:br/>
      </w:r>
      <w:r w:rsidRPr="007542C3">
        <w:rPr>
          <w:szCs w:val="18"/>
        </w:rPr>
        <w:t xml:space="preserve">De ontwikkeling van het </w:t>
      </w:r>
      <w:r>
        <w:rPr>
          <w:szCs w:val="18"/>
        </w:rPr>
        <w:t>BTW</w:t>
      </w:r>
      <w:r w:rsidRPr="007542C3">
        <w:rPr>
          <w:szCs w:val="18"/>
        </w:rPr>
        <w:t>-compensatiefonds (BCF) is sinds 2015 gekoppeld aan de accrespercentages zoals deze voortvloeien uit de normeringssystematie</w:t>
      </w:r>
      <w:r>
        <w:rPr>
          <w:szCs w:val="18"/>
        </w:rPr>
        <w:t>k van het gemeentefonds en het p</w:t>
      </w:r>
      <w:r w:rsidRPr="007542C3">
        <w:rPr>
          <w:szCs w:val="18"/>
        </w:rPr>
        <w:t xml:space="preserve">rovinciefonds (GF/PF). Alle declaraties van gemeenten en provincies bij het BCF worden vergoed mits voldaan aan de declaratievoorwaarden. De budgettering wordt vormgegeven via het GF/PF. Overschrijdingen op het vastgestelde BCF-plafond worden verhaald op het GF/PF en </w:t>
      </w:r>
      <w:r w:rsidRPr="007542C3">
        <w:rPr>
          <w:szCs w:val="18"/>
        </w:rPr>
        <w:lastRenderedPageBreak/>
        <w:t xml:space="preserve">onderschrijdingen van het BCF-plafond worden gestort in het GF/PF. Op basis van de accresontwikkeling van de Voorjaarsnota </w:t>
      </w:r>
      <w:r>
        <w:rPr>
          <w:szCs w:val="18"/>
        </w:rPr>
        <w:t>2019</w:t>
      </w:r>
      <w:r w:rsidRPr="007542C3">
        <w:rPr>
          <w:szCs w:val="18"/>
        </w:rPr>
        <w:t xml:space="preserve"> is het BCF-plafond aangepast. Ook vindt bij Voorjaarsnota </w:t>
      </w:r>
      <w:r>
        <w:rPr>
          <w:szCs w:val="18"/>
        </w:rPr>
        <w:t>2019</w:t>
      </w:r>
      <w:r w:rsidRPr="007542C3">
        <w:rPr>
          <w:szCs w:val="18"/>
        </w:rPr>
        <w:t xml:space="preserve"> de afrekening van het BCF-plafond </w:t>
      </w:r>
      <w:r>
        <w:rPr>
          <w:szCs w:val="18"/>
        </w:rPr>
        <w:t>2018</w:t>
      </w:r>
      <w:r w:rsidRPr="007542C3">
        <w:rPr>
          <w:szCs w:val="18"/>
        </w:rPr>
        <w:t xml:space="preserve"> plaats.</w:t>
      </w:r>
    </w:p>
    <w:p w:rsidR="00BB306A" w:rsidRDefault="00BB306A">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7738F4" w:rsidR="007738F4" w:rsidTr="007738F4">
        <w:trPr>
          <w:trHeight w:val="225"/>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b/>
                <w:bCs/>
                <w:color w:val="000000"/>
                <w:szCs w:val="18"/>
                <w:lang w:eastAsia="nl-NL"/>
              </w:rPr>
            </w:pPr>
            <w:r w:rsidRPr="007738F4">
              <w:rPr>
                <w:rFonts w:eastAsia="Times New Roman" w:cs="Times New Roman"/>
                <w:b/>
                <w:bCs/>
                <w:color w:val="000000"/>
                <w:szCs w:val="18"/>
                <w:lang w:eastAsia="nl-NL"/>
              </w:rPr>
              <w:lastRenderedPageBreak/>
              <w:t>Prijsbijstelling</w:t>
            </w: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PRIJSBIJSTELLING: UITGAVEN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624,2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1.232,5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1.788,6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2.361,7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2.937,2</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Grondslagmutatie</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33,9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38,2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32,6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56,7</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Prijsontwikkeling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-95,4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-153,5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-163,1</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Uitkeren prijsbijstelling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-553,4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-546,9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-541,9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-533,0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-532,4</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-16,5</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-1,7</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-0,4</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r w:rsidRPr="007738F4">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Prijsontwikkeling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-14,5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-24,3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-35,3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Uitkeren prijsbijstelling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-72,9</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-73,2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-74,1</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-74,6</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-74,9</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ind w:firstLine="360" w:firstLineChars="200"/>
              <w:rPr>
                <w:rFonts w:eastAsia="Times New Roman" w:cs="Times New Roman"/>
                <w:color w:val="000000"/>
                <w:szCs w:val="18"/>
                <w:lang w:eastAsia="nl-NL"/>
              </w:rPr>
            </w:pPr>
            <w:r w:rsidRPr="007738F4">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2,4</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3,8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4,8</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-624,4</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-691,2</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-706,5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-763,1</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-759,6</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-624,2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-691,3</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-706,5</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-763,2</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-759,7</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4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541,3</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1.082,1</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1.598,5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2.177,5</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541,3</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1.082,1</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1.598,5</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2.177,5</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40"/>
        </w:trPr>
        <w:tc>
          <w:tcPr>
            <w:tcW w:w="10860" w:type="dxa"/>
            <w:gridSpan w:val="7"/>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PRIJSBIJSTELLING: NIET-BELASTINGONTVANGSTEN</w:t>
            </w:r>
          </w:p>
        </w:tc>
      </w:tr>
      <w:tr w:rsidRPr="007738F4" w:rsidR="007738F4" w:rsidTr="007738F4">
        <w:trPr>
          <w:trHeight w:val="315"/>
        </w:trPr>
        <w:tc>
          <w:tcPr>
            <w:tcW w:w="43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ascii="Times New Roman" w:hAnsi="Times New Roman" w:eastAsia="Times New Roman" w:cs="Times New Roman"/>
                <w:sz w:val="20"/>
                <w:szCs w:val="20"/>
                <w:lang w:eastAsia="nl-NL"/>
              </w:rPr>
            </w:pPr>
          </w:p>
        </w:tc>
      </w:tr>
      <w:tr w:rsidRPr="007738F4" w:rsidR="007738F4" w:rsidTr="007738F4">
        <w:trPr>
          <w:trHeight w:val="30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31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rPr>
                <w:rFonts w:ascii="Times New Roman" w:hAnsi="Times New Roman" w:eastAsia="Times New Roman" w:cs="Times New Roman"/>
                <w:sz w:val="20"/>
                <w:szCs w:val="20"/>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40"/>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r w:rsidRPr="007738F4" w:rsidR="007738F4" w:rsidTr="007738F4">
        <w:trPr>
          <w:trHeight w:val="225"/>
        </w:trPr>
        <w:tc>
          <w:tcPr>
            <w:tcW w:w="4360" w:type="dxa"/>
            <w:tcBorders>
              <w:top w:val="nil"/>
              <w:left w:val="nil"/>
              <w:bottom w:val="nil"/>
              <w:right w:val="nil"/>
            </w:tcBorders>
            <w:shd w:val="clear" w:color="auto" w:fill="auto"/>
            <w:hideMark/>
          </w:tcPr>
          <w:p w:rsidRPr="007738F4" w:rsidR="007738F4" w:rsidP="007738F4" w:rsidRDefault="007738F4">
            <w:pPr>
              <w:spacing w:after="0" w:line="240" w:lineRule="auto"/>
              <w:rPr>
                <w:rFonts w:eastAsia="Times New Roman" w:cs="Times New Roman"/>
                <w:color w:val="000000"/>
                <w:szCs w:val="18"/>
                <w:lang w:eastAsia="nl-NL"/>
              </w:rPr>
            </w:pPr>
            <w:r w:rsidRPr="007738F4">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7738F4" w:rsidR="007738F4" w:rsidP="007738F4" w:rsidRDefault="007738F4">
            <w:pPr>
              <w:spacing w:after="0" w:line="240" w:lineRule="auto"/>
              <w:jc w:val="right"/>
              <w:rPr>
                <w:rFonts w:eastAsia="Times New Roman" w:cs="Times New Roman"/>
                <w:color w:val="000000"/>
                <w:szCs w:val="18"/>
                <w:lang w:eastAsia="nl-NL"/>
              </w:rPr>
            </w:pPr>
            <w:r w:rsidRPr="007738F4">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738F4" w:rsidR="007738F4" w:rsidP="007738F4" w:rsidRDefault="007738F4">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127258" w:rsidP="00127258" w:rsidRDefault="00127258">
      <w:pPr>
        <w:spacing w:after="0"/>
        <w:rPr>
          <w:i/>
          <w:szCs w:val="18"/>
        </w:rPr>
      </w:pPr>
    </w:p>
    <w:p w:rsidR="00127258" w:rsidP="00127258" w:rsidRDefault="00127258">
      <w:pPr>
        <w:spacing w:after="0"/>
        <w:rPr>
          <w:i/>
          <w:szCs w:val="18"/>
        </w:rPr>
      </w:pPr>
      <w:r>
        <w:rPr>
          <w:i/>
          <w:szCs w:val="18"/>
        </w:rPr>
        <w:t>Grondslagmutatie</w:t>
      </w:r>
    </w:p>
    <w:p w:rsidR="00127258" w:rsidP="00127258" w:rsidRDefault="00127258">
      <w:pPr>
        <w:spacing w:after="0"/>
        <w:rPr>
          <w:szCs w:val="18"/>
        </w:rPr>
      </w:pPr>
      <w:r>
        <w:rPr>
          <w:szCs w:val="18"/>
        </w:rPr>
        <w:t>De prijsbijstelling is omhoog bijgesteld als gevolg van de verwerking van de grondslagen uit de Miljoenennota 2019. Vanwege de kleine omvang van de grondslagmutaties valt deze bij de plafonds Sociale Zekerheid en Zorg onder de post Diversen. Dit geldt ook voor het gedeelte dat niet relevant is voor het uitgavenplafond.</w:t>
      </w:r>
    </w:p>
    <w:p w:rsidR="00127258" w:rsidP="00127258" w:rsidRDefault="00127258">
      <w:pPr>
        <w:spacing w:after="0"/>
        <w:rPr>
          <w:szCs w:val="18"/>
        </w:rPr>
      </w:pPr>
    </w:p>
    <w:p w:rsidR="00127258" w:rsidP="00127258" w:rsidRDefault="00127258">
      <w:pPr>
        <w:spacing w:after="0"/>
        <w:rPr>
          <w:i/>
          <w:szCs w:val="18"/>
        </w:rPr>
      </w:pPr>
      <w:r>
        <w:rPr>
          <w:i/>
          <w:szCs w:val="18"/>
        </w:rPr>
        <w:t>Prijsontwikkeling</w:t>
      </w:r>
    </w:p>
    <w:p w:rsidR="00127258" w:rsidP="00127258" w:rsidRDefault="00127258">
      <w:pPr>
        <w:spacing w:after="0"/>
        <w:rPr>
          <w:szCs w:val="18"/>
        </w:rPr>
      </w:pPr>
      <w:r>
        <w:rPr>
          <w:szCs w:val="18"/>
        </w:rPr>
        <w:t>De prijsbijstelling is omlaag bijgesteld als gevolg van de CEP-raming van het CPB. Vanwege de kleine omvang van de prijsontwikkeling valt deze bij de plafonds Sociale Zekerheid en Zorg onder de post diversen.</w:t>
      </w:r>
    </w:p>
    <w:p w:rsidR="00127258" w:rsidP="00127258" w:rsidRDefault="00127258">
      <w:pPr>
        <w:spacing w:after="0"/>
        <w:rPr>
          <w:i/>
          <w:szCs w:val="18"/>
        </w:rPr>
      </w:pPr>
    </w:p>
    <w:p w:rsidR="00253C09" w:rsidP="00127258" w:rsidRDefault="00253C09">
      <w:pPr>
        <w:spacing w:after="0"/>
        <w:rPr>
          <w:i/>
          <w:szCs w:val="18"/>
        </w:rPr>
      </w:pPr>
    </w:p>
    <w:p w:rsidR="00253C09" w:rsidP="00127258" w:rsidRDefault="00253C09">
      <w:pPr>
        <w:spacing w:after="0"/>
        <w:rPr>
          <w:i/>
          <w:szCs w:val="18"/>
        </w:rPr>
      </w:pPr>
    </w:p>
    <w:p w:rsidR="00127258" w:rsidP="00127258" w:rsidRDefault="00127258">
      <w:pPr>
        <w:spacing w:after="0"/>
        <w:rPr>
          <w:i/>
          <w:szCs w:val="18"/>
        </w:rPr>
      </w:pPr>
      <w:r>
        <w:rPr>
          <w:i/>
          <w:szCs w:val="18"/>
        </w:rPr>
        <w:lastRenderedPageBreak/>
        <w:t>Uitkeren prijsbijstelling</w:t>
      </w:r>
    </w:p>
    <w:p w:rsidRPr="00A97538" w:rsidR="00127258" w:rsidP="00127258" w:rsidRDefault="00127258">
      <w:pPr>
        <w:spacing w:after="0"/>
        <w:rPr>
          <w:szCs w:val="18"/>
        </w:rPr>
      </w:pPr>
      <w:r>
        <w:rPr>
          <w:szCs w:val="18"/>
        </w:rPr>
        <w:t>De prijsbijstelling tranche 2019</w:t>
      </w:r>
      <w:r w:rsidRPr="00A97538">
        <w:rPr>
          <w:szCs w:val="18"/>
        </w:rPr>
        <w:t xml:space="preserve"> is uitgekeerd aan de departementen. Vanwege de kleine omvang van de uitkering valt deze op de kaders Zorg en Sociale Ze</w:t>
      </w:r>
      <w:r>
        <w:rPr>
          <w:szCs w:val="18"/>
        </w:rPr>
        <w:t>kerheid onder de post diversen</w:t>
      </w:r>
      <w:r w:rsidRPr="00A97538">
        <w:rPr>
          <w:szCs w:val="18"/>
        </w:rPr>
        <w:t>.</w:t>
      </w:r>
    </w:p>
    <w:p w:rsidR="00403FED" w:rsidP="001D695D" w:rsidRDefault="00403FED">
      <w:pPr>
        <w:spacing w:after="0"/>
        <w:rPr>
          <w:rFonts w:asciiTheme="majorHAnsi" w:hAnsiTheme="majorHAnsi"/>
          <w:b/>
          <w:szCs w:val="18"/>
        </w:rPr>
      </w:pP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AE359D" w:rsidR="00AE359D" w:rsidTr="00AE359D">
        <w:trPr>
          <w:trHeight w:val="225"/>
        </w:trPr>
        <w:tc>
          <w:tcPr>
            <w:tcW w:w="10860" w:type="dxa"/>
            <w:gridSpan w:val="7"/>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b/>
                <w:bCs/>
                <w:color w:val="000000"/>
                <w:szCs w:val="18"/>
                <w:lang w:eastAsia="nl-NL"/>
              </w:rPr>
            </w:pPr>
            <w:r w:rsidRPr="00AE359D">
              <w:rPr>
                <w:rFonts w:eastAsia="Times New Roman" w:cs="Times New Roman"/>
                <w:b/>
                <w:bCs/>
                <w:color w:val="000000"/>
                <w:szCs w:val="18"/>
                <w:lang w:eastAsia="nl-NL"/>
              </w:rPr>
              <w:lastRenderedPageBreak/>
              <w:t>Arbeidsvoorwaarden</w:t>
            </w:r>
          </w:p>
        </w:tc>
      </w:tr>
      <w:tr w:rsidRPr="00AE359D" w:rsidR="00AE359D" w:rsidTr="00AE359D">
        <w:trPr>
          <w:trHeight w:val="240"/>
        </w:trPr>
        <w:tc>
          <w:tcPr>
            <w:tcW w:w="10860" w:type="dxa"/>
            <w:gridSpan w:val="7"/>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ARBEIDSVOORWAARDEN: UITGAVEN</w:t>
            </w:r>
          </w:p>
        </w:tc>
      </w:tr>
      <w:tr w:rsidRPr="00AE359D" w:rsidR="00AE359D" w:rsidTr="00AE359D">
        <w:trPr>
          <w:trHeight w:val="315"/>
        </w:trPr>
        <w:tc>
          <w:tcPr>
            <w:tcW w:w="43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2.005,4</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3.906,7</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5.662,0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7.423,1</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9.177,4</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180" w:firstLineChars="100"/>
              <w:rPr>
                <w:rFonts w:eastAsia="Times New Roman" w:cs="Times New Roman"/>
                <w:color w:val="000000"/>
                <w:szCs w:val="18"/>
                <w:lang w:eastAsia="nl-NL"/>
              </w:rPr>
            </w:pPr>
            <w:r w:rsidRPr="00AE359D">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360" w:firstLineChars="200"/>
              <w:rPr>
                <w:rFonts w:eastAsia="Times New Roman" w:cs="Times New Roman"/>
                <w:color w:val="000000"/>
                <w:szCs w:val="18"/>
                <w:lang w:eastAsia="nl-NL"/>
              </w:rPr>
            </w:pPr>
            <w:r w:rsidRPr="00AE359D">
              <w:rPr>
                <w:rFonts w:eastAsia="Times New Roman" w:cs="Times New Roman"/>
                <w:color w:val="000000"/>
                <w:szCs w:val="18"/>
                <w:lang w:eastAsia="nl-NL"/>
              </w:rPr>
              <w:t>Loon- en prijsontwikkeling</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-198,9</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-611,1</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-690,2</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-991,8</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-1.062,8</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360" w:firstLineChars="200"/>
              <w:rPr>
                <w:rFonts w:eastAsia="Times New Roman" w:cs="Times New Roman"/>
                <w:color w:val="000000"/>
                <w:szCs w:val="18"/>
                <w:lang w:eastAsia="nl-NL"/>
              </w:rPr>
            </w:pPr>
            <w:r w:rsidRPr="00AE359D">
              <w:rPr>
                <w:rFonts w:eastAsia="Times New Roman" w:cs="Times New Roman"/>
                <w:color w:val="000000"/>
                <w:szCs w:val="18"/>
                <w:lang w:eastAsia="nl-NL"/>
              </w:rPr>
              <w:t>Loonbijstelling tranche 2019</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-1.711,7</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-1.702,7</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-1.686,0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-1.666,4</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-1.669,4</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360" w:firstLineChars="200"/>
              <w:rPr>
                <w:rFonts w:eastAsia="Times New Roman" w:cs="Times New Roman"/>
                <w:color w:val="000000"/>
                <w:szCs w:val="18"/>
                <w:lang w:eastAsia="nl-NL"/>
              </w:rPr>
            </w:pPr>
            <w:r w:rsidRPr="00AE359D">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3,4</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4,0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10,7</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-2,8</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-16,5</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180" w:firstLineChars="100"/>
              <w:rPr>
                <w:rFonts w:eastAsia="Times New Roman" w:cs="Times New Roman"/>
                <w:color w:val="000000"/>
                <w:szCs w:val="18"/>
                <w:lang w:eastAsia="nl-NL"/>
              </w:rPr>
            </w:pPr>
            <w:r w:rsidRPr="00AE359D">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360" w:firstLineChars="200"/>
              <w:rPr>
                <w:rFonts w:eastAsia="Times New Roman" w:cs="Times New Roman"/>
                <w:color w:val="000000"/>
                <w:szCs w:val="18"/>
                <w:lang w:eastAsia="nl-NL"/>
              </w:rPr>
            </w:pPr>
            <w:r w:rsidRPr="00AE359D">
              <w:rPr>
                <w:rFonts w:eastAsia="Times New Roman" w:cs="Times New Roman"/>
                <w:color w:val="000000"/>
                <w:szCs w:val="18"/>
                <w:lang w:eastAsia="nl-NL"/>
              </w:rPr>
              <w:t>Loon- en prijsontwikkeling</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-8,6</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-25,9</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-29,3</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-42,0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-43,7</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360" w:firstLineChars="200"/>
              <w:rPr>
                <w:rFonts w:eastAsia="Times New Roman" w:cs="Times New Roman"/>
                <w:color w:val="000000"/>
                <w:szCs w:val="18"/>
                <w:lang w:eastAsia="nl-NL"/>
              </w:rPr>
            </w:pPr>
            <w:r w:rsidRPr="00AE359D">
              <w:rPr>
                <w:rFonts w:eastAsia="Times New Roman" w:cs="Times New Roman"/>
                <w:color w:val="000000"/>
                <w:szCs w:val="18"/>
                <w:lang w:eastAsia="nl-NL"/>
              </w:rPr>
              <w:t>Loonbijstelling tranche 2019</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-69,5</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-69,0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-67,5</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-66,2</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-64,9</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360" w:firstLineChars="200"/>
              <w:rPr>
                <w:rFonts w:eastAsia="Times New Roman" w:cs="Times New Roman"/>
                <w:color w:val="000000"/>
                <w:szCs w:val="18"/>
                <w:lang w:eastAsia="nl-NL"/>
              </w:rPr>
            </w:pPr>
            <w:r w:rsidRPr="00AE359D">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-1,9</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-4,0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-6,7</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-11,0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-13,9</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180" w:firstLineChars="100"/>
              <w:rPr>
                <w:rFonts w:eastAsia="Times New Roman" w:cs="Times New Roman"/>
                <w:color w:val="000000"/>
                <w:szCs w:val="18"/>
                <w:lang w:eastAsia="nl-NL"/>
              </w:rPr>
            </w:pPr>
            <w:r w:rsidRPr="00AE359D">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r>
      <w:tr w:rsidRPr="00AE359D" w:rsidR="00AE359D" w:rsidTr="00AE359D">
        <w:trPr>
          <w:trHeight w:val="315"/>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ind w:firstLine="360" w:firstLineChars="200"/>
              <w:rPr>
                <w:rFonts w:eastAsia="Times New Roman" w:cs="Times New Roman"/>
                <w:color w:val="000000"/>
                <w:szCs w:val="18"/>
                <w:lang w:eastAsia="nl-NL"/>
              </w:rPr>
            </w:pPr>
            <w:r w:rsidRPr="00AE359D">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-18,1</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-18,8</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-21,1</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-18,7</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-21,7</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-2.005,3</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-2.427,5</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-2.490,1</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-2.798,9</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-2.892,9</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225"/>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ascii="Times New Roman" w:hAnsi="Times New Roman" w:eastAsia="Times New Roman" w:cs="Times New Roman"/>
                <w:sz w:val="20"/>
                <w:szCs w:val="20"/>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-2.005,4</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-2.427,5</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-2.490,2</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-2.799,0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-2.892,9</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15"/>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1.479,2</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3.171,8</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4.624,1</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6.284,5</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15"/>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1.479,2</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3.171,8</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4.624,1</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6.284,5</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225"/>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r>
      <w:tr w:rsidRPr="00AE359D" w:rsidR="00AE359D" w:rsidTr="00AE359D">
        <w:trPr>
          <w:trHeight w:val="240"/>
        </w:trPr>
        <w:tc>
          <w:tcPr>
            <w:tcW w:w="10860" w:type="dxa"/>
            <w:gridSpan w:val="7"/>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ARBEIDSVOORWAARDEN: NIET-BELASTINGONTVANGSTEN</w:t>
            </w:r>
          </w:p>
        </w:tc>
      </w:tr>
      <w:tr w:rsidRPr="00AE359D" w:rsidR="00AE359D" w:rsidTr="00AE359D">
        <w:trPr>
          <w:trHeight w:val="315"/>
        </w:trPr>
        <w:tc>
          <w:tcPr>
            <w:tcW w:w="43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180"/>
        </w:trPr>
        <w:tc>
          <w:tcPr>
            <w:tcW w:w="43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15"/>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rPr>
                <w:rFonts w:ascii="Times New Roman" w:hAnsi="Times New Roman" w:eastAsia="Times New Roman" w:cs="Times New Roman"/>
                <w:sz w:val="20"/>
                <w:szCs w:val="20"/>
                <w:lang w:eastAsia="nl-NL"/>
              </w:rPr>
            </w:pPr>
          </w:p>
        </w:tc>
      </w:tr>
      <w:tr w:rsidRPr="00AE359D" w:rsidR="00AE359D" w:rsidTr="00AE359D">
        <w:trPr>
          <w:trHeight w:val="300"/>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315"/>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r w:rsidRPr="00AE359D" w:rsidR="00AE359D" w:rsidTr="00AE359D">
        <w:trPr>
          <w:trHeight w:val="225"/>
        </w:trPr>
        <w:tc>
          <w:tcPr>
            <w:tcW w:w="4360" w:type="dxa"/>
            <w:tcBorders>
              <w:top w:val="nil"/>
              <w:left w:val="nil"/>
              <w:bottom w:val="nil"/>
              <w:right w:val="nil"/>
            </w:tcBorders>
            <w:shd w:val="clear" w:color="auto" w:fill="auto"/>
            <w:hideMark/>
          </w:tcPr>
          <w:p w:rsidRPr="00AE359D" w:rsidR="00AE359D" w:rsidP="00AE359D" w:rsidRDefault="00AE359D">
            <w:pPr>
              <w:spacing w:after="0" w:line="240" w:lineRule="auto"/>
              <w:rPr>
                <w:rFonts w:eastAsia="Times New Roman" w:cs="Times New Roman"/>
                <w:color w:val="000000"/>
                <w:szCs w:val="18"/>
                <w:lang w:eastAsia="nl-NL"/>
              </w:rPr>
            </w:pPr>
            <w:r w:rsidRPr="00AE359D">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60" w:type="dxa"/>
            <w:tcBorders>
              <w:top w:val="single" w:color="000000" w:sz="8" w:space="0"/>
              <w:left w:val="nil"/>
              <w:bottom w:val="nil"/>
              <w:right w:val="nil"/>
            </w:tcBorders>
            <w:shd w:val="clear" w:color="auto" w:fill="auto"/>
            <w:hideMark/>
          </w:tcPr>
          <w:p w:rsidRPr="00AE359D" w:rsidR="00AE359D" w:rsidP="00AE359D" w:rsidRDefault="00AE359D">
            <w:pPr>
              <w:spacing w:after="0" w:line="240" w:lineRule="auto"/>
              <w:jc w:val="right"/>
              <w:rPr>
                <w:rFonts w:eastAsia="Times New Roman" w:cs="Times New Roman"/>
                <w:color w:val="000000"/>
                <w:szCs w:val="18"/>
                <w:lang w:eastAsia="nl-NL"/>
              </w:rPr>
            </w:pPr>
            <w:r w:rsidRPr="00AE359D">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E359D" w:rsidR="00AE359D" w:rsidP="00AE359D" w:rsidRDefault="00AE359D">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EA6CA2" w:rsidR="00EA6CA2" w:rsidP="00EA6CA2" w:rsidRDefault="00EA6CA2">
      <w:pPr>
        <w:pStyle w:val="Default"/>
        <w:spacing w:line="276" w:lineRule="auto"/>
        <w:rPr>
          <w:rFonts w:asciiTheme="majorHAnsi" w:hAnsiTheme="majorHAnsi"/>
          <w:sz w:val="18"/>
          <w:szCs w:val="18"/>
        </w:rPr>
      </w:pPr>
      <w:r w:rsidRPr="00EA6CA2">
        <w:rPr>
          <w:rFonts w:asciiTheme="majorHAnsi" w:hAnsiTheme="majorHAnsi"/>
          <w:i/>
          <w:iCs/>
          <w:sz w:val="18"/>
          <w:szCs w:val="18"/>
        </w:rPr>
        <w:t xml:space="preserve">Loon- en prijsontwikkeling </w:t>
      </w:r>
    </w:p>
    <w:p w:rsidRPr="00EA6CA2" w:rsidR="00EA6CA2" w:rsidP="00EA6CA2" w:rsidRDefault="00EA6CA2">
      <w:pPr>
        <w:pStyle w:val="Default"/>
        <w:spacing w:line="276" w:lineRule="auto"/>
        <w:rPr>
          <w:rFonts w:cs="Arial" w:asciiTheme="majorHAnsi" w:hAnsiTheme="majorHAnsi"/>
          <w:sz w:val="18"/>
          <w:szCs w:val="18"/>
        </w:rPr>
      </w:pPr>
      <w:r w:rsidRPr="00EA6CA2">
        <w:rPr>
          <w:rFonts w:asciiTheme="majorHAnsi" w:hAnsiTheme="majorHAnsi"/>
          <w:sz w:val="18"/>
          <w:szCs w:val="18"/>
        </w:rPr>
        <w:t>De loonontwikkeling voor de komende jaren wordt nu lager geraamd ten opzichte van Miljoenennota</w:t>
      </w:r>
      <w:r>
        <w:rPr>
          <w:rFonts w:asciiTheme="majorHAnsi" w:hAnsiTheme="majorHAnsi"/>
          <w:sz w:val="18"/>
          <w:szCs w:val="18"/>
        </w:rPr>
        <w:t xml:space="preserve"> 2019</w:t>
      </w:r>
      <w:r w:rsidRPr="00EA6CA2">
        <w:rPr>
          <w:rFonts w:asciiTheme="majorHAnsi" w:hAnsiTheme="majorHAnsi"/>
          <w:sz w:val="18"/>
          <w:szCs w:val="18"/>
        </w:rPr>
        <w:t xml:space="preserve">. Deze ontwikkeling volgt uit de </w:t>
      </w:r>
      <w:r w:rsidRPr="00EA6CA2">
        <w:rPr>
          <w:rFonts w:cs="Arial" w:asciiTheme="majorHAnsi" w:hAnsiTheme="majorHAnsi"/>
          <w:sz w:val="18"/>
          <w:szCs w:val="18"/>
        </w:rPr>
        <w:t>nieuwe inzichten op basis van ramingen van de ontwikkeling van de lonen en de sociale werkgeverslasten door het Centraal Planbureau.</w:t>
      </w:r>
    </w:p>
    <w:p w:rsidRPr="00EA6CA2" w:rsidR="00EA6CA2" w:rsidP="00EA6CA2" w:rsidRDefault="00EA6CA2">
      <w:pPr>
        <w:pStyle w:val="Default"/>
        <w:spacing w:line="276" w:lineRule="auto"/>
        <w:rPr>
          <w:rFonts w:cs="Arial" w:asciiTheme="majorHAnsi" w:hAnsiTheme="majorHAnsi"/>
          <w:sz w:val="18"/>
          <w:szCs w:val="18"/>
        </w:rPr>
      </w:pPr>
    </w:p>
    <w:p w:rsidRPr="00EA6CA2" w:rsidR="00EA6CA2" w:rsidP="00EA6CA2" w:rsidRDefault="00EA6CA2">
      <w:pPr>
        <w:pStyle w:val="Default"/>
        <w:spacing w:line="276" w:lineRule="auto"/>
        <w:rPr>
          <w:rFonts w:asciiTheme="majorHAnsi" w:hAnsiTheme="majorHAnsi"/>
          <w:i/>
          <w:iCs/>
          <w:sz w:val="18"/>
          <w:szCs w:val="18"/>
        </w:rPr>
      </w:pPr>
      <w:r w:rsidRPr="00EA6CA2">
        <w:rPr>
          <w:rFonts w:asciiTheme="majorHAnsi" w:hAnsiTheme="majorHAnsi"/>
          <w:i/>
          <w:iCs/>
          <w:sz w:val="18"/>
          <w:szCs w:val="18"/>
        </w:rPr>
        <w:t>Loonbijstelling tranche 2019</w:t>
      </w:r>
    </w:p>
    <w:p w:rsidRPr="00EA6CA2" w:rsidR="00EA6CA2" w:rsidP="00EA6CA2" w:rsidRDefault="00EA6CA2">
      <w:pPr>
        <w:pStyle w:val="Default"/>
        <w:spacing w:line="276" w:lineRule="auto"/>
        <w:rPr>
          <w:rFonts w:asciiTheme="majorHAnsi" w:hAnsiTheme="majorHAnsi"/>
          <w:iCs/>
          <w:sz w:val="18"/>
          <w:szCs w:val="18"/>
        </w:rPr>
      </w:pPr>
      <w:r w:rsidRPr="00EA6CA2">
        <w:rPr>
          <w:rFonts w:asciiTheme="majorHAnsi" w:hAnsiTheme="majorHAnsi"/>
          <w:iCs/>
          <w:sz w:val="18"/>
          <w:szCs w:val="18"/>
        </w:rPr>
        <w:t xml:space="preserve">De loonbijstelling tranche 2019 is overgemaakt naar de departementale begrotingen. </w:t>
      </w:r>
    </w:p>
    <w:p w:rsidRPr="00EA6CA2" w:rsidR="00EA6CA2" w:rsidP="00EA6CA2" w:rsidRDefault="00EA6CA2">
      <w:pPr>
        <w:pStyle w:val="Default"/>
        <w:spacing w:line="276" w:lineRule="auto"/>
        <w:rPr>
          <w:rFonts w:asciiTheme="majorHAnsi" w:hAnsiTheme="majorHAnsi"/>
          <w:iCs/>
          <w:sz w:val="18"/>
          <w:szCs w:val="18"/>
        </w:rPr>
      </w:pPr>
    </w:p>
    <w:p w:rsidRPr="00EA6CA2" w:rsidR="00EA6CA2" w:rsidP="00EA6CA2" w:rsidRDefault="00EA6CA2">
      <w:pPr>
        <w:pStyle w:val="Default"/>
        <w:spacing w:line="276" w:lineRule="auto"/>
        <w:rPr>
          <w:rFonts w:asciiTheme="majorHAnsi" w:hAnsiTheme="majorHAnsi"/>
          <w:i/>
          <w:iCs/>
          <w:sz w:val="18"/>
          <w:szCs w:val="18"/>
        </w:rPr>
      </w:pPr>
      <w:r w:rsidRPr="00EA6CA2">
        <w:rPr>
          <w:rFonts w:asciiTheme="majorHAnsi" w:hAnsiTheme="majorHAnsi"/>
          <w:i/>
          <w:iCs/>
          <w:sz w:val="18"/>
          <w:szCs w:val="18"/>
        </w:rPr>
        <w:t>Diversen</w:t>
      </w:r>
    </w:p>
    <w:p w:rsidR="00EA6CA2" w:rsidP="00EA6CA2" w:rsidRDefault="00EA6CA2">
      <w:pPr>
        <w:spacing w:after="0"/>
        <w:rPr>
          <w:rFonts w:asciiTheme="majorHAnsi" w:hAnsiTheme="majorHAnsi"/>
          <w:b/>
          <w:szCs w:val="18"/>
        </w:rPr>
      </w:pPr>
      <w:r w:rsidRPr="00EA6CA2">
        <w:rPr>
          <w:rFonts w:asciiTheme="majorHAnsi" w:hAnsiTheme="majorHAnsi"/>
          <w:iCs/>
          <w:szCs w:val="18"/>
        </w:rPr>
        <w:t>Onder de post diversen vallen onder andere mutaties als gevolg van de nieuwe begrotingsgrondslagen zoals vastgesteld in de Miljoenennota 2019.</w:t>
      </w:r>
    </w:p>
    <w:p w:rsidR="008423E3" w:rsidRDefault="008423E3">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8423E3" w:rsidR="008423E3" w:rsidTr="008423E3">
        <w:trPr>
          <w:trHeight w:val="225"/>
        </w:trPr>
        <w:tc>
          <w:tcPr>
            <w:tcW w:w="10860" w:type="dxa"/>
            <w:gridSpan w:val="7"/>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b/>
                <w:bCs/>
                <w:color w:val="000000"/>
                <w:szCs w:val="18"/>
                <w:lang w:eastAsia="nl-NL"/>
              </w:rPr>
            </w:pPr>
            <w:r w:rsidRPr="008423E3">
              <w:rPr>
                <w:rFonts w:eastAsia="Times New Roman" w:cs="Times New Roman"/>
                <w:b/>
                <w:bCs/>
                <w:color w:val="000000"/>
                <w:szCs w:val="18"/>
                <w:lang w:eastAsia="nl-NL"/>
              </w:rPr>
              <w:lastRenderedPageBreak/>
              <w:t>Koppeling Uitkeringen</w:t>
            </w:r>
          </w:p>
        </w:tc>
      </w:tr>
      <w:tr w:rsidRPr="008423E3" w:rsidR="008423E3" w:rsidTr="008423E3">
        <w:trPr>
          <w:trHeight w:val="240"/>
        </w:trPr>
        <w:tc>
          <w:tcPr>
            <w:tcW w:w="10860" w:type="dxa"/>
            <w:gridSpan w:val="7"/>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KOPPELING UITKERINGEN: UITGAVEN</w:t>
            </w:r>
          </w:p>
        </w:tc>
      </w:tr>
      <w:tr w:rsidRPr="008423E3" w:rsidR="008423E3" w:rsidTr="008423E3">
        <w:trPr>
          <w:trHeight w:val="315"/>
        </w:trPr>
        <w:tc>
          <w:tcPr>
            <w:tcW w:w="43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458,1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916,3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1.385,7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1.861,6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2.373,1</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45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 xml:space="preserve">Dekking herstel niet-automatisch herstarten </w:t>
            </w:r>
            <w:proofErr w:type="spellStart"/>
            <w:r w:rsidRPr="008423E3">
              <w:rPr>
                <w:rFonts w:eastAsia="Times New Roman" w:cs="Times New Roman"/>
                <w:color w:val="000000"/>
                <w:szCs w:val="18"/>
                <w:lang w:eastAsia="nl-NL"/>
              </w:rPr>
              <w:t>wkb</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-62,1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-63,7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-64,6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-65,8</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-0,1</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-62,2</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-63,8</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-64,7</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-65,9</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Nominale ontwikkeling</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-56,2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-94,1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-149,7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-226,9</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-13,2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-19,9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-21,1</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-63,2</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-107,3</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-169,6</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-248,0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180"/>
        </w:trPr>
        <w:tc>
          <w:tcPr>
            <w:tcW w:w="43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-125,4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-171,2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-234,3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-314,0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4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449,1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790,9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1.214,5</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1.627,2</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2.059,1</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449,1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790,9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1.214,5</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1.627,2</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2.059,1</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240"/>
        </w:trPr>
        <w:tc>
          <w:tcPr>
            <w:tcW w:w="10860" w:type="dxa"/>
            <w:gridSpan w:val="7"/>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KOPPELING UITKERINGEN: NIET-BELASTINGONTVANGSTEN</w:t>
            </w:r>
          </w:p>
        </w:tc>
      </w:tr>
      <w:tr w:rsidRPr="008423E3" w:rsidR="008423E3" w:rsidTr="008423E3">
        <w:trPr>
          <w:trHeight w:val="315"/>
        </w:trPr>
        <w:tc>
          <w:tcPr>
            <w:tcW w:w="43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33,7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68,9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104,9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142,1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148,3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180"/>
        </w:trPr>
        <w:tc>
          <w:tcPr>
            <w:tcW w:w="43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33,7</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68,9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104,9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142,1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148,3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33,7</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68,9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104,9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142,1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148,3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bl>
    <w:p w:rsidR="008423E3" w:rsidP="008423E3" w:rsidRDefault="008423E3">
      <w:pPr>
        <w:spacing w:after="0"/>
        <w:rPr>
          <w:rFonts w:asciiTheme="majorHAnsi" w:hAnsiTheme="majorHAnsi"/>
          <w:b/>
          <w:szCs w:val="18"/>
        </w:rPr>
      </w:pPr>
    </w:p>
    <w:p w:rsidR="00AF3B96" w:rsidP="008423E3" w:rsidRDefault="00AF3B96">
      <w:pPr>
        <w:spacing w:after="0"/>
        <w:rPr>
          <w:rFonts w:asciiTheme="majorHAnsi" w:hAnsiTheme="majorHAnsi"/>
          <w:b/>
          <w:szCs w:val="18"/>
        </w:rPr>
      </w:pPr>
    </w:p>
    <w:p w:rsidRPr="00A405F7" w:rsidR="008423E3" w:rsidP="008423E3" w:rsidRDefault="008423E3">
      <w:pPr>
        <w:spacing w:after="0"/>
        <w:rPr>
          <w:rFonts w:eastAsia="Times New Roman"/>
          <w:i/>
          <w:szCs w:val="18"/>
        </w:rPr>
      </w:pPr>
      <w:r w:rsidRPr="00A405F7">
        <w:rPr>
          <w:rFonts w:eastAsia="Times New Roman"/>
          <w:i/>
          <w:szCs w:val="18"/>
        </w:rPr>
        <w:t xml:space="preserve">Dekking herstel niet-automatisch herstarten WKB </w:t>
      </w:r>
    </w:p>
    <w:p w:rsidR="008423E3" w:rsidP="008423E3" w:rsidRDefault="008423E3">
      <w:pPr>
        <w:rPr>
          <w:rFonts w:eastAsia="Times New Roman"/>
          <w:i/>
          <w:szCs w:val="18"/>
        </w:rPr>
      </w:pPr>
      <w:r>
        <w:rPr>
          <w:szCs w:val="18"/>
        </w:rPr>
        <w:t xml:space="preserve">De gevolgen van het herstel van het niet-automatisch herstarten van de WKB zijn voor een deel ook structureel (50 mln.), omdat de uitvoering ook naar de toekomst toe wordt aangepast. Deze structurele kosten worden gedekt door middel van het niet indexeren van het </w:t>
      </w:r>
      <w:proofErr w:type="spellStart"/>
      <w:r>
        <w:rPr>
          <w:szCs w:val="18"/>
        </w:rPr>
        <w:t>kindgebonden</w:t>
      </w:r>
      <w:proofErr w:type="spellEnd"/>
      <w:r>
        <w:rPr>
          <w:szCs w:val="18"/>
        </w:rPr>
        <w:t xml:space="preserve"> budget in 2020.</w:t>
      </w:r>
    </w:p>
    <w:p w:rsidRPr="00834E28" w:rsidR="008423E3" w:rsidP="008423E3" w:rsidRDefault="008423E3">
      <w:pPr>
        <w:spacing w:after="0"/>
        <w:rPr>
          <w:rFonts w:eastAsia="Times New Roman" w:cs="Times New Roman"/>
          <w:i/>
          <w:szCs w:val="18"/>
          <w:lang w:eastAsia="nl-NL"/>
        </w:rPr>
      </w:pPr>
      <w:r w:rsidRPr="00834E28">
        <w:rPr>
          <w:rFonts w:eastAsia="Times New Roman" w:cs="Times New Roman"/>
          <w:i/>
          <w:szCs w:val="18"/>
          <w:lang w:eastAsia="nl-NL"/>
        </w:rPr>
        <w:t>Diversen</w:t>
      </w:r>
      <w:r>
        <w:rPr>
          <w:rFonts w:eastAsia="Times New Roman" w:cs="Times New Roman"/>
          <w:i/>
          <w:szCs w:val="18"/>
          <w:lang w:eastAsia="nl-NL"/>
        </w:rPr>
        <w:t xml:space="preserve"> – beleidsmatige mutaties </w:t>
      </w:r>
    </w:p>
    <w:p w:rsidRPr="00834E28" w:rsidR="008423E3" w:rsidP="008423E3" w:rsidRDefault="008423E3">
      <w:pPr>
        <w:spacing w:after="0"/>
        <w:rPr>
          <w:rFonts w:eastAsia="Times New Roman" w:cs="Times New Roman"/>
          <w:szCs w:val="18"/>
          <w:lang w:eastAsia="nl-NL"/>
        </w:rPr>
      </w:pPr>
      <w:r w:rsidRPr="00834E28">
        <w:rPr>
          <w:rFonts w:eastAsia="Times New Roman" w:cs="Times New Roman"/>
          <w:szCs w:val="18"/>
          <w:lang w:eastAsia="nl-NL"/>
        </w:rPr>
        <w:t>Dit betreft een mutatie ter dekking van het bijstellen van de uitkeringslasten. De hogere uitkeringslasten zijn een gevolg van het harmoniseren van het nabestaandenbegrip in de TAS met het burgerlijk wetboek.</w:t>
      </w:r>
    </w:p>
    <w:p w:rsidRPr="00834E28" w:rsidR="008423E3" w:rsidP="008423E3" w:rsidRDefault="008423E3">
      <w:pPr>
        <w:spacing w:after="0"/>
        <w:rPr>
          <w:rFonts w:eastAsia="Times New Roman" w:cs="Times New Roman"/>
          <w:szCs w:val="18"/>
          <w:lang w:eastAsia="nl-NL"/>
        </w:rPr>
      </w:pPr>
    </w:p>
    <w:p w:rsidRPr="00834E28" w:rsidR="008423E3" w:rsidP="008423E3" w:rsidRDefault="008423E3">
      <w:pPr>
        <w:spacing w:after="0"/>
        <w:rPr>
          <w:rFonts w:eastAsia="Times New Roman" w:cs="Times New Roman"/>
          <w:i/>
          <w:szCs w:val="18"/>
          <w:lang w:eastAsia="nl-NL"/>
        </w:rPr>
      </w:pPr>
      <w:r w:rsidRPr="00834E28">
        <w:rPr>
          <w:rFonts w:eastAsia="Times New Roman" w:cs="Times New Roman"/>
          <w:i/>
          <w:szCs w:val="18"/>
          <w:lang w:eastAsia="nl-NL"/>
        </w:rPr>
        <w:t>Nominale ontwikkeling</w:t>
      </w:r>
    </w:p>
    <w:p w:rsidRPr="00834E28" w:rsidR="008423E3" w:rsidP="008423E3" w:rsidRDefault="008423E3">
      <w:pPr>
        <w:spacing w:after="0"/>
        <w:rPr>
          <w:rFonts w:eastAsia="Times New Roman" w:cs="Times New Roman"/>
          <w:szCs w:val="18"/>
          <w:lang w:eastAsia="nl-NL"/>
        </w:rPr>
      </w:pPr>
      <w:r w:rsidRPr="00834E28">
        <w:rPr>
          <w:rFonts w:eastAsia="Times New Roman" w:cs="Times New Roman"/>
          <w:szCs w:val="18"/>
          <w:lang w:eastAsia="nl-NL"/>
        </w:rPr>
        <w:t>Deze mutatie betreft een aanpassing in de geraamde nominale ontwikkeling onder het uitgavenplafond Sociale Zekerheid als gevolg van CEP 2019-ramingen van loon- en prijsontwikkeling en als gevolg van mutaties in uitgavenramingen binnen de sociale zekerheid.</w:t>
      </w:r>
    </w:p>
    <w:p w:rsidRPr="00834E28" w:rsidR="008423E3" w:rsidP="008423E3" w:rsidRDefault="008423E3">
      <w:pPr>
        <w:spacing w:after="0"/>
        <w:rPr>
          <w:rFonts w:eastAsia="Times New Roman" w:cs="Times New Roman"/>
          <w:szCs w:val="18"/>
          <w:lang w:eastAsia="nl-NL"/>
        </w:rPr>
      </w:pPr>
    </w:p>
    <w:p w:rsidR="00AF3B96" w:rsidP="008423E3" w:rsidRDefault="00AF3B96">
      <w:pPr>
        <w:spacing w:after="0"/>
        <w:rPr>
          <w:rFonts w:eastAsia="Times New Roman" w:cs="Times New Roman"/>
          <w:i/>
          <w:szCs w:val="18"/>
          <w:lang w:eastAsia="nl-NL"/>
        </w:rPr>
      </w:pPr>
    </w:p>
    <w:p w:rsidR="00AF3B96" w:rsidP="008423E3" w:rsidRDefault="00AF3B96">
      <w:pPr>
        <w:spacing w:after="0"/>
        <w:rPr>
          <w:rFonts w:eastAsia="Times New Roman" w:cs="Times New Roman"/>
          <w:i/>
          <w:szCs w:val="18"/>
          <w:lang w:eastAsia="nl-NL"/>
        </w:rPr>
      </w:pPr>
    </w:p>
    <w:p w:rsidRPr="00834E28" w:rsidR="008423E3" w:rsidP="008423E3" w:rsidRDefault="008423E3">
      <w:pPr>
        <w:spacing w:after="0"/>
        <w:rPr>
          <w:rFonts w:eastAsia="Times New Roman" w:cs="Times New Roman"/>
          <w:i/>
          <w:szCs w:val="18"/>
          <w:lang w:eastAsia="nl-NL"/>
        </w:rPr>
      </w:pPr>
      <w:r w:rsidRPr="00834E28">
        <w:rPr>
          <w:rFonts w:eastAsia="Times New Roman" w:cs="Times New Roman"/>
          <w:i/>
          <w:szCs w:val="18"/>
          <w:lang w:eastAsia="nl-NL"/>
        </w:rPr>
        <w:lastRenderedPageBreak/>
        <w:t>Diversen</w:t>
      </w:r>
      <w:r>
        <w:rPr>
          <w:rFonts w:eastAsia="Times New Roman" w:cs="Times New Roman"/>
          <w:i/>
          <w:szCs w:val="18"/>
          <w:lang w:eastAsia="nl-NL"/>
        </w:rPr>
        <w:t xml:space="preserve"> – technische mutaties</w:t>
      </w:r>
    </w:p>
    <w:p w:rsidR="00403FED" w:rsidP="008423E3" w:rsidRDefault="008423E3">
      <w:pPr>
        <w:rPr>
          <w:rFonts w:asciiTheme="majorHAnsi" w:hAnsiTheme="majorHAnsi"/>
          <w:b/>
          <w:szCs w:val="18"/>
        </w:rPr>
      </w:pPr>
      <w:r w:rsidRPr="00834E28">
        <w:rPr>
          <w:rFonts w:eastAsia="Times New Roman" w:cs="Times New Roman"/>
          <w:szCs w:val="18"/>
          <w:lang w:eastAsia="nl-NL"/>
        </w:rPr>
        <w:t>Dit betreft bruteringen welke verband houden met de koppeling van diverse uitkeringen aan het netto minimumloon. Een brutering komt voor als er een verschil ontstaat tussen de bruto en de netto uitkering. Hierdoor kunnen de uitgaven van SZW stijgen of dalen terwijl de belastinginkomsten één-op-één meebewegen. Een brutering heeft geen effect op het saldo van de overheid. Om deze reden wordt het uitgavenplafond Sociale Zekerheid gecorrigeerd voor bruteringen</w:t>
      </w:r>
      <w:r>
        <w:rPr>
          <w:rFonts w:eastAsia="Times New Roman" w:cs="Times New Roman"/>
          <w:szCs w:val="18"/>
          <w:lang w:eastAsia="nl-NL"/>
        </w:rPr>
        <w:t>.</w:t>
      </w: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A145FA" w:rsidR="00A145FA" w:rsidTr="00A145FA">
        <w:trPr>
          <w:trHeight w:val="225"/>
        </w:trPr>
        <w:tc>
          <w:tcPr>
            <w:tcW w:w="10860" w:type="dxa"/>
            <w:gridSpan w:val="7"/>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b/>
                <w:bCs/>
                <w:color w:val="000000"/>
                <w:szCs w:val="18"/>
                <w:lang w:eastAsia="nl-NL"/>
              </w:rPr>
            </w:pPr>
            <w:r w:rsidRPr="00A145FA">
              <w:rPr>
                <w:rFonts w:eastAsia="Times New Roman" w:cs="Times New Roman"/>
                <w:b/>
                <w:bCs/>
                <w:color w:val="000000"/>
                <w:szCs w:val="18"/>
                <w:lang w:eastAsia="nl-NL"/>
              </w:rPr>
              <w:lastRenderedPageBreak/>
              <w:t>Algemeen</w:t>
            </w:r>
          </w:p>
        </w:tc>
      </w:tr>
      <w:tr w:rsidRPr="00A145FA" w:rsidR="00A145FA" w:rsidTr="00A145FA">
        <w:trPr>
          <w:trHeight w:val="240"/>
        </w:trPr>
        <w:tc>
          <w:tcPr>
            <w:tcW w:w="10860" w:type="dxa"/>
            <w:gridSpan w:val="7"/>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ALGEMEEN: UITGAVEN</w:t>
            </w:r>
          </w:p>
        </w:tc>
      </w:tr>
      <w:tr w:rsidRPr="00A145FA" w:rsidR="00A145FA" w:rsidTr="00A145FA">
        <w:trPr>
          <w:trHeight w:val="315"/>
        </w:trPr>
        <w:tc>
          <w:tcPr>
            <w:tcW w:w="43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2.485,2</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1.883,5</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1.933,1</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2.816,6</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2.655,6</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r w:rsidRPr="00A145FA">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Kasschuif f29 cofinanciering fonds warme sanering varkenshouderij</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-46,6</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17,2</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8,5</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8,1</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8,4</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Kasschuif l107 stimulering ombouw laagcalorisch naar hoogcalorisch</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Kasschuif reservering wederopbouw sint maarten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190,9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proofErr w:type="spellStart"/>
            <w:r w:rsidRPr="00A145FA">
              <w:rPr>
                <w:rFonts w:eastAsia="Times New Roman" w:cs="Times New Roman"/>
                <w:color w:val="000000"/>
                <w:szCs w:val="18"/>
                <w:lang w:eastAsia="nl-NL"/>
              </w:rPr>
              <w:t>Opboeken</w:t>
            </w:r>
            <w:proofErr w:type="spellEnd"/>
            <w:r w:rsidRPr="00A145FA">
              <w:rPr>
                <w:rFonts w:eastAsia="Times New Roman" w:cs="Times New Roman"/>
                <w:color w:val="000000"/>
                <w:szCs w:val="18"/>
                <w:lang w:eastAsia="nl-NL"/>
              </w:rPr>
              <w:t xml:space="preserve"> in=uittaakstelling rijksbegroting</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-776,4</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-13,1</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Reservering klimaatakkoord</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400,0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130,0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155,0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90,0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100,0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 xml:space="preserve">Reservering </w:t>
            </w:r>
            <w:proofErr w:type="spellStart"/>
            <w:r w:rsidRPr="00A145FA">
              <w:rPr>
                <w:rFonts w:eastAsia="Times New Roman" w:cs="Times New Roman"/>
                <w:color w:val="000000"/>
                <w:szCs w:val="18"/>
                <w:lang w:eastAsia="nl-NL"/>
              </w:rPr>
              <w:t>venezuela</w:t>
            </w:r>
            <w:proofErr w:type="spellEnd"/>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23,8</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 xml:space="preserve">Vrijval reservering </w:t>
            </w:r>
            <w:proofErr w:type="spellStart"/>
            <w:r w:rsidRPr="00A145FA">
              <w:rPr>
                <w:rFonts w:eastAsia="Times New Roman" w:cs="Times New Roman"/>
                <w:color w:val="000000"/>
                <w:szCs w:val="18"/>
                <w:lang w:eastAsia="nl-NL"/>
              </w:rPr>
              <w:t>bni</w:t>
            </w:r>
            <w:proofErr w:type="spellEnd"/>
            <w:r w:rsidRPr="00A145FA">
              <w:rPr>
                <w:rFonts w:eastAsia="Times New Roman" w:cs="Times New Roman"/>
                <w:color w:val="000000"/>
                <w:szCs w:val="18"/>
                <w:lang w:eastAsia="nl-NL"/>
              </w:rPr>
              <w:t>-revisie</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-181,6</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Vullen in=uittaakstelling</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220,0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-16,4</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2,5</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1,8</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r w:rsidRPr="00A145FA">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24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-12,8</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-214,1</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119,8</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166,0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129,9</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108,4</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r w:rsidRPr="00A145FA">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Loonbijstelling tranche 2019 rijksbegroting</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25,9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33,2</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31,8</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30,9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29,4</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b12 ondermijningsbestrijdingsfonds</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-100,0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b5 politie</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-37,2</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-60,9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-60,9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-60,9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-60,9</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b6 digitalisering werkprocessen strafrechtketen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-69,9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-24,9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-24,9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-24,0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e23 envelop klimaat</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-300,0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f29 cofinanciering fonds warme sanering varkenshouderij</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-3,4</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-101,2</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-48,5</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-18,1</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-8,4</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f30 fonds bedrijfsopvolging agrarische sector</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-25,0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g33 aanpak werkdruk primair onderwijs</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-81,0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-193,0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-152,5</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g39 maatschappelijke diensttijd</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-35,0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g43 intensivering erfgoed en monumenten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-35,6</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4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h59 preventiemaatregelen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-41,2</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-41,2</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-15,2</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45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Overboeking l105 reservering regionale knelpunten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-59,9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-7,3</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-4,1</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-2,4</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 xml:space="preserve">Overboeking l108 gasfonds </w:t>
            </w:r>
            <w:proofErr w:type="spellStart"/>
            <w:r w:rsidRPr="00A145FA">
              <w:rPr>
                <w:rFonts w:eastAsia="Times New Roman" w:cs="Times New Roman"/>
                <w:color w:val="000000"/>
                <w:szCs w:val="18"/>
                <w:lang w:eastAsia="nl-NL"/>
              </w:rPr>
              <w:t>groningen</w:t>
            </w:r>
            <w:proofErr w:type="spellEnd"/>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-44,4</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 xml:space="preserve">Overboeking reservering </w:t>
            </w:r>
            <w:proofErr w:type="spellStart"/>
            <w:r w:rsidRPr="00A145FA">
              <w:rPr>
                <w:rFonts w:eastAsia="Times New Roman" w:cs="Times New Roman"/>
                <w:color w:val="000000"/>
                <w:szCs w:val="18"/>
                <w:lang w:eastAsia="nl-NL"/>
              </w:rPr>
              <w:t>bni</w:t>
            </w:r>
            <w:proofErr w:type="spellEnd"/>
            <w:r w:rsidRPr="00A145FA">
              <w:rPr>
                <w:rFonts w:eastAsia="Times New Roman" w:cs="Times New Roman"/>
                <w:color w:val="000000"/>
                <w:szCs w:val="18"/>
                <w:lang w:eastAsia="nl-NL"/>
              </w:rPr>
              <w:t>-revisie</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-318,5</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-104,4</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-115,6</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-90,9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-86,4</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-86,6</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r w:rsidRPr="00A145FA">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2,6</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r w:rsidRPr="00A145FA">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0,3</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0,3</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r w:rsidRPr="00A145FA">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46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ind w:firstLine="360" w:firstLineChars="200"/>
              <w:rPr>
                <w:rFonts w:eastAsia="Times New Roman" w:cs="Times New Roman"/>
                <w:color w:val="000000"/>
                <w:szCs w:val="18"/>
                <w:lang w:eastAsia="nl-NL"/>
              </w:rPr>
            </w:pPr>
            <w:r w:rsidRPr="00A145FA">
              <w:rPr>
                <w:rFonts w:eastAsia="Times New Roman" w:cs="Times New Roman"/>
                <w:color w:val="000000"/>
                <w:szCs w:val="18"/>
                <w:lang w:eastAsia="nl-NL"/>
              </w:rPr>
              <w:t xml:space="preserve">Kasschuif j101 eigen vermogen </w:t>
            </w:r>
            <w:proofErr w:type="spellStart"/>
            <w:r w:rsidRPr="00A145FA">
              <w:rPr>
                <w:rFonts w:eastAsia="Times New Roman" w:cs="Times New Roman"/>
                <w:color w:val="000000"/>
                <w:szCs w:val="18"/>
                <w:lang w:eastAsia="nl-NL"/>
              </w:rPr>
              <w:t>invest</w:t>
            </w:r>
            <w:proofErr w:type="spellEnd"/>
            <w:r w:rsidRPr="00A145FA">
              <w:rPr>
                <w:rFonts w:eastAsia="Times New Roman" w:cs="Times New Roman"/>
                <w:color w:val="000000"/>
                <w:szCs w:val="18"/>
                <w:lang w:eastAsia="nl-NL"/>
              </w:rPr>
              <w:t>-nl (niet-plafondrelevant)</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-400,0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-1.573,6</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-340,0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-290,8</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-350,7</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-246,1</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-1.787,6</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-220,2</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-124,9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-220,9</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-137,7</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1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697,6</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1.663,3</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1.808,2</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2.595,7</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2.517,9</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4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53,0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750,6</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1.663,3</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1.808,2</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2.595,7</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2.517,9</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240"/>
        </w:trPr>
        <w:tc>
          <w:tcPr>
            <w:tcW w:w="10860" w:type="dxa"/>
            <w:gridSpan w:val="7"/>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ALGEMEEN: NIET-BELASTINGONTVANGSTEN</w:t>
            </w:r>
          </w:p>
        </w:tc>
      </w:tr>
      <w:tr w:rsidRPr="00A145FA" w:rsidR="00A145FA" w:rsidTr="00A145FA">
        <w:trPr>
          <w:trHeight w:val="315"/>
        </w:trPr>
        <w:tc>
          <w:tcPr>
            <w:tcW w:w="43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Stand Miljoenennota 2019 (excl. IS)</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22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ind w:firstLine="400" w:firstLineChars="200"/>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ascii="Times New Roman" w:hAnsi="Times New Roman" w:eastAsia="Times New Roman" w:cs="Times New Roman"/>
                <w:sz w:val="20"/>
                <w:szCs w:val="20"/>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1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rPr>
                <w:rFonts w:ascii="Times New Roman" w:hAnsi="Times New Roman" w:eastAsia="Times New Roman" w:cs="Times New Roman"/>
                <w:sz w:val="20"/>
                <w:szCs w:val="20"/>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Stand Voorjaarsnota 2019 (subtotaal)</w:t>
            </w:r>
          </w:p>
        </w:tc>
        <w:tc>
          <w:tcPr>
            <w:tcW w:w="118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15"/>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Totaal Internationale samenwerking</w:t>
            </w:r>
          </w:p>
        </w:tc>
        <w:tc>
          <w:tcPr>
            <w:tcW w:w="118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nil"/>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r w:rsidRPr="00A145FA" w:rsidR="00A145FA" w:rsidTr="00A145FA">
        <w:trPr>
          <w:trHeight w:val="300"/>
        </w:trPr>
        <w:tc>
          <w:tcPr>
            <w:tcW w:w="4360" w:type="dxa"/>
            <w:tcBorders>
              <w:top w:val="nil"/>
              <w:left w:val="nil"/>
              <w:bottom w:val="nil"/>
              <w:right w:val="nil"/>
            </w:tcBorders>
            <w:shd w:val="clear" w:color="auto" w:fill="auto"/>
            <w:hideMark/>
          </w:tcPr>
          <w:p w:rsidRPr="00A145FA" w:rsidR="00A145FA" w:rsidP="00A145FA" w:rsidRDefault="00A145FA">
            <w:pPr>
              <w:spacing w:after="0" w:line="240" w:lineRule="auto"/>
              <w:rPr>
                <w:rFonts w:eastAsia="Times New Roman" w:cs="Times New Roman"/>
                <w:color w:val="000000"/>
                <w:szCs w:val="18"/>
                <w:lang w:eastAsia="nl-NL"/>
              </w:rPr>
            </w:pPr>
            <w:r w:rsidRPr="00A145FA">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60" w:type="dxa"/>
            <w:tcBorders>
              <w:top w:val="single" w:color="000000" w:sz="8" w:space="0"/>
              <w:left w:val="nil"/>
              <w:bottom w:val="nil"/>
              <w:right w:val="nil"/>
            </w:tcBorders>
            <w:shd w:val="clear" w:color="auto" w:fill="auto"/>
            <w:hideMark/>
          </w:tcPr>
          <w:p w:rsidRPr="00A145FA" w:rsidR="00A145FA" w:rsidP="00A145FA" w:rsidRDefault="00A145FA">
            <w:pPr>
              <w:spacing w:after="0" w:line="240" w:lineRule="auto"/>
              <w:jc w:val="right"/>
              <w:rPr>
                <w:rFonts w:eastAsia="Times New Roman" w:cs="Times New Roman"/>
                <w:color w:val="000000"/>
                <w:szCs w:val="18"/>
                <w:lang w:eastAsia="nl-NL"/>
              </w:rPr>
            </w:pPr>
            <w:r w:rsidRPr="00A145FA">
              <w:rPr>
                <w:rFonts w:eastAsia="Times New Roman" w:cs="Times New Roman"/>
                <w:color w:val="000000"/>
                <w:szCs w:val="18"/>
                <w:lang w:eastAsia="nl-NL"/>
              </w:rPr>
              <w:t>0</w:t>
            </w:r>
          </w:p>
        </w:tc>
        <w:tc>
          <w:tcPr>
            <w:tcW w:w="1080" w:type="dxa"/>
            <w:tcBorders>
              <w:top w:val="nil"/>
              <w:left w:val="nil"/>
              <w:bottom w:val="nil"/>
              <w:right w:val="nil"/>
            </w:tcBorders>
            <w:shd w:val="clear" w:color="auto" w:fill="auto"/>
            <w:noWrap/>
            <w:vAlign w:val="bottom"/>
            <w:hideMark/>
          </w:tcPr>
          <w:p w:rsidRPr="00A145FA" w:rsidR="00A145FA" w:rsidP="00A145FA" w:rsidRDefault="00A145FA">
            <w:pPr>
              <w:spacing w:after="0" w:line="240" w:lineRule="auto"/>
              <w:jc w:val="right"/>
              <w:rPr>
                <w:rFonts w:eastAsia="Times New Roman" w:cs="Times New Roman"/>
                <w:color w:val="000000"/>
                <w:szCs w:val="18"/>
                <w:lang w:eastAsia="nl-NL"/>
              </w:rPr>
            </w:pPr>
          </w:p>
        </w:tc>
      </w:tr>
    </w:tbl>
    <w:p w:rsidR="00EF1805" w:rsidP="001D695D" w:rsidRDefault="00EF1805">
      <w:pPr>
        <w:spacing w:after="0"/>
        <w:rPr>
          <w:rFonts w:asciiTheme="majorHAnsi" w:hAnsiTheme="majorHAnsi"/>
          <w:b/>
          <w:szCs w:val="18"/>
        </w:rPr>
      </w:pPr>
    </w:p>
    <w:p w:rsidRPr="00EF1805" w:rsidR="00CB3FAE" w:rsidP="001D695D" w:rsidRDefault="00CB3FAE">
      <w:pPr>
        <w:spacing w:after="0"/>
        <w:rPr>
          <w:rFonts w:asciiTheme="majorHAnsi" w:hAnsiTheme="majorHAnsi"/>
          <w:b/>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Kasschuif F29 Cofinanciering fonds warme sanering varkenshouderij</w:t>
      </w:r>
    </w:p>
    <w:p w:rsidRPr="00EF1805" w:rsidR="00EF1805" w:rsidP="00EF1805" w:rsidRDefault="00EF1805">
      <w:pPr>
        <w:spacing w:after="0"/>
        <w:rPr>
          <w:rFonts w:asciiTheme="majorHAnsi" w:hAnsiTheme="majorHAnsi"/>
          <w:iCs/>
          <w:szCs w:val="18"/>
        </w:rPr>
      </w:pPr>
      <w:r w:rsidRPr="00EF1805">
        <w:rPr>
          <w:rFonts w:asciiTheme="majorHAnsi" w:hAnsiTheme="majorHAnsi"/>
          <w:iCs/>
          <w:szCs w:val="18"/>
        </w:rPr>
        <w:t>LNV heeft een kasschuif aangevraagd om de middelen op zo’n manier te verdelen dat de warme sanering van de varkenshouderij in samenwerking met lokale stakeholders doelmatig uitgevoerd kan worden.</w:t>
      </w:r>
    </w:p>
    <w:p w:rsidRPr="00EF1805" w:rsidR="00EF1805" w:rsidP="00EF1805" w:rsidRDefault="00EF1805">
      <w:pPr>
        <w:spacing w:after="0"/>
        <w:rPr>
          <w:rFonts w:asciiTheme="majorHAnsi" w:hAnsiTheme="majorHAns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Kasschuif L107 Stimulering ombouw laagcalorisch naar hoogcalorisch</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Het ritme van het budget voor de ombouw van industriële grootverbruikers van laag- naar hoogcalorisch gas komt niet meer overeen met de momenten waarop de middelen daadwerkelijk noodzakelijk zijn. Met deze kasschuif worden de middelen in het juiste ritme geplaatst.</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Kasschuif Reservering wederopbouw Sint Maarten</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 xml:space="preserve">In 2017 is 550 mln. gereserveerd op de Aanvullende Post voor de wederopbouw van Sint Maarten. Van de gereserveerde middelen is 191 mln. </w:t>
      </w:r>
      <w:r w:rsidR="003F68AB">
        <w:rPr>
          <w:rFonts w:asciiTheme="majorHAnsi" w:hAnsiTheme="majorHAnsi"/>
          <w:szCs w:val="18"/>
        </w:rPr>
        <w:t xml:space="preserve">nog </w:t>
      </w:r>
      <w:r w:rsidRPr="00EF1805">
        <w:rPr>
          <w:rFonts w:asciiTheme="majorHAnsi" w:hAnsiTheme="majorHAnsi"/>
          <w:szCs w:val="18"/>
        </w:rPr>
        <w:t>niet tot besteding gekomen. Deze middelen zijn bij FJR 2018 afgeboekt en worden nu middels kasschuif weer toegevoegd aan de begroting van de</w:t>
      </w:r>
      <w:r w:rsidR="003F68AB">
        <w:rPr>
          <w:rFonts w:asciiTheme="majorHAnsi" w:hAnsiTheme="majorHAnsi"/>
          <w:szCs w:val="18"/>
        </w:rPr>
        <w:t xml:space="preserve"> Aanvullende P</w:t>
      </w:r>
      <w:r w:rsidRPr="00EF1805">
        <w:rPr>
          <w:rFonts w:asciiTheme="majorHAnsi" w:hAnsiTheme="majorHAnsi"/>
          <w:szCs w:val="18"/>
        </w:rPr>
        <w:t>ost voor 2019.</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proofErr w:type="spellStart"/>
      <w:r w:rsidRPr="00EF1805">
        <w:rPr>
          <w:rFonts w:asciiTheme="majorHAnsi" w:hAnsiTheme="majorHAnsi"/>
          <w:i/>
          <w:szCs w:val="18"/>
        </w:rPr>
        <w:t>Opboeken</w:t>
      </w:r>
      <w:proofErr w:type="spellEnd"/>
      <w:r w:rsidRPr="00EF1805">
        <w:rPr>
          <w:rFonts w:asciiTheme="majorHAnsi" w:hAnsiTheme="majorHAnsi"/>
          <w:i/>
          <w:szCs w:val="18"/>
        </w:rPr>
        <w:t xml:space="preserve"> in=uittaakstelling Rijksbegroting</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 xml:space="preserve">Bij Voorjaarsnota zijn de eindejaarsmarges uit 2018 toegevoegd aan de departementale begrotingen. De in=uittaakstelling, de boekhoudkundige tegenhanger van de </w:t>
      </w:r>
      <w:proofErr w:type="spellStart"/>
      <w:r w:rsidRPr="00EF1805">
        <w:rPr>
          <w:rFonts w:asciiTheme="majorHAnsi" w:hAnsiTheme="majorHAnsi"/>
          <w:szCs w:val="18"/>
        </w:rPr>
        <w:t>opgeboekte</w:t>
      </w:r>
      <w:proofErr w:type="spellEnd"/>
      <w:r w:rsidRPr="00EF1805">
        <w:rPr>
          <w:rFonts w:asciiTheme="majorHAnsi" w:hAnsiTheme="majorHAnsi"/>
          <w:szCs w:val="18"/>
        </w:rPr>
        <w:t xml:space="preserve"> eindejaarsmarges, wordt ingeboekt op de Aanvullende Post.</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Reservering Klimaatakkoord</w:t>
      </w:r>
    </w:p>
    <w:p w:rsidRPr="00EF1805" w:rsidR="00EF1805" w:rsidP="00EF1805" w:rsidRDefault="00EF1805">
      <w:pPr>
        <w:pStyle w:val="Default"/>
        <w:rPr>
          <w:rFonts w:asciiTheme="majorHAnsi" w:hAnsiTheme="majorHAnsi"/>
          <w:sz w:val="18"/>
          <w:szCs w:val="18"/>
        </w:rPr>
      </w:pPr>
      <w:r w:rsidRPr="00EF1805">
        <w:rPr>
          <w:rFonts w:asciiTheme="majorHAnsi" w:hAnsiTheme="majorHAnsi"/>
          <w:sz w:val="18"/>
          <w:szCs w:val="18"/>
        </w:rPr>
        <w:t xml:space="preserve">Voor het Klimaatakkoord zijn er middelen gereserveerd op de aanvullende post van het Ministerie van Financiën. Middelen worden na sluiting van een definitief Klimaatakkoord uitgekeerd onder voorbehoud van een doelmatig bestedingsplan met daarin onder andere aandacht voor hoe en wanneer wordt geëvalueerd en hoe hiervoor data worden verzameld. Middelen kunnen, afhankelijk van de overwegingen op het gebied van doelmatigheid, voor meerdere jaren worden uitgekeerd. </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Reservering Venezuela</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 xml:space="preserve">Het Kabinet maakt generale middelen vrij voor </w:t>
      </w:r>
      <w:r w:rsidR="004B5733">
        <w:rPr>
          <w:rFonts w:asciiTheme="majorHAnsi" w:hAnsiTheme="majorHAnsi"/>
          <w:szCs w:val="18"/>
        </w:rPr>
        <w:t>de</w:t>
      </w:r>
      <w:r w:rsidRPr="00EF1805">
        <w:rPr>
          <w:rFonts w:asciiTheme="majorHAnsi" w:hAnsiTheme="majorHAnsi"/>
          <w:szCs w:val="18"/>
        </w:rPr>
        <w:t xml:space="preserve"> bijstandsverzoek</w:t>
      </w:r>
      <w:r w:rsidR="004B5733">
        <w:rPr>
          <w:rFonts w:asciiTheme="majorHAnsi" w:hAnsiTheme="majorHAnsi"/>
          <w:szCs w:val="18"/>
        </w:rPr>
        <w:t>en</w:t>
      </w:r>
      <w:r w:rsidRPr="00EF1805">
        <w:rPr>
          <w:rFonts w:asciiTheme="majorHAnsi" w:hAnsiTheme="majorHAnsi"/>
          <w:szCs w:val="18"/>
        </w:rPr>
        <w:t xml:space="preserve"> van Aruba en Curaçao voor de toegenomen migratie als gevolg van de politieke situatie in Venezuela. De specifieke besteding van de middelen wordt gecoördineerd door de staatssecretaris van BZK en de middelen worden gereserveerd op de Aanvullende Post.</w:t>
      </w:r>
    </w:p>
    <w:p w:rsidR="00CB3FAE" w:rsidP="00EF1805" w:rsidRDefault="00CB3FAE">
      <w:pPr>
        <w:spacing w:after="0"/>
        <w:rPr>
          <w:rFonts w:asciiTheme="majorHAnsi" w:hAnsiTheme="majorHAnsi"/>
          <w:i/>
          <w:szCs w:val="18"/>
        </w:rPr>
      </w:pPr>
    </w:p>
    <w:p w:rsidR="00A145FA" w:rsidP="00EF1805" w:rsidRDefault="00A145FA">
      <w:pPr>
        <w:spacing w:after="0"/>
        <w:rPr>
          <w:rFonts w:asciiTheme="majorHAnsi" w:hAnsiTheme="majorHAnsi"/>
          <w:i/>
          <w:szCs w:val="18"/>
        </w:rPr>
      </w:pPr>
    </w:p>
    <w:p w:rsidRPr="00EF1805" w:rsidR="00A145FA" w:rsidP="00EF1805" w:rsidRDefault="00A145FA">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lastRenderedPageBreak/>
        <w:t>Vrijval Reservering BNI-revisie</w:t>
      </w:r>
    </w:p>
    <w:p w:rsidR="00EF1805" w:rsidP="00EF1805" w:rsidRDefault="00EF1805">
      <w:pPr>
        <w:spacing w:after="0"/>
        <w:rPr>
          <w:rFonts w:asciiTheme="majorHAnsi" w:hAnsiTheme="majorHAnsi"/>
          <w:szCs w:val="18"/>
        </w:rPr>
      </w:pPr>
      <w:r w:rsidRPr="00EF1805">
        <w:rPr>
          <w:rFonts w:asciiTheme="majorHAnsi" w:hAnsiTheme="majorHAnsi"/>
          <w:szCs w:val="18"/>
        </w:rPr>
        <w:t>Naar aanleiding van de bronnenrevisie van het CBS is het Nederlandse BNI opwaarts bijgesteld. Voor 2019 leidt dit via de jaarlijkse nacalculatie van de EU-afdrachten tot ophoging van deze afdracht met 318 mln. Eerder is hiervoor in de begroting een reservering van 500 mln. getroffen. De verhoging van de afdracht wordt overgeboekt naar de begroting van Buitenlandse Zaken. De resterende 182 mln. valt vrij.</w:t>
      </w:r>
    </w:p>
    <w:p w:rsidR="007540EF" w:rsidP="00EF1805" w:rsidRDefault="007540EF">
      <w:pPr>
        <w:spacing w:after="0"/>
        <w:rPr>
          <w:rFonts w:asciiTheme="majorHAnsi" w:hAnsiTheme="majorHAnsi"/>
          <w:szCs w:val="18"/>
        </w:rPr>
      </w:pPr>
    </w:p>
    <w:p w:rsidRPr="007540EF" w:rsidR="007540EF" w:rsidP="007540EF" w:rsidRDefault="007540EF">
      <w:pPr>
        <w:spacing w:after="0"/>
        <w:rPr>
          <w:rFonts w:asciiTheme="majorHAnsi" w:hAnsiTheme="majorHAnsi"/>
          <w:i/>
          <w:szCs w:val="18"/>
        </w:rPr>
      </w:pPr>
      <w:r>
        <w:rPr>
          <w:rFonts w:asciiTheme="majorHAnsi" w:hAnsiTheme="majorHAnsi"/>
          <w:i/>
          <w:szCs w:val="18"/>
        </w:rPr>
        <w:t>V</w:t>
      </w:r>
      <w:r w:rsidRPr="007540EF">
        <w:rPr>
          <w:rFonts w:asciiTheme="majorHAnsi" w:hAnsiTheme="majorHAnsi"/>
          <w:i/>
          <w:szCs w:val="18"/>
        </w:rPr>
        <w:t xml:space="preserve">ullen in=uittaakstelling </w:t>
      </w:r>
    </w:p>
    <w:p w:rsidRPr="00EF1805" w:rsidR="007540EF" w:rsidP="007540EF" w:rsidRDefault="007540EF">
      <w:pPr>
        <w:spacing w:after="0"/>
        <w:rPr>
          <w:rFonts w:asciiTheme="majorHAnsi" w:hAnsiTheme="majorHAnsi"/>
          <w:szCs w:val="18"/>
        </w:rPr>
      </w:pPr>
      <w:r w:rsidRPr="007540EF">
        <w:rPr>
          <w:rFonts w:asciiTheme="majorHAnsi" w:hAnsiTheme="majorHAnsi"/>
          <w:szCs w:val="18"/>
        </w:rPr>
        <w:t>De in=uittaakstelling, de boekhoudkundige tegenhanger van de</w:t>
      </w:r>
      <w:r>
        <w:rPr>
          <w:rFonts w:asciiTheme="majorHAnsi" w:hAnsiTheme="majorHAnsi"/>
          <w:szCs w:val="18"/>
        </w:rPr>
        <w:t xml:space="preserve"> </w:t>
      </w:r>
      <w:proofErr w:type="spellStart"/>
      <w:r w:rsidRPr="007540EF">
        <w:rPr>
          <w:rFonts w:asciiTheme="majorHAnsi" w:hAnsiTheme="majorHAnsi"/>
          <w:szCs w:val="18"/>
        </w:rPr>
        <w:t>opgeboekte</w:t>
      </w:r>
      <w:proofErr w:type="spellEnd"/>
      <w:r w:rsidRPr="007540EF">
        <w:rPr>
          <w:rFonts w:asciiTheme="majorHAnsi" w:hAnsiTheme="majorHAnsi"/>
          <w:szCs w:val="18"/>
        </w:rPr>
        <w:t xml:space="preserve"> eindejaarsmarges, wordt voor </w:t>
      </w:r>
      <w:r w:rsidR="00A145FA">
        <w:rPr>
          <w:rFonts w:asciiTheme="majorHAnsi" w:hAnsiTheme="majorHAnsi"/>
          <w:szCs w:val="18"/>
        </w:rPr>
        <w:t>22</w:t>
      </w:r>
      <w:r>
        <w:rPr>
          <w:rFonts w:asciiTheme="majorHAnsi" w:hAnsiTheme="majorHAnsi"/>
          <w:szCs w:val="18"/>
        </w:rPr>
        <w:t>0</w:t>
      </w:r>
      <w:r w:rsidRPr="007540EF">
        <w:rPr>
          <w:rFonts w:asciiTheme="majorHAnsi" w:hAnsiTheme="majorHAnsi"/>
          <w:szCs w:val="18"/>
        </w:rPr>
        <w:t xml:space="preserve"> mln. ingevuld.</w:t>
      </w:r>
    </w:p>
    <w:p w:rsidR="00EF1805" w:rsidP="00EF1805" w:rsidRDefault="00EF1805">
      <w:pPr>
        <w:spacing w:after="0"/>
        <w:rPr>
          <w:rFonts w:asciiTheme="majorHAnsi" w:hAnsiTheme="majorHAnsi"/>
          <w:i/>
          <w:szCs w:val="18"/>
        </w:rPr>
      </w:pPr>
    </w:p>
    <w:p w:rsidR="007F47A8" w:rsidP="00EF1805" w:rsidRDefault="007F47A8">
      <w:pPr>
        <w:spacing w:after="0"/>
        <w:rPr>
          <w:rFonts w:asciiTheme="majorHAnsi" w:hAnsiTheme="majorHAnsi"/>
          <w:i/>
          <w:szCs w:val="18"/>
        </w:rPr>
      </w:pPr>
      <w:r>
        <w:rPr>
          <w:rFonts w:asciiTheme="majorHAnsi" w:hAnsiTheme="majorHAnsi"/>
          <w:i/>
          <w:szCs w:val="18"/>
        </w:rPr>
        <w:t>Diversen – Rijksbegroting, beleidsmatige mutaties</w:t>
      </w:r>
    </w:p>
    <w:p w:rsidRPr="003438D4" w:rsidR="007F47A8" w:rsidP="007F47A8" w:rsidRDefault="007F47A8">
      <w:pPr>
        <w:spacing w:after="0"/>
        <w:rPr>
          <w:rFonts w:eastAsia="Verdana" w:cs="Times New Roman"/>
        </w:rPr>
      </w:pPr>
      <w:r>
        <w:rPr>
          <w:rFonts w:eastAsia="Verdana" w:cs="Times New Roman"/>
        </w:rPr>
        <w:t xml:space="preserve">De post bestaat onder andere uit de reservering van 5 mln. </w:t>
      </w:r>
      <w:r w:rsidRPr="003438D4">
        <w:rPr>
          <w:rFonts w:eastAsia="Verdana" w:cs="Times New Roman"/>
        </w:rPr>
        <w:t>voor de</w:t>
      </w:r>
      <w:r>
        <w:rPr>
          <w:rFonts w:eastAsia="Verdana" w:cs="Times New Roman"/>
        </w:rPr>
        <w:t xml:space="preserve"> maatregel</w:t>
      </w:r>
      <w:r w:rsidRPr="003438D4">
        <w:rPr>
          <w:rFonts w:eastAsia="Verdana" w:cs="Times New Roman"/>
        </w:rPr>
        <w:t xml:space="preserve"> Asbest eraf, zon erop.</w:t>
      </w:r>
    </w:p>
    <w:p w:rsidRPr="00EF1805" w:rsidR="007F47A8" w:rsidP="00EF1805" w:rsidRDefault="007F47A8">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Diversen – Sociale zekerheid, beleidsmatige mutaties</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 xml:space="preserve">Deze post bestaat uit de </w:t>
      </w:r>
      <w:proofErr w:type="spellStart"/>
      <w:r w:rsidRPr="00EF1805">
        <w:rPr>
          <w:rFonts w:asciiTheme="majorHAnsi" w:hAnsiTheme="majorHAnsi"/>
          <w:szCs w:val="18"/>
        </w:rPr>
        <w:t>opboeking</w:t>
      </w:r>
      <w:proofErr w:type="spellEnd"/>
      <w:r w:rsidRPr="00EF1805">
        <w:rPr>
          <w:rFonts w:asciiTheme="majorHAnsi" w:hAnsiTheme="majorHAnsi"/>
          <w:szCs w:val="18"/>
        </w:rPr>
        <w:t xml:space="preserve"> van de in=uittaakstelling op het deelplafond Sociale Zekerheid. De in=uittaakstelling is de boekhoudkundige tegenhanger van de </w:t>
      </w:r>
      <w:proofErr w:type="spellStart"/>
      <w:r w:rsidRPr="00EF1805">
        <w:rPr>
          <w:rFonts w:asciiTheme="majorHAnsi" w:hAnsiTheme="majorHAnsi"/>
          <w:szCs w:val="18"/>
        </w:rPr>
        <w:t>opgeboekte</w:t>
      </w:r>
      <w:proofErr w:type="spellEnd"/>
      <w:r w:rsidRPr="00EF1805">
        <w:rPr>
          <w:rFonts w:asciiTheme="majorHAnsi" w:hAnsiTheme="majorHAnsi"/>
          <w:szCs w:val="18"/>
        </w:rPr>
        <w:t xml:space="preserve"> eindejaarsmarges.</w:t>
      </w:r>
    </w:p>
    <w:p w:rsidRPr="00EF1805" w:rsidR="00EF1805" w:rsidP="00EF1805" w:rsidRDefault="00EF1805">
      <w:pPr>
        <w:spacing w:after="0"/>
        <w:rPr>
          <w:rFonts w:asciiTheme="majorHAnsi" w:hAnsiTheme="majorHAns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Loonbijstelling tranche 2019 Rijksbegroting</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De tranche 2019 van de loon- en prijsbijstelling is overgemaakt naar de Aanvullende Post.</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B5 Politie</w:t>
      </w:r>
    </w:p>
    <w:p w:rsidRPr="00205986" w:rsidR="00EF1805" w:rsidP="00EF1805" w:rsidRDefault="00C169BC">
      <w:pPr>
        <w:spacing w:after="0"/>
        <w:rPr>
          <w:rFonts w:asciiTheme="majorHAnsi" w:hAnsiTheme="majorHAnsi"/>
          <w:szCs w:val="18"/>
        </w:rPr>
      </w:pPr>
      <w:r w:rsidRPr="00205986">
        <w:rPr>
          <w:rFonts w:asciiTheme="majorHAnsi" w:hAnsiTheme="majorHAnsi"/>
          <w:szCs w:val="18"/>
        </w:rPr>
        <w:t>JenV ontvangt middelen vanaf de Aanvullende Post voor verschillende doeleinden uit het Regeerakkoord met betrekking tot de Politie, onder andere voor het terugdringen van arbeidsverzuim, en voor het centraliseren van arrestantenzorg.</w:t>
      </w:r>
      <w:r w:rsidR="00D40E20">
        <w:rPr>
          <w:rFonts w:asciiTheme="majorHAnsi" w:hAnsiTheme="majorHAnsi"/>
          <w:szCs w:val="18"/>
        </w:rPr>
        <w:t xml:space="preserve"> Een deel van de middelen wordt ingezet voor dekking van problematiek op de JenV-begroting.</w:t>
      </w:r>
      <w:r w:rsidRPr="00205986">
        <w:rPr>
          <w:rFonts w:asciiTheme="majorHAnsi" w:hAnsiTheme="majorHAnsi"/>
          <w:szCs w:val="18"/>
        </w:rPr>
        <w:t xml:space="preserve"> Daarnaast wordt de volgende tranche van B5 Politie (bestedingsplan 2018) overgeheveld.</w:t>
      </w:r>
    </w:p>
    <w:p w:rsidRPr="00EF1805" w:rsidR="00205986" w:rsidP="00EF1805" w:rsidRDefault="00205986">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B06 Digitalisering werkprocessen strafrechtketen</w:t>
      </w:r>
    </w:p>
    <w:p w:rsidR="00EF1805" w:rsidP="00EF1805" w:rsidRDefault="007240EC">
      <w:pPr>
        <w:spacing w:after="0"/>
        <w:rPr>
          <w:rFonts w:asciiTheme="majorHAnsi" w:hAnsiTheme="majorHAnsi"/>
          <w:szCs w:val="18"/>
        </w:rPr>
      </w:pPr>
      <w:r w:rsidRPr="00205986">
        <w:rPr>
          <w:rFonts w:asciiTheme="majorHAnsi" w:hAnsiTheme="majorHAnsi"/>
          <w:szCs w:val="18"/>
        </w:rPr>
        <w:t>De Regeerakkoordmiddelen voor de digitalisering van werkprocessen in de strafrechtketen worden overgeheveld naar de JenV-begroting. De middelen worden besteed aan verscheidende projecten met als doel om papier uit de keten te krijgen, de dienstverlening te verbeteren en te investeren in de kernsystemen. Een deel van de middelen wordt ingezet voor dekking van tekorten in de justitiële ketens.</w:t>
      </w:r>
    </w:p>
    <w:p w:rsidRPr="00EF1805" w:rsidR="00205986" w:rsidP="00EF1805" w:rsidRDefault="00205986">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B12 Ondermijningsbestrijdingsfonds</w:t>
      </w:r>
    </w:p>
    <w:p w:rsidRPr="00205986" w:rsidR="00EF1805" w:rsidP="00EF1805" w:rsidRDefault="007240EC">
      <w:pPr>
        <w:spacing w:after="0"/>
        <w:rPr>
          <w:rFonts w:asciiTheme="majorHAnsi" w:hAnsiTheme="majorHAnsi"/>
          <w:szCs w:val="18"/>
        </w:rPr>
      </w:pPr>
      <w:r w:rsidRPr="00205986">
        <w:rPr>
          <w:rFonts w:asciiTheme="majorHAnsi" w:hAnsiTheme="majorHAnsi"/>
          <w:szCs w:val="18"/>
        </w:rPr>
        <w:t>Er is incidenteel 100 mln. van de Aanvullende Post naar JenV overgeheveld ten behoeve van de aanpak van ondermijnende criminaliteit aangekondigd in de Nota van Wijziging (Kamerstukken 35000-VI, nr. 12).</w:t>
      </w:r>
    </w:p>
    <w:p w:rsidRPr="00EF1805" w:rsidR="00205986" w:rsidP="00EF1805" w:rsidRDefault="00205986">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E23 Envelop klimaat</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In het Regeerakkoord is een enveloppe van 300 mln. per jaar opgenomen op de aanvullende post voor klimaat (maatregel E23 uit het Regeerakkoord). Het bedrag voor 2019 is als volgt overgeboekt naar de departementale begrotingen: 78,9 mln. naar BZK, 65,9 mln. naar IenW, 122,8 mln. naar EZK en 32,4 mln. naar LNV.</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F29 Cofinanciering fonds warme sanering varkenshouderij</w:t>
      </w:r>
    </w:p>
    <w:p w:rsidRPr="00EF1805" w:rsidR="00EF1805" w:rsidP="00EF1805" w:rsidRDefault="00EE2A33">
      <w:pPr>
        <w:spacing w:after="0"/>
        <w:rPr>
          <w:rFonts w:asciiTheme="majorHAnsi" w:hAnsiTheme="majorHAnsi"/>
          <w:szCs w:val="18"/>
        </w:rPr>
      </w:pPr>
      <w:r>
        <w:rPr>
          <w:rFonts w:asciiTheme="majorHAnsi" w:hAnsiTheme="majorHAnsi"/>
          <w:szCs w:val="18"/>
        </w:rPr>
        <w:t>Dit betreft de overboeking van middelen voor de</w:t>
      </w:r>
      <w:r w:rsidRPr="00EF1805" w:rsidR="00EF1805">
        <w:rPr>
          <w:rFonts w:asciiTheme="majorHAnsi" w:hAnsiTheme="majorHAnsi"/>
          <w:szCs w:val="18"/>
        </w:rPr>
        <w:t xml:space="preserve"> warme sanering van de varkenshouderij </w:t>
      </w:r>
      <w:r>
        <w:rPr>
          <w:rFonts w:asciiTheme="majorHAnsi" w:hAnsiTheme="majorHAnsi"/>
          <w:szCs w:val="18"/>
        </w:rPr>
        <w:t xml:space="preserve">naar de begroting van LNV. </w:t>
      </w:r>
      <w:r w:rsidRPr="00DA57DB">
        <w:rPr>
          <w:rFonts w:asciiTheme="majorHAnsi" w:hAnsiTheme="majorHAnsi"/>
          <w:szCs w:val="18"/>
        </w:rPr>
        <w:t xml:space="preserve">Deze maatregel uit het Regeerakkoord </w:t>
      </w:r>
      <w:r w:rsidRPr="00DA57DB" w:rsidR="00EF1805">
        <w:rPr>
          <w:rFonts w:asciiTheme="majorHAnsi" w:hAnsiTheme="majorHAnsi"/>
          <w:szCs w:val="18"/>
        </w:rPr>
        <w:t xml:space="preserve">wordt vormgegeven door een saneringsregeling in de gebieden zuid en oost, waarbij de grootste veroorzakers van stankoverlast tegen een vergoeding kunnen stoppen. Daarnaast zijn er middelen voor stalinnovaties in de varkenshouderij, pluimveehouderij en </w:t>
      </w:r>
      <w:proofErr w:type="spellStart"/>
      <w:r w:rsidRPr="00DA57DB" w:rsidR="00EF1805">
        <w:rPr>
          <w:rFonts w:asciiTheme="majorHAnsi" w:hAnsiTheme="majorHAnsi"/>
          <w:szCs w:val="18"/>
        </w:rPr>
        <w:t>melkgeitenhouderij</w:t>
      </w:r>
      <w:proofErr w:type="spellEnd"/>
      <w:r w:rsidRPr="00DA57DB" w:rsidR="00EF1805">
        <w:rPr>
          <w:rFonts w:asciiTheme="majorHAnsi" w:hAnsiTheme="majorHAnsi"/>
          <w:szCs w:val="18"/>
        </w:rPr>
        <w:t>.</w:t>
      </w:r>
    </w:p>
    <w:p w:rsidRPr="00EF1805" w:rsidR="00EF1805" w:rsidP="00EF1805" w:rsidRDefault="00EF1805">
      <w:pPr>
        <w:spacing w:after="0"/>
        <w:rPr>
          <w:rFonts w:asciiTheme="majorHAnsi" w:hAnsiTheme="majorHAnsi"/>
          <w:i/>
          <w:szCs w:val="18"/>
        </w:rPr>
      </w:pPr>
    </w:p>
    <w:p w:rsidR="00A145FA" w:rsidP="00EF1805" w:rsidRDefault="00A145FA">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lastRenderedPageBreak/>
        <w:t>Overboeking F30 Fonds bedrijfsopvolging agrarische sector</w:t>
      </w:r>
    </w:p>
    <w:p w:rsidR="008423E3" w:rsidP="00EF1805" w:rsidRDefault="00EF1805">
      <w:pPr>
        <w:spacing w:after="0"/>
        <w:rPr>
          <w:rFonts w:asciiTheme="majorHAnsi" w:hAnsiTheme="majorHAnsi"/>
          <w:i/>
          <w:szCs w:val="18"/>
        </w:rPr>
      </w:pPr>
      <w:r w:rsidRPr="00EF1805">
        <w:rPr>
          <w:rFonts w:asciiTheme="majorHAnsi" w:hAnsiTheme="majorHAnsi"/>
          <w:szCs w:val="18"/>
        </w:rPr>
        <w:t>In het RA is opgenomen dat er, om de bedrijfsopvolging binnen het boerenbedrijf te steunen, een fonds voor ondersteuning van bedrijfsopvolging bij jonge agrariërs komt. Dit wordt vormgegeven via een garantieregeling waarmee starters/overnemers aanvullende investeringen kunnen doen voor verduurzaming. Daarnaast worden jonge agrariërs ondersteund bij de socio-economische aspecten van overnames. Voor 2019 wordt 50 mln. en voor 2020 wordt 25 mln. overgeboekt naar de begroting van LNV.</w:t>
      </w:r>
    </w:p>
    <w:p w:rsidRPr="00EF1805" w:rsidR="00CB3FAE" w:rsidP="00EF1805" w:rsidRDefault="00CB3FAE">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G33 Aanpak werkdruk primair onderwijs</w:t>
      </w:r>
    </w:p>
    <w:p w:rsidR="0020037D" w:rsidP="0020037D" w:rsidRDefault="0020037D">
      <w:pPr>
        <w:spacing w:after="0" w:line="240" w:lineRule="atLeast"/>
        <w:rPr>
          <w:rFonts w:eastAsia="Times New Roman" w:cs="Calibri"/>
          <w:color w:val="000000"/>
          <w:szCs w:val="18"/>
          <w:lang w:eastAsia="nl-NL"/>
        </w:rPr>
      </w:pPr>
      <w:r>
        <w:rPr>
          <w:rFonts w:eastAsia="Times New Roman" w:cs="Calibri"/>
          <w:color w:val="000000"/>
          <w:szCs w:val="18"/>
          <w:lang w:eastAsia="nl-NL"/>
        </w:rPr>
        <w:t xml:space="preserve">Dit betreft de werkdrukmiddelen die eerder zijn overgeboekt van de aanvullende post naar de begroting van OCW (Kamerbrief 31 293 nr. 435). </w:t>
      </w:r>
    </w:p>
    <w:p w:rsidRPr="00EF1805" w:rsidR="00EF1805" w:rsidP="00EF1805" w:rsidRDefault="00EF1805">
      <w:pPr>
        <w:spacing w:after="0"/>
        <w:rPr>
          <w:rFonts w:asciiTheme="majorHAnsi" w:hAnsiTheme="majorHAns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G39 Maatschappelijke diensttijd</w:t>
      </w:r>
    </w:p>
    <w:p w:rsidR="00EF1805" w:rsidP="00EF1805" w:rsidRDefault="00A92162">
      <w:pPr>
        <w:spacing w:after="0"/>
      </w:pPr>
      <w:r>
        <w:t>De resterende middelen voor 2019 voor Maatschappelijke diensttijd worden vrijgegeven voor een derde ronde projecten.</w:t>
      </w:r>
      <w:r w:rsidR="00E70B70">
        <w:t xml:space="preserve"> Deze middelen worden toegevoegd aan de begroting van VWS.</w:t>
      </w:r>
      <w:r>
        <w:t xml:space="preserve"> Het in stappen vrijgeven van middelen past bij de vroege fase van dit programma, waarbij de ervaringen uit pilotprojecten worden gebruikt om het definitieve instrument te ontwikkelen.</w:t>
      </w:r>
    </w:p>
    <w:p w:rsidRPr="00EF1805" w:rsidR="00A92162" w:rsidP="00EF1805" w:rsidRDefault="00A92162">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G43 Intensivering erfgoed en monumenten</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Dit betreft de overboeking van de resterende middelen uit de Regeerakkoordreeks voor erfgoed en monumenten naar de begroting van OCW.</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H59 Preventiemaatregelen</w:t>
      </w:r>
    </w:p>
    <w:p w:rsidR="00EF1805" w:rsidP="00EF1805" w:rsidRDefault="00A92162">
      <w:pPr>
        <w:spacing w:after="0"/>
      </w:pPr>
      <w:r>
        <w:t>In het Regeerakkoord zijn middelen vrijgemaakt voor preventiemaatregelen. In totaal gaat het om 41,2 mln. in 2019. Dit wordt ingezet voor het Nationaal Preventieakkoord met als doel het verbeteren van de gezondheid van mensen en van Nederland als geheel, voor de preventie en ondersteuning bij onbedoelde (tiener) zwangerschappen en onderzoek naar de effectiviteit van preventieve interventies.</w:t>
      </w:r>
    </w:p>
    <w:p w:rsidRPr="00EF1805" w:rsidR="00A92162" w:rsidP="00EF1805" w:rsidRDefault="00A92162">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L105 Reservering regionale knelpunten</w:t>
      </w:r>
    </w:p>
    <w:p w:rsidRPr="00EF1805" w:rsidR="00EF1805" w:rsidP="00EF1805" w:rsidRDefault="00EF1805">
      <w:pPr>
        <w:spacing w:after="0" w:line="240" w:lineRule="atLeast"/>
        <w:rPr>
          <w:rFonts w:asciiTheme="majorHAnsi" w:hAnsiTheme="majorHAnsi"/>
          <w:szCs w:val="18"/>
        </w:rPr>
      </w:pPr>
      <w:r w:rsidRPr="00EF1805">
        <w:rPr>
          <w:rFonts w:asciiTheme="majorHAnsi" w:hAnsiTheme="majorHAnsi"/>
          <w:szCs w:val="18"/>
        </w:rPr>
        <w:t>Deze overboeking betreft middelen vanuit de regio envelop voor de preferente opgaven Eindhoven en Zeeland. Ook zijn er middelen beschikbaar gesteld voor de BES-eilanden. Deze middelen worden vanaf de LNV-begroting doorgezet naar het provinciefonds en het gemeentefonds.</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L108 Gasfonds Groningen</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Voor het Nationaal Programma Groningen wordt 44,4 mln. van de middelen die hiervoor op de Aanvullende Post staan gereserveerd overgeboekt naar de begroting van EZK. Hiervan is 2,4 mln. voor kleine projecten in de regio en 42 mln. voor batch 1588.</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Overboeking Reservering BNI-revisie</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Naar aanleiding van de bronnenrevisie van het CBS is het Nederlandse BNI opwaarts bijgesteld. Voor 2019 leidt dit via de jaarlijkse nacalculatie van de EU-afdrachten tot ophoging van deze afdracht met 318 mln. Eerder is hiervoor in de begroting een reservering van 500 mln. getroffen. De verhoging van de afdracht wordt overgeboekt naar de begroting van Buitenlandse Zaken. De resterende 182 mln. valt vrij.</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Diversen - Sociale zekerheid, technische mutaties</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Deze post betreft de overboeking naar de Aanvullende Post van tranche 2019 van de loon- en prijsbijstelling voor de middelen onder deelplafond Sociale Zekerheid.</w:t>
      </w:r>
    </w:p>
    <w:p w:rsidRPr="00EF1805" w:rsidR="00EF1805" w:rsidP="00EF1805" w:rsidRDefault="00EF1805">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t>Diversen – Zorg, technische mutaties</w:t>
      </w:r>
    </w:p>
    <w:p w:rsidRPr="00EF1805" w:rsidR="00EF1805" w:rsidP="00EF1805" w:rsidRDefault="00EF1805">
      <w:pPr>
        <w:spacing w:after="0"/>
        <w:rPr>
          <w:rFonts w:asciiTheme="majorHAnsi" w:hAnsiTheme="majorHAnsi"/>
          <w:szCs w:val="18"/>
        </w:rPr>
      </w:pPr>
      <w:r w:rsidRPr="00EF1805">
        <w:rPr>
          <w:rFonts w:asciiTheme="majorHAnsi" w:hAnsiTheme="majorHAnsi"/>
          <w:szCs w:val="18"/>
        </w:rPr>
        <w:t>Deze post betreft de overboeking naar de Aanvullende Post van tranche 2019 van de loon- en prijsbijstelling voor de middelen onder deelplafond Zorg.</w:t>
      </w:r>
    </w:p>
    <w:p w:rsidRPr="00EF1805" w:rsidR="00EF1805" w:rsidP="00EF1805" w:rsidRDefault="00EF1805">
      <w:pPr>
        <w:spacing w:after="0"/>
        <w:rPr>
          <w:rFonts w:asciiTheme="majorHAnsi" w:hAnsiTheme="majorHAnsi"/>
          <w:i/>
          <w:szCs w:val="18"/>
        </w:rPr>
      </w:pPr>
    </w:p>
    <w:p w:rsidR="00A145FA" w:rsidP="00EF1805" w:rsidRDefault="00A145FA">
      <w:pPr>
        <w:spacing w:after="0"/>
        <w:rPr>
          <w:rFonts w:asciiTheme="majorHAnsi" w:hAnsiTheme="majorHAnsi"/>
          <w:i/>
          <w:szCs w:val="18"/>
        </w:rPr>
      </w:pPr>
    </w:p>
    <w:p w:rsidR="00A145FA" w:rsidP="00EF1805" w:rsidRDefault="00A145FA">
      <w:pPr>
        <w:spacing w:after="0"/>
        <w:rPr>
          <w:rFonts w:asciiTheme="majorHAnsi" w:hAnsiTheme="majorHAnsi"/>
          <w:i/>
          <w:szCs w:val="18"/>
        </w:rPr>
      </w:pPr>
    </w:p>
    <w:p w:rsidRPr="00EF1805" w:rsidR="00EF1805" w:rsidP="00EF1805" w:rsidRDefault="00EF1805">
      <w:pPr>
        <w:spacing w:after="0"/>
        <w:rPr>
          <w:rFonts w:asciiTheme="majorHAnsi" w:hAnsiTheme="majorHAnsi"/>
          <w:i/>
          <w:szCs w:val="18"/>
        </w:rPr>
      </w:pPr>
      <w:r w:rsidRPr="00EF1805">
        <w:rPr>
          <w:rFonts w:asciiTheme="majorHAnsi" w:hAnsiTheme="majorHAnsi"/>
          <w:i/>
          <w:szCs w:val="18"/>
        </w:rPr>
        <w:lastRenderedPageBreak/>
        <w:t xml:space="preserve">Kasschuif J101 Eigen vermogen </w:t>
      </w:r>
      <w:proofErr w:type="spellStart"/>
      <w:r w:rsidRPr="00EF1805">
        <w:rPr>
          <w:rFonts w:asciiTheme="majorHAnsi" w:hAnsiTheme="majorHAnsi"/>
          <w:i/>
          <w:szCs w:val="18"/>
        </w:rPr>
        <w:t>Invest</w:t>
      </w:r>
      <w:proofErr w:type="spellEnd"/>
      <w:r w:rsidRPr="00EF1805">
        <w:rPr>
          <w:rFonts w:asciiTheme="majorHAnsi" w:hAnsiTheme="majorHAnsi"/>
          <w:i/>
          <w:szCs w:val="18"/>
        </w:rPr>
        <w:t>-NL (niet-plafondrelevant)</w:t>
      </w:r>
    </w:p>
    <w:p w:rsidR="00403FED" w:rsidP="00EF1805" w:rsidRDefault="00EF1805">
      <w:pPr>
        <w:spacing w:after="0"/>
      </w:pPr>
      <w:r w:rsidRPr="00EF1805">
        <w:rPr>
          <w:rFonts w:asciiTheme="majorHAnsi" w:hAnsiTheme="majorHAnsi"/>
          <w:szCs w:val="18"/>
        </w:rPr>
        <w:t xml:space="preserve">Op de Aanvullende Post stond in 2018 een bedrag van 30 mln. geraamd voor de kapitaalinjectie </w:t>
      </w:r>
      <w:proofErr w:type="spellStart"/>
      <w:r w:rsidRPr="00EF1805">
        <w:rPr>
          <w:rFonts w:asciiTheme="majorHAnsi" w:hAnsiTheme="majorHAnsi"/>
          <w:szCs w:val="18"/>
        </w:rPr>
        <w:t>Invest</w:t>
      </w:r>
      <w:proofErr w:type="spellEnd"/>
      <w:r w:rsidRPr="00EF1805">
        <w:rPr>
          <w:rFonts w:asciiTheme="majorHAnsi" w:hAnsiTheme="majorHAnsi"/>
          <w:szCs w:val="18"/>
        </w:rPr>
        <w:t>-NL. Dit bedrag is niet tot besteding gekomen. Dit bedrag wordt daarom toegevoegd aan het begrote bedrag in 2023, waardoor het totaal begrote budget voor de kapitaalinjectie 2,5 mld. blijft. Daarnaast wordt 400 mln. uit 2019 doorgeschoven naar 2024</w:t>
      </w:r>
      <w:r w:rsidRPr="00AA0D9D">
        <w:t>.</w:t>
      </w:r>
    </w:p>
    <w:p w:rsidR="00AF3B96" w:rsidP="00EF1805" w:rsidRDefault="00AF3B96">
      <w:pPr>
        <w:spacing w:after="0"/>
      </w:pPr>
    </w:p>
    <w:p w:rsidR="00403FED"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8423E3" w:rsidR="008423E3" w:rsidTr="008423E3">
        <w:trPr>
          <w:trHeight w:val="225"/>
        </w:trPr>
        <w:tc>
          <w:tcPr>
            <w:tcW w:w="10860" w:type="dxa"/>
            <w:gridSpan w:val="7"/>
            <w:tcBorders>
              <w:top w:val="nil"/>
              <w:left w:val="nil"/>
              <w:bottom w:val="nil"/>
              <w:right w:val="nil"/>
            </w:tcBorders>
            <w:shd w:val="clear" w:color="auto" w:fill="auto"/>
            <w:hideMark/>
          </w:tcPr>
          <w:p w:rsidRPr="008423E3" w:rsidR="008423E3" w:rsidP="008423E3" w:rsidRDefault="00B76E9E">
            <w:pPr>
              <w:spacing w:after="0" w:line="240" w:lineRule="auto"/>
              <w:rPr>
                <w:rFonts w:eastAsia="Times New Roman" w:cs="Times New Roman"/>
                <w:b/>
                <w:bCs/>
                <w:color w:val="000000"/>
                <w:szCs w:val="18"/>
                <w:lang w:eastAsia="nl-NL"/>
              </w:rPr>
            </w:pPr>
            <w:r>
              <w:rPr>
                <w:rFonts w:eastAsia="Times New Roman" w:cs="Times New Roman"/>
                <w:b/>
                <w:bCs/>
                <w:color w:val="000000"/>
                <w:szCs w:val="18"/>
                <w:lang w:eastAsia="nl-NL"/>
              </w:rPr>
              <w:lastRenderedPageBreak/>
              <w:t xml:space="preserve">Deelplafond </w:t>
            </w:r>
            <w:r w:rsidRPr="008423E3" w:rsidR="008423E3">
              <w:rPr>
                <w:rFonts w:eastAsia="Times New Roman" w:cs="Times New Roman"/>
                <w:b/>
                <w:bCs/>
                <w:color w:val="000000"/>
                <w:szCs w:val="18"/>
                <w:lang w:eastAsia="nl-NL"/>
              </w:rPr>
              <w:t>Sociale zekerheid</w:t>
            </w:r>
          </w:p>
        </w:tc>
      </w:tr>
      <w:tr w:rsidRPr="008423E3" w:rsidR="008423E3" w:rsidTr="008423E3">
        <w:trPr>
          <w:trHeight w:val="240"/>
        </w:trPr>
        <w:tc>
          <w:tcPr>
            <w:tcW w:w="10860" w:type="dxa"/>
            <w:gridSpan w:val="7"/>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SOCIALE ZEKERHEID: UITGAVEN</w:t>
            </w:r>
          </w:p>
        </w:tc>
      </w:tr>
      <w:tr w:rsidRPr="008423E3" w:rsidR="008423E3" w:rsidTr="008423E3">
        <w:trPr>
          <w:trHeight w:val="315"/>
        </w:trPr>
        <w:tc>
          <w:tcPr>
            <w:tcW w:w="43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82.140,9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85.823,7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88.521,7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91.327,5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95.059,2</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Aio</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16,1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25,4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34,5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42,3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47,7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proofErr w:type="spellStart"/>
            <w:r w:rsidRPr="008423E3">
              <w:rPr>
                <w:rFonts w:eastAsia="Times New Roman" w:cs="Times New Roman"/>
                <w:color w:val="000000"/>
                <w:szCs w:val="18"/>
                <w:lang w:eastAsia="nl-NL"/>
              </w:rPr>
              <w:t>Aow</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-87,3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-62,7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-102,3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-137,2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-144,9</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Arbeidsongeschiktheid</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19,1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70,5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82,4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65,2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35,2</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Compensatie dagloon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-31,5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45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 xml:space="preserve">Herstel niet-automatisch herstarten </w:t>
            </w:r>
            <w:proofErr w:type="spellStart"/>
            <w:r w:rsidRPr="008423E3">
              <w:rPr>
                <w:rFonts w:eastAsia="Times New Roman" w:cs="Times New Roman"/>
                <w:color w:val="000000"/>
                <w:szCs w:val="18"/>
                <w:lang w:eastAsia="nl-NL"/>
              </w:rPr>
              <w:t>wkb</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215,0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255,0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4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proofErr w:type="spellStart"/>
            <w:r w:rsidRPr="008423E3">
              <w:rPr>
                <w:rFonts w:eastAsia="Times New Roman" w:cs="Times New Roman"/>
                <w:color w:val="000000"/>
                <w:szCs w:val="18"/>
                <w:lang w:eastAsia="nl-NL"/>
              </w:rPr>
              <w:t>Kindregelingen</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21,3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27,4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33,0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Loonkostenvoordeel</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-131,5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-59,5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-54,6</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Participatiewet</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-46,7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-42,0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-34,5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-30,3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-29,4</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Toeslagenwet</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-25,0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-21,0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-18,8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-21,0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-22,7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Wajong</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-75,9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-72,9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-74,6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-76,1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-75,3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proofErr w:type="spellStart"/>
            <w:r w:rsidRPr="008423E3">
              <w:rPr>
                <w:rFonts w:eastAsia="Times New Roman" w:cs="Times New Roman"/>
                <w:color w:val="000000"/>
                <w:szCs w:val="18"/>
                <w:lang w:eastAsia="nl-NL"/>
              </w:rPr>
              <w:t>Wazo</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44,6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Ziektewet</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56,2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83,7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77,6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83,9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84,7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4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11,4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-53,5</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207,5</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-3,5</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-40,2</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-73,0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45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 xml:space="preserve">Dekking herstel niet-automatisch herstarten </w:t>
            </w:r>
            <w:proofErr w:type="spellStart"/>
            <w:r w:rsidRPr="008423E3">
              <w:rPr>
                <w:rFonts w:eastAsia="Times New Roman" w:cs="Times New Roman"/>
                <w:color w:val="000000"/>
                <w:szCs w:val="18"/>
                <w:lang w:eastAsia="nl-NL"/>
              </w:rPr>
              <w:t>wkb</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-29,9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-112,3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-64,7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-78,6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-85,5</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45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Kasschuiven uitgavenplafond sociale zekerheid</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-36,8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11,3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13,1</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4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-28,9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23,2</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-95,6</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-114,6</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-72,8</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-62,8</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-49,2</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Bruteringen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-27,4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-53,7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-150,4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-196,9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-223,3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Loonbijstelling tranche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-69,5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-69,0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-67,5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-66,2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-64,9</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45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 xml:space="preserve">Nieuw pakket van maatregelen </w:t>
            </w:r>
            <w:proofErr w:type="spellStart"/>
            <w:r w:rsidRPr="008423E3">
              <w:rPr>
                <w:rFonts w:eastAsia="Times New Roman" w:cs="Times New Roman"/>
                <w:color w:val="000000"/>
                <w:szCs w:val="18"/>
                <w:lang w:eastAsia="nl-NL"/>
              </w:rPr>
              <w:t>wia</w:t>
            </w:r>
            <w:proofErr w:type="spellEnd"/>
            <w:r w:rsidRPr="008423E3">
              <w:rPr>
                <w:rFonts w:eastAsia="Times New Roman" w:cs="Times New Roman"/>
                <w:color w:val="000000"/>
                <w:szCs w:val="18"/>
                <w:lang w:eastAsia="nl-NL"/>
              </w:rPr>
              <w:t xml:space="preserve"> en </w:t>
            </w:r>
            <w:proofErr w:type="spellStart"/>
            <w:r w:rsidRPr="008423E3">
              <w:rPr>
                <w:rFonts w:eastAsia="Times New Roman" w:cs="Times New Roman"/>
                <w:color w:val="000000"/>
                <w:szCs w:val="18"/>
                <w:lang w:eastAsia="nl-NL"/>
              </w:rPr>
              <w:t>lbz</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-197,8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-268,7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-266,5</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Nominale ontwikkeling</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-99,8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-315,8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-536,4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-754,6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-1.170,7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Participatiewet</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-152,2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-61,5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-52,1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-49,0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-47,7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proofErr w:type="spellStart"/>
            <w:r w:rsidRPr="008423E3">
              <w:rPr>
                <w:rFonts w:eastAsia="Times New Roman" w:cs="Times New Roman"/>
                <w:color w:val="000000"/>
                <w:szCs w:val="18"/>
                <w:lang w:eastAsia="nl-NL"/>
              </w:rPr>
              <w:t>Ww</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312,2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398,2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439,0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446,4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449,2</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63,0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31,1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22,8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-3,5</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27,3</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-67,6</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-542,4</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-884,7</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-1.327,4</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-122,0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25,3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-618,8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-987,8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-1.449,7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82.018,9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85.849,0</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87.903,0</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90.339,7</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93.609,5</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240"/>
        </w:trPr>
        <w:tc>
          <w:tcPr>
            <w:tcW w:w="10860" w:type="dxa"/>
            <w:gridSpan w:val="7"/>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SOCIALE ZEKERHEID: NIET-BELASTINGONTVANGSTEN</w:t>
            </w:r>
          </w:p>
        </w:tc>
      </w:tr>
      <w:tr w:rsidRPr="008423E3" w:rsidR="008423E3" w:rsidTr="008423E3">
        <w:trPr>
          <w:trHeight w:val="315"/>
        </w:trPr>
        <w:tc>
          <w:tcPr>
            <w:tcW w:w="43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909,2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958,3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1.023,3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1.076,4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1.107,5</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proofErr w:type="spellStart"/>
            <w:r w:rsidRPr="008423E3">
              <w:rPr>
                <w:rFonts w:eastAsia="Times New Roman" w:cs="Times New Roman"/>
                <w:color w:val="000000"/>
                <w:szCs w:val="18"/>
                <w:lang w:eastAsia="nl-NL"/>
              </w:rPr>
              <w:t>Kindregelingen</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-51,1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-66,1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-77,8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-80,2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-79,9</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lastRenderedPageBreak/>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29,3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-21,8</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-66,1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-77,8</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-80,2</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-79,9</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Sociale zekerheid</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-35,4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-39,0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-41,9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-45,0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-9,7</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-35,4</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-39,0</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-41,9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-45,0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4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-31,5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-101,5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-116,8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-122,2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-124,9</w:t>
            </w:r>
          </w:p>
        </w:tc>
        <w:tc>
          <w:tcPr>
            <w:tcW w:w="10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877,7</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856,8</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906,5</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954,2</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982,6</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bl>
    <w:p w:rsidR="00403FED" w:rsidP="00834E28"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E0268A" w:rsidR="00E0268A" w:rsidP="00E0268A" w:rsidRDefault="00E0268A">
      <w:pPr>
        <w:spacing w:after="0"/>
        <w:rPr>
          <w:rFonts w:eastAsia="Times New Roman" w:asciiTheme="majorHAnsi" w:hAnsiTheme="majorHAnsi"/>
          <w:b/>
          <w:szCs w:val="18"/>
        </w:rPr>
      </w:pPr>
      <w:r w:rsidRPr="00E0268A">
        <w:rPr>
          <w:rFonts w:eastAsia="Times New Roman" w:asciiTheme="majorHAnsi" w:hAnsiTheme="majorHAnsi"/>
          <w:b/>
          <w:szCs w:val="18"/>
        </w:rPr>
        <w:t>Uitgaven</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szCs w:val="18"/>
          <w:u w:val="single"/>
        </w:rPr>
      </w:pPr>
      <w:r w:rsidRPr="00E0268A">
        <w:rPr>
          <w:rFonts w:eastAsia="Times New Roman" w:asciiTheme="majorHAnsi" w:hAnsiTheme="majorHAnsi"/>
          <w:szCs w:val="18"/>
          <w:u w:val="single"/>
        </w:rPr>
        <w:t>Mee- en tegenvallers</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Sociale zekerheid</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AIO (Aanvullende Inkomensondersteuning Ouderen)</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De opwaartse bijstelling is voornamelijk het gevolg van nieuwe uitvoeringsinformatie van de S</w:t>
      </w:r>
      <w:r w:rsidR="00850C51">
        <w:rPr>
          <w:rFonts w:eastAsia="Times New Roman" w:asciiTheme="majorHAnsi" w:hAnsiTheme="majorHAnsi"/>
          <w:szCs w:val="18"/>
        </w:rPr>
        <w:t>ociale Verzekeringsbank (S</w:t>
      </w:r>
      <w:r w:rsidRPr="00E0268A">
        <w:rPr>
          <w:rFonts w:eastAsia="Times New Roman" w:asciiTheme="majorHAnsi" w:hAnsiTheme="majorHAnsi"/>
          <w:szCs w:val="18"/>
        </w:rPr>
        <w:t>VB</w:t>
      </w:r>
      <w:r w:rsidR="00850C51">
        <w:rPr>
          <w:rFonts w:eastAsia="Times New Roman" w:asciiTheme="majorHAnsi" w:hAnsiTheme="majorHAnsi"/>
          <w:szCs w:val="18"/>
        </w:rPr>
        <w:t>)</w:t>
      </w:r>
      <w:r w:rsidRPr="00E0268A">
        <w:rPr>
          <w:rFonts w:eastAsia="Times New Roman" w:asciiTheme="majorHAnsi" w:hAnsiTheme="majorHAnsi"/>
          <w:szCs w:val="18"/>
        </w:rPr>
        <w:t xml:space="preserve"> over 2018. De uitstroom in 2018 is lager uitgevallen dan verwacht en dit werkt meerjarig door in het verwachte aantal huishoudens in de AIO. Daarnaast wordt in de nieuwe raming uitgegaan van een hogere gemiddelde AIO-uitkering. </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AOW (Algemene Ouderdomswet)</w:t>
      </w:r>
    </w:p>
    <w:p w:rsidRPr="00E0268A" w:rsidR="00E0268A" w:rsidP="00E0268A" w:rsidRDefault="00E0268A">
      <w:pPr>
        <w:pStyle w:val="Geenafstand"/>
        <w:spacing w:line="276" w:lineRule="auto"/>
        <w:rPr>
          <w:rFonts w:asciiTheme="majorHAnsi" w:hAnsiTheme="majorHAnsi"/>
          <w:szCs w:val="18"/>
        </w:rPr>
      </w:pPr>
      <w:r w:rsidRPr="00E0268A">
        <w:rPr>
          <w:rFonts w:asciiTheme="majorHAnsi" w:hAnsiTheme="majorHAnsi"/>
          <w:szCs w:val="18"/>
        </w:rPr>
        <w:t xml:space="preserve">De bijstelling wordt vooral verklaard door een lager aantal AOW’ers, wat voornamelijk samenhangt met de nieuwe CBS-bevolkingsprognose. Het aantal AOW’ers viel in 2018 lager uit dan verwacht, doordat de sterfte in 2018 hoger uitviel dan het CBS verwachtte. Dit werkt meerjarig door doordat het verwachte aantal AOW'ers ook in latere jaren lager uitkomt dan ten tijde van de Begroting 2019 werd geraamd. </w:t>
      </w:r>
    </w:p>
    <w:p w:rsidRPr="00E0268A" w:rsidR="00E0268A" w:rsidP="00E0268A" w:rsidRDefault="00E0268A">
      <w:pPr>
        <w:spacing w:after="0"/>
        <w:rPr>
          <w:rFonts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Arbeidsongeschiktheid</w:t>
      </w:r>
    </w:p>
    <w:p w:rsidRPr="00E0268A" w:rsidR="00E0268A" w:rsidP="00E0268A" w:rsidRDefault="00E0268A">
      <w:pPr>
        <w:pStyle w:val="Geenafstand"/>
        <w:spacing w:line="276" w:lineRule="auto"/>
        <w:rPr>
          <w:rFonts w:asciiTheme="majorHAnsi" w:hAnsiTheme="majorHAnsi"/>
          <w:szCs w:val="18"/>
        </w:rPr>
      </w:pPr>
      <w:r w:rsidRPr="00E0268A">
        <w:rPr>
          <w:rFonts w:asciiTheme="majorHAnsi" w:hAnsiTheme="majorHAnsi"/>
          <w:szCs w:val="18"/>
        </w:rPr>
        <w:t>De tegenvaller op de arbeidsongeschiktheidsuitkeringen wordt voornamelijk veroorzaakt door een stijging van het aantal uitkeringen Inkomensvoorziening Volledig Arbeidsongeschikten (IVA). Ten opzichte van de vorige raming valt de doorstroom uit de Werkhervattingsregeling Gedeeltelijk Arbeidsgeschikten (WGA) naar de IVA hoger uit. Bij de WGA is een tegenovergesteld effect zichtbaar, daar daalt het volume. Omdat de IVA een duurdere regeling is, levert dit per saldo een tegenvaller op.</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Compensatie dagloon</w:t>
      </w:r>
    </w:p>
    <w:p w:rsidRPr="00E0268A" w:rsidR="00E0268A" w:rsidP="00E0268A" w:rsidRDefault="00E0268A">
      <w:pPr>
        <w:spacing w:after="0"/>
        <w:rPr>
          <w:rFonts w:eastAsia="Times New Roman" w:asciiTheme="majorHAnsi" w:hAnsiTheme="majorHAnsi"/>
          <w:szCs w:val="18"/>
          <w:highlight w:val="cyan"/>
        </w:rPr>
      </w:pPr>
      <w:r w:rsidRPr="00E0268A">
        <w:rPr>
          <w:rFonts w:eastAsia="Times New Roman" w:asciiTheme="majorHAnsi" w:hAnsiTheme="majorHAnsi"/>
          <w:szCs w:val="18"/>
        </w:rPr>
        <w:t>Via een kasschuif was 32,5 mln. naar 2019 verschoven ter dekking van dagloon compensatie. Inmiddels is de inschatting dat compensatie in 2019 1 mln. zal kosten. Restant van het bedrag is afgeboekt.</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 xml:space="preserve">Herstel niet-automatisch herstarten WKB </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De Belastingdienst is er bij een onderzoek naar het niet-gebruik van de WKB achter gekomen dat er een groep mensen is die ten onrechte geen WKB heeft ontvangen. Het kabinet gaat deze omissie herstellen voor de periode vanaf 2013 tot en met het lopende toeslagjaar. Dit leidt tot incidentele uitgaven van in totaal naar verwachting 420 mln. verdeeld over 2019 en 2020. </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De gevolgen van</w:t>
      </w:r>
      <w:r w:rsidR="00FB05A0">
        <w:rPr>
          <w:rFonts w:eastAsia="Times New Roman" w:asciiTheme="majorHAnsi" w:hAnsiTheme="majorHAnsi"/>
          <w:szCs w:val="18"/>
        </w:rPr>
        <w:t xml:space="preserve"> </w:t>
      </w:r>
      <w:r w:rsidRPr="00E0268A">
        <w:rPr>
          <w:rFonts w:eastAsia="Times New Roman" w:asciiTheme="majorHAnsi" w:hAnsiTheme="majorHAnsi"/>
          <w:szCs w:val="18"/>
        </w:rPr>
        <w:t>het herstel van het niet-automatisch herstarten van de WKB zijn voor een deel ook structureel (50 mln.), omdat de uitvoering ook naar de toekomst toe wordt aangepast.</w:t>
      </w:r>
    </w:p>
    <w:p w:rsidRPr="00E0268A" w:rsidR="008423E3" w:rsidP="00E0268A" w:rsidRDefault="008423E3">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proofErr w:type="spellStart"/>
      <w:r w:rsidRPr="00E0268A">
        <w:rPr>
          <w:rFonts w:eastAsia="Times New Roman" w:asciiTheme="majorHAnsi" w:hAnsiTheme="majorHAnsi"/>
          <w:i/>
          <w:szCs w:val="18"/>
        </w:rPr>
        <w:t>Kindregelingen</w:t>
      </w:r>
      <w:proofErr w:type="spellEnd"/>
    </w:p>
    <w:p w:rsidRPr="00205986" w:rsidR="00E0268A" w:rsidP="00E0268A" w:rsidRDefault="00850C51">
      <w:pPr>
        <w:spacing w:after="0"/>
        <w:rPr>
          <w:rFonts w:eastAsia="Times New Roman"/>
          <w:szCs w:val="18"/>
        </w:rPr>
      </w:pPr>
      <w:r>
        <w:rPr>
          <w:rFonts w:eastAsia="Times New Roman"/>
          <w:szCs w:val="18"/>
        </w:rPr>
        <w:t xml:space="preserve">Hieronder vallen de </w:t>
      </w:r>
      <w:r w:rsidRPr="006F5B3A">
        <w:rPr>
          <w:rFonts w:eastAsia="Times New Roman"/>
          <w:szCs w:val="18"/>
        </w:rPr>
        <w:t>Kinderbijslag (AKW)</w:t>
      </w:r>
      <w:r>
        <w:rPr>
          <w:rFonts w:eastAsia="Times New Roman"/>
          <w:szCs w:val="18"/>
        </w:rPr>
        <w:t xml:space="preserve">, het </w:t>
      </w:r>
      <w:proofErr w:type="spellStart"/>
      <w:r w:rsidRPr="006F5B3A">
        <w:rPr>
          <w:rFonts w:eastAsia="Times New Roman"/>
          <w:szCs w:val="18"/>
        </w:rPr>
        <w:t>Kindgebonden</w:t>
      </w:r>
      <w:proofErr w:type="spellEnd"/>
      <w:r w:rsidRPr="006F5B3A">
        <w:rPr>
          <w:rFonts w:eastAsia="Times New Roman"/>
          <w:szCs w:val="18"/>
        </w:rPr>
        <w:t xml:space="preserve"> budget (WKB) </w:t>
      </w:r>
      <w:r>
        <w:rPr>
          <w:rFonts w:eastAsia="Times New Roman"/>
          <w:szCs w:val="18"/>
        </w:rPr>
        <w:t xml:space="preserve">en de </w:t>
      </w:r>
      <w:r w:rsidRPr="00AE4C02">
        <w:rPr>
          <w:rFonts w:eastAsia="Times New Roman"/>
          <w:szCs w:val="18"/>
        </w:rPr>
        <w:t>Kinderopvangtoeslag (KOT)</w:t>
      </w:r>
      <w:r>
        <w:rPr>
          <w:rFonts w:eastAsia="Times New Roman"/>
          <w:szCs w:val="18"/>
        </w:rPr>
        <w:t xml:space="preserve">. </w:t>
      </w:r>
      <w:r w:rsidRPr="006F5B3A">
        <w:rPr>
          <w:rFonts w:eastAsia="Times New Roman"/>
          <w:szCs w:val="18"/>
        </w:rPr>
        <w:t xml:space="preserve">De uitgaven aan de AKW en </w:t>
      </w:r>
      <w:r>
        <w:rPr>
          <w:rFonts w:eastAsia="Times New Roman"/>
          <w:szCs w:val="18"/>
        </w:rPr>
        <w:t xml:space="preserve">de </w:t>
      </w:r>
      <w:r w:rsidRPr="006F5B3A">
        <w:rPr>
          <w:rFonts w:eastAsia="Times New Roman"/>
          <w:szCs w:val="18"/>
        </w:rPr>
        <w:t xml:space="preserve">WKB zijn meerjarig opwaarts </w:t>
      </w:r>
      <w:r w:rsidRPr="006F5B3A">
        <w:rPr>
          <w:rFonts w:eastAsia="Times New Roman"/>
          <w:szCs w:val="18"/>
        </w:rPr>
        <w:lastRenderedPageBreak/>
        <w:t xml:space="preserve">bijgesteld. De bijstelling in de AKW is grotendeels het gevolg van een hoger aantal kinderen volgens de laatste bevolkingsprognose van het CBS, met name door een opwaartse bijstelling van het migratiesaldo. De bijstelling bij de WKB wordt, naast de hogere bevolkingsprognose, met name verklaard door een lagere verwachte inkomensontwikkeling op grond van </w:t>
      </w:r>
      <w:r>
        <w:rPr>
          <w:rFonts w:eastAsia="Times New Roman"/>
          <w:szCs w:val="18"/>
        </w:rPr>
        <w:t>de</w:t>
      </w:r>
      <w:r w:rsidRPr="006F5B3A">
        <w:rPr>
          <w:rFonts w:eastAsia="Times New Roman"/>
          <w:szCs w:val="18"/>
        </w:rPr>
        <w:t xml:space="preserve"> CEP</w:t>
      </w:r>
      <w:r>
        <w:rPr>
          <w:rFonts w:eastAsia="Times New Roman"/>
          <w:szCs w:val="18"/>
        </w:rPr>
        <w:t>-cijfers van het CPB</w:t>
      </w:r>
      <w:r w:rsidRPr="006F5B3A">
        <w:rPr>
          <w:rFonts w:eastAsia="Times New Roman"/>
          <w:szCs w:val="18"/>
        </w:rPr>
        <w:t>.</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color w:val="FF0000"/>
          <w:szCs w:val="18"/>
        </w:rPr>
      </w:pPr>
      <w:r w:rsidRPr="00E0268A">
        <w:rPr>
          <w:rFonts w:eastAsia="Times New Roman" w:asciiTheme="majorHAnsi" w:hAnsiTheme="majorHAnsi"/>
          <w:szCs w:val="18"/>
        </w:rPr>
        <w:t>De neerwaartse bijstelling van de uitgaven aan de Kinderopvangtoeslag (KOT) is het saldo van verschillende tegengestelde effecten. Het gebruik van kinderopvang stijgt naar verwachting meer dan eerder werd verwacht. De voorschotbetalingen sluiten naar verwachting beter aan bij de definitief vastgestelde hoogte van de KOT; dit leidt tot lagere kasuitgaven. Tot slot zijn er minder nabetalingen. Per saldo resulteert een meevaller op de uitgaven KOT.</w:t>
      </w:r>
      <w:r w:rsidR="00AF3B96">
        <w:rPr>
          <w:rFonts w:eastAsia="Times New Roman" w:asciiTheme="majorHAnsi" w:hAnsiTheme="majorHAnsi"/>
          <w:szCs w:val="18"/>
        </w:rPr>
        <w:t xml:space="preserve"> </w:t>
      </w:r>
      <w:r w:rsidRPr="00E0268A">
        <w:rPr>
          <w:rFonts w:eastAsia="Times New Roman" w:asciiTheme="majorHAnsi" w:hAnsiTheme="majorHAnsi"/>
          <w:szCs w:val="18"/>
        </w:rPr>
        <w:t xml:space="preserve">Voorschotbetalingen sluiten naar verwachting beter aan bij de definitief beschikte hoogte van het </w:t>
      </w:r>
      <w:proofErr w:type="spellStart"/>
      <w:r w:rsidRPr="00E0268A">
        <w:rPr>
          <w:rFonts w:eastAsia="Times New Roman" w:asciiTheme="majorHAnsi" w:hAnsiTheme="majorHAnsi"/>
          <w:szCs w:val="18"/>
        </w:rPr>
        <w:t>kindgebonden</w:t>
      </w:r>
      <w:proofErr w:type="spellEnd"/>
      <w:r w:rsidRPr="00E0268A">
        <w:rPr>
          <w:rFonts w:eastAsia="Times New Roman" w:asciiTheme="majorHAnsi" w:hAnsiTheme="majorHAnsi"/>
          <w:szCs w:val="18"/>
        </w:rPr>
        <w:t xml:space="preserve"> budget dan waarvan werd uitgegaan ten tijde van het opstellen van de begroting.</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Loonkostenvoordeel</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De realisatiecijfers van het </w:t>
      </w:r>
      <w:r w:rsidR="00850C51">
        <w:rPr>
          <w:rFonts w:eastAsia="Times New Roman" w:asciiTheme="majorHAnsi" w:hAnsiTheme="majorHAnsi"/>
          <w:szCs w:val="18"/>
        </w:rPr>
        <w:t>Loonkostenvoordeel (</w:t>
      </w:r>
      <w:r w:rsidRPr="00E0268A">
        <w:rPr>
          <w:rFonts w:eastAsia="Times New Roman" w:asciiTheme="majorHAnsi" w:hAnsiTheme="majorHAnsi"/>
          <w:szCs w:val="18"/>
        </w:rPr>
        <w:t>LKV</w:t>
      </w:r>
      <w:r w:rsidR="00850C51">
        <w:rPr>
          <w:rFonts w:eastAsia="Times New Roman" w:asciiTheme="majorHAnsi" w:hAnsiTheme="majorHAnsi"/>
          <w:szCs w:val="18"/>
        </w:rPr>
        <w:t>)</w:t>
      </w:r>
      <w:r w:rsidRPr="00E0268A">
        <w:rPr>
          <w:rFonts w:eastAsia="Times New Roman" w:asciiTheme="majorHAnsi" w:hAnsiTheme="majorHAnsi"/>
          <w:szCs w:val="18"/>
        </w:rPr>
        <w:t xml:space="preserve"> over 2018 (uitbetaling in 2019) laten een meevaller in 2019 zien.</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Participatiewet</w:t>
      </w:r>
    </w:p>
    <w:p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De raming van de Participatiewet heeft betrekking op de Participatiewet, inkomensvoorziening oudere en gedeeltelijk arbeidsongeschikte werkloze werknemers (IOAW), Inkomensvoorziening oudere en gedeeltelijk arbeidsongeschikte zelfstandigen (IOAZ) en bijstand voor zelfstandigen vo</w:t>
      </w:r>
      <w:r>
        <w:rPr>
          <w:rFonts w:eastAsia="Times New Roman" w:asciiTheme="majorHAnsi" w:hAnsiTheme="majorHAnsi"/>
          <w:szCs w:val="18"/>
        </w:rPr>
        <w:t>or startende ondernemers (</w:t>
      </w:r>
      <w:proofErr w:type="spellStart"/>
      <w:r>
        <w:rPr>
          <w:rFonts w:eastAsia="Times New Roman" w:asciiTheme="majorHAnsi" w:hAnsiTheme="majorHAnsi"/>
          <w:szCs w:val="18"/>
        </w:rPr>
        <w:t>Bbz</w:t>
      </w:r>
      <w:proofErr w:type="spellEnd"/>
      <w:r>
        <w:rPr>
          <w:rFonts w:eastAsia="Times New Roman" w:asciiTheme="majorHAnsi" w:hAnsiTheme="majorHAnsi"/>
          <w:szCs w:val="18"/>
        </w:rPr>
        <w:t>).</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De raming is neerwaarts bijgesteld door de verwerking van de realisatiecijfers over 2018 in de ramingen voor de regelingen IOAW, IOAZ een BBZ. In de begrotingsregels die door dit kabinet zijn vastgesteld is afgesproken dat het uitgavenplafond wordt aangepast voor de conjuncturele component van de bijstand. Hierdoor valt de verwerking van de realisatiecijfers 2018 in de bijstandsraming onder de technische mutaties.</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Toeslagenwet</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De uitgaven zijn neerwaarts bijgesteld naar aanleiding van uitvoeringsinformatie van het UWV. Zo ligt het aantal </w:t>
      </w:r>
      <w:proofErr w:type="spellStart"/>
      <w:r w:rsidRPr="00E0268A">
        <w:rPr>
          <w:rFonts w:eastAsia="Times New Roman" w:asciiTheme="majorHAnsi" w:hAnsiTheme="majorHAnsi"/>
          <w:szCs w:val="18"/>
        </w:rPr>
        <w:t>Wajongers</w:t>
      </w:r>
      <w:proofErr w:type="spellEnd"/>
      <w:r w:rsidRPr="00E0268A">
        <w:rPr>
          <w:rFonts w:eastAsia="Times New Roman" w:asciiTheme="majorHAnsi" w:hAnsiTheme="majorHAnsi"/>
          <w:szCs w:val="18"/>
        </w:rPr>
        <w:t xml:space="preserve"> met arbeidsvermogen dat een aanvulling vanuit de </w:t>
      </w:r>
      <w:r w:rsidR="00850C51">
        <w:rPr>
          <w:rFonts w:eastAsia="Times New Roman" w:asciiTheme="majorHAnsi" w:hAnsiTheme="majorHAnsi"/>
          <w:szCs w:val="18"/>
        </w:rPr>
        <w:t>Toeslagenwet (</w:t>
      </w:r>
      <w:r w:rsidRPr="00E0268A">
        <w:rPr>
          <w:rFonts w:eastAsia="Times New Roman" w:asciiTheme="majorHAnsi" w:hAnsiTheme="majorHAnsi"/>
          <w:szCs w:val="18"/>
        </w:rPr>
        <w:t>TW</w:t>
      </w:r>
      <w:r w:rsidR="00850C51">
        <w:rPr>
          <w:rFonts w:eastAsia="Times New Roman" w:asciiTheme="majorHAnsi" w:hAnsiTheme="majorHAnsi"/>
          <w:szCs w:val="18"/>
        </w:rPr>
        <w:t>)</w:t>
      </w:r>
      <w:r w:rsidRPr="00E0268A">
        <w:rPr>
          <w:rFonts w:eastAsia="Times New Roman" w:asciiTheme="majorHAnsi" w:hAnsiTheme="majorHAnsi"/>
          <w:szCs w:val="18"/>
        </w:rPr>
        <w:t xml:space="preserve"> heeft aangevraagd lager dan verwacht. Ook de TW-aanvulling op de WW- en ZW-uitkeringen is lager dan geraamd.</w:t>
      </w:r>
    </w:p>
    <w:p w:rsidRPr="00E0268A" w:rsidR="00E0268A" w:rsidP="00E0268A" w:rsidRDefault="00E0268A">
      <w:pPr>
        <w:spacing w:after="0"/>
        <w:rPr>
          <w:rFonts w:eastAsia="Times New Roman" w:asciiTheme="majorHAnsi" w:hAnsiTheme="majorHAnsi"/>
          <w: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Wajong</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Op basis van realisatiegegevens van het UWV zijn de verwachte uitkeringslasten Wajong neerwaarts bijgesteld. Dit komt onder andere doordat er meer </w:t>
      </w:r>
      <w:proofErr w:type="spellStart"/>
      <w:r w:rsidRPr="00E0268A">
        <w:rPr>
          <w:rFonts w:eastAsia="Times New Roman" w:asciiTheme="majorHAnsi" w:hAnsiTheme="majorHAnsi"/>
          <w:szCs w:val="18"/>
        </w:rPr>
        <w:t>Wajongers</w:t>
      </w:r>
      <w:proofErr w:type="spellEnd"/>
      <w:r w:rsidRPr="00E0268A">
        <w:rPr>
          <w:rFonts w:eastAsia="Times New Roman" w:asciiTheme="majorHAnsi" w:hAnsiTheme="majorHAnsi"/>
          <w:szCs w:val="18"/>
        </w:rPr>
        <w:t xml:space="preserve"> werken dan verwacht, wat zorgt voor een lagere gemiddelde uitkering.</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WAZO (Wet Arbeid en Zorg)</w:t>
      </w:r>
    </w:p>
    <w:p w:rsidRPr="00E0268A" w:rsidR="00E0268A" w:rsidP="00E0268A" w:rsidRDefault="00E0268A">
      <w:pPr>
        <w:pStyle w:val="Geenafstand"/>
        <w:spacing w:line="276" w:lineRule="auto"/>
        <w:rPr>
          <w:rFonts w:asciiTheme="majorHAnsi" w:hAnsiTheme="majorHAnsi"/>
          <w:szCs w:val="18"/>
        </w:rPr>
      </w:pPr>
      <w:r w:rsidRPr="00E0268A">
        <w:rPr>
          <w:rFonts w:asciiTheme="majorHAnsi" w:hAnsiTheme="majorHAnsi"/>
          <w:szCs w:val="18"/>
        </w:rPr>
        <w:t xml:space="preserve">De WAZO laat een tegenvaller zien ten opzichte van de verwachting bij Miljoenennota 2019. Voor 2019 liggen de uitgaven </w:t>
      </w:r>
      <w:r w:rsidR="00850C51">
        <w:rPr>
          <w:rFonts w:asciiTheme="majorHAnsi" w:hAnsiTheme="majorHAnsi"/>
          <w:szCs w:val="18"/>
        </w:rPr>
        <w:t>aan o.a. zwangerschapsverlof</w:t>
      </w:r>
      <w:r w:rsidRPr="00E0268A" w:rsidR="00850C51">
        <w:rPr>
          <w:rFonts w:asciiTheme="majorHAnsi" w:hAnsiTheme="majorHAnsi"/>
          <w:szCs w:val="18"/>
        </w:rPr>
        <w:t xml:space="preserve"> </w:t>
      </w:r>
      <w:r w:rsidRPr="00E0268A">
        <w:rPr>
          <w:rFonts w:asciiTheme="majorHAnsi" w:hAnsiTheme="majorHAnsi"/>
          <w:szCs w:val="18"/>
        </w:rPr>
        <w:t xml:space="preserve">hoger vanwege een hoger gebruik van de ZEZ-compensatieregeling </w:t>
      </w:r>
      <w:r w:rsidR="00850C51">
        <w:rPr>
          <w:rFonts w:asciiTheme="majorHAnsi" w:hAnsiTheme="majorHAnsi"/>
          <w:szCs w:val="18"/>
        </w:rPr>
        <w:t xml:space="preserve">(regeling voor zwangere zelfstandigen) </w:t>
      </w:r>
      <w:r w:rsidRPr="00E0268A">
        <w:rPr>
          <w:rFonts w:asciiTheme="majorHAnsi" w:hAnsiTheme="majorHAnsi"/>
          <w:szCs w:val="18"/>
        </w:rPr>
        <w:t>dan eerder geraamd. Daarnaast is het volume aan WAZO-uitkeringen toegenomen door een in 2018 hogere arbeidsparticipatie onder vrouwen dan eerder verwacht en de opwaartse bijstelling van de geboorteprognose van het CBS. Daartegenover staat een lagere gemiddelde prijs. Het saldo van het prijs- en volume effect zorgt voor de opwaartse bijstelling.</w:t>
      </w:r>
    </w:p>
    <w:p w:rsidRPr="00E0268A" w:rsidR="008423E3" w:rsidP="00E0268A" w:rsidRDefault="008423E3">
      <w:pPr>
        <w:spacing w:after="0"/>
        <w:rPr>
          <w:rFonts w:eastAsia="Times New Roman" w:asciiTheme="majorHAnsi" w:hAnsiTheme="majorHAnsi"/>
          <w: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Ziektewet (ZW)</w:t>
      </w:r>
    </w:p>
    <w:p w:rsidRPr="00E0268A" w:rsidR="00E0268A" w:rsidP="00E0268A" w:rsidRDefault="00E0268A">
      <w:pPr>
        <w:pStyle w:val="Geenafstand"/>
        <w:spacing w:line="276" w:lineRule="auto"/>
        <w:rPr>
          <w:rFonts w:asciiTheme="majorHAnsi" w:hAnsiTheme="majorHAnsi"/>
          <w:szCs w:val="18"/>
        </w:rPr>
      </w:pPr>
      <w:r w:rsidRPr="00E0268A">
        <w:rPr>
          <w:rFonts w:asciiTheme="majorHAnsi" w:hAnsiTheme="majorHAnsi"/>
          <w:szCs w:val="18"/>
        </w:rPr>
        <w:t xml:space="preserve">De tegenvaller op de Ziektewet wordt hoofdzakelijk veroorzaakt door een opwaartse bijstelling van het aantal ZW-uitkeringen. Ten tijde van de vorige raming werd de stijging van het aantal ziektejaren incidenteel toegeschreven aan de griepgolf die in het eerste kwartaal van 2018 plaatsvond. Uit de realisatiecijfers over 2018 blijkt echter dat de stijging van het aantal ziektejaren </w:t>
      </w:r>
      <w:r w:rsidRPr="00E0268A">
        <w:rPr>
          <w:rFonts w:asciiTheme="majorHAnsi" w:hAnsiTheme="majorHAnsi"/>
          <w:szCs w:val="18"/>
        </w:rPr>
        <w:lastRenderedPageBreak/>
        <w:t>tegen de verwachting in heeft doorgezet. Door deze toename wordt ook het volume voor 2019 en verder verhoogd. Daarnaast is de werkloosheidsraming van het CPB (CEP) opwaarts bijgesteld. Hieruit volgt dat het aantal zieke werklozen naar verwachting toeneemt in de ZW, waarvoor het volume is aangepast.</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Diversen</w:t>
      </w:r>
    </w:p>
    <w:p w:rsidRPr="00E0268A" w:rsidR="00E0268A" w:rsidP="00E0268A" w:rsidRDefault="00E0268A">
      <w:pPr>
        <w:pStyle w:val="Geenafstand"/>
        <w:spacing w:line="276" w:lineRule="auto"/>
        <w:rPr>
          <w:rFonts w:asciiTheme="majorHAnsi" w:hAnsiTheme="majorHAnsi"/>
          <w:szCs w:val="18"/>
        </w:rPr>
      </w:pPr>
      <w:r w:rsidRPr="00E0268A">
        <w:rPr>
          <w:rFonts w:asciiTheme="majorHAnsi" w:hAnsiTheme="majorHAnsi"/>
          <w:szCs w:val="18"/>
        </w:rPr>
        <w:t>Hieronder vallen een meevaller op de Inkomensondersteuning AOW (IOAOW), een tegenvaller op de Nabestaandenwet (</w:t>
      </w:r>
      <w:proofErr w:type="spellStart"/>
      <w:r w:rsidRPr="00E0268A">
        <w:rPr>
          <w:rFonts w:asciiTheme="majorHAnsi" w:hAnsiTheme="majorHAnsi"/>
          <w:szCs w:val="18"/>
        </w:rPr>
        <w:t>Anw</w:t>
      </w:r>
      <w:proofErr w:type="spellEnd"/>
      <w:r w:rsidRPr="00E0268A">
        <w:rPr>
          <w:rFonts w:asciiTheme="majorHAnsi" w:hAnsiTheme="majorHAnsi"/>
          <w:szCs w:val="18"/>
        </w:rPr>
        <w:t>) en een tegenvaller op de uitvoeringskosten UWV.</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szCs w:val="18"/>
          <w:u w:val="single"/>
        </w:rPr>
      </w:pPr>
      <w:r w:rsidRPr="00E0268A">
        <w:rPr>
          <w:rFonts w:eastAsia="Times New Roman" w:asciiTheme="majorHAnsi" w:hAnsiTheme="majorHAnsi"/>
          <w:szCs w:val="18"/>
          <w:u w:val="single"/>
        </w:rPr>
        <w:t>Beleidsmatige mutaties</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Sociale zekerheid</w:t>
      </w:r>
    </w:p>
    <w:p w:rsidRPr="00E0268A" w:rsidR="00E0268A" w:rsidP="00E0268A" w:rsidRDefault="00E0268A">
      <w:pPr>
        <w:spacing w:after="0"/>
        <w:rPr>
          <w:rFonts w:eastAsia="Times New Roman" w:asciiTheme="majorHAnsi" w:hAnsiTheme="majorHAnsi"/>
          <w: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 xml:space="preserve">Dekking herstel niet-automatisch herstarten WKB </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Deze reeks bestaat uit dekking voor de incidentele kosten voor het herstellen van ten onrechte niet ontvangen van </w:t>
      </w:r>
      <w:proofErr w:type="spellStart"/>
      <w:r w:rsidRPr="00E0268A">
        <w:rPr>
          <w:rFonts w:eastAsia="Times New Roman" w:asciiTheme="majorHAnsi" w:hAnsiTheme="majorHAnsi"/>
          <w:szCs w:val="18"/>
        </w:rPr>
        <w:t>kindgebonden</w:t>
      </w:r>
      <w:proofErr w:type="spellEnd"/>
      <w:r w:rsidRPr="00E0268A">
        <w:rPr>
          <w:rFonts w:eastAsia="Times New Roman" w:asciiTheme="majorHAnsi" w:hAnsiTheme="majorHAnsi"/>
          <w:szCs w:val="18"/>
        </w:rPr>
        <w:t xml:space="preserve"> budget, in het kader van het hierboven beschreven herstel niet-automatisch herstarten WKB. </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De structurele kosten van het herstel van het niet-automatisch herstarten van de WKB worden beleidsmatig gedekt door middel van het eenmalig niet-indexeren van het </w:t>
      </w:r>
      <w:proofErr w:type="spellStart"/>
      <w:r w:rsidRPr="00E0268A">
        <w:rPr>
          <w:rFonts w:eastAsia="Times New Roman" w:asciiTheme="majorHAnsi" w:hAnsiTheme="majorHAnsi"/>
          <w:szCs w:val="18"/>
        </w:rPr>
        <w:t>kindgebonden</w:t>
      </w:r>
      <w:proofErr w:type="spellEnd"/>
      <w:r w:rsidRPr="00E0268A">
        <w:rPr>
          <w:rFonts w:eastAsia="Times New Roman" w:asciiTheme="majorHAnsi" w:hAnsiTheme="majorHAnsi"/>
          <w:szCs w:val="18"/>
        </w:rPr>
        <w:t xml:space="preserve"> budget per 2020. Deze wijziging is meegenomen in het wetsvoorstel wijziging van de Wet op het </w:t>
      </w:r>
      <w:proofErr w:type="spellStart"/>
      <w:r w:rsidRPr="00E0268A">
        <w:rPr>
          <w:rFonts w:eastAsia="Times New Roman" w:asciiTheme="majorHAnsi" w:hAnsiTheme="majorHAnsi"/>
          <w:szCs w:val="18"/>
        </w:rPr>
        <w:t>kindgebonden</w:t>
      </w:r>
      <w:proofErr w:type="spellEnd"/>
      <w:r w:rsidRPr="00E0268A">
        <w:rPr>
          <w:rFonts w:eastAsia="Times New Roman" w:asciiTheme="majorHAnsi" w:hAnsiTheme="majorHAnsi"/>
          <w:szCs w:val="18"/>
        </w:rPr>
        <w:t xml:space="preserve"> budget. De Tweede Kamer heeft op 5 maart 2019 ingestemd met dit wetsvoorstel.</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Kasschuiven uitgavenplafond sociale zekerheid</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Hieronder vallen o.a. een kasschuif voor de herziening van het Besluit bijstandverlening zelfstandigen (BBZ), een kasschuif voor de vereenvoudiging van de Wajong en een kasschuif voor een IT-plan b</w:t>
      </w:r>
      <w:r w:rsidR="00A30A93">
        <w:rPr>
          <w:rFonts w:eastAsia="Times New Roman" w:asciiTheme="majorHAnsi" w:hAnsiTheme="majorHAnsi"/>
          <w:szCs w:val="18"/>
        </w:rPr>
        <w:t>ij SVB</w:t>
      </w:r>
      <w:r w:rsidRPr="00E0268A">
        <w:rPr>
          <w:rFonts w:eastAsia="Times New Roman" w:asciiTheme="majorHAnsi" w:hAnsiTheme="majorHAnsi"/>
          <w:szCs w:val="18"/>
        </w:rPr>
        <w:t>.</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Diversen</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Dit betreft o.a. de intertemporele tegemoetkoming asielinstroom, re-integratie Wajong en diverse overboekingen met andere departementen. </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 </w:t>
      </w:r>
    </w:p>
    <w:p w:rsidRPr="00E0268A" w:rsidR="00E0268A" w:rsidP="00E0268A" w:rsidRDefault="00E0268A">
      <w:pPr>
        <w:spacing w:after="0"/>
        <w:rPr>
          <w:rFonts w:eastAsia="Times New Roman" w:asciiTheme="majorHAnsi" w:hAnsiTheme="majorHAnsi"/>
          <w:szCs w:val="18"/>
          <w:u w:val="single"/>
        </w:rPr>
      </w:pPr>
      <w:r w:rsidRPr="00E0268A">
        <w:rPr>
          <w:rFonts w:eastAsia="Times New Roman" w:asciiTheme="majorHAnsi" w:hAnsiTheme="majorHAnsi"/>
          <w:szCs w:val="18"/>
          <w:u w:val="single"/>
        </w:rPr>
        <w:t>Technische mutaties</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Sociale zekerheid</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Bruteringen</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Bruteringen houden verband met de koppeling van diverse uitkeringen aan het nettominimumloon. Een brutering komt voor als de bruto uitkering meer verandert dan de netto uitkering, bijvoorbeeld door wijzigingen in de fiscaliteit. Hierdoor kunnen de uitgaven van SZW stijgen of dalen terwijl de belastinginkomsten één-op-één meebewegen. Een brutering heeft geen effect op het saldo van de overheid. Om deze reden wordt het uitgavenplafond Sociale Zekerheid gecorrigeerd voor bruteringen. Dit is daarmee een technische mutatie waar het uitgavenplafond Sociale Zekerheid voor gecorrigeerd wordt. </w:t>
      </w:r>
    </w:p>
    <w:p w:rsidRPr="00E0268A" w:rsidR="00E0268A" w:rsidP="00E0268A" w:rsidRDefault="00E0268A">
      <w:pPr>
        <w:spacing w:after="0"/>
        <w:rPr>
          <w:rFonts w:eastAsia="Times New Roman" w:asciiTheme="majorHAnsi" w:hAnsiTheme="majorHAnsi"/>
          <w:szCs w:val="18"/>
          <w:highlight w:val="yellow"/>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Loonbijstelling tranche 2019</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De loonbijstelling tranche 2019 wordt overgemaakt naar de departementale begrotingen. </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Nieuw pakket van maatregelen WIA en LBZ</w:t>
      </w:r>
    </w:p>
    <w:p w:rsidRPr="00E0268A" w:rsidR="00E0268A" w:rsidP="00E0268A" w:rsidRDefault="002B1507">
      <w:pPr>
        <w:spacing w:after="0"/>
        <w:rPr>
          <w:rFonts w:asciiTheme="majorHAnsi" w:hAnsiTheme="majorHAnsi"/>
          <w:szCs w:val="18"/>
        </w:rPr>
      </w:pPr>
      <w:r>
        <w:rPr>
          <w:rFonts w:asciiTheme="majorHAnsi" w:hAnsiTheme="majorHAnsi"/>
          <w:szCs w:val="18"/>
        </w:rPr>
        <w:t>In het R</w:t>
      </w:r>
      <w:r w:rsidRPr="00E0268A" w:rsidR="00E0268A">
        <w:rPr>
          <w:rFonts w:asciiTheme="majorHAnsi" w:hAnsiTheme="majorHAnsi"/>
          <w:szCs w:val="18"/>
        </w:rPr>
        <w:t>egeerakkoord zijn afspraken opgenomen over de WIA en loondoorbetaling bij ziekte. In plaats daarvan is in december 2018 een alternatief pakket afgesproken. Dat is nu verwerkt.</w:t>
      </w:r>
    </w:p>
    <w:p w:rsidRPr="00E0268A" w:rsidR="00E0268A" w:rsidP="00E0268A" w:rsidRDefault="00E0268A">
      <w:pPr>
        <w:spacing w:after="0"/>
        <w:rPr>
          <w:rFonts w:asciiTheme="majorHAnsi" w:hAnsiTheme="majorHAnsi"/>
          <w:szCs w:val="18"/>
        </w:rPr>
      </w:pPr>
      <w:r w:rsidRPr="00E0268A">
        <w:rPr>
          <w:rFonts w:asciiTheme="majorHAnsi" w:hAnsiTheme="majorHAnsi"/>
          <w:szCs w:val="18"/>
        </w:rPr>
        <w:t>Zie voor de uitgebreide tabel met de verwerking van deze cijfers de laatste bladzijde van deze VT.</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Nominale ontwikkeling</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Deze mutatie betreft een aanpassing in de geraamde nominale ontwikkeling onder het uitgavenplafond Sociale Zekerheid als gevolg van CEP 2019-ramingen van loon- en prijsontwikkeling en als gevolg van mutaties in uitgavenramingen binnen de sociale zekerheid. </w:t>
      </w:r>
    </w:p>
    <w:p w:rsidRPr="00E0268A" w:rsidR="00E0268A" w:rsidP="00E0268A" w:rsidRDefault="00E0268A">
      <w:pPr>
        <w:spacing w:after="0"/>
        <w:rPr>
          <w:rFonts w:eastAsia="Times New Roman" w:asciiTheme="majorHAnsi" w:hAnsiTheme="majorHAnsi"/>
          <w: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lastRenderedPageBreak/>
        <w:t>Participatiewet</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De Participatiewet-raming is bijgesteld aan de hand van de werkloosheidscijfers van het CPB (neerwaarts in 2019 en latere jaren opwaarts) en de verwerking van realisatiegegevens over 2018 (neerwaarts). In de begrotingsregels is afgesproken dat het SZ-plafond hiervoor wordt aangepast.</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WW (Werkloosheidswet)</w:t>
      </w:r>
    </w:p>
    <w:p w:rsidRPr="00E0268A" w:rsidR="00E0268A" w:rsidP="00E0268A" w:rsidRDefault="00E0268A">
      <w:pPr>
        <w:autoSpaceDE w:val="0"/>
        <w:autoSpaceDN w:val="0"/>
        <w:spacing w:after="0"/>
        <w:rPr>
          <w:rFonts w:asciiTheme="majorHAnsi" w:hAnsiTheme="majorHAnsi"/>
          <w:szCs w:val="18"/>
        </w:rPr>
      </w:pPr>
      <w:r w:rsidRPr="00E0268A">
        <w:rPr>
          <w:rFonts w:asciiTheme="majorHAnsi" w:hAnsiTheme="majorHAnsi"/>
          <w:szCs w:val="18"/>
        </w:rPr>
        <w:t>De uitkeringslasten van de Werkloosheidswet (WW) zijn opwaarts bijgesteld aan de hand van de hogere werkloosheidsramingen van het CPB en de verwerking van realisatiegegevens over 2018. In de begrotingsregels is afgesproken dat het SZ-plafond hiervoor wordt aangepast.</w:t>
      </w:r>
    </w:p>
    <w:p w:rsidRPr="00E0268A" w:rsidR="00E0268A" w:rsidP="00E0268A" w:rsidRDefault="00E0268A">
      <w:pPr>
        <w:spacing w:after="0"/>
        <w:rPr>
          <w:rFonts w:eastAsia="Times New Roman" w:asciiTheme="majorHAnsi" w:hAnsiTheme="majorHAnsi"/>
          <w:szCs w:val="18"/>
          <w:highlight w:val="yellow"/>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Diversen</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Dit betreft o.a. overboekingen met het plafond Zorg. </w:t>
      </w:r>
    </w:p>
    <w:p w:rsidRPr="00E0268A" w:rsidR="00E0268A" w:rsidP="00E0268A" w:rsidRDefault="00E0268A">
      <w:pPr>
        <w:spacing w:after="0"/>
        <w:rPr>
          <w:rFonts w:eastAsia="Times New Roman" w:asciiTheme="majorHAnsi" w:hAnsiTheme="majorHAnsi"/>
          <w:szCs w:val="18"/>
        </w:rPr>
      </w:pPr>
    </w:p>
    <w:p w:rsidRPr="00E0268A" w:rsidR="00E0268A" w:rsidP="00E0268A" w:rsidRDefault="00E0268A">
      <w:pPr>
        <w:spacing w:after="0"/>
        <w:rPr>
          <w:rFonts w:eastAsia="Times New Roman" w:asciiTheme="majorHAnsi" w:hAnsiTheme="majorHAnsi"/>
          <w:b/>
          <w:szCs w:val="18"/>
        </w:rPr>
      </w:pPr>
      <w:r w:rsidRPr="00E0268A">
        <w:rPr>
          <w:rFonts w:eastAsia="Times New Roman" w:asciiTheme="majorHAnsi" w:hAnsiTheme="majorHAnsi"/>
          <w:b/>
          <w:szCs w:val="18"/>
        </w:rPr>
        <w:t>Ontvangsten</w:t>
      </w:r>
    </w:p>
    <w:p w:rsidRPr="00E0268A" w:rsidR="00E0268A" w:rsidP="00E0268A" w:rsidRDefault="00E0268A">
      <w:pPr>
        <w:spacing w:after="0"/>
        <w:rPr>
          <w:rFonts w:eastAsia="Times New Roman" w:asciiTheme="majorHAnsi" w:hAnsiTheme="majorHAnsi"/>
          <w:b/>
          <w:szCs w:val="18"/>
        </w:rPr>
      </w:pPr>
    </w:p>
    <w:p w:rsidRPr="00E0268A" w:rsidR="00E0268A" w:rsidP="00E0268A" w:rsidRDefault="00E0268A">
      <w:pPr>
        <w:spacing w:after="0"/>
        <w:rPr>
          <w:rFonts w:eastAsia="Times New Roman" w:asciiTheme="majorHAnsi" w:hAnsiTheme="majorHAnsi"/>
          <w:szCs w:val="18"/>
          <w:u w:val="single"/>
        </w:rPr>
      </w:pPr>
      <w:r w:rsidRPr="00E0268A">
        <w:rPr>
          <w:rFonts w:eastAsia="Times New Roman" w:asciiTheme="majorHAnsi" w:hAnsiTheme="majorHAnsi"/>
          <w:szCs w:val="18"/>
          <w:u w:val="single"/>
        </w:rPr>
        <w:t>Mee- en tegenvallers</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Sociale zekerheid</w:t>
      </w:r>
    </w:p>
    <w:p w:rsidRPr="00E0268A" w:rsidR="00E0268A" w:rsidP="00E0268A" w:rsidRDefault="00E0268A">
      <w:pPr>
        <w:spacing w:after="0"/>
        <w:rPr>
          <w:rFonts w:eastAsia="Times New Roman" w:asciiTheme="majorHAnsi" w:hAnsiTheme="majorHAnsi"/>
          <w:i/>
          <w:szCs w:val="18"/>
        </w:rPr>
      </w:pPr>
    </w:p>
    <w:p w:rsidRPr="00E0268A" w:rsidR="00E0268A" w:rsidP="00E0268A" w:rsidRDefault="00E0268A">
      <w:pPr>
        <w:spacing w:after="0"/>
        <w:rPr>
          <w:rFonts w:eastAsia="Times New Roman" w:asciiTheme="majorHAnsi" w:hAnsiTheme="majorHAnsi"/>
          <w:i/>
          <w:szCs w:val="18"/>
        </w:rPr>
      </w:pPr>
      <w:proofErr w:type="spellStart"/>
      <w:r w:rsidRPr="00E0268A">
        <w:rPr>
          <w:rFonts w:eastAsia="Times New Roman" w:asciiTheme="majorHAnsi" w:hAnsiTheme="majorHAnsi"/>
          <w:i/>
          <w:szCs w:val="18"/>
        </w:rPr>
        <w:t>Kindregelingen</w:t>
      </w:r>
      <w:proofErr w:type="spellEnd"/>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Dit betreft ontvangsten op de kinderopvangtoeslag en het </w:t>
      </w:r>
      <w:proofErr w:type="spellStart"/>
      <w:r w:rsidRPr="00E0268A">
        <w:rPr>
          <w:rFonts w:eastAsia="Times New Roman" w:asciiTheme="majorHAnsi" w:hAnsiTheme="majorHAnsi"/>
          <w:szCs w:val="18"/>
        </w:rPr>
        <w:t>kindgebonden</w:t>
      </w:r>
      <w:proofErr w:type="spellEnd"/>
      <w:r w:rsidRPr="00E0268A">
        <w:rPr>
          <w:rFonts w:eastAsia="Times New Roman" w:asciiTheme="majorHAnsi" w:hAnsiTheme="majorHAnsi"/>
          <w:szCs w:val="18"/>
        </w:rPr>
        <w:t xml:space="preserve"> budget. De raming is meerjarig naar beneden bijgesteld. </w:t>
      </w:r>
    </w:p>
    <w:p w:rsidRPr="00E0268A" w:rsidR="00E0268A" w:rsidP="00E0268A" w:rsidRDefault="00E0268A">
      <w:pPr>
        <w:spacing w:after="0"/>
        <w:rPr>
          <w:rFonts w:eastAsia="Times New Roman" w:asciiTheme="majorHAnsi" w:hAnsiTheme="majorHAnsi"/>
          <w: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Diversen</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Dit betreft o.a. de ontvangsten op de Toeslagenwet.</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 xml:space="preserve"> </w:t>
      </w:r>
    </w:p>
    <w:p w:rsidRPr="00E0268A" w:rsidR="00E0268A" w:rsidP="00E0268A" w:rsidRDefault="00E0268A">
      <w:pPr>
        <w:spacing w:after="0"/>
        <w:rPr>
          <w:rFonts w:eastAsia="Times New Roman" w:asciiTheme="majorHAnsi" w:hAnsiTheme="majorHAnsi"/>
          <w:szCs w:val="18"/>
          <w:u w:val="single"/>
        </w:rPr>
      </w:pPr>
      <w:r w:rsidRPr="00E0268A">
        <w:rPr>
          <w:rFonts w:eastAsia="Times New Roman" w:asciiTheme="majorHAnsi" w:hAnsiTheme="majorHAnsi"/>
          <w:szCs w:val="18"/>
          <w:u w:val="single"/>
        </w:rPr>
        <w:t>Technische mutaties</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Sociale zekerheid</w:t>
      </w:r>
    </w:p>
    <w:p w:rsidRPr="00E0268A" w:rsidR="00E0268A" w:rsidP="00E0268A" w:rsidRDefault="00E0268A">
      <w:pPr>
        <w:spacing w:after="0"/>
        <w:rPr>
          <w:rFonts w:eastAsia="Times New Roman" w:asciiTheme="majorHAnsi" w:hAnsiTheme="majorHAnsi"/>
          <w:i/>
          <w:szCs w:val="18"/>
        </w:rPr>
      </w:pPr>
    </w:p>
    <w:p w:rsidRPr="00E0268A" w:rsidR="00E0268A" w:rsidP="00E0268A" w:rsidRDefault="00E0268A">
      <w:pPr>
        <w:spacing w:after="0"/>
        <w:rPr>
          <w:rFonts w:eastAsia="Times New Roman" w:asciiTheme="majorHAnsi" w:hAnsiTheme="majorHAnsi"/>
          <w:i/>
          <w:szCs w:val="18"/>
        </w:rPr>
      </w:pPr>
      <w:r w:rsidRPr="00E0268A">
        <w:rPr>
          <w:rFonts w:eastAsia="Times New Roman" w:asciiTheme="majorHAnsi" w:hAnsiTheme="majorHAnsi"/>
          <w:i/>
          <w:szCs w:val="18"/>
        </w:rPr>
        <w:t>Diversen</w:t>
      </w:r>
    </w:p>
    <w:p w:rsidRPr="00E0268A" w:rsidR="00E0268A" w:rsidP="00E0268A" w:rsidRDefault="00E0268A">
      <w:pPr>
        <w:spacing w:after="0"/>
        <w:rPr>
          <w:rFonts w:eastAsia="Times New Roman" w:asciiTheme="majorHAnsi" w:hAnsiTheme="majorHAnsi"/>
          <w:szCs w:val="18"/>
        </w:rPr>
      </w:pPr>
      <w:r w:rsidRPr="00E0268A">
        <w:rPr>
          <w:rFonts w:eastAsia="Times New Roman" w:asciiTheme="majorHAnsi" w:hAnsiTheme="majorHAnsi"/>
          <w:szCs w:val="18"/>
        </w:rPr>
        <w:t>Dit betreft een technische correctie van de ontvangsten op het Uitvoeringsfonds voor de overheid (UFO-ontvangsten). Hieronder vallen aanpassingen vanwege nominale ontwikkelingen op de ontvangsten.</w:t>
      </w:r>
    </w:p>
    <w:p w:rsidRPr="00E0268A" w:rsidR="00E0268A" w:rsidP="00E0268A" w:rsidRDefault="00E0268A">
      <w:pPr>
        <w:spacing w:after="0"/>
        <w:rPr>
          <w:rFonts w:asciiTheme="majorHAnsi" w:hAnsiTheme="majorHAnsi"/>
          <w:i/>
          <w:szCs w:val="18"/>
        </w:rPr>
      </w:pPr>
    </w:p>
    <w:p w:rsidR="00E0268A" w:rsidP="00E0268A" w:rsidRDefault="00E0268A">
      <w:pPr>
        <w:spacing w:after="0"/>
        <w:rPr>
          <w:rFonts w:asciiTheme="majorHAnsi" w:hAnsiTheme="majorHAnsi"/>
          <w:i/>
          <w:szCs w:val="18"/>
        </w:rPr>
      </w:pPr>
      <w:r w:rsidRPr="00E0268A">
        <w:rPr>
          <w:rFonts w:asciiTheme="majorHAnsi" w:hAnsiTheme="majorHAnsi"/>
          <w:i/>
          <w:szCs w:val="18"/>
        </w:rPr>
        <w:t>Loondoorbetaling bij ziekte</w:t>
      </w:r>
    </w:p>
    <w:tbl>
      <w:tblPr>
        <w:tblW w:w="9074" w:type="dxa"/>
        <w:jc w:val="center"/>
        <w:tblCellMar>
          <w:left w:w="0" w:type="dxa"/>
          <w:right w:w="0" w:type="dxa"/>
        </w:tblCellMar>
        <w:tblLook w:val="04A0" w:firstRow="1" w:lastRow="0" w:firstColumn="1" w:lastColumn="0" w:noHBand="0" w:noVBand="1"/>
      </w:tblPr>
      <w:tblGrid>
        <w:gridCol w:w="5896"/>
        <w:gridCol w:w="458"/>
        <w:gridCol w:w="680"/>
        <w:gridCol w:w="680"/>
        <w:gridCol w:w="680"/>
        <w:gridCol w:w="680"/>
      </w:tblGrid>
      <w:tr w:rsidRPr="00E0268A" w:rsidR="00E0268A" w:rsidTr="00A92162">
        <w:trPr>
          <w:trHeight w:val="210"/>
          <w:jc w:val="center"/>
        </w:trPr>
        <w:tc>
          <w:tcPr>
            <w:tcW w:w="9074" w:type="dxa"/>
            <w:gridSpan w:val="6"/>
            <w:tcBorders>
              <w:top w:val="single" w:color="auto" w:sz="8" w:space="0"/>
              <w:bottom w:val="single" w:color="auto" w:sz="4" w:space="0"/>
            </w:tcBorders>
            <w:shd w:val="clear" w:color="auto" w:fill="000000" w:themeFill="text1"/>
            <w:noWrap/>
            <w:tcMar>
              <w:top w:w="0" w:type="dxa"/>
              <w:left w:w="70" w:type="dxa"/>
              <w:bottom w:w="0" w:type="dxa"/>
              <w:right w:w="70" w:type="dxa"/>
            </w:tcMar>
            <w:vAlign w:val="center"/>
          </w:tcPr>
          <w:p w:rsidRPr="00E0268A" w:rsidR="00E0268A" w:rsidP="00E0268A" w:rsidRDefault="00E0268A">
            <w:pPr>
              <w:spacing w:after="0"/>
              <w:rPr>
                <w:rFonts w:asciiTheme="majorHAnsi" w:hAnsiTheme="majorHAnsi"/>
                <w:bCs/>
                <w:szCs w:val="18"/>
              </w:rPr>
            </w:pPr>
            <w:r w:rsidRPr="00E0268A">
              <w:rPr>
                <w:rFonts w:asciiTheme="majorHAnsi" w:hAnsiTheme="majorHAnsi"/>
                <w:szCs w:val="18"/>
              </w:rPr>
              <w:t>Tabel: budgettaire consequenties pakket Loondoorbetaling bij Ziekte op uitgaven Rijksbegroting</w:t>
            </w:r>
          </w:p>
        </w:tc>
      </w:tr>
      <w:tr w:rsidRPr="00E0268A" w:rsidR="00E0268A" w:rsidTr="00A92162">
        <w:trPr>
          <w:trHeight w:val="210"/>
          <w:jc w:val="center"/>
        </w:trPr>
        <w:tc>
          <w:tcPr>
            <w:tcW w:w="5896" w:type="dxa"/>
            <w:tcBorders>
              <w:top w:val="single" w:color="auto" w:sz="8" w:space="0"/>
              <w:bottom w:val="single" w:color="auto" w:sz="4" w:space="0"/>
            </w:tcBorders>
            <w:noWrap/>
            <w:tcMar>
              <w:top w:w="0" w:type="dxa"/>
              <w:left w:w="70" w:type="dxa"/>
              <w:bottom w:w="0" w:type="dxa"/>
              <w:right w:w="70" w:type="dxa"/>
            </w:tcMar>
            <w:vAlign w:val="bottom"/>
          </w:tcPr>
          <w:p w:rsidRPr="00E0268A" w:rsidR="00E0268A" w:rsidP="00E0268A" w:rsidRDefault="00E0268A">
            <w:pPr>
              <w:spacing w:after="0"/>
              <w:rPr>
                <w:rFonts w:asciiTheme="majorHAnsi" w:hAnsiTheme="majorHAnsi"/>
                <w:szCs w:val="18"/>
              </w:rPr>
            </w:pPr>
            <w:r w:rsidRPr="00E0268A">
              <w:rPr>
                <w:rFonts w:asciiTheme="majorHAnsi" w:hAnsiTheme="majorHAnsi"/>
                <w:szCs w:val="18"/>
              </w:rPr>
              <w:t>(in miljoenen euro’s; - is onderschrijding)</w:t>
            </w:r>
          </w:p>
        </w:tc>
        <w:tc>
          <w:tcPr>
            <w:tcW w:w="458" w:type="dxa"/>
            <w:tcBorders>
              <w:top w:val="single" w:color="auto" w:sz="8" w:space="0"/>
              <w:bottom w:val="single" w:color="auto" w:sz="4" w:space="0"/>
            </w:tcBorders>
          </w:tcPr>
          <w:p w:rsidRPr="00E0268A" w:rsidR="00E0268A" w:rsidP="00E0268A" w:rsidRDefault="00E0268A">
            <w:pPr>
              <w:spacing w:after="0"/>
              <w:rPr>
                <w:rFonts w:asciiTheme="majorHAnsi" w:hAnsiTheme="majorHAnsi"/>
                <w:bCs/>
                <w:szCs w:val="18"/>
              </w:rPr>
            </w:pPr>
            <w:r w:rsidRPr="00E0268A">
              <w:rPr>
                <w:rFonts w:asciiTheme="majorHAnsi" w:hAnsiTheme="majorHAnsi"/>
                <w:bCs/>
                <w:szCs w:val="18"/>
              </w:rPr>
              <w:t>2019</w:t>
            </w:r>
          </w:p>
        </w:tc>
        <w:tc>
          <w:tcPr>
            <w:tcW w:w="680" w:type="dxa"/>
            <w:tcBorders>
              <w:top w:val="single" w:color="auto" w:sz="8" w:space="0"/>
              <w:bottom w:val="single" w:color="auto" w:sz="4" w:space="0"/>
            </w:tcBorders>
            <w:noWrap/>
            <w:tcMar>
              <w:top w:w="0" w:type="dxa"/>
              <w:left w:w="70" w:type="dxa"/>
              <w:bottom w:w="0" w:type="dxa"/>
              <w:right w:w="70" w:type="dxa"/>
            </w:tcMar>
            <w:vAlign w:val="center"/>
          </w:tcPr>
          <w:p w:rsidRPr="00E0268A" w:rsidR="00E0268A" w:rsidP="00E0268A" w:rsidRDefault="00E0268A">
            <w:pPr>
              <w:spacing w:after="0"/>
              <w:rPr>
                <w:rFonts w:asciiTheme="majorHAnsi" w:hAnsiTheme="majorHAnsi"/>
                <w:szCs w:val="18"/>
              </w:rPr>
            </w:pPr>
            <w:r w:rsidRPr="00E0268A">
              <w:rPr>
                <w:rFonts w:asciiTheme="majorHAnsi" w:hAnsiTheme="majorHAnsi"/>
                <w:bCs/>
                <w:szCs w:val="18"/>
              </w:rPr>
              <w:t>2020</w:t>
            </w:r>
          </w:p>
        </w:tc>
        <w:tc>
          <w:tcPr>
            <w:tcW w:w="680" w:type="dxa"/>
            <w:tcBorders>
              <w:top w:val="single" w:color="auto" w:sz="8" w:space="0"/>
              <w:bottom w:val="single" w:color="auto" w:sz="4" w:space="0"/>
            </w:tcBorders>
            <w:noWrap/>
            <w:tcMar>
              <w:top w:w="0" w:type="dxa"/>
              <w:left w:w="70" w:type="dxa"/>
              <w:bottom w:w="0" w:type="dxa"/>
              <w:right w:w="70" w:type="dxa"/>
            </w:tcMar>
            <w:vAlign w:val="center"/>
          </w:tcPr>
          <w:p w:rsidRPr="00E0268A" w:rsidR="00E0268A" w:rsidP="00E0268A" w:rsidRDefault="00E0268A">
            <w:pPr>
              <w:spacing w:after="0"/>
              <w:rPr>
                <w:rFonts w:asciiTheme="majorHAnsi" w:hAnsiTheme="majorHAnsi"/>
                <w:szCs w:val="18"/>
              </w:rPr>
            </w:pPr>
            <w:r w:rsidRPr="00E0268A">
              <w:rPr>
                <w:rFonts w:asciiTheme="majorHAnsi" w:hAnsiTheme="majorHAnsi"/>
                <w:bCs/>
                <w:szCs w:val="18"/>
              </w:rPr>
              <w:t>2021</w:t>
            </w:r>
          </w:p>
        </w:tc>
        <w:tc>
          <w:tcPr>
            <w:tcW w:w="680" w:type="dxa"/>
            <w:tcBorders>
              <w:top w:val="single" w:color="auto" w:sz="8" w:space="0"/>
              <w:bottom w:val="single" w:color="auto" w:sz="4" w:space="0"/>
            </w:tcBorders>
            <w:noWrap/>
            <w:tcMar>
              <w:top w:w="0" w:type="dxa"/>
              <w:left w:w="70" w:type="dxa"/>
              <w:bottom w:w="0" w:type="dxa"/>
              <w:right w:w="70" w:type="dxa"/>
            </w:tcMar>
            <w:vAlign w:val="center"/>
          </w:tcPr>
          <w:p w:rsidRPr="00E0268A" w:rsidR="00E0268A" w:rsidP="00E0268A" w:rsidRDefault="00E0268A">
            <w:pPr>
              <w:spacing w:after="0"/>
              <w:rPr>
                <w:rFonts w:asciiTheme="majorHAnsi" w:hAnsiTheme="majorHAnsi"/>
                <w:szCs w:val="18"/>
              </w:rPr>
            </w:pPr>
            <w:r w:rsidRPr="00E0268A">
              <w:rPr>
                <w:rFonts w:asciiTheme="majorHAnsi" w:hAnsiTheme="majorHAnsi"/>
                <w:bCs/>
                <w:szCs w:val="18"/>
              </w:rPr>
              <w:t>2022</w:t>
            </w:r>
          </w:p>
        </w:tc>
        <w:tc>
          <w:tcPr>
            <w:tcW w:w="680" w:type="dxa"/>
            <w:tcBorders>
              <w:top w:val="single" w:color="auto" w:sz="8" w:space="0"/>
              <w:bottom w:val="single" w:color="auto" w:sz="4" w:space="0"/>
            </w:tcBorders>
            <w:noWrap/>
            <w:tcMar>
              <w:top w:w="0" w:type="dxa"/>
              <w:left w:w="70" w:type="dxa"/>
              <w:bottom w:w="0" w:type="dxa"/>
              <w:right w:w="70" w:type="dxa"/>
            </w:tcMar>
            <w:vAlign w:val="center"/>
          </w:tcPr>
          <w:p w:rsidRPr="00E0268A" w:rsidR="00E0268A" w:rsidP="00E0268A" w:rsidRDefault="00E0268A">
            <w:pPr>
              <w:spacing w:after="0"/>
              <w:rPr>
                <w:rFonts w:asciiTheme="majorHAnsi" w:hAnsiTheme="majorHAnsi"/>
                <w:szCs w:val="18"/>
              </w:rPr>
            </w:pPr>
            <w:r w:rsidRPr="00E0268A">
              <w:rPr>
                <w:rFonts w:asciiTheme="majorHAnsi" w:hAnsiTheme="majorHAnsi"/>
                <w:bCs/>
                <w:szCs w:val="18"/>
              </w:rPr>
              <w:t>2023</w:t>
            </w:r>
          </w:p>
        </w:tc>
      </w:tr>
      <w:tr w:rsidRPr="00E0268A" w:rsidR="00E0268A" w:rsidTr="00A92162">
        <w:trPr>
          <w:trHeight w:val="210"/>
          <w:jc w:val="center"/>
        </w:trPr>
        <w:tc>
          <w:tcPr>
            <w:tcW w:w="5896" w:type="dxa"/>
            <w:tcBorders>
              <w:top w:val="single" w:color="auto" w:sz="4" w:space="0"/>
            </w:tcBorders>
            <w:noWrap/>
            <w:tcMar>
              <w:top w:w="0" w:type="dxa"/>
              <w:left w:w="70" w:type="dxa"/>
              <w:bottom w:w="0" w:type="dxa"/>
              <w:right w:w="70" w:type="dxa"/>
            </w:tcMar>
            <w:vAlign w:val="bottom"/>
            <w:hideMark/>
          </w:tcPr>
          <w:p w:rsidRPr="00E0268A" w:rsidR="00E0268A" w:rsidP="00E0268A" w:rsidRDefault="00E0268A">
            <w:pPr>
              <w:spacing w:after="0"/>
              <w:rPr>
                <w:rFonts w:asciiTheme="majorHAnsi" w:hAnsiTheme="majorHAnsi"/>
                <w:b/>
                <w:szCs w:val="18"/>
              </w:rPr>
            </w:pPr>
            <w:r w:rsidRPr="00E0268A">
              <w:rPr>
                <w:rFonts w:asciiTheme="majorHAnsi" w:hAnsiTheme="majorHAnsi"/>
                <w:b/>
                <w:szCs w:val="18"/>
              </w:rPr>
              <w:t>Vervallen van maatregelen Regeerakkoord</w:t>
            </w:r>
          </w:p>
        </w:tc>
        <w:tc>
          <w:tcPr>
            <w:tcW w:w="458" w:type="dxa"/>
            <w:tcBorders>
              <w:top w:val="single" w:color="auto" w:sz="4" w:space="0"/>
            </w:tcBorders>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-10 </w:t>
            </w:r>
          </w:p>
        </w:tc>
        <w:tc>
          <w:tcPr>
            <w:tcW w:w="680" w:type="dxa"/>
            <w:tcBorders>
              <w:top w:val="single" w:color="auto" w:sz="4" w:space="0"/>
            </w:tcBorders>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-18 </w:t>
            </w:r>
          </w:p>
        </w:tc>
        <w:tc>
          <w:tcPr>
            <w:tcW w:w="680" w:type="dxa"/>
            <w:tcBorders>
              <w:top w:val="single" w:color="auto" w:sz="4" w:space="0"/>
            </w:tcBorders>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-225 </w:t>
            </w:r>
          </w:p>
        </w:tc>
        <w:tc>
          <w:tcPr>
            <w:tcW w:w="680" w:type="dxa"/>
            <w:tcBorders>
              <w:top w:val="single" w:color="auto" w:sz="4" w:space="0"/>
            </w:tcBorders>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-307 </w:t>
            </w:r>
          </w:p>
        </w:tc>
        <w:tc>
          <w:tcPr>
            <w:tcW w:w="680" w:type="dxa"/>
            <w:tcBorders>
              <w:top w:val="single" w:color="auto" w:sz="4" w:space="0"/>
            </w:tcBorders>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-305 </w:t>
            </w:r>
          </w:p>
        </w:tc>
      </w:tr>
      <w:tr w:rsidRPr="00E0268A" w:rsidR="00E0268A" w:rsidTr="00A92162">
        <w:trPr>
          <w:trHeight w:val="210"/>
          <w:jc w:val="center"/>
        </w:trPr>
        <w:tc>
          <w:tcPr>
            <w:tcW w:w="5896" w:type="dxa"/>
            <w:noWrap/>
            <w:tcMar>
              <w:top w:w="0" w:type="dxa"/>
              <w:left w:w="70" w:type="dxa"/>
              <w:bottom w:w="0" w:type="dxa"/>
              <w:right w:w="70" w:type="dxa"/>
            </w:tcMar>
            <w:vAlign w:val="bottom"/>
            <w:hideMark/>
          </w:tcPr>
          <w:p w:rsidRPr="00E0268A" w:rsidR="00E0268A" w:rsidP="00E0268A" w:rsidRDefault="00E0268A">
            <w:pPr>
              <w:spacing w:after="0"/>
              <w:rPr>
                <w:rFonts w:cs="Calibri" w:asciiTheme="majorHAnsi" w:hAnsiTheme="majorHAnsi"/>
                <w:color w:val="000000"/>
                <w:szCs w:val="18"/>
              </w:rPr>
            </w:pPr>
            <w:r w:rsidRPr="00E0268A">
              <w:rPr>
                <w:rFonts w:cs="Calibri" w:asciiTheme="majorHAnsi" w:hAnsiTheme="majorHAnsi"/>
                <w:color w:val="000000"/>
                <w:szCs w:val="18"/>
              </w:rPr>
              <w:t xml:space="preserve">I79) WGA 35-80 wordt WGA 35-99 </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-3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3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7 </w:t>
            </w:r>
          </w:p>
        </w:tc>
      </w:tr>
      <w:tr w:rsidRPr="00E0268A" w:rsidR="00E0268A" w:rsidTr="00A92162">
        <w:trPr>
          <w:trHeight w:val="210"/>
          <w:jc w:val="center"/>
        </w:trPr>
        <w:tc>
          <w:tcPr>
            <w:tcW w:w="5896" w:type="dxa"/>
            <w:noWrap/>
            <w:tcMar>
              <w:top w:w="0" w:type="dxa"/>
              <w:left w:w="70" w:type="dxa"/>
              <w:bottom w:w="0" w:type="dxa"/>
              <w:right w:w="70" w:type="dxa"/>
            </w:tcMar>
            <w:vAlign w:val="bottom"/>
            <w:hideMark/>
          </w:tcPr>
          <w:p w:rsidRPr="00E0268A" w:rsidR="00E0268A" w:rsidP="00E0268A" w:rsidRDefault="00E0268A">
            <w:pPr>
              <w:spacing w:after="0"/>
              <w:rPr>
                <w:rFonts w:cs="Calibri" w:asciiTheme="majorHAnsi" w:hAnsiTheme="majorHAnsi"/>
                <w:color w:val="000000"/>
                <w:szCs w:val="18"/>
              </w:rPr>
            </w:pPr>
            <w:r w:rsidRPr="00E0268A">
              <w:rPr>
                <w:rFonts w:cs="Calibri" w:asciiTheme="majorHAnsi" w:hAnsiTheme="majorHAnsi"/>
                <w:color w:val="000000"/>
                <w:szCs w:val="18"/>
              </w:rPr>
              <w:t xml:space="preserve">I83) Toerekening WGA-lasten werkgever inkorten naar 5 jaar </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-8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-18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-31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-41 </w:t>
            </w:r>
          </w:p>
        </w:tc>
      </w:tr>
      <w:tr w:rsidRPr="00E0268A" w:rsidR="00E0268A" w:rsidTr="00A92162">
        <w:trPr>
          <w:trHeight w:val="210"/>
          <w:jc w:val="center"/>
        </w:trPr>
        <w:tc>
          <w:tcPr>
            <w:tcW w:w="5896" w:type="dxa"/>
            <w:noWrap/>
            <w:tcMar>
              <w:top w:w="0" w:type="dxa"/>
              <w:left w:w="70" w:type="dxa"/>
              <w:bottom w:w="0" w:type="dxa"/>
              <w:right w:w="70" w:type="dxa"/>
            </w:tcMar>
            <w:vAlign w:val="bottom"/>
            <w:hideMark/>
          </w:tcPr>
          <w:p w:rsidRPr="00E0268A" w:rsidR="00E0268A" w:rsidP="00E0268A" w:rsidRDefault="00E0268A">
            <w:pPr>
              <w:spacing w:after="0"/>
              <w:rPr>
                <w:rFonts w:cs="Calibri" w:asciiTheme="majorHAnsi" w:hAnsiTheme="majorHAnsi"/>
                <w:color w:val="000000"/>
                <w:szCs w:val="18"/>
              </w:rPr>
            </w:pPr>
            <w:r w:rsidRPr="00E0268A">
              <w:rPr>
                <w:rFonts w:cs="Calibri" w:asciiTheme="majorHAnsi" w:hAnsiTheme="majorHAnsi"/>
                <w:color w:val="000000"/>
                <w:szCs w:val="18"/>
              </w:rPr>
              <w:t>I84) Loondoorbetaling bij ziekte jaar kleine werkgevers</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-5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-218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-299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-301 </w:t>
            </w:r>
          </w:p>
        </w:tc>
      </w:tr>
      <w:tr w:rsidRPr="00E0268A" w:rsidR="00E0268A" w:rsidTr="00A92162">
        <w:trPr>
          <w:trHeight w:val="210"/>
          <w:jc w:val="center"/>
        </w:trPr>
        <w:tc>
          <w:tcPr>
            <w:tcW w:w="5896" w:type="dxa"/>
            <w:noWrap/>
            <w:tcMar>
              <w:top w:w="0" w:type="dxa"/>
              <w:left w:w="70" w:type="dxa"/>
              <w:bottom w:w="0" w:type="dxa"/>
              <w:right w:w="70" w:type="dxa"/>
            </w:tcMar>
            <w:vAlign w:val="bottom"/>
            <w:hideMark/>
          </w:tcPr>
          <w:p w:rsidRPr="00E0268A" w:rsidR="00E0268A" w:rsidP="00E0268A" w:rsidRDefault="00E0268A">
            <w:pPr>
              <w:spacing w:after="0"/>
              <w:rPr>
                <w:rFonts w:cs="Calibri" w:asciiTheme="majorHAnsi" w:hAnsiTheme="majorHAnsi"/>
                <w:color w:val="000000"/>
                <w:szCs w:val="18"/>
              </w:rPr>
            </w:pPr>
            <w:r w:rsidRPr="00E0268A">
              <w:rPr>
                <w:rFonts w:cs="Calibri" w:asciiTheme="majorHAnsi" w:hAnsiTheme="majorHAnsi"/>
                <w:color w:val="000000"/>
                <w:szCs w:val="18"/>
              </w:rPr>
              <w:t xml:space="preserve">I85) Loonsanctie voor re-integratie vervalt </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-3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-10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-16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-22 </w:t>
            </w:r>
          </w:p>
        </w:tc>
      </w:tr>
      <w:tr w:rsidRPr="00E0268A" w:rsidR="00E0268A" w:rsidTr="00A92162">
        <w:trPr>
          <w:trHeight w:val="210"/>
          <w:jc w:val="center"/>
        </w:trPr>
        <w:tc>
          <w:tcPr>
            <w:tcW w:w="5896" w:type="dxa"/>
            <w:noWrap/>
            <w:tcMar>
              <w:top w:w="0" w:type="dxa"/>
              <w:left w:w="70" w:type="dxa"/>
              <w:bottom w:w="0" w:type="dxa"/>
              <w:right w:w="70" w:type="dxa"/>
            </w:tcMar>
            <w:vAlign w:val="bottom"/>
            <w:hideMark/>
          </w:tcPr>
          <w:p w:rsidRPr="00E0268A" w:rsidR="00E0268A" w:rsidP="00E0268A" w:rsidRDefault="00E0268A">
            <w:pPr>
              <w:spacing w:after="0"/>
              <w:rPr>
                <w:rFonts w:cs="Calibri" w:asciiTheme="majorHAnsi" w:hAnsiTheme="majorHAnsi"/>
                <w:color w:val="000000"/>
                <w:szCs w:val="18"/>
              </w:rPr>
            </w:pPr>
            <w:r w:rsidRPr="00E0268A">
              <w:rPr>
                <w:rFonts w:cs="Calibri" w:asciiTheme="majorHAnsi" w:hAnsiTheme="majorHAnsi"/>
                <w:color w:val="000000"/>
                <w:szCs w:val="18"/>
              </w:rPr>
              <w:t xml:space="preserve">I94) Aanscherping schattingsbesluit WIA van 3x3 naar 9 banen </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-7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36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53 </w:t>
            </w:r>
          </w:p>
        </w:tc>
      </w:tr>
      <w:tr w:rsidRPr="00E0268A" w:rsidR="00E0268A" w:rsidTr="00A92162">
        <w:trPr>
          <w:trHeight w:val="210"/>
          <w:jc w:val="center"/>
        </w:trPr>
        <w:tc>
          <w:tcPr>
            <w:tcW w:w="5896" w:type="dxa"/>
            <w:noWrap/>
            <w:tcMar>
              <w:top w:w="0" w:type="dxa"/>
              <w:left w:w="70" w:type="dxa"/>
              <w:bottom w:w="0" w:type="dxa"/>
              <w:right w:w="70" w:type="dxa"/>
            </w:tcMar>
            <w:vAlign w:val="bottom"/>
            <w:hideMark/>
          </w:tcPr>
          <w:p w:rsidRPr="00E0268A" w:rsidR="00E0268A" w:rsidP="00E0268A" w:rsidRDefault="00E0268A">
            <w:pPr>
              <w:spacing w:after="0"/>
              <w:rPr>
                <w:rFonts w:asciiTheme="majorHAnsi" w:hAnsiTheme="majorHAnsi"/>
                <w:szCs w:val="18"/>
              </w:rPr>
            </w:pPr>
            <w:r w:rsidRPr="00E0268A">
              <w:rPr>
                <w:rFonts w:asciiTheme="majorHAnsi" w:hAnsiTheme="majorHAnsi"/>
                <w:b/>
                <w:bCs/>
                <w:szCs w:val="18"/>
              </w:rPr>
              <w:t> </w:t>
            </w:r>
          </w:p>
        </w:tc>
        <w:tc>
          <w:tcPr>
            <w:tcW w:w="458" w:type="dxa"/>
          </w:tcPr>
          <w:p w:rsidRPr="00E0268A" w:rsidR="00E0268A" w:rsidP="00FB05A0" w:rsidRDefault="00E0268A">
            <w:pPr>
              <w:spacing w:after="0"/>
              <w:jc w:val="right"/>
              <w:rPr>
                <w:rFonts w:asciiTheme="majorHAnsi" w:hAnsiTheme="majorHAnsi"/>
                <w:b/>
                <w:szCs w:val="18"/>
              </w:rPr>
            </w:pP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p>
        </w:tc>
      </w:tr>
      <w:tr w:rsidRPr="00E0268A" w:rsidR="00E0268A" w:rsidTr="00A92162">
        <w:trPr>
          <w:trHeight w:val="210"/>
          <w:jc w:val="center"/>
        </w:trPr>
        <w:tc>
          <w:tcPr>
            <w:tcW w:w="5896" w:type="dxa"/>
            <w:noWrap/>
            <w:tcMar>
              <w:top w:w="0" w:type="dxa"/>
              <w:left w:w="70" w:type="dxa"/>
              <w:bottom w:w="0" w:type="dxa"/>
              <w:right w:w="70" w:type="dxa"/>
            </w:tcMar>
            <w:vAlign w:val="bottom"/>
          </w:tcPr>
          <w:p w:rsidRPr="00E0268A" w:rsidR="00E0268A" w:rsidP="00E0268A" w:rsidRDefault="00E0268A">
            <w:pPr>
              <w:spacing w:after="0"/>
              <w:rPr>
                <w:rFonts w:asciiTheme="majorHAnsi" w:hAnsiTheme="majorHAnsi"/>
                <w:b/>
                <w:bCs/>
                <w:szCs w:val="18"/>
              </w:rPr>
            </w:pPr>
            <w:r w:rsidRPr="00E0268A">
              <w:rPr>
                <w:rFonts w:asciiTheme="majorHAnsi" w:hAnsiTheme="majorHAnsi"/>
                <w:b/>
                <w:bCs/>
                <w:szCs w:val="18"/>
              </w:rPr>
              <w:t>Nieuwe maatregelen Loondoorbetaling bij ziekte</w:t>
            </w:r>
          </w:p>
        </w:tc>
        <w:tc>
          <w:tcPr>
            <w:tcW w:w="458" w:type="dxa"/>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11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21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27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38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39 </w:t>
            </w:r>
          </w:p>
        </w:tc>
      </w:tr>
      <w:tr w:rsidRPr="00E0268A" w:rsidR="00E0268A" w:rsidTr="00A92162">
        <w:trPr>
          <w:trHeight w:val="210"/>
          <w:jc w:val="center"/>
        </w:trPr>
        <w:tc>
          <w:tcPr>
            <w:tcW w:w="5896" w:type="dxa"/>
            <w:noWrap/>
            <w:tcMar>
              <w:top w:w="0" w:type="dxa"/>
              <w:left w:w="70" w:type="dxa"/>
              <w:bottom w:w="0" w:type="dxa"/>
              <w:right w:w="70" w:type="dxa"/>
            </w:tcMar>
          </w:tcPr>
          <w:p w:rsidRPr="00E0268A" w:rsidR="00E0268A" w:rsidP="00E0268A" w:rsidRDefault="00E0268A">
            <w:pPr>
              <w:spacing w:after="0"/>
              <w:rPr>
                <w:rFonts w:asciiTheme="majorHAnsi" w:hAnsiTheme="majorHAnsi"/>
                <w:szCs w:val="18"/>
              </w:rPr>
            </w:pPr>
            <w:r w:rsidRPr="00E0268A">
              <w:rPr>
                <w:rFonts w:asciiTheme="majorHAnsi" w:hAnsiTheme="majorHAnsi"/>
                <w:szCs w:val="18"/>
              </w:rPr>
              <w:t>Artsenreeks UWV</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4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7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7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10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10 </w:t>
            </w:r>
          </w:p>
        </w:tc>
      </w:tr>
      <w:tr w:rsidRPr="00E0268A" w:rsidR="00E0268A" w:rsidTr="00A92162">
        <w:trPr>
          <w:trHeight w:val="210"/>
          <w:jc w:val="center"/>
        </w:trPr>
        <w:tc>
          <w:tcPr>
            <w:tcW w:w="5896" w:type="dxa"/>
            <w:noWrap/>
            <w:tcMar>
              <w:top w:w="0" w:type="dxa"/>
              <w:left w:w="70" w:type="dxa"/>
              <w:bottom w:w="0" w:type="dxa"/>
              <w:right w:w="70" w:type="dxa"/>
            </w:tcMar>
          </w:tcPr>
          <w:p w:rsidRPr="00E0268A" w:rsidR="00E0268A" w:rsidP="00E0268A" w:rsidRDefault="00E0268A">
            <w:pPr>
              <w:spacing w:after="0"/>
              <w:rPr>
                <w:rFonts w:asciiTheme="majorHAnsi" w:hAnsiTheme="majorHAnsi"/>
                <w:szCs w:val="18"/>
              </w:rPr>
            </w:pPr>
            <w:r w:rsidRPr="00E0268A">
              <w:rPr>
                <w:rFonts w:asciiTheme="majorHAnsi" w:hAnsiTheme="majorHAnsi"/>
                <w:szCs w:val="18"/>
              </w:rPr>
              <w:t>Grip op het tweede spoor experimenten</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5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10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15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15 </w:t>
            </w:r>
          </w:p>
        </w:tc>
      </w:tr>
      <w:tr w:rsidRPr="00E0268A" w:rsidR="00E0268A" w:rsidTr="00A92162">
        <w:trPr>
          <w:trHeight w:val="210"/>
          <w:jc w:val="center"/>
        </w:trPr>
        <w:tc>
          <w:tcPr>
            <w:tcW w:w="5896" w:type="dxa"/>
            <w:noWrap/>
            <w:tcMar>
              <w:top w:w="0" w:type="dxa"/>
              <w:left w:w="70" w:type="dxa"/>
              <w:bottom w:w="0" w:type="dxa"/>
              <w:right w:w="70" w:type="dxa"/>
            </w:tcMar>
          </w:tcPr>
          <w:p w:rsidRPr="00E0268A" w:rsidR="00E0268A" w:rsidP="00E0268A" w:rsidRDefault="00E0268A">
            <w:pPr>
              <w:spacing w:after="0"/>
              <w:rPr>
                <w:rFonts w:asciiTheme="majorHAnsi" w:hAnsiTheme="majorHAnsi"/>
                <w:szCs w:val="18"/>
              </w:rPr>
            </w:pPr>
            <w:r w:rsidRPr="00E0268A">
              <w:rPr>
                <w:rFonts w:asciiTheme="majorHAnsi" w:hAnsiTheme="majorHAnsi"/>
                <w:szCs w:val="18"/>
              </w:rPr>
              <w:t>Kwaliteitsimpuls bedrijfsarts &amp; verzekeringsarts</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3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3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3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r>
      <w:tr w:rsidRPr="00E0268A" w:rsidR="00E0268A" w:rsidTr="00A92162">
        <w:trPr>
          <w:trHeight w:val="210"/>
          <w:jc w:val="center"/>
        </w:trPr>
        <w:tc>
          <w:tcPr>
            <w:tcW w:w="5896" w:type="dxa"/>
            <w:noWrap/>
            <w:tcMar>
              <w:top w:w="0" w:type="dxa"/>
              <w:left w:w="70" w:type="dxa"/>
              <w:bottom w:w="0" w:type="dxa"/>
              <w:right w:w="70" w:type="dxa"/>
            </w:tcMar>
          </w:tcPr>
          <w:p w:rsidRPr="00E0268A" w:rsidR="00E0268A" w:rsidP="00E0268A" w:rsidRDefault="00E0268A">
            <w:pPr>
              <w:spacing w:after="0"/>
              <w:rPr>
                <w:rFonts w:asciiTheme="majorHAnsi" w:hAnsiTheme="majorHAnsi"/>
                <w:szCs w:val="18"/>
              </w:rPr>
            </w:pPr>
            <w:r w:rsidRPr="00E0268A">
              <w:rPr>
                <w:rFonts w:asciiTheme="majorHAnsi" w:hAnsiTheme="majorHAnsi"/>
                <w:szCs w:val="18"/>
              </w:rPr>
              <w:t>Landelijk uniforme werkwijze RIV-toets</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r>
      <w:tr w:rsidRPr="00E0268A" w:rsidR="00E0268A" w:rsidTr="00A92162">
        <w:trPr>
          <w:trHeight w:val="210"/>
          <w:jc w:val="center"/>
        </w:trPr>
        <w:tc>
          <w:tcPr>
            <w:tcW w:w="5896" w:type="dxa"/>
            <w:noWrap/>
            <w:tcMar>
              <w:top w:w="0" w:type="dxa"/>
              <w:left w:w="70" w:type="dxa"/>
              <w:bottom w:w="0" w:type="dxa"/>
              <w:right w:w="70" w:type="dxa"/>
            </w:tcMar>
          </w:tcPr>
          <w:p w:rsidRPr="00E0268A" w:rsidR="00E0268A" w:rsidP="00E0268A" w:rsidRDefault="00E0268A">
            <w:pPr>
              <w:spacing w:after="0"/>
              <w:rPr>
                <w:rFonts w:asciiTheme="majorHAnsi" w:hAnsiTheme="majorHAnsi"/>
                <w:szCs w:val="18"/>
              </w:rPr>
            </w:pPr>
            <w:r w:rsidRPr="00E0268A">
              <w:rPr>
                <w:rFonts w:asciiTheme="majorHAnsi" w:hAnsiTheme="majorHAnsi"/>
                <w:szCs w:val="18"/>
              </w:rPr>
              <w:t>Medisch advies bedrijfsarts leidend bij RIV-toets</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4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8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12 </w:t>
            </w:r>
          </w:p>
        </w:tc>
      </w:tr>
      <w:tr w:rsidRPr="00E0268A" w:rsidR="00E0268A" w:rsidTr="00A92162">
        <w:trPr>
          <w:trHeight w:val="210"/>
          <w:jc w:val="center"/>
        </w:trPr>
        <w:tc>
          <w:tcPr>
            <w:tcW w:w="5896" w:type="dxa"/>
            <w:noWrap/>
            <w:tcMar>
              <w:top w:w="0" w:type="dxa"/>
              <w:left w:w="70" w:type="dxa"/>
              <w:bottom w:w="0" w:type="dxa"/>
              <w:right w:w="70" w:type="dxa"/>
            </w:tcMar>
          </w:tcPr>
          <w:p w:rsidRPr="00E0268A" w:rsidR="00E0268A" w:rsidP="00E0268A" w:rsidRDefault="00E0268A">
            <w:pPr>
              <w:spacing w:after="0"/>
              <w:rPr>
                <w:rFonts w:asciiTheme="majorHAnsi" w:hAnsiTheme="majorHAnsi"/>
                <w:szCs w:val="18"/>
              </w:rPr>
            </w:pPr>
            <w:r w:rsidRPr="00E0268A">
              <w:rPr>
                <w:rFonts w:asciiTheme="majorHAnsi" w:hAnsiTheme="majorHAnsi"/>
                <w:szCs w:val="18"/>
              </w:rPr>
              <w:t>MKB-verzuim-</w:t>
            </w:r>
            <w:proofErr w:type="spellStart"/>
            <w:r w:rsidRPr="00E0268A">
              <w:rPr>
                <w:rFonts w:asciiTheme="majorHAnsi" w:hAnsiTheme="majorHAnsi"/>
                <w:szCs w:val="18"/>
              </w:rPr>
              <w:t>ontzorg</w:t>
            </w:r>
            <w:proofErr w:type="spellEnd"/>
            <w:r w:rsidRPr="00E0268A">
              <w:rPr>
                <w:rFonts w:asciiTheme="majorHAnsi" w:hAnsiTheme="majorHAnsi"/>
                <w:szCs w:val="18"/>
              </w:rPr>
              <w:t>-verzekering</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r>
      <w:tr w:rsidRPr="00E0268A" w:rsidR="00E0268A" w:rsidTr="00A92162">
        <w:trPr>
          <w:trHeight w:val="210"/>
          <w:jc w:val="center"/>
        </w:trPr>
        <w:tc>
          <w:tcPr>
            <w:tcW w:w="5896" w:type="dxa"/>
            <w:noWrap/>
            <w:tcMar>
              <w:top w:w="0" w:type="dxa"/>
              <w:left w:w="70" w:type="dxa"/>
              <w:bottom w:w="0" w:type="dxa"/>
              <w:right w:w="70" w:type="dxa"/>
            </w:tcMar>
          </w:tcPr>
          <w:p w:rsidRPr="00E0268A" w:rsidR="00E0268A" w:rsidP="00E0268A" w:rsidRDefault="00E0268A">
            <w:pPr>
              <w:spacing w:after="0"/>
              <w:rPr>
                <w:rFonts w:asciiTheme="majorHAnsi" w:hAnsiTheme="majorHAnsi"/>
                <w:szCs w:val="18"/>
              </w:rPr>
            </w:pPr>
            <w:r w:rsidRPr="00E0268A">
              <w:rPr>
                <w:rFonts w:asciiTheme="majorHAnsi" w:hAnsiTheme="majorHAnsi"/>
                <w:szCs w:val="18"/>
              </w:rPr>
              <w:t>Transparantiebudget loondoorbetaling</w:t>
            </w:r>
          </w:p>
        </w:tc>
        <w:tc>
          <w:tcPr>
            <w:tcW w:w="458" w:type="dxa"/>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2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1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r w:rsidRPr="00E0268A">
              <w:rPr>
                <w:rFonts w:asciiTheme="majorHAnsi" w:hAnsiTheme="majorHAnsi"/>
                <w:szCs w:val="18"/>
              </w:rPr>
              <w:t xml:space="preserve"> -   </w:t>
            </w:r>
          </w:p>
        </w:tc>
      </w:tr>
      <w:tr w:rsidRPr="00E0268A" w:rsidR="00E0268A" w:rsidTr="00A92162">
        <w:trPr>
          <w:trHeight w:val="210"/>
          <w:jc w:val="center"/>
        </w:trPr>
        <w:tc>
          <w:tcPr>
            <w:tcW w:w="5896" w:type="dxa"/>
            <w:noWrap/>
            <w:tcMar>
              <w:top w:w="0" w:type="dxa"/>
              <w:left w:w="70" w:type="dxa"/>
              <w:bottom w:w="0" w:type="dxa"/>
              <w:right w:w="70" w:type="dxa"/>
            </w:tcMar>
          </w:tcPr>
          <w:p w:rsidRPr="00E0268A" w:rsidR="00E0268A" w:rsidP="00E0268A" w:rsidRDefault="00E0268A">
            <w:pPr>
              <w:spacing w:after="0"/>
              <w:rPr>
                <w:rFonts w:asciiTheme="majorHAnsi" w:hAnsiTheme="majorHAnsi"/>
                <w:szCs w:val="18"/>
              </w:rPr>
            </w:pPr>
          </w:p>
        </w:tc>
        <w:tc>
          <w:tcPr>
            <w:tcW w:w="458" w:type="dxa"/>
          </w:tcPr>
          <w:p w:rsidRPr="00E0268A" w:rsidR="00E0268A" w:rsidP="00FB05A0" w:rsidRDefault="00E0268A">
            <w:pPr>
              <w:spacing w:after="0"/>
              <w:jc w:val="right"/>
              <w:rPr>
                <w:rFonts w:asciiTheme="majorHAnsi" w:hAnsiTheme="majorHAnsi"/>
                <w:szCs w:val="18"/>
              </w:rPr>
            </w:pP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p>
        </w:tc>
        <w:tc>
          <w:tcPr>
            <w:tcW w:w="680" w:type="dxa"/>
            <w:noWrap/>
            <w:tcMar>
              <w:top w:w="0" w:type="dxa"/>
              <w:left w:w="70" w:type="dxa"/>
              <w:bottom w:w="0" w:type="dxa"/>
              <w:right w:w="70" w:type="dxa"/>
            </w:tcMar>
          </w:tcPr>
          <w:p w:rsidRPr="00E0268A" w:rsidR="00E0268A" w:rsidP="00FB05A0" w:rsidRDefault="00E0268A">
            <w:pPr>
              <w:spacing w:after="0"/>
              <w:jc w:val="right"/>
              <w:rPr>
                <w:rFonts w:asciiTheme="majorHAnsi" w:hAnsiTheme="majorHAnsi"/>
                <w:szCs w:val="18"/>
              </w:rPr>
            </w:pPr>
          </w:p>
        </w:tc>
      </w:tr>
      <w:tr w:rsidRPr="00E0268A" w:rsidR="00E0268A" w:rsidTr="00205986">
        <w:trPr>
          <w:trHeight w:val="210"/>
          <w:jc w:val="center"/>
        </w:trPr>
        <w:tc>
          <w:tcPr>
            <w:tcW w:w="5896" w:type="dxa"/>
            <w:tcBorders>
              <w:top w:val="nil"/>
              <w:left w:val="nil"/>
              <w:bottom w:val="nil"/>
              <w:right w:val="nil"/>
            </w:tcBorders>
            <w:tcMar>
              <w:top w:w="0" w:type="dxa"/>
              <w:left w:w="70" w:type="dxa"/>
              <w:bottom w:w="0" w:type="dxa"/>
              <w:right w:w="70" w:type="dxa"/>
            </w:tcMar>
            <w:vAlign w:val="center"/>
          </w:tcPr>
          <w:p w:rsidRPr="00E0268A" w:rsidR="00E0268A" w:rsidP="00E0268A" w:rsidRDefault="00E0268A">
            <w:pPr>
              <w:spacing w:after="0"/>
              <w:rPr>
                <w:rFonts w:asciiTheme="majorHAnsi" w:hAnsiTheme="majorHAnsi"/>
                <w:b/>
                <w:szCs w:val="18"/>
              </w:rPr>
            </w:pPr>
            <w:r w:rsidRPr="00E0268A">
              <w:rPr>
                <w:rFonts w:asciiTheme="majorHAnsi" w:hAnsiTheme="majorHAnsi"/>
                <w:b/>
                <w:szCs w:val="18"/>
              </w:rPr>
              <w:t>Totaal</w:t>
            </w:r>
          </w:p>
        </w:tc>
        <w:tc>
          <w:tcPr>
            <w:tcW w:w="458" w:type="dxa"/>
            <w:tcBorders>
              <w:top w:val="nil"/>
              <w:left w:val="nil"/>
              <w:bottom w:val="nil"/>
              <w:right w:val="nil"/>
            </w:tcBorders>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1 </w:t>
            </w:r>
          </w:p>
        </w:tc>
        <w:tc>
          <w:tcPr>
            <w:tcW w:w="680" w:type="dxa"/>
            <w:tcBorders>
              <w:top w:val="nil"/>
              <w:left w:val="nil"/>
              <w:bottom w:val="nil"/>
              <w:right w:val="nil"/>
            </w:tcBorders>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3 </w:t>
            </w:r>
          </w:p>
        </w:tc>
        <w:tc>
          <w:tcPr>
            <w:tcW w:w="680" w:type="dxa"/>
            <w:tcBorders>
              <w:top w:val="nil"/>
              <w:left w:val="nil"/>
              <w:bottom w:val="nil"/>
              <w:right w:val="nil"/>
            </w:tcBorders>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-198 </w:t>
            </w:r>
          </w:p>
        </w:tc>
        <w:tc>
          <w:tcPr>
            <w:tcW w:w="680" w:type="dxa"/>
            <w:tcBorders>
              <w:top w:val="nil"/>
              <w:left w:val="nil"/>
              <w:bottom w:val="nil"/>
              <w:right w:val="nil"/>
            </w:tcBorders>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-269 </w:t>
            </w:r>
          </w:p>
        </w:tc>
        <w:tc>
          <w:tcPr>
            <w:tcW w:w="680" w:type="dxa"/>
            <w:tcBorders>
              <w:top w:val="nil"/>
              <w:left w:val="nil"/>
              <w:bottom w:val="nil"/>
              <w:right w:val="nil"/>
            </w:tcBorders>
            <w:noWrap/>
            <w:tcMar>
              <w:top w:w="0" w:type="dxa"/>
              <w:left w:w="70" w:type="dxa"/>
              <w:bottom w:w="0" w:type="dxa"/>
              <w:right w:w="70" w:type="dxa"/>
            </w:tcMar>
          </w:tcPr>
          <w:p w:rsidRPr="00E0268A" w:rsidR="00E0268A" w:rsidP="00FB05A0" w:rsidRDefault="00E0268A">
            <w:pPr>
              <w:spacing w:after="0"/>
              <w:jc w:val="right"/>
              <w:rPr>
                <w:rFonts w:asciiTheme="majorHAnsi" w:hAnsiTheme="majorHAnsi"/>
                <w:b/>
                <w:szCs w:val="18"/>
              </w:rPr>
            </w:pPr>
            <w:r w:rsidRPr="00E0268A">
              <w:rPr>
                <w:rFonts w:asciiTheme="majorHAnsi" w:hAnsiTheme="majorHAnsi"/>
                <w:b/>
                <w:szCs w:val="18"/>
              </w:rPr>
              <w:t xml:space="preserve"> -266 </w:t>
            </w:r>
          </w:p>
        </w:tc>
      </w:tr>
      <w:tr w:rsidRPr="00E0268A" w:rsidR="00850C51" w:rsidTr="00205986">
        <w:trPr>
          <w:trHeight w:val="210"/>
          <w:jc w:val="center"/>
        </w:trPr>
        <w:tc>
          <w:tcPr>
            <w:tcW w:w="5896" w:type="dxa"/>
            <w:tcBorders>
              <w:top w:val="nil"/>
              <w:left w:val="nil"/>
              <w:bottom w:val="nil"/>
              <w:right w:val="nil"/>
            </w:tcBorders>
            <w:tcMar>
              <w:top w:w="0" w:type="dxa"/>
              <w:left w:w="70" w:type="dxa"/>
              <w:bottom w:w="0" w:type="dxa"/>
              <w:right w:w="70" w:type="dxa"/>
            </w:tcMar>
          </w:tcPr>
          <w:p w:rsidRPr="00E0268A" w:rsidR="00850C51" w:rsidP="00850C51" w:rsidRDefault="00850C51">
            <w:pPr>
              <w:spacing w:after="0"/>
              <w:rPr>
                <w:rFonts w:asciiTheme="majorHAnsi" w:hAnsiTheme="majorHAnsi"/>
                <w:b/>
                <w:szCs w:val="18"/>
              </w:rPr>
            </w:pPr>
            <w:r w:rsidRPr="00C2696E">
              <w:t>Waarvan Hoofdstuk XV</w:t>
            </w:r>
          </w:p>
        </w:tc>
        <w:tc>
          <w:tcPr>
            <w:tcW w:w="458" w:type="dxa"/>
            <w:tcBorders>
              <w:top w:val="nil"/>
              <w:left w:val="nil"/>
              <w:bottom w:val="nil"/>
              <w:right w:val="nil"/>
            </w:tcBorders>
          </w:tcPr>
          <w:p w:rsidRPr="00E0268A" w:rsidR="00850C51" w:rsidP="00FB05A0" w:rsidRDefault="00850C51">
            <w:pPr>
              <w:spacing w:after="0"/>
              <w:jc w:val="right"/>
              <w:rPr>
                <w:rFonts w:asciiTheme="majorHAnsi" w:hAnsiTheme="majorHAnsi"/>
                <w:b/>
                <w:szCs w:val="18"/>
              </w:rPr>
            </w:pPr>
            <w:r w:rsidRPr="00C2696E">
              <w:t>5</w:t>
            </w:r>
          </w:p>
        </w:tc>
        <w:tc>
          <w:tcPr>
            <w:tcW w:w="680" w:type="dxa"/>
            <w:tcBorders>
              <w:top w:val="nil"/>
              <w:left w:val="nil"/>
              <w:bottom w:val="nil"/>
              <w:right w:val="nil"/>
            </w:tcBorders>
            <w:noWrap/>
            <w:tcMar>
              <w:top w:w="0" w:type="dxa"/>
              <w:left w:w="70" w:type="dxa"/>
              <w:bottom w:w="0" w:type="dxa"/>
              <w:right w:w="70" w:type="dxa"/>
            </w:tcMar>
          </w:tcPr>
          <w:p w:rsidRPr="00E0268A" w:rsidR="00850C51" w:rsidP="00FB05A0" w:rsidRDefault="00850C51">
            <w:pPr>
              <w:spacing w:after="0"/>
              <w:jc w:val="right"/>
              <w:rPr>
                <w:rFonts w:asciiTheme="majorHAnsi" w:hAnsiTheme="majorHAnsi"/>
                <w:b/>
                <w:szCs w:val="18"/>
              </w:rPr>
            </w:pPr>
            <w:r w:rsidRPr="00C2696E">
              <w:t>8</w:t>
            </w:r>
          </w:p>
        </w:tc>
        <w:tc>
          <w:tcPr>
            <w:tcW w:w="680" w:type="dxa"/>
            <w:tcBorders>
              <w:top w:val="nil"/>
              <w:left w:val="nil"/>
              <w:bottom w:val="nil"/>
              <w:right w:val="nil"/>
            </w:tcBorders>
            <w:noWrap/>
            <w:tcMar>
              <w:top w:w="0" w:type="dxa"/>
              <w:left w:w="70" w:type="dxa"/>
              <w:bottom w:w="0" w:type="dxa"/>
              <w:right w:w="70" w:type="dxa"/>
            </w:tcMar>
          </w:tcPr>
          <w:p w:rsidRPr="00E0268A" w:rsidR="00850C51" w:rsidP="00FB05A0" w:rsidRDefault="00850C51">
            <w:pPr>
              <w:spacing w:after="0"/>
              <w:jc w:val="right"/>
              <w:rPr>
                <w:rFonts w:asciiTheme="majorHAnsi" w:hAnsiTheme="majorHAnsi"/>
                <w:b/>
                <w:szCs w:val="18"/>
              </w:rPr>
            </w:pPr>
            <w:r w:rsidRPr="00C2696E">
              <w:t>-208</w:t>
            </w:r>
          </w:p>
        </w:tc>
        <w:tc>
          <w:tcPr>
            <w:tcW w:w="680" w:type="dxa"/>
            <w:tcBorders>
              <w:top w:val="nil"/>
              <w:left w:val="nil"/>
              <w:bottom w:val="nil"/>
              <w:right w:val="nil"/>
            </w:tcBorders>
            <w:noWrap/>
            <w:tcMar>
              <w:top w:w="0" w:type="dxa"/>
              <w:left w:w="70" w:type="dxa"/>
              <w:bottom w:w="0" w:type="dxa"/>
              <w:right w:w="70" w:type="dxa"/>
            </w:tcMar>
          </w:tcPr>
          <w:p w:rsidRPr="00E0268A" w:rsidR="00850C51" w:rsidP="00FB05A0" w:rsidRDefault="00850C51">
            <w:pPr>
              <w:spacing w:after="0"/>
              <w:jc w:val="right"/>
              <w:rPr>
                <w:rFonts w:asciiTheme="majorHAnsi" w:hAnsiTheme="majorHAnsi"/>
                <w:b/>
                <w:szCs w:val="18"/>
              </w:rPr>
            </w:pPr>
            <w:r w:rsidRPr="00C2696E">
              <w:t>-282</w:t>
            </w:r>
          </w:p>
        </w:tc>
        <w:tc>
          <w:tcPr>
            <w:tcW w:w="680" w:type="dxa"/>
            <w:tcBorders>
              <w:top w:val="nil"/>
              <w:left w:val="nil"/>
              <w:bottom w:val="nil"/>
              <w:right w:val="nil"/>
            </w:tcBorders>
            <w:noWrap/>
            <w:tcMar>
              <w:top w:w="0" w:type="dxa"/>
              <w:left w:w="70" w:type="dxa"/>
              <w:bottom w:w="0" w:type="dxa"/>
              <w:right w:w="70" w:type="dxa"/>
            </w:tcMar>
          </w:tcPr>
          <w:p w:rsidRPr="00E0268A" w:rsidR="00850C51" w:rsidP="00FB05A0" w:rsidRDefault="00850C51">
            <w:pPr>
              <w:spacing w:after="0"/>
              <w:jc w:val="right"/>
              <w:rPr>
                <w:rFonts w:asciiTheme="majorHAnsi" w:hAnsiTheme="majorHAnsi"/>
                <w:b/>
                <w:szCs w:val="18"/>
              </w:rPr>
            </w:pPr>
            <w:r w:rsidRPr="00C2696E">
              <w:t>-291</w:t>
            </w:r>
          </w:p>
        </w:tc>
      </w:tr>
      <w:tr w:rsidRPr="00E0268A" w:rsidR="00850C51" w:rsidTr="00205986">
        <w:trPr>
          <w:trHeight w:val="210"/>
          <w:jc w:val="center"/>
        </w:trPr>
        <w:tc>
          <w:tcPr>
            <w:tcW w:w="5896" w:type="dxa"/>
            <w:tcBorders>
              <w:top w:val="nil"/>
              <w:left w:val="nil"/>
              <w:bottom w:val="single" w:color="auto" w:sz="8" w:space="0"/>
              <w:right w:val="nil"/>
            </w:tcBorders>
            <w:tcMar>
              <w:top w:w="0" w:type="dxa"/>
              <w:left w:w="70" w:type="dxa"/>
              <w:bottom w:w="0" w:type="dxa"/>
              <w:right w:w="70" w:type="dxa"/>
            </w:tcMar>
          </w:tcPr>
          <w:p w:rsidRPr="00E0268A" w:rsidR="00850C51" w:rsidP="00850C51" w:rsidRDefault="00850C51">
            <w:pPr>
              <w:spacing w:after="0"/>
              <w:rPr>
                <w:rFonts w:asciiTheme="majorHAnsi" w:hAnsiTheme="majorHAnsi"/>
                <w:b/>
                <w:szCs w:val="18"/>
              </w:rPr>
            </w:pPr>
            <w:r w:rsidRPr="00C2696E">
              <w:t>Waarvan Hoofdstuk 40</w:t>
            </w:r>
          </w:p>
        </w:tc>
        <w:tc>
          <w:tcPr>
            <w:tcW w:w="458" w:type="dxa"/>
            <w:tcBorders>
              <w:top w:val="nil"/>
              <w:left w:val="nil"/>
              <w:bottom w:val="single" w:color="auto" w:sz="8" w:space="0"/>
              <w:right w:val="nil"/>
            </w:tcBorders>
          </w:tcPr>
          <w:p w:rsidRPr="00E0268A" w:rsidR="00850C51" w:rsidP="00FB05A0" w:rsidRDefault="00850C51">
            <w:pPr>
              <w:spacing w:after="0"/>
              <w:jc w:val="right"/>
              <w:rPr>
                <w:rFonts w:asciiTheme="majorHAnsi" w:hAnsiTheme="majorHAnsi"/>
                <w:b/>
                <w:szCs w:val="18"/>
              </w:rPr>
            </w:pPr>
            <w:r w:rsidRPr="00C2696E">
              <w:t>-4</w:t>
            </w:r>
          </w:p>
        </w:tc>
        <w:tc>
          <w:tcPr>
            <w:tcW w:w="680" w:type="dxa"/>
            <w:tcBorders>
              <w:top w:val="nil"/>
              <w:left w:val="nil"/>
              <w:bottom w:val="single" w:color="auto" w:sz="8" w:space="0"/>
              <w:right w:val="nil"/>
            </w:tcBorders>
            <w:noWrap/>
            <w:tcMar>
              <w:top w:w="0" w:type="dxa"/>
              <w:left w:w="70" w:type="dxa"/>
              <w:bottom w:w="0" w:type="dxa"/>
              <w:right w:w="70" w:type="dxa"/>
            </w:tcMar>
          </w:tcPr>
          <w:p w:rsidRPr="00E0268A" w:rsidR="00850C51" w:rsidP="00FB05A0" w:rsidRDefault="00850C51">
            <w:pPr>
              <w:spacing w:after="0"/>
              <w:jc w:val="right"/>
              <w:rPr>
                <w:rFonts w:asciiTheme="majorHAnsi" w:hAnsiTheme="majorHAnsi"/>
                <w:b/>
                <w:szCs w:val="18"/>
              </w:rPr>
            </w:pPr>
            <w:r w:rsidRPr="00C2696E">
              <w:t>-5</w:t>
            </w:r>
          </w:p>
        </w:tc>
        <w:tc>
          <w:tcPr>
            <w:tcW w:w="680" w:type="dxa"/>
            <w:tcBorders>
              <w:top w:val="nil"/>
              <w:left w:val="nil"/>
              <w:bottom w:val="single" w:color="auto" w:sz="8" w:space="0"/>
              <w:right w:val="nil"/>
            </w:tcBorders>
            <w:noWrap/>
            <w:tcMar>
              <w:top w:w="0" w:type="dxa"/>
              <w:left w:w="70" w:type="dxa"/>
              <w:bottom w:w="0" w:type="dxa"/>
              <w:right w:w="70" w:type="dxa"/>
            </w:tcMar>
          </w:tcPr>
          <w:p w:rsidRPr="00E0268A" w:rsidR="00850C51" w:rsidP="00FB05A0" w:rsidRDefault="00850C51">
            <w:pPr>
              <w:spacing w:after="0"/>
              <w:jc w:val="right"/>
              <w:rPr>
                <w:rFonts w:asciiTheme="majorHAnsi" w:hAnsiTheme="majorHAnsi"/>
                <w:b/>
                <w:szCs w:val="18"/>
              </w:rPr>
            </w:pPr>
            <w:r w:rsidRPr="00C2696E">
              <w:t>10</w:t>
            </w:r>
          </w:p>
        </w:tc>
        <w:tc>
          <w:tcPr>
            <w:tcW w:w="680" w:type="dxa"/>
            <w:tcBorders>
              <w:top w:val="nil"/>
              <w:left w:val="nil"/>
              <w:bottom w:val="single" w:color="auto" w:sz="8" w:space="0"/>
              <w:right w:val="nil"/>
            </w:tcBorders>
            <w:noWrap/>
            <w:tcMar>
              <w:top w:w="0" w:type="dxa"/>
              <w:left w:w="70" w:type="dxa"/>
              <w:bottom w:w="0" w:type="dxa"/>
              <w:right w:w="70" w:type="dxa"/>
            </w:tcMar>
          </w:tcPr>
          <w:p w:rsidRPr="00E0268A" w:rsidR="00850C51" w:rsidP="00FB05A0" w:rsidRDefault="00850C51">
            <w:pPr>
              <w:spacing w:after="0"/>
              <w:jc w:val="right"/>
              <w:rPr>
                <w:rFonts w:asciiTheme="majorHAnsi" w:hAnsiTheme="majorHAnsi"/>
                <w:b/>
                <w:szCs w:val="18"/>
              </w:rPr>
            </w:pPr>
            <w:r w:rsidRPr="00C2696E">
              <w:t>14</w:t>
            </w:r>
          </w:p>
        </w:tc>
        <w:tc>
          <w:tcPr>
            <w:tcW w:w="680" w:type="dxa"/>
            <w:tcBorders>
              <w:top w:val="nil"/>
              <w:left w:val="nil"/>
              <w:bottom w:val="single" w:color="auto" w:sz="8" w:space="0"/>
              <w:right w:val="nil"/>
            </w:tcBorders>
            <w:noWrap/>
            <w:tcMar>
              <w:top w:w="0" w:type="dxa"/>
              <w:left w:w="70" w:type="dxa"/>
              <w:bottom w:w="0" w:type="dxa"/>
              <w:right w:w="70" w:type="dxa"/>
            </w:tcMar>
          </w:tcPr>
          <w:p w:rsidRPr="00E0268A" w:rsidR="00850C51" w:rsidP="00FB05A0" w:rsidRDefault="00850C51">
            <w:pPr>
              <w:spacing w:after="0"/>
              <w:jc w:val="right"/>
              <w:rPr>
                <w:rFonts w:asciiTheme="majorHAnsi" w:hAnsiTheme="majorHAnsi"/>
                <w:b/>
                <w:szCs w:val="18"/>
              </w:rPr>
            </w:pPr>
            <w:r w:rsidRPr="00C2696E">
              <w:t xml:space="preserve">25 </w:t>
            </w:r>
          </w:p>
        </w:tc>
      </w:tr>
    </w:tbl>
    <w:p w:rsidRPr="00E0268A" w:rsidR="00E0268A" w:rsidP="00E0268A" w:rsidRDefault="00FB05A0">
      <w:pPr>
        <w:spacing w:after="0"/>
        <w:rPr>
          <w:rFonts w:asciiTheme="majorHAnsi" w:hAnsiTheme="majorHAnsi"/>
          <w:szCs w:val="18"/>
        </w:rPr>
      </w:pPr>
      <w:r>
        <w:rPr>
          <w:rFonts w:asciiTheme="majorHAnsi" w:hAnsiTheme="majorHAnsi"/>
          <w:szCs w:val="18"/>
        </w:rPr>
        <w:lastRenderedPageBreak/>
        <w:t>In het R</w:t>
      </w:r>
      <w:r w:rsidRPr="00E0268A" w:rsidR="00E0268A">
        <w:rPr>
          <w:rFonts w:asciiTheme="majorHAnsi" w:hAnsiTheme="majorHAnsi"/>
          <w:szCs w:val="18"/>
        </w:rPr>
        <w:t>egeerakkoord zijn afspraken opgenomen over loondoorbetaling bij ziekte en de WIA. Met deze maatregelen beoogde het kabinet de last te verminderen die werkgevers ervaren door de loondoorbetalingsverplichting en betere prikkels richting werk te introduceren in arbeidsongeschiktheidsregelingen. Sociale partners werden uitgenodigd om binnen de budgettaire kaders met werkbare alternatieven voor deze maatregelen te komen. In december 2018 is de Tweede Kamer middels twee brieven geïnformeerd over een nieuw pakket aan maatregelen (Kamerstukken II, 2018/19, 29544 nr. 873 en Kamerstukken II, 2018/19, 32716 nr. 37).</w:t>
      </w:r>
    </w:p>
    <w:p w:rsidR="00E0268A" w:rsidP="00E0268A" w:rsidRDefault="00E0268A">
      <w:pPr>
        <w:spacing w:after="0"/>
        <w:rPr>
          <w:rFonts w:asciiTheme="majorHAnsi" w:hAnsiTheme="majorHAnsi"/>
          <w:szCs w:val="18"/>
        </w:rPr>
      </w:pPr>
      <w:r w:rsidRPr="00E0268A">
        <w:rPr>
          <w:rFonts w:asciiTheme="majorHAnsi" w:hAnsiTheme="majorHAnsi"/>
          <w:szCs w:val="18"/>
        </w:rPr>
        <w:t>Het nieuwe pakket maatregelen rondom loondoorbetaling bij ziekte heeft het kabinet ert</w:t>
      </w:r>
      <w:r w:rsidR="002B1507">
        <w:rPr>
          <w:rFonts w:asciiTheme="majorHAnsi" w:hAnsiTheme="majorHAnsi"/>
          <w:szCs w:val="18"/>
        </w:rPr>
        <w:t>oe gebracht om de balans in de R</w:t>
      </w:r>
      <w:r w:rsidRPr="00E0268A">
        <w:rPr>
          <w:rFonts w:asciiTheme="majorHAnsi" w:hAnsiTheme="majorHAnsi"/>
          <w:szCs w:val="18"/>
        </w:rPr>
        <w:t>egeerakkoordmaatregelen opnieuw te bezien. Daarbij is ook meegenomen dat de verwachte instroom in de WIA lager is door de nieuwe afspraken op het gebied van loondoorbetaling bij ziekte.</w:t>
      </w:r>
    </w:p>
    <w:p w:rsidRPr="00E0268A" w:rsidR="00E0268A" w:rsidP="00E0268A" w:rsidRDefault="00E0268A">
      <w:pPr>
        <w:spacing w:after="0"/>
        <w:rPr>
          <w:rFonts w:asciiTheme="majorHAnsi" w:hAnsiTheme="majorHAnsi"/>
          <w:szCs w:val="18"/>
        </w:rPr>
      </w:pPr>
    </w:p>
    <w:p w:rsidR="00403FED" w:rsidP="00E0268A" w:rsidRDefault="00E0268A">
      <w:pPr>
        <w:spacing w:after="0"/>
        <w:rPr>
          <w:rFonts w:asciiTheme="majorHAnsi" w:hAnsiTheme="majorHAnsi"/>
          <w:b/>
          <w:szCs w:val="18"/>
        </w:rPr>
      </w:pPr>
      <w:r w:rsidRPr="00E0268A">
        <w:rPr>
          <w:rFonts w:asciiTheme="majorHAnsi" w:hAnsiTheme="majorHAnsi"/>
          <w:szCs w:val="18"/>
        </w:rPr>
        <w:t>De nieuwe maatregelen op het terrein van loondoorbetaling bij ziekte en WIA leiden tot bovenstaande verschuivingen in het budgettaire beeld. De premiekorting bij loondoorbetaling valt niet onder het uitgavenplafond Sociale Zekerheid en ontbreekt dus ook in bovenstaande tabel. In de tweede helft van 2019 wordt het bijbehorende wetsvoorstel aan de Tweede Kamer gestuurd.</w:t>
      </w:r>
      <w:r w:rsidR="00403FED">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746A72" w:rsidR="00746A72" w:rsidTr="00746A72">
        <w:trPr>
          <w:trHeight w:val="225"/>
        </w:trPr>
        <w:tc>
          <w:tcPr>
            <w:tcW w:w="10860" w:type="dxa"/>
            <w:gridSpan w:val="7"/>
            <w:tcBorders>
              <w:top w:val="nil"/>
              <w:left w:val="nil"/>
              <w:bottom w:val="nil"/>
              <w:right w:val="nil"/>
            </w:tcBorders>
            <w:shd w:val="clear" w:color="auto" w:fill="auto"/>
            <w:hideMark/>
          </w:tcPr>
          <w:p w:rsidRPr="00746A72" w:rsidR="00746A72" w:rsidP="00746A72" w:rsidRDefault="00B76E9E">
            <w:pPr>
              <w:spacing w:after="0" w:line="240" w:lineRule="auto"/>
              <w:rPr>
                <w:rFonts w:eastAsia="Times New Roman" w:cs="Times New Roman"/>
                <w:b/>
                <w:bCs/>
                <w:color w:val="000000"/>
                <w:szCs w:val="18"/>
                <w:lang w:eastAsia="nl-NL"/>
              </w:rPr>
            </w:pPr>
            <w:r>
              <w:rPr>
                <w:rFonts w:eastAsia="Times New Roman" w:cs="Times New Roman"/>
                <w:b/>
                <w:bCs/>
                <w:color w:val="000000"/>
                <w:szCs w:val="18"/>
                <w:lang w:eastAsia="nl-NL"/>
              </w:rPr>
              <w:lastRenderedPageBreak/>
              <w:t xml:space="preserve">Deelplafond </w:t>
            </w:r>
            <w:r w:rsidRPr="00746A72" w:rsidR="00746A72">
              <w:rPr>
                <w:rFonts w:eastAsia="Times New Roman" w:cs="Times New Roman"/>
                <w:b/>
                <w:bCs/>
                <w:color w:val="000000"/>
                <w:szCs w:val="18"/>
                <w:lang w:eastAsia="nl-NL"/>
              </w:rPr>
              <w:t>Zorg</w:t>
            </w:r>
          </w:p>
        </w:tc>
      </w:tr>
      <w:tr w:rsidRPr="00746A72" w:rsidR="00746A72" w:rsidTr="00746A72">
        <w:trPr>
          <w:trHeight w:val="240"/>
        </w:trPr>
        <w:tc>
          <w:tcPr>
            <w:tcW w:w="10860" w:type="dxa"/>
            <w:gridSpan w:val="7"/>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ZORG: UITGAVEN</w:t>
            </w:r>
          </w:p>
        </w:tc>
      </w:tr>
      <w:tr w:rsidRPr="00746A72" w:rsidR="00746A72" w:rsidTr="00746A72">
        <w:trPr>
          <w:trHeight w:val="315"/>
        </w:trPr>
        <w:tc>
          <w:tcPr>
            <w:tcW w:w="43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Miljoenennota 2019</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76.421,0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80.723,6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84.975,4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89.345,6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94.676,5</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Genees- en hulpmiddelen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-119,9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-119,9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-119,9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-119,9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-119,9</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Grensoverschrijdende zorg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-47,0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-47,0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-47,0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-47,0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-47,0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Jeugdhulp</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350,0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290,0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Overig eerstelijnszorg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-99,2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-99,2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-99,2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-99,2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-99,2</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Persoonsgebonden budgetten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-61,0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-61,0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-61,0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-61,0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-61,0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Ramingsbijstelling opleidingen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-225,0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-176,3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-86,3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-150,0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Wlz buiten contracteerruimte</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33,4</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Zorg in natura</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-67,3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-67,4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-67,4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-67,4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-67,4</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-16,7</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-16,6</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-252,7</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-364,0</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-174,0</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-337,7</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-487,7</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proofErr w:type="spellStart"/>
            <w:r w:rsidRPr="00746A72">
              <w:rPr>
                <w:rFonts w:eastAsia="Times New Roman" w:cs="Times New Roman"/>
                <w:color w:val="000000"/>
                <w:szCs w:val="18"/>
                <w:lang w:eastAsia="nl-NL"/>
              </w:rPr>
              <w:t>Ambulantisering</w:t>
            </w:r>
            <w:proofErr w:type="spellEnd"/>
            <w:r w:rsidRPr="00746A72">
              <w:rPr>
                <w:rFonts w:eastAsia="Times New Roman" w:cs="Times New Roman"/>
                <w:color w:val="000000"/>
                <w:szCs w:val="18"/>
                <w:lang w:eastAsia="nl-NL"/>
              </w:rPr>
              <w:t xml:space="preserve"> ggz-domein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Kasschuif sectorplanplus</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-55,4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3,7</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55,0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 xml:space="preserve">Nominaal en onverdeeld </w:t>
            </w:r>
            <w:proofErr w:type="spellStart"/>
            <w:r w:rsidRPr="00746A72">
              <w:rPr>
                <w:rFonts w:eastAsia="Times New Roman" w:cs="Times New Roman"/>
                <w:color w:val="000000"/>
                <w:szCs w:val="18"/>
                <w:lang w:eastAsia="nl-NL"/>
              </w:rPr>
              <w:t>zvw</w:t>
            </w:r>
            <w:proofErr w:type="spellEnd"/>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-72,0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-83,4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-71,6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-63,0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Ramingsbijstelling geneesmiddelen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-120,0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-230,0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 xml:space="preserve">Ramingsbijstelling </w:t>
            </w:r>
            <w:proofErr w:type="spellStart"/>
            <w:r w:rsidRPr="00746A72">
              <w:rPr>
                <w:rFonts w:eastAsia="Times New Roman" w:cs="Times New Roman"/>
                <w:color w:val="000000"/>
                <w:szCs w:val="18"/>
                <w:lang w:eastAsia="nl-NL"/>
              </w:rPr>
              <w:t>wlz</w:t>
            </w:r>
            <w:proofErr w:type="spellEnd"/>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-37,3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-53,4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-101,6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-110,9</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4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13,8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78,8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63,9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60,3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-220,9</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-76,4</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-256,2</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-227,9</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-283,9</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Jeugdhulp</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-350,0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-290,0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45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 xml:space="preserve">Loon- en prijsbijstelling 2019 </w:t>
            </w:r>
            <w:proofErr w:type="spellStart"/>
            <w:r w:rsidRPr="00746A72">
              <w:rPr>
                <w:rFonts w:eastAsia="Times New Roman" w:cs="Times New Roman"/>
                <w:color w:val="000000"/>
                <w:szCs w:val="18"/>
                <w:lang w:eastAsia="nl-NL"/>
              </w:rPr>
              <w:t>wmo</w:t>
            </w:r>
            <w:proofErr w:type="spellEnd"/>
            <w:r w:rsidRPr="00746A72">
              <w:rPr>
                <w:rFonts w:eastAsia="Times New Roman" w:cs="Times New Roman"/>
                <w:color w:val="000000"/>
                <w:szCs w:val="18"/>
                <w:lang w:eastAsia="nl-NL"/>
              </w:rPr>
              <w:t>/jeugd</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-187,3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-187,7</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-190,1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-190,0</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-189,9</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Loon- en prijsontwikkeling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-79,2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-1.125,4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-1.560,1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-2.226,4</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-2.886,5</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Middelen voorwaardelijke toelating</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-19,2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-38,2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-57,2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-70,2</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-39,9</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-112,6</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-92,2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-90,1</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-93,5</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-658,6</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-1.634,9</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-2.170,6</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-2.753,7</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-3.240,1</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-1.132,2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-2.075,3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-2.600,7</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-3.319,3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-4.011,7</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75.288,8</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78.648,3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82.374,8</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86.026,3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90.664,8</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240"/>
        </w:trPr>
        <w:tc>
          <w:tcPr>
            <w:tcW w:w="10860" w:type="dxa"/>
            <w:gridSpan w:val="7"/>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ZORG: NIET-BELASTINGONTVANGSTEN</w:t>
            </w:r>
          </w:p>
        </w:tc>
      </w:tr>
      <w:tr w:rsidRPr="00746A72" w:rsidR="00746A72" w:rsidTr="00746A72">
        <w:trPr>
          <w:trHeight w:val="315"/>
        </w:trPr>
        <w:tc>
          <w:tcPr>
            <w:tcW w:w="43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Miljoenennota 2019</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4.983,2</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5.094,8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5.209,8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5.428,8</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5.723,6</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Mee- en tegenvallers</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r w:rsidRPr="00746A72">
              <w:rPr>
                <w:rFonts w:eastAsia="Times New Roman" w:cs="Times New Roman"/>
                <w:color w:val="000000"/>
                <w:szCs w:val="18"/>
                <w:lang w:eastAsia="nl-NL"/>
              </w:rPr>
              <w:t>Zorg</w:t>
            </w: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ind w:firstLine="360" w:firstLineChars="200"/>
              <w:rPr>
                <w:rFonts w:eastAsia="Times New Roman" w:cs="Times New Roman"/>
                <w:color w:val="000000"/>
                <w:szCs w:val="18"/>
                <w:lang w:eastAsia="nl-NL"/>
              </w:rPr>
            </w:pPr>
            <w:r w:rsidRPr="00746A72">
              <w:rPr>
                <w:rFonts w:eastAsia="Times New Roman" w:cs="Times New Roman"/>
                <w:color w:val="000000"/>
                <w:szCs w:val="18"/>
                <w:lang w:eastAsia="nl-NL"/>
              </w:rPr>
              <w:t xml:space="preserve">Bijstelling eigen bijdrage </w:t>
            </w:r>
            <w:proofErr w:type="spellStart"/>
            <w:r w:rsidRPr="00746A72">
              <w:rPr>
                <w:rFonts w:eastAsia="Times New Roman" w:cs="Times New Roman"/>
                <w:color w:val="000000"/>
                <w:szCs w:val="18"/>
                <w:lang w:eastAsia="nl-NL"/>
              </w:rPr>
              <w:t>wlz</w:t>
            </w:r>
            <w:proofErr w:type="spellEnd"/>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225"/>
        </w:trPr>
        <w:tc>
          <w:tcPr>
            <w:tcW w:w="43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rPr>
                <w:rFonts w:ascii="Times New Roman" w:hAnsi="Times New Roman" w:eastAsia="Times New Roman" w:cs="Times New Roman"/>
                <w:sz w:val="20"/>
                <w:szCs w:val="20"/>
                <w:lang w:eastAsia="nl-NL"/>
              </w:rPr>
            </w:pPr>
          </w:p>
        </w:tc>
      </w:tr>
      <w:tr w:rsidRPr="00746A72" w:rsidR="00746A72" w:rsidTr="00746A72">
        <w:trPr>
          <w:trHeight w:val="315"/>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60" w:type="dxa"/>
            <w:tcBorders>
              <w:top w:val="nil"/>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-25,3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r w:rsidRPr="00746A72" w:rsidR="00746A72" w:rsidTr="00746A72">
        <w:trPr>
          <w:trHeight w:val="300"/>
        </w:trPr>
        <w:tc>
          <w:tcPr>
            <w:tcW w:w="4360" w:type="dxa"/>
            <w:tcBorders>
              <w:top w:val="nil"/>
              <w:left w:val="nil"/>
              <w:bottom w:val="nil"/>
              <w:right w:val="nil"/>
            </w:tcBorders>
            <w:shd w:val="clear" w:color="auto" w:fill="auto"/>
            <w:hideMark/>
          </w:tcPr>
          <w:p w:rsidRPr="00746A72" w:rsidR="00746A72" w:rsidP="00746A72" w:rsidRDefault="00746A72">
            <w:pPr>
              <w:spacing w:after="0" w:line="240" w:lineRule="auto"/>
              <w:rPr>
                <w:rFonts w:eastAsia="Times New Roman" w:cs="Times New Roman"/>
                <w:color w:val="000000"/>
                <w:szCs w:val="18"/>
                <w:lang w:eastAsia="nl-NL"/>
              </w:rPr>
            </w:pPr>
            <w:r w:rsidRPr="00746A72">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4.957,9</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5.069,6</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5.184,6</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5.403,6</w:t>
            </w:r>
          </w:p>
        </w:tc>
        <w:tc>
          <w:tcPr>
            <w:tcW w:w="1060" w:type="dxa"/>
            <w:tcBorders>
              <w:top w:val="single" w:color="000000" w:sz="8" w:space="0"/>
              <w:left w:val="nil"/>
              <w:bottom w:val="nil"/>
              <w:right w:val="nil"/>
            </w:tcBorders>
            <w:shd w:val="clear" w:color="auto" w:fill="auto"/>
            <w:hideMark/>
          </w:tcPr>
          <w:p w:rsidRPr="00746A72" w:rsidR="00746A72" w:rsidP="00746A72" w:rsidRDefault="00746A72">
            <w:pPr>
              <w:spacing w:after="0" w:line="240" w:lineRule="auto"/>
              <w:jc w:val="right"/>
              <w:rPr>
                <w:rFonts w:eastAsia="Times New Roman" w:cs="Times New Roman"/>
                <w:color w:val="000000"/>
                <w:szCs w:val="18"/>
                <w:lang w:eastAsia="nl-NL"/>
              </w:rPr>
            </w:pPr>
            <w:r w:rsidRPr="00746A72">
              <w:rPr>
                <w:rFonts w:eastAsia="Times New Roman" w:cs="Times New Roman"/>
                <w:color w:val="000000"/>
                <w:szCs w:val="18"/>
                <w:lang w:eastAsia="nl-NL"/>
              </w:rPr>
              <w:t>5.698,3</w:t>
            </w:r>
          </w:p>
        </w:tc>
        <w:tc>
          <w:tcPr>
            <w:tcW w:w="1080" w:type="dxa"/>
            <w:tcBorders>
              <w:top w:val="nil"/>
              <w:left w:val="nil"/>
              <w:bottom w:val="nil"/>
              <w:right w:val="nil"/>
            </w:tcBorders>
            <w:shd w:val="clear" w:color="auto" w:fill="auto"/>
            <w:noWrap/>
            <w:vAlign w:val="bottom"/>
            <w:hideMark/>
          </w:tcPr>
          <w:p w:rsidRPr="00746A72" w:rsidR="00746A72" w:rsidP="00746A72" w:rsidRDefault="00746A72">
            <w:pPr>
              <w:spacing w:after="0" w:line="240" w:lineRule="auto"/>
              <w:jc w:val="right"/>
              <w:rPr>
                <w:rFonts w:eastAsia="Times New Roman" w:cs="Times New Roman"/>
                <w:color w:val="000000"/>
                <w:szCs w:val="18"/>
                <w:lang w:eastAsia="nl-NL"/>
              </w:rPr>
            </w:pPr>
          </w:p>
        </w:tc>
      </w:tr>
    </w:tbl>
    <w:p w:rsidR="00840973" w:rsidP="00F07F2F" w:rsidRDefault="00840973">
      <w:pPr>
        <w:pStyle w:val="Geenafstand"/>
        <w:rPr>
          <w:rFonts w:eastAsia="Times New Roman"/>
          <w:i/>
          <w:szCs w:val="18"/>
        </w:rPr>
      </w:pPr>
    </w:p>
    <w:p w:rsidR="00746A72" w:rsidP="00F07F2F" w:rsidRDefault="00746A72">
      <w:pPr>
        <w:pStyle w:val="Geenafstand"/>
        <w:rPr>
          <w:rFonts w:eastAsia="Times New Roman"/>
          <w:i/>
          <w:szCs w:val="18"/>
        </w:rPr>
      </w:pPr>
    </w:p>
    <w:p w:rsidR="00840973" w:rsidP="00F07F2F" w:rsidRDefault="00840973">
      <w:pPr>
        <w:pStyle w:val="Geenafstand"/>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lastRenderedPageBreak/>
        <w:t>Genees- en hulpmiddelen</w:t>
      </w:r>
    </w:p>
    <w:p w:rsidRPr="00B13F32" w:rsidR="00740585" w:rsidP="00746A72" w:rsidRDefault="00740585">
      <w:pPr>
        <w:spacing w:after="0"/>
        <w:rPr>
          <w:rFonts w:eastAsia="Times New Roman"/>
          <w:szCs w:val="18"/>
        </w:rPr>
      </w:pPr>
      <w:r w:rsidRPr="00B13F32">
        <w:rPr>
          <w:rFonts w:eastAsia="Times New Roman"/>
          <w:szCs w:val="18"/>
        </w:rPr>
        <w:t xml:space="preserve">In 2018 was er sprake van een onderschrijding van ca. 150 mln. bij genees- en hulpmiddelen door met name scherpere inkoop door zorgverzekeraars en hoger dan ingeschatte opbrengsten van de prijsarrangementen. Dit wordt nu grotendeels structureel verwerkt in de begroting. </w:t>
      </w:r>
    </w:p>
    <w:p w:rsidRPr="00B13F32" w:rsidR="00740585" w:rsidP="00746A72" w:rsidRDefault="00740585">
      <w:pPr>
        <w:spacing w:after="0"/>
        <w:rPr>
          <w:rFonts w:eastAsia="Times New Roman"/>
          <w:szCs w:val="18"/>
        </w:rPr>
      </w:pPr>
    </w:p>
    <w:p w:rsidRPr="00B13F32" w:rsidR="00740585" w:rsidP="00746A72" w:rsidRDefault="00740585">
      <w:pPr>
        <w:spacing w:after="0"/>
        <w:rPr>
          <w:rFonts w:eastAsia="Times New Roman"/>
          <w:i/>
          <w:szCs w:val="18"/>
        </w:rPr>
      </w:pPr>
      <w:r w:rsidRPr="00B13F32">
        <w:rPr>
          <w:rFonts w:eastAsia="Times New Roman"/>
          <w:i/>
          <w:szCs w:val="18"/>
        </w:rPr>
        <w:t>Grensoverschrijdende zorg</w:t>
      </w:r>
    </w:p>
    <w:p w:rsidRPr="00B13F32" w:rsidR="00740585" w:rsidP="00746A72" w:rsidRDefault="00740585">
      <w:pPr>
        <w:spacing w:after="0"/>
        <w:rPr>
          <w:rFonts w:eastAsia="Verdana"/>
          <w:szCs w:val="18"/>
        </w:rPr>
      </w:pPr>
      <w:r w:rsidRPr="00B13F32">
        <w:rPr>
          <w:rFonts w:eastAsia="Verdana"/>
          <w:szCs w:val="18"/>
        </w:rPr>
        <w:t>Op basis van actuele cijfers van het CAK en het Zorginstituut is de meerjarige trend van de uitgaven aan grensoverschrijdende zorg vastgesteld. Naar aanleiding hiervan zijn de uitgaven aan grensoverschrijdende zorg met 47 mln. neerwaarts bijgesteld.</w:t>
      </w:r>
    </w:p>
    <w:p w:rsidRPr="00B13F32" w:rsidR="00740585" w:rsidP="00746A72" w:rsidRDefault="00740585">
      <w:pPr>
        <w:spacing w:after="0"/>
        <w:rPr>
          <w:rFonts w:eastAsia="Times New Roman"/>
          <w:szCs w:val="18"/>
        </w:rPr>
      </w:pPr>
    </w:p>
    <w:p w:rsidRPr="00B13F32" w:rsidR="00740585" w:rsidP="00746A72" w:rsidRDefault="00740585">
      <w:pPr>
        <w:spacing w:after="0"/>
        <w:rPr>
          <w:rFonts w:eastAsia="Times New Roman"/>
          <w:i/>
          <w:szCs w:val="18"/>
        </w:rPr>
      </w:pPr>
      <w:r w:rsidRPr="00B13F32">
        <w:rPr>
          <w:rFonts w:eastAsia="Times New Roman"/>
          <w:i/>
          <w:szCs w:val="18"/>
        </w:rPr>
        <w:t>Jeugdhulp</w:t>
      </w:r>
      <w:r>
        <w:rPr>
          <w:rFonts w:eastAsia="Times New Roman"/>
          <w:i/>
          <w:szCs w:val="18"/>
        </w:rPr>
        <w:t xml:space="preserve"> (twee reeksen onder resp. mee/tegenvallers en technische mutaties)</w:t>
      </w:r>
    </w:p>
    <w:p w:rsidRPr="00B13F32" w:rsidR="00740585" w:rsidP="00746A72" w:rsidRDefault="00740585">
      <w:pPr>
        <w:spacing w:after="0"/>
        <w:rPr>
          <w:rFonts w:eastAsia="Times New Roman"/>
          <w:szCs w:val="18"/>
        </w:rPr>
      </w:pPr>
      <w:r w:rsidRPr="00B13F32">
        <w:rPr>
          <w:rFonts w:eastAsia="Times New Roman"/>
          <w:szCs w:val="18"/>
        </w:rPr>
        <w:t>Gemeenten zijn nog niet in staat geweest om de transitie- en transformatiedoelen van de decentralisatie van de Jeugdhulp binnen een termijn van vier jaar te realiseren. Er is sprake van een volumestijging en uitgavenstijging. Daarvoor komt het kabinet de gemeenten de komende jaren tegemoet</w:t>
      </w:r>
      <w:r w:rsidRPr="00D15498">
        <w:rPr>
          <w:rFonts w:eastAsia="Times New Roman"/>
          <w:szCs w:val="18"/>
        </w:rPr>
        <w:t xml:space="preserve"> met een extra budget van in totaal 420 mln</w:t>
      </w:r>
      <w:r>
        <w:rPr>
          <w:rFonts w:eastAsia="Times New Roman"/>
          <w:szCs w:val="18"/>
        </w:rPr>
        <w:t>.</w:t>
      </w:r>
      <w:r w:rsidRPr="00D15498">
        <w:rPr>
          <w:rFonts w:eastAsia="Times New Roman"/>
          <w:szCs w:val="18"/>
        </w:rPr>
        <w:t xml:space="preserve"> in 2019, 300 mln</w:t>
      </w:r>
      <w:r>
        <w:rPr>
          <w:rFonts w:eastAsia="Times New Roman"/>
          <w:szCs w:val="18"/>
        </w:rPr>
        <w:t>.</w:t>
      </w:r>
      <w:r w:rsidRPr="00D15498">
        <w:rPr>
          <w:rFonts w:eastAsia="Times New Roman"/>
          <w:szCs w:val="18"/>
        </w:rPr>
        <w:t xml:space="preserve"> in 2020 en 300 mln</w:t>
      </w:r>
      <w:r>
        <w:rPr>
          <w:rFonts w:eastAsia="Times New Roman"/>
          <w:szCs w:val="18"/>
        </w:rPr>
        <w:t xml:space="preserve">. in 2021. </w:t>
      </w:r>
      <w:r w:rsidRPr="00753B19">
        <w:rPr>
          <w:rFonts w:eastAsia="Times New Roman"/>
          <w:szCs w:val="18"/>
        </w:rPr>
        <w:t>De middelen worden op het Gemeentefonds in het juiste kasritme gezet.</w:t>
      </w:r>
    </w:p>
    <w:p w:rsidR="00740585" w:rsidP="00746A72" w:rsidRDefault="00740585">
      <w:pPr>
        <w:spacing w:after="0"/>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t>Overig eerstelijnszorg</w:t>
      </w:r>
    </w:p>
    <w:p w:rsidRPr="00B13F32" w:rsidR="00740585" w:rsidP="00746A72" w:rsidRDefault="00740585">
      <w:pPr>
        <w:spacing w:after="0"/>
        <w:rPr>
          <w:rFonts w:eastAsia="Times New Roman"/>
          <w:szCs w:val="18"/>
        </w:rPr>
      </w:pPr>
      <w:r w:rsidRPr="00B13F32">
        <w:rPr>
          <w:rFonts w:eastAsia="Times New Roman"/>
          <w:szCs w:val="18"/>
        </w:rPr>
        <w:t xml:space="preserve">Bij diverse sectoren binnen de eerstelijnszorg worden de onderschrijdingen van 2018 structureel verwerkt in de begroting. Het betreft onder meer 47 mln. bij fysiotherapie, 20 mln. bij tandheelkundige zorg en 16 mln. bij zintuiglijk gehandicaptenzorg. </w:t>
      </w:r>
    </w:p>
    <w:p w:rsidRPr="00B13F32" w:rsidR="00740585" w:rsidP="00746A72" w:rsidRDefault="00740585">
      <w:pPr>
        <w:spacing w:after="0"/>
        <w:rPr>
          <w:rFonts w:eastAsia="Times New Roman"/>
          <w:szCs w:val="18"/>
        </w:rPr>
      </w:pPr>
    </w:p>
    <w:p w:rsidRPr="00B13F32" w:rsidR="00740585" w:rsidP="00746A72" w:rsidRDefault="00740585">
      <w:pPr>
        <w:spacing w:after="0"/>
        <w:rPr>
          <w:rFonts w:eastAsia="Times New Roman"/>
          <w:i/>
          <w:szCs w:val="18"/>
        </w:rPr>
      </w:pPr>
      <w:r w:rsidRPr="00B13F32">
        <w:rPr>
          <w:rFonts w:eastAsia="Times New Roman"/>
          <w:i/>
          <w:szCs w:val="18"/>
        </w:rPr>
        <w:t>Persoonsgebonden budgetten</w:t>
      </w:r>
    </w:p>
    <w:p w:rsidRPr="00B13F32" w:rsidR="00740585" w:rsidP="00746A72" w:rsidRDefault="00740585">
      <w:pPr>
        <w:spacing w:after="0"/>
        <w:rPr>
          <w:rFonts w:eastAsia="Times New Roman"/>
          <w:szCs w:val="18"/>
        </w:rPr>
      </w:pPr>
      <w:r w:rsidRPr="00B13F32">
        <w:rPr>
          <w:rFonts w:eastAsia="Times New Roman"/>
          <w:szCs w:val="18"/>
        </w:rPr>
        <w:t xml:space="preserve">In 2018 is een deel van de herverdelingsmiddelen in het Wlz-kader onbesteed gebleven (130 mln.). Dit was binnen het Wlz-kader verdeeld in 61 mln. aan persoonsgebonden budgetten en 69 mln. aan zorg in natura. Dit wordt nu structureel verwerkt in de begroting.  </w:t>
      </w:r>
    </w:p>
    <w:p w:rsidRPr="00B13F32" w:rsidR="00740585" w:rsidP="00746A72" w:rsidRDefault="00740585">
      <w:pPr>
        <w:spacing w:after="0"/>
        <w:rPr>
          <w:rFonts w:eastAsia="Times New Roman"/>
          <w:szCs w:val="18"/>
        </w:rPr>
      </w:pPr>
    </w:p>
    <w:p w:rsidRPr="00B13F32" w:rsidR="00740585" w:rsidP="00746A72" w:rsidRDefault="00740585">
      <w:pPr>
        <w:spacing w:after="0"/>
        <w:rPr>
          <w:rFonts w:eastAsia="Times New Roman"/>
          <w:i/>
          <w:szCs w:val="18"/>
        </w:rPr>
      </w:pPr>
      <w:r w:rsidRPr="00B13F32">
        <w:rPr>
          <w:rFonts w:eastAsia="Times New Roman"/>
          <w:i/>
          <w:szCs w:val="18"/>
        </w:rPr>
        <w:t>Ramingsbijstelling opleidingen</w:t>
      </w:r>
    </w:p>
    <w:p w:rsidRPr="00B13F32" w:rsidR="00740585" w:rsidP="00746A72" w:rsidRDefault="00740585">
      <w:pPr>
        <w:spacing w:after="0"/>
        <w:rPr>
          <w:rFonts w:eastAsia="Times New Roman"/>
          <w:szCs w:val="18"/>
        </w:rPr>
      </w:pPr>
      <w:r w:rsidRPr="00B13F32">
        <w:rPr>
          <w:rFonts w:eastAsia="Times New Roman"/>
          <w:szCs w:val="18"/>
        </w:rPr>
        <w:t>De uitgaven aan opleidingen zijn in 2019 en verder naar verwachting lager dan eerder geraamd. Het Capaciteitsorgaan constateert dat er steeds meer artsen in opleiding tot specialist (</w:t>
      </w:r>
      <w:proofErr w:type="spellStart"/>
      <w:r w:rsidRPr="00B13F32">
        <w:rPr>
          <w:rFonts w:eastAsia="Times New Roman"/>
          <w:szCs w:val="18"/>
        </w:rPr>
        <w:t>aios</w:t>
      </w:r>
      <w:proofErr w:type="spellEnd"/>
      <w:r w:rsidRPr="00B13F32">
        <w:rPr>
          <w:rFonts w:eastAsia="Times New Roman"/>
          <w:szCs w:val="18"/>
        </w:rPr>
        <w:t>) in deeltijd werken. Deze trend zet naar verwachting de komende jaren door. Tevens leiden ziekenhuizen minder gespecialiseerde verpleegkundigen en medisch ondersteunend personeel op dan waarmee in de raming van het Capaciteitsorgaan rekening is gehouden.</w:t>
      </w:r>
    </w:p>
    <w:p w:rsidRPr="00B13F32" w:rsidR="00740585" w:rsidP="00746A72" w:rsidRDefault="00740585">
      <w:pPr>
        <w:spacing w:after="0"/>
        <w:rPr>
          <w:rFonts w:eastAsia="Times New Roman"/>
          <w:szCs w:val="18"/>
        </w:rPr>
      </w:pPr>
    </w:p>
    <w:p w:rsidRPr="00B13F32" w:rsidR="00740585" w:rsidP="00746A72" w:rsidRDefault="00740585">
      <w:pPr>
        <w:spacing w:after="0"/>
        <w:rPr>
          <w:rFonts w:eastAsia="Times New Roman"/>
          <w:i/>
          <w:szCs w:val="18"/>
        </w:rPr>
      </w:pPr>
      <w:r w:rsidRPr="00B13F32">
        <w:rPr>
          <w:rFonts w:eastAsia="Times New Roman"/>
          <w:i/>
          <w:szCs w:val="18"/>
        </w:rPr>
        <w:t>Wlz buiten contracteerruimte</w:t>
      </w:r>
    </w:p>
    <w:p w:rsidRPr="00B13F32" w:rsidR="00740585" w:rsidP="00746A72" w:rsidRDefault="00740585">
      <w:pPr>
        <w:spacing w:after="0"/>
        <w:rPr>
          <w:rFonts w:eastAsia="Times New Roman"/>
          <w:szCs w:val="18"/>
        </w:rPr>
      </w:pPr>
      <w:r w:rsidRPr="00B13F32">
        <w:rPr>
          <w:rFonts w:eastAsia="Times New Roman"/>
          <w:szCs w:val="18"/>
        </w:rPr>
        <w:t xml:space="preserve">Dit betreft de som van de actualisaties in de Wlz buiten de contracteerruimte. Deze worden structureel verwerkt in de begroting. </w:t>
      </w:r>
    </w:p>
    <w:p w:rsidRPr="00B13F32" w:rsidR="00740585" w:rsidP="00746A72" w:rsidRDefault="00740585">
      <w:pPr>
        <w:spacing w:after="0"/>
        <w:rPr>
          <w:rFonts w:eastAsia="Times New Roman"/>
          <w:szCs w:val="18"/>
        </w:rPr>
      </w:pPr>
    </w:p>
    <w:p w:rsidRPr="00B13F32" w:rsidR="00740585" w:rsidP="00746A72" w:rsidRDefault="00740585">
      <w:pPr>
        <w:spacing w:after="0"/>
        <w:rPr>
          <w:rFonts w:eastAsia="Times New Roman"/>
          <w:i/>
          <w:szCs w:val="18"/>
        </w:rPr>
      </w:pPr>
      <w:r w:rsidRPr="00B13F32">
        <w:rPr>
          <w:rFonts w:eastAsia="Times New Roman"/>
          <w:i/>
          <w:szCs w:val="18"/>
        </w:rPr>
        <w:t xml:space="preserve">Zorg in Natura </w:t>
      </w:r>
    </w:p>
    <w:p w:rsidRPr="00B13F32" w:rsidR="00740585" w:rsidP="00746A72" w:rsidRDefault="00740585">
      <w:pPr>
        <w:spacing w:after="0"/>
        <w:rPr>
          <w:rFonts w:eastAsia="Times New Roman"/>
          <w:szCs w:val="18"/>
        </w:rPr>
      </w:pPr>
      <w:r w:rsidRPr="00B13F32">
        <w:rPr>
          <w:rFonts w:eastAsia="Times New Roman"/>
          <w:szCs w:val="18"/>
        </w:rPr>
        <w:t xml:space="preserve">In 2018 is een deel van de herverdelingsmiddelen in het Wlz-kader onbesteed gebleven (130 mln.). Dit was binnen het Wlz-kader verdeeld in 61 mln. aan persoonsgebonden budgetten en 69 mln. aan zorg in natura. Dit wordt nu structureel verwerkt in de begroting.  </w:t>
      </w:r>
    </w:p>
    <w:p w:rsidRPr="00B13F32" w:rsidR="00740585" w:rsidP="00746A72" w:rsidRDefault="00740585">
      <w:pPr>
        <w:spacing w:after="0"/>
        <w:rPr>
          <w:rFonts w:eastAsia="Times New Roman"/>
          <w:szCs w:val="18"/>
        </w:rPr>
      </w:pPr>
    </w:p>
    <w:p w:rsidRPr="00B13F32" w:rsidR="00740585" w:rsidP="00746A72" w:rsidRDefault="00740585">
      <w:pPr>
        <w:spacing w:after="0"/>
        <w:rPr>
          <w:rFonts w:eastAsia="Times New Roman"/>
          <w:i/>
          <w:szCs w:val="18"/>
        </w:rPr>
      </w:pPr>
      <w:r w:rsidRPr="00B13F32">
        <w:rPr>
          <w:rFonts w:eastAsia="Times New Roman"/>
          <w:i/>
          <w:szCs w:val="18"/>
        </w:rPr>
        <w:t>Diversen – mee- en tegenvallers, uitgaven</w:t>
      </w:r>
    </w:p>
    <w:p w:rsidRPr="00B13F32" w:rsidR="00740585" w:rsidP="00746A72" w:rsidRDefault="00740585">
      <w:pPr>
        <w:spacing w:after="0"/>
        <w:rPr>
          <w:rFonts w:eastAsia="Times New Roman"/>
          <w:szCs w:val="18"/>
        </w:rPr>
      </w:pPr>
      <w:r w:rsidRPr="00B13F32">
        <w:rPr>
          <w:rFonts w:eastAsia="Times New Roman"/>
          <w:szCs w:val="18"/>
        </w:rPr>
        <w:t xml:space="preserve">Dit betreft de overige actualiseringen in de </w:t>
      </w:r>
      <w:proofErr w:type="spellStart"/>
      <w:r w:rsidRPr="00B13F32">
        <w:rPr>
          <w:rFonts w:eastAsia="Times New Roman"/>
          <w:szCs w:val="18"/>
        </w:rPr>
        <w:t>Zvw</w:t>
      </w:r>
      <w:proofErr w:type="spellEnd"/>
      <w:r w:rsidRPr="00B13F32">
        <w:rPr>
          <w:rFonts w:eastAsia="Times New Roman"/>
          <w:szCs w:val="18"/>
        </w:rPr>
        <w:t xml:space="preserve"> en </w:t>
      </w:r>
      <w:proofErr w:type="spellStart"/>
      <w:r w:rsidRPr="00B13F32">
        <w:rPr>
          <w:rFonts w:eastAsia="Times New Roman"/>
          <w:szCs w:val="18"/>
        </w:rPr>
        <w:t>Wlz</w:t>
      </w:r>
      <w:proofErr w:type="spellEnd"/>
      <w:r w:rsidRPr="00B13F32">
        <w:rPr>
          <w:rFonts w:eastAsia="Times New Roman"/>
          <w:szCs w:val="18"/>
        </w:rPr>
        <w:t xml:space="preserve">. De grootste betreft de actualisering van de geriatrische revalidatiezorg (12 mln.). </w:t>
      </w:r>
    </w:p>
    <w:p w:rsidRPr="00B13F32" w:rsidR="00740585" w:rsidP="00746A72" w:rsidRDefault="00740585">
      <w:pPr>
        <w:spacing w:after="0"/>
        <w:rPr>
          <w:rFonts w:eastAsia="Times New Roman"/>
          <w:szCs w:val="18"/>
        </w:rPr>
      </w:pPr>
    </w:p>
    <w:p w:rsidRPr="008753BC" w:rsidR="00740585" w:rsidP="00746A72" w:rsidRDefault="00740585">
      <w:pPr>
        <w:spacing w:after="0"/>
        <w:rPr>
          <w:rFonts w:eastAsia="Times New Roman"/>
          <w:i/>
          <w:szCs w:val="18"/>
        </w:rPr>
      </w:pPr>
      <w:proofErr w:type="spellStart"/>
      <w:r w:rsidRPr="008753BC">
        <w:rPr>
          <w:rFonts w:eastAsia="Times New Roman"/>
          <w:i/>
          <w:szCs w:val="18"/>
        </w:rPr>
        <w:t>Ambulantisering</w:t>
      </w:r>
      <w:proofErr w:type="spellEnd"/>
      <w:r w:rsidRPr="008753BC">
        <w:rPr>
          <w:rFonts w:eastAsia="Times New Roman"/>
          <w:i/>
          <w:szCs w:val="18"/>
        </w:rPr>
        <w:t xml:space="preserve"> ggz-domein</w:t>
      </w:r>
    </w:p>
    <w:p w:rsidRPr="008753BC" w:rsidR="00740585" w:rsidP="00746A72" w:rsidRDefault="00740585">
      <w:pPr>
        <w:spacing w:after="0"/>
        <w:rPr>
          <w:rFonts w:eastAsia="Times New Roman"/>
          <w:szCs w:val="18"/>
        </w:rPr>
      </w:pPr>
      <w:r w:rsidRPr="008753BC">
        <w:rPr>
          <w:rFonts w:eastAsia="Times New Roman"/>
          <w:szCs w:val="18"/>
        </w:rPr>
        <w:t xml:space="preserve">Middels het Hoofdlijnenakkoord ggz en Zorg op de Juiste Plaats wordt binnen het ggz-domein ingezet op </w:t>
      </w:r>
      <w:proofErr w:type="spellStart"/>
      <w:r w:rsidRPr="008753BC">
        <w:rPr>
          <w:rFonts w:eastAsia="Times New Roman"/>
          <w:szCs w:val="18"/>
        </w:rPr>
        <w:t>ambulantisering</w:t>
      </w:r>
      <w:proofErr w:type="spellEnd"/>
      <w:r w:rsidRPr="008753BC">
        <w:rPr>
          <w:rFonts w:eastAsia="Times New Roman"/>
          <w:szCs w:val="18"/>
        </w:rPr>
        <w:t xml:space="preserve"> van de zorg. Dit leidt tot meer zorg in het gemeentelijk domein, zowel voor beschermd wonen als voor begeleiding.</w:t>
      </w:r>
      <w:r w:rsidRPr="008753BC">
        <w:rPr>
          <w:szCs w:val="18"/>
        </w:rPr>
        <w:t xml:space="preserve"> In totaal is er een reeks beschikbaar van € 50 mln. in 2019 oplopend naar structureel € 95 mln. in 2022 beschikbaar. De middelen worden na ondertekening van het Hoofdlijnenakkoord </w:t>
      </w:r>
      <w:r>
        <w:rPr>
          <w:szCs w:val="18"/>
        </w:rPr>
        <w:t>ggz</w:t>
      </w:r>
      <w:r w:rsidRPr="008753BC">
        <w:rPr>
          <w:szCs w:val="18"/>
        </w:rPr>
        <w:t xml:space="preserve"> door de VNG gestort in het Gemeentefonds.</w:t>
      </w:r>
    </w:p>
    <w:p w:rsidRPr="00B13F32" w:rsidR="00740585" w:rsidP="00746A72" w:rsidRDefault="00740585">
      <w:pPr>
        <w:spacing w:after="0"/>
        <w:rPr>
          <w:rFonts w:eastAsia="Times New Roman"/>
          <w:i/>
          <w:szCs w:val="18"/>
        </w:rPr>
      </w:pPr>
    </w:p>
    <w:p w:rsidR="00740585" w:rsidP="00746A72" w:rsidRDefault="00740585">
      <w:pPr>
        <w:spacing w:after="0"/>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lastRenderedPageBreak/>
        <w:t xml:space="preserve">Kasschuif </w:t>
      </w:r>
      <w:proofErr w:type="spellStart"/>
      <w:r w:rsidRPr="00B13F32">
        <w:rPr>
          <w:rFonts w:eastAsia="Times New Roman"/>
          <w:i/>
          <w:szCs w:val="18"/>
        </w:rPr>
        <w:t>SectorPlanPlus</w:t>
      </w:r>
      <w:proofErr w:type="spellEnd"/>
    </w:p>
    <w:p w:rsidRPr="00B13F32" w:rsidR="00740585" w:rsidP="00746A72" w:rsidRDefault="00740585">
      <w:pPr>
        <w:spacing w:after="0"/>
        <w:rPr>
          <w:rFonts w:eastAsia="Times New Roman"/>
          <w:szCs w:val="18"/>
        </w:rPr>
      </w:pPr>
      <w:r w:rsidRPr="00B13F32">
        <w:rPr>
          <w:rFonts w:eastAsia="Times New Roman"/>
          <w:szCs w:val="18"/>
        </w:rPr>
        <w:t xml:space="preserve">VWS ondersteunt door middel van subsidies initiatieven gericht op nieuwe personeelsinstroom in de zorg middels </w:t>
      </w:r>
      <w:proofErr w:type="spellStart"/>
      <w:r w:rsidRPr="00B13F32">
        <w:rPr>
          <w:rFonts w:eastAsia="Times New Roman"/>
          <w:szCs w:val="18"/>
        </w:rPr>
        <w:t>SectorPlanPlus</w:t>
      </w:r>
      <w:proofErr w:type="spellEnd"/>
      <w:r w:rsidRPr="00B13F32">
        <w:rPr>
          <w:rFonts w:eastAsia="Times New Roman"/>
          <w:szCs w:val="18"/>
        </w:rPr>
        <w:t>. Met deze kasschuif wordt het budget aangepast aan het juiste kasritme.</w:t>
      </w:r>
    </w:p>
    <w:p w:rsidR="00740585" w:rsidP="00746A72" w:rsidRDefault="00740585">
      <w:pPr>
        <w:spacing w:after="0"/>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t xml:space="preserve">Nominaal en onverdeeld </w:t>
      </w:r>
      <w:proofErr w:type="spellStart"/>
      <w:r w:rsidRPr="00B13F32">
        <w:rPr>
          <w:rFonts w:eastAsia="Times New Roman"/>
          <w:i/>
          <w:szCs w:val="18"/>
        </w:rPr>
        <w:t>Zvw</w:t>
      </w:r>
      <w:proofErr w:type="spellEnd"/>
    </w:p>
    <w:p w:rsidRPr="00B13F32" w:rsidR="00740585" w:rsidP="00746A72" w:rsidRDefault="00740585">
      <w:pPr>
        <w:spacing w:after="0"/>
        <w:rPr>
          <w:rFonts w:eastAsia="Times New Roman"/>
          <w:szCs w:val="18"/>
        </w:rPr>
      </w:pPr>
      <w:r w:rsidRPr="00B13F32">
        <w:rPr>
          <w:rFonts w:eastAsia="Times New Roman"/>
          <w:szCs w:val="18"/>
        </w:rPr>
        <w:t xml:space="preserve">Dit betreft niet ingezette middelen voor Voorwaardelijke Toelating en het verlagen van de beschikbare groeiruimte voor diverse </w:t>
      </w:r>
      <w:proofErr w:type="spellStart"/>
      <w:r w:rsidRPr="00B13F32">
        <w:rPr>
          <w:rFonts w:eastAsia="Times New Roman"/>
          <w:szCs w:val="18"/>
        </w:rPr>
        <w:t>Zvw</w:t>
      </w:r>
      <w:proofErr w:type="spellEnd"/>
      <w:r w:rsidRPr="00B13F32">
        <w:rPr>
          <w:rFonts w:eastAsia="Times New Roman"/>
          <w:szCs w:val="18"/>
        </w:rPr>
        <w:t>-sectoren (niet zijnde hoofdlijnenakkoordsectoren of genees- en hulpmiddelen).</w:t>
      </w:r>
    </w:p>
    <w:p w:rsidRPr="00B13F32" w:rsidR="00740585" w:rsidP="00746A72" w:rsidRDefault="00740585">
      <w:pPr>
        <w:spacing w:after="0"/>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t>Ramingsbijstelling geneesmiddelen</w:t>
      </w:r>
    </w:p>
    <w:p w:rsidRPr="00B13F32" w:rsidR="00740585" w:rsidP="00746A72" w:rsidRDefault="00740585">
      <w:pPr>
        <w:spacing w:after="0"/>
        <w:rPr>
          <w:rFonts w:eastAsia="Times New Roman"/>
          <w:szCs w:val="18"/>
        </w:rPr>
      </w:pPr>
      <w:r w:rsidRPr="00B13F32">
        <w:rPr>
          <w:rFonts w:eastAsia="Times New Roman"/>
          <w:szCs w:val="18"/>
        </w:rPr>
        <w:t>De uitgaven aan geneesmiddelen zijn in 2019 en verder naar verwachting lager dan eerder geraamd. Dit leidt tot een neerwaartse bijstelling van de uitgaven aan geneesmiddelen van 120 mln. in 2019 oplopend tot 230 mln. in 2021.</w:t>
      </w:r>
    </w:p>
    <w:p w:rsidRPr="00B13F32" w:rsidR="00740585" w:rsidP="00746A72" w:rsidRDefault="00740585">
      <w:pPr>
        <w:spacing w:after="0"/>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t>Ramingsbijstelling Wlz</w:t>
      </w:r>
    </w:p>
    <w:p w:rsidRPr="00B13F32" w:rsidR="00740585" w:rsidP="00746A72" w:rsidRDefault="00740585">
      <w:pPr>
        <w:spacing w:after="0"/>
        <w:rPr>
          <w:rFonts w:eastAsia="Times New Roman"/>
          <w:szCs w:val="18"/>
        </w:rPr>
      </w:pPr>
      <w:r w:rsidRPr="00B13F32">
        <w:rPr>
          <w:rFonts w:eastAsia="Times New Roman"/>
          <w:szCs w:val="18"/>
        </w:rPr>
        <w:t>Dit betreft voornamelijk een neerwaartse bijstelling van de raming van het beroep op aanspraken voor dagbesteding, vervoer en huishoudelijke hulp (83 mln.).</w:t>
      </w:r>
    </w:p>
    <w:p w:rsidRPr="00B13F32" w:rsidR="00740585" w:rsidP="00746A72" w:rsidRDefault="00740585">
      <w:pPr>
        <w:spacing w:after="0"/>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t>Diversen – beleidsmatige mutaties, uitgaven</w:t>
      </w:r>
    </w:p>
    <w:p w:rsidRPr="00B13F32" w:rsidR="00740585" w:rsidP="00746A72" w:rsidRDefault="00740585">
      <w:pPr>
        <w:spacing w:after="0"/>
        <w:rPr>
          <w:rFonts w:eastAsia="Times New Roman"/>
          <w:szCs w:val="18"/>
        </w:rPr>
      </w:pPr>
      <w:r w:rsidRPr="00B13F32">
        <w:rPr>
          <w:rFonts w:eastAsia="Times New Roman"/>
          <w:szCs w:val="18"/>
        </w:rPr>
        <w:t>Dit betreft een aantal kleinere mutaties, waaronder 20 mln. voor extra uitvoerende taken van gemeenten als gevolg van de invoering van de Wet verplichte ggz, extra middelen voor zorgkantoren voor de implementatie van het kwaliteitskader Verpleeghuiszorg (10 mln.), en middelen voor de nieuwe Wet zorg en dwang die per 2020 in werking treedt (10 mln.).</w:t>
      </w:r>
    </w:p>
    <w:p w:rsidRPr="00B13F32" w:rsidR="00740585" w:rsidP="00746A72" w:rsidRDefault="00740585">
      <w:pPr>
        <w:spacing w:after="0"/>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t xml:space="preserve">Loon- en prijsbijstelling 2019 </w:t>
      </w:r>
      <w:proofErr w:type="spellStart"/>
      <w:r w:rsidRPr="00B13F32">
        <w:rPr>
          <w:rFonts w:eastAsia="Times New Roman"/>
          <w:i/>
          <w:szCs w:val="18"/>
        </w:rPr>
        <w:t>Wmo</w:t>
      </w:r>
      <w:proofErr w:type="spellEnd"/>
      <w:r w:rsidRPr="00B13F32">
        <w:rPr>
          <w:rFonts w:eastAsia="Times New Roman"/>
          <w:i/>
          <w:szCs w:val="18"/>
        </w:rPr>
        <w:t>/Jeugd</w:t>
      </w:r>
    </w:p>
    <w:p w:rsidRPr="00B13F32" w:rsidR="00740585" w:rsidP="00746A72" w:rsidRDefault="00740585">
      <w:pPr>
        <w:spacing w:after="0"/>
        <w:rPr>
          <w:rFonts w:eastAsia="Times New Roman"/>
          <w:szCs w:val="18"/>
        </w:rPr>
      </w:pPr>
      <w:r w:rsidRPr="00B13F32">
        <w:rPr>
          <w:rFonts w:eastAsia="Times New Roman"/>
          <w:szCs w:val="18"/>
        </w:rPr>
        <w:t xml:space="preserve">Dit betreft de overheveling van de loon- en prijsbijstelling tranche 2019 naar de algemene uitkering van het gemeentefonds voor de overgehevelde budgetten van </w:t>
      </w:r>
      <w:proofErr w:type="spellStart"/>
      <w:r w:rsidRPr="00B13F32">
        <w:rPr>
          <w:rFonts w:eastAsia="Times New Roman"/>
          <w:szCs w:val="18"/>
        </w:rPr>
        <w:t>Wmo</w:t>
      </w:r>
      <w:proofErr w:type="spellEnd"/>
      <w:r w:rsidRPr="00B13F32">
        <w:rPr>
          <w:rFonts w:eastAsia="Times New Roman"/>
          <w:szCs w:val="18"/>
        </w:rPr>
        <w:t xml:space="preserve"> en Jeugd.</w:t>
      </w:r>
    </w:p>
    <w:p w:rsidRPr="00B13F32" w:rsidR="00740585" w:rsidP="00746A72" w:rsidRDefault="00740585">
      <w:pPr>
        <w:spacing w:after="0"/>
        <w:rPr>
          <w:rFonts w:eastAsia="Times New Roman"/>
          <w:szCs w:val="18"/>
        </w:rPr>
      </w:pPr>
    </w:p>
    <w:p w:rsidRPr="00B13F32" w:rsidR="00740585" w:rsidP="00746A72" w:rsidRDefault="00740585">
      <w:pPr>
        <w:spacing w:after="0"/>
        <w:rPr>
          <w:rFonts w:eastAsia="Times New Roman"/>
          <w:i/>
          <w:szCs w:val="18"/>
        </w:rPr>
      </w:pPr>
      <w:r w:rsidRPr="00B13F32">
        <w:rPr>
          <w:rFonts w:eastAsia="Times New Roman"/>
          <w:i/>
          <w:szCs w:val="18"/>
        </w:rPr>
        <w:t>Loon- en prijsontwikkeling</w:t>
      </w:r>
    </w:p>
    <w:p w:rsidRPr="00B13F32" w:rsidR="00740585" w:rsidP="00746A72" w:rsidRDefault="00740585">
      <w:pPr>
        <w:spacing w:after="0"/>
        <w:rPr>
          <w:rFonts w:eastAsia="Times New Roman"/>
          <w:szCs w:val="18"/>
        </w:rPr>
      </w:pPr>
      <w:r w:rsidRPr="00B13F32">
        <w:rPr>
          <w:rFonts w:eastAsia="Times New Roman"/>
          <w:szCs w:val="18"/>
        </w:rPr>
        <w:t>Ten opzichte van de CPB-raming bij afgelopen Miljoenennota (MEV) is de raming van de loon- en prijsontwikkeling in de zorg op basis van het CEP 2019 naar beneden bijgesteld.</w:t>
      </w:r>
    </w:p>
    <w:p w:rsidRPr="00B13F32" w:rsidR="00740585" w:rsidP="00746A72" w:rsidRDefault="00740585">
      <w:pPr>
        <w:spacing w:after="0"/>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t>Middelen voorwaardelijke toelating</w:t>
      </w:r>
    </w:p>
    <w:p w:rsidRPr="00B13F32" w:rsidR="00740585" w:rsidP="00746A72" w:rsidRDefault="00740585">
      <w:pPr>
        <w:spacing w:after="0"/>
        <w:rPr>
          <w:rFonts w:eastAsia="Times New Roman"/>
          <w:szCs w:val="18"/>
        </w:rPr>
      </w:pPr>
      <w:r w:rsidRPr="00B13F32">
        <w:rPr>
          <w:rFonts w:eastAsia="Times New Roman"/>
          <w:szCs w:val="18"/>
        </w:rPr>
        <w:t>De huidige regeling Voorwaardelijke toelating wordt vervangen door nieuwe regelingen. Een deel van de gereserveerde middelen binnen het plafond zorg worden overgeheveld naar de VWS-begroting. Het gaat om de programmakosten voor de regelingen Veelbelovende zorg en Zorgevaluatie en gepast gebruik en de bijbehorende uitvoeringskosten.</w:t>
      </w:r>
    </w:p>
    <w:p w:rsidRPr="00B13F32" w:rsidR="00740585" w:rsidP="00746A72" w:rsidRDefault="00740585">
      <w:pPr>
        <w:spacing w:after="0"/>
        <w:rPr>
          <w:rFonts w:eastAsia="Times New Roman"/>
          <w:i/>
          <w:szCs w:val="18"/>
        </w:rPr>
      </w:pPr>
    </w:p>
    <w:p w:rsidRPr="00B13F32" w:rsidR="00740585" w:rsidP="00746A72" w:rsidRDefault="00740585">
      <w:pPr>
        <w:spacing w:after="0"/>
        <w:rPr>
          <w:rFonts w:eastAsia="Times New Roman"/>
          <w:i/>
          <w:szCs w:val="18"/>
        </w:rPr>
      </w:pPr>
      <w:r w:rsidRPr="00B13F32">
        <w:rPr>
          <w:rFonts w:eastAsia="Times New Roman"/>
          <w:i/>
          <w:szCs w:val="18"/>
        </w:rPr>
        <w:t>Diversen – technische mutaties, uitgaven</w:t>
      </w:r>
    </w:p>
    <w:p w:rsidRPr="00B13F32" w:rsidR="00740585" w:rsidP="00746A72" w:rsidRDefault="00740585">
      <w:pPr>
        <w:spacing w:after="0"/>
        <w:rPr>
          <w:rFonts w:eastAsia="Times New Roman"/>
          <w:szCs w:val="18"/>
        </w:rPr>
      </w:pPr>
      <w:r w:rsidRPr="00B13F32">
        <w:rPr>
          <w:rFonts w:eastAsia="Times New Roman"/>
          <w:szCs w:val="18"/>
        </w:rPr>
        <w:t>Dit betreft onder meer het overhevelen van de middelen voor kwaliteitsgelden curatieve zorg (30 mln.) naar de VWS</w:t>
      </w:r>
      <w:r>
        <w:rPr>
          <w:rFonts w:eastAsia="Times New Roman"/>
          <w:szCs w:val="18"/>
        </w:rPr>
        <w:t>-</w:t>
      </w:r>
      <w:r w:rsidRPr="00B13F32">
        <w:rPr>
          <w:rFonts w:eastAsia="Times New Roman"/>
          <w:szCs w:val="18"/>
        </w:rPr>
        <w:t xml:space="preserve">begroting en de invoering van Wet verplichte ggz (20 mln.) naar het Gemeentefonds. </w:t>
      </w:r>
    </w:p>
    <w:p w:rsidRPr="00B13F32" w:rsidR="00740585" w:rsidP="00746A72" w:rsidRDefault="00740585">
      <w:pPr>
        <w:spacing w:after="0"/>
        <w:rPr>
          <w:rFonts w:eastAsia="Times New Roman"/>
          <w:i/>
          <w:szCs w:val="18"/>
        </w:rPr>
      </w:pPr>
    </w:p>
    <w:p w:rsidRPr="00B13F32" w:rsidR="00740585" w:rsidP="00746A72" w:rsidRDefault="00740585">
      <w:pPr>
        <w:spacing w:after="0"/>
        <w:rPr>
          <w:rFonts w:eastAsia="Times New Roman"/>
          <w:szCs w:val="18"/>
        </w:rPr>
      </w:pPr>
      <w:r w:rsidRPr="00B13F32">
        <w:rPr>
          <w:rFonts w:eastAsia="Times New Roman"/>
          <w:i/>
          <w:szCs w:val="18"/>
        </w:rPr>
        <w:t>Bijstelling eigen bijdrage Wlz</w:t>
      </w:r>
    </w:p>
    <w:p w:rsidR="00844167" w:rsidP="00746A72" w:rsidRDefault="00740585">
      <w:pPr>
        <w:pStyle w:val="Geenafstand"/>
        <w:spacing w:line="276" w:lineRule="auto"/>
        <w:rPr>
          <w:rFonts w:eastAsia="Times New Roman"/>
          <w:szCs w:val="18"/>
        </w:rPr>
      </w:pPr>
      <w:r w:rsidRPr="00B13F32">
        <w:rPr>
          <w:rFonts w:eastAsia="Times New Roman"/>
          <w:szCs w:val="18"/>
        </w:rPr>
        <w:t>Er is sprake van lagere inkomsten uit de eigen bijdragen Wlz en een tegenvaller bij de inkomsten als gevolg van internationale verdragen, namelijk de vorderingen op verdragspartners voor in Nederland verleende Wlz-zorg aan in het buitenland verzekerde personen.</w:t>
      </w:r>
    </w:p>
    <w:p w:rsidR="00403FED" w:rsidP="00746A72" w:rsidRDefault="00403FED">
      <w:pPr>
        <w:rPr>
          <w:rFonts w:asciiTheme="majorHAnsi" w:hAnsiTheme="majorHAnsi"/>
          <w:b/>
          <w:szCs w:val="18"/>
        </w:rPr>
      </w:pPr>
      <w:r>
        <w:rPr>
          <w:rFonts w:asciiTheme="majorHAnsi" w:hAnsiTheme="majorHAnsi"/>
          <w:b/>
          <w:szCs w:val="18"/>
        </w:rPr>
        <w:br w:type="page"/>
      </w:r>
    </w:p>
    <w:tbl>
      <w:tblPr>
        <w:tblW w:w="1086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8423E3" w:rsidR="008423E3" w:rsidTr="008423E3">
        <w:trPr>
          <w:trHeight w:val="225"/>
        </w:trPr>
        <w:tc>
          <w:tcPr>
            <w:tcW w:w="10860" w:type="dxa"/>
            <w:gridSpan w:val="7"/>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b/>
                <w:bCs/>
                <w:color w:val="000000"/>
                <w:szCs w:val="18"/>
                <w:lang w:eastAsia="nl-NL"/>
              </w:rPr>
            </w:pPr>
            <w:r w:rsidRPr="008423E3">
              <w:rPr>
                <w:rFonts w:eastAsia="Times New Roman" w:cs="Times New Roman"/>
                <w:b/>
                <w:bCs/>
                <w:color w:val="000000"/>
                <w:szCs w:val="18"/>
                <w:lang w:eastAsia="nl-NL"/>
              </w:rPr>
              <w:lastRenderedPageBreak/>
              <w:t>Homogene Groep Internationale Samenwerking</w:t>
            </w:r>
          </w:p>
        </w:tc>
      </w:tr>
      <w:tr w:rsidRPr="008423E3" w:rsidR="008423E3" w:rsidTr="008423E3">
        <w:trPr>
          <w:trHeight w:val="240"/>
        </w:trPr>
        <w:tc>
          <w:tcPr>
            <w:tcW w:w="10860" w:type="dxa"/>
            <w:gridSpan w:val="7"/>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HOMOGENE GROEP INTERNATIONALE SAMENWERKING: UITGAVEN</w:t>
            </w:r>
          </w:p>
        </w:tc>
      </w:tr>
      <w:tr w:rsidRPr="008423E3" w:rsidR="008423E3" w:rsidTr="008423E3">
        <w:trPr>
          <w:trHeight w:val="315"/>
        </w:trPr>
        <w:tc>
          <w:tcPr>
            <w:tcW w:w="43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5.308,3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5.353,8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5.436,1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5.594,1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5.835,1</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 xml:space="preserve">Asiel: </w:t>
            </w:r>
            <w:proofErr w:type="spellStart"/>
            <w:r w:rsidRPr="008423E3">
              <w:rPr>
                <w:rFonts w:eastAsia="Times New Roman" w:cs="Times New Roman"/>
                <w:color w:val="000000"/>
                <w:szCs w:val="18"/>
                <w:lang w:eastAsia="nl-NL"/>
              </w:rPr>
              <w:t>oda</w:t>
            </w:r>
            <w:proofErr w:type="spellEnd"/>
            <w:r w:rsidRPr="008423E3">
              <w:rPr>
                <w:rFonts w:eastAsia="Times New Roman" w:cs="Times New Roman"/>
                <w:color w:val="000000"/>
                <w:szCs w:val="18"/>
                <w:lang w:eastAsia="nl-NL"/>
              </w:rPr>
              <w:t>-toerekening</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-150,9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-156,0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-91,7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-41,6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-36,3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45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 xml:space="preserve">Budget convenant </w:t>
            </w:r>
            <w:proofErr w:type="spellStart"/>
            <w:r w:rsidRPr="008423E3">
              <w:rPr>
                <w:rFonts w:eastAsia="Times New Roman" w:cs="Times New Roman"/>
                <w:color w:val="000000"/>
                <w:szCs w:val="18"/>
                <w:lang w:eastAsia="nl-NL"/>
              </w:rPr>
              <w:t>brigrade</w:t>
            </w:r>
            <w:proofErr w:type="spellEnd"/>
            <w:r w:rsidRPr="008423E3">
              <w:rPr>
                <w:rFonts w:eastAsia="Times New Roman" w:cs="Times New Roman"/>
                <w:color w:val="000000"/>
                <w:szCs w:val="18"/>
                <w:lang w:eastAsia="nl-NL"/>
              </w:rPr>
              <w:t xml:space="preserve"> </w:t>
            </w:r>
            <w:proofErr w:type="spellStart"/>
            <w:r w:rsidRPr="008423E3">
              <w:rPr>
                <w:rFonts w:eastAsia="Times New Roman" w:cs="Times New Roman"/>
                <w:color w:val="000000"/>
                <w:szCs w:val="18"/>
                <w:lang w:eastAsia="nl-NL"/>
              </w:rPr>
              <w:t>spec</w:t>
            </w:r>
            <w:proofErr w:type="spellEnd"/>
            <w:r w:rsidRPr="008423E3">
              <w:rPr>
                <w:rFonts w:eastAsia="Times New Roman" w:cs="Times New Roman"/>
                <w:color w:val="000000"/>
                <w:szCs w:val="18"/>
                <w:lang w:eastAsia="nl-NL"/>
              </w:rPr>
              <w:t>. beveiligingsopdrachten (</w:t>
            </w:r>
            <w:proofErr w:type="spellStart"/>
            <w:r w:rsidRPr="008423E3">
              <w:rPr>
                <w:rFonts w:eastAsia="Times New Roman" w:cs="Times New Roman"/>
                <w:color w:val="000000"/>
                <w:szCs w:val="18"/>
                <w:lang w:eastAsia="nl-NL"/>
              </w:rPr>
              <w:t>bsb</w:t>
            </w:r>
            <w:proofErr w:type="spellEnd"/>
            <w:r w:rsidRPr="008423E3">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-15,3</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Dekking intensiveringen os/</w:t>
            </w:r>
            <w:proofErr w:type="spellStart"/>
            <w:r w:rsidRPr="008423E3">
              <w:rPr>
                <w:rFonts w:eastAsia="Times New Roman" w:cs="Times New Roman"/>
                <w:color w:val="000000"/>
                <w:szCs w:val="18"/>
                <w:lang w:eastAsia="nl-NL"/>
              </w:rPr>
              <w:t>oda</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-78,9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-52,8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-48,0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-44,0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-44,0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Eindejaarsmarge apparaat</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19,0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 xml:space="preserve">Eindejaarsmarge </w:t>
            </w:r>
            <w:proofErr w:type="spellStart"/>
            <w:r w:rsidRPr="008423E3">
              <w:rPr>
                <w:rFonts w:eastAsia="Times New Roman" w:cs="Times New Roman"/>
                <w:color w:val="000000"/>
                <w:szCs w:val="18"/>
                <w:lang w:eastAsia="nl-NL"/>
              </w:rPr>
              <w:t>bz</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-58,0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Eindejaarsmarge (</w:t>
            </w:r>
            <w:proofErr w:type="spellStart"/>
            <w:r w:rsidRPr="008423E3">
              <w:rPr>
                <w:rFonts w:eastAsia="Times New Roman" w:cs="Times New Roman"/>
                <w:color w:val="000000"/>
                <w:szCs w:val="18"/>
                <w:lang w:eastAsia="nl-NL"/>
              </w:rPr>
              <w:t>ida</w:t>
            </w:r>
            <w:proofErr w:type="spellEnd"/>
            <w:r w:rsidRPr="008423E3">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145,4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Eindejaarsmarge non-</w:t>
            </w:r>
            <w:proofErr w:type="spellStart"/>
            <w:r w:rsidRPr="008423E3">
              <w:rPr>
                <w:rFonts w:eastAsia="Times New Roman" w:cs="Times New Roman"/>
                <w:color w:val="000000"/>
                <w:szCs w:val="18"/>
                <w:lang w:eastAsia="nl-NL"/>
              </w:rPr>
              <w:t>oda</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25,5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Herijking asiel</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149,1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99,0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26,7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37,3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Herstellen weeffout asiel onderwijs</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45,6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45,7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41,2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37,4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35,4</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proofErr w:type="spellStart"/>
            <w:r w:rsidRPr="008423E3">
              <w:rPr>
                <w:rFonts w:eastAsia="Times New Roman" w:cs="Times New Roman"/>
                <w:color w:val="000000"/>
                <w:szCs w:val="18"/>
                <w:lang w:eastAsia="nl-NL"/>
              </w:rPr>
              <w:t>Hgis</w:t>
            </w:r>
            <w:proofErr w:type="spellEnd"/>
            <w:r w:rsidRPr="008423E3">
              <w:rPr>
                <w:rFonts w:eastAsia="Times New Roman" w:cs="Times New Roman"/>
                <w:color w:val="000000"/>
                <w:szCs w:val="18"/>
                <w:lang w:eastAsia="nl-NL"/>
              </w:rPr>
              <w:t>-bijstelling</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-68,0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-70,9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-92,5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-92,5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-92,5</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Ida</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-145,4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 xml:space="preserve">Kasschuif </w:t>
            </w:r>
            <w:proofErr w:type="spellStart"/>
            <w:r w:rsidRPr="008423E3">
              <w:rPr>
                <w:rFonts w:eastAsia="Times New Roman" w:cs="Times New Roman"/>
                <w:color w:val="000000"/>
                <w:szCs w:val="18"/>
                <w:lang w:eastAsia="nl-NL"/>
              </w:rPr>
              <w:t>ida</w:t>
            </w:r>
            <w:proofErr w:type="spellEnd"/>
            <w:r w:rsidRPr="008423E3">
              <w:rPr>
                <w:rFonts w:eastAsia="Times New Roman" w:cs="Times New Roman"/>
                <w:color w:val="000000"/>
                <w:szCs w:val="18"/>
                <w:lang w:eastAsia="nl-NL"/>
              </w:rPr>
              <w:t xml:space="preserve"> (</w:t>
            </w:r>
            <w:proofErr w:type="spellStart"/>
            <w:r w:rsidRPr="008423E3">
              <w:rPr>
                <w:rFonts w:eastAsia="Times New Roman" w:cs="Times New Roman"/>
                <w:color w:val="000000"/>
                <w:szCs w:val="18"/>
                <w:lang w:eastAsia="nl-NL"/>
              </w:rPr>
              <w:t>wereldbank</w:t>
            </w:r>
            <w:proofErr w:type="spellEnd"/>
            <w:r w:rsidRPr="008423E3">
              <w:rPr>
                <w:rFonts w:eastAsia="Times New Roman" w:cs="Times New Roman"/>
                <w:color w:val="000000"/>
                <w:szCs w:val="18"/>
                <w:lang w:eastAsia="nl-NL"/>
              </w:rPr>
              <w:t>)</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179,9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-156,4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Multilaterale samenwerking</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27,0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25,0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25,0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13,0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13,0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Onderwijs</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 xml:space="preserve">Reservering </w:t>
            </w:r>
            <w:proofErr w:type="spellStart"/>
            <w:r w:rsidRPr="008423E3">
              <w:rPr>
                <w:rFonts w:eastAsia="Times New Roman" w:cs="Times New Roman"/>
                <w:color w:val="000000"/>
                <w:szCs w:val="18"/>
                <w:lang w:eastAsia="nl-NL"/>
              </w:rPr>
              <w:t>vredespaleis</w:t>
            </w:r>
            <w:proofErr w:type="spellEnd"/>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45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Versterkte private sector en arbeidsmarkt in ontwikkelingslanden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29,5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18,0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18,0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18,0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18,0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4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25,6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8,4</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195,1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-225,1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-92,0</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-69,6</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-55,7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Niet relevant voor het uitgavenplafond</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2,4</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proofErr w:type="spellStart"/>
            <w:r w:rsidRPr="008423E3">
              <w:rPr>
                <w:rFonts w:eastAsia="Times New Roman" w:cs="Times New Roman"/>
                <w:color w:val="000000"/>
                <w:szCs w:val="18"/>
                <w:lang w:eastAsia="nl-NL"/>
              </w:rPr>
              <w:t>Hgis</w:t>
            </w:r>
            <w:proofErr w:type="spellEnd"/>
            <w:r w:rsidRPr="008423E3">
              <w:rPr>
                <w:rFonts w:eastAsia="Times New Roman" w:cs="Times New Roman"/>
                <w:color w:val="000000"/>
                <w:szCs w:val="18"/>
                <w:lang w:eastAsia="nl-NL"/>
              </w:rPr>
              <w:t>-bijstelling</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-23,7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-62,8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-67,2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-103,1</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-131,7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4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23,9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17,0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2,6</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-45,8</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-65,2</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-101,1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-129,7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180"/>
        </w:trPr>
        <w:tc>
          <w:tcPr>
            <w:tcW w:w="43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197,8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-270,8</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-157,2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-170,7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-185,4</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Voorjaarsnota 2019</w:t>
            </w: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5.506,1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5.083,0</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5.278,9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5.423,5</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5.649,7</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240"/>
        </w:trPr>
        <w:tc>
          <w:tcPr>
            <w:tcW w:w="10860" w:type="dxa"/>
            <w:gridSpan w:val="7"/>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HOMOGENE GROEP INTERNATIONALE SAMENWERKING: NIET-BELASTINGONTVANGSTEN</w:t>
            </w:r>
          </w:p>
        </w:tc>
      </w:tr>
      <w:tr w:rsidRPr="008423E3" w:rsidR="008423E3" w:rsidTr="008423E3">
        <w:trPr>
          <w:trHeight w:val="315"/>
        </w:trPr>
        <w:tc>
          <w:tcPr>
            <w:tcW w:w="43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 </w:t>
            </w:r>
          </w:p>
        </w:tc>
        <w:tc>
          <w:tcPr>
            <w:tcW w:w="118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2019</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2020</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2021</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2022</w:t>
            </w:r>
          </w:p>
        </w:tc>
        <w:tc>
          <w:tcPr>
            <w:tcW w:w="1060" w:type="dxa"/>
            <w:tcBorders>
              <w:top w:val="single" w:color="000000" w:sz="8" w:space="0"/>
              <w:left w:val="nil"/>
              <w:bottom w:val="single" w:color="000000" w:sz="8" w:space="0"/>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2023</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Stand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147,6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148,2</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147,9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147,9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147,9</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Beleidsmatige mutaties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0,7</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0,6</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0,7</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0,6</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0,6</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0,6</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0,6</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Technische mutaties</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r w:rsidRPr="008423E3">
              <w:rPr>
                <w:rFonts w:eastAsia="Times New Roman" w:cs="Times New Roman"/>
                <w:color w:val="000000"/>
                <w:szCs w:val="18"/>
                <w:lang w:eastAsia="nl-NL"/>
              </w:rPr>
              <w:t>Rijksbegroting</w:t>
            </w: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ind w:firstLine="180" w:firstLineChars="100"/>
              <w:rPr>
                <w:rFonts w:eastAsia="Times New Roman" w:cs="Times New Roman"/>
                <w:color w:val="000000"/>
                <w:szCs w:val="18"/>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31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ind w:firstLine="360" w:firstLineChars="200"/>
              <w:rPr>
                <w:rFonts w:eastAsia="Times New Roman" w:cs="Times New Roman"/>
                <w:color w:val="000000"/>
                <w:szCs w:val="18"/>
                <w:lang w:eastAsia="nl-NL"/>
              </w:rPr>
            </w:pPr>
            <w:r w:rsidRPr="008423E3">
              <w:rPr>
                <w:rFonts w:eastAsia="Times New Roman" w:cs="Times New Roman"/>
                <w:color w:val="000000"/>
                <w:szCs w:val="18"/>
                <w:lang w:eastAsia="nl-NL"/>
              </w:rPr>
              <w:t>Diversen</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23,9</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17,0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30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23,9</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17,0</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2,0</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180"/>
        </w:trPr>
        <w:tc>
          <w:tcPr>
            <w:tcW w:w="43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1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6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rPr>
                <w:rFonts w:ascii="Times New Roman" w:hAnsi="Times New Roman" w:eastAsia="Times New Roman" w:cs="Times New Roman"/>
                <w:sz w:val="20"/>
                <w:szCs w:val="20"/>
                <w:lang w:eastAsia="nl-NL"/>
              </w:rPr>
            </w:pPr>
          </w:p>
        </w:tc>
      </w:tr>
      <w:tr w:rsidRPr="008423E3" w:rsidR="008423E3" w:rsidTr="008423E3">
        <w:trPr>
          <w:trHeight w:val="240"/>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t>Totaal mutaties sinds Miljoenennota 2019</w:t>
            </w:r>
          </w:p>
        </w:tc>
        <w:tc>
          <w:tcPr>
            <w:tcW w:w="118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24,5</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17,6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2,6</w:t>
            </w:r>
          </w:p>
        </w:tc>
        <w:tc>
          <w:tcPr>
            <w:tcW w:w="1060" w:type="dxa"/>
            <w:tcBorders>
              <w:top w:val="nil"/>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2,6</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r w:rsidRPr="008423E3" w:rsidR="008423E3" w:rsidTr="008423E3">
        <w:trPr>
          <w:trHeight w:val="225"/>
        </w:trPr>
        <w:tc>
          <w:tcPr>
            <w:tcW w:w="4360" w:type="dxa"/>
            <w:tcBorders>
              <w:top w:val="nil"/>
              <w:left w:val="nil"/>
              <w:bottom w:val="nil"/>
              <w:right w:val="nil"/>
            </w:tcBorders>
            <w:shd w:val="clear" w:color="auto" w:fill="auto"/>
            <w:hideMark/>
          </w:tcPr>
          <w:p w:rsidRPr="008423E3" w:rsidR="008423E3" w:rsidP="008423E3" w:rsidRDefault="008423E3">
            <w:pPr>
              <w:spacing w:after="0" w:line="240" w:lineRule="auto"/>
              <w:rPr>
                <w:rFonts w:eastAsia="Times New Roman" w:cs="Times New Roman"/>
                <w:color w:val="000000"/>
                <w:szCs w:val="18"/>
                <w:lang w:eastAsia="nl-NL"/>
              </w:rPr>
            </w:pPr>
            <w:r w:rsidRPr="008423E3">
              <w:rPr>
                <w:rFonts w:eastAsia="Times New Roman" w:cs="Times New Roman"/>
                <w:color w:val="000000"/>
                <w:szCs w:val="18"/>
                <w:lang w:eastAsia="nl-NL"/>
              </w:rPr>
              <w:lastRenderedPageBreak/>
              <w:t>Stand Voorjaarsnota 2019</w:t>
            </w:r>
          </w:p>
        </w:tc>
        <w:tc>
          <w:tcPr>
            <w:tcW w:w="118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172,1</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165,7</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150,5</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150,5</w:t>
            </w:r>
          </w:p>
        </w:tc>
        <w:tc>
          <w:tcPr>
            <w:tcW w:w="1060" w:type="dxa"/>
            <w:tcBorders>
              <w:top w:val="single" w:color="000000" w:sz="8" w:space="0"/>
              <w:left w:val="nil"/>
              <w:bottom w:val="nil"/>
              <w:right w:val="nil"/>
            </w:tcBorders>
            <w:shd w:val="clear" w:color="auto" w:fill="auto"/>
            <w:hideMark/>
          </w:tcPr>
          <w:p w:rsidRPr="008423E3" w:rsidR="008423E3" w:rsidP="008423E3" w:rsidRDefault="008423E3">
            <w:pPr>
              <w:spacing w:after="0" w:line="240" w:lineRule="auto"/>
              <w:jc w:val="right"/>
              <w:rPr>
                <w:rFonts w:eastAsia="Times New Roman" w:cs="Times New Roman"/>
                <w:color w:val="000000"/>
                <w:szCs w:val="18"/>
                <w:lang w:eastAsia="nl-NL"/>
              </w:rPr>
            </w:pPr>
            <w:r w:rsidRPr="008423E3">
              <w:rPr>
                <w:rFonts w:eastAsia="Times New Roman" w:cs="Times New Roman"/>
                <w:color w:val="000000"/>
                <w:szCs w:val="18"/>
                <w:lang w:eastAsia="nl-NL"/>
              </w:rPr>
              <w:t>150,5</w:t>
            </w:r>
          </w:p>
        </w:tc>
        <w:tc>
          <w:tcPr>
            <w:tcW w:w="1080" w:type="dxa"/>
            <w:tcBorders>
              <w:top w:val="nil"/>
              <w:left w:val="nil"/>
              <w:bottom w:val="nil"/>
              <w:right w:val="nil"/>
            </w:tcBorders>
            <w:shd w:val="clear" w:color="auto" w:fill="auto"/>
            <w:noWrap/>
            <w:vAlign w:val="bottom"/>
            <w:hideMark/>
          </w:tcPr>
          <w:p w:rsidRPr="008423E3" w:rsidR="008423E3" w:rsidP="008423E3" w:rsidRDefault="008423E3">
            <w:pPr>
              <w:spacing w:after="0" w:line="240" w:lineRule="auto"/>
              <w:jc w:val="right"/>
              <w:rPr>
                <w:rFonts w:eastAsia="Times New Roman" w:cs="Times New Roman"/>
                <w:color w:val="000000"/>
                <w:szCs w:val="18"/>
                <w:lang w:eastAsia="nl-NL"/>
              </w:rPr>
            </w:pPr>
          </w:p>
        </w:tc>
      </w:tr>
    </w:tbl>
    <w:p w:rsidR="00403FED" w:rsidP="001D695D" w:rsidRDefault="00403FED">
      <w:pPr>
        <w:spacing w:after="0"/>
        <w:rPr>
          <w:rFonts w:asciiTheme="majorHAnsi" w:hAnsiTheme="majorHAnsi"/>
          <w:b/>
          <w:szCs w:val="18"/>
        </w:rPr>
      </w:pPr>
    </w:p>
    <w:p w:rsidR="00403FED" w:rsidP="001D695D" w:rsidRDefault="00403FED">
      <w:pPr>
        <w:spacing w:after="0"/>
        <w:rPr>
          <w:rFonts w:asciiTheme="majorHAnsi" w:hAnsiTheme="majorHAnsi"/>
          <w:b/>
          <w:szCs w:val="18"/>
        </w:rPr>
      </w:pPr>
    </w:p>
    <w:p w:rsidRPr="00F65B8C" w:rsidR="00C32E3A" w:rsidP="00C32E3A" w:rsidRDefault="00C32E3A">
      <w:pPr>
        <w:spacing w:after="0"/>
        <w:rPr>
          <w:rFonts w:eastAsia="Times New Roman"/>
          <w:i/>
          <w:szCs w:val="18"/>
        </w:rPr>
      </w:pPr>
      <w:r w:rsidRPr="00F65B8C">
        <w:rPr>
          <w:rFonts w:eastAsia="Times New Roman"/>
          <w:i/>
          <w:szCs w:val="18"/>
        </w:rPr>
        <w:t xml:space="preserve">Asiel: </w:t>
      </w:r>
      <w:r>
        <w:rPr>
          <w:rFonts w:eastAsia="Times New Roman"/>
          <w:i/>
          <w:szCs w:val="18"/>
        </w:rPr>
        <w:t>ODA</w:t>
      </w:r>
      <w:r w:rsidRPr="00F65B8C">
        <w:rPr>
          <w:rFonts w:eastAsia="Times New Roman"/>
          <w:i/>
          <w:szCs w:val="18"/>
        </w:rPr>
        <w:t>-toerekening</w:t>
      </w:r>
    </w:p>
    <w:p w:rsidRPr="00F65B8C" w:rsidR="00C32E3A" w:rsidP="00C32E3A" w:rsidRDefault="00C32E3A">
      <w:pPr>
        <w:spacing w:after="0"/>
        <w:rPr>
          <w:rFonts w:eastAsia="Times New Roman"/>
          <w:szCs w:val="18"/>
        </w:rPr>
      </w:pPr>
      <w:r w:rsidRPr="00F65B8C">
        <w:rPr>
          <w:rFonts w:eastAsia="Times New Roman"/>
          <w:szCs w:val="18"/>
        </w:rPr>
        <w:t xml:space="preserve">De kosten voor de eerstejaarsopvang van asielzoekers worden toegerekend aan het budget voor Official Development Assistance (ODA). De herziene MPP-raming voor de instroom van asielzoekers leidt tot een </w:t>
      </w:r>
      <w:r w:rsidR="00E70B70">
        <w:rPr>
          <w:rFonts w:eastAsia="Times New Roman"/>
          <w:szCs w:val="18"/>
        </w:rPr>
        <w:t xml:space="preserve">neerwaartse </w:t>
      </w:r>
      <w:r w:rsidRPr="00F65B8C">
        <w:rPr>
          <w:rFonts w:eastAsia="Times New Roman"/>
          <w:szCs w:val="18"/>
        </w:rPr>
        <w:t>bijstelling van de ODA-toerekening. Daarnaast vindt de nacalculatie over 2018 plaats. Dit leidt tot een overheveling tussen de begroting van BHOS en JenV.</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t xml:space="preserve">Budget convenant brigade </w:t>
      </w:r>
      <w:proofErr w:type="spellStart"/>
      <w:r w:rsidRPr="00F65B8C">
        <w:rPr>
          <w:rFonts w:eastAsia="Times New Roman"/>
          <w:i/>
          <w:szCs w:val="18"/>
        </w:rPr>
        <w:t>spec</w:t>
      </w:r>
      <w:proofErr w:type="spellEnd"/>
      <w:r w:rsidRPr="00F65B8C">
        <w:rPr>
          <w:rFonts w:eastAsia="Times New Roman"/>
          <w:i/>
          <w:szCs w:val="18"/>
        </w:rPr>
        <w:t>. beveiligingsopdrachten (</w:t>
      </w:r>
      <w:r>
        <w:rPr>
          <w:rFonts w:eastAsia="Times New Roman"/>
          <w:i/>
          <w:szCs w:val="18"/>
        </w:rPr>
        <w:t>BSB</w:t>
      </w:r>
      <w:r w:rsidRPr="00F65B8C">
        <w:rPr>
          <w:rFonts w:eastAsia="Times New Roman"/>
          <w:i/>
          <w:szCs w:val="18"/>
        </w:rPr>
        <w:t>)</w:t>
      </w:r>
    </w:p>
    <w:p w:rsidRPr="00205986" w:rsidR="00C32E3A" w:rsidP="00C32E3A" w:rsidRDefault="00C32E3A">
      <w:pPr>
        <w:spacing w:after="0"/>
        <w:rPr>
          <w:rFonts w:eastAsia="Times New Roman"/>
          <w:i/>
          <w:szCs w:val="18"/>
        </w:rPr>
      </w:pPr>
      <w:r>
        <w:rPr>
          <w:rFonts w:eastAsia="Times New Roman"/>
          <w:szCs w:val="18"/>
        </w:rPr>
        <w:t>Het m</w:t>
      </w:r>
      <w:r w:rsidRPr="00F65B8C">
        <w:rPr>
          <w:rFonts w:eastAsia="Times New Roman"/>
          <w:szCs w:val="18"/>
        </w:rPr>
        <w:t xml:space="preserve">inisterie van Buitenlandse Zaken hevelt 15,3 mln. over naar het </w:t>
      </w:r>
      <w:r>
        <w:rPr>
          <w:rFonts w:eastAsia="Times New Roman"/>
          <w:szCs w:val="18"/>
        </w:rPr>
        <w:t>m</w:t>
      </w:r>
      <w:r w:rsidRPr="00F65B8C">
        <w:rPr>
          <w:rFonts w:eastAsia="Times New Roman"/>
          <w:szCs w:val="18"/>
        </w:rPr>
        <w:t>inisterie van Defensie ten behoeve van de bescherming van diplomaten en ambassades door de Brigade Speciale Beveiligingsopdrachten (BSB).</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t>Dekking intensivering OS/ODA</w:t>
      </w:r>
    </w:p>
    <w:p w:rsidRPr="00F65B8C" w:rsidR="00C32E3A" w:rsidP="00C32E3A" w:rsidRDefault="00C32E3A">
      <w:pPr>
        <w:spacing w:after="0"/>
        <w:rPr>
          <w:rFonts w:eastAsia="Times New Roman"/>
          <w:szCs w:val="18"/>
        </w:rPr>
      </w:pPr>
      <w:r w:rsidRPr="00F65B8C">
        <w:rPr>
          <w:rFonts w:eastAsia="Times New Roman"/>
          <w:szCs w:val="18"/>
        </w:rPr>
        <w:t>Dit betreft de dekking van verschillende intensiveringen van budgetten binnen de BHOS-begroting</w:t>
      </w:r>
      <w:r>
        <w:rPr>
          <w:rFonts w:eastAsia="Times New Roman"/>
          <w:szCs w:val="18"/>
        </w:rPr>
        <w:t xml:space="preserve"> vanaf artikel 5.4. “</w:t>
      </w:r>
      <w:r w:rsidRPr="000C075A">
        <w:rPr>
          <w:rFonts w:eastAsia="Times New Roman"/>
          <w:szCs w:val="18"/>
        </w:rPr>
        <w:t>Nog te verdelen i.v.m. wijzigingen BNI en/of toerekeningen”</w:t>
      </w:r>
      <w:r w:rsidRPr="00F65B8C">
        <w:rPr>
          <w:rFonts w:eastAsia="Times New Roman"/>
          <w:szCs w:val="18"/>
        </w:rPr>
        <w:t>, waarvan de grootste multilaterale samenwerking (27 mln.), onderwijs (15 mln.) en private sector ontwikkeling (</w:t>
      </w:r>
      <w:r w:rsidR="00E70B70">
        <w:rPr>
          <w:rFonts w:eastAsia="Times New Roman"/>
          <w:szCs w:val="18"/>
        </w:rPr>
        <w:t>12,9</w:t>
      </w:r>
      <w:r w:rsidRPr="00F65B8C">
        <w:rPr>
          <w:rFonts w:eastAsia="Times New Roman"/>
          <w:szCs w:val="18"/>
        </w:rPr>
        <w:t xml:space="preserve"> mln.) zijn.</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t>Eindejaarsmarge apparaat, BZ en non-ODA</w:t>
      </w:r>
    </w:p>
    <w:p w:rsidRPr="005932B9" w:rsidR="00C32E3A" w:rsidP="00C32E3A" w:rsidRDefault="00C32E3A">
      <w:pPr>
        <w:spacing w:after="0"/>
        <w:rPr>
          <w:rFonts w:eastAsia="Times New Roman"/>
          <w:szCs w:val="18"/>
        </w:rPr>
      </w:pPr>
      <w:r w:rsidRPr="00F65B8C">
        <w:rPr>
          <w:rFonts w:eastAsia="Times New Roman"/>
          <w:szCs w:val="18"/>
        </w:rPr>
        <w:t>Dit betreft een deel van de doorverdeling van de HGIS-eindejaarsmarge naar de begroting van BZ.</w:t>
      </w:r>
    </w:p>
    <w:p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t>Eindejaarsmarge (</w:t>
      </w:r>
      <w:r>
        <w:rPr>
          <w:rFonts w:eastAsia="Times New Roman"/>
          <w:i/>
          <w:szCs w:val="18"/>
        </w:rPr>
        <w:t>IDA</w:t>
      </w:r>
      <w:r w:rsidRPr="00F65B8C">
        <w:rPr>
          <w:rFonts w:eastAsia="Times New Roman"/>
          <w:i/>
          <w:szCs w:val="18"/>
        </w:rPr>
        <w:t>)</w:t>
      </w:r>
    </w:p>
    <w:p w:rsidRPr="00F65B8C" w:rsidR="00C32E3A" w:rsidP="00C32E3A" w:rsidRDefault="00C32E3A">
      <w:pPr>
        <w:spacing w:after="0"/>
        <w:rPr>
          <w:rFonts w:eastAsia="Times New Roman"/>
          <w:szCs w:val="18"/>
        </w:rPr>
      </w:pPr>
      <w:r w:rsidRPr="00F65B8C">
        <w:rPr>
          <w:rFonts w:eastAsia="Times New Roman"/>
          <w:szCs w:val="18"/>
        </w:rPr>
        <w:t xml:space="preserve">Deze mutatie betreft de verrekening van de bij het jaarverslag 2018 gemelde betaling door Financiën aan de Wereldbank, die gepland was voor 2019. Deze mutatie ging ten koste van de HGIS-eindejaarsmarge. Het budget voor 2019 is door Financiën teruggeboekt naar BZ en binnen de HGIS </w:t>
      </w:r>
      <w:proofErr w:type="spellStart"/>
      <w:r w:rsidRPr="00F65B8C">
        <w:rPr>
          <w:rFonts w:eastAsia="Times New Roman"/>
          <w:szCs w:val="18"/>
        </w:rPr>
        <w:t>doorverdeeld</w:t>
      </w:r>
      <w:proofErr w:type="spellEnd"/>
      <w:r w:rsidRPr="00F65B8C">
        <w:rPr>
          <w:rFonts w:eastAsia="Times New Roman"/>
          <w:szCs w:val="18"/>
        </w:rPr>
        <w:t xml:space="preserve"> ter compensatie van de eindejaarsmarge.</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t>Herijking asiel</w:t>
      </w:r>
    </w:p>
    <w:p w:rsidRPr="00F65B8C" w:rsidR="00C32E3A" w:rsidP="00C32E3A" w:rsidRDefault="00C32E3A">
      <w:pPr>
        <w:spacing w:after="0"/>
        <w:rPr>
          <w:rFonts w:eastAsia="Times New Roman"/>
          <w:szCs w:val="18"/>
        </w:rPr>
      </w:pPr>
      <w:r w:rsidRPr="00F65B8C">
        <w:rPr>
          <w:rFonts w:eastAsia="Times New Roman"/>
          <w:szCs w:val="18"/>
        </w:rPr>
        <w:t xml:space="preserve">De toerekening aan ODA van de kosten van de eerstejaarsopvang van asielzoekers wordt met ingang van 2019 conform de verduidelijkte richtlijn van OESO-DAC herijkt. Daarnaast wordt een verbetering van de toerekeningsystematiek doorgevoerd. Dit leidt tot een transparantere, schokbestendigere en doelmatigere toerekening. </w:t>
      </w:r>
      <w:r>
        <w:rPr>
          <w:rFonts w:eastAsia="Times New Roman"/>
          <w:szCs w:val="18"/>
        </w:rPr>
        <w:t>D</w:t>
      </w:r>
      <w:r w:rsidRPr="00F65B8C">
        <w:rPr>
          <w:rFonts w:eastAsia="Times New Roman"/>
          <w:szCs w:val="18"/>
        </w:rPr>
        <w:t>e per saldo lagere toerekening wordt éénmalig structureel generaal gedekt.</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t>Herstellen weeffout asiel onderwijs</w:t>
      </w:r>
    </w:p>
    <w:p w:rsidRPr="000905F2" w:rsidR="00E70B70" w:rsidP="00E70B70" w:rsidRDefault="00E70B70">
      <w:pPr>
        <w:pStyle w:val="Tekstopmerking"/>
        <w:spacing w:after="0" w:line="276" w:lineRule="auto"/>
        <w:rPr>
          <w:rFonts w:eastAsia="Times New Roman"/>
          <w:sz w:val="18"/>
          <w:szCs w:val="18"/>
        </w:rPr>
      </w:pPr>
      <w:r w:rsidRPr="00F65B8C">
        <w:rPr>
          <w:rFonts w:eastAsia="Times New Roman"/>
          <w:sz w:val="18"/>
          <w:szCs w:val="18"/>
        </w:rPr>
        <w:t xml:space="preserve">Voortaan worden onderwijsuitgaven ten behoeve van asielzoekerskinderen op de OCW-begroting toegerekend aan ODA in plaats van op de JenV begroting. Hiervoor vindt een budgettair neutrale boeking plaats tussen de begrotingen van JenV en BHOS en BHOS en OCW. </w:t>
      </w:r>
      <w:r w:rsidRPr="000905F2">
        <w:rPr>
          <w:rFonts w:eastAsia="Times New Roman"/>
          <w:sz w:val="18"/>
          <w:szCs w:val="18"/>
        </w:rPr>
        <w:t>De mutaties zijn budgetneutraal. Omdat de overboeki</w:t>
      </w:r>
      <w:r>
        <w:rPr>
          <w:rFonts w:eastAsia="Times New Roman"/>
          <w:sz w:val="18"/>
          <w:szCs w:val="18"/>
        </w:rPr>
        <w:t>ng</w:t>
      </w:r>
      <w:r w:rsidRPr="000905F2">
        <w:rPr>
          <w:rFonts w:eastAsia="Times New Roman"/>
          <w:sz w:val="18"/>
          <w:szCs w:val="18"/>
        </w:rPr>
        <w:t xml:space="preserve"> tussen JenV en BHOS een overheveling van niet-HGIS naar HGIS-middelen betreft is een plus zichtbaar </w:t>
      </w:r>
      <w:r>
        <w:rPr>
          <w:rFonts w:eastAsia="Times New Roman"/>
          <w:sz w:val="18"/>
          <w:szCs w:val="18"/>
        </w:rPr>
        <w:t>binnen</w:t>
      </w:r>
      <w:r w:rsidRPr="000905F2">
        <w:rPr>
          <w:rFonts w:eastAsia="Times New Roman"/>
          <w:sz w:val="18"/>
          <w:szCs w:val="18"/>
        </w:rPr>
        <w:t xml:space="preserve"> de HGIS.</w:t>
      </w:r>
    </w:p>
    <w:p w:rsidRPr="00F65B8C" w:rsidR="00C32E3A" w:rsidP="00C32E3A" w:rsidRDefault="00C32E3A">
      <w:pPr>
        <w:spacing w:after="0"/>
        <w:rPr>
          <w:rFonts w:eastAsia="Times New Roman"/>
          <w:i/>
          <w:color w:val="FF0000"/>
          <w:szCs w:val="18"/>
        </w:rPr>
      </w:pPr>
    </w:p>
    <w:p w:rsidRPr="00F65B8C" w:rsidR="00C32E3A" w:rsidP="00C32E3A" w:rsidRDefault="00C32E3A">
      <w:pPr>
        <w:spacing w:after="0"/>
        <w:rPr>
          <w:rFonts w:eastAsia="Times New Roman"/>
          <w:i/>
          <w:szCs w:val="18"/>
        </w:rPr>
      </w:pPr>
      <w:r>
        <w:rPr>
          <w:rFonts w:eastAsia="Times New Roman"/>
          <w:i/>
          <w:szCs w:val="18"/>
        </w:rPr>
        <w:t>HGIS</w:t>
      </w:r>
      <w:r w:rsidRPr="00F65B8C">
        <w:rPr>
          <w:rFonts w:eastAsia="Times New Roman"/>
          <w:i/>
          <w:szCs w:val="18"/>
        </w:rPr>
        <w:t>-bijstelling</w:t>
      </w:r>
    </w:p>
    <w:p w:rsidRPr="00F65B8C" w:rsidR="00C32E3A" w:rsidP="00C32E3A" w:rsidRDefault="00C32E3A">
      <w:pPr>
        <w:spacing w:after="0"/>
        <w:rPr>
          <w:rFonts w:eastAsia="Times New Roman"/>
          <w:szCs w:val="18"/>
        </w:rPr>
      </w:pPr>
      <w:r w:rsidRPr="00F65B8C">
        <w:rPr>
          <w:rFonts w:eastAsia="Times New Roman"/>
          <w:szCs w:val="18"/>
        </w:rPr>
        <w:t>Conform de reguliere systematiek is het ODA-budget van de HGIS neerwaarts bijgesteld o.b.v. de verlaagde groeiverwachting van het BNI in de CEP/MLT-raming van het Centraal Planbureau.</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Pr>
          <w:rFonts w:eastAsia="Times New Roman"/>
          <w:i/>
          <w:szCs w:val="18"/>
        </w:rPr>
        <w:t>IDA</w:t>
      </w:r>
    </w:p>
    <w:p w:rsidRPr="00F65B8C" w:rsidR="00C32E3A" w:rsidP="00C32E3A" w:rsidRDefault="00C32E3A">
      <w:pPr>
        <w:spacing w:after="0"/>
        <w:rPr>
          <w:rFonts w:eastAsia="Times New Roman"/>
          <w:szCs w:val="18"/>
        </w:rPr>
      </w:pPr>
      <w:r w:rsidRPr="00F65B8C">
        <w:rPr>
          <w:rFonts w:eastAsia="Times New Roman"/>
          <w:szCs w:val="18"/>
        </w:rPr>
        <w:t>Deze mutatie betreft de verrekening van de bij het jaarverslag 2018 gemelde betaling door Financiën aan de Wereldbank, die gepland was voor 2019. Het budget voor 2019 is teruggeboekt naar BZ.</w:t>
      </w:r>
    </w:p>
    <w:p w:rsidR="00C32E3A" w:rsidP="00C32E3A" w:rsidRDefault="00C32E3A">
      <w:pPr>
        <w:spacing w:after="0"/>
        <w:rPr>
          <w:rFonts w:eastAsia="Times New Roman"/>
          <w:i/>
          <w:szCs w:val="18"/>
        </w:rPr>
      </w:pPr>
    </w:p>
    <w:p w:rsidR="008423E3" w:rsidP="00C32E3A" w:rsidRDefault="008423E3">
      <w:pPr>
        <w:spacing w:after="0"/>
        <w:rPr>
          <w:rFonts w:eastAsia="Times New Roman"/>
          <w:i/>
          <w:szCs w:val="18"/>
        </w:rPr>
      </w:pPr>
    </w:p>
    <w:p w:rsidR="008423E3" w:rsidP="00C32E3A" w:rsidRDefault="008423E3">
      <w:pPr>
        <w:spacing w:after="0"/>
        <w:rPr>
          <w:rFonts w:eastAsia="Times New Roman"/>
          <w:i/>
          <w:szCs w:val="18"/>
        </w:rPr>
      </w:pPr>
    </w:p>
    <w:p w:rsidRPr="00F65B8C" w:rsidR="008423E3" w:rsidP="00C32E3A" w:rsidRDefault="008423E3">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lastRenderedPageBreak/>
        <w:t xml:space="preserve">Kasschuif </w:t>
      </w:r>
      <w:r>
        <w:rPr>
          <w:rFonts w:eastAsia="Times New Roman"/>
          <w:i/>
          <w:szCs w:val="18"/>
        </w:rPr>
        <w:t>IDA (Wereldbank</w:t>
      </w:r>
      <w:r w:rsidRPr="00F65B8C">
        <w:rPr>
          <w:rFonts w:eastAsia="Times New Roman"/>
          <w:i/>
          <w:szCs w:val="18"/>
        </w:rPr>
        <w:t>)</w:t>
      </w:r>
    </w:p>
    <w:p w:rsidRPr="00F65B8C" w:rsidR="00C32E3A" w:rsidP="00C32E3A" w:rsidRDefault="00C32E3A">
      <w:pPr>
        <w:spacing w:after="0"/>
        <w:rPr>
          <w:rFonts w:eastAsia="Times New Roman"/>
          <w:szCs w:val="18"/>
        </w:rPr>
      </w:pPr>
      <w:r w:rsidRPr="00F65B8C">
        <w:rPr>
          <w:rFonts w:eastAsia="Times New Roman"/>
          <w:szCs w:val="18"/>
        </w:rPr>
        <w:t>Ter optimalisatie van het kasritme van de staat wordt de contributiebijdrage voor de Wereldbank die in 2020 stond gepland vooruitbetaald in 2019. Er wordt 156,4 mln. uit 2020 en 23,5 mln. uit 2024 betaald in 2019.</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t>Multilaterale samenwerking</w:t>
      </w:r>
    </w:p>
    <w:p w:rsidRPr="00F65B8C" w:rsidR="00C32E3A" w:rsidP="00C32E3A" w:rsidRDefault="00C32E3A">
      <w:pPr>
        <w:spacing w:after="0"/>
        <w:rPr>
          <w:rFonts w:eastAsia="Times New Roman"/>
          <w:szCs w:val="18"/>
        </w:rPr>
      </w:pPr>
      <w:r w:rsidRPr="00F65B8C">
        <w:rPr>
          <w:rFonts w:eastAsia="Times New Roman"/>
          <w:szCs w:val="18"/>
        </w:rPr>
        <w:t>Het budget voor multilaterale samenwerking wordt meerjarig verhoogd. Dit komt door de verhoging van de jaarlijkse bijdrages aan UNICEF (15 mln.), UNDP (2 mln.) en speciale multilaterale activiteiten (10 mln.).</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t>Onderwijs</w:t>
      </w:r>
    </w:p>
    <w:p w:rsidR="00C32E3A" w:rsidP="00C32E3A" w:rsidRDefault="00C32E3A">
      <w:pPr>
        <w:spacing w:after="0"/>
        <w:rPr>
          <w:rFonts w:eastAsia="Times New Roman"/>
          <w:szCs w:val="18"/>
        </w:rPr>
      </w:pPr>
      <w:r w:rsidRPr="00F65B8C">
        <w:rPr>
          <w:rFonts w:eastAsia="Times New Roman"/>
          <w:szCs w:val="18"/>
        </w:rPr>
        <w:t xml:space="preserve">Het budget voor onderwijs wordt conform de prioriteiten uit de BHOS-nota structureel verhoogd met 5 mln. voor het </w:t>
      </w:r>
      <w:r w:rsidRPr="00F65B8C">
        <w:rPr>
          <w:rFonts w:eastAsia="Times New Roman"/>
          <w:i/>
          <w:szCs w:val="18"/>
        </w:rPr>
        <w:t xml:space="preserve">Orange Knowledge </w:t>
      </w:r>
      <w:proofErr w:type="spellStart"/>
      <w:r w:rsidRPr="00F65B8C">
        <w:rPr>
          <w:rFonts w:eastAsia="Times New Roman"/>
          <w:i/>
          <w:szCs w:val="18"/>
        </w:rPr>
        <w:t>Programme</w:t>
      </w:r>
      <w:proofErr w:type="spellEnd"/>
      <w:r w:rsidRPr="00F65B8C">
        <w:rPr>
          <w:rFonts w:eastAsia="Times New Roman"/>
          <w:szCs w:val="18"/>
        </w:rPr>
        <w:t xml:space="preserve"> (OKP), uitgevoerd door NUFFIC.</w:t>
      </w:r>
      <w:r w:rsidR="00E70B70">
        <w:rPr>
          <w:rFonts w:eastAsia="Times New Roman"/>
          <w:szCs w:val="18"/>
        </w:rPr>
        <w:t xml:space="preserve"> Daarnaast wordt voor Onderwijs in 2019 incidenteel 10 mln. vrijgemaakt binnen de BHOS-begroting.</w:t>
      </w:r>
    </w:p>
    <w:p w:rsidR="00C32E3A" w:rsidP="00C32E3A" w:rsidRDefault="00C32E3A">
      <w:pPr>
        <w:spacing w:after="0"/>
        <w:rPr>
          <w:rFonts w:eastAsia="Times New Roman"/>
          <w:szCs w:val="18"/>
        </w:rPr>
      </w:pPr>
    </w:p>
    <w:p w:rsidRPr="00522E1B" w:rsidR="00C32E3A" w:rsidP="00C32E3A" w:rsidRDefault="00C32E3A">
      <w:pPr>
        <w:spacing w:after="0"/>
        <w:rPr>
          <w:rFonts w:eastAsia="Times New Roman"/>
          <w:i/>
          <w:szCs w:val="18"/>
        </w:rPr>
      </w:pPr>
      <w:r>
        <w:rPr>
          <w:rFonts w:eastAsia="Times New Roman"/>
          <w:i/>
          <w:szCs w:val="18"/>
        </w:rPr>
        <w:t>Reservering V</w:t>
      </w:r>
      <w:r w:rsidRPr="00522E1B">
        <w:rPr>
          <w:rFonts w:eastAsia="Times New Roman"/>
          <w:i/>
          <w:szCs w:val="18"/>
        </w:rPr>
        <w:t xml:space="preserve">redespaleis </w:t>
      </w:r>
    </w:p>
    <w:p w:rsidR="00C32E3A" w:rsidP="00C32E3A" w:rsidRDefault="00C32E3A">
      <w:pPr>
        <w:spacing w:after="0"/>
        <w:rPr>
          <w:szCs w:val="18"/>
        </w:rPr>
      </w:pPr>
      <w:r w:rsidRPr="00522E1B">
        <w:rPr>
          <w:szCs w:val="18"/>
        </w:rPr>
        <w:t xml:space="preserve">Voor de renovatie van het Vredespaleis wordt 50 mln. gereserveerd op de </w:t>
      </w:r>
      <w:r w:rsidR="00E70B70">
        <w:rPr>
          <w:szCs w:val="18"/>
        </w:rPr>
        <w:t>Aanvullende Post</w:t>
      </w:r>
      <w:r w:rsidRPr="00522E1B" w:rsidR="00E70B70">
        <w:rPr>
          <w:szCs w:val="18"/>
        </w:rPr>
        <w:t xml:space="preserve"> </w:t>
      </w:r>
      <w:r w:rsidRPr="00522E1B">
        <w:rPr>
          <w:szCs w:val="18"/>
        </w:rPr>
        <w:t>uit de generale middelen</w:t>
      </w:r>
      <w:r>
        <w:rPr>
          <w:szCs w:val="18"/>
        </w:rPr>
        <w:t>.</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sidRPr="00F65B8C">
        <w:rPr>
          <w:rFonts w:eastAsia="Times New Roman"/>
          <w:i/>
          <w:szCs w:val="18"/>
        </w:rPr>
        <w:t>Versterkte private sector en arbeidsmarkt in ontwikkelingslanden</w:t>
      </w:r>
    </w:p>
    <w:p w:rsidRPr="00F65B8C" w:rsidR="00C32E3A" w:rsidP="00C32E3A" w:rsidRDefault="00C32E3A">
      <w:pPr>
        <w:spacing w:after="0"/>
        <w:rPr>
          <w:rFonts w:eastAsia="Times New Roman"/>
          <w:szCs w:val="18"/>
        </w:rPr>
      </w:pPr>
      <w:r w:rsidRPr="00F65B8C">
        <w:rPr>
          <w:rFonts w:eastAsia="Times New Roman"/>
          <w:szCs w:val="18"/>
        </w:rPr>
        <w:t>De verhoging op het artikel voor versterkte private sector en arbeidsmarkt in ontwikkelingslanden wordt ingezet voor onder andere ondernemingsklimaat, financiële sectorontwikkeling en duurzame productie en handel.</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Pr>
          <w:rFonts w:eastAsia="Times New Roman"/>
          <w:i/>
          <w:szCs w:val="18"/>
        </w:rPr>
        <w:t>HGIS</w:t>
      </w:r>
      <w:r w:rsidRPr="00F65B8C">
        <w:rPr>
          <w:rFonts w:eastAsia="Times New Roman"/>
          <w:i/>
          <w:szCs w:val="18"/>
        </w:rPr>
        <w:t>-bijstelling</w:t>
      </w:r>
    </w:p>
    <w:p w:rsidRPr="00F65B8C" w:rsidR="00C32E3A" w:rsidP="00C32E3A" w:rsidRDefault="00C32E3A">
      <w:pPr>
        <w:spacing w:after="0"/>
        <w:rPr>
          <w:rFonts w:eastAsia="Times New Roman"/>
          <w:szCs w:val="18"/>
        </w:rPr>
      </w:pPr>
      <w:r w:rsidRPr="00F65B8C">
        <w:rPr>
          <w:rFonts w:eastAsia="Times New Roman"/>
          <w:szCs w:val="18"/>
        </w:rPr>
        <w:t>Conform de reguliere systematiek is het ODA-budget van de HGIS neerwaarts bijgesteld o.b.v. de verlaagde groeiverwachting van het BNI in de CEP/MLT-raming van het Centraal Planbureau. De HGIS non-ODA is eveneens naar beneden bijgesteld vanwege de verlaagde groeiverwachting van de prijs bbp.</w:t>
      </w:r>
    </w:p>
    <w:p w:rsidRPr="00F65B8C" w:rsidR="00C32E3A" w:rsidP="00C32E3A" w:rsidRDefault="00C32E3A">
      <w:pPr>
        <w:spacing w:after="0"/>
        <w:rPr>
          <w:rFonts w:eastAsia="Times New Roman"/>
          <w:i/>
          <w:szCs w:val="18"/>
        </w:rPr>
      </w:pPr>
    </w:p>
    <w:p w:rsidRPr="00F65B8C" w:rsidR="00C32E3A" w:rsidP="00C32E3A" w:rsidRDefault="00C32E3A">
      <w:pPr>
        <w:spacing w:after="0"/>
        <w:rPr>
          <w:rFonts w:eastAsia="Times New Roman"/>
          <w:i/>
          <w:szCs w:val="18"/>
        </w:rPr>
      </w:pPr>
      <w:r>
        <w:rPr>
          <w:rFonts w:eastAsia="Times New Roman"/>
          <w:i/>
          <w:szCs w:val="18"/>
        </w:rPr>
        <w:t xml:space="preserve">Diversen - </w:t>
      </w:r>
      <w:r w:rsidRPr="00F65B8C">
        <w:rPr>
          <w:rFonts w:eastAsia="Times New Roman"/>
          <w:i/>
          <w:szCs w:val="18"/>
        </w:rPr>
        <w:t>rijksbegroting in enge zin, beleid</w:t>
      </w:r>
      <w:r>
        <w:rPr>
          <w:rFonts w:eastAsia="Times New Roman"/>
          <w:i/>
          <w:szCs w:val="18"/>
        </w:rPr>
        <w:t>smatige- en technische mutaties</w:t>
      </w:r>
    </w:p>
    <w:p w:rsidR="00403FED" w:rsidP="00C32E3A" w:rsidRDefault="00C32E3A">
      <w:pPr>
        <w:spacing w:after="0"/>
        <w:rPr>
          <w:rFonts w:eastAsia="Times New Roman"/>
          <w:szCs w:val="18"/>
        </w:rPr>
      </w:pPr>
      <w:r w:rsidRPr="00F65B8C">
        <w:rPr>
          <w:rFonts w:eastAsia="Times New Roman"/>
          <w:szCs w:val="18"/>
        </w:rPr>
        <w:t xml:space="preserve">Dit betreft een som van mutaties en overboekingen die tussen HGIS-begrotingen plaatsvinden. De belangrijkste posten betreft de uitkering van de eindejaarsmarges aan diverse begrotingen, loon- en prijsbijstelling en uitvoeringsmutaties. Daarnaast bevat de post diversen een niet plafondrelevante wisselkoersmutatie van 2,9 mln. voor de </w:t>
      </w:r>
      <w:proofErr w:type="spellStart"/>
      <w:r w:rsidRPr="00F65B8C">
        <w:rPr>
          <w:rFonts w:eastAsia="Times New Roman"/>
          <w:szCs w:val="18"/>
        </w:rPr>
        <w:t>Asian</w:t>
      </w:r>
      <w:proofErr w:type="spellEnd"/>
      <w:r w:rsidRPr="00F65B8C">
        <w:rPr>
          <w:rFonts w:eastAsia="Times New Roman"/>
          <w:szCs w:val="18"/>
        </w:rPr>
        <w:t xml:space="preserve"> </w:t>
      </w:r>
      <w:proofErr w:type="spellStart"/>
      <w:r w:rsidRPr="00F65B8C">
        <w:rPr>
          <w:rFonts w:eastAsia="Times New Roman"/>
          <w:szCs w:val="18"/>
        </w:rPr>
        <w:t>Infrastructure</w:t>
      </w:r>
      <w:proofErr w:type="spellEnd"/>
      <w:r w:rsidRPr="00F65B8C">
        <w:rPr>
          <w:rFonts w:eastAsia="Times New Roman"/>
          <w:szCs w:val="18"/>
        </w:rPr>
        <w:t xml:space="preserve"> Investment Bank (AIIB).</w:t>
      </w:r>
    </w:p>
    <w:p w:rsidR="00C32E3A" w:rsidP="00C32E3A" w:rsidRDefault="00C32E3A">
      <w:pPr>
        <w:spacing w:after="0"/>
        <w:rPr>
          <w:rFonts w:eastAsia="Times New Roman"/>
          <w:szCs w:val="18"/>
        </w:rPr>
      </w:pPr>
    </w:p>
    <w:p w:rsidRPr="00F65B8C" w:rsidR="00C32E3A" w:rsidP="00C32E3A" w:rsidRDefault="00C32E3A">
      <w:pPr>
        <w:spacing w:after="0"/>
        <w:rPr>
          <w:i/>
          <w:szCs w:val="18"/>
        </w:rPr>
      </w:pPr>
      <w:r>
        <w:rPr>
          <w:i/>
          <w:szCs w:val="18"/>
        </w:rPr>
        <w:t xml:space="preserve">Diversen - </w:t>
      </w:r>
      <w:r w:rsidRPr="00F65B8C">
        <w:rPr>
          <w:i/>
          <w:szCs w:val="18"/>
        </w:rPr>
        <w:t>rijksbegroting in enge zin, belei</w:t>
      </w:r>
      <w:r>
        <w:rPr>
          <w:i/>
          <w:szCs w:val="18"/>
        </w:rPr>
        <w:t>dsmatige en technische mutaties, ontvangsten</w:t>
      </w:r>
    </w:p>
    <w:p w:rsidRPr="00F65B8C" w:rsidR="00C32E3A" w:rsidP="00C32E3A" w:rsidRDefault="00C32E3A">
      <w:pPr>
        <w:spacing w:after="0"/>
        <w:rPr>
          <w:szCs w:val="18"/>
        </w:rPr>
      </w:pPr>
      <w:r w:rsidRPr="00F65B8C">
        <w:rPr>
          <w:szCs w:val="18"/>
        </w:rPr>
        <w:t xml:space="preserve">De ontvangsten van de Internationale Financiële Instellingen waren voor een klein deel geen onderdeel van de HGIS. Deze zijn nu volledig </w:t>
      </w:r>
      <w:proofErr w:type="spellStart"/>
      <w:r w:rsidRPr="00F65B8C">
        <w:rPr>
          <w:szCs w:val="18"/>
        </w:rPr>
        <w:t>omgelabeld</w:t>
      </w:r>
      <w:proofErr w:type="spellEnd"/>
      <w:r w:rsidRPr="00F65B8C">
        <w:rPr>
          <w:szCs w:val="18"/>
        </w:rPr>
        <w:t xml:space="preserve"> van niet-HGIS naar HGIS-middelen. De technische mutaties bestaan hoofdzakelijk uit enkele desalderingen, waarvan de groots</w:t>
      </w:r>
      <w:r>
        <w:rPr>
          <w:szCs w:val="18"/>
        </w:rPr>
        <w:t>t</w:t>
      </w:r>
      <w:r w:rsidRPr="00F65B8C">
        <w:rPr>
          <w:szCs w:val="18"/>
        </w:rPr>
        <w:t>e (20 mln.) wordt veroorzaakt door hogere ontvangsten uit de verkoop van vastgoed door BZ.</w:t>
      </w:r>
    </w:p>
    <w:p w:rsidR="00C32E3A" w:rsidP="00C32E3A" w:rsidRDefault="00C32E3A">
      <w:pPr>
        <w:spacing w:after="0"/>
        <w:rPr>
          <w:rFonts w:asciiTheme="majorHAnsi" w:hAnsiTheme="majorHAnsi"/>
          <w:b/>
          <w:szCs w:val="18"/>
        </w:rPr>
      </w:pPr>
    </w:p>
    <w:sectPr w:rsidR="00C32E3A" w:rsidSect="00A17C6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996" w:rsidRDefault="00C90996" w:rsidP="00037077">
      <w:pPr>
        <w:spacing w:after="0" w:line="240" w:lineRule="auto"/>
      </w:pPr>
      <w:r>
        <w:separator/>
      </w:r>
    </w:p>
  </w:endnote>
  <w:endnote w:type="continuationSeparator" w:id="0">
    <w:p w:rsidR="00C90996" w:rsidRDefault="00C90996" w:rsidP="0003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96" w:rsidRDefault="00C9099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36083"/>
      <w:docPartObj>
        <w:docPartGallery w:val="Page Numbers (Bottom of Page)"/>
        <w:docPartUnique/>
      </w:docPartObj>
    </w:sdtPr>
    <w:sdtEndPr/>
    <w:sdtContent>
      <w:p w:rsidR="00C90996" w:rsidRDefault="00C90996">
        <w:pPr>
          <w:pStyle w:val="Voettekst"/>
          <w:jc w:val="right"/>
        </w:pPr>
        <w:r>
          <w:rPr>
            <w:noProof/>
          </w:rPr>
          <w:fldChar w:fldCharType="begin"/>
        </w:r>
        <w:r>
          <w:rPr>
            <w:noProof/>
          </w:rPr>
          <w:instrText xml:space="preserve"> PAGE   \* MERGEFORMAT </w:instrText>
        </w:r>
        <w:r>
          <w:rPr>
            <w:noProof/>
          </w:rPr>
          <w:fldChar w:fldCharType="separate"/>
        </w:r>
        <w:r w:rsidR="00F44E07">
          <w:rPr>
            <w:noProof/>
          </w:rPr>
          <w:t>91</w:t>
        </w:r>
        <w:r>
          <w:rPr>
            <w:noProof/>
          </w:rPr>
          <w:fldChar w:fldCharType="end"/>
        </w:r>
      </w:p>
    </w:sdtContent>
  </w:sdt>
  <w:p w:rsidR="00C90996" w:rsidRDefault="00C9099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96" w:rsidRDefault="00C9099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996" w:rsidRDefault="00C90996" w:rsidP="00037077">
      <w:pPr>
        <w:spacing w:after="0" w:line="240" w:lineRule="auto"/>
      </w:pPr>
      <w:r>
        <w:separator/>
      </w:r>
    </w:p>
  </w:footnote>
  <w:footnote w:type="continuationSeparator" w:id="0">
    <w:p w:rsidR="00C90996" w:rsidRDefault="00C90996" w:rsidP="0003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96" w:rsidRDefault="00C9099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96" w:rsidRDefault="00C9099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996" w:rsidRDefault="00C9099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52B"/>
    <w:multiLevelType w:val="hybridMultilevel"/>
    <w:tmpl w:val="EF423C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685166"/>
    <w:multiLevelType w:val="hybridMultilevel"/>
    <w:tmpl w:val="1F90463A"/>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nsid w:val="0B806134"/>
    <w:multiLevelType w:val="hybridMultilevel"/>
    <w:tmpl w:val="1D8023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A1F3CA1"/>
    <w:multiLevelType w:val="hybridMultilevel"/>
    <w:tmpl w:val="8416BE6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02C7AE6"/>
    <w:multiLevelType w:val="hybridMultilevel"/>
    <w:tmpl w:val="8BAEF7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73D00E9"/>
    <w:multiLevelType w:val="hybridMultilevel"/>
    <w:tmpl w:val="878ECC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B7605B4"/>
    <w:multiLevelType w:val="hybridMultilevel"/>
    <w:tmpl w:val="C360C8B4"/>
    <w:lvl w:ilvl="0" w:tplc="07AC8D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2CE92B08"/>
    <w:multiLevelType w:val="hybridMultilevel"/>
    <w:tmpl w:val="EC18FD64"/>
    <w:lvl w:ilvl="0" w:tplc="1430BBF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EDB4CDB"/>
    <w:multiLevelType w:val="hybridMultilevel"/>
    <w:tmpl w:val="8B049A02"/>
    <w:lvl w:ilvl="0" w:tplc="4D6A7304">
      <w:numFmt w:val="bullet"/>
      <w:lvlText w:val=""/>
      <w:lvlJc w:val="left"/>
      <w:pPr>
        <w:ind w:left="1428" w:hanging="360"/>
      </w:pPr>
      <w:rPr>
        <w:rFonts w:ascii="Symbol" w:eastAsiaTheme="minorEastAsia"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nsid w:val="325A5CB1"/>
    <w:multiLevelType w:val="hybridMultilevel"/>
    <w:tmpl w:val="099ACB30"/>
    <w:lvl w:ilvl="0" w:tplc="C61CBEE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37DC2A56"/>
    <w:multiLevelType w:val="hybridMultilevel"/>
    <w:tmpl w:val="2E7E03C4"/>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nsid w:val="3A2C61BD"/>
    <w:multiLevelType w:val="hybridMultilevel"/>
    <w:tmpl w:val="5DDAF72C"/>
    <w:lvl w:ilvl="0" w:tplc="1098F10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B1128F6"/>
    <w:multiLevelType w:val="hybridMultilevel"/>
    <w:tmpl w:val="981E4898"/>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nsid w:val="3B7B2139"/>
    <w:multiLevelType w:val="hybridMultilevel"/>
    <w:tmpl w:val="77929834"/>
    <w:lvl w:ilvl="0" w:tplc="D1146C34">
      <w:start w:val="360"/>
      <w:numFmt w:val="bullet"/>
      <w:lvlText w:val=""/>
      <w:lvlJc w:val="left"/>
      <w:pPr>
        <w:ind w:left="720" w:hanging="360"/>
      </w:pPr>
      <w:rPr>
        <w:rFonts w:ascii="Symbol" w:eastAsiaTheme="minorEastAsia" w:hAnsi="Symbol" w:cs="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EAA4AF5"/>
    <w:multiLevelType w:val="hybridMultilevel"/>
    <w:tmpl w:val="40F0A8BA"/>
    <w:lvl w:ilvl="0" w:tplc="B4C8DBD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42A317E5"/>
    <w:multiLevelType w:val="hybridMultilevel"/>
    <w:tmpl w:val="8EB2D5E8"/>
    <w:lvl w:ilvl="0" w:tplc="DC1A7C9E">
      <w:start w:val="1"/>
      <w:numFmt w:val="decimal"/>
      <w:lvlText w:val="%1)"/>
      <w:lvlJc w:val="left"/>
      <w:pPr>
        <w:ind w:left="360" w:hanging="360"/>
      </w:pPr>
      <w:rPr>
        <w:rFonts w:ascii="Verdana" w:eastAsiaTheme="minorEastAsia"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2FD20E1"/>
    <w:multiLevelType w:val="hybridMultilevel"/>
    <w:tmpl w:val="D0D406C6"/>
    <w:lvl w:ilvl="0" w:tplc="F304806A">
      <w:start w:val="6"/>
      <w:numFmt w:val="bullet"/>
      <w:lvlText w:val=""/>
      <w:lvlJc w:val="left"/>
      <w:pPr>
        <w:ind w:left="720" w:hanging="360"/>
      </w:pPr>
      <w:rPr>
        <w:rFonts w:ascii="Symbol" w:eastAsiaTheme="minorEastAsia"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5620025"/>
    <w:multiLevelType w:val="hybridMultilevel"/>
    <w:tmpl w:val="B23E7BAA"/>
    <w:lvl w:ilvl="0" w:tplc="CEAE863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4A167CDD"/>
    <w:multiLevelType w:val="hybridMultilevel"/>
    <w:tmpl w:val="253828A0"/>
    <w:lvl w:ilvl="0" w:tplc="C938187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4CA2213B"/>
    <w:multiLevelType w:val="hybridMultilevel"/>
    <w:tmpl w:val="682A704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nsid w:val="58F1672C"/>
    <w:multiLevelType w:val="hybridMultilevel"/>
    <w:tmpl w:val="6AF0056E"/>
    <w:lvl w:ilvl="0" w:tplc="9698EC66">
      <w:start w:val="1"/>
      <w:numFmt w:val="decimal"/>
      <w:lvlText w:val="%1)"/>
      <w:lvlJc w:val="left"/>
      <w:pPr>
        <w:ind w:left="360" w:hanging="360"/>
      </w:pPr>
      <w:rPr>
        <w:rFonts w:ascii="Verdana" w:eastAsiaTheme="minorEastAsia"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BB45EE0"/>
    <w:multiLevelType w:val="hybridMultilevel"/>
    <w:tmpl w:val="E0EC5CC2"/>
    <w:lvl w:ilvl="0" w:tplc="B01A69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03A6D37"/>
    <w:multiLevelType w:val="hybridMultilevel"/>
    <w:tmpl w:val="366055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CDF6693"/>
    <w:multiLevelType w:val="hybridMultilevel"/>
    <w:tmpl w:val="C4DCBE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4831834"/>
    <w:multiLevelType w:val="hybridMultilevel"/>
    <w:tmpl w:val="C4DCBE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8047CFC"/>
    <w:multiLevelType w:val="hybridMultilevel"/>
    <w:tmpl w:val="2FD42A96"/>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6">
    <w:nsid w:val="7CD00A17"/>
    <w:multiLevelType w:val="hybridMultilevel"/>
    <w:tmpl w:val="085C35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6"/>
  </w:num>
  <w:num w:numId="2">
    <w:abstractNumId w:val="3"/>
  </w:num>
  <w:num w:numId="3">
    <w:abstractNumId w:val="2"/>
  </w:num>
  <w:num w:numId="4">
    <w:abstractNumId w:val="24"/>
  </w:num>
  <w:num w:numId="5">
    <w:abstractNumId w:val="23"/>
  </w:num>
  <w:num w:numId="6">
    <w:abstractNumId w:val="5"/>
  </w:num>
  <w:num w:numId="7">
    <w:abstractNumId w:val="0"/>
  </w:num>
  <w:num w:numId="8">
    <w:abstractNumId w:val="11"/>
  </w:num>
  <w:num w:numId="9">
    <w:abstractNumId w:val="7"/>
  </w:num>
  <w:num w:numId="10">
    <w:abstractNumId w:val="18"/>
  </w:num>
  <w:num w:numId="11">
    <w:abstractNumId w:val="6"/>
  </w:num>
  <w:num w:numId="12">
    <w:abstractNumId w:val="21"/>
  </w:num>
  <w:num w:numId="13">
    <w:abstractNumId w:val="17"/>
  </w:num>
  <w:num w:numId="14">
    <w:abstractNumId w:val="14"/>
  </w:num>
  <w:num w:numId="15">
    <w:abstractNumId w:val="9"/>
  </w:num>
  <w:num w:numId="16">
    <w:abstractNumId w:val="22"/>
  </w:num>
  <w:num w:numId="17">
    <w:abstractNumId w:val="15"/>
  </w:num>
  <w:num w:numId="18">
    <w:abstractNumId w:val="20"/>
  </w:num>
  <w:num w:numId="19">
    <w:abstractNumId w:val="8"/>
  </w:num>
  <w:num w:numId="20">
    <w:abstractNumId w:val="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77"/>
    <w:rsid w:val="00004405"/>
    <w:rsid w:val="00004501"/>
    <w:rsid w:val="00007DD9"/>
    <w:rsid w:val="000118D7"/>
    <w:rsid w:val="00016AC5"/>
    <w:rsid w:val="0001761B"/>
    <w:rsid w:val="000233A4"/>
    <w:rsid w:val="00023745"/>
    <w:rsid w:val="00031D8C"/>
    <w:rsid w:val="0003638F"/>
    <w:rsid w:val="00037077"/>
    <w:rsid w:val="0004169E"/>
    <w:rsid w:val="0005339E"/>
    <w:rsid w:val="000601AC"/>
    <w:rsid w:val="000655C3"/>
    <w:rsid w:val="00072D91"/>
    <w:rsid w:val="00080762"/>
    <w:rsid w:val="000951F9"/>
    <w:rsid w:val="000A174C"/>
    <w:rsid w:val="000A2586"/>
    <w:rsid w:val="000B7BA4"/>
    <w:rsid w:val="000E41F3"/>
    <w:rsid w:val="000F0FC0"/>
    <w:rsid w:val="000F61F4"/>
    <w:rsid w:val="00101B26"/>
    <w:rsid w:val="001039C6"/>
    <w:rsid w:val="00112728"/>
    <w:rsid w:val="00121211"/>
    <w:rsid w:val="00127258"/>
    <w:rsid w:val="0013363B"/>
    <w:rsid w:val="00141992"/>
    <w:rsid w:val="00143203"/>
    <w:rsid w:val="00161CF8"/>
    <w:rsid w:val="00185659"/>
    <w:rsid w:val="0019133B"/>
    <w:rsid w:val="001A0210"/>
    <w:rsid w:val="001A03B6"/>
    <w:rsid w:val="001A050D"/>
    <w:rsid w:val="001A3F52"/>
    <w:rsid w:val="001D6530"/>
    <w:rsid w:val="001D695D"/>
    <w:rsid w:val="001F2CBE"/>
    <w:rsid w:val="0020037D"/>
    <w:rsid w:val="0020359E"/>
    <w:rsid w:val="002057D7"/>
    <w:rsid w:val="00205986"/>
    <w:rsid w:val="00221652"/>
    <w:rsid w:val="00225DED"/>
    <w:rsid w:val="0022681F"/>
    <w:rsid w:val="0023128A"/>
    <w:rsid w:val="0024756B"/>
    <w:rsid w:val="00247831"/>
    <w:rsid w:val="002523A0"/>
    <w:rsid w:val="00253C09"/>
    <w:rsid w:val="002748F4"/>
    <w:rsid w:val="00291548"/>
    <w:rsid w:val="00297237"/>
    <w:rsid w:val="002B1507"/>
    <w:rsid w:val="002B502E"/>
    <w:rsid w:val="002B5750"/>
    <w:rsid w:val="002D035D"/>
    <w:rsid w:val="002D1F5E"/>
    <w:rsid w:val="002E3C02"/>
    <w:rsid w:val="002E6EEE"/>
    <w:rsid w:val="00313FD5"/>
    <w:rsid w:val="00316BE8"/>
    <w:rsid w:val="003205AE"/>
    <w:rsid w:val="003208AC"/>
    <w:rsid w:val="00362B14"/>
    <w:rsid w:val="003727EE"/>
    <w:rsid w:val="00381453"/>
    <w:rsid w:val="00396AAC"/>
    <w:rsid w:val="00396D90"/>
    <w:rsid w:val="003B6C7B"/>
    <w:rsid w:val="003B7EA3"/>
    <w:rsid w:val="003C2C10"/>
    <w:rsid w:val="003C44FF"/>
    <w:rsid w:val="003C47FB"/>
    <w:rsid w:val="003C56C7"/>
    <w:rsid w:val="003C68AF"/>
    <w:rsid w:val="003F3BFE"/>
    <w:rsid w:val="003F5C37"/>
    <w:rsid w:val="003F68AB"/>
    <w:rsid w:val="00403FED"/>
    <w:rsid w:val="004115B9"/>
    <w:rsid w:val="0041392D"/>
    <w:rsid w:val="0041724C"/>
    <w:rsid w:val="00420EBB"/>
    <w:rsid w:val="0042448B"/>
    <w:rsid w:val="0044343A"/>
    <w:rsid w:val="00455EF1"/>
    <w:rsid w:val="0046454D"/>
    <w:rsid w:val="00467DCF"/>
    <w:rsid w:val="004771E6"/>
    <w:rsid w:val="00484430"/>
    <w:rsid w:val="0049128D"/>
    <w:rsid w:val="00494C1A"/>
    <w:rsid w:val="004A4130"/>
    <w:rsid w:val="004A4C7D"/>
    <w:rsid w:val="004A4CBD"/>
    <w:rsid w:val="004A4F2D"/>
    <w:rsid w:val="004B3052"/>
    <w:rsid w:val="004B5733"/>
    <w:rsid w:val="004C24D2"/>
    <w:rsid w:val="004C2F01"/>
    <w:rsid w:val="004D2698"/>
    <w:rsid w:val="004E737F"/>
    <w:rsid w:val="004F053F"/>
    <w:rsid w:val="004F2D78"/>
    <w:rsid w:val="004F749D"/>
    <w:rsid w:val="00507CA3"/>
    <w:rsid w:val="00523530"/>
    <w:rsid w:val="00526FC9"/>
    <w:rsid w:val="00534116"/>
    <w:rsid w:val="00540E2A"/>
    <w:rsid w:val="005572E9"/>
    <w:rsid w:val="00563D71"/>
    <w:rsid w:val="00571593"/>
    <w:rsid w:val="005729A9"/>
    <w:rsid w:val="005B0772"/>
    <w:rsid w:val="005B13BC"/>
    <w:rsid w:val="005B2375"/>
    <w:rsid w:val="005C0287"/>
    <w:rsid w:val="005D1F37"/>
    <w:rsid w:val="005D2162"/>
    <w:rsid w:val="005E72FE"/>
    <w:rsid w:val="005F0E61"/>
    <w:rsid w:val="00607842"/>
    <w:rsid w:val="0062085A"/>
    <w:rsid w:val="00622B7E"/>
    <w:rsid w:val="006239BD"/>
    <w:rsid w:val="00626DC9"/>
    <w:rsid w:val="00632AE9"/>
    <w:rsid w:val="00635C43"/>
    <w:rsid w:val="00636772"/>
    <w:rsid w:val="00640DC7"/>
    <w:rsid w:val="00650EA7"/>
    <w:rsid w:val="00657536"/>
    <w:rsid w:val="0068130C"/>
    <w:rsid w:val="00684D42"/>
    <w:rsid w:val="00685F39"/>
    <w:rsid w:val="006870F2"/>
    <w:rsid w:val="006972AF"/>
    <w:rsid w:val="006A58AF"/>
    <w:rsid w:val="006A66CE"/>
    <w:rsid w:val="006A7C9D"/>
    <w:rsid w:val="006B39C8"/>
    <w:rsid w:val="006B5866"/>
    <w:rsid w:val="006C11C4"/>
    <w:rsid w:val="006D0BCE"/>
    <w:rsid w:val="006D62F8"/>
    <w:rsid w:val="006D698A"/>
    <w:rsid w:val="006F33D7"/>
    <w:rsid w:val="006F352E"/>
    <w:rsid w:val="00702B6F"/>
    <w:rsid w:val="0070686C"/>
    <w:rsid w:val="00710FB7"/>
    <w:rsid w:val="007170B2"/>
    <w:rsid w:val="00723B61"/>
    <w:rsid w:val="007240EC"/>
    <w:rsid w:val="00740585"/>
    <w:rsid w:val="007463DE"/>
    <w:rsid w:val="00746A72"/>
    <w:rsid w:val="00750F51"/>
    <w:rsid w:val="007540EF"/>
    <w:rsid w:val="00756389"/>
    <w:rsid w:val="00760F20"/>
    <w:rsid w:val="007738F4"/>
    <w:rsid w:val="00780C61"/>
    <w:rsid w:val="00794178"/>
    <w:rsid w:val="00796A43"/>
    <w:rsid w:val="007D6987"/>
    <w:rsid w:val="007E3203"/>
    <w:rsid w:val="007E6490"/>
    <w:rsid w:val="007F4551"/>
    <w:rsid w:val="007F47A8"/>
    <w:rsid w:val="007F7481"/>
    <w:rsid w:val="007F7532"/>
    <w:rsid w:val="007F7FE2"/>
    <w:rsid w:val="008116C5"/>
    <w:rsid w:val="0081566B"/>
    <w:rsid w:val="00826A68"/>
    <w:rsid w:val="0082726D"/>
    <w:rsid w:val="00831BE7"/>
    <w:rsid w:val="00832F74"/>
    <w:rsid w:val="00834E28"/>
    <w:rsid w:val="0083626A"/>
    <w:rsid w:val="00840973"/>
    <w:rsid w:val="008423E3"/>
    <w:rsid w:val="0084278A"/>
    <w:rsid w:val="00844167"/>
    <w:rsid w:val="00846CB2"/>
    <w:rsid w:val="00850C51"/>
    <w:rsid w:val="00873E39"/>
    <w:rsid w:val="00880E57"/>
    <w:rsid w:val="00882FFF"/>
    <w:rsid w:val="00887D75"/>
    <w:rsid w:val="008953FA"/>
    <w:rsid w:val="008A6C26"/>
    <w:rsid w:val="008C7555"/>
    <w:rsid w:val="008D699A"/>
    <w:rsid w:val="008E269E"/>
    <w:rsid w:val="00901B97"/>
    <w:rsid w:val="00902BEA"/>
    <w:rsid w:val="00905545"/>
    <w:rsid w:val="00911339"/>
    <w:rsid w:val="009120CC"/>
    <w:rsid w:val="00915D2F"/>
    <w:rsid w:val="009255D1"/>
    <w:rsid w:val="009268AA"/>
    <w:rsid w:val="00947515"/>
    <w:rsid w:val="009659E5"/>
    <w:rsid w:val="00971AAE"/>
    <w:rsid w:val="00975E04"/>
    <w:rsid w:val="00980981"/>
    <w:rsid w:val="009929FC"/>
    <w:rsid w:val="009A488A"/>
    <w:rsid w:val="009C28D1"/>
    <w:rsid w:val="009E03DE"/>
    <w:rsid w:val="009E0FDE"/>
    <w:rsid w:val="009E5A2F"/>
    <w:rsid w:val="009F0994"/>
    <w:rsid w:val="00A122CB"/>
    <w:rsid w:val="00A145FA"/>
    <w:rsid w:val="00A15AC6"/>
    <w:rsid w:val="00A15F10"/>
    <w:rsid w:val="00A17C6E"/>
    <w:rsid w:val="00A2160C"/>
    <w:rsid w:val="00A30A93"/>
    <w:rsid w:val="00A36CC4"/>
    <w:rsid w:val="00A37C42"/>
    <w:rsid w:val="00A45B05"/>
    <w:rsid w:val="00A47D08"/>
    <w:rsid w:val="00A51222"/>
    <w:rsid w:val="00A52527"/>
    <w:rsid w:val="00A6086E"/>
    <w:rsid w:val="00A6787C"/>
    <w:rsid w:val="00A77A76"/>
    <w:rsid w:val="00A77FB8"/>
    <w:rsid w:val="00A80F78"/>
    <w:rsid w:val="00A841CC"/>
    <w:rsid w:val="00A92075"/>
    <w:rsid w:val="00A92162"/>
    <w:rsid w:val="00A94C31"/>
    <w:rsid w:val="00AE359D"/>
    <w:rsid w:val="00AE41A0"/>
    <w:rsid w:val="00AF2EFF"/>
    <w:rsid w:val="00AF3B96"/>
    <w:rsid w:val="00B01063"/>
    <w:rsid w:val="00B017F7"/>
    <w:rsid w:val="00B05FB8"/>
    <w:rsid w:val="00B119AB"/>
    <w:rsid w:val="00B20380"/>
    <w:rsid w:val="00B22B99"/>
    <w:rsid w:val="00B32C47"/>
    <w:rsid w:val="00B50733"/>
    <w:rsid w:val="00B526B7"/>
    <w:rsid w:val="00B617A5"/>
    <w:rsid w:val="00B63DAB"/>
    <w:rsid w:val="00B717DD"/>
    <w:rsid w:val="00B76E9E"/>
    <w:rsid w:val="00BA1C2E"/>
    <w:rsid w:val="00BB306A"/>
    <w:rsid w:val="00BB7DE5"/>
    <w:rsid w:val="00BC3397"/>
    <w:rsid w:val="00BD7A19"/>
    <w:rsid w:val="00BE10EF"/>
    <w:rsid w:val="00BE292C"/>
    <w:rsid w:val="00BE492E"/>
    <w:rsid w:val="00BE7585"/>
    <w:rsid w:val="00C109C8"/>
    <w:rsid w:val="00C165FF"/>
    <w:rsid w:val="00C169BC"/>
    <w:rsid w:val="00C302AC"/>
    <w:rsid w:val="00C30584"/>
    <w:rsid w:val="00C32E3A"/>
    <w:rsid w:val="00C47B51"/>
    <w:rsid w:val="00C530A3"/>
    <w:rsid w:val="00C632A5"/>
    <w:rsid w:val="00C67384"/>
    <w:rsid w:val="00C74D83"/>
    <w:rsid w:val="00C86CBD"/>
    <w:rsid w:val="00C87AC6"/>
    <w:rsid w:val="00C90996"/>
    <w:rsid w:val="00CB3FAE"/>
    <w:rsid w:val="00CB72EA"/>
    <w:rsid w:val="00CD34F9"/>
    <w:rsid w:val="00CF4D00"/>
    <w:rsid w:val="00D145C6"/>
    <w:rsid w:val="00D203B2"/>
    <w:rsid w:val="00D24B3B"/>
    <w:rsid w:val="00D25EF1"/>
    <w:rsid w:val="00D40E20"/>
    <w:rsid w:val="00D450D3"/>
    <w:rsid w:val="00D53510"/>
    <w:rsid w:val="00D629C5"/>
    <w:rsid w:val="00D72210"/>
    <w:rsid w:val="00D80750"/>
    <w:rsid w:val="00D8250F"/>
    <w:rsid w:val="00D83814"/>
    <w:rsid w:val="00D83BA3"/>
    <w:rsid w:val="00D87A43"/>
    <w:rsid w:val="00D93376"/>
    <w:rsid w:val="00D96051"/>
    <w:rsid w:val="00DA57DB"/>
    <w:rsid w:val="00DC642B"/>
    <w:rsid w:val="00DC7E88"/>
    <w:rsid w:val="00DD2727"/>
    <w:rsid w:val="00DE0350"/>
    <w:rsid w:val="00E01EFC"/>
    <w:rsid w:val="00E0268A"/>
    <w:rsid w:val="00E04594"/>
    <w:rsid w:val="00E04E53"/>
    <w:rsid w:val="00E0544E"/>
    <w:rsid w:val="00E44382"/>
    <w:rsid w:val="00E53D8E"/>
    <w:rsid w:val="00E54DF4"/>
    <w:rsid w:val="00E70B70"/>
    <w:rsid w:val="00E91F5D"/>
    <w:rsid w:val="00E936BC"/>
    <w:rsid w:val="00E94AC9"/>
    <w:rsid w:val="00E94E5C"/>
    <w:rsid w:val="00EA0CF8"/>
    <w:rsid w:val="00EA1CAD"/>
    <w:rsid w:val="00EA6CA2"/>
    <w:rsid w:val="00EE2A33"/>
    <w:rsid w:val="00EE3EB4"/>
    <w:rsid w:val="00EF1805"/>
    <w:rsid w:val="00F02A47"/>
    <w:rsid w:val="00F05204"/>
    <w:rsid w:val="00F07F2F"/>
    <w:rsid w:val="00F14D24"/>
    <w:rsid w:val="00F16C2D"/>
    <w:rsid w:val="00F220EC"/>
    <w:rsid w:val="00F22CDC"/>
    <w:rsid w:val="00F23DC7"/>
    <w:rsid w:val="00F278A1"/>
    <w:rsid w:val="00F3428A"/>
    <w:rsid w:val="00F407EF"/>
    <w:rsid w:val="00F42A89"/>
    <w:rsid w:val="00F44E07"/>
    <w:rsid w:val="00F47765"/>
    <w:rsid w:val="00F47B65"/>
    <w:rsid w:val="00F519D3"/>
    <w:rsid w:val="00F54441"/>
    <w:rsid w:val="00F74698"/>
    <w:rsid w:val="00F82FC6"/>
    <w:rsid w:val="00F90B93"/>
    <w:rsid w:val="00FA47AB"/>
    <w:rsid w:val="00FA5854"/>
    <w:rsid w:val="00FA6458"/>
    <w:rsid w:val="00FB05A0"/>
    <w:rsid w:val="00FC0E80"/>
    <w:rsid w:val="00FC1B01"/>
    <w:rsid w:val="00FC2DF7"/>
    <w:rsid w:val="00FE0F51"/>
    <w:rsid w:val="00FF5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72AF"/>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semiHidden/>
    <w:unhideWhenUsed/>
    <w:qFormat/>
    <w:rsid w:val="00D203B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link w:val="Kop4Char"/>
    <w:uiPriority w:val="9"/>
    <w:qFormat/>
    <w:rsid w:val="00B32C47"/>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0370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37077"/>
    <w:rPr>
      <w:rFonts w:ascii="Verdana" w:hAnsi="Verdana"/>
      <w:sz w:val="18"/>
    </w:rPr>
  </w:style>
  <w:style w:type="paragraph" w:styleId="Voettekst">
    <w:name w:val="footer"/>
    <w:basedOn w:val="Standaard"/>
    <w:link w:val="VoettekstChar"/>
    <w:uiPriority w:val="99"/>
    <w:unhideWhenUsed/>
    <w:rsid w:val="000370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7077"/>
    <w:rPr>
      <w:rFonts w:ascii="Verdana" w:hAnsi="Verdana"/>
      <w:sz w:val="18"/>
    </w:rPr>
  </w:style>
  <w:style w:type="table" w:styleId="Klassieketabel1">
    <w:name w:val="Table Classic 1"/>
    <w:basedOn w:val="Standaardtabel"/>
    <w:uiPriority w:val="99"/>
    <w:rsid w:val="006972AF"/>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5D1F37"/>
    <w:rPr>
      <w:sz w:val="16"/>
      <w:szCs w:val="16"/>
    </w:rPr>
  </w:style>
  <w:style w:type="paragraph" w:styleId="Tekstopmerking">
    <w:name w:val="annotation text"/>
    <w:basedOn w:val="Standaard"/>
    <w:link w:val="TekstopmerkingChar"/>
    <w:uiPriority w:val="99"/>
    <w:semiHidden/>
    <w:unhideWhenUsed/>
    <w:qFormat/>
    <w:rsid w:val="005D1F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D1F3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D1F37"/>
    <w:rPr>
      <w:b/>
      <w:bCs/>
    </w:rPr>
  </w:style>
  <w:style w:type="character" w:customStyle="1" w:styleId="OnderwerpvanopmerkingChar">
    <w:name w:val="Onderwerp van opmerking Char"/>
    <w:basedOn w:val="TekstopmerkingChar"/>
    <w:link w:val="Onderwerpvanopmerking"/>
    <w:uiPriority w:val="99"/>
    <w:semiHidden/>
    <w:rsid w:val="005D1F37"/>
    <w:rPr>
      <w:rFonts w:ascii="Verdana" w:hAnsi="Verdana"/>
      <w:b/>
      <w:bCs/>
      <w:sz w:val="20"/>
      <w:szCs w:val="20"/>
    </w:rPr>
  </w:style>
  <w:style w:type="paragraph" w:styleId="Ballontekst">
    <w:name w:val="Balloon Text"/>
    <w:basedOn w:val="Standaard"/>
    <w:link w:val="BallontekstChar"/>
    <w:uiPriority w:val="99"/>
    <w:semiHidden/>
    <w:unhideWhenUsed/>
    <w:rsid w:val="005D1F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1F37"/>
    <w:rPr>
      <w:rFonts w:ascii="Tahoma" w:hAnsi="Tahoma" w:cs="Tahoma"/>
      <w:sz w:val="16"/>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D1F37"/>
    <w:pPr>
      <w:ind w:left="720"/>
      <w:contextualSpacing/>
    </w:pPr>
  </w:style>
  <w:style w:type="paragraph" w:styleId="Voetnoottekst">
    <w:name w:val="footnote text"/>
    <w:basedOn w:val="Standaard"/>
    <w:link w:val="VoetnoottekstChar"/>
    <w:uiPriority w:val="99"/>
    <w:semiHidden/>
    <w:unhideWhenUsed/>
    <w:rsid w:val="005D1F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D1F37"/>
    <w:rPr>
      <w:rFonts w:ascii="Verdana" w:hAnsi="Verdana"/>
      <w:sz w:val="20"/>
      <w:szCs w:val="20"/>
    </w:rPr>
  </w:style>
  <w:style w:type="character" w:styleId="Voetnootmarkering">
    <w:name w:val="footnote reference"/>
    <w:basedOn w:val="Standaardalinea-lettertype"/>
    <w:uiPriority w:val="99"/>
    <w:semiHidden/>
    <w:unhideWhenUsed/>
    <w:rsid w:val="005D1F37"/>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rsid w:val="005D1F37"/>
    <w:rPr>
      <w:rFonts w:ascii="Verdana" w:hAnsi="Verdana"/>
      <w:sz w:val="18"/>
    </w:rPr>
  </w:style>
  <w:style w:type="paragraph" w:customStyle="1" w:styleId="Default">
    <w:name w:val="Default"/>
    <w:rsid w:val="00B63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p4Char">
    <w:name w:val="Kop 4 Char"/>
    <w:basedOn w:val="Standaardalinea-lettertype"/>
    <w:link w:val="Kop4"/>
    <w:uiPriority w:val="9"/>
    <w:rsid w:val="00B32C47"/>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972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D203B2"/>
    <w:rPr>
      <w:rFonts w:asciiTheme="majorHAnsi" w:eastAsiaTheme="majorEastAsia" w:hAnsiTheme="majorHAnsi" w:cstheme="majorBidi"/>
      <w:b/>
      <w:bCs/>
      <w:color w:val="4F81BD" w:themeColor="accent1"/>
      <w:sz w:val="18"/>
    </w:rPr>
  </w:style>
  <w:style w:type="character" w:customStyle="1" w:styleId="st1">
    <w:name w:val="st1"/>
    <w:basedOn w:val="Standaardalinea-lettertype"/>
    <w:rsid w:val="00A92075"/>
  </w:style>
  <w:style w:type="paragraph" w:customStyle="1" w:styleId="msonormal0">
    <w:name w:val="msonormal"/>
    <w:basedOn w:val="Standaard"/>
    <w:rsid w:val="00844167"/>
    <w:pPr>
      <w:spacing w:before="100" w:beforeAutospacing="1" w:after="100" w:afterAutospacing="1" w:line="240" w:lineRule="auto"/>
    </w:pPr>
    <w:rPr>
      <w:rFonts w:ascii="Times New Roman" w:eastAsiaTheme="minorEastAsia" w:hAnsi="Times New Roman" w:cs="Times New Roman"/>
      <w:sz w:val="24"/>
      <w:szCs w:val="24"/>
      <w:lang w:eastAsia="nl-NL"/>
    </w:rPr>
  </w:style>
  <w:style w:type="table" w:styleId="Tabelraster">
    <w:name w:val="Table Grid"/>
    <w:basedOn w:val="Standaardtabel"/>
    <w:uiPriority w:val="59"/>
    <w:rsid w:val="00B2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72AF"/>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semiHidden/>
    <w:unhideWhenUsed/>
    <w:qFormat/>
    <w:rsid w:val="00D203B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link w:val="Kop4Char"/>
    <w:uiPriority w:val="9"/>
    <w:qFormat/>
    <w:rsid w:val="00B32C47"/>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0370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37077"/>
    <w:rPr>
      <w:rFonts w:ascii="Verdana" w:hAnsi="Verdana"/>
      <w:sz w:val="18"/>
    </w:rPr>
  </w:style>
  <w:style w:type="paragraph" w:styleId="Voettekst">
    <w:name w:val="footer"/>
    <w:basedOn w:val="Standaard"/>
    <w:link w:val="VoettekstChar"/>
    <w:uiPriority w:val="99"/>
    <w:unhideWhenUsed/>
    <w:rsid w:val="000370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7077"/>
    <w:rPr>
      <w:rFonts w:ascii="Verdana" w:hAnsi="Verdana"/>
      <w:sz w:val="18"/>
    </w:rPr>
  </w:style>
  <w:style w:type="table" w:styleId="Klassieketabel1">
    <w:name w:val="Table Classic 1"/>
    <w:basedOn w:val="Standaardtabel"/>
    <w:uiPriority w:val="99"/>
    <w:rsid w:val="006972AF"/>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5D1F37"/>
    <w:rPr>
      <w:sz w:val="16"/>
      <w:szCs w:val="16"/>
    </w:rPr>
  </w:style>
  <w:style w:type="paragraph" w:styleId="Tekstopmerking">
    <w:name w:val="annotation text"/>
    <w:basedOn w:val="Standaard"/>
    <w:link w:val="TekstopmerkingChar"/>
    <w:uiPriority w:val="99"/>
    <w:semiHidden/>
    <w:unhideWhenUsed/>
    <w:qFormat/>
    <w:rsid w:val="005D1F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D1F3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D1F37"/>
    <w:rPr>
      <w:b/>
      <w:bCs/>
    </w:rPr>
  </w:style>
  <w:style w:type="character" w:customStyle="1" w:styleId="OnderwerpvanopmerkingChar">
    <w:name w:val="Onderwerp van opmerking Char"/>
    <w:basedOn w:val="TekstopmerkingChar"/>
    <w:link w:val="Onderwerpvanopmerking"/>
    <w:uiPriority w:val="99"/>
    <w:semiHidden/>
    <w:rsid w:val="005D1F37"/>
    <w:rPr>
      <w:rFonts w:ascii="Verdana" w:hAnsi="Verdana"/>
      <w:b/>
      <w:bCs/>
      <w:sz w:val="20"/>
      <w:szCs w:val="20"/>
    </w:rPr>
  </w:style>
  <w:style w:type="paragraph" w:styleId="Ballontekst">
    <w:name w:val="Balloon Text"/>
    <w:basedOn w:val="Standaard"/>
    <w:link w:val="BallontekstChar"/>
    <w:uiPriority w:val="99"/>
    <w:semiHidden/>
    <w:unhideWhenUsed/>
    <w:rsid w:val="005D1F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1F37"/>
    <w:rPr>
      <w:rFonts w:ascii="Tahoma" w:hAnsi="Tahoma" w:cs="Tahoma"/>
      <w:sz w:val="16"/>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D1F37"/>
    <w:pPr>
      <w:ind w:left="720"/>
      <w:contextualSpacing/>
    </w:pPr>
  </w:style>
  <w:style w:type="paragraph" w:styleId="Voetnoottekst">
    <w:name w:val="footnote text"/>
    <w:basedOn w:val="Standaard"/>
    <w:link w:val="VoetnoottekstChar"/>
    <w:uiPriority w:val="99"/>
    <w:semiHidden/>
    <w:unhideWhenUsed/>
    <w:rsid w:val="005D1F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D1F37"/>
    <w:rPr>
      <w:rFonts w:ascii="Verdana" w:hAnsi="Verdana"/>
      <w:sz w:val="20"/>
      <w:szCs w:val="20"/>
    </w:rPr>
  </w:style>
  <w:style w:type="character" w:styleId="Voetnootmarkering">
    <w:name w:val="footnote reference"/>
    <w:basedOn w:val="Standaardalinea-lettertype"/>
    <w:uiPriority w:val="99"/>
    <w:semiHidden/>
    <w:unhideWhenUsed/>
    <w:rsid w:val="005D1F37"/>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rsid w:val="005D1F37"/>
    <w:rPr>
      <w:rFonts w:ascii="Verdana" w:hAnsi="Verdana"/>
      <w:sz w:val="18"/>
    </w:rPr>
  </w:style>
  <w:style w:type="paragraph" w:customStyle="1" w:styleId="Default">
    <w:name w:val="Default"/>
    <w:rsid w:val="00B63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p4Char">
    <w:name w:val="Kop 4 Char"/>
    <w:basedOn w:val="Standaardalinea-lettertype"/>
    <w:link w:val="Kop4"/>
    <w:uiPriority w:val="9"/>
    <w:rsid w:val="00B32C47"/>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29723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D203B2"/>
    <w:rPr>
      <w:rFonts w:asciiTheme="majorHAnsi" w:eastAsiaTheme="majorEastAsia" w:hAnsiTheme="majorHAnsi" w:cstheme="majorBidi"/>
      <w:b/>
      <w:bCs/>
      <w:color w:val="4F81BD" w:themeColor="accent1"/>
      <w:sz w:val="18"/>
    </w:rPr>
  </w:style>
  <w:style w:type="character" w:customStyle="1" w:styleId="st1">
    <w:name w:val="st1"/>
    <w:basedOn w:val="Standaardalinea-lettertype"/>
    <w:rsid w:val="00A92075"/>
  </w:style>
  <w:style w:type="paragraph" w:customStyle="1" w:styleId="msonormal0">
    <w:name w:val="msonormal"/>
    <w:basedOn w:val="Standaard"/>
    <w:rsid w:val="00844167"/>
    <w:pPr>
      <w:spacing w:before="100" w:beforeAutospacing="1" w:after="100" w:afterAutospacing="1" w:line="240" w:lineRule="auto"/>
    </w:pPr>
    <w:rPr>
      <w:rFonts w:ascii="Times New Roman" w:eastAsiaTheme="minorEastAsia" w:hAnsi="Times New Roman" w:cs="Times New Roman"/>
      <w:sz w:val="24"/>
      <w:szCs w:val="24"/>
      <w:lang w:eastAsia="nl-NL"/>
    </w:rPr>
  </w:style>
  <w:style w:type="table" w:styleId="Tabelraster">
    <w:name w:val="Table Grid"/>
    <w:basedOn w:val="Standaardtabel"/>
    <w:uiPriority w:val="59"/>
    <w:rsid w:val="00B2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351">
      <w:bodyDiv w:val="1"/>
      <w:marLeft w:val="0"/>
      <w:marRight w:val="0"/>
      <w:marTop w:val="0"/>
      <w:marBottom w:val="0"/>
      <w:divBdr>
        <w:top w:val="none" w:sz="0" w:space="0" w:color="auto"/>
        <w:left w:val="none" w:sz="0" w:space="0" w:color="auto"/>
        <w:bottom w:val="none" w:sz="0" w:space="0" w:color="auto"/>
        <w:right w:val="none" w:sz="0" w:space="0" w:color="auto"/>
      </w:divBdr>
    </w:div>
    <w:div w:id="5787660">
      <w:bodyDiv w:val="1"/>
      <w:marLeft w:val="0"/>
      <w:marRight w:val="0"/>
      <w:marTop w:val="0"/>
      <w:marBottom w:val="0"/>
      <w:divBdr>
        <w:top w:val="none" w:sz="0" w:space="0" w:color="auto"/>
        <w:left w:val="none" w:sz="0" w:space="0" w:color="auto"/>
        <w:bottom w:val="none" w:sz="0" w:space="0" w:color="auto"/>
        <w:right w:val="none" w:sz="0" w:space="0" w:color="auto"/>
      </w:divBdr>
    </w:div>
    <w:div w:id="10029341">
      <w:bodyDiv w:val="1"/>
      <w:marLeft w:val="0"/>
      <w:marRight w:val="0"/>
      <w:marTop w:val="0"/>
      <w:marBottom w:val="0"/>
      <w:divBdr>
        <w:top w:val="none" w:sz="0" w:space="0" w:color="auto"/>
        <w:left w:val="none" w:sz="0" w:space="0" w:color="auto"/>
        <w:bottom w:val="none" w:sz="0" w:space="0" w:color="auto"/>
        <w:right w:val="none" w:sz="0" w:space="0" w:color="auto"/>
      </w:divBdr>
    </w:div>
    <w:div w:id="11228888">
      <w:bodyDiv w:val="1"/>
      <w:marLeft w:val="0"/>
      <w:marRight w:val="0"/>
      <w:marTop w:val="0"/>
      <w:marBottom w:val="0"/>
      <w:divBdr>
        <w:top w:val="none" w:sz="0" w:space="0" w:color="auto"/>
        <w:left w:val="none" w:sz="0" w:space="0" w:color="auto"/>
        <w:bottom w:val="none" w:sz="0" w:space="0" w:color="auto"/>
        <w:right w:val="none" w:sz="0" w:space="0" w:color="auto"/>
      </w:divBdr>
    </w:div>
    <w:div w:id="26562514">
      <w:bodyDiv w:val="1"/>
      <w:marLeft w:val="0"/>
      <w:marRight w:val="0"/>
      <w:marTop w:val="0"/>
      <w:marBottom w:val="0"/>
      <w:divBdr>
        <w:top w:val="none" w:sz="0" w:space="0" w:color="auto"/>
        <w:left w:val="none" w:sz="0" w:space="0" w:color="auto"/>
        <w:bottom w:val="none" w:sz="0" w:space="0" w:color="auto"/>
        <w:right w:val="none" w:sz="0" w:space="0" w:color="auto"/>
      </w:divBdr>
    </w:div>
    <w:div w:id="27223169">
      <w:bodyDiv w:val="1"/>
      <w:marLeft w:val="0"/>
      <w:marRight w:val="0"/>
      <w:marTop w:val="0"/>
      <w:marBottom w:val="0"/>
      <w:divBdr>
        <w:top w:val="none" w:sz="0" w:space="0" w:color="auto"/>
        <w:left w:val="none" w:sz="0" w:space="0" w:color="auto"/>
        <w:bottom w:val="none" w:sz="0" w:space="0" w:color="auto"/>
        <w:right w:val="none" w:sz="0" w:space="0" w:color="auto"/>
      </w:divBdr>
    </w:div>
    <w:div w:id="40401268">
      <w:bodyDiv w:val="1"/>
      <w:marLeft w:val="0"/>
      <w:marRight w:val="0"/>
      <w:marTop w:val="0"/>
      <w:marBottom w:val="0"/>
      <w:divBdr>
        <w:top w:val="none" w:sz="0" w:space="0" w:color="auto"/>
        <w:left w:val="none" w:sz="0" w:space="0" w:color="auto"/>
        <w:bottom w:val="none" w:sz="0" w:space="0" w:color="auto"/>
        <w:right w:val="none" w:sz="0" w:space="0" w:color="auto"/>
      </w:divBdr>
    </w:div>
    <w:div w:id="40981175">
      <w:bodyDiv w:val="1"/>
      <w:marLeft w:val="0"/>
      <w:marRight w:val="0"/>
      <w:marTop w:val="0"/>
      <w:marBottom w:val="0"/>
      <w:divBdr>
        <w:top w:val="none" w:sz="0" w:space="0" w:color="auto"/>
        <w:left w:val="none" w:sz="0" w:space="0" w:color="auto"/>
        <w:bottom w:val="none" w:sz="0" w:space="0" w:color="auto"/>
        <w:right w:val="none" w:sz="0" w:space="0" w:color="auto"/>
      </w:divBdr>
    </w:div>
    <w:div w:id="51075741">
      <w:bodyDiv w:val="1"/>
      <w:marLeft w:val="0"/>
      <w:marRight w:val="0"/>
      <w:marTop w:val="0"/>
      <w:marBottom w:val="0"/>
      <w:divBdr>
        <w:top w:val="none" w:sz="0" w:space="0" w:color="auto"/>
        <w:left w:val="none" w:sz="0" w:space="0" w:color="auto"/>
        <w:bottom w:val="none" w:sz="0" w:space="0" w:color="auto"/>
        <w:right w:val="none" w:sz="0" w:space="0" w:color="auto"/>
      </w:divBdr>
    </w:div>
    <w:div w:id="51925110">
      <w:bodyDiv w:val="1"/>
      <w:marLeft w:val="0"/>
      <w:marRight w:val="0"/>
      <w:marTop w:val="0"/>
      <w:marBottom w:val="0"/>
      <w:divBdr>
        <w:top w:val="none" w:sz="0" w:space="0" w:color="auto"/>
        <w:left w:val="none" w:sz="0" w:space="0" w:color="auto"/>
        <w:bottom w:val="none" w:sz="0" w:space="0" w:color="auto"/>
        <w:right w:val="none" w:sz="0" w:space="0" w:color="auto"/>
      </w:divBdr>
    </w:div>
    <w:div w:id="66732670">
      <w:bodyDiv w:val="1"/>
      <w:marLeft w:val="0"/>
      <w:marRight w:val="0"/>
      <w:marTop w:val="0"/>
      <w:marBottom w:val="0"/>
      <w:divBdr>
        <w:top w:val="none" w:sz="0" w:space="0" w:color="auto"/>
        <w:left w:val="none" w:sz="0" w:space="0" w:color="auto"/>
        <w:bottom w:val="none" w:sz="0" w:space="0" w:color="auto"/>
        <w:right w:val="none" w:sz="0" w:space="0" w:color="auto"/>
      </w:divBdr>
    </w:div>
    <w:div w:id="68118224">
      <w:bodyDiv w:val="1"/>
      <w:marLeft w:val="0"/>
      <w:marRight w:val="0"/>
      <w:marTop w:val="0"/>
      <w:marBottom w:val="0"/>
      <w:divBdr>
        <w:top w:val="none" w:sz="0" w:space="0" w:color="auto"/>
        <w:left w:val="none" w:sz="0" w:space="0" w:color="auto"/>
        <w:bottom w:val="none" w:sz="0" w:space="0" w:color="auto"/>
        <w:right w:val="none" w:sz="0" w:space="0" w:color="auto"/>
      </w:divBdr>
    </w:div>
    <w:div w:id="87118854">
      <w:bodyDiv w:val="1"/>
      <w:marLeft w:val="0"/>
      <w:marRight w:val="0"/>
      <w:marTop w:val="0"/>
      <w:marBottom w:val="0"/>
      <w:divBdr>
        <w:top w:val="none" w:sz="0" w:space="0" w:color="auto"/>
        <w:left w:val="none" w:sz="0" w:space="0" w:color="auto"/>
        <w:bottom w:val="none" w:sz="0" w:space="0" w:color="auto"/>
        <w:right w:val="none" w:sz="0" w:space="0" w:color="auto"/>
      </w:divBdr>
    </w:div>
    <w:div w:id="91514952">
      <w:bodyDiv w:val="1"/>
      <w:marLeft w:val="0"/>
      <w:marRight w:val="0"/>
      <w:marTop w:val="0"/>
      <w:marBottom w:val="0"/>
      <w:divBdr>
        <w:top w:val="none" w:sz="0" w:space="0" w:color="auto"/>
        <w:left w:val="none" w:sz="0" w:space="0" w:color="auto"/>
        <w:bottom w:val="none" w:sz="0" w:space="0" w:color="auto"/>
        <w:right w:val="none" w:sz="0" w:space="0" w:color="auto"/>
      </w:divBdr>
    </w:div>
    <w:div w:id="96406843">
      <w:bodyDiv w:val="1"/>
      <w:marLeft w:val="0"/>
      <w:marRight w:val="0"/>
      <w:marTop w:val="0"/>
      <w:marBottom w:val="0"/>
      <w:divBdr>
        <w:top w:val="none" w:sz="0" w:space="0" w:color="auto"/>
        <w:left w:val="none" w:sz="0" w:space="0" w:color="auto"/>
        <w:bottom w:val="none" w:sz="0" w:space="0" w:color="auto"/>
        <w:right w:val="none" w:sz="0" w:space="0" w:color="auto"/>
      </w:divBdr>
    </w:div>
    <w:div w:id="96750965">
      <w:bodyDiv w:val="1"/>
      <w:marLeft w:val="0"/>
      <w:marRight w:val="0"/>
      <w:marTop w:val="0"/>
      <w:marBottom w:val="0"/>
      <w:divBdr>
        <w:top w:val="none" w:sz="0" w:space="0" w:color="auto"/>
        <w:left w:val="none" w:sz="0" w:space="0" w:color="auto"/>
        <w:bottom w:val="none" w:sz="0" w:space="0" w:color="auto"/>
        <w:right w:val="none" w:sz="0" w:space="0" w:color="auto"/>
      </w:divBdr>
    </w:div>
    <w:div w:id="97264786">
      <w:bodyDiv w:val="1"/>
      <w:marLeft w:val="0"/>
      <w:marRight w:val="0"/>
      <w:marTop w:val="0"/>
      <w:marBottom w:val="0"/>
      <w:divBdr>
        <w:top w:val="none" w:sz="0" w:space="0" w:color="auto"/>
        <w:left w:val="none" w:sz="0" w:space="0" w:color="auto"/>
        <w:bottom w:val="none" w:sz="0" w:space="0" w:color="auto"/>
        <w:right w:val="none" w:sz="0" w:space="0" w:color="auto"/>
      </w:divBdr>
    </w:div>
    <w:div w:id="98065521">
      <w:bodyDiv w:val="1"/>
      <w:marLeft w:val="0"/>
      <w:marRight w:val="0"/>
      <w:marTop w:val="0"/>
      <w:marBottom w:val="0"/>
      <w:divBdr>
        <w:top w:val="none" w:sz="0" w:space="0" w:color="auto"/>
        <w:left w:val="none" w:sz="0" w:space="0" w:color="auto"/>
        <w:bottom w:val="none" w:sz="0" w:space="0" w:color="auto"/>
        <w:right w:val="none" w:sz="0" w:space="0" w:color="auto"/>
      </w:divBdr>
    </w:div>
    <w:div w:id="99835071">
      <w:bodyDiv w:val="1"/>
      <w:marLeft w:val="0"/>
      <w:marRight w:val="0"/>
      <w:marTop w:val="0"/>
      <w:marBottom w:val="0"/>
      <w:divBdr>
        <w:top w:val="none" w:sz="0" w:space="0" w:color="auto"/>
        <w:left w:val="none" w:sz="0" w:space="0" w:color="auto"/>
        <w:bottom w:val="none" w:sz="0" w:space="0" w:color="auto"/>
        <w:right w:val="none" w:sz="0" w:space="0" w:color="auto"/>
      </w:divBdr>
    </w:div>
    <w:div w:id="102382862">
      <w:bodyDiv w:val="1"/>
      <w:marLeft w:val="0"/>
      <w:marRight w:val="0"/>
      <w:marTop w:val="0"/>
      <w:marBottom w:val="0"/>
      <w:divBdr>
        <w:top w:val="none" w:sz="0" w:space="0" w:color="auto"/>
        <w:left w:val="none" w:sz="0" w:space="0" w:color="auto"/>
        <w:bottom w:val="none" w:sz="0" w:space="0" w:color="auto"/>
        <w:right w:val="none" w:sz="0" w:space="0" w:color="auto"/>
      </w:divBdr>
    </w:div>
    <w:div w:id="112292697">
      <w:bodyDiv w:val="1"/>
      <w:marLeft w:val="0"/>
      <w:marRight w:val="0"/>
      <w:marTop w:val="0"/>
      <w:marBottom w:val="0"/>
      <w:divBdr>
        <w:top w:val="none" w:sz="0" w:space="0" w:color="auto"/>
        <w:left w:val="none" w:sz="0" w:space="0" w:color="auto"/>
        <w:bottom w:val="none" w:sz="0" w:space="0" w:color="auto"/>
        <w:right w:val="none" w:sz="0" w:space="0" w:color="auto"/>
      </w:divBdr>
    </w:div>
    <w:div w:id="127432366">
      <w:bodyDiv w:val="1"/>
      <w:marLeft w:val="0"/>
      <w:marRight w:val="0"/>
      <w:marTop w:val="0"/>
      <w:marBottom w:val="0"/>
      <w:divBdr>
        <w:top w:val="none" w:sz="0" w:space="0" w:color="auto"/>
        <w:left w:val="none" w:sz="0" w:space="0" w:color="auto"/>
        <w:bottom w:val="none" w:sz="0" w:space="0" w:color="auto"/>
        <w:right w:val="none" w:sz="0" w:space="0" w:color="auto"/>
      </w:divBdr>
    </w:div>
    <w:div w:id="134107953">
      <w:bodyDiv w:val="1"/>
      <w:marLeft w:val="0"/>
      <w:marRight w:val="0"/>
      <w:marTop w:val="0"/>
      <w:marBottom w:val="0"/>
      <w:divBdr>
        <w:top w:val="none" w:sz="0" w:space="0" w:color="auto"/>
        <w:left w:val="none" w:sz="0" w:space="0" w:color="auto"/>
        <w:bottom w:val="none" w:sz="0" w:space="0" w:color="auto"/>
        <w:right w:val="none" w:sz="0" w:space="0" w:color="auto"/>
      </w:divBdr>
    </w:div>
    <w:div w:id="138036767">
      <w:bodyDiv w:val="1"/>
      <w:marLeft w:val="0"/>
      <w:marRight w:val="0"/>
      <w:marTop w:val="0"/>
      <w:marBottom w:val="0"/>
      <w:divBdr>
        <w:top w:val="none" w:sz="0" w:space="0" w:color="auto"/>
        <w:left w:val="none" w:sz="0" w:space="0" w:color="auto"/>
        <w:bottom w:val="none" w:sz="0" w:space="0" w:color="auto"/>
        <w:right w:val="none" w:sz="0" w:space="0" w:color="auto"/>
      </w:divBdr>
    </w:div>
    <w:div w:id="138765957">
      <w:bodyDiv w:val="1"/>
      <w:marLeft w:val="0"/>
      <w:marRight w:val="0"/>
      <w:marTop w:val="0"/>
      <w:marBottom w:val="0"/>
      <w:divBdr>
        <w:top w:val="none" w:sz="0" w:space="0" w:color="auto"/>
        <w:left w:val="none" w:sz="0" w:space="0" w:color="auto"/>
        <w:bottom w:val="none" w:sz="0" w:space="0" w:color="auto"/>
        <w:right w:val="none" w:sz="0" w:space="0" w:color="auto"/>
      </w:divBdr>
    </w:div>
    <w:div w:id="147522436">
      <w:bodyDiv w:val="1"/>
      <w:marLeft w:val="0"/>
      <w:marRight w:val="0"/>
      <w:marTop w:val="0"/>
      <w:marBottom w:val="0"/>
      <w:divBdr>
        <w:top w:val="none" w:sz="0" w:space="0" w:color="auto"/>
        <w:left w:val="none" w:sz="0" w:space="0" w:color="auto"/>
        <w:bottom w:val="none" w:sz="0" w:space="0" w:color="auto"/>
        <w:right w:val="none" w:sz="0" w:space="0" w:color="auto"/>
      </w:divBdr>
    </w:div>
    <w:div w:id="151264306">
      <w:bodyDiv w:val="1"/>
      <w:marLeft w:val="0"/>
      <w:marRight w:val="0"/>
      <w:marTop w:val="0"/>
      <w:marBottom w:val="0"/>
      <w:divBdr>
        <w:top w:val="none" w:sz="0" w:space="0" w:color="auto"/>
        <w:left w:val="none" w:sz="0" w:space="0" w:color="auto"/>
        <w:bottom w:val="none" w:sz="0" w:space="0" w:color="auto"/>
        <w:right w:val="none" w:sz="0" w:space="0" w:color="auto"/>
      </w:divBdr>
    </w:div>
    <w:div w:id="173233063">
      <w:bodyDiv w:val="1"/>
      <w:marLeft w:val="0"/>
      <w:marRight w:val="0"/>
      <w:marTop w:val="0"/>
      <w:marBottom w:val="0"/>
      <w:divBdr>
        <w:top w:val="none" w:sz="0" w:space="0" w:color="auto"/>
        <w:left w:val="none" w:sz="0" w:space="0" w:color="auto"/>
        <w:bottom w:val="none" w:sz="0" w:space="0" w:color="auto"/>
        <w:right w:val="none" w:sz="0" w:space="0" w:color="auto"/>
      </w:divBdr>
    </w:div>
    <w:div w:id="179703531">
      <w:bodyDiv w:val="1"/>
      <w:marLeft w:val="0"/>
      <w:marRight w:val="0"/>
      <w:marTop w:val="0"/>
      <w:marBottom w:val="0"/>
      <w:divBdr>
        <w:top w:val="none" w:sz="0" w:space="0" w:color="auto"/>
        <w:left w:val="none" w:sz="0" w:space="0" w:color="auto"/>
        <w:bottom w:val="none" w:sz="0" w:space="0" w:color="auto"/>
        <w:right w:val="none" w:sz="0" w:space="0" w:color="auto"/>
      </w:divBdr>
    </w:div>
    <w:div w:id="183322799">
      <w:bodyDiv w:val="1"/>
      <w:marLeft w:val="0"/>
      <w:marRight w:val="0"/>
      <w:marTop w:val="0"/>
      <w:marBottom w:val="0"/>
      <w:divBdr>
        <w:top w:val="none" w:sz="0" w:space="0" w:color="auto"/>
        <w:left w:val="none" w:sz="0" w:space="0" w:color="auto"/>
        <w:bottom w:val="none" w:sz="0" w:space="0" w:color="auto"/>
        <w:right w:val="none" w:sz="0" w:space="0" w:color="auto"/>
      </w:divBdr>
    </w:div>
    <w:div w:id="186716588">
      <w:bodyDiv w:val="1"/>
      <w:marLeft w:val="0"/>
      <w:marRight w:val="0"/>
      <w:marTop w:val="0"/>
      <w:marBottom w:val="0"/>
      <w:divBdr>
        <w:top w:val="none" w:sz="0" w:space="0" w:color="auto"/>
        <w:left w:val="none" w:sz="0" w:space="0" w:color="auto"/>
        <w:bottom w:val="none" w:sz="0" w:space="0" w:color="auto"/>
        <w:right w:val="none" w:sz="0" w:space="0" w:color="auto"/>
      </w:divBdr>
    </w:div>
    <w:div w:id="207567568">
      <w:bodyDiv w:val="1"/>
      <w:marLeft w:val="0"/>
      <w:marRight w:val="0"/>
      <w:marTop w:val="0"/>
      <w:marBottom w:val="0"/>
      <w:divBdr>
        <w:top w:val="none" w:sz="0" w:space="0" w:color="auto"/>
        <w:left w:val="none" w:sz="0" w:space="0" w:color="auto"/>
        <w:bottom w:val="none" w:sz="0" w:space="0" w:color="auto"/>
        <w:right w:val="none" w:sz="0" w:space="0" w:color="auto"/>
      </w:divBdr>
    </w:div>
    <w:div w:id="213660007">
      <w:bodyDiv w:val="1"/>
      <w:marLeft w:val="0"/>
      <w:marRight w:val="0"/>
      <w:marTop w:val="0"/>
      <w:marBottom w:val="0"/>
      <w:divBdr>
        <w:top w:val="none" w:sz="0" w:space="0" w:color="auto"/>
        <w:left w:val="none" w:sz="0" w:space="0" w:color="auto"/>
        <w:bottom w:val="none" w:sz="0" w:space="0" w:color="auto"/>
        <w:right w:val="none" w:sz="0" w:space="0" w:color="auto"/>
      </w:divBdr>
    </w:div>
    <w:div w:id="214203726">
      <w:bodyDiv w:val="1"/>
      <w:marLeft w:val="0"/>
      <w:marRight w:val="0"/>
      <w:marTop w:val="0"/>
      <w:marBottom w:val="0"/>
      <w:divBdr>
        <w:top w:val="none" w:sz="0" w:space="0" w:color="auto"/>
        <w:left w:val="none" w:sz="0" w:space="0" w:color="auto"/>
        <w:bottom w:val="none" w:sz="0" w:space="0" w:color="auto"/>
        <w:right w:val="none" w:sz="0" w:space="0" w:color="auto"/>
      </w:divBdr>
    </w:div>
    <w:div w:id="220210518">
      <w:bodyDiv w:val="1"/>
      <w:marLeft w:val="0"/>
      <w:marRight w:val="0"/>
      <w:marTop w:val="0"/>
      <w:marBottom w:val="0"/>
      <w:divBdr>
        <w:top w:val="none" w:sz="0" w:space="0" w:color="auto"/>
        <w:left w:val="none" w:sz="0" w:space="0" w:color="auto"/>
        <w:bottom w:val="none" w:sz="0" w:space="0" w:color="auto"/>
        <w:right w:val="none" w:sz="0" w:space="0" w:color="auto"/>
      </w:divBdr>
    </w:div>
    <w:div w:id="233127708">
      <w:bodyDiv w:val="1"/>
      <w:marLeft w:val="0"/>
      <w:marRight w:val="0"/>
      <w:marTop w:val="0"/>
      <w:marBottom w:val="0"/>
      <w:divBdr>
        <w:top w:val="none" w:sz="0" w:space="0" w:color="auto"/>
        <w:left w:val="none" w:sz="0" w:space="0" w:color="auto"/>
        <w:bottom w:val="none" w:sz="0" w:space="0" w:color="auto"/>
        <w:right w:val="none" w:sz="0" w:space="0" w:color="auto"/>
      </w:divBdr>
    </w:div>
    <w:div w:id="239800713">
      <w:bodyDiv w:val="1"/>
      <w:marLeft w:val="0"/>
      <w:marRight w:val="0"/>
      <w:marTop w:val="0"/>
      <w:marBottom w:val="0"/>
      <w:divBdr>
        <w:top w:val="none" w:sz="0" w:space="0" w:color="auto"/>
        <w:left w:val="none" w:sz="0" w:space="0" w:color="auto"/>
        <w:bottom w:val="none" w:sz="0" w:space="0" w:color="auto"/>
        <w:right w:val="none" w:sz="0" w:space="0" w:color="auto"/>
      </w:divBdr>
    </w:div>
    <w:div w:id="244926119">
      <w:bodyDiv w:val="1"/>
      <w:marLeft w:val="0"/>
      <w:marRight w:val="0"/>
      <w:marTop w:val="0"/>
      <w:marBottom w:val="0"/>
      <w:divBdr>
        <w:top w:val="none" w:sz="0" w:space="0" w:color="auto"/>
        <w:left w:val="none" w:sz="0" w:space="0" w:color="auto"/>
        <w:bottom w:val="none" w:sz="0" w:space="0" w:color="auto"/>
        <w:right w:val="none" w:sz="0" w:space="0" w:color="auto"/>
      </w:divBdr>
    </w:div>
    <w:div w:id="253831619">
      <w:bodyDiv w:val="1"/>
      <w:marLeft w:val="0"/>
      <w:marRight w:val="0"/>
      <w:marTop w:val="0"/>
      <w:marBottom w:val="0"/>
      <w:divBdr>
        <w:top w:val="none" w:sz="0" w:space="0" w:color="auto"/>
        <w:left w:val="none" w:sz="0" w:space="0" w:color="auto"/>
        <w:bottom w:val="none" w:sz="0" w:space="0" w:color="auto"/>
        <w:right w:val="none" w:sz="0" w:space="0" w:color="auto"/>
      </w:divBdr>
    </w:div>
    <w:div w:id="256600377">
      <w:bodyDiv w:val="1"/>
      <w:marLeft w:val="0"/>
      <w:marRight w:val="0"/>
      <w:marTop w:val="0"/>
      <w:marBottom w:val="0"/>
      <w:divBdr>
        <w:top w:val="none" w:sz="0" w:space="0" w:color="auto"/>
        <w:left w:val="none" w:sz="0" w:space="0" w:color="auto"/>
        <w:bottom w:val="none" w:sz="0" w:space="0" w:color="auto"/>
        <w:right w:val="none" w:sz="0" w:space="0" w:color="auto"/>
      </w:divBdr>
    </w:div>
    <w:div w:id="286283921">
      <w:bodyDiv w:val="1"/>
      <w:marLeft w:val="0"/>
      <w:marRight w:val="0"/>
      <w:marTop w:val="0"/>
      <w:marBottom w:val="0"/>
      <w:divBdr>
        <w:top w:val="none" w:sz="0" w:space="0" w:color="auto"/>
        <w:left w:val="none" w:sz="0" w:space="0" w:color="auto"/>
        <w:bottom w:val="none" w:sz="0" w:space="0" w:color="auto"/>
        <w:right w:val="none" w:sz="0" w:space="0" w:color="auto"/>
      </w:divBdr>
    </w:div>
    <w:div w:id="312103954">
      <w:bodyDiv w:val="1"/>
      <w:marLeft w:val="0"/>
      <w:marRight w:val="0"/>
      <w:marTop w:val="0"/>
      <w:marBottom w:val="0"/>
      <w:divBdr>
        <w:top w:val="none" w:sz="0" w:space="0" w:color="auto"/>
        <w:left w:val="none" w:sz="0" w:space="0" w:color="auto"/>
        <w:bottom w:val="none" w:sz="0" w:space="0" w:color="auto"/>
        <w:right w:val="none" w:sz="0" w:space="0" w:color="auto"/>
      </w:divBdr>
    </w:div>
    <w:div w:id="341012087">
      <w:bodyDiv w:val="1"/>
      <w:marLeft w:val="0"/>
      <w:marRight w:val="0"/>
      <w:marTop w:val="0"/>
      <w:marBottom w:val="0"/>
      <w:divBdr>
        <w:top w:val="none" w:sz="0" w:space="0" w:color="auto"/>
        <w:left w:val="none" w:sz="0" w:space="0" w:color="auto"/>
        <w:bottom w:val="none" w:sz="0" w:space="0" w:color="auto"/>
        <w:right w:val="none" w:sz="0" w:space="0" w:color="auto"/>
      </w:divBdr>
    </w:div>
    <w:div w:id="347101121">
      <w:bodyDiv w:val="1"/>
      <w:marLeft w:val="0"/>
      <w:marRight w:val="0"/>
      <w:marTop w:val="0"/>
      <w:marBottom w:val="0"/>
      <w:divBdr>
        <w:top w:val="none" w:sz="0" w:space="0" w:color="auto"/>
        <w:left w:val="none" w:sz="0" w:space="0" w:color="auto"/>
        <w:bottom w:val="none" w:sz="0" w:space="0" w:color="auto"/>
        <w:right w:val="none" w:sz="0" w:space="0" w:color="auto"/>
      </w:divBdr>
    </w:div>
    <w:div w:id="353580027">
      <w:bodyDiv w:val="1"/>
      <w:marLeft w:val="0"/>
      <w:marRight w:val="0"/>
      <w:marTop w:val="0"/>
      <w:marBottom w:val="0"/>
      <w:divBdr>
        <w:top w:val="none" w:sz="0" w:space="0" w:color="auto"/>
        <w:left w:val="none" w:sz="0" w:space="0" w:color="auto"/>
        <w:bottom w:val="none" w:sz="0" w:space="0" w:color="auto"/>
        <w:right w:val="none" w:sz="0" w:space="0" w:color="auto"/>
      </w:divBdr>
    </w:div>
    <w:div w:id="368606780">
      <w:bodyDiv w:val="1"/>
      <w:marLeft w:val="0"/>
      <w:marRight w:val="0"/>
      <w:marTop w:val="0"/>
      <w:marBottom w:val="0"/>
      <w:divBdr>
        <w:top w:val="none" w:sz="0" w:space="0" w:color="auto"/>
        <w:left w:val="none" w:sz="0" w:space="0" w:color="auto"/>
        <w:bottom w:val="none" w:sz="0" w:space="0" w:color="auto"/>
        <w:right w:val="none" w:sz="0" w:space="0" w:color="auto"/>
      </w:divBdr>
    </w:div>
    <w:div w:id="410347974">
      <w:bodyDiv w:val="1"/>
      <w:marLeft w:val="0"/>
      <w:marRight w:val="0"/>
      <w:marTop w:val="0"/>
      <w:marBottom w:val="0"/>
      <w:divBdr>
        <w:top w:val="none" w:sz="0" w:space="0" w:color="auto"/>
        <w:left w:val="none" w:sz="0" w:space="0" w:color="auto"/>
        <w:bottom w:val="none" w:sz="0" w:space="0" w:color="auto"/>
        <w:right w:val="none" w:sz="0" w:space="0" w:color="auto"/>
      </w:divBdr>
    </w:div>
    <w:div w:id="414934176">
      <w:bodyDiv w:val="1"/>
      <w:marLeft w:val="0"/>
      <w:marRight w:val="0"/>
      <w:marTop w:val="0"/>
      <w:marBottom w:val="0"/>
      <w:divBdr>
        <w:top w:val="none" w:sz="0" w:space="0" w:color="auto"/>
        <w:left w:val="none" w:sz="0" w:space="0" w:color="auto"/>
        <w:bottom w:val="none" w:sz="0" w:space="0" w:color="auto"/>
        <w:right w:val="none" w:sz="0" w:space="0" w:color="auto"/>
      </w:divBdr>
    </w:div>
    <w:div w:id="425342864">
      <w:bodyDiv w:val="1"/>
      <w:marLeft w:val="0"/>
      <w:marRight w:val="0"/>
      <w:marTop w:val="0"/>
      <w:marBottom w:val="0"/>
      <w:divBdr>
        <w:top w:val="none" w:sz="0" w:space="0" w:color="auto"/>
        <w:left w:val="none" w:sz="0" w:space="0" w:color="auto"/>
        <w:bottom w:val="none" w:sz="0" w:space="0" w:color="auto"/>
        <w:right w:val="none" w:sz="0" w:space="0" w:color="auto"/>
      </w:divBdr>
    </w:div>
    <w:div w:id="452018262">
      <w:bodyDiv w:val="1"/>
      <w:marLeft w:val="0"/>
      <w:marRight w:val="0"/>
      <w:marTop w:val="0"/>
      <w:marBottom w:val="0"/>
      <w:divBdr>
        <w:top w:val="none" w:sz="0" w:space="0" w:color="auto"/>
        <w:left w:val="none" w:sz="0" w:space="0" w:color="auto"/>
        <w:bottom w:val="none" w:sz="0" w:space="0" w:color="auto"/>
        <w:right w:val="none" w:sz="0" w:space="0" w:color="auto"/>
      </w:divBdr>
    </w:div>
    <w:div w:id="467480940">
      <w:bodyDiv w:val="1"/>
      <w:marLeft w:val="0"/>
      <w:marRight w:val="0"/>
      <w:marTop w:val="0"/>
      <w:marBottom w:val="0"/>
      <w:divBdr>
        <w:top w:val="none" w:sz="0" w:space="0" w:color="auto"/>
        <w:left w:val="none" w:sz="0" w:space="0" w:color="auto"/>
        <w:bottom w:val="none" w:sz="0" w:space="0" w:color="auto"/>
        <w:right w:val="none" w:sz="0" w:space="0" w:color="auto"/>
      </w:divBdr>
    </w:div>
    <w:div w:id="468396736">
      <w:bodyDiv w:val="1"/>
      <w:marLeft w:val="0"/>
      <w:marRight w:val="0"/>
      <w:marTop w:val="0"/>
      <w:marBottom w:val="0"/>
      <w:divBdr>
        <w:top w:val="none" w:sz="0" w:space="0" w:color="auto"/>
        <w:left w:val="none" w:sz="0" w:space="0" w:color="auto"/>
        <w:bottom w:val="none" w:sz="0" w:space="0" w:color="auto"/>
        <w:right w:val="none" w:sz="0" w:space="0" w:color="auto"/>
      </w:divBdr>
    </w:div>
    <w:div w:id="468400924">
      <w:bodyDiv w:val="1"/>
      <w:marLeft w:val="0"/>
      <w:marRight w:val="0"/>
      <w:marTop w:val="0"/>
      <w:marBottom w:val="0"/>
      <w:divBdr>
        <w:top w:val="none" w:sz="0" w:space="0" w:color="auto"/>
        <w:left w:val="none" w:sz="0" w:space="0" w:color="auto"/>
        <w:bottom w:val="none" w:sz="0" w:space="0" w:color="auto"/>
        <w:right w:val="none" w:sz="0" w:space="0" w:color="auto"/>
      </w:divBdr>
    </w:div>
    <w:div w:id="478420347">
      <w:bodyDiv w:val="1"/>
      <w:marLeft w:val="0"/>
      <w:marRight w:val="0"/>
      <w:marTop w:val="0"/>
      <w:marBottom w:val="0"/>
      <w:divBdr>
        <w:top w:val="none" w:sz="0" w:space="0" w:color="auto"/>
        <w:left w:val="none" w:sz="0" w:space="0" w:color="auto"/>
        <w:bottom w:val="none" w:sz="0" w:space="0" w:color="auto"/>
        <w:right w:val="none" w:sz="0" w:space="0" w:color="auto"/>
      </w:divBdr>
    </w:div>
    <w:div w:id="486824623">
      <w:bodyDiv w:val="1"/>
      <w:marLeft w:val="0"/>
      <w:marRight w:val="0"/>
      <w:marTop w:val="0"/>
      <w:marBottom w:val="0"/>
      <w:divBdr>
        <w:top w:val="none" w:sz="0" w:space="0" w:color="auto"/>
        <w:left w:val="none" w:sz="0" w:space="0" w:color="auto"/>
        <w:bottom w:val="none" w:sz="0" w:space="0" w:color="auto"/>
        <w:right w:val="none" w:sz="0" w:space="0" w:color="auto"/>
      </w:divBdr>
    </w:div>
    <w:div w:id="489440507">
      <w:bodyDiv w:val="1"/>
      <w:marLeft w:val="0"/>
      <w:marRight w:val="0"/>
      <w:marTop w:val="0"/>
      <w:marBottom w:val="0"/>
      <w:divBdr>
        <w:top w:val="none" w:sz="0" w:space="0" w:color="auto"/>
        <w:left w:val="none" w:sz="0" w:space="0" w:color="auto"/>
        <w:bottom w:val="none" w:sz="0" w:space="0" w:color="auto"/>
        <w:right w:val="none" w:sz="0" w:space="0" w:color="auto"/>
      </w:divBdr>
    </w:div>
    <w:div w:id="501555333">
      <w:bodyDiv w:val="1"/>
      <w:marLeft w:val="0"/>
      <w:marRight w:val="0"/>
      <w:marTop w:val="0"/>
      <w:marBottom w:val="0"/>
      <w:divBdr>
        <w:top w:val="none" w:sz="0" w:space="0" w:color="auto"/>
        <w:left w:val="none" w:sz="0" w:space="0" w:color="auto"/>
        <w:bottom w:val="none" w:sz="0" w:space="0" w:color="auto"/>
        <w:right w:val="none" w:sz="0" w:space="0" w:color="auto"/>
      </w:divBdr>
    </w:div>
    <w:div w:id="511535021">
      <w:bodyDiv w:val="1"/>
      <w:marLeft w:val="0"/>
      <w:marRight w:val="0"/>
      <w:marTop w:val="0"/>
      <w:marBottom w:val="0"/>
      <w:divBdr>
        <w:top w:val="none" w:sz="0" w:space="0" w:color="auto"/>
        <w:left w:val="none" w:sz="0" w:space="0" w:color="auto"/>
        <w:bottom w:val="none" w:sz="0" w:space="0" w:color="auto"/>
        <w:right w:val="none" w:sz="0" w:space="0" w:color="auto"/>
      </w:divBdr>
    </w:div>
    <w:div w:id="512570949">
      <w:bodyDiv w:val="1"/>
      <w:marLeft w:val="0"/>
      <w:marRight w:val="0"/>
      <w:marTop w:val="0"/>
      <w:marBottom w:val="0"/>
      <w:divBdr>
        <w:top w:val="none" w:sz="0" w:space="0" w:color="auto"/>
        <w:left w:val="none" w:sz="0" w:space="0" w:color="auto"/>
        <w:bottom w:val="none" w:sz="0" w:space="0" w:color="auto"/>
        <w:right w:val="none" w:sz="0" w:space="0" w:color="auto"/>
      </w:divBdr>
    </w:div>
    <w:div w:id="516771802">
      <w:bodyDiv w:val="1"/>
      <w:marLeft w:val="0"/>
      <w:marRight w:val="0"/>
      <w:marTop w:val="0"/>
      <w:marBottom w:val="0"/>
      <w:divBdr>
        <w:top w:val="none" w:sz="0" w:space="0" w:color="auto"/>
        <w:left w:val="none" w:sz="0" w:space="0" w:color="auto"/>
        <w:bottom w:val="none" w:sz="0" w:space="0" w:color="auto"/>
        <w:right w:val="none" w:sz="0" w:space="0" w:color="auto"/>
      </w:divBdr>
    </w:div>
    <w:div w:id="520238470">
      <w:bodyDiv w:val="1"/>
      <w:marLeft w:val="0"/>
      <w:marRight w:val="0"/>
      <w:marTop w:val="0"/>
      <w:marBottom w:val="0"/>
      <w:divBdr>
        <w:top w:val="none" w:sz="0" w:space="0" w:color="auto"/>
        <w:left w:val="none" w:sz="0" w:space="0" w:color="auto"/>
        <w:bottom w:val="none" w:sz="0" w:space="0" w:color="auto"/>
        <w:right w:val="none" w:sz="0" w:space="0" w:color="auto"/>
      </w:divBdr>
    </w:div>
    <w:div w:id="534081983">
      <w:bodyDiv w:val="1"/>
      <w:marLeft w:val="0"/>
      <w:marRight w:val="0"/>
      <w:marTop w:val="0"/>
      <w:marBottom w:val="0"/>
      <w:divBdr>
        <w:top w:val="none" w:sz="0" w:space="0" w:color="auto"/>
        <w:left w:val="none" w:sz="0" w:space="0" w:color="auto"/>
        <w:bottom w:val="none" w:sz="0" w:space="0" w:color="auto"/>
        <w:right w:val="none" w:sz="0" w:space="0" w:color="auto"/>
      </w:divBdr>
    </w:div>
    <w:div w:id="534582126">
      <w:bodyDiv w:val="1"/>
      <w:marLeft w:val="0"/>
      <w:marRight w:val="0"/>
      <w:marTop w:val="0"/>
      <w:marBottom w:val="0"/>
      <w:divBdr>
        <w:top w:val="none" w:sz="0" w:space="0" w:color="auto"/>
        <w:left w:val="none" w:sz="0" w:space="0" w:color="auto"/>
        <w:bottom w:val="none" w:sz="0" w:space="0" w:color="auto"/>
        <w:right w:val="none" w:sz="0" w:space="0" w:color="auto"/>
      </w:divBdr>
    </w:div>
    <w:div w:id="541599490">
      <w:bodyDiv w:val="1"/>
      <w:marLeft w:val="0"/>
      <w:marRight w:val="0"/>
      <w:marTop w:val="0"/>
      <w:marBottom w:val="0"/>
      <w:divBdr>
        <w:top w:val="none" w:sz="0" w:space="0" w:color="auto"/>
        <w:left w:val="none" w:sz="0" w:space="0" w:color="auto"/>
        <w:bottom w:val="none" w:sz="0" w:space="0" w:color="auto"/>
        <w:right w:val="none" w:sz="0" w:space="0" w:color="auto"/>
      </w:divBdr>
    </w:div>
    <w:div w:id="554127400">
      <w:bodyDiv w:val="1"/>
      <w:marLeft w:val="0"/>
      <w:marRight w:val="0"/>
      <w:marTop w:val="0"/>
      <w:marBottom w:val="0"/>
      <w:divBdr>
        <w:top w:val="none" w:sz="0" w:space="0" w:color="auto"/>
        <w:left w:val="none" w:sz="0" w:space="0" w:color="auto"/>
        <w:bottom w:val="none" w:sz="0" w:space="0" w:color="auto"/>
        <w:right w:val="none" w:sz="0" w:space="0" w:color="auto"/>
      </w:divBdr>
    </w:div>
    <w:div w:id="563102536">
      <w:bodyDiv w:val="1"/>
      <w:marLeft w:val="0"/>
      <w:marRight w:val="0"/>
      <w:marTop w:val="0"/>
      <w:marBottom w:val="0"/>
      <w:divBdr>
        <w:top w:val="none" w:sz="0" w:space="0" w:color="auto"/>
        <w:left w:val="none" w:sz="0" w:space="0" w:color="auto"/>
        <w:bottom w:val="none" w:sz="0" w:space="0" w:color="auto"/>
        <w:right w:val="none" w:sz="0" w:space="0" w:color="auto"/>
      </w:divBdr>
    </w:div>
    <w:div w:id="614674228">
      <w:bodyDiv w:val="1"/>
      <w:marLeft w:val="0"/>
      <w:marRight w:val="0"/>
      <w:marTop w:val="0"/>
      <w:marBottom w:val="0"/>
      <w:divBdr>
        <w:top w:val="none" w:sz="0" w:space="0" w:color="auto"/>
        <w:left w:val="none" w:sz="0" w:space="0" w:color="auto"/>
        <w:bottom w:val="none" w:sz="0" w:space="0" w:color="auto"/>
        <w:right w:val="none" w:sz="0" w:space="0" w:color="auto"/>
      </w:divBdr>
    </w:div>
    <w:div w:id="628168175">
      <w:bodyDiv w:val="1"/>
      <w:marLeft w:val="0"/>
      <w:marRight w:val="0"/>
      <w:marTop w:val="0"/>
      <w:marBottom w:val="0"/>
      <w:divBdr>
        <w:top w:val="none" w:sz="0" w:space="0" w:color="auto"/>
        <w:left w:val="none" w:sz="0" w:space="0" w:color="auto"/>
        <w:bottom w:val="none" w:sz="0" w:space="0" w:color="auto"/>
        <w:right w:val="none" w:sz="0" w:space="0" w:color="auto"/>
      </w:divBdr>
    </w:div>
    <w:div w:id="630020663">
      <w:bodyDiv w:val="1"/>
      <w:marLeft w:val="0"/>
      <w:marRight w:val="0"/>
      <w:marTop w:val="0"/>
      <w:marBottom w:val="0"/>
      <w:divBdr>
        <w:top w:val="none" w:sz="0" w:space="0" w:color="auto"/>
        <w:left w:val="none" w:sz="0" w:space="0" w:color="auto"/>
        <w:bottom w:val="none" w:sz="0" w:space="0" w:color="auto"/>
        <w:right w:val="none" w:sz="0" w:space="0" w:color="auto"/>
      </w:divBdr>
    </w:div>
    <w:div w:id="648438180">
      <w:bodyDiv w:val="1"/>
      <w:marLeft w:val="0"/>
      <w:marRight w:val="0"/>
      <w:marTop w:val="0"/>
      <w:marBottom w:val="0"/>
      <w:divBdr>
        <w:top w:val="none" w:sz="0" w:space="0" w:color="auto"/>
        <w:left w:val="none" w:sz="0" w:space="0" w:color="auto"/>
        <w:bottom w:val="none" w:sz="0" w:space="0" w:color="auto"/>
        <w:right w:val="none" w:sz="0" w:space="0" w:color="auto"/>
      </w:divBdr>
    </w:div>
    <w:div w:id="653949221">
      <w:bodyDiv w:val="1"/>
      <w:marLeft w:val="0"/>
      <w:marRight w:val="0"/>
      <w:marTop w:val="0"/>
      <w:marBottom w:val="0"/>
      <w:divBdr>
        <w:top w:val="none" w:sz="0" w:space="0" w:color="auto"/>
        <w:left w:val="none" w:sz="0" w:space="0" w:color="auto"/>
        <w:bottom w:val="none" w:sz="0" w:space="0" w:color="auto"/>
        <w:right w:val="none" w:sz="0" w:space="0" w:color="auto"/>
      </w:divBdr>
    </w:div>
    <w:div w:id="654726998">
      <w:bodyDiv w:val="1"/>
      <w:marLeft w:val="0"/>
      <w:marRight w:val="0"/>
      <w:marTop w:val="0"/>
      <w:marBottom w:val="0"/>
      <w:divBdr>
        <w:top w:val="none" w:sz="0" w:space="0" w:color="auto"/>
        <w:left w:val="none" w:sz="0" w:space="0" w:color="auto"/>
        <w:bottom w:val="none" w:sz="0" w:space="0" w:color="auto"/>
        <w:right w:val="none" w:sz="0" w:space="0" w:color="auto"/>
      </w:divBdr>
    </w:div>
    <w:div w:id="671950280">
      <w:bodyDiv w:val="1"/>
      <w:marLeft w:val="0"/>
      <w:marRight w:val="0"/>
      <w:marTop w:val="0"/>
      <w:marBottom w:val="0"/>
      <w:divBdr>
        <w:top w:val="none" w:sz="0" w:space="0" w:color="auto"/>
        <w:left w:val="none" w:sz="0" w:space="0" w:color="auto"/>
        <w:bottom w:val="none" w:sz="0" w:space="0" w:color="auto"/>
        <w:right w:val="none" w:sz="0" w:space="0" w:color="auto"/>
      </w:divBdr>
    </w:div>
    <w:div w:id="676621264">
      <w:bodyDiv w:val="1"/>
      <w:marLeft w:val="0"/>
      <w:marRight w:val="0"/>
      <w:marTop w:val="0"/>
      <w:marBottom w:val="0"/>
      <w:divBdr>
        <w:top w:val="none" w:sz="0" w:space="0" w:color="auto"/>
        <w:left w:val="none" w:sz="0" w:space="0" w:color="auto"/>
        <w:bottom w:val="none" w:sz="0" w:space="0" w:color="auto"/>
        <w:right w:val="none" w:sz="0" w:space="0" w:color="auto"/>
      </w:divBdr>
    </w:div>
    <w:div w:id="677778786">
      <w:bodyDiv w:val="1"/>
      <w:marLeft w:val="0"/>
      <w:marRight w:val="0"/>
      <w:marTop w:val="0"/>
      <w:marBottom w:val="0"/>
      <w:divBdr>
        <w:top w:val="none" w:sz="0" w:space="0" w:color="auto"/>
        <w:left w:val="none" w:sz="0" w:space="0" w:color="auto"/>
        <w:bottom w:val="none" w:sz="0" w:space="0" w:color="auto"/>
        <w:right w:val="none" w:sz="0" w:space="0" w:color="auto"/>
      </w:divBdr>
    </w:div>
    <w:div w:id="678852105">
      <w:bodyDiv w:val="1"/>
      <w:marLeft w:val="0"/>
      <w:marRight w:val="0"/>
      <w:marTop w:val="0"/>
      <w:marBottom w:val="0"/>
      <w:divBdr>
        <w:top w:val="none" w:sz="0" w:space="0" w:color="auto"/>
        <w:left w:val="none" w:sz="0" w:space="0" w:color="auto"/>
        <w:bottom w:val="none" w:sz="0" w:space="0" w:color="auto"/>
        <w:right w:val="none" w:sz="0" w:space="0" w:color="auto"/>
      </w:divBdr>
    </w:div>
    <w:div w:id="686755989">
      <w:bodyDiv w:val="1"/>
      <w:marLeft w:val="0"/>
      <w:marRight w:val="0"/>
      <w:marTop w:val="0"/>
      <w:marBottom w:val="0"/>
      <w:divBdr>
        <w:top w:val="none" w:sz="0" w:space="0" w:color="auto"/>
        <w:left w:val="none" w:sz="0" w:space="0" w:color="auto"/>
        <w:bottom w:val="none" w:sz="0" w:space="0" w:color="auto"/>
        <w:right w:val="none" w:sz="0" w:space="0" w:color="auto"/>
      </w:divBdr>
    </w:div>
    <w:div w:id="707414788">
      <w:bodyDiv w:val="1"/>
      <w:marLeft w:val="0"/>
      <w:marRight w:val="0"/>
      <w:marTop w:val="0"/>
      <w:marBottom w:val="0"/>
      <w:divBdr>
        <w:top w:val="none" w:sz="0" w:space="0" w:color="auto"/>
        <w:left w:val="none" w:sz="0" w:space="0" w:color="auto"/>
        <w:bottom w:val="none" w:sz="0" w:space="0" w:color="auto"/>
        <w:right w:val="none" w:sz="0" w:space="0" w:color="auto"/>
      </w:divBdr>
    </w:div>
    <w:div w:id="710347752">
      <w:bodyDiv w:val="1"/>
      <w:marLeft w:val="0"/>
      <w:marRight w:val="0"/>
      <w:marTop w:val="0"/>
      <w:marBottom w:val="0"/>
      <w:divBdr>
        <w:top w:val="none" w:sz="0" w:space="0" w:color="auto"/>
        <w:left w:val="none" w:sz="0" w:space="0" w:color="auto"/>
        <w:bottom w:val="none" w:sz="0" w:space="0" w:color="auto"/>
        <w:right w:val="none" w:sz="0" w:space="0" w:color="auto"/>
      </w:divBdr>
    </w:div>
    <w:div w:id="715084638">
      <w:bodyDiv w:val="1"/>
      <w:marLeft w:val="0"/>
      <w:marRight w:val="0"/>
      <w:marTop w:val="0"/>
      <w:marBottom w:val="0"/>
      <w:divBdr>
        <w:top w:val="none" w:sz="0" w:space="0" w:color="auto"/>
        <w:left w:val="none" w:sz="0" w:space="0" w:color="auto"/>
        <w:bottom w:val="none" w:sz="0" w:space="0" w:color="auto"/>
        <w:right w:val="none" w:sz="0" w:space="0" w:color="auto"/>
      </w:divBdr>
    </w:div>
    <w:div w:id="721490762">
      <w:bodyDiv w:val="1"/>
      <w:marLeft w:val="0"/>
      <w:marRight w:val="0"/>
      <w:marTop w:val="0"/>
      <w:marBottom w:val="0"/>
      <w:divBdr>
        <w:top w:val="none" w:sz="0" w:space="0" w:color="auto"/>
        <w:left w:val="none" w:sz="0" w:space="0" w:color="auto"/>
        <w:bottom w:val="none" w:sz="0" w:space="0" w:color="auto"/>
        <w:right w:val="none" w:sz="0" w:space="0" w:color="auto"/>
      </w:divBdr>
    </w:div>
    <w:div w:id="730202653">
      <w:bodyDiv w:val="1"/>
      <w:marLeft w:val="0"/>
      <w:marRight w:val="0"/>
      <w:marTop w:val="0"/>
      <w:marBottom w:val="0"/>
      <w:divBdr>
        <w:top w:val="none" w:sz="0" w:space="0" w:color="auto"/>
        <w:left w:val="none" w:sz="0" w:space="0" w:color="auto"/>
        <w:bottom w:val="none" w:sz="0" w:space="0" w:color="auto"/>
        <w:right w:val="none" w:sz="0" w:space="0" w:color="auto"/>
      </w:divBdr>
    </w:div>
    <w:div w:id="740055221">
      <w:bodyDiv w:val="1"/>
      <w:marLeft w:val="0"/>
      <w:marRight w:val="0"/>
      <w:marTop w:val="0"/>
      <w:marBottom w:val="0"/>
      <w:divBdr>
        <w:top w:val="none" w:sz="0" w:space="0" w:color="auto"/>
        <w:left w:val="none" w:sz="0" w:space="0" w:color="auto"/>
        <w:bottom w:val="none" w:sz="0" w:space="0" w:color="auto"/>
        <w:right w:val="none" w:sz="0" w:space="0" w:color="auto"/>
      </w:divBdr>
    </w:div>
    <w:div w:id="749305501">
      <w:bodyDiv w:val="1"/>
      <w:marLeft w:val="0"/>
      <w:marRight w:val="0"/>
      <w:marTop w:val="0"/>
      <w:marBottom w:val="0"/>
      <w:divBdr>
        <w:top w:val="none" w:sz="0" w:space="0" w:color="auto"/>
        <w:left w:val="none" w:sz="0" w:space="0" w:color="auto"/>
        <w:bottom w:val="none" w:sz="0" w:space="0" w:color="auto"/>
        <w:right w:val="none" w:sz="0" w:space="0" w:color="auto"/>
      </w:divBdr>
    </w:div>
    <w:div w:id="764421083">
      <w:bodyDiv w:val="1"/>
      <w:marLeft w:val="0"/>
      <w:marRight w:val="0"/>
      <w:marTop w:val="0"/>
      <w:marBottom w:val="0"/>
      <w:divBdr>
        <w:top w:val="none" w:sz="0" w:space="0" w:color="auto"/>
        <w:left w:val="none" w:sz="0" w:space="0" w:color="auto"/>
        <w:bottom w:val="none" w:sz="0" w:space="0" w:color="auto"/>
        <w:right w:val="none" w:sz="0" w:space="0" w:color="auto"/>
      </w:divBdr>
    </w:div>
    <w:div w:id="768356908">
      <w:bodyDiv w:val="1"/>
      <w:marLeft w:val="0"/>
      <w:marRight w:val="0"/>
      <w:marTop w:val="0"/>
      <w:marBottom w:val="0"/>
      <w:divBdr>
        <w:top w:val="none" w:sz="0" w:space="0" w:color="auto"/>
        <w:left w:val="none" w:sz="0" w:space="0" w:color="auto"/>
        <w:bottom w:val="none" w:sz="0" w:space="0" w:color="auto"/>
        <w:right w:val="none" w:sz="0" w:space="0" w:color="auto"/>
      </w:divBdr>
    </w:div>
    <w:div w:id="820930895">
      <w:bodyDiv w:val="1"/>
      <w:marLeft w:val="0"/>
      <w:marRight w:val="0"/>
      <w:marTop w:val="0"/>
      <w:marBottom w:val="0"/>
      <w:divBdr>
        <w:top w:val="none" w:sz="0" w:space="0" w:color="auto"/>
        <w:left w:val="none" w:sz="0" w:space="0" w:color="auto"/>
        <w:bottom w:val="none" w:sz="0" w:space="0" w:color="auto"/>
        <w:right w:val="none" w:sz="0" w:space="0" w:color="auto"/>
      </w:divBdr>
    </w:div>
    <w:div w:id="832994584">
      <w:bodyDiv w:val="1"/>
      <w:marLeft w:val="0"/>
      <w:marRight w:val="0"/>
      <w:marTop w:val="0"/>
      <w:marBottom w:val="0"/>
      <w:divBdr>
        <w:top w:val="none" w:sz="0" w:space="0" w:color="auto"/>
        <w:left w:val="none" w:sz="0" w:space="0" w:color="auto"/>
        <w:bottom w:val="none" w:sz="0" w:space="0" w:color="auto"/>
        <w:right w:val="none" w:sz="0" w:space="0" w:color="auto"/>
      </w:divBdr>
    </w:div>
    <w:div w:id="867527144">
      <w:bodyDiv w:val="1"/>
      <w:marLeft w:val="0"/>
      <w:marRight w:val="0"/>
      <w:marTop w:val="0"/>
      <w:marBottom w:val="0"/>
      <w:divBdr>
        <w:top w:val="none" w:sz="0" w:space="0" w:color="auto"/>
        <w:left w:val="none" w:sz="0" w:space="0" w:color="auto"/>
        <w:bottom w:val="none" w:sz="0" w:space="0" w:color="auto"/>
        <w:right w:val="none" w:sz="0" w:space="0" w:color="auto"/>
      </w:divBdr>
    </w:div>
    <w:div w:id="909967726">
      <w:bodyDiv w:val="1"/>
      <w:marLeft w:val="0"/>
      <w:marRight w:val="0"/>
      <w:marTop w:val="0"/>
      <w:marBottom w:val="0"/>
      <w:divBdr>
        <w:top w:val="none" w:sz="0" w:space="0" w:color="auto"/>
        <w:left w:val="none" w:sz="0" w:space="0" w:color="auto"/>
        <w:bottom w:val="none" w:sz="0" w:space="0" w:color="auto"/>
        <w:right w:val="none" w:sz="0" w:space="0" w:color="auto"/>
      </w:divBdr>
    </w:div>
    <w:div w:id="910576369">
      <w:bodyDiv w:val="1"/>
      <w:marLeft w:val="0"/>
      <w:marRight w:val="0"/>
      <w:marTop w:val="0"/>
      <w:marBottom w:val="0"/>
      <w:divBdr>
        <w:top w:val="none" w:sz="0" w:space="0" w:color="auto"/>
        <w:left w:val="none" w:sz="0" w:space="0" w:color="auto"/>
        <w:bottom w:val="none" w:sz="0" w:space="0" w:color="auto"/>
        <w:right w:val="none" w:sz="0" w:space="0" w:color="auto"/>
      </w:divBdr>
    </w:div>
    <w:div w:id="915435088">
      <w:bodyDiv w:val="1"/>
      <w:marLeft w:val="0"/>
      <w:marRight w:val="0"/>
      <w:marTop w:val="0"/>
      <w:marBottom w:val="0"/>
      <w:divBdr>
        <w:top w:val="none" w:sz="0" w:space="0" w:color="auto"/>
        <w:left w:val="none" w:sz="0" w:space="0" w:color="auto"/>
        <w:bottom w:val="none" w:sz="0" w:space="0" w:color="auto"/>
        <w:right w:val="none" w:sz="0" w:space="0" w:color="auto"/>
      </w:divBdr>
    </w:div>
    <w:div w:id="918952417">
      <w:bodyDiv w:val="1"/>
      <w:marLeft w:val="0"/>
      <w:marRight w:val="0"/>
      <w:marTop w:val="0"/>
      <w:marBottom w:val="0"/>
      <w:divBdr>
        <w:top w:val="none" w:sz="0" w:space="0" w:color="auto"/>
        <w:left w:val="none" w:sz="0" w:space="0" w:color="auto"/>
        <w:bottom w:val="none" w:sz="0" w:space="0" w:color="auto"/>
        <w:right w:val="none" w:sz="0" w:space="0" w:color="auto"/>
      </w:divBdr>
    </w:div>
    <w:div w:id="992871385">
      <w:bodyDiv w:val="1"/>
      <w:marLeft w:val="0"/>
      <w:marRight w:val="0"/>
      <w:marTop w:val="0"/>
      <w:marBottom w:val="0"/>
      <w:divBdr>
        <w:top w:val="none" w:sz="0" w:space="0" w:color="auto"/>
        <w:left w:val="none" w:sz="0" w:space="0" w:color="auto"/>
        <w:bottom w:val="none" w:sz="0" w:space="0" w:color="auto"/>
        <w:right w:val="none" w:sz="0" w:space="0" w:color="auto"/>
      </w:divBdr>
    </w:div>
    <w:div w:id="1013460730">
      <w:bodyDiv w:val="1"/>
      <w:marLeft w:val="0"/>
      <w:marRight w:val="0"/>
      <w:marTop w:val="0"/>
      <w:marBottom w:val="0"/>
      <w:divBdr>
        <w:top w:val="none" w:sz="0" w:space="0" w:color="auto"/>
        <w:left w:val="none" w:sz="0" w:space="0" w:color="auto"/>
        <w:bottom w:val="none" w:sz="0" w:space="0" w:color="auto"/>
        <w:right w:val="none" w:sz="0" w:space="0" w:color="auto"/>
      </w:divBdr>
    </w:div>
    <w:div w:id="1019351533">
      <w:bodyDiv w:val="1"/>
      <w:marLeft w:val="0"/>
      <w:marRight w:val="0"/>
      <w:marTop w:val="0"/>
      <w:marBottom w:val="0"/>
      <w:divBdr>
        <w:top w:val="none" w:sz="0" w:space="0" w:color="auto"/>
        <w:left w:val="none" w:sz="0" w:space="0" w:color="auto"/>
        <w:bottom w:val="none" w:sz="0" w:space="0" w:color="auto"/>
        <w:right w:val="none" w:sz="0" w:space="0" w:color="auto"/>
      </w:divBdr>
    </w:div>
    <w:div w:id="1024476693">
      <w:bodyDiv w:val="1"/>
      <w:marLeft w:val="0"/>
      <w:marRight w:val="0"/>
      <w:marTop w:val="0"/>
      <w:marBottom w:val="0"/>
      <w:divBdr>
        <w:top w:val="none" w:sz="0" w:space="0" w:color="auto"/>
        <w:left w:val="none" w:sz="0" w:space="0" w:color="auto"/>
        <w:bottom w:val="none" w:sz="0" w:space="0" w:color="auto"/>
        <w:right w:val="none" w:sz="0" w:space="0" w:color="auto"/>
      </w:divBdr>
    </w:div>
    <w:div w:id="1027560150">
      <w:bodyDiv w:val="1"/>
      <w:marLeft w:val="0"/>
      <w:marRight w:val="0"/>
      <w:marTop w:val="0"/>
      <w:marBottom w:val="0"/>
      <w:divBdr>
        <w:top w:val="none" w:sz="0" w:space="0" w:color="auto"/>
        <w:left w:val="none" w:sz="0" w:space="0" w:color="auto"/>
        <w:bottom w:val="none" w:sz="0" w:space="0" w:color="auto"/>
        <w:right w:val="none" w:sz="0" w:space="0" w:color="auto"/>
      </w:divBdr>
    </w:div>
    <w:div w:id="1033724774">
      <w:bodyDiv w:val="1"/>
      <w:marLeft w:val="0"/>
      <w:marRight w:val="0"/>
      <w:marTop w:val="0"/>
      <w:marBottom w:val="0"/>
      <w:divBdr>
        <w:top w:val="none" w:sz="0" w:space="0" w:color="auto"/>
        <w:left w:val="none" w:sz="0" w:space="0" w:color="auto"/>
        <w:bottom w:val="none" w:sz="0" w:space="0" w:color="auto"/>
        <w:right w:val="none" w:sz="0" w:space="0" w:color="auto"/>
      </w:divBdr>
    </w:div>
    <w:div w:id="1036661592">
      <w:bodyDiv w:val="1"/>
      <w:marLeft w:val="0"/>
      <w:marRight w:val="0"/>
      <w:marTop w:val="0"/>
      <w:marBottom w:val="0"/>
      <w:divBdr>
        <w:top w:val="none" w:sz="0" w:space="0" w:color="auto"/>
        <w:left w:val="none" w:sz="0" w:space="0" w:color="auto"/>
        <w:bottom w:val="none" w:sz="0" w:space="0" w:color="auto"/>
        <w:right w:val="none" w:sz="0" w:space="0" w:color="auto"/>
      </w:divBdr>
    </w:div>
    <w:div w:id="1079015447">
      <w:bodyDiv w:val="1"/>
      <w:marLeft w:val="0"/>
      <w:marRight w:val="0"/>
      <w:marTop w:val="0"/>
      <w:marBottom w:val="0"/>
      <w:divBdr>
        <w:top w:val="none" w:sz="0" w:space="0" w:color="auto"/>
        <w:left w:val="none" w:sz="0" w:space="0" w:color="auto"/>
        <w:bottom w:val="none" w:sz="0" w:space="0" w:color="auto"/>
        <w:right w:val="none" w:sz="0" w:space="0" w:color="auto"/>
      </w:divBdr>
    </w:div>
    <w:div w:id="1101874168">
      <w:bodyDiv w:val="1"/>
      <w:marLeft w:val="0"/>
      <w:marRight w:val="0"/>
      <w:marTop w:val="0"/>
      <w:marBottom w:val="0"/>
      <w:divBdr>
        <w:top w:val="none" w:sz="0" w:space="0" w:color="auto"/>
        <w:left w:val="none" w:sz="0" w:space="0" w:color="auto"/>
        <w:bottom w:val="none" w:sz="0" w:space="0" w:color="auto"/>
        <w:right w:val="none" w:sz="0" w:space="0" w:color="auto"/>
      </w:divBdr>
    </w:div>
    <w:div w:id="1128402147">
      <w:bodyDiv w:val="1"/>
      <w:marLeft w:val="0"/>
      <w:marRight w:val="0"/>
      <w:marTop w:val="0"/>
      <w:marBottom w:val="0"/>
      <w:divBdr>
        <w:top w:val="none" w:sz="0" w:space="0" w:color="auto"/>
        <w:left w:val="none" w:sz="0" w:space="0" w:color="auto"/>
        <w:bottom w:val="none" w:sz="0" w:space="0" w:color="auto"/>
        <w:right w:val="none" w:sz="0" w:space="0" w:color="auto"/>
      </w:divBdr>
    </w:div>
    <w:div w:id="1156609449">
      <w:bodyDiv w:val="1"/>
      <w:marLeft w:val="0"/>
      <w:marRight w:val="0"/>
      <w:marTop w:val="0"/>
      <w:marBottom w:val="0"/>
      <w:divBdr>
        <w:top w:val="none" w:sz="0" w:space="0" w:color="auto"/>
        <w:left w:val="none" w:sz="0" w:space="0" w:color="auto"/>
        <w:bottom w:val="none" w:sz="0" w:space="0" w:color="auto"/>
        <w:right w:val="none" w:sz="0" w:space="0" w:color="auto"/>
      </w:divBdr>
    </w:div>
    <w:div w:id="1164201151">
      <w:bodyDiv w:val="1"/>
      <w:marLeft w:val="0"/>
      <w:marRight w:val="0"/>
      <w:marTop w:val="0"/>
      <w:marBottom w:val="0"/>
      <w:divBdr>
        <w:top w:val="none" w:sz="0" w:space="0" w:color="auto"/>
        <w:left w:val="none" w:sz="0" w:space="0" w:color="auto"/>
        <w:bottom w:val="none" w:sz="0" w:space="0" w:color="auto"/>
        <w:right w:val="none" w:sz="0" w:space="0" w:color="auto"/>
      </w:divBdr>
    </w:div>
    <w:div w:id="1165704600">
      <w:bodyDiv w:val="1"/>
      <w:marLeft w:val="0"/>
      <w:marRight w:val="0"/>
      <w:marTop w:val="0"/>
      <w:marBottom w:val="0"/>
      <w:divBdr>
        <w:top w:val="none" w:sz="0" w:space="0" w:color="auto"/>
        <w:left w:val="none" w:sz="0" w:space="0" w:color="auto"/>
        <w:bottom w:val="none" w:sz="0" w:space="0" w:color="auto"/>
        <w:right w:val="none" w:sz="0" w:space="0" w:color="auto"/>
      </w:divBdr>
    </w:div>
    <w:div w:id="1175268794">
      <w:bodyDiv w:val="1"/>
      <w:marLeft w:val="0"/>
      <w:marRight w:val="0"/>
      <w:marTop w:val="0"/>
      <w:marBottom w:val="0"/>
      <w:divBdr>
        <w:top w:val="none" w:sz="0" w:space="0" w:color="auto"/>
        <w:left w:val="none" w:sz="0" w:space="0" w:color="auto"/>
        <w:bottom w:val="none" w:sz="0" w:space="0" w:color="auto"/>
        <w:right w:val="none" w:sz="0" w:space="0" w:color="auto"/>
      </w:divBdr>
    </w:div>
    <w:div w:id="1194538970">
      <w:bodyDiv w:val="1"/>
      <w:marLeft w:val="0"/>
      <w:marRight w:val="0"/>
      <w:marTop w:val="0"/>
      <w:marBottom w:val="0"/>
      <w:divBdr>
        <w:top w:val="none" w:sz="0" w:space="0" w:color="auto"/>
        <w:left w:val="none" w:sz="0" w:space="0" w:color="auto"/>
        <w:bottom w:val="none" w:sz="0" w:space="0" w:color="auto"/>
        <w:right w:val="none" w:sz="0" w:space="0" w:color="auto"/>
      </w:divBdr>
    </w:div>
    <w:div w:id="1195073464">
      <w:bodyDiv w:val="1"/>
      <w:marLeft w:val="0"/>
      <w:marRight w:val="0"/>
      <w:marTop w:val="0"/>
      <w:marBottom w:val="0"/>
      <w:divBdr>
        <w:top w:val="none" w:sz="0" w:space="0" w:color="auto"/>
        <w:left w:val="none" w:sz="0" w:space="0" w:color="auto"/>
        <w:bottom w:val="none" w:sz="0" w:space="0" w:color="auto"/>
        <w:right w:val="none" w:sz="0" w:space="0" w:color="auto"/>
      </w:divBdr>
    </w:div>
    <w:div w:id="1199202346">
      <w:bodyDiv w:val="1"/>
      <w:marLeft w:val="0"/>
      <w:marRight w:val="0"/>
      <w:marTop w:val="0"/>
      <w:marBottom w:val="0"/>
      <w:divBdr>
        <w:top w:val="none" w:sz="0" w:space="0" w:color="auto"/>
        <w:left w:val="none" w:sz="0" w:space="0" w:color="auto"/>
        <w:bottom w:val="none" w:sz="0" w:space="0" w:color="auto"/>
        <w:right w:val="none" w:sz="0" w:space="0" w:color="auto"/>
      </w:divBdr>
    </w:div>
    <w:div w:id="1201894101">
      <w:bodyDiv w:val="1"/>
      <w:marLeft w:val="0"/>
      <w:marRight w:val="0"/>
      <w:marTop w:val="0"/>
      <w:marBottom w:val="0"/>
      <w:divBdr>
        <w:top w:val="none" w:sz="0" w:space="0" w:color="auto"/>
        <w:left w:val="none" w:sz="0" w:space="0" w:color="auto"/>
        <w:bottom w:val="none" w:sz="0" w:space="0" w:color="auto"/>
        <w:right w:val="none" w:sz="0" w:space="0" w:color="auto"/>
      </w:divBdr>
    </w:div>
    <w:div w:id="1204757797">
      <w:bodyDiv w:val="1"/>
      <w:marLeft w:val="0"/>
      <w:marRight w:val="0"/>
      <w:marTop w:val="0"/>
      <w:marBottom w:val="0"/>
      <w:divBdr>
        <w:top w:val="none" w:sz="0" w:space="0" w:color="auto"/>
        <w:left w:val="none" w:sz="0" w:space="0" w:color="auto"/>
        <w:bottom w:val="none" w:sz="0" w:space="0" w:color="auto"/>
        <w:right w:val="none" w:sz="0" w:space="0" w:color="auto"/>
      </w:divBdr>
    </w:div>
    <w:div w:id="1220048034">
      <w:bodyDiv w:val="1"/>
      <w:marLeft w:val="0"/>
      <w:marRight w:val="0"/>
      <w:marTop w:val="0"/>
      <w:marBottom w:val="0"/>
      <w:divBdr>
        <w:top w:val="none" w:sz="0" w:space="0" w:color="auto"/>
        <w:left w:val="none" w:sz="0" w:space="0" w:color="auto"/>
        <w:bottom w:val="none" w:sz="0" w:space="0" w:color="auto"/>
        <w:right w:val="none" w:sz="0" w:space="0" w:color="auto"/>
      </w:divBdr>
    </w:div>
    <w:div w:id="1229147989">
      <w:bodyDiv w:val="1"/>
      <w:marLeft w:val="0"/>
      <w:marRight w:val="0"/>
      <w:marTop w:val="0"/>
      <w:marBottom w:val="0"/>
      <w:divBdr>
        <w:top w:val="none" w:sz="0" w:space="0" w:color="auto"/>
        <w:left w:val="none" w:sz="0" w:space="0" w:color="auto"/>
        <w:bottom w:val="none" w:sz="0" w:space="0" w:color="auto"/>
        <w:right w:val="none" w:sz="0" w:space="0" w:color="auto"/>
      </w:divBdr>
    </w:div>
    <w:div w:id="1239092528">
      <w:bodyDiv w:val="1"/>
      <w:marLeft w:val="0"/>
      <w:marRight w:val="0"/>
      <w:marTop w:val="0"/>
      <w:marBottom w:val="0"/>
      <w:divBdr>
        <w:top w:val="none" w:sz="0" w:space="0" w:color="auto"/>
        <w:left w:val="none" w:sz="0" w:space="0" w:color="auto"/>
        <w:bottom w:val="none" w:sz="0" w:space="0" w:color="auto"/>
        <w:right w:val="none" w:sz="0" w:space="0" w:color="auto"/>
      </w:divBdr>
    </w:div>
    <w:div w:id="1264262686">
      <w:bodyDiv w:val="1"/>
      <w:marLeft w:val="0"/>
      <w:marRight w:val="0"/>
      <w:marTop w:val="0"/>
      <w:marBottom w:val="0"/>
      <w:divBdr>
        <w:top w:val="none" w:sz="0" w:space="0" w:color="auto"/>
        <w:left w:val="none" w:sz="0" w:space="0" w:color="auto"/>
        <w:bottom w:val="none" w:sz="0" w:space="0" w:color="auto"/>
        <w:right w:val="none" w:sz="0" w:space="0" w:color="auto"/>
      </w:divBdr>
    </w:div>
    <w:div w:id="1282953015">
      <w:bodyDiv w:val="1"/>
      <w:marLeft w:val="0"/>
      <w:marRight w:val="0"/>
      <w:marTop w:val="0"/>
      <w:marBottom w:val="0"/>
      <w:divBdr>
        <w:top w:val="none" w:sz="0" w:space="0" w:color="auto"/>
        <w:left w:val="none" w:sz="0" w:space="0" w:color="auto"/>
        <w:bottom w:val="none" w:sz="0" w:space="0" w:color="auto"/>
        <w:right w:val="none" w:sz="0" w:space="0" w:color="auto"/>
      </w:divBdr>
    </w:div>
    <w:div w:id="1288313951">
      <w:bodyDiv w:val="1"/>
      <w:marLeft w:val="0"/>
      <w:marRight w:val="0"/>
      <w:marTop w:val="0"/>
      <w:marBottom w:val="0"/>
      <w:divBdr>
        <w:top w:val="none" w:sz="0" w:space="0" w:color="auto"/>
        <w:left w:val="none" w:sz="0" w:space="0" w:color="auto"/>
        <w:bottom w:val="none" w:sz="0" w:space="0" w:color="auto"/>
        <w:right w:val="none" w:sz="0" w:space="0" w:color="auto"/>
      </w:divBdr>
    </w:div>
    <w:div w:id="1303343287">
      <w:bodyDiv w:val="1"/>
      <w:marLeft w:val="0"/>
      <w:marRight w:val="0"/>
      <w:marTop w:val="0"/>
      <w:marBottom w:val="0"/>
      <w:divBdr>
        <w:top w:val="none" w:sz="0" w:space="0" w:color="auto"/>
        <w:left w:val="none" w:sz="0" w:space="0" w:color="auto"/>
        <w:bottom w:val="none" w:sz="0" w:space="0" w:color="auto"/>
        <w:right w:val="none" w:sz="0" w:space="0" w:color="auto"/>
      </w:divBdr>
    </w:div>
    <w:div w:id="1303779075">
      <w:bodyDiv w:val="1"/>
      <w:marLeft w:val="0"/>
      <w:marRight w:val="0"/>
      <w:marTop w:val="0"/>
      <w:marBottom w:val="0"/>
      <w:divBdr>
        <w:top w:val="none" w:sz="0" w:space="0" w:color="auto"/>
        <w:left w:val="none" w:sz="0" w:space="0" w:color="auto"/>
        <w:bottom w:val="none" w:sz="0" w:space="0" w:color="auto"/>
        <w:right w:val="none" w:sz="0" w:space="0" w:color="auto"/>
      </w:divBdr>
    </w:div>
    <w:div w:id="1330519391">
      <w:bodyDiv w:val="1"/>
      <w:marLeft w:val="0"/>
      <w:marRight w:val="0"/>
      <w:marTop w:val="0"/>
      <w:marBottom w:val="0"/>
      <w:divBdr>
        <w:top w:val="none" w:sz="0" w:space="0" w:color="auto"/>
        <w:left w:val="none" w:sz="0" w:space="0" w:color="auto"/>
        <w:bottom w:val="none" w:sz="0" w:space="0" w:color="auto"/>
        <w:right w:val="none" w:sz="0" w:space="0" w:color="auto"/>
      </w:divBdr>
    </w:div>
    <w:div w:id="1360160717">
      <w:bodyDiv w:val="1"/>
      <w:marLeft w:val="0"/>
      <w:marRight w:val="0"/>
      <w:marTop w:val="0"/>
      <w:marBottom w:val="0"/>
      <w:divBdr>
        <w:top w:val="none" w:sz="0" w:space="0" w:color="auto"/>
        <w:left w:val="none" w:sz="0" w:space="0" w:color="auto"/>
        <w:bottom w:val="none" w:sz="0" w:space="0" w:color="auto"/>
        <w:right w:val="none" w:sz="0" w:space="0" w:color="auto"/>
      </w:divBdr>
    </w:div>
    <w:div w:id="1362365864">
      <w:bodyDiv w:val="1"/>
      <w:marLeft w:val="0"/>
      <w:marRight w:val="0"/>
      <w:marTop w:val="0"/>
      <w:marBottom w:val="0"/>
      <w:divBdr>
        <w:top w:val="none" w:sz="0" w:space="0" w:color="auto"/>
        <w:left w:val="none" w:sz="0" w:space="0" w:color="auto"/>
        <w:bottom w:val="none" w:sz="0" w:space="0" w:color="auto"/>
        <w:right w:val="none" w:sz="0" w:space="0" w:color="auto"/>
      </w:divBdr>
    </w:div>
    <w:div w:id="1363094327">
      <w:bodyDiv w:val="1"/>
      <w:marLeft w:val="0"/>
      <w:marRight w:val="0"/>
      <w:marTop w:val="0"/>
      <w:marBottom w:val="0"/>
      <w:divBdr>
        <w:top w:val="none" w:sz="0" w:space="0" w:color="auto"/>
        <w:left w:val="none" w:sz="0" w:space="0" w:color="auto"/>
        <w:bottom w:val="none" w:sz="0" w:space="0" w:color="auto"/>
        <w:right w:val="none" w:sz="0" w:space="0" w:color="auto"/>
      </w:divBdr>
    </w:div>
    <w:div w:id="1387142527">
      <w:bodyDiv w:val="1"/>
      <w:marLeft w:val="0"/>
      <w:marRight w:val="0"/>
      <w:marTop w:val="0"/>
      <w:marBottom w:val="0"/>
      <w:divBdr>
        <w:top w:val="none" w:sz="0" w:space="0" w:color="auto"/>
        <w:left w:val="none" w:sz="0" w:space="0" w:color="auto"/>
        <w:bottom w:val="none" w:sz="0" w:space="0" w:color="auto"/>
        <w:right w:val="none" w:sz="0" w:space="0" w:color="auto"/>
      </w:divBdr>
    </w:div>
    <w:div w:id="1423720584">
      <w:bodyDiv w:val="1"/>
      <w:marLeft w:val="0"/>
      <w:marRight w:val="0"/>
      <w:marTop w:val="0"/>
      <w:marBottom w:val="0"/>
      <w:divBdr>
        <w:top w:val="none" w:sz="0" w:space="0" w:color="auto"/>
        <w:left w:val="none" w:sz="0" w:space="0" w:color="auto"/>
        <w:bottom w:val="none" w:sz="0" w:space="0" w:color="auto"/>
        <w:right w:val="none" w:sz="0" w:space="0" w:color="auto"/>
      </w:divBdr>
    </w:div>
    <w:div w:id="1428115596">
      <w:bodyDiv w:val="1"/>
      <w:marLeft w:val="0"/>
      <w:marRight w:val="0"/>
      <w:marTop w:val="0"/>
      <w:marBottom w:val="0"/>
      <w:divBdr>
        <w:top w:val="none" w:sz="0" w:space="0" w:color="auto"/>
        <w:left w:val="none" w:sz="0" w:space="0" w:color="auto"/>
        <w:bottom w:val="none" w:sz="0" w:space="0" w:color="auto"/>
        <w:right w:val="none" w:sz="0" w:space="0" w:color="auto"/>
      </w:divBdr>
    </w:div>
    <w:div w:id="1445929085">
      <w:bodyDiv w:val="1"/>
      <w:marLeft w:val="0"/>
      <w:marRight w:val="0"/>
      <w:marTop w:val="0"/>
      <w:marBottom w:val="0"/>
      <w:divBdr>
        <w:top w:val="none" w:sz="0" w:space="0" w:color="auto"/>
        <w:left w:val="none" w:sz="0" w:space="0" w:color="auto"/>
        <w:bottom w:val="none" w:sz="0" w:space="0" w:color="auto"/>
        <w:right w:val="none" w:sz="0" w:space="0" w:color="auto"/>
      </w:divBdr>
    </w:div>
    <w:div w:id="1457674158">
      <w:bodyDiv w:val="1"/>
      <w:marLeft w:val="0"/>
      <w:marRight w:val="0"/>
      <w:marTop w:val="0"/>
      <w:marBottom w:val="0"/>
      <w:divBdr>
        <w:top w:val="none" w:sz="0" w:space="0" w:color="auto"/>
        <w:left w:val="none" w:sz="0" w:space="0" w:color="auto"/>
        <w:bottom w:val="none" w:sz="0" w:space="0" w:color="auto"/>
        <w:right w:val="none" w:sz="0" w:space="0" w:color="auto"/>
      </w:divBdr>
    </w:div>
    <w:div w:id="1461799003">
      <w:bodyDiv w:val="1"/>
      <w:marLeft w:val="0"/>
      <w:marRight w:val="0"/>
      <w:marTop w:val="0"/>
      <w:marBottom w:val="0"/>
      <w:divBdr>
        <w:top w:val="none" w:sz="0" w:space="0" w:color="auto"/>
        <w:left w:val="none" w:sz="0" w:space="0" w:color="auto"/>
        <w:bottom w:val="none" w:sz="0" w:space="0" w:color="auto"/>
        <w:right w:val="none" w:sz="0" w:space="0" w:color="auto"/>
      </w:divBdr>
    </w:div>
    <w:div w:id="1491747473">
      <w:bodyDiv w:val="1"/>
      <w:marLeft w:val="0"/>
      <w:marRight w:val="0"/>
      <w:marTop w:val="0"/>
      <w:marBottom w:val="0"/>
      <w:divBdr>
        <w:top w:val="none" w:sz="0" w:space="0" w:color="auto"/>
        <w:left w:val="none" w:sz="0" w:space="0" w:color="auto"/>
        <w:bottom w:val="none" w:sz="0" w:space="0" w:color="auto"/>
        <w:right w:val="none" w:sz="0" w:space="0" w:color="auto"/>
      </w:divBdr>
    </w:div>
    <w:div w:id="1493838783">
      <w:bodyDiv w:val="1"/>
      <w:marLeft w:val="0"/>
      <w:marRight w:val="0"/>
      <w:marTop w:val="0"/>
      <w:marBottom w:val="0"/>
      <w:divBdr>
        <w:top w:val="none" w:sz="0" w:space="0" w:color="auto"/>
        <w:left w:val="none" w:sz="0" w:space="0" w:color="auto"/>
        <w:bottom w:val="none" w:sz="0" w:space="0" w:color="auto"/>
        <w:right w:val="none" w:sz="0" w:space="0" w:color="auto"/>
      </w:divBdr>
    </w:div>
    <w:div w:id="1505052157">
      <w:bodyDiv w:val="1"/>
      <w:marLeft w:val="0"/>
      <w:marRight w:val="0"/>
      <w:marTop w:val="0"/>
      <w:marBottom w:val="0"/>
      <w:divBdr>
        <w:top w:val="none" w:sz="0" w:space="0" w:color="auto"/>
        <w:left w:val="none" w:sz="0" w:space="0" w:color="auto"/>
        <w:bottom w:val="none" w:sz="0" w:space="0" w:color="auto"/>
        <w:right w:val="none" w:sz="0" w:space="0" w:color="auto"/>
      </w:divBdr>
    </w:div>
    <w:div w:id="1507282784">
      <w:bodyDiv w:val="1"/>
      <w:marLeft w:val="0"/>
      <w:marRight w:val="0"/>
      <w:marTop w:val="0"/>
      <w:marBottom w:val="0"/>
      <w:divBdr>
        <w:top w:val="none" w:sz="0" w:space="0" w:color="auto"/>
        <w:left w:val="none" w:sz="0" w:space="0" w:color="auto"/>
        <w:bottom w:val="none" w:sz="0" w:space="0" w:color="auto"/>
        <w:right w:val="none" w:sz="0" w:space="0" w:color="auto"/>
      </w:divBdr>
    </w:div>
    <w:div w:id="1509253840">
      <w:bodyDiv w:val="1"/>
      <w:marLeft w:val="0"/>
      <w:marRight w:val="0"/>
      <w:marTop w:val="0"/>
      <w:marBottom w:val="0"/>
      <w:divBdr>
        <w:top w:val="none" w:sz="0" w:space="0" w:color="auto"/>
        <w:left w:val="none" w:sz="0" w:space="0" w:color="auto"/>
        <w:bottom w:val="none" w:sz="0" w:space="0" w:color="auto"/>
        <w:right w:val="none" w:sz="0" w:space="0" w:color="auto"/>
      </w:divBdr>
    </w:div>
    <w:div w:id="1509638551">
      <w:bodyDiv w:val="1"/>
      <w:marLeft w:val="0"/>
      <w:marRight w:val="0"/>
      <w:marTop w:val="0"/>
      <w:marBottom w:val="0"/>
      <w:divBdr>
        <w:top w:val="none" w:sz="0" w:space="0" w:color="auto"/>
        <w:left w:val="none" w:sz="0" w:space="0" w:color="auto"/>
        <w:bottom w:val="none" w:sz="0" w:space="0" w:color="auto"/>
        <w:right w:val="none" w:sz="0" w:space="0" w:color="auto"/>
      </w:divBdr>
    </w:div>
    <w:div w:id="1521507101">
      <w:bodyDiv w:val="1"/>
      <w:marLeft w:val="0"/>
      <w:marRight w:val="0"/>
      <w:marTop w:val="0"/>
      <w:marBottom w:val="0"/>
      <w:divBdr>
        <w:top w:val="none" w:sz="0" w:space="0" w:color="auto"/>
        <w:left w:val="none" w:sz="0" w:space="0" w:color="auto"/>
        <w:bottom w:val="none" w:sz="0" w:space="0" w:color="auto"/>
        <w:right w:val="none" w:sz="0" w:space="0" w:color="auto"/>
      </w:divBdr>
    </w:div>
    <w:div w:id="1544294151">
      <w:bodyDiv w:val="1"/>
      <w:marLeft w:val="0"/>
      <w:marRight w:val="0"/>
      <w:marTop w:val="0"/>
      <w:marBottom w:val="0"/>
      <w:divBdr>
        <w:top w:val="none" w:sz="0" w:space="0" w:color="auto"/>
        <w:left w:val="none" w:sz="0" w:space="0" w:color="auto"/>
        <w:bottom w:val="none" w:sz="0" w:space="0" w:color="auto"/>
        <w:right w:val="none" w:sz="0" w:space="0" w:color="auto"/>
      </w:divBdr>
    </w:div>
    <w:div w:id="1556962979">
      <w:bodyDiv w:val="1"/>
      <w:marLeft w:val="0"/>
      <w:marRight w:val="0"/>
      <w:marTop w:val="0"/>
      <w:marBottom w:val="0"/>
      <w:divBdr>
        <w:top w:val="none" w:sz="0" w:space="0" w:color="auto"/>
        <w:left w:val="none" w:sz="0" w:space="0" w:color="auto"/>
        <w:bottom w:val="none" w:sz="0" w:space="0" w:color="auto"/>
        <w:right w:val="none" w:sz="0" w:space="0" w:color="auto"/>
      </w:divBdr>
    </w:div>
    <w:div w:id="1561137586">
      <w:bodyDiv w:val="1"/>
      <w:marLeft w:val="0"/>
      <w:marRight w:val="0"/>
      <w:marTop w:val="0"/>
      <w:marBottom w:val="0"/>
      <w:divBdr>
        <w:top w:val="none" w:sz="0" w:space="0" w:color="auto"/>
        <w:left w:val="none" w:sz="0" w:space="0" w:color="auto"/>
        <w:bottom w:val="none" w:sz="0" w:space="0" w:color="auto"/>
        <w:right w:val="none" w:sz="0" w:space="0" w:color="auto"/>
      </w:divBdr>
      <w:divsChild>
        <w:div w:id="1346594712">
          <w:marLeft w:val="0"/>
          <w:marRight w:val="0"/>
          <w:marTop w:val="0"/>
          <w:marBottom w:val="0"/>
          <w:divBdr>
            <w:top w:val="none" w:sz="0" w:space="0" w:color="auto"/>
            <w:left w:val="none" w:sz="0" w:space="0" w:color="auto"/>
            <w:bottom w:val="none" w:sz="0" w:space="0" w:color="auto"/>
            <w:right w:val="none" w:sz="0" w:space="0" w:color="auto"/>
          </w:divBdr>
          <w:divsChild>
            <w:div w:id="2124106309">
              <w:marLeft w:val="0"/>
              <w:marRight w:val="0"/>
              <w:marTop w:val="0"/>
              <w:marBottom w:val="0"/>
              <w:divBdr>
                <w:top w:val="none" w:sz="0" w:space="0" w:color="auto"/>
                <w:left w:val="none" w:sz="0" w:space="0" w:color="auto"/>
                <w:bottom w:val="none" w:sz="0" w:space="0" w:color="auto"/>
                <w:right w:val="none" w:sz="0" w:space="0" w:color="auto"/>
              </w:divBdr>
              <w:divsChild>
                <w:div w:id="1940092953">
                  <w:marLeft w:val="0"/>
                  <w:marRight w:val="0"/>
                  <w:marTop w:val="0"/>
                  <w:marBottom w:val="0"/>
                  <w:divBdr>
                    <w:top w:val="none" w:sz="0" w:space="0" w:color="auto"/>
                    <w:left w:val="none" w:sz="0" w:space="0" w:color="auto"/>
                    <w:bottom w:val="none" w:sz="0" w:space="0" w:color="auto"/>
                    <w:right w:val="none" w:sz="0" w:space="0" w:color="auto"/>
                  </w:divBdr>
                  <w:divsChild>
                    <w:div w:id="877473364">
                      <w:marLeft w:val="0"/>
                      <w:marRight w:val="0"/>
                      <w:marTop w:val="0"/>
                      <w:marBottom w:val="0"/>
                      <w:divBdr>
                        <w:top w:val="none" w:sz="0" w:space="0" w:color="auto"/>
                        <w:left w:val="none" w:sz="0" w:space="0" w:color="auto"/>
                        <w:bottom w:val="none" w:sz="0" w:space="0" w:color="auto"/>
                        <w:right w:val="none" w:sz="0" w:space="0" w:color="auto"/>
                      </w:divBdr>
                      <w:divsChild>
                        <w:div w:id="1441955136">
                          <w:marLeft w:val="0"/>
                          <w:marRight w:val="0"/>
                          <w:marTop w:val="0"/>
                          <w:marBottom w:val="0"/>
                          <w:divBdr>
                            <w:top w:val="none" w:sz="0" w:space="0" w:color="auto"/>
                            <w:left w:val="none" w:sz="0" w:space="0" w:color="auto"/>
                            <w:bottom w:val="none" w:sz="0" w:space="0" w:color="auto"/>
                            <w:right w:val="none" w:sz="0" w:space="0" w:color="auto"/>
                          </w:divBdr>
                          <w:divsChild>
                            <w:div w:id="1198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13025">
      <w:bodyDiv w:val="1"/>
      <w:marLeft w:val="0"/>
      <w:marRight w:val="0"/>
      <w:marTop w:val="0"/>
      <w:marBottom w:val="0"/>
      <w:divBdr>
        <w:top w:val="none" w:sz="0" w:space="0" w:color="auto"/>
        <w:left w:val="none" w:sz="0" w:space="0" w:color="auto"/>
        <w:bottom w:val="none" w:sz="0" w:space="0" w:color="auto"/>
        <w:right w:val="none" w:sz="0" w:space="0" w:color="auto"/>
      </w:divBdr>
    </w:div>
    <w:div w:id="1583251332">
      <w:bodyDiv w:val="1"/>
      <w:marLeft w:val="0"/>
      <w:marRight w:val="0"/>
      <w:marTop w:val="0"/>
      <w:marBottom w:val="0"/>
      <w:divBdr>
        <w:top w:val="none" w:sz="0" w:space="0" w:color="auto"/>
        <w:left w:val="none" w:sz="0" w:space="0" w:color="auto"/>
        <w:bottom w:val="none" w:sz="0" w:space="0" w:color="auto"/>
        <w:right w:val="none" w:sz="0" w:space="0" w:color="auto"/>
      </w:divBdr>
    </w:div>
    <w:div w:id="1585456515">
      <w:bodyDiv w:val="1"/>
      <w:marLeft w:val="0"/>
      <w:marRight w:val="0"/>
      <w:marTop w:val="0"/>
      <w:marBottom w:val="0"/>
      <w:divBdr>
        <w:top w:val="none" w:sz="0" w:space="0" w:color="auto"/>
        <w:left w:val="none" w:sz="0" w:space="0" w:color="auto"/>
        <w:bottom w:val="none" w:sz="0" w:space="0" w:color="auto"/>
        <w:right w:val="none" w:sz="0" w:space="0" w:color="auto"/>
      </w:divBdr>
    </w:div>
    <w:div w:id="1590695662">
      <w:bodyDiv w:val="1"/>
      <w:marLeft w:val="0"/>
      <w:marRight w:val="0"/>
      <w:marTop w:val="0"/>
      <w:marBottom w:val="0"/>
      <w:divBdr>
        <w:top w:val="none" w:sz="0" w:space="0" w:color="auto"/>
        <w:left w:val="none" w:sz="0" w:space="0" w:color="auto"/>
        <w:bottom w:val="none" w:sz="0" w:space="0" w:color="auto"/>
        <w:right w:val="none" w:sz="0" w:space="0" w:color="auto"/>
      </w:divBdr>
    </w:div>
    <w:div w:id="1595825011">
      <w:bodyDiv w:val="1"/>
      <w:marLeft w:val="0"/>
      <w:marRight w:val="0"/>
      <w:marTop w:val="0"/>
      <w:marBottom w:val="0"/>
      <w:divBdr>
        <w:top w:val="none" w:sz="0" w:space="0" w:color="auto"/>
        <w:left w:val="none" w:sz="0" w:space="0" w:color="auto"/>
        <w:bottom w:val="none" w:sz="0" w:space="0" w:color="auto"/>
        <w:right w:val="none" w:sz="0" w:space="0" w:color="auto"/>
      </w:divBdr>
    </w:div>
    <w:div w:id="1599479729">
      <w:bodyDiv w:val="1"/>
      <w:marLeft w:val="0"/>
      <w:marRight w:val="0"/>
      <w:marTop w:val="0"/>
      <w:marBottom w:val="0"/>
      <w:divBdr>
        <w:top w:val="none" w:sz="0" w:space="0" w:color="auto"/>
        <w:left w:val="none" w:sz="0" w:space="0" w:color="auto"/>
        <w:bottom w:val="none" w:sz="0" w:space="0" w:color="auto"/>
        <w:right w:val="none" w:sz="0" w:space="0" w:color="auto"/>
      </w:divBdr>
    </w:div>
    <w:div w:id="1611938673">
      <w:bodyDiv w:val="1"/>
      <w:marLeft w:val="0"/>
      <w:marRight w:val="0"/>
      <w:marTop w:val="0"/>
      <w:marBottom w:val="0"/>
      <w:divBdr>
        <w:top w:val="none" w:sz="0" w:space="0" w:color="auto"/>
        <w:left w:val="none" w:sz="0" w:space="0" w:color="auto"/>
        <w:bottom w:val="none" w:sz="0" w:space="0" w:color="auto"/>
        <w:right w:val="none" w:sz="0" w:space="0" w:color="auto"/>
      </w:divBdr>
    </w:div>
    <w:div w:id="1613510691">
      <w:bodyDiv w:val="1"/>
      <w:marLeft w:val="0"/>
      <w:marRight w:val="0"/>
      <w:marTop w:val="0"/>
      <w:marBottom w:val="0"/>
      <w:divBdr>
        <w:top w:val="none" w:sz="0" w:space="0" w:color="auto"/>
        <w:left w:val="none" w:sz="0" w:space="0" w:color="auto"/>
        <w:bottom w:val="none" w:sz="0" w:space="0" w:color="auto"/>
        <w:right w:val="none" w:sz="0" w:space="0" w:color="auto"/>
      </w:divBdr>
    </w:div>
    <w:div w:id="1616131916">
      <w:bodyDiv w:val="1"/>
      <w:marLeft w:val="0"/>
      <w:marRight w:val="0"/>
      <w:marTop w:val="0"/>
      <w:marBottom w:val="0"/>
      <w:divBdr>
        <w:top w:val="none" w:sz="0" w:space="0" w:color="auto"/>
        <w:left w:val="none" w:sz="0" w:space="0" w:color="auto"/>
        <w:bottom w:val="none" w:sz="0" w:space="0" w:color="auto"/>
        <w:right w:val="none" w:sz="0" w:space="0" w:color="auto"/>
      </w:divBdr>
    </w:div>
    <w:div w:id="1618172391">
      <w:bodyDiv w:val="1"/>
      <w:marLeft w:val="0"/>
      <w:marRight w:val="0"/>
      <w:marTop w:val="0"/>
      <w:marBottom w:val="0"/>
      <w:divBdr>
        <w:top w:val="none" w:sz="0" w:space="0" w:color="auto"/>
        <w:left w:val="none" w:sz="0" w:space="0" w:color="auto"/>
        <w:bottom w:val="none" w:sz="0" w:space="0" w:color="auto"/>
        <w:right w:val="none" w:sz="0" w:space="0" w:color="auto"/>
      </w:divBdr>
    </w:div>
    <w:div w:id="1624848925">
      <w:bodyDiv w:val="1"/>
      <w:marLeft w:val="0"/>
      <w:marRight w:val="0"/>
      <w:marTop w:val="0"/>
      <w:marBottom w:val="0"/>
      <w:divBdr>
        <w:top w:val="none" w:sz="0" w:space="0" w:color="auto"/>
        <w:left w:val="none" w:sz="0" w:space="0" w:color="auto"/>
        <w:bottom w:val="none" w:sz="0" w:space="0" w:color="auto"/>
        <w:right w:val="none" w:sz="0" w:space="0" w:color="auto"/>
      </w:divBdr>
      <w:divsChild>
        <w:div w:id="340284174">
          <w:marLeft w:val="0"/>
          <w:marRight w:val="0"/>
          <w:marTop w:val="0"/>
          <w:marBottom w:val="0"/>
          <w:divBdr>
            <w:top w:val="none" w:sz="0" w:space="0" w:color="auto"/>
            <w:left w:val="none" w:sz="0" w:space="0" w:color="auto"/>
            <w:bottom w:val="none" w:sz="0" w:space="0" w:color="auto"/>
            <w:right w:val="none" w:sz="0" w:space="0" w:color="auto"/>
          </w:divBdr>
          <w:divsChild>
            <w:div w:id="1780031421">
              <w:marLeft w:val="0"/>
              <w:marRight w:val="0"/>
              <w:marTop w:val="0"/>
              <w:marBottom w:val="0"/>
              <w:divBdr>
                <w:top w:val="none" w:sz="0" w:space="0" w:color="auto"/>
                <w:left w:val="none" w:sz="0" w:space="0" w:color="auto"/>
                <w:bottom w:val="none" w:sz="0" w:space="0" w:color="auto"/>
                <w:right w:val="none" w:sz="0" w:space="0" w:color="auto"/>
              </w:divBdr>
              <w:divsChild>
                <w:div w:id="1748189335">
                  <w:marLeft w:val="0"/>
                  <w:marRight w:val="0"/>
                  <w:marTop w:val="0"/>
                  <w:marBottom w:val="0"/>
                  <w:divBdr>
                    <w:top w:val="none" w:sz="0" w:space="0" w:color="auto"/>
                    <w:left w:val="none" w:sz="0" w:space="0" w:color="auto"/>
                    <w:bottom w:val="none" w:sz="0" w:space="0" w:color="auto"/>
                    <w:right w:val="none" w:sz="0" w:space="0" w:color="auto"/>
                  </w:divBdr>
                  <w:divsChild>
                    <w:div w:id="929964811">
                      <w:marLeft w:val="0"/>
                      <w:marRight w:val="0"/>
                      <w:marTop w:val="0"/>
                      <w:marBottom w:val="0"/>
                      <w:divBdr>
                        <w:top w:val="none" w:sz="0" w:space="0" w:color="auto"/>
                        <w:left w:val="none" w:sz="0" w:space="0" w:color="auto"/>
                        <w:bottom w:val="none" w:sz="0" w:space="0" w:color="auto"/>
                        <w:right w:val="none" w:sz="0" w:space="0" w:color="auto"/>
                      </w:divBdr>
                      <w:divsChild>
                        <w:div w:id="1299799405">
                          <w:marLeft w:val="0"/>
                          <w:marRight w:val="0"/>
                          <w:marTop w:val="0"/>
                          <w:marBottom w:val="0"/>
                          <w:divBdr>
                            <w:top w:val="none" w:sz="0" w:space="0" w:color="auto"/>
                            <w:left w:val="none" w:sz="0" w:space="0" w:color="auto"/>
                            <w:bottom w:val="none" w:sz="0" w:space="0" w:color="auto"/>
                            <w:right w:val="none" w:sz="0" w:space="0" w:color="auto"/>
                          </w:divBdr>
                          <w:divsChild>
                            <w:div w:id="102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037720">
      <w:bodyDiv w:val="1"/>
      <w:marLeft w:val="0"/>
      <w:marRight w:val="0"/>
      <w:marTop w:val="0"/>
      <w:marBottom w:val="0"/>
      <w:divBdr>
        <w:top w:val="none" w:sz="0" w:space="0" w:color="auto"/>
        <w:left w:val="none" w:sz="0" w:space="0" w:color="auto"/>
        <w:bottom w:val="none" w:sz="0" w:space="0" w:color="auto"/>
        <w:right w:val="none" w:sz="0" w:space="0" w:color="auto"/>
      </w:divBdr>
    </w:div>
    <w:div w:id="1629319676">
      <w:bodyDiv w:val="1"/>
      <w:marLeft w:val="0"/>
      <w:marRight w:val="0"/>
      <w:marTop w:val="0"/>
      <w:marBottom w:val="0"/>
      <w:divBdr>
        <w:top w:val="none" w:sz="0" w:space="0" w:color="auto"/>
        <w:left w:val="none" w:sz="0" w:space="0" w:color="auto"/>
        <w:bottom w:val="none" w:sz="0" w:space="0" w:color="auto"/>
        <w:right w:val="none" w:sz="0" w:space="0" w:color="auto"/>
      </w:divBdr>
    </w:div>
    <w:div w:id="1633095275">
      <w:bodyDiv w:val="1"/>
      <w:marLeft w:val="0"/>
      <w:marRight w:val="0"/>
      <w:marTop w:val="0"/>
      <w:marBottom w:val="0"/>
      <w:divBdr>
        <w:top w:val="none" w:sz="0" w:space="0" w:color="auto"/>
        <w:left w:val="none" w:sz="0" w:space="0" w:color="auto"/>
        <w:bottom w:val="none" w:sz="0" w:space="0" w:color="auto"/>
        <w:right w:val="none" w:sz="0" w:space="0" w:color="auto"/>
      </w:divBdr>
    </w:div>
    <w:div w:id="1643845643">
      <w:bodyDiv w:val="1"/>
      <w:marLeft w:val="0"/>
      <w:marRight w:val="0"/>
      <w:marTop w:val="0"/>
      <w:marBottom w:val="0"/>
      <w:divBdr>
        <w:top w:val="none" w:sz="0" w:space="0" w:color="auto"/>
        <w:left w:val="none" w:sz="0" w:space="0" w:color="auto"/>
        <w:bottom w:val="none" w:sz="0" w:space="0" w:color="auto"/>
        <w:right w:val="none" w:sz="0" w:space="0" w:color="auto"/>
      </w:divBdr>
    </w:div>
    <w:div w:id="1645313162">
      <w:bodyDiv w:val="1"/>
      <w:marLeft w:val="0"/>
      <w:marRight w:val="0"/>
      <w:marTop w:val="0"/>
      <w:marBottom w:val="0"/>
      <w:divBdr>
        <w:top w:val="none" w:sz="0" w:space="0" w:color="auto"/>
        <w:left w:val="none" w:sz="0" w:space="0" w:color="auto"/>
        <w:bottom w:val="none" w:sz="0" w:space="0" w:color="auto"/>
        <w:right w:val="none" w:sz="0" w:space="0" w:color="auto"/>
      </w:divBdr>
    </w:div>
    <w:div w:id="1664311664">
      <w:bodyDiv w:val="1"/>
      <w:marLeft w:val="0"/>
      <w:marRight w:val="0"/>
      <w:marTop w:val="0"/>
      <w:marBottom w:val="0"/>
      <w:divBdr>
        <w:top w:val="none" w:sz="0" w:space="0" w:color="auto"/>
        <w:left w:val="none" w:sz="0" w:space="0" w:color="auto"/>
        <w:bottom w:val="none" w:sz="0" w:space="0" w:color="auto"/>
        <w:right w:val="none" w:sz="0" w:space="0" w:color="auto"/>
      </w:divBdr>
    </w:div>
    <w:div w:id="1675379924">
      <w:bodyDiv w:val="1"/>
      <w:marLeft w:val="0"/>
      <w:marRight w:val="0"/>
      <w:marTop w:val="0"/>
      <w:marBottom w:val="0"/>
      <w:divBdr>
        <w:top w:val="none" w:sz="0" w:space="0" w:color="auto"/>
        <w:left w:val="none" w:sz="0" w:space="0" w:color="auto"/>
        <w:bottom w:val="none" w:sz="0" w:space="0" w:color="auto"/>
        <w:right w:val="none" w:sz="0" w:space="0" w:color="auto"/>
      </w:divBdr>
    </w:div>
    <w:div w:id="1689137849">
      <w:bodyDiv w:val="1"/>
      <w:marLeft w:val="0"/>
      <w:marRight w:val="0"/>
      <w:marTop w:val="0"/>
      <w:marBottom w:val="0"/>
      <w:divBdr>
        <w:top w:val="none" w:sz="0" w:space="0" w:color="auto"/>
        <w:left w:val="none" w:sz="0" w:space="0" w:color="auto"/>
        <w:bottom w:val="none" w:sz="0" w:space="0" w:color="auto"/>
        <w:right w:val="none" w:sz="0" w:space="0" w:color="auto"/>
      </w:divBdr>
    </w:div>
    <w:div w:id="1734963637">
      <w:bodyDiv w:val="1"/>
      <w:marLeft w:val="0"/>
      <w:marRight w:val="0"/>
      <w:marTop w:val="0"/>
      <w:marBottom w:val="0"/>
      <w:divBdr>
        <w:top w:val="none" w:sz="0" w:space="0" w:color="auto"/>
        <w:left w:val="none" w:sz="0" w:space="0" w:color="auto"/>
        <w:bottom w:val="none" w:sz="0" w:space="0" w:color="auto"/>
        <w:right w:val="none" w:sz="0" w:space="0" w:color="auto"/>
      </w:divBdr>
    </w:div>
    <w:div w:id="1748720139">
      <w:bodyDiv w:val="1"/>
      <w:marLeft w:val="0"/>
      <w:marRight w:val="0"/>
      <w:marTop w:val="0"/>
      <w:marBottom w:val="0"/>
      <w:divBdr>
        <w:top w:val="none" w:sz="0" w:space="0" w:color="auto"/>
        <w:left w:val="none" w:sz="0" w:space="0" w:color="auto"/>
        <w:bottom w:val="none" w:sz="0" w:space="0" w:color="auto"/>
        <w:right w:val="none" w:sz="0" w:space="0" w:color="auto"/>
      </w:divBdr>
    </w:div>
    <w:div w:id="1781493261">
      <w:bodyDiv w:val="1"/>
      <w:marLeft w:val="0"/>
      <w:marRight w:val="0"/>
      <w:marTop w:val="0"/>
      <w:marBottom w:val="0"/>
      <w:divBdr>
        <w:top w:val="none" w:sz="0" w:space="0" w:color="auto"/>
        <w:left w:val="none" w:sz="0" w:space="0" w:color="auto"/>
        <w:bottom w:val="none" w:sz="0" w:space="0" w:color="auto"/>
        <w:right w:val="none" w:sz="0" w:space="0" w:color="auto"/>
      </w:divBdr>
    </w:div>
    <w:div w:id="1798453475">
      <w:bodyDiv w:val="1"/>
      <w:marLeft w:val="0"/>
      <w:marRight w:val="0"/>
      <w:marTop w:val="0"/>
      <w:marBottom w:val="0"/>
      <w:divBdr>
        <w:top w:val="none" w:sz="0" w:space="0" w:color="auto"/>
        <w:left w:val="none" w:sz="0" w:space="0" w:color="auto"/>
        <w:bottom w:val="none" w:sz="0" w:space="0" w:color="auto"/>
        <w:right w:val="none" w:sz="0" w:space="0" w:color="auto"/>
      </w:divBdr>
    </w:div>
    <w:div w:id="1806462456">
      <w:bodyDiv w:val="1"/>
      <w:marLeft w:val="0"/>
      <w:marRight w:val="0"/>
      <w:marTop w:val="0"/>
      <w:marBottom w:val="0"/>
      <w:divBdr>
        <w:top w:val="none" w:sz="0" w:space="0" w:color="auto"/>
        <w:left w:val="none" w:sz="0" w:space="0" w:color="auto"/>
        <w:bottom w:val="none" w:sz="0" w:space="0" w:color="auto"/>
        <w:right w:val="none" w:sz="0" w:space="0" w:color="auto"/>
      </w:divBdr>
    </w:div>
    <w:div w:id="1808236027">
      <w:bodyDiv w:val="1"/>
      <w:marLeft w:val="0"/>
      <w:marRight w:val="0"/>
      <w:marTop w:val="0"/>
      <w:marBottom w:val="0"/>
      <w:divBdr>
        <w:top w:val="none" w:sz="0" w:space="0" w:color="auto"/>
        <w:left w:val="none" w:sz="0" w:space="0" w:color="auto"/>
        <w:bottom w:val="none" w:sz="0" w:space="0" w:color="auto"/>
        <w:right w:val="none" w:sz="0" w:space="0" w:color="auto"/>
      </w:divBdr>
    </w:div>
    <w:div w:id="1829708744">
      <w:bodyDiv w:val="1"/>
      <w:marLeft w:val="0"/>
      <w:marRight w:val="0"/>
      <w:marTop w:val="0"/>
      <w:marBottom w:val="0"/>
      <w:divBdr>
        <w:top w:val="none" w:sz="0" w:space="0" w:color="auto"/>
        <w:left w:val="none" w:sz="0" w:space="0" w:color="auto"/>
        <w:bottom w:val="none" w:sz="0" w:space="0" w:color="auto"/>
        <w:right w:val="none" w:sz="0" w:space="0" w:color="auto"/>
      </w:divBdr>
    </w:div>
    <w:div w:id="1830248294">
      <w:bodyDiv w:val="1"/>
      <w:marLeft w:val="0"/>
      <w:marRight w:val="0"/>
      <w:marTop w:val="0"/>
      <w:marBottom w:val="0"/>
      <w:divBdr>
        <w:top w:val="none" w:sz="0" w:space="0" w:color="auto"/>
        <w:left w:val="none" w:sz="0" w:space="0" w:color="auto"/>
        <w:bottom w:val="none" w:sz="0" w:space="0" w:color="auto"/>
        <w:right w:val="none" w:sz="0" w:space="0" w:color="auto"/>
      </w:divBdr>
    </w:div>
    <w:div w:id="1837377712">
      <w:bodyDiv w:val="1"/>
      <w:marLeft w:val="0"/>
      <w:marRight w:val="0"/>
      <w:marTop w:val="0"/>
      <w:marBottom w:val="0"/>
      <w:divBdr>
        <w:top w:val="none" w:sz="0" w:space="0" w:color="auto"/>
        <w:left w:val="none" w:sz="0" w:space="0" w:color="auto"/>
        <w:bottom w:val="none" w:sz="0" w:space="0" w:color="auto"/>
        <w:right w:val="none" w:sz="0" w:space="0" w:color="auto"/>
      </w:divBdr>
    </w:div>
    <w:div w:id="1848786886">
      <w:bodyDiv w:val="1"/>
      <w:marLeft w:val="0"/>
      <w:marRight w:val="0"/>
      <w:marTop w:val="0"/>
      <w:marBottom w:val="0"/>
      <w:divBdr>
        <w:top w:val="none" w:sz="0" w:space="0" w:color="auto"/>
        <w:left w:val="none" w:sz="0" w:space="0" w:color="auto"/>
        <w:bottom w:val="none" w:sz="0" w:space="0" w:color="auto"/>
        <w:right w:val="none" w:sz="0" w:space="0" w:color="auto"/>
      </w:divBdr>
    </w:div>
    <w:div w:id="1856185173">
      <w:bodyDiv w:val="1"/>
      <w:marLeft w:val="0"/>
      <w:marRight w:val="0"/>
      <w:marTop w:val="0"/>
      <w:marBottom w:val="0"/>
      <w:divBdr>
        <w:top w:val="none" w:sz="0" w:space="0" w:color="auto"/>
        <w:left w:val="none" w:sz="0" w:space="0" w:color="auto"/>
        <w:bottom w:val="none" w:sz="0" w:space="0" w:color="auto"/>
        <w:right w:val="none" w:sz="0" w:space="0" w:color="auto"/>
      </w:divBdr>
    </w:div>
    <w:div w:id="1860970700">
      <w:bodyDiv w:val="1"/>
      <w:marLeft w:val="0"/>
      <w:marRight w:val="0"/>
      <w:marTop w:val="0"/>
      <w:marBottom w:val="0"/>
      <w:divBdr>
        <w:top w:val="none" w:sz="0" w:space="0" w:color="auto"/>
        <w:left w:val="none" w:sz="0" w:space="0" w:color="auto"/>
        <w:bottom w:val="none" w:sz="0" w:space="0" w:color="auto"/>
        <w:right w:val="none" w:sz="0" w:space="0" w:color="auto"/>
      </w:divBdr>
    </w:div>
    <w:div w:id="1863274190">
      <w:bodyDiv w:val="1"/>
      <w:marLeft w:val="0"/>
      <w:marRight w:val="0"/>
      <w:marTop w:val="0"/>
      <w:marBottom w:val="0"/>
      <w:divBdr>
        <w:top w:val="none" w:sz="0" w:space="0" w:color="auto"/>
        <w:left w:val="none" w:sz="0" w:space="0" w:color="auto"/>
        <w:bottom w:val="none" w:sz="0" w:space="0" w:color="auto"/>
        <w:right w:val="none" w:sz="0" w:space="0" w:color="auto"/>
      </w:divBdr>
    </w:div>
    <w:div w:id="1867131316">
      <w:bodyDiv w:val="1"/>
      <w:marLeft w:val="0"/>
      <w:marRight w:val="0"/>
      <w:marTop w:val="0"/>
      <w:marBottom w:val="0"/>
      <w:divBdr>
        <w:top w:val="none" w:sz="0" w:space="0" w:color="auto"/>
        <w:left w:val="none" w:sz="0" w:space="0" w:color="auto"/>
        <w:bottom w:val="none" w:sz="0" w:space="0" w:color="auto"/>
        <w:right w:val="none" w:sz="0" w:space="0" w:color="auto"/>
      </w:divBdr>
    </w:div>
    <w:div w:id="1872914318">
      <w:bodyDiv w:val="1"/>
      <w:marLeft w:val="0"/>
      <w:marRight w:val="0"/>
      <w:marTop w:val="0"/>
      <w:marBottom w:val="0"/>
      <w:divBdr>
        <w:top w:val="none" w:sz="0" w:space="0" w:color="auto"/>
        <w:left w:val="none" w:sz="0" w:space="0" w:color="auto"/>
        <w:bottom w:val="none" w:sz="0" w:space="0" w:color="auto"/>
        <w:right w:val="none" w:sz="0" w:space="0" w:color="auto"/>
      </w:divBdr>
    </w:div>
    <w:div w:id="1875119662">
      <w:bodyDiv w:val="1"/>
      <w:marLeft w:val="0"/>
      <w:marRight w:val="0"/>
      <w:marTop w:val="0"/>
      <w:marBottom w:val="0"/>
      <w:divBdr>
        <w:top w:val="none" w:sz="0" w:space="0" w:color="auto"/>
        <w:left w:val="none" w:sz="0" w:space="0" w:color="auto"/>
        <w:bottom w:val="none" w:sz="0" w:space="0" w:color="auto"/>
        <w:right w:val="none" w:sz="0" w:space="0" w:color="auto"/>
      </w:divBdr>
    </w:div>
    <w:div w:id="1875653855">
      <w:bodyDiv w:val="1"/>
      <w:marLeft w:val="0"/>
      <w:marRight w:val="0"/>
      <w:marTop w:val="0"/>
      <w:marBottom w:val="0"/>
      <w:divBdr>
        <w:top w:val="none" w:sz="0" w:space="0" w:color="auto"/>
        <w:left w:val="none" w:sz="0" w:space="0" w:color="auto"/>
        <w:bottom w:val="none" w:sz="0" w:space="0" w:color="auto"/>
        <w:right w:val="none" w:sz="0" w:space="0" w:color="auto"/>
      </w:divBdr>
    </w:div>
    <w:div w:id="1903368868">
      <w:bodyDiv w:val="1"/>
      <w:marLeft w:val="0"/>
      <w:marRight w:val="0"/>
      <w:marTop w:val="0"/>
      <w:marBottom w:val="0"/>
      <w:divBdr>
        <w:top w:val="none" w:sz="0" w:space="0" w:color="auto"/>
        <w:left w:val="none" w:sz="0" w:space="0" w:color="auto"/>
        <w:bottom w:val="none" w:sz="0" w:space="0" w:color="auto"/>
        <w:right w:val="none" w:sz="0" w:space="0" w:color="auto"/>
      </w:divBdr>
    </w:div>
    <w:div w:id="1903901975">
      <w:bodyDiv w:val="1"/>
      <w:marLeft w:val="0"/>
      <w:marRight w:val="0"/>
      <w:marTop w:val="0"/>
      <w:marBottom w:val="0"/>
      <w:divBdr>
        <w:top w:val="none" w:sz="0" w:space="0" w:color="auto"/>
        <w:left w:val="none" w:sz="0" w:space="0" w:color="auto"/>
        <w:bottom w:val="none" w:sz="0" w:space="0" w:color="auto"/>
        <w:right w:val="none" w:sz="0" w:space="0" w:color="auto"/>
      </w:divBdr>
    </w:div>
    <w:div w:id="1916666875">
      <w:bodyDiv w:val="1"/>
      <w:marLeft w:val="0"/>
      <w:marRight w:val="0"/>
      <w:marTop w:val="0"/>
      <w:marBottom w:val="0"/>
      <w:divBdr>
        <w:top w:val="none" w:sz="0" w:space="0" w:color="auto"/>
        <w:left w:val="none" w:sz="0" w:space="0" w:color="auto"/>
        <w:bottom w:val="none" w:sz="0" w:space="0" w:color="auto"/>
        <w:right w:val="none" w:sz="0" w:space="0" w:color="auto"/>
      </w:divBdr>
    </w:div>
    <w:div w:id="1918635354">
      <w:bodyDiv w:val="1"/>
      <w:marLeft w:val="0"/>
      <w:marRight w:val="0"/>
      <w:marTop w:val="0"/>
      <w:marBottom w:val="0"/>
      <w:divBdr>
        <w:top w:val="none" w:sz="0" w:space="0" w:color="auto"/>
        <w:left w:val="none" w:sz="0" w:space="0" w:color="auto"/>
        <w:bottom w:val="none" w:sz="0" w:space="0" w:color="auto"/>
        <w:right w:val="none" w:sz="0" w:space="0" w:color="auto"/>
      </w:divBdr>
    </w:div>
    <w:div w:id="1942762530">
      <w:bodyDiv w:val="1"/>
      <w:marLeft w:val="0"/>
      <w:marRight w:val="0"/>
      <w:marTop w:val="0"/>
      <w:marBottom w:val="0"/>
      <w:divBdr>
        <w:top w:val="none" w:sz="0" w:space="0" w:color="auto"/>
        <w:left w:val="none" w:sz="0" w:space="0" w:color="auto"/>
        <w:bottom w:val="none" w:sz="0" w:space="0" w:color="auto"/>
        <w:right w:val="none" w:sz="0" w:space="0" w:color="auto"/>
      </w:divBdr>
    </w:div>
    <w:div w:id="1958832482">
      <w:bodyDiv w:val="1"/>
      <w:marLeft w:val="0"/>
      <w:marRight w:val="0"/>
      <w:marTop w:val="0"/>
      <w:marBottom w:val="0"/>
      <w:divBdr>
        <w:top w:val="none" w:sz="0" w:space="0" w:color="auto"/>
        <w:left w:val="none" w:sz="0" w:space="0" w:color="auto"/>
        <w:bottom w:val="none" w:sz="0" w:space="0" w:color="auto"/>
        <w:right w:val="none" w:sz="0" w:space="0" w:color="auto"/>
      </w:divBdr>
    </w:div>
    <w:div w:id="1980919156">
      <w:bodyDiv w:val="1"/>
      <w:marLeft w:val="0"/>
      <w:marRight w:val="0"/>
      <w:marTop w:val="0"/>
      <w:marBottom w:val="0"/>
      <w:divBdr>
        <w:top w:val="none" w:sz="0" w:space="0" w:color="auto"/>
        <w:left w:val="none" w:sz="0" w:space="0" w:color="auto"/>
        <w:bottom w:val="none" w:sz="0" w:space="0" w:color="auto"/>
        <w:right w:val="none" w:sz="0" w:space="0" w:color="auto"/>
      </w:divBdr>
    </w:div>
    <w:div w:id="1985087695">
      <w:bodyDiv w:val="1"/>
      <w:marLeft w:val="0"/>
      <w:marRight w:val="0"/>
      <w:marTop w:val="0"/>
      <w:marBottom w:val="0"/>
      <w:divBdr>
        <w:top w:val="none" w:sz="0" w:space="0" w:color="auto"/>
        <w:left w:val="none" w:sz="0" w:space="0" w:color="auto"/>
        <w:bottom w:val="none" w:sz="0" w:space="0" w:color="auto"/>
        <w:right w:val="none" w:sz="0" w:space="0" w:color="auto"/>
      </w:divBdr>
    </w:div>
    <w:div w:id="1994866061">
      <w:bodyDiv w:val="1"/>
      <w:marLeft w:val="0"/>
      <w:marRight w:val="0"/>
      <w:marTop w:val="0"/>
      <w:marBottom w:val="0"/>
      <w:divBdr>
        <w:top w:val="none" w:sz="0" w:space="0" w:color="auto"/>
        <w:left w:val="none" w:sz="0" w:space="0" w:color="auto"/>
        <w:bottom w:val="none" w:sz="0" w:space="0" w:color="auto"/>
        <w:right w:val="none" w:sz="0" w:space="0" w:color="auto"/>
      </w:divBdr>
    </w:div>
    <w:div w:id="1997030447">
      <w:bodyDiv w:val="1"/>
      <w:marLeft w:val="0"/>
      <w:marRight w:val="0"/>
      <w:marTop w:val="0"/>
      <w:marBottom w:val="0"/>
      <w:divBdr>
        <w:top w:val="none" w:sz="0" w:space="0" w:color="auto"/>
        <w:left w:val="none" w:sz="0" w:space="0" w:color="auto"/>
        <w:bottom w:val="none" w:sz="0" w:space="0" w:color="auto"/>
        <w:right w:val="none" w:sz="0" w:space="0" w:color="auto"/>
      </w:divBdr>
    </w:div>
    <w:div w:id="2001738367">
      <w:bodyDiv w:val="1"/>
      <w:marLeft w:val="0"/>
      <w:marRight w:val="0"/>
      <w:marTop w:val="0"/>
      <w:marBottom w:val="0"/>
      <w:divBdr>
        <w:top w:val="none" w:sz="0" w:space="0" w:color="auto"/>
        <w:left w:val="none" w:sz="0" w:space="0" w:color="auto"/>
        <w:bottom w:val="none" w:sz="0" w:space="0" w:color="auto"/>
        <w:right w:val="none" w:sz="0" w:space="0" w:color="auto"/>
      </w:divBdr>
    </w:div>
    <w:div w:id="2005624822">
      <w:bodyDiv w:val="1"/>
      <w:marLeft w:val="0"/>
      <w:marRight w:val="0"/>
      <w:marTop w:val="0"/>
      <w:marBottom w:val="0"/>
      <w:divBdr>
        <w:top w:val="none" w:sz="0" w:space="0" w:color="auto"/>
        <w:left w:val="none" w:sz="0" w:space="0" w:color="auto"/>
        <w:bottom w:val="none" w:sz="0" w:space="0" w:color="auto"/>
        <w:right w:val="none" w:sz="0" w:space="0" w:color="auto"/>
      </w:divBdr>
    </w:div>
    <w:div w:id="2011977967">
      <w:bodyDiv w:val="1"/>
      <w:marLeft w:val="0"/>
      <w:marRight w:val="0"/>
      <w:marTop w:val="0"/>
      <w:marBottom w:val="0"/>
      <w:divBdr>
        <w:top w:val="none" w:sz="0" w:space="0" w:color="auto"/>
        <w:left w:val="none" w:sz="0" w:space="0" w:color="auto"/>
        <w:bottom w:val="none" w:sz="0" w:space="0" w:color="auto"/>
        <w:right w:val="none" w:sz="0" w:space="0" w:color="auto"/>
      </w:divBdr>
    </w:div>
    <w:div w:id="2024895116">
      <w:bodyDiv w:val="1"/>
      <w:marLeft w:val="0"/>
      <w:marRight w:val="0"/>
      <w:marTop w:val="0"/>
      <w:marBottom w:val="0"/>
      <w:divBdr>
        <w:top w:val="none" w:sz="0" w:space="0" w:color="auto"/>
        <w:left w:val="none" w:sz="0" w:space="0" w:color="auto"/>
        <w:bottom w:val="none" w:sz="0" w:space="0" w:color="auto"/>
        <w:right w:val="none" w:sz="0" w:space="0" w:color="auto"/>
      </w:divBdr>
    </w:div>
    <w:div w:id="2037152612">
      <w:bodyDiv w:val="1"/>
      <w:marLeft w:val="0"/>
      <w:marRight w:val="0"/>
      <w:marTop w:val="0"/>
      <w:marBottom w:val="0"/>
      <w:divBdr>
        <w:top w:val="none" w:sz="0" w:space="0" w:color="auto"/>
        <w:left w:val="none" w:sz="0" w:space="0" w:color="auto"/>
        <w:bottom w:val="none" w:sz="0" w:space="0" w:color="auto"/>
        <w:right w:val="none" w:sz="0" w:space="0" w:color="auto"/>
      </w:divBdr>
    </w:div>
    <w:div w:id="2050063154">
      <w:bodyDiv w:val="1"/>
      <w:marLeft w:val="0"/>
      <w:marRight w:val="0"/>
      <w:marTop w:val="0"/>
      <w:marBottom w:val="0"/>
      <w:divBdr>
        <w:top w:val="none" w:sz="0" w:space="0" w:color="auto"/>
        <w:left w:val="none" w:sz="0" w:space="0" w:color="auto"/>
        <w:bottom w:val="none" w:sz="0" w:space="0" w:color="auto"/>
        <w:right w:val="none" w:sz="0" w:space="0" w:color="auto"/>
      </w:divBdr>
    </w:div>
    <w:div w:id="2073649498">
      <w:bodyDiv w:val="1"/>
      <w:marLeft w:val="0"/>
      <w:marRight w:val="0"/>
      <w:marTop w:val="0"/>
      <w:marBottom w:val="0"/>
      <w:divBdr>
        <w:top w:val="none" w:sz="0" w:space="0" w:color="auto"/>
        <w:left w:val="none" w:sz="0" w:space="0" w:color="auto"/>
        <w:bottom w:val="none" w:sz="0" w:space="0" w:color="auto"/>
        <w:right w:val="none" w:sz="0" w:space="0" w:color="auto"/>
      </w:divBdr>
    </w:div>
    <w:div w:id="2081170273">
      <w:bodyDiv w:val="1"/>
      <w:marLeft w:val="0"/>
      <w:marRight w:val="0"/>
      <w:marTop w:val="0"/>
      <w:marBottom w:val="0"/>
      <w:divBdr>
        <w:top w:val="none" w:sz="0" w:space="0" w:color="auto"/>
        <w:left w:val="none" w:sz="0" w:space="0" w:color="auto"/>
        <w:bottom w:val="none" w:sz="0" w:space="0" w:color="auto"/>
        <w:right w:val="none" w:sz="0" w:space="0" w:color="auto"/>
      </w:divBdr>
    </w:div>
    <w:div w:id="2099596149">
      <w:bodyDiv w:val="1"/>
      <w:marLeft w:val="0"/>
      <w:marRight w:val="0"/>
      <w:marTop w:val="0"/>
      <w:marBottom w:val="0"/>
      <w:divBdr>
        <w:top w:val="none" w:sz="0" w:space="0" w:color="auto"/>
        <w:left w:val="none" w:sz="0" w:space="0" w:color="auto"/>
        <w:bottom w:val="none" w:sz="0" w:space="0" w:color="auto"/>
        <w:right w:val="none" w:sz="0" w:space="0" w:color="auto"/>
      </w:divBdr>
    </w:div>
    <w:div w:id="2107729294">
      <w:bodyDiv w:val="1"/>
      <w:marLeft w:val="0"/>
      <w:marRight w:val="0"/>
      <w:marTop w:val="0"/>
      <w:marBottom w:val="0"/>
      <w:divBdr>
        <w:top w:val="none" w:sz="0" w:space="0" w:color="auto"/>
        <w:left w:val="none" w:sz="0" w:space="0" w:color="auto"/>
        <w:bottom w:val="none" w:sz="0" w:space="0" w:color="auto"/>
        <w:right w:val="none" w:sz="0" w:space="0" w:color="auto"/>
      </w:divBdr>
    </w:div>
    <w:div w:id="2109688524">
      <w:bodyDiv w:val="1"/>
      <w:marLeft w:val="0"/>
      <w:marRight w:val="0"/>
      <w:marTop w:val="0"/>
      <w:marBottom w:val="0"/>
      <w:divBdr>
        <w:top w:val="none" w:sz="0" w:space="0" w:color="auto"/>
        <w:left w:val="none" w:sz="0" w:space="0" w:color="auto"/>
        <w:bottom w:val="none" w:sz="0" w:space="0" w:color="auto"/>
        <w:right w:val="none" w:sz="0" w:space="0" w:color="auto"/>
      </w:divBdr>
    </w:div>
    <w:div w:id="2111075575">
      <w:bodyDiv w:val="1"/>
      <w:marLeft w:val="0"/>
      <w:marRight w:val="0"/>
      <w:marTop w:val="0"/>
      <w:marBottom w:val="0"/>
      <w:divBdr>
        <w:top w:val="none" w:sz="0" w:space="0" w:color="auto"/>
        <w:left w:val="none" w:sz="0" w:space="0" w:color="auto"/>
        <w:bottom w:val="none" w:sz="0" w:space="0" w:color="auto"/>
        <w:right w:val="none" w:sz="0" w:space="0" w:color="auto"/>
      </w:divBdr>
    </w:div>
    <w:div w:id="2114662745">
      <w:bodyDiv w:val="1"/>
      <w:marLeft w:val="0"/>
      <w:marRight w:val="0"/>
      <w:marTop w:val="0"/>
      <w:marBottom w:val="0"/>
      <w:divBdr>
        <w:top w:val="none" w:sz="0" w:space="0" w:color="auto"/>
        <w:left w:val="none" w:sz="0" w:space="0" w:color="auto"/>
        <w:bottom w:val="none" w:sz="0" w:space="0" w:color="auto"/>
        <w:right w:val="none" w:sz="0" w:space="0" w:color="auto"/>
      </w:divBdr>
    </w:div>
    <w:div w:id="2117020829">
      <w:bodyDiv w:val="1"/>
      <w:marLeft w:val="0"/>
      <w:marRight w:val="0"/>
      <w:marTop w:val="0"/>
      <w:marBottom w:val="0"/>
      <w:divBdr>
        <w:top w:val="none" w:sz="0" w:space="0" w:color="auto"/>
        <w:left w:val="none" w:sz="0" w:space="0" w:color="auto"/>
        <w:bottom w:val="none" w:sz="0" w:space="0" w:color="auto"/>
        <w:right w:val="none" w:sz="0" w:space="0" w:color="auto"/>
      </w:divBdr>
    </w:div>
    <w:div w:id="2118672789">
      <w:bodyDiv w:val="1"/>
      <w:marLeft w:val="0"/>
      <w:marRight w:val="0"/>
      <w:marTop w:val="0"/>
      <w:marBottom w:val="0"/>
      <w:divBdr>
        <w:top w:val="none" w:sz="0" w:space="0" w:color="auto"/>
        <w:left w:val="none" w:sz="0" w:space="0" w:color="auto"/>
        <w:bottom w:val="none" w:sz="0" w:space="0" w:color="auto"/>
        <w:right w:val="none" w:sz="0" w:space="0" w:color="auto"/>
      </w:divBdr>
    </w:div>
    <w:div w:id="2133161905">
      <w:bodyDiv w:val="1"/>
      <w:marLeft w:val="0"/>
      <w:marRight w:val="0"/>
      <w:marTop w:val="0"/>
      <w:marBottom w:val="0"/>
      <w:divBdr>
        <w:top w:val="none" w:sz="0" w:space="0" w:color="auto"/>
        <w:left w:val="none" w:sz="0" w:space="0" w:color="auto"/>
        <w:bottom w:val="none" w:sz="0" w:space="0" w:color="auto"/>
        <w:right w:val="none" w:sz="0" w:space="0" w:color="auto"/>
      </w:divBdr>
    </w:div>
    <w:div w:id="21360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91</ap:Pages>
  <ap:Words>29709</ap:Words>
  <ap:Characters>163401</ap:Characters>
  <ap:DocSecurity>4</ap:DocSecurity>
  <ap:Lines>1361</ap:Lines>
  <ap:Paragraphs>385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2019-05-27T14:17:00.0000000Z</lastPrinted>
  <dcterms:created xsi:type="dcterms:W3CDTF">2019-05-27T14:51:00.0000000Z</dcterms:created>
  <dcterms:modified xsi:type="dcterms:W3CDTF">2019-05-27T14:51:00.0000000Z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0x01010061BF4F409F66F44B9203E0228352FEC2</vt:lpwstr>
  </property>
</Properties>
</file>