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AD0" w:rsidP="00AF2AD0" w:rsidRDefault="00AF2AD0">
      <w:pPr>
        <w:spacing w:line="360" w:lineRule="auto"/>
        <w:rPr>
          <w:rFonts w:ascii="Cambria" w:hAnsi="Cambria"/>
          <w:b/>
          <w:sz w:val="21"/>
          <w:szCs w:val="21"/>
        </w:rPr>
      </w:pPr>
      <w:bookmarkStart w:name="_GoBack" w:id="0"/>
      <w:bookmarkEnd w:id="0"/>
      <w:r>
        <w:rPr>
          <w:rFonts w:ascii="Cambria" w:hAnsi="Cambria"/>
          <w:b/>
          <w:sz w:val="21"/>
          <w:szCs w:val="21"/>
        </w:rPr>
        <w:t>Verslag Financieel Stabiliteitscomité 15 mei 2019</w:t>
      </w:r>
    </w:p>
    <w:p w:rsidR="00AF2AD0" w:rsidP="00AF2AD0" w:rsidRDefault="00AF2AD0">
      <w:pPr>
        <w:spacing w:line="360" w:lineRule="auto"/>
        <w:rPr>
          <w:rFonts w:ascii="Cambria" w:hAnsi="Cambria"/>
          <w:sz w:val="21"/>
          <w:szCs w:val="21"/>
        </w:rPr>
      </w:pPr>
      <w:r w:rsidRPr="00EC197D">
        <w:rPr>
          <w:rFonts w:ascii="Cambria" w:hAnsi="Cambria"/>
          <w:sz w:val="21"/>
          <w:szCs w:val="21"/>
        </w:rPr>
        <w:t>In het Financieel Stabiliteitscomité</w:t>
      </w:r>
      <w:r>
        <w:rPr>
          <w:rFonts w:ascii="Cambria" w:hAnsi="Cambria"/>
          <w:sz w:val="21"/>
          <w:szCs w:val="21"/>
        </w:rPr>
        <w:t xml:space="preserve"> (FSC)</w:t>
      </w:r>
      <w:r w:rsidRPr="00EC197D">
        <w:rPr>
          <w:rFonts w:ascii="Cambria" w:hAnsi="Cambria"/>
          <w:sz w:val="21"/>
          <w:szCs w:val="21"/>
        </w:rPr>
        <w:t xml:space="preserve"> spreken vertegenwoordigers van de Autoriteit Financiële Markten, De Nederlandsche Bank en het ministerie van Financiën over ontwikkelingen op het gebied van de financiële stabiliteit in Nederland. Het Centraal Planbureau neemt als externe deskundige deel aan de vergaderingen.</w:t>
      </w:r>
    </w:p>
    <w:p w:rsidR="00AF2AD0" w:rsidP="00AF2AD0" w:rsidRDefault="00AF2AD0">
      <w:pPr>
        <w:spacing w:line="360" w:lineRule="auto"/>
        <w:rPr>
          <w:rFonts w:ascii="Cambria" w:hAnsi="Cambria"/>
          <w:sz w:val="21"/>
          <w:szCs w:val="21"/>
        </w:rPr>
      </w:pPr>
    </w:p>
    <w:p w:rsidRPr="00EC197D" w:rsidR="00AF2AD0" w:rsidP="00AF2AD0" w:rsidRDefault="00AF2AD0">
      <w:pPr>
        <w:spacing w:line="360" w:lineRule="auto"/>
        <w:rPr>
          <w:rFonts w:ascii="Cambria" w:hAnsi="Cambria"/>
          <w:sz w:val="21"/>
          <w:szCs w:val="21"/>
        </w:rPr>
      </w:pPr>
      <w:r w:rsidRPr="00EC197D">
        <w:rPr>
          <w:rFonts w:ascii="Cambria" w:hAnsi="Cambria"/>
          <w:sz w:val="21"/>
          <w:szCs w:val="21"/>
        </w:rPr>
        <w:t>In zijn vergadering van 1</w:t>
      </w:r>
      <w:r>
        <w:rPr>
          <w:rFonts w:ascii="Cambria" w:hAnsi="Cambria"/>
          <w:sz w:val="21"/>
          <w:szCs w:val="21"/>
        </w:rPr>
        <w:t>5 mei 2019</w:t>
      </w:r>
      <w:r w:rsidRPr="00EC197D">
        <w:rPr>
          <w:rFonts w:ascii="Cambria" w:hAnsi="Cambria"/>
          <w:sz w:val="21"/>
          <w:szCs w:val="21"/>
        </w:rPr>
        <w:t xml:space="preserve"> heeft het FSC gesproken over actuele risico’s voor </w:t>
      </w:r>
      <w:r>
        <w:rPr>
          <w:rFonts w:ascii="Cambria" w:hAnsi="Cambria"/>
          <w:sz w:val="21"/>
          <w:szCs w:val="21"/>
        </w:rPr>
        <w:t xml:space="preserve">de </w:t>
      </w:r>
      <w:r w:rsidRPr="00EC197D">
        <w:rPr>
          <w:rFonts w:ascii="Cambria" w:hAnsi="Cambria"/>
          <w:sz w:val="21"/>
          <w:szCs w:val="21"/>
        </w:rPr>
        <w:t xml:space="preserve">financiële stabiliteit, </w:t>
      </w:r>
      <w:r w:rsidR="00A31510">
        <w:rPr>
          <w:rFonts w:ascii="Cambria" w:hAnsi="Cambria"/>
          <w:sz w:val="21"/>
          <w:szCs w:val="21"/>
        </w:rPr>
        <w:t xml:space="preserve">klimaatrisico’s en </w:t>
      </w:r>
      <w:r w:rsidRPr="00EC197D">
        <w:rPr>
          <w:rFonts w:ascii="Cambria" w:hAnsi="Cambria"/>
          <w:sz w:val="21"/>
          <w:szCs w:val="21"/>
        </w:rPr>
        <w:t xml:space="preserve">de </w:t>
      </w:r>
      <w:r>
        <w:rPr>
          <w:rFonts w:ascii="Cambria" w:hAnsi="Cambria"/>
          <w:sz w:val="21"/>
          <w:szCs w:val="21"/>
        </w:rPr>
        <w:t xml:space="preserve">herziening van rentebenchmarks. </w:t>
      </w:r>
    </w:p>
    <w:p w:rsidR="00AF2AD0" w:rsidP="00AF2AD0" w:rsidRDefault="00AF2AD0">
      <w:pPr>
        <w:spacing w:line="360" w:lineRule="auto"/>
        <w:rPr>
          <w:rFonts w:ascii="Cambria" w:hAnsi="Cambria"/>
          <w:sz w:val="21"/>
          <w:szCs w:val="21"/>
        </w:rPr>
      </w:pPr>
    </w:p>
    <w:p w:rsidR="00AF2AD0" w:rsidP="00AF2AD0" w:rsidRDefault="00AF2AD0">
      <w:pPr>
        <w:spacing w:line="360" w:lineRule="auto"/>
        <w:rPr>
          <w:rFonts w:ascii="Cambria" w:hAnsi="Cambria"/>
          <w:b/>
          <w:sz w:val="21"/>
          <w:szCs w:val="21"/>
        </w:rPr>
      </w:pPr>
      <w:r>
        <w:rPr>
          <w:rFonts w:ascii="Cambria" w:hAnsi="Cambria"/>
          <w:b/>
          <w:sz w:val="21"/>
          <w:szCs w:val="21"/>
        </w:rPr>
        <w:t>Actuele risico’s</w:t>
      </w:r>
    </w:p>
    <w:p w:rsidR="007B7368" w:rsidP="006A52F0" w:rsidRDefault="0091097E">
      <w:pPr>
        <w:spacing w:line="360" w:lineRule="auto"/>
        <w:rPr>
          <w:rFonts w:ascii="Cambria" w:hAnsi="Cambria"/>
          <w:sz w:val="21"/>
          <w:szCs w:val="21"/>
        </w:rPr>
      </w:pPr>
      <w:r>
        <w:rPr>
          <w:rFonts w:ascii="Cambria" w:hAnsi="Cambria"/>
          <w:sz w:val="21"/>
          <w:szCs w:val="21"/>
        </w:rPr>
        <w:t xml:space="preserve">In de internationale omgeving blijven </w:t>
      </w:r>
      <w:r w:rsidR="006A52F0">
        <w:rPr>
          <w:rFonts w:ascii="Cambria" w:hAnsi="Cambria"/>
          <w:sz w:val="21"/>
          <w:szCs w:val="21"/>
        </w:rPr>
        <w:t xml:space="preserve">financiële </w:t>
      </w:r>
      <w:r w:rsidRPr="006A52F0" w:rsidR="006A52F0">
        <w:rPr>
          <w:rFonts w:ascii="Cambria" w:hAnsi="Cambria"/>
          <w:sz w:val="21"/>
          <w:szCs w:val="21"/>
        </w:rPr>
        <w:t xml:space="preserve">kwetsbaarheden </w:t>
      </w:r>
      <w:r w:rsidR="009654B8">
        <w:rPr>
          <w:rFonts w:ascii="Cambria" w:hAnsi="Cambria"/>
          <w:sz w:val="21"/>
          <w:szCs w:val="21"/>
        </w:rPr>
        <w:t>toenemen</w:t>
      </w:r>
      <w:r>
        <w:rPr>
          <w:rFonts w:ascii="Cambria" w:hAnsi="Cambria"/>
          <w:sz w:val="21"/>
          <w:szCs w:val="21"/>
        </w:rPr>
        <w:t>, mede d</w:t>
      </w:r>
      <w:r w:rsidRPr="006A52F0">
        <w:rPr>
          <w:rFonts w:ascii="Cambria" w:hAnsi="Cambria"/>
          <w:sz w:val="21"/>
          <w:szCs w:val="21"/>
        </w:rPr>
        <w:t xml:space="preserve">oor het </w:t>
      </w:r>
      <w:r w:rsidRPr="00A76BFC">
        <w:rPr>
          <w:rFonts w:ascii="Cambria" w:hAnsi="Cambria"/>
          <w:sz w:val="21"/>
          <w:szCs w:val="21"/>
        </w:rPr>
        <w:t>continueren van het accom</w:t>
      </w:r>
      <w:r w:rsidR="00BC2B9F">
        <w:rPr>
          <w:rFonts w:ascii="Cambria" w:hAnsi="Cambria"/>
          <w:sz w:val="21"/>
          <w:szCs w:val="21"/>
        </w:rPr>
        <w:t>m</w:t>
      </w:r>
      <w:r w:rsidRPr="00A76BFC">
        <w:rPr>
          <w:rFonts w:ascii="Cambria" w:hAnsi="Cambria"/>
          <w:sz w:val="21"/>
          <w:szCs w:val="21"/>
        </w:rPr>
        <w:t>oderende monetaire beleid</w:t>
      </w:r>
      <w:r>
        <w:rPr>
          <w:rFonts w:ascii="Cambria" w:hAnsi="Cambria"/>
          <w:sz w:val="21"/>
          <w:szCs w:val="21"/>
        </w:rPr>
        <w:t xml:space="preserve"> door de Fed en de ECB</w:t>
      </w:r>
      <w:r w:rsidRPr="006A52F0" w:rsidR="006A52F0">
        <w:rPr>
          <w:rFonts w:ascii="Cambria" w:hAnsi="Cambria"/>
          <w:sz w:val="21"/>
          <w:szCs w:val="21"/>
        </w:rPr>
        <w:t>.</w:t>
      </w:r>
      <w:r w:rsidR="006A52F0">
        <w:rPr>
          <w:rFonts w:ascii="Cambria" w:hAnsi="Cambria"/>
          <w:sz w:val="21"/>
          <w:szCs w:val="21"/>
        </w:rPr>
        <w:t xml:space="preserve"> </w:t>
      </w:r>
      <w:r w:rsidR="00D72413">
        <w:rPr>
          <w:rFonts w:ascii="Cambria" w:hAnsi="Cambria"/>
          <w:sz w:val="21"/>
          <w:szCs w:val="21"/>
        </w:rPr>
        <w:t>Deze kwetsbaarheden worden op verschillende manieren zichtbaar.</w:t>
      </w:r>
      <w:r w:rsidR="006A52F0">
        <w:rPr>
          <w:rFonts w:ascii="Cambria" w:hAnsi="Cambria"/>
          <w:sz w:val="21"/>
          <w:szCs w:val="21"/>
        </w:rPr>
        <w:t xml:space="preserve"> </w:t>
      </w:r>
      <w:r w:rsidR="00D72413">
        <w:rPr>
          <w:rFonts w:ascii="Cambria" w:hAnsi="Cambria"/>
          <w:sz w:val="21"/>
          <w:szCs w:val="21"/>
        </w:rPr>
        <w:t xml:space="preserve">Zo kennen sommige Europese landen nog steeds </w:t>
      </w:r>
      <w:r w:rsidR="007B7368">
        <w:rPr>
          <w:rFonts w:ascii="Cambria" w:hAnsi="Cambria"/>
          <w:sz w:val="21"/>
          <w:szCs w:val="21"/>
        </w:rPr>
        <w:t xml:space="preserve">hoge overheidsschulden en </w:t>
      </w:r>
      <w:r w:rsidR="00D72413">
        <w:rPr>
          <w:rFonts w:ascii="Cambria" w:hAnsi="Cambria"/>
          <w:sz w:val="21"/>
          <w:szCs w:val="21"/>
        </w:rPr>
        <w:t>een</w:t>
      </w:r>
      <w:r w:rsidR="007B7368">
        <w:rPr>
          <w:rFonts w:ascii="Cambria" w:hAnsi="Cambria"/>
          <w:sz w:val="21"/>
          <w:szCs w:val="21"/>
        </w:rPr>
        <w:t xml:space="preserve"> sterke verwevenheid tussen banken en de overheid</w:t>
      </w:r>
      <w:r w:rsidR="006D7813">
        <w:rPr>
          <w:rFonts w:ascii="Cambria" w:hAnsi="Cambria"/>
          <w:sz w:val="21"/>
          <w:szCs w:val="21"/>
        </w:rPr>
        <w:t xml:space="preserve">. </w:t>
      </w:r>
      <w:r>
        <w:rPr>
          <w:rFonts w:ascii="Cambria" w:hAnsi="Cambria"/>
          <w:sz w:val="21"/>
          <w:szCs w:val="21"/>
        </w:rPr>
        <w:t xml:space="preserve">Het comité benadrukt </w:t>
      </w:r>
      <w:r w:rsidR="00416450">
        <w:rPr>
          <w:rFonts w:ascii="Cambria" w:hAnsi="Cambria"/>
          <w:sz w:val="21"/>
          <w:szCs w:val="21"/>
        </w:rPr>
        <w:t xml:space="preserve">dan ook </w:t>
      </w:r>
      <w:r>
        <w:rPr>
          <w:rFonts w:ascii="Cambria" w:hAnsi="Cambria"/>
          <w:sz w:val="21"/>
          <w:szCs w:val="21"/>
        </w:rPr>
        <w:t xml:space="preserve">het belang van </w:t>
      </w:r>
      <w:r w:rsidR="00416450">
        <w:rPr>
          <w:rFonts w:ascii="Cambria" w:hAnsi="Cambria"/>
          <w:sz w:val="21"/>
          <w:szCs w:val="21"/>
        </w:rPr>
        <w:t>verdere afbouw va</w:t>
      </w:r>
      <w:r w:rsidR="00BC2B9F">
        <w:rPr>
          <w:rFonts w:ascii="Cambria" w:hAnsi="Cambria"/>
          <w:sz w:val="21"/>
          <w:szCs w:val="21"/>
        </w:rPr>
        <w:t>n deze kwetsbaarheden in Europa, onder meer door regulering van de uitzettingen van banken op overhe</w:t>
      </w:r>
      <w:r w:rsidR="00A22E68">
        <w:rPr>
          <w:rFonts w:ascii="Cambria" w:hAnsi="Cambria"/>
          <w:sz w:val="21"/>
          <w:szCs w:val="21"/>
        </w:rPr>
        <w:t>den</w:t>
      </w:r>
      <w:r w:rsidR="00BC2B9F">
        <w:rPr>
          <w:rFonts w:ascii="Cambria" w:hAnsi="Cambria"/>
          <w:sz w:val="21"/>
          <w:szCs w:val="21"/>
        </w:rPr>
        <w:t>.</w:t>
      </w:r>
    </w:p>
    <w:p w:rsidR="007B7368" w:rsidP="006A52F0" w:rsidRDefault="007B7368">
      <w:pPr>
        <w:spacing w:line="360" w:lineRule="auto"/>
        <w:rPr>
          <w:rFonts w:ascii="Cambria" w:hAnsi="Cambria"/>
          <w:sz w:val="21"/>
          <w:szCs w:val="21"/>
        </w:rPr>
      </w:pPr>
    </w:p>
    <w:p w:rsidRPr="007B7368" w:rsidR="007B7368" w:rsidP="00195196" w:rsidRDefault="007B7368">
      <w:pPr>
        <w:spacing w:line="360" w:lineRule="auto"/>
        <w:rPr>
          <w:rFonts w:ascii="Cambria" w:hAnsi="Cambria"/>
          <w:sz w:val="21"/>
          <w:szCs w:val="21"/>
        </w:rPr>
      </w:pPr>
      <w:r>
        <w:rPr>
          <w:rFonts w:ascii="Cambria" w:hAnsi="Cambria"/>
          <w:sz w:val="21"/>
          <w:szCs w:val="21"/>
        </w:rPr>
        <w:t xml:space="preserve">Tegen deze achtergrond heeft het comité ook stilgestaan bij de groei van markten voor risicovolle bedrijfsschuld. Vooral de markt voor hefboomleningen blijft </w:t>
      </w:r>
      <w:r w:rsidR="00195196">
        <w:rPr>
          <w:rFonts w:ascii="Cambria" w:hAnsi="Cambria"/>
          <w:sz w:val="21"/>
          <w:szCs w:val="21"/>
        </w:rPr>
        <w:t xml:space="preserve">sterk </w:t>
      </w:r>
      <w:r>
        <w:rPr>
          <w:rFonts w:ascii="Cambria" w:hAnsi="Cambria"/>
          <w:sz w:val="21"/>
          <w:szCs w:val="21"/>
        </w:rPr>
        <w:t xml:space="preserve">groeien, waarbij de leningvoorwaarden worden versoepeld en de hefboom op de leningen steeds verder toeneemt. Mede doordat deze leningen in toenemende mate worden gesecuritiseerd, is </w:t>
      </w:r>
      <w:r w:rsidR="00195196">
        <w:rPr>
          <w:rFonts w:ascii="Cambria" w:hAnsi="Cambria"/>
          <w:sz w:val="21"/>
          <w:szCs w:val="21"/>
        </w:rPr>
        <w:t xml:space="preserve">weinig bekend over welke partijen de risico’s van deze leningen dragen. </w:t>
      </w:r>
      <w:r w:rsidRPr="007B7368" w:rsidR="00195196">
        <w:rPr>
          <w:rFonts w:ascii="Cambria" w:hAnsi="Cambria"/>
          <w:sz w:val="21"/>
          <w:szCs w:val="21"/>
        </w:rPr>
        <w:t xml:space="preserve">Hoewel </w:t>
      </w:r>
      <w:r w:rsidR="00195196">
        <w:rPr>
          <w:rFonts w:ascii="Cambria" w:hAnsi="Cambria"/>
          <w:sz w:val="21"/>
          <w:szCs w:val="21"/>
        </w:rPr>
        <w:t xml:space="preserve">de rol van Nederlandse </w:t>
      </w:r>
      <w:r w:rsidRPr="007B7368" w:rsidR="00195196">
        <w:rPr>
          <w:rFonts w:ascii="Cambria" w:hAnsi="Cambria"/>
          <w:sz w:val="21"/>
          <w:szCs w:val="21"/>
        </w:rPr>
        <w:t xml:space="preserve">banken </w:t>
      </w:r>
      <w:r w:rsidR="00195196">
        <w:rPr>
          <w:rFonts w:ascii="Cambria" w:hAnsi="Cambria"/>
          <w:sz w:val="21"/>
          <w:szCs w:val="21"/>
        </w:rPr>
        <w:t>bij dit type leningen beperkt lijkt, vindt het comité een nadere analyse van de mogelijke stabiliteitsrisico’s wenselijk. Het comité zal hier in een volgende vergadering op terugkomen.</w:t>
      </w:r>
    </w:p>
    <w:p w:rsidRPr="003975B3" w:rsidR="003975B3" w:rsidP="003975B3" w:rsidRDefault="003975B3">
      <w:pPr>
        <w:spacing w:line="360" w:lineRule="auto"/>
        <w:rPr>
          <w:rFonts w:ascii="Cambria" w:hAnsi="Cambria"/>
          <w:sz w:val="21"/>
          <w:szCs w:val="21"/>
        </w:rPr>
      </w:pPr>
    </w:p>
    <w:p w:rsidR="00A31510" w:rsidP="003975B3" w:rsidRDefault="00EE119D">
      <w:pPr>
        <w:spacing w:line="360" w:lineRule="auto"/>
        <w:rPr>
          <w:rFonts w:ascii="Cambria" w:hAnsi="Cambria"/>
          <w:sz w:val="21"/>
          <w:szCs w:val="21"/>
        </w:rPr>
      </w:pPr>
      <w:r w:rsidRPr="00EE119D">
        <w:rPr>
          <w:rFonts w:ascii="Cambria" w:hAnsi="Cambria"/>
          <w:sz w:val="21"/>
          <w:szCs w:val="21"/>
        </w:rPr>
        <w:t>Het Brexit-proces is in een nieuwe fase beland, nu de uittredingsdatum is uitgesteld tot uiterlijk 31 oktober 2019.</w:t>
      </w:r>
      <w:r>
        <w:rPr>
          <w:rFonts w:ascii="Cambria" w:hAnsi="Cambria"/>
          <w:sz w:val="21"/>
          <w:szCs w:val="21"/>
        </w:rPr>
        <w:t xml:space="preserve"> </w:t>
      </w:r>
      <w:r w:rsidR="00AA46A0">
        <w:rPr>
          <w:rFonts w:ascii="Cambria" w:hAnsi="Cambria"/>
          <w:sz w:val="21"/>
          <w:szCs w:val="21"/>
        </w:rPr>
        <w:t xml:space="preserve">Als gevolg daarvan is de aandacht van financiële markten </w:t>
      </w:r>
      <w:r w:rsidR="00061F25">
        <w:rPr>
          <w:rFonts w:ascii="Cambria" w:hAnsi="Cambria"/>
          <w:sz w:val="21"/>
          <w:szCs w:val="21"/>
        </w:rPr>
        <w:t xml:space="preserve">en media </w:t>
      </w:r>
      <w:r w:rsidR="00AA46A0">
        <w:rPr>
          <w:rFonts w:ascii="Cambria" w:hAnsi="Cambria"/>
          <w:sz w:val="21"/>
          <w:szCs w:val="21"/>
        </w:rPr>
        <w:t xml:space="preserve">voor de Brexit wat geluwd in vergelijking met de eerste maanden van 2019. </w:t>
      </w:r>
      <w:r w:rsidR="00061F25">
        <w:rPr>
          <w:rFonts w:ascii="Cambria" w:hAnsi="Cambria"/>
          <w:sz w:val="21"/>
          <w:szCs w:val="21"/>
        </w:rPr>
        <w:t xml:space="preserve">Dit kan ertoe leiden dat het gevoel van urgentie afneemt. </w:t>
      </w:r>
      <w:r>
        <w:rPr>
          <w:rFonts w:ascii="Cambria" w:hAnsi="Cambria"/>
          <w:sz w:val="21"/>
          <w:szCs w:val="21"/>
        </w:rPr>
        <w:t>De onzekerheden rond de Brexit blijven echter onveranderd groot. Het uitstel</w:t>
      </w:r>
      <w:r w:rsidRPr="00EE119D">
        <w:rPr>
          <w:rFonts w:ascii="Cambria" w:hAnsi="Cambria"/>
          <w:sz w:val="21"/>
          <w:szCs w:val="21"/>
        </w:rPr>
        <w:t xml:space="preserve"> geeft </w:t>
      </w:r>
      <w:r>
        <w:rPr>
          <w:rFonts w:ascii="Cambria" w:hAnsi="Cambria"/>
          <w:sz w:val="21"/>
          <w:szCs w:val="21"/>
        </w:rPr>
        <w:t xml:space="preserve">de Britse politiek weliswaar </w:t>
      </w:r>
      <w:r w:rsidRPr="00EE119D">
        <w:rPr>
          <w:rFonts w:ascii="Cambria" w:hAnsi="Cambria"/>
          <w:sz w:val="21"/>
          <w:szCs w:val="21"/>
        </w:rPr>
        <w:t xml:space="preserve">extra tijd om </w:t>
      </w:r>
      <w:r>
        <w:rPr>
          <w:rFonts w:ascii="Cambria" w:hAnsi="Cambria"/>
          <w:sz w:val="21"/>
          <w:szCs w:val="21"/>
        </w:rPr>
        <w:t xml:space="preserve">overeenstemming te bereiken over </w:t>
      </w:r>
      <w:r w:rsidRPr="00EE119D">
        <w:rPr>
          <w:rFonts w:ascii="Cambria" w:hAnsi="Cambria"/>
          <w:sz w:val="21"/>
          <w:szCs w:val="21"/>
        </w:rPr>
        <w:t>een uittredingsakkoord</w:t>
      </w:r>
      <w:r w:rsidR="00AA46A0">
        <w:rPr>
          <w:rFonts w:ascii="Cambria" w:hAnsi="Cambria"/>
          <w:sz w:val="21"/>
          <w:szCs w:val="21"/>
        </w:rPr>
        <w:t>, maar het is niet zeker of dat lukt</w:t>
      </w:r>
      <w:r w:rsidRPr="00EE119D">
        <w:rPr>
          <w:rFonts w:ascii="Cambria" w:hAnsi="Cambria"/>
          <w:sz w:val="21"/>
          <w:szCs w:val="21"/>
        </w:rPr>
        <w:t>.</w:t>
      </w:r>
      <w:r w:rsidR="00AA46A0">
        <w:rPr>
          <w:rFonts w:ascii="Cambria" w:hAnsi="Cambria"/>
          <w:sz w:val="21"/>
          <w:szCs w:val="21"/>
        </w:rPr>
        <w:t xml:space="preserve"> Het risico van een </w:t>
      </w:r>
      <w:r w:rsidRPr="00A31510" w:rsidR="00A31510">
        <w:rPr>
          <w:rFonts w:ascii="Cambria" w:hAnsi="Cambria"/>
          <w:sz w:val="21"/>
          <w:szCs w:val="21"/>
        </w:rPr>
        <w:t xml:space="preserve">no-deal </w:t>
      </w:r>
      <w:r w:rsidR="00AA46A0">
        <w:rPr>
          <w:rFonts w:ascii="Cambria" w:hAnsi="Cambria"/>
          <w:sz w:val="21"/>
          <w:szCs w:val="21"/>
        </w:rPr>
        <w:t>Brexit is dus nog steeds aanwezig</w:t>
      </w:r>
      <w:r>
        <w:rPr>
          <w:rFonts w:ascii="Cambria" w:hAnsi="Cambria"/>
          <w:sz w:val="21"/>
          <w:szCs w:val="21"/>
        </w:rPr>
        <w:t>.</w:t>
      </w:r>
      <w:r w:rsidR="00AA46A0">
        <w:rPr>
          <w:rFonts w:ascii="Cambria" w:hAnsi="Cambria"/>
          <w:sz w:val="21"/>
          <w:szCs w:val="21"/>
        </w:rPr>
        <w:t xml:space="preserve"> </w:t>
      </w:r>
      <w:r w:rsidR="00061F25">
        <w:rPr>
          <w:rFonts w:ascii="Cambria" w:hAnsi="Cambria"/>
          <w:sz w:val="21"/>
          <w:szCs w:val="21"/>
        </w:rPr>
        <w:t>Ook</w:t>
      </w:r>
      <w:r w:rsidRPr="00061F25" w:rsidR="00061F25">
        <w:rPr>
          <w:rFonts w:ascii="Cambria" w:hAnsi="Cambria"/>
          <w:sz w:val="21"/>
          <w:szCs w:val="21"/>
        </w:rPr>
        <w:t xml:space="preserve"> geldt dat de </w:t>
      </w:r>
      <w:r w:rsidRPr="00061F25" w:rsidR="00061F25">
        <w:rPr>
          <w:rFonts w:ascii="Cambria" w:hAnsi="Cambria"/>
          <w:sz w:val="21"/>
          <w:szCs w:val="21"/>
        </w:rPr>
        <w:lastRenderedPageBreak/>
        <w:t xml:space="preserve">transitieperiode tot eind 2020 niet is aangepast. </w:t>
      </w:r>
      <w:r w:rsidR="00061F25">
        <w:rPr>
          <w:rFonts w:ascii="Cambria" w:hAnsi="Cambria"/>
          <w:sz w:val="21"/>
          <w:szCs w:val="21"/>
        </w:rPr>
        <w:t>Financiële i</w:t>
      </w:r>
      <w:r w:rsidRPr="00061F25" w:rsidR="00061F25">
        <w:rPr>
          <w:rFonts w:ascii="Cambria" w:hAnsi="Cambria"/>
          <w:sz w:val="21"/>
          <w:szCs w:val="21"/>
        </w:rPr>
        <w:t xml:space="preserve">nstellingen moeten daarom </w:t>
      </w:r>
      <w:r w:rsidR="00061F25">
        <w:rPr>
          <w:rFonts w:ascii="Cambria" w:hAnsi="Cambria"/>
          <w:sz w:val="21"/>
          <w:szCs w:val="21"/>
        </w:rPr>
        <w:t xml:space="preserve">doorgaan met het treffen van </w:t>
      </w:r>
      <w:r w:rsidRPr="00061F25" w:rsidR="00061F25">
        <w:rPr>
          <w:rFonts w:ascii="Cambria" w:hAnsi="Cambria"/>
          <w:sz w:val="21"/>
          <w:szCs w:val="21"/>
        </w:rPr>
        <w:t>voorbereidingsmaatregelen waar dat nog nodig is</w:t>
      </w:r>
      <w:r w:rsidR="00061F25">
        <w:rPr>
          <w:rFonts w:ascii="Cambria" w:hAnsi="Cambria"/>
          <w:sz w:val="21"/>
          <w:szCs w:val="21"/>
        </w:rPr>
        <w:t xml:space="preserve">. </w:t>
      </w:r>
    </w:p>
    <w:p w:rsidR="00AF2AD0" w:rsidP="00AF2AD0" w:rsidRDefault="00AF2AD0">
      <w:pPr>
        <w:spacing w:line="360" w:lineRule="auto"/>
        <w:rPr>
          <w:rFonts w:ascii="Cambria" w:hAnsi="Cambria"/>
          <w:sz w:val="21"/>
          <w:szCs w:val="21"/>
        </w:rPr>
      </w:pPr>
    </w:p>
    <w:p w:rsidR="00AF2AD0" w:rsidP="00AF2AD0" w:rsidRDefault="00AF2AD0">
      <w:pPr>
        <w:spacing w:line="360" w:lineRule="auto"/>
        <w:rPr>
          <w:rFonts w:ascii="Cambria" w:hAnsi="Cambria"/>
          <w:b/>
          <w:sz w:val="21"/>
          <w:szCs w:val="21"/>
        </w:rPr>
      </w:pPr>
      <w:r w:rsidRPr="00AF2AD0">
        <w:rPr>
          <w:rFonts w:ascii="Cambria" w:hAnsi="Cambria"/>
          <w:b/>
          <w:sz w:val="21"/>
          <w:szCs w:val="21"/>
        </w:rPr>
        <w:t>Klimaatrisico’s</w:t>
      </w:r>
    </w:p>
    <w:p w:rsidRPr="003975B3" w:rsidR="003975B3" w:rsidP="00F96883" w:rsidRDefault="00061F25">
      <w:pPr>
        <w:spacing w:line="360" w:lineRule="auto"/>
        <w:rPr>
          <w:rFonts w:ascii="Cambria" w:hAnsi="Cambria"/>
          <w:sz w:val="21"/>
          <w:szCs w:val="21"/>
        </w:rPr>
      </w:pPr>
      <w:r>
        <w:rPr>
          <w:rFonts w:ascii="Cambria" w:hAnsi="Cambria"/>
          <w:sz w:val="21"/>
          <w:szCs w:val="21"/>
        </w:rPr>
        <w:t xml:space="preserve">Sinds het comité in 2016 voor het eerst over dit onderwerp sprak, is de aandacht voor klimaatrisico’s </w:t>
      </w:r>
      <w:r w:rsidR="00F96883">
        <w:rPr>
          <w:rFonts w:ascii="Cambria" w:hAnsi="Cambria"/>
          <w:sz w:val="21"/>
          <w:szCs w:val="21"/>
        </w:rPr>
        <w:t>in</w:t>
      </w:r>
      <w:r>
        <w:rPr>
          <w:rFonts w:ascii="Cambria" w:hAnsi="Cambria"/>
          <w:sz w:val="21"/>
          <w:szCs w:val="21"/>
        </w:rPr>
        <w:t xml:space="preserve"> de financiële sector sterk toegenomen. </w:t>
      </w:r>
      <w:r w:rsidR="00F96883">
        <w:rPr>
          <w:rFonts w:ascii="Cambria" w:hAnsi="Cambria"/>
          <w:sz w:val="21"/>
          <w:szCs w:val="21"/>
        </w:rPr>
        <w:t>De afgelopen jaren is meer onderzoek gedaan naar de</w:t>
      </w:r>
      <w:r w:rsidRPr="003975B3" w:rsidR="003975B3">
        <w:rPr>
          <w:rFonts w:ascii="Cambria" w:hAnsi="Cambria"/>
          <w:sz w:val="21"/>
          <w:szCs w:val="21"/>
        </w:rPr>
        <w:t xml:space="preserve"> impact </w:t>
      </w:r>
      <w:r w:rsidR="00F96883">
        <w:rPr>
          <w:rFonts w:ascii="Cambria" w:hAnsi="Cambria"/>
          <w:sz w:val="21"/>
          <w:szCs w:val="21"/>
        </w:rPr>
        <w:t xml:space="preserve">van klimaatrisico’s op </w:t>
      </w:r>
      <w:r w:rsidRPr="003975B3" w:rsidR="003975B3">
        <w:rPr>
          <w:rFonts w:ascii="Cambria" w:hAnsi="Cambria"/>
          <w:sz w:val="21"/>
          <w:szCs w:val="21"/>
        </w:rPr>
        <w:t xml:space="preserve">de financiële sector. Zo blijkt uit een stresstest die DNB in 2018 heeft uitgevoerd dat een abrupte energietransitie kan leiden tot stevige verliezen voor de </w:t>
      </w:r>
      <w:r w:rsidR="00F96883">
        <w:rPr>
          <w:rFonts w:ascii="Cambria" w:hAnsi="Cambria"/>
          <w:sz w:val="21"/>
          <w:szCs w:val="21"/>
        </w:rPr>
        <w:t xml:space="preserve">Nederlandse </w:t>
      </w:r>
      <w:r w:rsidRPr="003975B3" w:rsidR="003975B3">
        <w:rPr>
          <w:rFonts w:ascii="Cambria" w:hAnsi="Cambria"/>
          <w:sz w:val="21"/>
          <w:szCs w:val="21"/>
        </w:rPr>
        <w:t xml:space="preserve">financiële sector. Uit een verkenning van vier stress-scenario’s blijkt dat het verlies op activaposities in sommige </w:t>
      </w:r>
      <w:r w:rsidR="00B5371D">
        <w:rPr>
          <w:rFonts w:ascii="Cambria" w:hAnsi="Cambria"/>
          <w:sz w:val="21"/>
          <w:szCs w:val="21"/>
        </w:rPr>
        <w:t>scenario’s</w:t>
      </w:r>
      <w:r w:rsidRPr="003975B3" w:rsidR="00B5371D">
        <w:rPr>
          <w:rFonts w:ascii="Cambria" w:hAnsi="Cambria"/>
          <w:sz w:val="21"/>
          <w:szCs w:val="21"/>
        </w:rPr>
        <w:t xml:space="preserve"> </w:t>
      </w:r>
      <w:r w:rsidRPr="003975B3" w:rsidR="003975B3">
        <w:rPr>
          <w:rFonts w:ascii="Cambria" w:hAnsi="Cambria"/>
          <w:sz w:val="21"/>
          <w:szCs w:val="21"/>
        </w:rPr>
        <w:t xml:space="preserve">op kan lopen tot </w:t>
      </w:r>
      <w:r w:rsidRPr="00B5371D" w:rsidR="00B5371D">
        <w:rPr>
          <w:rFonts w:ascii="Cambria" w:hAnsi="Cambria"/>
          <w:sz w:val="21"/>
          <w:szCs w:val="21"/>
        </w:rPr>
        <w:t>3% van de activa van banken</w:t>
      </w:r>
      <w:r w:rsidR="00C705A5">
        <w:rPr>
          <w:rFonts w:ascii="Cambria" w:hAnsi="Cambria"/>
          <w:sz w:val="21"/>
          <w:szCs w:val="21"/>
        </w:rPr>
        <w:t xml:space="preserve"> en </w:t>
      </w:r>
      <w:r w:rsidRPr="00C705A5" w:rsidR="00C705A5">
        <w:rPr>
          <w:rFonts w:ascii="Cambria" w:hAnsi="Cambria"/>
          <w:sz w:val="21"/>
          <w:szCs w:val="21"/>
        </w:rPr>
        <w:t>ruim 10% van de activa van institutionele beleggers</w:t>
      </w:r>
      <w:r w:rsidRPr="003975B3" w:rsidR="003975B3">
        <w:rPr>
          <w:rFonts w:ascii="Cambria" w:hAnsi="Cambria"/>
          <w:sz w:val="21"/>
          <w:szCs w:val="21"/>
        </w:rPr>
        <w:t>.</w:t>
      </w:r>
      <w:r w:rsidR="00515D5D">
        <w:rPr>
          <w:rStyle w:val="Voetnootmarkering"/>
          <w:rFonts w:ascii="Cambria" w:hAnsi="Cambria"/>
          <w:sz w:val="21"/>
          <w:szCs w:val="21"/>
        </w:rPr>
        <w:footnoteReference w:id="1"/>
      </w:r>
      <w:r w:rsidRPr="003975B3" w:rsidR="003975B3">
        <w:rPr>
          <w:rFonts w:ascii="Cambria" w:hAnsi="Cambria"/>
          <w:sz w:val="21"/>
          <w:szCs w:val="21"/>
        </w:rPr>
        <w:t xml:space="preserve"> Deze analyse laat zien dat verliezen in de CO2-intensieve bedrijfstakken via de productieketens invloed hebben op andere sectoren en daarmee op de economie als geheel. Daarnaast kunnen de gevolgen van klimaatverandering tot verliezen leiden. Zo krijgen schadeverzekeraars mogelijk te maken met hoger dan verwachte klimaatgerelateerde schadelasten.</w:t>
      </w:r>
    </w:p>
    <w:p w:rsidRPr="003975B3" w:rsidR="003975B3" w:rsidP="003975B3" w:rsidRDefault="003975B3">
      <w:pPr>
        <w:spacing w:line="360" w:lineRule="auto"/>
        <w:rPr>
          <w:rFonts w:ascii="Cambria" w:hAnsi="Cambria"/>
          <w:sz w:val="21"/>
          <w:szCs w:val="21"/>
        </w:rPr>
      </w:pPr>
    </w:p>
    <w:p w:rsidRPr="003975B3" w:rsidR="003975B3" w:rsidP="003975B3" w:rsidRDefault="003975B3">
      <w:pPr>
        <w:spacing w:line="360" w:lineRule="auto"/>
        <w:rPr>
          <w:rFonts w:ascii="Cambria" w:hAnsi="Cambria"/>
          <w:sz w:val="21"/>
          <w:szCs w:val="21"/>
        </w:rPr>
      </w:pPr>
      <w:r w:rsidRPr="003975B3">
        <w:rPr>
          <w:rFonts w:ascii="Cambria" w:hAnsi="Cambria"/>
          <w:sz w:val="21"/>
          <w:szCs w:val="21"/>
        </w:rPr>
        <w:t xml:space="preserve">Onder centrale banken en toezichthouders bestaat </w:t>
      </w:r>
      <w:r w:rsidR="00061F25">
        <w:rPr>
          <w:rFonts w:ascii="Cambria" w:hAnsi="Cambria"/>
          <w:sz w:val="21"/>
          <w:szCs w:val="21"/>
        </w:rPr>
        <w:t xml:space="preserve">mede door dit soort analyses </w:t>
      </w:r>
      <w:r w:rsidRPr="003975B3">
        <w:rPr>
          <w:rFonts w:ascii="Cambria" w:hAnsi="Cambria"/>
          <w:sz w:val="21"/>
          <w:szCs w:val="21"/>
        </w:rPr>
        <w:t xml:space="preserve">steeds meer overeenstemming over </w:t>
      </w:r>
      <w:r w:rsidR="00BC2B9F">
        <w:rPr>
          <w:rFonts w:ascii="Cambria" w:hAnsi="Cambria"/>
          <w:sz w:val="21"/>
          <w:szCs w:val="21"/>
        </w:rPr>
        <w:t>de relevantie</w:t>
      </w:r>
      <w:r w:rsidRPr="003975B3">
        <w:rPr>
          <w:rFonts w:ascii="Cambria" w:hAnsi="Cambria"/>
          <w:sz w:val="21"/>
          <w:szCs w:val="21"/>
        </w:rPr>
        <w:t xml:space="preserve"> van klimaatrisico’s voor de financiële stabiliteit. Zo heeft het Network for Greening the Financial System (NGFS) onlangs benadrukt dat klimaatrisico’s een belangrijke oorzaak van financiële risico’s vormen. Centrale banken en toezichthouders hebben volgens het NGFS dan ook tot taak om de weerbaarheid van de financiële sector tegen deze risico’s te versterken. Het NGFS doet hiertoe een aantal concrete aanbevelingen. Zo moeten toezichthouders klimaatrisico’s integreren in het toezicht en kunnen centrale banken duurzaamheidscriteria hanteren in hun eigen beleggingsportefeuilles. Daarnaast roept het NGFS op de verslaggeving van klimaatrelevante factoren door bedrijven te verbeteren en meer inzicht te geven in de duurzaamheidsaspecten en -risico’s van verschillende economische activiteiten.</w:t>
      </w:r>
    </w:p>
    <w:p w:rsidRPr="003975B3" w:rsidR="003975B3" w:rsidP="003975B3" w:rsidRDefault="003975B3">
      <w:pPr>
        <w:spacing w:line="360" w:lineRule="auto"/>
        <w:rPr>
          <w:rFonts w:ascii="Cambria" w:hAnsi="Cambria"/>
          <w:sz w:val="21"/>
          <w:szCs w:val="21"/>
        </w:rPr>
      </w:pPr>
    </w:p>
    <w:p w:rsidR="003975B3" w:rsidP="003975B3" w:rsidRDefault="003975B3">
      <w:pPr>
        <w:spacing w:line="360" w:lineRule="auto"/>
        <w:rPr>
          <w:rFonts w:ascii="Cambria" w:hAnsi="Cambria"/>
          <w:sz w:val="21"/>
          <w:szCs w:val="21"/>
        </w:rPr>
      </w:pPr>
      <w:r w:rsidRPr="003975B3">
        <w:rPr>
          <w:rFonts w:ascii="Cambria" w:hAnsi="Cambria"/>
          <w:sz w:val="21"/>
          <w:szCs w:val="21"/>
        </w:rPr>
        <w:t xml:space="preserve">Het FSC </w:t>
      </w:r>
      <w:r w:rsidR="009654B8">
        <w:rPr>
          <w:rFonts w:ascii="Cambria" w:hAnsi="Cambria"/>
          <w:sz w:val="21"/>
          <w:szCs w:val="21"/>
        </w:rPr>
        <w:t>onderschrijft</w:t>
      </w:r>
      <w:r w:rsidRPr="003975B3">
        <w:rPr>
          <w:rFonts w:ascii="Cambria" w:hAnsi="Cambria"/>
          <w:sz w:val="21"/>
          <w:szCs w:val="21"/>
        </w:rPr>
        <w:t xml:space="preserve"> </w:t>
      </w:r>
      <w:r w:rsidR="009654B8">
        <w:rPr>
          <w:rFonts w:ascii="Cambria" w:hAnsi="Cambria"/>
          <w:sz w:val="21"/>
          <w:szCs w:val="21"/>
        </w:rPr>
        <w:t>de relevantie</w:t>
      </w:r>
      <w:r w:rsidRPr="003975B3">
        <w:rPr>
          <w:rFonts w:ascii="Cambria" w:hAnsi="Cambria"/>
          <w:sz w:val="21"/>
          <w:szCs w:val="21"/>
        </w:rPr>
        <w:t xml:space="preserve"> van klimaatrisico’s voor de financiële sector en </w:t>
      </w:r>
      <w:r w:rsidR="009654B8">
        <w:rPr>
          <w:rFonts w:ascii="Cambria" w:hAnsi="Cambria"/>
          <w:sz w:val="21"/>
          <w:szCs w:val="21"/>
        </w:rPr>
        <w:t>verwelkomt</w:t>
      </w:r>
      <w:r w:rsidRPr="003975B3">
        <w:rPr>
          <w:rFonts w:ascii="Cambria" w:hAnsi="Cambria"/>
          <w:sz w:val="21"/>
          <w:szCs w:val="21"/>
        </w:rPr>
        <w:t xml:space="preserve"> de aanbevelingen van het NGFS. </w:t>
      </w:r>
      <w:r w:rsidR="00F96883">
        <w:rPr>
          <w:rFonts w:ascii="Cambria" w:hAnsi="Cambria"/>
          <w:sz w:val="21"/>
          <w:szCs w:val="21"/>
        </w:rPr>
        <w:t>De leden van het</w:t>
      </w:r>
      <w:r w:rsidRPr="003975B3">
        <w:rPr>
          <w:rFonts w:ascii="Cambria" w:hAnsi="Cambria"/>
          <w:sz w:val="21"/>
          <w:szCs w:val="21"/>
        </w:rPr>
        <w:t xml:space="preserve"> comité </w:t>
      </w:r>
      <w:r w:rsidR="00F96883">
        <w:rPr>
          <w:rFonts w:ascii="Cambria" w:hAnsi="Cambria"/>
          <w:sz w:val="21"/>
          <w:szCs w:val="21"/>
        </w:rPr>
        <w:t xml:space="preserve">geven hier </w:t>
      </w:r>
      <w:r w:rsidR="00825B29">
        <w:rPr>
          <w:rFonts w:ascii="Cambria" w:hAnsi="Cambria"/>
          <w:sz w:val="21"/>
          <w:szCs w:val="21"/>
        </w:rPr>
        <w:t xml:space="preserve">vanuit hun eigen mandaat </w:t>
      </w:r>
      <w:r w:rsidR="00F96883">
        <w:rPr>
          <w:rFonts w:ascii="Cambria" w:hAnsi="Cambria"/>
          <w:sz w:val="21"/>
          <w:szCs w:val="21"/>
        </w:rPr>
        <w:t xml:space="preserve">op </w:t>
      </w:r>
      <w:r w:rsidR="00690172">
        <w:rPr>
          <w:rFonts w:ascii="Cambria" w:hAnsi="Cambria"/>
          <w:sz w:val="21"/>
          <w:szCs w:val="21"/>
        </w:rPr>
        <w:t>uiteenlopende</w:t>
      </w:r>
      <w:r w:rsidR="00F96883">
        <w:rPr>
          <w:rFonts w:ascii="Cambria" w:hAnsi="Cambria"/>
          <w:sz w:val="21"/>
          <w:szCs w:val="21"/>
        </w:rPr>
        <w:t xml:space="preserve"> manieren opvolging aan</w:t>
      </w:r>
      <w:r w:rsidR="00690172">
        <w:rPr>
          <w:rFonts w:ascii="Cambria" w:hAnsi="Cambria"/>
          <w:sz w:val="21"/>
          <w:szCs w:val="21"/>
        </w:rPr>
        <w:t xml:space="preserve">, en zullen dat de komende jaren </w:t>
      </w:r>
      <w:r w:rsidR="00690172">
        <w:rPr>
          <w:rFonts w:ascii="Cambria" w:hAnsi="Cambria"/>
          <w:sz w:val="21"/>
          <w:szCs w:val="21"/>
        </w:rPr>
        <w:lastRenderedPageBreak/>
        <w:t>blijven doen</w:t>
      </w:r>
      <w:r w:rsidR="00F96883">
        <w:rPr>
          <w:rFonts w:ascii="Cambria" w:hAnsi="Cambria"/>
          <w:sz w:val="21"/>
          <w:szCs w:val="21"/>
        </w:rPr>
        <w:t xml:space="preserve">. </w:t>
      </w:r>
      <w:r w:rsidR="00544C12">
        <w:rPr>
          <w:rFonts w:ascii="Cambria" w:hAnsi="Cambria"/>
          <w:sz w:val="21"/>
          <w:szCs w:val="21"/>
        </w:rPr>
        <w:t>DNB integreert</w:t>
      </w:r>
      <w:r w:rsidRPr="003975B3">
        <w:rPr>
          <w:rFonts w:ascii="Cambria" w:hAnsi="Cambria"/>
          <w:sz w:val="21"/>
          <w:szCs w:val="21"/>
        </w:rPr>
        <w:t xml:space="preserve"> klimaat- en energietransitierisico</w:t>
      </w:r>
      <w:r w:rsidR="00544C12">
        <w:rPr>
          <w:rFonts w:ascii="Cambria" w:hAnsi="Cambria"/>
          <w:sz w:val="21"/>
          <w:szCs w:val="21"/>
        </w:rPr>
        <w:t>’</w:t>
      </w:r>
      <w:r w:rsidRPr="003975B3">
        <w:rPr>
          <w:rFonts w:ascii="Cambria" w:hAnsi="Cambria"/>
          <w:sz w:val="21"/>
          <w:szCs w:val="21"/>
        </w:rPr>
        <w:t>s in h</w:t>
      </w:r>
      <w:r w:rsidR="00F96883">
        <w:rPr>
          <w:rFonts w:ascii="Cambria" w:hAnsi="Cambria"/>
          <w:sz w:val="21"/>
          <w:szCs w:val="21"/>
        </w:rPr>
        <w:t>et</w:t>
      </w:r>
      <w:r w:rsidRPr="003975B3">
        <w:rPr>
          <w:rFonts w:ascii="Cambria" w:hAnsi="Cambria"/>
          <w:sz w:val="21"/>
          <w:szCs w:val="21"/>
        </w:rPr>
        <w:t xml:space="preserve"> toezicht </w:t>
      </w:r>
      <w:r w:rsidR="00F96883">
        <w:rPr>
          <w:rFonts w:ascii="Cambria" w:hAnsi="Cambria"/>
          <w:sz w:val="21"/>
          <w:szCs w:val="21"/>
        </w:rPr>
        <w:t>op</w:t>
      </w:r>
      <w:r w:rsidRPr="003975B3">
        <w:rPr>
          <w:rFonts w:ascii="Cambria" w:hAnsi="Cambria"/>
          <w:sz w:val="21"/>
          <w:szCs w:val="21"/>
        </w:rPr>
        <w:t xml:space="preserve"> financiële instellingen</w:t>
      </w:r>
      <w:r w:rsidR="00544C12">
        <w:rPr>
          <w:rFonts w:ascii="Cambria" w:hAnsi="Cambria"/>
          <w:sz w:val="21"/>
          <w:szCs w:val="21"/>
        </w:rPr>
        <w:t xml:space="preserve"> en heeft onlangs, als onderdeel van haar </w:t>
      </w:r>
      <w:r w:rsidRPr="00544C12" w:rsidR="00544C12">
        <w:rPr>
          <w:rFonts w:ascii="Cambria" w:hAnsi="Cambria"/>
          <w:sz w:val="21"/>
          <w:szCs w:val="21"/>
        </w:rPr>
        <w:t>maatschappelijk verantwoord beleggingsbeleid</w:t>
      </w:r>
      <w:r w:rsidR="00825B29">
        <w:rPr>
          <w:rFonts w:ascii="Cambria" w:hAnsi="Cambria"/>
          <w:sz w:val="21"/>
          <w:szCs w:val="21"/>
        </w:rPr>
        <w:t>,</w:t>
      </w:r>
      <w:r w:rsidRPr="00544C12" w:rsidR="00544C12">
        <w:rPr>
          <w:rFonts w:ascii="Cambria" w:hAnsi="Cambria"/>
          <w:sz w:val="21"/>
          <w:szCs w:val="21"/>
        </w:rPr>
        <w:t xml:space="preserve"> de Principles for Responsible Investment (PRI)</w:t>
      </w:r>
      <w:r w:rsidR="00544C12">
        <w:rPr>
          <w:rFonts w:ascii="Cambria" w:hAnsi="Cambria"/>
          <w:sz w:val="21"/>
          <w:szCs w:val="21"/>
        </w:rPr>
        <w:t xml:space="preserve"> van de Verenigde Naties onderteken</w:t>
      </w:r>
      <w:r w:rsidR="00825B29">
        <w:rPr>
          <w:rFonts w:ascii="Cambria" w:hAnsi="Cambria"/>
          <w:sz w:val="21"/>
          <w:szCs w:val="21"/>
        </w:rPr>
        <w:t>d</w:t>
      </w:r>
      <w:r w:rsidR="00544C12">
        <w:rPr>
          <w:rFonts w:ascii="Cambria" w:hAnsi="Cambria"/>
          <w:sz w:val="21"/>
          <w:szCs w:val="21"/>
        </w:rPr>
        <w:t>.</w:t>
      </w:r>
      <w:r w:rsidRPr="003975B3">
        <w:rPr>
          <w:rFonts w:ascii="Cambria" w:hAnsi="Cambria"/>
          <w:sz w:val="21"/>
          <w:szCs w:val="21"/>
        </w:rPr>
        <w:t xml:space="preserve"> </w:t>
      </w:r>
      <w:r w:rsidR="00544C12">
        <w:rPr>
          <w:rFonts w:ascii="Cambria" w:hAnsi="Cambria"/>
          <w:sz w:val="21"/>
          <w:szCs w:val="21"/>
        </w:rPr>
        <w:t xml:space="preserve">De AFM bevordert het functioneren van markten voor ‘groene’ financiële producten, bijvoorbeeld door </w:t>
      </w:r>
      <w:r w:rsidR="00825B29">
        <w:rPr>
          <w:rFonts w:ascii="Cambria" w:hAnsi="Cambria"/>
          <w:sz w:val="21"/>
          <w:szCs w:val="21"/>
        </w:rPr>
        <w:t xml:space="preserve">het tegengaan van </w:t>
      </w:r>
      <w:r w:rsidRPr="00544C12" w:rsidR="00544C12">
        <w:rPr>
          <w:rFonts w:ascii="Cambria" w:hAnsi="Cambria"/>
          <w:i/>
          <w:sz w:val="21"/>
          <w:szCs w:val="21"/>
        </w:rPr>
        <w:t>greenwashing</w:t>
      </w:r>
      <w:r w:rsidR="00544C12">
        <w:rPr>
          <w:rFonts w:ascii="Cambria" w:hAnsi="Cambria"/>
          <w:sz w:val="21"/>
          <w:szCs w:val="21"/>
        </w:rPr>
        <w:t xml:space="preserve"> – het aanbieden van producten die ten onrechte het label ‘groen’ hebben. </w:t>
      </w:r>
      <w:r w:rsidR="00687C8D">
        <w:rPr>
          <w:rFonts w:ascii="Cambria" w:hAnsi="Cambria"/>
          <w:sz w:val="21"/>
          <w:szCs w:val="21"/>
        </w:rPr>
        <w:t xml:space="preserve">Ook beoordeelt de AFM de rapportage van niet-financiële informatie in de verslaggeving van bedrijven. </w:t>
      </w:r>
      <w:r w:rsidR="00825B29">
        <w:rPr>
          <w:rFonts w:ascii="Cambria" w:hAnsi="Cambria"/>
          <w:sz w:val="21"/>
          <w:szCs w:val="21"/>
        </w:rPr>
        <w:t>En het ministerie start in mei 2019 met de uitgifte van groene obligaties.</w:t>
      </w:r>
      <w:r w:rsidR="00690172">
        <w:rPr>
          <w:rFonts w:ascii="Cambria" w:hAnsi="Cambria"/>
          <w:sz w:val="21"/>
          <w:szCs w:val="21"/>
        </w:rPr>
        <w:t xml:space="preserve"> </w:t>
      </w:r>
      <w:r w:rsidR="00416450">
        <w:rPr>
          <w:rFonts w:ascii="Cambria" w:hAnsi="Cambria"/>
          <w:sz w:val="21"/>
          <w:szCs w:val="21"/>
        </w:rPr>
        <w:t xml:space="preserve">Ook in de Nederlandse financiële sector is de aandacht voor klimaatvraagstukken toegenomen. Zo heeft de sector zich in het kader van het Klimaatakkoord gecommitteerd aan het meten en reduceren van de CO2-impact van zijn financieringen en beleggingen. </w:t>
      </w:r>
      <w:r w:rsidR="003F1943">
        <w:rPr>
          <w:rFonts w:ascii="Cambria" w:hAnsi="Cambria"/>
          <w:sz w:val="21"/>
          <w:szCs w:val="21"/>
        </w:rPr>
        <w:t>Het comité verwelkomt dit.</w:t>
      </w:r>
    </w:p>
    <w:p w:rsidR="00416450" w:rsidP="003975B3" w:rsidRDefault="00416450">
      <w:pPr>
        <w:spacing w:line="360" w:lineRule="auto"/>
        <w:rPr>
          <w:rFonts w:ascii="Cambria" w:hAnsi="Cambria"/>
          <w:sz w:val="21"/>
          <w:szCs w:val="21"/>
        </w:rPr>
      </w:pPr>
    </w:p>
    <w:p w:rsidR="00416450" w:rsidP="003975B3" w:rsidRDefault="00416450">
      <w:pPr>
        <w:spacing w:line="360" w:lineRule="auto"/>
        <w:rPr>
          <w:rFonts w:ascii="Cambria" w:hAnsi="Cambria"/>
          <w:sz w:val="21"/>
          <w:szCs w:val="21"/>
        </w:rPr>
      </w:pPr>
      <w:r>
        <w:rPr>
          <w:rFonts w:ascii="Cambria" w:hAnsi="Cambria"/>
          <w:sz w:val="21"/>
          <w:szCs w:val="21"/>
        </w:rPr>
        <w:t xml:space="preserve">Tegelijk benadrukt het comité dat de kennis over klimaatgerelateerde financiële risico’s en de </w:t>
      </w:r>
      <w:r w:rsidR="009654B8">
        <w:rPr>
          <w:rFonts w:ascii="Cambria" w:hAnsi="Cambria"/>
          <w:sz w:val="21"/>
          <w:szCs w:val="21"/>
        </w:rPr>
        <w:t>aanpak</w:t>
      </w:r>
      <w:r>
        <w:rPr>
          <w:rFonts w:ascii="Cambria" w:hAnsi="Cambria"/>
          <w:sz w:val="21"/>
          <w:szCs w:val="21"/>
        </w:rPr>
        <w:t xml:space="preserve"> daarvan nog beperkt is. De aanbevelingen van het NGFS om de beschikbaarheid van data te verbeteren en te investeren in kennis en onderzoek op dit terrein onderschrijft het comité dan ook.</w:t>
      </w:r>
      <w:r w:rsidR="00951A6B">
        <w:rPr>
          <w:rFonts w:ascii="Cambria" w:hAnsi="Cambria"/>
          <w:sz w:val="21"/>
          <w:szCs w:val="21"/>
        </w:rPr>
        <w:t xml:space="preserve"> Dit gebeurt onder andere in het Platform voor Duurzame Financiering, waarin vertegenwoordigers uit de financiële sector, de overheid, de toezichthouders en de wetenschap kennis en ervaringen delen.</w:t>
      </w:r>
    </w:p>
    <w:p w:rsidR="00825B29" w:rsidP="003975B3" w:rsidRDefault="00825B29">
      <w:pPr>
        <w:spacing w:line="360" w:lineRule="auto"/>
        <w:rPr>
          <w:rFonts w:ascii="Cambria" w:hAnsi="Cambria"/>
          <w:sz w:val="21"/>
          <w:szCs w:val="21"/>
        </w:rPr>
      </w:pPr>
    </w:p>
    <w:p w:rsidRPr="003975B3" w:rsidR="00690172" w:rsidP="00690172" w:rsidRDefault="00690172">
      <w:pPr>
        <w:spacing w:line="360" w:lineRule="auto"/>
        <w:rPr>
          <w:rFonts w:ascii="Cambria" w:hAnsi="Cambria"/>
          <w:sz w:val="21"/>
          <w:szCs w:val="21"/>
        </w:rPr>
      </w:pPr>
      <w:r>
        <w:rPr>
          <w:rFonts w:ascii="Cambria" w:hAnsi="Cambria"/>
          <w:sz w:val="21"/>
          <w:szCs w:val="21"/>
        </w:rPr>
        <w:t xml:space="preserve">Het comité benadrukt </w:t>
      </w:r>
      <w:r w:rsidR="00416450">
        <w:rPr>
          <w:rFonts w:ascii="Cambria" w:hAnsi="Cambria"/>
          <w:sz w:val="21"/>
          <w:szCs w:val="21"/>
        </w:rPr>
        <w:t xml:space="preserve">daarnaast </w:t>
      </w:r>
      <w:r>
        <w:rPr>
          <w:rFonts w:ascii="Cambria" w:hAnsi="Cambria"/>
          <w:sz w:val="21"/>
          <w:szCs w:val="21"/>
        </w:rPr>
        <w:t xml:space="preserve">het belang van voorspelbaar </w:t>
      </w:r>
      <w:r w:rsidRPr="003975B3" w:rsidR="003975B3">
        <w:rPr>
          <w:rFonts w:ascii="Cambria" w:hAnsi="Cambria"/>
          <w:sz w:val="21"/>
          <w:szCs w:val="21"/>
        </w:rPr>
        <w:t xml:space="preserve">klimaatbeleid </w:t>
      </w:r>
      <w:r>
        <w:rPr>
          <w:rFonts w:ascii="Cambria" w:hAnsi="Cambria"/>
          <w:sz w:val="21"/>
          <w:szCs w:val="21"/>
        </w:rPr>
        <w:t>en geloofwaardige transitiepaden. Deze verkleinen</w:t>
      </w:r>
      <w:r w:rsidRPr="003975B3" w:rsidR="003975B3">
        <w:rPr>
          <w:rFonts w:ascii="Cambria" w:hAnsi="Cambria"/>
          <w:sz w:val="21"/>
          <w:szCs w:val="21"/>
        </w:rPr>
        <w:t xml:space="preserve"> het risico op abrupte maatregelen in de toekomst</w:t>
      </w:r>
      <w:r>
        <w:rPr>
          <w:rFonts w:ascii="Cambria" w:hAnsi="Cambria"/>
          <w:sz w:val="21"/>
          <w:szCs w:val="21"/>
        </w:rPr>
        <w:t xml:space="preserve">, en kunnen daardoor een belangrijke bijdrage leveren aan het </w:t>
      </w:r>
      <w:r w:rsidR="009654B8">
        <w:rPr>
          <w:rFonts w:ascii="Cambria" w:hAnsi="Cambria"/>
          <w:sz w:val="21"/>
          <w:szCs w:val="21"/>
        </w:rPr>
        <w:t>terugdringen</w:t>
      </w:r>
      <w:r>
        <w:rPr>
          <w:rFonts w:ascii="Cambria" w:hAnsi="Cambria"/>
          <w:sz w:val="21"/>
          <w:szCs w:val="21"/>
        </w:rPr>
        <w:t xml:space="preserve"> van de financiële stabiliteitsrisico’s van de energietransitie</w:t>
      </w:r>
      <w:r w:rsidRPr="003975B3" w:rsidR="003975B3">
        <w:rPr>
          <w:rFonts w:ascii="Cambria" w:hAnsi="Cambria"/>
          <w:sz w:val="21"/>
          <w:szCs w:val="21"/>
        </w:rPr>
        <w:t>. Ook stelt dit de financiële sector in staat om op tijd passende maatregelen te nemen door dit beleid mee te nemen in krediet- en investeringsbeslissingen.</w:t>
      </w:r>
      <w:r>
        <w:rPr>
          <w:rFonts w:ascii="Cambria" w:hAnsi="Cambria"/>
          <w:sz w:val="21"/>
          <w:szCs w:val="21"/>
        </w:rPr>
        <w:t xml:space="preserve"> </w:t>
      </w:r>
    </w:p>
    <w:p w:rsidR="003975B3" w:rsidP="00AF2AD0" w:rsidRDefault="003975B3">
      <w:pPr>
        <w:spacing w:line="360" w:lineRule="auto"/>
        <w:rPr>
          <w:rFonts w:ascii="Cambria" w:hAnsi="Cambria"/>
          <w:b/>
          <w:sz w:val="21"/>
          <w:szCs w:val="21"/>
        </w:rPr>
      </w:pPr>
    </w:p>
    <w:p w:rsidRPr="00AF2AD0" w:rsidR="003975B3" w:rsidP="003975B3" w:rsidRDefault="003975B3">
      <w:pPr>
        <w:spacing w:line="360" w:lineRule="auto"/>
        <w:rPr>
          <w:rFonts w:ascii="Cambria" w:hAnsi="Cambria"/>
          <w:b/>
          <w:sz w:val="21"/>
          <w:szCs w:val="21"/>
        </w:rPr>
      </w:pPr>
      <w:r w:rsidRPr="00AF2AD0">
        <w:rPr>
          <w:rFonts w:ascii="Cambria" w:hAnsi="Cambria"/>
          <w:b/>
          <w:sz w:val="21"/>
          <w:szCs w:val="21"/>
        </w:rPr>
        <w:t>Herziening van rentebenchmarks</w:t>
      </w:r>
    </w:p>
    <w:p w:rsidR="003975B3" w:rsidP="003975B3" w:rsidRDefault="003975B3">
      <w:pPr>
        <w:spacing w:line="360" w:lineRule="auto"/>
        <w:rPr>
          <w:rFonts w:ascii="Cambria" w:hAnsi="Cambria"/>
          <w:sz w:val="21"/>
          <w:szCs w:val="21"/>
        </w:rPr>
      </w:pPr>
      <w:r w:rsidRPr="00AF2AD0">
        <w:rPr>
          <w:rFonts w:ascii="Cambria" w:hAnsi="Cambria"/>
          <w:sz w:val="21"/>
          <w:szCs w:val="21"/>
        </w:rPr>
        <w:t xml:space="preserve">In reactie op de LIBOR-fraude heeft de Financial Stability Board (FSB) </w:t>
      </w:r>
      <w:r w:rsidR="009654B8">
        <w:rPr>
          <w:rFonts w:ascii="Cambria" w:hAnsi="Cambria"/>
          <w:sz w:val="21"/>
          <w:szCs w:val="21"/>
        </w:rPr>
        <w:t>a</w:t>
      </w:r>
      <w:r w:rsidRPr="00AF2AD0" w:rsidR="009654B8">
        <w:rPr>
          <w:rFonts w:ascii="Cambria" w:hAnsi="Cambria"/>
          <w:sz w:val="21"/>
          <w:szCs w:val="21"/>
        </w:rPr>
        <w:t>anbevel</w:t>
      </w:r>
      <w:r w:rsidR="009654B8">
        <w:rPr>
          <w:rFonts w:ascii="Cambria" w:hAnsi="Cambria"/>
          <w:sz w:val="21"/>
          <w:szCs w:val="21"/>
        </w:rPr>
        <w:t>ingen gedaan</w:t>
      </w:r>
      <w:r w:rsidRPr="00AF2AD0">
        <w:rPr>
          <w:rFonts w:ascii="Cambria" w:hAnsi="Cambria"/>
          <w:sz w:val="21"/>
          <w:szCs w:val="21"/>
        </w:rPr>
        <w:t xml:space="preserve"> om rentebenchmarks robuuster te maken. Deze</w:t>
      </w:r>
      <w:r>
        <w:rPr>
          <w:rFonts w:ascii="Cambria" w:hAnsi="Cambria"/>
          <w:sz w:val="21"/>
          <w:szCs w:val="21"/>
        </w:rPr>
        <w:t xml:space="preserve"> aanbevelingen</w:t>
      </w:r>
      <w:r w:rsidRPr="00AF2AD0">
        <w:rPr>
          <w:rFonts w:ascii="Cambria" w:hAnsi="Cambria"/>
          <w:sz w:val="21"/>
          <w:szCs w:val="21"/>
        </w:rPr>
        <w:t xml:space="preserve"> zijn in de EU </w:t>
      </w:r>
      <w:r>
        <w:rPr>
          <w:rFonts w:ascii="Cambria" w:hAnsi="Cambria"/>
          <w:sz w:val="21"/>
          <w:szCs w:val="21"/>
        </w:rPr>
        <w:t>n</w:t>
      </w:r>
      <w:r w:rsidRPr="00AF2AD0">
        <w:rPr>
          <w:rFonts w:ascii="Cambria" w:hAnsi="Cambria"/>
          <w:sz w:val="21"/>
          <w:szCs w:val="21"/>
        </w:rPr>
        <w:t xml:space="preserve">eergeslagen in de Benchmark Regulation (BMR), die per 2022 bindend is voor kritische benchmarks. De meest gebruikte rentebenchmarks in de eurozone, EONIA en EURIBOR, voldoen in hun huidige vorm niet aan de BMR en mogen </w:t>
      </w:r>
      <w:r>
        <w:rPr>
          <w:rFonts w:ascii="Cambria" w:hAnsi="Cambria"/>
          <w:sz w:val="21"/>
          <w:szCs w:val="21"/>
        </w:rPr>
        <w:t xml:space="preserve">daarom </w:t>
      </w:r>
      <w:r w:rsidRPr="00175065" w:rsidR="00175065">
        <w:rPr>
          <w:rFonts w:ascii="Cambria" w:hAnsi="Cambria"/>
          <w:sz w:val="21"/>
          <w:szCs w:val="21"/>
        </w:rPr>
        <w:t xml:space="preserve">zonder </w:t>
      </w:r>
      <w:r w:rsidR="00175065">
        <w:rPr>
          <w:rFonts w:ascii="Cambria" w:hAnsi="Cambria"/>
          <w:sz w:val="21"/>
          <w:szCs w:val="21"/>
        </w:rPr>
        <w:t>aanpassing</w:t>
      </w:r>
      <w:r w:rsidRPr="00175065" w:rsidR="00175065">
        <w:rPr>
          <w:rFonts w:ascii="Cambria" w:hAnsi="Cambria"/>
          <w:sz w:val="21"/>
          <w:szCs w:val="21"/>
        </w:rPr>
        <w:t xml:space="preserve"> van de berekeningsmethodiek </w:t>
      </w:r>
      <w:r w:rsidRPr="00AF2AD0">
        <w:rPr>
          <w:rFonts w:ascii="Cambria" w:hAnsi="Cambria"/>
          <w:sz w:val="21"/>
          <w:szCs w:val="21"/>
        </w:rPr>
        <w:t>na 2022 niet meer gebruikt worden.</w:t>
      </w:r>
      <w:r>
        <w:rPr>
          <w:rFonts w:ascii="Cambria" w:hAnsi="Cambria"/>
          <w:sz w:val="21"/>
          <w:szCs w:val="21"/>
        </w:rPr>
        <w:t xml:space="preserve"> Dit heeft gevolgen voor </w:t>
      </w:r>
      <w:r w:rsidR="00690172">
        <w:rPr>
          <w:rFonts w:ascii="Cambria" w:hAnsi="Cambria"/>
          <w:sz w:val="21"/>
          <w:szCs w:val="21"/>
        </w:rPr>
        <w:t>een groot aantal</w:t>
      </w:r>
      <w:r w:rsidRPr="00104770">
        <w:rPr>
          <w:rFonts w:ascii="Cambria" w:hAnsi="Cambria"/>
          <w:sz w:val="21"/>
          <w:szCs w:val="21"/>
        </w:rPr>
        <w:t xml:space="preserve"> </w:t>
      </w:r>
      <w:r>
        <w:rPr>
          <w:rFonts w:ascii="Cambria" w:hAnsi="Cambria"/>
          <w:sz w:val="21"/>
          <w:szCs w:val="21"/>
        </w:rPr>
        <w:t xml:space="preserve">financiële contracten, zoals rentederivaten, leningen en securitisaties, die </w:t>
      </w:r>
      <w:r w:rsidRPr="00104770">
        <w:rPr>
          <w:rFonts w:ascii="Cambria" w:hAnsi="Cambria"/>
          <w:sz w:val="21"/>
          <w:szCs w:val="21"/>
        </w:rPr>
        <w:t xml:space="preserve">momenteel </w:t>
      </w:r>
      <w:r>
        <w:rPr>
          <w:rFonts w:ascii="Cambria" w:hAnsi="Cambria"/>
          <w:sz w:val="21"/>
          <w:szCs w:val="21"/>
        </w:rPr>
        <w:t xml:space="preserve">verwijzen </w:t>
      </w:r>
      <w:r w:rsidRPr="00104770">
        <w:rPr>
          <w:rFonts w:ascii="Cambria" w:hAnsi="Cambria"/>
          <w:sz w:val="21"/>
          <w:szCs w:val="21"/>
        </w:rPr>
        <w:t xml:space="preserve">naar EONIA of EURIBOR. </w:t>
      </w:r>
      <w:r>
        <w:rPr>
          <w:rFonts w:ascii="Cambria" w:hAnsi="Cambria"/>
          <w:sz w:val="21"/>
          <w:szCs w:val="21"/>
        </w:rPr>
        <w:t>Ook worden deze benchmarks</w:t>
      </w:r>
      <w:r w:rsidRPr="00104770">
        <w:rPr>
          <w:rFonts w:ascii="Cambria" w:hAnsi="Cambria"/>
          <w:sz w:val="21"/>
          <w:szCs w:val="21"/>
        </w:rPr>
        <w:t xml:space="preserve"> gebruikt in waarderings- en risicomodellen van financiële instellingen.</w:t>
      </w:r>
      <w:r>
        <w:rPr>
          <w:rFonts w:ascii="Cambria" w:hAnsi="Cambria"/>
          <w:sz w:val="21"/>
          <w:szCs w:val="21"/>
        </w:rPr>
        <w:t xml:space="preserve"> De herziening van de rentebenchmarks vormt daarom een grote uitdaging voor de financiële sector.</w:t>
      </w:r>
    </w:p>
    <w:p w:rsidR="003975B3" w:rsidP="003975B3" w:rsidRDefault="003975B3">
      <w:pPr>
        <w:spacing w:line="360" w:lineRule="auto"/>
        <w:rPr>
          <w:rFonts w:ascii="Cambria" w:hAnsi="Cambria"/>
          <w:sz w:val="21"/>
          <w:szCs w:val="21"/>
        </w:rPr>
      </w:pPr>
    </w:p>
    <w:p w:rsidR="003975B3" w:rsidP="003975B3" w:rsidRDefault="003975B3">
      <w:pPr>
        <w:spacing w:line="360" w:lineRule="auto"/>
        <w:rPr>
          <w:rFonts w:ascii="Cambria" w:hAnsi="Cambria"/>
          <w:sz w:val="21"/>
          <w:szCs w:val="21"/>
        </w:rPr>
      </w:pPr>
      <w:r>
        <w:rPr>
          <w:rFonts w:ascii="Cambria" w:hAnsi="Cambria"/>
          <w:sz w:val="21"/>
          <w:szCs w:val="21"/>
        </w:rPr>
        <w:t xml:space="preserve">Het FSC heeft gesproken over de uitdagingen van deze transitie en de risico’s die hiermee gepaard kunnen gaan. Het comité heeft vastgesteld dat voor EONIA een alternatief </w:t>
      </w:r>
      <w:r w:rsidR="00687C8D">
        <w:rPr>
          <w:rFonts w:ascii="Cambria" w:hAnsi="Cambria"/>
          <w:sz w:val="21"/>
          <w:szCs w:val="21"/>
        </w:rPr>
        <w:t xml:space="preserve">is </w:t>
      </w:r>
      <w:r>
        <w:rPr>
          <w:rFonts w:ascii="Cambria" w:hAnsi="Cambria"/>
          <w:sz w:val="21"/>
          <w:szCs w:val="21"/>
        </w:rPr>
        <w:t>gevonden</w:t>
      </w:r>
      <w:r w:rsidR="00687C8D">
        <w:rPr>
          <w:rFonts w:ascii="Cambria" w:hAnsi="Cambria"/>
          <w:sz w:val="21"/>
          <w:szCs w:val="21"/>
        </w:rPr>
        <w:t>. V</w:t>
      </w:r>
      <w:r>
        <w:rPr>
          <w:rFonts w:ascii="Cambria" w:hAnsi="Cambria"/>
          <w:sz w:val="21"/>
          <w:szCs w:val="21"/>
        </w:rPr>
        <w:t xml:space="preserve">anaf oktober 2019 </w:t>
      </w:r>
      <w:r w:rsidR="00687C8D">
        <w:rPr>
          <w:rFonts w:ascii="Cambria" w:hAnsi="Cambria"/>
          <w:sz w:val="21"/>
          <w:szCs w:val="21"/>
        </w:rPr>
        <w:t xml:space="preserve">zal </w:t>
      </w:r>
      <w:r>
        <w:rPr>
          <w:rFonts w:ascii="Cambria" w:hAnsi="Cambria"/>
          <w:sz w:val="21"/>
          <w:szCs w:val="21"/>
        </w:rPr>
        <w:t xml:space="preserve">door de ECB </w:t>
      </w:r>
      <w:r w:rsidR="00687C8D">
        <w:rPr>
          <w:rFonts w:ascii="Cambria" w:hAnsi="Cambria"/>
          <w:sz w:val="21"/>
          <w:szCs w:val="21"/>
        </w:rPr>
        <w:t>de rentebenchmark €STR</w:t>
      </w:r>
      <w:r>
        <w:rPr>
          <w:rFonts w:ascii="Cambria" w:hAnsi="Cambria"/>
          <w:sz w:val="21"/>
          <w:szCs w:val="21"/>
        </w:rPr>
        <w:t xml:space="preserve"> worden gepubliceerd. Dit laat onverlet dat de transitie naar nieuwe </w:t>
      </w:r>
      <w:r w:rsidR="00175065">
        <w:rPr>
          <w:rFonts w:ascii="Cambria" w:hAnsi="Cambria"/>
          <w:sz w:val="21"/>
          <w:szCs w:val="21"/>
        </w:rPr>
        <w:t xml:space="preserve">of aangepaste </w:t>
      </w:r>
      <w:r>
        <w:rPr>
          <w:rFonts w:ascii="Cambria" w:hAnsi="Cambria"/>
          <w:sz w:val="21"/>
          <w:szCs w:val="21"/>
        </w:rPr>
        <w:t xml:space="preserve">benchmarks gepaard kan gaan met </w:t>
      </w:r>
      <w:r w:rsidRPr="002A1B56">
        <w:rPr>
          <w:rFonts w:ascii="Cambria" w:hAnsi="Cambria"/>
          <w:sz w:val="21"/>
          <w:szCs w:val="21"/>
        </w:rPr>
        <w:t>financiële, operationele en juridische risico’s.</w:t>
      </w:r>
      <w:r>
        <w:rPr>
          <w:rFonts w:ascii="Cambria" w:hAnsi="Cambria"/>
          <w:sz w:val="21"/>
          <w:szCs w:val="21"/>
        </w:rPr>
        <w:t xml:space="preserve"> </w:t>
      </w:r>
    </w:p>
    <w:p w:rsidR="00690172" w:rsidP="003975B3" w:rsidRDefault="00690172">
      <w:pPr>
        <w:spacing w:line="360" w:lineRule="auto"/>
        <w:rPr>
          <w:rFonts w:ascii="Cambria" w:hAnsi="Cambria"/>
          <w:sz w:val="21"/>
          <w:szCs w:val="21"/>
        </w:rPr>
      </w:pPr>
    </w:p>
    <w:p w:rsidR="003975B3" w:rsidP="00690172" w:rsidRDefault="00690172">
      <w:pPr>
        <w:spacing w:line="360" w:lineRule="auto"/>
        <w:rPr>
          <w:rFonts w:ascii="Cambria" w:hAnsi="Cambria"/>
          <w:sz w:val="21"/>
          <w:szCs w:val="21"/>
        </w:rPr>
      </w:pPr>
      <w:r>
        <w:rPr>
          <w:rFonts w:ascii="Cambria" w:hAnsi="Cambria"/>
          <w:sz w:val="21"/>
          <w:szCs w:val="21"/>
        </w:rPr>
        <w:t>Het comité benadrukt daarom dat f</w:t>
      </w:r>
      <w:r w:rsidR="003975B3">
        <w:rPr>
          <w:rFonts w:ascii="Cambria" w:hAnsi="Cambria"/>
          <w:sz w:val="21"/>
          <w:szCs w:val="21"/>
        </w:rPr>
        <w:t xml:space="preserve">inanciële </w:t>
      </w:r>
      <w:r w:rsidRPr="002A1B56" w:rsidR="003975B3">
        <w:rPr>
          <w:rFonts w:ascii="Cambria" w:hAnsi="Cambria"/>
          <w:sz w:val="21"/>
          <w:szCs w:val="21"/>
        </w:rPr>
        <w:t>instellingen</w:t>
      </w:r>
      <w:r w:rsidR="007A6EE4">
        <w:rPr>
          <w:rFonts w:ascii="Cambria" w:hAnsi="Cambria"/>
          <w:sz w:val="21"/>
          <w:szCs w:val="21"/>
        </w:rPr>
        <w:t>,</w:t>
      </w:r>
      <w:r w:rsidRPr="002A1B56" w:rsidR="003975B3">
        <w:rPr>
          <w:rFonts w:ascii="Cambria" w:hAnsi="Cambria"/>
          <w:sz w:val="21"/>
          <w:szCs w:val="21"/>
        </w:rPr>
        <w:t xml:space="preserve"> </w:t>
      </w:r>
      <w:r w:rsidR="007A6EE4">
        <w:rPr>
          <w:rFonts w:ascii="Cambria" w:hAnsi="Cambria"/>
          <w:sz w:val="21"/>
          <w:szCs w:val="21"/>
        </w:rPr>
        <w:t xml:space="preserve">maar ook niet-financiële bedrijven die aan rentebenchmarks gerelateerde producten in portefeuille hebben, </w:t>
      </w:r>
      <w:r>
        <w:rPr>
          <w:rFonts w:ascii="Cambria" w:hAnsi="Cambria"/>
          <w:sz w:val="21"/>
          <w:szCs w:val="21"/>
        </w:rPr>
        <w:t>zich goed</w:t>
      </w:r>
      <w:r w:rsidR="00951A6B">
        <w:rPr>
          <w:rFonts w:ascii="Cambria" w:hAnsi="Cambria"/>
          <w:sz w:val="21"/>
          <w:szCs w:val="21"/>
        </w:rPr>
        <w:t xml:space="preserve"> </w:t>
      </w:r>
      <w:r>
        <w:rPr>
          <w:rFonts w:ascii="Cambria" w:hAnsi="Cambria"/>
          <w:sz w:val="21"/>
          <w:szCs w:val="21"/>
        </w:rPr>
        <w:t>moeten</w:t>
      </w:r>
      <w:r w:rsidR="003975B3">
        <w:rPr>
          <w:rFonts w:ascii="Cambria" w:hAnsi="Cambria"/>
          <w:sz w:val="21"/>
          <w:szCs w:val="21"/>
        </w:rPr>
        <w:t xml:space="preserve"> </w:t>
      </w:r>
      <w:r w:rsidRPr="002A1B56" w:rsidR="003975B3">
        <w:rPr>
          <w:rFonts w:ascii="Cambria" w:hAnsi="Cambria"/>
          <w:sz w:val="21"/>
          <w:szCs w:val="21"/>
        </w:rPr>
        <w:t xml:space="preserve">voorbereiden op de </w:t>
      </w:r>
      <w:r>
        <w:rPr>
          <w:rFonts w:ascii="Cambria" w:hAnsi="Cambria"/>
          <w:sz w:val="21"/>
          <w:szCs w:val="21"/>
        </w:rPr>
        <w:t>transitie naar de nieuwe benchmarks</w:t>
      </w:r>
      <w:r w:rsidRPr="002A1B56" w:rsidR="003975B3">
        <w:rPr>
          <w:rFonts w:ascii="Cambria" w:hAnsi="Cambria"/>
          <w:sz w:val="21"/>
          <w:szCs w:val="21"/>
        </w:rPr>
        <w:t xml:space="preserve">. </w:t>
      </w:r>
      <w:r w:rsidR="003975B3">
        <w:rPr>
          <w:rFonts w:ascii="Cambria" w:hAnsi="Cambria"/>
          <w:sz w:val="21"/>
          <w:szCs w:val="21"/>
        </w:rPr>
        <w:t xml:space="preserve">Recent hebben de AFM en DNB </w:t>
      </w:r>
      <w:r w:rsidR="00951A6B">
        <w:rPr>
          <w:rFonts w:ascii="Cambria" w:hAnsi="Cambria"/>
          <w:sz w:val="21"/>
          <w:szCs w:val="21"/>
        </w:rPr>
        <w:t xml:space="preserve">de grootste Nederlandse financiële </w:t>
      </w:r>
      <w:r w:rsidR="003975B3">
        <w:rPr>
          <w:rFonts w:ascii="Cambria" w:hAnsi="Cambria"/>
          <w:sz w:val="21"/>
          <w:szCs w:val="21"/>
        </w:rPr>
        <w:t>instellingen hiertoe opgeroepen.</w:t>
      </w:r>
      <w:r w:rsidRPr="00687C8D" w:rsidR="00687C8D">
        <w:rPr>
          <w:rFonts w:ascii="Cambria" w:hAnsi="Cambria"/>
          <w:sz w:val="21"/>
          <w:szCs w:val="21"/>
          <w:vertAlign w:val="superscript"/>
        </w:rPr>
        <w:footnoteReference w:id="2"/>
      </w:r>
      <w:r w:rsidR="003975B3">
        <w:rPr>
          <w:rFonts w:ascii="Cambria" w:hAnsi="Cambria"/>
          <w:sz w:val="21"/>
          <w:szCs w:val="21"/>
        </w:rPr>
        <w:t xml:space="preserve"> </w:t>
      </w:r>
      <w:r>
        <w:rPr>
          <w:rFonts w:ascii="Cambria" w:hAnsi="Cambria"/>
          <w:sz w:val="21"/>
          <w:szCs w:val="21"/>
        </w:rPr>
        <w:t>D</w:t>
      </w:r>
      <w:r w:rsidRPr="002A1B56" w:rsidR="003975B3">
        <w:rPr>
          <w:rFonts w:ascii="Cambria" w:hAnsi="Cambria"/>
          <w:sz w:val="21"/>
          <w:szCs w:val="21"/>
        </w:rPr>
        <w:t xml:space="preserve">e komende </w:t>
      </w:r>
      <w:r w:rsidR="003661A5">
        <w:rPr>
          <w:rFonts w:ascii="Cambria" w:hAnsi="Cambria"/>
          <w:sz w:val="21"/>
          <w:szCs w:val="21"/>
        </w:rPr>
        <w:t>maanden voert de AFM een</w:t>
      </w:r>
      <w:r w:rsidRPr="002A1B56" w:rsidR="003975B3">
        <w:rPr>
          <w:rFonts w:ascii="Cambria" w:hAnsi="Cambria"/>
          <w:sz w:val="21"/>
          <w:szCs w:val="21"/>
        </w:rPr>
        <w:t xml:space="preserve"> nadere analyse uit naar de impact op Nederlandse partijen</w:t>
      </w:r>
      <w:r w:rsidR="003661A5">
        <w:rPr>
          <w:rFonts w:ascii="Cambria" w:hAnsi="Cambria"/>
          <w:sz w:val="21"/>
          <w:szCs w:val="21"/>
        </w:rPr>
        <w:t xml:space="preserve">. Ook zal worden beoordeeld of de </w:t>
      </w:r>
      <w:r w:rsidRPr="002A1B56" w:rsidR="003975B3">
        <w:rPr>
          <w:rFonts w:ascii="Cambria" w:hAnsi="Cambria"/>
          <w:sz w:val="21"/>
          <w:szCs w:val="21"/>
        </w:rPr>
        <w:t xml:space="preserve">gekozen oplossingen voldoen aan </w:t>
      </w:r>
      <w:r w:rsidR="00951A6B">
        <w:rPr>
          <w:rFonts w:ascii="Cambria" w:hAnsi="Cambria"/>
          <w:sz w:val="21"/>
          <w:szCs w:val="21"/>
        </w:rPr>
        <w:t xml:space="preserve">de </w:t>
      </w:r>
      <w:r w:rsidRPr="002A1B56" w:rsidR="003975B3">
        <w:rPr>
          <w:rFonts w:ascii="Cambria" w:hAnsi="Cambria"/>
          <w:sz w:val="21"/>
          <w:szCs w:val="21"/>
        </w:rPr>
        <w:t>toezichtnormen.</w:t>
      </w:r>
    </w:p>
    <w:p w:rsidR="003975B3" w:rsidP="00AF2AD0" w:rsidRDefault="003975B3">
      <w:pPr>
        <w:spacing w:line="360" w:lineRule="auto"/>
        <w:rPr>
          <w:rFonts w:ascii="Cambria" w:hAnsi="Cambria"/>
          <w:b/>
          <w:sz w:val="21"/>
          <w:szCs w:val="21"/>
        </w:rPr>
      </w:pPr>
    </w:p>
    <w:p w:rsidRPr="00AE7858" w:rsidR="00AF2AD0" w:rsidP="00AF2AD0" w:rsidRDefault="00AF2AD0">
      <w:pPr>
        <w:spacing w:line="360" w:lineRule="auto"/>
        <w:rPr>
          <w:rFonts w:ascii="Cambria" w:hAnsi="Cambria"/>
          <w:b/>
          <w:sz w:val="21"/>
          <w:szCs w:val="21"/>
        </w:rPr>
      </w:pPr>
      <w:r w:rsidRPr="00AE7858">
        <w:rPr>
          <w:rFonts w:ascii="Cambria" w:hAnsi="Cambria"/>
          <w:b/>
          <w:sz w:val="21"/>
          <w:szCs w:val="21"/>
        </w:rPr>
        <w:t>Volgende vergadering</w:t>
      </w:r>
    </w:p>
    <w:p w:rsidR="00646BAC" w:rsidP="00AF2AD0" w:rsidRDefault="00AF2AD0">
      <w:pPr>
        <w:spacing w:line="360" w:lineRule="auto"/>
        <w:rPr>
          <w:rFonts w:ascii="Cambria" w:hAnsi="Cambria"/>
          <w:sz w:val="21"/>
          <w:szCs w:val="21"/>
        </w:rPr>
      </w:pPr>
      <w:r>
        <w:rPr>
          <w:rFonts w:ascii="Cambria" w:hAnsi="Cambria"/>
          <w:sz w:val="21"/>
          <w:szCs w:val="21"/>
        </w:rPr>
        <w:t xml:space="preserve">De eerstvolgende vergadering van het FSC vindt in november 2019 plaats. De </w:t>
      </w:r>
      <w:r w:rsidR="003661A5">
        <w:rPr>
          <w:rFonts w:ascii="Cambria" w:hAnsi="Cambria"/>
          <w:sz w:val="21"/>
          <w:szCs w:val="21"/>
        </w:rPr>
        <w:t>onderwerpen</w:t>
      </w:r>
      <w:r>
        <w:rPr>
          <w:rFonts w:ascii="Cambria" w:hAnsi="Cambria"/>
          <w:sz w:val="21"/>
          <w:szCs w:val="21"/>
        </w:rPr>
        <w:t xml:space="preserve"> </w:t>
      </w:r>
      <w:r w:rsidR="003661A5">
        <w:rPr>
          <w:rFonts w:ascii="Cambria" w:hAnsi="Cambria"/>
          <w:sz w:val="21"/>
          <w:szCs w:val="21"/>
        </w:rPr>
        <w:t>voor deze vergadering worden</w:t>
      </w:r>
      <w:r>
        <w:rPr>
          <w:rFonts w:ascii="Cambria" w:hAnsi="Cambria"/>
          <w:sz w:val="21"/>
          <w:szCs w:val="21"/>
        </w:rPr>
        <w:t xml:space="preserve"> enkele weken voorafgaand aan de vergadering </w:t>
      </w:r>
      <w:r w:rsidR="007A6EE4">
        <w:rPr>
          <w:rFonts w:ascii="Cambria" w:hAnsi="Cambria"/>
          <w:sz w:val="21"/>
          <w:szCs w:val="21"/>
        </w:rPr>
        <w:t>vastgesteld</w:t>
      </w:r>
      <w:r>
        <w:rPr>
          <w:rFonts w:ascii="Cambria" w:hAnsi="Cambria"/>
          <w:sz w:val="21"/>
          <w:szCs w:val="21"/>
        </w:rPr>
        <w:t>.</w:t>
      </w:r>
    </w:p>
    <w:p w:rsidRPr="001F08CE" w:rsidR="00646BAC" w:rsidP="003661A5" w:rsidRDefault="00646BAC">
      <w:pPr>
        <w:spacing w:after="160"/>
        <w:rPr>
          <w:rFonts w:ascii="Cambria" w:hAnsi="Cambria"/>
          <w:sz w:val="21"/>
          <w:szCs w:val="21"/>
        </w:rPr>
      </w:pPr>
    </w:p>
    <w:p w:rsidRPr="00AF2AD0" w:rsidR="00AF2AD0" w:rsidP="00AF2AD0" w:rsidRDefault="00AF2AD0">
      <w:pPr>
        <w:spacing w:line="360" w:lineRule="auto"/>
        <w:rPr>
          <w:rFonts w:ascii="Cambria" w:hAnsi="Cambria"/>
          <w:b/>
          <w:sz w:val="21"/>
          <w:szCs w:val="21"/>
        </w:rPr>
      </w:pPr>
    </w:p>
    <w:p w:rsidRPr="00F90D70" w:rsidR="00A43539" w:rsidP="00F90D70" w:rsidRDefault="00A43539"/>
    <w:sectPr w:rsidRPr="00F90D70" w:rsidR="00A43539" w:rsidSect="00195196">
      <w:headerReference w:type="even" r:id="rId8"/>
      <w:headerReference w:type="default" r:id="rId9"/>
      <w:footerReference w:type="even" r:id="rId10"/>
      <w:footerReference w:type="default" r:id="rId11"/>
      <w:headerReference w:type="first" r:id="rId12"/>
      <w:footerReference w:type="first" r:id="rId13"/>
      <w:pgSz w:w="11906" w:h="16838"/>
      <w:pgMar w:top="2694" w:right="2125" w:bottom="1418" w:left="1474" w:header="142"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518" w:rsidRDefault="009D7518" w:rsidP="000A2A03">
      <w:pPr>
        <w:spacing w:line="240" w:lineRule="auto"/>
      </w:pPr>
      <w:r>
        <w:separator/>
      </w:r>
    </w:p>
  </w:endnote>
  <w:endnote w:type="continuationSeparator" w:id="0">
    <w:p w:rsidR="009D7518" w:rsidRDefault="009D7518" w:rsidP="000A2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71B" w:rsidRDefault="00D257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31493"/>
      <w:docPartObj>
        <w:docPartGallery w:val="Page Numbers (Bottom of Page)"/>
        <w:docPartUnique/>
      </w:docPartObj>
    </w:sdtPr>
    <w:sdtEndPr/>
    <w:sdtContent>
      <w:p w:rsidR="00195196" w:rsidRDefault="00195196">
        <w:pPr>
          <w:pStyle w:val="Voettekst"/>
          <w:jc w:val="center"/>
        </w:pPr>
        <w:r>
          <w:fldChar w:fldCharType="begin"/>
        </w:r>
        <w:r>
          <w:instrText>PAGE   \* MERGEFORMAT</w:instrText>
        </w:r>
        <w:r>
          <w:fldChar w:fldCharType="separate"/>
        </w:r>
        <w:r w:rsidR="0007395F">
          <w:rPr>
            <w:noProof/>
          </w:rPr>
          <w:t>4</w:t>
        </w:r>
        <w:r>
          <w:fldChar w:fldCharType="end"/>
        </w:r>
      </w:p>
    </w:sdtContent>
  </w:sdt>
  <w:p w:rsidR="00195196" w:rsidRDefault="001951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71B" w:rsidRDefault="00D257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518" w:rsidRDefault="009D7518" w:rsidP="000A2A03">
      <w:pPr>
        <w:spacing w:line="240" w:lineRule="auto"/>
      </w:pPr>
      <w:r>
        <w:separator/>
      </w:r>
    </w:p>
  </w:footnote>
  <w:footnote w:type="continuationSeparator" w:id="0">
    <w:p w:rsidR="009D7518" w:rsidRDefault="009D7518" w:rsidP="000A2A03">
      <w:pPr>
        <w:spacing w:line="240" w:lineRule="auto"/>
      </w:pPr>
      <w:r>
        <w:continuationSeparator/>
      </w:r>
    </w:p>
  </w:footnote>
  <w:footnote w:id="1">
    <w:p w:rsidR="00515D5D" w:rsidRDefault="00515D5D">
      <w:pPr>
        <w:pStyle w:val="Voetnoottekst"/>
      </w:pPr>
      <w:r>
        <w:rPr>
          <w:rStyle w:val="Voetnootmarkering"/>
        </w:rPr>
        <w:footnoteRef/>
      </w:r>
      <w:r>
        <w:t xml:space="preserve"> Het </w:t>
      </w:r>
      <w:r w:rsidR="009C336B">
        <w:t xml:space="preserve">negatieve </w:t>
      </w:r>
      <w:r>
        <w:t xml:space="preserve">effect op solvabiliteitsratio’s en dekkingsgraden </w:t>
      </w:r>
      <w:r w:rsidR="009B3518">
        <w:t xml:space="preserve">in deze scenario’s </w:t>
      </w:r>
      <w:r w:rsidR="009C336B">
        <w:t>wordt deels gecompenseerd door een daling van de marktwaarde van de verplichtingen</w:t>
      </w:r>
      <w:r w:rsidR="009B3518">
        <w:t xml:space="preserve"> vanwege stijgende rentes</w:t>
      </w:r>
      <w:r w:rsidR="009C336B">
        <w:t>.</w:t>
      </w:r>
    </w:p>
  </w:footnote>
  <w:footnote w:id="2">
    <w:p w:rsidR="00687C8D" w:rsidRDefault="00687C8D" w:rsidP="00687C8D">
      <w:pPr>
        <w:pStyle w:val="Voetnoottekst"/>
      </w:pPr>
      <w:r>
        <w:rPr>
          <w:rStyle w:val="Voetnootmarkering"/>
        </w:rPr>
        <w:footnoteRef/>
      </w:r>
      <w:r>
        <w:t xml:space="preserve"> </w:t>
      </w:r>
      <w:hyperlink r:id="rId1" w:history="1">
        <w:r>
          <w:rPr>
            <w:rStyle w:val="Hyperlink"/>
          </w:rPr>
          <w:t>https://www.afm.nl/nl-nl/nieuws/2019/apr/alternatieve-benchmarks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71B" w:rsidRDefault="00D257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2E" w:rsidRDefault="00363C16">
    <w:pPr>
      <w:pStyle w:val="Koptekst"/>
    </w:pPr>
    <w:r>
      <w:rPr>
        <w:b/>
        <w:noProof/>
        <w:lang w:eastAsia="nl-NL"/>
      </w:rPr>
      <mc:AlternateContent>
        <mc:Choice Requires="wps">
          <w:drawing>
            <wp:anchor distT="0" distB="0" distL="114300" distR="114300" simplePos="0" relativeHeight="251661312" behindDoc="1" locked="0" layoutInCell="1" allowOverlap="1" wp14:anchorId="2C1752D8" wp14:editId="15D20036">
              <wp:simplePos x="0" y="0"/>
              <wp:positionH relativeFrom="page">
                <wp:posOffset>929005</wp:posOffset>
              </wp:positionH>
              <wp:positionV relativeFrom="page">
                <wp:posOffset>360045</wp:posOffset>
              </wp:positionV>
              <wp:extent cx="3532680" cy="97920"/>
              <wp:effectExtent l="0" t="0" r="10795" b="0"/>
              <wp:wrapNone/>
              <wp:docPr id="1" name="Tekstvak 1"/>
              <wp:cNvGraphicFramePr/>
              <a:graphic xmlns:a="http://schemas.openxmlformats.org/drawingml/2006/main">
                <a:graphicData uri="http://schemas.microsoft.com/office/word/2010/wordprocessingShape">
                  <wps:wsp>
                    <wps:cNvSpPr txBox="1"/>
                    <wps:spPr>
                      <a:xfrm>
                        <a:off x="0" y="0"/>
                        <a:ext cx="3532680" cy="97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3C16" w:rsidRPr="00F424B5" w:rsidRDefault="0007395F" w:rsidP="00363C16">
                          <w:pPr>
                            <w:pStyle w:val="DNBmarking"/>
                          </w:pPr>
                          <w:r>
                            <w:fldChar w:fldCharType="begin"/>
                          </w:r>
                          <w:r>
                            <w:instrText xml:space="preserve"> DOCPROPERTY  dnb_marking  \* MERGEFORMAT </w:instrText>
                          </w:r>
                          <w:r>
                            <w:fldChar w:fldCharType="separate"/>
                          </w:r>
                          <w:r>
                            <w:t xml:space="preserve"> </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752D8" id="_x0000_t202" coordsize="21600,21600" o:spt="202" path="m,l,21600r21600,l21600,xe">
              <v:stroke joinstyle="miter"/>
              <v:path gradientshapeok="t" o:connecttype="rect"/>
            </v:shapetype>
            <v:shape id="Tekstvak 1" o:spid="_x0000_s1026" type="#_x0000_t202" style="position:absolute;margin-left:73.15pt;margin-top:28.35pt;width:278.15pt;height:7.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zbdAIAAFEFAAAOAAAAZHJzL2Uyb0RvYy54bWysVN9P2zAQfp+0/8Hy+0hpBYOKFHUgpkkI&#10;0MrEs+vYNKrt8+xrk+6v39lJWtTthWkvzsX33a/v7nx13VrDtirEGlzJT09GnCknoarda8l/PN99&#10;uuAsonCVMOBUyXcq8uvZxw9XjZ+qMazAVCowcuLitPElXyH6aVFEuVJWxBPwypFSQ7AC6Te8FlUQ&#10;DXm3phiPRudFA6HyAaSKkW5vOyWfZf9aK4mPWkeFzJSccsN8hnwu01nMrsT0NQi/qmWfhviHLKyo&#10;HQXdu7oVKNgm1H+4srUMEEHjiQRbgNa1VLkGquZ0dFTNYiW8yrUQOdHvaYr/z6182D4FVlfUO86c&#10;sNSiZ7WOuBVrdprYaXycEmjhCYbtF2gTsr+PdJmKbnWw6UvlMNITz7s9t6pFJulycjYZn1+QSpLu&#10;8vPlOHNfHIx9iPhVgWVJKHmg1mVGxfY+IgUk6ABJsRzc1cbk9hnHmpKfT85G2WCvIQvjElblQejd&#10;pIK6xLOEO6MSxrjvShMROf90kUdQ3ZjAtoKGR0ipHObSs19CJ5SmJN5j2OMPWb3HuKtjiAwO98a2&#10;dhBy9UdpV+shZd3hicg3dScR22XbN3QJ1Y76HKDbk+jlXU3duBcRn0SgxaD+0bLjIx3aALEOvcTZ&#10;CsKvv90nPM0raTlraNFKHn9uRFCcmW+OJjlt5SCEQVgOgtvYGyD6aTopmyySQUAziDqAfaE3YJ6i&#10;kEo4SbFKjoN4g9260xsi1XyeQbR7XuC9W3iZXKdupNl6bl9E8P0AIk3uAwwrKKZHc9hhk6WD+QZB&#10;13lIE6Ediz3RtLd5dvs3Jj0Mb/8z6vASzn4DAAD//wMAUEsDBBQABgAIAAAAIQB5z+Pi3gAAAAkB&#10;AAAPAAAAZHJzL2Rvd25yZXYueG1sTI/LTsQwDEX3SPxDZCR2TNICHVSajhCPHQwwgAS7tDFtRR5V&#10;knbK32NWsPOVj66Pq81iDZsxxME7CdlKAEPXej24TsLry93JBbCYlNPKeIcSvjHCpj48qFSp/d49&#10;47xLHaMSF0sloU9pLDmPbY9WxZUf0dHu0werEsXQcR3Unsqt4bkQBbdqcHShVyNe99h+7SYrwbzH&#10;cN+I9DHfdA/p6ZFPb7fZVsrjo+XqEljCJf3B8KtP6lCTU+MnpyMzlM+KU0IlnBdrYASsRV4Aa2jI&#10;M+B1xf9/UP8AAAD//wMAUEsBAi0AFAAGAAgAAAAhALaDOJL+AAAA4QEAABMAAAAAAAAAAAAAAAAA&#10;AAAAAFtDb250ZW50X1R5cGVzXS54bWxQSwECLQAUAAYACAAAACEAOP0h/9YAAACUAQAACwAAAAAA&#10;AAAAAAAAAAAvAQAAX3JlbHMvLnJlbHNQSwECLQAUAAYACAAAACEA4JqM23QCAABRBQAADgAAAAAA&#10;AAAAAAAAAAAuAgAAZHJzL2Uyb0RvYy54bWxQSwECLQAUAAYACAAAACEAec/j4t4AAAAJAQAADwAA&#10;AAAAAAAAAAAAAADOBAAAZHJzL2Rvd25yZXYueG1sUEsFBgAAAAAEAAQA8wAAANkFAAAAAA==&#10;" filled="f" stroked="f" strokeweight=".5pt">
              <v:textbox inset="0,0,0,0">
                <w:txbxContent>
                  <w:p w:rsidR="00363C16" w:rsidRPr="00F424B5" w:rsidRDefault="0007395F" w:rsidP="00363C16">
                    <w:pPr>
                      <w:pStyle w:val="DNBmarking"/>
                    </w:pPr>
                    <w:r>
                      <w:fldChar w:fldCharType="begin"/>
                    </w:r>
                    <w:r>
                      <w:instrText xml:space="preserve"> DOCPROPERTY  dnb_marking  \* MERGEFORMAT </w:instrText>
                    </w:r>
                    <w:r>
                      <w:fldChar w:fldCharType="separate"/>
                    </w:r>
                    <w:r>
                      <w:t xml:space="preserve"> </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71B" w:rsidRDefault="00D2571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543035B"/>
    <w:multiLevelType w:val="multilevel"/>
    <w:tmpl w:val="EB4E9C68"/>
    <w:lvl w:ilvl="0">
      <w:start w:val="1"/>
      <w:numFmt w:val="decimal"/>
      <w:pStyle w:val="Kop1"/>
      <w:lvlText w:val="%1."/>
      <w:lvlJc w:val="left"/>
      <w:pPr>
        <w:ind w:left="227" w:hanging="227"/>
      </w:pPr>
      <w:rPr>
        <w:rFonts w:hint="default"/>
      </w:rPr>
    </w:lvl>
    <w:lvl w:ilvl="1">
      <w:start w:val="1"/>
      <w:numFmt w:val="decimal"/>
      <w:pStyle w:val="Kop2"/>
      <w:lvlText w:val="%1.%2"/>
      <w:lvlJc w:val="left"/>
      <w:pPr>
        <w:ind w:left="227" w:hanging="227"/>
      </w:pPr>
      <w:rPr>
        <w:rFonts w:hint="default"/>
      </w:rPr>
    </w:lvl>
    <w:lvl w:ilvl="2">
      <w:start w:val="1"/>
      <w:numFmt w:val="decimal"/>
      <w:pStyle w:val="Kop3"/>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D0"/>
    <w:rsid w:val="00061F25"/>
    <w:rsid w:val="00064BD2"/>
    <w:rsid w:val="00072501"/>
    <w:rsid w:val="0007395F"/>
    <w:rsid w:val="000A2A03"/>
    <w:rsid w:val="000D36F9"/>
    <w:rsid w:val="000E543C"/>
    <w:rsid w:val="00102AE8"/>
    <w:rsid w:val="00104770"/>
    <w:rsid w:val="00120A10"/>
    <w:rsid w:val="00136DAB"/>
    <w:rsid w:val="00175065"/>
    <w:rsid w:val="00186CB5"/>
    <w:rsid w:val="00195196"/>
    <w:rsid w:val="001B1340"/>
    <w:rsid w:val="001B6FB1"/>
    <w:rsid w:val="001F16A5"/>
    <w:rsid w:val="00215B8E"/>
    <w:rsid w:val="002349F0"/>
    <w:rsid w:val="00275227"/>
    <w:rsid w:val="00276CD5"/>
    <w:rsid w:val="00282E10"/>
    <w:rsid w:val="0028552B"/>
    <w:rsid w:val="002A1B56"/>
    <w:rsid w:val="003252FB"/>
    <w:rsid w:val="00363C16"/>
    <w:rsid w:val="003661A5"/>
    <w:rsid w:val="003975B3"/>
    <w:rsid w:val="003E7C8C"/>
    <w:rsid w:val="003F1943"/>
    <w:rsid w:val="003F6E85"/>
    <w:rsid w:val="0040001A"/>
    <w:rsid w:val="00416450"/>
    <w:rsid w:val="00453D32"/>
    <w:rsid w:val="00464ABD"/>
    <w:rsid w:val="00490378"/>
    <w:rsid w:val="004E4835"/>
    <w:rsid w:val="004F785D"/>
    <w:rsid w:val="0051444B"/>
    <w:rsid w:val="00515D5D"/>
    <w:rsid w:val="005344C7"/>
    <w:rsid w:val="00535054"/>
    <w:rsid w:val="00537346"/>
    <w:rsid w:val="00544C12"/>
    <w:rsid w:val="00545C11"/>
    <w:rsid w:val="005529CE"/>
    <w:rsid w:val="00555924"/>
    <w:rsid w:val="00556BF1"/>
    <w:rsid w:val="005A4644"/>
    <w:rsid w:val="005C0F2E"/>
    <w:rsid w:val="00624786"/>
    <w:rsid w:val="00625831"/>
    <w:rsid w:val="006348FE"/>
    <w:rsid w:val="00646BAC"/>
    <w:rsid w:val="006511CB"/>
    <w:rsid w:val="00667861"/>
    <w:rsid w:val="00687C8D"/>
    <w:rsid w:val="00690172"/>
    <w:rsid w:val="006A52F0"/>
    <w:rsid w:val="006B6674"/>
    <w:rsid w:val="006D7813"/>
    <w:rsid w:val="006E79DD"/>
    <w:rsid w:val="00722D3D"/>
    <w:rsid w:val="007513D3"/>
    <w:rsid w:val="00777F98"/>
    <w:rsid w:val="007A0EE1"/>
    <w:rsid w:val="007A6EE4"/>
    <w:rsid w:val="007B659D"/>
    <w:rsid w:val="007B7368"/>
    <w:rsid w:val="007C1B1E"/>
    <w:rsid w:val="007F2232"/>
    <w:rsid w:val="00825B29"/>
    <w:rsid w:val="0091097E"/>
    <w:rsid w:val="00910AE8"/>
    <w:rsid w:val="009147BF"/>
    <w:rsid w:val="0094396C"/>
    <w:rsid w:val="00951A6B"/>
    <w:rsid w:val="009654B8"/>
    <w:rsid w:val="0098402E"/>
    <w:rsid w:val="009B3518"/>
    <w:rsid w:val="009B45A6"/>
    <w:rsid w:val="009B5D9A"/>
    <w:rsid w:val="009C336B"/>
    <w:rsid w:val="009D7518"/>
    <w:rsid w:val="009E3D1F"/>
    <w:rsid w:val="00A14848"/>
    <w:rsid w:val="00A22E68"/>
    <w:rsid w:val="00A31510"/>
    <w:rsid w:val="00A43539"/>
    <w:rsid w:val="00A72B58"/>
    <w:rsid w:val="00A76BFC"/>
    <w:rsid w:val="00AA46A0"/>
    <w:rsid w:val="00AE4836"/>
    <w:rsid w:val="00AF2AD0"/>
    <w:rsid w:val="00B224FD"/>
    <w:rsid w:val="00B5371D"/>
    <w:rsid w:val="00BA1B9C"/>
    <w:rsid w:val="00BC2B9F"/>
    <w:rsid w:val="00BD4C04"/>
    <w:rsid w:val="00BE5488"/>
    <w:rsid w:val="00C071BA"/>
    <w:rsid w:val="00C27A00"/>
    <w:rsid w:val="00C31C05"/>
    <w:rsid w:val="00C357F6"/>
    <w:rsid w:val="00C705A5"/>
    <w:rsid w:val="00C82654"/>
    <w:rsid w:val="00C93A75"/>
    <w:rsid w:val="00CA45F8"/>
    <w:rsid w:val="00D2571B"/>
    <w:rsid w:val="00D27A58"/>
    <w:rsid w:val="00D448F8"/>
    <w:rsid w:val="00D72413"/>
    <w:rsid w:val="00DA4C6A"/>
    <w:rsid w:val="00DA4E17"/>
    <w:rsid w:val="00DF0900"/>
    <w:rsid w:val="00DF169D"/>
    <w:rsid w:val="00E05E36"/>
    <w:rsid w:val="00E1032C"/>
    <w:rsid w:val="00E45679"/>
    <w:rsid w:val="00E7266F"/>
    <w:rsid w:val="00E81517"/>
    <w:rsid w:val="00EA7370"/>
    <w:rsid w:val="00ED1905"/>
    <w:rsid w:val="00EE119D"/>
    <w:rsid w:val="00EE238F"/>
    <w:rsid w:val="00F17945"/>
    <w:rsid w:val="00F6785E"/>
    <w:rsid w:val="00F73F09"/>
    <w:rsid w:val="00F90D70"/>
    <w:rsid w:val="00F96883"/>
    <w:rsid w:val="00FC27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2A4CEF0-AF67-4FA2-ADE7-D188E81C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7"/>
        <w:szCs w:val="17"/>
        <w:lang w:val="nl-NL" w:eastAsia="en-US" w:bidi="ar-SA"/>
      </w:rPr>
    </w:rPrDefault>
    <w:pPrDefault>
      <w:pPr>
        <w:spacing w:after="160" w:line="227"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F2AD0"/>
    <w:pPr>
      <w:spacing w:after="0"/>
    </w:pPr>
  </w:style>
  <w:style w:type="paragraph" w:styleId="Kop1">
    <w:name w:val="heading 1"/>
    <w:basedOn w:val="Standaard"/>
    <w:next w:val="Standaard"/>
    <w:link w:val="Kop1Char"/>
    <w:uiPriority w:val="1"/>
    <w:qFormat/>
    <w:rsid w:val="0028552B"/>
    <w:pPr>
      <w:keepNext/>
      <w:keepLines/>
      <w:numPr>
        <w:numId w:val="2"/>
      </w:numPr>
      <w:spacing w:before="227"/>
      <w:ind w:left="680" w:hanging="680"/>
      <w:outlineLvl w:val="0"/>
    </w:pPr>
    <w:rPr>
      <w:rFonts w:eastAsiaTheme="majorEastAsia" w:cstheme="majorBidi"/>
      <w:b/>
      <w:sz w:val="22"/>
      <w:szCs w:val="32"/>
    </w:rPr>
  </w:style>
  <w:style w:type="paragraph" w:styleId="Kop2">
    <w:name w:val="heading 2"/>
    <w:basedOn w:val="Standaard"/>
    <w:next w:val="Standaard"/>
    <w:link w:val="Kop2Char"/>
    <w:uiPriority w:val="1"/>
    <w:unhideWhenUsed/>
    <w:qFormat/>
    <w:rsid w:val="0028552B"/>
    <w:pPr>
      <w:keepNext/>
      <w:keepLines/>
      <w:numPr>
        <w:ilvl w:val="1"/>
        <w:numId w:val="2"/>
      </w:numPr>
      <w:spacing w:before="227"/>
      <w:ind w:left="680" w:hanging="680"/>
      <w:outlineLvl w:val="1"/>
    </w:pPr>
    <w:rPr>
      <w:rFonts w:eastAsiaTheme="majorEastAsia" w:cstheme="majorBidi"/>
      <w:b/>
      <w:szCs w:val="26"/>
    </w:rPr>
  </w:style>
  <w:style w:type="paragraph" w:styleId="Kop3">
    <w:name w:val="heading 3"/>
    <w:basedOn w:val="Standaard"/>
    <w:next w:val="Standaard"/>
    <w:link w:val="Kop3Char"/>
    <w:uiPriority w:val="1"/>
    <w:unhideWhenUsed/>
    <w:qFormat/>
    <w:rsid w:val="001B6FB1"/>
    <w:pPr>
      <w:keepNext/>
      <w:keepLines/>
      <w:numPr>
        <w:ilvl w:val="2"/>
        <w:numId w:val="2"/>
      </w:numPr>
      <w:spacing w:before="227"/>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B5D9A"/>
    <w:pPr>
      <w:tabs>
        <w:tab w:val="center" w:pos="4536"/>
        <w:tab w:val="right" w:pos="9072"/>
      </w:tabs>
    </w:pPr>
  </w:style>
  <w:style w:type="character" w:customStyle="1" w:styleId="KoptekstChar">
    <w:name w:val="Koptekst Char"/>
    <w:basedOn w:val="Standaardalinea-lettertype"/>
    <w:link w:val="Koptekst"/>
    <w:uiPriority w:val="99"/>
    <w:rsid w:val="009B5D9A"/>
    <w:rPr>
      <w:rFonts w:ascii="Verdana" w:hAnsi="Verdana"/>
      <w:sz w:val="17"/>
    </w:rPr>
  </w:style>
  <w:style w:type="paragraph" w:styleId="Voettekst">
    <w:name w:val="footer"/>
    <w:basedOn w:val="Standaard"/>
    <w:link w:val="VoettekstChar"/>
    <w:uiPriority w:val="99"/>
    <w:unhideWhenUsed/>
    <w:rsid w:val="000A2A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A2A03"/>
    <w:rPr>
      <w:rFonts w:ascii="Verdana" w:hAnsi="Verdana"/>
      <w:sz w:val="17"/>
    </w:rPr>
  </w:style>
  <w:style w:type="paragraph" w:customStyle="1" w:styleId="Alineakop">
    <w:name w:val="Alineakop"/>
    <w:basedOn w:val="Standaard"/>
    <w:next w:val="Standaard"/>
    <w:link w:val="AlineakopChar"/>
    <w:uiPriority w:val="1"/>
    <w:qFormat/>
    <w:rsid w:val="00777F98"/>
    <w:rPr>
      <w:b/>
      <w:noProof/>
      <w:lang w:eastAsia="nl-NL"/>
    </w:rPr>
  </w:style>
  <w:style w:type="paragraph" w:customStyle="1" w:styleId="Opsomming1eniveau">
    <w:name w:val="Opsomming 1e niveau"/>
    <w:basedOn w:val="Standaard"/>
    <w:uiPriority w:val="1"/>
    <w:qFormat/>
    <w:rsid w:val="00490378"/>
    <w:pPr>
      <w:numPr>
        <w:numId w:val="1"/>
      </w:numPr>
    </w:pPr>
    <w:rPr>
      <w:noProof/>
      <w:lang w:eastAsia="nl-NL"/>
    </w:rPr>
  </w:style>
  <w:style w:type="character" w:customStyle="1" w:styleId="AlineakopChar">
    <w:name w:val="Alineakop Char"/>
    <w:basedOn w:val="Standaardalinea-lettertype"/>
    <w:link w:val="Alineakop"/>
    <w:uiPriority w:val="1"/>
    <w:rsid w:val="00E81517"/>
    <w:rPr>
      <w:rFonts w:ascii="Verdana" w:hAnsi="Verdana"/>
      <w:b/>
      <w:noProof/>
      <w:sz w:val="17"/>
      <w:lang w:eastAsia="nl-NL"/>
    </w:rPr>
  </w:style>
  <w:style w:type="paragraph" w:customStyle="1" w:styleId="Opsomming2eniveau">
    <w:name w:val="Opsomming 2e niveau"/>
    <w:basedOn w:val="Standaard"/>
    <w:uiPriority w:val="1"/>
    <w:qFormat/>
    <w:rsid w:val="00490378"/>
    <w:pPr>
      <w:numPr>
        <w:ilvl w:val="1"/>
        <w:numId w:val="1"/>
      </w:numPr>
    </w:pPr>
  </w:style>
  <w:style w:type="character" w:customStyle="1" w:styleId="Kop1Char">
    <w:name w:val="Kop 1 Char"/>
    <w:basedOn w:val="Standaardalinea-lettertype"/>
    <w:link w:val="Kop1"/>
    <w:uiPriority w:val="1"/>
    <w:rsid w:val="0028552B"/>
    <w:rPr>
      <w:rFonts w:ascii="Verdana" w:eastAsiaTheme="majorEastAsia" w:hAnsi="Verdana" w:cstheme="majorBidi"/>
      <w:b/>
      <w:szCs w:val="32"/>
    </w:rPr>
  </w:style>
  <w:style w:type="character" w:customStyle="1" w:styleId="Kop2Char">
    <w:name w:val="Kop 2 Char"/>
    <w:basedOn w:val="Standaardalinea-lettertype"/>
    <w:link w:val="Kop2"/>
    <w:uiPriority w:val="1"/>
    <w:rsid w:val="0028552B"/>
    <w:rPr>
      <w:rFonts w:ascii="Verdana" w:eastAsiaTheme="majorEastAsia" w:hAnsi="Verdana" w:cstheme="majorBidi"/>
      <w:b/>
      <w:sz w:val="17"/>
      <w:szCs w:val="26"/>
    </w:rPr>
  </w:style>
  <w:style w:type="paragraph" w:styleId="Titel">
    <w:name w:val="Title"/>
    <w:basedOn w:val="Standaard"/>
    <w:next w:val="Standaard"/>
    <w:link w:val="TitelChar"/>
    <w:uiPriority w:val="10"/>
    <w:semiHidden/>
    <w:rsid w:val="009147B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semiHidden/>
    <w:rsid w:val="00E815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semiHidden/>
    <w:rsid w:val="009147BF"/>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semiHidden/>
    <w:rsid w:val="00E81517"/>
    <w:rPr>
      <w:rFonts w:eastAsiaTheme="minorEastAsia"/>
      <w:color w:val="5A5A5A" w:themeColor="text1" w:themeTint="A5"/>
      <w:spacing w:val="15"/>
    </w:rPr>
  </w:style>
  <w:style w:type="character" w:styleId="Subtielebenadrukking">
    <w:name w:val="Subtle Emphasis"/>
    <w:basedOn w:val="Standaardalinea-lettertype"/>
    <w:uiPriority w:val="19"/>
    <w:semiHidden/>
    <w:rsid w:val="009147BF"/>
    <w:rPr>
      <w:i/>
      <w:iCs/>
      <w:color w:val="404040" w:themeColor="text1" w:themeTint="BF"/>
    </w:rPr>
  </w:style>
  <w:style w:type="character" w:styleId="Nadruk">
    <w:name w:val="Emphasis"/>
    <w:basedOn w:val="Standaardalinea-lettertype"/>
    <w:uiPriority w:val="20"/>
    <w:semiHidden/>
    <w:rsid w:val="009147BF"/>
    <w:rPr>
      <w:i/>
      <w:iCs/>
    </w:rPr>
  </w:style>
  <w:style w:type="character" w:styleId="Intensievebenadrukking">
    <w:name w:val="Intense Emphasis"/>
    <w:basedOn w:val="Standaardalinea-lettertype"/>
    <w:uiPriority w:val="21"/>
    <w:semiHidden/>
    <w:rsid w:val="009147BF"/>
    <w:rPr>
      <w:i/>
      <w:iCs/>
      <w:color w:val="5B9BD5" w:themeColor="accent1"/>
    </w:rPr>
  </w:style>
  <w:style w:type="character" w:styleId="Zwaar">
    <w:name w:val="Strong"/>
    <w:basedOn w:val="Standaardalinea-lettertype"/>
    <w:uiPriority w:val="22"/>
    <w:semiHidden/>
    <w:rsid w:val="009147BF"/>
    <w:rPr>
      <w:b/>
      <w:bCs/>
    </w:rPr>
  </w:style>
  <w:style w:type="paragraph" w:styleId="Citaat">
    <w:name w:val="Quote"/>
    <w:basedOn w:val="Standaard"/>
    <w:next w:val="Standaard"/>
    <w:link w:val="CitaatChar"/>
    <w:uiPriority w:val="29"/>
    <w:semiHidden/>
    <w:rsid w:val="009147BF"/>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E81517"/>
    <w:rPr>
      <w:rFonts w:ascii="Verdana" w:hAnsi="Verdana"/>
      <w:i/>
      <w:iCs/>
      <w:color w:val="404040" w:themeColor="text1" w:themeTint="BF"/>
      <w:sz w:val="17"/>
    </w:rPr>
  </w:style>
  <w:style w:type="paragraph" w:styleId="Duidelijkcitaat">
    <w:name w:val="Intense Quote"/>
    <w:basedOn w:val="Standaard"/>
    <w:next w:val="Standaard"/>
    <w:link w:val="DuidelijkcitaatChar"/>
    <w:uiPriority w:val="30"/>
    <w:semiHidden/>
    <w:rsid w:val="009147B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semiHidden/>
    <w:rsid w:val="00E81517"/>
    <w:rPr>
      <w:rFonts w:ascii="Verdana" w:hAnsi="Verdana"/>
      <w:i/>
      <w:iCs/>
      <w:color w:val="5B9BD5" w:themeColor="accent1"/>
      <w:sz w:val="17"/>
    </w:rPr>
  </w:style>
  <w:style w:type="character" w:styleId="Subtieleverwijzing">
    <w:name w:val="Subtle Reference"/>
    <w:basedOn w:val="Standaardalinea-lettertype"/>
    <w:uiPriority w:val="31"/>
    <w:semiHidden/>
    <w:rsid w:val="009147BF"/>
    <w:rPr>
      <w:smallCaps/>
      <w:color w:val="5A5A5A" w:themeColor="text1" w:themeTint="A5"/>
    </w:rPr>
  </w:style>
  <w:style w:type="character" w:styleId="Intensieveverwijzing">
    <w:name w:val="Intense Reference"/>
    <w:basedOn w:val="Standaardalinea-lettertype"/>
    <w:uiPriority w:val="32"/>
    <w:semiHidden/>
    <w:rsid w:val="009147BF"/>
    <w:rPr>
      <w:b/>
      <w:bCs/>
      <w:smallCaps/>
      <w:color w:val="5B9BD5" w:themeColor="accent1"/>
      <w:spacing w:val="5"/>
    </w:rPr>
  </w:style>
  <w:style w:type="character" w:styleId="Titelvanboek">
    <w:name w:val="Book Title"/>
    <w:basedOn w:val="Standaardalinea-lettertype"/>
    <w:uiPriority w:val="33"/>
    <w:semiHidden/>
    <w:rsid w:val="009147BF"/>
    <w:rPr>
      <w:b/>
      <w:bCs/>
      <w:i/>
      <w:iCs/>
      <w:spacing w:val="5"/>
    </w:rPr>
  </w:style>
  <w:style w:type="paragraph" w:styleId="Lijstalinea">
    <w:name w:val="List Paragraph"/>
    <w:basedOn w:val="Standaard"/>
    <w:uiPriority w:val="34"/>
    <w:semiHidden/>
    <w:rsid w:val="009147BF"/>
    <w:pPr>
      <w:ind w:left="720"/>
      <w:contextualSpacing/>
    </w:pPr>
  </w:style>
  <w:style w:type="paragraph" w:styleId="Geenafstand">
    <w:name w:val="No Spacing"/>
    <w:uiPriority w:val="1"/>
    <w:semiHidden/>
    <w:rsid w:val="004F785D"/>
    <w:pPr>
      <w:spacing w:after="0" w:line="240" w:lineRule="auto"/>
    </w:pPr>
  </w:style>
  <w:style w:type="character" w:customStyle="1" w:styleId="Kop3Char">
    <w:name w:val="Kop 3 Char"/>
    <w:basedOn w:val="Standaardalinea-lettertype"/>
    <w:link w:val="Kop3"/>
    <w:uiPriority w:val="1"/>
    <w:rsid w:val="001B6FB1"/>
    <w:rPr>
      <w:rFonts w:ascii="Verdana" w:eastAsiaTheme="majorEastAsia" w:hAnsi="Verdana" w:cstheme="majorBidi"/>
      <w:b/>
      <w:sz w:val="17"/>
      <w:szCs w:val="24"/>
    </w:rPr>
  </w:style>
  <w:style w:type="paragraph" w:styleId="Inhopg1">
    <w:name w:val="toc 1"/>
    <w:basedOn w:val="Standaard"/>
    <w:next w:val="Standaard"/>
    <w:autoRedefine/>
    <w:uiPriority w:val="39"/>
    <w:rsid w:val="00C071BA"/>
    <w:pPr>
      <w:tabs>
        <w:tab w:val="right" w:pos="7247"/>
      </w:tabs>
      <w:spacing w:before="227"/>
      <w:ind w:left="680" w:hanging="680"/>
    </w:pPr>
    <w:rPr>
      <w:b/>
      <w:sz w:val="22"/>
    </w:rPr>
  </w:style>
  <w:style w:type="paragraph" w:styleId="Inhopg2">
    <w:name w:val="toc 2"/>
    <w:basedOn w:val="Standaard"/>
    <w:next w:val="Standaard"/>
    <w:autoRedefine/>
    <w:uiPriority w:val="39"/>
    <w:rsid w:val="00276CD5"/>
    <w:pPr>
      <w:tabs>
        <w:tab w:val="right" w:pos="7247"/>
      </w:tabs>
      <w:ind w:left="680" w:hanging="680"/>
    </w:pPr>
  </w:style>
  <w:style w:type="paragraph" w:styleId="Inhopg3">
    <w:name w:val="toc 3"/>
    <w:basedOn w:val="Standaard"/>
    <w:next w:val="Standaard"/>
    <w:autoRedefine/>
    <w:uiPriority w:val="39"/>
    <w:rsid w:val="004E4835"/>
    <w:pPr>
      <w:tabs>
        <w:tab w:val="right" w:pos="7247"/>
      </w:tabs>
      <w:ind w:left="680" w:hanging="680"/>
    </w:pPr>
  </w:style>
  <w:style w:type="character" w:styleId="Hyperlink">
    <w:name w:val="Hyperlink"/>
    <w:basedOn w:val="Standaardalinea-lettertype"/>
    <w:uiPriority w:val="99"/>
    <w:unhideWhenUsed/>
    <w:rsid w:val="00C071BA"/>
    <w:rPr>
      <w:color w:val="0563C1" w:themeColor="hyperlink"/>
      <w:u w:val="single"/>
    </w:rPr>
  </w:style>
  <w:style w:type="table" w:styleId="Tabelraster">
    <w:name w:val="Table Grid"/>
    <w:basedOn w:val="Standaardtabel"/>
    <w:uiPriority w:val="39"/>
    <w:rsid w:val="00D2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rsid w:val="00A14848"/>
    <w:pPr>
      <w:spacing w:line="170" w:lineRule="atLeast"/>
    </w:pPr>
    <w:rPr>
      <w:sz w:val="14"/>
      <w:szCs w:val="20"/>
    </w:rPr>
  </w:style>
  <w:style w:type="character" w:customStyle="1" w:styleId="VoetnoottekstChar">
    <w:name w:val="Voetnoottekst Char"/>
    <w:basedOn w:val="Standaardalinea-lettertype"/>
    <w:link w:val="Voetnoottekst"/>
    <w:uiPriority w:val="99"/>
    <w:rsid w:val="00A14848"/>
    <w:rPr>
      <w:sz w:val="14"/>
      <w:szCs w:val="20"/>
    </w:rPr>
  </w:style>
  <w:style w:type="character" w:styleId="Voetnootmarkering">
    <w:name w:val="footnote reference"/>
    <w:basedOn w:val="Standaardalinea-lettertype"/>
    <w:uiPriority w:val="99"/>
    <w:semiHidden/>
    <w:unhideWhenUsed/>
    <w:rsid w:val="00E81517"/>
    <w:rPr>
      <w:vertAlign w:val="superscript"/>
    </w:rPr>
  </w:style>
  <w:style w:type="paragraph" w:customStyle="1" w:styleId="Toelichting">
    <w:name w:val="Toelichting"/>
    <w:basedOn w:val="Standaard"/>
    <w:next w:val="Standaard"/>
    <w:uiPriority w:val="1"/>
    <w:qFormat/>
    <w:rsid w:val="00A14848"/>
    <w:pPr>
      <w:spacing w:line="170" w:lineRule="atLeast"/>
    </w:pPr>
    <w:rPr>
      <w:sz w:val="14"/>
    </w:rPr>
  </w:style>
  <w:style w:type="paragraph" w:styleId="Ballontekst">
    <w:name w:val="Balloon Text"/>
    <w:basedOn w:val="Standaard"/>
    <w:link w:val="BallontekstChar"/>
    <w:uiPriority w:val="99"/>
    <w:semiHidden/>
    <w:unhideWhenUsed/>
    <w:rsid w:val="004E483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835"/>
    <w:rPr>
      <w:rFonts w:ascii="Tahoma" w:hAnsi="Tahoma" w:cs="Tahoma"/>
      <w:sz w:val="16"/>
      <w:szCs w:val="16"/>
    </w:rPr>
  </w:style>
  <w:style w:type="paragraph" w:customStyle="1" w:styleId="DNBmarking">
    <w:name w:val="DNBmarking"/>
    <w:basedOn w:val="Standaard"/>
    <w:qFormat/>
    <w:rsid w:val="00363C16"/>
    <w:pPr>
      <w:spacing w:line="240" w:lineRule="auto"/>
    </w:pPr>
    <w:rPr>
      <w:rFonts w:asciiTheme="minorHAnsi" w:hAnsiTheme="minorHAnsi"/>
      <w:color w:val="ADADAD"/>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718127">
      <w:bodyDiv w:val="1"/>
      <w:marLeft w:val="0"/>
      <w:marRight w:val="0"/>
      <w:marTop w:val="0"/>
      <w:marBottom w:val="0"/>
      <w:divBdr>
        <w:top w:val="none" w:sz="0" w:space="0" w:color="auto"/>
        <w:left w:val="none" w:sz="0" w:space="0" w:color="auto"/>
        <w:bottom w:val="none" w:sz="0" w:space="0" w:color="auto"/>
        <w:right w:val="none" w:sz="0" w:space="0" w:color="auto"/>
      </w:divBdr>
    </w:div>
    <w:div w:id="126723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afm.nl/nl-nl/nieuws/2019/apr/alternatieve-benchmark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1314</ap:Words>
  <ap:Characters>7231</ap:Characters>
  <ap:DocSecurity>0</ap:DocSecurity>
  <ap:Lines>60</ap:Lines>
  <ap:Paragraphs>17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2019-05-22T13:17:00.0000000Z</lastPrinted>
  <dcterms:created xsi:type="dcterms:W3CDTF">2019-05-22T13:06:00.0000000Z</dcterms:created>
  <dcterms:modified xsi:type="dcterms:W3CDTF">2019-05-22T13:17:00.0000000Z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nb_marking">
    <vt:lpwstr> </vt:lpwstr>
  </property>
  <property fmtid="{D5CDD505-2E9C-101B-9397-08002B2CF9AE}" pid="3" name="ContentTypeId">
    <vt:lpwstr>0x010100B0ADCDE60BD28A4EAC2B88343A89C0DB</vt:lpwstr>
  </property>
</Properties>
</file>