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7F4B" w:rsidR="008775C9" w:rsidP="008775C9" w:rsidRDefault="008775C9">
      <w:pPr>
        <w:rPr>
          <w:rFonts w:ascii="Verdana" w:hAnsi="Verdana"/>
          <w:b/>
          <w:szCs w:val="22"/>
        </w:rPr>
      </w:pPr>
      <w:r w:rsidRPr="001D7F4B">
        <w:rPr>
          <w:rFonts w:ascii="Verdana" w:hAnsi="Verdana"/>
          <w:b/>
          <w:sz w:val="22"/>
          <w:szCs w:val="22"/>
        </w:rPr>
        <w:t>Vaste commissie voor Justitie en Veiligheid</w:t>
      </w:r>
      <w:r w:rsidRPr="001D7F4B">
        <w:rPr>
          <w:rFonts w:ascii="Verdana" w:hAnsi="Verdana"/>
          <w:b/>
          <w:sz w:val="22"/>
          <w:szCs w:val="22"/>
        </w:rPr>
        <w:br/>
      </w:r>
      <w:r w:rsidRPr="001D7F4B">
        <w:rPr>
          <w:rFonts w:ascii="Verdana" w:hAnsi="Verdana"/>
          <w:b/>
          <w:sz w:val="20"/>
          <w:szCs w:val="22"/>
        </w:rPr>
        <w:t>Overzicht nieuw gepubliceerde EU-voorstellen</w:t>
      </w:r>
    </w:p>
    <w:p w:rsidRPr="001D7F4B" w:rsidR="008775C9" w:rsidP="008775C9" w:rsidRDefault="008775C9">
      <w:pPr>
        <w:rPr>
          <w:rFonts w:ascii="Verdana" w:hAnsi="Verdana"/>
          <w:sz w:val="20"/>
          <w:szCs w:val="22"/>
        </w:rPr>
      </w:pPr>
      <w:r w:rsidRPr="001D7F4B">
        <w:rPr>
          <w:rFonts w:ascii="Verdana" w:hAnsi="Verdana"/>
          <w:sz w:val="20"/>
          <w:szCs w:val="22"/>
        </w:rPr>
        <w:t xml:space="preserve">Datum: </w:t>
      </w:r>
      <w:r w:rsidR="00183FB5">
        <w:rPr>
          <w:rFonts w:ascii="Verdana" w:hAnsi="Verdana"/>
          <w:sz w:val="20"/>
          <w:szCs w:val="22"/>
        </w:rPr>
        <w:t>18-04</w:t>
      </w:r>
      <w:r w:rsidRPr="001D7F4B" w:rsidR="00FA790A">
        <w:rPr>
          <w:rFonts w:ascii="Verdana" w:hAnsi="Verdana"/>
          <w:sz w:val="20"/>
          <w:szCs w:val="22"/>
        </w:rPr>
        <w:t>-2019</w:t>
      </w:r>
    </w:p>
    <w:p w:rsidRPr="001D7F4B" w:rsidR="008775C9" w:rsidP="008775C9" w:rsidRDefault="008775C9">
      <w:pPr>
        <w:rPr>
          <w:rFonts w:ascii="Verdana" w:hAnsi="Verdana"/>
          <w:sz w:val="20"/>
          <w:szCs w:val="22"/>
        </w:rPr>
      </w:pPr>
    </w:p>
    <w:p w:rsidRPr="001D7F4B" w:rsidR="008775C9" w:rsidP="008775C9" w:rsidRDefault="008775C9">
      <w:pPr>
        <w:rPr>
          <w:rFonts w:ascii="Verdana" w:hAnsi="Verdana"/>
          <w:b/>
          <w:sz w:val="20"/>
          <w:szCs w:val="22"/>
          <w:u w:val="single"/>
        </w:rPr>
      </w:pPr>
      <w:r w:rsidRPr="001D7F4B">
        <w:rPr>
          <w:rFonts w:ascii="Verdana" w:hAnsi="Verdana"/>
          <w:b/>
          <w:sz w:val="20"/>
          <w:szCs w:val="22"/>
          <w:u w:val="single"/>
        </w:rPr>
        <w:t xml:space="preserve">Voorstellen verschenen in de periode </w:t>
      </w:r>
      <w:r w:rsidRPr="001D7F4B" w:rsidR="00A24C1E">
        <w:rPr>
          <w:rFonts w:ascii="Verdana" w:hAnsi="Verdana"/>
          <w:b/>
          <w:sz w:val="20"/>
          <w:szCs w:val="22"/>
          <w:u w:val="single"/>
        </w:rPr>
        <w:t xml:space="preserve">t/m </w:t>
      </w:r>
      <w:r w:rsidR="00352B37">
        <w:rPr>
          <w:rFonts w:ascii="Verdana" w:hAnsi="Verdana"/>
          <w:b/>
          <w:sz w:val="20"/>
          <w:szCs w:val="22"/>
          <w:u w:val="single"/>
        </w:rPr>
        <w:t>16 mei</w:t>
      </w:r>
      <w:r w:rsidRPr="001D7F4B" w:rsidR="00FA790A">
        <w:rPr>
          <w:rFonts w:ascii="Verdana" w:hAnsi="Verdana"/>
          <w:b/>
          <w:sz w:val="20"/>
          <w:szCs w:val="22"/>
          <w:u w:val="single"/>
        </w:rPr>
        <w:t xml:space="preserve"> 2019</w:t>
      </w:r>
    </w:p>
    <w:p w:rsidRPr="001D7F4B" w:rsidR="008775C9" w:rsidP="008775C9" w:rsidRDefault="008775C9">
      <w:pPr>
        <w:rPr>
          <w:rFonts w:ascii="Verdana" w:hAnsi="Verdana"/>
          <w:b/>
          <w:sz w:val="22"/>
          <w:szCs w:val="22"/>
          <w:u w:val="single"/>
        </w:rPr>
      </w:pPr>
    </w:p>
    <w:p w:rsidRPr="001D7F4B" w:rsidR="008775C9" w:rsidP="008775C9" w:rsidRDefault="008775C9">
      <w:pPr>
        <w:rPr>
          <w:rFonts w:ascii="Verdana" w:hAnsi="Verdana"/>
          <w:sz w:val="18"/>
          <w:szCs w:val="18"/>
        </w:rPr>
      </w:pPr>
      <w:r w:rsidRPr="001D7F4B">
        <w:rPr>
          <w:rFonts w:ascii="Verdana" w:hAnsi="Verdana"/>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D7F4B" w:rsidR="00032E74">
        <w:rPr>
          <w:rFonts w:ascii="Verdana" w:hAnsi="Verdana"/>
          <w:sz w:val="18"/>
          <w:szCs w:val="18"/>
        </w:rPr>
        <w:t>plegingen op het terrein van J&amp;V</w:t>
      </w:r>
      <w:r w:rsidRPr="001D7F4B">
        <w:rPr>
          <w:rFonts w:ascii="Verdana" w:hAnsi="Verdana"/>
          <w:sz w:val="18"/>
          <w:szCs w:val="18"/>
        </w:rPr>
        <w:t xml:space="preserve"> die sinds de vorige procedurevergadering zijn verschenen. Dit geldt ook voor voorstellen voor (</w:t>
      </w:r>
      <w:proofErr w:type="spellStart"/>
      <w:r w:rsidRPr="001D7F4B">
        <w:rPr>
          <w:rFonts w:ascii="Verdana" w:hAnsi="Verdana"/>
          <w:sz w:val="18"/>
          <w:szCs w:val="18"/>
        </w:rPr>
        <w:t>Raads</w:t>
      </w:r>
      <w:proofErr w:type="spellEnd"/>
      <w:r w:rsidRPr="001D7F4B">
        <w:rPr>
          <w:rFonts w:ascii="Verdana" w:hAnsi="Verdana"/>
          <w:sz w:val="18"/>
          <w:szCs w:val="18"/>
        </w:rPr>
        <w:t>)besluiten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D7F4B" w:rsidR="008775C9" w:rsidP="008775C9" w:rsidRDefault="008775C9">
      <w:pPr>
        <w:ind w:firstLine="708"/>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D7F4B" w:rsidR="001635FC" w:rsidP="008775C9" w:rsidRDefault="001635FC">
      <w:pPr>
        <w:rPr>
          <w:rFonts w:ascii="Verdana" w:hAnsi="Verdana"/>
          <w:sz w:val="18"/>
          <w:szCs w:val="18"/>
        </w:rPr>
      </w:pPr>
    </w:p>
    <w:p w:rsidRPr="001D7F4B" w:rsidR="008775C9" w:rsidP="008775C9" w:rsidRDefault="008775C9">
      <w:pPr>
        <w:rPr>
          <w:rFonts w:ascii="Verdana" w:hAnsi="Verdana"/>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33"/>
        <w:gridCol w:w="5403"/>
      </w:tblGrid>
      <w:tr w:rsidRPr="001D7F4B" w:rsidR="001D7F4B" w:rsidTr="00523331">
        <w:trPr>
          <w:trHeight w:val="1118"/>
        </w:trPr>
        <w:tc>
          <w:tcPr>
            <w:tcW w:w="435" w:type="dxa"/>
            <w:textDirection w:val="btLr"/>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Nummer</w:t>
            </w:r>
          </w:p>
        </w:tc>
        <w:tc>
          <w:tcPr>
            <w:tcW w:w="1279"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Publicatie-</w:t>
            </w: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datum</w:t>
            </w:r>
          </w:p>
        </w:tc>
        <w:tc>
          <w:tcPr>
            <w:tcW w:w="1468"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Soort</w:t>
            </w:r>
          </w:p>
        </w:tc>
        <w:tc>
          <w:tcPr>
            <w:tcW w:w="3685"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Titel</w:t>
            </w:r>
          </w:p>
        </w:tc>
        <w:tc>
          <w:tcPr>
            <w:tcW w:w="1654"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COM-nummer</w:t>
            </w:r>
          </w:p>
        </w:tc>
        <w:tc>
          <w:tcPr>
            <w:tcW w:w="833" w:type="dxa"/>
            <w:textDirection w:val="btLr"/>
          </w:tcPr>
          <w:p w:rsidRPr="001D7F4B" w:rsidR="00FA790A" w:rsidP="007A2A57" w:rsidRDefault="00FA790A">
            <w:pPr>
              <w:jc w:val="center"/>
              <w:rPr>
                <w:rFonts w:asciiTheme="minorHAnsi" w:hAnsiTheme="minorHAnsi"/>
                <w:b/>
                <w:bCs/>
                <w:sz w:val="22"/>
                <w:szCs w:val="22"/>
              </w:rPr>
            </w:pPr>
          </w:p>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Deadline</w:t>
            </w:r>
          </w:p>
          <w:p w:rsidRPr="001D7F4B" w:rsidR="00FA790A" w:rsidP="007A2A57" w:rsidRDefault="00FA790A">
            <w:pPr>
              <w:jc w:val="center"/>
              <w:rPr>
                <w:rFonts w:asciiTheme="minorHAnsi" w:hAnsiTheme="minorHAnsi"/>
                <w:b/>
                <w:bCs/>
                <w:sz w:val="22"/>
                <w:szCs w:val="22"/>
              </w:rPr>
            </w:pPr>
            <w:proofErr w:type="spellStart"/>
            <w:r w:rsidRPr="001D7F4B">
              <w:rPr>
                <w:rFonts w:asciiTheme="minorHAnsi" w:hAnsiTheme="minorHAnsi"/>
                <w:b/>
                <w:bCs/>
                <w:sz w:val="22"/>
                <w:szCs w:val="22"/>
              </w:rPr>
              <w:t>Sub.toets</w:t>
            </w:r>
            <w:proofErr w:type="spellEnd"/>
          </w:p>
        </w:tc>
        <w:tc>
          <w:tcPr>
            <w:tcW w:w="5403" w:type="dxa"/>
            <w:shd w:val="clear" w:color="auto" w:fill="auto"/>
            <w:textDirection w:val="btLr"/>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Opmerking</w:t>
            </w:r>
          </w:p>
        </w:tc>
      </w:tr>
      <w:tr w:rsidRPr="001D7F4B" w:rsidR="001D7F4B" w:rsidTr="00523331">
        <w:trPr>
          <w:trHeight w:val="300"/>
        </w:trPr>
        <w:tc>
          <w:tcPr>
            <w:tcW w:w="435" w:type="dxa"/>
            <w:tcBorders>
              <w:bottom w:val="single" w:color="auto" w:sz="4" w:space="0"/>
            </w:tcBorders>
            <w:shd w:val="clear" w:color="000000" w:fill="538DD5"/>
          </w:tcPr>
          <w:p w:rsidRPr="001D7F4B" w:rsidR="00FA790A" w:rsidP="007A2A57" w:rsidRDefault="00FA790A">
            <w:pPr>
              <w:jc w:val="center"/>
              <w:rPr>
                <w:rFonts w:asciiTheme="minorHAnsi" w:hAnsiTheme="minorHAnsi"/>
                <w:b/>
                <w:bCs/>
                <w:sz w:val="22"/>
                <w:szCs w:val="22"/>
              </w:rPr>
            </w:pPr>
          </w:p>
        </w:tc>
        <w:tc>
          <w:tcPr>
            <w:tcW w:w="1279"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468" w:type="dxa"/>
            <w:tcBorders>
              <w:bottom w:val="single" w:color="auto" w:sz="4" w:space="0"/>
            </w:tcBorders>
            <w:shd w:val="clear" w:color="000000" w:fill="538DD5"/>
            <w:vAlign w:val="bottom"/>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c>
          <w:tcPr>
            <w:tcW w:w="3685"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1654" w:type="dxa"/>
            <w:tcBorders>
              <w:bottom w:val="single" w:color="auto" w:sz="4" w:space="0"/>
            </w:tcBorders>
            <w:shd w:val="clear" w:color="000000" w:fill="538DD5"/>
            <w:vAlign w:val="bottom"/>
            <w:hideMark/>
          </w:tcPr>
          <w:p w:rsidRPr="001D7F4B" w:rsidR="00FA790A" w:rsidP="007A2A57" w:rsidRDefault="00FA790A">
            <w:pPr>
              <w:jc w:val="center"/>
              <w:rPr>
                <w:rFonts w:asciiTheme="minorHAnsi" w:hAnsiTheme="minorHAnsi"/>
                <w:b/>
                <w:bCs/>
                <w:sz w:val="22"/>
                <w:szCs w:val="22"/>
              </w:rPr>
            </w:pPr>
            <w:r w:rsidRPr="001D7F4B">
              <w:rPr>
                <w:rFonts w:asciiTheme="minorHAnsi" w:hAnsiTheme="minorHAnsi"/>
                <w:b/>
                <w:bCs/>
                <w:sz w:val="22"/>
                <w:szCs w:val="22"/>
              </w:rPr>
              <w:t> </w:t>
            </w:r>
          </w:p>
        </w:tc>
        <w:tc>
          <w:tcPr>
            <w:tcW w:w="833" w:type="dxa"/>
            <w:tcBorders>
              <w:bottom w:val="single" w:color="auto" w:sz="4" w:space="0"/>
            </w:tcBorders>
            <w:shd w:val="clear" w:color="000000" w:fill="538DD5"/>
          </w:tcPr>
          <w:p w:rsidRPr="001D7F4B" w:rsidR="00FA790A" w:rsidP="007A2A57" w:rsidRDefault="00FA790A">
            <w:pPr>
              <w:rPr>
                <w:rFonts w:asciiTheme="minorHAnsi" w:hAnsiTheme="minorHAnsi"/>
                <w:b/>
                <w:bCs/>
                <w:sz w:val="22"/>
                <w:szCs w:val="22"/>
              </w:rPr>
            </w:pPr>
          </w:p>
        </w:tc>
        <w:tc>
          <w:tcPr>
            <w:tcW w:w="5403" w:type="dxa"/>
            <w:tcBorders>
              <w:bottom w:val="single" w:color="auto" w:sz="4" w:space="0"/>
            </w:tcBorders>
            <w:shd w:val="clear" w:color="000000" w:fill="538DD5"/>
            <w:hideMark/>
          </w:tcPr>
          <w:p w:rsidRPr="001D7F4B" w:rsidR="00FA790A" w:rsidP="007A2A57" w:rsidRDefault="00FA790A">
            <w:pPr>
              <w:rPr>
                <w:rFonts w:asciiTheme="minorHAnsi" w:hAnsiTheme="minorHAnsi"/>
                <w:b/>
                <w:bCs/>
                <w:sz w:val="22"/>
                <w:szCs w:val="22"/>
              </w:rPr>
            </w:pPr>
            <w:r w:rsidRPr="001D7F4B">
              <w:rPr>
                <w:rFonts w:asciiTheme="minorHAnsi" w:hAnsiTheme="minorHAnsi"/>
                <w:b/>
                <w:bCs/>
                <w:sz w:val="22"/>
                <w:szCs w:val="22"/>
              </w:rPr>
              <w:t> </w:t>
            </w:r>
          </w:p>
        </w:tc>
      </w:tr>
      <w:tr w:rsidRPr="001D7F4B" w:rsidR="001D7F4B" w:rsidTr="00FA790A">
        <w:trPr>
          <w:trHeight w:val="467"/>
        </w:trPr>
        <w:tc>
          <w:tcPr>
            <w:tcW w:w="14757" w:type="dxa"/>
            <w:gridSpan w:val="7"/>
            <w:shd w:val="clear" w:color="auto" w:fill="C2D69B" w:themeFill="accent3" w:themeFillTint="99"/>
          </w:tcPr>
          <w:p w:rsidRPr="001D7F4B" w:rsidR="008775C9" w:rsidP="007A2A57" w:rsidRDefault="008775C9">
            <w:pPr>
              <w:rPr>
                <w:rFonts w:asciiTheme="minorHAnsi" w:hAnsiTheme="minorHAnsi"/>
                <w:b/>
                <w:i/>
                <w:sz w:val="22"/>
                <w:szCs w:val="22"/>
              </w:rPr>
            </w:pPr>
            <w:r w:rsidRPr="001D7F4B">
              <w:rPr>
                <w:rFonts w:asciiTheme="minorHAnsi" w:hAnsiTheme="minorHAnsi"/>
                <w:b/>
                <w:i/>
                <w:sz w:val="22"/>
                <w:szCs w:val="22"/>
              </w:rPr>
              <w:t>Onderwerpen op het terrein van Justitie&amp; Veiligheid</w:t>
            </w:r>
          </w:p>
        </w:tc>
      </w:tr>
      <w:tr w:rsidRPr="001D7F4B" w:rsidR="001D7F4B" w:rsidTr="00523331">
        <w:trPr>
          <w:trHeight w:val="699"/>
        </w:trPr>
        <w:tc>
          <w:tcPr>
            <w:tcW w:w="435" w:type="dxa"/>
          </w:tcPr>
          <w:p w:rsidRPr="001D7F4B" w:rsidR="00FA790A" w:rsidP="0031695B" w:rsidRDefault="00FA790A">
            <w:pPr>
              <w:jc w:val="center"/>
              <w:rPr>
                <w:rFonts w:asciiTheme="minorHAnsi" w:hAnsiTheme="minorHAnsi"/>
                <w:sz w:val="22"/>
                <w:szCs w:val="22"/>
              </w:rPr>
            </w:pPr>
            <w:r w:rsidRPr="001D7F4B">
              <w:rPr>
                <w:rFonts w:asciiTheme="minorHAnsi" w:hAnsiTheme="minorHAnsi"/>
                <w:sz w:val="22"/>
                <w:szCs w:val="22"/>
              </w:rPr>
              <w:t>1.</w:t>
            </w:r>
          </w:p>
        </w:tc>
        <w:tc>
          <w:tcPr>
            <w:tcW w:w="1279" w:type="dxa"/>
            <w:shd w:val="clear" w:color="auto" w:fill="auto"/>
            <w:noWrap/>
          </w:tcPr>
          <w:p w:rsidRPr="008256C6" w:rsidR="00FA790A" w:rsidP="00AB2618" w:rsidRDefault="00352B37">
            <w:pPr>
              <w:jc w:val="center"/>
              <w:rPr>
                <w:rFonts w:asciiTheme="minorHAnsi" w:hAnsiTheme="minorHAnsi"/>
                <w:sz w:val="22"/>
                <w:szCs w:val="22"/>
              </w:rPr>
            </w:pPr>
            <w:r>
              <w:rPr>
                <w:rFonts w:asciiTheme="minorHAnsi" w:hAnsiTheme="minorHAnsi"/>
                <w:sz w:val="22"/>
                <w:szCs w:val="22"/>
              </w:rPr>
              <w:t>25</w:t>
            </w:r>
            <w:r w:rsidR="00183FB5">
              <w:rPr>
                <w:rFonts w:asciiTheme="minorHAnsi" w:hAnsiTheme="minorHAnsi"/>
                <w:sz w:val="22"/>
                <w:szCs w:val="22"/>
              </w:rPr>
              <w:t xml:space="preserve"> april</w:t>
            </w:r>
            <w:r w:rsidR="00A3565B">
              <w:rPr>
                <w:rFonts w:asciiTheme="minorHAnsi" w:hAnsiTheme="minorHAnsi"/>
                <w:sz w:val="22"/>
                <w:szCs w:val="22"/>
              </w:rPr>
              <w:t xml:space="preserve"> 2019</w:t>
            </w:r>
          </w:p>
        </w:tc>
        <w:tc>
          <w:tcPr>
            <w:tcW w:w="1468" w:type="dxa"/>
            <w:shd w:val="clear" w:color="auto" w:fill="auto"/>
            <w:noWrap/>
          </w:tcPr>
          <w:p w:rsidRPr="003674E1" w:rsidR="00FA790A" w:rsidP="0031695B" w:rsidRDefault="00183FB5">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Mededeling</w:t>
            </w:r>
          </w:p>
        </w:tc>
        <w:tc>
          <w:tcPr>
            <w:tcW w:w="3685" w:type="dxa"/>
            <w:shd w:val="clear" w:color="auto" w:fill="auto"/>
          </w:tcPr>
          <w:p w:rsidRPr="00000471" w:rsidR="00FA790A" w:rsidP="0031695B" w:rsidRDefault="00352B37">
            <w:pPr>
              <w:rPr>
                <w:rFonts w:asciiTheme="minorHAnsi" w:hAnsiTheme="minorHAnsi"/>
                <w:sz w:val="22"/>
                <w:szCs w:val="22"/>
              </w:rPr>
            </w:pPr>
            <w:r w:rsidRPr="00000471">
              <w:rPr>
                <w:rFonts w:asciiTheme="minorHAnsi" w:hAnsiTheme="minorHAnsi"/>
                <w:color w:val="000000"/>
                <w:sz w:val="22"/>
                <w:szCs w:val="22"/>
                <w:lang w:val="en-US"/>
              </w:rPr>
              <w:t>COMMUNICATION FROM THE COMMISSION TO THE EUROPEAN PARLIAMENT, THE COUNCIL, THE EUROPEAN CENTRAL BANK, THE EUROPEAN ECONOMIC AND SOCIAL COMMITTEE AND THE COMMITTEE OF THE REGIONS The 2019 EU Justice Scoreboard</w:t>
            </w:r>
          </w:p>
        </w:tc>
        <w:tc>
          <w:tcPr>
            <w:tcW w:w="1654" w:type="dxa"/>
            <w:shd w:val="clear" w:color="auto" w:fill="auto"/>
            <w:noWrap/>
          </w:tcPr>
          <w:p w:rsidRPr="00352B37" w:rsidR="00FA790A" w:rsidP="006063AD" w:rsidRDefault="00517A3B">
            <w:pPr>
              <w:jc w:val="center"/>
              <w:rPr>
                <w:rFonts w:asciiTheme="minorHAnsi" w:hAnsiTheme="minorHAnsi" w:eastAsiaTheme="minorHAnsi"/>
                <w:sz w:val="22"/>
                <w:szCs w:val="22"/>
                <w:u w:val="single"/>
                <w:lang w:val="en-GB"/>
              </w:rPr>
            </w:pPr>
            <w:hyperlink w:history="1" r:id="rId11">
              <w:r w:rsidRPr="00352B37" w:rsidR="00352B37">
                <w:rPr>
                  <w:rStyle w:val="Hyperlink"/>
                  <w:rFonts w:asciiTheme="minorHAnsi" w:hAnsiTheme="minorHAnsi"/>
                  <w:sz w:val="22"/>
                  <w:szCs w:val="22"/>
                </w:rPr>
                <w:t>COM (2019) 198</w:t>
              </w:r>
            </w:hyperlink>
          </w:p>
        </w:tc>
        <w:tc>
          <w:tcPr>
            <w:tcW w:w="833" w:type="dxa"/>
            <w:shd w:val="clear" w:color="auto" w:fill="auto"/>
          </w:tcPr>
          <w:p w:rsidRPr="006063AD" w:rsidR="00FA790A" w:rsidP="0031695B" w:rsidRDefault="00000471">
            <w:pPr>
              <w:rPr>
                <w:rFonts w:asciiTheme="minorHAnsi" w:hAnsiTheme="minorHAnsi"/>
                <w:sz w:val="22"/>
                <w:szCs w:val="22"/>
                <w:lang w:val="en-GB"/>
              </w:rPr>
            </w:pPr>
            <w:r>
              <w:rPr>
                <w:rFonts w:asciiTheme="minorHAnsi" w:hAnsiTheme="minorHAnsi"/>
                <w:sz w:val="22"/>
                <w:szCs w:val="22"/>
                <w:lang w:val="en-GB"/>
              </w:rPr>
              <w:t>n.v.t.</w:t>
            </w:r>
          </w:p>
        </w:tc>
        <w:tc>
          <w:tcPr>
            <w:tcW w:w="5403" w:type="dxa"/>
            <w:shd w:val="clear" w:color="auto" w:fill="auto"/>
          </w:tcPr>
          <w:p w:rsidRPr="00352B37" w:rsidR="00352B37" w:rsidP="00352B37" w:rsidRDefault="00352B37">
            <w:pPr>
              <w:rPr>
                <w:rFonts w:asciiTheme="minorHAnsi" w:hAnsiTheme="minorHAnsi"/>
                <w:sz w:val="22"/>
                <w:szCs w:val="22"/>
              </w:rPr>
            </w:pPr>
            <w:r w:rsidRPr="00352B37">
              <w:rPr>
                <w:rFonts w:asciiTheme="minorHAnsi" w:hAnsiTheme="minorHAnsi"/>
                <w:sz w:val="22"/>
                <w:szCs w:val="22"/>
                <w:u w:val="single"/>
              </w:rPr>
              <w:t>Voorstel</w:t>
            </w:r>
            <w:r w:rsidRPr="00352B37">
              <w:rPr>
                <w:rFonts w:asciiTheme="minorHAnsi" w:hAnsiTheme="minorHAnsi"/>
                <w:sz w:val="22"/>
                <w:szCs w:val="22"/>
              </w:rPr>
              <w:t xml:space="preserve">: kabinetsappreciatie vragen en daarbij ingaan op het vervolg dat het scorebord dit jaar zal krijgen. </w:t>
            </w:r>
          </w:p>
          <w:p w:rsidRPr="00352B37" w:rsidR="00352B37" w:rsidP="00352B37" w:rsidRDefault="00352B37">
            <w:pPr>
              <w:rPr>
                <w:rFonts w:asciiTheme="minorHAnsi" w:hAnsiTheme="minorHAnsi"/>
                <w:sz w:val="22"/>
                <w:szCs w:val="22"/>
              </w:rPr>
            </w:pPr>
          </w:p>
          <w:p w:rsidRPr="00183FB5" w:rsidR="00FF19D6" w:rsidP="00352B37" w:rsidRDefault="00352B37">
            <w:pPr>
              <w:rPr>
                <w:rFonts w:asciiTheme="minorHAnsi" w:hAnsiTheme="minorHAnsi"/>
                <w:i/>
                <w:sz w:val="22"/>
                <w:szCs w:val="22"/>
              </w:rPr>
            </w:pPr>
            <w:r w:rsidRPr="00352B37">
              <w:rPr>
                <w:rFonts w:asciiTheme="minorHAnsi" w:hAnsiTheme="minorHAnsi"/>
                <w:i/>
                <w:sz w:val="22"/>
                <w:szCs w:val="22"/>
              </w:rPr>
              <w:t xml:space="preserve">Noot: het jaarlijkse EU scorebord justitie bevat een kwantitatieve en kwalitatieve analyse van de Europese Commissie van het functioneren van de rechtspraak in de 28 lidstaten. Het onderzoek richt zich op aspecten als de doorlooptijden van civiele gedingen, de drempel voor rechtsbijstand en digitalisering. Net als vorig jaar kijkt de Europese Commissie ook naar rechterlijke onafhankelijkheid door in kaart te brengen hoe burgers de rechtspraak percipiëren. Nieuw is een vergelijking per lidstaat van de autoriteiten die bevoegd zijn disciplinaire </w:t>
            </w:r>
            <w:r w:rsidRPr="00352B37">
              <w:rPr>
                <w:rFonts w:asciiTheme="minorHAnsi" w:hAnsiTheme="minorHAnsi"/>
                <w:i/>
                <w:sz w:val="22"/>
                <w:szCs w:val="22"/>
              </w:rPr>
              <w:lastRenderedPageBreak/>
              <w:t xml:space="preserve">maatregelen te nemen tegen rechters. Volgens Eurocommissaris </w:t>
            </w:r>
            <w:proofErr w:type="spellStart"/>
            <w:r w:rsidRPr="00352B37">
              <w:rPr>
                <w:rFonts w:asciiTheme="minorHAnsi" w:hAnsiTheme="minorHAnsi"/>
                <w:i/>
                <w:sz w:val="22"/>
                <w:szCs w:val="22"/>
              </w:rPr>
              <w:t>Jourová</w:t>
            </w:r>
            <w:proofErr w:type="spellEnd"/>
            <w:r w:rsidRPr="00352B37">
              <w:rPr>
                <w:rFonts w:asciiTheme="minorHAnsi" w:hAnsiTheme="minorHAnsi"/>
                <w:i/>
                <w:sz w:val="22"/>
                <w:szCs w:val="22"/>
              </w:rPr>
              <w:t xml:space="preserve"> (Justitie) geeft het scorebord van dit jaar een gemengd beeld. Een aantal lidstaten hebben positieve ontwikkelingen omgekeerd en het vertrouwen in de rechtspraak </w:t>
            </w:r>
            <w:r>
              <w:rPr>
                <w:rFonts w:asciiTheme="minorHAnsi" w:hAnsiTheme="minorHAnsi"/>
                <w:i/>
                <w:sz w:val="22"/>
                <w:szCs w:val="22"/>
              </w:rPr>
              <w:t xml:space="preserve">is </w:t>
            </w:r>
            <w:r w:rsidRPr="00352B37">
              <w:rPr>
                <w:rFonts w:asciiTheme="minorHAnsi" w:hAnsiTheme="minorHAnsi"/>
                <w:i/>
                <w:sz w:val="22"/>
                <w:szCs w:val="22"/>
              </w:rPr>
              <w:t xml:space="preserve">nog altijd te laag. </w:t>
            </w:r>
          </w:p>
        </w:tc>
      </w:tr>
      <w:tr w:rsidRPr="001D7F4B" w:rsidR="00352B37" w:rsidTr="00523331">
        <w:trPr>
          <w:trHeight w:val="699"/>
        </w:trPr>
        <w:tc>
          <w:tcPr>
            <w:tcW w:w="435" w:type="dxa"/>
          </w:tcPr>
          <w:p w:rsidRPr="001D7F4B" w:rsidR="00352B37" w:rsidP="0031695B" w:rsidRDefault="00A2373B">
            <w:pPr>
              <w:jc w:val="center"/>
              <w:rPr>
                <w:rFonts w:asciiTheme="minorHAnsi" w:hAnsiTheme="minorHAnsi"/>
                <w:sz w:val="22"/>
                <w:szCs w:val="22"/>
              </w:rPr>
            </w:pPr>
            <w:r>
              <w:rPr>
                <w:rFonts w:asciiTheme="minorHAnsi" w:hAnsiTheme="minorHAnsi"/>
                <w:sz w:val="22"/>
                <w:szCs w:val="22"/>
              </w:rPr>
              <w:lastRenderedPageBreak/>
              <w:t>2.</w:t>
            </w:r>
          </w:p>
        </w:tc>
        <w:tc>
          <w:tcPr>
            <w:tcW w:w="1279" w:type="dxa"/>
            <w:shd w:val="clear" w:color="auto" w:fill="auto"/>
            <w:noWrap/>
          </w:tcPr>
          <w:p w:rsidR="00352B37" w:rsidP="00AB2618" w:rsidRDefault="00000471">
            <w:pPr>
              <w:jc w:val="center"/>
              <w:rPr>
                <w:rFonts w:asciiTheme="minorHAnsi" w:hAnsiTheme="minorHAnsi"/>
                <w:sz w:val="22"/>
                <w:szCs w:val="22"/>
              </w:rPr>
            </w:pPr>
            <w:r>
              <w:rPr>
                <w:rFonts w:asciiTheme="minorHAnsi" w:hAnsiTheme="minorHAnsi"/>
                <w:sz w:val="22"/>
                <w:szCs w:val="22"/>
              </w:rPr>
              <w:t>25 april 2019</w:t>
            </w:r>
          </w:p>
        </w:tc>
        <w:tc>
          <w:tcPr>
            <w:tcW w:w="1468" w:type="dxa"/>
            <w:shd w:val="clear" w:color="auto" w:fill="auto"/>
            <w:noWrap/>
          </w:tcPr>
          <w:p w:rsidR="00352B37" w:rsidP="0031695B" w:rsidRDefault="00000471">
            <w:pPr>
              <w:spacing w:line="276" w:lineRule="auto"/>
              <w:rPr>
                <w:rFonts w:asciiTheme="minorHAnsi" w:hAnsiTheme="minorHAnsi" w:eastAsiaTheme="minorHAnsi"/>
                <w:sz w:val="22"/>
                <w:szCs w:val="22"/>
                <w:lang w:eastAsia="en-US"/>
              </w:rPr>
            </w:pPr>
            <w:r>
              <w:rPr>
                <w:rFonts w:asciiTheme="minorHAnsi" w:hAnsiTheme="minorHAnsi" w:eastAsiaTheme="minorHAnsi"/>
                <w:sz w:val="22"/>
                <w:szCs w:val="22"/>
                <w:lang w:eastAsia="en-US"/>
              </w:rPr>
              <w:t>Rapporten</w:t>
            </w:r>
          </w:p>
        </w:tc>
        <w:tc>
          <w:tcPr>
            <w:tcW w:w="3685" w:type="dxa"/>
            <w:shd w:val="clear" w:color="auto" w:fill="auto"/>
          </w:tcPr>
          <w:p w:rsidRPr="00000471" w:rsidR="00000471" w:rsidP="00000471" w:rsidRDefault="00000471">
            <w:pPr>
              <w:pStyle w:val="Body"/>
              <w:rPr>
                <w:rStyle w:val="Hyperlink"/>
                <w:rFonts w:asciiTheme="minorHAnsi" w:hAnsiTheme="minorHAnsi"/>
                <w:lang w:val="en-GB"/>
              </w:rPr>
            </w:pPr>
            <w:r w:rsidRPr="00000471">
              <w:rPr>
                <w:rFonts w:asciiTheme="minorHAnsi" w:hAnsiTheme="minorHAnsi"/>
                <w:lang w:val="en-US"/>
              </w:rPr>
              <w:t xml:space="preserve">1. </w:t>
            </w:r>
            <w:hyperlink w:history="1" r:id="rId12">
              <w:r w:rsidRPr="00000471">
                <w:rPr>
                  <w:rStyle w:val="Hyperlink"/>
                  <w:rFonts w:asciiTheme="minorHAnsi" w:hAnsiTheme="minorHAnsi"/>
                  <w:lang w:val="en-US"/>
                </w:rPr>
                <w:t>Victims’ rights as standards of criminal justice – Justice for victims of violent crime, Part I</w:t>
              </w:r>
            </w:hyperlink>
          </w:p>
          <w:p w:rsidRPr="00000471" w:rsidR="00000471" w:rsidP="00000471" w:rsidRDefault="00000471">
            <w:pPr>
              <w:pStyle w:val="Body"/>
              <w:rPr>
                <w:rStyle w:val="Hyperlink"/>
                <w:rFonts w:asciiTheme="minorHAnsi" w:hAnsiTheme="minorHAnsi"/>
                <w:color w:val="0563C1"/>
                <w:lang w:val="en-GB"/>
              </w:rPr>
            </w:pPr>
            <w:r w:rsidRPr="00000471">
              <w:rPr>
                <w:rFonts w:asciiTheme="minorHAnsi" w:hAnsiTheme="minorHAnsi"/>
                <w:lang w:val="en-US"/>
              </w:rPr>
              <w:t xml:space="preserve">2. </w:t>
            </w:r>
            <w:hyperlink w:history="1" r:id="rId13">
              <w:r w:rsidRPr="00000471">
                <w:rPr>
                  <w:rStyle w:val="Hyperlink"/>
                  <w:rFonts w:asciiTheme="minorHAnsi" w:hAnsiTheme="minorHAnsi"/>
                  <w:lang w:val="en-US"/>
                </w:rPr>
                <w:t>Proceedings that do justice – Justice for victims of violent crime, Part II</w:t>
              </w:r>
            </w:hyperlink>
          </w:p>
          <w:p w:rsidRPr="00000471" w:rsidR="00000471" w:rsidP="00000471" w:rsidRDefault="00000471">
            <w:pPr>
              <w:pStyle w:val="Body"/>
              <w:rPr>
                <w:rStyle w:val="Hyperlink"/>
                <w:rFonts w:asciiTheme="minorHAnsi" w:hAnsiTheme="minorHAnsi"/>
                <w:lang w:val="en-GB"/>
              </w:rPr>
            </w:pPr>
            <w:r w:rsidRPr="00000471">
              <w:rPr>
                <w:rFonts w:asciiTheme="minorHAnsi" w:hAnsiTheme="minorHAnsi"/>
                <w:lang w:val="en-US"/>
              </w:rPr>
              <w:t xml:space="preserve">3. </w:t>
            </w:r>
            <w:hyperlink w:history="1" r:id="rId14">
              <w:r w:rsidRPr="00000471">
                <w:rPr>
                  <w:rStyle w:val="Hyperlink"/>
                  <w:rFonts w:asciiTheme="minorHAnsi" w:hAnsiTheme="minorHAnsi"/>
                  <w:lang w:val="en-US"/>
                </w:rPr>
                <w:t>Sanctions that do justice – Justice for victims of violent crime, Part III</w:t>
              </w:r>
            </w:hyperlink>
          </w:p>
          <w:p w:rsidRPr="00000471" w:rsidR="00000471" w:rsidP="00000471" w:rsidRDefault="00000471">
            <w:pPr>
              <w:pStyle w:val="Body"/>
              <w:rPr>
                <w:rFonts w:asciiTheme="minorHAnsi" w:hAnsiTheme="minorHAnsi"/>
                <w:color w:val="auto"/>
                <w:lang w:val="en-US"/>
              </w:rPr>
            </w:pPr>
            <w:r w:rsidRPr="00000471">
              <w:rPr>
                <w:rFonts w:asciiTheme="minorHAnsi" w:hAnsiTheme="minorHAnsi"/>
                <w:lang w:val="en-US"/>
              </w:rPr>
              <w:t xml:space="preserve">4. </w:t>
            </w:r>
            <w:r w:rsidRPr="00000471">
              <w:rPr>
                <w:rFonts w:asciiTheme="minorHAnsi" w:hAnsiTheme="minorHAnsi"/>
                <w:lang w:val="en-US"/>
              </w:rPr>
              <w:t xml:space="preserve"> </w:t>
            </w:r>
            <w:hyperlink w:history="1" r:id="rId15">
              <w:r w:rsidRPr="00000471">
                <w:rPr>
                  <w:rStyle w:val="Hyperlink"/>
                  <w:rFonts w:asciiTheme="minorHAnsi" w:hAnsiTheme="minorHAnsi"/>
                  <w:lang w:val="en-US"/>
                </w:rPr>
                <w:t>Women as victims of partner violence – Justice for victims of violent crime, Part IV</w:t>
              </w:r>
            </w:hyperlink>
          </w:p>
          <w:p w:rsidRPr="00000471" w:rsidR="00352B37" w:rsidP="0031695B" w:rsidRDefault="00352B37">
            <w:pPr>
              <w:rPr>
                <w:rFonts w:asciiTheme="minorHAnsi" w:hAnsiTheme="minorHAnsi"/>
                <w:color w:val="000000"/>
                <w:sz w:val="22"/>
                <w:szCs w:val="22"/>
                <w:lang w:val="en-US"/>
              </w:rPr>
            </w:pPr>
          </w:p>
          <w:p w:rsidRPr="00000471" w:rsidR="00000471" w:rsidP="00000471" w:rsidRDefault="00000471">
            <w:pPr>
              <w:rPr>
                <w:rFonts w:asciiTheme="minorHAnsi" w:hAnsiTheme="minorHAnsi"/>
                <w:color w:val="000000"/>
                <w:sz w:val="22"/>
                <w:szCs w:val="22"/>
                <w:lang w:val="en-US"/>
              </w:rPr>
            </w:pPr>
          </w:p>
        </w:tc>
        <w:tc>
          <w:tcPr>
            <w:tcW w:w="1654" w:type="dxa"/>
            <w:shd w:val="clear" w:color="auto" w:fill="auto"/>
            <w:noWrap/>
          </w:tcPr>
          <w:p w:rsidRPr="00352B37" w:rsidR="00352B37" w:rsidP="00000471" w:rsidRDefault="00000471">
            <w:pPr>
              <w:rPr>
                <w:rFonts w:asciiTheme="minorHAnsi" w:hAnsiTheme="minorHAnsi"/>
                <w:color w:val="0000FF"/>
                <w:sz w:val="22"/>
                <w:szCs w:val="22"/>
                <w:u w:val="single"/>
              </w:rPr>
            </w:pPr>
            <w:r>
              <w:rPr>
                <w:rFonts w:asciiTheme="minorHAnsi" w:hAnsiTheme="minorHAnsi"/>
                <w:sz w:val="22"/>
                <w:szCs w:val="22"/>
                <w:lang w:val="en-GB"/>
              </w:rPr>
              <w:t>n.v.t.</w:t>
            </w:r>
          </w:p>
        </w:tc>
        <w:tc>
          <w:tcPr>
            <w:tcW w:w="833" w:type="dxa"/>
            <w:shd w:val="clear" w:color="auto" w:fill="auto"/>
          </w:tcPr>
          <w:p w:rsidRPr="006063AD" w:rsidR="00352B37" w:rsidP="0031695B" w:rsidRDefault="00000471">
            <w:pPr>
              <w:rPr>
                <w:rFonts w:asciiTheme="minorHAnsi" w:hAnsiTheme="minorHAnsi"/>
                <w:sz w:val="22"/>
                <w:szCs w:val="22"/>
                <w:lang w:val="en-GB"/>
              </w:rPr>
            </w:pPr>
            <w:r>
              <w:rPr>
                <w:rFonts w:asciiTheme="minorHAnsi" w:hAnsiTheme="minorHAnsi"/>
                <w:sz w:val="22"/>
                <w:szCs w:val="22"/>
                <w:lang w:val="en-GB"/>
              </w:rPr>
              <w:t>n.v.t.</w:t>
            </w:r>
          </w:p>
        </w:tc>
        <w:tc>
          <w:tcPr>
            <w:tcW w:w="5403" w:type="dxa"/>
            <w:shd w:val="clear" w:color="auto" w:fill="auto"/>
          </w:tcPr>
          <w:p w:rsidR="00352B37" w:rsidP="00352B37" w:rsidRDefault="00352B37">
            <w:pPr>
              <w:rPr>
                <w:rFonts w:ascii="Verdana" w:hAnsi="Verdana"/>
                <w:color w:val="1F497D"/>
                <w:sz w:val="18"/>
                <w:szCs w:val="18"/>
              </w:rPr>
            </w:pPr>
            <w:r w:rsidRPr="00352B37">
              <w:rPr>
                <w:rFonts w:asciiTheme="minorHAnsi" w:hAnsiTheme="minorHAnsi"/>
                <w:sz w:val="22"/>
                <w:szCs w:val="22"/>
                <w:u w:val="single"/>
              </w:rPr>
              <w:t>Voorstel</w:t>
            </w:r>
            <w:r w:rsidRPr="00352B37">
              <w:rPr>
                <w:rFonts w:asciiTheme="minorHAnsi" w:hAnsiTheme="minorHAnsi"/>
                <w:sz w:val="22"/>
                <w:szCs w:val="22"/>
              </w:rPr>
              <w:t>: kabinet</w:t>
            </w:r>
            <w:r>
              <w:rPr>
                <w:rFonts w:asciiTheme="minorHAnsi" w:hAnsiTheme="minorHAnsi"/>
                <w:sz w:val="22"/>
                <w:szCs w:val="22"/>
              </w:rPr>
              <w:t xml:space="preserve">sreactie </w:t>
            </w:r>
            <w:r w:rsidRPr="00352B37">
              <w:rPr>
                <w:rFonts w:asciiTheme="minorHAnsi" w:hAnsiTheme="minorHAnsi"/>
                <w:sz w:val="22"/>
                <w:szCs w:val="22"/>
              </w:rPr>
              <w:t xml:space="preserve">vragen en daarbij ingaan </w:t>
            </w:r>
            <w:r>
              <w:rPr>
                <w:rFonts w:asciiTheme="minorHAnsi" w:hAnsiTheme="minorHAnsi"/>
                <w:sz w:val="22"/>
                <w:szCs w:val="22"/>
              </w:rPr>
              <w:t>op</w:t>
            </w:r>
          </w:p>
          <w:p w:rsidR="00352B37" w:rsidP="00352B37" w:rsidRDefault="00352B37">
            <w:pPr>
              <w:rPr>
                <w:rFonts w:ascii="Verdana" w:hAnsi="Verdana"/>
                <w:sz w:val="18"/>
                <w:szCs w:val="18"/>
              </w:rPr>
            </w:pPr>
            <w:r w:rsidRPr="00A2373B">
              <w:rPr>
                <w:rFonts w:ascii="Verdana" w:hAnsi="Verdana"/>
                <w:sz w:val="18"/>
                <w:szCs w:val="18"/>
              </w:rPr>
              <w:t>de bevindingen inzake Nederland.</w:t>
            </w:r>
          </w:p>
          <w:p w:rsidR="00227567" w:rsidP="00352B37" w:rsidRDefault="00227567">
            <w:pPr>
              <w:rPr>
                <w:rFonts w:ascii="Verdana" w:hAnsi="Verdana"/>
                <w:sz w:val="18"/>
                <w:szCs w:val="18"/>
              </w:rPr>
            </w:pPr>
          </w:p>
          <w:p w:rsidRPr="00000471" w:rsidR="00227567" w:rsidP="00227567" w:rsidRDefault="00227567">
            <w:pPr>
              <w:rPr>
                <w:rFonts w:cs="Arial" w:asciiTheme="minorHAnsi" w:hAnsiTheme="minorHAnsi"/>
                <w:i/>
                <w:sz w:val="22"/>
                <w:szCs w:val="22"/>
              </w:rPr>
            </w:pPr>
            <w:r w:rsidRPr="00000471">
              <w:rPr>
                <w:rFonts w:asciiTheme="minorHAnsi" w:hAnsiTheme="minorHAnsi"/>
                <w:i/>
                <w:sz w:val="22"/>
                <w:szCs w:val="22"/>
              </w:rPr>
              <w:t xml:space="preserve">Noot: Het </w:t>
            </w:r>
            <w:r w:rsidRPr="00000471">
              <w:rPr>
                <w:rFonts w:cs="Arial" w:asciiTheme="minorHAnsi" w:hAnsiTheme="minorHAnsi"/>
                <w:i/>
                <w:sz w:val="22"/>
                <w:szCs w:val="22"/>
              </w:rPr>
              <w:t>Europees Bureau voor de grondrechten</w:t>
            </w:r>
          </w:p>
          <w:p w:rsidRPr="00000471" w:rsidR="00227567" w:rsidP="00BC4469" w:rsidRDefault="00227567">
            <w:pPr>
              <w:rPr>
                <w:rFonts w:asciiTheme="minorHAnsi" w:hAnsiTheme="minorHAnsi"/>
                <w:i/>
                <w:sz w:val="22"/>
                <w:szCs w:val="22"/>
              </w:rPr>
            </w:pPr>
            <w:r w:rsidRPr="00000471">
              <w:rPr>
                <w:rFonts w:asciiTheme="minorHAnsi" w:hAnsiTheme="minorHAnsi"/>
                <w:i/>
                <w:sz w:val="22"/>
                <w:szCs w:val="22"/>
              </w:rPr>
              <w:t>heeft</w:t>
            </w:r>
            <w:r w:rsidRPr="00000471">
              <w:rPr>
                <w:rFonts w:asciiTheme="minorHAnsi" w:hAnsiTheme="minorHAnsi"/>
                <w:i/>
                <w:sz w:val="22"/>
                <w:szCs w:val="22"/>
              </w:rPr>
              <w:t xml:space="preserve"> vier rapporten gepubliceerd over gerechtigheid voor sla</w:t>
            </w:r>
            <w:r w:rsidRPr="00000471">
              <w:rPr>
                <w:rFonts w:asciiTheme="minorHAnsi" w:hAnsiTheme="minorHAnsi"/>
                <w:i/>
                <w:sz w:val="22"/>
                <w:szCs w:val="22"/>
              </w:rPr>
              <w:t>chtoffers van geweldsmisdrijven</w:t>
            </w:r>
            <w:r w:rsidRPr="00000471">
              <w:rPr>
                <w:rFonts w:asciiTheme="minorHAnsi" w:hAnsiTheme="minorHAnsi"/>
                <w:i/>
                <w:sz w:val="22"/>
                <w:szCs w:val="22"/>
              </w:rPr>
              <w:t xml:space="preserve"> die tekortkomingen in het rechtsstelsel </w:t>
            </w:r>
            <w:r w:rsidR="005A2877">
              <w:rPr>
                <w:rFonts w:asciiTheme="minorHAnsi" w:hAnsiTheme="minorHAnsi"/>
                <w:i/>
                <w:sz w:val="22"/>
                <w:szCs w:val="22"/>
              </w:rPr>
              <w:t xml:space="preserve">van verschillende lidstaten </w:t>
            </w:r>
            <w:r w:rsidRPr="00000471">
              <w:rPr>
                <w:rFonts w:asciiTheme="minorHAnsi" w:hAnsiTheme="minorHAnsi"/>
                <w:i/>
                <w:sz w:val="22"/>
                <w:szCs w:val="22"/>
              </w:rPr>
              <w:t xml:space="preserve">signaleren. </w:t>
            </w:r>
            <w:r w:rsidRPr="00000471" w:rsidR="00000471">
              <w:rPr>
                <w:rFonts w:asciiTheme="minorHAnsi" w:hAnsiTheme="minorHAnsi"/>
                <w:i/>
                <w:sz w:val="22"/>
                <w:szCs w:val="22"/>
              </w:rPr>
              <w:t>De rapporten zijn het resultaat van veldwerk in Oostenrijk, Frankrijk, Duitsland, Nederland, Polen, Portugal en het Verenigd Koninkrijk. Ze leggen de perspectieven vast van slachtoffers van geweldsmisdrijven, slachtofferhulp, advocaten, politie en rechters als het gaat om het zoeken naar gerechtigheid en bescherming</w:t>
            </w:r>
            <w:r w:rsidRPr="00000471" w:rsidR="00000471">
              <w:rPr>
                <w:rFonts w:asciiTheme="minorHAnsi" w:hAnsiTheme="minorHAnsi"/>
                <w:i/>
                <w:sz w:val="22"/>
                <w:szCs w:val="22"/>
              </w:rPr>
              <w:t xml:space="preserve">. </w:t>
            </w:r>
            <w:r w:rsidRPr="00000471">
              <w:rPr>
                <w:rFonts w:asciiTheme="minorHAnsi" w:hAnsiTheme="minorHAnsi"/>
                <w:i/>
                <w:sz w:val="22"/>
                <w:szCs w:val="22"/>
              </w:rPr>
              <w:t>De rapporten bevatten een aantal kritische conclusies over Nederland. Zo is in het tweede rapport opgenomen dat in Nederland, vergeleken met andere landen, een beperkte rol voor slachtoffers bestaat in het strafproces</w:t>
            </w:r>
            <w:r w:rsidRPr="00000471">
              <w:rPr>
                <w:rFonts w:asciiTheme="minorHAnsi" w:hAnsiTheme="minorHAnsi"/>
                <w:i/>
                <w:sz w:val="22"/>
                <w:szCs w:val="22"/>
              </w:rPr>
              <w:t xml:space="preserve"> </w:t>
            </w:r>
            <w:r w:rsidRPr="00000471">
              <w:rPr>
                <w:rFonts w:asciiTheme="minorHAnsi" w:hAnsiTheme="minorHAnsi"/>
                <w:i/>
                <w:sz w:val="22"/>
                <w:szCs w:val="22"/>
              </w:rPr>
              <w:t xml:space="preserve">en slachtoffers zich genegeerd voelen. </w:t>
            </w:r>
            <w:r w:rsidRPr="00000471">
              <w:rPr>
                <w:rFonts w:asciiTheme="minorHAnsi" w:hAnsiTheme="minorHAnsi"/>
                <w:i/>
                <w:sz w:val="22"/>
                <w:szCs w:val="22"/>
              </w:rPr>
              <w:t xml:space="preserve">De rapporten stellen praktische manieren voor waarop beleidsmakers verbeteringen kunnen aanbrengen om slachtoffers te helpen. </w:t>
            </w:r>
          </w:p>
        </w:tc>
      </w:tr>
    </w:tbl>
    <w:p w:rsidR="008256C6" w:rsidP="00352B37" w:rsidRDefault="00352B37">
      <w:pPr>
        <w:tabs>
          <w:tab w:val="left" w:pos="12150"/>
        </w:tabs>
        <w:rPr>
          <w:rFonts w:ascii="Verdana" w:hAnsi="Verdana"/>
          <w:b/>
        </w:rPr>
      </w:pPr>
      <w:r>
        <w:rPr>
          <w:rFonts w:ascii="Verdana" w:hAnsi="Verdana"/>
          <w:b/>
        </w:rPr>
        <w:tab/>
      </w:r>
    </w:p>
    <w:p w:rsidR="00000471" w:rsidRDefault="00000471">
      <w:pPr>
        <w:rPr>
          <w:rFonts w:ascii="Verdana" w:hAnsi="Verdana"/>
          <w:b/>
        </w:rPr>
      </w:pPr>
    </w:p>
    <w:p w:rsidR="00517A3B" w:rsidRDefault="00517A3B">
      <w:pPr>
        <w:rPr>
          <w:rFonts w:ascii="Verdana" w:hAnsi="Verdana"/>
          <w:b/>
        </w:rPr>
      </w:pPr>
      <w:bookmarkStart w:name="_GoBack" w:id="0"/>
      <w:bookmarkEnd w:id="0"/>
    </w:p>
    <w:p w:rsidRPr="001D7F4B" w:rsidR="008775C9" w:rsidP="005420AB" w:rsidRDefault="008775C9">
      <w:pPr>
        <w:rPr>
          <w:rFonts w:ascii="Verdana" w:hAnsi="Verdana"/>
          <w:b/>
        </w:rPr>
      </w:pPr>
      <w:r w:rsidRPr="001D7F4B">
        <w:rPr>
          <w:rFonts w:ascii="Verdana" w:hAnsi="Verdana"/>
          <w:b/>
        </w:rPr>
        <w:t>Bijlage: behandelmogelijkheden EU-voorstellen</w:t>
      </w:r>
    </w:p>
    <w:p w:rsidRPr="001D7F4B" w:rsidR="008775C9" w:rsidP="008775C9" w:rsidRDefault="008775C9">
      <w:pPr>
        <w:pStyle w:val="Voetnoottekst"/>
        <w:rPr>
          <w:rFonts w:ascii="Verdana" w:hAnsi="Verdana"/>
          <w:sz w:val="18"/>
          <w:szCs w:val="18"/>
        </w:rPr>
      </w:pPr>
    </w:p>
    <w:p w:rsidRPr="001D7F4B" w:rsidR="008775C9" w:rsidP="008775C9" w:rsidRDefault="008775C9">
      <w:pPr>
        <w:rPr>
          <w:rFonts w:ascii="Verdana" w:hAnsi="Verdana"/>
          <w:sz w:val="18"/>
          <w:szCs w:val="18"/>
        </w:rPr>
      </w:pPr>
      <w:r w:rsidRPr="001D7F4B">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D7F4B" w:rsidR="008775C9" w:rsidP="008775C9" w:rsidRDefault="008775C9">
      <w:pPr>
        <w:rPr>
          <w:rFonts w:ascii="Verdana" w:hAnsi="Verdana"/>
          <w:sz w:val="18"/>
          <w:szCs w:val="18"/>
        </w:rPr>
      </w:pPr>
      <w:r w:rsidRPr="001D7F4B">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005420AB" w:rsidP="008775C9" w:rsidRDefault="005420AB">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D7F4B" w:rsidR="001D7F4B" w:rsidTr="007A2A57">
        <w:tc>
          <w:tcPr>
            <w:tcW w:w="209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lastRenderedPageBreak/>
              <w:t>Soort Instrument</w:t>
            </w:r>
          </w:p>
        </w:tc>
        <w:tc>
          <w:tcPr>
            <w:tcW w:w="6946"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Toelichting</w:t>
            </w:r>
          </w:p>
        </w:tc>
        <w:tc>
          <w:tcPr>
            <w:tcW w:w="5103" w:type="dxa"/>
          </w:tcPr>
          <w:p w:rsidRPr="001D7F4B" w:rsidR="008775C9" w:rsidP="007A2A57" w:rsidRDefault="008775C9">
            <w:pPr>
              <w:pStyle w:val="Voetnoottekst"/>
              <w:rPr>
                <w:rFonts w:ascii="Verdana" w:hAnsi="Verdana"/>
                <w:b/>
                <w:sz w:val="18"/>
                <w:szCs w:val="18"/>
              </w:rPr>
            </w:pPr>
            <w:r w:rsidRPr="001D7F4B">
              <w:rPr>
                <w:rFonts w:ascii="Verdana" w:hAnsi="Verdana"/>
                <w:b/>
                <w:sz w:val="18"/>
                <w:szCs w:val="18"/>
              </w:rPr>
              <w:t xml:space="preserve">Mogelijke beïnvloedingsmomenten </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p>
          <w:p w:rsidRPr="001D7F4B" w:rsidR="008775C9" w:rsidP="007A2A57" w:rsidRDefault="008775C9">
            <w:pPr>
              <w:pStyle w:val="Voetnoottekst"/>
              <w:rPr>
                <w:rFonts w:ascii="Verdana" w:hAnsi="Verdana"/>
                <w:i/>
                <w:sz w:val="18"/>
                <w:szCs w:val="18"/>
              </w:rPr>
            </w:pPr>
            <w:r w:rsidRPr="001D7F4B">
              <w:rPr>
                <w:rFonts w:ascii="Verdana" w:hAnsi="Verdana"/>
                <w:i/>
                <w:sz w:val="18"/>
                <w:szCs w:val="18"/>
              </w:rPr>
              <w:t>Wetgevende, bindende rechtshandelingen</w:t>
            </w:r>
            <w:r w:rsidRPr="001D7F4B">
              <w:rPr>
                <w:rStyle w:val="Voetnootmarkering"/>
                <w:rFonts w:ascii="Verdana" w:hAnsi="Verdana"/>
                <w:i/>
                <w:sz w:val="18"/>
                <w:szCs w:val="18"/>
              </w:rPr>
              <w:footnoteReference w:id="1"/>
            </w:r>
            <w:r w:rsidRPr="001D7F4B">
              <w:rPr>
                <w:rFonts w:ascii="Verdana" w:hAnsi="Verdana"/>
                <w:i/>
                <w:sz w:val="18"/>
                <w:szCs w:val="18"/>
              </w:rPr>
              <w:t xml:space="preserve">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Verordening</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ambtenaren of Commissaris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subsidiariteitstoets overwegen: let op termijn (zie 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behandelvoorbehoud overwegen: let op termijn (zie hieronder).</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ad-hoc rapporteur(s) binnen de commissie(s) benoemen.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overleg met kabinet NL onderhandelingsinzet aan de orde stellen, evt. aan de hand van het “BNC-fiche”.</w:t>
            </w:r>
            <w:r w:rsidRPr="001D7F4B">
              <w:rPr>
                <w:rStyle w:val="Voetnootmarkering"/>
                <w:rFonts w:ascii="Verdana" w:hAnsi="Verdana"/>
                <w:sz w:val="18"/>
                <w:szCs w:val="18"/>
              </w:rPr>
              <w:footnoteReference w:id="2"/>
            </w:r>
            <w:r w:rsidRPr="001D7F4B">
              <w:rPr>
                <w:rFonts w:ascii="Verdana" w:hAnsi="Verdana"/>
                <w:sz w:val="18"/>
                <w:szCs w:val="18"/>
              </w:rPr>
              <w:t xml:space="preserve"> </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EP-rapporteur uitnodigen, evt. via videoconferentie.</w:t>
            </w:r>
            <w:r w:rsidRPr="001D7F4B">
              <w:rPr>
                <w:rFonts w:ascii="Verdana" w:hAnsi="Verdana"/>
                <w:sz w:val="18"/>
                <w:szCs w:val="18"/>
              </w:rPr>
              <w:br/>
            </w:r>
            <w:r w:rsidRPr="001D7F4B">
              <w:rPr>
                <w:rFonts w:ascii="Verdana" w:hAnsi="Verdana"/>
                <w:sz w:val="18"/>
                <w:szCs w:val="18"/>
              </w:rPr>
              <w:br/>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NB: Pas na afronding van het onderhandelingstraject: nationale wetgevingstraject monitoren (</w:t>
            </w:r>
            <w:proofErr w:type="spellStart"/>
            <w:r w:rsidRPr="001D7F4B">
              <w:rPr>
                <w:rFonts w:ascii="Verdana" w:hAnsi="Verdana"/>
                <w:sz w:val="18"/>
                <w:szCs w:val="18"/>
              </w:rPr>
              <w:t>i.h.k.v</w:t>
            </w:r>
            <w:proofErr w:type="spellEnd"/>
            <w:r w:rsidRPr="001D7F4B">
              <w:rPr>
                <w:rFonts w:ascii="Verdana" w:hAnsi="Verdana"/>
                <w:sz w:val="18"/>
                <w:szCs w:val="18"/>
              </w:rPr>
              <w:t>. omzetting naar nationale wetgeving).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Richtlijn </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00B30B36" w:rsidP="007A2A57" w:rsidRDefault="00B30B36">
            <w:pPr>
              <w:pStyle w:val="Voetnoottekst"/>
              <w:rPr>
                <w:rFonts w:ascii="Verdana" w:hAnsi="Verdana"/>
                <w:sz w:val="18"/>
                <w:szCs w:val="18"/>
              </w:rPr>
            </w:pP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(Besluit)</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D7F4B">
              <w:rPr>
                <w:rFonts w:ascii="Verdana" w:hAnsi="Verdana"/>
                <w:sz w:val="18"/>
                <w:szCs w:val="18"/>
              </w:rPr>
              <w:br/>
              <w:t xml:space="preserve">Voor wetgevende besluiten kan gekozen worden als richtlijnen en verordeningen niet geschikt zijn als instrument. Niet-wetgevende </w:t>
            </w:r>
            <w:r w:rsidRPr="001D7F4B">
              <w:rPr>
                <w:rFonts w:ascii="Verdana" w:hAnsi="Verdana"/>
                <w:sz w:val="18"/>
                <w:szCs w:val="18"/>
              </w:rPr>
              <w:lastRenderedPageBreak/>
              <w:t xml:space="preserve">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D7F4B" w:rsidR="00B30B36" w:rsidP="007A2A57" w:rsidRDefault="00B30B36">
            <w:pPr>
              <w:pStyle w:val="Voetnoottekst"/>
              <w:rPr>
                <w:rFonts w:ascii="Verdana" w:hAnsi="Verdana"/>
                <w:sz w:val="18"/>
                <w:szCs w:val="18"/>
              </w:rPr>
            </w:pPr>
          </w:p>
        </w:tc>
        <w:tc>
          <w:tcPr>
            <w:tcW w:w="5103" w:type="dxa"/>
            <w:vMerge/>
          </w:tcPr>
          <w:p w:rsidRPr="001D7F4B" w:rsidR="008775C9" w:rsidP="007A2A57" w:rsidRDefault="008775C9">
            <w:pPr>
              <w:pStyle w:val="Voetnoottekst"/>
              <w:numPr>
                <w:ilvl w:val="0"/>
                <w:numId w:val="2"/>
              </w:numPr>
              <w:ind w:left="317" w:hanging="283"/>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lastRenderedPageBreak/>
              <w:t>Niet-wetgevende bindende rechtshandelingen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Gedelegeerde handeling</w:t>
            </w:r>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D7F4B" w:rsidR="008775C9" w:rsidP="007A2A57" w:rsidRDefault="008775C9">
            <w:pPr>
              <w:pStyle w:val="Voetnoottekst"/>
              <w:ind w:left="360"/>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proofErr w:type="spellStart"/>
            <w:r w:rsidRPr="001D7F4B">
              <w:rPr>
                <w:rFonts w:ascii="Verdana" w:hAnsi="Verdana"/>
                <w:sz w:val="18"/>
                <w:szCs w:val="18"/>
              </w:rPr>
              <w:t>Uitvoerings-handeling</w:t>
            </w:r>
            <w:proofErr w:type="spellEnd"/>
          </w:p>
        </w:tc>
        <w:tc>
          <w:tcPr>
            <w:tcW w:w="6946" w:type="dxa"/>
          </w:tcPr>
          <w:p w:rsidR="008775C9" w:rsidP="007A2A57" w:rsidRDefault="008775C9">
            <w:pPr>
              <w:pStyle w:val="Voetnoottekst"/>
              <w:rPr>
                <w:rFonts w:ascii="Verdana" w:hAnsi="Verdana"/>
                <w:sz w:val="18"/>
                <w:szCs w:val="18"/>
              </w:rPr>
            </w:pPr>
            <w:r w:rsidRPr="001D7F4B">
              <w:rPr>
                <w:rFonts w:ascii="Verdana" w:hAnsi="Verdana"/>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algemeen overleg/debat bevragen over stand van zaken en appreciatie EU onderhandelingen en NL inzet.</w:t>
            </w:r>
          </w:p>
          <w:p w:rsidRPr="001D7F4B" w:rsidR="008775C9" w:rsidP="007A2A57" w:rsidRDefault="008775C9">
            <w:pPr>
              <w:numPr>
                <w:ilvl w:val="0"/>
                <w:numId w:val="1"/>
              </w:numPr>
              <w:rPr>
                <w:rFonts w:ascii="Verdana" w:hAnsi="Verdana"/>
                <w:sz w:val="18"/>
                <w:szCs w:val="18"/>
              </w:rPr>
            </w:pPr>
            <w:r w:rsidRPr="001D7F4B">
              <w:rPr>
                <w:rFonts w:ascii="Verdana" w:hAnsi="Verdana"/>
                <w:sz w:val="18"/>
                <w:szCs w:val="18"/>
              </w:rPr>
              <w:t xml:space="preserve">op basis van de </w:t>
            </w:r>
            <w:hyperlink w:history="1" r:id="rId16">
              <w:r w:rsidRPr="001D7F4B">
                <w:rPr>
                  <w:rFonts w:ascii="Verdana" w:hAnsi="Verdana"/>
                  <w:sz w:val="18"/>
                  <w:szCs w:val="18"/>
                  <w:u w:val="single"/>
                </w:rPr>
                <w:t>(gewijzigde) motie Van Gent</w:t>
              </w:r>
            </w:hyperlink>
            <w:r w:rsidRPr="001D7F4B">
              <w:rPr>
                <w:rFonts w:ascii="Verdana" w:hAnsi="Verdana"/>
                <w:sz w:val="18"/>
                <w:szCs w:val="18"/>
              </w:rPr>
              <w:t xml:space="preserve"> dient het kabinet de Kamer afschriften te sturen van zijn correspondentie met de Europese Commissie over de uitvoering van Europese regelgeving.</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Handelingen vastgesteld volgens de regelgevingsprocedure met toetsing</w:t>
            </w:r>
          </w:p>
        </w:tc>
        <w:tc>
          <w:tcPr>
            <w:tcW w:w="6946" w:type="dxa"/>
          </w:tcPr>
          <w:p w:rsidRPr="001D7F4B" w:rsidR="008775C9" w:rsidP="007A2A57" w:rsidRDefault="008775C9">
            <w:pPr>
              <w:rPr>
                <w:rFonts w:ascii="Verdana" w:hAnsi="Verdana"/>
                <w:sz w:val="18"/>
                <w:szCs w:val="18"/>
              </w:rPr>
            </w:pPr>
            <w:r w:rsidRPr="001D7F4B">
              <w:rPr>
                <w:rFonts w:ascii="Verdana" w:hAnsi="Verdana"/>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per brief of tijdens overleg bevragen over stand van zaken en appreciatie EU onderhandelingen en NL inzet, inclusief het voornemen van NL of andere lidstaten om binnen de Raad een bezwaarprocedure te initiëren.</w:t>
            </w:r>
          </w:p>
          <w:p w:rsidRPr="001D7F4B" w:rsidR="008775C9" w:rsidP="007A2A57" w:rsidRDefault="008775C9">
            <w:pPr>
              <w:pStyle w:val="Voetnoottekst"/>
              <w:numPr>
                <w:ilvl w:val="0"/>
                <w:numId w:val="1"/>
              </w:numPr>
              <w:rPr>
                <w:rFonts w:ascii="Verdana" w:hAnsi="Verdana"/>
                <w:sz w:val="18"/>
                <w:szCs w:val="18"/>
              </w:rPr>
            </w:pP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Bijzondere rechtshandelingen</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Er bestaan nog andere typen niet-wetgevende rechtshandelingen waarvan op voorhand niet te zeggen zijn of zij bindend zijn of niet. </w:t>
            </w:r>
            <w:r w:rsidRPr="001D7F4B">
              <w:rPr>
                <w:rFonts w:ascii="Verdana" w:hAnsi="Verdana"/>
                <w:sz w:val="18"/>
                <w:szCs w:val="18"/>
              </w:rPr>
              <w:lastRenderedPageBreak/>
              <w:t>Bijvoorbeeld meerjarige kaderprogramma’s of actieprogramma’s. Deze programma’s worden vastgesteld volgens dezelfde wetgevingsprocedures als richtlijnen en verordeningen. Het is zaak goed in de teksten te bezien wat de voorgestelde rechtskracht is.</w:t>
            </w:r>
          </w:p>
          <w:p w:rsidRPr="001D7F4B" w:rsidR="008775C9" w:rsidP="007A2A57" w:rsidRDefault="008775C9">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kabinetsappreciatie (‘BNC-fiche’) vragen, bespreken.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ambtenaren of Commissaris van Europese Commissie (de ‘auteurs’) uitnodigen voor briefing/gesprek, evt. via videoconferentie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indien het Europees Parlement een rapporteur heeft aangesteld kan deze desgewenst worden uitgenodigd voor een gesprek.</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uw commissie kan op dit onderwerp een ad-hoc rapporteur benoemen</w:t>
            </w:r>
          </w:p>
          <w:p w:rsidRPr="001D7F4B" w:rsidR="008775C9" w:rsidP="007A2A57" w:rsidRDefault="008775C9">
            <w:pPr>
              <w:pStyle w:val="Voetnoottekst"/>
              <w:ind w:left="360"/>
              <w:rPr>
                <w:rFonts w:ascii="Verdana" w:hAnsi="Verdana"/>
                <w:sz w:val="18"/>
                <w:szCs w:val="18"/>
              </w:rPr>
            </w:pPr>
            <w:r w:rsidRPr="001D7F4B">
              <w:rPr>
                <w:rFonts w:ascii="Verdana" w:hAnsi="Verdana"/>
                <w:sz w:val="18"/>
                <w:szCs w:val="18"/>
              </w:rPr>
              <w:t>nationale wetgevingstraject (</w:t>
            </w:r>
            <w:proofErr w:type="spellStart"/>
            <w:r w:rsidRPr="001D7F4B">
              <w:rPr>
                <w:rFonts w:ascii="Verdana" w:hAnsi="Verdana"/>
                <w:sz w:val="18"/>
                <w:szCs w:val="18"/>
              </w:rPr>
              <w:t>i.h.k.v</w:t>
            </w:r>
            <w:proofErr w:type="spellEnd"/>
            <w:r w:rsidRPr="001D7F4B">
              <w:rPr>
                <w:rFonts w:ascii="Verdana" w:hAnsi="Verdana"/>
                <w:sz w:val="18"/>
                <w:szCs w:val="18"/>
              </w:rPr>
              <w:t>. omzetting van richtlijn naar nationale wetgeving).</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lastRenderedPageBreak/>
              <w:t>Niet-bindende handelingen (soft-</w:t>
            </w:r>
            <w:proofErr w:type="spellStart"/>
            <w:r w:rsidRPr="001D7F4B">
              <w:rPr>
                <w:rFonts w:ascii="Verdana" w:hAnsi="Verdana"/>
                <w:i/>
                <w:sz w:val="18"/>
                <w:szCs w:val="18"/>
              </w:rPr>
              <w:t>law</w:t>
            </w:r>
            <w:proofErr w:type="spellEnd"/>
            <w:r w:rsidRPr="001D7F4B">
              <w:rPr>
                <w:rFonts w:ascii="Verdana" w:hAnsi="Verdana"/>
                <w:i/>
                <w:sz w:val="18"/>
                <w:szCs w:val="18"/>
              </w:rPr>
              <w: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Advies, aanbeveling, mededeling</w:t>
            </w: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p w:rsidRPr="001D7F4B" w:rsidR="008775C9" w:rsidP="007A2A57" w:rsidRDefault="008775C9">
            <w:pPr>
              <w:jc w:val="right"/>
              <w:rPr>
                <w:rFonts w:ascii="Verdana" w:hAnsi="Verdana"/>
              </w:rPr>
            </w:pP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De EU kent een grote hoeveelheid uiteenlopende typen beleid (‘soft </w:t>
            </w:r>
            <w:proofErr w:type="spellStart"/>
            <w:r w:rsidRPr="001D7F4B">
              <w:rPr>
                <w:rFonts w:ascii="Verdana" w:hAnsi="Verdana"/>
                <w:sz w:val="18"/>
                <w:szCs w:val="18"/>
              </w:rPr>
              <w:t>law</w:t>
            </w:r>
            <w:proofErr w:type="spellEnd"/>
            <w:r w:rsidRPr="001D7F4B">
              <w:rPr>
                <w:rFonts w:ascii="Verdana" w:hAnsi="Verdana"/>
                <w:sz w:val="18"/>
                <w:szCs w:val="18"/>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1D7F4B">
              <w:rPr>
                <w:rFonts w:ascii="Verdana" w:hAnsi="Verdana"/>
                <w:sz w:val="18"/>
                <w:szCs w:val="18"/>
              </w:rPr>
              <w:t>law</w:t>
            </w:r>
            <w:proofErr w:type="spellEnd"/>
            <w:r w:rsidRPr="001D7F4B">
              <w:rPr>
                <w:rFonts w:ascii="Verdana" w:hAnsi="Verdana"/>
                <w:sz w:val="18"/>
                <w:szCs w:val="18"/>
              </w:rPr>
              <w:t xml:space="preserve">.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om appreciatie in de vorm van BNC-fiche verzoeken aangezien over deze categorie niet standaard een fiche wordt gemaakt.</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 xml:space="preserve">Overige handelingen en instrumenten </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Routekaart, actieplannen, strategie, agenda </w:t>
            </w:r>
          </w:p>
        </w:tc>
        <w:tc>
          <w:tcPr>
            <w:tcW w:w="6946" w:type="dxa"/>
          </w:tcPr>
          <w:p w:rsidR="008775C9" w:rsidP="007A2A57" w:rsidRDefault="008775C9">
            <w:pPr>
              <w:pStyle w:val="Voetnoottekst"/>
              <w:rPr>
                <w:rFonts w:ascii="Verdana" w:hAnsi="Verdana" w:cs="Arial"/>
                <w:sz w:val="18"/>
                <w:szCs w:val="18"/>
              </w:rPr>
            </w:pPr>
            <w:r w:rsidRPr="001D7F4B">
              <w:rPr>
                <w:rFonts w:ascii="Verdana" w:hAnsi="Verdana" w:cs="Arial"/>
                <w:sz w:val="18"/>
                <w:szCs w:val="18"/>
              </w:rPr>
              <w:t xml:space="preserve">Via routekaarten, actieplannen, strategieën en agenda’s informeert de Europese Commissie belanghebbenden en burgers over nieuwe initiatieven, evaluaties en geschiktheidscontroles. In deze documenten </w:t>
            </w:r>
            <w:r w:rsidRPr="001D7F4B">
              <w:rPr>
                <w:rStyle w:val="Zwaar"/>
                <w:rFonts w:ascii="Verdana" w:hAnsi="Verdana" w:cs="Arial"/>
                <w:sz w:val="18"/>
                <w:szCs w:val="18"/>
              </w:rPr>
              <w:t>voor nieuwe initiatieven</w:t>
            </w:r>
            <w:r w:rsidRPr="001D7F4B">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1D7F4B">
              <w:rPr>
                <w:rStyle w:val="Zwaar"/>
                <w:rFonts w:ascii="Verdana" w:hAnsi="Verdana" w:cs="Arial"/>
                <w:sz w:val="18"/>
                <w:szCs w:val="18"/>
              </w:rPr>
              <w:t xml:space="preserve"> voor evaluaties en geschiktheidscontroles</w:t>
            </w:r>
            <w:r w:rsidRPr="001D7F4B">
              <w:rPr>
                <w:rFonts w:ascii="Verdana" w:hAnsi="Verdana" w:cs="Arial"/>
                <w:sz w:val="18"/>
                <w:szCs w:val="18"/>
              </w:rPr>
              <w:t xml:space="preserve"> wordt bepaald wat er geëvalueerd moet worden en welke aspecten moeten worden onderzocht. </w:t>
            </w: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00B30B36" w:rsidP="007A2A57" w:rsidRDefault="00B30B36">
            <w:pPr>
              <w:pStyle w:val="Voetnoottekst"/>
              <w:rPr>
                <w:rFonts w:ascii="Verdana" w:hAnsi="Verdana" w:cs="Arial"/>
                <w:sz w:val="18"/>
                <w:szCs w:val="18"/>
              </w:rPr>
            </w:pPr>
          </w:p>
          <w:p w:rsidRPr="001D7F4B" w:rsidR="00B30B36" w:rsidP="007A2A57" w:rsidRDefault="00B30B36">
            <w:pPr>
              <w:pStyle w:val="Voetnoottekst"/>
              <w:rPr>
                <w:rFonts w:ascii="Verdana" w:hAnsi="Verdana"/>
                <w:sz w:val="18"/>
                <w:szCs w:val="18"/>
              </w:rPr>
            </w:pP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 om appreciatie in de vorm van BNC-fiche verzoeken aangezien over deze categorie niet standaard een fiche wordt gemaakt</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en/of kabinet vragen om NL inzet (per commissiebrief of tijdens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Groen- en witboek</w:t>
            </w:r>
          </w:p>
        </w:tc>
        <w:tc>
          <w:tcPr>
            <w:tcW w:w="6946"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Groenboek: een discussiestuk, waarmee de Europese Commissie de stand van zaken inventariseert omtrent een onderwerp. Ook doet ze aanbevelingen voor nieuw beleid. </w:t>
            </w:r>
          </w:p>
          <w:p w:rsidRPr="001D7F4B" w:rsidR="008775C9" w:rsidP="007A2A57" w:rsidRDefault="008775C9">
            <w:pPr>
              <w:pStyle w:val="Voetnoottekst"/>
              <w:rPr>
                <w:rFonts w:ascii="Verdana" w:hAnsi="Verdana"/>
                <w:sz w:val="18"/>
                <w:szCs w:val="18"/>
              </w:rPr>
            </w:pPr>
          </w:p>
          <w:p w:rsidRPr="001D7F4B" w:rsidR="008775C9" w:rsidP="007A2A57" w:rsidRDefault="008775C9">
            <w:pPr>
              <w:pStyle w:val="Voetnoottekst"/>
              <w:rPr>
                <w:rFonts w:ascii="Verdana" w:hAnsi="Verdana"/>
                <w:sz w:val="18"/>
                <w:szCs w:val="18"/>
              </w:rPr>
            </w:pPr>
            <w:r w:rsidRPr="001D7F4B">
              <w:rPr>
                <w:rFonts w:ascii="Verdana" w:hAnsi="Verdana"/>
                <w:sz w:val="18"/>
                <w:szCs w:val="18"/>
              </w:rPr>
              <w:t>Witboek: hierin zet de Europese Commissie uiteen hoe zij bepaalde doelen wil bereiken. Vaak worden in een witboek al concrete voorstellen uitgewerkt en toegelicht.</w:t>
            </w:r>
          </w:p>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De Europese Commissie nodigt overheden, nationale parlementen en </w:t>
            </w:r>
            <w:r w:rsidRPr="001D7F4B">
              <w:rPr>
                <w:rFonts w:ascii="Verdana" w:hAnsi="Verdana"/>
                <w:sz w:val="18"/>
                <w:szCs w:val="18"/>
              </w:rPr>
              <w:lastRenderedPageBreak/>
              <w:t xml:space="preserve">andere organisaties uit om binnen een bepaalde termijn op een Groen- of Witboek te reageren.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desgewenst ambtenaren EC of Europees Commissaris uitnodigen voor een toelichting.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in commissieverband (via schriftelijke inbreng in de vorm van een politieke dialoog) of als lid, burger of via fracties een reactie sturen aan de Europese Commissie.</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kabinet stuurt de Kamer het concept van haar reactie op Groen- en Witboeken tenminste dertig </w:t>
            </w:r>
            <w:r w:rsidRPr="001D7F4B">
              <w:rPr>
                <w:rFonts w:ascii="Verdana" w:hAnsi="Verdana"/>
                <w:sz w:val="18"/>
                <w:szCs w:val="18"/>
              </w:rPr>
              <w:lastRenderedPageBreak/>
              <w:t>dagen voor het verstrijken van de reactietermijn bij de Europese Commissie. Ook de definitieve reactie wordt in afschrift aan de Kamer gezonden. Deze reactie kan in behandeling worden genomen, bv. door te agenderen voor een algemeen overleg/debat.</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lastRenderedPageBreak/>
              <w:t>Openbare raadpleging (consultatie)</w:t>
            </w:r>
          </w:p>
        </w:tc>
        <w:tc>
          <w:tcPr>
            <w:tcW w:w="6946" w:type="dxa"/>
          </w:tcPr>
          <w:p w:rsidRPr="001D7F4B" w:rsidR="008775C9" w:rsidP="007A2A57" w:rsidRDefault="008775C9">
            <w:pPr>
              <w:pStyle w:val="Voetnoottekst"/>
              <w:spacing w:before="100" w:beforeAutospacing="1" w:after="100" w:afterAutospacing="1"/>
              <w:rPr>
                <w:rFonts w:ascii="Verdana" w:hAnsi="Verdana"/>
                <w:sz w:val="18"/>
                <w:szCs w:val="18"/>
              </w:rPr>
            </w:pPr>
            <w:r w:rsidRPr="001D7F4B">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1D7F4B">
                <w:rPr>
                  <w:rStyle w:val="Hyperlink"/>
                  <w:rFonts w:ascii="Verdana" w:hAnsi="Verdana"/>
                  <w:color w:val="auto"/>
                  <w:sz w:val="18"/>
                  <w:szCs w:val="18"/>
                </w:rPr>
                <w:t>Bekijk alle openbare raadplegingen op "Uw stem in Europa"</w:t>
              </w:r>
            </w:hyperlink>
            <w:r w:rsidRPr="001D7F4B">
              <w:rPr>
                <w:rFonts w:ascii="Verdana" w:hAnsi="Verdana"/>
                <w:sz w:val="18"/>
                <w:szCs w:val="18"/>
              </w:rPr>
              <w:t xml:space="preserve"> . </w:t>
            </w:r>
          </w:p>
        </w:tc>
        <w:tc>
          <w:tcPr>
            <w:tcW w:w="5103" w:type="dxa"/>
          </w:tcPr>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als burger, lid, fractie of in commissieverband (via schriftelijke inbreng in de vorm van een politieke dialoog). meedoen aan de openbare raadpleging.</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1D7F4B" w:rsidR="008775C9" w:rsidP="007A2A57" w:rsidRDefault="008775C9">
            <w:pPr>
              <w:pStyle w:val="Voetnoottekst"/>
              <w:numPr>
                <w:ilvl w:val="0"/>
                <w:numId w:val="1"/>
              </w:numPr>
              <w:autoSpaceDE w:val="0"/>
              <w:autoSpaceDN w:val="0"/>
              <w:rPr>
                <w:rFonts w:ascii="Verdana" w:hAnsi="Verdana"/>
                <w:sz w:val="18"/>
                <w:szCs w:val="18"/>
              </w:rPr>
            </w:pPr>
            <w:r w:rsidRPr="001D7F4B">
              <w:rPr>
                <w:rFonts w:ascii="Verdana" w:hAnsi="Verdana"/>
                <w:sz w:val="18"/>
                <w:szCs w:val="18"/>
              </w:rPr>
              <w:t>de Kamer ontvangt krachtens de standaard-informatieafspraken de definitieve kabinetsreactie op alle consultaties van de Europese Commissie waarop het kabinet reageert.</w:t>
            </w:r>
          </w:p>
        </w:tc>
      </w:tr>
      <w:tr w:rsidRPr="001D7F4B" w:rsidR="001D7F4B" w:rsidTr="007A2A57">
        <w:tc>
          <w:tcPr>
            <w:tcW w:w="14142" w:type="dxa"/>
            <w:gridSpan w:val="3"/>
          </w:tcPr>
          <w:p w:rsidRPr="001D7F4B" w:rsidR="008775C9" w:rsidP="007A2A57" w:rsidRDefault="008775C9">
            <w:pPr>
              <w:pStyle w:val="Voetnoottekst"/>
              <w:rPr>
                <w:rFonts w:ascii="Verdana" w:hAnsi="Verdana"/>
                <w:i/>
                <w:sz w:val="18"/>
                <w:szCs w:val="18"/>
              </w:rPr>
            </w:pPr>
            <w:r w:rsidRPr="001D7F4B">
              <w:rPr>
                <w:rFonts w:ascii="Verdana" w:hAnsi="Verdana"/>
                <w:i/>
                <w:sz w:val="18"/>
                <w:szCs w:val="18"/>
              </w:rPr>
              <w:t>Uitgelicht: twee specifieke parlementaire instrumenten bij nieuw gepubliceerde EU-voorstellen</w:t>
            </w:r>
          </w:p>
        </w:tc>
      </w:tr>
      <w:tr w:rsidRPr="001D7F4B" w:rsidR="001D7F4B"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 xml:space="preserve">Subsidiariteitstoets </w:t>
            </w:r>
          </w:p>
          <w:p w:rsidRPr="001D7F4B" w:rsidR="008775C9" w:rsidP="007A2A57" w:rsidRDefault="008775C9">
            <w:pPr>
              <w:pStyle w:val="Voetnoottekst"/>
              <w:rPr>
                <w:rFonts w:ascii="Verdana" w:hAnsi="Verdana"/>
                <w:sz w:val="18"/>
                <w:szCs w:val="18"/>
              </w:rPr>
            </w:pPr>
            <w:r w:rsidRPr="001D7F4B">
              <w:rPr>
                <w:rFonts w:ascii="Verdana" w:hAnsi="Verdana"/>
                <w:sz w:val="18"/>
                <w:szCs w:val="18"/>
              </w:rPr>
              <w:t>(richting EU)</w:t>
            </w:r>
          </w:p>
        </w:tc>
        <w:tc>
          <w:tcPr>
            <w:tcW w:w="6946" w:type="dxa"/>
          </w:tcPr>
          <w:p w:rsidRPr="001D7F4B" w:rsidR="008775C9" w:rsidP="007A2A57" w:rsidRDefault="008775C9">
            <w:pPr>
              <w:pStyle w:val="Lijstalinea"/>
              <w:ind w:left="0"/>
              <w:rPr>
                <w:rFonts w:ascii="Verdana" w:hAnsi="Verdana"/>
                <w:sz w:val="18"/>
                <w:szCs w:val="18"/>
              </w:rPr>
            </w:pPr>
            <w:r w:rsidRPr="001D7F4B">
              <w:rPr>
                <w:rFonts w:ascii="Verdana" w:hAnsi="Verdana"/>
                <w:sz w:val="18"/>
                <w:szCs w:val="18"/>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B30B36">
              <w:rPr>
                <w:rFonts w:ascii="Verdana" w:hAnsi="Verdana" w:cstheme="minorHAnsi"/>
                <w:sz w:val="18"/>
                <w:szCs w:val="18"/>
              </w:rPr>
              <w:t xml:space="preserve">Elk parlement krijgt 2 stemmen, maar bij een </w:t>
            </w:r>
            <w:proofErr w:type="spellStart"/>
            <w:r w:rsidRPr="00B30B36">
              <w:rPr>
                <w:rFonts w:ascii="Verdana" w:hAnsi="Verdana" w:cstheme="minorHAnsi"/>
                <w:sz w:val="18"/>
                <w:szCs w:val="18"/>
              </w:rPr>
              <w:t>bicameraal</w:t>
            </w:r>
            <w:proofErr w:type="spellEnd"/>
            <w:r w:rsidRPr="00B30B36">
              <w:rPr>
                <w:rFonts w:ascii="Verdana" w:hAnsi="Verdana" w:cstheme="minorHAnsi"/>
                <w:sz w:val="18"/>
                <w:szCs w:val="18"/>
              </w:rPr>
              <w:t xml:space="preserve"> stelsel, zoals in Nederland, krijgt elke kamer 1 stem</w:t>
            </w:r>
            <w:r w:rsidRPr="00B30B36">
              <w:rPr>
                <w:rFonts w:ascii="Verdana" w:hAnsi="Verdana"/>
                <w:sz w:val="18"/>
                <w:szCs w:val="18"/>
              </w:rPr>
              <w:t>.</w:t>
            </w:r>
            <w:r w:rsidRPr="00B30B36">
              <w:rPr>
                <w:rFonts w:ascii="Verdana" w:hAnsi="Verdana" w:cstheme="minorHAnsi"/>
                <w:sz w:val="18"/>
                <w:szCs w:val="18"/>
              </w:rPr>
              <w:t xml:space="preserve"> Om een gele kaart te trekken moeten er 19 stemmen worden gehaald.</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bij wetgevende EU-voorstellen kan een Kamercommissie besluiten tot het uitvoeren van een subsidiariteitstoets. Let op: dit moet binnen acht weken na het uitkomen van alle taalversies van het voorstel.</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kabinetsappreciatie (‘BNC-fiche’) komt voor aangekondigde subsidiariteitstoetsen binnen drie weken t.b.v. een snelle behandeling.</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 xml:space="preserve">met andere parlementen in overleg treden t.b.v. behalen meerderheid voor ’gele kaart’ (1/3 stemmen) via parlementaire vertegenwoordiging en/of fractielijnen. </w:t>
            </w:r>
          </w:p>
        </w:tc>
      </w:tr>
      <w:tr w:rsidRPr="001D7F4B" w:rsidR="008775C9" w:rsidTr="007A2A57">
        <w:tc>
          <w:tcPr>
            <w:tcW w:w="2093" w:type="dxa"/>
          </w:tcPr>
          <w:p w:rsidRPr="001D7F4B" w:rsidR="008775C9" w:rsidP="007A2A57" w:rsidRDefault="008775C9">
            <w:pPr>
              <w:pStyle w:val="Voetnoottekst"/>
              <w:rPr>
                <w:rFonts w:ascii="Verdana" w:hAnsi="Verdana"/>
                <w:sz w:val="18"/>
                <w:szCs w:val="18"/>
              </w:rPr>
            </w:pPr>
            <w:r w:rsidRPr="001D7F4B">
              <w:rPr>
                <w:rFonts w:ascii="Verdana" w:hAnsi="Verdana"/>
                <w:sz w:val="18"/>
                <w:szCs w:val="18"/>
              </w:rPr>
              <w:t>Behandel-voorbehoud (richting regering)</w:t>
            </w:r>
          </w:p>
        </w:tc>
        <w:tc>
          <w:tcPr>
            <w:tcW w:w="6946" w:type="dxa"/>
          </w:tcPr>
          <w:p w:rsidRPr="001D7F4B" w:rsidR="008775C9" w:rsidP="007A2A57" w:rsidRDefault="008775C9">
            <w:pPr>
              <w:pStyle w:val="Lijstalinea"/>
              <w:ind w:left="34"/>
              <w:rPr>
                <w:rFonts w:ascii="Verdana" w:hAnsi="Verdana"/>
                <w:sz w:val="18"/>
                <w:szCs w:val="18"/>
              </w:rPr>
            </w:pPr>
            <w:r w:rsidRPr="001D7F4B">
              <w:rPr>
                <w:rFonts w:ascii="Verdana" w:hAnsi="Verdana"/>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w:t>
            </w:r>
            <w:r w:rsidRPr="001D7F4B">
              <w:rPr>
                <w:rFonts w:ascii="Verdana" w:hAnsi="Verdana"/>
                <w:sz w:val="18"/>
                <w:szCs w:val="18"/>
              </w:rPr>
              <w:lastRenderedPageBreak/>
              <w:t xml:space="preserve">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bij wetgevende EU-voorstellen kan een commissie besluiten tot het uitvoeren van een zgn. ‘behandelvoorbehoud’. Over deze brief moet plenair gestemd worden (let op de termijnen).</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t>tijdens een speciaal overleg kan de commissie afspraken maken over informatieverstrekking (bv. in kwartaalrapportages) zolang het desbetreffende dossier in onderhandeling is.</w:t>
            </w:r>
          </w:p>
          <w:p w:rsidRPr="001D7F4B" w:rsidR="008775C9" w:rsidP="007A2A57" w:rsidRDefault="008775C9">
            <w:pPr>
              <w:pStyle w:val="Voetnoottekst"/>
              <w:numPr>
                <w:ilvl w:val="0"/>
                <w:numId w:val="1"/>
              </w:numPr>
              <w:rPr>
                <w:rFonts w:ascii="Verdana" w:hAnsi="Verdana"/>
                <w:sz w:val="18"/>
                <w:szCs w:val="18"/>
              </w:rPr>
            </w:pPr>
            <w:r w:rsidRPr="001D7F4B">
              <w:rPr>
                <w:rFonts w:ascii="Verdana" w:hAnsi="Verdana"/>
                <w:sz w:val="18"/>
                <w:szCs w:val="18"/>
              </w:rPr>
              <w:lastRenderedPageBreak/>
              <w:t xml:space="preserve">kabinetsappreciatie (‘BNC-fiche’) komt voor aangekondigde </w:t>
            </w:r>
            <w:proofErr w:type="spellStart"/>
            <w:r w:rsidRPr="001D7F4B">
              <w:rPr>
                <w:rFonts w:ascii="Verdana" w:hAnsi="Verdana"/>
                <w:sz w:val="18"/>
                <w:szCs w:val="18"/>
              </w:rPr>
              <w:t>behandelvoorbehouden</w:t>
            </w:r>
            <w:proofErr w:type="spellEnd"/>
            <w:r w:rsidRPr="001D7F4B">
              <w:rPr>
                <w:rFonts w:ascii="Verdana" w:hAnsi="Verdana"/>
                <w:sz w:val="18"/>
                <w:szCs w:val="18"/>
              </w:rPr>
              <w:t xml:space="preserve"> binnen drie weken t.b.v. een snelle behandeling.</w:t>
            </w:r>
          </w:p>
          <w:p w:rsidRPr="001D7F4B" w:rsidR="008775C9" w:rsidP="007A2A57" w:rsidRDefault="008775C9">
            <w:pPr>
              <w:pStyle w:val="Voetnoottekst"/>
              <w:rPr>
                <w:rFonts w:ascii="Verdana" w:hAnsi="Verdana"/>
                <w:sz w:val="18"/>
                <w:szCs w:val="18"/>
              </w:rPr>
            </w:pPr>
          </w:p>
        </w:tc>
      </w:tr>
    </w:tbl>
    <w:p w:rsidRPr="001D7F4B" w:rsidR="008775C9" w:rsidP="008775C9" w:rsidRDefault="008775C9">
      <w:pPr>
        <w:rPr>
          <w:rFonts w:ascii="Verdana" w:hAnsi="Verdana"/>
          <w:sz w:val="18"/>
          <w:szCs w:val="18"/>
        </w:rPr>
      </w:pPr>
    </w:p>
    <w:p w:rsidRPr="001D7F4B" w:rsidR="008775C9" w:rsidP="008775C9" w:rsidRDefault="008775C9">
      <w:pPr>
        <w:rPr>
          <w:rFonts w:ascii="Verdana" w:hAnsi="Verdana"/>
        </w:rPr>
      </w:pPr>
    </w:p>
    <w:p w:rsidRPr="001D7F4B" w:rsidR="008775C9" w:rsidP="008775C9" w:rsidRDefault="008775C9">
      <w:pPr>
        <w:rPr>
          <w:rFonts w:ascii="Verdana" w:hAnsi="Verdana"/>
        </w:rPr>
      </w:pPr>
    </w:p>
    <w:p w:rsidRPr="001D7F4B" w:rsidR="008775C9" w:rsidP="008775C9" w:rsidRDefault="008775C9">
      <w:pPr>
        <w:pStyle w:val="Voetnoottekst"/>
        <w:rPr>
          <w:rFonts w:ascii="Verdana" w:hAnsi="Verdana"/>
        </w:rPr>
      </w:pPr>
    </w:p>
    <w:p w:rsidRPr="001D7F4B" w:rsidR="008775C9" w:rsidP="008775C9" w:rsidRDefault="008775C9"/>
    <w:p w:rsidRPr="001D7F4B" w:rsidR="008775C9" w:rsidP="008775C9" w:rsidRDefault="008775C9"/>
    <w:p w:rsidRPr="001D7F4B" w:rsidR="008775C9" w:rsidP="008775C9" w:rsidRDefault="008775C9"/>
    <w:p w:rsidRPr="001D7F4B" w:rsidR="0046131B" w:rsidRDefault="0046131B"/>
    <w:sectPr w:rsidRPr="001D7F4B" w:rsidR="0046131B" w:rsidSect="006A47E8">
      <w:footerReference w:type="default" r:id="rId18"/>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B9F" w:rsidRDefault="004B6B9F" w:rsidP="008775C9">
      <w:r>
        <w:separator/>
      </w:r>
    </w:p>
  </w:endnote>
  <w:endnote w:type="continuationSeparator" w:id="0">
    <w:p w:rsidR="004B6B9F" w:rsidRDefault="004B6B9F"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517A3B">
          <w:rPr>
            <w:rFonts w:asciiTheme="minorHAnsi" w:hAnsiTheme="minorHAnsi"/>
            <w:noProof/>
            <w:sz w:val="22"/>
            <w:szCs w:val="22"/>
          </w:rPr>
          <w:t>7</w:t>
        </w:r>
        <w:r w:rsidRPr="00BF35EE">
          <w:rPr>
            <w:rFonts w:asciiTheme="minorHAnsi" w:hAnsiTheme="minorHAnsi"/>
            <w:sz w:val="22"/>
            <w:szCs w:val="22"/>
          </w:rPr>
          <w:fldChar w:fldCharType="end"/>
        </w:r>
      </w:p>
    </w:sdtContent>
  </w:sdt>
  <w:p w:rsidR="005846F9" w:rsidRDefault="00517A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B9F" w:rsidRDefault="004B6B9F" w:rsidP="008775C9">
      <w:r>
        <w:separator/>
      </w:r>
    </w:p>
  </w:footnote>
  <w:footnote w:type="continuationSeparator" w:id="0">
    <w:p w:rsidR="004B6B9F" w:rsidRDefault="004B6B9F"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5C9"/>
    <w:rsid w:val="00000471"/>
    <w:rsid w:val="000152BA"/>
    <w:rsid w:val="00032E74"/>
    <w:rsid w:val="000553EC"/>
    <w:rsid w:val="000703BE"/>
    <w:rsid w:val="00077A11"/>
    <w:rsid w:val="00080700"/>
    <w:rsid w:val="000817A6"/>
    <w:rsid w:val="0009230A"/>
    <w:rsid w:val="00095203"/>
    <w:rsid w:val="00095742"/>
    <w:rsid w:val="001054B6"/>
    <w:rsid w:val="001635FC"/>
    <w:rsid w:val="00164AFF"/>
    <w:rsid w:val="0017040E"/>
    <w:rsid w:val="00175D08"/>
    <w:rsid w:val="00183FB5"/>
    <w:rsid w:val="00185618"/>
    <w:rsid w:val="00185A66"/>
    <w:rsid w:val="00196177"/>
    <w:rsid w:val="001D7F4B"/>
    <w:rsid w:val="001F199D"/>
    <w:rsid w:val="002246A5"/>
    <w:rsid w:val="00224D31"/>
    <w:rsid w:val="00227567"/>
    <w:rsid w:val="002567C8"/>
    <w:rsid w:val="0026057B"/>
    <w:rsid w:val="0027137C"/>
    <w:rsid w:val="00273A0F"/>
    <w:rsid w:val="002967AC"/>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6131B"/>
    <w:rsid w:val="0048527A"/>
    <w:rsid w:val="004A0445"/>
    <w:rsid w:val="004B6B9F"/>
    <w:rsid w:val="004C2E69"/>
    <w:rsid w:val="004D1972"/>
    <w:rsid w:val="004D35D6"/>
    <w:rsid w:val="00501483"/>
    <w:rsid w:val="0051504E"/>
    <w:rsid w:val="00517A3B"/>
    <w:rsid w:val="00523331"/>
    <w:rsid w:val="00536C52"/>
    <w:rsid w:val="005420AB"/>
    <w:rsid w:val="00551CCE"/>
    <w:rsid w:val="005946A6"/>
    <w:rsid w:val="005A2877"/>
    <w:rsid w:val="005C2E82"/>
    <w:rsid w:val="006063AD"/>
    <w:rsid w:val="006B6A65"/>
    <w:rsid w:val="006C705A"/>
    <w:rsid w:val="00743DDD"/>
    <w:rsid w:val="00744D60"/>
    <w:rsid w:val="00746F71"/>
    <w:rsid w:val="00761446"/>
    <w:rsid w:val="00764F41"/>
    <w:rsid w:val="00781D6B"/>
    <w:rsid w:val="007904B9"/>
    <w:rsid w:val="007E7E44"/>
    <w:rsid w:val="00803506"/>
    <w:rsid w:val="00805A06"/>
    <w:rsid w:val="008256C6"/>
    <w:rsid w:val="008422B3"/>
    <w:rsid w:val="008526E2"/>
    <w:rsid w:val="008775C9"/>
    <w:rsid w:val="00882D47"/>
    <w:rsid w:val="0089164C"/>
    <w:rsid w:val="008C6DDB"/>
    <w:rsid w:val="00905708"/>
    <w:rsid w:val="00937F8B"/>
    <w:rsid w:val="00946E5B"/>
    <w:rsid w:val="00956B10"/>
    <w:rsid w:val="0096397C"/>
    <w:rsid w:val="009B3E04"/>
    <w:rsid w:val="009D163E"/>
    <w:rsid w:val="009E6A25"/>
    <w:rsid w:val="009F77F1"/>
    <w:rsid w:val="00A2373B"/>
    <w:rsid w:val="00A24C1E"/>
    <w:rsid w:val="00A3565B"/>
    <w:rsid w:val="00A520DA"/>
    <w:rsid w:val="00A741CA"/>
    <w:rsid w:val="00AB2618"/>
    <w:rsid w:val="00AC7F2B"/>
    <w:rsid w:val="00B028CC"/>
    <w:rsid w:val="00B30B36"/>
    <w:rsid w:val="00B803EF"/>
    <w:rsid w:val="00BB20D2"/>
    <w:rsid w:val="00BC4469"/>
    <w:rsid w:val="00BC752C"/>
    <w:rsid w:val="00BE4600"/>
    <w:rsid w:val="00C123A1"/>
    <w:rsid w:val="00C15B68"/>
    <w:rsid w:val="00C3546B"/>
    <w:rsid w:val="00C45BE6"/>
    <w:rsid w:val="00C527BD"/>
    <w:rsid w:val="00C82B9A"/>
    <w:rsid w:val="00C9165B"/>
    <w:rsid w:val="00CC479E"/>
    <w:rsid w:val="00D05B54"/>
    <w:rsid w:val="00D25AAF"/>
    <w:rsid w:val="00D33F03"/>
    <w:rsid w:val="00D651A8"/>
    <w:rsid w:val="00D84194"/>
    <w:rsid w:val="00D92B5B"/>
    <w:rsid w:val="00DA4FC6"/>
    <w:rsid w:val="00DB138D"/>
    <w:rsid w:val="00E149AE"/>
    <w:rsid w:val="00E3560E"/>
    <w:rsid w:val="00E42EA8"/>
    <w:rsid w:val="00EA1E08"/>
    <w:rsid w:val="00F26C28"/>
    <w:rsid w:val="00F40BFC"/>
    <w:rsid w:val="00F54E40"/>
    <w:rsid w:val="00F61A7B"/>
    <w:rsid w:val="00F74F09"/>
    <w:rsid w:val="00FA790A"/>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fra.europa.eu/en/publication/2019/justice-victim-crime-proceedings" TargetMode="External" Id="rId13" /><Relationship Type="http://schemas.openxmlformats.org/officeDocument/2006/relationships/footer" Target="footer1.xml" Id="rId18" /><Relationship Type="http://schemas.openxmlformats.org/officeDocument/2006/relationships/settings" Target="settings.xml" Id="rId7" /><Relationship Type="http://schemas.openxmlformats.org/officeDocument/2006/relationships/hyperlink" Target="https://fra.europa.eu/en/publication/2019/justice-victim-crime-standards" TargetMode="External" Id="rId12" /><Relationship Type="http://schemas.openxmlformats.org/officeDocument/2006/relationships/hyperlink" Target="http://ec.europa.eu/yourvoice/consultations/index_nl.htm" TargetMode="External" Id="rId1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theme" Target="theme/theme1.xml" Id="rId20" /><Relationship Type="http://schemas.microsoft.com/office/2007/relationships/stylesWithEffects" Target="stylesWithEffects.xml" Id="rId6" /><Relationship Type="http://schemas.openxmlformats.org/officeDocument/2006/relationships/hyperlink" Target="http://www.ipex.eu/IPEXL-WEB/dossier/document/COM20190198.do" TargetMode="External" Id="rId11" /><Relationship Type="http://schemas.openxmlformats.org/officeDocument/2006/relationships/styles" Target="styles.xml" Id="rId5" /><Relationship Type="http://schemas.openxmlformats.org/officeDocument/2006/relationships/hyperlink" Target="https://fra.europa.eu/en/publication/2019/justice-victim-crime-women"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fra.europa.eu/en/publication/2019/justice-victim-crime-sanction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2951</ap:Words>
  <ap:Characters>16233</ap:Characters>
  <ap:DocSecurity>0</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2018-04-19T13:34:00.0000000Z</lastPrinted>
  <dcterms:created xsi:type="dcterms:W3CDTF">2019-05-16T11:33:00.0000000Z</dcterms:created>
  <dcterms:modified xsi:type="dcterms:W3CDTF">2019-05-17T16:50:00.0000000Z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