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3C2821">
        <w:rPr>
          <w:rFonts w:asciiTheme="minorHAnsi" w:hAnsiTheme="minorHAnsi"/>
          <w:sz w:val="22"/>
          <w:szCs w:val="22"/>
          <w:u w:val="single"/>
        </w:rPr>
        <w:t>we</w:t>
      </w:r>
      <w:r w:rsidRPr="003C2821" w:rsidR="005129ED">
        <w:rPr>
          <w:rFonts w:asciiTheme="minorHAnsi" w:hAnsiTheme="minorHAnsi"/>
          <w:sz w:val="22"/>
          <w:szCs w:val="22"/>
          <w:u w:val="single"/>
        </w:rPr>
        <w:t>ek</w:t>
      </w:r>
      <w:r w:rsidRPr="003C2821">
        <w:rPr>
          <w:rFonts w:asciiTheme="minorHAnsi" w:hAnsiTheme="minorHAnsi"/>
          <w:sz w:val="22"/>
          <w:szCs w:val="22"/>
          <w:u w:val="single"/>
        </w:rPr>
        <w:t xml:space="preserve"> </w:t>
      </w:r>
      <w:r w:rsidRPr="009747F7" w:rsidR="009747F7">
        <w:rPr>
          <w:rFonts w:asciiTheme="minorHAnsi" w:hAnsiTheme="minorHAnsi"/>
          <w:sz w:val="22"/>
          <w:szCs w:val="22"/>
          <w:u w:val="single"/>
        </w:rPr>
        <w:t>16-</w:t>
      </w:r>
      <w:r w:rsidR="00F145F8">
        <w:rPr>
          <w:rFonts w:asciiTheme="minorHAnsi" w:hAnsiTheme="minorHAnsi"/>
          <w:sz w:val="22"/>
          <w:szCs w:val="22"/>
          <w:u w:val="single"/>
        </w:rPr>
        <w:t>20</w:t>
      </w:r>
      <w:bookmarkStart w:name="_GoBack" w:id="0"/>
      <w:bookmarkEnd w:id="0"/>
      <w:r w:rsidRPr="009747F7">
        <w:rPr>
          <w:rFonts w:asciiTheme="minorHAnsi" w:hAnsiTheme="minorHAnsi"/>
          <w:sz w:val="22"/>
          <w:szCs w:val="22"/>
          <w:u w:val="single"/>
        </w:rPr>
        <w:t xml:space="preserve"> (</w:t>
      </w:r>
      <w:r w:rsidRPr="009747F7" w:rsidR="009747F7">
        <w:rPr>
          <w:rFonts w:asciiTheme="minorHAnsi" w:hAnsiTheme="minorHAnsi"/>
          <w:sz w:val="22"/>
          <w:szCs w:val="22"/>
          <w:u w:val="single"/>
        </w:rPr>
        <w:t>17 april</w:t>
      </w:r>
      <w:r w:rsidRPr="009747F7" w:rsidR="00FE4E3E">
        <w:rPr>
          <w:rFonts w:asciiTheme="minorHAnsi" w:hAnsiTheme="minorHAnsi"/>
          <w:sz w:val="22"/>
          <w:szCs w:val="22"/>
          <w:u w:val="single"/>
        </w:rPr>
        <w:t xml:space="preserve"> </w:t>
      </w:r>
      <w:r w:rsidRPr="009747F7" w:rsidR="006A0D87">
        <w:rPr>
          <w:rFonts w:asciiTheme="minorHAnsi" w:hAnsiTheme="minorHAnsi"/>
          <w:sz w:val="22"/>
          <w:szCs w:val="22"/>
          <w:u w:val="single"/>
        </w:rPr>
        <w:t>201</w:t>
      </w:r>
      <w:r w:rsidRPr="009747F7" w:rsidR="00031493">
        <w:rPr>
          <w:rFonts w:asciiTheme="minorHAnsi" w:hAnsiTheme="minorHAnsi"/>
          <w:sz w:val="22"/>
          <w:szCs w:val="22"/>
          <w:u w:val="single"/>
        </w:rPr>
        <w:t>9</w:t>
      </w:r>
      <w:r w:rsidRPr="009747F7" w:rsidR="00D06220">
        <w:rPr>
          <w:rFonts w:asciiTheme="minorHAnsi" w:hAnsiTheme="minorHAnsi"/>
          <w:sz w:val="22"/>
          <w:szCs w:val="22"/>
          <w:u w:val="single"/>
        </w:rPr>
        <w:t xml:space="preserve"> t/m </w:t>
      </w:r>
      <w:r w:rsidR="00F145F8">
        <w:rPr>
          <w:rFonts w:asciiTheme="minorHAnsi" w:hAnsiTheme="minorHAnsi"/>
          <w:sz w:val="22"/>
          <w:szCs w:val="22"/>
          <w:u w:val="single"/>
        </w:rPr>
        <w:t>15 mei</w:t>
      </w:r>
      <w:r w:rsidRPr="009747F7" w:rsidR="00753A21">
        <w:rPr>
          <w:rFonts w:asciiTheme="minorHAnsi" w:hAnsiTheme="minorHAnsi"/>
          <w:sz w:val="22"/>
          <w:szCs w:val="22"/>
          <w:u w:val="single"/>
        </w:rPr>
        <w:t xml:space="preserve"> 2019</w:t>
      </w:r>
      <w:r w:rsidRPr="009747F7">
        <w:rPr>
          <w:rFonts w:asciiTheme="minorHAnsi" w:hAnsiTheme="minorHAnsi"/>
          <w:sz w:val="22"/>
          <w:szCs w:val="22"/>
          <w:u w:val="single"/>
        </w:rPr>
        <w:t>)</w:t>
      </w:r>
      <w:r w:rsidRPr="003C2821">
        <w:rPr>
          <w:rFonts w:asciiTheme="minorHAnsi" w:hAnsiTheme="minorHAnsi"/>
          <w:sz w:val="22"/>
          <w:szCs w:val="22"/>
          <w:u w:val="single"/>
        </w:rPr>
        <w:t xml:space="preserve"> d.d. </w:t>
      </w:r>
      <w:r w:rsidR="00913A7C">
        <w:rPr>
          <w:rFonts w:asciiTheme="minorHAnsi" w:hAnsiTheme="minorHAnsi"/>
          <w:sz w:val="22"/>
          <w:szCs w:val="22"/>
          <w:u w:val="single"/>
        </w:rPr>
        <w:t>16 mei</w:t>
      </w:r>
      <w:r w:rsidR="00FE4E3E">
        <w:rPr>
          <w:rFonts w:asciiTheme="minorHAnsi" w:hAnsiTheme="minorHAnsi"/>
          <w:sz w:val="22"/>
          <w:szCs w:val="22"/>
          <w:u w:val="single"/>
        </w:rPr>
        <w:t xml:space="preserve"> </w:t>
      </w:r>
      <w:r w:rsidRPr="003C2821" w:rsidR="00A93A28">
        <w:rPr>
          <w:rFonts w:asciiTheme="minorHAnsi" w:hAnsiTheme="minorHAnsi"/>
          <w:sz w:val="22"/>
          <w:szCs w:val="22"/>
          <w:u w:val="single"/>
        </w:rPr>
        <w:t>201</w:t>
      </w:r>
      <w:r w:rsidRPr="003C2821" w:rsidR="00031493">
        <w:rPr>
          <w:rFonts w:asciiTheme="minorHAnsi" w:hAnsiTheme="minorHAnsi"/>
          <w:sz w:val="22"/>
          <w:szCs w:val="22"/>
          <w:u w:val="single"/>
        </w:rPr>
        <w:t>9</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753A21" w:rsidR="00913A7C" w:rsidTr="00913A7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913A7C" w:rsidP="00913A7C" w:rsidRDefault="00913A7C">
            <w:pPr>
              <w:jc w:val="center"/>
              <w:rPr>
                <w:rFonts w:ascii="Calibri" w:hAnsi="Calibri"/>
                <w:color w:val="000000"/>
                <w:sz w:val="22"/>
                <w:szCs w:val="22"/>
              </w:rPr>
            </w:pPr>
            <w:r>
              <w:rPr>
                <w:rFonts w:ascii="Calibri" w:hAnsi="Calibri"/>
                <w:color w:val="000000"/>
                <w:sz w:val="22"/>
                <w:szCs w:val="22"/>
              </w:rPr>
              <w:t>24-apr-19</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913A7C" w:rsidP="00913A7C" w:rsidRDefault="00913A7C">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913A7C" w:rsidP="00913A7C" w:rsidRDefault="00913A7C">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00913A7C" w:rsidRDefault="00913A7C">
            <w:pPr>
              <w:rPr>
                <w:rFonts w:ascii="Calibri" w:hAnsi="Calibri"/>
                <w:color w:val="000000"/>
                <w:sz w:val="22"/>
                <w:szCs w:val="22"/>
              </w:rPr>
            </w:pPr>
            <w:r>
              <w:rPr>
                <w:rFonts w:ascii="Calibri" w:hAnsi="Calibri"/>
                <w:color w:val="000000"/>
                <w:sz w:val="22"/>
                <w:szCs w:val="22"/>
              </w:rPr>
              <w:t xml:space="preserve">Trans-European Transport Network (TEN-T) </w:t>
            </w:r>
            <w:proofErr w:type="spellStart"/>
            <w:r>
              <w:rPr>
                <w:rFonts w:ascii="Calibri" w:hAnsi="Calibri"/>
                <w:color w:val="000000"/>
                <w:sz w:val="22"/>
                <w:szCs w:val="22"/>
              </w:rPr>
              <w:t>Guidelines</w:t>
            </w:r>
            <w:proofErr w:type="spellEnd"/>
            <w:r>
              <w:rPr>
                <w:rFonts w:ascii="Calibri" w:hAnsi="Calibri"/>
                <w:color w:val="000000"/>
                <w:sz w:val="22"/>
                <w:szCs w:val="22"/>
              </w:rPr>
              <w:t xml:space="preserve"> – </w:t>
            </w:r>
            <w:proofErr w:type="spellStart"/>
            <w:r>
              <w:rPr>
                <w:rFonts w:ascii="Calibri" w:hAnsi="Calibri"/>
                <w:color w:val="000000"/>
                <w:sz w:val="22"/>
                <w:szCs w:val="22"/>
              </w:rPr>
              <w:t>evaluation</w:t>
            </w:r>
            <w:proofErr w:type="spellEnd"/>
          </w:p>
        </w:tc>
        <w:tc>
          <w:tcPr>
            <w:tcW w:w="1506" w:type="dxa"/>
            <w:tcBorders>
              <w:top w:val="single" w:color="auto" w:sz="4" w:space="0"/>
              <w:left w:val="single" w:color="auto" w:sz="4" w:space="0"/>
              <w:bottom w:val="single" w:color="auto" w:sz="4" w:space="0"/>
              <w:right w:val="single" w:color="auto" w:sz="4" w:space="0"/>
            </w:tcBorders>
            <w:shd w:val="clear" w:color="auto" w:fill="auto"/>
            <w:noWrap/>
          </w:tcPr>
          <w:p w:rsidR="00913A7C" w:rsidRDefault="00913A7C">
            <w:pPr>
              <w:jc w:val="center"/>
              <w:rPr>
                <w:rFonts w:ascii="Calibri" w:hAnsi="Calibri"/>
                <w:color w:val="0000FF"/>
                <w:sz w:val="22"/>
                <w:szCs w:val="22"/>
                <w:u w:val="single"/>
              </w:rPr>
            </w:pPr>
            <w:hyperlink w:history="1" r:id="rId9">
              <w:r>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913A7C" w:rsidP="00B02AB8" w:rsidRDefault="00913A7C">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913A7C" w:rsidP="00506FCC" w:rsidRDefault="00913A7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913A7C" w:rsidP="00506FCC" w:rsidRDefault="00913A7C">
            <w:pPr>
              <w:rPr>
                <w:rFonts w:asciiTheme="minorHAnsi" w:hAnsiTheme="minorHAnsi"/>
                <w:color w:val="000000"/>
                <w:sz w:val="22"/>
                <w:szCs w:val="22"/>
              </w:rPr>
            </w:pPr>
          </w:p>
          <w:p w:rsidRPr="00753A21" w:rsidR="00913A7C" w:rsidP="009747F7" w:rsidRDefault="00913A7C">
            <w:pPr>
              <w:rPr>
                <w:rFonts w:asciiTheme="minorHAnsi" w:hAnsiTheme="minorHAnsi"/>
                <w:color w:val="000000"/>
                <w:sz w:val="22"/>
                <w:szCs w:val="22"/>
              </w:rPr>
            </w:pPr>
            <w:r>
              <w:rPr>
                <w:rFonts w:asciiTheme="minorHAnsi" w:hAnsiTheme="minorHAnsi"/>
                <w:color w:val="000000"/>
                <w:sz w:val="22"/>
                <w:szCs w:val="22"/>
              </w:rPr>
              <w:t xml:space="preserve">Noot: </w:t>
            </w:r>
            <w:r>
              <w:rPr>
                <w:rFonts w:ascii="Calibri" w:hAnsi="Calibri"/>
                <w:color w:val="000000"/>
                <w:sz w:val="22"/>
                <w:szCs w:val="22"/>
              </w:rPr>
              <w:t>de reactietermijn voor deze raadpleging verloopt op</w:t>
            </w:r>
            <w:r>
              <w:rPr>
                <w:rFonts w:asciiTheme="minorHAnsi" w:hAnsiTheme="minorHAnsi"/>
                <w:color w:val="000000"/>
                <w:sz w:val="22"/>
                <w:szCs w:val="22"/>
              </w:rPr>
              <w:t xml:space="preserve"> </w:t>
            </w:r>
            <w:r w:rsidR="009747F7">
              <w:rPr>
                <w:rFonts w:asciiTheme="minorHAnsi" w:hAnsiTheme="minorHAnsi"/>
                <w:color w:val="000000"/>
                <w:sz w:val="22"/>
                <w:szCs w:val="22"/>
              </w:rPr>
              <w:t>17 juli</w:t>
            </w:r>
            <w:r>
              <w:rPr>
                <w:rFonts w:asciiTheme="minorHAnsi" w:hAnsiTheme="minorHAnsi"/>
                <w:color w:val="000000"/>
                <w:sz w:val="22"/>
                <w:szCs w:val="22"/>
              </w:rPr>
              <w:t xml:space="preserve"> 2019.</w:t>
            </w:r>
          </w:p>
        </w:tc>
      </w:tr>
    </w:tbl>
    <w:p w:rsidRPr="00753A21" w:rsidR="00B02AB8" w:rsidP="00D0746E" w:rsidRDefault="00B02AB8">
      <w:pPr>
        <w:rPr>
          <w:rFonts w:ascii="Verdana" w:hAnsi="Verdana"/>
          <w:b/>
        </w:rPr>
      </w:pPr>
    </w:p>
    <w:p w:rsidRPr="00753A21" w:rsidR="00B02AB8" w:rsidRDefault="00B02AB8">
      <w:pPr>
        <w:rPr>
          <w:rFonts w:ascii="Verdana" w:hAnsi="Verdana"/>
          <w:b/>
        </w:rPr>
      </w:pPr>
      <w:r w:rsidRPr="00753A21">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39" w:rsidRDefault="00C44C39" w:rsidP="00E34A2D">
      <w:r>
        <w:separator/>
      </w:r>
    </w:p>
  </w:endnote>
  <w:endnote w:type="continuationSeparator" w:id="0">
    <w:p w:rsidR="00C44C39" w:rsidRDefault="00C44C3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39" w:rsidRDefault="00C44C39" w:rsidP="00E34A2D">
      <w:r>
        <w:separator/>
      </w:r>
    </w:p>
  </w:footnote>
  <w:footnote w:type="continuationSeparator" w:id="0">
    <w:p w:rsidR="00C44C39" w:rsidRDefault="00C44C3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31493"/>
    <w:rsid w:val="00042518"/>
    <w:rsid w:val="0004740C"/>
    <w:rsid w:val="00053A21"/>
    <w:rsid w:val="00057DE3"/>
    <w:rsid w:val="00066693"/>
    <w:rsid w:val="00076F95"/>
    <w:rsid w:val="000842C8"/>
    <w:rsid w:val="000A2B12"/>
    <w:rsid w:val="000D1E1E"/>
    <w:rsid w:val="000E4734"/>
    <w:rsid w:val="000F7673"/>
    <w:rsid w:val="001717B9"/>
    <w:rsid w:val="00191F74"/>
    <w:rsid w:val="00200C1D"/>
    <w:rsid w:val="00214592"/>
    <w:rsid w:val="00223DF9"/>
    <w:rsid w:val="0022783E"/>
    <w:rsid w:val="00273611"/>
    <w:rsid w:val="0029051D"/>
    <w:rsid w:val="002A1C59"/>
    <w:rsid w:val="002D63DE"/>
    <w:rsid w:val="002E6DA8"/>
    <w:rsid w:val="00316C98"/>
    <w:rsid w:val="003510B5"/>
    <w:rsid w:val="00376ACC"/>
    <w:rsid w:val="003776E2"/>
    <w:rsid w:val="003B762C"/>
    <w:rsid w:val="003C2821"/>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53A21"/>
    <w:rsid w:val="0076598A"/>
    <w:rsid w:val="00777493"/>
    <w:rsid w:val="00796A54"/>
    <w:rsid w:val="007B3194"/>
    <w:rsid w:val="007B34BC"/>
    <w:rsid w:val="007D40B9"/>
    <w:rsid w:val="007E3D88"/>
    <w:rsid w:val="00811362"/>
    <w:rsid w:val="008309FF"/>
    <w:rsid w:val="008E0742"/>
    <w:rsid w:val="008E28F7"/>
    <w:rsid w:val="00913A7C"/>
    <w:rsid w:val="009160FA"/>
    <w:rsid w:val="00916D21"/>
    <w:rsid w:val="00917FCF"/>
    <w:rsid w:val="0092554C"/>
    <w:rsid w:val="00931F2B"/>
    <w:rsid w:val="009419E4"/>
    <w:rsid w:val="009464F8"/>
    <w:rsid w:val="00964C2E"/>
    <w:rsid w:val="00974103"/>
    <w:rsid w:val="009747F7"/>
    <w:rsid w:val="009A0FC6"/>
    <w:rsid w:val="009A4778"/>
    <w:rsid w:val="009B4843"/>
    <w:rsid w:val="009C388A"/>
    <w:rsid w:val="009E3021"/>
    <w:rsid w:val="00A137D8"/>
    <w:rsid w:val="00A3314F"/>
    <w:rsid w:val="00A54D1F"/>
    <w:rsid w:val="00A7095F"/>
    <w:rsid w:val="00A93A28"/>
    <w:rsid w:val="00A95F68"/>
    <w:rsid w:val="00AC7F3C"/>
    <w:rsid w:val="00AD2751"/>
    <w:rsid w:val="00AD4E0E"/>
    <w:rsid w:val="00AE5D29"/>
    <w:rsid w:val="00AF3F1D"/>
    <w:rsid w:val="00B02AB8"/>
    <w:rsid w:val="00B06716"/>
    <w:rsid w:val="00B31027"/>
    <w:rsid w:val="00B35E56"/>
    <w:rsid w:val="00B464EB"/>
    <w:rsid w:val="00B72264"/>
    <w:rsid w:val="00B76BD3"/>
    <w:rsid w:val="00BB0A70"/>
    <w:rsid w:val="00BC696D"/>
    <w:rsid w:val="00BE6A10"/>
    <w:rsid w:val="00BF542D"/>
    <w:rsid w:val="00C00CFA"/>
    <w:rsid w:val="00C40D4F"/>
    <w:rsid w:val="00C44C39"/>
    <w:rsid w:val="00C70943"/>
    <w:rsid w:val="00CD2557"/>
    <w:rsid w:val="00CD3A5D"/>
    <w:rsid w:val="00CD43B9"/>
    <w:rsid w:val="00D004FC"/>
    <w:rsid w:val="00D06220"/>
    <w:rsid w:val="00D0746E"/>
    <w:rsid w:val="00D33133"/>
    <w:rsid w:val="00D51C73"/>
    <w:rsid w:val="00D52CF9"/>
    <w:rsid w:val="00D729AB"/>
    <w:rsid w:val="00D775CA"/>
    <w:rsid w:val="00D9615E"/>
    <w:rsid w:val="00D96C24"/>
    <w:rsid w:val="00DA08F5"/>
    <w:rsid w:val="00DE2C83"/>
    <w:rsid w:val="00E048A7"/>
    <w:rsid w:val="00E34A2D"/>
    <w:rsid w:val="00E51267"/>
    <w:rsid w:val="00E51AB5"/>
    <w:rsid w:val="00E52F23"/>
    <w:rsid w:val="00E60E54"/>
    <w:rsid w:val="00E72B18"/>
    <w:rsid w:val="00E77821"/>
    <w:rsid w:val="00EA2272"/>
    <w:rsid w:val="00EC0FC2"/>
    <w:rsid w:val="00ED40CC"/>
    <w:rsid w:val="00F04FFD"/>
    <w:rsid w:val="00F1172E"/>
    <w:rsid w:val="00F145F8"/>
    <w:rsid w:val="00F3194C"/>
    <w:rsid w:val="00F552B9"/>
    <w:rsid w:val="00F74ED7"/>
    <w:rsid w:val="00FA15B5"/>
    <w:rsid w:val="00FA27D6"/>
    <w:rsid w:val="00FC67DB"/>
    <w:rsid w:val="00FE39EB"/>
    <w:rsid w:val="00FE457B"/>
    <w:rsid w:val="00FE4E3E"/>
    <w:rsid w:val="00FE5BF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92631715">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info/law/better-regulation/initiatives/ares-2018-4706847_en"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2054</ap:Words>
  <ap:Characters>13597</ap:Characters>
  <ap:DocSecurity>0</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2019-05-16T11:48:00.0000000Z</dcterms:created>
  <dcterms:modified xsi:type="dcterms:W3CDTF">2019-05-16T11:48:00.0000000Z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0x010100BDA1875EE32E884BAAF912F3364D60A5</vt:lpwstr>
  </property>
</Properties>
</file>