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71" w:rsidP="00886D71" w:rsidRDefault="00886D71">
      <w:pPr>
        <w:autoSpaceDE w:val="0"/>
        <w:adjustRightInd w:val="0"/>
        <w:textAlignment w:val="auto"/>
        <w:rPr>
          <w:b/>
          <w:noProof/>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86D71" w:rsidTr="00430BE9">
        <w:tc>
          <w:tcPr>
            <w:tcW w:w="5828" w:type="dxa"/>
            <w:gridSpan w:val="2"/>
          </w:tcPr>
          <w:p w:rsidRPr="00B148EA" w:rsidR="00886D71" w:rsidP="00430BE9" w:rsidRDefault="00886D71">
            <w:r w:rsidRPr="00B148EA">
              <w:rPr>
                <w:noProof/>
              </w:rPr>
              <w:drawing>
                <wp:inline distT="0" distB="0" distL="0" distR="0" wp14:anchorId="609111DE" wp14:editId="38675707">
                  <wp:extent cx="3564000" cy="1260000"/>
                  <wp:effectExtent l="0" t="0" r="0" b="0"/>
                  <wp:docPr id="13" name="Afbeelding 13"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886D71" w:rsidP="00430BE9" w:rsidRDefault="00886D71"/>
          <w:p w:rsidRPr="009B3A0F" w:rsidR="00886D71" w:rsidP="00430BE9" w:rsidRDefault="00886D71"/>
          <w:p w:rsidRPr="009B3A0F" w:rsidR="00886D71" w:rsidP="00430BE9" w:rsidRDefault="00886D71"/>
          <w:p w:rsidRPr="009B3A0F" w:rsidR="00886D71" w:rsidP="00430BE9" w:rsidRDefault="00886D71"/>
          <w:p w:rsidRPr="00B148EA" w:rsidR="00886D71" w:rsidP="00430BE9" w:rsidRDefault="00886D71">
            <w:pPr>
              <w:jc w:val="right"/>
              <w:rPr>
                <w:b/>
                <w:sz w:val="22"/>
                <w:szCs w:val="22"/>
              </w:rPr>
            </w:pPr>
            <w:r w:rsidRPr="00B148EA">
              <w:rPr>
                <w:b/>
              </w:rPr>
              <w:t>Commissie Financiën</w:t>
            </w:r>
          </w:p>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886D71" w:rsidTr="00430BE9">
        <w:tc>
          <w:tcPr>
            <w:tcW w:w="5828" w:type="dxa"/>
            <w:gridSpan w:val="2"/>
          </w:tcPr>
          <w:p w:rsidRPr="00B148EA" w:rsidR="00886D71" w:rsidP="00430BE9" w:rsidRDefault="00886D71"/>
        </w:tc>
        <w:tc>
          <w:tcPr>
            <w:tcW w:w="3820" w:type="dxa"/>
          </w:tcPr>
          <w:p w:rsidRPr="00B148EA" w:rsidR="00886D71" w:rsidP="00430BE9" w:rsidRDefault="00886D71"/>
        </w:tc>
      </w:tr>
      <w:tr w:rsidRPr="00B148EA" w:rsidR="00886D71" w:rsidTr="00430BE9">
        <w:tc>
          <w:tcPr>
            <w:tcW w:w="5828" w:type="dxa"/>
            <w:gridSpan w:val="2"/>
          </w:tcPr>
          <w:p w:rsidRPr="00B148EA" w:rsidR="00886D71" w:rsidP="00430BE9" w:rsidRDefault="00886D71"/>
        </w:tc>
        <w:tc>
          <w:tcPr>
            <w:tcW w:w="3820" w:type="dxa"/>
          </w:tcPr>
          <w:p w:rsidRPr="00B148EA" w:rsidR="00886D71" w:rsidP="00430BE9" w:rsidRDefault="00886D71"/>
        </w:tc>
      </w:tr>
      <w:tr w:rsidRPr="00B148EA" w:rsidR="00886D71" w:rsidTr="00430BE9">
        <w:tc>
          <w:tcPr>
            <w:tcW w:w="5828" w:type="dxa"/>
            <w:gridSpan w:val="2"/>
          </w:tcPr>
          <w:p w:rsidRPr="00B148EA" w:rsidR="00886D71" w:rsidP="001A1EEC" w:rsidRDefault="00886D71">
            <w:r w:rsidRPr="00B148EA">
              <w:t>Aan de</w:t>
            </w:r>
            <w:r>
              <w:t xml:space="preserve"> voorzitters van de commissies voor BiZa, BuZa, Defensie, EZK, </w:t>
            </w:r>
            <w:proofErr w:type="spellStart"/>
            <w:r>
              <w:t>IenW</w:t>
            </w:r>
            <w:proofErr w:type="spellEnd"/>
            <w:r>
              <w:t xml:space="preserve">, </w:t>
            </w:r>
            <w:proofErr w:type="spellStart"/>
            <w:r>
              <w:t>JenV</w:t>
            </w:r>
            <w:proofErr w:type="spellEnd"/>
            <w:r>
              <w:t>, KR, LNV, OCW, SZW, VWS en BuHa-OS</w:t>
            </w:r>
          </w:p>
        </w:tc>
        <w:tc>
          <w:tcPr>
            <w:tcW w:w="3820" w:type="dxa"/>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1809" w:type="dxa"/>
          </w:tcPr>
          <w:p w:rsidRPr="00B148EA" w:rsidR="00886D71" w:rsidP="00430BE9" w:rsidRDefault="00886D71">
            <w:pPr>
              <w:rPr>
                <w:sz w:val="16"/>
              </w:rPr>
            </w:pPr>
            <w:r w:rsidRPr="00B148EA">
              <w:rPr>
                <w:sz w:val="16"/>
              </w:rPr>
              <w:t>Plaats en datum:</w:t>
            </w:r>
          </w:p>
        </w:tc>
        <w:tc>
          <w:tcPr>
            <w:tcW w:w="7839" w:type="dxa"/>
            <w:gridSpan w:val="2"/>
          </w:tcPr>
          <w:p w:rsidRPr="00B148EA" w:rsidR="00886D71" w:rsidP="001A1EEC" w:rsidRDefault="00886D71">
            <w:r w:rsidRPr="00B148EA">
              <w:t xml:space="preserve">Den Haag, </w:t>
            </w:r>
            <w:r>
              <w:t>2</w:t>
            </w:r>
            <w:r w:rsidR="001A1EEC">
              <w:t>1</w:t>
            </w:r>
            <w:r>
              <w:t xml:space="preserve"> </w:t>
            </w:r>
            <w:r w:rsidR="001A1EEC">
              <w:t>februari</w:t>
            </w:r>
            <w:r>
              <w:t xml:space="preserve"> 201</w:t>
            </w:r>
            <w:r w:rsidR="001A1EEC">
              <w:t>9</w:t>
            </w:r>
          </w:p>
        </w:tc>
      </w:tr>
      <w:tr w:rsidRPr="00B148EA" w:rsidR="00886D71" w:rsidTr="00430BE9">
        <w:tc>
          <w:tcPr>
            <w:tcW w:w="1809" w:type="dxa"/>
          </w:tcPr>
          <w:p w:rsidRPr="00B148EA" w:rsidR="00886D71" w:rsidP="00430BE9" w:rsidRDefault="00886D71">
            <w:pPr>
              <w:rPr>
                <w:sz w:val="16"/>
              </w:rPr>
            </w:pPr>
            <w:r w:rsidRPr="00B148EA">
              <w:rPr>
                <w:sz w:val="16"/>
              </w:rPr>
              <w:t>Betreft:</w:t>
            </w:r>
          </w:p>
        </w:tc>
        <w:tc>
          <w:tcPr>
            <w:tcW w:w="7839" w:type="dxa"/>
            <w:gridSpan w:val="2"/>
          </w:tcPr>
          <w:p w:rsidRPr="00B148EA" w:rsidR="00886D71" w:rsidP="00430BE9" w:rsidRDefault="001A1EEC">
            <w:r>
              <w:t>B</w:t>
            </w:r>
            <w:r w:rsidRPr="001A1EEC">
              <w:t>ehandeling van de departementale initiatieven die onderdeel uitmaken van de operatie Inzicht in Kwaliteit</w:t>
            </w:r>
          </w:p>
        </w:tc>
      </w:tr>
      <w:tr w:rsidRPr="00B148EA" w:rsidR="00886D71" w:rsidTr="00430BE9">
        <w:tc>
          <w:tcPr>
            <w:tcW w:w="1809" w:type="dxa"/>
          </w:tcPr>
          <w:p w:rsidRPr="00B148EA" w:rsidR="00886D71" w:rsidP="00430BE9" w:rsidRDefault="00886D71">
            <w:pPr>
              <w:rPr>
                <w:sz w:val="16"/>
              </w:rPr>
            </w:pPr>
            <w:r w:rsidRPr="00B148EA">
              <w:rPr>
                <w:sz w:val="16"/>
              </w:rPr>
              <w:t>Ons kenmerk:</w:t>
            </w:r>
          </w:p>
        </w:tc>
        <w:tc>
          <w:tcPr>
            <w:tcW w:w="7839" w:type="dxa"/>
            <w:gridSpan w:val="2"/>
          </w:tcPr>
          <w:p w:rsidRPr="009932E7" w:rsidR="00886D71" w:rsidP="00430BE9" w:rsidRDefault="001A1EEC">
            <w:r w:rsidRPr="001A1EEC">
              <w:t>2019Z03523</w:t>
            </w:r>
            <w:r w:rsidR="009932E7">
              <w:rPr>
                <w:rFonts w:ascii="Segoe UI" w:hAnsi="Segoe UI" w:cs="Segoe UI"/>
                <w:color w:val="000080"/>
              </w:rPr>
              <w:t xml:space="preserve"> /</w:t>
            </w:r>
            <w:r>
              <w:t xml:space="preserve"> </w:t>
            </w:r>
            <w:r w:rsidRPr="001A1EEC">
              <w:t>2019D07540</w:t>
            </w:r>
          </w:p>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bl>
    <w:p w:rsidR="00102A12" w:rsidP="00102A12" w:rsidRDefault="00102A12">
      <w:r>
        <w:t>Geachte voorzitters,</w:t>
      </w:r>
    </w:p>
    <w:p w:rsidR="00102A12" w:rsidP="00102A12" w:rsidRDefault="00102A12"/>
    <w:p w:rsidR="00102A12" w:rsidP="00102A12" w:rsidRDefault="00102A12">
      <w:r>
        <w:t>In deze brief adviseert de vaste commissie voor Financiën u over de behandeling van de departementale initiatieven die onderdeel uitmaken van de operatie Inzicht in Kwaliteit</w:t>
      </w:r>
      <w:r w:rsidRPr="009E7C1F">
        <w:t>.</w:t>
      </w:r>
    </w:p>
    <w:p w:rsidR="00102A12" w:rsidP="00102A12" w:rsidRDefault="00102A12"/>
    <w:p w:rsidRPr="00AB5268" w:rsidR="00102A12" w:rsidP="00102A12" w:rsidRDefault="00102A12">
      <w:pPr>
        <w:rPr>
          <w:b/>
        </w:rPr>
      </w:pPr>
      <w:r w:rsidRPr="00AB5268">
        <w:rPr>
          <w:b/>
        </w:rPr>
        <w:t>Operatie Inzicht in Kwaliteit</w:t>
      </w:r>
    </w:p>
    <w:p w:rsidR="00102A12" w:rsidP="00102A12" w:rsidRDefault="00102A12">
      <w:r>
        <w:t xml:space="preserve">Zoals aangekondigd in het regeerakkoord ‘Vertrouwen in de toekomst’ is het kabinet gestart met de operatie Inzicht in Kwaliteit. Deze </w:t>
      </w:r>
      <w:hyperlink w:history="1" r:id="rId12">
        <w:r w:rsidRPr="00B75173">
          <w:rPr>
            <w:rStyle w:val="Hyperlink"/>
          </w:rPr>
          <w:t>operatie</w:t>
        </w:r>
      </w:hyperlink>
      <w:r>
        <w:t xml:space="preserve"> heeft twee sporen met bijbehorende doelen:</w:t>
      </w:r>
    </w:p>
    <w:p w:rsidR="00102A12" w:rsidP="00102A12" w:rsidRDefault="00102A12">
      <w:pPr>
        <w:pStyle w:val="Lijstalinea"/>
        <w:numPr>
          <w:ilvl w:val="0"/>
          <w:numId w:val="2"/>
        </w:numPr>
      </w:pPr>
      <w:r>
        <w:t xml:space="preserve">het vergroten van de maatschappelijk toegevoegde waarde van beleid; en </w:t>
      </w:r>
    </w:p>
    <w:p w:rsidR="00102A12" w:rsidP="00102A12" w:rsidRDefault="00102A12">
      <w:pPr>
        <w:pStyle w:val="Lijstalinea"/>
        <w:numPr>
          <w:ilvl w:val="0"/>
          <w:numId w:val="2"/>
        </w:numPr>
      </w:pPr>
      <w:r>
        <w:t>de overheid als lerende organisatie.</w:t>
      </w:r>
    </w:p>
    <w:p w:rsidR="00102A12" w:rsidP="00102A12" w:rsidRDefault="00102A12"/>
    <w:p w:rsidR="00102A12" w:rsidP="00102A12" w:rsidRDefault="00102A12">
      <w:pPr>
        <w:autoSpaceDN/>
        <w:textAlignment w:val="auto"/>
        <w:rPr>
          <w:rFonts w:ascii="Times New Roman" w:hAnsi="Times New Roman" w:eastAsia="Times New Roman" w:cs="Times New Roman"/>
          <w:noProof/>
          <w:color w:val="auto"/>
          <w:sz w:val="24"/>
          <w:szCs w:val="24"/>
        </w:rPr>
      </w:pPr>
      <w:r w:rsidRPr="004A470A">
        <w:rPr>
          <w:noProof/>
        </w:rPr>
        <w:drawing>
          <wp:inline distT="0" distB="0" distL="0" distR="0" wp14:anchorId="0550D569" wp14:editId="0917C77C">
            <wp:extent cx="3058510" cy="1655379"/>
            <wp:effectExtent l="38100" t="19050" r="8890" b="406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626FA2" w:rsidR="00102A12" w:rsidP="00102A12" w:rsidRDefault="00102A12">
      <w:pPr>
        <w:autoSpaceDN/>
        <w:textAlignment w:val="auto"/>
        <w:rPr>
          <w:rFonts w:ascii="Times New Roman" w:hAnsi="Times New Roman" w:eastAsia="Times New Roman" w:cs="Times New Roman"/>
          <w:noProof/>
          <w:color w:val="auto"/>
          <w:sz w:val="24"/>
          <w:szCs w:val="24"/>
        </w:rPr>
      </w:pPr>
    </w:p>
    <w:p w:rsidR="00102A12" w:rsidP="00102A12" w:rsidRDefault="00102A12">
      <w:r>
        <w:t xml:space="preserve">Het eerste spoor moet leiden tot meer inzicht in de resultaten van beleid en meer maatschappelijk toegevoegde waarde van beleid. </w:t>
      </w:r>
      <w:r w:rsidRPr="006C2DA3">
        <w:t xml:space="preserve">Het tweede spoor </w:t>
      </w:r>
      <w:r>
        <w:t xml:space="preserve">moet leiden tot </w:t>
      </w:r>
      <w:r w:rsidRPr="006C2DA3">
        <w:t xml:space="preserve">aantoonbare stappen richting </w:t>
      </w:r>
      <w:r>
        <w:t>een overheid die leert van ervaringen en lessen uit eerder beleid, de praktijk en/of onderzoek (cultuurverandering).</w:t>
      </w:r>
    </w:p>
    <w:p w:rsidR="00102A12" w:rsidP="00102A12" w:rsidRDefault="00102A12">
      <w:pPr>
        <w:rPr>
          <w:b/>
        </w:rPr>
      </w:pPr>
    </w:p>
    <w:p w:rsidR="00102A12" w:rsidP="00102A12" w:rsidRDefault="00102A12">
      <w:r>
        <w:t xml:space="preserve">Op 4 februari 2019 heeft de minister van Financiën zijn eerste halfjaarlijkse </w:t>
      </w:r>
      <w:hyperlink w:history="1" r:id="rId18">
        <w:r w:rsidRPr="00403EA9">
          <w:rPr>
            <w:rStyle w:val="Hyperlink"/>
          </w:rPr>
          <w:t>voortgangsrapportage</w:t>
        </w:r>
      </w:hyperlink>
      <w:r>
        <w:t xml:space="preserve"> over de operatie naar de Kamer gestuurd.</w:t>
      </w:r>
    </w:p>
    <w:p w:rsidR="00102A12" w:rsidP="00102A12" w:rsidRDefault="00102A12">
      <w:pPr>
        <w:rPr>
          <w:b/>
        </w:rPr>
      </w:pPr>
    </w:p>
    <w:p w:rsidRPr="00966992" w:rsidR="00102A12" w:rsidP="00102A12" w:rsidRDefault="00102A12">
      <w:pPr>
        <w:rPr>
          <w:b/>
        </w:rPr>
      </w:pPr>
      <w:bookmarkStart w:name="_GoBack" w:id="0"/>
      <w:bookmarkEnd w:id="0"/>
      <w:r>
        <w:rPr>
          <w:b/>
        </w:rPr>
        <w:lastRenderedPageBreak/>
        <w:t>D</w:t>
      </w:r>
      <w:r w:rsidRPr="00966992">
        <w:rPr>
          <w:b/>
        </w:rPr>
        <w:t>epartementale initiatieven</w:t>
      </w:r>
      <w:r>
        <w:rPr>
          <w:b/>
        </w:rPr>
        <w:t xml:space="preserve"> (spoor 1)</w:t>
      </w:r>
    </w:p>
    <w:p w:rsidR="00102A12" w:rsidP="00102A12" w:rsidRDefault="00102A12">
      <w:r>
        <w:t xml:space="preserve">De minister van Financiën heeft met </w:t>
      </w:r>
      <w:r w:rsidRPr="005D0EBA">
        <w:t xml:space="preserve">alle departementen </w:t>
      </w:r>
      <w:r w:rsidRPr="005D0EBA">
        <w:rPr>
          <w:bCs/>
        </w:rPr>
        <w:t xml:space="preserve">initiatieven geselecteerd voor </w:t>
      </w:r>
      <w:r>
        <w:rPr>
          <w:bCs/>
        </w:rPr>
        <w:t>het</w:t>
      </w:r>
      <w:r w:rsidRPr="005D0EBA">
        <w:rPr>
          <w:bCs/>
        </w:rPr>
        <w:t xml:space="preserve"> </w:t>
      </w:r>
      <w:r>
        <w:rPr>
          <w:bCs/>
        </w:rPr>
        <w:t>‘</w:t>
      </w:r>
      <w:r w:rsidRPr="005D0EBA">
        <w:rPr>
          <w:bCs/>
        </w:rPr>
        <w:t xml:space="preserve">eerste </w:t>
      </w:r>
      <w:r>
        <w:rPr>
          <w:bCs/>
        </w:rPr>
        <w:t>spoor’</w:t>
      </w:r>
      <w:r w:rsidRPr="005D0EBA">
        <w:rPr>
          <w:bCs/>
        </w:rPr>
        <w:t xml:space="preserve"> van de operatie</w:t>
      </w:r>
      <w:r>
        <w:rPr>
          <w:bCs/>
        </w:rPr>
        <w:t xml:space="preserve"> (zie tabel 1 en </w:t>
      </w:r>
      <w:hyperlink w:history="1" r:id="rId19">
        <w:r w:rsidRPr="00492A14">
          <w:rPr>
            <w:rStyle w:val="Hyperlink"/>
            <w:bCs/>
          </w:rPr>
          <w:t>bijlage 1</w:t>
        </w:r>
      </w:hyperlink>
      <w:r>
        <w:rPr>
          <w:bCs/>
        </w:rPr>
        <w:t xml:space="preserve"> van de voortgangsrapportage voor de toelichting per initiatief)</w:t>
      </w:r>
      <w:r w:rsidRPr="005D0EBA">
        <w:t xml:space="preserve">. Deze initiatieven zijn </w:t>
      </w:r>
      <w:r>
        <w:t xml:space="preserve">onder meer </w:t>
      </w:r>
      <w:r w:rsidRPr="005D0EBA">
        <w:t xml:space="preserve">geselecteerd </w:t>
      </w:r>
      <w:r>
        <w:t xml:space="preserve">vanwege de </w:t>
      </w:r>
      <w:r w:rsidRPr="005D0EBA">
        <w:t xml:space="preserve">overtuiging dat meer inzicht op </w:t>
      </w:r>
      <w:r>
        <w:t xml:space="preserve">het betreffende </w:t>
      </w:r>
      <w:r w:rsidRPr="005D0EBA">
        <w:t xml:space="preserve">terrein </w:t>
      </w:r>
      <w:r>
        <w:t>de</w:t>
      </w:r>
      <w:r w:rsidRPr="005D0EBA">
        <w:t xml:space="preserve"> maatschappelijke toegevoegde waarde </w:t>
      </w:r>
      <w:r>
        <w:t xml:space="preserve">kan verhogen. </w:t>
      </w:r>
    </w:p>
    <w:p w:rsidR="00102A12" w:rsidP="00102A12" w:rsidRDefault="00102A12"/>
    <w:p w:rsidR="00102A12" w:rsidP="00102A12" w:rsidRDefault="00102A12">
      <w:r>
        <w:t>Tabel 1. Overzicht departementale initiatieven</w:t>
      </w:r>
    </w:p>
    <w:tbl>
      <w:tblPr>
        <w:tblStyle w:val="Lichtelijst-accent1"/>
        <w:tblW w:w="0" w:type="auto"/>
        <w:tblLook w:val="04A0" w:firstRow="1" w:lastRow="0" w:firstColumn="1" w:lastColumn="0" w:noHBand="0" w:noVBand="1"/>
      </w:tblPr>
      <w:tblGrid>
        <w:gridCol w:w="534"/>
        <w:gridCol w:w="1275"/>
        <w:gridCol w:w="6325"/>
      </w:tblGrid>
      <w:tr w:rsidRPr="00403EA9" w:rsidR="00102A12" w:rsidTr="00714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Pr="00403EA9" w:rsidR="00102A12" w:rsidP="0071499E" w:rsidRDefault="00102A12">
            <w:pPr>
              <w:rPr>
                <w:color w:val="FFFFFF" w:themeColor="background1"/>
              </w:rPr>
            </w:pPr>
            <w:r w:rsidRPr="00403EA9">
              <w:rPr>
                <w:color w:val="FFFFFF" w:themeColor="background1"/>
              </w:rPr>
              <w:t>Nr.</w:t>
            </w:r>
          </w:p>
        </w:tc>
        <w:tc>
          <w:tcPr>
            <w:tcW w:w="1275" w:type="dxa"/>
          </w:tcPr>
          <w:p w:rsidRPr="00403EA9" w:rsidR="00102A12" w:rsidP="0071499E" w:rsidRDefault="00102A1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3EA9">
              <w:rPr>
                <w:color w:val="FFFFFF" w:themeColor="background1"/>
              </w:rPr>
              <w:t>Ministerie</w:t>
            </w:r>
          </w:p>
        </w:tc>
        <w:tc>
          <w:tcPr>
            <w:tcW w:w="6325" w:type="dxa"/>
          </w:tcPr>
          <w:p w:rsidRPr="00403EA9" w:rsidR="00102A12" w:rsidP="0071499E" w:rsidRDefault="00102A1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3EA9">
              <w:rPr>
                <w:color w:val="FFFFFF" w:themeColor="background1"/>
              </w:rPr>
              <w:t>Initiatieven</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r w:rsidRPr="00F80EEB">
              <w:rPr>
                <w:b/>
              </w:rPr>
              <w:t>BuZa</w:t>
            </w: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Indicatorontwikkeling uitvoering handelsagenda</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Bijsturing veranderingsgerichte Nederlandse conflictpreventie inzet</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r w:rsidRPr="00F80EEB">
              <w:rPr>
                <w:b/>
              </w:rPr>
              <w:t>BZK</w:t>
            </w: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Aardgasvrije wijken</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roofErr w:type="spellStart"/>
            <w:r w:rsidRPr="00F80EEB">
              <w:rPr>
                <w:b/>
              </w:rPr>
              <w:t>Def</w:t>
            </w:r>
            <w:proofErr w:type="spellEnd"/>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Intensivering cyber (Defensie deel)</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r w:rsidRPr="00F80EEB">
              <w:rPr>
                <w:b/>
              </w:rPr>
              <w:t>EZK</w:t>
            </w: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Monitor Nederlandse digitaliseringsstrategie</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Evaluatiestructuur (nationaal) klimaatbeleid</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r w:rsidRPr="00F80EEB">
              <w:rPr>
                <w:b/>
              </w:rPr>
              <w:t>Fin</w:t>
            </w: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Beleidsdoorlichting Financiering staatsschuld</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Doorlichting fiscale evaluaties</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Klantcontact Belastingdienst</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roofErr w:type="spellStart"/>
            <w:r w:rsidRPr="00F80EEB">
              <w:rPr>
                <w:b/>
              </w:rPr>
              <w:t>IenW</w:t>
            </w:r>
            <w:proofErr w:type="spellEnd"/>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Waterveiligheid</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Circulaire economie</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proofErr w:type="spellStart"/>
            <w:r w:rsidRPr="00F80EEB">
              <w:rPr>
                <w:b/>
              </w:rPr>
              <w:t>JenV</w:t>
            </w:r>
            <w:proofErr w:type="spellEnd"/>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Recidivebestrijding (‘Koers en Kansen’)</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Effectiviteit politieoptreden</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r w:rsidRPr="00F80EEB">
              <w:rPr>
                <w:b/>
              </w:rPr>
              <w:t>LNV</w:t>
            </w: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Garantstelling Landbouw/Borgstelling MKB landbouwkredieten</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r w:rsidRPr="00F80EEB">
              <w:rPr>
                <w:b/>
              </w:rPr>
              <w:t>OCW</w:t>
            </w: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Doorlichting Hoger Onderwijs ‘Nieuwe Stijl’</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r w:rsidRPr="00F80EEB">
              <w:rPr>
                <w:b/>
              </w:rPr>
              <w:t>SZW</w:t>
            </w: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Verdere Integratie op de Arbeidsmarkt (‘VIA’)</w:t>
            </w:r>
          </w:p>
        </w:tc>
      </w:tr>
      <w:tr w:rsidR="00102A12" w:rsidTr="00714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100000" w:firstRow="0" w:lastRow="0" w:firstColumn="0" w:lastColumn="0" w:oddVBand="0" w:evenVBand="0" w:oddHBand="1" w:evenHBand="0" w:firstRowFirstColumn="0" w:firstRowLastColumn="0" w:lastRowFirstColumn="0" w:lastRowLastColumn="0"/>
              <w:rPr>
                <w:b/>
              </w:rPr>
            </w:pPr>
          </w:p>
        </w:tc>
        <w:tc>
          <w:tcPr>
            <w:tcW w:w="6325" w:type="dxa"/>
            <w:shd w:val="clear" w:color="auto" w:fill="auto"/>
          </w:tcPr>
          <w:p w:rsidR="00102A12" w:rsidP="0071499E" w:rsidRDefault="00102A12">
            <w:pPr>
              <w:cnfStyle w:val="000000100000" w:firstRow="0" w:lastRow="0" w:firstColumn="0" w:lastColumn="0" w:oddVBand="0" w:evenVBand="0" w:oddHBand="1" w:evenHBand="0" w:firstRowFirstColumn="0" w:firstRowLastColumn="0" w:lastRowFirstColumn="0" w:lastRowLastColumn="0"/>
            </w:pPr>
            <w:r>
              <w:t>Persoonlijke dienstverlening door UWV</w:t>
            </w:r>
          </w:p>
        </w:tc>
      </w:tr>
      <w:tr w:rsidR="00102A12" w:rsidTr="0071499E">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Pr="00403EA9" w:rsidR="00102A12" w:rsidP="00102A12" w:rsidRDefault="00102A12">
            <w:pPr>
              <w:pStyle w:val="Lijstalinea"/>
              <w:numPr>
                <w:ilvl w:val="0"/>
                <w:numId w:val="3"/>
              </w:numPr>
              <w:rPr>
                <w:b w:val="0"/>
                <w:bCs w:val="0"/>
              </w:rPr>
            </w:pPr>
          </w:p>
        </w:tc>
        <w:tc>
          <w:tcPr>
            <w:tcW w:w="1275" w:type="dxa"/>
            <w:shd w:val="clear" w:color="auto" w:fill="auto"/>
          </w:tcPr>
          <w:p w:rsidRPr="00F80EEB" w:rsidR="00102A12" w:rsidP="0071499E" w:rsidRDefault="00102A12">
            <w:pPr>
              <w:cnfStyle w:val="000000000000" w:firstRow="0" w:lastRow="0" w:firstColumn="0" w:lastColumn="0" w:oddVBand="0" w:evenVBand="0" w:oddHBand="0" w:evenHBand="0" w:firstRowFirstColumn="0" w:firstRowLastColumn="0" w:lastRowFirstColumn="0" w:lastRowLastColumn="0"/>
              <w:rPr>
                <w:b/>
              </w:rPr>
            </w:pPr>
            <w:r w:rsidRPr="00F80EEB">
              <w:rPr>
                <w:b/>
              </w:rPr>
              <w:t>VWS</w:t>
            </w:r>
          </w:p>
        </w:tc>
        <w:tc>
          <w:tcPr>
            <w:tcW w:w="6325" w:type="dxa"/>
            <w:shd w:val="clear" w:color="auto" w:fill="auto"/>
          </w:tcPr>
          <w:p w:rsidR="00102A12" w:rsidP="0071499E" w:rsidRDefault="00102A12">
            <w:pPr>
              <w:cnfStyle w:val="000000000000" w:firstRow="0" w:lastRow="0" w:firstColumn="0" w:lastColumn="0" w:oddVBand="0" w:evenVBand="0" w:oddHBand="0" w:evenHBand="0" w:firstRowFirstColumn="0" w:firstRowLastColumn="0" w:lastRowFirstColumn="0" w:lastRowLastColumn="0"/>
            </w:pPr>
            <w:r>
              <w:t>Pilot ‘Lerend Evalueren’</w:t>
            </w:r>
          </w:p>
        </w:tc>
      </w:tr>
    </w:tbl>
    <w:p w:rsidR="00102A12" w:rsidP="00102A12" w:rsidRDefault="00102A12"/>
    <w:p w:rsidR="00102A12" w:rsidP="00102A12" w:rsidRDefault="00102A12">
      <w:r>
        <w:t xml:space="preserve">De departementen zijn verantwoordelijk voor de voortgang. De operatie werkt ondersteunend bij deze initiatieven en legt relevante verbindingen. </w:t>
      </w:r>
      <w:r w:rsidRPr="003E2774">
        <w:t>Over de voortgang van de initiatieven wordt halfjaarlijks via de</w:t>
      </w:r>
      <w:r>
        <w:t xml:space="preserve"> </w:t>
      </w:r>
      <w:r w:rsidRPr="003E2774">
        <w:t>voortgangsrapportage van de operati</w:t>
      </w:r>
      <w:r>
        <w:t>e op hoofdlijnen gerapporteerd aan de Tweede Kamer door de minister van Financiën.</w:t>
      </w:r>
    </w:p>
    <w:p w:rsidRPr="0041774B" w:rsidR="00102A12" w:rsidP="00102A12" w:rsidRDefault="00102A12">
      <w:r w:rsidRPr="005F010E">
        <w:t>De minister van Financiën zal daarnaast de departementen verzoeken in de beleidsagenda van hun departementale begroting te rapporteren over de voortgang van de initiatieven.</w:t>
      </w:r>
    </w:p>
    <w:p w:rsidR="00102A12" w:rsidP="00102A12" w:rsidRDefault="00102A12">
      <w:pPr>
        <w:rPr>
          <w:i/>
        </w:rPr>
      </w:pPr>
    </w:p>
    <w:p w:rsidRPr="007B3F96" w:rsidR="00102A12" w:rsidP="00102A12" w:rsidRDefault="00102A12">
      <w:pPr>
        <w:rPr>
          <w:i/>
        </w:rPr>
      </w:pPr>
      <w:r w:rsidRPr="007B3F96">
        <w:rPr>
          <w:i/>
        </w:rPr>
        <w:t>Behandelvoorstel</w:t>
      </w:r>
    </w:p>
    <w:p w:rsidRPr="00B435C7" w:rsidR="00102A12" w:rsidP="00102A12" w:rsidRDefault="00102A12">
      <w:r>
        <w:t xml:space="preserve">De vaste commissie voor Financiën volgt de operatie en heeft hiervoor </w:t>
      </w:r>
      <w:r w:rsidRPr="000B54FB">
        <w:t>de leden Sneller (D66) en Snels (G</w:t>
      </w:r>
      <w:r>
        <w:t>roen</w:t>
      </w:r>
      <w:r w:rsidRPr="000B54FB">
        <w:t>L</w:t>
      </w:r>
      <w:r>
        <w:t>inks</w:t>
      </w:r>
      <w:r w:rsidRPr="000B54FB">
        <w:t xml:space="preserve">) </w:t>
      </w:r>
      <w:r>
        <w:t>als rapporteur aangesteld. Aangezien de afzonderlijke departementen verantwoordelijk zijn voor de departementale initiatieven, adviseert de vaste commissie voor Financiën de commissies de initiatieven op hun beleidsterrein te volgen. Dit kan op verschillende manieren. Enkele suggesties zijn:</w:t>
      </w:r>
    </w:p>
    <w:p w:rsidRPr="00217740" w:rsidR="00102A12" w:rsidP="00102A12" w:rsidRDefault="00102A12">
      <w:pPr>
        <w:pStyle w:val="Lijstalinea"/>
        <w:numPr>
          <w:ilvl w:val="0"/>
          <w:numId w:val="4"/>
        </w:numPr>
      </w:pPr>
      <w:r>
        <w:t>Minister verzoeken een toelichting te geven op het initiatief en de wijze waarop hij/zij de Tweede Kamer informeert over voortgang (bijvoorbeeld in de vorm van een t</w:t>
      </w:r>
      <w:r w:rsidRPr="00217740">
        <w:t>echnische briefing</w:t>
      </w:r>
      <w:r>
        <w:t>);</w:t>
      </w:r>
    </w:p>
    <w:p w:rsidRPr="00217740" w:rsidR="00102A12" w:rsidP="00102A12" w:rsidRDefault="00102A12">
      <w:pPr>
        <w:pStyle w:val="Lijstalinea"/>
        <w:numPr>
          <w:ilvl w:val="0"/>
          <w:numId w:val="4"/>
        </w:numPr>
      </w:pPr>
      <w:r>
        <w:t>M</w:t>
      </w:r>
      <w:r w:rsidRPr="00217740">
        <w:t xml:space="preserve">inister </w:t>
      </w:r>
      <w:r>
        <w:t xml:space="preserve">verzoeken de </w:t>
      </w:r>
      <w:r w:rsidRPr="00217740">
        <w:t xml:space="preserve">opzet van </w:t>
      </w:r>
      <w:r>
        <w:t xml:space="preserve">een </w:t>
      </w:r>
      <w:r w:rsidRPr="00217740">
        <w:t>departementa</w:t>
      </w:r>
      <w:r>
        <w:t>a</w:t>
      </w:r>
      <w:r w:rsidRPr="00217740">
        <w:t>l initiatief</w:t>
      </w:r>
      <w:r>
        <w:t xml:space="preserve"> voor te leggen aan de Tweede Kamer;</w:t>
      </w:r>
    </w:p>
    <w:p w:rsidRPr="00217740" w:rsidR="00102A12" w:rsidP="00102A12" w:rsidRDefault="00102A12">
      <w:pPr>
        <w:pStyle w:val="Lijstalinea"/>
        <w:numPr>
          <w:ilvl w:val="0"/>
          <w:numId w:val="4"/>
        </w:numPr>
      </w:pPr>
      <w:r>
        <w:t xml:space="preserve">De initiatieven als aandachtspunt meenemen bij de </w:t>
      </w:r>
      <w:r w:rsidRPr="00217740">
        <w:t xml:space="preserve">behandeling </w:t>
      </w:r>
      <w:r>
        <w:t xml:space="preserve">van het departementale </w:t>
      </w:r>
      <w:r w:rsidRPr="00217740">
        <w:t>jaarverslag</w:t>
      </w:r>
      <w:r>
        <w:t>;</w:t>
      </w:r>
    </w:p>
    <w:p w:rsidRPr="00217740" w:rsidR="00102A12" w:rsidP="00102A12" w:rsidRDefault="00102A12">
      <w:pPr>
        <w:pStyle w:val="Lijstalinea"/>
        <w:numPr>
          <w:ilvl w:val="0"/>
          <w:numId w:val="4"/>
        </w:numPr>
      </w:pPr>
      <w:r w:rsidRPr="00217740">
        <w:t>Stafnotitie</w:t>
      </w:r>
      <w:r>
        <w:t xml:space="preserve"> vragen</w:t>
      </w:r>
      <w:r w:rsidRPr="00217740">
        <w:t xml:space="preserve"> t</w:t>
      </w:r>
      <w:r>
        <w:t xml:space="preserve">en behoeve van de inbreng voor </w:t>
      </w:r>
      <w:r w:rsidRPr="00217740">
        <w:t>feitelijke vragen</w:t>
      </w:r>
      <w:r>
        <w:t>.</w:t>
      </w:r>
    </w:p>
    <w:p w:rsidR="00102A12" w:rsidP="00102A12" w:rsidRDefault="00102A12"/>
    <w:p w:rsidR="00102A12" w:rsidP="00102A12" w:rsidRDefault="00102A12">
      <w:r>
        <w:t>Hoogachtend,</w:t>
      </w:r>
    </w:p>
    <w:p w:rsidR="00102A12" w:rsidP="00102A12" w:rsidRDefault="00102A12"/>
    <w:p w:rsidR="00102A12" w:rsidP="00102A12" w:rsidRDefault="00102A12">
      <w:r>
        <w:t>De voorzitter van de vaste commissie voor Financiën,</w:t>
      </w:r>
    </w:p>
    <w:p w:rsidR="00102A12" w:rsidP="00102A12" w:rsidRDefault="00102A12">
      <w:r>
        <w:t>Anne Mulder</w:t>
      </w:r>
    </w:p>
    <w:p w:rsidR="00102A12" w:rsidP="00102A12" w:rsidRDefault="00102A12"/>
    <w:p w:rsidR="00102A12" w:rsidP="00102A12" w:rsidRDefault="00102A12">
      <w:r>
        <w:lastRenderedPageBreak/>
        <w:t>De griffier van de vaste commissie voor Financiën,</w:t>
      </w:r>
    </w:p>
    <w:p w:rsidRPr="00996D96" w:rsidR="00102A12" w:rsidP="00102A12" w:rsidRDefault="00102A12">
      <w:r>
        <w:t>Weeber</w:t>
      </w:r>
    </w:p>
    <w:p w:rsidR="00A344FF" w:rsidRDefault="00A344FF"/>
    <w:sectPr w:rsidR="00A344F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71" w:rsidRDefault="00886D71" w:rsidP="00886D71">
      <w:r>
        <w:separator/>
      </w:r>
    </w:p>
  </w:endnote>
  <w:endnote w:type="continuationSeparator" w:id="0">
    <w:p w:rsidR="00886D71" w:rsidRDefault="00886D71" w:rsidP="0088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71" w:rsidRDefault="00886D71" w:rsidP="00886D71">
      <w:r>
        <w:separator/>
      </w:r>
    </w:p>
  </w:footnote>
  <w:footnote w:type="continuationSeparator" w:id="0">
    <w:p w:rsidR="00886D71" w:rsidRDefault="00886D71" w:rsidP="0088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600"/>
    <w:multiLevelType w:val="hybridMultilevel"/>
    <w:tmpl w:val="7C8C8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BB0199"/>
    <w:multiLevelType w:val="hybridMultilevel"/>
    <w:tmpl w:val="9BAC94B4"/>
    <w:lvl w:ilvl="0" w:tplc="B6FC89D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5E20C47"/>
    <w:multiLevelType w:val="hybridMultilevel"/>
    <w:tmpl w:val="4EF20F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D9C2993"/>
    <w:multiLevelType w:val="hybridMultilevel"/>
    <w:tmpl w:val="55D2B5AE"/>
    <w:lvl w:ilvl="0" w:tplc="A2C0432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71"/>
    <w:rsid w:val="00102A12"/>
    <w:rsid w:val="001A1EEC"/>
    <w:rsid w:val="00433D6E"/>
    <w:rsid w:val="00886D71"/>
    <w:rsid w:val="009932E7"/>
    <w:rsid w:val="00A34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6D7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w:basedOn w:val="Standaard"/>
    <w:link w:val="VoetnoottekstChar"/>
    <w:rsid w:val="00886D71"/>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aliases w:val="Char Char"/>
    <w:basedOn w:val="Standaardalinea-lettertype"/>
    <w:link w:val="Voetnoottekst"/>
    <w:rsid w:val="00886D71"/>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rsid w:val="00886D71"/>
    <w:rPr>
      <w:vertAlign w:val="superscript"/>
    </w:rPr>
  </w:style>
  <w:style w:type="paragraph" w:styleId="Geenafstand">
    <w:name w:val="No Spacing"/>
    <w:uiPriority w:val="1"/>
    <w:qFormat/>
    <w:rsid w:val="00886D71"/>
    <w:rPr>
      <w:rFonts w:ascii="Verdana" w:eastAsia="Verdana" w:hAnsi="Verdana"/>
      <w:sz w:val="18"/>
      <w:szCs w:val="22"/>
      <w:lang w:eastAsia="en-US"/>
    </w:rPr>
  </w:style>
  <w:style w:type="table" w:styleId="Tabelraster">
    <w:name w:val="Table Grid"/>
    <w:basedOn w:val="Standaardtabel"/>
    <w:rsid w:val="0088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6D71"/>
    <w:rPr>
      <w:rFonts w:ascii="Tahoma" w:hAnsi="Tahoma" w:cs="Tahoma"/>
      <w:sz w:val="16"/>
      <w:szCs w:val="16"/>
    </w:rPr>
  </w:style>
  <w:style w:type="character" w:customStyle="1" w:styleId="BallontekstChar">
    <w:name w:val="Ballontekst Char"/>
    <w:basedOn w:val="Standaardalinea-lettertype"/>
    <w:link w:val="Ballontekst"/>
    <w:rsid w:val="00886D71"/>
    <w:rPr>
      <w:rFonts w:ascii="Tahoma" w:eastAsia="DejaVu Sans" w:hAnsi="Tahoma" w:cs="Tahoma"/>
      <w:color w:val="000000"/>
      <w:sz w:val="16"/>
      <w:szCs w:val="16"/>
    </w:rPr>
  </w:style>
  <w:style w:type="character" w:styleId="Hyperlink">
    <w:name w:val="Hyperlink"/>
    <w:basedOn w:val="Standaardalinea-lettertype"/>
    <w:uiPriority w:val="99"/>
    <w:unhideWhenUsed/>
    <w:rsid w:val="009932E7"/>
    <w:rPr>
      <w:color w:val="121469"/>
      <w:u w:val="single"/>
    </w:rPr>
  </w:style>
  <w:style w:type="paragraph" w:styleId="Lijstalinea">
    <w:name w:val="List Paragraph"/>
    <w:basedOn w:val="Standaard"/>
    <w:uiPriority w:val="34"/>
    <w:qFormat/>
    <w:rsid w:val="00102A12"/>
    <w:pPr>
      <w:spacing w:line="283" w:lineRule="exact"/>
      <w:ind w:left="720"/>
      <w:contextualSpacing/>
    </w:pPr>
  </w:style>
  <w:style w:type="table" w:styleId="Lichtelijst-accent1">
    <w:name w:val="Light List Accent 1"/>
    <w:basedOn w:val="Standaardtabel"/>
    <w:uiPriority w:val="61"/>
    <w:rsid w:val="00102A12"/>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6D7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w:basedOn w:val="Standaard"/>
    <w:link w:val="VoetnoottekstChar"/>
    <w:rsid w:val="00886D71"/>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aliases w:val="Char Char"/>
    <w:basedOn w:val="Standaardalinea-lettertype"/>
    <w:link w:val="Voetnoottekst"/>
    <w:rsid w:val="00886D71"/>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rsid w:val="00886D71"/>
    <w:rPr>
      <w:vertAlign w:val="superscript"/>
    </w:rPr>
  </w:style>
  <w:style w:type="paragraph" w:styleId="Geenafstand">
    <w:name w:val="No Spacing"/>
    <w:uiPriority w:val="1"/>
    <w:qFormat/>
    <w:rsid w:val="00886D71"/>
    <w:rPr>
      <w:rFonts w:ascii="Verdana" w:eastAsia="Verdana" w:hAnsi="Verdana"/>
      <w:sz w:val="18"/>
      <w:szCs w:val="22"/>
      <w:lang w:eastAsia="en-US"/>
    </w:rPr>
  </w:style>
  <w:style w:type="table" w:styleId="Tabelraster">
    <w:name w:val="Table Grid"/>
    <w:basedOn w:val="Standaardtabel"/>
    <w:rsid w:val="0088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6D71"/>
    <w:rPr>
      <w:rFonts w:ascii="Tahoma" w:hAnsi="Tahoma" w:cs="Tahoma"/>
      <w:sz w:val="16"/>
      <w:szCs w:val="16"/>
    </w:rPr>
  </w:style>
  <w:style w:type="character" w:customStyle="1" w:styleId="BallontekstChar">
    <w:name w:val="Ballontekst Char"/>
    <w:basedOn w:val="Standaardalinea-lettertype"/>
    <w:link w:val="Ballontekst"/>
    <w:rsid w:val="00886D71"/>
    <w:rPr>
      <w:rFonts w:ascii="Tahoma" w:eastAsia="DejaVu Sans" w:hAnsi="Tahoma" w:cs="Tahoma"/>
      <w:color w:val="000000"/>
      <w:sz w:val="16"/>
      <w:szCs w:val="16"/>
    </w:rPr>
  </w:style>
  <w:style w:type="character" w:styleId="Hyperlink">
    <w:name w:val="Hyperlink"/>
    <w:basedOn w:val="Standaardalinea-lettertype"/>
    <w:uiPriority w:val="99"/>
    <w:unhideWhenUsed/>
    <w:rsid w:val="009932E7"/>
    <w:rPr>
      <w:color w:val="121469"/>
      <w:u w:val="single"/>
    </w:rPr>
  </w:style>
  <w:style w:type="paragraph" w:styleId="Lijstalinea">
    <w:name w:val="List Paragraph"/>
    <w:basedOn w:val="Standaard"/>
    <w:uiPriority w:val="34"/>
    <w:qFormat/>
    <w:rsid w:val="00102A12"/>
    <w:pPr>
      <w:spacing w:line="283" w:lineRule="exact"/>
      <w:ind w:left="720"/>
      <w:contextualSpacing/>
    </w:pPr>
  </w:style>
  <w:style w:type="table" w:styleId="Lichtelijst-accent1">
    <w:name w:val="Light List Accent 1"/>
    <w:basedOn w:val="Standaardtabel"/>
    <w:uiPriority w:val="61"/>
    <w:rsid w:val="00102A12"/>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hyperlink" Target="http://parlisweb/parlis/zaak.aspx?id=460e0630-6cda-4523-b021-6cbe0b0d8e77" TargetMode="Externa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parlisweb/parlis/document.aspx?Id=bc72a9d1-b97b-4ae5-84dc-3020e91cf43c" TargetMode="External" Id="rId12" /><Relationship Type="http://schemas.microsoft.com/office/2007/relationships/diagramDrawing" Target="diagrams/drawing1.xml" Id="rId17" /><Relationship Type="http://schemas.openxmlformats.org/officeDocument/2006/relationships/diagramColors" Target="diagrams/colors1.xml" Id="rId16" /><Relationship Type="http://schemas.openxmlformats.org/officeDocument/2006/relationships/fontTable" Target="fontTable.xml" Id="rId20"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diagramQuickStyle" Target="diagrams/quickStyle1.xml" Id="rId15" /><Relationship Type="http://schemas.openxmlformats.org/officeDocument/2006/relationships/endnotes" Target="endnotes.xml" Id="rId10" /><Relationship Type="http://schemas.openxmlformats.org/officeDocument/2006/relationships/hyperlink" Target="http://parlisweb/parlis/document.aspx?id=9b902f6a-fc23-4d8a-b6b8-282e17c12697"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diagramLayout" Target="diagrams/layout1.xml" Id="rId14" /></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883C1D-52BF-42C7-8985-FFF774D9C5BC}" type="doc">
      <dgm:prSet loTypeId="urn:microsoft.com/office/officeart/2005/8/layout/vList6" loCatId="process" qsTypeId="urn:microsoft.com/office/officeart/2005/8/quickstyle/simple1" qsCatId="simple" csTypeId="urn:microsoft.com/office/officeart/2005/8/colors/accent1_3" csCatId="accent1" phldr="1"/>
      <dgm:spPr/>
      <dgm:t>
        <a:bodyPr/>
        <a:lstStyle/>
        <a:p>
          <a:endParaRPr lang="nl-NL"/>
        </a:p>
      </dgm:t>
    </dgm:pt>
    <dgm:pt modelId="{5286E700-6918-4AFB-9C6B-8ED67442DF54}">
      <dgm:prSet phldrT="[Tekst]"/>
      <dgm:spPr/>
      <dgm:t>
        <a:bodyPr/>
        <a:lstStyle/>
        <a:p>
          <a:r>
            <a:rPr lang="nl-NL"/>
            <a:t>Spoor 1</a:t>
          </a:r>
        </a:p>
      </dgm:t>
    </dgm:pt>
    <dgm:pt modelId="{5B31C598-A396-4A9E-91D0-5C87EFF4B5A8}" type="parTrans" cxnId="{577C5CFC-E1AB-4F80-BE69-3D8B7FE68260}">
      <dgm:prSet/>
      <dgm:spPr/>
      <dgm:t>
        <a:bodyPr/>
        <a:lstStyle/>
        <a:p>
          <a:endParaRPr lang="nl-NL"/>
        </a:p>
      </dgm:t>
    </dgm:pt>
    <dgm:pt modelId="{5AB65F18-E271-43FF-8458-8AFA686A7307}" type="sibTrans" cxnId="{577C5CFC-E1AB-4F80-BE69-3D8B7FE68260}">
      <dgm:prSet/>
      <dgm:spPr/>
      <dgm:t>
        <a:bodyPr/>
        <a:lstStyle/>
        <a:p>
          <a:endParaRPr lang="nl-NL"/>
        </a:p>
      </dgm:t>
    </dgm:pt>
    <dgm:pt modelId="{7B92F74A-79AC-4B8E-8422-FB61B0DD15BE}">
      <dgm:prSet phldrT="[Tekst]"/>
      <dgm:spPr/>
      <dgm:t>
        <a:bodyPr/>
        <a:lstStyle/>
        <a:p>
          <a:r>
            <a:rPr lang="nl-NL"/>
            <a:t>Doel: meer maatschappelijk toegevoegde waarde van beleid</a:t>
          </a:r>
        </a:p>
      </dgm:t>
    </dgm:pt>
    <dgm:pt modelId="{5FC8D40E-6334-4E3D-8B9E-02F4429EE918}" type="parTrans" cxnId="{A548F847-F493-4004-91C5-7DB081B45BB7}">
      <dgm:prSet/>
      <dgm:spPr/>
      <dgm:t>
        <a:bodyPr/>
        <a:lstStyle/>
        <a:p>
          <a:endParaRPr lang="nl-NL"/>
        </a:p>
      </dgm:t>
    </dgm:pt>
    <dgm:pt modelId="{9E42DE99-9BF0-4CAC-8502-6430CED59501}" type="sibTrans" cxnId="{A548F847-F493-4004-91C5-7DB081B45BB7}">
      <dgm:prSet/>
      <dgm:spPr/>
      <dgm:t>
        <a:bodyPr/>
        <a:lstStyle/>
        <a:p>
          <a:endParaRPr lang="nl-NL"/>
        </a:p>
      </dgm:t>
    </dgm:pt>
    <dgm:pt modelId="{D57C3724-0205-4AF4-BB32-3C2C703489EC}">
      <dgm:prSet phldrT="[Tekst]"/>
      <dgm:spPr/>
      <dgm:t>
        <a:bodyPr/>
        <a:lstStyle/>
        <a:p>
          <a:r>
            <a:rPr lang="nl-NL"/>
            <a:t>Spoor 2</a:t>
          </a:r>
        </a:p>
      </dgm:t>
    </dgm:pt>
    <dgm:pt modelId="{FB783B65-FC58-4C47-BA33-266A1F7265EE}" type="parTrans" cxnId="{9EC7EB92-8A2C-4773-8B1A-FA0D09CA31B7}">
      <dgm:prSet/>
      <dgm:spPr/>
      <dgm:t>
        <a:bodyPr/>
        <a:lstStyle/>
        <a:p>
          <a:endParaRPr lang="nl-NL"/>
        </a:p>
      </dgm:t>
    </dgm:pt>
    <dgm:pt modelId="{62B2B7CF-77F9-4EA1-A94F-A268668AEA98}" type="sibTrans" cxnId="{9EC7EB92-8A2C-4773-8B1A-FA0D09CA31B7}">
      <dgm:prSet/>
      <dgm:spPr/>
      <dgm:t>
        <a:bodyPr/>
        <a:lstStyle/>
        <a:p>
          <a:endParaRPr lang="nl-NL"/>
        </a:p>
      </dgm:t>
    </dgm:pt>
    <dgm:pt modelId="{27B74B86-2829-4A5D-BE43-364E5DB1F1DA}">
      <dgm:prSet phldrT="[Tekst]"/>
      <dgm:spPr/>
      <dgm:t>
        <a:bodyPr/>
        <a:lstStyle/>
        <a:p>
          <a:r>
            <a:rPr lang="nl-NL"/>
            <a:t>Doel: lerende overheid (cultuurverandering)</a:t>
          </a:r>
        </a:p>
      </dgm:t>
    </dgm:pt>
    <dgm:pt modelId="{5823EC5A-DFB6-499F-867C-AF09F48E563E}" type="parTrans" cxnId="{3EDE5C6C-C51E-4E9D-98B5-324136AD37C8}">
      <dgm:prSet/>
      <dgm:spPr/>
      <dgm:t>
        <a:bodyPr/>
        <a:lstStyle/>
        <a:p>
          <a:endParaRPr lang="nl-NL"/>
        </a:p>
      </dgm:t>
    </dgm:pt>
    <dgm:pt modelId="{3599B2A3-9E5B-4BB1-B7D6-121D68441013}" type="sibTrans" cxnId="{3EDE5C6C-C51E-4E9D-98B5-324136AD37C8}">
      <dgm:prSet/>
      <dgm:spPr/>
      <dgm:t>
        <a:bodyPr/>
        <a:lstStyle/>
        <a:p>
          <a:endParaRPr lang="nl-NL"/>
        </a:p>
      </dgm:t>
    </dgm:pt>
    <dgm:pt modelId="{8B989CB1-9E9C-4AC1-9CD9-6DE6F961D8C3}">
      <dgm:prSet phldrT="[Tekst]"/>
      <dgm:spPr/>
      <dgm:t>
        <a:bodyPr/>
        <a:lstStyle/>
        <a:p>
          <a:r>
            <a:rPr lang="nl-NL"/>
            <a:t>Hoe: departementale initiatieven</a:t>
          </a:r>
        </a:p>
      </dgm:t>
    </dgm:pt>
    <dgm:pt modelId="{28E1555F-D08B-4354-9A52-834DB13B9E0A}" type="parTrans" cxnId="{D8EC4B22-A53B-4507-848F-DDC759C0149A}">
      <dgm:prSet/>
      <dgm:spPr/>
      <dgm:t>
        <a:bodyPr/>
        <a:lstStyle/>
        <a:p>
          <a:endParaRPr lang="nl-NL"/>
        </a:p>
      </dgm:t>
    </dgm:pt>
    <dgm:pt modelId="{AC66E9F3-E464-4BD3-9968-6AE856BF2BB4}" type="sibTrans" cxnId="{D8EC4B22-A53B-4507-848F-DDC759C0149A}">
      <dgm:prSet/>
      <dgm:spPr/>
      <dgm:t>
        <a:bodyPr/>
        <a:lstStyle/>
        <a:p>
          <a:endParaRPr lang="nl-NL"/>
        </a:p>
      </dgm:t>
    </dgm:pt>
    <dgm:pt modelId="{861EFAE0-0060-4DE8-9893-FB28DB591917}">
      <dgm:prSet phldrT="[Tekst]"/>
      <dgm:spPr/>
      <dgm:t>
        <a:bodyPr/>
        <a:lstStyle/>
        <a:p>
          <a:r>
            <a:rPr lang="nl-NL"/>
            <a:t>Hoe: eventueel aanpassing evaluatiestelsel</a:t>
          </a:r>
        </a:p>
      </dgm:t>
    </dgm:pt>
    <dgm:pt modelId="{AC4FB1C9-A3AB-4E2D-A794-D2AAB92C1A13}" type="parTrans" cxnId="{CBF53A85-798D-4656-AF24-320D35D33695}">
      <dgm:prSet/>
      <dgm:spPr/>
      <dgm:t>
        <a:bodyPr/>
        <a:lstStyle/>
        <a:p>
          <a:endParaRPr lang="nl-NL"/>
        </a:p>
      </dgm:t>
    </dgm:pt>
    <dgm:pt modelId="{EA889B0E-9BDE-42F7-8BDC-1AE4DAB88330}" type="sibTrans" cxnId="{CBF53A85-798D-4656-AF24-320D35D33695}">
      <dgm:prSet/>
      <dgm:spPr/>
      <dgm:t>
        <a:bodyPr/>
        <a:lstStyle/>
        <a:p>
          <a:endParaRPr lang="nl-NL"/>
        </a:p>
      </dgm:t>
    </dgm:pt>
    <dgm:pt modelId="{C7A41F58-11F4-4533-BF13-2D9BE44894B0}" type="pres">
      <dgm:prSet presAssocID="{96883C1D-52BF-42C7-8985-FFF774D9C5BC}" presName="Name0" presStyleCnt="0">
        <dgm:presLayoutVars>
          <dgm:dir/>
          <dgm:animLvl val="lvl"/>
          <dgm:resizeHandles/>
        </dgm:presLayoutVars>
      </dgm:prSet>
      <dgm:spPr/>
      <dgm:t>
        <a:bodyPr/>
        <a:lstStyle/>
        <a:p>
          <a:endParaRPr lang="nl-NL"/>
        </a:p>
      </dgm:t>
    </dgm:pt>
    <dgm:pt modelId="{985416F6-B201-483F-B90E-B57070C6B950}" type="pres">
      <dgm:prSet presAssocID="{5286E700-6918-4AFB-9C6B-8ED67442DF54}" presName="linNode" presStyleCnt="0"/>
      <dgm:spPr/>
    </dgm:pt>
    <dgm:pt modelId="{6DE7094D-F794-4781-BF2B-4598B8866833}" type="pres">
      <dgm:prSet presAssocID="{5286E700-6918-4AFB-9C6B-8ED67442DF54}" presName="parentShp" presStyleLbl="node1" presStyleIdx="0" presStyleCnt="2">
        <dgm:presLayoutVars>
          <dgm:bulletEnabled val="1"/>
        </dgm:presLayoutVars>
      </dgm:prSet>
      <dgm:spPr/>
      <dgm:t>
        <a:bodyPr/>
        <a:lstStyle/>
        <a:p>
          <a:endParaRPr lang="nl-NL"/>
        </a:p>
      </dgm:t>
    </dgm:pt>
    <dgm:pt modelId="{A8CF1AC6-E0E6-4886-8A4C-C312BF673059}" type="pres">
      <dgm:prSet presAssocID="{5286E700-6918-4AFB-9C6B-8ED67442DF54}" presName="childShp" presStyleLbl="bgAccFollowNode1" presStyleIdx="0" presStyleCnt="2">
        <dgm:presLayoutVars>
          <dgm:bulletEnabled val="1"/>
        </dgm:presLayoutVars>
      </dgm:prSet>
      <dgm:spPr/>
      <dgm:t>
        <a:bodyPr/>
        <a:lstStyle/>
        <a:p>
          <a:endParaRPr lang="nl-NL"/>
        </a:p>
      </dgm:t>
    </dgm:pt>
    <dgm:pt modelId="{B1A93ADC-37A9-4B13-8D5D-D503212C48CD}" type="pres">
      <dgm:prSet presAssocID="{5AB65F18-E271-43FF-8458-8AFA686A7307}" presName="spacing" presStyleCnt="0"/>
      <dgm:spPr/>
    </dgm:pt>
    <dgm:pt modelId="{7C47ED30-6037-4B67-8586-B3C60630C2DE}" type="pres">
      <dgm:prSet presAssocID="{D57C3724-0205-4AF4-BB32-3C2C703489EC}" presName="linNode" presStyleCnt="0"/>
      <dgm:spPr/>
    </dgm:pt>
    <dgm:pt modelId="{FEF5B58A-8949-4C94-A0F9-C37E2A5062DD}" type="pres">
      <dgm:prSet presAssocID="{D57C3724-0205-4AF4-BB32-3C2C703489EC}" presName="parentShp" presStyleLbl="node1" presStyleIdx="1" presStyleCnt="2">
        <dgm:presLayoutVars>
          <dgm:bulletEnabled val="1"/>
        </dgm:presLayoutVars>
      </dgm:prSet>
      <dgm:spPr/>
      <dgm:t>
        <a:bodyPr/>
        <a:lstStyle/>
        <a:p>
          <a:endParaRPr lang="nl-NL"/>
        </a:p>
      </dgm:t>
    </dgm:pt>
    <dgm:pt modelId="{A10CB4F8-5632-4D72-A777-241AE94BD041}" type="pres">
      <dgm:prSet presAssocID="{D57C3724-0205-4AF4-BB32-3C2C703489EC}" presName="childShp" presStyleLbl="bgAccFollowNode1" presStyleIdx="1" presStyleCnt="2">
        <dgm:presLayoutVars>
          <dgm:bulletEnabled val="1"/>
        </dgm:presLayoutVars>
      </dgm:prSet>
      <dgm:spPr/>
      <dgm:t>
        <a:bodyPr/>
        <a:lstStyle/>
        <a:p>
          <a:endParaRPr lang="nl-NL"/>
        </a:p>
      </dgm:t>
    </dgm:pt>
  </dgm:ptLst>
  <dgm:cxnLst>
    <dgm:cxn modelId="{474D4FCB-80B8-4979-B7BC-BE92429413DB}" type="presOf" srcId="{7B92F74A-79AC-4B8E-8422-FB61B0DD15BE}" destId="{A8CF1AC6-E0E6-4886-8A4C-C312BF673059}" srcOrd="0" destOrd="0" presId="urn:microsoft.com/office/officeart/2005/8/layout/vList6"/>
    <dgm:cxn modelId="{D8EC4B22-A53B-4507-848F-DDC759C0149A}" srcId="{5286E700-6918-4AFB-9C6B-8ED67442DF54}" destId="{8B989CB1-9E9C-4AC1-9CD9-6DE6F961D8C3}" srcOrd="1" destOrd="0" parTransId="{28E1555F-D08B-4354-9A52-834DB13B9E0A}" sibTransId="{AC66E9F3-E464-4BD3-9968-6AE856BF2BB4}"/>
    <dgm:cxn modelId="{A548F847-F493-4004-91C5-7DB081B45BB7}" srcId="{5286E700-6918-4AFB-9C6B-8ED67442DF54}" destId="{7B92F74A-79AC-4B8E-8422-FB61B0DD15BE}" srcOrd="0" destOrd="0" parTransId="{5FC8D40E-6334-4E3D-8B9E-02F4429EE918}" sibTransId="{9E42DE99-9BF0-4CAC-8502-6430CED59501}"/>
    <dgm:cxn modelId="{2A1A559C-2F66-4DA6-BDAF-5C6347C67F19}" type="presOf" srcId="{8B989CB1-9E9C-4AC1-9CD9-6DE6F961D8C3}" destId="{A8CF1AC6-E0E6-4886-8A4C-C312BF673059}" srcOrd="0" destOrd="1" presId="urn:microsoft.com/office/officeart/2005/8/layout/vList6"/>
    <dgm:cxn modelId="{3EDE5C6C-C51E-4E9D-98B5-324136AD37C8}" srcId="{D57C3724-0205-4AF4-BB32-3C2C703489EC}" destId="{27B74B86-2829-4A5D-BE43-364E5DB1F1DA}" srcOrd="0" destOrd="0" parTransId="{5823EC5A-DFB6-499F-867C-AF09F48E563E}" sibTransId="{3599B2A3-9E5B-4BB1-B7D6-121D68441013}"/>
    <dgm:cxn modelId="{CBF53A85-798D-4656-AF24-320D35D33695}" srcId="{D57C3724-0205-4AF4-BB32-3C2C703489EC}" destId="{861EFAE0-0060-4DE8-9893-FB28DB591917}" srcOrd="1" destOrd="0" parTransId="{AC4FB1C9-A3AB-4E2D-A794-D2AAB92C1A13}" sibTransId="{EA889B0E-9BDE-42F7-8BDC-1AE4DAB88330}"/>
    <dgm:cxn modelId="{1F609258-3448-4201-8FD6-EA0C1E73F8C8}" type="presOf" srcId="{861EFAE0-0060-4DE8-9893-FB28DB591917}" destId="{A10CB4F8-5632-4D72-A777-241AE94BD041}" srcOrd="0" destOrd="1" presId="urn:microsoft.com/office/officeart/2005/8/layout/vList6"/>
    <dgm:cxn modelId="{3C093914-77B3-48EA-B215-E6B2CCE70738}" type="presOf" srcId="{96883C1D-52BF-42C7-8985-FFF774D9C5BC}" destId="{C7A41F58-11F4-4533-BF13-2D9BE44894B0}" srcOrd="0" destOrd="0" presId="urn:microsoft.com/office/officeart/2005/8/layout/vList6"/>
    <dgm:cxn modelId="{9EC7EB92-8A2C-4773-8B1A-FA0D09CA31B7}" srcId="{96883C1D-52BF-42C7-8985-FFF774D9C5BC}" destId="{D57C3724-0205-4AF4-BB32-3C2C703489EC}" srcOrd="1" destOrd="0" parTransId="{FB783B65-FC58-4C47-BA33-266A1F7265EE}" sibTransId="{62B2B7CF-77F9-4EA1-A94F-A268668AEA98}"/>
    <dgm:cxn modelId="{443B3187-EA87-41F9-94E0-6D6DB9697620}" type="presOf" srcId="{D57C3724-0205-4AF4-BB32-3C2C703489EC}" destId="{FEF5B58A-8949-4C94-A0F9-C37E2A5062DD}" srcOrd="0" destOrd="0" presId="urn:microsoft.com/office/officeart/2005/8/layout/vList6"/>
    <dgm:cxn modelId="{676F2FA5-D905-4A2E-8868-6AEFD1F97F89}" type="presOf" srcId="{27B74B86-2829-4A5D-BE43-364E5DB1F1DA}" destId="{A10CB4F8-5632-4D72-A777-241AE94BD041}" srcOrd="0" destOrd="0" presId="urn:microsoft.com/office/officeart/2005/8/layout/vList6"/>
    <dgm:cxn modelId="{577C5CFC-E1AB-4F80-BE69-3D8B7FE68260}" srcId="{96883C1D-52BF-42C7-8985-FFF774D9C5BC}" destId="{5286E700-6918-4AFB-9C6B-8ED67442DF54}" srcOrd="0" destOrd="0" parTransId="{5B31C598-A396-4A9E-91D0-5C87EFF4B5A8}" sibTransId="{5AB65F18-E271-43FF-8458-8AFA686A7307}"/>
    <dgm:cxn modelId="{ED2D5B04-D1CC-4FFD-B70A-CB1E33179EE7}" type="presOf" srcId="{5286E700-6918-4AFB-9C6B-8ED67442DF54}" destId="{6DE7094D-F794-4781-BF2B-4598B8866833}" srcOrd="0" destOrd="0" presId="urn:microsoft.com/office/officeart/2005/8/layout/vList6"/>
    <dgm:cxn modelId="{F10E69EA-799A-4AD0-9C87-CE5F5137DEB0}" type="presParOf" srcId="{C7A41F58-11F4-4533-BF13-2D9BE44894B0}" destId="{985416F6-B201-483F-B90E-B57070C6B950}" srcOrd="0" destOrd="0" presId="urn:microsoft.com/office/officeart/2005/8/layout/vList6"/>
    <dgm:cxn modelId="{0C10C771-6678-4D7B-9A69-D099BCACA808}" type="presParOf" srcId="{985416F6-B201-483F-B90E-B57070C6B950}" destId="{6DE7094D-F794-4781-BF2B-4598B8866833}" srcOrd="0" destOrd="0" presId="urn:microsoft.com/office/officeart/2005/8/layout/vList6"/>
    <dgm:cxn modelId="{5923033F-860B-450F-BD6F-BB82E193D2A6}" type="presParOf" srcId="{985416F6-B201-483F-B90E-B57070C6B950}" destId="{A8CF1AC6-E0E6-4886-8A4C-C312BF673059}" srcOrd="1" destOrd="0" presId="urn:microsoft.com/office/officeart/2005/8/layout/vList6"/>
    <dgm:cxn modelId="{EFF56B8B-1C16-40D0-B32C-19AD847A4D3A}" type="presParOf" srcId="{C7A41F58-11F4-4533-BF13-2D9BE44894B0}" destId="{B1A93ADC-37A9-4B13-8D5D-D503212C48CD}" srcOrd="1" destOrd="0" presId="urn:microsoft.com/office/officeart/2005/8/layout/vList6"/>
    <dgm:cxn modelId="{2BEF62D6-16FC-4904-ADAE-F54371BEBFA5}" type="presParOf" srcId="{C7A41F58-11F4-4533-BF13-2D9BE44894B0}" destId="{7C47ED30-6037-4B67-8586-B3C60630C2DE}" srcOrd="2" destOrd="0" presId="urn:microsoft.com/office/officeart/2005/8/layout/vList6"/>
    <dgm:cxn modelId="{FA3F0332-61AE-4D13-A595-D205E8F45683}" type="presParOf" srcId="{7C47ED30-6037-4B67-8586-B3C60630C2DE}" destId="{FEF5B58A-8949-4C94-A0F9-C37E2A5062DD}" srcOrd="0" destOrd="0" presId="urn:microsoft.com/office/officeart/2005/8/layout/vList6"/>
    <dgm:cxn modelId="{358052F4-3478-44B8-8009-6BCB2A6C689B}" type="presParOf" srcId="{7C47ED30-6037-4B67-8586-B3C60630C2DE}" destId="{A10CB4F8-5632-4D72-A777-241AE94BD041}"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F1AC6-E0E6-4886-8A4C-C312BF673059}">
      <dsp:nvSpPr>
        <dsp:cNvPr id="0" name=""/>
        <dsp:cNvSpPr/>
      </dsp:nvSpPr>
      <dsp:spPr>
        <a:xfrm>
          <a:off x="1223403" y="202"/>
          <a:ext cx="1835106" cy="7880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nl-NL" sz="800" kern="1200"/>
            <a:t>Doel: meer maatschappelijk toegevoegde waarde van beleid</a:t>
          </a:r>
        </a:p>
        <a:p>
          <a:pPr marL="57150" lvl="1" indent="-57150" algn="l" defTabSz="355600">
            <a:lnSpc>
              <a:spcPct val="90000"/>
            </a:lnSpc>
            <a:spcBef>
              <a:spcPct val="0"/>
            </a:spcBef>
            <a:spcAft>
              <a:spcPct val="15000"/>
            </a:spcAft>
            <a:buChar char="••"/>
          </a:pPr>
          <a:r>
            <a:rPr lang="nl-NL" sz="800" kern="1200"/>
            <a:t>Hoe: departementale initiatieven</a:t>
          </a:r>
        </a:p>
      </dsp:txBody>
      <dsp:txXfrm>
        <a:off x="1223403" y="98712"/>
        <a:ext cx="1539575" cy="591063"/>
      </dsp:txXfrm>
    </dsp:sp>
    <dsp:sp modelId="{6DE7094D-F794-4781-BF2B-4598B8866833}">
      <dsp:nvSpPr>
        <dsp:cNvPr id="0" name=""/>
        <dsp:cNvSpPr/>
      </dsp:nvSpPr>
      <dsp:spPr>
        <a:xfrm>
          <a:off x="0" y="202"/>
          <a:ext cx="1223403" cy="788083"/>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nl-NL" sz="2400" kern="1200"/>
            <a:t>Spoor 1</a:t>
          </a:r>
        </a:p>
      </dsp:txBody>
      <dsp:txXfrm>
        <a:off x="38471" y="38673"/>
        <a:ext cx="1146461" cy="711141"/>
      </dsp:txXfrm>
    </dsp:sp>
    <dsp:sp modelId="{A10CB4F8-5632-4D72-A777-241AE94BD041}">
      <dsp:nvSpPr>
        <dsp:cNvPr id="0" name=""/>
        <dsp:cNvSpPr/>
      </dsp:nvSpPr>
      <dsp:spPr>
        <a:xfrm>
          <a:off x="1223403" y="867093"/>
          <a:ext cx="1835106" cy="7880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nl-NL" sz="800" kern="1200"/>
            <a:t>Doel: lerende overheid (cultuurverandering)</a:t>
          </a:r>
        </a:p>
        <a:p>
          <a:pPr marL="57150" lvl="1" indent="-57150" algn="l" defTabSz="355600">
            <a:lnSpc>
              <a:spcPct val="90000"/>
            </a:lnSpc>
            <a:spcBef>
              <a:spcPct val="0"/>
            </a:spcBef>
            <a:spcAft>
              <a:spcPct val="15000"/>
            </a:spcAft>
            <a:buChar char="••"/>
          </a:pPr>
          <a:r>
            <a:rPr lang="nl-NL" sz="800" kern="1200"/>
            <a:t>Hoe: eventueel aanpassing evaluatiestelsel</a:t>
          </a:r>
        </a:p>
      </dsp:txBody>
      <dsp:txXfrm>
        <a:off x="1223403" y="965603"/>
        <a:ext cx="1539575" cy="591063"/>
      </dsp:txXfrm>
    </dsp:sp>
    <dsp:sp modelId="{FEF5B58A-8949-4C94-A0F9-C37E2A5062DD}">
      <dsp:nvSpPr>
        <dsp:cNvPr id="0" name=""/>
        <dsp:cNvSpPr/>
      </dsp:nvSpPr>
      <dsp:spPr>
        <a:xfrm>
          <a:off x="0" y="867093"/>
          <a:ext cx="1223403" cy="788083"/>
        </a:xfrm>
        <a:prstGeom prst="roundRect">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nl-NL" sz="2400" kern="1200"/>
            <a:t>Spoor 2</a:t>
          </a:r>
        </a:p>
      </dsp:txBody>
      <dsp:txXfrm>
        <a:off x="38471" y="905564"/>
        <a:ext cx="1146461" cy="71114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552</ap:Words>
  <ap:Characters>3871</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2019-02-21T11:15:00.0000000Z</dcterms:created>
  <dcterms:modified xsi:type="dcterms:W3CDTF">2019-02-21T11:20:00.0000000Z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0x0101001C75D39E4035AE4CA280A1F7BC592896</vt:lpwstr>
  </property>
</Properties>
</file>