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E10DF" w:rsidR="00CB3578" w:rsidP="006E1153" w:rsidRDefault="00BE10DF">
            <w:pPr>
              <w:pStyle w:val="Amendement"/>
              <w:rPr>
                <w:rFonts w:ascii="Times New Roman" w:hAnsi="Times New Roman" w:cs="Times New Roman"/>
                <w:b w:val="0"/>
              </w:rPr>
            </w:pPr>
            <w:r>
              <w:rPr>
                <w:rFonts w:ascii="Times New Roman" w:hAnsi="Times New Roman" w:cs="Times New Roman"/>
                <w:b w:val="0"/>
              </w:rPr>
              <w:t xml:space="preserve">Bijgewerkt t/m nr. </w:t>
            </w:r>
            <w:r w:rsidR="006E1153">
              <w:rPr>
                <w:rFonts w:ascii="Times New Roman" w:hAnsi="Times New Roman" w:cs="Times New Roman"/>
                <w:b w:val="0"/>
              </w:rPr>
              <w:t>12</w:t>
            </w:r>
            <w:r>
              <w:rPr>
                <w:rFonts w:ascii="Times New Roman" w:hAnsi="Times New Roman" w:cs="Times New Roman"/>
                <w:b w:val="0"/>
              </w:rPr>
              <w:t xml:space="preserve"> (</w:t>
            </w:r>
            <w:r w:rsidR="006E1153">
              <w:rPr>
                <w:rFonts w:ascii="Times New Roman" w:hAnsi="Times New Roman" w:cs="Times New Roman"/>
                <w:b w:val="0"/>
              </w:rPr>
              <w:t xml:space="preserve">Tweede </w:t>
            </w:r>
            <w:r>
              <w:rPr>
                <w:rFonts w:ascii="Times New Roman" w:hAnsi="Times New Roman" w:cs="Times New Roman"/>
                <w:b w:val="0"/>
              </w:rPr>
              <w:t xml:space="preserve">NvW d.d. </w:t>
            </w:r>
            <w:r w:rsidR="006E1153">
              <w:rPr>
                <w:rFonts w:ascii="Times New Roman" w:hAnsi="Times New Roman" w:cs="Times New Roman"/>
                <w:b w:val="0"/>
              </w:rPr>
              <w:t>17 oktober</w:t>
            </w:r>
            <w:bookmarkStart w:name="_GoBack" w:id="0"/>
            <w:bookmarkEnd w:id="0"/>
            <w:r>
              <w:rPr>
                <w:rFonts w:ascii="Times New Roman" w:hAnsi="Times New Roman" w:cs="Times New Roman"/>
                <w:b w:val="0"/>
              </w:rPr>
              <w:t xml:space="preserve">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65AC1" w:rsidR="002A727C" w:rsidP="00F13442" w:rsidRDefault="00765AC1">
            <w:pPr>
              <w:rPr>
                <w:rFonts w:ascii="Times New Roman" w:hAnsi="Times New Roman"/>
                <w:b/>
                <w:sz w:val="24"/>
              </w:rPr>
            </w:pPr>
            <w:r w:rsidRPr="00765AC1">
              <w:rPr>
                <w:rFonts w:ascii="Times New Roman" w:hAnsi="Times New Roman"/>
                <w:b/>
                <w:sz w:val="24"/>
              </w:rPr>
              <w:t>35 000 VII</w:t>
            </w:r>
          </w:p>
        </w:tc>
        <w:tc>
          <w:tcPr>
            <w:tcW w:w="6590" w:type="dxa"/>
            <w:tcBorders>
              <w:top w:val="nil"/>
              <w:left w:val="nil"/>
              <w:bottom w:val="nil"/>
              <w:right w:val="nil"/>
            </w:tcBorders>
          </w:tcPr>
          <w:p w:rsidRPr="00765AC1" w:rsidR="002A727C" w:rsidP="00602217" w:rsidRDefault="00602217">
            <w:pPr>
              <w:rPr>
                <w:rFonts w:ascii="Times New Roman" w:hAnsi="Times New Roman"/>
                <w:b/>
                <w:sz w:val="24"/>
              </w:rPr>
            </w:pPr>
            <w:r w:rsidRPr="00602217">
              <w:rPr>
                <w:rFonts w:ascii="Times New Roman" w:hAnsi="Times New Roman"/>
                <w:b/>
                <w:sz w:val="24"/>
              </w:rPr>
              <w:t>Vaststelling van de begrotingsstaten van het Ministerie van Binnenlandse Zaken en Koninkrijksrelaties (VII)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765AC1">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Wij Willem-Alexander, bij de gratie Gods, Koning der Nederlanden, Prins van Oranje-Nassau, enz. enz. enz.</w:t>
      </w:r>
    </w:p>
    <w:p w:rsidRPr="00765AC1" w:rsidR="00765AC1" w:rsidP="00765AC1" w:rsidRDefault="00765AC1">
      <w:pPr>
        <w:pStyle w:val="Basis"/>
        <w:ind w:firstLine="284"/>
        <w:rPr>
          <w:rFonts w:ascii="Times New Roman" w:hAnsi="Times New Roman" w:cs="Times New Roman"/>
          <w:sz w:val="24"/>
          <w:szCs w:val="24"/>
        </w:rPr>
      </w:pPr>
    </w:p>
    <w:p w:rsidRPr="00765AC1"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Allen, die deze zullen zien of horen lezen, saluut! doen te weten:</w:t>
      </w:r>
    </w:p>
    <w:p w:rsidRPr="00765AC1"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2.1 van de Comptabiliteitswet 2016 wordt bepaald welke begrotingen tot die van het Rijk behoren;</w:t>
      </w: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765AC1" w:rsidR="00765AC1" w:rsidP="00765AC1" w:rsidRDefault="00765AC1">
      <w:pPr>
        <w:pStyle w:val="Basis"/>
        <w:ind w:firstLine="284"/>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1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 bij deze wet behorende departementale begrotingsstaat voor het jaar 2019 wordt vastgesteld.</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2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 bij deze wet behorende begrotingsstaat inzake de agentschappen voor het jaar 2019 wordt vastgesteld.</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3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 vaststelling van de begrotingsstaten geschiedt in duizenden euro’s.</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b/>
          <w:sz w:val="24"/>
          <w:szCs w:val="24"/>
        </w:rPr>
      </w:pPr>
      <w:r w:rsidRPr="00765AC1">
        <w:rPr>
          <w:rFonts w:ascii="Times New Roman" w:hAnsi="Times New Roman" w:cs="Times New Roman"/>
          <w:b/>
          <w:sz w:val="24"/>
          <w:szCs w:val="24"/>
        </w:rPr>
        <w:t xml:space="preserve">Artikel 4 </w:t>
      </w:r>
    </w:p>
    <w:p w:rsidRPr="00765AC1" w:rsidR="00765AC1" w:rsidP="00765AC1" w:rsidRDefault="00765AC1">
      <w:pPr>
        <w:pStyle w:val="Basis"/>
        <w:rPr>
          <w:rFonts w:ascii="Times New Roman" w:hAnsi="Times New Roman" w:cs="Times New Roman"/>
          <w:b/>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ind w:firstLine="284"/>
        <w:rPr>
          <w:rFonts w:ascii="Times New Roman" w:hAnsi="Times New Roman" w:cs="Times New Roman"/>
          <w:sz w:val="24"/>
          <w:szCs w:val="24"/>
        </w:rPr>
      </w:pPr>
      <w:r w:rsidRPr="00765AC1">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765AC1"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r w:rsidRPr="00765AC1">
        <w:rPr>
          <w:rFonts w:ascii="Times New Roman" w:hAnsi="Times New Roman" w:cs="Times New Roman"/>
          <w:sz w:val="24"/>
          <w:szCs w:val="24"/>
        </w:rPr>
        <w:t>Gegeven</w:t>
      </w: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00765AC1" w:rsidP="00765AC1" w:rsidRDefault="00765AC1">
      <w:pPr>
        <w:pStyle w:val="Basis"/>
        <w:rPr>
          <w:rFonts w:ascii="Times New Roman" w:hAnsi="Times New Roman" w:cs="Times New Roman"/>
          <w:sz w:val="24"/>
          <w:szCs w:val="24"/>
        </w:rPr>
      </w:pPr>
    </w:p>
    <w:p w:rsidRPr="00765AC1" w:rsidR="00765AC1" w:rsidP="00765AC1" w:rsidRDefault="00765AC1">
      <w:pPr>
        <w:pStyle w:val="Basis"/>
        <w:rPr>
          <w:rFonts w:ascii="Times New Roman" w:hAnsi="Times New Roman" w:cs="Times New Roman"/>
          <w:sz w:val="24"/>
          <w:szCs w:val="24"/>
        </w:rPr>
      </w:pPr>
    </w:p>
    <w:p w:rsidRPr="00765AC1" w:rsidR="00765AC1" w:rsidP="00765AC1" w:rsidRDefault="00765AC1">
      <w:pPr>
        <w:pStyle w:val="Basis"/>
        <w:rPr>
          <w:rFonts w:ascii="Times New Roman" w:hAnsi="Times New Roman" w:cs="Times New Roman"/>
          <w:sz w:val="24"/>
          <w:szCs w:val="24"/>
        </w:rPr>
      </w:pPr>
      <w:r w:rsidRPr="00765AC1">
        <w:rPr>
          <w:rFonts w:ascii="Times New Roman" w:hAnsi="Times New Roman" w:cs="Times New Roman"/>
          <w:sz w:val="24"/>
          <w:szCs w:val="24"/>
        </w:rPr>
        <w:t>De Minister van Binnenlandse Zaken en Koninkrijksrelaties,</w:t>
      </w:r>
    </w:p>
    <w:p w:rsidR="00765AC1" w:rsidP="00765AC1" w:rsidRDefault="00765AC1">
      <w:pPr>
        <w:rPr>
          <w:vanish/>
          <w:sz w:val="18"/>
        </w:rPr>
      </w:pPr>
    </w:p>
    <w:p w:rsidR="00765AC1" w:rsidP="001B4864" w:rsidRDefault="00765AC1">
      <w:pPr>
        <w:pStyle w:val="Basis"/>
        <w:keepNext/>
        <w:rPr>
          <w:rFonts w:ascii="Times New Roman" w:hAnsi="Times New Roman" w:cs="Times New Roman"/>
          <w:b/>
          <w:sz w:val="24"/>
          <w:szCs w:val="24"/>
        </w:rPr>
        <w:sectPr w:rsidR="00765AC1" w:rsidSect="00A11E73">
          <w:footerReference w:type="even" r:id="rId7"/>
          <w:footerReference w:type="default" r:id="rId8"/>
          <w:pgSz w:w="11906" w:h="16838"/>
          <w:pgMar w:top="1418" w:right="1418" w:bottom="1418" w:left="1418" w:header="357" w:footer="1440" w:gutter="0"/>
          <w:pgNumType w:start="1"/>
          <w:cols w:space="708"/>
          <w:noEndnote/>
        </w:sectPr>
      </w:pPr>
    </w:p>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lastRenderedPageBreak/>
        <w:t>(Bedragen x € 1.000)</w:t>
      </w:r>
    </w:p>
    <w:tbl>
      <w:tblPr>
        <w:tblW w:w="0" w:type="auto"/>
        <w:tblInd w:w="70" w:type="dxa"/>
        <w:tblCellMar>
          <w:left w:w="70" w:type="dxa"/>
          <w:right w:w="70" w:type="dxa"/>
        </w:tblCellMar>
        <w:tblLook w:val="04A0" w:firstRow="1" w:lastRow="0" w:firstColumn="1" w:lastColumn="0" w:noHBand="0" w:noVBand="1"/>
      </w:tblPr>
      <w:tblGrid>
        <w:gridCol w:w="1256"/>
        <w:gridCol w:w="5783"/>
        <w:gridCol w:w="2404"/>
        <w:gridCol w:w="1580"/>
        <w:gridCol w:w="2078"/>
      </w:tblGrid>
      <w:tr w:rsidRPr="006E1153" w:rsidR="006E1153" w:rsidTr="00A76463">
        <w:trPr>
          <w:trHeight w:val="300"/>
        </w:trPr>
        <w:tc>
          <w:tcPr>
            <w:tcW w:w="0" w:type="auto"/>
            <w:gridSpan w:val="5"/>
            <w:tcBorders>
              <w:top w:val="nil"/>
              <w:left w:val="nil"/>
              <w:bottom w:val="nil"/>
              <w:right w:val="nil"/>
            </w:tcBorders>
            <w:shd w:val="clear" w:color="auto" w:fill="auto"/>
            <w:noWrap/>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Vaststelling van de begrotingsstaat van het Ministerie van Binnenlandse Zaken en Koninkrijksrelaties (VII) voor het jaar 2019</w:t>
            </w:r>
          </w:p>
        </w:tc>
      </w:tr>
      <w:tr w:rsidRPr="006E1153" w:rsidR="006E1153" w:rsidTr="00A76463">
        <w:trPr>
          <w:trHeight w:val="300"/>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Artikel</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Omschrijving</w:t>
            </w:r>
          </w:p>
        </w:tc>
        <w:tc>
          <w:tcPr>
            <w:tcW w:w="0" w:type="auto"/>
            <w:tcBorders>
              <w:top w:val="single" w:color="auto" w:sz="4" w:space="0"/>
              <w:left w:val="nil"/>
              <w:bottom w:val="single" w:color="auto" w:sz="4" w:space="0"/>
              <w:right w:val="single" w:color="auto" w:sz="4" w:space="0"/>
            </w:tcBorders>
            <w:shd w:val="clear" w:color="auto" w:fill="auto"/>
            <w:noWrap/>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Verplichtingen</w:t>
            </w:r>
          </w:p>
        </w:tc>
        <w:tc>
          <w:tcPr>
            <w:tcW w:w="0" w:type="auto"/>
            <w:tcBorders>
              <w:top w:val="single" w:color="auto" w:sz="4" w:space="0"/>
              <w:left w:val="nil"/>
              <w:bottom w:val="single" w:color="auto" w:sz="4" w:space="0"/>
              <w:right w:val="single" w:color="auto" w:sz="4" w:space="0"/>
            </w:tcBorders>
            <w:shd w:val="clear" w:color="auto" w:fill="auto"/>
            <w:noWrap/>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Uitgaven</w:t>
            </w:r>
          </w:p>
        </w:tc>
        <w:tc>
          <w:tcPr>
            <w:tcW w:w="0" w:type="auto"/>
            <w:tcBorders>
              <w:top w:val="single" w:color="auto" w:sz="4" w:space="0"/>
              <w:left w:val="nil"/>
              <w:bottom w:val="single" w:color="auto" w:sz="4" w:space="0"/>
              <w:right w:val="single" w:color="auto" w:sz="4" w:space="0"/>
            </w:tcBorders>
            <w:shd w:val="clear" w:color="auto" w:fill="auto"/>
            <w:noWrap/>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Ontvangsten</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nil"/>
              <w:right w:val="nil"/>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p>
        </w:tc>
        <w:tc>
          <w:tcPr>
            <w:tcW w:w="0" w:type="auto"/>
            <w:tcBorders>
              <w:top w:val="nil"/>
              <w:left w:val="nil"/>
              <w:bottom w:val="nil"/>
              <w:right w:val="nil"/>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p>
        </w:tc>
        <w:tc>
          <w:tcPr>
            <w:tcW w:w="0" w:type="auto"/>
            <w:tcBorders>
              <w:top w:val="nil"/>
              <w:left w:val="nil"/>
              <w:bottom w:val="nil"/>
              <w:right w:val="nil"/>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Totaal</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5.421.259</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5.560.406</w:t>
            </w:r>
          </w:p>
        </w:tc>
        <w:tc>
          <w:tcPr>
            <w:tcW w:w="0" w:type="auto"/>
            <w:tcBorders>
              <w:top w:val="single" w:color="auto" w:sz="4" w:space="0"/>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679.437</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Beleidsartikelen</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Openbaar bestuur en democratie</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59.323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59.323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21.965</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2</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Nationale veiligheid</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274.253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274.253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13.214</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Woningmarkt</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4.104.088</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4.104.213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521.000</w:t>
            </w:r>
          </w:p>
        </w:tc>
      </w:tr>
      <w:tr w:rsidRPr="006E1153" w:rsidR="006E1153" w:rsidTr="00A76463">
        <w:trPr>
          <w:trHeight w:val="465"/>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4</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xml:space="preserve">Energietransitie gebouwde omgeving en bouwkwaliteit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155.508</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286.508</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91</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5</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Ruimtelijke ordening en Omgevingswet</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94.897</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102.919</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3.824</w:t>
            </w:r>
          </w:p>
        </w:tc>
      </w:tr>
      <w:tr w:rsidRPr="006E1153" w:rsidR="006E1153" w:rsidTr="00A76463">
        <w:trPr>
          <w:trHeight w:val="465"/>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6</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Overheidsdienstverlening en informatiesamenleving</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174.479</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174.479</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1.609</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7</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xml:space="preserve">Werkgevers- en </w:t>
            </w:r>
            <w:proofErr w:type="spellStart"/>
            <w:r w:rsidRPr="006E1153">
              <w:rPr>
                <w:rFonts w:ascii="Times New Roman" w:hAnsi="Times New Roman"/>
                <w:sz w:val="24"/>
                <w:szCs w:val="20"/>
              </w:rPr>
              <w:t>bedrijfsvoeringsbeleid</w:t>
            </w:r>
            <w:proofErr w:type="spellEnd"/>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33.427</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33.427</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520</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8</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Kwaliteit Rijksdienst</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9</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Uitvoering Rijksvastgoedbeleid</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117.329</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117.329</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99.782</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noWrap/>
            <w:vAlign w:val="bottom"/>
            <w:hideMark/>
          </w:tcPr>
          <w:p w:rsidRPr="006E1153" w:rsidR="006E1153" w:rsidP="006E1153" w:rsidRDefault="006E1153">
            <w:pPr>
              <w:tabs>
                <w:tab w:val="left" w:pos="284"/>
              </w:tabs>
              <w:rPr>
                <w:rFonts w:ascii="Times New Roman" w:hAnsi="Times New Roman"/>
                <w:b/>
                <w:bCs/>
                <w:sz w:val="24"/>
                <w:szCs w:val="20"/>
              </w:rPr>
            </w:pPr>
            <w:r w:rsidRPr="006E1153">
              <w:rPr>
                <w:rFonts w:ascii="Times New Roman" w:hAnsi="Times New Roman"/>
                <w:b/>
                <w:bCs/>
                <w:sz w:val="24"/>
                <w:szCs w:val="20"/>
              </w:rPr>
              <w:t>Niet-beleidsartikelen</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 </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11</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Centraal apparaat</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401.397</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401.397</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17.432</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12</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Algemeen</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6.558</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6.558</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r>
      <w:tr w:rsidRPr="006E1153" w:rsidR="006E1153" w:rsidTr="00A76463">
        <w:trPr>
          <w:trHeight w:val="300"/>
        </w:trPr>
        <w:tc>
          <w:tcPr>
            <w:tcW w:w="0" w:type="auto"/>
            <w:tcBorders>
              <w:top w:val="nil"/>
              <w:left w:val="single" w:color="auto" w:sz="4" w:space="0"/>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13</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Nog onverdeeld</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c>
          <w:tcPr>
            <w:tcW w:w="0" w:type="auto"/>
            <w:tcBorders>
              <w:top w:val="nil"/>
              <w:left w:val="nil"/>
              <w:bottom w:val="single" w:color="auto" w:sz="4" w:space="0"/>
              <w:right w:val="single" w:color="auto" w:sz="4" w:space="0"/>
            </w:tcBorders>
            <w:shd w:val="clear" w:color="auto" w:fill="auto"/>
            <w:vAlign w:val="bottom"/>
            <w:hideMark/>
          </w:tcPr>
          <w:p w:rsidRPr="006E1153" w:rsidR="006E1153" w:rsidP="006E1153" w:rsidRDefault="006E1153">
            <w:pPr>
              <w:tabs>
                <w:tab w:val="left" w:pos="284"/>
              </w:tabs>
              <w:rPr>
                <w:rFonts w:ascii="Times New Roman" w:hAnsi="Times New Roman"/>
                <w:sz w:val="24"/>
                <w:szCs w:val="20"/>
              </w:rPr>
            </w:pPr>
            <w:r w:rsidRPr="006E1153">
              <w:rPr>
                <w:rFonts w:ascii="Times New Roman" w:hAnsi="Times New Roman"/>
                <w:sz w:val="24"/>
                <w:szCs w:val="20"/>
              </w:rPr>
              <w:t>0</w:t>
            </w:r>
          </w:p>
        </w:tc>
      </w:tr>
    </w:tbl>
    <w:p w:rsidR="00765AC1" w:rsidP="00765AC1" w:rsidRDefault="00765AC1"/>
    <w:p w:rsidR="00D64F0D" w:rsidRDefault="00D64F0D">
      <w:r>
        <w:br w:type="page"/>
      </w:r>
    </w:p>
    <w:p w:rsidRPr="00D64F0D" w:rsidR="00D64F0D" w:rsidP="00D64F0D" w:rsidRDefault="00D64F0D">
      <w:pPr>
        <w:spacing w:line="240" w:lineRule="atLeast"/>
        <w:rPr>
          <w:rFonts w:ascii="Times New Roman" w:hAnsi="Times New Roman"/>
          <w:sz w:val="16"/>
          <w:szCs w:val="16"/>
        </w:rPr>
      </w:pPr>
      <w:r w:rsidRPr="00D64F0D">
        <w:rPr>
          <w:rFonts w:ascii="Times New Roman" w:hAnsi="Times New Roman"/>
          <w:sz w:val="16"/>
          <w:szCs w:val="16"/>
        </w:rPr>
        <w:lastRenderedPageBreak/>
        <w:t>(Bedragen x € 1.000)</w:t>
      </w:r>
    </w:p>
    <w:tbl>
      <w:tblPr>
        <w:tblW w:w="7688" w:type="dxa"/>
        <w:tblInd w:w="75" w:type="dxa"/>
        <w:tblCellMar>
          <w:left w:w="70" w:type="dxa"/>
          <w:right w:w="70" w:type="dxa"/>
        </w:tblCellMar>
        <w:tblLook w:val="04A0" w:firstRow="1" w:lastRow="0" w:firstColumn="1" w:lastColumn="0" w:noHBand="0" w:noVBand="1"/>
      </w:tblPr>
      <w:tblGrid>
        <w:gridCol w:w="3875"/>
        <w:gridCol w:w="1223"/>
        <w:gridCol w:w="1134"/>
        <w:gridCol w:w="1456"/>
      </w:tblGrid>
      <w:tr w:rsidRPr="00D64F0D" w:rsidR="00D64F0D" w:rsidTr="0001061D">
        <w:trPr>
          <w:trHeight w:val="296"/>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b/>
                <w:bCs/>
                <w:sz w:val="16"/>
                <w:szCs w:val="16"/>
              </w:rPr>
            </w:pPr>
            <w:r w:rsidRPr="00D64F0D">
              <w:rPr>
                <w:rFonts w:ascii="Times New Roman" w:hAnsi="Times New Roman" w:cs="Arial"/>
                <w:b/>
                <w:bCs/>
                <w:sz w:val="16"/>
                <w:szCs w:val="16"/>
              </w:rPr>
              <w:t>Naam baten-lastenagentschap</w:t>
            </w:r>
          </w:p>
        </w:tc>
        <w:tc>
          <w:tcPr>
            <w:tcW w:w="1223" w:type="dxa"/>
            <w:tcBorders>
              <w:top w:val="single" w:color="auto" w:sz="4" w:space="0"/>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
                <w:bCs/>
                <w:sz w:val="16"/>
                <w:szCs w:val="16"/>
              </w:rPr>
            </w:pPr>
            <w:r w:rsidRPr="00D64F0D">
              <w:rPr>
                <w:rFonts w:ascii="Times New Roman" w:hAnsi="Times New Roman" w:cs="Arial"/>
                <w:b/>
                <w:bCs/>
                <w:sz w:val="16"/>
                <w:szCs w:val="16"/>
              </w:rPr>
              <w:t>Baten</w:t>
            </w:r>
          </w:p>
        </w:tc>
        <w:tc>
          <w:tcPr>
            <w:tcW w:w="1134" w:type="dxa"/>
            <w:tcBorders>
              <w:top w:val="single" w:color="auto" w:sz="4" w:space="0"/>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
                <w:bCs/>
                <w:sz w:val="16"/>
                <w:szCs w:val="16"/>
              </w:rPr>
            </w:pPr>
            <w:r w:rsidRPr="00D64F0D">
              <w:rPr>
                <w:rFonts w:ascii="Times New Roman" w:hAnsi="Times New Roman" w:cs="Arial"/>
                <w:b/>
                <w:bCs/>
                <w:sz w:val="16"/>
                <w:szCs w:val="16"/>
              </w:rPr>
              <w:t>Lasten</w:t>
            </w:r>
          </w:p>
        </w:tc>
        <w:tc>
          <w:tcPr>
            <w:tcW w:w="1456" w:type="dxa"/>
            <w:tcBorders>
              <w:top w:val="single" w:color="auto" w:sz="4" w:space="0"/>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
                <w:bCs/>
                <w:sz w:val="16"/>
                <w:szCs w:val="16"/>
              </w:rPr>
            </w:pPr>
            <w:r w:rsidRPr="00D64F0D">
              <w:rPr>
                <w:rFonts w:ascii="Times New Roman" w:hAnsi="Times New Roman" w:cs="Arial"/>
                <w:b/>
                <w:bCs/>
                <w:sz w:val="16"/>
                <w:szCs w:val="16"/>
              </w:rPr>
              <w:t>Saldo baten en lasten</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Rijksdienst voor Identiteitsgegevens (</w:t>
            </w:r>
            <w:proofErr w:type="spellStart"/>
            <w:r w:rsidRPr="00D64F0D">
              <w:rPr>
                <w:rFonts w:ascii="Times New Roman" w:hAnsi="Times New Roman" w:cs="Arial"/>
                <w:sz w:val="16"/>
                <w:szCs w:val="16"/>
              </w:rPr>
              <w:t>RvIG</w:t>
            </w:r>
            <w:proofErr w:type="spellEnd"/>
            <w:r w:rsidRPr="00D64F0D">
              <w:rPr>
                <w:rFonts w:ascii="Times New Roman" w:hAnsi="Times New Roman" w:cs="Arial"/>
                <w:sz w:val="16"/>
                <w:szCs w:val="16"/>
              </w:rPr>
              <w:t>)</w:t>
            </w:r>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93.691</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93.691</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proofErr w:type="spellStart"/>
            <w:r w:rsidRPr="00D64F0D">
              <w:rPr>
                <w:rFonts w:ascii="Times New Roman" w:hAnsi="Times New Roman" w:cs="Arial"/>
                <w:sz w:val="16"/>
                <w:szCs w:val="16"/>
              </w:rPr>
              <w:t>Logius</w:t>
            </w:r>
            <w:proofErr w:type="spellEnd"/>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228.779</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228.779</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P-</w:t>
            </w:r>
            <w:proofErr w:type="spellStart"/>
            <w:r w:rsidRPr="00D64F0D">
              <w:rPr>
                <w:rFonts w:ascii="Times New Roman" w:hAnsi="Times New Roman" w:cs="Arial"/>
                <w:sz w:val="16"/>
                <w:szCs w:val="16"/>
              </w:rPr>
              <w:t>Direkt</w:t>
            </w:r>
            <w:proofErr w:type="spellEnd"/>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98.656</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98.656</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Uitvoeringorganisatie Bedrijfsvoering Rijk (UBR)</w:t>
            </w:r>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235.286</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235.286</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proofErr w:type="spellStart"/>
            <w:r w:rsidRPr="00D64F0D">
              <w:rPr>
                <w:rFonts w:ascii="Times New Roman" w:hAnsi="Times New Roman" w:cs="Arial"/>
                <w:sz w:val="16"/>
                <w:szCs w:val="16"/>
              </w:rPr>
              <w:t>FMHaaglanden</w:t>
            </w:r>
            <w:proofErr w:type="spellEnd"/>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122.438</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122.438</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SSC ICT</w:t>
            </w:r>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318.791</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318.791</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Rijksvastgoedbedrijf (RVB)</w:t>
            </w:r>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1.185.175</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1.185.175</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Dienst van de Huurcommissie (DHC)</w:t>
            </w:r>
          </w:p>
        </w:tc>
        <w:tc>
          <w:tcPr>
            <w:tcW w:w="1223"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12.630</w:t>
            </w:r>
          </w:p>
        </w:tc>
        <w:tc>
          <w:tcPr>
            <w:tcW w:w="1134"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12.630</w:t>
            </w:r>
          </w:p>
        </w:tc>
        <w:tc>
          <w:tcPr>
            <w:tcW w:w="1456" w:type="dxa"/>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sz w:val="16"/>
                <w:szCs w:val="16"/>
              </w:rPr>
            </w:pPr>
            <w:r w:rsidRPr="00D64F0D">
              <w:rPr>
                <w:rFonts w:ascii="Times New Roman" w:hAnsi="Times New Roman" w:cs="Arial"/>
                <w:sz w:val="16"/>
                <w:szCs w:val="16"/>
              </w:rPr>
              <w:t>0</w:t>
            </w:r>
          </w:p>
        </w:tc>
      </w:tr>
      <w:tr w:rsidRPr="00D64F0D" w:rsidR="00D64F0D" w:rsidTr="0001061D">
        <w:trPr>
          <w:trHeight w:val="29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b/>
                <w:bCs/>
                <w:sz w:val="16"/>
                <w:szCs w:val="16"/>
              </w:rPr>
            </w:pPr>
            <w:r w:rsidRPr="00D64F0D">
              <w:rPr>
                <w:rFonts w:ascii="Times New Roman" w:hAnsi="Times New Roman" w:cs="Arial"/>
                <w:b/>
                <w:bCs/>
                <w:sz w:val="16"/>
                <w:szCs w:val="16"/>
              </w:rPr>
              <w:t>Totaal</w:t>
            </w:r>
          </w:p>
        </w:tc>
        <w:tc>
          <w:tcPr>
            <w:tcW w:w="1223" w:type="dxa"/>
            <w:tcBorders>
              <w:top w:val="nil"/>
              <w:left w:val="nil"/>
              <w:bottom w:val="single" w:color="auto" w:sz="4" w:space="0"/>
              <w:right w:val="single" w:color="auto" w:sz="4" w:space="0"/>
            </w:tcBorders>
            <w:shd w:val="clear" w:color="auto" w:fill="auto"/>
            <w:noWrap/>
            <w:vAlign w:val="bottom"/>
            <w:hideMark/>
          </w:tcPr>
          <w:p w:rsidRPr="00D64F0D" w:rsidR="00D64F0D" w:rsidP="00D64F0D" w:rsidRDefault="00D64F0D">
            <w:pPr>
              <w:jc w:val="right"/>
              <w:rPr>
                <w:rFonts w:ascii="Times New Roman" w:hAnsi="Times New Roman" w:cs="Arial"/>
                <w:b/>
                <w:bCs/>
                <w:color w:val="000000"/>
                <w:sz w:val="16"/>
                <w:szCs w:val="16"/>
              </w:rPr>
            </w:pPr>
            <w:r w:rsidRPr="00D64F0D">
              <w:rPr>
                <w:rFonts w:ascii="Times New Roman" w:hAnsi="Times New Roman" w:cs="Arial"/>
                <w:b/>
                <w:bCs/>
                <w:color w:val="000000"/>
                <w:sz w:val="16"/>
                <w:szCs w:val="16"/>
              </w:rPr>
              <w:t>2.295.446</w:t>
            </w:r>
          </w:p>
        </w:tc>
        <w:tc>
          <w:tcPr>
            <w:tcW w:w="1134" w:type="dxa"/>
            <w:tcBorders>
              <w:top w:val="nil"/>
              <w:left w:val="nil"/>
              <w:bottom w:val="single" w:color="auto" w:sz="4" w:space="0"/>
              <w:right w:val="single" w:color="auto" w:sz="4" w:space="0"/>
            </w:tcBorders>
            <w:shd w:val="clear" w:color="auto" w:fill="auto"/>
            <w:noWrap/>
            <w:vAlign w:val="bottom"/>
            <w:hideMark/>
          </w:tcPr>
          <w:p w:rsidRPr="00D64F0D" w:rsidR="00D64F0D" w:rsidP="00D64F0D" w:rsidRDefault="00D64F0D">
            <w:pPr>
              <w:jc w:val="right"/>
              <w:rPr>
                <w:rFonts w:ascii="Times New Roman" w:hAnsi="Times New Roman" w:cs="Arial"/>
                <w:b/>
                <w:bCs/>
                <w:color w:val="000000"/>
                <w:sz w:val="16"/>
                <w:szCs w:val="16"/>
              </w:rPr>
            </w:pPr>
            <w:r w:rsidRPr="00D64F0D">
              <w:rPr>
                <w:rFonts w:ascii="Times New Roman" w:hAnsi="Times New Roman" w:cs="Arial"/>
                <w:b/>
                <w:bCs/>
                <w:color w:val="000000"/>
                <w:sz w:val="16"/>
                <w:szCs w:val="16"/>
              </w:rPr>
              <w:t>2.295.446</w:t>
            </w:r>
          </w:p>
        </w:tc>
        <w:tc>
          <w:tcPr>
            <w:tcW w:w="1456" w:type="dxa"/>
            <w:tcBorders>
              <w:top w:val="nil"/>
              <w:left w:val="nil"/>
              <w:bottom w:val="single" w:color="auto" w:sz="4" w:space="0"/>
              <w:right w:val="single" w:color="auto" w:sz="4" w:space="0"/>
            </w:tcBorders>
            <w:shd w:val="clear" w:color="auto" w:fill="auto"/>
            <w:noWrap/>
            <w:vAlign w:val="bottom"/>
            <w:hideMark/>
          </w:tcPr>
          <w:p w:rsidRPr="00D64F0D" w:rsidR="00D64F0D" w:rsidP="00D64F0D" w:rsidRDefault="00D64F0D">
            <w:pPr>
              <w:jc w:val="right"/>
              <w:rPr>
                <w:rFonts w:ascii="Times New Roman" w:hAnsi="Times New Roman" w:cs="Arial"/>
                <w:b/>
                <w:bCs/>
                <w:color w:val="000000"/>
                <w:sz w:val="16"/>
                <w:szCs w:val="16"/>
              </w:rPr>
            </w:pPr>
            <w:r w:rsidRPr="00D64F0D">
              <w:rPr>
                <w:rFonts w:ascii="Times New Roman" w:hAnsi="Times New Roman" w:cs="Arial"/>
                <w:b/>
                <w:bCs/>
                <w:color w:val="000000"/>
                <w:sz w:val="16"/>
                <w:szCs w:val="16"/>
              </w:rPr>
              <w:t>0</w:t>
            </w:r>
          </w:p>
        </w:tc>
      </w:tr>
    </w:tbl>
    <w:p w:rsidRPr="00D64F0D" w:rsidR="00D64F0D" w:rsidP="00D64F0D" w:rsidRDefault="00D64F0D">
      <w:pPr>
        <w:spacing w:line="240" w:lineRule="atLeast"/>
        <w:rPr>
          <w:rFonts w:ascii="Times New Roman" w:hAnsi="Times New Roman"/>
          <w:sz w:val="24"/>
          <w:szCs w:val="18"/>
        </w:rPr>
      </w:pPr>
    </w:p>
    <w:p w:rsidRPr="00D64F0D" w:rsidR="00D64F0D" w:rsidP="00D64F0D" w:rsidRDefault="00D64F0D">
      <w:pPr>
        <w:spacing w:line="240" w:lineRule="atLeast"/>
        <w:rPr>
          <w:rFonts w:ascii="Times New Roman" w:hAnsi="Times New Roman"/>
          <w:sz w:val="24"/>
          <w:szCs w:val="18"/>
        </w:rPr>
      </w:pPr>
    </w:p>
    <w:tbl>
      <w:tblPr>
        <w:tblW w:w="7732" w:type="dxa"/>
        <w:tblInd w:w="75" w:type="dxa"/>
        <w:tblCellMar>
          <w:left w:w="70" w:type="dxa"/>
          <w:right w:w="70" w:type="dxa"/>
        </w:tblCellMar>
        <w:tblLook w:val="04A0" w:firstRow="1" w:lastRow="0" w:firstColumn="1" w:lastColumn="0" w:noHBand="0" w:noVBand="1"/>
      </w:tblPr>
      <w:tblGrid>
        <w:gridCol w:w="3643"/>
        <w:gridCol w:w="1915"/>
        <w:gridCol w:w="2174"/>
      </w:tblGrid>
      <w:tr w:rsidRPr="00D64F0D" w:rsidR="00D64F0D" w:rsidTr="0001061D">
        <w:trPr>
          <w:trHeight w:val="286"/>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b/>
                <w:bCs/>
                <w:sz w:val="16"/>
                <w:szCs w:val="16"/>
              </w:rPr>
            </w:pPr>
            <w:r w:rsidRPr="00D64F0D">
              <w:rPr>
                <w:rFonts w:ascii="Times New Roman" w:hAnsi="Times New Roman" w:cs="Arial"/>
                <w:b/>
                <w:bCs/>
                <w:sz w:val="16"/>
                <w:szCs w:val="16"/>
              </w:rPr>
              <w:t>Naam baten-lastenagentschap</w:t>
            </w:r>
          </w:p>
        </w:tc>
        <w:tc>
          <w:tcPr>
            <w:tcW w:w="0" w:type="auto"/>
            <w:tcBorders>
              <w:top w:val="single" w:color="auto" w:sz="4" w:space="0"/>
              <w:left w:val="nil"/>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b/>
                <w:bCs/>
                <w:sz w:val="16"/>
                <w:szCs w:val="16"/>
              </w:rPr>
            </w:pPr>
            <w:r w:rsidRPr="00D64F0D">
              <w:rPr>
                <w:rFonts w:ascii="Times New Roman" w:hAnsi="Times New Roman" w:cs="Arial"/>
                <w:b/>
                <w:bCs/>
                <w:sz w:val="16"/>
                <w:szCs w:val="16"/>
              </w:rPr>
              <w:t>Totaal kapitaaluitgaven</w:t>
            </w:r>
          </w:p>
        </w:tc>
        <w:tc>
          <w:tcPr>
            <w:tcW w:w="0" w:type="auto"/>
            <w:tcBorders>
              <w:top w:val="single" w:color="auto" w:sz="4" w:space="0"/>
              <w:left w:val="nil"/>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b/>
                <w:bCs/>
                <w:sz w:val="16"/>
                <w:szCs w:val="16"/>
              </w:rPr>
            </w:pPr>
            <w:r w:rsidRPr="00D64F0D">
              <w:rPr>
                <w:rFonts w:ascii="Times New Roman" w:hAnsi="Times New Roman" w:cs="Arial"/>
                <w:b/>
                <w:bCs/>
                <w:sz w:val="16"/>
                <w:szCs w:val="16"/>
              </w:rPr>
              <w:t>Totaal kapitaalontvangsten</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Rijksdienst voor Identiteitsgegevens (</w:t>
            </w:r>
            <w:proofErr w:type="spellStart"/>
            <w:r w:rsidRPr="00D64F0D">
              <w:rPr>
                <w:rFonts w:ascii="Times New Roman" w:hAnsi="Times New Roman" w:cs="Arial"/>
                <w:sz w:val="16"/>
                <w:szCs w:val="16"/>
              </w:rPr>
              <w:t>RvIG</w:t>
            </w:r>
            <w:proofErr w:type="spellEnd"/>
            <w:r w:rsidRPr="00D64F0D">
              <w:rPr>
                <w:rFonts w:ascii="Times New Roman" w:hAnsi="Times New Roman" w:cs="Arial"/>
                <w:sz w:val="16"/>
                <w:szCs w:val="16"/>
              </w:rPr>
              <w:t>)</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4.000</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2.000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proofErr w:type="spellStart"/>
            <w:r w:rsidRPr="00D64F0D">
              <w:rPr>
                <w:rFonts w:ascii="Times New Roman" w:hAnsi="Times New Roman" w:cs="Arial"/>
                <w:sz w:val="16"/>
                <w:szCs w:val="16"/>
              </w:rPr>
              <w:t>Logius</w:t>
            </w:r>
            <w:proofErr w:type="spellEnd"/>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400</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P-</w:t>
            </w:r>
            <w:proofErr w:type="spellStart"/>
            <w:r w:rsidRPr="00D64F0D">
              <w:rPr>
                <w:rFonts w:ascii="Times New Roman" w:hAnsi="Times New Roman" w:cs="Arial"/>
                <w:sz w:val="16"/>
                <w:szCs w:val="16"/>
              </w:rPr>
              <w:t>Direkt</w:t>
            </w:r>
            <w:proofErr w:type="spellEnd"/>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18.317</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8.000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Uitvoeringorganisatie Bedrijfsvoering Rijk (UBR)</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1.727</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1.000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proofErr w:type="spellStart"/>
            <w:r w:rsidRPr="00D64F0D">
              <w:rPr>
                <w:rFonts w:ascii="Times New Roman" w:hAnsi="Times New Roman" w:cs="Arial"/>
                <w:sz w:val="16"/>
                <w:szCs w:val="16"/>
              </w:rPr>
              <w:t>FMHaaglanden</w:t>
            </w:r>
            <w:proofErr w:type="spellEnd"/>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16.062</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9.100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SSC ICT</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116.833</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47.118</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Rijksvastgoedbedrijf (RVB)</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1.032.105</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701.000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hideMark/>
          </w:tcPr>
          <w:p w:rsidRPr="00D64F0D" w:rsidR="00D64F0D" w:rsidP="00D64F0D" w:rsidRDefault="00D64F0D">
            <w:pPr>
              <w:rPr>
                <w:rFonts w:ascii="Times New Roman" w:hAnsi="Times New Roman" w:cs="Arial"/>
                <w:sz w:val="16"/>
                <w:szCs w:val="16"/>
              </w:rPr>
            </w:pPr>
            <w:r w:rsidRPr="00D64F0D">
              <w:rPr>
                <w:rFonts w:ascii="Times New Roman" w:hAnsi="Times New Roman" w:cs="Arial"/>
                <w:sz w:val="16"/>
                <w:szCs w:val="16"/>
              </w:rPr>
              <w:t>Dienst van de Huurcommissie (DHC)</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0</w:t>
            </w:r>
          </w:p>
        </w:tc>
        <w:tc>
          <w:tcPr>
            <w:tcW w:w="0" w:type="auto"/>
            <w:tcBorders>
              <w:top w:val="nil"/>
              <w:left w:val="nil"/>
              <w:bottom w:val="single" w:color="auto" w:sz="4" w:space="0"/>
              <w:right w:val="single" w:color="auto" w:sz="4" w:space="0"/>
            </w:tcBorders>
            <w:shd w:val="clear" w:color="auto" w:fill="auto"/>
            <w:hideMark/>
          </w:tcPr>
          <w:p w:rsidRPr="00D64F0D" w:rsidR="00D64F0D" w:rsidP="00D64F0D" w:rsidRDefault="00D64F0D">
            <w:pPr>
              <w:jc w:val="right"/>
              <w:rPr>
                <w:rFonts w:ascii="Times New Roman" w:hAnsi="Times New Roman" w:cs="Arial"/>
                <w:bCs/>
                <w:sz w:val="16"/>
                <w:szCs w:val="16"/>
              </w:rPr>
            </w:pPr>
            <w:r w:rsidRPr="00D64F0D">
              <w:rPr>
                <w:rFonts w:ascii="Times New Roman" w:hAnsi="Times New Roman" w:cs="Arial"/>
                <w:bCs/>
                <w:sz w:val="16"/>
                <w:szCs w:val="16"/>
              </w:rPr>
              <w:t>0</w:t>
            </w:r>
          </w:p>
        </w:tc>
      </w:tr>
      <w:tr w:rsidRPr="00D64F0D" w:rsidR="00D64F0D" w:rsidTr="0001061D">
        <w:trPr>
          <w:trHeight w:val="286"/>
        </w:trPr>
        <w:tc>
          <w:tcPr>
            <w:tcW w:w="0" w:type="auto"/>
            <w:tcBorders>
              <w:top w:val="nil"/>
              <w:left w:val="single" w:color="auto" w:sz="4" w:space="0"/>
              <w:bottom w:val="single" w:color="auto" w:sz="4" w:space="0"/>
              <w:right w:val="single" w:color="auto" w:sz="4" w:space="0"/>
            </w:tcBorders>
            <w:shd w:val="clear" w:color="auto" w:fill="auto"/>
            <w:noWrap/>
            <w:vAlign w:val="bottom"/>
            <w:hideMark/>
          </w:tcPr>
          <w:p w:rsidRPr="00D64F0D" w:rsidR="00D64F0D" w:rsidP="00D64F0D" w:rsidRDefault="00D64F0D">
            <w:pPr>
              <w:rPr>
                <w:rFonts w:ascii="Times New Roman" w:hAnsi="Times New Roman" w:cs="Arial"/>
                <w:b/>
                <w:bCs/>
                <w:color w:val="000000"/>
                <w:sz w:val="16"/>
                <w:szCs w:val="16"/>
              </w:rPr>
            </w:pPr>
            <w:r w:rsidRPr="00D64F0D">
              <w:rPr>
                <w:rFonts w:ascii="Times New Roman" w:hAnsi="Times New Roman" w:cs="Arial"/>
                <w:b/>
                <w:bCs/>
                <w:color w:val="000000"/>
                <w:sz w:val="16"/>
                <w:szCs w:val="16"/>
              </w:rPr>
              <w:t>Totaal</w:t>
            </w:r>
          </w:p>
        </w:tc>
        <w:tc>
          <w:tcPr>
            <w:tcW w:w="0" w:type="auto"/>
            <w:tcBorders>
              <w:top w:val="nil"/>
              <w:left w:val="nil"/>
              <w:bottom w:val="single" w:color="auto" w:sz="4" w:space="0"/>
              <w:right w:val="single" w:color="auto" w:sz="4" w:space="0"/>
            </w:tcBorders>
            <w:shd w:val="clear" w:color="auto" w:fill="auto"/>
            <w:noWrap/>
            <w:vAlign w:val="bottom"/>
            <w:hideMark/>
          </w:tcPr>
          <w:p w:rsidRPr="00D64F0D" w:rsidR="00D64F0D" w:rsidP="00D64F0D" w:rsidRDefault="00D64F0D">
            <w:pPr>
              <w:jc w:val="right"/>
              <w:rPr>
                <w:rFonts w:ascii="Times New Roman" w:hAnsi="Times New Roman" w:cs="Arial"/>
                <w:b/>
                <w:bCs/>
                <w:color w:val="000000"/>
                <w:sz w:val="16"/>
                <w:szCs w:val="16"/>
              </w:rPr>
            </w:pPr>
            <w:r w:rsidRPr="00D64F0D">
              <w:rPr>
                <w:rFonts w:ascii="Times New Roman" w:hAnsi="Times New Roman" w:cs="Arial"/>
                <w:b/>
                <w:bCs/>
                <w:color w:val="000000"/>
                <w:sz w:val="16"/>
                <w:szCs w:val="16"/>
              </w:rPr>
              <w:t>1.189.444</w:t>
            </w:r>
          </w:p>
        </w:tc>
        <w:tc>
          <w:tcPr>
            <w:tcW w:w="0" w:type="auto"/>
            <w:tcBorders>
              <w:top w:val="nil"/>
              <w:left w:val="nil"/>
              <w:bottom w:val="single" w:color="auto" w:sz="4" w:space="0"/>
              <w:right w:val="single" w:color="auto" w:sz="4" w:space="0"/>
            </w:tcBorders>
            <w:shd w:val="clear" w:color="auto" w:fill="auto"/>
            <w:noWrap/>
            <w:vAlign w:val="bottom"/>
            <w:hideMark/>
          </w:tcPr>
          <w:p w:rsidRPr="00D64F0D" w:rsidR="00D64F0D" w:rsidP="00D64F0D" w:rsidRDefault="00D64F0D">
            <w:pPr>
              <w:jc w:val="right"/>
              <w:rPr>
                <w:rFonts w:ascii="Times New Roman" w:hAnsi="Times New Roman" w:cs="Arial"/>
                <w:b/>
                <w:bCs/>
                <w:color w:val="000000"/>
                <w:sz w:val="16"/>
                <w:szCs w:val="16"/>
              </w:rPr>
            </w:pPr>
            <w:r w:rsidRPr="00D64F0D">
              <w:rPr>
                <w:rFonts w:ascii="Times New Roman" w:hAnsi="Times New Roman" w:cs="Arial"/>
                <w:b/>
                <w:bCs/>
                <w:color w:val="000000"/>
                <w:sz w:val="16"/>
                <w:szCs w:val="16"/>
              </w:rPr>
              <w:t>768.218</w:t>
            </w:r>
          </w:p>
        </w:tc>
      </w:tr>
    </w:tbl>
    <w:p w:rsidRPr="00D64F0D" w:rsidR="00D64F0D" w:rsidP="00D64F0D" w:rsidRDefault="00D64F0D">
      <w:pPr>
        <w:spacing w:line="240" w:lineRule="atLeast"/>
        <w:rPr>
          <w:rFonts w:ascii="Times New Roman" w:hAnsi="Times New Roman"/>
          <w:sz w:val="24"/>
          <w:szCs w:val="18"/>
        </w:rPr>
      </w:pPr>
    </w:p>
    <w:p w:rsidR="00D64F0D" w:rsidP="00765AC1" w:rsidRDefault="00D64F0D">
      <w:pPr>
        <w:rPr>
          <w:vanish/>
        </w:rPr>
      </w:pPr>
    </w:p>
    <w:p w:rsidR="00765AC1" w:rsidP="00765AC1" w:rsidRDefault="00765AC1">
      <w:pPr>
        <w:rPr>
          <w:vanish/>
        </w:rPr>
      </w:pPr>
      <w:r>
        <w:br w:type="page"/>
      </w:r>
    </w:p>
    <w:sectPr w:rsidR="00765AC1" w:rsidSect="00765AC1">
      <w:pgSz w:w="16838" w:h="11906" w:orient="landscape"/>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AC1" w:rsidRDefault="00765AC1">
      <w:pPr>
        <w:spacing w:line="20" w:lineRule="exact"/>
      </w:pPr>
    </w:p>
  </w:endnote>
  <w:endnote w:type="continuationSeparator" w:id="0">
    <w:p w:rsidR="00765AC1" w:rsidRDefault="00765AC1">
      <w:pPr>
        <w:pStyle w:val="Amendement"/>
      </w:pPr>
      <w:r>
        <w:rPr>
          <w:b w:val="0"/>
          <w:bCs w:val="0"/>
        </w:rPr>
        <w:t xml:space="preserve"> </w:t>
      </w:r>
    </w:p>
  </w:endnote>
  <w:endnote w:type="continuationNotice" w:id="1">
    <w:p w:rsidR="00765AC1" w:rsidRDefault="00765A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E1153">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AC1" w:rsidRDefault="00765AC1">
      <w:pPr>
        <w:pStyle w:val="Amendement"/>
      </w:pPr>
      <w:r>
        <w:rPr>
          <w:b w:val="0"/>
          <w:bCs w:val="0"/>
        </w:rPr>
        <w:separator/>
      </w:r>
    </w:p>
  </w:footnote>
  <w:footnote w:type="continuationSeparator" w:id="0">
    <w:p w:rsidR="00765AC1" w:rsidRDefault="0076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C1"/>
    <w:rsid w:val="00012DBE"/>
    <w:rsid w:val="000A1D81"/>
    <w:rsid w:val="00111ED3"/>
    <w:rsid w:val="001C190E"/>
    <w:rsid w:val="002168F4"/>
    <w:rsid w:val="002A727C"/>
    <w:rsid w:val="005D2707"/>
    <w:rsid w:val="00602217"/>
    <w:rsid w:val="00606255"/>
    <w:rsid w:val="006B607A"/>
    <w:rsid w:val="006E1153"/>
    <w:rsid w:val="00765AC1"/>
    <w:rsid w:val="007D451C"/>
    <w:rsid w:val="00826224"/>
    <w:rsid w:val="00930A23"/>
    <w:rsid w:val="009C7354"/>
    <w:rsid w:val="009E6D7F"/>
    <w:rsid w:val="00A11E73"/>
    <w:rsid w:val="00A2521E"/>
    <w:rsid w:val="00AE436A"/>
    <w:rsid w:val="00BE10DF"/>
    <w:rsid w:val="00C135B1"/>
    <w:rsid w:val="00C92DF8"/>
    <w:rsid w:val="00CB3578"/>
    <w:rsid w:val="00D20AFA"/>
    <w:rsid w:val="00D55648"/>
    <w:rsid w:val="00D64F0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65AC1"/>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65AC1"/>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65AC1"/>
    <w:pPr>
      <w:widowControl w:val="0"/>
      <w:autoSpaceDN w:val="0"/>
      <w:jc w:val="right"/>
      <w:textAlignment w:val="baseline"/>
    </w:pPr>
    <w:rPr>
      <w:rFonts w:ascii="DejaVu Sans" w:eastAsiaTheme="minorEastAsia" w:hAnsi="DejaVu Sans" w:cstheme="minorBidi"/>
      <w:kern w:val="3"/>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65AC1"/>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65AC1"/>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65AC1"/>
    <w:pPr>
      <w:widowControl w:val="0"/>
      <w:autoSpaceDN w:val="0"/>
      <w:jc w:val="right"/>
      <w:textAlignment w:val="baseline"/>
    </w:pPr>
    <w:rPr>
      <w:rFonts w:ascii="DejaVu Sans" w:eastAsiaTheme="minorEastAsia" w:hAnsi="DejaVu Sans" w:cstheme="minorBidi"/>
      <w:kern w:val="3"/>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499</ap:Words>
  <ap:Characters>3118</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2018-10-08T10:20:00.0000000Z</dcterms:created>
  <dcterms:modified xsi:type="dcterms:W3CDTF">2018-10-17T11:39:00.0000000Z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0x01010018BF83DAF004074CBB83C643F9A6E28B</vt:lpwstr>
  </property>
</Properties>
</file>