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1F" w:rsidP="00A145E3" w:rsidRDefault="001B7D1F">
      <w:pPr>
        <w:rPr>
          <w:rFonts w:ascii="Arial" w:hAnsi="Arial" w:cs="Arial"/>
          <w:b/>
          <w:sz w:val="28"/>
          <w:szCs w:val="28"/>
        </w:rPr>
      </w:pPr>
      <w:bookmarkStart w:name="_GoBack" w:id="0"/>
      <w:bookmarkEnd w:id="0"/>
    </w:p>
    <w:p w:rsidR="00FD5818" w:rsidP="00A145E3" w:rsidRDefault="00A145E3">
      <w:pPr>
        <w:rPr>
          <w:rFonts w:ascii="Arial" w:hAnsi="Arial" w:cs="Arial"/>
          <w:b/>
          <w:sz w:val="28"/>
          <w:szCs w:val="28"/>
        </w:rPr>
      </w:pPr>
      <w:r w:rsidRPr="00A145E3">
        <w:rPr>
          <w:rFonts w:ascii="Arial" w:hAnsi="Arial" w:cs="Arial"/>
          <w:b/>
          <w:sz w:val="28"/>
          <w:szCs w:val="28"/>
        </w:rPr>
        <w:t>32 334</w:t>
      </w:r>
      <w:r w:rsidRPr="00A145E3">
        <w:rPr>
          <w:rFonts w:ascii="Arial" w:hAnsi="Arial" w:cs="Arial"/>
          <w:b/>
          <w:sz w:val="28"/>
          <w:szCs w:val="28"/>
        </w:rPr>
        <w:tab/>
        <w:t xml:space="preserve">Voorstel van wet van het lid Van Tongeren tot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A145E3">
        <w:rPr>
          <w:rFonts w:ascii="Arial" w:hAnsi="Arial" w:cs="Arial"/>
          <w:b/>
          <w:sz w:val="28"/>
          <w:szCs w:val="28"/>
        </w:rPr>
        <w:t xml:space="preserve">verandering in de Grondwet, strekkende tot invoering </w:t>
      </w:r>
      <w:r>
        <w:rPr>
          <w:rFonts w:ascii="Arial" w:hAnsi="Arial" w:cs="Arial"/>
          <w:b/>
          <w:sz w:val="28"/>
          <w:szCs w:val="28"/>
        </w:rPr>
        <w:tab/>
      </w:r>
      <w:r>
        <w:rPr>
          <w:rFonts w:ascii="Arial" w:hAnsi="Arial" w:cs="Arial"/>
          <w:b/>
          <w:sz w:val="28"/>
          <w:szCs w:val="28"/>
        </w:rPr>
        <w:tab/>
      </w:r>
      <w:r w:rsidRPr="00A145E3">
        <w:rPr>
          <w:rFonts w:ascii="Arial" w:hAnsi="Arial" w:cs="Arial"/>
          <w:b/>
          <w:sz w:val="28"/>
          <w:szCs w:val="28"/>
        </w:rPr>
        <w:t xml:space="preserve">van de bevoegdheid tot toetsing van </w:t>
      </w:r>
      <w:r w:rsidRPr="00A145E3">
        <w:rPr>
          <w:rFonts w:ascii="Arial" w:hAnsi="Arial" w:cs="Arial"/>
          <w:b/>
          <w:sz w:val="28"/>
          <w:szCs w:val="28"/>
        </w:rPr>
        <w:tab/>
        <w:t xml:space="preserve">wetten aan een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A145E3">
        <w:rPr>
          <w:rFonts w:ascii="Arial" w:hAnsi="Arial" w:cs="Arial"/>
          <w:b/>
          <w:sz w:val="28"/>
          <w:szCs w:val="28"/>
        </w:rPr>
        <w:t>aantal bepalingen van de Grondwet door de rechter</w:t>
      </w:r>
    </w:p>
    <w:p w:rsidR="00A145E3" w:rsidP="00A145E3" w:rsidRDefault="00A145E3">
      <w:pPr>
        <w:rPr>
          <w:rFonts w:ascii="Arial" w:hAnsi="Arial" w:cs="Arial"/>
          <w:b/>
          <w:sz w:val="28"/>
          <w:szCs w:val="28"/>
        </w:rPr>
      </w:pPr>
    </w:p>
    <w:p w:rsidR="00A145E3" w:rsidP="00A145E3" w:rsidRDefault="00A145E3">
      <w:pPr>
        <w:rPr>
          <w:rFonts w:ascii="Arial" w:hAnsi="Arial" w:cs="Arial"/>
          <w:b/>
          <w:sz w:val="28"/>
          <w:szCs w:val="28"/>
        </w:rPr>
      </w:pPr>
    </w:p>
    <w:p w:rsidRPr="00A145E3" w:rsidR="00A145E3" w:rsidP="00A145E3" w:rsidRDefault="00A145E3">
      <w:pPr>
        <w:rPr>
          <w:rFonts w:ascii="Arial" w:hAnsi="Arial" w:cs="Arial"/>
          <w:sz w:val="28"/>
          <w:szCs w:val="28"/>
        </w:rPr>
      </w:pPr>
      <w:r w:rsidRPr="00A145E3">
        <w:rPr>
          <w:rFonts w:ascii="Arial" w:hAnsi="Arial" w:cs="Arial"/>
          <w:b/>
          <w:sz w:val="28"/>
          <w:szCs w:val="28"/>
        </w:rPr>
        <w:t>Nr.</w:t>
      </w:r>
      <w:r>
        <w:rPr>
          <w:rFonts w:ascii="Arial" w:hAnsi="Arial" w:cs="Arial"/>
          <w:b/>
          <w:sz w:val="28"/>
          <w:szCs w:val="28"/>
        </w:rPr>
        <w:t xml:space="preserve"> ….</w:t>
      </w:r>
      <w:r>
        <w:rPr>
          <w:rFonts w:ascii="Arial" w:hAnsi="Arial" w:cs="Arial"/>
          <w:b/>
          <w:sz w:val="28"/>
          <w:szCs w:val="28"/>
        </w:rPr>
        <w:tab/>
      </w:r>
      <w:r w:rsidRPr="00A145E3">
        <w:rPr>
          <w:rFonts w:ascii="Arial" w:hAnsi="Arial" w:cs="Arial"/>
          <w:sz w:val="28"/>
          <w:szCs w:val="28"/>
        </w:rPr>
        <w:t>B</w:t>
      </w:r>
      <w:r>
        <w:rPr>
          <w:rFonts w:ascii="Arial" w:hAnsi="Arial" w:cs="Arial"/>
          <w:sz w:val="28"/>
          <w:szCs w:val="28"/>
        </w:rPr>
        <w:t>rief</w:t>
      </w:r>
      <w:r w:rsidRPr="00A145E3">
        <w:rPr>
          <w:rFonts w:ascii="Arial" w:hAnsi="Arial" w:cs="Arial"/>
          <w:sz w:val="28"/>
          <w:szCs w:val="28"/>
        </w:rPr>
        <w:t xml:space="preserve"> </w:t>
      </w:r>
      <w:r>
        <w:rPr>
          <w:rFonts w:ascii="Arial" w:hAnsi="Arial" w:cs="Arial"/>
          <w:sz w:val="28"/>
          <w:szCs w:val="28"/>
        </w:rPr>
        <w:t>van de Vaste commissie voor Binnenlandse Zaken</w:t>
      </w:r>
    </w:p>
    <w:p w:rsidR="00A145E3" w:rsidP="00A145E3" w:rsidRDefault="00A145E3">
      <w:pPr>
        <w:rPr>
          <w:rFonts w:ascii="Arial" w:hAnsi="Arial" w:cs="Arial"/>
          <w:b/>
          <w:sz w:val="28"/>
          <w:szCs w:val="28"/>
        </w:rPr>
      </w:pPr>
    </w:p>
    <w:p w:rsidRPr="00592791" w:rsidR="00A145E3" w:rsidP="00A145E3" w:rsidRDefault="00A145E3">
      <w:pPr>
        <w:rPr>
          <w:rFonts w:ascii="Arial" w:hAnsi="Arial" w:cs="Arial"/>
          <w:sz w:val="22"/>
          <w:szCs w:val="22"/>
        </w:rPr>
      </w:pPr>
      <w:r>
        <w:rPr>
          <w:rFonts w:ascii="Arial" w:hAnsi="Arial" w:cs="Arial"/>
          <w:b/>
          <w:sz w:val="28"/>
          <w:szCs w:val="28"/>
        </w:rPr>
        <w:tab/>
      </w:r>
      <w:r>
        <w:rPr>
          <w:rFonts w:ascii="Arial" w:hAnsi="Arial" w:cs="Arial"/>
          <w:b/>
          <w:sz w:val="28"/>
          <w:szCs w:val="28"/>
        </w:rPr>
        <w:tab/>
      </w:r>
      <w:r w:rsidRPr="00592791">
        <w:rPr>
          <w:rFonts w:ascii="Arial" w:hAnsi="Arial" w:cs="Arial"/>
          <w:sz w:val="22"/>
          <w:szCs w:val="22"/>
        </w:rPr>
        <w:t xml:space="preserve">Aan de Voorzitter van de Tweede Kamer der Staten-Generaal </w:t>
      </w:r>
    </w:p>
    <w:p w:rsidRPr="00592791" w:rsidR="00A145E3" w:rsidP="00A145E3" w:rsidRDefault="00A145E3">
      <w:pPr>
        <w:rPr>
          <w:rFonts w:ascii="Arial" w:hAnsi="Arial" w:cs="Arial"/>
          <w:sz w:val="22"/>
          <w:szCs w:val="22"/>
        </w:rPr>
      </w:pPr>
      <w:r w:rsidRPr="00592791">
        <w:rPr>
          <w:rFonts w:ascii="Arial" w:hAnsi="Arial" w:cs="Arial"/>
          <w:b/>
          <w:sz w:val="22"/>
          <w:szCs w:val="22"/>
        </w:rPr>
        <w:tab/>
      </w:r>
      <w:r w:rsidRPr="00592791">
        <w:rPr>
          <w:rFonts w:ascii="Arial" w:hAnsi="Arial" w:cs="Arial"/>
          <w:b/>
          <w:sz w:val="22"/>
          <w:szCs w:val="22"/>
        </w:rPr>
        <w:tab/>
      </w:r>
      <w:r w:rsidRPr="00592791">
        <w:rPr>
          <w:rFonts w:ascii="Arial" w:hAnsi="Arial" w:cs="Arial"/>
          <w:sz w:val="22"/>
          <w:szCs w:val="22"/>
        </w:rPr>
        <w:t xml:space="preserve">Den Haag, </w:t>
      </w:r>
      <w:r w:rsidRPr="00592791" w:rsidR="001B7D1F">
        <w:rPr>
          <w:rFonts w:ascii="Arial" w:hAnsi="Arial" w:cs="Arial"/>
          <w:sz w:val="22"/>
          <w:szCs w:val="22"/>
        </w:rPr>
        <w:t>27</w:t>
      </w:r>
      <w:r w:rsidRPr="00592791">
        <w:rPr>
          <w:rFonts w:ascii="Arial" w:hAnsi="Arial" w:cs="Arial"/>
          <w:sz w:val="22"/>
          <w:szCs w:val="22"/>
        </w:rPr>
        <w:t xml:space="preserve"> september 2018</w:t>
      </w:r>
    </w:p>
    <w:p w:rsidRPr="00592791" w:rsidR="001B7D1F" w:rsidP="00A145E3" w:rsidRDefault="001B7D1F">
      <w:pPr>
        <w:rPr>
          <w:rFonts w:ascii="Arial" w:hAnsi="Arial" w:cs="Arial"/>
          <w:sz w:val="22"/>
          <w:szCs w:val="22"/>
        </w:rPr>
      </w:pPr>
    </w:p>
    <w:p w:rsidRPr="00592791" w:rsidR="001B7D1F" w:rsidP="00A145E3" w:rsidRDefault="001B7D1F">
      <w:pPr>
        <w:rPr>
          <w:rFonts w:ascii="Arial" w:hAnsi="Arial" w:cs="Arial"/>
          <w:sz w:val="22"/>
          <w:szCs w:val="22"/>
        </w:rPr>
      </w:pPr>
    </w:p>
    <w:p w:rsidR="004362E9" w:rsidP="004362E9" w:rsidRDefault="001B7D1F">
      <w:pPr>
        <w:ind w:left="1418"/>
        <w:jc w:val="both"/>
        <w:rPr>
          <w:rFonts w:ascii="Arial" w:hAnsi="Arial" w:cs="Arial"/>
          <w:sz w:val="22"/>
          <w:szCs w:val="22"/>
        </w:rPr>
      </w:pPr>
      <w:r w:rsidRPr="00592791">
        <w:rPr>
          <w:rFonts w:ascii="Arial" w:hAnsi="Arial" w:cs="Arial"/>
          <w:sz w:val="22"/>
          <w:szCs w:val="22"/>
        </w:rPr>
        <w:t xml:space="preserve">De vaste commissie voor Binnenlandse Zaken heeft in haar vergadering op 27 september 2018 kennisgenomen van de brief </w:t>
      </w:r>
      <w:r w:rsidRPr="00592791" w:rsidR="00592791">
        <w:rPr>
          <w:rFonts w:ascii="Arial" w:hAnsi="Arial" w:cs="Arial"/>
          <w:sz w:val="22"/>
          <w:szCs w:val="22"/>
        </w:rPr>
        <w:t xml:space="preserve">van 18 september 2018 </w:t>
      </w:r>
      <w:r w:rsidRPr="00592791">
        <w:rPr>
          <w:rFonts w:ascii="Arial" w:hAnsi="Arial" w:cs="Arial"/>
          <w:sz w:val="22"/>
          <w:szCs w:val="22"/>
        </w:rPr>
        <w:t xml:space="preserve">van het lid Buitenweg (TK 32334 nr. 12), houdende de mededeling van overname en intrekking van het </w:t>
      </w:r>
      <w:r w:rsidRPr="00592791" w:rsidR="00592791">
        <w:rPr>
          <w:rFonts w:ascii="Arial" w:hAnsi="Arial" w:cs="Arial"/>
          <w:sz w:val="22"/>
          <w:szCs w:val="22"/>
        </w:rPr>
        <w:t>Voorstel van wet van het lid Van Tongeren tot verandering in de Grondwet, strekkende tot invoering van de bevoegdheid tot toetsing van wetten aan een aantal bepalingen van de Grondwet door de rechter</w:t>
      </w:r>
      <w:r w:rsidR="00592791">
        <w:rPr>
          <w:rFonts w:ascii="Arial" w:hAnsi="Arial" w:cs="Arial"/>
          <w:sz w:val="22"/>
          <w:szCs w:val="22"/>
        </w:rPr>
        <w:t xml:space="preserve"> (TK 32334)</w:t>
      </w:r>
      <w:r w:rsidR="009546F7">
        <w:rPr>
          <w:rFonts w:ascii="Arial" w:hAnsi="Arial" w:cs="Arial"/>
          <w:sz w:val="22"/>
          <w:szCs w:val="22"/>
        </w:rPr>
        <w:t>.</w:t>
      </w:r>
      <w:r w:rsidR="00E53666">
        <w:rPr>
          <w:rFonts w:ascii="Arial" w:hAnsi="Arial" w:cs="Arial"/>
          <w:sz w:val="22"/>
          <w:szCs w:val="22"/>
        </w:rPr>
        <w:tab/>
      </w:r>
      <w:r w:rsidR="00E53666">
        <w:rPr>
          <w:rFonts w:ascii="Arial" w:hAnsi="Arial" w:cs="Arial"/>
          <w:sz w:val="22"/>
          <w:szCs w:val="22"/>
        </w:rPr>
        <w:tab/>
      </w:r>
      <w:r w:rsidR="00CC01A5">
        <w:rPr>
          <w:rFonts w:ascii="Arial" w:hAnsi="Arial" w:cs="Arial"/>
          <w:sz w:val="22"/>
          <w:szCs w:val="22"/>
        </w:rPr>
        <w:tab/>
      </w:r>
      <w:r w:rsidR="00CC01A5">
        <w:rPr>
          <w:rFonts w:ascii="Arial" w:hAnsi="Arial" w:cs="Arial"/>
          <w:sz w:val="22"/>
          <w:szCs w:val="22"/>
        </w:rPr>
        <w:tab/>
      </w:r>
    </w:p>
    <w:p w:rsidR="004362E9" w:rsidP="004362E9" w:rsidRDefault="004362E9">
      <w:pPr>
        <w:ind w:left="1418"/>
        <w:jc w:val="both"/>
        <w:rPr>
          <w:rFonts w:ascii="Arial" w:hAnsi="Arial" w:cs="Arial"/>
          <w:sz w:val="22"/>
          <w:szCs w:val="22"/>
        </w:rPr>
      </w:pPr>
    </w:p>
    <w:p w:rsidR="004362E9" w:rsidP="004362E9" w:rsidRDefault="00E53666">
      <w:pPr>
        <w:ind w:left="1418"/>
        <w:jc w:val="both"/>
        <w:rPr>
          <w:rFonts w:ascii="Arial" w:hAnsi="Arial" w:cs="Arial"/>
          <w:sz w:val="22"/>
          <w:szCs w:val="22"/>
        </w:rPr>
      </w:pPr>
      <w:r>
        <w:rPr>
          <w:rFonts w:ascii="Arial" w:hAnsi="Arial" w:cs="Arial"/>
          <w:sz w:val="22"/>
          <w:szCs w:val="22"/>
        </w:rPr>
        <w:t>Het onderhavige wetsvoorstel betreft de tweede lezing van een voorstel tot verandering in de Grondwet, dat op 8 maart 2010 is ingediend en in handen is gesteld van de vaste commissie voor Binnenlandse Zaken</w:t>
      </w:r>
      <w:r w:rsidR="00446071">
        <w:rPr>
          <w:rFonts w:ascii="Arial" w:hAnsi="Arial" w:cs="Arial"/>
          <w:sz w:val="22"/>
          <w:szCs w:val="22"/>
        </w:rPr>
        <w:t>.</w:t>
      </w:r>
      <w:r w:rsidR="007E69AC">
        <w:rPr>
          <w:rFonts w:ascii="Arial" w:hAnsi="Arial" w:cs="Arial"/>
          <w:sz w:val="22"/>
          <w:szCs w:val="22"/>
        </w:rPr>
        <w:t xml:space="preserve"> </w:t>
      </w:r>
    </w:p>
    <w:p w:rsidR="004362E9" w:rsidP="004362E9" w:rsidRDefault="004362E9">
      <w:pPr>
        <w:ind w:left="1418"/>
        <w:jc w:val="both"/>
        <w:rPr>
          <w:rFonts w:ascii="Arial" w:hAnsi="Arial" w:cs="Arial"/>
          <w:sz w:val="22"/>
          <w:szCs w:val="22"/>
        </w:rPr>
      </w:pPr>
    </w:p>
    <w:p w:rsidRPr="00592791" w:rsidR="004362E9" w:rsidP="004362E9" w:rsidRDefault="004362E9">
      <w:pPr>
        <w:ind w:left="1418"/>
        <w:jc w:val="both"/>
        <w:rPr>
          <w:rFonts w:ascii="Arial" w:hAnsi="Arial" w:cs="Arial"/>
          <w:sz w:val="22"/>
          <w:szCs w:val="22"/>
        </w:rPr>
      </w:pPr>
      <w:r>
        <w:rPr>
          <w:rFonts w:ascii="Arial" w:hAnsi="Arial" w:cs="Arial"/>
          <w:sz w:val="22"/>
          <w:szCs w:val="22"/>
        </w:rPr>
        <w:t xml:space="preserve">Bij de besluitvorming over de genoemde brief en de verdere behandeling van het wetsvoorstel heeft de commissie zich laten leiden door de voorlichting van de Afdeling advisering van de Raad van State die de Raad op verzoek van de Kamer heeft </w:t>
      </w:r>
      <w:r w:rsidR="009546F7">
        <w:rPr>
          <w:rFonts w:ascii="Arial" w:hAnsi="Arial" w:cs="Arial"/>
          <w:sz w:val="22"/>
          <w:szCs w:val="22"/>
        </w:rPr>
        <w:t xml:space="preserve">geformuleerd </w:t>
      </w:r>
      <w:r>
        <w:rPr>
          <w:rFonts w:ascii="Arial" w:hAnsi="Arial" w:cs="Arial"/>
          <w:sz w:val="22"/>
          <w:szCs w:val="22"/>
        </w:rPr>
        <w:t>en op 29 september 2017 aan de Kamer heeft aangeboden. (TK 32334 nr. 11)</w:t>
      </w:r>
    </w:p>
    <w:p w:rsidR="004362E9" w:rsidP="004362E9" w:rsidRDefault="004362E9">
      <w:pPr>
        <w:ind w:left="1418"/>
        <w:jc w:val="both"/>
        <w:rPr>
          <w:rFonts w:ascii="Arial" w:hAnsi="Arial" w:cs="Arial"/>
          <w:sz w:val="22"/>
          <w:szCs w:val="22"/>
        </w:rPr>
      </w:pPr>
    </w:p>
    <w:p w:rsidR="00E53666" w:rsidP="004362E9" w:rsidRDefault="007E69AC">
      <w:pPr>
        <w:ind w:left="1418"/>
        <w:jc w:val="both"/>
        <w:rPr>
          <w:rFonts w:ascii="Arial" w:hAnsi="Arial" w:cs="Arial"/>
          <w:sz w:val="22"/>
          <w:szCs w:val="22"/>
        </w:rPr>
      </w:pPr>
      <w:r>
        <w:rPr>
          <w:rFonts w:ascii="Arial" w:hAnsi="Arial" w:cs="Arial"/>
          <w:sz w:val="22"/>
          <w:szCs w:val="22"/>
        </w:rPr>
        <w:t xml:space="preserve">De commissie heeft overwogen dat het </w:t>
      </w:r>
      <w:r w:rsidR="00CC01A5">
        <w:rPr>
          <w:rFonts w:ascii="Arial" w:hAnsi="Arial" w:cs="Arial"/>
          <w:sz w:val="22"/>
          <w:szCs w:val="22"/>
        </w:rPr>
        <w:t xml:space="preserve">op grond van art. 137 lid 2 GW </w:t>
      </w:r>
      <w:r>
        <w:rPr>
          <w:rFonts w:ascii="Arial" w:hAnsi="Arial" w:cs="Arial"/>
          <w:sz w:val="22"/>
          <w:szCs w:val="22"/>
        </w:rPr>
        <w:t xml:space="preserve">een grondwettelijke plicht is </w:t>
      </w:r>
      <w:r w:rsidR="00CC01A5">
        <w:rPr>
          <w:rFonts w:ascii="Arial" w:hAnsi="Arial" w:cs="Arial"/>
          <w:sz w:val="22"/>
          <w:szCs w:val="22"/>
        </w:rPr>
        <w:t xml:space="preserve">de tweede lezing </w:t>
      </w:r>
      <w:r w:rsidR="004362E9">
        <w:rPr>
          <w:rFonts w:ascii="Arial" w:hAnsi="Arial" w:cs="Arial"/>
          <w:sz w:val="22"/>
          <w:szCs w:val="22"/>
        </w:rPr>
        <w:t xml:space="preserve">van een voorstel tot </w:t>
      </w:r>
      <w:proofErr w:type="spellStart"/>
      <w:r w:rsidR="004362E9">
        <w:rPr>
          <w:rFonts w:ascii="Arial" w:hAnsi="Arial" w:cs="Arial"/>
          <w:sz w:val="22"/>
          <w:szCs w:val="22"/>
        </w:rPr>
        <w:t>Grondwets-wijziging</w:t>
      </w:r>
      <w:proofErr w:type="spellEnd"/>
      <w:r w:rsidR="004362E9">
        <w:rPr>
          <w:rFonts w:ascii="Arial" w:hAnsi="Arial" w:cs="Arial"/>
          <w:sz w:val="22"/>
          <w:szCs w:val="22"/>
        </w:rPr>
        <w:t xml:space="preserve"> </w:t>
      </w:r>
      <w:r w:rsidR="00CC01A5">
        <w:rPr>
          <w:rFonts w:ascii="Arial" w:hAnsi="Arial" w:cs="Arial"/>
          <w:sz w:val="22"/>
          <w:szCs w:val="22"/>
        </w:rPr>
        <w:t>te overwegen en dat daardoor de enkele</w:t>
      </w:r>
      <w:r w:rsidR="004362E9">
        <w:rPr>
          <w:rFonts w:ascii="Arial" w:hAnsi="Arial" w:cs="Arial"/>
          <w:sz w:val="22"/>
          <w:szCs w:val="22"/>
        </w:rPr>
        <w:t xml:space="preserve"> </w:t>
      </w:r>
      <w:r w:rsidR="00CC01A5">
        <w:rPr>
          <w:rFonts w:ascii="Arial" w:hAnsi="Arial" w:cs="Arial"/>
          <w:sz w:val="22"/>
          <w:szCs w:val="22"/>
        </w:rPr>
        <w:t xml:space="preserve">mededeling van intrekking van het wetsvoorstel door de initiatiefnemer of de plaatsvervanger van deze, ontoereikend is. </w:t>
      </w:r>
    </w:p>
    <w:p w:rsidR="004362E9" w:rsidP="004362E9" w:rsidRDefault="004362E9">
      <w:pPr>
        <w:ind w:left="1418"/>
        <w:jc w:val="both"/>
        <w:rPr>
          <w:rFonts w:ascii="Arial" w:hAnsi="Arial" w:cs="Arial"/>
          <w:sz w:val="22"/>
          <w:szCs w:val="22"/>
        </w:rPr>
      </w:pPr>
      <w:r>
        <w:rPr>
          <w:rFonts w:ascii="Arial" w:hAnsi="Arial" w:cs="Arial"/>
          <w:sz w:val="22"/>
          <w:szCs w:val="22"/>
        </w:rPr>
        <w:t>Voorts heeft de commissie met de Afdeling advisering vastgesteld dat bij de overweging van dit wetsvoorstel niet de door de Grondwet voorg</w:t>
      </w:r>
      <w:r w:rsidR="00D71407">
        <w:rPr>
          <w:rFonts w:ascii="Arial" w:hAnsi="Arial" w:cs="Arial"/>
          <w:sz w:val="22"/>
          <w:szCs w:val="22"/>
        </w:rPr>
        <w:t>eschreven procedure is gevolgd. De Kamer kan daarom het wetsvoorstel niet langer  behandelen</w:t>
      </w:r>
      <w:r w:rsidR="009546F7">
        <w:rPr>
          <w:rFonts w:ascii="Arial" w:hAnsi="Arial" w:cs="Arial"/>
          <w:sz w:val="22"/>
          <w:szCs w:val="22"/>
        </w:rPr>
        <w:t xml:space="preserve"> maar dient te besluiten dat het wetsvoorstel als vervallen moet worden beschouwd. </w:t>
      </w:r>
    </w:p>
    <w:p w:rsidR="00434723" w:rsidP="004362E9" w:rsidRDefault="00434723">
      <w:pPr>
        <w:ind w:left="1418"/>
        <w:jc w:val="both"/>
        <w:rPr>
          <w:rFonts w:ascii="Arial" w:hAnsi="Arial" w:cs="Arial"/>
          <w:sz w:val="22"/>
          <w:szCs w:val="22"/>
        </w:rPr>
      </w:pPr>
    </w:p>
    <w:p w:rsidR="00434723" w:rsidP="004362E9" w:rsidRDefault="00434723">
      <w:pPr>
        <w:ind w:left="1418"/>
        <w:jc w:val="both"/>
        <w:rPr>
          <w:rFonts w:ascii="Arial" w:hAnsi="Arial" w:cs="Arial"/>
          <w:sz w:val="22"/>
          <w:szCs w:val="22"/>
        </w:rPr>
      </w:pPr>
      <w:r>
        <w:rPr>
          <w:rFonts w:ascii="Arial" w:hAnsi="Arial" w:cs="Arial"/>
          <w:sz w:val="22"/>
          <w:szCs w:val="22"/>
        </w:rPr>
        <w:t xml:space="preserve">De commissie Binnenlandse Zaken </w:t>
      </w:r>
      <w:r w:rsidR="0008418D">
        <w:rPr>
          <w:rFonts w:ascii="Arial" w:hAnsi="Arial" w:cs="Arial"/>
          <w:sz w:val="22"/>
          <w:szCs w:val="22"/>
        </w:rPr>
        <w:t xml:space="preserve">adviseert de Kamer in deze zin te besluiten en verzoekt </w:t>
      </w:r>
      <w:r>
        <w:rPr>
          <w:rFonts w:ascii="Arial" w:hAnsi="Arial" w:cs="Arial"/>
          <w:sz w:val="22"/>
          <w:szCs w:val="22"/>
        </w:rPr>
        <w:t xml:space="preserve">u </w:t>
      </w:r>
      <w:r w:rsidR="0008418D">
        <w:rPr>
          <w:rFonts w:ascii="Arial" w:hAnsi="Arial" w:cs="Arial"/>
          <w:sz w:val="22"/>
          <w:szCs w:val="22"/>
        </w:rPr>
        <w:t xml:space="preserve">daarom </w:t>
      </w:r>
      <w:r>
        <w:rPr>
          <w:rFonts w:ascii="Arial" w:hAnsi="Arial" w:cs="Arial"/>
          <w:sz w:val="22"/>
          <w:szCs w:val="22"/>
        </w:rPr>
        <w:t>deze brief aan de Kamer ter stemming voor te leggen zodat besl</w:t>
      </w:r>
      <w:r w:rsidR="0008418D">
        <w:rPr>
          <w:rFonts w:ascii="Arial" w:hAnsi="Arial" w:cs="Arial"/>
          <w:sz w:val="22"/>
          <w:szCs w:val="22"/>
        </w:rPr>
        <w:t>o</w:t>
      </w:r>
      <w:r>
        <w:rPr>
          <w:rFonts w:ascii="Arial" w:hAnsi="Arial" w:cs="Arial"/>
          <w:sz w:val="22"/>
          <w:szCs w:val="22"/>
        </w:rPr>
        <w:t xml:space="preserve">ten kan worden dat het onderhavige wetsvoorstel moet worden geacht te zijn vervallen. </w:t>
      </w:r>
    </w:p>
    <w:p w:rsidR="004362E9" w:rsidRDefault="004362E9">
      <w:pPr>
        <w:ind w:left="1418"/>
        <w:jc w:val="both"/>
        <w:rPr>
          <w:rFonts w:ascii="Arial" w:hAnsi="Arial" w:cs="Arial"/>
          <w:sz w:val="22"/>
          <w:szCs w:val="22"/>
        </w:rPr>
      </w:pPr>
    </w:p>
    <w:p w:rsidRPr="0008418D" w:rsidR="0008418D" w:rsidP="0008418D" w:rsidRDefault="0008418D">
      <w:pPr>
        <w:ind w:left="1418"/>
        <w:jc w:val="both"/>
        <w:rPr>
          <w:rFonts w:ascii="Arial" w:hAnsi="Arial" w:cs="Arial"/>
          <w:sz w:val="22"/>
          <w:szCs w:val="22"/>
        </w:rPr>
      </w:pPr>
      <w:r w:rsidRPr="0008418D">
        <w:rPr>
          <w:rFonts w:ascii="Arial" w:hAnsi="Arial" w:cs="Arial"/>
          <w:sz w:val="22"/>
          <w:szCs w:val="22"/>
        </w:rPr>
        <w:t>De voorzitter van de commissie,</w:t>
      </w:r>
    </w:p>
    <w:p w:rsidRPr="0008418D" w:rsidR="0008418D" w:rsidP="0008418D" w:rsidRDefault="0008418D">
      <w:pPr>
        <w:ind w:left="1418"/>
        <w:jc w:val="both"/>
        <w:rPr>
          <w:rFonts w:ascii="Arial" w:hAnsi="Arial" w:cs="Arial"/>
          <w:sz w:val="22"/>
          <w:szCs w:val="22"/>
        </w:rPr>
      </w:pPr>
      <w:r w:rsidRPr="0008418D">
        <w:rPr>
          <w:rFonts w:ascii="Arial" w:hAnsi="Arial" w:cs="Arial"/>
          <w:sz w:val="22"/>
          <w:szCs w:val="22"/>
        </w:rPr>
        <w:t xml:space="preserve">Ziengs   </w:t>
      </w:r>
    </w:p>
    <w:p w:rsidRPr="0008418D" w:rsidR="0008418D" w:rsidP="0008418D" w:rsidRDefault="0008418D">
      <w:pPr>
        <w:ind w:left="1418"/>
        <w:jc w:val="both"/>
        <w:rPr>
          <w:rFonts w:ascii="Arial" w:hAnsi="Arial" w:cs="Arial"/>
          <w:sz w:val="22"/>
          <w:szCs w:val="22"/>
        </w:rPr>
      </w:pPr>
    </w:p>
    <w:p w:rsidRPr="0008418D" w:rsidR="0008418D" w:rsidP="0008418D" w:rsidRDefault="0008418D">
      <w:pPr>
        <w:ind w:left="1418"/>
        <w:jc w:val="both"/>
        <w:rPr>
          <w:rFonts w:ascii="Arial" w:hAnsi="Arial" w:cs="Arial"/>
          <w:sz w:val="22"/>
          <w:szCs w:val="22"/>
        </w:rPr>
      </w:pPr>
      <w:r w:rsidRPr="0008418D">
        <w:rPr>
          <w:rFonts w:ascii="Arial" w:hAnsi="Arial" w:cs="Arial"/>
          <w:sz w:val="22"/>
          <w:szCs w:val="22"/>
        </w:rPr>
        <w:t>De wnd. griffier van de commissie,</w:t>
      </w:r>
    </w:p>
    <w:p w:rsidR="0008418D" w:rsidP="0008418D" w:rsidRDefault="0008418D">
      <w:pPr>
        <w:ind w:left="1418"/>
        <w:jc w:val="both"/>
        <w:rPr>
          <w:rFonts w:ascii="Arial" w:hAnsi="Arial" w:cs="Arial"/>
          <w:sz w:val="22"/>
          <w:szCs w:val="22"/>
        </w:rPr>
      </w:pPr>
      <w:r w:rsidRPr="0008418D">
        <w:rPr>
          <w:rFonts w:ascii="Arial" w:hAnsi="Arial" w:cs="Arial"/>
          <w:sz w:val="22"/>
          <w:szCs w:val="22"/>
        </w:rPr>
        <w:t xml:space="preserve">Hendrickx    </w:t>
      </w:r>
    </w:p>
    <w:sectPr w:rsidR="0008418D">
      <w:head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1F" w:rsidRDefault="001B7D1F" w:rsidP="001B7D1F">
      <w:r>
        <w:separator/>
      </w:r>
    </w:p>
  </w:endnote>
  <w:endnote w:type="continuationSeparator" w:id="0">
    <w:p w:rsidR="001B7D1F" w:rsidRDefault="001B7D1F" w:rsidP="001B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1F" w:rsidRDefault="001B7D1F" w:rsidP="001B7D1F">
      <w:r>
        <w:separator/>
      </w:r>
    </w:p>
  </w:footnote>
  <w:footnote w:type="continuationSeparator" w:id="0">
    <w:p w:rsidR="001B7D1F" w:rsidRDefault="001B7D1F" w:rsidP="001B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1F" w:rsidRPr="001B7D1F" w:rsidRDefault="001B7D1F">
    <w:pPr>
      <w:pStyle w:val="Koptekst"/>
      <w:rPr>
        <w:sz w:val="48"/>
        <w:szCs w:val="48"/>
      </w:rPr>
    </w:pPr>
    <w:r w:rsidRPr="001B7D1F">
      <w:rPr>
        <w:sz w:val="48"/>
        <w:szCs w:val="48"/>
      </w:rPr>
      <w:t>CONCEPT</w:t>
    </w:r>
  </w:p>
  <w:p w:rsidR="001B7D1F" w:rsidRDefault="001B7D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E3"/>
    <w:rsid w:val="000033AB"/>
    <w:rsid w:val="0004785A"/>
    <w:rsid w:val="0008418D"/>
    <w:rsid w:val="000F6A5C"/>
    <w:rsid w:val="001128AF"/>
    <w:rsid w:val="00130CC9"/>
    <w:rsid w:val="001B7D1F"/>
    <w:rsid w:val="001E7CFB"/>
    <w:rsid w:val="002958AD"/>
    <w:rsid w:val="00344075"/>
    <w:rsid w:val="00345C56"/>
    <w:rsid w:val="00357F05"/>
    <w:rsid w:val="00392BBC"/>
    <w:rsid w:val="00395411"/>
    <w:rsid w:val="003E5086"/>
    <w:rsid w:val="00434723"/>
    <w:rsid w:val="004362E9"/>
    <w:rsid w:val="00443878"/>
    <w:rsid w:val="00446071"/>
    <w:rsid w:val="004D3727"/>
    <w:rsid w:val="004E1E55"/>
    <w:rsid w:val="00557265"/>
    <w:rsid w:val="00592791"/>
    <w:rsid w:val="007B19ED"/>
    <w:rsid w:val="007E69AC"/>
    <w:rsid w:val="0086041C"/>
    <w:rsid w:val="00875A2D"/>
    <w:rsid w:val="009546F7"/>
    <w:rsid w:val="0097315C"/>
    <w:rsid w:val="0099005C"/>
    <w:rsid w:val="009C035D"/>
    <w:rsid w:val="00A145E3"/>
    <w:rsid w:val="00A15342"/>
    <w:rsid w:val="00A508CC"/>
    <w:rsid w:val="00AE013E"/>
    <w:rsid w:val="00B0304D"/>
    <w:rsid w:val="00B1108B"/>
    <w:rsid w:val="00B81C59"/>
    <w:rsid w:val="00BC1B72"/>
    <w:rsid w:val="00C43492"/>
    <w:rsid w:val="00C43CFE"/>
    <w:rsid w:val="00C67C57"/>
    <w:rsid w:val="00C862B6"/>
    <w:rsid w:val="00CC01A5"/>
    <w:rsid w:val="00CD1BA4"/>
    <w:rsid w:val="00D65303"/>
    <w:rsid w:val="00D71407"/>
    <w:rsid w:val="00DB34B9"/>
    <w:rsid w:val="00E45836"/>
    <w:rsid w:val="00E53666"/>
    <w:rsid w:val="00EE62DC"/>
    <w:rsid w:val="00F55F9C"/>
    <w:rsid w:val="00F65D47"/>
    <w:rsid w:val="00FB2097"/>
    <w:rsid w:val="00FD58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B7D1F"/>
    <w:pPr>
      <w:tabs>
        <w:tab w:val="center" w:pos="4536"/>
        <w:tab w:val="right" w:pos="9072"/>
      </w:tabs>
    </w:pPr>
  </w:style>
  <w:style w:type="character" w:customStyle="1" w:styleId="KoptekstChar">
    <w:name w:val="Koptekst Char"/>
    <w:basedOn w:val="Standaardalinea-lettertype"/>
    <w:link w:val="Koptekst"/>
    <w:uiPriority w:val="99"/>
    <w:rsid w:val="001B7D1F"/>
    <w:rPr>
      <w:sz w:val="24"/>
      <w:szCs w:val="24"/>
    </w:rPr>
  </w:style>
  <w:style w:type="paragraph" w:styleId="Voettekst">
    <w:name w:val="footer"/>
    <w:basedOn w:val="Standaard"/>
    <w:link w:val="VoettekstChar"/>
    <w:rsid w:val="001B7D1F"/>
    <w:pPr>
      <w:tabs>
        <w:tab w:val="center" w:pos="4536"/>
        <w:tab w:val="right" w:pos="9072"/>
      </w:tabs>
    </w:pPr>
  </w:style>
  <w:style w:type="character" w:customStyle="1" w:styleId="VoettekstChar">
    <w:name w:val="Voettekst Char"/>
    <w:basedOn w:val="Standaardalinea-lettertype"/>
    <w:link w:val="Voettekst"/>
    <w:rsid w:val="001B7D1F"/>
    <w:rPr>
      <w:sz w:val="24"/>
      <w:szCs w:val="24"/>
    </w:rPr>
  </w:style>
  <w:style w:type="paragraph" w:styleId="Ballontekst">
    <w:name w:val="Balloon Text"/>
    <w:basedOn w:val="Standaard"/>
    <w:link w:val="BallontekstChar"/>
    <w:rsid w:val="001B7D1F"/>
    <w:rPr>
      <w:rFonts w:ascii="Tahoma" w:hAnsi="Tahoma" w:cs="Tahoma"/>
      <w:sz w:val="16"/>
      <w:szCs w:val="16"/>
    </w:rPr>
  </w:style>
  <w:style w:type="character" w:customStyle="1" w:styleId="BallontekstChar">
    <w:name w:val="Ballontekst Char"/>
    <w:basedOn w:val="Standaardalinea-lettertype"/>
    <w:link w:val="Ballontekst"/>
    <w:rsid w:val="001B7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B7D1F"/>
    <w:pPr>
      <w:tabs>
        <w:tab w:val="center" w:pos="4536"/>
        <w:tab w:val="right" w:pos="9072"/>
      </w:tabs>
    </w:pPr>
  </w:style>
  <w:style w:type="character" w:customStyle="1" w:styleId="KoptekstChar">
    <w:name w:val="Koptekst Char"/>
    <w:basedOn w:val="Standaardalinea-lettertype"/>
    <w:link w:val="Koptekst"/>
    <w:uiPriority w:val="99"/>
    <w:rsid w:val="001B7D1F"/>
    <w:rPr>
      <w:sz w:val="24"/>
      <w:szCs w:val="24"/>
    </w:rPr>
  </w:style>
  <w:style w:type="paragraph" w:styleId="Voettekst">
    <w:name w:val="footer"/>
    <w:basedOn w:val="Standaard"/>
    <w:link w:val="VoettekstChar"/>
    <w:rsid w:val="001B7D1F"/>
    <w:pPr>
      <w:tabs>
        <w:tab w:val="center" w:pos="4536"/>
        <w:tab w:val="right" w:pos="9072"/>
      </w:tabs>
    </w:pPr>
  </w:style>
  <w:style w:type="character" w:customStyle="1" w:styleId="VoettekstChar">
    <w:name w:val="Voettekst Char"/>
    <w:basedOn w:val="Standaardalinea-lettertype"/>
    <w:link w:val="Voettekst"/>
    <w:rsid w:val="001B7D1F"/>
    <w:rPr>
      <w:sz w:val="24"/>
      <w:szCs w:val="24"/>
    </w:rPr>
  </w:style>
  <w:style w:type="paragraph" w:styleId="Ballontekst">
    <w:name w:val="Balloon Text"/>
    <w:basedOn w:val="Standaard"/>
    <w:link w:val="BallontekstChar"/>
    <w:rsid w:val="001B7D1F"/>
    <w:rPr>
      <w:rFonts w:ascii="Tahoma" w:hAnsi="Tahoma" w:cs="Tahoma"/>
      <w:sz w:val="16"/>
      <w:szCs w:val="16"/>
    </w:rPr>
  </w:style>
  <w:style w:type="character" w:customStyle="1" w:styleId="BallontekstChar">
    <w:name w:val="Ballontekst Char"/>
    <w:basedOn w:val="Standaardalinea-lettertype"/>
    <w:link w:val="Ballontekst"/>
    <w:rsid w:val="001B7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371</ap:Words>
  <ap:Characters>1967</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2018-09-27T07:02:00.0000000Z</lastPrinted>
  <dcterms:created xsi:type="dcterms:W3CDTF">2018-09-27T07:02:00.0000000Z</dcterms:created>
  <dcterms:modified xsi:type="dcterms:W3CDTF">2018-09-27T07:02:00.0000000Z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