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EC5" w:rsidRDefault="00AA71BF" w14:paraId="09C82E05" w14:textId="77777777">
      <w:pPr>
        <w:spacing w:after="0"/>
        <w:rPr>
          <w:b/>
          <w:sz w:val="28"/>
          <w:szCs w:val="28"/>
        </w:rPr>
      </w:pPr>
      <w:r>
        <w:rPr>
          <w:b/>
          <w:sz w:val="28"/>
          <w:szCs w:val="28"/>
        </w:rPr>
        <w:t>Conflictpreventie en water in Mali</w:t>
      </w:r>
    </w:p>
    <w:p w:rsidR="00AB4EC5" w:rsidRDefault="00AA71BF" w14:paraId="5F9A2BB0" w14:textId="037C60AB">
      <w:pPr>
        <w:spacing w:after="0"/>
      </w:pPr>
      <w:r>
        <w:t xml:space="preserve">Joyce Kortlandt, Wetlands International, </w:t>
      </w:r>
      <w:r w:rsidR="00B956D5">
        <w:t xml:space="preserve">16 </w:t>
      </w:r>
      <w:r>
        <w:t>mei 2018</w:t>
      </w:r>
    </w:p>
    <w:p w:rsidR="00AB4EC5" w:rsidRDefault="00AB4EC5" w14:paraId="388AEFC8" w14:textId="77777777">
      <w:pPr>
        <w:spacing w:after="0"/>
      </w:pPr>
    </w:p>
    <w:p w:rsidR="009B21D5" w:rsidRDefault="00AA71BF" w14:paraId="0F0E56C2" w14:textId="2A108EA5">
      <w:pPr>
        <w:spacing w:after="0"/>
        <w:rPr>
          <w:b/>
        </w:rPr>
      </w:pPr>
      <w:r>
        <w:rPr>
          <w:b/>
        </w:rPr>
        <w:t>Nederland wil veiligheid brengen rondom Europa. De defensienota noemt de VN-missie in Mali als een van de voorbeelden. Ook benadrukt de nota het belang van conflictpreventie. In nauwe samenhang met de minister van Buitenlandse Zaken en de minister voor Buitenlandse Handel en Ontwikkelingssamenwerking zal de minister van Defensie een conflictpreventie-eenheid oprichten. Het belang van conflictpreventie is evident. Maar wat betekent dat in de praktijk, bijvoorbeeld als we kijken naar de situatie in Mali?  En welke rol speelt Nederland als het gaat om waterschaarste als een van de oorzaken van het conflict aldaar?</w:t>
      </w:r>
    </w:p>
    <w:p w:rsidR="00AB4EC5" w:rsidP="002E5791" w:rsidRDefault="00AB4EC5" w14:paraId="1ACDA88E" w14:textId="77777777">
      <w:pPr>
        <w:spacing w:after="0"/>
        <w:rPr>
          <w:b/>
        </w:rPr>
      </w:pPr>
    </w:p>
    <w:p w:rsidR="00AB4EC5" w:rsidRDefault="00AA71BF" w14:paraId="5EC81DBC" w14:textId="77777777">
      <w:pPr>
        <w:rPr>
          <w:b/>
        </w:rPr>
      </w:pPr>
      <w:r>
        <w:rPr>
          <w:b/>
        </w:rPr>
        <w:t xml:space="preserve">Degradatie van natuurlijke hulpbronnen in de </w:t>
      </w:r>
      <w:proofErr w:type="spellStart"/>
      <w:r>
        <w:rPr>
          <w:b/>
        </w:rPr>
        <w:t>Sahel</w:t>
      </w:r>
      <w:proofErr w:type="spellEnd"/>
    </w:p>
    <w:p w:rsidR="00095E16" w:rsidRDefault="00AA71BF" w14:paraId="3E29A072" w14:textId="4D1EA0F6">
      <w:r>
        <w:t xml:space="preserve">Degradatie van natuurlijke hulpbronnen wordt alom erkend als een van de achterliggende oorzaken van de problemen in de </w:t>
      </w:r>
      <w:proofErr w:type="spellStart"/>
      <w:r>
        <w:t>Sahel</w:t>
      </w:r>
      <w:proofErr w:type="spellEnd"/>
      <w:r>
        <w:t>. Dat geldt ook voor Mali. Zo erkende de VN-Veiligheidsraad begin dit jaar de negatieve effecten van klimaat</w:t>
      </w:r>
      <w:r w:rsidR="00730A7D">
        <w:t>verandering</w:t>
      </w:r>
      <w:r>
        <w:t xml:space="preserve"> en </w:t>
      </w:r>
      <w:r w:rsidR="006F0B6B">
        <w:t xml:space="preserve">de impact van </w:t>
      </w:r>
      <w:r>
        <w:t xml:space="preserve">ecologische </w:t>
      </w:r>
      <w:r w:rsidR="006F0B6B">
        <w:t xml:space="preserve">achteruitgang </w:t>
      </w:r>
      <w:r>
        <w:t xml:space="preserve">op de stabiliteit </w:t>
      </w:r>
      <w:r w:rsidR="00DC4DA9">
        <w:t>i</w:t>
      </w:r>
      <w:r>
        <w:t xml:space="preserve">n de </w:t>
      </w:r>
      <w:proofErr w:type="spellStart"/>
      <w:r>
        <w:t>Sahel</w:t>
      </w:r>
      <w:proofErr w:type="spellEnd"/>
      <w:r>
        <w:t>.</w:t>
      </w:r>
      <w:r w:rsidR="00095E16">
        <w:rPr>
          <w:vertAlign w:val="superscript"/>
        </w:rPr>
        <w:endnoteReference w:id="1"/>
      </w:r>
      <w:r w:rsidR="00095E16">
        <w:t xml:space="preserve"> Het door Nederland georganiseerde </w:t>
      </w:r>
      <w:proofErr w:type="spellStart"/>
      <w:r w:rsidR="00095E16">
        <w:t>Planetary</w:t>
      </w:r>
      <w:proofErr w:type="spellEnd"/>
      <w:r w:rsidR="00095E16">
        <w:t xml:space="preserve"> Security Initiatief ging eind vorig jaar speciaal in op de situatie in Mali. Volgens het initiatief is er een verband tussen lokaal beheer van natuurlijke hulpbronnen, klimaatverandering en conflicten in Mali</w:t>
      </w:r>
      <w:r w:rsidR="00120CCD">
        <w:t xml:space="preserve">. </w:t>
      </w:r>
      <w:r w:rsidR="00095E16">
        <w:t xml:space="preserve">Het </w:t>
      </w:r>
      <w:proofErr w:type="spellStart"/>
      <w:r w:rsidR="00095E16">
        <w:t>Planetary</w:t>
      </w:r>
      <w:proofErr w:type="spellEnd"/>
      <w:r w:rsidR="00095E16">
        <w:t xml:space="preserve"> Security Initiatief roept op om klimaat gerelateerde veiligheidsrisico’s op te nemen in bestaande plannen</w:t>
      </w:r>
      <w:r w:rsidR="009B21D5">
        <w:t xml:space="preserve"> en strategieën</w:t>
      </w:r>
      <w:r w:rsidR="00095E16">
        <w:t>.</w:t>
      </w:r>
      <w:r w:rsidR="00095E16">
        <w:rPr>
          <w:vertAlign w:val="superscript"/>
        </w:rPr>
        <w:endnoteReference w:id="2"/>
      </w:r>
      <w:r w:rsidR="00095E16">
        <w:rPr>
          <w:rFonts w:ascii="Arial" w:hAnsi="Arial" w:eastAsia="Arial" w:cs="Arial"/>
          <w:color w:val="222222"/>
        </w:rPr>
        <w:t xml:space="preserve"> </w:t>
      </w:r>
    </w:p>
    <w:p w:rsidR="00095E16" w:rsidRDefault="00095E16" w14:paraId="5DFD0583" w14:textId="77777777">
      <w:pPr>
        <w:rPr>
          <w:b/>
        </w:rPr>
      </w:pPr>
      <w:r>
        <w:rPr>
          <w:b/>
        </w:rPr>
        <w:t>Binnenlandse Delta in Mali</w:t>
      </w:r>
    </w:p>
    <w:p w:rsidR="00095E16" w:rsidRDefault="00095E16" w14:paraId="4EC95319" w14:textId="2B11E78B">
      <w:r>
        <w:t xml:space="preserve">Het conflict in Mali heeft zich vanuit het noorden van het land steeds meer uitgebreid naar centraal Mali met daarin de Binnenlandse Delta van de Niger. De Binnenlandse Delta van de Niger is het op een na grootste wetland van West Afrika. Ongeveer twee miljoen mensen zijn voor hun bestaan afhankelijk van deze delta. Elk jaar komt een gebied zo groot als Noord-Holland, Zuid-Holland, Utrecht en Overijssel samen onder water te staan, en levert de vis, rijst en weidegronden op waarmee vissers, boeren en veetelers in hun levensonderhoud kunnen voorzien. </w:t>
      </w:r>
    </w:p>
    <w:p w:rsidR="00095E16" w:rsidRDefault="00095E16" w14:paraId="1C85BE20" w14:textId="1592BA69">
      <w:r>
        <w:t xml:space="preserve">Door vermindering van de watertoevoer, bevolkingsgroei en klimaatverandering komt dit systeem onder druk te staan. Daardoor nemen spanningen tussen de verschillende gebruikers toe, wat bijdraagt aan de toenemende conflicten in </w:t>
      </w:r>
      <w:r w:rsidR="009B21D5">
        <w:t>het gebied</w:t>
      </w:r>
      <w:r>
        <w:t xml:space="preserve">. In </w:t>
      </w:r>
      <w:proofErr w:type="spellStart"/>
      <w:r>
        <w:t>Mopti</w:t>
      </w:r>
      <w:proofErr w:type="spellEnd"/>
      <w:r>
        <w:t xml:space="preserve">, de belangrijkste regio van de delta, werden in 2016 vijfhonderd conflicten geteld die gerelateerd zijn aan natuurlijke hulpbronnen. Het verlies aan bestaanszekerheid vergroot niet alleen onderlinge conflicten in de delta, maar vergroot ook de aantrekkingskracht van rebellengroepen, met name voor jongeren. </w:t>
      </w:r>
    </w:p>
    <w:p w:rsidR="00095E16" w:rsidRDefault="00095E16" w14:paraId="51DB9582" w14:textId="77777777">
      <w:pPr>
        <w:rPr>
          <w:b/>
        </w:rPr>
      </w:pPr>
      <w:r>
        <w:rPr>
          <w:b/>
        </w:rPr>
        <w:t>Nieuwe infrastructuur bedreigt bestaanszekerheid</w:t>
      </w:r>
    </w:p>
    <w:p w:rsidR="00095E16" w:rsidRDefault="00095E16" w14:paraId="70038BCB" w14:textId="4ACF0132">
      <w:r>
        <w:t>Een van de grootste bedreigingen voor bestaanszekerheid in de Binnenlandse Delta is momenteel de bouw van een dam bovenstrooms in Guinee. Doel van de dam is met name het opwekken van elektriciteit en water voor irrigatie. Berekeningen laten zien dat als gevolg van de nieuwe dam en daaraan gekoppelde irrigatie, de hoeveelheid weidegrond met 28% zal verminderen, de vishandel met 31% zal afnemen en de traditionele rijst productie met 37% zal verminderen.</w:t>
      </w:r>
      <w:r>
        <w:rPr>
          <w:vertAlign w:val="superscript"/>
        </w:rPr>
        <w:endnoteReference w:id="3"/>
      </w:r>
      <w:r>
        <w:t xml:space="preserve"> Door het verlies aan natuurlijke hulpbronnen in de Binnenlandse Delta zal de dam grote gevolgen hebben voor conflicten in de regio. Ook de voorlopige </w:t>
      </w:r>
      <w:proofErr w:type="spellStart"/>
      <w:r>
        <w:t>milieu-effect</w:t>
      </w:r>
      <w:proofErr w:type="spellEnd"/>
      <w:r>
        <w:t xml:space="preserve"> rapportage van de dam wijst daarop. </w:t>
      </w:r>
    </w:p>
    <w:p w:rsidR="00AB4EC5" w:rsidRDefault="00095E16" w14:paraId="5316D658" w14:textId="58D9915C">
      <w:r>
        <w:t>Ondanks een bilaterale overeenkomst tussen Mali en Guinee over de ontwikkeling van de dam is de overheid van Guinee eenzijdig met een Chinees bedrijf aan de slag gegaan om de dam te ontwikkelen.</w:t>
      </w:r>
      <w:r>
        <w:rPr>
          <w:rStyle w:val="EndnoteReference"/>
        </w:rPr>
        <w:endnoteReference w:id="4"/>
      </w:r>
      <w:r>
        <w:t xml:space="preserve"> </w:t>
      </w:r>
      <w:r w:rsidR="00AA71BF">
        <w:t xml:space="preserve">De minister van Water en Energie van Mali laat de ontwikkeling van de dam op zijn beloop. Voor hem hebben drinkwater en energie prioriteit; welke gevolgen de dam zal hebben voor </w:t>
      </w:r>
      <w:r w:rsidR="00AA71BF">
        <w:lastRenderedPageBreak/>
        <w:t>de Binnenlandse Delta en het conflict in zijn land lijken hem minder te raken.</w:t>
      </w:r>
      <w:r w:rsidR="00810C99">
        <w:t xml:space="preserve"> </w:t>
      </w:r>
      <w:r w:rsidR="00AA71BF">
        <w:t xml:space="preserve"> </w:t>
      </w:r>
      <w:r w:rsidR="00810C99">
        <w:t>Ook Guinee en China lijken zich geen zorgen om te maken</w:t>
      </w:r>
      <w:r w:rsidR="00EA4032">
        <w:t xml:space="preserve"> over consequenties voor de veiligheid</w:t>
      </w:r>
      <w:r w:rsidR="00810C99">
        <w:t xml:space="preserve">. </w:t>
      </w:r>
    </w:p>
    <w:p w:rsidR="00AB4EC5" w:rsidRDefault="00AA71BF" w14:paraId="2E29C184" w14:textId="68829CD1">
      <w:pPr>
        <w:rPr>
          <w:b/>
        </w:rPr>
      </w:pPr>
      <w:r>
        <w:rPr>
          <w:b/>
        </w:rPr>
        <w:t>Water</w:t>
      </w:r>
      <w:r w:rsidR="002D320F">
        <w:rPr>
          <w:b/>
        </w:rPr>
        <w:t>, veiligheid</w:t>
      </w:r>
      <w:r>
        <w:rPr>
          <w:b/>
        </w:rPr>
        <w:t xml:space="preserve"> en de rol van Nederland in Mali</w:t>
      </w:r>
    </w:p>
    <w:p w:rsidR="00AB4EC5" w:rsidRDefault="006E3862" w14:paraId="12F1ACBD" w14:textId="55A174A8">
      <w:r w:rsidRPr="006E3862">
        <w:t>Nederland</w:t>
      </w:r>
      <w:r>
        <w:t xml:space="preserve"> draagt </w:t>
      </w:r>
      <w:r w:rsidRPr="006E3862">
        <w:t>bij</w:t>
      </w:r>
      <w:r>
        <w:t xml:space="preserve"> aan </w:t>
      </w:r>
      <w:r w:rsidR="002D320F">
        <w:t xml:space="preserve">de VN-operatie </w:t>
      </w:r>
      <w:r w:rsidRPr="006E3862">
        <w:t>MINUSMA</w:t>
      </w:r>
      <w:r>
        <w:t xml:space="preserve">, </w:t>
      </w:r>
      <w:r w:rsidRPr="002D320F" w:rsidR="002D320F">
        <w:t xml:space="preserve">die voor stabiliteit en een politieke oplossing </w:t>
      </w:r>
      <w:r w:rsidR="00095E16">
        <w:t xml:space="preserve">van het conflict in Mali </w:t>
      </w:r>
      <w:r w:rsidRPr="002D320F" w:rsidR="002D320F">
        <w:t>moet zorgen</w:t>
      </w:r>
      <w:r w:rsidR="002D320F">
        <w:t xml:space="preserve">. </w:t>
      </w:r>
      <w:r w:rsidR="00AA71BF">
        <w:t>D</w:t>
      </w:r>
      <w:r w:rsidR="002D320F">
        <w:t>aarnaast is d</w:t>
      </w:r>
      <w:r w:rsidR="00AA71BF">
        <w:t>e Nederlandse overheid een belangrijke donor op het gebied van water.</w:t>
      </w:r>
      <w:r w:rsidR="00AA71BF">
        <w:rPr>
          <w:b/>
        </w:rPr>
        <w:t xml:space="preserve"> </w:t>
      </w:r>
      <w:r w:rsidR="00AA71BF">
        <w:t xml:space="preserve">De </w:t>
      </w:r>
      <w:r w:rsidR="00095E16">
        <w:t xml:space="preserve">Nederlandse </w:t>
      </w:r>
      <w:r w:rsidR="00AA71BF">
        <w:t>ambassade in Mali</w:t>
      </w:r>
      <w:r w:rsidR="00AA71BF">
        <w:rPr>
          <w:b/>
        </w:rPr>
        <w:t xml:space="preserve"> </w:t>
      </w:r>
      <w:r w:rsidR="00AA71BF">
        <w:t xml:space="preserve">financiert een </w:t>
      </w:r>
      <w:r w:rsidR="00095E16">
        <w:t xml:space="preserve">omvangrijk </w:t>
      </w:r>
      <w:r w:rsidR="00AA71BF">
        <w:t xml:space="preserve">programma op het gebied van integraal waterbeheer, waarin </w:t>
      </w:r>
      <w:r w:rsidR="0036544C">
        <w:t xml:space="preserve">de organisatie </w:t>
      </w:r>
      <w:r w:rsidR="00AA71BF">
        <w:t xml:space="preserve">Wetlands International een </w:t>
      </w:r>
      <w:r w:rsidR="002D320F">
        <w:t xml:space="preserve">grote </w:t>
      </w:r>
      <w:r w:rsidR="00AA71BF">
        <w:t>rol speelt. Ook financiert het Ministerie van Buitenlandse Zaken het Wat</w:t>
      </w:r>
      <w:r w:rsidR="0036544C">
        <w:t xml:space="preserve">er, </w:t>
      </w:r>
      <w:proofErr w:type="spellStart"/>
      <w:r w:rsidR="0036544C">
        <w:t>Peace</w:t>
      </w:r>
      <w:proofErr w:type="spellEnd"/>
      <w:r w:rsidR="0036544C">
        <w:t xml:space="preserve"> </w:t>
      </w:r>
      <w:proofErr w:type="spellStart"/>
      <w:r w:rsidR="0036544C">
        <w:t>and</w:t>
      </w:r>
      <w:proofErr w:type="spellEnd"/>
      <w:r w:rsidR="0036544C">
        <w:t xml:space="preserve"> Security Initiati</w:t>
      </w:r>
      <w:r w:rsidR="00AA71BF">
        <w:t>e</w:t>
      </w:r>
      <w:r w:rsidR="0036544C">
        <w:t>f</w:t>
      </w:r>
      <w:r w:rsidR="00AA71BF">
        <w:t xml:space="preserve">, een nieuw initiatief dat zich richt op de raakvlakken tussen water, vrede en veiligheid, met Mali als een van de cases. </w:t>
      </w:r>
    </w:p>
    <w:p w:rsidR="00AB4EC5" w:rsidRDefault="00AA71BF" w14:paraId="5C7C8296" w14:textId="18F3EB8C">
      <w:r>
        <w:t xml:space="preserve">Wetlands International onderzoekt binnen deze programma’s wat de gevolgen van de dam voor Mali zullen zijn en voor de Binnenlandse Delta. Op grond van gesprekken met Malinese en </w:t>
      </w:r>
      <w:proofErr w:type="spellStart"/>
      <w:r>
        <w:t>Guinese</w:t>
      </w:r>
      <w:proofErr w:type="spellEnd"/>
      <w:r>
        <w:t xml:space="preserve"> ministeries heeft zij verschillende scenario’s in kaart gebracht en bekijkt zij wat daarvan de consequenties zijn. Daarnaast ontwikkelt zij </w:t>
      </w:r>
      <w:r w:rsidR="006F0B6B">
        <w:t xml:space="preserve">in samenspraak met partijen in Mali en Guinee </w:t>
      </w:r>
      <w:r>
        <w:t xml:space="preserve">voorstellen over hoe de dam het best beheerd kan worden. De ontwikkeling van de dam ligt momenteel echter volledig in </w:t>
      </w:r>
      <w:proofErr w:type="spellStart"/>
      <w:r>
        <w:t>Guinese</w:t>
      </w:r>
      <w:proofErr w:type="spellEnd"/>
      <w:r>
        <w:t xml:space="preserve"> handen. </w:t>
      </w:r>
    </w:p>
    <w:p w:rsidRPr="006B0590" w:rsidR="006B0590" w:rsidP="006B0590" w:rsidRDefault="00AA71BF" w14:paraId="3C6E0CB3" w14:textId="5EAFF551">
      <w:r>
        <w:t>De Nederlandse ambassade in Mali is zich bewust van de risico’s van de dam</w:t>
      </w:r>
      <w:r w:rsidRPr="00E10BEC" w:rsidR="00E10BEC">
        <w:rPr>
          <w:rFonts w:ascii="Arial" w:hAnsi="Arial" w:eastAsia="Arial" w:cs="Arial"/>
          <w:color w:val="000000"/>
        </w:rPr>
        <w:t xml:space="preserve"> </w:t>
      </w:r>
      <w:r w:rsidRPr="00E10BEC" w:rsidR="00E10BEC">
        <w:t xml:space="preserve">en speelt een belangrijke positieve rol door </w:t>
      </w:r>
      <w:r w:rsidR="00E10BEC">
        <w:t xml:space="preserve">diverse </w:t>
      </w:r>
      <w:r w:rsidRPr="00E10BEC" w:rsidR="00E10BEC">
        <w:t xml:space="preserve">programma's. De huidige ontwikkelingen nopen echter tot een actievere houding van </w:t>
      </w:r>
      <w:r w:rsidR="00E10BEC">
        <w:t xml:space="preserve">de </w:t>
      </w:r>
      <w:r w:rsidRPr="00E10BEC" w:rsidR="00E10BEC">
        <w:t>betrokkene</w:t>
      </w:r>
      <w:r w:rsidR="006B0590">
        <w:t>n.</w:t>
      </w:r>
      <w:r w:rsidRPr="00367248" w:rsidR="00367248">
        <w:t xml:space="preserve"> </w:t>
      </w:r>
    </w:p>
    <w:p w:rsidRPr="00EA4032" w:rsidR="00EA4032" w:rsidP="00EA4032" w:rsidRDefault="00EA4032" w14:paraId="71FAFAB4" w14:textId="33E69312">
      <w:pPr>
        <w:rPr>
          <w:b/>
        </w:rPr>
      </w:pPr>
      <w:r w:rsidRPr="00EA4032">
        <w:rPr>
          <w:b/>
        </w:rPr>
        <w:t xml:space="preserve">Actieve conflictpreventie </w:t>
      </w:r>
    </w:p>
    <w:p w:rsidR="00AB4EC5" w:rsidRDefault="00AA71BF" w14:paraId="64E9FF80" w14:textId="32E6EDA1">
      <w:r>
        <w:t xml:space="preserve">De defensienota kondigt de oprichting van een nieuwe conflictpreventie-eenheid aan. </w:t>
      </w:r>
      <w:r w:rsidR="005B284B">
        <w:t>Het is belangrijk dat de eenheid ook kijkt naar de rol van natuurlijke hulpbronnen en de invloed van nieuwe investeringen daarop</w:t>
      </w:r>
      <w:r w:rsidR="00AB2BAA">
        <w:t>, zoals investeringen in infrastructuur</w:t>
      </w:r>
      <w:r w:rsidR="005B284B">
        <w:t xml:space="preserve">. </w:t>
      </w:r>
      <w:r>
        <w:t xml:space="preserve">De </w:t>
      </w:r>
      <w:r w:rsidR="005B284B">
        <w:t>conflictpreventie-</w:t>
      </w:r>
      <w:r>
        <w:t xml:space="preserve">eenheid zal de buitenlandse defensie-inspanningen op het gebied van conflictpreventie coördineren. Coördinatie is belangrijk. Maar om ervoor te zorgen dat coördinatie effect heeft, is ook een actieve inzet van de </w:t>
      </w:r>
      <w:bookmarkStart w:name="_GoBack" w:id="1"/>
      <w:r w:rsidR="00552A2D">
        <w:t>verschillende partijen</w:t>
      </w:r>
      <w:bookmarkEnd w:id="1"/>
      <w:r>
        <w:t xml:space="preserve"> vereist. Dat geldt niet alleen v</w:t>
      </w:r>
      <w:r w:rsidR="00AB2BAA">
        <w:t>oor</w:t>
      </w:r>
      <w:r>
        <w:t xml:space="preserve"> de minister van Defensie, maar ook v</w:t>
      </w:r>
      <w:r w:rsidR="00AB2BAA">
        <w:t>oor</w:t>
      </w:r>
      <w:r>
        <w:t xml:space="preserve"> de minister van Buitenlandse Zaken en de minister voor Buitenlandse Handel en Ontwikkelingssamenwerking. Ook voor hun inzet in Mali. </w:t>
      </w:r>
      <w:r w:rsidR="00637B0B">
        <w:t>Zij zouden bij de Malinese overheid kunnen aandringen op een actieve houding inzake de ontwikkeling van de dam en het gesprek kunnen aanzwengelen over de invloed van de dam op de veiligheid in Mali.</w:t>
      </w:r>
    </w:p>
    <w:p w:rsidR="00AB4EC5" w:rsidRDefault="00AB4EC5" w14:paraId="7FFBAE7C" w14:textId="77777777"/>
    <w:sectPr w:rsidR="00AB4EC5" w:rsidSect="00120CCD">
      <w:pgSz w:w="11906" w:h="16838"/>
      <w:pgMar w:top="1440" w:right="1440" w:bottom="709" w:left="1440" w:header="708" w:footer="708" w:gutter="0"/>
      <w:pgNumType w:start="1"/>
      <w:cols w:space="72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B5BD1" w14:textId="77777777" w:rsidR="00797D4B" w:rsidRDefault="00797D4B">
      <w:pPr>
        <w:spacing w:after="0" w:line="240" w:lineRule="auto"/>
      </w:pPr>
      <w:r>
        <w:separator/>
      </w:r>
    </w:p>
  </w:endnote>
  <w:endnote w:type="continuationSeparator" w:id="0">
    <w:p w14:paraId="648D44E3" w14:textId="77777777" w:rsidR="00797D4B" w:rsidRDefault="00797D4B">
      <w:pPr>
        <w:spacing w:after="0" w:line="240" w:lineRule="auto"/>
      </w:pPr>
      <w:r>
        <w:continuationSeparator/>
      </w:r>
    </w:p>
  </w:endnote>
  <w:endnote w:id="1">
    <w:p w14:paraId="5655834C" w14:textId="77777777" w:rsidR="00095E16" w:rsidRPr="0036544C" w:rsidRDefault="00095E16">
      <w:pPr>
        <w:pBdr>
          <w:top w:val="nil"/>
          <w:left w:val="nil"/>
          <w:bottom w:val="nil"/>
          <w:right w:val="nil"/>
          <w:between w:val="nil"/>
        </w:pBdr>
        <w:spacing w:after="0" w:line="240" w:lineRule="auto"/>
        <w:rPr>
          <w:color w:val="000000"/>
          <w:sz w:val="18"/>
          <w:szCs w:val="18"/>
          <w:lang w:val="en-US"/>
        </w:rPr>
      </w:pPr>
      <w:r w:rsidRPr="0036544C">
        <w:rPr>
          <w:rStyle w:val="EndnoteReference"/>
          <w:sz w:val="18"/>
          <w:szCs w:val="18"/>
        </w:rPr>
        <w:endnoteRef/>
      </w:r>
      <w:r w:rsidRPr="0036544C">
        <w:rPr>
          <w:color w:val="000000"/>
          <w:sz w:val="18"/>
          <w:szCs w:val="18"/>
          <w:lang w:val="en-US"/>
        </w:rPr>
        <w:t xml:space="preserve"> </w:t>
      </w:r>
      <w:hyperlink r:id="rId1">
        <w:r w:rsidRPr="0036544C">
          <w:rPr>
            <w:color w:val="0563C1"/>
            <w:sz w:val="18"/>
            <w:szCs w:val="18"/>
            <w:u w:val="single"/>
            <w:lang w:val="en-US"/>
          </w:rPr>
          <w:t>https://www.un.org/press/en/2018/sc13189.doc.htm</w:t>
        </w:r>
      </w:hyperlink>
      <w:r w:rsidRPr="0036544C">
        <w:rPr>
          <w:color w:val="000000"/>
          <w:sz w:val="18"/>
          <w:szCs w:val="18"/>
          <w:lang w:val="en-US"/>
        </w:rPr>
        <w:t xml:space="preserve"> </w:t>
      </w:r>
    </w:p>
  </w:endnote>
  <w:endnote w:id="2">
    <w:p w14:paraId="299ADE6A" w14:textId="77777777" w:rsidR="00095E16" w:rsidRPr="0036544C" w:rsidRDefault="00095E16">
      <w:pPr>
        <w:pBdr>
          <w:top w:val="nil"/>
          <w:left w:val="nil"/>
          <w:bottom w:val="nil"/>
          <w:right w:val="nil"/>
          <w:between w:val="nil"/>
        </w:pBdr>
        <w:spacing w:after="0" w:line="240" w:lineRule="auto"/>
        <w:rPr>
          <w:color w:val="000000"/>
          <w:sz w:val="18"/>
          <w:szCs w:val="18"/>
          <w:lang w:val="en-US"/>
        </w:rPr>
      </w:pPr>
      <w:r w:rsidRPr="0036544C">
        <w:rPr>
          <w:rStyle w:val="EndnoteReference"/>
          <w:sz w:val="18"/>
          <w:szCs w:val="18"/>
        </w:rPr>
        <w:endnoteRef/>
      </w:r>
      <w:r w:rsidRPr="0036544C">
        <w:rPr>
          <w:color w:val="000000"/>
          <w:sz w:val="18"/>
          <w:szCs w:val="18"/>
          <w:lang w:val="en-US"/>
        </w:rPr>
        <w:t xml:space="preserve"> https://www.planetarysecurityinitiative.org/</w:t>
      </w:r>
    </w:p>
  </w:endnote>
  <w:endnote w:id="3">
    <w:p w14:paraId="35536040" w14:textId="77777777" w:rsidR="00095E16" w:rsidRPr="0036544C" w:rsidRDefault="00095E16">
      <w:pPr>
        <w:pBdr>
          <w:top w:val="nil"/>
          <w:left w:val="nil"/>
          <w:bottom w:val="nil"/>
          <w:right w:val="nil"/>
          <w:between w:val="nil"/>
        </w:pBdr>
        <w:spacing w:after="0" w:line="240" w:lineRule="auto"/>
        <w:rPr>
          <w:color w:val="000000"/>
          <w:sz w:val="18"/>
          <w:szCs w:val="18"/>
          <w:lang w:val="en-US"/>
        </w:rPr>
      </w:pPr>
      <w:bookmarkStart w:id="0" w:name="_gjdgxs" w:colFirst="0" w:colLast="0"/>
      <w:bookmarkEnd w:id="0"/>
      <w:r w:rsidRPr="0036544C">
        <w:rPr>
          <w:rStyle w:val="EndnoteReference"/>
          <w:sz w:val="18"/>
          <w:szCs w:val="18"/>
        </w:rPr>
        <w:endnoteRef/>
      </w:r>
      <w:r w:rsidRPr="0036544C">
        <w:rPr>
          <w:color w:val="000000"/>
          <w:sz w:val="18"/>
          <w:szCs w:val="18"/>
          <w:lang w:val="en-US"/>
        </w:rPr>
        <w:t xml:space="preserve"> https://www.wetlands.org/news/new-irrigation-plans-threaten-food-production-inner-niger-delta/</w:t>
      </w:r>
    </w:p>
  </w:endnote>
  <w:endnote w:id="4">
    <w:p w14:paraId="3245402A" w14:textId="6B8CC39C" w:rsidR="00095E16" w:rsidRPr="002E5791" w:rsidRDefault="00095E16">
      <w:pPr>
        <w:pStyle w:val="EndnoteText"/>
        <w:rPr>
          <w:sz w:val="18"/>
          <w:szCs w:val="18"/>
          <w:lang w:val="en-US"/>
        </w:rPr>
      </w:pPr>
      <w:r w:rsidRPr="002E5791">
        <w:rPr>
          <w:rStyle w:val="EndnoteReference"/>
          <w:sz w:val="18"/>
          <w:szCs w:val="18"/>
        </w:rPr>
        <w:endnoteRef/>
      </w:r>
      <w:r w:rsidR="006A5882">
        <w:rPr>
          <w:sz w:val="18"/>
          <w:szCs w:val="18"/>
          <w:lang w:val="en-US"/>
        </w:rPr>
        <w:t xml:space="preserve"> </w:t>
      </w:r>
      <w:r w:rsidRPr="002E5791">
        <w:rPr>
          <w:sz w:val="18"/>
          <w:szCs w:val="18"/>
          <w:lang w:val="en-US"/>
        </w:rPr>
        <w:t>https://www.wetlands.org/blog/announcement-build-guinea-dam-bypasses-regional-collaborative-process/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88E70" w14:textId="77777777" w:rsidR="00797D4B" w:rsidRDefault="00797D4B">
      <w:pPr>
        <w:spacing w:after="0" w:line="240" w:lineRule="auto"/>
      </w:pPr>
      <w:r>
        <w:separator/>
      </w:r>
    </w:p>
  </w:footnote>
  <w:footnote w:type="continuationSeparator" w:id="0">
    <w:p w14:paraId="31F84E08" w14:textId="77777777" w:rsidR="00797D4B" w:rsidRDefault="00797D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C5"/>
    <w:rsid w:val="0007204A"/>
    <w:rsid w:val="00095E16"/>
    <w:rsid w:val="00120CCD"/>
    <w:rsid w:val="00123B3F"/>
    <w:rsid w:val="001F10B8"/>
    <w:rsid w:val="0025435C"/>
    <w:rsid w:val="002D320F"/>
    <w:rsid w:val="002E5791"/>
    <w:rsid w:val="002F2DC8"/>
    <w:rsid w:val="0036544C"/>
    <w:rsid w:val="00367248"/>
    <w:rsid w:val="00385F75"/>
    <w:rsid w:val="0054133D"/>
    <w:rsid w:val="00552A2D"/>
    <w:rsid w:val="005B284B"/>
    <w:rsid w:val="005B6E1E"/>
    <w:rsid w:val="00637B0B"/>
    <w:rsid w:val="006A5882"/>
    <w:rsid w:val="006B0590"/>
    <w:rsid w:val="006D34E0"/>
    <w:rsid w:val="006E3862"/>
    <w:rsid w:val="006F0B6B"/>
    <w:rsid w:val="00730A7D"/>
    <w:rsid w:val="00797D4B"/>
    <w:rsid w:val="00804700"/>
    <w:rsid w:val="00810C99"/>
    <w:rsid w:val="009B21D5"/>
    <w:rsid w:val="00A95290"/>
    <w:rsid w:val="00AA71BF"/>
    <w:rsid w:val="00AB2BAA"/>
    <w:rsid w:val="00AB4EC5"/>
    <w:rsid w:val="00B956D5"/>
    <w:rsid w:val="00BE4828"/>
    <w:rsid w:val="00C42518"/>
    <w:rsid w:val="00C46593"/>
    <w:rsid w:val="00DC4DA9"/>
    <w:rsid w:val="00E10BEC"/>
    <w:rsid w:val="00E21958"/>
    <w:rsid w:val="00EA40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48A20"/>
  <w15:docId w15:val="{E979827E-24A3-4B0A-8D1E-995D332B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nl-NL" w:eastAsia="en-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5354D0"/>
    <w:rPr>
      <w:color w:val="0563C1" w:themeColor="hyperlink"/>
      <w:u w:val="single"/>
    </w:rPr>
  </w:style>
  <w:style w:type="character" w:styleId="UnresolvedMention">
    <w:name w:val="Unresolved Mention"/>
    <w:basedOn w:val="DefaultParagraphFont"/>
    <w:uiPriority w:val="99"/>
    <w:semiHidden/>
    <w:unhideWhenUsed/>
    <w:rsid w:val="005354D0"/>
    <w:rPr>
      <w:color w:val="808080"/>
      <w:shd w:val="clear" w:color="auto" w:fill="E6E6E6"/>
    </w:rPr>
  </w:style>
  <w:style w:type="paragraph" w:styleId="ListParagraph">
    <w:name w:val="List Paragraph"/>
    <w:basedOn w:val="Normal"/>
    <w:uiPriority w:val="34"/>
    <w:qFormat/>
    <w:rsid w:val="005354D0"/>
    <w:pPr>
      <w:ind w:left="720"/>
      <w:contextualSpacing/>
    </w:pPr>
  </w:style>
  <w:style w:type="paragraph" w:styleId="FootnoteText">
    <w:name w:val="footnote text"/>
    <w:basedOn w:val="Normal"/>
    <w:link w:val="FootnoteTextChar"/>
    <w:uiPriority w:val="99"/>
    <w:semiHidden/>
    <w:unhideWhenUsed/>
    <w:rsid w:val="005A0B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0B91"/>
    <w:rPr>
      <w:sz w:val="20"/>
      <w:szCs w:val="20"/>
    </w:rPr>
  </w:style>
  <w:style w:type="character" w:styleId="FootnoteReference">
    <w:name w:val="footnote reference"/>
    <w:basedOn w:val="DefaultParagraphFont"/>
    <w:uiPriority w:val="99"/>
    <w:semiHidden/>
    <w:unhideWhenUsed/>
    <w:rsid w:val="005A0B91"/>
    <w:rPr>
      <w:vertAlign w:val="superscript"/>
    </w:rPr>
  </w:style>
  <w:style w:type="paragraph" w:styleId="BalloonText">
    <w:name w:val="Balloon Text"/>
    <w:basedOn w:val="Normal"/>
    <w:link w:val="BalloonTextChar"/>
    <w:uiPriority w:val="99"/>
    <w:semiHidden/>
    <w:unhideWhenUsed/>
    <w:rsid w:val="00495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D0F"/>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D34E0"/>
    <w:rPr>
      <w:b/>
      <w:bCs/>
    </w:rPr>
  </w:style>
  <w:style w:type="character" w:customStyle="1" w:styleId="CommentSubjectChar">
    <w:name w:val="Comment Subject Char"/>
    <w:basedOn w:val="CommentTextChar"/>
    <w:link w:val="CommentSubject"/>
    <w:uiPriority w:val="99"/>
    <w:semiHidden/>
    <w:rsid w:val="006D34E0"/>
    <w:rPr>
      <w:b/>
      <w:bCs/>
      <w:sz w:val="20"/>
      <w:szCs w:val="20"/>
    </w:rPr>
  </w:style>
  <w:style w:type="paragraph" w:styleId="EndnoteText">
    <w:name w:val="endnote text"/>
    <w:basedOn w:val="Normal"/>
    <w:link w:val="EndnoteTextChar"/>
    <w:uiPriority w:val="99"/>
    <w:semiHidden/>
    <w:unhideWhenUsed/>
    <w:rsid w:val="00095E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5E16"/>
    <w:rPr>
      <w:sz w:val="20"/>
      <w:szCs w:val="20"/>
    </w:rPr>
  </w:style>
  <w:style w:type="character" w:styleId="EndnoteReference">
    <w:name w:val="endnote reference"/>
    <w:basedOn w:val="DefaultParagraphFont"/>
    <w:uiPriority w:val="99"/>
    <w:semiHidden/>
    <w:unhideWhenUsed/>
    <w:rsid w:val="00095E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endnotes.xml.rels><?xml version="1.0" encoding="UTF-8" standalone="yes"?>
<Relationships xmlns="http://schemas.openxmlformats.org/package/2006/relationships"><Relationship Id="rId1" Type="http://schemas.openxmlformats.org/officeDocument/2006/relationships/hyperlink" Target="https://www.un.org/press/en/2018/sc13189.d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926</ap:Words>
  <ap:Characters>5284</ap:Characters>
  <ap:DocSecurity>0</ap:DocSecurity>
  <ap:Lines>44</ap:Lines>
  <ap:Paragraphs>12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6198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2018-05-14T09:05:00.0000000Z</lastPrinted>
  <dcterms:created xsi:type="dcterms:W3CDTF">2018-05-16T13:01:00.0000000Z</dcterms:created>
  <dcterms:modified xsi:type="dcterms:W3CDTF">2018-05-16T13:02:00.0000000Z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0x0101001E2F28EBB325F749A3276E0C6B5829EA</vt:lpwstr>
  </property>
</Properties>
</file>