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A828E3" w:rsidP="00B633A6" w:rsidRDefault="0000060B">
      <w:pPr>
        <w:pStyle w:val="PlatteTekst"/>
        <w:jc w:val="both"/>
      </w:pPr>
      <w:r>
        <w:rPr>
          <w:noProof/>
          <w:lang w:eastAsia="nl-NL"/>
        </w:rPr>
        <mc:AlternateContent>
          <mc:Choice Requires="wps">
            <w:drawing>
              <wp:anchor distT="0" distB="0" distL="114300" distR="114300" simplePos="0" relativeHeight="251661312" behindDoc="0" locked="0" layoutInCell="1" allowOverlap="1">
                <wp:simplePos x="0" y="0"/>
                <wp:positionH relativeFrom="column">
                  <wp:posOffset>3586480</wp:posOffset>
                </wp:positionH>
                <wp:positionV relativeFrom="page">
                  <wp:posOffset>1695450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110B" w:rsidRDefault="000E110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kstvak 13" style="position:absolute;left:0;text-align:left;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">
                <v:textbox inset="0,0,0,0">
                  <w:txbxContent>
                    <w:p w:rsidR="000E110B" w:rsidRDefault="000E110B"/>
                  </w:txbxContent>
                </v:textbox>
                <w10:wrap anchory="page"/>
              </v:shape>
            </w:pict>
          </mc:Fallback>
        </mc:AlternateContent>
      </w:r>
      <w:r>
        <w:rPr>
          <w:noProof/>
          <w:lang w:eastAsia="nl-NL"/>
        </w:rPr>
        <mc:AlternateContent>
          <mc:Choice Requires="wps">
            <w:drawing>
              <wp:anchor distT="0" distB="0" distL="114300" distR="114300" simplePos="0" relativeHeight="251660288" behindDoc="0" locked="0" layoutInCell="1" allowOverlap="1">
                <wp:simplePos x="0" y="0"/>
                <wp:positionH relativeFrom="page">
                  <wp:posOffset>4622800</wp:posOffset>
                </wp:positionH>
                <wp:positionV relativeFrom="page">
                  <wp:posOffset>1955165</wp:posOffset>
                </wp:positionV>
                <wp:extent cx="2080800" cy="2448000"/>
                <wp:effectExtent l="0" t="0" r="15240" b="0"/>
                <wp:wrapNone/>
                <wp:docPr id="9" name="Tekstvak 9"/>
                <wp:cNvGraphicFramePr/>
                <a:graphic xmlns:a="http://schemas.openxmlformats.org/drawingml/2006/main">
                  <a:graphicData uri="http://schemas.microsoft.com/office/word/2010/wordprocessingShape">
                    <wps:wsp>
                      <wps:cNvSpPr txBox="1"/>
                      <wps:spPr>
                        <a:xfrm>
                          <a:off x="0" y="0"/>
                          <a:ext cx="2080800" cy="244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110B" w:rsidRDefault="000E110B">
                            <w:pPr>
                              <w:pStyle w:val="Huisstijl-Afzendgegevens"/>
                              <w:rPr>
                                <w:szCs w:val="13"/>
                              </w:rPr>
                            </w:pPr>
                            <w:r>
                              <w:rPr>
                                <w:szCs w:val="13"/>
                              </w:rPr>
                              <w:t xml:space="preserve">S. </w:t>
                            </w:r>
                            <w:r w:rsidR="00BC4EA8">
                              <w:rPr>
                                <w:szCs w:val="13"/>
                              </w:rPr>
                              <w:t xml:space="preserve">M.G. </w:t>
                            </w:r>
                            <w:r>
                              <w:rPr>
                                <w:szCs w:val="13"/>
                              </w:rPr>
                              <w:t>Koopmans</w:t>
                            </w:r>
                          </w:p>
                          <w:p w:rsidR="000E110B" w:rsidRDefault="000E110B">
                            <w:pPr>
                              <w:pStyle w:val="Huisstijl-Afzendgegevens"/>
                              <w:rPr>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kstvak 9" style="position:absolute;left:0;text-align:left;margin-left:364pt;margin-top:153.95pt;width:163.85pt;height:192.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">
                <v:textbox style="mso-fit-shape-to-text:t" inset="0,0,0,0">
                  <w:txbxContent>
                    <w:p w:rsidR="000E110B" w:rsidRDefault="000E110B">
                      <w:pPr>
                        <w:pStyle w:val="Huisstijl-Afzendgegevens"/>
                        <w:rPr>
                          <w:szCs w:val="13"/>
                        </w:rPr>
                      </w:pPr>
                      <w:r>
                        <w:rPr>
                          <w:szCs w:val="13"/>
                        </w:rPr>
                        <w:t xml:space="preserve">S. </w:t>
                      </w:r>
                      <w:r w:rsidR="00BC4EA8">
                        <w:rPr>
                          <w:szCs w:val="13"/>
                        </w:rPr>
                        <w:t xml:space="preserve">M.G. </w:t>
                      </w:r>
                      <w:r>
                        <w:rPr>
                          <w:szCs w:val="13"/>
                        </w:rPr>
                        <w:t>Koopmans</w:t>
                      </w:r>
                    </w:p>
                    <w:p w:rsidR="000E110B" w:rsidRDefault="000E110B">
                      <w:pPr>
                        <w:pStyle w:val="Huisstijl-Afzendgegevens"/>
                        <w:rPr>
                          <w:szCs w:val="13"/>
                        </w:rPr>
                      </w:pPr>
                    </w:p>
                  </w:txbxContent>
                </v:textbox>
                <w10:wrap anchorx="page" anchory="page"/>
              </v:shape>
            </w:pict>
          </mc:Fallback>
        </mc:AlternateContent>
      </w:r>
    </w:p>
    <w:p w:rsidR="00A828E3" w:rsidP="00B633A6" w:rsidRDefault="00A828E3">
      <w:pPr>
        <w:pStyle w:val="PlatteTekst"/>
        <w:jc w:val="both"/>
        <w:sectPr w:rsidR="00A828E3">
          <w:headerReference w:type="default" r:id="rId13"/>
          <w:footerReference w:type="default" r:id="rId14"/>
          <w:type w:val="continuous"/>
          <w:pgSz w:w="11907" w:h="16840" w:code="9"/>
          <w:pgMar w:top="-2410" w:right="1361" w:bottom="1418" w:left="2211" w:header="2370" w:footer="992" w:gutter="0"/>
          <w:cols w:space="708"/>
          <w:docGrid w:type="lines" w:linePitch="284"/>
        </w:sectPr>
      </w:pPr>
    </w:p>
    <w:p w:rsidR="00A828E3" w:rsidP="00B633A6" w:rsidRDefault="003C2832">
      <w:pPr>
        <w:jc w:val="both"/>
        <w:rPr>
          <w:szCs w:val="17"/>
        </w:rPr>
      </w:pPr>
      <w:r>
        <w:rPr>
          <w:noProof/>
          <w:lang w:eastAsia="nl-NL"/>
        </w:rPr>
        <w:lastRenderedPageBreak/>
        <mc:AlternateContent>
          <mc:Choice Requires="wps">
            <w:drawing>
              <wp:anchor distT="0" distB="269875" distL="114300" distR="114300" simplePos="0" relativeHeight="251664384" behindDoc="0" locked="0" layoutInCell="1" allowOverlap="1" wp14:editId="2260DC29" wp14:anchorId="2F712338">
                <wp:simplePos x="0" y="0"/>
                <wp:positionH relativeFrom="page">
                  <wp:posOffset>600075</wp:posOffset>
                </wp:positionH>
                <wp:positionV relativeFrom="page">
                  <wp:posOffset>2000250</wp:posOffset>
                </wp:positionV>
                <wp:extent cx="4048125" cy="1666875"/>
                <wp:effectExtent l="0" t="0" r="9525" b="9525"/>
                <wp:wrapTopAndBottom/>
                <wp:docPr id="8" name="Tekstvak 8"/>
                <wp:cNvGraphicFramePr/>
                <a:graphic xmlns:a="http://schemas.openxmlformats.org/drawingml/2006/main">
                  <a:graphicData uri="http://schemas.microsoft.com/office/word/2010/wordprocessingShape">
                    <wps:wsp>
                      <wps:cNvSpPr txBox="1"/>
                      <wps:spPr>
                        <a:xfrm>
                          <a:off x="0" y="0"/>
                          <a:ext cx="4048125" cy="1666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110B" w:rsidP="00580839" w:rsidRDefault="000E110B">
                            <w:pPr>
                              <w:pStyle w:val="Huisstijl-Agendatitel"/>
                              <w:tabs>
                                <w:tab w:val="right" w:pos="1264"/>
                                <w:tab w:val="right" w:pos="1344"/>
                              </w:tabs>
                              <w:ind w:left="1418" w:hanging="1418"/>
                            </w:pPr>
                            <w:r>
                              <w:tab/>
                            </w:r>
                            <w:r>
                              <w:tab/>
                              <w:t>Vierde</w:t>
                            </w:r>
                            <w:r w:rsidRPr="00580839">
                              <w:t xml:space="preserve"> voortgangsv</w:t>
                            </w:r>
                            <w:r>
                              <w:t xml:space="preserve">erslag Rapporteurschap Europese </w:t>
                            </w:r>
                            <w:r w:rsidRPr="00580839">
                              <w:t>Kiesakte</w:t>
                            </w:r>
                          </w:p>
                          <w:p w:rsidR="000E110B" w:rsidRDefault="000E110B">
                            <w:pPr>
                              <w:pStyle w:val="Huisstijl-Agendatitel"/>
                              <w:ind w:left="0" w:firstLine="0"/>
                            </w:pPr>
                          </w:p>
                          <w:p w:rsidR="000E110B" w:rsidRDefault="000E110B">
                            <w:pPr>
                              <w:pStyle w:val="Huisstijl-Notitiegegevens"/>
                            </w:pPr>
                            <w:r>
                              <w:tab/>
                              <w:t>aan</w:t>
                            </w:r>
                            <w:r>
                              <w:tab/>
                              <w:t>de vaste commissie voor Binnenlandse Zaken</w:t>
                            </w:r>
                          </w:p>
                          <w:p w:rsidR="000E110B" w:rsidRDefault="000E110B">
                            <w:pPr>
                              <w:pStyle w:val="Huisstijl-Notitiegegevens"/>
                            </w:pPr>
                            <w:r>
                              <w:tab/>
                              <w:t>in afschrift aan</w:t>
                            </w:r>
                            <w:r>
                              <w:tab/>
                              <w:t>de vaste commissie voor EU-zaken</w:t>
                            </w:r>
                          </w:p>
                          <w:p w:rsidR="000E110B" w:rsidRDefault="000E110B">
                            <w:pPr>
                              <w:pStyle w:val="Huisstijl-Notitiegegevens"/>
                            </w:pPr>
                            <w:r>
                              <w:tab/>
                              <w:t>van</w:t>
                            </w:r>
                            <w:r>
                              <w:tab/>
                              <w:t>de rapporteur Europese Kiesakte</w:t>
                            </w:r>
                          </w:p>
                          <w:p w:rsidR="000E110B" w:rsidRDefault="000E110B">
                            <w:pPr>
                              <w:pStyle w:val="Huisstijl-Notitiegegevens"/>
                            </w:pPr>
                            <w:r>
                              <w:tab/>
                              <w:t>datum</w:t>
                            </w:r>
                            <w:r>
                              <w:tab/>
                            </w:r>
                            <w:sdt>
                              <w:sdtPr>
                                <w:alias w:val="Memo Datum"/>
                                <w:tag w:val="Memo_Datum"/>
                                <w:id w:val="1553960696"/>
                                <w:dataBinding w:prefixMappings="xmlns:dg='http://docgen.org/date' " w:xpath="/dg:DocgenData[1]/dg:Memo_Datum[1]" w:storeItemID="{748283CE-10B1-4D14-8C95-2757D550AB91}"/>
                                <w:date w:fullDate="2018-02-05T00:00:00Z">
                                  <w:dateFormat w:val="d MMMM YYYY"/>
                                  <w:lid w:val="nl-NL"/>
                                  <w:storeMappedDataAs w:val="dateTime"/>
                                  <w:calendar w:val="gregorian"/>
                                </w:date>
                              </w:sdtPr>
                              <w:sdtEndPr/>
                              <w:sdtContent>
                                <w:r>
                                  <w:t>5 februari 2018</w:t>
                                </w:r>
                              </w:sdtContent>
                            </w:sdt>
                          </w:p>
                          <w:p w:rsidR="000E110B" w:rsidP="00FF05FF" w:rsidRDefault="000E110B">
                            <w:pPr>
                              <w:pStyle w:val="Huisstijl-Notitiegegevens"/>
                            </w:pPr>
                            <w:r>
                              <w:tab/>
                              <w:t>te betrekken bij</w:t>
                            </w:r>
                            <w:r>
                              <w:tab/>
                              <w:t>procedurevergadering van 15 februari 2018</w:t>
                            </w:r>
                          </w:p>
                          <w:p w:rsidR="000E110B" w:rsidRDefault="000E110B">
                            <w:pPr>
                              <w:pStyle w:val="Huisstijl-AgendagegevensW1"/>
                            </w:pPr>
                          </w:p>
                          <w:p w:rsidR="000E110B" w:rsidRDefault="000E110B">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kstvak 8" style="position:absolute;left:0;text-align:left;margin-left:47.25pt;margin-top:157.5pt;width:318.75pt;height:131.25pt;z-index:25166438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" w14:anchorId="2F712338">
                <v:textbox inset="0,0,0,0">
                  <w:txbxContent>
                    <w:p w:rsidR="000E110B" w:rsidP="00580839" w:rsidRDefault="000E110B">
                      <w:pPr>
                        <w:pStyle w:val="Huisstijl-Agendatitel"/>
                        <w:tabs>
                          <w:tab w:val="right" w:pos="1264"/>
                          <w:tab w:val="right" w:pos="1344"/>
                        </w:tabs>
                        <w:ind w:left="1418" w:hanging="1418"/>
                      </w:pPr>
                      <w:r>
                        <w:tab/>
                      </w:r>
                      <w:r>
                        <w:tab/>
                        <w:t>Vierde</w:t>
                      </w:r>
                      <w:r w:rsidRPr="00580839">
                        <w:t xml:space="preserve"> voortgangsv</w:t>
                      </w:r>
                      <w:r>
                        <w:t xml:space="preserve">erslag Rapporteurschap Europese </w:t>
                      </w:r>
                      <w:r w:rsidRPr="00580839">
                        <w:t>Kiesakte</w:t>
                      </w:r>
                    </w:p>
                    <w:p w:rsidR="000E110B" w:rsidRDefault="000E110B">
                      <w:pPr>
                        <w:pStyle w:val="Huisstijl-Agendatitel"/>
                        <w:ind w:left="0" w:firstLine="0"/>
                      </w:pPr>
                    </w:p>
                    <w:p w:rsidR="000E110B" w:rsidRDefault="000E110B">
                      <w:pPr>
                        <w:pStyle w:val="Huisstijl-Notitiegegevens"/>
                      </w:pPr>
                      <w:r>
                        <w:tab/>
                        <w:t>aan</w:t>
                      </w:r>
                      <w:r>
                        <w:tab/>
                        <w:t>de vaste commissie voor Binnenlandse Zaken</w:t>
                      </w:r>
                    </w:p>
                    <w:p w:rsidR="000E110B" w:rsidRDefault="000E110B">
                      <w:pPr>
                        <w:pStyle w:val="Huisstijl-Notitiegegevens"/>
                      </w:pPr>
                      <w:r>
                        <w:tab/>
                        <w:t>in afschrift aan</w:t>
                      </w:r>
                      <w:r>
                        <w:tab/>
                        <w:t>de vaste commissie voor EU-zaken</w:t>
                      </w:r>
                    </w:p>
                    <w:p w:rsidR="000E110B" w:rsidRDefault="000E110B">
                      <w:pPr>
                        <w:pStyle w:val="Huisstijl-Notitiegegevens"/>
                      </w:pPr>
                      <w:r>
                        <w:tab/>
                        <w:t>van</w:t>
                      </w:r>
                      <w:r>
                        <w:tab/>
                        <w:t>de rapporteur Europese Kiesakte</w:t>
                      </w:r>
                    </w:p>
                    <w:p w:rsidR="000E110B" w:rsidRDefault="000E110B">
                      <w:pPr>
                        <w:pStyle w:val="Huisstijl-Notitiegegevens"/>
                      </w:pPr>
                      <w:r>
                        <w:tab/>
                        <w:t>datum</w:t>
                      </w:r>
                      <w:r>
                        <w:tab/>
                      </w:r>
                      <w:sdt>
                        <w:sdtPr>
                          <w:alias w:val="Memo Datum"/>
                          <w:tag w:val="Memo_Datum"/>
                          <w:id w:val="1553960696"/>
                          <w:dataBinding w:prefixMappings="xmlns:dg='http://docgen.org/date' " w:xpath="/dg:DocgenData[1]/dg:Memo_Datum[1]" w:storeItemID="{748283CE-10B1-4D14-8C95-2757D550AB91}"/>
                          <w:date w:fullDate="2018-02-05T00:00:00Z">
                            <w:dateFormat w:val="d MMMM YYYY"/>
                            <w:lid w:val="nl-NL"/>
                            <w:storeMappedDataAs w:val="dateTime"/>
                            <w:calendar w:val="gregorian"/>
                          </w:date>
                        </w:sdtPr>
                        <w:sdtEndPr/>
                        <w:sdtContent>
                          <w:r>
                            <w:t>5 februari 2018</w:t>
                          </w:r>
                        </w:sdtContent>
                      </w:sdt>
                    </w:p>
                    <w:p w:rsidR="000E110B" w:rsidP="00FF05FF" w:rsidRDefault="000E110B">
                      <w:pPr>
                        <w:pStyle w:val="Huisstijl-Notitiegegevens"/>
                      </w:pPr>
                      <w:r>
                        <w:tab/>
                        <w:t>te betrekken bij</w:t>
                      </w:r>
                      <w:r>
                        <w:tab/>
                        <w:t>procedurevergadering van 15 februari 2018</w:t>
                      </w:r>
                    </w:p>
                    <w:p w:rsidR="000E110B" w:rsidRDefault="000E110B">
                      <w:pPr>
                        <w:pStyle w:val="Huisstijl-AgendagegevensW1"/>
                      </w:pPr>
                    </w:p>
                    <w:p w:rsidR="000E110B" w:rsidRDefault="000E110B">
                      <w:pPr>
                        <w:pStyle w:val="Huisstijl-Notitiegegevens"/>
                      </w:pPr>
                    </w:p>
                  </w:txbxContent>
                </v:textbox>
                <w10:wrap type="topAndBottom" anchorx="page" anchory="page"/>
              </v:shape>
            </w:pict>
          </mc:Fallback>
        </mc:AlternateContent>
      </w:r>
    </w:p>
    <w:p w:rsidRPr="00092DC9" w:rsidR="00580839" w:rsidP="00B633A6" w:rsidRDefault="00580839">
      <w:pPr>
        <w:pStyle w:val="PlatteTekst"/>
        <w:jc w:val="both"/>
        <w:rPr>
          <w:szCs w:val="18"/>
        </w:rPr>
      </w:pPr>
      <w:r w:rsidRPr="00092DC9">
        <w:rPr>
          <w:szCs w:val="18"/>
        </w:rPr>
        <w:t>Geachte voorzitter, geachte collega’s,</w:t>
      </w:r>
    </w:p>
    <w:p w:rsidRPr="00092DC9" w:rsidR="00454B40" w:rsidP="00B633A6" w:rsidRDefault="00454B40">
      <w:pPr>
        <w:jc w:val="both"/>
        <w:rPr>
          <w:rFonts w:asciiTheme="minorHAnsi" w:hAnsiTheme="minorHAnsi"/>
          <w:szCs w:val="18"/>
        </w:rPr>
      </w:pPr>
    </w:p>
    <w:p w:rsidR="000E110B" w:rsidP="00B633A6" w:rsidRDefault="00454B40">
      <w:pPr>
        <w:jc w:val="both"/>
        <w:rPr>
          <w:szCs w:val="18"/>
        </w:rPr>
      </w:pPr>
      <w:r w:rsidRPr="00092DC9">
        <w:rPr>
          <w:szCs w:val="18"/>
        </w:rPr>
        <w:t xml:space="preserve">Op 29 januari jl. heb ik een werkbezoek afgelegd aan Brussel om daar te spreken met de relevante partijen die betrokken zijn bij het voorstel </w:t>
      </w:r>
      <w:proofErr w:type="gramStart"/>
      <w:r w:rsidRPr="00092DC9">
        <w:rPr>
          <w:szCs w:val="18"/>
        </w:rPr>
        <w:t>inzake</w:t>
      </w:r>
      <w:proofErr w:type="gramEnd"/>
      <w:r w:rsidRPr="00092DC9">
        <w:rPr>
          <w:szCs w:val="18"/>
        </w:rPr>
        <w:t xml:space="preserve"> de Europese Kiesakte. </w:t>
      </w:r>
      <w:r w:rsidRPr="00092DC9" w:rsidR="00934EBD">
        <w:rPr>
          <w:szCs w:val="18"/>
        </w:rPr>
        <w:t xml:space="preserve">Ik heb gesproken met diplomaten uit </w:t>
      </w:r>
      <w:r w:rsidR="00A838B6">
        <w:rPr>
          <w:szCs w:val="18"/>
        </w:rPr>
        <w:t xml:space="preserve">diverse </w:t>
      </w:r>
      <w:r w:rsidRPr="00092DC9" w:rsidR="00934EBD">
        <w:rPr>
          <w:szCs w:val="18"/>
        </w:rPr>
        <w:t xml:space="preserve">lidstaten en met de Europarlementariërs Danuta Hübner (EVP, Polen), Helmut Scholz, (GUE, Duitsland) en Gyorgy Schöpflin (EVP, Hongarije). </w:t>
      </w:r>
      <w:r w:rsidRPr="00092DC9">
        <w:rPr>
          <w:szCs w:val="18"/>
        </w:rPr>
        <w:t xml:space="preserve">Deze gesprekken bevestigen het eerdere beeld dat de lidstaten in de Raad Algemene Zaken het voorstel van het Europees Parlement </w:t>
      </w:r>
      <w:r w:rsidR="000E110B">
        <w:rPr>
          <w:szCs w:val="18"/>
        </w:rPr>
        <w:t>danig</w:t>
      </w:r>
      <w:r w:rsidRPr="00092DC9">
        <w:rPr>
          <w:szCs w:val="18"/>
        </w:rPr>
        <w:t xml:space="preserve"> </w:t>
      </w:r>
      <w:proofErr w:type="gramStart"/>
      <w:r w:rsidRPr="00092DC9">
        <w:rPr>
          <w:szCs w:val="18"/>
        </w:rPr>
        <w:t>hebben</w:t>
      </w:r>
      <w:proofErr w:type="gramEnd"/>
      <w:r w:rsidRPr="00092DC9">
        <w:rPr>
          <w:szCs w:val="18"/>
        </w:rPr>
        <w:t xml:space="preserve"> afgezwakt en dat er </w:t>
      </w:r>
      <w:r w:rsidR="000E110B">
        <w:rPr>
          <w:szCs w:val="18"/>
        </w:rPr>
        <w:t xml:space="preserve">slechts </w:t>
      </w:r>
      <w:r w:rsidRPr="00092DC9">
        <w:rPr>
          <w:szCs w:val="18"/>
        </w:rPr>
        <w:t xml:space="preserve">weinig </w:t>
      </w:r>
      <w:r w:rsidR="000E110B">
        <w:rPr>
          <w:szCs w:val="18"/>
        </w:rPr>
        <w:t xml:space="preserve">van de </w:t>
      </w:r>
      <w:r w:rsidRPr="00092DC9">
        <w:rPr>
          <w:szCs w:val="18"/>
        </w:rPr>
        <w:t xml:space="preserve">elementen zijn overgebleven waar wij als Kamer ons </w:t>
      </w:r>
      <w:r w:rsidR="000E110B">
        <w:rPr>
          <w:szCs w:val="18"/>
        </w:rPr>
        <w:t>tegen hebben gekeerd</w:t>
      </w:r>
      <w:r w:rsidRPr="00092DC9">
        <w:rPr>
          <w:szCs w:val="18"/>
        </w:rPr>
        <w:t xml:space="preserve">. </w:t>
      </w:r>
    </w:p>
    <w:p w:rsidR="000E110B" w:rsidP="00B633A6" w:rsidRDefault="000E110B">
      <w:pPr>
        <w:jc w:val="both"/>
        <w:rPr>
          <w:szCs w:val="18"/>
        </w:rPr>
      </w:pPr>
    </w:p>
    <w:p w:rsidR="00A838B6" w:rsidP="00B633A6" w:rsidRDefault="000E110B">
      <w:pPr>
        <w:jc w:val="both"/>
        <w:rPr>
          <w:szCs w:val="18"/>
        </w:rPr>
      </w:pPr>
      <w:r>
        <w:rPr>
          <w:szCs w:val="18"/>
        </w:rPr>
        <w:t xml:space="preserve">Het nu rondgaande </w:t>
      </w:r>
      <w:r w:rsidRPr="00092DC9" w:rsidR="00454B40">
        <w:rPr>
          <w:szCs w:val="18"/>
        </w:rPr>
        <w:t>voorstel voor een kiesdrempel</w:t>
      </w:r>
      <w:r w:rsidR="00A838B6">
        <w:rPr>
          <w:szCs w:val="18"/>
        </w:rPr>
        <w:t xml:space="preserve"> van 35 zetels</w:t>
      </w:r>
      <w:r w:rsidRPr="00092DC9" w:rsidR="00454B40">
        <w:rPr>
          <w:szCs w:val="18"/>
        </w:rPr>
        <w:t xml:space="preserve"> raakt Nederland niet</w:t>
      </w:r>
      <w:r>
        <w:rPr>
          <w:szCs w:val="18"/>
        </w:rPr>
        <w:t>, gezien onze huidige 26 zetels, mogelijk vermeerderd (zie onder) tot 29</w:t>
      </w:r>
      <w:r w:rsidRPr="00092DC9" w:rsidR="00454B40">
        <w:rPr>
          <w:szCs w:val="18"/>
        </w:rPr>
        <w:t xml:space="preserve">. </w:t>
      </w:r>
      <w:r>
        <w:rPr>
          <w:szCs w:val="18"/>
        </w:rPr>
        <w:t>De</w:t>
      </w:r>
      <w:r w:rsidRPr="00092DC9" w:rsidR="00454B40">
        <w:rPr>
          <w:szCs w:val="18"/>
        </w:rPr>
        <w:t xml:space="preserve"> marge</w:t>
      </w:r>
      <w:r>
        <w:rPr>
          <w:szCs w:val="18"/>
        </w:rPr>
        <w:t xml:space="preserve"> tussen 26/29 en 35 is mede bedoeld om te voorkomen dat </w:t>
      </w:r>
      <w:r w:rsidRPr="00092DC9" w:rsidR="00454B40">
        <w:rPr>
          <w:szCs w:val="18"/>
        </w:rPr>
        <w:t xml:space="preserve">de </w:t>
      </w:r>
      <w:r>
        <w:rPr>
          <w:szCs w:val="18"/>
        </w:rPr>
        <w:t xml:space="preserve">in de </w:t>
      </w:r>
      <w:r w:rsidRPr="00092DC9" w:rsidR="00454B40">
        <w:rPr>
          <w:szCs w:val="18"/>
        </w:rPr>
        <w:t>Kiesakte</w:t>
      </w:r>
      <w:r>
        <w:rPr>
          <w:szCs w:val="18"/>
        </w:rPr>
        <w:t xml:space="preserve"> op te nemen drempel ons ooit zou</w:t>
      </w:r>
      <w:r w:rsidRPr="00092DC9" w:rsidR="00454B40">
        <w:rPr>
          <w:szCs w:val="18"/>
        </w:rPr>
        <w:t xml:space="preserve"> raken. </w:t>
      </w:r>
      <w:r>
        <w:rPr>
          <w:szCs w:val="18"/>
        </w:rPr>
        <w:t xml:space="preserve">Het voorstel </w:t>
      </w:r>
      <w:proofErr w:type="gramStart"/>
      <w:r>
        <w:rPr>
          <w:szCs w:val="18"/>
        </w:rPr>
        <w:t>inzake</w:t>
      </w:r>
      <w:proofErr w:type="gramEnd"/>
      <w:r>
        <w:rPr>
          <w:szCs w:val="18"/>
        </w:rPr>
        <w:t xml:space="preserve"> de formele selectie en verkiezing van Spitzenkandidaten is op het </w:t>
      </w:r>
      <w:r w:rsidRPr="00092DC9">
        <w:rPr>
          <w:szCs w:val="18"/>
        </w:rPr>
        <w:t>verzet</w:t>
      </w:r>
      <w:r>
        <w:rPr>
          <w:szCs w:val="18"/>
        </w:rPr>
        <w:t xml:space="preserve"> van </w:t>
      </w:r>
      <w:r w:rsidRPr="00092DC9">
        <w:rPr>
          <w:szCs w:val="18"/>
        </w:rPr>
        <w:t>een aantal lidstaten</w:t>
      </w:r>
      <w:r>
        <w:rPr>
          <w:szCs w:val="18"/>
        </w:rPr>
        <w:t xml:space="preserve"> gestuit, maar wordt, evenals de kiesdrempel, nog wel besproken</w:t>
      </w:r>
      <w:r w:rsidRPr="00092DC9">
        <w:rPr>
          <w:szCs w:val="18"/>
        </w:rPr>
        <w:t>.</w:t>
      </w:r>
      <w:r>
        <w:rPr>
          <w:szCs w:val="18"/>
        </w:rPr>
        <w:t xml:space="preserve"> D</w:t>
      </w:r>
      <w:r w:rsidRPr="00092DC9" w:rsidR="00454B40">
        <w:rPr>
          <w:szCs w:val="18"/>
        </w:rPr>
        <w:t>e bepaling</w:t>
      </w:r>
      <w:r w:rsidR="00A838B6">
        <w:rPr>
          <w:szCs w:val="18"/>
        </w:rPr>
        <w:t>en over logo’s op stembiljetten</w:t>
      </w:r>
      <w:r>
        <w:rPr>
          <w:szCs w:val="18"/>
        </w:rPr>
        <w:t>,</w:t>
      </w:r>
      <w:r w:rsidRPr="00092DC9" w:rsidR="00454B40">
        <w:rPr>
          <w:szCs w:val="18"/>
        </w:rPr>
        <w:t xml:space="preserve"> </w:t>
      </w:r>
      <w:r w:rsidR="00A838B6">
        <w:rPr>
          <w:szCs w:val="18"/>
        </w:rPr>
        <w:t xml:space="preserve">vermelding van </w:t>
      </w:r>
      <w:r w:rsidRPr="00092DC9" w:rsidR="00454B40">
        <w:rPr>
          <w:szCs w:val="18"/>
        </w:rPr>
        <w:t>gender</w:t>
      </w:r>
      <w:r w:rsidR="00A838B6">
        <w:rPr>
          <w:szCs w:val="18"/>
        </w:rPr>
        <w:t xml:space="preserve">verdeling en beperking van de toelaatbare </w:t>
      </w:r>
      <w:r w:rsidRPr="00092DC9" w:rsidR="00454B40">
        <w:rPr>
          <w:szCs w:val="18"/>
        </w:rPr>
        <w:t>da</w:t>
      </w:r>
      <w:r w:rsidR="00A838B6">
        <w:rPr>
          <w:szCs w:val="18"/>
        </w:rPr>
        <w:t>gen in de w</w:t>
      </w:r>
      <w:r>
        <w:rPr>
          <w:szCs w:val="18"/>
        </w:rPr>
        <w:t>e</w:t>
      </w:r>
      <w:r w:rsidR="00A838B6">
        <w:rPr>
          <w:szCs w:val="18"/>
        </w:rPr>
        <w:t xml:space="preserve">ek waarop de </w:t>
      </w:r>
      <w:r w:rsidRPr="00092DC9" w:rsidR="00454B40">
        <w:rPr>
          <w:szCs w:val="18"/>
        </w:rPr>
        <w:t>verkiezingen</w:t>
      </w:r>
      <w:r w:rsidR="00A838B6">
        <w:rPr>
          <w:szCs w:val="18"/>
        </w:rPr>
        <w:t xml:space="preserve"> zouden kunnen worden gehouden,</w:t>
      </w:r>
      <w:r w:rsidRPr="00092DC9" w:rsidR="00454B40">
        <w:rPr>
          <w:szCs w:val="18"/>
        </w:rPr>
        <w:t xml:space="preserve"> zijn geschrapt of facultatief geworden. </w:t>
      </w:r>
      <w:r w:rsidR="00A838B6">
        <w:rPr>
          <w:szCs w:val="18"/>
        </w:rPr>
        <w:t>De resterende elementen van de hervorming van de Europese Kiesakte lijken van ondergeschikte, procedurele aard.</w:t>
      </w:r>
      <w:r w:rsidR="008F4E01">
        <w:rPr>
          <w:szCs w:val="18"/>
        </w:rPr>
        <w:t xml:space="preserve"> </w:t>
      </w:r>
      <w:r w:rsidRPr="00092DC9" w:rsidR="00454B40">
        <w:rPr>
          <w:szCs w:val="18"/>
        </w:rPr>
        <w:t>A</w:t>
      </w:r>
      <w:r w:rsidR="00A838B6">
        <w:rPr>
          <w:szCs w:val="18"/>
        </w:rPr>
        <w:t xml:space="preserve">nderzijds </w:t>
      </w:r>
      <w:r w:rsidRPr="00092DC9" w:rsidR="00454B40">
        <w:rPr>
          <w:szCs w:val="18"/>
        </w:rPr>
        <w:t xml:space="preserve">kan, door de discussie over de verdeling van de Brexit-zetels en het </w:t>
      </w:r>
      <w:r w:rsidR="00A838B6">
        <w:rPr>
          <w:szCs w:val="18"/>
        </w:rPr>
        <w:t xml:space="preserve">Franse </w:t>
      </w:r>
      <w:r w:rsidRPr="00092DC9" w:rsidR="00454B40">
        <w:rPr>
          <w:szCs w:val="18"/>
        </w:rPr>
        <w:t xml:space="preserve">voorstel </w:t>
      </w:r>
      <w:r w:rsidR="00A838B6">
        <w:rPr>
          <w:szCs w:val="18"/>
        </w:rPr>
        <w:t xml:space="preserve">voor de invoering  van </w:t>
      </w:r>
      <w:r w:rsidRPr="00092DC9" w:rsidR="00454B40">
        <w:rPr>
          <w:szCs w:val="18"/>
        </w:rPr>
        <w:t>transnationale lijsten</w:t>
      </w:r>
      <w:r w:rsidR="00A838B6">
        <w:rPr>
          <w:szCs w:val="18"/>
        </w:rPr>
        <w:t xml:space="preserve"> voor de verkiezing van een – in besprekingen nog </w:t>
      </w:r>
      <w:proofErr w:type="gramStart"/>
      <w:r w:rsidR="00A838B6">
        <w:rPr>
          <w:szCs w:val="18"/>
        </w:rPr>
        <w:t xml:space="preserve">variërend  </w:t>
      </w:r>
      <w:proofErr w:type="gramEnd"/>
      <w:r w:rsidR="00A838B6">
        <w:rPr>
          <w:szCs w:val="18"/>
        </w:rPr>
        <w:t xml:space="preserve">– aantal </w:t>
      </w:r>
      <w:r w:rsidR="003A672E">
        <w:rPr>
          <w:szCs w:val="18"/>
        </w:rPr>
        <w:t>Europarlementariërs</w:t>
      </w:r>
      <w:r w:rsidRPr="00092DC9" w:rsidR="00454B40">
        <w:rPr>
          <w:szCs w:val="18"/>
        </w:rPr>
        <w:t>, de Kiesakte toch een</w:t>
      </w:r>
      <w:r w:rsidR="00A838B6">
        <w:rPr>
          <w:szCs w:val="18"/>
        </w:rPr>
        <w:t xml:space="preserve"> zeer substantieel gevolg he</w:t>
      </w:r>
      <w:r w:rsidR="00492228">
        <w:rPr>
          <w:szCs w:val="18"/>
        </w:rPr>
        <w:t>bben, aangezien de</w:t>
      </w:r>
      <w:r w:rsidR="00A838B6">
        <w:rPr>
          <w:szCs w:val="18"/>
        </w:rPr>
        <w:t xml:space="preserve"> voorstellen een plaats zouden</w:t>
      </w:r>
      <w:r w:rsidR="00492228">
        <w:rPr>
          <w:szCs w:val="18"/>
        </w:rPr>
        <w:t xml:space="preserve"> kunnen</w:t>
      </w:r>
      <w:r w:rsidR="00A838B6">
        <w:rPr>
          <w:szCs w:val="18"/>
        </w:rPr>
        <w:t xml:space="preserve"> vinden in de Kiesakte.</w:t>
      </w:r>
      <w:r w:rsidRPr="00092DC9" w:rsidR="00454B40">
        <w:rPr>
          <w:szCs w:val="18"/>
        </w:rPr>
        <w:t xml:space="preserve"> </w:t>
      </w:r>
    </w:p>
    <w:p w:rsidR="00A838B6" w:rsidP="00B633A6" w:rsidRDefault="00A838B6">
      <w:pPr>
        <w:jc w:val="both"/>
        <w:rPr>
          <w:szCs w:val="18"/>
        </w:rPr>
      </w:pPr>
    </w:p>
    <w:p w:rsidRPr="00092DC9" w:rsidR="00454B40" w:rsidP="00B633A6" w:rsidRDefault="00454B40">
      <w:pPr>
        <w:jc w:val="both"/>
        <w:rPr>
          <w:szCs w:val="18"/>
        </w:rPr>
      </w:pPr>
      <w:r w:rsidRPr="00092DC9">
        <w:rPr>
          <w:szCs w:val="18"/>
        </w:rPr>
        <w:t xml:space="preserve">Tijdens mijn bezoek aan Brussel werd mij duidelijk dat </w:t>
      </w:r>
      <w:r w:rsidR="00A838B6">
        <w:rPr>
          <w:szCs w:val="18"/>
        </w:rPr>
        <w:t xml:space="preserve">er sprake is van een mogelijke verdeling van </w:t>
      </w:r>
      <w:r w:rsidRPr="00092DC9">
        <w:rPr>
          <w:szCs w:val="18"/>
        </w:rPr>
        <w:t xml:space="preserve">de zetels die vrij vallen na het </w:t>
      </w:r>
      <w:r w:rsidR="00A838B6">
        <w:rPr>
          <w:szCs w:val="18"/>
        </w:rPr>
        <w:t xml:space="preserve">- te verwachten - </w:t>
      </w:r>
      <w:r w:rsidRPr="00092DC9">
        <w:rPr>
          <w:szCs w:val="18"/>
        </w:rPr>
        <w:t xml:space="preserve">vertrek van het Verenigd Koninkrijk uit de Europese Unie: </w:t>
      </w:r>
      <w:r w:rsidR="008F4E01">
        <w:rPr>
          <w:szCs w:val="18"/>
        </w:rPr>
        <w:t>27 zetels</w:t>
      </w:r>
      <w:r w:rsidRPr="00092DC9">
        <w:rPr>
          <w:szCs w:val="18"/>
        </w:rPr>
        <w:t xml:space="preserve"> z</w:t>
      </w:r>
      <w:r w:rsidR="00A838B6">
        <w:rPr>
          <w:szCs w:val="18"/>
        </w:rPr>
        <w:t>ouden</w:t>
      </w:r>
      <w:r w:rsidRPr="00092DC9">
        <w:rPr>
          <w:szCs w:val="18"/>
        </w:rPr>
        <w:t xml:space="preserve"> onder </w:t>
      </w:r>
      <w:r w:rsidR="008F4E01">
        <w:rPr>
          <w:szCs w:val="18"/>
        </w:rPr>
        <w:t xml:space="preserve">het (bijgevoegde) voorstel onder </w:t>
      </w:r>
      <w:r w:rsidRPr="00092DC9">
        <w:rPr>
          <w:szCs w:val="18"/>
        </w:rPr>
        <w:t xml:space="preserve">de andere lidstaten worden verdeeld. Hierbij krijgt Nederland drie extra zetels. De overige zetels gaan vooral naar West- en Zuid-Europese </w:t>
      </w:r>
      <w:r w:rsidR="00A838B6">
        <w:rPr>
          <w:szCs w:val="18"/>
        </w:rPr>
        <w:t xml:space="preserve">lidstaten. </w:t>
      </w:r>
      <w:r w:rsidR="008F4E01">
        <w:rPr>
          <w:szCs w:val="18"/>
        </w:rPr>
        <w:t xml:space="preserve">Over de eventuele verdeling van de overige zetels is minder duidelijkheid. Een deel hiervan </w:t>
      </w:r>
      <w:r w:rsidR="00A838B6">
        <w:rPr>
          <w:szCs w:val="18"/>
        </w:rPr>
        <w:t>zou</w:t>
      </w:r>
      <w:r w:rsidRPr="00092DC9">
        <w:rPr>
          <w:szCs w:val="18"/>
        </w:rPr>
        <w:t xml:space="preserve"> </w:t>
      </w:r>
      <w:r w:rsidRPr="00092DC9">
        <w:rPr>
          <w:szCs w:val="18"/>
        </w:rPr>
        <w:lastRenderedPageBreak/>
        <w:t xml:space="preserve">worden gereserveerd voor transnationale lijsten en </w:t>
      </w:r>
      <w:r w:rsidR="008F4E01">
        <w:rPr>
          <w:szCs w:val="18"/>
        </w:rPr>
        <w:t>ander deel, wellicht de helft,</w:t>
      </w:r>
      <w:r w:rsidRPr="00092DC9">
        <w:rPr>
          <w:szCs w:val="18"/>
        </w:rPr>
        <w:t xml:space="preserve"> voor eventuele toekomstige uitbreiding van de Europese Unie.</w:t>
      </w:r>
      <w:r w:rsidR="00A838B6">
        <w:rPr>
          <w:szCs w:val="18"/>
        </w:rPr>
        <w:t xml:space="preserve"> Ik verwijs hierbij naar het toegevoegde document, met daarbij de toelichting van de EP-rapporteurs voor dit onderdeel.</w:t>
      </w:r>
    </w:p>
    <w:p w:rsidRPr="00092DC9" w:rsidR="00454B40" w:rsidP="00B633A6" w:rsidRDefault="00454B40">
      <w:pPr>
        <w:jc w:val="both"/>
        <w:rPr>
          <w:szCs w:val="18"/>
        </w:rPr>
      </w:pPr>
    </w:p>
    <w:p w:rsidRPr="00092DC9" w:rsidR="00454B40" w:rsidP="00B633A6" w:rsidRDefault="00B633A6">
      <w:pPr>
        <w:jc w:val="both"/>
        <w:rPr>
          <w:szCs w:val="18"/>
        </w:rPr>
      </w:pPr>
      <w:r>
        <w:rPr>
          <w:szCs w:val="18"/>
        </w:rPr>
        <w:t>Gezien de mogelijke invoeging van het voorstel van transnationale li</w:t>
      </w:r>
      <w:r w:rsidR="008F4E01">
        <w:rPr>
          <w:szCs w:val="18"/>
        </w:rPr>
        <w:t>jsten</w:t>
      </w:r>
      <w:r>
        <w:rPr>
          <w:szCs w:val="18"/>
        </w:rPr>
        <w:t xml:space="preserve"> en het effect dat dit kan hebben op het al dan niet aannemen van de Kiesakte, zie ik het momenteel als mijn plicht u te rapporteren over de stand van deze discussie. De vraag naar</w:t>
      </w:r>
      <w:r w:rsidRPr="00092DC9">
        <w:rPr>
          <w:szCs w:val="18"/>
        </w:rPr>
        <w:t xml:space="preserve"> </w:t>
      </w:r>
      <w:r>
        <w:rPr>
          <w:szCs w:val="18"/>
        </w:rPr>
        <w:t xml:space="preserve">de wenselijkheid van </w:t>
      </w:r>
      <w:r w:rsidRPr="00092DC9">
        <w:rPr>
          <w:szCs w:val="18"/>
        </w:rPr>
        <w:t xml:space="preserve">transnationale lijsten </w:t>
      </w:r>
      <w:r>
        <w:rPr>
          <w:szCs w:val="18"/>
        </w:rPr>
        <w:t>valt buiten mijn mandaat en laat ik vanzelfsprekend graag aan uw Commissie en haar leden.</w:t>
      </w:r>
      <w:r w:rsidRPr="00092DC9">
        <w:rPr>
          <w:szCs w:val="18"/>
        </w:rPr>
        <w:t xml:space="preserve"> </w:t>
      </w:r>
      <w:r w:rsidRPr="00092DC9" w:rsidR="00454B40">
        <w:rPr>
          <w:szCs w:val="18"/>
        </w:rPr>
        <w:t xml:space="preserve">Het is nog </w:t>
      </w:r>
      <w:r w:rsidR="00A838B6">
        <w:rPr>
          <w:szCs w:val="18"/>
        </w:rPr>
        <w:t xml:space="preserve">onduidelijk hoe een </w:t>
      </w:r>
      <w:r w:rsidRPr="00092DC9" w:rsidR="00454B40">
        <w:rPr>
          <w:szCs w:val="18"/>
        </w:rPr>
        <w:t>systeem van transnationale lijsten er in de praktijk uit z</w:t>
      </w:r>
      <w:r w:rsidR="00A838B6">
        <w:rPr>
          <w:szCs w:val="18"/>
        </w:rPr>
        <w:t>ou</w:t>
      </w:r>
      <w:r w:rsidRPr="00092DC9" w:rsidR="00454B40">
        <w:rPr>
          <w:szCs w:val="18"/>
        </w:rPr>
        <w:t xml:space="preserve"> zien. Het Franse voorstel </w:t>
      </w:r>
      <w:r w:rsidR="00A838B6">
        <w:rPr>
          <w:szCs w:val="18"/>
        </w:rPr>
        <w:t xml:space="preserve">dat hier over </w:t>
      </w:r>
      <w:proofErr w:type="gramStart"/>
      <w:r w:rsidR="00A838B6">
        <w:rPr>
          <w:szCs w:val="18"/>
        </w:rPr>
        <w:t>circuleert</w:t>
      </w:r>
      <w:proofErr w:type="gramEnd"/>
      <w:r w:rsidR="00A838B6">
        <w:rPr>
          <w:szCs w:val="18"/>
        </w:rPr>
        <w:t xml:space="preserve"> is </w:t>
      </w:r>
      <w:r>
        <w:rPr>
          <w:szCs w:val="18"/>
        </w:rPr>
        <w:t xml:space="preserve">nog </w:t>
      </w:r>
      <w:r w:rsidRPr="00092DC9" w:rsidR="00454B40">
        <w:rPr>
          <w:szCs w:val="18"/>
        </w:rPr>
        <w:t>onuitgewerkt.</w:t>
      </w:r>
      <w:r w:rsidR="00A838B6">
        <w:rPr>
          <w:szCs w:val="18"/>
        </w:rPr>
        <w:t xml:space="preserve"> De </w:t>
      </w:r>
      <w:r w:rsidRPr="00092DC9" w:rsidR="00454B40">
        <w:rPr>
          <w:szCs w:val="18"/>
        </w:rPr>
        <w:t>Nederland</w:t>
      </w:r>
      <w:r w:rsidR="00A838B6">
        <w:rPr>
          <w:szCs w:val="18"/>
        </w:rPr>
        <w:t xml:space="preserve">se regering en anderen hebben </w:t>
      </w:r>
      <w:r>
        <w:rPr>
          <w:szCs w:val="18"/>
        </w:rPr>
        <w:t>hier</w:t>
      </w:r>
      <w:r w:rsidRPr="00092DC9" w:rsidR="00454B40">
        <w:rPr>
          <w:szCs w:val="18"/>
        </w:rPr>
        <w:t xml:space="preserve"> vragen over gesteld. </w:t>
      </w:r>
      <w:r>
        <w:rPr>
          <w:szCs w:val="18"/>
        </w:rPr>
        <w:t xml:space="preserve">Sommige kleinere lidstaten, alsook Europarlementariërs uit diverse zulke landen, beschouwen </w:t>
      </w:r>
      <w:r w:rsidRPr="00092DC9" w:rsidR="00454B40">
        <w:rPr>
          <w:szCs w:val="18"/>
        </w:rPr>
        <w:t xml:space="preserve">transnationale lijsten </w:t>
      </w:r>
      <w:r>
        <w:rPr>
          <w:szCs w:val="18"/>
        </w:rPr>
        <w:t xml:space="preserve">als </w:t>
      </w:r>
      <w:r w:rsidRPr="00092DC9" w:rsidR="00454B40">
        <w:rPr>
          <w:szCs w:val="18"/>
        </w:rPr>
        <w:t>niet bijzonder aantrekkelijk</w:t>
      </w:r>
      <w:r w:rsidR="008F4E01">
        <w:rPr>
          <w:szCs w:val="18"/>
        </w:rPr>
        <w:t>, deels vanwege de verwachting dat het stelsel kandidaten uit grote lidstaten zou bevorderen</w:t>
      </w:r>
      <w:r w:rsidRPr="00092DC9" w:rsidR="00454B40">
        <w:rPr>
          <w:szCs w:val="18"/>
        </w:rPr>
        <w:t>. Ook is onduidelijk of</w:t>
      </w:r>
      <w:r>
        <w:rPr>
          <w:szCs w:val="18"/>
        </w:rPr>
        <w:t xml:space="preserve"> het voorstel </w:t>
      </w:r>
      <w:r w:rsidRPr="00092DC9" w:rsidR="00454B40">
        <w:rPr>
          <w:szCs w:val="18"/>
        </w:rPr>
        <w:t xml:space="preserve">een onderscheid </w:t>
      </w:r>
      <w:r>
        <w:rPr>
          <w:szCs w:val="18"/>
        </w:rPr>
        <w:t xml:space="preserve">zou creëren </w:t>
      </w:r>
      <w:r w:rsidRPr="00092DC9" w:rsidR="00454B40">
        <w:rPr>
          <w:szCs w:val="18"/>
        </w:rPr>
        <w:t xml:space="preserve">in status tussen Europarlementariërs gekozen via een transnationale lijst </w:t>
      </w:r>
      <w:r>
        <w:rPr>
          <w:szCs w:val="18"/>
        </w:rPr>
        <w:t xml:space="preserve">en gekozenen </w:t>
      </w:r>
      <w:r w:rsidRPr="00092DC9" w:rsidR="00454B40">
        <w:rPr>
          <w:szCs w:val="18"/>
        </w:rPr>
        <w:t>via een nationale lijst</w:t>
      </w:r>
      <w:r w:rsidR="008F4E01">
        <w:rPr>
          <w:szCs w:val="18"/>
        </w:rPr>
        <w:t>, en worden er vragen gesteld over de band tussen kiezers en gekozenen in het geval van pan-Europese parlementariërs</w:t>
      </w:r>
      <w:r w:rsidRPr="00092DC9" w:rsidR="00454B40">
        <w:rPr>
          <w:szCs w:val="18"/>
        </w:rPr>
        <w:t xml:space="preserve">. </w:t>
      </w:r>
      <w:r w:rsidRPr="00092DC9" w:rsidR="00F53FE3">
        <w:rPr>
          <w:szCs w:val="18"/>
        </w:rPr>
        <w:t>Voorstanders beargumenteren dat transnationale lijsten het Europese karakter v</w:t>
      </w:r>
      <w:r w:rsidR="008F4E01">
        <w:rPr>
          <w:szCs w:val="18"/>
        </w:rPr>
        <w:t>an de EP-verkiezingen versterken,</w:t>
      </w:r>
      <w:r w:rsidRPr="00092DC9" w:rsidR="00F53FE3">
        <w:rPr>
          <w:szCs w:val="18"/>
        </w:rPr>
        <w:t xml:space="preserve"> bijdragen aan de zichtbaarheid van Europese politici </w:t>
      </w:r>
      <w:r w:rsidR="008F4E01">
        <w:rPr>
          <w:szCs w:val="18"/>
        </w:rPr>
        <w:t>en het algemeen-Europese belang bevorderen</w:t>
      </w:r>
      <w:r w:rsidRPr="00092DC9" w:rsidR="00F53FE3">
        <w:rPr>
          <w:szCs w:val="18"/>
        </w:rPr>
        <w:t xml:space="preserve">. </w:t>
      </w:r>
    </w:p>
    <w:p w:rsidRPr="00092DC9" w:rsidR="00454B40" w:rsidP="00B633A6" w:rsidRDefault="00454B40">
      <w:pPr>
        <w:jc w:val="both"/>
        <w:rPr>
          <w:szCs w:val="18"/>
        </w:rPr>
      </w:pPr>
    </w:p>
    <w:p w:rsidRPr="00092DC9" w:rsidR="00454B40" w:rsidP="00B633A6" w:rsidRDefault="00B633A6">
      <w:pPr>
        <w:jc w:val="both"/>
        <w:rPr>
          <w:szCs w:val="18"/>
        </w:rPr>
      </w:pPr>
      <w:r>
        <w:rPr>
          <w:szCs w:val="18"/>
        </w:rPr>
        <w:t>Op korte termijn is er</w:t>
      </w:r>
      <w:r w:rsidRPr="00092DC9" w:rsidR="00454B40">
        <w:rPr>
          <w:szCs w:val="18"/>
        </w:rPr>
        <w:t xml:space="preserve"> belangrijke besluitvorming voorzien. De EP-commissie voor const</w:t>
      </w:r>
      <w:r>
        <w:rPr>
          <w:szCs w:val="18"/>
        </w:rPr>
        <w:t xml:space="preserve">itutionele zaken heeft </w:t>
      </w:r>
      <w:proofErr w:type="gramStart"/>
      <w:r>
        <w:rPr>
          <w:szCs w:val="18"/>
        </w:rPr>
        <w:t>inmiddels</w:t>
      </w:r>
      <w:proofErr w:type="gramEnd"/>
      <w:r w:rsidRPr="00092DC9" w:rsidR="00454B40">
        <w:rPr>
          <w:szCs w:val="18"/>
        </w:rPr>
        <w:t xml:space="preserve"> een voorstel aangenomen waarin het zich uitspreekt voor transnationale lijsten, mits geregeld in de Kiesakte en een apart besluit van de Raad</w:t>
      </w:r>
      <w:r>
        <w:rPr>
          <w:szCs w:val="18"/>
        </w:rPr>
        <w:t xml:space="preserve"> (zie bijlage)</w:t>
      </w:r>
      <w:r w:rsidRPr="00092DC9" w:rsidR="00454B40">
        <w:rPr>
          <w:szCs w:val="18"/>
        </w:rPr>
        <w:t xml:space="preserve">. Op 7 februari 2018 stemt het Europees Parlement </w:t>
      </w:r>
      <w:proofErr w:type="gramStart"/>
      <w:r w:rsidRPr="00092DC9" w:rsidR="00454B40">
        <w:rPr>
          <w:szCs w:val="18"/>
        </w:rPr>
        <w:t>plenair</w:t>
      </w:r>
      <w:proofErr w:type="gramEnd"/>
      <w:r w:rsidRPr="00092DC9" w:rsidR="00454B40">
        <w:rPr>
          <w:szCs w:val="18"/>
        </w:rPr>
        <w:t xml:space="preserve"> over dit voorstel. De Europese Raad van regeringsleiders en staatshoofden zal op 23 februari 2018 informeel van gedachten wisselen over een aantal institutionele onderwerpen, waaronder </w:t>
      </w:r>
      <w:r>
        <w:rPr>
          <w:szCs w:val="18"/>
        </w:rPr>
        <w:t>het concept van S</w:t>
      </w:r>
      <w:r w:rsidRPr="00092DC9" w:rsidR="00454B40">
        <w:rPr>
          <w:szCs w:val="18"/>
        </w:rPr>
        <w:t>pitzenkandidaten en</w:t>
      </w:r>
      <w:r>
        <w:rPr>
          <w:szCs w:val="18"/>
        </w:rPr>
        <w:t xml:space="preserve"> het voorstel </w:t>
      </w:r>
      <w:proofErr w:type="gramStart"/>
      <w:r>
        <w:rPr>
          <w:szCs w:val="18"/>
        </w:rPr>
        <w:t>omtrent</w:t>
      </w:r>
      <w:proofErr w:type="gramEnd"/>
      <w:r w:rsidRPr="00092DC9" w:rsidR="00454B40">
        <w:rPr>
          <w:szCs w:val="18"/>
        </w:rPr>
        <w:t xml:space="preserve"> transnationale lijsten. Tijdens deze </w:t>
      </w:r>
      <w:r>
        <w:rPr>
          <w:szCs w:val="18"/>
        </w:rPr>
        <w:t>Raads</w:t>
      </w:r>
      <w:r w:rsidRPr="00092DC9" w:rsidR="00454B40">
        <w:rPr>
          <w:szCs w:val="18"/>
        </w:rPr>
        <w:t>bijeenkomst zullen ook andere dossiers worden besproken en zullen zij mogelijk met elkaar in verband worden gebracht om compromissen te bere</w:t>
      </w:r>
      <w:r w:rsidR="00E36DC7">
        <w:rPr>
          <w:szCs w:val="18"/>
        </w:rPr>
        <w:t>iken. Hoewel het een informele R</w:t>
      </w:r>
      <w:r w:rsidRPr="00092DC9" w:rsidR="00454B40">
        <w:rPr>
          <w:szCs w:val="18"/>
        </w:rPr>
        <w:t>aad</w:t>
      </w:r>
      <w:r w:rsidR="00E36DC7">
        <w:rPr>
          <w:szCs w:val="18"/>
        </w:rPr>
        <w:t>sbijeenkomst</w:t>
      </w:r>
      <w:r w:rsidRPr="00092DC9" w:rsidR="00454B40">
        <w:rPr>
          <w:szCs w:val="18"/>
        </w:rPr>
        <w:t xml:space="preserve"> betreft, kunnen de besprekingen van de regeringsleiders </w:t>
      </w:r>
      <w:r w:rsidR="00E36DC7">
        <w:rPr>
          <w:szCs w:val="18"/>
        </w:rPr>
        <w:t>belangrijke</w:t>
      </w:r>
      <w:r w:rsidRPr="00092DC9" w:rsidR="00454B40">
        <w:rPr>
          <w:szCs w:val="18"/>
        </w:rPr>
        <w:t xml:space="preserve"> consequenties hebben. De informele Europese Raad zal naar verwachting met een </w:t>
      </w:r>
      <w:proofErr w:type="gramStart"/>
      <w:r w:rsidRPr="00092DC9" w:rsidR="00454B40">
        <w:rPr>
          <w:szCs w:val="18"/>
        </w:rPr>
        <w:t>plenair</w:t>
      </w:r>
      <w:proofErr w:type="gramEnd"/>
      <w:r w:rsidRPr="00092DC9" w:rsidR="00454B40">
        <w:rPr>
          <w:szCs w:val="18"/>
        </w:rPr>
        <w:t xml:space="preserve"> debat op 22 </w:t>
      </w:r>
      <w:r w:rsidR="00E36DC7">
        <w:rPr>
          <w:szCs w:val="18"/>
        </w:rPr>
        <w:t>februari 2018 worden voorbereid in onze</w:t>
      </w:r>
      <w:r w:rsidRPr="00092DC9" w:rsidR="00454B40">
        <w:rPr>
          <w:szCs w:val="18"/>
        </w:rPr>
        <w:t xml:space="preserve"> Kamer. </w:t>
      </w:r>
    </w:p>
    <w:p w:rsidRPr="00092DC9" w:rsidR="00454B40" w:rsidP="00B633A6" w:rsidRDefault="00454B40">
      <w:pPr>
        <w:jc w:val="both"/>
        <w:rPr>
          <w:szCs w:val="18"/>
        </w:rPr>
      </w:pPr>
    </w:p>
    <w:p w:rsidRPr="00092DC9" w:rsidR="00454B40" w:rsidP="00B633A6" w:rsidRDefault="00934EBD">
      <w:pPr>
        <w:jc w:val="both"/>
        <w:rPr>
          <w:szCs w:val="18"/>
        </w:rPr>
      </w:pPr>
      <w:r w:rsidRPr="00092DC9">
        <w:rPr>
          <w:szCs w:val="18"/>
        </w:rPr>
        <w:t>Hoogachtend,</w:t>
      </w:r>
    </w:p>
    <w:p w:rsidR="00934EBD" w:rsidP="00B633A6" w:rsidRDefault="00934EBD">
      <w:pPr>
        <w:jc w:val="both"/>
        <w:rPr>
          <w:szCs w:val="18"/>
        </w:rPr>
      </w:pPr>
    </w:p>
    <w:p w:rsidRPr="00092DC9" w:rsidR="00492228" w:rsidP="00B633A6" w:rsidRDefault="00492228">
      <w:pPr>
        <w:jc w:val="both"/>
        <w:rPr>
          <w:szCs w:val="18"/>
        </w:rPr>
      </w:pPr>
    </w:p>
    <w:p w:rsidRPr="00092DC9" w:rsidR="00934EBD" w:rsidP="00B633A6" w:rsidRDefault="00934EBD">
      <w:pPr>
        <w:jc w:val="both"/>
        <w:rPr>
          <w:szCs w:val="18"/>
        </w:rPr>
      </w:pPr>
      <w:r w:rsidRPr="00092DC9">
        <w:rPr>
          <w:szCs w:val="18"/>
        </w:rPr>
        <w:t>Sven Koopmans</w:t>
      </w:r>
    </w:p>
    <w:p w:rsidRPr="00092DC9" w:rsidR="00454B40" w:rsidP="00B633A6" w:rsidRDefault="00934EBD">
      <w:pPr>
        <w:jc w:val="both"/>
        <w:rPr>
          <w:szCs w:val="18"/>
        </w:rPr>
      </w:pPr>
      <w:r w:rsidRPr="00092DC9">
        <w:rPr>
          <w:szCs w:val="18"/>
        </w:rPr>
        <w:t xml:space="preserve">Rapporteur Europese Kiesakte. </w:t>
      </w:r>
      <w:r w:rsidRPr="00092DC9" w:rsidR="00454B40">
        <w:rPr>
          <w:szCs w:val="18"/>
        </w:rPr>
        <w:br w:type="page"/>
      </w:r>
    </w:p>
    <w:p w:rsidRPr="0036680A" w:rsidR="00454B40" w:rsidP="00B633A6" w:rsidRDefault="00454B40">
      <w:pPr>
        <w:jc w:val="both"/>
        <w:rPr>
          <w:rFonts w:asciiTheme="minorHAnsi" w:hAnsiTheme="minorHAnsi"/>
          <w:b/>
          <w:u w:val="single"/>
        </w:rPr>
      </w:pPr>
      <w:proofErr w:type="gramStart"/>
      <w:r w:rsidRPr="0036680A">
        <w:rPr>
          <w:rFonts w:asciiTheme="minorHAnsi" w:hAnsiTheme="minorHAnsi"/>
          <w:b/>
          <w:u w:val="single"/>
        </w:rPr>
        <w:lastRenderedPageBreak/>
        <w:t xml:space="preserve">BIJLAGE:  </w:t>
      </w:r>
      <w:proofErr w:type="gramEnd"/>
      <w:r w:rsidRPr="0036680A">
        <w:rPr>
          <w:rFonts w:asciiTheme="minorHAnsi" w:hAnsiTheme="minorHAnsi"/>
          <w:b/>
          <w:u w:val="single"/>
        </w:rPr>
        <w:t>Voorstel over de samenstelling van het Europees Parlement</w:t>
      </w:r>
    </w:p>
    <w:p w:rsidR="00454B40" w:rsidP="00B633A6" w:rsidRDefault="00454B40">
      <w:pPr>
        <w:jc w:val="both"/>
        <w:rPr>
          <w:rFonts w:asciiTheme="minorHAnsi" w:hAnsiTheme="minorHAnsi"/>
        </w:rPr>
      </w:pPr>
    </w:p>
    <w:p w:rsidRPr="007C0145" w:rsidR="00454B40" w:rsidP="00B633A6" w:rsidRDefault="00454B40">
      <w:pPr>
        <w:jc w:val="both"/>
        <w:rPr>
          <w:rFonts w:asciiTheme="minorHAnsi" w:hAnsiTheme="minorHAnsi"/>
        </w:rPr>
      </w:pPr>
    </w:p>
    <w:tbl>
      <w:tblPr>
        <w:tblW w:w="9072" w:type="dxa"/>
        <w:tblCellMar>
          <w:left w:w="0" w:type="dxa"/>
          <w:right w:w="0" w:type="dxa"/>
        </w:tblCellMar>
        <w:tblLook w:val="01E0" w:firstRow="1" w:lastRow="1" w:firstColumn="1" w:lastColumn="1" w:noHBand="0" w:noVBand="0"/>
      </w:tblPr>
      <w:tblGrid>
        <w:gridCol w:w="6804"/>
        <w:gridCol w:w="2268"/>
      </w:tblGrid>
      <w:tr w:rsidRPr="0044760B" w:rsidR="00454B40" w:rsidTr="00A838B6">
        <w:trPr>
          <w:trHeight w:val="1418" w:hRule="exact"/>
        </w:trPr>
        <w:tc>
          <w:tcPr>
            <w:tcW w:w="6804" w:type="dxa"/>
            <w:shd w:val="clear" w:color="auto" w:fill="auto"/>
            <w:vAlign w:val="center"/>
          </w:tcPr>
          <w:p w:rsidRPr="0044760B" w:rsidR="00454B40" w:rsidP="00B633A6" w:rsidRDefault="00454B40">
            <w:pPr>
              <w:pStyle w:val="EPName"/>
              <w:jc w:val="both"/>
            </w:pPr>
            <w:r w:rsidRPr="0044760B">
              <w:t>Europees Parlement</w:t>
            </w:r>
          </w:p>
          <w:p w:rsidRPr="0044760B" w:rsidR="00454B40" w:rsidP="00B633A6" w:rsidRDefault="00454B40">
            <w:pPr>
              <w:pStyle w:val="EPTerm"/>
              <w:jc w:val="both"/>
              <w:rPr>
                <w:rStyle w:val="HideTWBExt"/>
                <w:vanish w:val="0"/>
              </w:rPr>
            </w:pPr>
            <w:r w:rsidRPr="0044760B">
              <w:t>2014-2019</w:t>
            </w:r>
          </w:p>
        </w:tc>
        <w:tc>
          <w:tcPr>
            <w:tcW w:w="2268" w:type="dxa"/>
            <w:shd w:val="clear" w:color="auto" w:fill="auto"/>
          </w:tcPr>
          <w:p w:rsidRPr="0044760B" w:rsidR="00454B40" w:rsidP="00B633A6" w:rsidRDefault="00454B40">
            <w:pPr>
              <w:pStyle w:val="EPLogo"/>
              <w:jc w:val="both"/>
            </w:pPr>
            <w:r>
              <w:rPr>
                <w:noProof/>
                <w:lang w:eastAsia="nl-NL"/>
              </w:rPr>
              <w:drawing>
                <wp:inline distT="0" distB="0" distL="0" distR="0" wp14:anchorId="78EAC8F0" wp14:editId="622B9A4B">
                  <wp:extent cx="1153160" cy="652145"/>
                  <wp:effectExtent l="0" t="0" r="8890" b="0"/>
                  <wp:docPr id="5" name="Afbeelding 5"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3160" cy="652145"/>
                          </a:xfrm>
                          <a:prstGeom prst="rect">
                            <a:avLst/>
                          </a:prstGeom>
                          <a:noFill/>
                          <a:ln>
                            <a:noFill/>
                          </a:ln>
                        </pic:spPr>
                      </pic:pic>
                    </a:graphicData>
                  </a:graphic>
                </wp:inline>
              </w:drawing>
            </w:r>
          </w:p>
        </w:tc>
      </w:tr>
    </w:tbl>
    <w:p w:rsidRPr="0044760B" w:rsidR="00454B40" w:rsidP="00B633A6" w:rsidRDefault="00454B40">
      <w:pPr>
        <w:pStyle w:val="LineTop"/>
        <w:jc w:val="both"/>
      </w:pPr>
    </w:p>
    <w:p w:rsidRPr="0044760B" w:rsidR="00454B40" w:rsidP="00B633A6" w:rsidRDefault="00454B40">
      <w:pPr>
        <w:pStyle w:val="ZCommittee"/>
        <w:jc w:val="both"/>
      </w:pPr>
      <w:r w:rsidRPr="0044760B">
        <w:t>Zittingsdocument</w:t>
      </w:r>
    </w:p>
    <w:p w:rsidRPr="0044760B" w:rsidR="00454B40" w:rsidP="00B633A6" w:rsidRDefault="00454B40">
      <w:pPr>
        <w:pStyle w:val="LineBottom"/>
        <w:jc w:val="both"/>
      </w:pPr>
    </w:p>
    <w:p w:rsidRPr="0044760B" w:rsidR="00454B40" w:rsidP="00B633A6" w:rsidRDefault="00454B40">
      <w:pPr>
        <w:pStyle w:val="RefProc"/>
        <w:jc w:val="both"/>
      </w:pPr>
      <w:r w:rsidRPr="0044760B">
        <w:rPr>
          <w:rStyle w:val="HideTWBExt"/>
        </w:rPr>
        <w:t>&lt;NoDocSe&gt;</w:t>
      </w:r>
      <w:r w:rsidRPr="0044760B">
        <w:t>A8-0007/2018</w:t>
      </w:r>
      <w:r w:rsidRPr="0044760B">
        <w:rPr>
          <w:rStyle w:val="HideTWBExt"/>
        </w:rPr>
        <w:t>&lt;/NoDocSe&gt;</w:t>
      </w:r>
    </w:p>
    <w:p w:rsidRPr="0044760B" w:rsidR="00454B40" w:rsidP="00B633A6" w:rsidRDefault="00454B40">
      <w:pPr>
        <w:pStyle w:val="ZDate"/>
        <w:jc w:val="both"/>
      </w:pPr>
      <w:r w:rsidRPr="0044760B">
        <w:rPr>
          <w:rStyle w:val="HideTWBExt"/>
        </w:rPr>
        <w:t>&lt;Date&gt;</w:t>
      </w:r>
      <w:r w:rsidRPr="0044760B">
        <w:rPr>
          <w:rStyle w:val="HideTWBInt"/>
        </w:rPr>
        <w:t>{26/01/2018}</w:t>
      </w:r>
      <w:r w:rsidRPr="0044760B">
        <w:t>26.1.2018</w:t>
      </w:r>
      <w:r w:rsidRPr="0044760B">
        <w:rPr>
          <w:rStyle w:val="HideTWBExt"/>
        </w:rPr>
        <w:t>&lt;/Date&gt;</w:t>
      </w:r>
    </w:p>
    <w:p w:rsidRPr="0044760B" w:rsidR="00454B40" w:rsidP="00B633A6" w:rsidRDefault="00454B40">
      <w:pPr>
        <w:pStyle w:val="TypeDoc"/>
        <w:jc w:val="both"/>
      </w:pPr>
      <w:r w:rsidRPr="0044760B">
        <w:rPr>
          <w:rStyle w:val="HideTWBExt"/>
          <w:b w:val="0"/>
        </w:rPr>
        <w:t>&lt;TitreType&gt;</w:t>
      </w:r>
      <w:r w:rsidRPr="0044760B">
        <w:t>VERSLAG</w:t>
      </w:r>
      <w:r w:rsidRPr="0044760B">
        <w:rPr>
          <w:rStyle w:val="HideTWBExt"/>
          <w:b w:val="0"/>
        </w:rPr>
        <w:t>&lt;/TitreType&gt;</w:t>
      </w:r>
    </w:p>
    <w:p w:rsidRPr="0044760B" w:rsidR="00454B40" w:rsidP="00B633A6" w:rsidRDefault="00454B40">
      <w:pPr>
        <w:pStyle w:val="CoverNormal"/>
        <w:jc w:val="both"/>
      </w:pPr>
      <w:r w:rsidRPr="0044760B">
        <w:rPr>
          <w:rStyle w:val="HideTWBExt"/>
        </w:rPr>
        <w:t>&lt;Titre&gt;</w:t>
      </w:r>
      <w:proofErr w:type="gramStart"/>
      <w:r w:rsidRPr="0044760B">
        <w:t>over</w:t>
      </w:r>
      <w:proofErr w:type="gramEnd"/>
      <w:r w:rsidRPr="0044760B">
        <w:t xml:space="preserve"> de samenstelling van het Europees Parlement </w:t>
      </w:r>
      <w:r w:rsidRPr="0044760B">
        <w:rPr>
          <w:rStyle w:val="HideTWBExt"/>
        </w:rPr>
        <w:t>&lt;/Titre&gt;</w:t>
      </w:r>
    </w:p>
    <w:p w:rsidRPr="0044760B" w:rsidR="00454B40" w:rsidP="00B633A6" w:rsidRDefault="00454B40">
      <w:pPr>
        <w:pStyle w:val="Cover24"/>
        <w:jc w:val="both"/>
      </w:pPr>
      <w:r w:rsidRPr="0044760B">
        <w:rPr>
          <w:rStyle w:val="HideTWBExt"/>
        </w:rPr>
        <w:t>&lt;DocRef&gt;</w:t>
      </w:r>
      <w:r w:rsidRPr="0044760B">
        <w:t>(2017/2054</w:t>
      </w:r>
      <w:proofErr w:type="gramStart"/>
      <w:r w:rsidRPr="0044760B">
        <w:t>(</w:t>
      </w:r>
      <w:proofErr w:type="gramEnd"/>
      <w:r w:rsidRPr="0044760B">
        <w:t>INL) – 2017/0900(NLE))</w:t>
      </w:r>
      <w:r w:rsidRPr="0044760B">
        <w:rPr>
          <w:rStyle w:val="HideTWBExt"/>
        </w:rPr>
        <w:t>&lt;/DocRef&gt;</w:t>
      </w:r>
    </w:p>
    <w:p w:rsidRPr="0044760B" w:rsidR="00454B40" w:rsidP="00B633A6" w:rsidRDefault="00454B40">
      <w:pPr>
        <w:pStyle w:val="Cover24"/>
        <w:jc w:val="both"/>
      </w:pPr>
      <w:r w:rsidRPr="0044760B">
        <w:rPr>
          <w:rStyle w:val="HideTWBExt"/>
        </w:rPr>
        <w:t>&lt;Commission&gt;</w:t>
      </w:r>
      <w:r w:rsidRPr="0044760B">
        <w:rPr>
          <w:rStyle w:val="HideTWBInt"/>
        </w:rPr>
        <w:t>{AFCO}</w:t>
      </w:r>
      <w:r w:rsidRPr="0044760B">
        <w:t>Commissie constitutionele zaken</w:t>
      </w:r>
      <w:r w:rsidRPr="0044760B">
        <w:rPr>
          <w:rStyle w:val="HideTWBExt"/>
        </w:rPr>
        <w:t>&lt;/Commission&gt;</w:t>
      </w:r>
    </w:p>
    <w:p w:rsidRPr="0044760B" w:rsidR="00454B40" w:rsidP="00B633A6" w:rsidRDefault="00454B40">
      <w:pPr>
        <w:pStyle w:val="Cover12"/>
        <w:jc w:val="both"/>
      </w:pPr>
      <w:r w:rsidRPr="0044760B">
        <w:t xml:space="preserve">Rapporteurs: </w:t>
      </w:r>
      <w:r w:rsidRPr="0044760B">
        <w:rPr>
          <w:rStyle w:val="HideTWBExt"/>
        </w:rPr>
        <w:t>&lt;Depute&gt;</w:t>
      </w:r>
      <w:r w:rsidRPr="0044760B">
        <w:t>Danuta Maria Hübner en Pedro Silva Pereira</w:t>
      </w:r>
      <w:r w:rsidRPr="0044760B">
        <w:rPr>
          <w:rStyle w:val="HideTWBExt"/>
        </w:rPr>
        <w:t>&lt;/Depute&gt;</w:t>
      </w:r>
    </w:p>
    <w:p w:rsidRPr="0044760B" w:rsidR="00454B40" w:rsidP="00B633A6" w:rsidRDefault="00454B40">
      <w:pPr>
        <w:pStyle w:val="CoverNormal"/>
        <w:jc w:val="both"/>
      </w:pPr>
    </w:p>
    <w:p w:rsidRPr="0044760B" w:rsidR="00454B40" w:rsidP="00B633A6" w:rsidRDefault="00454B40">
      <w:pPr>
        <w:tabs>
          <w:tab w:val="center" w:pos="4677"/>
        </w:tabs>
        <w:jc w:val="both"/>
      </w:pPr>
      <w:r w:rsidRPr="0044760B">
        <w:br w:type="page"/>
      </w:r>
    </w:p>
    <w:p w:rsidRPr="0044760B" w:rsidR="00454B40" w:rsidP="00B633A6" w:rsidRDefault="00454B40">
      <w:pPr>
        <w:tabs>
          <w:tab w:val="center" w:pos="4677"/>
        </w:tabs>
        <w:jc w:val="both"/>
      </w:pPr>
      <w:r w:rsidRPr="0044760B">
        <w:lastRenderedPageBreak/>
        <w:t>PR_INL</w:t>
      </w:r>
    </w:p>
    <w:p w:rsidRPr="0044760B" w:rsidR="00454B40" w:rsidP="00B633A6" w:rsidRDefault="00454B40">
      <w:pPr>
        <w:pStyle w:val="Kopvaninhoudsopgave"/>
        <w:jc w:val="both"/>
      </w:pPr>
      <w:r w:rsidRPr="0044760B">
        <w:t>INHOUD</w:t>
      </w:r>
    </w:p>
    <w:p w:rsidRPr="0044760B" w:rsidR="00454B40" w:rsidP="00B633A6" w:rsidRDefault="00454B40">
      <w:pPr>
        <w:pStyle w:val="TOCPage"/>
        <w:jc w:val="both"/>
      </w:pPr>
      <w:r w:rsidRPr="0044760B">
        <w:t>Blz.</w:t>
      </w:r>
    </w:p>
    <w:p w:rsidRPr="0036680A" w:rsidR="00454B40" w:rsidP="00B633A6" w:rsidRDefault="00454B40">
      <w:pPr>
        <w:pStyle w:val="Inhopg1"/>
        <w:tabs>
          <w:tab w:val="right" w:leader="dot" w:pos="9060"/>
        </w:tabs>
        <w:jc w:val="both"/>
        <w:rPr>
          <w:rFonts w:asciiTheme="minorHAnsi" w:hAnsiTheme="minorHAnsi" w:eastAsiaTheme="minorEastAsia" w:cstheme="minorBidi"/>
          <w:noProof/>
          <w:sz w:val="22"/>
          <w:szCs w:val="22"/>
        </w:rPr>
      </w:pPr>
      <w:r w:rsidRPr="0044760B">
        <w:rPr>
          <w:b/>
        </w:rPr>
        <w:fldChar w:fldCharType="begin"/>
      </w:r>
      <w:r w:rsidRPr="0044760B">
        <w:rPr>
          <w:b/>
        </w:rPr>
        <w:instrText xml:space="preserve"> TOC \t "PageHeading;1" </w:instrText>
      </w:r>
      <w:r w:rsidRPr="0044760B">
        <w:rPr>
          <w:b/>
        </w:rPr>
        <w:fldChar w:fldCharType="separate"/>
      </w:r>
      <w:r>
        <w:rPr>
          <w:noProof/>
        </w:rPr>
        <w:t>ONTWERPRESOLUTIE VAN HET EUROPEES PARLEMENT</w:t>
      </w:r>
      <w:r>
        <w:rPr>
          <w:noProof/>
        </w:rPr>
        <w:tab/>
      </w:r>
      <w:r>
        <w:rPr>
          <w:noProof/>
        </w:rPr>
        <w:fldChar w:fldCharType="begin"/>
      </w:r>
      <w:r>
        <w:rPr>
          <w:noProof/>
        </w:rPr>
        <w:instrText xml:space="preserve"> PAGEREF _Toc505089001 \h </w:instrText>
      </w:r>
      <w:r>
        <w:rPr>
          <w:noProof/>
        </w:rPr>
      </w:r>
      <w:r>
        <w:rPr>
          <w:noProof/>
        </w:rPr>
        <w:fldChar w:fldCharType="separate"/>
      </w:r>
      <w:r>
        <w:rPr>
          <w:noProof/>
        </w:rPr>
        <w:t>3</w:t>
      </w:r>
      <w:r>
        <w:rPr>
          <w:noProof/>
        </w:rPr>
        <w:fldChar w:fldCharType="end"/>
      </w:r>
    </w:p>
    <w:p w:rsidRPr="0036680A" w:rsidR="00454B40" w:rsidP="00B633A6" w:rsidRDefault="00454B40">
      <w:pPr>
        <w:pStyle w:val="Inhopg1"/>
        <w:tabs>
          <w:tab w:val="right" w:leader="dot" w:pos="9060"/>
        </w:tabs>
        <w:jc w:val="both"/>
        <w:rPr>
          <w:rFonts w:asciiTheme="minorHAnsi" w:hAnsiTheme="minorHAnsi" w:eastAsiaTheme="minorEastAsia" w:cstheme="minorBidi"/>
          <w:noProof/>
          <w:sz w:val="22"/>
          <w:szCs w:val="22"/>
        </w:rPr>
      </w:pPr>
      <w:r>
        <w:rPr>
          <w:noProof/>
        </w:rPr>
        <w:t>BIJLAGE BIJ DE ONTWERPRESOLUTIE VAN HET EUROPEES PARLEMENT</w:t>
      </w:r>
      <w:r>
        <w:rPr>
          <w:noProof/>
        </w:rPr>
        <w:tab/>
      </w:r>
      <w:r>
        <w:rPr>
          <w:noProof/>
        </w:rPr>
        <w:fldChar w:fldCharType="begin"/>
      </w:r>
      <w:r>
        <w:rPr>
          <w:noProof/>
        </w:rPr>
        <w:instrText xml:space="preserve"> PAGEREF _Toc505089002 \h </w:instrText>
      </w:r>
      <w:r>
        <w:rPr>
          <w:noProof/>
        </w:rPr>
      </w:r>
      <w:r>
        <w:rPr>
          <w:noProof/>
        </w:rPr>
        <w:fldChar w:fldCharType="separate"/>
      </w:r>
      <w:r>
        <w:rPr>
          <w:noProof/>
        </w:rPr>
        <w:t>7</w:t>
      </w:r>
      <w:r>
        <w:rPr>
          <w:noProof/>
        </w:rPr>
        <w:fldChar w:fldCharType="end"/>
      </w:r>
    </w:p>
    <w:p w:rsidRPr="0036680A" w:rsidR="00454B40" w:rsidP="00B633A6" w:rsidRDefault="00454B40">
      <w:pPr>
        <w:pStyle w:val="Inhopg1"/>
        <w:tabs>
          <w:tab w:val="right" w:leader="dot" w:pos="9060"/>
        </w:tabs>
        <w:jc w:val="both"/>
        <w:rPr>
          <w:rFonts w:asciiTheme="minorHAnsi" w:hAnsiTheme="minorHAnsi" w:eastAsiaTheme="minorEastAsia" w:cstheme="minorBidi"/>
          <w:noProof/>
          <w:sz w:val="22"/>
          <w:szCs w:val="22"/>
        </w:rPr>
      </w:pPr>
      <w:r>
        <w:rPr>
          <w:noProof/>
        </w:rPr>
        <w:t>TOELICHTING</w:t>
      </w:r>
      <w:r>
        <w:rPr>
          <w:noProof/>
        </w:rPr>
        <w:tab/>
      </w:r>
      <w:r>
        <w:rPr>
          <w:noProof/>
        </w:rPr>
        <w:fldChar w:fldCharType="begin"/>
      </w:r>
      <w:r>
        <w:rPr>
          <w:noProof/>
        </w:rPr>
        <w:instrText xml:space="preserve"> PAGEREF _Toc505089003 \h </w:instrText>
      </w:r>
      <w:r>
        <w:rPr>
          <w:noProof/>
        </w:rPr>
      </w:r>
      <w:r>
        <w:rPr>
          <w:noProof/>
        </w:rPr>
        <w:fldChar w:fldCharType="separate"/>
      </w:r>
      <w:r>
        <w:rPr>
          <w:noProof/>
        </w:rPr>
        <w:t>11</w:t>
      </w:r>
      <w:r>
        <w:rPr>
          <w:noProof/>
        </w:rPr>
        <w:fldChar w:fldCharType="end"/>
      </w:r>
    </w:p>
    <w:p w:rsidRPr="0036680A" w:rsidR="00454B40" w:rsidP="00B633A6" w:rsidRDefault="00454B40">
      <w:pPr>
        <w:pStyle w:val="Inhopg1"/>
        <w:tabs>
          <w:tab w:val="right" w:leader="dot" w:pos="9060"/>
        </w:tabs>
        <w:jc w:val="both"/>
        <w:rPr>
          <w:rFonts w:asciiTheme="minorHAnsi" w:hAnsiTheme="minorHAnsi" w:eastAsiaTheme="minorEastAsia" w:cstheme="minorBidi"/>
          <w:noProof/>
          <w:sz w:val="22"/>
          <w:szCs w:val="22"/>
        </w:rPr>
      </w:pPr>
      <w:r>
        <w:rPr>
          <w:noProof/>
        </w:rPr>
        <w:t>BIJLAGE I</w:t>
      </w:r>
      <w:r>
        <w:rPr>
          <w:noProof/>
        </w:rPr>
        <w:tab/>
      </w:r>
      <w:r>
        <w:rPr>
          <w:noProof/>
        </w:rPr>
        <w:fldChar w:fldCharType="begin"/>
      </w:r>
      <w:r>
        <w:rPr>
          <w:noProof/>
        </w:rPr>
        <w:instrText xml:space="preserve"> PAGEREF _Toc505089004 \h </w:instrText>
      </w:r>
      <w:r>
        <w:rPr>
          <w:noProof/>
        </w:rPr>
      </w:r>
      <w:r>
        <w:rPr>
          <w:noProof/>
        </w:rPr>
        <w:fldChar w:fldCharType="separate"/>
      </w:r>
      <w:r>
        <w:rPr>
          <w:noProof/>
        </w:rPr>
        <w:t>15</w:t>
      </w:r>
      <w:r>
        <w:rPr>
          <w:noProof/>
        </w:rPr>
        <w:fldChar w:fldCharType="end"/>
      </w:r>
    </w:p>
    <w:p w:rsidRPr="0036680A" w:rsidR="00454B40" w:rsidP="00B633A6" w:rsidRDefault="00454B40">
      <w:pPr>
        <w:pStyle w:val="Inhopg1"/>
        <w:tabs>
          <w:tab w:val="right" w:leader="dot" w:pos="9060"/>
        </w:tabs>
        <w:jc w:val="both"/>
        <w:rPr>
          <w:rFonts w:asciiTheme="minorHAnsi" w:hAnsiTheme="minorHAnsi" w:eastAsiaTheme="minorEastAsia" w:cstheme="minorBidi"/>
          <w:noProof/>
          <w:sz w:val="22"/>
          <w:szCs w:val="22"/>
        </w:rPr>
      </w:pPr>
      <w:r>
        <w:rPr>
          <w:noProof/>
        </w:rPr>
        <w:t>MINDERHEIDSSTANDPUNT</w:t>
      </w:r>
      <w:r>
        <w:rPr>
          <w:noProof/>
        </w:rPr>
        <w:tab/>
      </w:r>
      <w:r>
        <w:rPr>
          <w:noProof/>
        </w:rPr>
        <w:fldChar w:fldCharType="begin"/>
      </w:r>
      <w:r>
        <w:rPr>
          <w:noProof/>
        </w:rPr>
        <w:instrText xml:space="preserve"> PAGEREF _Toc505089005 \h </w:instrText>
      </w:r>
      <w:r>
        <w:rPr>
          <w:noProof/>
        </w:rPr>
      </w:r>
      <w:r>
        <w:rPr>
          <w:noProof/>
        </w:rPr>
        <w:fldChar w:fldCharType="separate"/>
      </w:r>
      <w:r>
        <w:rPr>
          <w:noProof/>
        </w:rPr>
        <w:t>16</w:t>
      </w:r>
      <w:r>
        <w:rPr>
          <w:noProof/>
        </w:rPr>
        <w:fldChar w:fldCharType="end"/>
      </w:r>
    </w:p>
    <w:p w:rsidRPr="0036680A" w:rsidR="00454B40" w:rsidP="00B633A6" w:rsidRDefault="00454B40">
      <w:pPr>
        <w:pStyle w:val="Inhopg1"/>
        <w:tabs>
          <w:tab w:val="right" w:leader="dot" w:pos="9060"/>
        </w:tabs>
        <w:jc w:val="both"/>
        <w:rPr>
          <w:rFonts w:asciiTheme="minorHAnsi" w:hAnsiTheme="minorHAnsi" w:eastAsiaTheme="minorEastAsia" w:cstheme="minorBidi"/>
          <w:noProof/>
          <w:sz w:val="22"/>
          <w:szCs w:val="22"/>
        </w:rPr>
      </w:pPr>
      <w:r>
        <w:rPr>
          <w:noProof/>
        </w:rPr>
        <w:t>INFORMATIE OVER DE GOEDKEURING IN DE BEVOEGDE COMMISSIE</w:t>
      </w:r>
      <w:r>
        <w:rPr>
          <w:noProof/>
        </w:rPr>
        <w:tab/>
      </w:r>
      <w:r>
        <w:rPr>
          <w:noProof/>
        </w:rPr>
        <w:fldChar w:fldCharType="begin"/>
      </w:r>
      <w:r>
        <w:rPr>
          <w:noProof/>
        </w:rPr>
        <w:instrText xml:space="preserve"> PAGEREF _Toc505089006 \h </w:instrText>
      </w:r>
      <w:r>
        <w:rPr>
          <w:noProof/>
        </w:rPr>
      </w:r>
      <w:r>
        <w:rPr>
          <w:noProof/>
        </w:rPr>
        <w:fldChar w:fldCharType="separate"/>
      </w:r>
      <w:r>
        <w:rPr>
          <w:noProof/>
        </w:rPr>
        <w:t>17</w:t>
      </w:r>
      <w:r>
        <w:rPr>
          <w:noProof/>
        </w:rPr>
        <w:fldChar w:fldCharType="end"/>
      </w:r>
    </w:p>
    <w:p w:rsidRPr="0036680A" w:rsidR="00454B40" w:rsidP="00B633A6" w:rsidRDefault="00454B40">
      <w:pPr>
        <w:pStyle w:val="Inhopg1"/>
        <w:tabs>
          <w:tab w:val="right" w:leader="dot" w:pos="9060"/>
        </w:tabs>
        <w:jc w:val="both"/>
        <w:rPr>
          <w:rFonts w:asciiTheme="minorHAnsi" w:hAnsiTheme="minorHAnsi" w:eastAsiaTheme="minorEastAsia" w:cstheme="minorBidi"/>
          <w:noProof/>
          <w:sz w:val="22"/>
          <w:szCs w:val="22"/>
        </w:rPr>
      </w:pPr>
      <w:r>
        <w:rPr>
          <w:noProof/>
        </w:rPr>
        <w:t>HOOFDELIJKE EINDSTEMMING IN DE BEVOEGDE COMMISSIE</w:t>
      </w:r>
      <w:r>
        <w:rPr>
          <w:noProof/>
        </w:rPr>
        <w:tab/>
      </w:r>
      <w:r>
        <w:rPr>
          <w:noProof/>
        </w:rPr>
        <w:fldChar w:fldCharType="begin"/>
      </w:r>
      <w:r>
        <w:rPr>
          <w:noProof/>
        </w:rPr>
        <w:instrText xml:space="preserve"> PAGEREF _Toc505089007 \h </w:instrText>
      </w:r>
      <w:r>
        <w:rPr>
          <w:noProof/>
        </w:rPr>
      </w:r>
      <w:r>
        <w:rPr>
          <w:noProof/>
        </w:rPr>
        <w:fldChar w:fldCharType="separate"/>
      </w:r>
      <w:r>
        <w:rPr>
          <w:noProof/>
        </w:rPr>
        <w:t>18</w:t>
      </w:r>
      <w:r>
        <w:rPr>
          <w:noProof/>
        </w:rPr>
        <w:fldChar w:fldCharType="end"/>
      </w:r>
    </w:p>
    <w:p w:rsidRPr="0036680A" w:rsidR="00454B40" w:rsidP="00B633A6" w:rsidRDefault="00454B40">
      <w:pPr>
        <w:pStyle w:val="Inhopg1"/>
        <w:tabs>
          <w:tab w:val="right" w:leader="dot" w:pos="9060"/>
        </w:tabs>
        <w:jc w:val="both"/>
        <w:rPr>
          <w:rFonts w:asciiTheme="minorHAnsi" w:hAnsiTheme="minorHAnsi" w:eastAsiaTheme="minorEastAsia" w:cstheme="minorBidi"/>
          <w:noProof/>
          <w:sz w:val="22"/>
          <w:szCs w:val="22"/>
        </w:rPr>
      </w:pPr>
      <w:r>
        <w:rPr>
          <w:noProof/>
        </w:rPr>
        <w:t>HOOFDELIJKE EINDSTEMMING IN DE BEVOEGDE COMMISSIE</w:t>
      </w:r>
      <w:r>
        <w:rPr>
          <w:noProof/>
        </w:rPr>
        <w:tab/>
      </w:r>
      <w:r>
        <w:rPr>
          <w:noProof/>
        </w:rPr>
        <w:fldChar w:fldCharType="begin"/>
      </w:r>
      <w:r>
        <w:rPr>
          <w:noProof/>
        </w:rPr>
        <w:instrText xml:space="preserve"> PAGEREF _Toc505089008 \h </w:instrText>
      </w:r>
      <w:r>
        <w:rPr>
          <w:noProof/>
        </w:rPr>
      </w:r>
      <w:r>
        <w:rPr>
          <w:noProof/>
        </w:rPr>
        <w:fldChar w:fldCharType="separate"/>
      </w:r>
      <w:r>
        <w:rPr>
          <w:noProof/>
        </w:rPr>
        <w:t>19</w:t>
      </w:r>
      <w:r>
        <w:rPr>
          <w:noProof/>
        </w:rPr>
        <w:fldChar w:fldCharType="end"/>
      </w:r>
    </w:p>
    <w:p w:rsidRPr="0044760B" w:rsidR="00454B40" w:rsidP="00B633A6" w:rsidRDefault="00454B40">
      <w:pPr>
        <w:jc w:val="both"/>
      </w:pPr>
      <w:r w:rsidRPr="0044760B">
        <w:fldChar w:fldCharType="end"/>
      </w:r>
    </w:p>
    <w:p w:rsidRPr="0044760B" w:rsidR="00454B40" w:rsidP="00B633A6" w:rsidRDefault="00454B40">
      <w:pPr>
        <w:pStyle w:val="PageHeading"/>
        <w:jc w:val="both"/>
      </w:pPr>
      <w:r w:rsidRPr="0044760B">
        <w:br w:type="page"/>
      </w:r>
      <w:bookmarkStart w:name="_Toc505089001" w:id="1"/>
      <w:r w:rsidRPr="0044760B">
        <w:lastRenderedPageBreak/>
        <w:t>ONTWERPRESOLUTIE VAN HET EUROPEES PARLEMENT</w:t>
      </w:r>
      <w:bookmarkEnd w:id="1"/>
    </w:p>
    <w:p w:rsidRPr="0044760B" w:rsidR="00454B40" w:rsidP="00B633A6" w:rsidRDefault="00454B40">
      <w:pPr>
        <w:pStyle w:val="NormalBold"/>
        <w:jc w:val="both"/>
      </w:pPr>
      <w:proofErr w:type="gramStart"/>
      <w:r w:rsidRPr="0044760B">
        <w:t>over</w:t>
      </w:r>
      <w:proofErr w:type="gramEnd"/>
      <w:r w:rsidRPr="0044760B">
        <w:t xml:space="preserve"> de samenstelling van het Europees Parlement</w:t>
      </w:r>
    </w:p>
    <w:p w:rsidRPr="0044760B" w:rsidR="00454B40" w:rsidP="00B633A6" w:rsidRDefault="00454B40">
      <w:pPr>
        <w:pStyle w:val="Normal12Bold"/>
        <w:jc w:val="both"/>
      </w:pPr>
      <w:r w:rsidRPr="0044760B">
        <w:t>(</w:t>
      </w:r>
      <w:bookmarkStart w:name="DocEPLastVariable" w:id="2"/>
      <w:bookmarkEnd w:id="2"/>
      <w:r w:rsidRPr="0044760B">
        <w:t>2017/2054</w:t>
      </w:r>
      <w:proofErr w:type="gramStart"/>
      <w:r w:rsidRPr="0044760B">
        <w:t>(</w:t>
      </w:r>
      <w:proofErr w:type="gramEnd"/>
      <w:r w:rsidRPr="0044760B">
        <w:t>INL))</w:t>
      </w:r>
    </w:p>
    <w:p w:rsidRPr="0044760B" w:rsidR="00454B40" w:rsidP="00B633A6" w:rsidRDefault="00454B40">
      <w:pPr>
        <w:pStyle w:val="Normal12"/>
        <w:jc w:val="both"/>
      </w:pPr>
      <w:r w:rsidRPr="0044760B">
        <w:rPr>
          <w:i/>
        </w:rPr>
        <w:t>Het Europees Parlement</w:t>
      </w:r>
      <w:r w:rsidRPr="0044760B">
        <w:t>,</w:t>
      </w:r>
    </w:p>
    <w:p w:rsidRPr="0044760B" w:rsidR="00454B40" w:rsidP="00B633A6" w:rsidRDefault="00454B40">
      <w:pPr>
        <w:pStyle w:val="Normal12Hanging"/>
        <w:jc w:val="both"/>
      </w:pPr>
      <w:r w:rsidRPr="0044760B">
        <w:t>–</w:t>
      </w:r>
      <w:r w:rsidRPr="0044760B">
        <w:tab/>
      </w:r>
      <w:proofErr w:type="gramStart"/>
      <w:r w:rsidRPr="0044760B">
        <w:t>gezien</w:t>
      </w:r>
      <w:proofErr w:type="gramEnd"/>
      <w:r w:rsidRPr="0044760B">
        <w:t xml:space="preserve"> artikel 14, lid 2, van het Verdrag betreffende de Europese Unie (VEU),</w:t>
      </w:r>
    </w:p>
    <w:p w:rsidRPr="0044760B" w:rsidR="00454B40" w:rsidP="00B633A6" w:rsidRDefault="00454B40">
      <w:pPr>
        <w:pStyle w:val="Normal12Hanging"/>
        <w:jc w:val="both"/>
      </w:pPr>
      <w:r w:rsidRPr="0044760B">
        <w:t>–</w:t>
      </w:r>
      <w:r w:rsidRPr="0044760B">
        <w:tab/>
      </w:r>
      <w:proofErr w:type="gramStart"/>
      <w:r w:rsidRPr="0044760B">
        <w:t>gezien</w:t>
      </w:r>
      <w:proofErr w:type="gramEnd"/>
      <w:r w:rsidRPr="0044760B">
        <w:t xml:space="preserve"> artikel 10 VEU</w:t>
      </w:r>
      <w:r w:rsidRPr="0044760B">
        <w:rPr>
          <w:rStyle w:val="Voetnootmarkering"/>
        </w:rPr>
        <w:footnoteReference w:id="1"/>
      </w:r>
      <w:r w:rsidRPr="0044760B">
        <w:t>,</w:t>
      </w:r>
    </w:p>
    <w:p w:rsidRPr="0044760B" w:rsidR="00454B40" w:rsidP="00B633A6" w:rsidRDefault="00454B40">
      <w:pPr>
        <w:pStyle w:val="Normal12Hanging"/>
        <w:jc w:val="both"/>
      </w:pPr>
      <w:r w:rsidRPr="0044760B">
        <w:t>–</w:t>
      </w:r>
      <w:r w:rsidRPr="0044760B">
        <w:tab/>
      </w:r>
      <w:proofErr w:type="gramStart"/>
      <w:r w:rsidRPr="0044760B">
        <w:t>gezien</w:t>
      </w:r>
      <w:proofErr w:type="gramEnd"/>
      <w:r w:rsidRPr="0044760B">
        <w:t xml:space="preserve"> zijn resolutie van 13 maart 2013 over de samenstelling van het Europees Parlement met het oog op de verkiezingen van 2014</w:t>
      </w:r>
      <w:r w:rsidRPr="0044760B">
        <w:rPr>
          <w:rStyle w:val="Voetnootmarkering"/>
        </w:rPr>
        <w:footnoteReference w:id="2"/>
      </w:r>
      <w:r w:rsidRPr="0044760B">
        <w:t>,</w:t>
      </w:r>
    </w:p>
    <w:p w:rsidRPr="0044760B" w:rsidR="00454B40" w:rsidP="00B633A6" w:rsidRDefault="00454B40">
      <w:pPr>
        <w:pStyle w:val="Normal12Hanging"/>
        <w:jc w:val="both"/>
      </w:pPr>
      <w:r w:rsidRPr="0044760B">
        <w:t>–</w:t>
      </w:r>
      <w:r w:rsidRPr="0044760B">
        <w:tab/>
      </w:r>
      <w:proofErr w:type="gramStart"/>
      <w:r w:rsidRPr="0044760B">
        <w:t>gezien</w:t>
      </w:r>
      <w:proofErr w:type="gramEnd"/>
      <w:r w:rsidRPr="0044760B">
        <w:t xml:space="preserve"> zijn resolutie van 11 november 2015 over de hervorming van de kieswet van de Europese Unie, en het bijgevoegde voorstel voor een besluit van de Raad tot vaststelling van de bepalingen tot wijziging van de Akte betreffende de verkiezing van de vertegenwoordigers in het Europees Parlement door middel van rechtstreekse algemene verkiezingen</w:t>
      </w:r>
      <w:r w:rsidRPr="0044760B">
        <w:rPr>
          <w:rStyle w:val="Voetnootmarkering"/>
        </w:rPr>
        <w:footnoteReference w:id="3"/>
      </w:r>
      <w:r w:rsidRPr="0044760B">
        <w:t>,</w:t>
      </w:r>
    </w:p>
    <w:p w:rsidRPr="0044760B" w:rsidR="00454B40" w:rsidP="00B633A6" w:rsidRDefault="00454B40">
      <w:pPr>
        <w:pStyle w:val="Normal12Hanging"/>
        <w:jc w:val="both"/>
      </w:pPr>
      <w:r w:rsidRPr="0044760B">
        <w:t>–</w:t>
      </w:r>
      <w:r w:rsidRPr="0044760B">
        <w:tab/>
      </w:r>
      <w:proofErr w:type="gramStart"/>
      <w:r w:rsidRPr="0044760B">
        <w:t>gezien</w:t>
      </w:r>
      <w:proofErr w:type="gramEnd"/>
      <w:r w:rsidRPr="0044760B">
        <w:t xml:space="preserve"> Besluit 2013/312/EU van de Europese Raad van 28 juni 2013 inzake de samenstelling van het Europees Parlement,</w:t>
      </w:r>
    </w:p>
    <w:p w:rsidRPr="0044760B" w:rsidR="00454B40" w:rsidP="00B633A6" w:rsidRDefault="00454B40">
      <w:pPr>
        <w:pStyle w:val="Normal12Hanging"/>
        <w:jc w:val="both"/>
      </w:pPr>
      <w:r w:rsidRPr="0044760B">
        <w:t xml:space="preserve"> –</w:t>
      </w:r>
      <w:r w:rsidRPr="0044760B">
        <w:tab/>
      </w:r>
      <w:proofErr w:type="gramStart"/>
      <w:r w:rsidRPr="0044760B">
        <w:t>gezien</w:t>
      </w:r>
      <w:proofErr w:type="gramEnd"/>
      <w:r w:rsidRPr="0044760B">
        <w:t xml:space="preserve"> het Goede Vrijdagakkoord van 10 april 1998,</w:t>
      </w:r>
    </w:p>
    <w:p w:rsidRPr="0044760B" w:rsidR="00454B40" w:rsidP="00B633A6" w:rsidRDefault="00454B40">
      <w:pPr>
        <w:pStyle w:val="Normal12Hanging"/>
        <w:jc w:val="both"/>
      </w:pPr>
      <w:r w:rsidRPr="0044760B">
        <w:t>–</w:t>
      </w:r>
      <w:r w:rsidRPr="0044760B">
        <w:tab/>
      </w:r>
      <w:proofErr w:type="gramStart"/>
      <w:r w:rsidRPr="0044760B">
        <w:t>gezien</w:t>
      </w:r>
      <w:proofErr w:type="gramEnd"/>
      <w:r w:rsidRPr="0044760B">
        <w:t xml:space="preserve"> de artikelen 45, 52 en 84 van zijn Reglement,</w:t>
      </w:r>
    </w:p>
    <w:p w:rsidRPr="0044760B" w:rsidR="00454B40" w:rsidP="00B633A6" w:rsidRDefault="00454B40">
      <w:pPr>
        <w:pStyle w:val="Normal12Hanging"/>
        <w:jc w:val="both"/>
      </w:pPr>
      <w:r w:rsidRPr="0044760B">
        <w:t>–</w:t>
      </w:r>
      <w:r w:rsidRPr="0044760B">
        <w:tab/>
      </w:r>
      <w:proofErr w:type="gramStart"/>
      <w:r w:rsidRPr="0044760B">
        <w:t>gezien</w:t>
      </w:r>
      <w:proofErr w:type="gramEnd"/>
      <w:r w:rsidRPr="0044760B">
        <w:t xml:space="preserve"> het verslag van de Commissie constitutionele zaken (A8-0007/2018),</w:t>
      </w:r>
    </w:p>
    <w:p w:rsidRPr="0044760B" w:rsidR="00454B40" w:rsidP="00B633A6" w:rsidRDefault="00454B40">
      <w:pPr>
        <w:pStyle w:val="Normal12Hanging"/>
        <w:jc w:val="both"/>
      </w:pPr>
      <w:r w:rsidRPr="0044760B">
        <w:t>A.</w:t>
      </w:r>
      <w:r w:rsidRPr="0044760B">
        <w:tab/>
      </w:r>
      <w:proofErr w:type="gramStart"/>
      <w:r w:rsidRPr="0044760B">
        <w:t>overwegende</w:t>
      </w:r>
      <w:proofErr w:type="gramEnd"/>
      <w:r w:rsidRPr="0044760B">
        <w:t xml:space="preserve"> dat de samenstelling van het Europees Parlement moet stroken met de criteria van artikel 14, lid 2, eerste alinea, VEU, te weten dat het aantal vertegenwoordigers van de burgers van de Unie niet meer dan zevenhonderdvijftig mag bedragen, plus de Voorzitter, dat de burgers degressief evenredig vertegenwoordigd moeten zijn, met een minimum van zes leden per lidstaat en dat geen enkele lidstaat meer dan zesennegentig zetels krijgt toegewezen;</w:t>
      </w:r>
    </w:p>
    <w:p w:rsidRPr="0044760B" w:rsidR="00454B40" w:rsidP="00B633A6" w:rsidRDefault="00454B40">
      <w:pPr>
        <w:pStyle w:val="Normal12Hanging"/>
        <w:jc w:val="both"/>
      </w:pPr>
      <w:r w:rsidRPr="0044760B">
        <w:t>B.</w:t>
      </w:r>
      <w:r w:rsidRPr="0044760B">
        <w:tab/>
      </w:r>
      <w:proofErr w:type="gramStart"/>
      <w:r w:rsidRPr="0044760B">
        <w:t>overwegende</w:t>
      </w:r>
      <w:proofErr w:type="gramEnd"/>
      <w:r w:rsidRPr="0044760B">
        <w:t xml:space="preserve"> dat in artikel 14, lid 2, VEU wordt bepaald dat het Europees </w:t>
      </w:r>
      <w:r w:rsidRPr="0044760B">
        <w:lastRenderedPageBreak/>
        <w:t xml:space="preserve">Parlement bestaat uit vertegenwoordigers van de burgers van de Unie; </w:t>
      </w:r>
    </w:p>
    <w:p w:rsidRPr="0044760B" w:rsidR="00454B40" w:rsidP="00B633A6" w:rsidRDefault="00454B40">
      <w:pPr>
        <w:pStyle w:val="Normal12Hanging"/>
        <w:jc w:val="both"/>
      </w:pPr>
      <w:r w:rsidRPr="0044760B">
        <w:t>C.</w:t>
      </w:r>
      <w:r w:rsidRPr="0044760B">
        <w:tab/>
      </w:r>
      <w:proofErr w:type="gramStart"/>
      <w:r w:rsidRPr="0044760B">
        <w:t>overwegende</w:t>
      </w:r>
      <w:proofErr w:type="gramEnd"/>
      <w:r w:rsidRPr="0044760B">
        <w:t xml:space="preserve"> dat in het VEU en het Verdrag betreffende de werking van de Europese Unie het belang wordt benadrukt van gelijkheid en gelijke behandeling van de burgers door de Europese instellingen; overwegende dat het van essentieel belang is de gelijkheid van de vertegenwoordiging te verbeteren om de legitimiteit van het Europees Parlement als wetgevingsorgaan dat de burgers van de Unie vertegenwoordigt, te vergroten;</w:t>
      </w:r>
    </w:p>
    <w:p w:rsidRPr="0044760B" w:rsidR="00454B40" w:rsidP="00B633A6" w:rsidRDefault="00454B40">
      <w:pPr>
        <w:pStyle w:val="Normal12Hanging"/>
        <w:jc w:val="both"/>
      </w:pPr>
      <w:r w:rsidRPr="0044760B">
        <w:t>D.</w:t>
      </w:r>
      <w:r w:rsidRPr="0044760B">
        <w:tab/>
      </w:r>
      <w:proofErr w:type="gramStart"/>
      <w:r w:rsidRPr="0044760B">
        <w:t>overwegende</w:t>
      </w:r>
      <w:proofErr w:type="gramEnd"/>
      <w:r w:rsidRPr="0044760B">
        <w:t xml:space="preserve"> dat het Europees Parlement opdracht heeft gegeven tot het opstellen van voorstellen voor een permanent systeem voor de verdeling van zetels op basis van rekenkundige formules en de voorstellen die het heeft ontvangen heeft bestudeerd; </w:t>
      </w:r>
    </w:p>
    <w:p w:rsidRPr="0044760B" w:rsidR="00454B40" w:rsidP="00B633A6" w:rsidRDefault="00454B40">
      <w:pPr>
        <w:pStyle w:val="Normal12Hanging"/>
        <w:jc w:val="both"/>
      </w:pPr>
      <w:r w:rsidRPr="0044760B">
        <w:t>E.</w:t>
      </w:r>
      <w:r w:rsidRPr="0044760B">
        <w:tab/>
      </w:r>
      <w:proofErr w:type="gramStart"/>
      <w:r w:rsidRPr="0044760B">
        <w:t>overwegende</w:t>
      </w:r>
      <w:proofErr w:type="gramEnd"/>
      <w:r w:rsidRPr="0044760B">
        <w:t xml:space="preserve"> dat de regering van het Verenigd Koninkrijk op 29 maart 2017, overeenkomstig artikel 50, lid 2, VEU, aan de Europese Raad kennis heeft gegeven van zijn voornemen om zich uit de Unie terug te trekken en overwegende dat de termijn van twee jaar voor het voeren van onderhandelingen en de totstandbrenging van een terugtrekkingsakkoord eindigt op 29 maart 2019, tenzij de Europese Raad met instemming van het Verenigd Koninkrijk met eenparigheid van stemmen tot verlenging van deze termijn besluit;</w:t>
      </w:r>
    </w:p>
    <w:p w:rsidRPr="0044760B" w:rsidR="00454B40" w:rsidP="00B633A6" w:rsidRDefault="00454B40">
      <w:pPr>
        <w:pStyle w:val="Normal12Hanging"/>
        <w:jc w:val="both"/>
      </w:pPr>
      <w:r w:rsidRPr="0044760B">
        <w:t>F.</w:t>
      </w:r>
      <w:r w:rsidRPr="0044760B">
        <w:tab/>
      </w:r>
      <w:proofErr w:type="gramStart"/>
      <w:r w:rsidRPr="0044760B">
        <w:t>overwegende</w:t>
      </w:r>
      <w:proofErr w:type="gramEnd"/>
      <w:r w:rsidRPr="0044760B">
        <w:t xml:space="preserve"> dat het Verenigd Koninkrijk, behalve als de huidige juridische situatie wijzigt, bij de volgende Europese verkiezingen in 2019 geen lidstaat van de Europese Unie meer zal zijn;</w:t>
      </w:r>
    </w:p>
    <w:p w:rsidRPr="0044760B" w:rsidR="00454B40" w:rsidP="00B633A6" w:rsidRDefault="00454B40">
      <w:pPr>
        <w:pStyle w:val="Normal12Hanging"/>
        <w:jc w:val="both"/>
      </w:pPr>
      <w:r w:rsidRPr="0044760B">
        <w:t>G.</w:t>
      </w:r>
      <w:r w:rsidRPr="0044760B">
        <w:tab/>
      </w:r>
      <w:proofErr w:type="gramStart"/>
      <w:r w:rsidRPr="0044760B">
        <w:t>overwegende</w:t>
      </w:r>
      <w:proofErr w:type="gramEnd"/>
      <w:r w:rsidRPr="0044760B">
        <w:t xml:space="preserve"> dat het Europees Parlement in zijn voorstel van 11 november 2015 voor een besluit van de Raad tot vaststelling van de bepalingen tot wijziging van de Akte betreffende de verkiezing van de vertegenwoordigers in het Europees Parlement door middel van rechtstreekse algemene verkiezingen zijn standpunt uiteenzet over de vorming van een gemeenschappelijk kiesdistrict waarvan de kieslijsten worden aangevoerd door de kandidaat-Commissievoorzitter van elke politieke familie;</w:t>
      </w:r>
    </w:p>
    <w:p w:rsidRPr="0044760B" w:rsidR="00454B40" w:rsidP="00B633A6" w:rsidRDefault="00454B40">
      <w:pPr>
        <w:pStyle w:val="Normal12Hanging"/>
        <w:jc w:val="both"/>
      </w:pPr>
      <w:r w:rsidRPr="0044760B">
        <w:t>H.</w:t>
      </w:r>
      <w:r w:rsidRPr="0044760B">
        <w:tab/>
      </w:r>
      <w:proofErr w:type="gramStart"/>
      <w:r w:rsidRPr="0044760B">
        <w:t>overwegende</w:t>
      </w:r>
      <w:proofErr w:type="gramEnd"/>
      <w:r w:rsidRPr="0044760B">
        <w:t xml:space="preserve"> dat diverse lidstaten onlangs hebben uitgesproken voorstander te zijn van de vorming van een gemeenschappelijk kiesdistrict vanaf de Europese verkiezingen in 2019; overwegende dat de vorming van een gemeenschappelijk kiesdistrict uitsluitend mogelijk is na wijziging van de Akte betreffende de verkiezing van de vertegenwoordigers in het Europees Parlement door middel van rechtstreekse algemene verkiezingen, waarbij een dergelijke wijziging op grond van de Verkiezingsgedragscode (Code of </w:t>
      </w:r>
      <w:r w:rsidRPr="0044760B">
        <w:lastRenderedPageBreak/>
        <w:t>Good Practice in Electoral Matters) van de Commissie van Venetië ten minste een jaar voor de Europese verkiezingen moet worden aangenomen;</w:t>
      </w:r>
    </w:p>
    <w:p w:rsidRPr="0044760B" w:rsidR="00454B40" w:rsidP="00B633A6" w:rsidRDefault="00454B40">
      <w:pPr>
        <w:pStyle w:val="Normal12Hanging"/>
        <w:jc w:val="both"/>
      </w:pPr>
      <w:r w:rsidRPr="0044760B">
        <w:t>I.</w:t>
      </w:r>
      <w:r w:rsidRPr="0044760B">
        <w:tab/>
      </w:r>
      <w:proofErr w:type="gramStart"/>
      <w:r w:rsidRPr="0044760B">
        <w:t>overwegende</w:t>
      </w:r>
      <w:proofErr w:type="gramEnd"/>
      <w:r w:rsidRPr="0044760B">
        <w:t xml:space="preserve"> dat de invoering van een dergelijk kiesdistrict het begrip burgerschap van de Unie kracht zou bijzetten en het Europese karakter van de verkiezingen voor het Europees Parlement zou versterken;</w:t>
      </w:r>
    </w:p>
    <w:p w:rsidRPr="0044760B" w:rsidR="00454B40" w:rsidP="00B633A6" w:rsidRDefault="00454B40">
      <w:pPr>
        <w:pStyle w:val="Normal12Hanging"/>
        <w:jc w:val="both"/>
      </w:pPr>
      <w:r w:rsidRPr="0044760B">
        <w:t>J.</w:t>
      </w:r>
      <w:r w:rsidRPr="0044760B">
        <w:tab/>
      </w:r>
      <w:proofErr w:type="gramStart"/>
      <w:r w:rsidRPr="0044760B">
        <w:t>overwegende</w:t>
      </w:r>
      <w:proofErr w:type="gramEnd"/>
      <w:r w:rsidRPr="0044760B">
        <w:t xml:space="preserve"> dat in een gemeenschappelijk kiesdistrict niet alleen door Europese politieke partijen ingediende lijsten toegelaten zouden moeten worden als transnationale lijsten voor de Europese verkiezingen, maar ook door niet met een Europese politieke partij verbonden nationale politieke partijen of bewegingen ingediende lijsten, mits deze partijen of bewegingen voldoen aan vooraf vastgestelde Europese criteria;</w:t>
      </w:r>
    </w:p>
    <w:p w:rsidRPr="0044760B" w:rsidR="00454B40" w:rsidP="00B633A6" w:rsidRDefault="00454B40">
      <w:pPr>
        <w:pStyle w:val="Normal12Hanging"/>
        <w:jc w:val="both"/>
      </w:pPr>
      <w:r w:rsidRPr="0044760B">
        <w:t>K.</w:t>
      </w:r>
      <w:r w:rsidRPr="0044760B">
        <w:tab/>
      </w:r>
      <w:proofErr w:type="gramStart"/>
      <w:r w:rsidRPr="0044760B">
        <w:t>overwegende</w:t>
      </w:r>
      <w:proofErr w:type="gramEnd"/>
      <w:r w:rsidRPr="0044760B">
        <w:t xml:space="preserve"> dat het Europees Parlement in zijn voorstel van 11 november 2015 voor een besluit van de Raad tot vaststelling van de bepalingen tot wijziging van de Akte betreffende de verkiezing van de vertegenwoordigers in het Europees Parlement door middel van rechtstreekse algemene verkiezingen heeft verzocht om invoering van een verplichte drempel voor kiesdistricten, en voor lidstaten met één kiesdistrict, waar gebruik wordt gemaakt van het lijstenstelsel en die meer dan een bepaald aantal zetels omvatten; is van oordeel dat bij de vaststelling van deze drempel rekening gehouden moet worden met de nieuwe zetelverdeling;</w:t>
      </w:r>
    </w:p>
    <w:p w:rsidRPr="0044760B" w:rsidR="00454B40" w:rsidP="00B633A6" w:rsidRDefault="00454B40">
      <w:pPr>
        <w:pStyle w:val="Normal12Hanging"/>
        <w:jc w:val="both"/>
      </w:pPr>
      <w:r w:rsidRPr="0044760B">
        <w:t>1.</w:t>
      </w:r>
      <w:r w:rsidRPr="0044760B">
        <w:tab/>
      </w:r>
      <w:proofErr w:type="gramStart"/>
      <w:r w:rsidRPr="0044760B">
        <w:t>merkt</w:t>
      </w:r>
      <w:proofErr w:type="gramEnd"/>
      <w:r w:rsidRPr="0044760B">
        <w:t xml:space="preserve"> op dat de huidige zetelverdeling in het Europees Parlement, zoals vastgelegd in Besluit 2013/312/EU van de Europese Raad, uitsluitend geldt voor de zittingsperiode 2014-2019; benadrukt daarom dat er een nieuw besluit genomen moet worden inzake de samenstelling van het Europees Parlement voor de zittingsperiode 2019-2024;</w:t>
      </w:r>
    </w:p>
    <w:p w:rsidRPr="0044760B" w:rsidR="00454B40" w:rsidP="00B633A6" w:rsidRDefault="00454B40">
      <w:pPr>
        <w:pStyle w:val="Normal12Hanging"/>
        <w:jc w:val="both"/>
      </w:pPr>
      <w:r w:rsidRPr="0044760B">
        <w:t>2.</w:t>
      </w:r>
      <w:r w:rsidRPr="0044760B">
        <w:tab/>
      </w:r>
      <w:proofErr w:type="gramStart"/>
      <w:r w:rsidRPr="0044760B">
        <w:t>beseft</w:t>
      </w:r>
      <w:proofErr w:type="gramEnd"/>
      <w:r w:rsidRPr="0044760B">
        <w:t xml:space="preserve"> dat de huidige toewijzing van zetels in meerdere opzichten in strijd is met het beginsel van degressieve evenredigheid en daarom voor de samenstelling van het Europees Parlement vanaf de volgende Europese verkiezingen in 2019 aangepast moet worden;</w:t>
      </w:r>
    </w:p>
    <w:p w:rsidRPr="0044760B" w:rsidR="00454B40" w:rsidP="00B633A6" w:rsidRDefault="00454B40">
      <w:pPr>
        <w:pStyle w:val="Normal12Hanging"/>
        <w:jc w:val="both"/>
      </w:pPr>
      <w:r w:rsidRPr="0044760B">
        <w:t>3.</w:t>
      </w:r>
      <w:r w:rsidRPr="0044760B">
        <w:tab/>
      </w:r>
      <w:proofErr w:type="gramStart"/>
      <w:r w:rsidRPr="0044760B">
        <w:t>beseft</w:t>
      </w:r>
      <w:proofErr w:type="gramEnd"/>
      <w:r w:rsidRPr="0044760B">
        <w:t xml:space="preserve"> dat een aantal lidstaten van oordeel is dat de besluitvorming over de toewijzing van zetels in het Europees Parlement in samenhang bezien moet worden met de stemregels in de Raad;</w:t>
      </w:r>
    </w:p>
    <w:p w:rsidRPr="0044760B" w:rsidR="00454B40" w:rsidP="00B633A6" w:rsidRDefault="00454B40">
      <w:pPr>
        <w:ind w:left="567" w:hanging="567"/>
        <w:jc w:val="both"/>
      </w:pPr>
      <w:r w:rsidRPr="0044760B">
        <w:t>4.</w:t>
      </w:r>
      <w:r w:rsidRPr="0044760B">
        <w:tab/>
      </w:r>
      <w:proofErr w:type="gramStart"/>
      <w:r w:rsidRPr="0044760B">
        <w:t>wijst</w:t>
      </w:r>
      <w:proofErr w:type="gramEnd"/>
      <w:r w:rsidRPr="0044760B">
        <w:t xml:space="preserve"> erop dat de rekenkundige formules weliswaar uitstekende mogelijkheden lijken te bieden voor de vaststelling van een permanent systeem voor de verdeling van zetels in de toekomst, maar dat het in dit stadium politiek niet haalbaar is om een permanent systeem voor te stellen;</w:t>
      </w:r>
    </w:p>
    <w:p w:rsidRPr="0044760B" w:rsidR="00454B40" w:rsidP="00B633A6" w:rsidRDefault="00454B40">
      <w:pPr>
        <w:ind w:left="567" w:hanging="567"/>
        <w:jc w:val="both"/>
      </w:pPr>
    </w:p>
    <w:p w:rsidRPr="0044760B" w:rsidR="00454B40" w:rsidP="00B633A6" w:rsidRDefault="00454B40">
      <w:pPr>
        <w:pStyle w:val="Normal12Hanging"/>
        <w:jc w:val="both"/>
      </w:pPr>
      <w:r w:rsidRPr="0044760B">
        <w:lastRenderedPageBreak/>
        <w:t>5.</w:t>
      </w:r>
      <w:r w:rsidRPr="0044760B">
        <w:tab/>
      </w:r>
      <w:proofErr w:type="gramStart"/>
      <w:r w:rsidRPr="0044760B">
        <w:t>realiseert</w:t>
      </w:r>
      <w:proofErr w:type="gramEnd"/>
      <w:r w:rsidRPr="0044760B">
        <w:t xml:space="preserve"> zich dat het Verenigd Koninkrijk, behalve als de huidige juridische situatie wijzigt, bij de volgende Europese verkiezingen in 2019 geen lidstaat van de Europese Unie meer zal zijn;</w:t>
      </w:r>
    </w:p>
    <w:p w:rsidRPr="0044760B" w:rsidR="00454B40" w:rsidP="00B633A6" w:rsidRDefault="00454B40">
      <w:pPr>
        <w:pStyle w:val="Normal12Hanging"/>
        <w:jc w:val="both"/>
      </w:pPr>
      <w:r w:rsidRPr="0044760B">
        <w:t>6.</w:t>
      </w:r>
      <w:r w:rsidRPr="0044760B">
        <w:tab/>
      </w:r>
      <w:proofErr w:type="gramStart"/>
      <w:r w:rsidRPr="0044760B">
        <w:t>stelt</w:t>
      </w:r>
      <w:proofErr w:type="gramEnd"/>
      <w:r w:rsidRPr="0044760B">
        <w:t xml:space="preserve"> voor om met ingang van de volgende Europese verkiezingen in 2019 een nieuwe verdeling van zetels in het Parlement toe te passen, met inachtneming van de criteria als bepaald in artikel 14 VEU; merkt op dat als de juridische situatie met betrekking tot de terugtrekking van het Verenigd Koninkrijk uit de Europese Unie wijzigt, de zetelverdeling die geldt voor de zittingsperiode 2014-2019 toepassing moet krijgen, totdat de terugtrekking van het Verenigd Koninkrijk uit de Europese Unie rechtsgeldig wordt; </w:t>
      </w:r>
    </w:p>
    <w:p w:rsidRPr="0044760B" w:rsidR="00454B40" w:rsidP="00B633A6" w:rsidRDefault="00454B40">
      <w:pPr>
        <w:pStyle w:val="Normal12Hanging"/>
        <w:jc w:val="both"/>
      </w:pPr>
      <w:r w:rsidRPr="0044760B">
        <w:t>7.</w:t>
      </w:r>
      <w:r w:rsidRPr="0044760B">
        <w:tab/>
      </w:r>
      <w:proofErr w:type="gramStart"/>
      <w:r w:rsidRPr="0044760B">
        <w:t>benadrukt</w:t>
      </w:r>
      <w:proofErr w:type="gramEnd"/>
      <w:r w:rsidRPr="0044760B">
        <w:t xml:space="preserve"> dat het feit dat er bij de terugtrekking van het Verenigd Koninkrijk uit de Europese Unie zetels zullen vrijkomen, de vaststelling van een nieuwe zetelverdeling in het Parlement zal vergemakkelijken, waarbij het beginsel van degressieve evenredigheid zal worden toegepast; benadrukt dat het Parlement bij de voorgestelde nieuwe verdeling in omvang zal afnemen; merkt op dat slechts een klein deel van de vrijkomende zetels van het Verenigd Koninkrijk gebruikt hoeft te worden om ervoor te zorgen dat geen enkele lidstaat zetels verliest, waarbij er voldoende zetels beschikbaar blijven voor het gemeenschappelijk kiesdistrict;</w:t>
      </w:r>
    </w:p>
    <w:p w:rsidRPr="0044760B" w:rsidR="00454B40" w:rsidP="00B633A6" w:rsidRDefault="00454B40">
      <w:pPr>
        <w:pStyle w:val="Normal12Hanging"/>
        <w:jc w:val="both"/>
      </w:pPr>
      <w:r w:rsidRPr="0044760B">
        <w:t>8.</w:t>
      </w:r>
      <w:r w:rsidRPr="0044760B">
        <w:tab/>
      </w:r>
      <w:proofErr w:type="gramStart"/>
      <w:r w:rsidRPr="0044760B">
        <w:t>benadrukt</w:t>
      </w:r>
      <w:proofErr w:type="gramEnd"/>
      <w:r w:rsidRPr="0044760B">
        <w:t xml:space="preserve"> dat een afname van de omvang van het Parlement ruimte biedt voor eventuele toekomstige uitbreidingen van de Europese Unie en voor leden van transnationale lijsten die verkozen worden via een gemeenschappelijk kiesdistrict; </w:t>
      </w:r>
    </w:p>
    <w:p w:rsidRPr="0044760B" w:rsidR="00454B40" w:rsidP="00B633A6" w:rsidRDefault="00454B40">
      <w:pPr>
        <w:pStyle w:val="Normal12Hanging"/>
        <w:jc w:val="both"/>
      </w:pPr>
      <w:r w:rsidRPr="0044760B">
        <w:t>9.</w:t>
      </w:r>
      <w:r w:rsidRPr="0044760B">
        <w:tab/>
      </w:r>
      <w:proofErr w:type="gramStart"/>
      <w:r w:rsidRPr="0044760B">
        <w:t>overwegende</w:t>
      </w:r>
      <w:proofErr w:type="gramEnd"/>
      <w:r w:rsidRPr="0044760B">
        <w:t xml:space="preserve"> dat burgers van Noord-Ierland op grond van het Goede Vrijdagakkoord een inherent recht hebben om de Britse nationaliteit, de Ierse nationaliteit of beide nationaliteiten te bezitten, en krachtens hun recht om de Ierse nationaliteit te bezitten ook recht hebben op het het burgerschap van de Unie;</w:t>
      </w:r>
    </w:p>
    <w:p w:rsidRPr="0044760B" w:rsidR="00454B40" w:rsidP="00B633A6" w:rsidRDefault="00454B40">
      <w:pPr>
        <w:pStyle w:val="Normal12Hanging"/>
        <w:jc w:val="both"/>
      </w:pPr>
      <w:r w:rsidRPr="0044760B">
        <w:t>10.</w:t>
      </w:r>
      <w:r w:rsidRPr="0044760B">
        <w:tab/>
      </w:r>
      <w:proofErr w:type="gramStart"/>
      <w:r w:rsidRPr="0044760B">
        <w:t>herinnert</w:t>
      </w:r>
      <w:proofErr w:type="gramEnd"/>
      <w:r w:rsidRPr="0044760B">
        <w:t xml:space="preserve"> eraan dat degressieve evenredigheid, als gedefinieerd in de Verdragen, gebaseerd is op het aantal zetels per lidstaat en niet op de nationaliteit van de kandidaten; </w:t>
      </w:r>
    </w:p>
    <w:p w:rsidRPr="0044760B" w:rsidR="00454B40" w:rsidP="00B633A6" w:rsidRDefault="00454B40">
      <w:pPr>
        <w:pStyle w:val="Normal12Hanging"/>
        <w:jc w:val="both"/>
      </w:pPr>
      <w:r w:rsidRPr="0044760B">
        <w:t>11.</w:t>
      </w:r>
      <w:r w:rsidRPr="0044760B">
        <w:tab/>
      </w:r>
      <w:proofErr w:type="gramStart"/>
      <w:r w:rsidRPr="0044760B">
        <w:t>verzoekt</w:t>
      </w:r>
      <w:proofErr w:type="gramEnd"/>
      <w:r w:rsidRPr="0044760B">
        <w:t xml:space="preserve"> de Raad om de herziening van de Akte betreffende de verkiezing van de vertegenwoordigers in het Europees Parlement door middel van rechtstreekse algemene verkiezingen snel af te ronden;</w:t>
      </w:r>
    </w:p>
    <w:p w:rsidRPr="0044760B" w:rsidR="00454B40" w:rsidP="00B633A6" w:rsidRDefault="00454B40">
      <w:pPr>
        <w:pStyle w:val="Normal12Hanging"/>
        <w:jc w:val="both"/>
      </w:pPr>
      <w:r w:rsidRPr="0044760B">
        <w:t>12.</w:t>
      </w:r>
      <w:r w:rsidRPr="0044760B">
        <w:tab/>
      </w:r>
      <w:proofErr w:type="gramStart"/>
      <w:r w:rsidRPr="0044760B">
        <w:t>benadrukt</w:t>
      </w:r>
      <w:proofErr w:type="gramEnd"/>
      <w:r w:rsidRPr="0044760B">
        <w:t xml:space="preserve"> dat de door het Europees Parlement voorgestelde herziening van de Akte betreffende de verkiezing van de vertegenwoordigers in het </w:t>
      </w:r>
      <w:r w:rsidRPr="0044760B">
        <w:lastRenderedPageBreak/>
        <w:t>Europees Parlement door middel van rechtstreekse algemene verkiezingen het Europees karakter van de verkiezingen zal versterken en een positief signaal afgeeft voor de toekomst van het Europees project;</w:t>
      </w:r>
    </w:p>
    <w:p w:rsidRPr="0044760B" w:rsidR="00454B40" w:rsidP="00B633A6" w:rsidRDefault="00454B40">
      <w:pPr>
        <w:pStyle w:val="Normal12Hanging"/>
        <w:jc w:val="both"/>
      </w:pPr>
      <w:r w:rsidRPr="0044760B">
        <w:t>13.</w:t>
      </w:r>
      <w:r w:rsidRPr="0044760B">
        <w:tab/>
      </w:r>
      <w:proofErr w:type="gramStart"/>
      <w:r w:rsidRPr="0044760B">
        <w:t>benadrukt</w:t>
      </w:r>
      <w:proofErr w:type="gramEnd"/>
      <w:r w:rsidRPr="0044760B">
        <w:t xml:space="preserve"> dat de herziening van de Akte betreffende de verkiezing van de vertegenwoordigers in het Europees Parlement door middel van rechtstreekse algemene verkiezingen de rechtsgrond zal bieden voor de vorming van een gemeenschappelijk kiesdistrict;</w:t>
      </w:r>
    </w:p>
    <w:p w:rsidRPr="0044760B" w:rsidR="00454B40" w:rsidP="00B633A6" w:rsidRDefault="00454B40">
      <w:pPr>
        <w:pStyle w:val="Normal12Hanging"/>
        <w:jc w:val="both"/>
      </w:pPr>
      <w:r w:rsidRPr="0044760B">
        <w:t>14.</w:t>
      </w:r>
      <w:r w:rsidRPr="0044760B">
        <w:tab/>
      </w:r>
      <w:proofErr w:type="gramStart"/>
      <w:r w:rsidRPr="0044760B">
        <w:t>is</w:t>
      </w:r>
      <w:proofErr w:type="gramEnd"/>
      <w:r w:rsidRPr="0044760B">
        <w:t xml:space="preserve"> van oordeel dat de voorgestelde verdeling op basis van de beginselen van de Verdragen een solide basis vormt voor een methode voor de vaststelling van de zetelverdeling in de toekomst, waarbij de criteria van artikel 14 VEU, met name het beginsel van degressieve evenredigheid, geëerbiedigd worden, en die eerlijk, transparant, objectief, in overeenstemming met de meest recente demografische ontwikkelingen, alsmede begrijpelijk is voor de Europese burgers;</w:t>
      </w:r>
    </w:p>
    <w:p w:rsidRPr="0044760B" w:rsidR="00454B40" w:rsidP="00B633A6" w:rsidRDefault="00454B40">
      <w:pPr>
        <w:pStyle w:val="Normal12Hanging"/>
        <w:jc w:val="both"/>
      </w:pPr>
      <w:r w:rsidRPr="0044760B">
        <w:t>15.</w:t>
      </w:r>
      <w:r w:rsidRPr="0044760B">
        <w:tab/>
      </w:r>
      <w:proofErr w:type="gramStart"/>
      <w:r w:rsidRPr="0044760B">
        <w:t>legt</w:t>
      </w:r>
      <w:proofErr w:type="gramEnd"/>
      <w:r w:rsidRPr="0044760B">
        <w:t>, uit hoofde van zijn in artikel 14, lid 2, VEU verankerde initiatiefrecht, aan de Europese Raad bijgaand voorstel voor een besluit van de Europese Raad tot vaststelling van de samenstelling van het Europees Parlement voor; wijst op de dringende noodzaak om dat besluit, dat door het Parlement moet worden goedgekeurd, vast te stellen, zodat de lidstaten tijdig de nodige nationale maatregelen kunnen vaststellen in verband met het organiseren van de verkiezingen voor het Europees Parlement voor de zittingsperiode 2019-2024;</w:t>
      </w:r>
    </w:p>
    <w:p w:rsidRPr="0044760B" w:rsidR="00454B40" w:rsidP="00B633A6" w:rsidRDefault="00454B40">
      <w:pPr>
        <w:pStyle w:val="Normal12Hanging"/>
        <w:jc w:val="both"/>
      </w:pPr>
      <w:r w:rsidRPr="0044760B">
        <w:t>16.</w:t>
      </w:r>
      <w:r w:rsidRPr="0044760B">
        <w:tab/>
      </w:r>
      <w:proofErr w:type="gramStart"/>
      <w:r w:rsidRPr="0044760B">
        <w:t>verzoekt</w:t>
      </w:r>
      <w:proofErr w:type="gramEnd"/>
      <w:r w:rsidRPr="0044760B">
        <w:t xml:space="preserve"> zijn Voorzitter deze resolutie en het daaraan gehechte voorstel voor een besluit van de Europese Raad, samen met voornoemd verslag van zijn Commissie constitutionele zaken, te doen toekomen aan de Europese Raad, de Commissie en de regeringen en parlementen van de lidstaten.</w:t>
      </w:r>
    </w:p>
    <w:p w:rsidRPr="0044760B" w:rsidR="00454B40" w:rsidP="00B633A6" w:rsidRDefault="00454B40">
      <w:pPr>
        <w:pStyle w:val="Normal12Hanging"/>
        <w:jc w:val="both"/>
      </w:pPr>
    </w:p>
    <w:p w:rsidRPr="0044760B" w:rsidR="00454B40" w:rsidP="00B633A6" w:rsidRDefault="00454B40">
      <w:pPr>
        <w:jc w:val="both"/>
      </w:pPr>
      <w:r w:rsidRPr="0044760B">
        <w:br w:type="page"/>
      </w:r>
    </w:p>
    <w:p w:rsidRPr="0044760B" w:rsidR="00454B40" w:rsidP="00B633A6" w:rsidRDefault="00454B40">
      <w:pPr>
        <w:pStyle w:val="PageHeading"/>
        <w:jc w:val="both"/>
      </w:pPr>
      <w:bookmarkStart w:name="_Toc505089002" w:id="3"/>
      <w:r w:rsidRPr="0044760B">
        <w:lastRenderedPageBreak/>
        <w:t>BIJLAGE BIJ DE ONTWERPRESOLUTIE VAN HET EUROPEES PARLEMENT</w:t>
      </w:r>
      <w:bookmarkEnd w:id="3"/>
    </w:p>
    <w:p w:rsidRPr="0044760B" w:rsidR="00454B40" w:rsidP="00B633A6" w:rsidRDefault="00454B40">
      <w:pPr>
        <w:jc w:val="both"/>
      </w:pPr>
      <w:r w:rsidRPr="0044760B">
        <w:t xml:space="preserve">Voorstel voor een besluit van de Europese Raad </w:t>
      </w:r>
      <w:proofErr w:type="gramStart"/>
      <w:r w:rsidRPr="0044760B">
        <w:t>inzake</w:t>
      </w:r>
      <w:proofErr w:type="gramEnd"/>
      <w:r w:rsidRPr="0044760B">
        <w:t xml:space="preserve"> de samenstelling van het Europees Parlement</w:t>
      </w:r>
    </w:p>
    <w:p w:rsidRPr="0044760B" w:rsidR="00454B40" w:rsidP="00B633A6" w:rsidRDefault="00454B40">
      <w:pPr>
        <w:jc w:val="both"/>
      </w:pPr>
    </w:p>
    <w:p w:rsidRPr="0044760B" w:rsidR="00454B40" w:rsidP="00B633A6" w:rsidRDefault="00454B40">
      <w:pPr>
        <w:jc w:val="both"/>
      </w:pPr>
    </w:p>
    <w:p w:rsidRPr="0044760B" w:rsidR="00454B40" w:rsidP="00B633A6" w:rsidRDefault="00454B40">
      <w:pPr>
        <w:jc w:val="both"/>
      </w:pPr>
      <w:r w:rsidRPr="0044760B">
        <w:t>DE EUROPESE RAAD,</w:t>
      </w:r>
    </w:p>
    <w:p w:rsidRPr="0044760B" w:rsidR="00454B40" w:rsidP="00B633A6" w:rsidRDefault="00454B40">
      <w:pPr>
        <w:jc w:val="both"/>
      </w:pPr>
    </w:p>
    <w:p w:rsidRPr="0044760B" w:rsidR="00454B40" w:rsidP="00B633A6" w:rsidRDefault="00454B40">
      <w:pPr>
        <w:jc w:val="both"/>
      </w:pPr>
      <w:r w:rsidRPr="0044760B">
        <w:t xml:space="preserve">Gezien het Verdrag betreffende de Europese Unie, en </w:t>
      </w:r>
      <w:proofErr w:type="gramStart"/>
      <w:r w:rsidRPr="0044760B">
        <w:t>met name</w:t>
      </w:r>
      <w:proofErr w:type="gramEnd"/>
      <w:r w:rsidRPr="0044760B">
        <w:t xml:space="preserve"> artikel 14, lid 2,</w:t>
      </w:r>
    </w:p>
    <w:p w:rsidRPr="0044760B" w:rsidR="00454B40" w:rsidP="00B633A6" w:rsidRDefault="00454B40">
      <w:pPr>
        <w:jc w:val="both"/>
      </w:pPr>
    </w:p>
    <w:p w:rsidRPr="0044760B" w:rsidR="00454B40" w:rsidP="00B633A6" w:rsidRDefault="00454B40">
      <w:pPr>
        <w:jc w:val="both"/>
      </w:pPr>
      <w:r w:rsidRPr="0044760B">
        <w:t>Gezien het initiatief van het Europees Parlement,</w:t>
      </w:r>
    </w:p>
    <w:p w:rsidRPr="0044760B" w:rsidR="00454B40" w:rsidP="00B633A6" w:rsidRDefault="00454B40">
      <w:pPr>
        <w:jc w:val="both"/>
      </w:pPr>
    </w:p>
    <w:p w:rsidRPr="0044760B" w:rsidR="00454B40" w:rsidP="00B633A6" w:rsidRDefault="00454B40">
      <w:pPr>
        <w:jc w:val="both"/>
      </w:pPr>
      <w:r w:rsidRPr="0044760B">
        <w:t>Gezien de goedkeuring door het Europees Parlement,</w:t>
      </w:r>
    </w:p>
    <w:p w:rsidRPr="0044760B" w:rsidR="00454B40" w:rsidP="00B633A6" w:rsidRDefault="00454B40">
      <w:pPr>
        <w:jc w:val="both"/>
      </w:pPr>
    </w:p>
    <w:p w:rsidRPr="0044760B" w:rsidR="00454B40" w:rsidP="00B633A6" w:rsidRDefault="00454B40">
      <w:pPr>
        <w:jc w:val="both"/>
      </w:pPr>
      <w:r w:rsidRPr="0044760B">
        <w:t xml:space="preserve">Overwegende </w:t>
      </w:r>
      <w:proofErr w:type="gramStart"/>
      <w:r w:rsidRPr="0044760B">
        <w:t>hetgeen</w:t>
      </w:r>
      <w:proofErr w:type="gramEnd"/>
      <w:r w:rsidRPr="0044760B">
        <w:t xml:space="preserve"> volgt:</w:t>
      </w:r>
    </w:p>
    <w:p w:rsidRPr="0044760B" w:rsidR="00454B40" w:rsidP="00B633A6" w:rsidRDefault="00454B40">
      <w:pPr>
        <w:jc w:val="both"/>
      </w:pPr>
    </w:p>
    <w:p w:rsidRPr="0044760B" w:rsidR="00454B40" w:rsidP="00B633A6" w:rsidRDefault="00454B40">
      <w:pPr>
        <w:ind w:left="360" w:hanging="360"/>
        <w:jc w:val="both"/>
      </w:pPr>
      <w:r w:rsidRPr="0044760B">
        <w:t>(1)</w:t>
      </w:r>
      <w:r w:rsidRPr="0044760B">
        <w:tab/>
        <w:t>In artikel 14, lid 2, eerste alinea, van het Verdrag betreffende de Europese Unie zijn de criteria voor de samenstelling van het Europees Parlement neergelegd, te weten dat het aantal vertegenwoordigers van de burgers van de Unie niet meer dan zevenhonderdvijftig mag bedragen, plus de voorzitter, dat de burgers degressief evenredig vertegenwoordigd moeten zijn, met een drempel van zes leden per lidstaat en dat geen enkele lidstaat meer dan zesennegentig zetels toegewezen krijgt,</w:t>
      </w:r>
    </w:p>
    <w:p w:rsidRPr="0044760B" w:rsidR="00454B40" w:rsidP="00B633A6" w:rsidRDefault="00454B40">
      <w:pPr>
        <w:ind w:left="360" w:hanging="360"/>
        <w:jc w:val="both"/>
        <w:rPr>
          <w:i/>
        </w:rPr>
      </w:pPr>
    </w:p>
    <w:p w:rsidRPr="0044760B" w:rsidR="00454B40" w:rsidP="00B633A6" w:rsidRDefault="00454B40">
      <w:pPr>
        <w:ind w:left="360" w:hanging="360"/>
        <w:jc w:val="both"/>
      </w:pPr>
      <w:r w:rsidRPr="0044760B">
        <w:t>(2)</w:t>
      </w:r>
      <w:r w:rsidRPr="0044760B">
        <w:tab/>
        <w:t>Artikel 10 van het Verdrag betreffende de Europese Unie bepaalt onder andere dat de werking van de Unie gegrond is op de representatieve democratie, dat de burgers op het niveau van de Unie rechtstreeks vertegenwoordigd worden in het Europees Parlement, en dat de lidstaten in de Raad vertegenwoordigd worden door hun regeringen, die zelf democratische verantwoording verschuldigd zijn aan hun nationale parlement of aan hun burgers. Artikel 14, lid 2, van het Verdrag betreffende de Europese Unie, dat betrekking heeft op de samenstelling van het Europees Parlement, is dan ook van toepassing binnen de context van de ruimere institutionele regels bepaald in de Verdragen, met inbegrip van de bepalingen betreffende de besluitvorming in de Raad,</w:t>
      </w:r>
    </w:p>
    <w:p w:rsidRPr="0044760B" w:rsidR="00454B40" w:rsidP="00B633A6" w:rsidRDefault="00454B40">
      <w:pPr>
        <w:ind w:left="360" w:hanging="360"/>
        <w:jc w:val="both"/>
      </w:pPr>
    </w:p>
    <w:p w:rsidRPr="0044760B" w:rsidR="00454B40" w:rsidP="00B633A6" w:rsidRDefault="00454B40">
      <w:pPr>
        <w:ind w:left="360" w:hanging="360"/>
        <w:jc w:val="both"/>
        <w:rPr>
          <w:sz w:val="22"/>
        </w:rPr>
      </w:pPr>
      <w:r w:rsidRPr="0044760B">
        <w:t>(3)</w:t>
      </w:r>
      <w:r w:rsidRPr="0044760B">
        <w:tab/>
        <w:t xml:space="preserve">De passende rechtsgrond voor een gemeenschappelijk kiesdistrict dat het hele grondgebied van de Unie omvat, moet geboden worden door het Besluit van de Raad tot vaststelling van de bepalingen tot wijziging van de Akte betreffende de verkiezing van de vertegenwoordigers in het Europees Parlement door middel van rechtstreekse algemene verkiezingen, waarin de voorwaarden worden bepaald voor de vorming van een dergelijk gemeenschappelijk kiesdistrict, een en ander in </w:t>
      </w:r>
      <w:r w:rsidRPr="0044760B">
        <w:lastRenderedPageBreak/>
        <w:t>overeenstemming met artikel 223, lid 1, van het Verdrag betreffende de werking van de Europese Unie;</w:t>
      </w:r>
    </w:p>
    <w:p w:rsidRPr="0044760B" w:rsidR="00454B40" w:rsidP="00B633A6" w:rsidRDefault="00454B40">
      <w:pPr>
        <w:ind w:left="360" w:hanging="360"/>
        <w:jc w:val="both"/>
      </w:pPr>
    </w:p>
    <w:p w:rsidRPr="0044760B" w:rsidR="00454B40" w:rsidP="00B633A6" w:rsidRDefault="00454B40">
      <w:pPr>
        <w:ind w:left="360" w:hanging="360"/>
        <w:jc w:val="both"/>
      </w:pPr>
    </w:p>
    <w:p w:rsidRPr="0044760B" w:rsidR="00454B40" w:rsidP="00B633A6" w:rsidRDefault="00454B40">
      <w:pPr>
        <w:ind w:left="360" w:hanging="360"/>
        <w:jc w:val="both"/>
        <w:rPr>
          <w:i/>
        </w:rPr>
      </w:pPr>
    </w:p>
    <w:p w:rsidRPr="0044760B" w:rsidR="00454B40" w:rsidP="00B633A6" w:rsidRDefault="00454B40">
      <w:pPr>
        <w:jc w:val="both"/>
      </w:pPr>
    </w:p>
    <w:p w:rsidRPr="0044760B" w:rsidR="00454B40" w:rsidP="00B633A6" w:rsidRDefault="00454B40">
      <w:pPr>
        <w:jc w:val="both"/>
      </w:pPr>
      <w:r w:rsidRPr="0044760B">
        <w:t>HEEFT HET VOLGENDE BESLUIT VASTGESTELD:</w:t>
      </w:r>
    </w:p>
    <w:p w:rsidRPr="0044760B" w:rsidR="00454B40" w:rsidP="00B633A6" w:rsidRDefault="00454B40">
      <w:pPr>
        <w:jc w:val="both"/>
      </w:pPr>
    </w:p>
    <w:p w:rsidRPr="0044760B" w:rsidR="00454B40" w:rsidP="00B633A6" w:rsidRDefault="00454B40">
      <w:pPr>
        <w:jc w:val="both"/>
        <w:rPr>
          <w:i/>
        </w:rPr>
      </w:pPr>
      <w:r w:rsidRPr="0044760B">
        <w:rPr>
          <w:i/>
        </w:rPr>
        <w:t>Artikel 1</w:t>
      </w:r>
    </w:p>
    <w:p w:rsidRPr="0044760B" w:rsidR="00454B40" w:rsidP="00B633A6" w:rsidRDefault="00454B40">
      <w:pPr>
        <w:jc w:val="both"/>
        <w:rPr>
          <w:i/>
        </w:rPr>
      </w:pPr>
    </w:p>
    <w:p w:rsidRPr="0044760B" w:rsidR="00454B40" w:rsidP="00B633A6" w:rsidRDefault="00454B40">
      <w:pPr>
        <w:jc w:val="both"/>
      </w:pPr>
      <w:r w:rsidRPr="0044760B">
        <w:t>Bij de toepassing van de bepalingen van artikel 14, lid 2, van het Verdrag betreffende de Europese Unie worden de volgende beginselen nageleefd:</w:t>
      </w:r>
    </w:p>
    <w:p w:rsidRPr="0044760B" w:rsidR="00454B40" w:rsidP="00B633A6" w:rsidRDefault="00454B40">
      <w:pPr>
        <w:jc w:val="both"/>
      </w:pPr>
    </w:p>
    <w:p w:rsidRPr="0044760B" w:rsidR="00454B40" w:rsidP="00B633A6" w:rsidRDefault="00454B40">
      <w:pPr>
        <w:tabs>
          <w:tab w:val="left" w:pos="426"/>
        </w:tabs>
        <w:ind w:left="426" w:hanging="426"/>
        <w:jc w:val="both"/>
      </w:pPr>
      <w:r w:rsidRPr="0044760B">
        <w:t xml:space="preserve">– </w:t>
      </w:r>
      <w:proofErr w:type="gramStart"/>
      <w:r w:rsidRPr="0044760B">
        <w:t>bij</w:t>
      </w:r>
      <w:proofErr w:type="gramEnd"/>
      <w:r w:rsidRPr="0044760B">
        <w:t xml:space="preserve"> de zetelverdeling in het Europees Parlement worden de in het Verdrag betreffende de Europese Unie vastgelegde minimum- en maximumdrempel per lidstaat ten volle benut om zo nauw mogelijk aan te sluiten op de respectieve omvang van de bevolking van de lidstaten,</w:t>
      </w:r>
    </w:p>
    <w:p w:rsidRPr="0044760B" w:rsidR="00454B40" w:rsidP="00B633A6" w:rsidRDefault="00454B40">
      <w:pPr>
        <w:tabs>
          <w:tab w:val="left" w:pos="426"/>
        </w:tabs>
        <w:jc w:val="both"/>
      </w:pPr>
    </w:p>
    <w:p w:rsidRPr="0044760B" w:rsidR="00454B40" w:rsidP="00B633A6" w:rsidRDefault="00454B40">
      <w:pPr>
        <w:tabs>
          <w:tab w:val="left" w:pos="426"/>
        </w:tabs>
        <w:ind w:left="426" w:hanging="426"/>
        <w:jc w:val="both"/>
      </w:pPr>
      <w:r w:rsidRPr="0044760B">
        <w:t>–</w:t>
      </w:r>
      <w:r w:rsidRPr="0044760B">
        <w:tab/>
      </w:r>
      <w:proofErr w:type="gramStart"/>
      <w:r w:rsidRPr="0044760B">
        <w:t>degressieve</w:t>
      </w:r>
      <w:proofErr w:type="gramEnd"/>
      <w:r w:rsidRPr="0044760B">
        <w:t xml:space="preserve"> evenredigheid wordt als volgt gedefinieerd: de verhouding tussen de bevolking en het aantal zetels van elke lidstaat vóór afronding op hele getallen varieert naargelang van de respectieve bevolkingsomvang, hetgeen inhoudt dat een lid van het Europees Parlement uit een lidstaat met een grotere bevolking meer burgers vertegenwoordigt dan een lid uit een lidstaat met een kleinere bevolking en, omgekeerd, dat hoe groter de bevolking van een lidstaat is, hoe meer zetels deze lidstaat krijgt toegewezen,</w:t>
      </w:r>
    </w:p>
    <w:p w:rsidRPr="0044760B" w:rsidR="00454B40" w:rsidP="00B633A6" w:rsidRDefault="00454B40">
      <w:pPr>
        <w:tabs>
          <w:tab w:val="left" w:pos="426"/>
        </w:tabs>
        <w:ind w:left="426" w:hanging="426"/>
        <w:jc w:val="both"/>
      </w:pPr>
    </w:p>
    <w:p w:rsidRPr="0044760B" w:rsidR="00454B40" w:rsidP="00B633A6" w:rsidRDefault="00454B40">
      <w:pPr>
        <w:tabs>
          <w:tab w:val="left" w:pos="426"/>
        </w:tabs>
        <w:ind w:left="426" w:hanging="426"/>
        <w:jc w:val="both"/>
        <w:rPr>
          <w:rFonts w:cs="Calibri"/>
        </w:rPr>
      </w:pPr>
      <w:r w:rsidRPr="0044760B">
        <w:rPr>
          <w:b/>
          <w:i/>
        </w:rPr>
        <w:t>–</w:t>
      </w:r>
      <w:r w:rsidRPr="0044760B">
        <w:rPr>
          <w:b/>
          <w:i/>
        </w:rPr>
        <w:tab/>
      </w:r>
      <w:proofErr w:type="gramStart"/>
      <w:r w:rsidRPr="0044760B">
        <w:t>de</w:t>
      </w:r>
      <w:proofErr w:type="gramEnd"/>
      <w:r w:rsidRPr="0044760B">
        <w:t xml:space="preserve"> zetelverdeling weerspiegelt demografische ontwikkelingen in de lidstaten.</w:t>
      </w:r>
    </w:p>
    <w:p w:rsidRPr="0044760B" w:rsidR="00454B40" w:rsidP="00B633A6" w:rsidRDefault="00454B40">
      <w:pPr>
        <w:tabs>
          <w:tab w:val="left" w:pos="426"/>
        </w:tabs>
        <w:ind w:left="426" w:hanging="426"/>
        <w:jc w:val="both"/>
      </w:pPr>
    </w:p>
    <w:p w:rsidRPr="0044760B" w:rsidR="00454B40" w:rsidP="00B633A6" w:rsidRDefault="00454B40">
      <w:pPr>
        <w:tabs>
          <w:tab w:val="left" w:pos="426"/>
        </w:tabs>
        <w:ind w:left="426" w:hanging="426"/>
        <w:jc w:val="both"/>
        <w:rPr>
          <w:i/>
        </w:rPr>
      </w:pPr>
      <w:r w:rsidRPr="0044760B">
        <w:rPr>
          <w:i/>
        </w:rPr>
        <w:t>Artikel 2</w:t>
      </w:r>
    </w:p>
    <w:p w:rsidRPr="0044760B" w:rsidR="00454B40" w:rsidP="00B633A6" w:rsidRDefault="00454B40">
      <w:pPr>
        <w:tabs>
          <w:tab w:val="left" w:pos="426"/>
        </w:tabs>
        <w:ind w:left="426" w:hanging="426"/>
        <w:jc w:val="both"/>
        <w:rPr>
          <w:i/>
        </w:rPr>
      </w:pPr>
    </w:p>
    <w:p w:rsidRPr="0044760B" w:rsidR="00454B40" w:rsidP="00B633A6" w:rsidRDefault="00454B40">
      <w:pPr>
        <w:tabs>
          <w:tab w:val="left" w:pos="0"/>
        </w:tabs>
        <w:ind w:hanging="426"/>
        <w:jc w:val="both"/>
      </w:pPr>
      <w:r w:rsidRPr="0044760B">
        <w:tab/>
        <w:t>De totale bevolking van de lidstaten wordt door de Commissie (Eurostat) berekend op basis van de meest recente gegevens die de lidstaten verstrekken volgens een methode die in Verordening (EU) nr. 1260/2013 van het Europees Parlement en de Raad</w:t>
      </w:r>
      <w:r w:rsidRPr="0044760B">
        <w:rPr>
          <w:rStyle w:val="Voetnootmarkering"/>
        </w:rPr>
        <w:footnoteReference w:id="4"/>
      </w:r>
      <w:r w:rsidRPr="0044760B">
        <w:t xml:space="preserve"> wordt vastgesteld.</w:t>
      </w:r>
    </w:p>
    <w:p w:rsidRPr="0044760B" w:rsidR="00454B40" w:rsidP="00B633A6" w:rsidRDefault="00454B40">
      <w:pPr>
        <w:tabs>
          <w:tab w:val="left" w:pos="0"/>
        </w:tabs>
        <w:ind w:hanging="426"/>
        <w:jc w:val="both"/>
      </w:pPr>
    </w:p>
    <w:p w:rsidRPr="0044760B" w:rsidR="00454B40" w:rsidP="00B633A6" w:rsidRDefault="00454B40">
      <w:pPr>
        <w:jc w:val="both"/>
        <w:rPr>
          <w:i/>
        </w:rPr>
      </w:pPr>
    </w:p>
    <w:p w:rsidRPr="0044760B" w:rsidR="00454B40" w:rsidP="00B633A6" w:rsidRDefault="00454B40">
      <w:pPr>
        <w:jc w:val="both"/>
        <w:rPr>
          <w:i/>
        </w:rPr>
      </w:pPr>
      <w:r w:rsidRPr="0044760B">
        <w:rPr>
          <w:i/>
        </w:rPr>
        <w:t>Artikel 3</w:t>
      </w:r>
    </w:p>
    <w:p w:rsidRPr="0044760B" w:rsidR="00454B40" w:rsidP="00B633A6" w:rsidRDefault="00454B40">
      <w:pPr>
        <w:jc w:val="both"/>
      </w:pPr>
    </w:p>
    <w:p w:rsidRPr="0044760B" w:rsidR="00454B40" w:rsidP="00B633A6" w:rsidRDefault="00454B40">
      <w:pPr>
        <w:jc w:val="both"/>
      </w:pPr>
      <w:r w:rsidRPr="0044760B">
        <w:t>1. Voor de zittingsperiode 2019-2024 wordt het aantal in elke lidstaat gekozen vertegenwoordigers in het Europees Parlement als volgt vastgesteld:</w:t>
      </w:r>
    </w:p>
    <w:p w:rsidRPr="0044760B" w:rsidR="00454B40" w:rsidP="00B633A6" w:rsidRDefault="00454B40">
      <w:pPr>
        <w:jc w:val="both"/>
      </w:pPr>
    </w:p>
    <w:p w:rsidRPr="0044760B" w:rsidR="00454B40" w:rsidP="00B633A6" w:rsidRDefault="00454B40">
      <w:pPr>
        <w:jc w:val="both"/>
      </w:pPr>
    </w:p>
    <w:tbl>
      <w:tblPr>
        <w:tblW w:w="0" w:type="auto"/>
        <w:tblLook w:val="01E0" w:firstRow="1" w:lastRow="1" w:firstColumn="1" w:lastColumn="1" w:noHBand="0" w:noVBand="0"/>
      </w:tblPr>
      <w:tblGrid>
        <w:gridCol w:w="4127"/>
        <w:gridCol w:w="4084"/>
      </w:tblGrid>
      <w:tr w:rsidRPr="0044760B" w:rsidR="00454B40" w:rsidTr="00A838B6">
        <w:tc>
          <w:tcPr>
            <w:tcW w:w="4261" w:type="dxa"/>
            <w:shd w:val="clear" w:color="auto" w:fill="auto"/>
          </w:tcPr>
          <w:p w:rsidRPr="0044760B" w:rsidR="00454B40" w:rsidP="00B633A6" w:rsidRDefault="00454B40">
            <w:pPr>
              <w:jc w:val="both"/>
            </w:pPr>
            <w:r w:rsidRPr="0044760B">
              <w:t>België</w:t>
            </w:r>
          </w:p>
        </w:tc>
        <w:tc>
          <w:tcPr>
            <w:tcW w:w="4261" w:type="dxa"/>
            <w:shd w:val="clear" w:color="auto" w:fill="auto"/>
          </w:tcPr>
          <w:p w:rsidRPr="0044760B" w:rsidR="00454B40" w:rsidP="00B633A6" w:rsidRDefault="00454B40">
            <w:pPr>
              <w:jc w:val="both"/>
            </w:pPr>
            <w:r w:rsidRPr="0044760B">
              <w:t>21</w:t>
            </w:r>
          </w:p>
        </w:tc>
      </w:tr>
      <w:tr w:rsidRPr="0044760B" w:rsidR="00454B40" w:rsidTr="00A838B6">
        <w:tc>
          <w:tcPr>
            <w:tcW w:w="4261" w:type="dxa"/>
            <w:shd w:val="clear" w:color="auto" w:fill="auto"/>
          </w:tcPr>
          <w:p w:rsidRPr="0044760B" w:rsidR="00454B40" w:rsidP="00B633A6" w:rsidRDefault="00454B40">
            <w:pPr>
              <w:jc w:val="both"/>
            </w:pPr>
            <w:r w:rsidRPr="0044760B">
              <w:t>Bulgarije</w:t>
            </w:r>
          </w:p>
        </w:tc>
        <w:tc>
          <w:tcPr>
            <w:tcW w:w="4261" w:type="dxa"/>
            <w:shd w:val="clear" w:color="auto" w:fill="auto"/>
          </w:tcPr>
          <w:p w:rsidRPr="0044760B" w:rsidR="00454B40" w:rsidP="00B633A6" w:rsidRDefault="00454B40">
            <w:pPr>
              <w:jc w:val="both"/>
            </w:pPr>
            <w:r w:rsidRPr="0044760B">
              <w:t>17</w:t>
            </w:r>
          </w:p>
        </w:tc>
      </w:tr>
      <w:tr w:rsidRPr="0044760B" w:rsidR="00454B40" w:rsidTr="00A838B6">
        <w:tc>
          <w:tcPr>
            <w:tcW w:w="4261" w:type="dxa"/>
            <w:shd w:val="clear" w:color="auto" w:fill="auto"/>
          </w:tcPr>
          <w:p w:rsidRPr="0044760B" w:rsidR="00454B40" w:rsidP="00B633A6" w:rsidRDefault="00454B40">
            <w:pPr>
              <w:jc w:val="both"/>
            </w:pPr>
            <w:r w:rsidRPr="0044760B">
              <w:t>Tsjechië</w:t>
            </w:r>
          </w:p>
        </w:tc>
        <w:tc>
          <w:tcPr>
            <w:tcW w:w="4261" w:type="dxa"/>
            <w:shd w:val="clear" w:color="auto" w:fill="auto"/>
          </w:tcPr>
          <w:p w:rsidRPr="0044760B" w:rsidR="00454B40" w:rsidP="00B633A6" w:rsidRDefault="00454B40">
            <w:pPr>
              <w:jc w:val="both"/>
            </w:pPr>
            <w:r w:rsidRPr="0044760B">
              <w:t>21</w:t>
            </w:r>
          </w:p>
        </w:tc>
      </w:tr>
      <w:tr w:rsidRPr="0044760B" w:rsidR="00454B40" w:rsidTr="00A838B6">
        <w:tc>
          <w:tcPr>
            <w:tcW w:w="4261" w:type="dxa"/>
            <w:shd w:val="clear" w:color="auto" w:fill="auto"/>
          </w:tcPr>
          <w:p w:rsidRPr="0044760B" w:rsidR="00454B40" w:rsidP="00B633A6" w:rsidRDefault="00454B40">
            <w:pPr>
              <w:jc w:val="both"/>
            </w:pPr>
            <w:r w:rsidRPr="0044760B">
              <w:t>Denemarken</w:t>
            </w:r>
          </w:p>
        </w:tc>
        <w:tc>
          <w:tcPr>
            <w:tcW w:w="4261" w:type="dxa"/>
            <w:shd w:val="clear" w:color="auto" w:fill="auto"/>
          </w:tcPr>
          <w:p w:rsidRPr="0044760B" w:rsidR="00454B40" w:rsidP="00B633A6" w:rsidRDefault="00454B40">
            <w:pPr>
              <w:jc w:val="both"/>
            </w:pPr>
            <w:r w:rsidRPr="0044760B">
              <w:t>14</w:t>
            </w:r>
          </w:p>
        </w:tc>
      </w:tr>
      <w:tr w:rsidRPr="0044760B" w:rsidR="00454B40" w:rsidTr="00A838B6">
        <w:tc>
          <w:tcPr>
            <w:tcW w:w="4261" w:type="dxa"/>
            <w:shd w:val="clear" w:color="auto" w:fill="auto"/>
          </w:tcPr>
          <w:p w:rsidRPr="0044760B" w:rsidR="00454B40" w:rsidP="00B633A6" w:rsidRDefault="00454B40">
            <w:pPr>
              <w:jc w:val="both"/>
            </w:pPr>
            <w:r w:rsidRPr="0044760B">
              <w:t>Duitsland</w:t>
            </w:r>
          </w:p>
        </w:tc>
        <w:tc>
          <w:tcPr>
            <w:tcW w:w="4261" w:type="dxa"/>
            <w:shd w:val="clear" w:color="auto" w:fill="auto"/>
          </w:tcPr>
          <w:p w:rsidRPr="0044760B" w:rsidR="00454B40" w:rsidP="00B633A6" w:rsidRDefault="00454B40">
            <w:pPr>
              <w:jc w:val="both"/>
            </w:pPr>
            <w:r w:rsidRPr="0044760B">
              <w:t>96</w:t>
            </w:r>
          </w:p>
        </w:tc>
      </w:tr>
      <w:tr w:rsidRPr="0044760B" w:rsidR="00454B40" w:rsidTr="00A838B6">
        <w:tc>
          <w:tcPr>
            <w:tcW w:w="4261" w:type="dxa"/>
            <w:shd w:val="clear" w:color="auto" w:fill="auto"/>
          </w:tcPr>
          <w:p w:rsidRPr="0044760B" w:rsidR="00454B40" w:rsidP="00B633A6" w:rsidRDefault="00454B40">
            <w:pPr>
              <w:jc w:val="both"/>
            </w:pPr>
            <w:r w:rsidRPr="0044760B">
              <w:t>Estland</w:t>
            </w:r>
          </w:p>
        </w:tc>
        <w:tc>
          <w:tcPr>
            <w:tcW w:w="4261" w:type="dxa"/>
            <w:shd w:val="clear" w:color="auto" w:fill="auto"/>
          </w:tcPr>
          <w:p w:rsidRPr="0044760B" w:rsidR="00454B40" w:rsidP="00B633A6" w:rsidRDefault="00454B40">
            <w:pPr>
              <w:jc w:val="both"/>
            </w:pPr>
            <w:r w:rsidRPr="0044760B">
              <w:t xml:space="preserve">  7</w:t>
            </w:r>
          </w:p>
        </w:tc>
      </w:tr>
      <w:tr w:rsidRPr="0044760B" w:rsidR="00454B40" w:rsidTr="00A838B6">
        <w:tc>
          <w:tcPr>
            <w:tcW w:w="4261" w:type="dxa"/>
            <w:shd w:val="clear" w:color="auto" w:fill="auto"/>
          </w:tcPr>
          <w:p w:rsidRPr="0044760B" w:rsidR="00454B40" w:rsidP="00B633A6" w:rsidRDefault="00454B40">
            <w:pPr>
              <w:jc w:val="both"/>
            </w:pPr>
            <w:r w:rsidRPr="0044760B">
              <w:t>Ierland</w:t>
            </w:r>
          </w:p>
        </w:tc>
        <w:tc>
          <w:tcPr>
            <w:tcW w:w="4261" w:type="dxa"/>
            <w:shd w:val="clear" w:color="auto" w:fill="auto"/>
          </w:tcPr>
          <w:p w:rsidRPr="0044760B" w:rsidR="00454B40" w:rsidP="00B633A6" w:rsidRDefault="00454B40">
            <w:pPr>
              <w:jc w:val="both"/>
            </w:pPr>
            <w:r w:rsidRPr="0044760B">
              <w:t>13</w:t>
            </w:r>
          </w:p>
        </w:tc>
      </w:tr>
      <w:tr w:rsidRPr="0044760B" w:rsidR="00454B40" w:rsidTr="00A838B6">
        <w:tc>
          <w:tcPr>
            <w:tcW w:w="4261" w:type="dxa"/>
            <w:shd w:val="clear" w:color="auto" w:fill="auto"/>
          </w:tcPr>
          <w:p w:rsidRPr="0044760B" w:rsidR="00454B40" w:rsidP="00B633A6" w:rsidRDefault="00454B40">
            <w:pPr>
              <w:jc w:val="both"/>
            </w:pPr>
            <w:r w:rsidRPr="0044760B">
              <w:t>Griekenland</w:t>
            </w:r>
          </w:p>
        </w:tc>
        <w:tc>
          <w:tcPr>
            <w:tcW w:w="4261" w:type="dxa"/>
            <w:shd w:val="clear" w:color="auto" w:fill="auto"/>
          </w:tcPr>
          <w:p w:rsidRPr="0044760B" w:rsidR="00454B40" w:rsidP="00B633A6" w:rsidRDefault="00454B40">
            <w:pPr>
              <w:jc w:val="both"/>
            </w:pPr>
            <w:r w:rsidRPr="0044760B">
              <w:t>21</w:t>
            </w:r>
          </w:p>
        </w:tc>
      </w:tr>
      <w:tr w:rsidRPr="0044760B" w:rsidR="00454B40" w:rsidTr="00A838B6">
        <w:tc>
          <w:tcPr>
            <w:tcW w:w="4261" w:type="dxa"/>
            <w:shd w:val="clear" w:color="auto" w:fill="auto"/>
          </w:tcPr>
          <w:p w:rsidRPr="0044760B" w:rsidR="00454B40" w:rsidP="00B633A6" w:rsidRDefault="00454B40">
            <w:pPr>
              <w:jc w:val="both"/>
            </w:pPr>
            <w:r w:rsidRPr="0044760B">
              <w:t>Spanje</w:t>
            </w:r>
          </w:p>
        </w:tc>
        <w:tc>
          <w:tcPr>
            <w:tcW w:w="4261" w:type="dxa"/>
            <w:shd w:val="clear" w:color="auto" w:fill="auto"/>
          </w:tcPr>
          <w:p w:rsidRPr="0044760B" w:rsidR="00454B40" w:rsidP="00B633A6" w:rsidRDefault="00454B40">
            <w:pPr>
              <w:jc w:val="both"/>
            </w:pPr>
            <w:r w:rsidRPr="0044760B">
              <w:t>59</w:t>
            </w:r>
          </w:p>
        </w:tc>
      </w:tr>
      <w:tr w:rsidRPr="0044760B" w:rsidR="00454B40" w:rsidTr="00A838B6">
        <w:tc>
          <w:tcPr>
            <w:tcW w:w="4261" w:type="dxa"/>
            <w:shd w:val="clear" w:color="auto" w:fill="auto"/>
          </w:tcPr>
          <w:p w:rsidRPr="0044760B" w:rsidR="00454B40" w:rsidP="00B633A6" w:rsidRDefault="00454B40">
            <w:pPr>
              <w:jc w:val="both"/>
            </w:pPr>
            <w:r w:rsidRPr="0044760B">
              <w:t>Frankrijk</w:t>
            </w:r>
          </w:p>
        </w:tc>
        <w:tc>
          <w:tcPr>
            <w:tcW w:w="4261" w:type="dxa"/>
            <w:shd w:val="clear" w:color="auto" w:fill="auto"/>
          </w:tcPr>
          <w:p w:rsidRPr="0044760B" w:rsidR="00454B40" w:rsidP="00B633A6" w:rsidRDefault="00454B40">
            <w:pPr>
              <w:jc w:val="both"/>
            </w:pPr>
            <w:r w:rsidRPr="0044760B">
              <w:t>79</w:t>
            </w:r>
          </w:p>
        </w:tc>
      </w:tr>
      <w:tr w:rsidRPr="0044760B" w:rsidR="00454B40" w:rsidTr="00A838B6">
        <w:tc>
          <w:tcPr>
            <w:tcW w:w="4261" w:type="dxa"/>
            <w:shd w:val="clear" w:color="auto" w:fill="auto"/>
          </w:tcPr>
          <w:p w:rsidRPr="0044760B" w:rsidR="00454B40" w:rsidP="00B633A6" w:rsidRDefault="00454B40">
            <w:pPr>
              <w:jc w:val="both"/>
            </w:pPr>
            <w:r w:rsidRPr="0044760B">
              <w:t>Kroatië</w:t>
            </w:r>
          </w:p>
        </w:tc>
        <w:tc>
          <w:tcPr>
            <w:tcW w:w="4261" w:type="dxa"/>
            <w:shd w:val="clear" w:color="auto" w:fill="auto"/>
          </w:tcPr>
          <w:p w:rsidRPr="0044760B" w:rsidR="00454B40" w:rsidP="00B633A6" w:rsidRDefault="00454B40">
            <w:pPr>
              <w:jc w:val="both"/>
            </w:pPr>
            <w:r w:rsidRPr="0044760B">
              <w:t>12</w:t>
            </w:r>
          </w:p>
        </w:tc>
      </w:tr>
      <w:tr w:rsidRPr="0044760B" w:rsidR="00454B40" w:rsidTr="00A838B6">
        <w:tc>
          <w:tcPr>
            <w:tcW w:w="4261" w:type="dxa"/>
            <w:shd w:val="clear" w:color="auto" w:fill="auto"/>
          </w:tcPr>
          <w:p w:rsidRPr="0044760B" w:rsidR="00454B40" w:rsidP="00B633A6" w:rsidRDefault="00454B40">
            <w:pPr>
              <w:jc w:val="both"/>
            </w:pPr>
            <w:r w:rsidRPr="0044760B">
              <w:t>Italië</w:t>
            </w:r>
          </w:p>
        </w:tc>
        <w:tc>
          <w:tcPr>
            <w:tcW w:w="4261" w:type="dxa"/>
            <w:shd w:val="clear" w:color="auto" w:fill="auto"/>
          </w:tcPr>
          <w:p w:rsidRPr="0044760B" w:rsidR="00454B40" w:rsidP="00B633A6" w:rsidRDefault="00454B40">
            <w:pPr>
              <w:jc w:val="both"/>
            </w:pPr>
            <w:r w:rsidRPr="0044760B">
              <w:t>76</w:t>
            </w:r>
          </w:p>
        </w:tc>
      </w:tr>
      <w:tr w:rsidRPr="0044760B" w:rsidR="00454B40" w:rsidTr="00A838B6">
        <w:tc>
          <w:tcPr>
            <w:tcW w:w="4261" w:type="dxa"/>
            <w:shd w:val="clear" w:color="auto" w:fill="auto"/>
          </w:tcPr>
          <w:p w:rsidRPr="0044760B" w:rsidR="00454B40" w:rsidP="00B633A6" w:rsidRDefault="00454B40">
            <w:pPr>
              <w:jc w:val="both"/>
            </w:pPr>
            <w:r w:rsidRPr="0044760B">
              <w:t>Cyprus</w:t>
            </w:r>
          </w:p>
        </w:tc>
        <w:tc>
          <w:tcPr>
            <w:tcW w:w="4261" w:type="dxa"/>
            <w:shd w:val="clear" w:color="auto" w:fill="auto"/>
          </w:tcPr>
          <w:p w:rsidRPr="0044760B" w:rsidR="00454B40" w:rsidP="00B633A6" w:rsidRDefault="00454B40">
            <w:pPr>
              <w:jc w:val="both"/>
            </w:pPr>
            <w:r w:rsidRPr="0044760B">
              <w:t xml:space="preserve">  6</w:t>
            </w:r>
          </w:p>
        </w:tc>
      </w:tr>
      <w:tr w:rsidRPr="0044760B" w:rsidR="00454B40" w:rsidTr="00A838B6">
        <w:tc>
          <w:tcPr>
            <w:tcW w:w="4261" w:type="dxa"/>
            <w:shd w:val="clear" w:color="auto" w:fill="auto"/>
          </w:tcPr>
          <w:p w:rsidRPr="0044760B" w:rsidR="00454B40" w:rsidP="00B633A6" w:rsidRDefault="00454B40">
            <w:pPr>
              <w:jc w:val="both"/>
            </w:pPr>
            <w:r w:rsidRPr="0044760B">
              <w:t>Letland</w:t>
            </w:r>
          </w:p>
        </w:tc>
        <w:tc>
          <w:tcPr>
            <w:tcW w:w="4261" w:type="dxa"/>
            <w:shd w:val="clear" w:color="auto" w:fill="auto"/>
          </w:tcPr>
          <w:p w:rsidRPr="0044760B" w:rsidR="00454B40" w:rsidP="00B633A6" w:rsidRDefault="00454B40">
            <w:pPr>
              <w:jc w:val="both"/>
            </w:pPr>
            <w:r w:rsidRPr="0044760B">
              <w:t xml:space="preserve">  8</w:t>
            </w:r>
          </w:p>
        </w:tc>
      </w:tr>
      <w:tr w:rsidRPr="0044760B" w:rsidR="00454B40" w:rsidTr="00A838B6">
        <w:tc>
          <w:tcPr>
            <w:tcW w:w="4261" w:type="dxa"/>
            <w:shd w:val="clear" w:color="auto" w:fill="auto"/>
          </w:tcPr>
          <w:p w:rsidRPr="0044760B" w:rsidR="00454B40" w:rsidP="00B633A6" w:rsidRDefault="00454B40">
            <w:pPr>
              <w:jc w:val="both"/>
            </w:pPr>
            <w:r w:rsidRPr="0044760B">
              <w:t>Litouwen</w:t>
            </w:r>
          </w:p>
        </w:tc>
        <w:tc>
          <w:tcPr>
            <w:tcW w:w="4261" w:type="dxa"/>
            <w:shd w:val="clear" w:color="auto" w:fill="auto"/>
          </w:tcPr>
          <w:p w:rsidRPr="0044760B" w:rsidR="00454B40" w:rsidP="00B633A6" w:rsidRDefault="00454B40">
            <w:pPr>
              <w:jc w:val="both"/>
            </w:pPr>
            <w:r w:rsidRPr="0044760B">
              <w:t>11</w:t>
            </w:r>
          </w:p>
        </w:tc>
      </w:tr>
      <w:tr w:rsidRPr="0044760B" w:rsidR="00454B40" w:rsidTr="00A838B6">
        <w:tc>
          <w:tcPr>
            <w:tcW w:w="4261" w:type="dxa"/>
            <w:shd w:val="clear" w:color="auto" w:fill="auto"/>
          </w:tcPr>
          <w:p w:rsidRPr="0044760B" w:rsidR="00454B40" w:rsidP="00B633A6" w:rsidRDefault="00454B40">
            <w:pPr>
              <w:jc w:val="both"/>
            </w:pPr>
            <w:r w:rsidRPr="0044760B">
              <w:t>Luxemburg</w:t>
            </w:r>
          </w:p>
        </w:tc>
        <w:tc>
          <w:tcPr>
            <w:tcW w:w="4261" w:type="dxa"/>
            <w:shd w:val="clear" w:color="auto" w:fill="auto"/>
          </w:tcPr>
          <w:p w:rsidRPr="0044760B" w:rsidR="00454B40" w:rsidP="00B633A6" w:rsidRDefault="00454B40">
            <w:pPr>
              <w:jc w:val="both"/>
            </w:pPr>
            <w:r w:rsidRPr="0044760B">
              <w:t xml:space="preserve">  6</w:t>
            </w:r>
          </w:p>
        </w:tc>
      </w:tr>
      <w:tr w:rsidRPr="0044760B" w:rsidR="00454B40" w:rsidTr="00A838B6">
        <w:tc>
          <w:tcPr>
            <w:tcW w:w="4261" w:type="dxa"/>
            <w:shd w:val="clear" w:color="auto" w:fill="auto"/>
          </w:tcPr>
          <w:p w:rsidRPr="0044760B" w:rsidR="00454B40" w:rsidP="00B633A6" w:rsidRDefault="00454B40">
            <w:pPr>
              <w:jc w:val="both"/>
            </w:pPr>
            <w:r w:rsidRPr="0044760B">
              <w:t>Hongarije</w:t>
            </w:r>
          </w:p>
        </w:tc>
        <w:tc>
          <w:tcPr>
            <w:tcW w:w="4261" w:type="dxa"/>
            <w:shd w:val="clear" w:color="auto" w:fill="auto"/>
          </w:tcPr>
          <w:p w:rsidRPr="0044760B" w:rsidR="00454B40" w:rsidP="00B633A6" w:rsidRDefault="00454B40">
            <w:pPr>
              <w:jc w:val="both"/>
            </w:pPr>
            <w:r w:rsidRPr="0044760B">
              <w:t>21</w:t>
            </w:r>
          </w:p>
        </w:tc>
      </w:tr>
      <w:tr w:rsidRPr="0044760B" w:rsidR="00454B40" w:rsidTr="00A838B6">
        <w:tc>
          <w:tcPr>
            <w:tcW w:w="4261" w:type="dxa"/>
            <w:shd w:val="clear" w:color="auto" w:fill="auto"/>
          </w:tcPr>
          <w:p w:rsidRPr="0044760B" w:rsidR="00454B40" w:rsidP="00B633A6" w:rsidRDefault="00454B40">
            <w:pPr>
              <w:jc w:val="both"/>
            </w:pPr>
            <w:r w:rsidRPr="0044760B">
              <w:t>Malta</w:t>
            </w:r>
          </w:p>
        </w:tc>
        <w:tc>
          <w:tcPr>
            <w:tcW w:w="4261" w:type="dxa"/>
            <w:shd w:val="clear" w:color="auto" w:fill="auto"/>
          </w:tcPr>
          <w:p w:rsidRPr="0044760B" w:rsidR="00454B40" w:rsidP="00B633A6" w:rsidRDefault="00454B40">
            <w:pPr>
              <w:jc w:val="both"/>
            </w:pPr>
            <w:r w:rsidRPr="0044760B">
              <w:t xml:space="preserve">  6</w:t>
            </w:r>
          </w:p>
        </w:tc>
      </w:tr>
      <w:tr w:rsidRPr="0044760B" w:rsidR="00454B40" w:rsidTr="00A838B6">
        <w:tc>
          <w:tcPr>
            <w:tcW w:w="4261" w:type="dxa"/>
            <w:shd w:val="clear" w:color="auto" w:fill="auto"/>
          </w:tcPr>
          <w:p w:rsidRPr="0044760B" w:rsidR="00454B40" w:rsidP="00B633A6" w:rsidRDefault="00454B40">
            <w:pPr>
              <w:jc w:val="both"/>
            </w:pPr>
            <w:r w:rsidRPr="0044760B">
              <w:t>Nederland</w:t>
            </w:r>
          </w:p>
        </w:tc>
        <w:tc>
          <w:tcPr>
            <w:tcW w:w="4261" w:type="dxa"/>
            <w:shd w:val="clear" w:color="auto" w:fill="auto"/>
          </w:tcPr>
          <w:p w:rsidRPr="0044760B" w:rsidR="00454B40" w:rsidP="00B633A6" w:rsidRDefault="00454B40">
            <w:pPr>
              <w:jc w:val="both"/>
            </w:pPr>
            <w:r w:rsidRPr="0044760B">
              <w:t>29</w:t>
            </w:r>
          </w:p>
        </w:tc>
      </w:tr>
      <w:tr w:rsidRPr="0044760B" w:rsidR="00454B40" w:rsidTr="00A838B6">
        <w:tc>
          <w:tcPr>
            <w:tcW w:w="4261" w:type="dxa"/>
            <w:shd w:val="clear" w:color="auto" w:fill="auto"/>
          </w:tcPr>
          <w:p w:rsidRPr="0044760B" w:rsidR="00454B40" w:rsidP="00B633A6" w:rsidRDefault="00454B40">
            <w:pPr>
              <w:jc w:val="both"/>
            </w:pPr>
            <w:r w:rsidRPr="0044760B">
              <w:t>Oostenrijk</w:t>
            </w:r>
          </w:p>
        </w:tc>
        <w:tc>
          <w:tcPr>
            <w:tcW w:w="4261" w:type="dxa"/>
            <w:shd w:val="clear" w:color="auto" w:fill="auto"/>
          </w:tcPr>
          <w:p w:rsidRPr="0044760B" w:rsidR="00454B40" w:rsidP="00B633A6" w:rsidRDefault="00454B40">
            <w:pPr>
              <w:jc w:val="both"/>
            </w:pPr>
            <w:r w:rsidRPr="0044760B">
              <w:t>19</w:t>
            </w:r>
          </w:p>
        </w:tc>
      </w:tr>
      <w:tr w:rsidRPr="0044760B" w:rsidR="00454B40" w:rsidTr="00A838B6">
        <w:tc>
          <w:tcPr>
            <w:tcW w:w="4261" w:type="dxa"/>
            <w:shd w:val="clear" w:color="auto" w:fill="auto"/>
          </w:tcPr>
          <w:p w:rsidRPr="0044760B" w:rsidR="00454B40" w:rsidP="00B633A6" w:rsidRDefault="00454B40">
            <w:pPr>
              <w:jc w:val="both"/>
            </w:pPr>
            <w:r w:rsidRPr="0044760B">
              <w:t>Polen</w:t>
            </w:r>
          </w:p>
        </w:tc>
        <w:tc>
          <w:tcPr>
            <w:tcW w:w="4261" w:type="dxa"/>
            <w:shd w:val="clear" w:color="auto" w:fill="auto"/>
          </w:tcPr>
          <w:p w:rsidRPr="0044760B" w:rsidR="00454B40" w:rsidP="00B633A6" w:rsidRDefault="00454B40">
            <w:pPr>
              <w:jc w:val="both"/>
            </w:pPr>
            <w:r w:rsidRPr="0044760B">
              <w:t>52</w:t>
            </w:r>
          </w:p>
        </w:tc>
      </w:tr>
      <w:tr w:rsidRPr="0044760B" w:rsidR="00454B40" w:rsidTr="00A838B6">
        <w:tc>
          <w:tcPr>
            <w:tcW w:w="4261" w:type="dxa"/>
            <w:shd w:val="clear" w:color="auto" w:fill="auto"/>
          </w:tcPr>
          <w:p w:rsidRPr="0044760B" w:rsidR="00454B40" w:rsidP="00B633A6" w:rsidRDefault="00454B40">
            <w:pPr>
              <w:jc w:val="both"/>
            </w:pPr>
            <w:r w:rsidRPr="0044760B">
              <w:t>Portugal</w:t>
            </w:r>
          </w:p>
        </w:tc>
        <w:tc>
          <w:tcPr>
            <w:tcW w:w="4261" w:type="dxa"/>
            <w:shd w:val="clear" w:color="auto" w:fill="auto"/>
          </w:tcPr>
          <w:p w:rsidRPr="0044760B" w:rsidR="00454B40" w:rsidP="00B633A6" w:rsidRDefault="00454B40">
            <w:pPr>
              <w:jc w:val="both"/>
            </w:pPr>
            <w:r w:rsidRPr="0044760B">
              <w:t>21</w:t>
            </w:r>
          </w:p>
        </w:tc>
      </w:tr>
      <w:tr w:rsidRPr="0044760B" w:rsidR="00454B40" w:rsidTr="00A838B6">
        <w:tc>
          <w:tcPr>
            <w:tcW w:w="4261" w:type="dxa"/>
            <w:shd w:val="clear" w:color="auto" w:fill="auto"/>
          </w:tcPr>
          <w:p w:rsidRPr="0044760B" w:rsidR="00454B40" w:rsidP="00B633A6" w:rsidRDefault="00454B40">
            <w:pPr>
              <w:jc w:val="both"/>
            </w:pPr>
            <w:r w:rsidRPr="0044760B">
              <w:t>Roemenië</w:t>
            </w:r>
          </w:p>
        </w:tc>
        <w:tc>
          <w:tcPr>
            <w:tcW w:w="4261" w:type="dxa"/>
            <w:shd w:val="clear" w:color="auto" w:fill="auto"/>
          </w:tcPr>
          <w:p w:rsidRPr="0044760B" w:rsidR="00454B40" w:rsidP="00B633A6" w:rsidRDefault="00454B40">
            <w:pPr>
              <w:jc w:val="both"/>
            </w:pPr>
            <w:r w:rsidRPr="0044760B">
              <w:t>33</w:t>
            </w:r>
          </w:p>
        </w:tc>
      </w:tr>
      <w:tr w:rsidRPr="0044760B" w:rsidR="00454B40" w:rsidTr="00A838B6">
        <w:tc>
          <w:tcPr>
            <w:tcW w:w="4261" w:type="dxa"/>
            <w:shd w:val="clear" w:color="auto" w:fill="auto"/>
          </w:tcPr>
          <w:p w:rsidRPr="0044760B" w:rsidR="00454B40" w:rsidP="00B633A6" w:rsidRDefault="00454B40">
            <w:pPr>
              <w:jc w:val="both"/>
            </w:pPr>
            <w:r w:rsidRPr="0044760B">
              <w:t>Slovenië</w:t>
            </w:r>
          </w:p>
        </w:tc>
        <w:tc>
          <w:tcPr>
            <w:tcW w:w="4261" w:type="dxa"/>
            <w:shd w:val="clear" w:color="auto" w:fill="auto"/>
          </w:tcPr>
          <w:p w:rsidRPr="0044760B" w:rsidR="00454B40" w:rsidP="00B633A6" w:rsidRDefault="00454B40">
            <w:pPr>
              <w:jc w:val="both"/>
            </w:pPr>
            <w:r w:rsidRPr="0044760B">
              <w:t xml:space="preserve">  8</w:t>
            </w:r>
          </w:p>
        </w:tc>
      </w:tr>
      <w:tr w:rsidRPr="0044760B" w:rsidR="00454B40" w:rsidTr="00A838B6">
        <w:tc>
          <w:tcPr>
            <w:tcW w:w="4261" w:type="dxa"/>
            <w:shd w:val="clear" w:color="auto" w:fill="auto"/>
          </w:tcPr>
          <w:p w:rsidRPr="0044760B" w:rsidR="00454B40" w:rsidP="00B633A6" w:rsidRDefault="00454B40">
            <w:pPr>
              <w:jc w:val="both"/>
            </w:pPr>
            <w:r w:rsidRPr="0044760B">
              <w:t>Slowakije</w:t>
            </w:r>
          </w:p>
        </w:tc>
        <w:tc>
          <w:tcPr>
            <w:tcW w:w="4261" w:type="dxa"/>
            <w:shd w:val="clear" w:color="auto" w:fill="auto"/>
          </w:tcPr>
          <w:p w:rsidRPr="0044760B" w:rsidR="00454B40" w:rsidP="00B633A6" w:rsidRDefault="00454B40">
            <w:pPr>
              <w:jc w:val="both"/>
            </w:pPr>
            <w:r w:rsidRPr="0044760B">
              <w:t>14</w:t>
            </w:r>
          </w:p>
        </w:tc>
      </w:tr>
      <w:tr w:rsidRPr="0044760B" w:rsidR="00454B40" w:rsidTr="00A838B6">
        <w:tc>
          <w:tcPr>
            <w:tcW w:w="4261" w:type="dxa"/>
            <w:shd w:val="clear" w:color="auto" w:fill="auto"/>
          </w:tcPr>
          <w:p w:rsidRPr="0044760B" w:rsidR="00454B40" w:rsidP="00B633A6" w:rsidRDefault="00454B40">
            <w:pPr>
              <w:jc w:val="both"/>
            </w:pPr>
            <w:r w:rsidRPr="0044760B">
              <w:t>Finland</w:t>
            </w:r>
          </w:p>
        </w:tc>
        <w:tc>
          <w:tcPr>
            <w:tcW w:w="4261" w:type="dxa"/>
            <w:shd w:val="clear" w:color="auto" w:fill="auto"/>
          </w:tcPr>
          <w:p w:rsidRPr="0044760B" w:rsidR="00454B40" w:rsidP="00B633A6" w:rsidRDefault="00454B40">
            <w:pPr>
              <w:jc w:val="both"/>
            </w:pPr>
            <w:r w:rsidRPr="0044760B">
              <w:t>14</w:t>
            </w:r>
          </w:p>
        </w:tc>
      </w:tr>
      <w:tr w:rsidRPr="0044760B" w:rsidR="00454B40" w:rsidTr="00A838B6">
        <w:tc>
          <w:tcPr>
            <w:tcW w:w="4261" w:type="dxa"/>
            <w:shd w:val="clear" w:color="auto" w:fill="auto"/>
          </w:tcPr>
          <w:p w:rsidRPr="0044760B" w:rsidR="00454B40" w:rsidP="00B633A6" w:rsidRDefault="00454B40">
            <w:pPr>
              <w:jc w:val="both"/>
            </w:pPr>
            <w:r w:rsidRPr="0044760B">
              <w:t>Zweden</w:t>
            </w:r>
          </w:p>
        </w:tc>
        <w:tc>
          <w:tcPr>
            <w:tcW w:w="4261" w:type="dxa"/>
            <w:shd w:val="clear" w:color="auto" w:fill="auto"/>
          </w:tcPr>
          <w:p w:rsidRPr="0044760B" w:rsidR="00454B40" w:rsidP="00B633A6" w:rsidRDefault="00454B40">
            <w:pPr>
              <w:jc w:val="both"/>
            </w:pPr>
            <w:r w:rsidRPr="0044760B">
              <w:t>21</w:t>
            </w:r>
          </w:p>
        </w:tc>
      </w:tr>
    </w:tbl>
    <w:p w:rsidRPr="0044760B" w:rsidR="00454B40" w:rsidP="00B633A6" w:rsidRDefault="00454B40">
      <w:pPr>
        <w:spacing w:before="120" w:line="312" w:lineRule="atLeast"/>
        <w:jc w:val="both"/>
      </w:pPr>
    </w:p>
    <w:p w:rsidRPr="0044760B" w:rsidR="00454B40" w:rsidP="00B633A6" w:rsidRDefault="00454B40">
      <w:pPr>
        <w:jc w:val="both"/>
      </w:pPr>
    </w:p>
    <w:p w:rsidRPr="0044760B" w:rsidR="00454B40" w:rsidP="00B633A6" w:rsidRDefault="00454B40">
      <w:pPr>
        <w:jc w:val="both"/>
        <w:rPr>
          <w:sz w:val="22"/>
        </w:rPr>
      </w:pPr>
      <w:r w:rsidRPr="0044760B">
        <w:t xml:space="preserve">2. Indien </w:t>
      </w:r>
      <w:proofErr w:type="gramStart"/>
      <w:r w:rsidRPr="0044760B">
        <w:t>evenwel</w:t>
      </w:r>
      <w:proofErr w:type="gramEnd"/>
      <w:r w:rsidRPr="0044760B">
        <w:t xml:space="preserve"> het Verenigd Koninkrijk aan het begin van de zittingsperiode 2019-2024 nog steeds een lidstaat van de Unie is, is het aantal in elke lidstaat gekozen vertegenwoordigers dat het ambt aanvaardt het aantal dat bepaald is in artikel 3 van Besluit 2013/312/EU van de Europese Raad</w:t>
      </w:r>
      <w:r w:rsidRPr="0044760B">
        <w:rPr>
          <w:rStyle w:val="Voetnootmarkering"/>
        </w:rPr>
        <w:footnoteReference w:id="5"/>
      </w:r>
      <w:r w:rsidRPr="0044760B">
        <w:t xml:space="preserve">, totdat de terugtrekking van het Verenigd Koninkrijk uit de Europese Unie rechtsgeldig wordt.   </w:t>
      </w:r>
    </w:p>
    <w:p w:rsidRPr="0044760B" w:rsidR="00454B40" w:rsidP="00B633A6" w:rsidRDefault="00454B40">
      <w:pPr>
        <w:jc w:val="both"/>
      </w:pPr>
    </w:p>
    <w:p w:rsidRPr="0044760B" w:rsidR="00454B40" w:rsidP="00B633A6" w:rsidRDefault="00454B40">
      <w:pPr>
        <w:jc w:val="both"/>
      </w:pPr>
      <w:r w:rsidRPr="0044760B">
        <w:t xml:space="preserve">Zodra de terugtrekking van het Verenigd Koninkrijk uit de Unie rechtsgeldig wordt, is het aantal in elke lidstaat gekozen vertegenwoordigers in het Europees Parlement het aantal als bepaald in lid 1 van dit artikel. </w:t>
      </w:r>
    </w:p>
    <w:p w:rsidRPr="0044760B" w:rsidR="00454B40" w:rsidP="00B633A6" w:rsidRDefault="00454B40">
      <w:pPr>
        <w:jc w:val="both"/>
      </w:pPr>
    </w:p>
    <w:p w:rsidRPr="0044760B" w:rsidR="00454B40" w:rsidP="00B633A6" w:rsidRDefault="00454B40">
      <w:pPr>
        <w:jc w:val="both"/>
      </w:pPr>
      <w:r w:rsidRPr="0044760B">
        <w:t xml:space="preserve">De vertegenwoordigers in het Europees Parlement die de extra zetels zullen bezetten die het verschil zijn tussen het aantal </w:t>
      </w:r>
      <w:proofErr w:type="gramStart"/>
      <w:r w:rsidRPr="0044760B">
        <w:t>overeenkomstig</w:t>
      </w:r>
      <w:proofErr w:type="gramEnd"/>
      <w:r w:rsidRPr="0044760B">
        <w:t xml:space="preserve"> de eerste alinea en de tweede alinea van dit lid toegewezen zetels, nemen op hetzelfde moment zitting in het Parlement.</w:t>
      </w:r>
    </w:p>
    <w:p w:rsidRPr="0044760B" w:rsidR="00454B40" w:rsidP="00B633A6" w:rsidRDefault="00454B40">
      <w:pPr>
        <w:jc w:val="both"/>
      </w:pPr>
    </w:p>
    <w:p w:rsidRPr="0044760B" w:rsidR="00454B40" w:rsidP="00B633A6" w:rsidRDefault="00454B40">
      <w:pPr>
        <w:jc w:val="both"/>
      </w:pPr>
    </w:p>
    <w:p w:rsidRPr="0044760B" w:rsidR="00454B40" w:rsidP="00B633A6" w:rsidRDefault="00454B40">
      <w:pPr>
        <w:jc w:val="both"/>
        <w:rPr>
          <w:i/>
        </w:rPr>
      </w:pPr>
      <w:r w:rsidRPr="0044760B">
        <w:rPr>
          <w:i/>
        </w:rPr>
        <w:t>Artikel 4</w:t>
      </w:r>
    </w:p>
    <w:p w:rsidRPr="0044760B" w:rsidR="00454B40" w:rsidP="00B633A6" w:rsidRDefault="00454B40">
      <w:pPr>
        <w:jc w:val="both"/>
      </w:pPr>
    </w:p>
    <w:p w:rsidRPr="0044760B" w:rsidR="00454B40" w:rsidP="00B633A6" w:rsidRDefault="00454B40">
      <w:pPr>
        <w:jc w:val="both"/>
        <w:rPr>
          <w:sz w:val="22"/>
        </w:rPr>
      </w:pPr>
      <w:r w:rsidRPr="0044760B">
        <w:t xml:space="preserve">Na het van kracht worden van de passende rechtsgrondslag voor de transnationale lijsten wordt een gemeenschappelijk kiesdistrict gevormd dat het hele grondgebied van de Unie omvat. De bepalingen </w:t>
      </w:r>
      <w:proofErr w:type="gramStart"/>
      <w:r w:rsidRPr="0044760B">
        <w:t>inzake</w:t>
      </w:r>
      <w:proofErr w:type="gramEnd"/>
      <w:r w:rsidRPr="0044760B">
        <w:t xml:space="preserve"> dit gemeenschappelijke kiesdistrict worden vastgelegd in het Besluit van de Raad tot vaststelling van de bepalingen tot wijziging van de Akte betreffende de verkiezing van de vertegenwoordigers in het Europees Parlement door middel van rechtstreekse algemene verkiezingen.</w:t>
      </w:r>
    </w:p>
    <w:p w:rsidRPr="0044760B" w:rsidR="00454B40" w:rsidP="00B633A6" w:rsidRDefault="00454B40">
      <w:pPr>
        <w:jc w:val="both"/>
      </w:pPr>
    </w:p>
    <w:p w:rsidRPr="0044760B" w:rsidR="00454B40" w:rsidP="00B633A6" w:rsidRDefault="00454B40">
      <w:pPr>
        <w:jc w:val="both"/>
      </w:pPr>
      <w:r w:rsidRPr="0044760B">
        <w:t xml:space="preserve">Indien </w:t>
      </w:r>
      <w:proofErr w:type="gramStart"/>
      <w:r w:rsidRPr="0044760B">
        <w:t>evenwel</w:t>
      </w:r>
      <w:proofErr w:type="gramEnd"/>
      <w:r w:rsidRPr="0044760B">
        <w:t xml:space="preserve"> het Verenigd Koninkrijk aan het begin van de zittingsperiode 2019-2024 nog steeds een lidstaat van de Unie is en als er vertegenwoordigers in het Europees Parlement verkozen zijn op basis van transnationale lijsten, nemen deze vertegenwoordigers pas zitting in het Parlement als de terugtrekking van het Verenigd Koninkrijk uit de Unie rechtsgeldig wordt.</w:t>
      </w:r>
    </w:p>
    <w:p w:rsidRPr="0044760B" w:rsidR="00454B40" w:rsidP="00B633A6" w:rsidRDefault="00454B40">
      <w:pPr>
        <w:jc w:val="both"/>
      </w:pPr>
    </w:p>
    <w:p w:rsidRPr="0044760B" w:rsidR="00454B40" w:rsidP="00B633A6" w:rsidRDefault="00454B40">
      <w:pPr>
        <w:pStyle w:val="Normal12Hanging"/>
        <w:ind w:left="0" w:firstLine="0"/>
        <w:jc w:val="both"/>
      </w:pPr>
      <w:r w:rsidRPr="0044760B">
        <w:t>Het aantal vertegenwoordigers dat verkozen wordt via het gemeenschappelijk kiesdistrict wordt bepaald op basis van het aantal lidstaten.</w:t>
      </w:r>
    </w:p>
    <w:p w:rsidRPr="0044760B" w:rsidR="00454B40" w:rsidP="00B633A6" w:rsidRDefault="00454B40">
      <w:pPr>
        <w:jc w:val="both"/>
        <w:rPr>
          <w:sz w:val="22"/>
        </w:rPr>
      </w:pPr>
    </w:p>
    <w:p w:rsidRPr="0044760B" w:rsidR="00454B40" w:rsidP="00B633A6" w:rsidRDefault="00454B40">
      <w:pPr>
        <w:jc w:val="both"/>
      </w:pPr>
    </w:p>
    <w:p w:rsidRPr="0044760B" w:rsidR="00454B40" w:rsidP="00B633A6" w:rsidRDefault="00454B40">
      <w:pPr>
        <w:jc w:val="both"/>
        <w:rPr>
          <w:i/>
        </w:rPr>
      </w:pPr>
      <w:r w:rsidRPr="0044760B">
        <w:rPr>
          <w:i/>
        </w:rPr>
        <w:t>Artikel 5</w:t>
      </w:r>
    </w:p>
    <w:p w:rsidRPr="0044760B" w:rsidR="00454B40" w:rsidP="00B633A6" w:rsidRDefault="00454B40">
      <w:pPr>
        <w:jc w:val="both"/>
      </w:pPr>
    </w:p>
    <w:p w:rsidRPr="0044760B" w:rsidR="00454B40" w:rsidP="00B633A6" w:rsidRDefault="00454B40">
      <w:pPr>
        <w:jc w:val="both"/>
      </w:pPr>
      <w:r w:rsidRPr="0044760B">
        <w:t xml:space="preserve">Ruim voor het begin van de zittingsperiode 2024-2029 dient het Europees Parlement </w:t>
      </w:r>
      <w:proofErr w:type="gramStart"/>
      <w:r w:rsidRPr="0044760B">
        <w:t>overeenkomstig</w:t>
      </w:r>
      <w:proofErr w:type="gramEnd"/>
      <w:r w:rsidRPr="0044760B">
        <w:t xml:space="preserve"> artikel 14, lid 2, van het Verdrag betreffende de Europese Unie bij de Europese Raad een voorstel in voor een geactualiseerde zetelverdeling.</w:t>
      </w:r>
    </w:p>
    <w:p w:rsidRPr="0044760B" w:rsidR="00454B40" w:rsidP="00B633A6" w:rsidRDefault="00454B40">
      <w:pPr>
        <w:jc w:val="both"/>
      </w:pPr>
    </w:p>
    <w:p w:rsidRPr="0044760B" w:rsidR="00454B40" w:rsidP="00B633A6" w:rsidRDefault="00454B40">
      <w:pPr>
        <w:jc w:val="both"/>
      </w:pPr>
    </w:p>
    <w:p w:rsidRPr="0044760B" w:rsidR="00454B40" w:rsidP="00B633A6" w:rsidRDefault="00454B40">
      <w:pPr>
        <w:jc w:val="both"/>
        <w:rPr>
          <w:i/>
        </w:rPr>
      </w:pPr>
      <w:r w:rsidRPr="0044760B">
        <w:rPr>
          <w:i/>
        </w:rPr>
        <w:t>Artikel 6</w:t>
      </w:r>
    </w:p>
    <w:p w:rsidRPr="0044760B" w:rsidR="00454B40" w:rsidP="00B633A6" w:rsidRDefault="00454B40">
      <w:pPr>
        <w:jc w:val="both"/>
      </w:pPr>
    </w:p>
    <w:p w:rsidRPr="0044760B" w:rsidR="00454B40" w:rsidP="00B633A6" w:rsidRDefault="00454B40">
      <w:pPr>
        <w:jc w:val="both"/>
      </w:pPr>
      <w:r w:rsidRPr="0044760B">
        <w:t xml:space="preserve">Dit besluit treedt in werking op de dag na die van de bekendmaking ervan in het </w:t>
      </w:r>
      <w:r w:rsidRPr="0044760B">
        <w:rPr>
          <w:i/>
        </w:rPr>
        <w:t>Publicatieblad van de Europese Unie</w:t>
      </w:r>
      <w:r w:rsidRPr="0044760B">
        <w:t>.</w:t>
      </w:r>
    </w:p>
    <w:p w:rsidRPr="0044760B" w:rsidR="00454B40" w:rsidP="00B633A6" w:rsidRDefault="00454B40">
      <w:pPr>
        <w:jc w:val="both"/>
      </w:pPr>
    </w:p>
    <w:p w:rsidRPr="0044760B" w:rsidR="00454B40" w:rsidP="00B633A6" w:rsidRDefault="00454B40">
      <w:pPr>
        <w:jc w:val="both"/>
      </w:pPr>
      <w:r w:rsidRPr="0044760B">
        <w:t>Gedaan te …,</w:t>
      </w:r>
    </w:p>
    <w:p w:rsidRPr="0044760B" w:rsidR="00454B40" w:rsidP="00B633A6" w:rsidRDefault="00454B40">
      <w:pPr>
        <w:jc w:val="both"/>
      </w:pPr>
    </w:p>
    <w:p w:rsidRPr="0044760B" w:rsidR="00454B40" w:rsidP="00B633A6" w:rsidRDefault="00454B40">
      <w:pPr>
        <w:jc w:val="both"/>
      </w:pPr>
    </w:p>
    <w:p w:rsidRPr="0044760B" w:rsidR="00454B40" w:rsidP="00B633A6" w:rsidRDefault="00454B40">
      <w:pPr>
        <w:ind w:firstLine="5760"/>
        <w:jc w:val="both"/>
        <w:rPr>
          <w:i/>
        </w:rPr>
      </w:pPr>
      <w:r w:rsidRPr="0044760B">
        <w:rPr>
          <w:i/>
        </w:rPr>
        <w:t>Voor de Europese Raad</w:t>
      </w:r>
    </w:p>
    <w:p w:rsidRPr="0044760B" w:rsidR="00454B40" w:rsidP="00B633A6" w:rsidRDefault="00454B40">
      <w:pPr>
        <w:ind w:firstLine="5760"/>
        <w:jc w:val="both"/>
        <w:rPr>
          <w:i/>
        </w:rPr>
      </w:pPr>
      <w:r w:rsidRPr="0044760B">
        <w:rPr>
          <w:i/>
        </w:rPr>
        <w:t>De voorzitter</w:t>
      </w:r>
    </w:p>
    <w:p w:rsidRPr="0044760B" w:rsidR="00454B40" w:rsidP="00B633A6" w:rsidRDefault="00454B40">
      <w:pPr>
        <w:pStyle w:val="Normal12Hanging"/>
        <w:ind w:left="284" w:hanging="284"/>
        <w:jc w:val="both"/>
      </w:pPr>
    </w:p>
    <w:p w:rsidRPr="0044760B" w:rsidR="00454B40" w:rsidP="00B633A6" w:rsidRDefault="00454B40">
      <w:pPr>
        <w:pStyle w:val="Normal12Hanging"/>
        <w:jc w:val="both"/>
        <w:rPr>
          <w:rFonts w:ascii="inherit" w:hAnsi="inherit" w:cs="Arial"/>
          <w:b/>
          <w:bCs/>
          <w:color w:val="000000"/>
          <w:sz w:val="19"/>
          <w:szCs w:val="19"/>
        </w:rPr>
      </w:pPr>
    </w:p>
    <w:p w:rsidRPr="0044760B" w:rsidR="00454B40" w:rsidP="00B633A6" w:rsidRDefault="00454B40">
      <w:pPr>
        <w:ind w:left="360" w:hanging="360"/>
        <w:jc w:val="both"/>
        <w:rPr>
          <w:i/>
        </w:rPr>
      </w:pPr>
    </w:p>
    <w:p w:rsidRPr="0044760B" w:rsidR="00454B40" w:rsidP="00B633A6" w:rsidRDefault="00454B40">
      <w:pPr>
        <w:pStyle w:val="PageHeading"/>
        <w:spacing w:after="360"/>
        <w:jc w:val="both"/>
      </w:pPr>
      <w:r w:rsidRPr="0044760B">
        <w:br w:type="page"/>
      </w:r>
      <w:bookmarkStart w:name="_Toc505089003" w:id="4"/>
      <w:r w:rsidRPr="0044760B">
        <w:lastRenderedPageBreak/>
        <w:t>TOELICHTING</w:t>
      </w:r>
      <w:bookmarkEnd w:id="4"/>
    </w:p>
    <w:p w:rsidRPr="0044760B" w:rsidR="00454B40" w:rsidP="00B633A6" w:rsidRDefault="00454B40">
      <w:pPr>
        <w:spacing w:after="240"/>
        <w:jc w:val="both"/>
        <w:rPr>
          <w:sz w:val="22"/>
        </w:rPr>
      </w:pPr>
      <w:r w:rsidRPr="0044760B">
        <w:t>De zetelverdeling in het Parlement ligt politiek gevoelig, aangezien de kwestie van directe invloed is op de vertegenwoordiging van de burgers in de enige rechtstreeks verkozen Europese instelling. Daarom is het van het grootste belang ervoor te zorgen dat de samenstelling van het Europees Parlement gebaseerd is op de beginselen eerlijkheid, transparantie, objectiviteit, duurzaamheid en rechtvaardigheid.</w:t>
      </w:r>
    </w:p>
    <w:p w:rsidRPr="0044760B" w:rsidR="00454B40" w:rsidP="00B633A6" w:rsidRDefault="00454B40">
      <w:pPr>
        <w:spacing w:after="240"/>
        <w:jc w:val="both"/>
      </w:pPr>
      <w:r w:rsidRPr="0044760B">
        <w:t>De zetelverdeling in het Europees Parlement moet in overeenstemming zijn met de algemene bepalingen van artikel 14 van het Verdrag betreffende de Europese Unie. Deze bepalingen betreffen de omvang van het Parlement en het maximale en minimale aantal zetels dat wordt toegewezen aan elke lidstaat, en er is in vervat dat de zetels moeten worden toegewezen volgens het beginsel van degressieve evenredigheid. Dit beginsel is op dit moment gedefinieerd in Besluit 2013/312/EU van de Europese Raad.</w:t>
      </w:r>
    </w:p>
    <w:p w:rsidRPr="0044760B" w:rsidR="00454B40" w:rsidP="00B633A6" w:rsidRDefault="00454B40">
      <w:pPr>
        <w:spacing w:after="240"/>
        <w:jc w:val="both"/>
      </w:pPr>
      <w:r w:rsidRPr="0044760B">
        <w:t xml:space="preserve">De huidige zetelverdeling in het Parlement voldoet slechts </w:t>
      </w:r>
      <w:proofErr w:type="gramStart"/>
      <w:r w:rsidRPr="0044760B">
        <w:t>ten dele</w:t>
      </w:r>
      <w:proofErr w:type="gramEnd"/>
      <w:r w:rsidRPr="0044760B">
        <w:t xml:space="preserve"> aan de bepalingen van afgeleid recht waarin het beginsel van degressieve evenredigheid nader wordt uitgewerkt. De huidige verdeling is aanvaard als "pragmatische oplossing", die ook tot doel had om de onbalans die voortkomt uit het huidige stemsysteem in de Raad gedeeltelijk te compenseren. In 2013 werd deze pragmatische oplossing, die voortvloeide uit een politiek compromis, gebaseerd op het uitgangspunt dat "niemand meer dan één zetel wint of verliest". Dit politieke compromis leidde ertoe dat in sommige gevallen leden van het Europees Parlement uit lidstaten met een kleinere bevolking meer burgers vertegenwoordigden dan hun collega's uit lidstaten met naar verhouding meer inwoners</w:t>
      </w:r>
      <w:r w:rsidRPr="0044760B">
        <w:rPr>
          <w:rStyle w:val="Voetnootmarkering"/>
        </w:rPr>
        <w:footnoteReference w:id="6"/>
      </w:r>
      <w:r w:rsidRPr="0044760B">
        <w:t>. Dit is in strijd met het beginsel van degressieve evenredigheid zoals dit op dit moment is gedefinieerd.</w:t>
      </w:r>
    </w:p>
    <w:p w:rsidRPr="0044760B" w:rsidR="00454B40" w:rsidP="00B633A6" w:rsidRDefault="00454B40">
      <w:pPr>
        <w:spacing w:after="240"/>
        <w:jc w:val="both"/>
      </w:pPr>
      <w:r w:rsidRPr="0044760B">
        <w:t xml:space="preserve">Het Europees Parlement heeft het altijd belangrijk gevonden dat de vorming van een systeem voor de verdeling van zetels in het Parlement in samenhang wordt bezien met een herziening van de stemregels in de Raad, </w:t>
      </w:r>
      <w:proofErr w:type="gramStart"/>
      <w:r w:rsidRPr="0044760B">
        <w:t>teneinde</w:t>
      </w:r>
      <w:proofErr w:type="gramEnd"/>
      <w:r w:rsidRPr="0044760B">
        <w:t xml:space="preserve"> de interinstitutionele balans te waarborgen</w:t>
      </w:r>
      <w:r w:rsidRPr="0044760B">
        <w:rPr>
          <w:rStyle w:val="Voetnootmarkering"/>
        </w:rPr>
        <w:footnoteReference w:id="7"/>
      </w:r>
      <w:r w:rsidRPr="0044760B">
        <w:t xml:space="preserve">. Ook in het besluit van de Europese Raad van 28 juni 2013 </w:t>
      </w:r>
      <w:proofErr w:type="gramStart"/>
      <w:r w:rsidRPr="0044760B">
        <w:t>inzake</w:t>
      </w:r>
      <w:proofErr w:type="gramEnd"/>
      <w:r w:rsidRPr="0044760B">
        <w:t xml:space="preserve"> de samenstelling van het Europees Parlement (Besluit 2013/312/EU) wordt dit aangestipt. Hierbij zij echter opgemerkt dat voor een wijziging van de stemregels in de Raad ook een wijziging van de Verdragen noodzakelijk is.</w:t>
      </w:r>
    </w:p>
    <w:p w:rsidRPr="0044760B" w:rsidR="00454B40" w:rsidP="00B633A6" w:rsidRDefault="00454B40">
      <w:pPr>
        <w:spacing w:after="240"/>
        <w:jc w:val="both"/>
      </w:pPr>
      <w:r w:rsidRPr="0044760B">
        <w:lastRenderedPageBreak/>
        <w:t>De afgelopen jaren heeft het Parlement gewezen op het belang van een permanent systeem aan de hand waarvan vóór elke nieuwe Europese verkiezing de zetels op eerlijke, objectieve en transparante wijze kunnen worden verdeeld</w:t>
      </w:r>
      <w:r w:rsidRPr="0044760B">
        <w:rPr>
          <w:rStyle w:val="Voetnootmarkering"/>
        </w:rPr>
        <w:footnoteReference w:id="8"/>
      </w:r>
      <w:r w:rsidRPr="0044760B">
        <w:t>, in overeenstemming met de bepalingen die zijn vastgesteld in de Verdragen. Om een geschikte methode voor de zetelverdeling te vinden heeft het Parlement opdracht gegeven voor een aantal studies, in het kader waarvan diverse rekenkundige modellen voor zeteltoewijzing zijn onderzocht. Er is echter nog steeds geen permanent systeem ingevoerd.</w:t>
      </w:r>
    </w:p>
    <w:p w:rsidRPr="0044760B" w:rsidR="00454B40" w:rsidP="00B633A6" w:rsidRDefault="00454B40">
      <w:pPr>
        <w:spacing w:after="240"/>
        <w:jc w:val="both"/>
      </w:pPr>
      <w:r w:rsidRPr="0044760B">
        <w:t>In zijn resolutie van 13 maart 2013 over de samenstelling van het Europees Parlement met het oog op de verkiezingen van 2014</w:t>
      </w:r>
      <w:r w:rsidRPr="0044760B">
        <w:rPr>
          <w:rStyle w:val="Voetnootmarkering"/>
        </w:rPr>
        <w:footnoteReference w:id="9"/>
      </w:r>
      <w:r w:rsidRPr="0044760B">
        <w:t xml:space="preserve"> heeft het Parlement toegezegd een voorstel te zullen indienen voor een systeem voor de zetelverdeling. Dit idee is door de Europese Raad overgenomen in artikel 4 van zijn besluit van juni 2013 </w:t>
      </w:r>
      <w:proofErr w:type="gramStart"/>
      <w:r w:rsidRPr="0044760B">
        <w:t>inzake</w:t>
      </w:r>
      <w:proofErr w:type="gramEnd"/>
      <w:r w:rsidRPr="0044760B">
        <w:t xml:space="preserve"> de samenstelling van het Europees Parlement</w:t>
      </w:r>
      <w:r w:rsidRPr="0044760B">
        <w:rPr>
          <w:rStyle w:val="Voetnootmarkering"/>
        </w:rPr>
        <w:footnoteReference w:id="10"/>
      </w:r>
      <w:r w:rsidRPr="0044760B">
        <w:t xml:space="preserve"> (waaraan het Parlement zijn goedkeuring heeft gehecht). Dit besluit verplichtte het Parlement voor eind 2016 een voorstel in te dienen voor de vaststelling van "een systeem [...] waarmee in de toekomst vóór elke nieuwe verkiezing van het Europees Parlement de zetels [...] onder de lidstaten kunnen worden verdeeld [...]". Om dwingende politieke redenen die verband hielden met het Britse referendum van 23 juni 2016, was het Parlement niet in staat om voor het einde van 2016 een voorstel voor te bereiden, zoals bepaald in het besluit van de Europese Raad.</w:t>
      </w:r>
    </w:p>
    <w:p w:rsidRPr="0044760B" w:rsidR="00454B40" w:rsidP="00B633A6" w:rsidRDefault="00454B40">
      <w:pPr>
        <w:spacing w:after="240"/>
        <w:jc w:val="both"/>
      </w:pPr>
      <w:r w:rsidRPr="0044760B">
        <w:t>De Rapporteurs hebben een aantal voorstellen voor een permanent systeem voor de verdeling van zetels in het Parlement op basis van verschillende rekenkundige formules bestudeerd</w:t>
      </w:r>
      <w:r w:rsidRPr="0044760B">
        <w:rPr>
          <w:rStyle w:val="Voetnootmarkering"/>
        </w:rPr>
        <w:footnoteReference w:id="11"/>
      </w:r>
      <w:r w:rsidRPr="0044760B">
        <w:t xml:space="preserve">. Het voorstel waarmee het best aan alle criteria werd voldaan was de FPS-methode (Fix, Proportional to population and Square root to population). Deze methode, die interessante resultaten kan opleveren, moet nader worden onderzocht en </w:t>
      </w:r>
      <w:r w:rsidRPr="0044760B">
        <w:lastRenderedPageBreak/>
        <w:t>zou in aanmerking moeten worden genomen bij de verdeling van zetels vanaf de verkiezingen van 2024.</w:t>
      </w:r>
    </w:p>
    <w:p w:rsidRPr="0044760B" w:rsidR="00454B40" w:rsidP="00B633A6" w:rsidRDefault="00454B40">
      <w:pPr>
        <w:spacing w:after="240"/>
        <w:jc w:val="both"/>
      </w:pPr>
      <w:r w:rsidRPr="0044760B">
        <w:t>Met deze formule en andere formules wordt weliswaar voldaan aan de formele vereisten voor de samenstelling van het Parlement in die zin dat de vereisten van artikel 14, lid 2, VEU, volledig worden nageleefd, maar wordt geen oplossing geboden die op termijn of in de huidige context politiek aanvaardbaar is. Het is vanwege de huidige politieke context bijzonder moeilijk om op dit moment een beslissing te nemen over een permanent systeem voor de verdeling van zetels in het Parlement. Naast de politieke onzekerheid is er ook sprake van juridische onzekerheid ten gevolge van het inroepen van artikel 50 door het Verenigd Koninkrijk. Dit komt vooral doordat de procedure voor de uitvoering van het besluit van de Europese Raad in de bijlage vanwege wettelijke beperkingen in een aantal lidstaten uiterlijk in de zomer van 2018 afgerond moet zijn. De terugtrekking van het Verenigd Koninkrijk uit de EU is op dat moment echter nog niet volledig afgerond. Het is dus in dit stadium juridisch en politiek niet haalbaar om een voorstel te doen voor een permanent systeem voor de verdeling van de zetels in het Parlement.</w:t>
      </w:r>
    </w:p>
    <w:p w:rsidRPr="0044760B" w:rsidR="00454B40" w:rsidP="00B633A6" w:rsidRDefault="00454B40">
      <w:pPr>
        <w:spacing w:after="240"/>
        <w:jc w:val="both"/>
      </w:pPr>
      <w:r w:rsidRPr="0044760B">
        <w:t xml:space="preserve">Het Parlement heeft er </w:t>
      </w:r>
      <w:proofErr w:type="gramStart"/>
      <w:r w:rsidRPr="0044760B">
        <w:t>reeds</w:t>
      </w:r>
      <w:proofErr w:type="gramEnd"/>
      <w:r w:rsidRPr="0044760B">
        <w:t xml:space="preserve"> op gewezen dat het vaststellen van een permanent systeem voor de verdeling van zijn zetels gekoppeld moet worden aan een herziening van het stemsysteem in de Raad en dat dit laatste niet mogelijk is zonder herziening van de Verdragen. De rapporteurs zijn ook daarom van oordeel dat het vaststellen van een nieuw systeem uitgesteld moet worden tot het moment dat de politieke context rijp is voor een omvattende discussie over het interinstitutionele evenwicht.</w:t>
      </w:r>
    </w:p>
    <w:p w:rsidRPr="0044760B" w:rsidR="00454B40" w:rsidP="00B633A6" w:rsidRDefault="00454B40">
      <w:pPr>
        <w:spacing w:after="240"/>
        <w:jc w:val="both"/>
        <w:rPr>
          <w:b/>
        </w:rPr>
      </w:pPr>
      <w:r w:rsidRPr="0044760B">
        <w:rPr>
          <w:b/>
        </w:rPr>
        <w:t>Voorstel van de rapporteurs: een oplossing op basis van beginselen</w:t>
      </w:r>
    </w:p>
    <w:p w:rsidRPr="0044760B" w:rsidR="00454B40" w:rsidP="00B633A6" w:rsidRDefault="00454B40">
      <w:pPr>
        <w:spacing w:after="240"/>
        <w:jc w:val="both"/>
      </w:pPr>
      <w:r w:rsidRPr="0044760B">
        <w:t xml:space="preserve">De rapporteurs presenteren een ontwerpbesluit van de Europese Raad </w:t>
      </w:r>
      <w:proofErr w:type="gramStart"/>
      <w:r w:rsidRPr="0044760B">
        <w:t>inzake</w:t>
      </w:r>
      <w:proofErr w:type="gramEnd"/>
      <w:r w:rsidRPr="0044760B">
        <w:t xml:space="preserve"> de samenstelling van het Parlement dat voorziet in een eerlijke, objectieve en op duidelijke beginselen gebaseerde verdeling van zetels tussen de lidstaten. Rekening houdend met het feit dat de lidstaten ruim voor de verkiezingen rechtszekerheid moeten hebben ten aanzien van het aantal afgevaardigden dat zij mogen kiezen voor de zittingsperiode 2019-2024, stellen de rapporteurs voor om, zolang het Verenigd Koninkrijk nog lid is van de Unie, de huidige zetelverdeling te handhaven. Op het moment dat het Verenigd Koninkrijk zich formeel en juridisch terugtrekt uit de Unie wordt de nieuwe zetelverdeling van kracht.</w:t>
      </w:r>
    </w:p>
    <w:p w:rsidRPr="0044760B" w:rsidR="00454B40" w:rsidP="00B633A6" w:rsidRDefault="00454B40">
      <w:pPr>
        <w:spacing w:after="240"/>
        <w:jc w:val="both"/>
      </w:pPr>
      <w:r w:rsidRPr="0044760B">
        <w:t>De nieuwe zetelverdeling is gebaseerd op drie beginselen:</w:t>
      </w:r>
    </w:p>
    <w:p w:rsidRPr="0044760B" w:rsidR="00454B40" w:rsidP="00B633A6" w:rsidRDefault="00454B40">
      <w:pPr>
        <w:spacing w:after="240"/>
        <w:ind w:left="720" w:hanging="360"/>
        <w:jc w:val="both"/>
      </w:pPr>
      <w:bookmarkStart w:name="_Ref492559657" w:id="5"/>
      <w:r w:rsidRPr="0044760B">
        <w:t>1.</w:t>
      </w:r>
      <w:r w:rsidRPr="0044760B">
        <w:tab/>
      </w:r>
      <w:proofErr w:type="gramStart"/>
      <w:r w:rsidRPr="0044760B">
        <w:t>eerbiediging</w:t>
      </w:r>
      <w:proofErr w:type="gramEnd"/>
      <w:r w:rsidRPr="0044760B">
        <w:t xml:space="preserve"> van het beginsel van degressieve evenredigheid, overeenkomstig artikel 14 VEU</w:t>
      </w:r>
      <w:bookmarkEnd w:id="5"/>
    </w:p>
    <w:p w:rsidRPr="0044760B" w:rsidR="00454B40" w:rsidP="00B633A6" w:rsidRDefault="00454B40">
      <w:pPr>
        <w:spacing w:after="240"/>
        <w:ind w:left="720" w:hanging="360"/>
        <w:jc w:val="both"/>
      </w:pPr>
      <w:r w:rsidRPr="0044760B">
        <w:t>2.</w:t>
      </w:r>
      <w:r w:rsidRPr="0044760B">
        <w:tab/>
      </w:r>
      <w:proofErr w:type="gramStart"/>
      <w:r w:rsidRPr="0044760B">
        <w:t>zetelverlies</w:t>
      </w:r>
      <w:proofErr w:type="gramEnd"/>
      <w:r w:rsidRPr="0044760B">
        <w:t xml:space="preserve"> voor geen enkele lidstaat</w:t>
      </w:r>
    </w:p>
    <w:p w:rsidRPr="0044760B" w:rsidR="00454B40" w:rsidP="00B633A6" w:rsidRDefault="00454B40">
      <w:pPr>
        <w:spacing w:after="240"/>
        <w:ind w:left="720" w:hanging="360"/>
        <w:jc w:val="both"/>
      </w:pPr>
      <w:r w:rsidRPr="0044760B">
        <w:lastRenderedPageBreak/>
        <w:t>3.</w:t>
      </w:r>
      <w:r w:rsidRPr="0044760B">
        <w:tab/>
      </w:r>
      <w:proofErr w:type="gramStart"/>
      <w:r w:rsidRPr="0044760B">
        <w:t>minimale</w:t>
      </w:r>
      <w:proofErr w:type="gramEnd"/>
      <w:r w:rsidRPr="0044760B">
        <w:t xml:space="preserve"> herverdeling van de zetels die vrij komen ten gevolge van de terugtrekking van het Verenigd Koninkrijk uit de EU</w:t>
      </w:r>
    </w:p>
    <w:p w:rsidRPr="0044760B" w:rsidR="00454B40" w:rsidP="00B633A6" w:rsidRDefault="00454B40">
      <w:pPr>
        <w:spacing w:after="240"/>
        <w:jc w:val="both"/>
      </w:pPr>
      <w:r w:rsidRPr="0044760B">
        <w:t xml:space="preserve">De voorgestelde oplossing is in de huidige politieke context een haalbare optie, waarmee de drie hierboven genoemde beginselen en alle criteria van artikel 14 VEU ten volle worden geëerbiedigd. In het voorstel van de rapporteurs worden zo weinig mogelijk van de zetels van het Verenigd Koninkrijk die vrij komen als de terugtrekking van het Verenigd Koninkrijk uit de EU formeel en juridisch is afgerond bezet, waardoor de omvang van het Parlement afneemt tot 705. Dit houdt in dat er 46 zetels beschikbaar blijven voor eventuele toekomstige uitbreidingen of </w:t>
      </w:r>
      <w:proofErr w:type="gramStart"/>
      <w:r w:rsidRPr="0044760B">
        <w:t>ten dele</w:t>
      </w:r>
      <w:proofErr w:type="gramEnd"/>
      <w:r w:rsidRPr="0044760B">
        <w:t xml:space="preserve"> gebruikt kunnen worden voor een gemeenschappelijk kiesdistrict.</w:t>
      </w:r>
    </w:p>
    <w:p w:rsidRPr="0044760B" w:rsidR="00454B40" w:rsidP="00B633A6" w:rsidRDefault="00454B40">
      <w:pPr>
        <w:spacing w:after="240"/>
        <w:jc w:val="both"/>
      </w:pPr>
      <w:r w:rsidRPr="0044760B">
        <w:t>Voorts worden bij de nieuwe zetelverdeling op basis van beginselen alle schendingen van het beginsel van degressieve evenredigheid ongedaan gemaakt, zonder dat enige lidstaat een zetel verliest, en wordt de omvang van het Parlement verkleind.</w:t>
      </w:r>
    </w:p>
    <w:p w:rsidRPr="0044760B" w:rsidR="00454B40" w:rsidP="00B633A6" w:rsidRDefault="00454B40">
      <w:pPr>
        <w:spacing w:after="240"/>
        <w:jc w:val="both"/>
      </w:pPr>
      <w:r w:rsidRPr="0044760B">
        <w:t>Bijlage I illustreert de gevolgen van het voorstel van de rapporteurs voor de verdeling van zetels tussen de lidstaten. Vooral is duidelijk dat met de voorgestelde oplossing het beginsel van degressieve evenredigheid wordt geëerbiedigd doordat aan de volgende twee criteria is voldaan:</w:t>
      </w:r>
    </w:p>
    <w:p w:rsidRPr="0044760B" w:rsidR="00454B40" w:rsidP="00B633A6" w:rsidRDefault="00454B40">
      <w:pPr>
        <w:spacing w:after="240"/>
        <w:ind w:left="426" w:hanging="426"/>
        <w:jc w:val="both"/>
      </w:pPr>
      <w:r w:rsidRPr="0044760B">
        <w:t>(1)</w:t>
      </w:r>
      <w:r w:rsidRPr="0044760B">
        <w:tab/>
        <w:t>lidstaten met een kleinere bevolking mogen niet meer zetels krijgen dan lidstaten met een grotere bevolking,</w:t>
      </w:r>
    </w:p>
    <w:p w:rsidRPr="0044760B" w:rsidR="00454B40" w:rsidP="00B633A6" w:rsidRDefault="00454B40">
      <w:pPr>
        <w:spacing w:after="240"/>
        <w:ind w:left="426" w:hanging="426"/>
        <w:jc w:val="both"/>
      </w:pPr>
      <w:r w:rsidRPr="0044760B">
        <w:t>(2)</w:t>
      </w:r>
      <w:r w:rsidRPr="0044760B">
        <w:tab/>
        <w:t>de verhouding bevolking/zetels moet stijgen naarmate de bevolking toeneemt, voordat afgerond wordt op hele getallen.</w:t>
      </w:r>
    </w:p>
    <w:p w:rsidRPr="0044760B" w:rsidR="00454B40" w:rsidP="00B633A6" w:rsidRDefault="00454B40">
      <w:pPr>
        <w:spacing w:after="240"/>
        <w:jc w:val="both"/>
      </w:pPr>
      <w:r w:rsidRPr="0044760B">
        <w:t>Met betrekking tot de eventuele invoering van een gemeenschappelijk kiesdistrict willen de rapporteurs opmerken dat deze kwestie geregeld moet worden in het kader van de hervorming van het Europese kiesrecht. In de resolutie van het Europees Parlement van 11 november 2015 over de hervorming van de kieswet van de Europese Unie noemt het Parlement de mogelijkheid een gemeenschappelijk kiesdistrict te vormen waarvan de kieslijsten worden aangevoerd door de kandidaat-Commissievoorzitter van elke politieke familie. Daarom moet, als de rechtsgrondslag is vastgesteld, de vorming van een gemeenschappelijk kiesdistrict inclusief reservering van een deel van de zetels van het Parlement voor dit doel, voor toekomstige verkiezingen als mogelijkheid overwogen worden.</w:t>
      </w:r>
    </w:p>
    <w:p w:rsidRPr="0044760B" w:rsidR="00454B40" w:rsidP="00B633A6" w:rsidRDefault="00454B40">
      <w:pPr>
        <w:pStyle w:val="PageHeading"/>
        <w:jc w:val="both"/>
      </w:pPr>
      <w:r w:rsidRPr="0044760B">
        <w:br w:type="page"/>
      </w:r>
      <w:bookmarkStart w:name="_Toc505089004" w:id="6"/>
      <w:r w:rsidRPr="0044760B">
        <w:lastRenderedPageBreak/>
        <w:t>BIJLAGE I</w:t>
      </w:r>
      <w:bookmarkEnd w:id="6"/>
    </w:p>
    <w:p w:rsidRPr="0044760B" w:rsidR="00454B40" w:rsidP="00B633A6" w:rsidRDefault="00454B40">
      <w:pPr>
        <w:pStyle w:val="Normal12Bold"/>
        <w:jc w:val="both"/>
      </w:pPr>
      <w:r w:rsidRPr="0044760B">
        <w:t>Op beginselen gebaseerde oplossing voor de verdeling van zetels in het Parlement voor de zittingsperiode 2019-2024:</w:t>
      </w:r>
    </w:p>
    <w:tbl>
      <w:tblPr>
        <w:tblW w:w="8925" w:type="dxa"/>
        <w:tblLook w:val="04A0" w:firstRow="1" w:lastRow="0" w:firstColumn="1" w:lastColumn="0" w:noHBand="0" w:noVBand="1"/>
      </w:tblPr>
      <w:tblGrid>
        <w:gridCol w:w="1371"/>
        <w:gridCol w:w="1368"/>
        <w:gridCol w:w="1655"/>
        <w:gridCol w:w="1673"/>
        <w:gridCol w:w="1655"/>
        <w:gridCol w:w="1559"/>
      </w:tblGrid>
      <w:tr w:rsidRPr="0044760B" w:rsidR="00454B40" w:rsidTr="00A838B6">
        <w:trPr>
          <w:trHeight w:val="468"/>
        </w:trPr>
        <w:tc>
          <w:tcPr>
            <w:tcW w:w="1456" w:type="dxa"/>
            <w:tcBorders>
              <w:top w:val="nil"/>
              <w:left w:val="nil"/>
              <w:bottom w:val="nil"/>
              <w:right w:val="nil"/>
            </w:tcBorders>
            <w:shd w:val="clear" w:color="auto" w:fill="auto"/>
            <w:vAlign w:val="bottom"/>
            <w:hideMark/>
          </w:tcPr>
          <w:p w:rsidRPr="0044760B" w:rsidR="00454B40" w:rsidP="00B633A6" w:rsidRDefault="00454B40">
            <w:pPr>
              <w:jc w:val="both"/>
              <w:rPr>
                <w:color w:val="000000"/>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44760B" w:rsidR="00454B40" w:rsidP="00B633A6" w:rsidRDefault="00454B40">
            <w:pPr>
              <w:jc w:val="both"/>
              <w:rPr>
                <w:b/>
                <w:bCs/>
                <w:color w:val="000000"/>
              </w:rPr>
            </w:pPr>
            <w:r w:rsidRPr="0044760B">
              <w:rPr>
                <w:b/>
                <w:bCs/>
                <w:color w:val="000000"/>
              </w:rPr>
              <w:t>Bevolking 2017</w:t>
            </w:r>
            <w:r w:rsidRPr="0044760B">
              <w:rPr>
                <w:rStyle w:val="Voetnootmarkering"/>
                <w:b/>
                <w:bCs/>
                <w:color w:val="000000"/>
              </w:rPr>
              <w:footnoteReference w:id="12"/>
            </w:r>
          </w:p>
        </w:tc>
        <w:tc>
          <w:tcPr>
            <w:tcW w:w="1430" w:type="dxa"/>
            <w:tcBorders>
              <w:top w:val="single" w:color="auto" w:sz="4" w:space="0"/>
              <w:left w:val="nil"/>
              <w:bottom w:val="single" w:color="auto" w:sz="4" w:space="0"/>
              <w:right w:val="single" w:color="auto" w:sz="4" w:space="0"/>
            </w:tcBorders>
            <w:shd w:val="clear" w:color="auto" w:fill="auto"/>
            <w:vAlign w:val="bottom"/>
            <w:hideMark/>
          </w:tcPr>
          <w:p w:rsidRPr="0044760B" w:rsidR="00454B40" w:rsidP="00B633A6" w:rsidRDefault="00454B40">
            <w:pPr>
              <w:jc w:val="both"/>
              <w:rPr>
                <w:b/>
                <w:bCs/>
                <w:color w:val="000000"/>
              </w:rPr>
            </w:pPr>
            <w:r w:rsidRPr="0044760B">
              <w:rPr>
                <w:b/>
                <w:bCs/>
                <w:color w:val="000000"/>
              </w:rPr>
              <w:t>Huidige zetelverdeling</w:t>
            </w:r>
          </w:p>
        </w:tc>
        <w:tc>
          <w:tcPr>
            <w:tcW w:w="1673" w:type="dxa"/>
            <w:tcBorders>
              <w:top w:val="single" w:color="auto" w:sz="4" w:space="0"/>
              <w:left w:val="nil"/>
              <w:bottom w:val="single" w:color="auto" w:sz="4" w:space="0"/>
              <w:right w:val="single" w:color="auto" w:sz="4" w:space="0"/>
            </w:tcBorders>
            <w:shd w:val="clear" w:color="auto" w:fill="auto"/>
            <w:vAlign w:val="bottom"/>
            <w:hideMark/>
          </w:tcPr>
          <w:p w:rsidRPr="0044760B" w:rsidR="00454B40" w:rsidP="00B633A6" w:rsidRDefault="00454B40">
            <w:pPr>
              <w:jc w:val="both"/>
              <w:rPr>
                <w:b/>
                <w:bCs/>
                <w:color w:val="000000"/>
              </w:rPr>
            </w:pPr>
            <w:r w:rsidRPr="0044760B">
              <w:rPr>
                <w:b/>
                <w:bCs/>
                <w:color w:val="000000"/>
              </w:rPr>
              <w:t>Aantal inwoners/ EP-lid</w:t>
            </w:r>
          </w:p>
        </w:tc>
        <w:tc>
          <w:tcPr>
            <w:tcW w:w="1470" w:type="dxa"/>
            <w:tcBorders>
              <w:top w:val="single" w:color="auto" w:sz="4" w:space="0"/>
              <w:left w:val="nil"/>
              <w:bottom w:val="single" w:color="auto" w:sz="4" w:space="0"/>
              <w:right w:val="single" w:color="auto" w:sz="4" w:space="0"/>
            </w:tcBorders>
            <w:shd w:val="clear" w:color="auto" w:fill="auto"/>
            <w:vAlign w:val="bottom"/>
            <w:hideMark/>
          </w:tcPr>
          <w:p w:rsidRPr="0044760B" w:rsidR="00454B40" w:rsidP="00B633A6" w:rsidRDefault="00454B40">
            <w:pPr>
              <w:jc w:val="both"/>
              <w:rPr>
                <w:b/>
                <w:bCs/>
                <w:color w:val="000000"/>
              </w:rPr>
            </w:pPr>
            <w:r w:rsidRPr="0044760B">
              <w:rPr>
                <w:b/>
                <w:bCs/>
                <w:color w:val="000000"/>
              </w:rPr>
              <w:t>Nieuwe zetelverdeling</w:t>
            </w:r>
          </w:p>
        </w:tc>
        <w:tc>
          <w:tcPr>
            <w:tcW w:w="1559" w:type="dxa"/>
            <w:tcBorders>
              <w:top w:val="single" w:color="auto" w:sz="4" w:space="0"/>
              <w:left w:val="nil"/>
              <w:bottom w:val="single" w:color="auto" w:sz="4" w:space="0"/>
              <w:right w:val="single" w:color="auto" w:sz="4" w:space="0"/>
            </w:tcBorders>
            <w:shd w:val="clear" w:color="auto" w:fill="auto"/>
            <w:vAlign w:val="bottom"/>
            <w:hideMark/>
          </w:tcPr>
          <w:p w:rsidRPr="0044760B" w:rsidR="00454B40" w:rsidP="00B633A6" w:rsidRDefault="00454B40">
            <w:pPr>
              <w:jc w:val="both"/>
              <w:rPr>
                <w:b/>
                <w:bCs/>
                <w:color w:val="000000"/>
              </w:rPr>
            </w:pPr>
            <w:r w:rsidRPr="0044760B">
              <w:rPr>
                <w:b/>
                <w:bCs/>
                <w:color w:val="000000"/>
              </w:rPr>
              <w:t>Aantal inwoners/ EP-lid</w:t>
            </w:r>
          </w:p>
        </w:tc>
      </w:tr>
      <w:tr w:rsidRPr="0044760B" w:rsidR="00454B40" w:rsidTr="00A838B6">
        <w:trPr>
          <w:trHeight w:val="315"/>
        </w:trPr>
        <w:tc>
          <w:tcPr>
            <w:tcW w:w="1456"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Duitsland</w:t>
            </w:r>
          </w:p>
        </w:tc>
        <w:tc>
          <w:tcPr>
            <w:tcW w:w="1337" w:type="dxa"/>
            <w:tcBorders>
              <w:top w:val="single" w:color="auto" w:sz="8" w:space="0"/>
              <w:left w:val="nil"/>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82064489</w:t>
            </w:r>
          </w:p>
        </w:tc>
        <w:tc>
          <w:tcPr>
            <w:tcW w:w="1430" w:type="dxa"/>
            <w:tcBorders>
              <w:top w:val="nil"/>
              <w:left w:val="single" w:color="auto" w:sz="4" w:space="0"/>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96</w:t>
            </w:r>
          </w:p>
        </w:tc>
        <w:tc>
          <w:tcPr>
            <w:tcW w:w="1673"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854838</w:t>
            </w:r>
          </w:p>
        </w:tc>
        <w:tc>
          <w:tcPr>
            <w:tcW w:w="1470" w:type="dxa"/>
            <w:tcBorders>
              <w:top w:val="nil"/>
              <w:left w:val="nil"/>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96</w:t>
            </w:r>
          </w:p>
        </w:tc>
        <w:tc>
          <w:tcPr>
            <w:tcW w:w="1559"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854838</w:t>
            </w:r>
          </w:p>
        </w:tc>
      </w:tr>
      <w:tr w:rsidRPr="0044760B" w:rsidR="00454B40" w:rsidTr="00A838B6">
        <w:trPr>
          <w:trHeight w:val="315"/>
        </w:trPr>
        <w:tc>
          <w:tcPr>
            <w:tcW w:w="1456" w:type="dxa"/>
            <w:tcBorders>
              <w:top w:val="nil"/>
              <w:left w:val="single" w:color="auto" w:sz="8" w:space="0"/>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Frankrijk</w:t>
            </w:r>
          </w:p>
        </w:tc>
        <w:tc>
          <w:tcPr>
            <w:tcW w:w="1337" w:type="dxa"/>
            <w:tcBorders>
              <w:top w:val="nil"/>
              <w:left w:val="nil"/>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66661621</w:t>
            </w:r>
          </w:p>
        </w:tc>
        <w:tc>
          <w:tcPr>
            <w:tcW w:w="1430" w:type="dxa"/>
            <w:tcBorders>
              <w:top w:val="nil"/>
              <w:left w:val="single" w:color="auto" w:sz="4" w:space="0"/>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74</w:t>
            </w:r>
          </w:p>
        </w:tc>
        <w:tc>
          <w:tcPr>
            <w:tcW w:w="1673"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900833</w:t>
            </w:r>
          </w:p>
        </w:tc>
        <w:tc>
          <w:tcPr>
            <w:tcW w:w="1470" w:type="dxa"/>
            <w:tcBorders>
              <w:top w:val="nil"/>
              <w:left w:val="nil"/>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79</w:t>
            </w:r>
          </w:p>
        </w:tc>
        <w:tc>
          <w:tcPr>
            <w:tcW w:w="1559"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854636</w:t>
            </w:r>
          </w:p>
        </w:tc>
      </w:tr>
      <w:tr w:rsidRPr="0044760B" w:rsidR="00454B40" w:rsidTr="00A838B6">
        <w:trPr>
          <w:trHeight w:val="315"/>
        </w:trPr>
        <w:tc>
          <w:tcPr>
            <w:tcW w:w="1456" w:type="dxa"/>
            <w:tcBorders>
              <w:top w:val="nil"/>
              <w:left w:val="single" w:color="auto" w:sz="8" w:space="0"/>
              <w:bottom w:val="single" w:color="auto" w:sz="8" w:space="0"/>
              <w:right w:val="single" w:color="auto" w:sz="8" w:space="0"/>
            </w:tcBorders>
            <w:shd w:val="clear" w:color="auto" w:fill="auto"/>
            <w:vAlign w:val="center"/>
          </w:tcPr>
          <w:p w:rsidRPr="0044760B" w:rsidR="00454B40" w:rsidP="00B633A6" w:rsidRDefault="00454B40">
            <w:pPr>
              <w:jc w:val="both"/>
              <w:rPr>
                <w:color w:val="000000"/>
              </w:rPr>
            </w:pPr>
            <w:r w:rsidRPr="0044760B">
              <w:rPr>
                <w:color w:val="000000"/>
              </w:rPr>
              <w:t>Verenigd Koninkrijk</w:t>
            </w:r>
          </w:p>
        </w:tc>
        <w:tc>
          <w:tcPr>
            <w:tcW w:w="1337" w:type="dxa"/>
            <w:tcBorders>
              <w:top w:val="nil"/>
              <w:left w:val="nil"/>
              <w:bottom w:val="single" w:color="auto" w:sz="8" w:space="0"/>
              <w:right w:val="single" w:color="auto" w:sz="8" w:space="0"/>
            </w:tcBorders>
            <w:shd w:val="clear" w:color="auto" w:fill="auto"/>
            <w:vAlign w:val="center"/>
          </w:tcPr>
          <w:p w:rsidRPr="0044760B" w:rsidR="00454B40" w:rsidP="00B633A6" w:rsidRDefault="00454B40">
            <w:pPr>
              <w:jc w:val="both"/>
              <w:rPr>
                <w:color w:val="000000"/>
              </w:rPr>
            </w:pPr>
            <w:r w:rsidRPr="0044760B">
              <w:rPr>
                <w:color w:val="000000"/>
              </w:rPr>
              <w:t>65341183</w:t>
            </w:r>
          </w:p>
        </w:tc>
        <w:tc>
          <w:tcPr>
            <w:tcW w:w="1430" w:type="dxa"/>
            <w:tcBorders>
              <w:top w:val="nil"/>
              <w:left w:val="single" w:color="auto" w:sz="4" w:space="0"/>
              <w:bottom w:val="single" w:color="auto" w:sz="4" w:space="0"/>
              <w:right w:val="single" w:color="auto" w:sz="4" w:space="0"/>
            </w:tcBorders>
            <w:shd w:val="clear" w:color="auto" w:fill="auto"/>
            <w:vAlign w:val="center"/>
          </w:tcPr>
          <w:p w:rsidRPr="0044760B" w:rsidR="00454B40" w:rsidP="00B633A6" w:rsidRDefault="00454B40">
            <w:pPr>
              <w:jc w:val="both"/>
              <w:rPr>
                <w:color w:val="000000"/>
              </w:rPr>
            </w:pPr>
            <w:r w:rsidRPr="0044760B">
              <w:rPr>
                <w:color w:val="000000"/>
              </w:rPr>
              <w:t>73</w:t>
            </w:r>
          </w:p>
        </w:tc>
        <w:tc>
          <w:tcPr>
            <w:tcW w:w="1673" w:type="dxa"/>
            <w:tcBorders>
              <w:top w:val="nil"/>
              <w:left w:val="nil"/>
              <w:bottom w:val="single" w:color="auto" w:sz="4" w:space="0"/>
              <w:right w:val="single" w:color="auto" w:sz="4" w:space="0"/>
            </w:tcBorders>
            <w:shd w:val="clear" w:color="auto" w:fill="auto"/>
            <w:noWrap/>
            <w:vAlign w:val="bottom"/>
          </w:tcPr>
          <w:p w:rsidRPr="0044760B" w:rsidR="00454B40" w:rsidP="00B633A6" w:rsidRDefault="00454B40">
            <w:pPr>
              <w:jc w:val="both"/>
              <w:rPr>
                <w:color w:val="000000"/>
              </w:rPr>
            </w:pPr>
            <w:r w:rsidRPr="0044760B">
              <w:rPr>
                <w:color w:val="000000"/>
              </w:rPr>
              <w:t>895085</w:t>
            </w:r>
          </w:p>
        </w:tc>
        <w:tc>
          <w:tcPr>
            <w:tcW w:w="1470" w:type="dxa"/>
            <w:tcBorders>
              <w:top w:val="nil"/>
              <w:left w:val="nil"/>
              <w:bottom w:val="single" w:color="auto" w:sz="4" w:space="0"/>
              <w:right w:val="single" w:color="auto" w:sz="4" w:space="0"/>
            </w:tcBorders>
            <w:shd w:val="clear" w:color="auto" w:fill="auto"/>
            <w:vAlign w:val="center"/>
          </w:tcPr>
          <w:p w:rsidRPr="0044760B" w:rsidR="00454B40" w:rsidP="00B633A6" w:rsidRDefault="00454B40">
            <w:pPr>
              <w:jc w:val="both"/>
              <w:rPr>
                <w:color w:val="000000"/>
              </w:rPr>
            </w:pPr>
          </w:p>
        </w:tc>
        <w:tc>
          <w:tcPr>
            <w:tcW w:w="1559" w:type="dxa"/>
            <w:tcBorders>
              <w:top w:val="nil"/>
              <w:left w:val="nil"/>
              <w:bottom w:val="single" w:color="auto" w:sz="4" w:space="0"/>
              <w:right w:val="single" w:color="auto" w:sz="4" w:space="0"/>
            </w:tcBorders>
            <w:shd w:val="clear" w:color="auto" w:fill="auto"/>
            <w:noWrap/>
            <w:vAlign w:val="bottom"/>
          </w:tcPr>
          <w:p w:rsidRPr="0044760B" w:rsidR="00454B40" w:rsidP="00B633A6" w:rsidRDefault="00454B40">
            <w:pPr>
              <w:jc w:val="both"/>
              <w:rPr>
                <w:color w:val="000000"/>
              </w:rPr>
            </w:pPr>
          </w:p>
        </w:tc>
      </w:tr>
      <w:tr w:rsidRPr="0044760B" w:rsidR="00454B40" w:rsidTr="00A838B6">
        <w:trPr>
          <w:trHeight w:val="315"/>
        </w:trPr>
        <w:tc>
          <w:tcPr>
            <w:tcW w:w="1456" w:type="dxa"/>
            <w:tcBorders>
              <w:top w:val="nil"/>
              <w:left w:val="single" w:color="auto" w:sz="8" w:space="0"/>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Italië</w:t>
            </w:r>
          </w:p>
        </w:tc>
        <w:tc>
          <w:tcPr>
            <w:tcW w:w="1337" w:type="dxa"/>
            <w:tcBorders>
              <w:top w:val="nil"/>
              <w:left w:val="nil"/>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61302519</w:t>
            </w:r>
          </w:p>
        </w:tc>
        <w:tc>
          <w:tcPr>
            <w:tcW w:w="1430" w:type="dxa"/>
            <w:tcBorders>
              <w:top w:val="nil"/>
              <w:left w:val="single" w:color="auto" w:sz="4" w:space="0"/>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73</w:t>
            </w:r>
          </w:p>
        </w:tc>
        <w:tc>
          <w:tcPr>
            <w:tcW w:w="1673"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839761</w:t>
            </w:r>
          </w:p>
        </w:tc>
        <w:tc>
          <w:tcPr>
            <w:tcW w:w="1470" w:type="dxa"/>
            <w:tcBorders>
              <w:top w:val="nil"/>
              <w:left w:val="nil"/>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76</w:t>
            </w:r>
          </w:p>
        </w:tc>
        <w:tc>
          <w:tcPr>
            <w:tcW w:w="1559"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806612</w:t>
            </w:r>
          </w:p>
        </w:tc>
      </w:tr>
      <w:tr w:rsidRPr="0044760B" w:rsidR="00454B40" w:rsidTr="00A838B6">
        <w:trPr>
          <w:trHeight w:val="315"/>
        </w:trPr>
        <w:tc>
          <w:tcPr>
            <w:tcW w:w="1456" w:type="dxa"/>
            <w:tcBorders>
              <w:top w:val="nil"/>
              <w:left w:val="single" w:color="auto" w:sz="8" w:space="0"/>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Spanje</w:t>
            </w:r>
          </w:p>
        </w:tc>
        <w:tc>
          <w:tcPr>
            <w:tcW w:w="1337" w:type="dxa"/>
            <w:tcBorders>
              <w:top w:val="nil"/>
              <w:left w:val="nil"/>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46438422</w:t>
            </w:r>
          </w:p>
        </w:tc>
        <w:tc>
          <w:tcPr>
            <w:tcW w:w="1430" w:type="dxa"/>
            <w:tcBorders>
              <w:top w:val="nil"/>
              <w:left w:val="single" w:color="auto" w:sz="4" w:space="0"/>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54</w:t>
            </w:r>
          </w:p>
        </w:tc>
        <w:tc>
          <w:tcPr>
            <w:tcW w:w="1673"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859971</w:t>
            </w:r>
          </w:p>
        </w:tc>
        <w:tc>
          <w:tcPr>
            <w:tcW w:w="1470" w:type="dxa"/>
            <w:tcBorders>
              <w:top w:val="nil"/>
              <w:left w:val="nil"/>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59</w:t>
            </w:r>
          </w:p>
        </w:tc>
        <w:tc>
          <w:tcPr>
            <w:tcW w:w="1559"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800662</w:t>
            </w:r>
          </w:p>
        </w:tc>
      </w:tr>
      <w:tr w:rsidRPr="0044760B" w:rsidR="00454B40" w:rsidTr="00A838B6">
        <w:trPr>
          <w:trHeight w:val="315"/>
        </w:trPr>
        <w:tc>
          <w:tcPr>
            <w:tcW w:w="1456" w:type="dxa"/>
            <w:tcBorders>
              <w:top w:val="nil"/>
              <w:left w:val="single" w:color="auto" w:sz="8" w:space="0"/>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Polen</w:t>
            </w:r>
          </w:p>
        </w:tc>
        <w:tc>
          <w:tcPr>
            <w:tcW w:w="1337" w:type="dxa"/>
            <w:tcBorders>
              <w:top w:val="nil"/>
              <w:left w:val="nil"/>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37967209</w:t>
            </w:r>
          </w:p>
        </w:tc>
        <w:tc>
          <w:tcPr>
            <w:tcW w:w="1430" w:type="dxa"/>
            <w:tcBorders>
              <w:top w:val="nil"/>
              <w:left w:val="single" w:color="auto" w:sz="4" w:space="0"/>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51</w:t>
            </w:r>
          </w:p>
        </w:tc>
        <w:tc>
          <w:tcPr>
            <w:tcW w:w="1673"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744455</w:t>
            </w:r>
          </w:p>
        </w:tc>
        <w:tc>
          <w:tcPr>
            <w:tcW w:w="1470" w:type="dxa"/>
            <w:tcBorders>
              <w:top w:val="nil"/>
              <w:left w:val="nil"/>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52</w:t>
            </w:r>
          </w:p>
        </w:tc>
        <w:tc>
          <w:tcPr>
            <w:tcW w:w="1559"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744455</w:t>
            </w:r>
          </w:p>
        </w:tc>
      </w:tr>
      <w:tr w:rsidRPr="0044760B" w:rsidR="00454B40" w:rsidTr="00A838B6">
        <w:trPr>
          <w:trHeight w:val="315"/>
        </w:trPr>
        <w:tc>
          <w:tcPr>
            <w:tcW w:w="1456" w:type="dxa"/>
            <w:tcBorders>
              <w:top w:val="nil"/>
              <w:left w:val="single" w:color="auto" w:sz="8" w:space="0"/>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Roemenië</w:t>
            </w:r>
          </w:p>
        </w:tc>
        <w:tc>
          <w:tcPr>
            <w:tcW w:w="1337" w:type="dxa"/>
            <w:tcBorders>
              <w:top w:val="nil"/>
              <w:left w:val="nil"/>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19759968</w:t>
            </w:r>
          </w:p>
        </w:tc>
        <w:tc>
          <w:tcPr>
            <w:tcW w:w="1430" w:type="dxa"/>
            <w:tcBorders>
              <w:top w:val="nil"/>
              <w:left w:val="single" w:color="auto" w:sz="4" w:space="0"/>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32</w:t>
            </w:r>
          </w:p>
        </w:tc>
        <w:tc>
          <w:tcPr>
            <w:tcW w:w="1673"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617499</w:t>
            </w:r>
          </w:p>
        </w:tc>
        <w:tc>
          <w:tcPr>
            <w:tcW w:w="1470" w:type="dxa"/>
            <w:tcBorders>
              <w:top w:val="nil"/>
              <w:left w:val="nil"/>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33</w:t>
            </w:r>
          </w:p>
        </w:tc>
        <w:tc>
          <w:tcPr>
            <w:tcW w:w="1559"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617499</w:t>
            </w:r>
          </w:p>
        </w:tc>
      </w:tr>
      <w:tr w:rsidRPr="0044760B" w:rsidR="00454B40" w:rsidTr="00A838B6">
        <w:trPr>
          <w:trHeight w:val="315"/>
        </w:trPr>
        <w:tc>
          <w:tcPr>
            <w:tcW w:w="1456" w:type="dxa"/>
            <w:tcBorders>
              <w:top w:val="nil"/>
              <w:left w:val="single" w:color="auto" w:sz="8" w:space="0"/>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Nederland</w:t>
            </w:r>
          </w:p>
        </w:tc>
        <w:tc>
          <w:tcPr>
            <w:tcW w:w="1337" w:type="dxa"/>
            <w:tcBorders>
              <w:top w:val="nil"/>
              <w:left w:val="nil"/>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17235349</w:t>
            </w:r>
          </w:p>
        </w:tc>
        <w:tc>
          <w:tcPr>
            <w:tcW w:w="1430" w:type="dxa"/>
            <w:tcBorders>
              <w:top w:val="nil"/>
              <w:left w:val="single" w:color="auto" w:sz="4" w:space="0"/>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26</w:t>
            </w:r>
          </w:p>
        </w:tc>
        <w:tc>
          <w:tcPr>
            <w:tcW w:w="1673"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662898</w:t>
            </w:r>
          </w:p>
        </w:tc>
        <w:tc>
          <w:tcPr>
            <w:tcW w:w="1470" w:type="dxa"/>
            <w:tcBorders>
              <w:top w:val="nil"/>
              <w:left w:val="nil"/>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29</w:t>
            </w:r>
          </w:p>
        </w:tc>
        <w:tc>
          <w:tcPr>
            <w:tcW w:w="1559"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615548</w:t>
            </w:r>
          </w:p>
        </w:tc>
      </w:tr>
      <w:tr w:rsidRPr="0044760B" w:rsidR="00454B40" w:rsidTr="00A838B6">
        <w:trPr>
          <w:trHeight w:val="315"/>
        </w:trPr>
        <w:tc>
          <w:tcPr>
            <w:tcW w:w="1456" w:type="dxa"/>
            <w:tcBorders>
              <w:top w:val="nil"/>
              <w:left w:val="single" w:color="auto" w:sz="8" w:space="0"/>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België</w:t>
            </w:r>
          </w:p>
        </w:tc>
        <w:tc>
          <w:tcPr>
            <w:tcW w:w="1337" w:type="dxa"/>
            <w:tcBorders>
              <w:top w:val="nil"/>
              <w:left w:val="nil"/>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11289853</w:t>
            </w:r>
          </w:p>
        </w:tc>
        <w:tc>
          <w:tcPr>
            <w:tcW w:w="1430" w:type="dxa"/>
            <w:tcBorders>
              <w:top w:val="nil"/>
              <w:left w:val="single" w:color="auto" w:sz="4" w:space="0"/>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21</w:t>
            </w:r>
          </w:p>
        </w:tc>
        <w:tc>
          <w:tcPr>
            <w:tcW w:w="1673"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537612</w:t>
            </w:r>
          </w:p>
        </w:tc>
        <w:tc>
          <w:tcPr>
            <w:tcW w:w="1470" w:type="dxa"/>
            <w:tcBorders>
              <w:top w:val="nil"/>
              <w:left w:val="nil"/>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21</w:t>
            </w:r>
          </w:p>
        </w:tc>
        <w:tc>
          <w:tcPr>
            <w:tcW w:w="1559"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537612</w:t>
            </w:r>
          </w:p>
        </w:tc>
      </w:tr>
      <w:tr w:rsidRPr="0044760B" w:rsidR="00454B40" w:rsidTr="00A838B6">
        <w:trPr>
          <w:trHeight w:val="315"/>
        </w:trPr>
        <w:tc>
          <w:tcPr>
            <w:tcW w:w="1456" w:type="dxa"/>
            <w:tcBorders>
              <w:top w:val="nil"/>
              <w:left w:val="single" w:color="auto" w:sz="8" w:space="0"/>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Griekenland</w:t>
            </w:r>
          </w:p>
        </w:tc>
        <w:tc>
          <w:tcPr>
            <w:tcW w:w="1337" w:type="dxa"/>
            <w:tcBorders>
              <w:top w:val="nil"/>
              <w:left w:val="nil"/>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10793526</w:t>
            </w:r>
          </w:p>
        </w:tc>
        <w:tc>
          <w:tcPr>
            <w:tcW w:w="1430" w:type="dxa"/>
            <w:tcBorders>
              <w:top w:val="nil"/>
              <w:left w:val="single" w:color="auto" w:sz="4" w:space="0"/>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21</w:t>
            </w:r>
          </w:p>
        </w:tc>
        <w:tc>
          <w:tcPr>
            <w:tcW w:w="1673"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513977</w:t>
            </w:r>
          </w:p>
        </w:tc>
        <w:tc>
          <w:tcPr>
            <w:tcW w:w="1470" w:type="dxa"/>
            <w:tcBorders>
              <w:top w:val="nil"/>
              <w:left w:val="nil"/>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21</w:t>
            </w:r>
          </w:p>
        </w:tc>
        <w:tc>
          <w:tcPr>
            <w:tcW w:w="1559"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513977</w:t>
            </w:r>
          </w:p>
        </w:tc>
      </w:tr>
      <w:tr w:rsidRPr="0044760B" w:rsidR="00454B40" w:rsidTr="00A838B6">
        <w:trPr>
          <w:trHeight w:val="247"/>
        </w:trPr>
        <w:tc>
          <w:tcPr>
            <w:tcW w:w="1456" w:type="dxa"/>
            <w:tcBorders>
              <w:top w:val="nil"/>
              <w:left w:val="single" w:color="auto" w:sz="8" w:space="0"/>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Tsjechische Republiek</w:t>
            </w:r>
          </w:p>
        </w:tc>
        <w:tc>
          <w:tcPr>
            <w:tcW w:w="1337" w:type="dxa"/>
            <w:tcBorders>
              <w:top w:val="nil"/>
              <w:left w:val="nil"/>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10445783</w:t>
            </w:r>
          </w:p>
        </w:tc>
        <w:tc>
          <w:tcPr>
            <w:tcW w:w="1430" w:type="dxa"/>
            <w:tcBorders>
              <w:top w:val="nil"/>
              <w:left w:val="single" w:color="auto" w:sz="4" w:space="0"/>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21</w:t>
            </w:r>
          </w:p>
        </w:tc>
        <w:tc>
          <w:tcPr>
            <w:tcW w:w="1673"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497418</w:t>
            </w:r>
          </w:p>
        </w:tc>
        <w:tc>
          <w:tcPr>
            <w:tcW w:w="1470" w:type="dxa"/>
            <w:tcBorders>
              <w:top w:val="nil"/>
              <w:left w:val="nil"/>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21</w:t>
            </w:r>
          </w:p>
        </w:tc>
        <w:tc>
          <w:tcPr>
            <w:tcW w:w="1559"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497418</w:t>
            </w:r>
          </w:p>
        </w:tc>
      </w:tr>
      <w:tr w:rsidRPr="0044760B" w:rsidR="00454B40" w:rsidTr="00A838B6">
        <w:trPr>
          <w:trHeight w:val="315"/>
        </w:trPr>
        <w:tc>
          <w:tcPr>
            <w:tcW w:w="1456" w:type="dxa"/>
            <w:tcBorders>
              <w:top w:val="nil"/>
              <w:left w:val="single" w:color="auto" w:sz="8" w:space="0"/>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Portugal</w:t>
            </w:r>
          </w:p>
        </w:tc>
        <w:tc>
          <w:tcPr>
            <w:tcW w:w="1337" w:type="dxa"/>
            <w:tcBorders>
              <w:top w:val="nil"/>
              <w:left w:val="nil"/>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10341330</w:t>
            </w:r>
          </w:p>
        </w:tc>
        <w:tc>
          <w:tcPr>
            <w:tcW w:w="1430" w:type="dxa"/>
            <w:tcBorders>
              <w:top w:val="nil"/>
              <w:left w:val="single" w:color="auto" w:sz="4" w:space="0"/>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21</w:t>
            </w:r>
          </w:p>
        </w:tc>
        <w:tc>
          <w:tcPr>
            <w:tcW w:w="1673"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492444</w:t>
            </w:r>
          </w:p>
        </w:tc>
        <w:tc>
          <w:tcPr>
            <w:tcW w:w="1470" w:type="dxa"/>
            <w:tcBorders>
              <w:top w:val="nil"/>
              <w:left w:val="nil"/>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21</w:t>
            </w:r>
          </w:p>
        </w:tc>
        <w:tc>
          <w:tcPr>
            <w:tcW w:w="1559"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492444</w:t>
            </w:r>
          </w:p>
        </w:tc>
      </w:tr>
      <w:tr w:rsidRPr="0044760B" w:rsidR="00454B40" w:rsidTr="00A838B6">
        <w:trPr>
          <w:trHeight w:val="315"/>
        </w:trPr>
        <w:tc>
          <w:tcPr>
            <w:tcW w:w="1456" w:type="dxa"/>
            <w:tcBorders>
              <w:top w:val="nil"/>
              <w:left w:val="single" w:color="auto" w:sz="8" w:space="0"/>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Hongarije</w:t>
            </w:r>
          </w:p>
        </w:tc>
        <w:tc>
          <w:tcPr>
            <w:tcW w:w="1337" w:type="dxa"/>
            <w:tcBorders>
              <w:top w:val="nil"/>
              <w:left w:val="nil"/>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9830485</w:t>
            </w:r>
          </w:p>
        </w:tc>
        <w:tc>
          <w:tcPr>
            <w:tcW w:w="1430" w:type="dxa"/>
            <w:tcBorders>
              <w:top w:val="nil"/>
              <w:left w:val="single" w:color="auto" w:sz="4" w:space="0"/>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21</w:t>
            </w:r>
          </w:p>
        </w:tc>
        <w:tc>
          <w:tcPr>
            <w:tcW w:w="1673"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468118</w:t>
            </w:r>
          </w:p>
        </w:tc>
        <w:tc>
          <w:tcPr>
            <w:tcW w:w="1470" w:type="dxa"/>
            <w:tcBorders>
              <w:top w:val="nil"/>
              <w:left w:val="nil"/>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21</w:t>
            </w:r>
          </w:p>
        </w:tc>
        <w:tc>
          <w:tcPr>
            <w:tcW w:w="1559"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468118</w:t>
            </w:r>
          </w:p>
        </w:tc>
      </w:tr>
      <w:tr w:rsidRPr="0044760B" w:rsidR="00454B40" w:rsidTr="00A838B6">
        <w:trPr>
          <w:trHeight w:val="315"/>
        </w:trPr>
        <w:tc>
          <w:tcPr>
            <w:tcW w:w="1456" w:type="dxa"/>
            <w:tcBorders>
              <w:top w:val="nil"/>
              <w:left w:val="single" w:color="auto" w:sz="8" w:space="0"/>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Zweden</w:t>
            </w:r>
          </w:p>
        </w:tc>
        <w:tc>
          <w:tcPr>
            <w:tcW w:w="1337" w:type="dxa"/>
            <w:tcBorders>
              <w:top w:val="nil"/>
              <w:left w:val="nil"/>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9998000</w:t>
            </w:r>
          </w:p>
        </w:tc>
        <w:tc>
          <w:tcPr>
            <w:tcW w:w="1430" w:type="dxa"/>
            <w:tcBorders>
              <w:top w:val="nil"/>
              <w:left w:val="single" w:color="auto" w:sz="4" w:space="0"/>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20</w:t>
            </w:r>
          </w:p>
        </w:tc>
        <w:tc>
          <w:tcPr>
            <w:tcW w:w="1673"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499900</w:t>
            </w:r>
          </w:p>
        </w:tc>
        <w:tc>
          <w:tcPr>
            <w:tcW w:w="1470" w:type="dxa"/>
            <w:tcBorders>
              <w:top w:val="nil"/>
              <w:left w:val="nil"/>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21</w:t>
            </w:r>
          </w:p>
        </w:tc>
        <w:tc>
          <w:tcPr>
            <w:tcW w:w="1559"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476095</w:t>
            </w:r>
          </w:p>
        </w:tc>
      </w:tr>
      <w:tr w:rsidRPr="0044760B" w:rsidR="00454B40" w:rsidTr="00A838B6">
        <w:trPr>
          <w:trHeight w:val="315"/>
        </w:trPr>
        <w:tc>
          <w:tcPr>
            <w:tcW w:w="1456" w:type="dxa"/>
            <w:tcBorders>
              <w:top w:val="nil"/>
              <w:left w:val="single" w:color="auto" w:sz="8" w:space="0"/>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Oostenrijk</w:t>
            </w:r>
          </w:p>
        </w:tc>
        <w:tc>
          <w:tcPr>
            <w:tcW w:w="1337" w:type="dxa"/>
            <w:tcBorders>
              <w:top w:val="nil"/>
              <w:left w:val="nil"/>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8711500</w:t>
            </w:r>
          </w:p>
        </w:tc>
        <w:tc>
          <w:tcPr>
            <w:tcW w:w="1430" w:type="dxa"/>
            <w:tcBorders>
              <w:top w:val="nil"/>
              <w:left w:val="single" w:color="auto" w:sz="4" w:space="0"/>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18</w:t>
            </w:r>
          </w:p>
        </w:tc>
        <w:tc>
          <w:tcPr>
            <w:tcW w:w="1673"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483972</w:t>
            </w:r>
          </w:p>
        </w:tc>
        <w:tc>
          <w:tcPr>
            <w:tcW w:w="1470" w:type="dxa"/>
            <w:tcBorders>
              <w:top w:val="nil"/>
              <w:left w:val="nil"/>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19</w:t>
            </w:r>
          </w:p>
        </w:tc>
        <w:tc>
          <w:tcPr>
            <w:tcW w:w="1559"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458500</w:t>
            </w:r>
          </w:p>
        </w:tc>
      </w:tr>
      <w:tr w:rsidRPr="0044760B" w:rsidR="00454B40" w:rsidTr="00A838B6">
        <w:trPr>
          <w:trHeight w:val="315"/>
        </w:trPr>
        <w:tc>
          <w:tcPr>
            <w:tcW w:w="1456" w:type="dxa"/>
            <w:tcBorders>
              <w:top w:val="nil"/>
              <w:left w:val="single" w:color="auto" w:sz="8" w:space="0"/>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Bulgarije</w:t>
            </w:r>
          </w:p>
        </w:tc>
        <w:tc>
          <w:tcPr>
            <w:tcW w:w="1337" w:type="dxa"/>
            <w:tcBorders>
              <w:top w:val="nil"/>
              <w:left w:val="nil"/>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7153784</w:t>
            </w:r>
          </w:p>
        </w:tc>
        <w:tc>
          <w:tcPr>
            <w:tcW w:w="1430" w:type="dxa"/>
            <w:tcBorders>
              <w:top w:val="nil"/>
              <w:left w:val="single" w:color="auto" w:sz="4" w:space="0"/>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17</w:t>
            </w:r>
          </w:p>
        </w:tc>
        <w:tc>
          <w:tcPr>
            <w:tcW w:w="1673"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420811</w:t>
            </w:r>
          </w:p>
        </w:tc>
        <w:tc>
          <w:tcPr>
            <w:tcW w:w="1470" w:type="dxa"/>
            <w:tcBorders>
              <w:top w:val="nil"/>
              <w:left w:val="nil"/>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17</w:t>
            </w:r>
          </w:p>
        </w:tc>
        <w:tc>
          <w:tcPr>
            <w:tcW w:w="1559"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420811</w:t>
            </w:r>
          </w:p>
        </w:tc>
      </w:tr>
      <w:tr w:rsidRPr="0044760B" w:rsidR="00454B40" w:rsidTr="00A838B6">
        <w:trPr>
          <w:trHeight w:val="224"/>
        </w:trPr>
        <w:tc>
          <w:tcPr>
            <w:tcW w:w="1456" w:type="dxa"/>
            <w:tcBorders>
              <w:top w:val="nil"/>
              <w:left w:val="single" w:color="auto" w:sz="8" w:space="0"/>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Denemarken</w:t>
            </w:r>
          </w:p>
        </w:tc>
        <w:tc>
          <w:tcPr>
            <w:tcW w:w="1337" w:type="dxa"/>
            <w:tcBorders>
              <w:top w:val="nil"/>
              <w:left w:val="nil"/>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5700917</w:t>
            </w:r>
          </w:p>
        </w:tc>
        <w:tc>
          <w:tcPr>
            <w:tcW w:w="1430" w:type="dxa"/>
            <w:tcBorders>
              <w:top w:val="nil"/>
              <w:left w:val="single" w:color="auto" w:sz="4" w:space="0"/>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13</w:t>
            </w:r>
          </w:p>
        </w:tc>
        <w:tc>
          <w:tcPr>
            <w:tcW w:w="1673"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438532</w:t>
            </w:r>
          </w:p>
        </w:tc>
        <w:tc>
          <w:tcPr>
            <w:tcW w:w="1470" w:type="dxa"/>
            <w:tcBorders>
              <w:top w:val="nil"/>
              <w:left w:val="nil"/>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14</w:t>
            </w:r>
          </w:p>
        </w:tc>
        <w:tc>
          <w:tcPr>
            <w:tcW w:w="1559"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407208</w:t>
            </w:r>
          </w:p>
        </w:tc>
      </w:tr>
      <w:tr w:rsidRPr="0044760B" w:rsidR="00454B40" w:rsidTr="00A838B6">
        <w:trPr>
          <w:trHeight w:val="315"/>
        </w:trPr>
        <w:tc>
          <w:tcPr>
            <w:tcW w:w="1456" w:type="dxa"/>
            <w:tcBorders>
              <w:top w:val="nil"/>
              <w:left w:val="single" w:color="auto" w:sz="8" w:space="0"/>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Finland</w:t>
            </w:r>
          </w:p>
        </w:tc>
        <w:tc>
          <w:tcPr>
            <w:tcW w:w="1337" w:type="dxa"/>
            <w:tcBorders>
              <w:top w:val="nil"/>
              <w:left w:val="nil"/>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5465408</w:t>
            </w:r>
          </w:p>
        </w:tc>
        <w:tc>
          <w:tcPr>
            <w:tcW w:w="1430" w:type="dxa"/>
            <w:tcBorders>
              <w:top w:val="nil"/>
              <w:left w:val="single" w:color="auto" w:sz="4" w:space="0"/>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13</w:t>
            </w:r>
          </w:p>
        </w:tc>
        <w:tc>
          <w:tcPr>
            <w:tcW w:w="1673"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420416</w:t>
            </w:r>
          </w:p>
        </w:tc>
        <w:tc>
          <w:tcPr>
            <w:tcW w:w="1470" w:type="dxa"/>
            <w:tcBorders>
              <w:top w:val="nil"/>
              <w:left w:val="nil"/>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14</w:t>
            </w:r>
          </w:p>
        </w:tc>
        <w:tc>
          <w:tcPr>
            <w:tcW w:w="1559"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390386</w:t>
            </w:r>
          </w:p>
        </w:tc>
      </w:tr>
      <w:tr w:rsidRPr="0044760B" w:rsidR="00454B40" w:rsidTr="00A838B6">
        <w:trPr>
          <w:trHeight w:val="315"/>
        </w:trPr>
        <w:tc>
          <w:tcPr>
            <w:tcW w:w="1456" w:type="dxa"/>
            <w:tcBorders>
              <w:top w:val="nil"/>
              <w:left w:val="single" w:color="auto" w:sz="8" w:space="0"/>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Slowakije</w:t>
            </w:r>
          </w:p>
        </w:tc>
        <w:tc>
          <w:tcPr>
            <w:tcW w:w="1337" w:type="dxa"/>
            <w:tcBorders>
              <w:top w:val="nil"/>
              <w:left w:val="nil"/>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5407910</w:t>
            </w:r>
          </w:p>
        </w:tc>
        <w:tc>
          <w:tcPr>
            <w:tcW w:w="1430" w:type="dxa"/>
            <w:tcBorders>
              <w:top w:val="nil"/>
              <w:left w:val="single" w:color="auto" w:sz="4" w:space="0"/>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13</w:t>
            </w:r>
          </w:p>
        </w:tc>
        <w:tc>
          <w:tcPr>
            <w:tcW w:w="1673"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415993</w:t>
            </w:r>
          </w:p>
        </w:tc>
        <w:tc>
          <w:tcPr>
            <w:tcW w:w="1470" w:type="dxa"/>
            <w:tcBorders>
              <w:top w:val="nil"/>
              <w:left w:val="nil"/>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14</w:t>
            </w:r>
          </w:p>
        </w:tc>
        <w:tc>
          <w:tcPr>
            <w:tcW w:w="1559"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386279</w:t>
            </w:r>
          </w:p>
        </w:tc>
      </w:tr>
      <w:tr w:rsidRPr="0044760B" w:rsidR="00454B40" w:rsidTr="00A838B6">
        <w:trPr>
          <w:trHeight w:val="315"/>
        </w:trPr>
        <w:tc>
          <w:tcPr>
            <w:tcW w:w="1456" w:type="dxa"/>
            <w:tcBorders>
              <w:top w:val="nil"/>
              <w:left w:val="single" w:color="auto" w:sz="8" w:space="0"/>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Ierland</w:t>
            </w:r>
          </w:p>
        </w:tc>
        <w:tc>
          <w:tcPr>
            <w:tcW w:w="1337" w:type="dxa"/>
            <w:tcBorders>
              <w:top w:val="nil"/>
              <w:left w:val="nil"/>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4664156</w:t>
            </w:r>
          </w:p>
        </w:tc>
        <w:tc>
          <w:tcPr>
            <w:tcW w:w="1430" w:type="dxa"/>
            <w:tcBorders>
              <w:top w:val="nil"/>
              <w:left w:val="single" w:color="auto" w:sz="4" w:space="0"/>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11</w:t>
            </w:r>
          </w:p>
        </w:tc>
        <w:tc>
          <w:tcPr>
            <w:tcW w:w="1673"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424014</w:t>
            </w:r>
          </w:p>
        </w:tc>
        <w:tc>
          <w:tcPr>
            <w:tcW w:w="1470" w:type="dxa"/>
            <w:tcBorders>
              <w:top w:val="nil"/>
              <w:left w:val="nil"/>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13</w:t>
            </w:r>
          </w:p>
        </w:tc>
        <w:tc>
          <w:tcPr>
            <w:tcW w:w="1559"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358781</w:t>
            </w:r>
          </w:p>
        </w:tc>
      </w:tr>
      <w:tr w:rsidRPr="0044760B" w:rsidR="00454B40" w:rsidTr="00A838B6">
        <w:trPr>
          <w:trHeight w:val="315"/>
        </w:trPr>
        <w:tc>
          <w:tcPr>
            <w:tcW w:w="1456" w:type="dxa"/>
            <w:tcBorders>
              <w:top w:val="nil"/>
              <w:left w:val="single" w:color="auto" w:sz="8" w:space="0"/>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Kroatië</w:t>
            </w:r>
          </w:p>
        </w:tc>
        <w:tc>
          <w:tcPr>
            <w:tcW w:w="1337" w:type="dxa"/>
            <w:tcBorders>
              <w:top w:val="nil"/>
              <w:left w:val="nil"/>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4190669</w:t>
            </w:r>
          </w:p>
        </w:tc>
        <w:tc>
          <w:tcPr>
            <w:tcW w:w="1430" w:type="dxa"/>
            <w:tcBorders>
              <w:top w:val="nil"/>
              <w:left w:val="single" w:color="auto" w:sz="4" w:space="0"/>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11</w:t>
            </w:r>
          </w:p>
        </w:tc>
        <w:tc>
          <w:tcPr>
            <w:tcW w:w="1673"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380970</w:t>
            </w:r>
          </w:p>
        </w:tc>
        <w:tc>
          <w:tcPr>
            <w:tcW w:w="1470" w:type="dxa"/>
            <w:tcBorders>
              <w:top w:val="nil"/>
              <w:left w:val="nil"/>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12</w:t>
            </w:r>
          </w:p>
        </w:tc>
        <w:tc>
          <w:tcPr>
            <w:tcW w:w="1559"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349222</w:t>
            </w:r>
          </w:p>
        </w:tc>
      </w:tr>
      <w:tr w:rsidRPr="0044760B" w:rsidR="00454B40" w:rsidTr="00A838B6">
        <w:trPr>
          <w:trHeight w:val="185"/>
        </w:trPr>
        <w:tc>
          <w:tcPr>
            <w:tcW w:w="1456" w:type="dxa"/>
            <w:tcBorders>
              <w:top w:val="nil"/>
              <w:left w:val="single" w:color="auto" w:sz="8" w:space="0"/>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Litouwen</w:t>
            </w:r>
          </w:p>
        </w:tc>
        <w:tc>
          <w:tcPr>
            <w:tcW w:w="1337" w:type="dxa"/>
            <w:tcBorders>
              <w:top w:val="nil"/>
              <w:left w:val="nil"/>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2888558</w:t>
            </w:r>
          </w:p>
        </w:tc>
        <w:tc>
          <w:tcPr>
            <w:tcW w:w="1430" w:type="dxa"/>
            <w:tcBorders>
              <w:top w:val="nil"/>
              <w:left w:val="single" w:color="auto" w:sz="4" w:space="0"/>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11</w:t>
            </w:r>
          </w:p>
        </w:tc>
        <w:tc>
          <w:tcPr>
            <w:tcW w:w="1673"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262596</w:t>
            </w:r>
          </w:p>
        </w:tc>
        <w:tc>
          <w:tcPr>
            <w:tcW w:w="1470" w:type="dxa"/>
            <w:tcBorders>
              <w:top w:val="nil"/>
              <w:left w:val="nil"/>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11</w:t>
            </w:r>
          </w:p>
        </w:tc>
        <w:tc>
          <w:tcPr>
            <w:tcW w:w="1559"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262596</w:t>
            </w:r>
          </w:p>
        </w:tc>
      </w:tr>
      <w:tr w:rsidRPr="0044760B" w:rsidR="00454B40" w:rsidTr="00A838B6">
        <w:trPr>
          <w:trHeight w:val="315"/>
        </w:trPr>
        <w:tc>
          <w:tcPr>
            <w:tcW w:w="1456" w:type="dxa"/>
            <w:tcBorders>
              <w:top w:val="nil"/>
              <w:left w:val="single" w:color="auto" w:sz="8" w:space="0"/>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Slovenië</w:t>
            </w:r>
          </w:p>
        </w:tc>
        <w:tc>
          <w:tcPr>
            <w:tcW w:w="1337" w:type="dxa"/>
            <w:tcBorders>
              <w:top w:val="nil"/>
              <w:left w:val="nil"/>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2064188</w:t>
            </w:r>
          </w:p>
        </w:tc>
        <w:tc>
          <w:tcPr>
            <w:tcW w:w="1430" w:type="dxa"/>
            <w:tcBorders>
              <w:top w:val="nil"/>
              <w:left w:val="single" w:color="auto" w:sz="4" w:space="0"/>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8</w:t>
            </w:r>
          </w:p>
        </w:tc>
        <w:tc>
          <w:tcPr>
            <w:tcW w:w="1673"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258024</w:t>
            </w:r>
          </w:p>
        </w:tc>
        <w:tc>
          <w:tcPr>
            <w:tcW w:w="1470" w:type="dxa"/>
            <w:tcBorders>
              <w:top w:val="nil"/>
              <w:left w:val="nil"/>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8</w:t>
            </w:r>
          </w:p>
        </w:tc>
        <w:tc>
          <w:tcPr>
            <w:tcW w:w="1559"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258024</w:t>
            </w:r>
          </w:p>
        </w:tc>
      </w:tr>
      <w:tr w:rsidRPr="0044760B" w:rsidR="00454B40" w:rsidTr="00A838B6">
        <w:trPr>
          <w:trHeight w:val="315"/>
        </w:trPr>
        <w:tc>
          <w:tcPr>
            <w:tcW w:w="1456" w:type="dxa"/>
            <w:tcBorders>
              <w:top w:val="nil"/>
              <w:left w:val="single" w:color="auto" w:sz="8" w:space="0"/>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Letland</w:t>
            </w:r>
          </w:p>
        </w:tc>
        <w:tc>
          <w:tcPr>
            <w:tcW w:w="1337" w:type="dxa"/>
            <w:tcBorders>
              <w:top w:val="nil"/>
              <w:left w:val="nil"/>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1968957</w:t>
            </w:r>
          </w:p>
        </w:tc>
        <w:tc>
          <w:tcPr>
            <w:tcW w:w="1430" w:type="dxa"/>
            <w:tcBorders>
              <w:top w:val="nil"/>
              <w:left w:val="single" w:color="auto" w:sz="4" w:space="0"/>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8</w:t>
            </w:r>
          </w:p>
        </w:tc>
        <w:tc>
          <w:tcPr>
            <w:tcW w:w="1673"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246120</w:t>
            </w:r>
          </w:p>
        </w:tc>
        <w:tc>
          <w:tcPr>
            <w:tcW w:w="1470" w:type="dxa"/>
            <w:tcBorders>
              <w:top w:val="nil"/>
              <w:left w:val="nil"/>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8</w:t>
            </w:r>
          </w:p>
        </w:tc>
        <w:tc>
          <w:tcPr>
            <w:tcW w:w="1559"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246120</w:t>
            </w:r>
          </w:p>
        </w:tc>
      </w:tr>
      <w:tr w:rsidRPr="0044760B" w:rsidR="00454B40" w:rsidTr="00A838B6">
        <w:trPr>
          <w:trHeight w:val="315"/>
        </w:trPr>
        <w:tc>
          <w:tcPr>
            <w:tcW w:w="1456" w:type="dxa"/>
            <w:tcBorders>
              <w:top w:val="nil"/>
              <w:left w:val="single" w:color="auto" w:sz="8" w:space="0"/>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Estland</w:t>
            </w:r>
          </w:p>
        </w:tc>
        <w:tc>
          <w:tcPr>
            <w:tcW w:w="1337" w:type="dxa"/>
            <w:tcBorders>
              <w:top w:val="nil"/>
              <w:left w:val="nil"/>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1315944</w:t>
            </w:r>
          </w:p>
        </w:tc>
        <w:tc>
          <w:tcPr>
            <w:tcW w:w="1430" w:type="dxa"/>
            <w:tcBorders>
              <w:top w:val="nil"/>
              <w:left w:val="single" w:color="auto" w:sz="4" w:space="0"/>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6</w:t>
            </w:r>
          </w:p>
        </w:tc>
        <w:tc>
          <w:tcPr>
            <w:tcW w:w="1673"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219324</w:t>
            </w:r>
          </w:p>
        </w:tc>
        <w:tc>
          <w:tcPr>
            <w:tcW w:w="1470" w:type="dxa"/>
            <w:tcBorders>
              <w:top w:val="nil"/>
              <w:left w:val="nil"/>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7</w:t>
            </w:r>
          </w:p>
        </w:tc>
        <w:tc>
          <w:tcPr>
            <w:tcW w:w="1559"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187992</w:t>
            </w:r>
          </w:p>
        </w:tc>
      </w:tr>
      <w:tr w:rsidRPr="0044760B" w:rsidR="00454B40" w:rsidTr="00A838B6">
        <w:trPr>
          <w:trHeight w:val="315"/>
        </w:trPr>
        <w:tc>
          <w:tcPr>
            <w:tcW w:w="1456" w:type="dxa"/>
            <w:tcBorders>
              <w:top w:val="nil"/>
              <w:left w:val="single" w:color="auto" w:sz="8" w:space="0"/>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Cyprus</w:t>
            </w:r>
          </w:p>
        </w:tc>
        <w:tc>
          <w:tcPr>
            <w:tcW w:w="1337" w:type="dxa"/>
            <w:tcBorders>
              <w:top w:val="nil"/>
              <w:left w:val="nil"/>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848319</w:t>
            </w:r>
          </w:p>
        </w:tc>
        <w:tc>
          <w:tcPr>
            <w:tcW w:w="1430" w:type="dxa"/>
            <w:tcBorders>
              <w:top w:val="nil"/>
              <w:left w:val="single" w:color="auto" w:sz="4" w:space="0"/>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6</w:t>
            </w:r>
          </w:p>
        </w:tc>
        <w:tc>
          <w:tcPr>
            <w:tcW w:w="1673"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141387</w:t>
            </w:r>
          </w:p>
        </w:tc>
        <w:tc>
          <w:tcPr>
            <w:tcW w:w="1470" w:type="dxa"/>
            <w:tcBorders>
              <w:top w:val="nil"/>
              <w:left w:val="nil"/>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6</w:t>
            </w:r>
          </w:p>
        </w:tc>
        <w:tc>
          <w:tcPr>
            <w:tcW w:w="1559"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141387</w:t>
            </w:r>
          </w:p>
        </w:tc>
      </w:tr>
      <w:tr w:rsidRPr="0044760B" w:rsidR="00454B40" w:rsidTr="00A838B6">
        <w:trPr>
          <w:trHeight w:val="251"/>
        </w:trPr>
        <w:tc>
          <w:tcPr>
            <w:tcW w:w="1456" w:type="dxa"/>
            <w:tcBorders>
              <w:top w:val="nil"/>
              <w:left w:val="single" w:color="auto" w:sz="8" w:space="0"/>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Luxemburg</w:t>
            </w:r>
          </w:p>
        </w:tc>
        <w:tc>
          <w:tcPr>
            <w:tcW w:w="1337" w:type="dxa"/>
            <w:tcBorders>
              <w:top w:val="nil"/>
              <w:left w:val="nil"/>
              <w:bottom w:val="single" w:color="auto" w:sz="8"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576249</w:t>
            </w:r>
          </w:p>
        </w:tc>
        <w:tc>
          <w:tcPr>
            <w:tcW w:w="1430" w:type="dxa"/>
            <w:tcBorders>
              <w:top w:val="nil"/>
              <w:left w:val="single" w:color="auto" w:sz="4" w:space="0"/>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6</w:t>
            </w:r>
          </w:p>
        </w:tc>
        <w:tc>
          <w:tcPr>
            <w:tcW w:w="1673"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96042</w:t>
            </w:r>
          </w:p>
        </w:tc>
        <w:tc>
          <w:tcPr>
            <w:tcW w:w="1470" w:type="dxa"/>
            <w:tcBorders>
              <w:top w:val="nil"/>
              <w:left w:val="nil"/>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6</w:t>
            </w:r>
          </w:p>
        </w:tc>
        <w:tc>
          <w:tcPr>
            <w:tcW w:w="1559"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96042</w:t>
            </w:r>
          </w:p>
        </w:tc>
      </w:tr>
      <w:tr w:rsidRPr="0044760B" w:rsidR="00454B40" w:rsidTr="00A838B6">
        <w:trPr>
          <w:trHeight w:val="315"/>
        </w:trPr>
        <w:tc>
          <w:tcPr>
            <w:tcW w:w="1456" w:type="dxa"/>
            <w:tcBorders>
              <w:top w:val="nil"/>
              <w:left w:val="single" w:color="auto" w:sz="8" w:space="0"/>
              <w:bottom w:val="single" w:color="auto" w:sz="4"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Malta</w:t>
            </w:r>
          </w:p>
        </w:tc>
        <w:tc>
          <w:tcPr>
            <w:tcW w:w="1337" w:type="dxa"/>
            <w:tcBorders>
              <w:top w:val="nil"/>
              <w:left w:val="nil"/>
              <w:bottom w:val="single" w:color="auto" w:sz="4" w:space="0"/>
              <w:right w:val="single" w:color="auto" w:sz="8" w:space="0"/>
            </w:tcBorders>
            <w:shd w:val="clear" w:color="auto" w:fill="auto"/>
            <w:vAlign w:val="center"/>
            <w:hideMark/>
          </w:tcPr>
          <w:p w:rsidRPr="0044760B" w:rsidR="00454B40" w:rsidP="00B633A6" w:rsidRDefault="00454B40">
            <w:pPr>
              <w:jc w:val="both"/>
              <w:rPr>
                <w:color w:val="000000"/>
              </w:rPr>
            </w:pPr>
            <w:r w:rsidRPr="0044760B">
              <w:rPr>
                <w:color w:val="000000"/>
              </w:rPr>
              <w:t>434403</w:t>
            </w:r>
          </w:p>
        </w:tc>
        <w:tc>
          <w:tcPr>
            <w:tcW w:w="1430" w:type="dxa"/>
            <w:tcBorders>
              <w:top w:val="nil"/>
              <w:left w:val="single" w:color="auto" w:sz="4" w:space="0"/>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6</w:t>
            </w:r>
          </w:p>
        </w:tc>
        <w:tc>
          <w:tcPr>
            <w:tcW w:w="1673"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72401</w:t>
            </w:r>
          </w:p>
        </w:tc>
        <w:tc>
          <w:tcPr>
            <w:tcW w:w="1470" w:type="dxa"/>
            <w:tcBorders>
              <w:top w:val="nil"/>
              <w:left w:val="nil"/>
              <w:bottom w:val="single" w:color="auto" w:sz="4" w:space="0"/>
              <w:right w:val="single" w:color="auto" w:sz="4" w:space="0"/>
            </w:tcBorders>
            <w:shd w:val="clear" w:color="auto" w:fill="auto"/>
            <w:vAlign w:val="center"/>
            <w:hideMark/>
          </w:tcPr>
          <w:p w:rsidRPr="0044760B" w:rsidR="00454B40" w:rsidP="00B633A6" w:rsidRDefault="00454B40">
            <w:pPr>
              <w:jc w:val="both"/>
              <w:rPr>
                <w:color w:val="000000"/>
              </w:rPr>
            </w:pPr>
            <w:r w:rsidRPr="0044760B">
              <w:rPr>
                <w:color w:val="000000"/>
              </w:rPr>
              <w:t>6</w:t>
            </w:r>
          </w:p>
        </w:tc>
        <w:tc>
          <w:tcPr>
            <w:tcW w:w="1559" w:type="dxa"/>
            <w:tcBorders>
              <w:top w:val="nil"/>
              <w:left w:val="nil"/>
              <w:bottom w:val="single" w:color="auto" w:sz="4" w:space="0"/>
              <w:right w:val="single" w:color="auto" w:sz="4" w:space="0"/>
            </w:tcBorders>
            <w:shd w:val="clear" w:color="auto" w:fill="auto"/>
            <w:noWrap/>
            <w:vAlign w:val="bottom"/>
            <w:hideMark/>
          </w:tcPr>
          <w:p w:rsidRPr="0044760B" w:rsidR="00454B40" w:rsidP="00B633A6" w:rsidRDefault="00454B40">
            <w:pPr>
              <w:jc w:val="both"/>
              <w:rPr>
                <w:color w:val="000000"/>
              </w:rPr>
            </w:pPr>
            <w:r w:rsidRPr="0044760B">
              <w:rPr>
                <w:color w:val="000000"/>
              </w:rPr>
              <w:t>72401</w:t>
            </w:r>
          </w:p>
        </w:tc>
      </w:tr>
      <w:tr w:rsidRPr="0044760B" w:rsidR="00454B40" w:rsidTr="00A838B6">
        <w:trPr>
          <w:trHeight w:val="315"/>
        </w:trPr>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rsidRPr="0044760B" w:rsidR="00454B40" w:rsidP="00B633A6" w:rsidRDefault="00454B40">
            <w:pPr>
              <w:jc w:val="both"/>
              <w:rPr>
                <w:b/>
                <w:color w:val="000000"/>
              </w:rPr>
            </w:pPr>
            <w:r w:rsidRPr="0044760B">
              <w:rPr>
                <w:b/>
                <w:color w:val="000000"/>
              </w:rPr>
              <w:lastRenderedPageBreak/>
              <w:t>TOTAAL</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rsidRPr="0044760B" w:rsidR="00454B40" w:rsidP="00B633A6" w:rsidRDefault="00454B40">
            <w:pPr>
              <w:jc w:val="both"/>
              <w:rPr>
                <w:b/>
                <w:color w:val="000000"/>
              </w:rPr>
            </w:pPr>
            <w:r w:rsidRPr="0044760B">
              <w:rPr>
                <w:b/>
                <w:color w:val="000000"/>
              </w:rPr>
              <w:t>510860699</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rsidRPr="0044760B" w:rsidR="00454B40" w:rsidP="00B633A6" w:rsidRDefault="00454B40">
            <w:pPr>
              <w:jc w:val="both"/>
              <w:rPr>
                <w:b/>
                <w:color w:val="000000"/>
              </w:rPr>
            </w:pPr>
            <w:r w:rsidRPr="0044760B">
              <w:rPr>
                <w:b/>
                <w:color w:val="000000"/>
              </w:rPr>
              <w:t>751</w:t>
            </w:r>
          </w:p>
        </w:tc>
        <w:tc>
          <w:tcPr>
            <w:tcW w:w="167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4760B" w:rsidR="00454B40" w:rsidP="00B633A6" w:rsidRDefault="00454B40">
            <w:pPr>
              <w:jc w:val="both"/>
              <w:rPr>
                <w:b/>
                <w:color w:val="000000"/>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rsidRPr="0044760B" w:rsidR="00454B40" w:rsidP="00B633A6" w:rsidRDefault="00454B40">
            <w:pPr>
              <w:jc w:val="both"/>
              <w:rPr>
                <w:b/>
                <w:color w:val="000000"/>
              </w:rPr>
            </w:pPr>
            <w:r w:rsidRPr="0044760B">
              <w:rPr>
                <w:b/>
                <w:color w:val="000000"/>
              </w:rPr>
              <w:t>705</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4760B" w:rsidR="00454B40" w:rsidP="00B633A6" w:rsidRDefault="00454B40">
            <w:pPr>
              <w:jc w:val="both"/>
              <w:rPr>
                <w:b/>
                <w:color w:val="000000"/>
              </w:rPr>
            </w:pPr>
          </w:p>
        </w:tc>
      </w:tr>
    </w:tbl>
    <w:p w:rsidRPr="0044760B" w:rsidR="00454B40" w:rsidP="00B633A6" w:rsidRDefault="00454B40">
      <w:pPr>
        <w:pStyle w:val="Inhopg1"/>
        <w:jc w:val="both"/>
      </w:pPr>
    </w:p>
    <w:p w:rsidRPr="0044760B" w:rsidR="00454B40" w:rsidP="00B633A6" w:rsidRDefault="00454B40">
      <w:pPr>
        <w:jc w:val="both"/>
      </w:pPr>
      <w:r w:rsidRPr="0044760B">
        <w:br w:type="page"/>
      </w:r>
      <w:r w:rsidRPr="0044760B">
        <w:lastRenderedPageBreak/>
        <w:t>23.1.2018</w:t>
      </w:r>
    </w:p>
    <w:p w:rsidRPr="0044760B" w:rsidR="00454B40" w:rsidP="00B633A6" w:rsidRDefault="00454B40">
      <w:pPr>
        <w:pStyle w:val="PageHeading"/>
        <w:jc w:val="both"/>
      </w:pPr>
      <w:bookmarkStart w:name="_Toc504731979" w:id="7"/>
      <w:bookmarkStart w:name="_Toc505089005" w:id="8"/>
      <w:r w:rsidRPr="0044760B">
        <w:t>MINDERHEIDSSTANDPUNT</w:t>
      </w:r>
      <w:bookmarkEnd w:id="7"/>
      <w:bookmarkEnd w:id="8"/>
    </w:p>
    <w:p w:rsidRPr="0044760B" w:rsidR="00454B40" w:rsidP="00B633A6" w:rsidRDefault="00454B40">
      <w:pPr>
        <w:jc w:val="both"/>
      </w:pPr>
      <w:proofErr w:type="gramStart"/>
      <w:r w:rsidRPr="0044760B">
        <w:t>ingediend</w:t>
      </w:r>
      <w:proofErr w:type="gramEnd"/>
      <w:r w:rsidRPr="0044760B">
        <w:t xml:space="preserve"> overeenkomstig artikel 52 bis, lid 4, van het Reglement</w:t>
      </w:r>
    </w:p>
    <w:p w:rsidRPr="0044760B" w:rsidR="00454B40" w:rsidP="00B633A6" w:rsidRDefault="00454B40">
      <w:pPr>
        <w:jc w:val="both"/>
        <w:rPr>
          <w:sz w:val="22"/>
        </w:rPr>
      </w:pPr>
      <w:r w:rsidRPr="0044760B">
        <w:t>Kazimierz Ujazdowski, namens de ECR-Fractie</w:t>
      </w:r>
    </w:p>
    <w:p w:rsidRPr="0044760B" w:rsidR="00454B40" w:rsidP="00B633A6" w:rsidRDefault="00454B40">
      <w:pPr>
        <w:jc w:val="both"/>
      </w:pPr>
    </w:p>
    <w:p w:rsidRPr="0044760B" w:rsidR="00454B40" w:rsidP="00B633A6" w:rsidRDefault="00454B40">
      <w:pPr>
        <w:jc w:val="both"/>
      </w:pPr>
    </w:p>
    <w:p w:rsidRPr="0044760B" w:rsidR="00454B40" w:rsidP="00B633A6" w:rsidRDefault="00454B40">
      <w:pPr>
        <w:jc w:val="both"/>
      </w:pPr>
      <w:r w:rsidRPr="0044760B">
        <w:t xml:space="preserve">Wij zijn het niet eens met het besluit om na de brexit zetels te herverdelen. Het EP laat een geweldige kans om het aantal EP-leden terug te brengen tot 678 liggen. Een kleiner </w:t>
      </w:r>
      <w:proofErr w:type="gramStart"/>
      <w:r w:rsidRPr="0044760B">
        <w:t>Europees</w:t>
      </w:r>
      <w:proofErr w:type="gramEnd"/>
      <w:r w:rsidRPr="0044760B">
        <w:t xml:space="preserve"> Parlement is veel efficiënter en een inkrimping van de begroting zal door de burgers met dankbaarheid worden ontvangen.  Bovendien hebben de opstellers van het verslag, anders dan bij eerdere EP-resoluties, geen objectieve criteria aangeleverd voor de nieuwe zetelverdeling, waardoor deze willekeurig is.</w:t>
      </w:r>
    </w:p>
    <w:p w:rsidRPr="0044760B" w:rsidR="00454B40" w:rsidP="00B633A6" w:rsidRDefault="00454B40">
      <w:pPr>
        <w:jc w:val="both"/>
        <w:rPr>
          <w:sz w:val="22"/>
        </w:rPr>
      </w:pPr>
    </w:p>
    <w:p w:rsidRPr="0044760B" w:rsidR="00454B40" w:rsidP="00B633A6" w:rsidRDefault="00454B40">
      <w:pPr>
        <w:jc w:val="both"/>
      </w:pPr>
      <w:r w:rsidRPr="0044760B">
        <w:t>De ECR-Fractie steunt het verzoek om in de toekomst een transnationale lijst in te voeren niet. Transnationale EP-leden, die de traditionele electorale grenzen overstijgen, zullen er alleen maar voor zorgen dat de afstand tussen de burgers en de EU groter wordt. Het is naïef om te denken dat de controleerbaarheid van en de opkomst bij Europese verkiezingen hierdoor groter zullen worden. Het tegendeel zal het geval zijn.</w:t>
      </w:r>
    </w:p>
    <w:p w:rsidRPr="0044760B" w:rsidR="00454B40" w:rsidP="00B633A6" w:rsidRDefault="00454B40">
      <w:pPr>
        <w:pStyle w:val="PageHeading"/>
        <w:jc w:val="both"/>
      </w:pPr>
    </w:p>
    <w:p w:rsidRPr="0044760B" w:rsidR="00454B40" w:rsidP="00B633A6" w:rsidRDefault="00454B40">
      <w:pPr>
        <w:pStyle w:val="Inhopg1"/>
        <w:jc w:val="both"/>
      </w:pPr>
    </w:p>
    <w:p w:rsidRPr="0044760B" w:rsidR="00454B40" w:rsidP="00B633A6" w:rsidRDefault="00454B40">
      <w:pPr>
        <w:pStyle w:val="PageHeading"/>
        <w:jc w:val="both"/>
      </w:pPr>
      <w:r w:rsidRPr="0044760B">
        <w:br w:type="page"/>
      </w:r>
      <w:bookmarkStart w:name="_Toc505089006" w:id="9"/>
      <w:bookmarkStart w:name="ProcPageRR" w:id="10"/>
      <w:r w:rsidRPr="0044760B">
        <w:lastRenderedPageBreak/>
        <w:t>INFORMATIE OVER DE GOEDKEURING</w:t>
      </w:r>
      <w:r w:rsidRPr="0044760B">
        <w:br/>
        <w:t>IN DE BEVOEGDE COMMISSIE</w:t>
      </w:r>
      <w:bookmarkEnd w:id="9"/>
    </w:p>
    <w:tbl>
      <w:tblPr>
        <w:tblW w:w="0" w:type="auto"/>
        <w:tblInd w:w="79" w:type="dxa"/>
        <w:tblLayout w:type="fixed"/>
        <w:tblCellMar>
          <w:left w:w="0" w:type="dxa"/>
          <w:right w:w="0" w:type="dxa"/>
        </w:tblCellMar>
        <w:tblLook w:val="0000" w:firstRow="0" w:lastRow="0" w:firstColumn="0" w:lastColumn="0" w:noHBand="0" w:noVBand="0"/>
      </w:tblPr>
      <w:tblGrid>
        <w:gridCol w:w="3685"/>
        <w:gridCol w:w="1530"/>
        <w:gridCol w:w="1474"/>
        <w:gridCol w:w="1474"/>
        <w:gridCol w:w="1474"/>
      </w:tblGrid>
      <w:tr w:rsidRPr="0044760B" w:rsidR="00454B40" w:rsidTr="00A838B6">
        <w:tc>
          <w:tcPr>
            <w:tcW w:w="3685" w:type="dxa"/>
            <w:tcBorders>
              <w:top w:val="single" w:color="000000" w:sz="8" w:space="0"/>
              <w:left w:val="single" w:color="000000" w:sz="8" w:space="0"/>
              <w:bottom w:val="single" w:color="000000" w:sz="8" w:space="0"/>
              <w:right w:val="single" w:color="000000" w:sz="8" w:space="0"/>
            </w:tcBorders>
            <w:tcMar>
              <w:top w:w="79" w:type="dxa"/>
              <w:left w:w="79" w:type="dxa"/>
              <w:bottom w:w="79" w:type="dxa"/>
              <w:right w:w="79" w:type="dxa"/>
            </w:tcMar>
          </w:tcPr>
          <w:p w:rsidRPr="0044760B" w:rsidR="00454B40" w:rsidP="00B633A6" w:rsidRDefault="00454B40">
            <w:pPr>
              <w:autoSpaceDE w:val="0"/>
              <w:autoSpaceDN w:val="0"/>
              <w:adjustRightInd w:val="0"/>
              <w:jc w:val="both"/>
              <w:rPr>
                <w:b/>
                <w:bCs/>
                <w:color w:val="000000"/>
                <w:sz w:val="20"/>
              </w:rPr>
            </w:pPr>
            <w:r w:rsidRPr="0044760B">
              <w:rPr>
                <w:b/>
                <w:bCs/>
                <w:color w:val="000000"/>
                <w:sz w:val="20"/>
              </w:rPr>
              <w:t>Datum goedkeuring</w:t>
            </w:r>
          </w:p>
        </w:tc>
        <w:tc>
          <w:tcPr>
            <w:tcW w:w="1530" w:type="dxa"/>
            <w:tcBorders>
              <w:top w:val="single" w:color="000000" w:sz="8" w:space="0"/>
              <w:left w:val="nil"/>
              <w:bottom w:val="single" w:color="000000" w:sz="8" w:space="0"/>
              <w:right w:val="nil"/>
            </w:tcBorders>
            <w:tcMar>
              <w:top w:w="79" w:type="dxa"/>
              <w:left w:w="79" w:type="dxa"/>
              <w:bottom w:w="79" w:type="dxa"/>
              <w:right w:w="79" w:type="dxa"/>
            </w:tcMar>
          </w:tcPr>
          <w:p w:rsidRPr="0044760B" w:rsidR="00454B40" w:rsidP="00B633A6" w:rsidRDefault="00454B40">
            <w:pPr>
              <w:autoSpaceDE w:val="0"/>
              <w:autoSpaceDN w:val="0"/>
              <w:adjustRightInd w:val="0"/>
              <w:jc w:val="both"/>
              <w:rPr>
                <w:color w:val="000000"/>
                <w:sz w:val="20"/>
              </w:rPr>
            </w:pPr>
            <w:r w:rsidRPr="0044760B">
              <w:rPr>
                <w:color w:val="000000"/>
                <w:sz w:val="20"/>
              </w:rPr>
              <w:t>23.1.2018</w:t>
            </w:r>
          </w:p>
        </w:tc>
        <w:tc>
          <w:tcPr>
            <w:tcW w:w="1474" w:type="dxa"/>
            <w:tcBorders>
              <w:top w:val="single" w:color="000000" w:sz="8" w:space="0"/>
              <w:left w:val="nil"/>
              <w:bottom w:val="single" w:color="000000" w:sz="8" w:space="0"/>
              <w:right w:val="nil"/>
            </w:tcBorders>
            <w:tcMar>
              <w:top w:w="79" w:type="dxa"/>
              <w:left w:w="79" w:type="dxa"/>
              <w:bottom w:w="79" w:type="dxa"/>
              <w:right w:w="79" w:type="dxa"/>
            </w:tcMar>
          </w:tcPr>
          <w:p w:rsidRPr="0044760B" w:rsidR="00454B40" w:rsidP="00B633A6" w:rsidRDefault="00454B40">
            <w:pPr>
              <w:autoSpaceDE w:val="0"/>
              <w:autoSpaceDN w:val="0"/>
              <w:adjustRightInd w:val="0"/>
              <w:jc w:val="both"/>
              <w:rPr>
                <w:rFonts w:ascii="sans-serif" w:hAnsi="sans-serif" w:cs="sans-serif"/>
                <w:color w:val="000000"/>
              </w:rPr>
            </w:pPr>
          </w:p>
        </w:tc>
        <w:tc>
          <w:tcPr>
            <w:tcW w:w="1474" w:type="dxa"/>
            <w:tcBorders>
              <w:top w:val="single" w:color="000000" w:sz="8" w:space="0"/>
              <w:left w:val="nil"/>
              <w:bottom w:val="single" w:color="000000" w:sz="8" w:space="0"/>
              <w:right w:val="nil"/>
            </w:tcBorders>
            <w:tcMar>
              <w:top w:w="79" w:type="dxa"/>
              <w:left w:w="79" w:type="dxa"/>
              <w:bottom w:w="79" w:type="dxa"/>
              <w:right w:w="79" w:type="dxa"/>
            </w:tcMar>
          </w:tcPr>
          <w:p w:rsidRPr="0044760B" w:rsidR="00454B40" w:rsidP="00B633A6" w:rsidRDefault="00454B40">
            <w:pPr>
              <w:autoSpaceDE w:val="0"/>
              <w:autoSpaceDN w:val="0"/>
              <w:adjustRightInd w:val="0"/>
              <w:jc w:val="both"/>
              <w:rPr>
                <w:rFonts w:ascii="sans-serif" w:hAnsi="sans-serif" w:cs="sans-serif"/>
                <w:color w:val="000000"/>
              </w:rPr>
            </w:pPr>
          </w:p>
        </w:tc>
        <w:tc>
          <w:tcPr>
            <w:tcW w:w="1474" w:type="dxa"/>
            <w:tcBorders>
              <w:top w:val="single" w:color="000000" w:sz="8" w:space="0"/>
              <w:left w:val="nil"/>
              <w:bottom w:val="single" w:color="000000" w:sz="8" w:space="0"/>
              <w:right w:val="single" w:color="000000" w:sz="8" w:space="0"/>
            </w:tcBorders>
            <w:tcMar>
              <w:top w:w="79" w:type="dxa"/>
              <w:left w:w="79" w:type="dxa"/>
              <w:bottom w:w="79" w:type="dxa"/>
              <w:right w:w="79" w:type="dxa"/>
            </w:tcMar>
          </w:tcPr>
          <w:p w:rsidRPr="0044760B" w:rsidR="00454B40" w:rsidP="00B633A6" w:rsidRDefault="00454B40">
            <w:pPr>
              <w:autoSpaceDE w:val="0"/>
              <w:autoSpaceDN w:val="0"/>
              <w:adjustRightInd w:val="0"/>
              <w:jc w:val="both"/>
              <w:rPr>
                <w:rFonts w:ascii="sans-serif" w:hAnsi="sans-serif" w:cs="sans-serif"/>
                <w:color w:val="000000"/>
              </w:rPr>
            </w:pPr>
          </w:p>
        </w:tc>
      </w:tr>
      <w:tr w:rsidRPr="0044760B" w:rsidR="00454B40" w:rsidTr="00A838B6">
        <w:tc>
          <w:tcPr>
            <w:tcW w:w="3685" w:type="dxa"/>
            <w:tcBorders>
              <w:top w:val="single" w:color="000000" w:sz="8" w:space="0"/>
              <w:left w:val="single" w:color="000000" w:sz="8" w:space="0"/>
              <w:bottom w:val="single" w:color="000000" w:sz="8" w:space="0"/>
              <w:right w:val="single" w:color="000000" w:sz="8" w:space="0"/>
            </w:tcBorders>
            <w:tcMar>
              <w:top w:w="79" w:type="dxa"/>
              <w:left w:w="79" w:type="dxa"/>
              <w:bottom w:w="79" w:type="dxa"/>
              <w:right w:w="79" w:type="dxa"/>
            </w:tcMar>
          </w:tcPr>
          <w:p w:rsidRPr="0044760B" w:rsidR="00454B40" w:rsidP="00B633A6" w:rsidRDefault="00454B40">
            <w:pPr>
              <w:autoSpaceDE w:val="0"/>
              <w:autoSpaceDN w:val="0"/>
              <w:adjustRightInd w:val="0"/>
              <w:jc w:val="both"/>
              <w:rPr>
                <w:b/>
                <w:bCs/>
                <w:color w:val="000000"/>
                <w:sz w:val="20"/>
              </w:rPr>
            </w:pPr>
            <w:r w:rsidRPr="0044760B">
              <w:rPr>
                <w:b/>
                <w:bCs/>
                <w:color w:val="000000"/>
                <w:sz w:val="20"/>
              </w:rPr>
              <w:t>Uitslag eindstemming</w:t>
            </w:r>
          </w:p>
        </w:tc>
        <w:tc>
          <w:tcPr>
            <w:tcW w:w="1530" w:type="dxa"/>
            <w:tcBorders>
              <w:top w:val="single" w:color="000000" w:sz="8" w:space="0"/>
              <w:left w:val="nil"/>
              <w:bottom w:val="single" w:color="000000" w:sz="8" w:space="0"/>
              <w:right w:val="nil"/>
            </w:tcBorders>
            <w:tcMar>
              <w:top w:w="79" w:type="dxa"/>
              <w:left w:w="79" w:type="dxa"/>
              <w:bottom w:w="79" w:type="dxa"/>
              <w:right w:w="79" w:type="dxa"/>
            </w:tcMar>
          </w:tcPr>
          <w:p w:rsidRPr="0044760B" w:rsidR="00454B40" w:rsidP="00B633A6" w:rsidRDefault="00454B40">
            <w:pPr>
              <w:autoSpaceDE w:val="0"/>
              <w:autoSpaceDN w:val="0"/>
              <w:adjustRightInd w:val="0"/>
              <w:jc w:val="both"/>
              <w:rPr>
                <w:color w:val="000000"/>
                <w:sz w:val="20"/>
              </w:rPr>
            </w:pPr>
            <w:r w:rsidRPr="0044760B">
              <w:rPr>
                <w:color w:val="000000"/>
                <w:sz w:val="20"/>
              </w:rPr>
              <w:t>+:</w:t>
            </w:r>
          </w:p>
          <w:p w:rsidRPr="0044760B" w:rsidR="00454B40" w:rsidP="00B633A6" w:rsidRDefault="00454B40">
            <w:pPr>
              <w:autoSpaceDE w:val="0"/>
              <w:autoSpaceDN w:val="0"/>
              <w:adjustRightInd w:val="0"/>
              <w:jc w:val="both"/>
              <w:rPr>
                <w:color w:val="000000"/>
                <w:sz w:val="20"/>
              </w:rPr>
            </w:pPr>
            <w:r w:rsidRPr="0044760B">
              <w:rPr>
                <w:color w:val="000000"/>
                <w:sz w:val="20"/>
              </w:rPr>
              <w:t>–:</w:t>
            </w:r>
          </w:p>
          <w:p w:rsidRPr="0044760B" w:rsidR="00454B40" w:rsidP="00B633A6" w:rsidRDefault="00454B40">
            <w:pPr>
              <w:autoSpaceDE w:val="0"/>
              <w:autoSpaceDN w:val="0"/>
              <w:adjustRightInd w:val="0"/>
              <w:jc w:val="both"/>
              <w:rPr>
                <w:color w:val="000000"/>
                <w:sz w:val="20"/>
              </w:rPr>
            </w:pPr>
            <w:r w:rsidRPr="0044760B">
              <w:rPr>
                <w:color w:val="000000"/>
                <w:sz w:val="20"/>
              </w:rPr>
              <w:t>0:</w:t>
            </w:r>
          </w:p>
        </w:tc>
        <w:tc>
          <w:tcPr>
            <w:tcW w:w="4422" w:type="dxa"/>
            <w:gridSpan w:val="3"/>
            <w:tcBorders>
              <w:top w:val="single" w:color="000000" w:sz="8" w:space="0"/>
              <w:left w:val="nil"/>
              <w:bottom w:val="single" w:color="000000" w:sz="8" w:space="0"/>
              <w:right w:val="single" w:color="000000" w:sz="8" w:space="0"/>
            </w:tcBorders>
            <w:tcMar>
              <w:top w:w="79" w:type="dxa"/>
              <w:left w:w="79" w:type="dxa"/>
              <w:bottom w:w="79" w:type="dxa"/>
              <w:right w:w="79" w:type="dxa"/>
            </w:tcMar>
          </w:tcPr>
          <w:p w:rsidRPr="0044760B" w:rsidR="00454B40" w:rsidP="00B633A6" w:rsidRDefault="00454B40">
            <w:pPr>
              <w:autoSpaceDE w:val="0"/>
              <w:autoSpaceDN w:val="0"/>
              <w:adjustRightInd w:val="0"/>
              <w:jc w:val="both"/>
              <w:rPr>
                <w:color w:val="000000"/>
                <w:sz w:val="20"/>
              </w:rPr>
            </w:pPr>
            <w:r w:rsidRPr="0044760B">
              <w:rPr>
                <w:color w:val="000000"/>
                <w:sz w:val="20"/>
              </w:rPr>
              <w:t>20</w:t>
            </w:r>
          </w:p>
          <w:p w:rsidRPr="0044760B" w:rsidR="00454B40" w:rsidP="00B633A6" w:rsidRDefault="00454B40">
            <w:pPr>
              <w:autoSpaceDE w:val="0"/>
              <w:autoSpaceDN w:val="0"/>
              <w:adjustRightInd w:val="0"/>
              <w:jc w:val="both"/>
              <w:rPr>
                <w:color w:val="000000"/>
                <w:sz w:val="20"/>
              </w:rPr>
            </w:pPr>
            <w:r w:rsidRPr="0044760B">
              <w:rPr>
                <w:color w:val="000000"/>
                <w:sz w:val="20"/>
              </w:rPr>
              <w:t>4</w:t>
            </w:r>
          </w:p>
          <w:p w:rsidRPr="0044760B" w:rsidR="00454B40" w:rsidP="00B633A6" w:rsidRDefault="00454B40">
            <w:pPr>
              <w:autoSpaceDE w:val="0"/>
              <w:autoSpaceDN w:val="0"/>
              <w:adjustRightInd w:val="0"/>
              <w:jc w:val="both"/>
              <w:rPr>
                <w:color w:val="000000"/>
                <w:sz w:val="20"/>
              </w:rPr>
            </w:pPr>
            <w:r w:rsidRPr="0044760B">
              <w:rPr>
                <w:color w:val="000000"/>
                <w:sz w:val="20"/>
              </w:rPr>
              <w:t>1</w:t>
            </w:r>
          </w:p>
        </w:tc>
      </w:tr>
      <w:tr w:rsidRPr="0044760B" w:rsidR="00454B40" w:rsidTr="00A838B6">
        <w:tc>
          <w:tcPr>
            <w:tcW w:w="3685" w:type="dxa"/>
            <w:tcBorders>
              <w:top w:val="single" w:color="000000" w:sz="8" w:space="0"/>
              <w:left w:val="single" w:color="000000" w:sz="8" w:space="0"/>
              <w:bottom w:val="single" w:color="000000" w:sz="8" w:space="0"/>
              <w:right w:val="single" w:color="000000" w:sz="8" w:space="0"/>
            </w:tcBorders>
            <w:tcMar>
              <w:top w:w="79" w:type="dxa"/>
              <w:left w:w="79" w:type="dxa"/>
              <w:bottom w:w="79" w:type="dxa"/>
              <w:right w:w="79" w:type="dxa"/>
            </w:tcMar>
          </w:tcPr>
          <w:p w:rsidRPr="0044760B" w:rsidR="00454B40" w:rsidP="00B633A6" w:rsidRDefault="00454B40">
            <w:pPr>
              <w:autoSpaceDE w:val="0"/>
              <w:autoSpaceDN w:val="0"/>
              <w:adjustRightInd w:val="0"/>
              <w:jc w:val="both"/>
              <w:rPr>
                <w:b/>
                <w:bCs/>
                <w:color w:val="000000"/>
                <w:sz w:val="20"/>
              </w:rPr>
            </w:pPr>
            <w:r w:rsidRPr="0044760B">
              <w:rPr>
                <w:b/>
                <w:bCs/>
                <w:color w:val="000000"/>
                <w:sz w:val="20"/>
              </w:rPr>
              <w:t>Bij de eindstemming aanwezige leden</w:t>
            </w:r>
          </w:p>
        </w:tc>
        <w:tc>
          <w:tcPr>
            <w:tcW w:w="5952" w:type="dxa"/>
            <w:gridSpan w:val="4"/>
            <w:tcBorders>
              <w:top w:val="single" w:color="000000" w:sz="8" w:space="0"/>
              <w:left w:val="nil"/>
              <w:bottom w:val="single" w:color="000000" w:sz="8" w:space="0"/>
              <w:right w:val="single" w:color="000000" w:sz="8" w:space="0"/>
            </w:tcBorders>
            <w:tcMar>
              <w:top w:w="79" w:type="dxa"/>
              <w:left w:w="79" w:type="dxa"/>
              <w:bottom w:w="79" w:type="dxa"/>
              <w:right w:w="79" w:type="dxa"/>
            </w:tcMar>
          </w:tcPr>
          <w:p w:rsidRPr="0044760B" w:rsidR="00454B40" w:rsidP="00B633A6" w:rsidRDefault="00454B40">
            <w:pPr>
              <w:autoSpaceDE w:val="0"/>
              <w:autoSpaceDN w:val="0"/>
              <w:adjustRightInd w:val="0"/>
              <w:jc w:val="both"/>
              <w:rPr>
                <w:color w:val="000000"/>
                <w:sz w:val="20"/>
              </w:rPr>
            </w:pPr>
            <w:r w:rsidRPr="0044760B">
              <w:rPr>
                <w:color w:val="000000"/>
                <w:sz w:val="20"/>
              </w:rPr>
              <w:t>Michał Boni, Mercedes Bresso, Elmar Brok, Fabio Massimo Castaldo, Pascal Durand, Esteban González Pons, Danuta Maria Hübner, Diane James, Ramón Jáuregui Atondo, Alain Lamassoure, Jo Leinen, Morten Messerschmidt, Maite Pagazaurtundúa Ruiz, Markus Pieper, Paulo Rangel, Helmut Scholz, György Schöpflin, Pedro Silva Pereira, Barbara Spinelli, Claudia Țapardel, Josep-Maria Terricabras, Kazimierz Michał Ujazdowski, Guy Verhofstadt</w:t>
            </w:r>
          </w:p>
        </w:tc>
      </w:tr>
      <w:tr w:rsidRPr="000E110B" w:rsidR="00454B40" w:rsidTr="00A838B6">
        <w:tc>
          <w:tcPr>
            <w:tcW w:w="3685" w:type="dxa"/>
            <w:tcBorders>
              <w:top w:val="nil"/>
              <w:left w:val="single" w:color="000000" w:sz="8" w:space="0"/>
              <w:bottom w:val="single" w:color="000000" w:sz="8" w:space="0"/>
              <w:right w:val="single" w:color="000000" w:sz="8" w:space="0"/>
            </w:tcBorders>
            <w:tcMar>
              <w:top w:w="79" w:type="dxa"/>
              <w:left w:w="79" w:type="dxa"/>
              <w:bottom w:w="79" w:type="dxa"/>
              <w:right w:w="79" w:type="dxa"/>
            </w:tcMar>
          </w:tcPr>
          <w:p w:rsidRPr="0044760B" w:rsidR="00454B40" w:rsidP="00B633A6" w:rsidRDefault="00454B40">
            <w:pPr>
              <w:autoSpaceDE w:val="0"/>
              <w:autoSpaceDN w:val="0"/>
              <w:adjustRightInd w:val="0"/>
              <w:jc w:val="both"/>
              <w:rPr>
                <w:b/>
                <w:bCs/>
                <w:color w:val="000000"/>
                <w:sz w:val="20"/>
              </w:rPr>
            </w:pPr>
            <w:r w:rsidRPr="0044760B">
              <w:rPr>
                <w:b/>
                <w:bCs/>
                <w:color w:val="000000"/>
                <w:sz w:val="20"/>
              </w:rPr>
              <w:t>Bij de eindstemming aanwezige vaste plaatsvervangers</w:t>
            </w:r>
          </w:p>
        </w:tc>
        <w:tc>
          <w:tcPr>
            <w:tcW w:w="5952" w:type="dxa"/>
            <w:gridSpan w:val="4"/>
            <w:tcBorders>
              <w:top w:val="nil"/>
              <w:left w:val="nil"/>
              <w:bottom w:val="single" w:color="000000" w:sz="8" w:space="0"/>
              <w:right w:val="single" w:color="000000" w:sz="8" w:space="0"/>
            </w:tcBorders>
            <w:tcMar>
              <w:top w:w="79" w:type="dxa"/>
              <w:left w:w="79" w:type="dxa"/>
              <w:bottom w:w="79" w:type="dxa"/>
              <w:right w:w="79" w:type="dxa"/>
            </w:tcMar>
          </w:tcPr>
          <w:p w:rsidRPr="0036680A" w:rsidR="00454B40" w:rsidP="00B633A6" w:rsidRDefault="00454B40">
            <w:pPr>
              <w:autoSpaceDE w:val="0"/>
              <w:autoSpaceDN w:val="0"/>
              <w:adjustRightInd w:val="0"/>
              <w:jc w:val="both"/>
              <w:rPr>
                <w:color w:val="000000"/>
                <w:sz w:val="20"/>
                <w:lang w:val="en-GB"/>
              </w:rPr>
            </w:pPr>
            <w:r w:rsidRPr="0036680A">
              <w:rPr>
                <w:color w:val="000000"/>
                <w:sz w:val="20"/>
                <w:lang w:val="en-GB"/>
              </w:rPr>
              <w:t>Max Andersson, Pervenche Berès, Roberto Gualtieri, Sylvia-Yvonne Kaufmann, Jérôme Lavrilleux, Georg Mayer, Rainer Wieland</w:t>
            </w:r>
          </w:p>
        </w:tc>
      </w:tr>
    </w:tbl>
    <w:p w:rsidRPr="0036680A" w:rsidR="00454B40" w:rsidP="00B633A6" w:rsidRDefault="00454B40">
      <w:pPr>
        <w:autoSpaceDE w:val="0"/>
        <w:autoSpaceDN w:val="0"/>
        <w:adjustRightInd w:val="0"/>
        <w:jc w:val="both"/>
        <w:rPr>
          <w:rFonts w:ascii="Arial" w:hAnsi="Arial" w:cs="Arial"/>
          <w:lang w:val="en-GB"/>
        </w:rPr>
      </w:pPr>
    </w:p>
    <w:bookmarkEnd w:id="10"/>
    <w:p w:rsidRPr="0044760B" w:rsidR="00454B40" w:rsidP="00B633A6" w:rsidRDefault="00454B40">
      <w:pPr>
        <w:pStyle w:val="PageHeading"/>
        <w:jc w:val="both"/>
      </w:pPr>
      <w:r w:rsidRPr="000E110B">
        <w:br w:type="page"/>
      </w:r>
      <w:bookmarkStart w:name="_Toc504731981" w:id="11"/>
      <w:bookmarkStart w:name="_Toc505089007" w:id="12"/>
      <w:bookmarkStart w:name="_Toc504581956" w:id="13"/>
      <w:bookmarkStart w:name="RollCallPageRR" w:id="14"/>
      <w:r w:rsidRPr="0044760B">
        <w:lastRenderedPageBreak/>
        <w:t>HOOFDELIJKE EINDSTEMMING IN DE BEVOEGDE COMMISSIE</w:t>
      </w:r>
      <w:bookmarkEnd w:id="11"/>
      <w:bookmarkEnd w:id="12"/>
    </w:p>
    <w:p w:rsidRPr="0044760B" w:rsidR="00454B40" w:rsidP="00B633A6" w:rsidRDefault="00454B40">
      <w:pPr>
        <w:pStyle w:val="RollCallSubtitle"/>
        <w:spacing w:after="720"/>
        <w:jc w:val="both"/>
      </w:pPr>
      <w:proofErr w:type="gramStart"/>
      <w:r w:rsidRPr="0044760B">
        <w:rPr>
          <w:b/>
          <w:color w:val="000000"/>
          <w:szCs w:val="24"/>
        </w:rPr>
        <w:t>over</w:t>
      </w:r>
      <w:proofErr w:type="gramEnd"/>
      <w:r w:rsidRPr="0044760B">
        <w:rPr>
          <w:b/>
          <w:color w:val="000000"/>
          <w:szCs w:val="24"/>
        </w:rPr>
        <w:t xml:space="preserve"> het voorstel voor een besluit van de Europese Raad inzake de samenstelling van het Europees Parlement</w:t>
      </w:r>
      <w:bookmarkEnd w:id="13"/>
    </w:p>
    <w:tbl>
      <w:tblPr>
        <w:tblW w:w="0" w:type="auto"/>
        <w:tblInd w:w="145" w:type="dxa"/>
        <w:tblBorders>
          <w:top w:val="double" w:color="000000" w:sz="2" w:space="0"/>
          <w:left w:val="double" w:color="000000" w:sz="2" w:space="0"/>
          <w:bottom w:val="double" w:color="000000" w:sz="2" w:space="0"/>
          <w:right w:val="double" w:color="000000" w:sz="2" w:space="0"/>
          <w:insideH w:val="single" w:color="000000" w:sz="2" w:space="0"/>
          <w:insideV w:val="single" w:color="000000" w:sz="2" w:space="0"/>
        </w:tblBorders>
        <w:tblLayout w:type="fixed"/>
        <w:tblCellMar>
          <w:left w:w="145" w:type="dxa"/>
          <w:right w:w="145" w:type="dxa"/>
        </w:tblCellMar>
        <w:tblLook w:val="0000" w:firstRow="0" w:lastRow="0" w:firstColumn="0" w:lastColumn="0" w:noHBand="0" w:noVBand="0"/>
      </w:tblPr>
      <w:tblGrid>
        <w:gridCol w:w="1701"/>
        <w:gridCol w:w="7371"/>
      </w:tblGrid>
      <w:tr w:rsidRPr="0044760B" w:rsidR="00454B40" w:rsidTr="00A838B6">
        <w:trPr>
          <w:cantSplit/>
        </w:trPr>
        <w:tc>
          <w:tcPr>
            <w:tcW w:w="1701" w:type="dxa"/>
            <w:shd w:val="pct10" w:color="000000" w:fill="FFFFFF"/>
            <w:vAlign w:val="center"/>
          </w:tcPr>
          <w:p w:rsidRPr="0044760B" w:rsidR="00454B40" w:rsidP="00B633A6" w:rsidRDefault="00454B40">
            <w:pPr>
              <w:spacing w:before="120" w:after="120"/>
              <w:jc w:val="both"/>
              <w:rPr>
                <w:b/>
                <w:sz w:val="28"/>
                <w:szCs w:val="28"/>
              </w:rPr>
            </w:pPr>
            <w:r w:rsidRPr="0044760B">
              <w:rPr>
                <w:b/>
                <w:sz w:val="28"/>
                <w:szCs w:val="28"/>
              </w:rPr>
              <w:t>21</w:t>
            </w:r>
          </w:p>
        </w:tc>
        <w:tc>
          <w:tcPr>
            <w:tcW w:w="7371" w:type="dxa"/>
            <w:shd w:val="pct10" w:color="000000" w:fill="FFFFFF"/>
          </w:tcPr>
          <w:p w:rsidRPr="0044760B" w:rsidR="00454B40" w:rsidP="00B633A6" w:rsidRDefault="00454B40">
            <w:pPr>
              <w:spacing w:before="120" w:after="120"/>
              <w:jc w:val="both"/>
              <w:rPr>
                <w:b/>
                <w:sz w:val="28"/>
                <w:szCs w:val="28"/>
              </w:rPr>
            </w:pPr>
            <w:r w:rsidRPr="0044760B">
              <w:rPr>
                <w:b/>
                <w:sz w:val="28"/>
                <w:szCs w:val="28"/>
              </w:rPr>
              <w:t>+</w:t>
            </w:r>
          </w:p>
        </w:tc>
      </w:tr>
      <w:tr w:rsidRPr="0044760B" w:rsidR="00454B40" w:rsidTr="00A838B6">
        <w:trPr>
          <w:cantSplit/>
        </w:trPr>
        <w:tc>
          <w:tcPr>
            <w:tcW w:w="1701" w:type="dxa"/>
            <w:shd w:val="clear" w:color="auto" w:fill="FFFFFF"/>
            <w:vAlign w:val="center"/>
          </w:tcPr>
          <w:p w:rsidRPr="0044760B" w:rsidR="00454B40" w:rsidP="00B633A6" w:rsidRDefault="00454B40">
            <w:pPr>
              <w:jc w:val="both"/>
              <w:rPr>
                <w:sz w:val="16"/>
              </w:rPr>
            </w:pPr>
            <w:r w:rsidRPr="0044760B">
              <w:rPr>
                <w:sz w:val="16"/>
              </w:rPr>
              <w:t>ALDE</w:t>
            </w:r>
          </w:p>
        </w:tc>
        <w:tc>
          <w:tcPr>
            <w:tcW w:w="7371" w:type="dxa"/>
            <w:shd w:val="clear" w:color="auto" w:fill="FFFFFF"/>
            <w:vAlign w:val="center"/>
          </w:tcPr>
          <w:p w:rsidRPr="0044760B" w:rsidR="00454B40" w:rsidP="00B633A6" w:rsidRDefault="00454B40">
            <w:pPr>
              <w:spacing w:before="120" w:after="120"/>
              <w:jc w:val="both"/>
              <w:rPr>
                <w:sz w:val="16"/>
              </w:rPr>
            </w:pPr>
            <w:r w:rsidRPr="0044760B">
              <w:rPr>
                <w:sz w:val="16"/>
              </w:rPr>
              <w:t>Maite Pagazaurtundúa Ruiz, Guy Verhofstadt</w:t>
            </w:r>
          </w:p>
        </w:tc>
      </w:tr>
      <w:tr w:rsidRPr="0044760B" w:rsidR="00454B40" w:rsidTr="00A838B6">
        <w:trPr>
          <w:cantSplit/>
        </w:trPr>
        <w:tc>
          <w:tcPr>
            <w:tcW w:w="1701" w:type="dxa"/>
            <w:shd w:val="clear" w:color="auto" w:fill="FFFFFF"/>
            <w:vAlign w:val="center"/>
          </w:tcPr>
          <w:p w:rsidRPr="0044760B" w:rsidR="00454B40" w:rsidP="00B633A6" w:rsidRDefault="00454B40">
            <w:pPr>
              <w:jc w:val="both"/>
              <w:rPr>
                <w:sz w:val="16"/>
              </w:rPr>
            </w:pPr>
            <w:r w:rsidRPr="0044760B">
              <w:rPr>
                <w:sz w:val="16"/>
              </w:rPr>
              <w:t>EFDD</w:t>
            </w:r>
          </w:p>
        </w:tc>
        <w:tc>
          <w:tcPr>
            <w:tcW w:w="7371" w:type="dxa"/>
            <w:shd w:val="clear" w:color="auto" w:fill="FFFFFF"/>
            <w:vAlign w:val="center"/>
          </w:tcPr>
          <w:p w:rsidRPr="0044760B" w:rsidR="00454B40" w:rsidP="00B633A6" w:rsidRDefault="00454B40">
            <w:pPr>
              <w:spacing w:before="120" w:after="120"/>
              <w:jc w:val="both"/>
              <w:rPr>
                <w:sz w:val="16"/>
              </w:rPr>
            </w:pPr>
            <w:r w:rsidRPr="0044760B">
              <w:rPr>
                <w:sz w:val="16"/>
              </w:rPr>
              <w:t>Fabio Massimo Castaldo</w:t>
            </w:r>
          </w:p>
        </w:tc>
      </w:tr>
      <w:tr w:rsidRPr="0044760B" w:rsidR="00454B40" w:rsidTr="00A838B6">
        <w:trPr>
          <w:cantSplit/>
        </w:trPr>
        <w:tc>
          <w:tcPr>
            <w:tcW w:w="1701" w:type="dxa"/>
            <w:shd w:val="clear" w:color="auto" w:fill="FFFFFF"/>
            <w:vAlign w:val="center"/>
          </w:tcPr>
          <w:p w:rsidRPr="0044760B" w:rsidR="00454B40" w:rsidP="00B633A6" w:rsidRDefault="00454B40">
            <w:pPr>
              <w:jc w:val="both"/>
              <w:rPr>
                <w:sz w:val="16"/>
              </w:rPr>
            </w:pPr>
            <w:r w:rsidRPr="0044760B">
              <w:rPr>
                <w:sz w:val="16"/>
              </w:rPr>
              <w:t>GUE/NGL</w:t>
            </w:r>
          </w:p>
        </w:tc>
        <w:tc>
          <w:tcPr>
            <w:tcW w:w="7371" w:type="dxa"/>
            <w:shd w:val="clear" w:color="auto" w:fill="FFFFFF"/>
            <w:vAlign w:val="center"/>
          </w:tcPr>
          <w:p w:rsidRPr="0044760B" w:rsidR="00454B40" w:rsidP="00B633A6" w:rsidRDefault="00454B40">
            <w:pPr>
              <w:spacing w:before="120" w:after="120"/>
              <w:jc w:val="both"/>
              <w:rPr>
                <w:sz w:val="16"/>
              </w:rPr>
            </w:pPr>
            <w:r w:rsidRPr="0044760B">
              <w:rPr>
                <w:sz w:val="16"/>
              </w:rPr>
              <w:t>Helmut Scholz, Barbara Spinelli</w:t>
            </w:r>
          </w:p>
        </w:tc>
      </w:tr>
      <w:tr w:rsidRPr="000E110B" w:rsidR="00454B40" w:rsidTr="00A838B6">
        <w:trPr>
          <w:cantSplit/>
        </w:trPr>
        <w:tc>
          <w:tcPr>
            <w:tcW w:w="1701" w:type="dxa"/>
            <w:shd w:val="clear" w:color="auto" w:fill="FFFFFF"/>
            <w:vAlign w:val="center"/>
          </w:tcPr>
          <w:p w:rsidRPr="0044760B" w:rsidR="00454B40" w:rsidP="00B633A6" w:rsidRDefault="00454B40">
            <w:pPr>
              <w:jc w:val="both"/>
              <w:rPr>
                <w:sz w:val="16"/>
              </w:rPr>
            </w:pPr>
            <w:r w:rsidRPr="0044760B">
              <w:rPr>
                <w:sz w:val="16"/>
              </w:rPr>
              <w:t>PPE</w:t>
            </w:r>
          </w:p>
        </w:tc>
        <w:tc>
          <w:tcPr>
            <w:tcW w:w="7371" w:type="dxa"/>
            <w:shd w:val="clear" w:color="auto" w:fill="FFFFFF"/>
            <w:vAlign w:val="center"/>
          </w:tcPr>
          <w:p w:rsidRPr="0036680A" w:rsidR="00454B40" w:rsidP="00B633A6" w:rsidRDefault="00454B40">
            <w:pPr>
              <w:spacing w:before="120" w:after="120"/>
              <w:jc w:val="both"/>
              <w:rPr>
                <w:sz w:val="16"/>
                <w:lang w:val="en-GB"/>
              </w:rPr>
            </w:pPr>
            <w:r w:rsidRPr="0036680A">
              <w:rPr>
                <w:sz w:val="16"/>
                <w:lang w:val="en-GB"/>
              </w:rPr>
              <w:t>Michał Boni, Elmar Brok, Esteban González Pons, Danuta Maria Hübner, Alain Lamassoure, Markus Pieper, Paulo Rangel, György Schöpflin</w:t>
            </w:r>
          </w:p>
        </w:tc>
      </w:tr>
      <w:tr w:rsidRPr="000E110B" w:rsidR="00454B40" w:rsidTr="00A838B6">
        <w:trPr>
          <w:cantSplit/>
        </w:trPr>
        <w:tc>
          <w:tcPr>
            <w:tcW w:w="1701" w:type="dxa"/>
            <w:shd w:val="clear" w:color="auto" w:fill="FFFFFF"/>
            <w:vAlign w:val="center"/>
          </w:tcPr>
          <w:p w:rsidRPr="0044760B" w:rsidR="00454B40" w:rsidP="00B633A6" w:rsidRDefault="00454B40">
            <w:pPr>
              <w:jc w:val="both"/>
              <w:rPr>
                <w:sz w:val="16"/>
              </w:rPr>
            </w:pPr>
            <w:r w:rsidRPr="0044760B">
              <w:rPr>
                <w:sz w:val="16"/>
              </w:rPr>
              <w:t>S&amp;D</w:t>
            </w:r>
          </w:p>
        </w:tc>
        <w:tc>
          <w:tcPr>
            <w:tcW w:w="7371" w:type="dxa"/>
            <w:shd w:val="clear" w:color="auto" w:fill="FFFFFF"/>
            <w:vAlign w:val="center"/>
          </w:tcPr>
          <w:p w:rsidRPr="0036680A" w:rsidR="00454B40" w:rsidP="00B633A6" w:rsidRDefault="00454B40">
            <w:pPr>
              <w:spacing w:before="120" w:after="120"/>
              <w:jc w:val="both"/>
              <w:rPr>
                <w:sz w:val="16"/>
                <w:lang w:val="en-GB"/>
              </w:rPr>
            </w:pPr>
            <w:r w:rsidRPr="0036680A">
              <w:rPr>
                <w:sz w:val="16"/>
                <w:lang w:val="en-GB"/>
              </w:rPr>
              <w:t>Pervenche Berès, Mercedes Bresso, Ramón Jáuregui Atondo, Jo Leinen, Claudia Țapardel, Pedro Silva Pereira</w:t>
            </w:r>
          </w:p>
        </w:tc>
      </w:tr>
      <w:tr w:rsidRPr="000E110B" w:rsidR="00454B40" w:rsidTr="00A838B6">
        <w:trPr>
          <w:cantSplit/>
        </w:trPr>
        <w:tc>
          <w:tcPr>
            <w:tcW w:w="1701" w:type="dxa"/>
            <w:shd w:val="clear" w:color="auto" w:fill="FFFFFF"/>
            <w:vAlign w:val="center"/>
          </w:tcPr>
          <w:p w:rsidRPr="0044760B" w:rsidR="00454B40" w:rsidP="00B633A6" w:rsidRDefault="00454B40">
            <w:pPr>
              <w:jc w:val="both"/>
            </w:pPr>
            <w:r w:rsidRPr="0044760B">
              <w:rPr>
                <w:sz w:val="16"/>
              </w:rPr>
              <w:t>VERTS/ALE</w:t>
            </w:r>
          </w:p>
        </w:tc>
        <w:tc>
          <w:tcPr>
            <w:tcW w:w="7371" w:type="dxa"/>
            <w:shd w:val="clear" w:color="auto" w:fill="FFFFFF"/>
            <w:vAlign w:val="center"/>
          </w:tcPr>
          <w:p w:rsidRPr="0036680A" w:rsidR="00454B40" w:rsidP="00B633A6" w:rsidRDefault="00454B40">
            <w:pPr>
              <w:spacing w:before="120" w:after="120"/>
              <w:jc w:val="both"/>
              <w:rPr>
                <w:sz w:val="16"/>
                <w:lang w:val="en-GB"/>
              </w:rPr>
            </w:pPr>
            <w:r w:rsidRPr="0036680A">
              <w:rPr>
                <w:sz w:val="16"/>
                <w:lang w:val="en-GB"/>
              </w:rPr>
              <w:t>Pascal Durand, Josep-Maria Terricabras</w:t>
            </w:r>
          </w:p>
        </w:tc>
      </w:tr>
    </w:tbl>
    <w:p w:rsidRPr="0036680A" w:rsidR="00454B40" w:rsidP="00B633A6" w:rsidRDefault="00454B40">
      <w:pPr>
        <w:jc w:val="both"/>
        <w:rPr>
          <w:lang w:val="en-GB"/>
        </w:rPr>
      </w:pPr>
    </w:p>
    <w:tbl>
      <w:tblPr>
        <w:tblW w:w="0" w:type="auto"/>
        <w:tblInd w:w="145" w:type="dxa"/>
        <w:tblBorders>
          <w:top w:val="double" w:color="000000" w:sz="2" w:space="0"/>
          <w:left w:val="double" w:color="000000" w:sz="2" w:space="0"/>
          <w:bottom w:val="double" w:color="000000" w:sz="2" w:space="0"/>
          <w:right w:val="double" w:color="000000" w:sz="2" w:space="0"/>
          <w:insideH w:val="single" w:color="000000" w:sz="2" w:space="0"/>
          <w:insideV w:val="single" w:color="000000" w:sz="2" w:space="0"/>
        </w:tblBorders>
        <w:tblLayout w:type="fixed"/>
        <w:tblCellMar>
          <w:left w:w="145" w:type="dxa"/>
          <w:right w:w="145" w:type="dxa"/>
        </w:tblCellMar>
        <w:tblLook w:val="0000" w:firstRow="0" w:lastRow="0" w:firstColumn="0" w:lastColumn="0" w:noHBand="0" w:noVBand="0"/>
      </w:tblPr>
      <w:tblGrid>
        <w:gridCol w:w="1701"/>
        <w:gridCol w:w="7371"/>
      </w:tblGrid>
      <w:tr w:rsidRPr="0044760B" w:rsidR="00454B40" w:rsidTr="00A838B6">
        <w:trPr>
          <w:cantSplit/>
        </w:trPr>
        <w:tc>
          <w:tcPr>
            <w:tcW w:w="1701" w:type="dxa"/>
            <w:shd w:val="pct10" w:color="000000" w:fill="FFFFFF"/>
            <w:vAlign w:val="center"/>
          </w:tcPr>
          <w:p w:rsidRPr="0044760B" w:rsidR="00454B40" w:rsidP="00B633A6" w:rsidRDefault="00454B40">
            <w:pPr>
              <w:spacing w:before="120" w:after="120"/>
              <w:jc w:val="both"/>
              <w:rPr>
                <w:b/>
                <w:sz w:val="28"/>
                <w:szCs w:val="28"/>
              </w:rPr>
            </w:pPr>
            <w:r w:rsidRPr="0044760B">
              <w:rPr>
                <w:b/>
                <w:sz w:val="28"/>
                <w:szCs w:val="28"/>
              </w:rPr>
              <w:t>4</w:t>
            </w:r>
          </w:p>
        </w:tc>
        <w:tc>
          <w:tcPr>
            <w:tcW w:w="7371" w:type="dxa"/>
            <w:shd w:val="pct10" w:color="000000" w:fill="FFFFFF"/>
          </w:tcPr>
          <w:p w:rsidRPr="0044760B" w:rsidR="00454B40" w:rsidP="00B633A6" w:rsidRDefault="00454B40">
            <w:pPr>
              <w:spacing w:before="120" w:after="120"/>
              <w:jc w:val="both"/>
              <w:rPr>
                <w:sz w:val="28"/>
                <w:szCs w:val="28"/>
              </w:rPr>
            </w:pPr>
            <w:r w:rsidRPr="0044760B">
              <w:rPr>
                <w:b/>
                <w:sz w:val="28"/>
                <w:szCs w:val="28"/>
              </w:rPr>
              <w:t>-</w:t>
            </w:r>
          </w:p>
        </w:tc>
      </w:tr>
      <w:tr w:rsidRPr="0044760B" w:rsidR="00454B40" w:rsidTr="00A838B6">
        <w:trPr>
          <w:cantSplit/>
        </w:trPr>
        <w:tc>
          <w:tcPr>
            <w:tcW w:w="1701" w:type="dxa"/>
            <w:shd w:val="clear" w:color="auto" w:fill="FFFFFF"/>
            <w:vAlign w:val="center"/>
          </w:tcPr>
          <w:p w:rsidRPr="0044760B" w:rsidR="00454B40" w:rsidP="00B633A6" w:rsidRDefault="00454B40">
            <w:pPr>
              <w:spacing w:before="120" w:after="120"/>
              <w:jc w:val="both"/>
              <w:rPr>
                <w:sz w:val="16"/>
              </w:rPr>
            </w:pPr>
            <w:r w:rsidRPr="0044760B">
              <w:rPr>
                <w:sz w:val="16"/>
              </w:rPr>
              <w:t>ECR</w:t>
            </w:r>
          </w:p>
        </w:tc>
        <w:tc>
          <w:tcPr>
            <w:tcW w:w="7371" w:type="dxa"/>
            <w:shd w:val="clear" w:color="auto" w:fill="FFFFFF"/>
            <w:vAlign w:val="center"/>
          </w:tcPr>
          <w:p w:rsidRPr="0044760B" w:rsidR="00454B40" w:rsidP="00B633A6" w:rsidRDefault="00454B40">
            <w:pPr>
              <w:spacing w:before="120" w:after="120"/>
              <w:jc w:val="both"/>
              <w:rPr>
                <w:sz w:val="16"/>
              </w:rPr>
            </w:pPr>
            <w:r w:rsidRPr="0044760B">
              <w:rPr>
                <w:sz w:val="16"/>
              </w:rPr>
              <w:t>Morten Messerschmidt, Kazimierz Michał Ujazdowski</w:t>
            </w:r>
          </w:p>
        </w:tc>
      </w:tr>
      <w:tr w:rsidRPr="0044760B" w:rsidR="00454B40" w:rsidTr="00A838B6">
        <w:trPr>
          <w:cantSplit/>
        </w:trPr>
        <w:tc>
          <w:tcPr>
            <w:tcW w:w="1701" w:type="dxa"/>
            <w:shd w:val="clear" w:color="auto" w:fill="FFFFFF"/>
            <w:vAlign w:val="center"/>
          </w:tcPr>
          <w:p w:rsidRPr="0044760B" w:rsidR="00454B40" w:rsidP="00B633A6" w:rsidRDefault="00454B40">
            <w:pPr>
              <w:jc w:val="both"/>
              <w:rPr>
                <w:sz w:val="16"/>
              </w:rPr>
            </w:pPr>
            <w:r w:rsidRPr="0044760B">
              <w:rPr>
                <w:sz w:val="16"/>
              </w:rPr>
              <w:t>ENF</w:t>
            </w:r>
          </w:p>
        </w:tc>
        <w:tc>
          <w:tcPr>
            <w:tcW w:w="7371" w:type="dxa"/>
            <w:shd w:val="clear" w:color="auto" w:fill="FFFFFF"/>
            <w:vAlign w:val="center"/>
          </w:tcPr>
          <w:p w:rsidRPr="0044760B" w:rsidR="00454B40" w:rsidP="00B633A6" w:rsidRDefault="00454B40">
            <w:pPr>
              <w:spacing w:before="120" w:after="120"/>
              <w:jc w:val="both"/>
              <w:rPr>
                <w:sz w:val="16"/>
              </w:rPr>
            </w:pPr>
            <w:r w:rsidRPr="0044760B">
              <w:rPr>
                <w:sz w:val="16"/>
              </w:rPr>
              <w:t>Georg Mayer</w:t>
            </w:r>
          </w:p>
        </w:tc>
      </w:tr>
      <w:tr w:rsidRPr="0044760B" w:rsidR="00454B40" w:rsidTr="00A838B6">
        <w:trPr>
          <w:cantSplit/>
        </w:trPr>
        <w:tc>
          <w:tcPr>
            <w:tcW w:w="1701" w:type="dxa"/>
            <w:shd w:val="clear" w:color="auto" w:fill="FFFFFF"/>
            <w:vAlign w:val="center"/>
          </w:tcPr>
          <w:p w:rsidRPr="0044760B" w:rsidR="00454B40" w:rsidP="00B633A6" w:rsidRDefault="00454B40">
            <w:pPr>
              <w:jc w:val="both"/>
              <w:rPr>
                <w:sz w:val="16"/>
              </w:rPr>
            </w:pPr>
            <w:proofErr w:type="gramStart"/>
            <w:r w:rsidRPr="0044760B">
              <w:rPr>
                <w:sz w:val="16"/>
              </w:rPr>
              <w:t>NI</w:t>
            </w:r>
            <w:proofErr w:type="gramEnd"/>
          </w:p>
        </w:tc>
        <w:tc>
          <w:tcPr>
            <w:tcW w:w="7371" w:type="dxa"/>
            <w:shd w:val="clear" w:color="auto" w:fill="FFFFFF"/>
            <w:vAlign w:val="center"/>
          </w:tcPr>
          <w:p w:rsidRPr="0044760B" w:rsidR="00454B40" w:rsidP="00B633A6" w:rsidRDefault="00454B40">
            <w:pPr>
              <w:spacing w:before="120" w:after="120"/>
              <w:jc w:val="both"/>
              <w:rPr>
                <w:sz w:val="16"/>
              </w:rPr>
            </w:pPr>
            <w:r w:rsidRPr="0044760B">
              <w:rPr>
                <w:sz w:val="16"/>
              </w:rPr>
              <w:t>Diane James</w:t>
            </w:r>
          </w:p>
        </w:tc>
      </w:tr>
    </w:tbl>
    <w:p w:rsidRPr="0044760B" w:rsidR="00454B40" w:rsidP="00B633A6" w:rsidRDefault="00454B40">
      <w:pPr>
        <w:jc w:val="both"/>
      </w:pPr>
    </w:p>
    <w:tbl>
      <w:tblPr>
        <w:tblW w:w="0" w:type="auto"/>
        <w:tblInd w:w="145" w:type="dxa"/>
        <w:tblBorders>
          <w:top w:val="double" w:color="000000" w:sz="2" w:space="0"/>
          <w:left w:val="double" w:color="000000" w:sz="2" w:space="0"/>
          <w:bottom w:val="double" w:color="000000" w:sz="2" w:space="0"/>
          <w:right w:val="double" w:color="000000" w:sz="2" w:space="0"/>
          <w:insideH w:val="single" w:color="000000" w:sz="2" w:space="0"/>
          <w:insideV w:val="single" w:color="000000" w:sz="2" w:space="0"/>
        </w:tblBorders>
        <w:tblLayout w:type="fixed"/>
        <w:tblCellMar>
          <w:left w:w="145" w:type="dxa"/>
          <w:right w:w="145" w:type="dxa"/>
        </w:tblCellMar>
        <w:tblLook w:val="0000" w:firstRow="0" w:lastRow="0" w:firstColumn="0" w:lastColumn="0" w:noHBand="0" w:noVBand="0"/>
      </w:tblPr>
      <w:tblGrid>
        <w:gridCol w:w="1701"/>
        <w:gridCol w:w="7371"/>
      </w:tblGrid>
      <w:tr w:rsidRPr="0044760B" w:rsidR="00454B40" w:rsidTr="00A838B6">
        <w:trPr>
          <w:cantSplit/>
        </w:trPr>
        <w:tc>
          <w:tcPr>
            <w:tcW w:w="1701" w:type="dxa"/>
            <w:shd w:val="pct10" w:color="000000" w:fill="FFFFFF"/>
            <w:vAlign w:val="center"/>
          </w:tcPr>
          <w:p w:rsidRPr="0044760B" w:rsidR="00454B40" w:rsidP="00B633A6" w:rsidRDefault="00454B40">
            <w:pPr>
              <w:spacing w:before="120" w:after="120"/>
              <w:jc w:val="both"/>
              <w:rPr>
                <w:b/>
                <w:sz w:val="28"/>
                <w:szCs w:val="28"/>
              </w:rPr>
            </w:pPr>
            <w:r w:rsidRPr="0044760B">
              <w:rPr>
                <w:b/>
                <w:sz w:val="28"/>
                <w:szCs w:val="28"/>
              </w:rPr>
              <w:t>0</w:t>
            </w:r>
          </w:p>
        </w:tc>
        <w:tc>
          <w:tcPr>
            <w:tcW w:w="7371" w:type="dxa"/>
            <w:shd w:val="pct10" w:color="000000" w:fill="FFFFFF"/>
          </w:tcPr>
          <w:p w:rsidRPr="0044760B" w:rsidR="00454B40" w:rsidP="00B633A6" w:rsidRDefault="00454B40">
            <w:pPr>
              <w:spacing w:before="120" w:after="120"/>
              <w:jc w:val="both"/>
              <w:rPr>
                <w:sz w:val="28"/>
                <w:szCs w:val="28"/>
              </w:rPr>
            </w:pPr>
            <w:r w:rsidRPr="0044760B">
              <w:rPr>
                <w:b/>
                <w:sz w:val="28"/>
                <w:szCs w:val="28"/>
              </w:rPr>
              <w:t>0</w:t>
            </w:r>
          </w:p>
        </w:tc>
      </w:tr>
      <w:tr w:rsidRPr="0044760B" w:rsidR="00454B40" w:rsidTr="00A838B6">
        <w:trPr>
          <w:cantSplit/>
        </w:trPr>
        <w:tc>
          <w:tcPr>
            <w:tcW w:w="1701" w:type="dxa"/>
            <w:shd w:val="clear" w:color="auto" w:fill="FFFFFF"/>
          </w:tcPr>
          <w:p w:rsidRPr="0044760B" w:rsidR="00454B40" w:rsidP="00B633A6" w:rsidRDefault="00454B40">
            <w:pPr>
              <w:spacing w:before="120" w:after="120"/>
              <w:jc w:val="both"/>
              <w:rPr>
                <w:sz w:val="16"/>
              </w:rPr>
            </w:pPr>
          </w:p>
        </w:tc>
        <w:tc>
          <w:tcPr>
            <w:tcW w:w="7371" w:type="dxa"/>
            <w:shd w:val="clear" w:color="auto" w:fill="FFFFFF"/>
          </w:tcPr>
          <w:p w:rsidRPr="0044760B" w:rsidR="00454B40" w:rsidP="00B633A6" w:rsidRDefault="00454B40">
            <w:pPr>
              <w:spacing w:before="120" w:after="120"/>
              <w:jc w:val="both"/>
              <w:rPr>
                <w:sz w:val="16"/>
              </w:rPr>
            </w:pPr>
          </w:p>
        </w:tc>
      </w:tr>
    </w:tbl>
    <w:p w:rsidRPr="0044760B" w:rsidR="00454B40" w:rsidP="00B633A6" w:rsidRDefault="00454B40">
      <w:pPr>
        <w:jc w:val="both"/>
        <w:rPr>
          <w:rFonts w:ascii="Arial" w:hAnsi="Arial"/>
          <w:b/>
        </w:rPr>
      </w:pPr>
    </w:p>
    <w:p w:rsidRPr="0044760B" w:rsidR="00454B40" w:rsidP="00B633A6" w:rsidRDefault="00454B40">
      <w:pPr>
        <w:jc w:val="both"/>
      </w:pPr>
    </w:p>
    <w:p w:rsidRPr="0044760B" w:rsidR="00454B40" w:rsidP="00B633A6" w:rsidRDefault="00454B40">
      <w:pPr>
        <w:jc w:val="both"/>
      </w:pPr>
      <w:r w:rsidRPr="0044760B">
        <w:t>Verklaring van de gebruikte tekens:</w:t>
      </w:r>
    </w:p>
    <w:p w:rsidRPr="0044760B" w:rsidR="00454B40" w:rsidP="00B633A6" w:rsidRDefault="00454B40">
      <w:pPr>
        <w:pStyle w:val="NormalTabs"/>
        <w:jc w:val="both"/>
      </w:pPr>
      <w:r w:rsidRPr="0044760B">
        <w:t>+</w:t>
      </w:r>
      <w:r w:rsidRPr="0044760B">
        <w:tab/>
      </w:r>
      <w:proofErr w:type="gramStart"/>
      <w:r w:rsidRPr="0044760B">
        <w:t>:</w:t>
      </w:r>
      <w:r w:rsidRPr="0044760B">
        <w:tab/>
        <w:t>voor</w:t>
      </w:r>
      <w:proofErr w:type="gramEnd"/>
    </w:p>
    <w:p w:rsidRPr="0044760B" w:rsidR="00454B40" w:rsidP="00B633A6" w:rsidRDefault="00454B40">
      <w:pPr>
        <w:pStyle w:val="NormalTabs"/>
        <w:jc w:val="both"/>
      </w:pPr>
      <w:r w:rsidRPr="0044760B">
        <w:t>-</w:t>
      </w:r>
      <w:r w:rsidRPr="0044760B">
        <w:tab/>
      </w:r>
      <w:proofErr w:type="gramStart"/>
      <w:r w:rsidRPr="0044760B">
        <w:t>:</w:t>
      </w:r>
      <w:r w:rsidRPr="0044760B">
        <w:tab/>
        <w:t>tegen</w:t>
      </w:r>
      <w:proofErr w:type="gramEnd"/>
    </w:p>
    <w:p w:rsidRPr="0044760B" w:rsidR="00454B40" w:rsidP="00B633A6" w:rsidRDefault="00454B40">
      <w:pPr>
        <w:pStyle w:val="NormalTabs"/>
        <w:jc w:val="both"/>
      </w:pPr>
      <w:r w:rsidRPr="0044760B">
        <w:t>0</w:t>
      </w:r>
      <w:r w:rsidRPr="0044760B">
        <w:tab/>
      </w:r>
      <w:proofErr w:type="gramStart"/>
      <w:r w:rsidRPr="0044760B">
        <w:t>:</w:t>
      </w:r>
      <w:r w:rsidRPr="0044760B">
        <w:tab/>
        <w:t>onthouding</w:t>
      </w:r>
      <w:proofErr w:type="gramEnd"/>
    </w:p>
    <w:p w:rsidRPr="0044760B" w:rsidR="00454B40" w:rsidP="00B633A6" w:rsidRDefault="00454B40">
      <w:pPr>
        <w:jc w:val="both"/>
        <w:rPr>
          <w:rFonts w:ascii="Arial" w:hAnsi="Arial"/>
          <w:b/>
        </w:rPr>
      </w:pPr>
      <w:r w:rsidRPr="0044760B">
        <w:br w:type="page"/>
      </w:r>
    </w:p>
    <w:p w:rsidRPr="0044760B" w:rsidR="00454B40" w:rsidP="00B633A6" w:rsidRDefault="00454B40">
      <w:pPr>
        <w:pStyle w:val="PageHeading"/>
        <w:jc w:val="both"/>
        <w:rPr>
          <w:szCs w:val="24"/>
        </w:rPr>
      </w:pPr>
      <w:bookmarkStart w:name="_Toc504731982" w:id="15"/>
      <w:bookmarkStart w:name="_Toc505089008" w:id="16"/>
      <w:r w:rsidRPr="0044760B">
        <w:lastRenderedPageBreak/>
        <w:t>HOOFDELIJKE EINDSTEMMING IN DE BEVOEGDE COMMISSIE</w:t>
      </w:r>
      <w:bookmarkEnd w:id="15"/>
      <w:bookmarkEnd w:id="16"/>
    </w:p>
    <w:p w:rsidRPr="0044760B" w:rsidR="00454B40" w:rsidP="00B633A6" w:rsidRDefault="00454B40">
      <w:pPr>
        <w:pStyle w:val="RollCallSubtitle"/>
        <w:spacing w:after="720"/>
        <w:jc w:val="both"/>
        <w:rPr>
          <w:b/>
          <w:color w:val="000000"/>
          <w:szCs w:val="24"/>
        </w:rPr>
      </w:pPr>
      <w:proofErr w:type="gramStart"/>
      <w:r w:rsidRPr="0044760B">
        <w:rPr>
          <w:b/>
          <w:color w:val="000000"/>
          <w:szCs w:val="24"/>
        </w:rPr>
        <w:t>over</w:t>
      </w:r>
      <w:proofErr w:type="gramEnd"/>
      <w:r w:rsidRPr="0044760B">
        <w:rPr>
          <w:b/>
          <w:color w:val="000000"/>
          <w:szCs w:val="24"/>
        </w:rPr>
        <w:t xml:space="preserve"> de ontwerpresolutie van het Europees Parlement</w:t>
      </w:r>
    </w:p>
    <w:tbl>
      <w:tblPr>
        <w:tblW w:w="0" w:type="auto"/>
        <w:tblInd w:w="145" w:type="dxa"/>
        <w:tblBorders>
          <w:top w:val="double" w:color="000000" w:sz="2" w:space="0"/>
          <w:left w:val="double" w:color="000000" w:sz="2" w:space="0"/>
          <w:bottom w:val="double" w:color="000000" w:sz="2" w:space="0"/>
          <w:right w:val="double" w:color="000000" w:sz="2" w:space="0"/>
          <w:insideH w:val="single" w:color="000000" w:sz="2" w:space="0"/>
          <w:insideV w:val="single" w:color="000000" w:sz="2" w:space="0"/>
        </w:tblBorders>
        <w:tblLayout w:type="fixed"/>
        <w:tblCellMar>
          <w:left w:w="145" w:type="dxa"/>
          <w:right w:w="145" w:type="dxa"/>
        </w:tblCellMar>
        <w:tblLook w:val="0000" w:firstRow="0" w:lastRow="0" w:firstColumn="0" w:lastColumn="0" w:noHBand="0" w:noVBand="0"/>
      </w:tblPr>
      <w:tblGrid>
        <w:gridCol w:w="1701"/>
        <w:gridCol w:w="7371"/>
      </w:tblGrid>
      <w:tr w:rsidRPr="0044760B" w:rsidR="00454B40" w:rsidTr="00A838B6">
        <w:trPr>
          <w:cantSplit/>
        </w:trPr>
        <w:tc>
          <w:tcPr>
            <w:tcW w:w="1701" w:type="dxa"/>
            <w:shd w:val="pct10" w:color="000000" w:fill="FFFFFF"/>
            <w:vAlign w:val="center"/>
          </w:tcPr>
          <w:p w:rsidRPr="0044760B" w:rsidR="00454B40" w:rsidP="00B633A6" w:rsidRDefault="00454B40">
            <w:pPr>
              <w:spacing w:before="120" w:after="120"/>
              <w:jc w:val="both"/>
              <w:rPr>
                <w:b/>
                <w:sz w:val="28"/>
                <w:szCs w:val="28"/>
              </w:rPr>
            </w:pPr>
            <w:r w:rsidRPr="0044760B">
              <w:rPr>
                <w:b/>
                <w:sz w:val="28"/>
                <w:szCs w:val="28"/>
              </w:rPr>
              <w:t>20</w:t>
            </w:r>
          </w:p>
        </w:tc>
        <w:tc>
          <w:tcPr>
            <w:tcW w:w="7371" w:type="dxa"/>
            <w:shd w:val="pct10" w:color="000000" w:fill="FFFFFF"/>
          </w:tcPr>
          <w:p w:rsidRPr="0044760B" w:rsidR="00454B40" w:rsidP="00B633A6" w:rsidRDefault="00454B40">
            <w:pPr>
              <w:spacing w:before="120" w:after="120"/>
              <w:jc w:val="both"/>
              <w:rPr>
                <w:rFonts w:ascii="Arial" w:hAnsi="Arial" w:cs="Arial"/>
                <w:b/>
                <w:sz w:val="28"/>
                <w:szCs w:val="28"/>
              </w:rPr>
            </w:pPr>
            <w:r w:rsidRPr="0044760B">
              <w:rPr>
                <w:rFonts w:ascii="Arial" w:hAnsi="Arial"/>
                <w:b/>
                <w:sz w:val="28"/>
                <w:szCs w:val="28"/>
              </w:rPr>
              <w:t>+</w:t>
            </w:r>
          </w:p>
        </w:tc>
      </w:tr>
      <w:tr w:rsidRPr="0044760B" w:rsidR="00454B40" w:rsidTr="00A838B6">
        <w:trPr>
          <w:cantSplit/>
        </w:trPr>
        <w:tc>
          <w:tcPr>
            <w:tcW w:w="1701" w:type="dxa"/>
            <w:shd w:val="clear" w:color="auto" w:fill="FFFFFF"/>
          </w:tcPr>
          <w:p w:rsidRPr="0044760B" w:rsidR="00454B40" w:rsidP="00B633A6" w:rsidRDefault="00454B40">
            <w:pPr>
              <w:spacing w:before="120" w:after="120"/>
              <w:jc w:val="both"/>
              <w:rPr>
                <w:sz w:val="16"/>
                <w:szCs w:val="16"/>
              </w:rPr>
            </w:pPr>
            <w:r w:rsidRPr="0044760B">
              <w:rPr>
                <w:sz w:val="16"/>
                <w:szCs w:val="16"/>
              </w:rPr>
              <w:t>ALDE</w:t>
            </w:r>
          </w:p>
        </w:tc>
        <w:tc>
          <w:tcPr>
            <w:tcW w:w="7371" w:type="dxa"/>
            <w:shd w:val="clear" w:color="auto" w:fill="FFFFFF"/>
          </w:tcPr>
          <w:p w:rsidRPr="0044760B" w:rsidR="00454B40" w:rsidP="00B633A6" w:rsidRDefault="00454B40">
            <w:pPr>
              <w:spacing w:before="120" w:after="120"/>
              <w:jc w:val="both"/>
              <w:rPr>
                <w:sz w:val="20"/>
              </w:rPr>
            </w:pPr>
            <w:r w:rsidRPr="0044760B">
              <w:rPr>
                <w:sz w:val="16"/>
              </w:rPr>
              <w:t>Maite Pagazaurtundúa Ruiz, Guy Verhofstadt</w:t>
            </w:r>
          </w:p>
        </w:tc>
      </w:tr>
      <w:tr w:rsidRPr="0044760B" w:rsidR="00454B40" w:rsidTr="00A838B6">
        <w:trPr>
          <w:cantSplit/>
        </w:trPr>
        <w:tc>
          <w:tcPr>
            <w:tcW w:w="1701" w:type="dxa"/>
            <w:shd w:val="clear" w:color="auto" w:fill="FFFFFF"/>
            <w:vAlign w:val="center"/>
          </w:tcPr>
          <w:p w:rsidRPr="0044760B" w:rsidR="00454B40" w:rsidP="00B633A6" w:rsidRDefault="00454B40">
            <w:pPr>
              <w:spacing w:before="120" w:after="120"/>
              <w:jc w:val="both"/>
              <w:rPr>
                <w:sz w:val="16"/>
                <w:szCs w:val="16"/>
              </w:rPr>
            </w:pPr>
            <w:r w:rsidRPr="0044760B">
              <w:rPr>
                <w:sz w:val="16"/>
                <w:szCs w:val="16"/>
              </w:rPr>
              <w:t>EFDD</w:t>
            </w:r>
          </w:p>
        </w:tc>
        <w:tc>
          <w:tcPr>
            <w:tcW w:w="7371" w:type="dxa"/>
            <w:shd w:val="clear" w:color="auto" w:fill="FFFFFF"/>
            <w:vAlign w:val="center"/>
          </w:tcPr>
          <w:p w:rsidRPr="0044760B" w:rsidR="00454B40" w:rsidP="00B633A6" w:rsidRDefault="00454B40">
            <w:pPr>
              <w:spacing w:before="120" w:after="120"/>
              <w:jc w:val="both"/>
              <w:rPr>
                <w:sz w:val="16"/>
              </w:rPr>
            </w:pPr>
            <w:r w:rsidRPr="0044760B">
              <w:rPr>
                <w:sz w:val="16"/>
              </w:rPr>
              <w:t>Fabio Massimo Castaldo</w:t>
            </w:r>
          </w:p>
        </w:tc>
      </w:tr>
      <w:tr w:rsidRPr="0044760B" w:rsidR="00454B40" w:rsidTr="00A838B6">
        <w:trPr>
          <w:cantSplit/>
        </w:trPr>
        <w:tc>
          <w:tcPr>
            <w:tcW w:w="1701" w:type="dxa"/>
            <w:shd w:val="clear" w:color="auto" w:fill="FFFFFF"/>
            <w:vAlign w:val="center"/>
          </w:tcPr>
          <w:p w:rsidRPr="0044760B" w:rsidR="00454B40" w:rsidP="00B633A6" w:rsidRDefault="00454B40">
            <w:pPr>
              <w:spacing w:before="120" w:after="120"/>
              <w:jc w:val="both"/>
              <w:rPr>
                <w:sz w:val="16"/>
                <w:szCs w:val="16"/>
              </w:rPr>
            </w:pPr>
            <w:r w:rsidRPr="0044760B">
              <w:rPr>
                <w:sz w:val="16"/>
                <w:szCs w:val="16"/>
              </w:rPr>
              <w:t>GUE/NGL</w:t>
            </w:r>
          </w:p>
        </w:tc>
        <w:tc>
          <w:tcPr>
            <w:tcW w:w="7371" w:type="dxa"/>
            <w:shd w:val="clear" w:color="auto" w:fill="FFFFFF"/>
            <w:vAlign w:val="center"/>
          </w:tcPr>
          <w:p w:rsidRPr="0044760B" w:rsidR="00454B40" w:rsidP="00B633A6" w:rsidRDefault="00454B40">
            <w:pPr>
              <w:spacing w:before="120" w:after="120"/>
              <w:jc w:val="both"/>
              <w:rPr>
                <w:sz w:val="16"/>
              </w:rPr>
            </w:pPr>
            <w:r w:rsidRPr="0044760B">
              <w:rPr>
                <w:sz w:val="16"/>
              </w:rPr>
              <w:t>Helmut Scholz, Barbara Spinelli</w:t>
            </w:r>
          </w:p>
        </w:tc>
      </w:tr>
      <w:tr w:rsidRPr="000E110B" w:rsidR="00454B40" w:rsidTr="00A838B6">
        <w:trPr>
          <w:cantSplit/>
        </w:trPr>
        <w:tc>
          <w:tcPr>
            <w:tcW w:w="1701" w:type="dxa"/>
            <w:shd w:val="clear" w:color="auto" w:fill="FFFFFF"/>
            <w:vAlign w:val="center"/>
          </w:tcPr>
          <w:p w:rsidRPr="0044760B" w:rsidR="00454B40" w:rsidP="00B633A6" w:rsidRDefault="00454B40">
            <w:pPr>
              <w:spacing w:before="120" w:after="120"/>
              <w:jc w:val="both"/>
              <w:rPr>
                <w:sz w:val="16"/>
                <w:szCs w:val="16"/>
              </w:rPr>
            </w:pPr>
            <w:r w:rsidRPr="0044760B">
              <w:rPr>
                <w:sz w:val="16"/>
                <w:szCs w:val="16"/>
              </w:rPr>
              <w:t>PPE</w:t>
            </w:r>
          </w:p>
        </w:tc>
        <w:tc>
          <w:tcPr>
            <w:tcW w:w="7371" w:type="dxa"/>
            <w:shd w:val="clear" w:color="auto" w:fill="FFFFFF"/>
            <w:vAlign w:val="center"/>
          </w:tcPr>
          <w:p w:rsidRPr="0036680A" w:rsidR="00454B40" w:rsidP="00B633A6" w:rsidRDefault="00454B40">
            <w:pPr>
              <w:spacing w:before="120" w:after="120"/>
              <w:jc w:val="both"/>
              <w:rPr>
                <w:sz w:val="16"/>
                <w:lang w:val="en-GB"/>
              </w:rPr>
            </w:pPr>
            <w:r w:rsidRPr="0036680A">
              <w:rPr>
                <w:sz w:val="16"/>
                <w:lang w:val="en-GB"/>
              </w:rPr>
              <w:t>Michał Boni, Elmar Brok, Esteban González Pons, Danuta Maria Hübner, Alain Lamassoure, Paulo Rangel, György Schöpflin</w:t>
            </w:r>
          </w:p>
        </w:tc>
      </w:tr>
      <w:tr w:rsidRPr="000E110B" w:rsidR="00454B40" w:rsidTr="00A838B6">
        <w:trPr>
          <w:cantSplit/>
        </w:trPr>
        <w:tc>
          <w:tcPr>
            <w:tcW w:w="1701" w:type="dxa"/>
            <w:shd w:val="clear" w:color="auto" w:fill="FFFFFF"/>
            <w:vAlign w:val="center"/>
          </w:tcPr>
          <w:p w:rsidRPr="0044760B" w:rsidR="00454B40" w:rsidP="00B633A6" w:rsidRDefault="00454B40">
            <w:pPr>
              <w:spacing w:before="120" w:after="120"/>
              <w:jc w:val="both"/>
              <w:rPr>
                <w:sz w:val="16"/>
                <w:szCs w:val="16"/>
              </w:rPr>
            </w:pPr>
            <w:r w:rsidRPr="0044760B">
              <w:rPr>
                <w:sz w:val="16"/>
                <w:szCs w:val="16"/>
              </w:rPr>
              <w:t>S&amp;D</w:t>
            </w:r>
          </w:p>
        </w:tc>
        <w:tc>
          <w:tcPr>
            <w:tcW w:w="7371" w:type="dxa"/>
            <w:shd w:val="clear" w:color="auto" w:fill="FFFFFF"/>
            <w:vAlign w:val="center"/>
          </w:tcPr>
          <w:p w:rsidRPr="0036680A" w:rsidR="00454B40" w:rsidP="00B633A6" w:rsidRDefault="00454B40">
            <w:pPr>
              <w:spacing w:before="120" w:after="120"/>
              <w:jc w:val="both"/>
              <w:rPr>
                <w:sz w:val="16"/>
                <w:lang w:val="en-GB"/>
              </w:rPr>
            </w:pPr>
            <w:r w:rsidRPr="0036680A">
              <w:rPr>
                <w:sz w:val="16"/>
                <w:lang w:val="en-GB"/>
              </w:rPr>
              <w:t>Pervenche Berès, Mercedes Bresso, Ramón Jáuregui Atondo, Jo Leinen, Claudia Țapardel, Pedro Silva Pereira</w:t>
            </w:r>
          </w:p>
        </w:tc>
      </w:tr>
      <w:tr w:rsidRPr="000E110B" w:rsidR="00454B40" w:rsidTr="00A838B6">
        <w:trPr>
          <w:cantSplit/>
        </w:trPr>
        <w:tc>
          <w:tcPr>
            <w:tcW w:w="1701" w:type="dxa"/>
            <w:shd w:val="clear" w:color="auto" w:fill="FFFFFF"/>
            <w:vAlign w:val="center"/>
          </w:tcPr>
          <w:p w:rsidRPr="0044760B" w:rsidR="00454B40" w:rsidP="00B633A6" w:rsidRDefault="00454B40">
            <w:pPr>
              <w:spacing w:before="120" w:after="120"/>
              <w:jc w:val="both"/>
              <w:rPr>
                <w:sz w:val="16"/>
                <w:szCs w:val="16"/>
              </w:rPr>
            </w:pPr>
            <w:r w:rsidRPr="0044760B">
              <w:rPr>
                <w:sz w:val="16"/>
                <w:szCs w:val="16"/>
              </w:rPr>
              <w:t>VERTS/ALE</w:t>
            </w:r>
          </w:p>
        </w:tc>
        <w:tc>
          <w:tcPr>
            <w:tcW w:w="7371" w:type="dxa"/>
            <w:shd w:val="clear" w:color="auto" w:fill="FFFFFF"/>
            <w:vAlign w:val="center"/>
          </w:tcPr>
          <w:p w:rsidRPr="0036680A" w:rsidR="00454B40" w:rsidP="00B633A6" w:rsidRDefault="00454B40">
            <w:pPr>
              <w:spacing w:before="120" w:after="120"/>
              <w:jc w:val="both"/>
              <w:rPr>
                <w:sz w:val="16"/>
                <w:lang w:val="en-GB"/>
              </w:rPr>
            </w:pPr>
            <w:r w:rsidRPr="0036680A">
              <w:rPr>
                <w:sz w:val="16"/>
                <w:lang w:val="en-GB"/>
              </w:rPr>
              <w:t>Pascal Durand, Josep-Maria Terricabras</w:t>
            </w:r>
          </w:p>
        </w:tc>
      </w:tr>
    </w:tbl>
    <w:p w:rsidRPr="0036680A" w:rsidR="00454B40" w:rsidP="00B633A6" w:rsidRDefault="00454B40">
      <w:pPr>
        <w:jc w:val="both"/>
        <w:rPr>
          <w:lang w:val="en-GB"/>
        </w:rPr>
      </w:pPr>
    </w:p>
    <w:tbl>
      <w:tblPr>
        <w:tblW w:w="0" w:type="auto"/>
        <w:tblInd w:w="145" w:type="dxa"/>
        <w:tblBorders>
          <w:top w:val="double" w:color="000000" w:sz="2" w:space="0"/>
          <w:left w:val="double" w:color="000000" w:sz="2" w:space="0"/>
          <w:bottom w:val="double" w:color="000000" w:sz="2" w:space="0"/>
          <w:right w:val="double" w:color="000000" w:sz="2" w:space="0"/>
          <w:insideH w:val="single" w:color="000000" w:sz="2" w:space="0"/>
          <w:insideV w:val="single" w:color="000000" w:sz="2" w:space="0"/>
        </w:tblBorders>
        <w:tblLayout w:type="fixed"/>
        <w:tblCellMar>
          <w:left w:w="145" w:type="dxa"/>
          <w:right w:w="145" w:type="dxa"/>
        </w:tblCellMar>
        <w:tblLook w:val="0000" w:firstRow="0" w:lastRow="0" w:firstColumn="0" w:lastColumn="0" w:noHBand="0" w:noVBand="0"/>
      </w:tblPr>
      <w:tblGrid>
        <w:gridCol w:w="1701"/>
        <w:gridCol w:w="7371"/>
      </w:tblGrid>
      <w:tr w:rsidRPr="0044760B" w:rsidR="00454B40" w:rsidTr="00A838B6">
        <w:trPr>
          <w:cantSplit/>
        </w:trPr>
        <w:tc>
          <w:tcPr>
            <w:tcW w:w="1701" w:type="dxa"/>
            <w:shd w:val="pct10" w:color="000000" w:fill="FFFFFF"/>
            <w:vAlign w:val="center"/>
          </w:tcPr>
          <w:p w:rsidRPr="0044760B" w:rsidR="00454B40" w:rsidP="00B633A6" w:rsidRDefault="00454B40">
            <w:pPr>
              <w:spacing w:before="120" w:after="120"/>
              <w:jc w:val="both"/>
              <w:rPr>
                <w:b/>
                <w:sz w:val="28"/>
                <w:szCs w:val="28"/>
              </w:rPr>
            </w:pPr>
            <w:r w:rsidRPr="0044760B">
              <w:rPr>
                <w:b/>
                <w:sz w:val="28"/>
                <w:szCs w:val="28"/>
              </w:rPr>
              <w:t>4</w:t>
            </w:r>
          </w:p>
        </w:tc>
        <w:tc>
          <w:tcPr>
            <w:tcW w:w="7371" w:type="dxa"/>
            <w:shd w:val="pct10" w:color="000000" w:fill="FFFFFF"/>
          </w:tcPr>
          <w:p w:rsidRPr="0044760B" w:rsidR="00454B40" w:rsidP="00B633A6" w:rsidRDefault="00454B40">
            <w:pPr>
              <w:spacing w:before="120" w:after="120"/>
              <w:jc w:val="both"/>
              <w:rPr>
                <w:sz w:val="28"/>
                <w:szCs w:val="28"/>
              </w:rPr>
            </w:pPr>
            <w:r w:rsidRPr="0044760B">
              <w:rPr>
                <w:rFonts w:ascii="Arial" w:hAnsi="Arial"/>
                <w:b/>
                <w:sz w:val="28"/>
                <w:szCs w:val="28"/>
              </w:rPr>
              <w:t>-</w:t>
            </w:r>
          </w:p>
        </w:tc>
      </w:tr>
      <w:tr w:rsidRPr="0044760B" w:rsidR="00454B40" w:rsidTr="00A838B6">
        <w:trPr>
          <w:cantSplit/>
        </w:trPr>
        <w:tc>
          <w:tcPr>
            <w:tcW w:w="1701" w:type="dxa"/>
            <w:shd w:val="clear" w:color="auto" w:fill="FFFFFF"/>
            <w:vAlign w:val="center"/>
          </w:tcPr>
          <w:p w:rsidRPr="0044760B" w:rsidR="00454B40" w:rsidP="00B633A6" w:rsidRDefault="00454B40">
            <w:pPr>
              <w:spacing w:before="120" w:after="120"/>
              <w:jc w:val="both"/>
              <w:rPr>
                <w:sz w:val="16"/>
                <w:szCs w:val="16"/>
              </w:rPr>
            </w:pPr>
            <w:r w:rsidRPr="0044760B">
              <w:rPr>
                <w:sz w:val="16"/>
                <w:szCs w:val="16"/>
              </w:rPr>
              <w:t>ECR</w:t>
            </w:r>
          </w:p>
        </w:tc>
        <w:tc>
          <w:tcPr>
            <w:tcW w:w="7371" w:type="dxa"/>
            <w:shd w:val="clear" w:color="auto" w:fill="FFFFFF"/>
            <w:vAlign w:val="center"/>
          </w:tcPr>
          <w:p w:rsidRPr="0044760B" w:rsidR="00454B40" w:rsidP="00B633A6" w:rsidRDefault="00454B40">
            <w:pPr>
              <w:spacing w:before="120" w:after="120"/>
              <w:jc w:val="both"/>
              <w:rPr>
                <w:sz w:val="20"/>
              </w:rPr>
            </w:pPr>
            <w:r w:rsidRPr="0044760B">
              <w:rPr>
                <w:sz w:val="16"/>
              </w:rPr>
              <w:t>Morten Messerschmidt, Kazimierz Michał Ujazdowski</w:t>
            </w:r>
          </w:p>
        </w:tc>
      </w:tr>
      <w:tr w:rsidRPr="0044760B" w:rsidR="00454B40" w:rsidTr="00A838B6">
        <w:trPr>
          <w:cantSplit/>
        </w:trPr>
        <w:tc>
          <w:tcPr>
            <w:tcW w:w="1701" w:type="dxa"/>
            <w:shd w:val="clear" w:color="auto" w:fill="FFFFFF"/>
            <w:vAlign w:val="center"/>
          </w:tcPr>
          <w:p w:rsidRPr="0044760B" w:rsidR="00454B40" w:rsidP="00B633A6" w:rsidRDefault="00454B40">
            <w:pPr>
              <w:spacing w:before="120" w:after="120"/>
              <w:jc w:val="both"/>
              <w:rPr>
                <w:sz w:val="16"/>
                <w:szCs w:val="16"/>
              </w:rPr>
            </w:pPr>
            <w:r w:rsidRPr="0044760B">
              <w:rPr>
                <w:sz w:val="16"/>
                <w:szCs w:val="16"/>
              </w:rPr>
              <w:t>ENF</w:t>
            </w:r>
          </w:p>
        </w:tc>
        <w:tc>
          <w:tcPr>
            <w:tcW w:w="7371" w:type="dxa"/>
            <w:shd w:val="clear" w:color="auto" w:fill="FFFFFF"/>
            <w:vAlign w:val="center"/>
          </w:tcPr>
          <w:p w:rsidRPr="0044760B" w:rsidR="00454B40" w:rsidP="00B633A6" w:rsidRDefault="00454B40">
            <w:pPr>
              <w:spacing w:before="120" w:after="120"/>
              <w:jc w:val="both"/>
              <w:rPr>
                <w:sz w:val="20"/>
              </w:rPr>
            </w:pPr>
            <w:r w:rsidRPr="0044760B">
              <w:rPr>
                <w:sz w:val="16"/>
              </w:rPr>
              <w:t>Georg Mayer</w:t>
            </w:r>
          </w:p>
        </w:tc>
      </w:tr>
      <w:tr w:rsidRPr="0044760B" w:rsidR="00454B40" w:rsidTr="00A838B6">
        <w:trPr>
          <w:cantSplit/>
        </w:trPr>
        <w:tc>
          <w:tcPr>
            <w:tcW w:w="1701" w:type="dxa"/>
            <w:shd w:val="clear" w:color="auto" w:fill="FFFFFF"/>
            <w:vAlign w:val="center"/>
          </w:tcPr>
          <w:p w:rsidRPr="0044760B" w:rsidR="00454B40" w:rsidP="00B633A6" w:rsidRDefault="00454B40">
            <w:pPr>
              <w:spacing w:before="120" w:after="120"/>
              <w:jc w:val="both"/>
              <w:rPr>
                <w:sz w:val="16"/>
                <w:szCs w:val="16"/>
              </w:rPr>
            </w:pPr>
            <w:proofErr w:type="gramStart"/>
            <w:r w:rsidRPr="0044760B">
              <w:rPr>
                <w:sz w:val="16"/>
                <w:szCs w:val="16"/>
              </w:rPr>
              <w:t>NI</w:t>
            </w:r>
            <w:proofErr w:type="gramEnd"/>
          </w:p>
        </w:tc>
        <w:tc>
          <w:tcPr>
            <w:tcW w:w="7371" w:type="dxa"/>
            <w:shd w:val="clear" w:color="auto" w:fill="FFFFFF"/>
            <w:vAlign w:val="center"/>
          </w:tcPr>
          <w:p w:rsidRPr="0044760B" w:rsidR="00454B40" w:rsidP="00B633A6" w:rsidRDefault="00454B40">
            <w:pPr>
              <w:spacing w:before="120" w:after="120"/>
              <w:jc w:val="both"/>
              <w:rPr>
                <w:sz w:val="20"/>
              </w:rPr>
            </w:pPr>
            <w:r w:rsidRPr="0044760B">
              <w:rPr>
                <w:sz w:val="16"/>
              </w:rPr>
              <w:t>Diane James</w:t>
            </w:r>
          </w:p>
        </w:tc>
      </w:tr>
    </w:tbl>
    <w:p w:rsidRPr="0044760B" w:rsidR="00454B40" w:rsidP="00B633A6" w:rsidRDefault="00454B40">
      <w:pPr>
        <w:jc w:val="both"/>
      </w:pPr>
    </w:p>
    <w:tbl>
      <w:tblPr>
        <w:tblW w:w="0" w:type="auto"/>
        <w:tblInd w:w="145" w:type="dxa"/>
        <w:tblBorders>
          <w:top w:val="double" w:color="000000" w:sz="2" w:space="0"/>
          <w:left w:val="double" w:color="000000" w:sz="2" w:space="0"/>
          <w:bottom w:val="double" w:color="000000" w:sz="2" w:space="0"/>
          <w:right w:val="double" w:color="000000" w:sz="2" w:space="0"/>
          <w:insideH w:val="single" w:color="000000" w:sz="2" w:space="0"/>
          <w:insideV w:val="single" w:color="000000" w:sz="2" w:space="0"/>
        </w:tblBorders>
        <w:tblLayout w:type="fixed"/>
        <w:tblCellMar>
          <w:left w:w="145" w:type="dxa"/>
          <w:right w:w="145" w:type="dxa"/>
        </w:tblCellMar>
        <w:tblLook w:val="0000" w:firstRow="0" w:lastRow="0" w:firstColumn="0" w:lastColumn="0" w:noHBand="0" w:noVBand="0"/>
      </w:tblPr>
      <w:tblGrid>
        <w:gridCol w:w="1701"/>
        <w:gridCol w:w="7371"/>
      </w:tblGrid>
      <w:tr w:rsidRPr="0044760B" w:rsidR="00454B40" w:rsidTr="00A838B6">
        <w:trPr>
          <w:cantSplit/>
        </w:trPr>
        <w:tc>
          <w:tcPr>
            <w:tcW w:w="1701" w:type="dxa"/>
            <w:shd w:val="pct10" w:color="000000" w:fill="FFFFFF"/>
            <w:vAlign w:val="center"/>
          </w:tcPr>
          <w:p w:rsidRPr="0044760B" w:rsidR="00454B40" w:rsidP="00B633A6" w:rsidRDefault="00454B40">
            <w:pPr>
              <w:spacing w:before="120" w:after="120"/>
              <w:jc w:val="both"/>
              <w:rPr>
                <w:b/>
                <w:sz w:val="28"/>
                <w:szCs w:val="28"/>
              </w:rPr>
            </w:pPr>
            <w:bookmarkStart w:name="DocEPLastPosition" w:id="17"/>
            <w:bookmarkEnd w:id="17"/>
            <w:r w:rsidRPr="0044760B">
              <w:rPr>
                <w:b/>
                <w:sz w:val="28"/>
                <w:szCs w:val="28"/>
              </w:rPr>
              <w:t>1</w:t>
            </w:r>
          </w:p>
        </w:tc>
        <w:tc>
          <w:tcPr>
            <w:tcW w:w="7371" w:type="dxa"/>
            <w:shd w:val="pct10" w:color="000000" w:fill="FFFFFF"/>
          </w:tcPr>
          <w:p w:rsidRPr="0044760B" w:rsidR="00454B40" w:rsidP="00B633A6" w:rsidRDefault="00454B40">
            <w:pPr>
              <w:spacing w:before="120" w:after="120"/>
              <w:jc w:val="both"/>
              <w:rPr>
                <w:sz w:val="28"/>
                <w:szCs w:val="28"/>
              </w:rPr>
            </w:pPr>
            <w:r w:rsidRPr="0044760B">
              <w:rPr>
                <w:rFonts w:ascii="Arial" w:hAnsi="Arial"/>
                <w:b/>
                <w:sz w:val="28"/>
                <w:szCs w:val="28"/>
              </w:rPr>
              <w:t>0</w:t>
            </w:r>
          </w:p>
        </w:tc>
      </w:tr>
      <w:tr w:rsidRPr="0044760B" w:rsidR="00454B40" w:rsidTr="00A838B6">
        <w:trPr>
          <w:cantSplit/>
        </w:trPr>
        <w:tc>
          <w:tcPr>
            <w:tcW w:w="1701" w:type="dxa"/>
            <w:shd w:val="clear" w:color="auto" w:fill="FFFFFF"/>
          </w:tcPr>
          <w:p w:rsidRPr="0044760B" w:rsidR="00454B40" w:rsidP="00B633A6" w:rsidRDefault="00454B40">
            <w:pPr>
              <w:spacing w:before="120" w:after="120"/>
              <w:jc w:val="both"/>
              <w:rPr>
                <w:sz w:val="20"/>
              </w:rPr>
            </w:pPr>
            <w:r w:rsidRPr="0044760B">
              <w:rPr>
                <w:sz w:val="16"/>
              </w:rPr>
              <w:t>PPE</w:t>
            </w:r>
          </w:p>
        </w:tc>
        <w:tc>
          <w:tcPr>
            <w:tcW w:w="7371" w:type="dxa"/>
            <w:shd w:val="clear" w:color="auto" w:fill="FFFFFF"/>
          </w:tcPr>
          <w:p w:rsidRPr="0044760B" w:rsidR="00454B40" w:rsidP="00B633A6" w:rsidRDefault="00454B40">
            <w:pPr>
              <w:spacing w:before="120" w:after="120"/>
              <w:jc w:val="both"/>
              <w:rPr>
                <w:sz w:val="20"/>
              </w:rPr>
            </w:pPr>
            <w:r w:rsidRPr="0044760B">
              <w:rPr>
                <w:sz w:val="16"/>
              </w:rPr>
              <w:t>Markus Pieper</w:t>
            </w:r>
          </w:p>
        </w:tc>
      </w:tr>
    </w:tbl>
    <w:p w:rsidRPr="0044760B" w:rsidR="00454B40" w:rsidP="00B633A6" w:rsidRDefault="00454B40">
      <w:pPr>
        <w:pStyle w:val="Normal12"/>
        <w:jc w:val="both"/>
      </w:pPr>
    </w:p>
    <w:p w:rsidRPr="0044760B" w:rsidR="00454B40" w:rsidP="00B633A6" w:rsidRDefault="00454B40">
      <w:pPr>
        <w:jc w:val="both"/>
      </w:pPr>
      <w:r w:rsidRPr="0044760B">
        <w:t>Verklaring van de gebruikte tekens:</w:t>
      </w:r>
    </w:p>
    <w:p w:rsidRPr="0044760B" w:rsidR="00454B40" w:rsidP="00B633A6" w:rsidRDefault="00454B40">
      <w:pPr>
        <w:pStyle w:val="NormalTabs"/>
        <w:jc w:val="both"/>
      </w:pPr>
      <w:r w:rsidRPr="0044760B">
        <w:t>+</w:t>
      </w:r>
      <w:r w:rsidRPr="0044760B">
        <w:tab/>
      </w:r>
      <w:proofErr w:type="gramStart"/>
      <w:r w:rsidRPr="0044760B">
        <w:t>:</w:t>
      </w:r>
      <w:r w:rsidRPr="0044760B">
        <w:tab/>
        <w:t>voor</w:t>
      </w:r>
      <w:proofErr w:type="gramEnd"/>
    </w:p>
    <w:p w:rsidRPr="0044760B" w:rsidR="00454B40" w:rsidP="00B633A6" w:rsidRDefault="00454B40">
      <w:pPr>
        <w:pStyle w:val="NormalTabs"/>
        <w:jc w:val="both"/>
      </w:pPr>
      <w:r w:rsidRPr="0044760B">
        <w:t>-</w:t>
      </w:r>
      <w:r w:rsidRPr="0044760B">
        <w:tab/>
      </w:r>
      <w:proofErr w:type="gramStart"/>
      <w:r w:rsidRPr="0044760B">
        <w:t>:</w:t>
      </w:r>
      <w:r w:rsidRPr="0044760B">
        <w:tab/>
        <w:t>tegen</w:t>
      </w:r>
      <w:proofErr w:type="gramEnd"/>
    </w:p>
    <w:p w:rsidRPr="0044760B" w:rsidR="00454B40" w:rsidP="00B633A6" w:rsidRDefault="00454B40">
      <w:pPr>
        <w:pStyle w:val="NormalTabs"/>
        <w:jc w:val="both"/>
      </w:pPr>
      <w:r w:rsidRPr="0044760B">
        <w:t>0</w:t>
      </w:r>
      <w:r w:rsidRPr="0044760B">
        <w:tab/>
      </w:r>
      <w:proofErr w:type="gramStart"/>
      <w:r w:rsidRPr="0044760B">
        <w:t>:</w:t>
      </w:r>
      <w:r w:rsidRPr="0044760B">
        <w:tab/>
        <w:t>onthouding</w:t>
      </w:r>
      <w:bookmarkEnd w:id="14"/>
      <w:proofErr w:type="gramEnd"/>
    </w:p>
    <w:p w:rsidRPr="0044760B" w:rsidR="00454B40" w:rsidP="00B633A6" w:rsidRDefault="00454B40">
      <w:pPr>
        <w:jc w:val="both"/>
      </w:pPr>
    </w:p>
    <w:p w:rsidRPr="007C0145" w:rsidR="00454B40" w:rsidP="00B633A6" w:rsidRDefault="00454B40">
      <w:pPr>
        <w:jc w:val="both"/>
        <w:rPr>
          <w:rFonts w:asciiTheme="minorHAnsi" w:hAnsiTheme="minorHAnsi"/>
        </w:rPr>
      </w:pPr>
    </w:p>
    <w:p w:rsidR="00580839" w:rsidP="00B633A6" w:rsidRDefault="00580839">
      <w:pPr>
        <w:jc w:val="both"/>
      </w:pPr>
    </w:p>
    <w:p w:rsidR="005E36B9" w:rsidP="00B633A6" w:rsidRDefault="005E36B9">
      <w:pPr>
        <w:jc w:val="both"/>
      </w:pPr>
    </w:p>
    <w:sectPr w:rsidR="005E36B9">
      <w:headerReference w:type="default" r:id="rId16"/>
      <w:footerReference w:type="default" r:id="rId17"/>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10B" w:rsidRDefault="000E110B">
      <w:r>
        <w:separator/>
      </w:r>
    </w:p>
  </w:endnote>
  <w:endnote w:type="continuationSeparator" w:id="0">
    <w:p w:rsidR="000E110B" w:rsidRDefault="000E1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inherit">
    <w:altName w:val="Times New Roman"/>
    <w:charset w:val="00"/>
    <w:family w:val="roman"/>
    <w:pitch w:val="default"/>
  </w:font>
  <w:font w:name="sans-serif">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10B" w:rsidRDefault="000E110B">
    <w:pPr>
      <w:pStyle w:val="Voettekst"/>
    </w:pPr>
    <w:r>
      <w:rPr>
        <w:noProof/>
        <w:lang w:eastAsia="nl-NL"/>
      </w:rPr>
      <mc:AlternateContent>
        <mc:Choice Requires="wps">
          <w:drawing>
            <wp:anchor distT="0" distB="0" distL="0" distR="0" simplePos="0" relativeHeight="251672064" behindDoc="0" locked="1" layoutInCell="1" allowOverlap="1" wp14:anchorId="723F897F" wp14:editId="0A8AB358">
              <wp:simplePos x="0" y="0"/>
              <wp:positionH relativeFrom="page">
                <wp:posOffset>2952115</wp:posOffset>
              </wp:positionH>
              <wp:positionV relativeFrom="page">
                <wp:posOffset>10333355</wp:posOffset>
              </wp:positionV>
              <wp:extent cx="1170000" cy="126000"/>
              <wp:effectExtent l="0" t="0" r="11430"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126000"/>
                      </a:xfrm>
                      <a:prstGeom prst="rect">
                        <a:avLst/>
                      </a:prstGeom>
                      <a:solidFill>
                        <a:srgbClr val="FFFFFF"/>
                      </a:solidFill>
                      <a:ln w="0">
                        <a:solidFill>
                          <a:srgbClr val="FFFFFF"/>
                        </a:solidFill>
                        <a:miter lim="800000"/>
                        <a:headEnd/>
                        <a:tailEnd/>
                      </a:ln>
                    </wps:spPr>
                    <wps:txbx>
                      <w:txbxContent>
                        <w:p w:rsidR="000E110B" w:rsidRDefault="000E110B">
                          <w:pPr>
                            <w:pStyle w:val="Huisstijl-Paginanummer"/>
                          </w:pPr>
                          <w:r>
                            <w:fldChar w:fldCharType="begin"/>
                          </w:r>
                          <w:r>
                            <w:instrText xml:space="preserve"> PAGE  \* Arabic  \* MERGEFORMAT </w:instrText>
                          </w:r>
                          <w:r>
                            <w:fldChar w:fldCharType="separate"/>
                          </w:r>
                          <w:r w:rsidR="009C5CE4">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9"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" strokecolor="white" strokeweight="0">
              <v:textbox inset="0,0,0,0">
                <w:txbxContent>
                  <w:p w:rsidR="000E110B" w:rsidRDefault="000E110B">
                    <w:pPr>
                      <w:pStyle w:val="Huisstijl-Paginanummer"/>
                    </w:pPr>
                    <w:r>
                      <w:fldChar w:fldCharType="begin"/>
                    </w:r>
                    <w:r>
                      <w:instrText xml:space="preserve"> PAGE  \* Arabic  \* MERGEFORMAT </w:instrText>
                    </w:r>
                    <w:r>
                      <w:fldChar w:fldCharType="separate"/>
                    </w:r>
                    <w:r w:rsidR="009C5CE4">
                      <w:rPr>
                        <w:noProof/>
                      </w:rPr>
                      <w:t>1</w:t>
                    </w:r>
                    <w: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060EE128" wp14:editId="03E07920">
              <wp:simplePos x="0" y="0"/>
              <wp:positionH relativeFrom="page">
                <wp:posOffset>1403985</wp:posOffset>
              </wp:positionH>
              <wp:positionV relativeFrom="page">
                <wp:posOffset>9537700</wp:posOffset>
              </wp:positionV>
              <wp:extent cx="5072380" cy="448310"/>
              <wp:effectExtent l="3810" t="3175" r="63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10B" w:rsidRDefault="000E110B"/>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0EE128" id="Text Box 3" o:spid="_x0000_s1030"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" stroked="f">
              <v:textbox inset="0,0,0,0">
                <w:txbxContent>
                  <w:p w:rsidR="000E110B" w:rsidRDefault="000E110B"/>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10B" w:rsidRDefault="000E110B">
    <w:pPr>
      <w:pStyle w:val="Voettekst"/>
    </w:pPr>
    <w:r>
      <w:rPr>
        <w:noProof/>
        <w:lang w:eastAsia="nl-NL"/>
      </w:rPr>
      <mc:AlternateContent>
        <mc:Choice Requires="wps">
          <w:drawing>
            <wp:anchor distT="0" distB="0" distL="0" distR="0" simplePos="0" relativeHeight="251674112" behindDoc="0" locked="1" layoutInCell="1" allowOverlap="1" wp14:anchorId="1D534876" wp14:editId="1F0F91D7">
              <wp:simplePos x="0" y="0"/>
              <wp:positionH relativeFrom="page">
                <wp:posOffset>2952115</wp:posOffset>
              </wp:positionH>
              <wp:positionV relativeFrom="page">
                <wp:posOffset>10333355</wp:posOffset>
              </wp:positionV>
              <wp:extent cx="1170000" cy="126000"/>
              <wp:effectExtent l="0" t="0" r="11430"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126000"/>
                      </a:xfrm>
                      <a:prstGeom prst="rect">
                        <a:avLst/>
                      </a:prstGeom>
                      <a:solidFill>
                        <a:srgbClr val="FFFFFF"/>
                      </a:solidFill>
                      <a:ln w="0">
                        <a:solidFill>
                          <a:srgbClr val="FFFFFF"/>
                        </a:solidFill>
                        <a:miter lim="800000"/>
                        <a:headEnd/>
                        <a:tailEnd/>
                      </a:ln>
                    </wps:spPr>
                    <wps:txbx>
                      <w:txbxContent>
                        <w:p w:rsidR="000E110B" w:rsidRDefault="000E110B">
                          <w:pPr>
                            <w:pStyle w:val="Huisstijl-Paginanummer"/>
                          </w:pPr>
                          <w:r>
                            <w:fldChar w:fldCharType="begin"/>
                          </w:r>
                          <w:r>
                            <w:instrText xml:space="preserve"> PAGE  \* Arabic  \* MERGEFORMAT </w:instrText>
                          </w:r>
                          <w:r>
                            <w:fldChar w:fldCharType="separate"/>
                          </w:r>
                          <w:r w:rsidR="009C5CE4">
                            <w:rPr>
                              <w:noProof/>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" strokecolor="white" strokeweight="0">
              <v:textbox inset="0,0,0,0">
                <w:txbxContent>
                  <w:p w:rsidR="000E110B" w:rsidRDefault="000E110B">
                    <w:pPr>
                      <w:pStyle w:val="Huisstijl-Paginanummer"/>
                    </w:pPr>
                    <w:r>
                      <w:fldChar w:fldCharType="begin"/>
                    </w:r>
                    <w:r>
                      <w:instrText xml:space="preserve"> PAGE  \* Arabic  \* MERGEFORMAT </w:instrText>
                    </w:r>
                    <w:r>
                      <w:fldChar w:fldCharType="separate"/>
                    </w:r>
                    <w:r w:rsidR="009C5CE4">
                      <w:rPr>
                        <w:noProof/>
                      </w:rPr>
                      <w:t>24</w:t>
                    </w:r>
                    <w: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35A96B6" wp14:editId="35548109">
              <wp:simplePos x="0" y="0"/>
              <wp:positionH relativeFrom="page">
                <wp:posOffset>1638300</wp:posOffset>
              </wp:positionH>
              <wp:positionV relativeFrom="page">
                <wp:posOffset>9651365</wp:posOffset>
              </wp:positionV>
              <wp:extent cx="4932045" cy="448310"/>
              <wp:effectExtent l="0" t="2540" r="1905"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10B" w:rsidRDefault="000E110B"/>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5A96B6" id="Text Box 6" o:spid="_x0000_s1033"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" stroked="f">
              <v:textbox inset="0,0,0,0">
                <w:txbxContent>
                  <w:p w:rsidR="000E110B" w:rsidRDefault="000E110B"/>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10B" w:rsidRDefault="000E110B">
      <w:r>
        <w:separator/>
      </w:r>
    </w:p>
  </w:footnote>
  <w:footnote w:type="continuationSeparator" w:id="0">
    <w:p w:rsidR="000E110B" w:rsidRDefault="000E110B">
      <w:r>
        <w:continuationSeparator/>
      </w:r>
    </w:p>
  </w:footnote>
  <w:footnote w:id="1">
    <w:p w:rsidR="000E110B" w:rsidRPr="0044760B" w:rsidRDefault="000E110B" w:rsidP="00454B40">
      <w:pPr>
        <w:pStyle w:val="Voetnoottekst"/>
      </w:pPr>
      <w:r w:rsidRPr="0044760B">
        <w:rPr>
          <w:rStyle w:val="Voetnootmarkering"/>
        </w:rPr>
        <w:footnoteRef/>
      </w:r>
      <w:r w:rsidRPr="0044760B">
        <w:t xml:space="preserve"> In dat artikel wordt bepaald dat "burgers op het niveau van de Unie rechtstreeks [worden] vertegenwoordigd in het Europees Parlement".</w:t>
      </w:r>
    </w:p>
  </w:footnote>
  <w:footnote w:id="2">
    <w:p w:rsidR="000E110B" w:rsidRPr="0044760B" w:rsidRDefault="000E110B" w:rsidP="00454B40">
      <w:pPr>
        <w:pStyle w:val="Voetnoottekst"/>
      </w:pPr>
      <w:r w:rsidRPr="0044760B">
        <w:rPr>
          <w:rStyle w:val="Voetnootmarkering"/>
        </w:rPr>
        <w:footnoteRef/>
      </w:r>
      <w:r w:rsidRPr="0044760B">
        <w:t xml:space="preserve"> Aangenomen teksten, P7_TA(2013)0082.</w:t>
      </w:r>
    </w:p>
  </w:footnote>
  <w:footnote w:id="3">
    <w:p w:rsidR="000E110B" w:rsidRPr="0044760B" w:rsidRDefault="000E110B" w:rsidP="00454B40">
      <w:pPr>
        <w:pStyle w:val="Voetnoottekst"/>
      </w:pPr>
      <w:r w:rsidRPr="0044760B">
        <w:rPr>
          <w:rStyle w:val="Voetnootmarkering"/>
        </w:rPr>
        <w:footnoteRef/>
      </w:r>
      <w:r w:rsidRPr="0044760B">
        <w:t xml:space="preserve"> Aangenomen teksten, P8_TA(2015)0395.</w:t>
      </w:r>
    </w:p>
  </w:footnote>
  <w:footnote w:id="4">
    <w:p w:rsidR="000E110B" w:rsidRPr="0044760B" w:rsidRDefault="000E110B" w:rsidP="00454B40">
      <w:pPr>
        <w:pStyle w:val="Voetnoottekst"/>
      </w:pPr>
      <w:r w:rsidRPr="0044760B">
        <w:rPr>
          <w:rStyle w:val="Voetnootmarkering"/>
        </w:rPr>
        <w:footnoteRef/>
      </w:r>
      <w:r w:rsidRPr="0044760B">
        <w:t xml:space="preserve"> Verordening (EU) nr. 1260/2013 van het Europees Parlement en de Raad van 20 november 2013 betreffende de Europese bevolkingsstatistieken (PB L 330 van 10.12.2013, blz. 39).</w:t>
      </w:r>
    </w:p>
  </w:footnote>
  <w:footnote w:id="5">
    <w:p w:rsidR="000E110B" w:rsidRPr="0044760B" w:rsidRDefault="000E110B" w:rsidP="00454B40">
      <w:pPr>
        <w:pStyle w:val="Voetnoottekst"/>
      </w:pPr>
      <w:r w:rsidRPr="0044760B">
        <w:rPr>
          <w:rStyle w:val="Voetnootmarkering"/>
        </w:rPr>
        <w:footnoteRef/>
      </w:r>
      <w:r w:rsidRPr="0044760B">
        <w:t xml:space="preserve"> Besluit 2013/312/EU van de Europese Raad van 28 juni 2013 </w:t>
      </w:r>
      <w:proofErr w:type="gramStart"/>
      <w:r w:rsidRPr="0044760B">
        <w:t>inzake</w:t>
      </w:r>
      <w:proofErr w:type="gramEnd"/>
      <w:r w:rsidRPr="0044760B">
        <w:t xml:space="preserve"> de samenstelling van het Europees Parlement (PB L 181 van 29.6.2013, blz. 57).</w:t>
      </w:r>
    </w:p>
  </w:footnote>
  <w:footnote w:id="6">
    <w:p w:rsidR="000E110B" w:rsidRPr="0044760B" w:rsidRDefault="000E110B" w:rsidP="00454B40">
      <w:pPr>
        <w:pStyle w:val="Voetnoottekst"/>
      </w:pPr>
      <w:r w:rsidRPr="0044760B">
        <w:rPr>
          <w:rStyle w:val="Voetnootmarkering"/>
        </w:rPr>
        <w:footnoteRef/>
      </w:r>
      <w:r w:rsidRPr="0044760B">
        <w:t xml:space="preserve"> De Franse, Britse en Spaanse leden EP-leden vertegenwoordigden meer burgers dan de Duitse leden, de Nederlandse EP-leden vertegenwoordigden meer burgers dan de Roemeense leden, de Zweedse en Oostenrijkse EP-leden meer dan de Hongaarse leden, de Deense leden meer dan de Bulgaarse leden en de Ierse leden meer dan de Slowaakse leden.</w:t>
      </w:r>
    </w:p>
  </w:footnote>
  <w:footnote w:id="7">
    <w:p w:rsidR="000E110B" w:rsidRPr="0044760B" w:rsidRDefault="000E110B" w:rsidP="00454B40">
      <w:pPr>
        <w:pStyle w:val="Voetnoottekst"/>
      </w:pPr>
      <w:r w:rsidRPr="0044760B">
        <w:rPr>
          <w:rStyle w:val="Voetnootmarkering"/>
        </w:rPr>
        <w:footnoteRef/>
      </w:r>
      <w:r w:rsidRPr="0044760B">
        <w:t xml:space="preserve"> Deze kwestie komt aan de orde in de resoluties van het Parlement P6_TA(2007)0429 en P7_TA-PROV(2013)0082.</w:t>
      </w:r>
    </w:p>
  </w:footnote>
  <w:footnote w:id="8">
    <w:p w:rsidR="000E110B" w:rsidRPr="0044760B" w:rsidRDefault="000E110B" w:rsidP="00454B40">
      <w:pPr>
        <w:pStyle w:val="Voetnoottekst"/>
      </w:pPr>
      <w:r w:rsidRPr="0044760B">
        <w:rPr>
          <w:rStyle w:val="Voetnootmarkering"/>
        </w:rPr>
        <w:footnoteRef/>
      </w:r>
      <w:r w:rsidRPr="0044760B">
        <w:t xml:space="preserve"> Nota over de toewijzing van zetels in het Europees Parlement aan de lidstaten</w:t>
      </w:r>
    </w:p>
    <w:p w:rsidR="000E110B" w:rsidRPr="0044760B" w:rsidRDefault="009C5CE4" w:rsidP="00454B40">
      <w:pPr>
        <w:pStyle w:val="Voetnoottekst"/>
      </w:pPr>
      <w:hyperlink r:id="rId1" w:history="1">
        <w:r w:rsidR="000E110B" w:rsidRPr="0044760B">
          <w:rPr>
            <w:rStyle w:val="Hyperlink"/>
          </w:rPr>
          <w:t>http://www.europarl.europa.eu/RegData/etudes/note/join/2011/432760/IPOL-AFCO_NT(2011)432760_EN.pdf</w:t>
        </w:r>
      </w:hyperlink>
      <w:r w:rsidR="000E110B" w:rsidRPr="0044760B">
        <w:t xml:space="preserve"> en een uitgebreide analyse, getiteld "reform of the European Parliament: composition, procedure and legitimacy" (hervorming van het Europees Parlement: samenstelling, procedure en legitimiteit): </w:t>
      </w:r>
      <w:hyperlink r:id="rId2" w:history="1">
        <w:r w:rsidR="000E110B" w:rsidRPr="0044760B">
          <w:rPr>
            <w:rStyle w:val="Hyperlink"/>
          </w:rPr>
          <w:t>http://www.europarl.europa.eu/RegData/etudes/IDAN/2015/510002/IPOL_IDA(2015)510002_EN.pdf</w:t>
        </w:r>
      </w:hyperlink>
      <w:r w:rsidR="000E110B" w:rsidRPr="0044760B">
        <w:t xml:space="preserve"> </w:t>
      </w:r>
    </w:p>
  </w:footnote>
  <w:footnote w:id="9">
    <w:p w:rsidR="000E110B" w:rsidRPr="0044760B" w:rsidRDefault="000E110B" w:rsidP="00454B40">
      <w:pPr>
        <w:pStyle w:val="Voetnoottekst"/>
      </w:pPr>
      <w:r w:rsidRPr="0044760B">
        <w:rPr>
          <w:rStyle w:val="Voetnootmarkering"/>
        </w:rPr>
        <w:footnoteRef/>
      </w:r>
      <w:r w:rsidRPr="0044760B">
        <w:t xml:space="preserve"> P6_TA (2013)0082</w:t>
      </w:r>
    </w:p>
  </w:footnote>
  <w:footnote w:id="10">
    <w:p w:rsidR="000E110B" w:rsidRPr="0044760B" w:rsidRDefault="000E110B" w:rsidP="00454B40">
      <w:pPr>
        <w:pStyle w:val="Voetnoottekst"/>
      </w:pPr>
      <w:r w:rsidRPr="0044760B">
        <w:rPr>
          <w:rStyle w:val="Voetnootmarkering"/>
        </w:rPr>
        <w:footnoteRef/>
      </w:r>
      <w:r w:rsidRPr="0044760B">
        <w:t xml:space="preserve"> Besluit 2013/312 van de Europese Raad van 28 juni 2013 tot vaststelling van de samenstelling van het Europees Parlement.</w:t>
      </w:r>
    </w:p>
  </w:footnote>
  <w:footnote w:id="11">
    <w:p w:rsidR="000E110B" w:rsidRPr="0044760B" w:rsidRDefault="000E110B" w:rsidP="00454B40">
      <w:pPr>
        <w:pStyle w:val="Voetnoottekst"/>
      </w:pPr>
      <w:r w:rsidRPr="0044760B">
        <w:rPr>
          <w:rStyle w:val="Voetnootmarkering"/>
        </w:rPr>
        <w:footnoteRef/>
      </w:r>
      <w:r w:rsidRPr="0044760B">
        <w:t xml:space="preserve"> </w:t>
      </w:r>
      <w:r w:rsidRPr="0044760B">
        <w:rPr>
          <w:rStyle w:val="Hyperlink"/>
        </w:rPr>
        <w:t>U</w:t>
      </w:r>
      <w:hyperlink r:id="rId3" w:history="1">
        <w:r w:rsidRPr="0044760B">
          <w:rPr>
            <w:rStyle w:val="Hyperlink"/>
          </w:rPr>
          <w:t>itgebreide analyse over de samenstelling van het Europees Parlement</w:t>
        </w:r>
      </w:hyperlink>
      <w:r w:rsidRPr="0044760B">
        <w:rPr>
          <w:rStyle w:val="Hyperlink"/>
        </w:rPr>
        <w:t xml:space="preserve">, Beleidsafdeling C, PE583.117 en de voorstellen </w:t>
      </w:r>
      <w:proofErr w:type="gramStart"/>
      <w:r w:rsidRPr="0044760B">
        <w:rPr>
          <w:rStyle w:val="Hyperlink"/>
        </w:rPr>
        <w:t>inzake</w:t>
      </w:r>
      <w:proofErr w:type="gramEnd"/>
      <w:r w:rsidRPr="0044760B">
        <w:rPr>
          <w:rStyle w:val="Hyperlink"/>
        </w:rPr>
        <w:t xml:space="preserve"> de FPS-methode van Prof. Victoriano Ramirez Gonzalez en de "700 No-loss Composition"-methode, zoals voorgesteld door Prof. Grimmett, Prof. Pukelsheim, Prof. Ramirez Gonzalez, Prof. Slomczynski en Prof. Zyczkowski</w:t>
      </w:r>
    </w:p>
  </w:footnote>
  <w:footnote w:id="12">
    <w:p w:rsidR="000E110B" w:rsidRPr="0044760B" w:rsidRDefault="000E110B" w:rsidP="00454B40">
      <w:pPr>
        <w:pStyle w:val="Voetnoottekst"/>
      </w:pPr>
      <w:r w:rsidRPr="0044760B">
        <w:rPr>
          <w:rStyle w:val="Voetnootmarkering"/>
        </w:rPr>
        <w:footnoteRef/>
      </w:r>
      <w:r w:rsidRPr="0044760B">
        <w:t xml:space="preserve"> zoals bepaald in Besluit 2016/2353 van de Raad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10B" w:rsidRDefault="000E110B">
    <w:pPr>
      <w:pStyle w:val="Koptekst"/>
    </w:pPr>
    <w:r>
      <w:rPr>
        <w:noProof/>
        <w:lang w:eastAsia="nl-NL"/>
      </w:rPr>
      <w:drawing>
        <wp:anchor distT="0" distB="0" distL="114300" distR="114300" simplePos="0" relativeHeight="251668992" behindDoc="1" locked="0" layoutInCell="1" allowOverlap="1" wp14:anchorId="6FB6118C" wp14:editId="36CC0C90">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7968" behindDoc="1" locked="0" layoutInCell="1" allowOverlap="1" wp14:anchorId="4D0ACEF2" wp14:editId="32B20390">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p w:rsidR="000E110B" w:rsidRDefault="000E110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10B" w:rsidRDefault="000E110B">
    <w:pPr>
      <w:pStyle w:val="Koptekst"/>
    </w:pPr>
    <w:r>
      <w:rPr>
        <w:noProof/>
        <w:lang w:eastAsia="nl-NL"/>
      </w:rPr>
      <mc:AlternateContent>
        <mc:Choice Requires="wps">
          <w:drawing>
            <wp:anchor distT="0" distB="0" distL="114300" distR="114300" simplePos="0" relativeHeight="251666944" behindDoc="0" locked="0" layoutInCell="1" allowOverlap="1" wp14:anchorId="00AAFD2A" wp14:editId="3ABEF73F">
              <wp:simplePos x="0" y="0"/>
              <wp:positionH relativeFrom="page">
                <wp:posOffset>314325</wp:posOffset>
              </wp:positionH>
              <wp:positionV relativeFrom="page">
                <wp:posOffset>1428750</wp:posOffset>
              </wp:positionV>
              <wp:extent cx="6143625" cy="561975"/>
              <wp:effectExtent l="0" t="0" r="9525" b="7620"/>
              <wp:wrapNone/>
              <wp:docPr id="1" name="Tekstvak 1"/>
              <wp:cNvGraphicFramePr/>
              <a:graphic xmlns:a="http://schemas.openxmlformats.org/drawingml/2006/main">
                <a:graphicData uri="http://schemas.microsoft.com/office/word/2010/wordprocessingShape">
                  <wps:wsp>
                    <wps:cNvSpPr txBox="1"/>
                    <wps:spPr>
                      <a:xfrm>
                        <a:off x="0" y="0"/>
                        <a:ext cx="61436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110B" w:rsidRDefault="000E110B">
                          <w:pPr>
                            <w:pStyle w:val="Huisstijl-Gegevens"/>
                            <w:tabs>
                              <w:tab w:val="right" w:pos="1540"/>
                              <w:tab w:val="left" w:pos="1701"/>
                            </w:tabs>
                          </w:pPr>
                          <w:r>
                            <w:tab/>
                            <w:t>betreft</w:t>
                          </w:r>
                          <w:r>
                            <w:tab/>
                          </w:r>
                          <w:r w:rsidRPr="004E426E">
                            <w:t xml:space="preserve"> </w:t>
                          </w:r>
                          <w:r>
                            <w:t>Vierde</w:t>
                          </w:r>
                          <w:r w:rsidRPr="00580839">
                            <w:t xml:space="preserve"> voortgangsv</w:t>
                          </w:r>
                          <w:r>
                            <w:t xml:space="preserve">erslag Rapporteurschap Europese </w:t>
                          </w:r>
                          <w:r w:rsidRPr="00580839">
                            <w:t>Kiesakte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AAFD2A" id="_x0000_t202" coordsize="21600,21600" o:spt="202" path="m,l,21600r21600,l21600,xe">
              <v:stroke joinstyle="miter"/>
              <v:path gradientshapeok="t" o:connecttype="rect"/>
            </v:shapetype>
            <v:shape id="Tekstvak 1" o:spid="_x0000_s1031" type="#_x0000_t202" style="position:absolute;margin-left:24.75pt;margin-top:112.5pt;width:483.75pt;height:44.25pt;z-index:2516669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" filled="f" stroked="f" strokeweight=".5pt">
              <v:textbox style="mso-fit-shape-to-text:t" inset="0,0,0,0">
                <w:txbxContent>
                  <w:p w:rsidR="000E110B" w:rsidRDefault="000E110B">
                    <w:pPr>
                      <w:pStyle w:val="Huisstijl-Gegevens"/>
                      <w:tabs>
                        <w:tab w:val="right" w:pos="1540"/>
                        <w:tab w:val="left" w:pos="1701"/>
                      </w:tabs>
                    </w:pPr>
                    <w:r>
                      <w:tab/>
                      <w:t>betreft</w:t>
                    </w:r>
                    <w:r>
                      <w:tab/>
                    </w:r>
                    <w:r w:rsidRPr="004E426E">
                      <w:t xml:space="preserve"> </w:t>
                    </w:r>
                    <w:r>
                      <w:t>Vierde</w:t>
                    </w:r>
                    <w:r w:rsidRPr="00580839">
                      <w:t xml:space="preserve"> voortgangsv</w:t>
                    </w:r>
                    <w:r>
                      <w:t xml:space="preserve">erslag Rapporteurschap Europese </w:t>
                    </w:r>
                    <w:r w:rsidRPr="00580839">
                      <w:t>Kiesakte</w:t>
                    </w:r>
                  </w:p>
                </w:txbxContent>
              </v:textbox>
              <w10:wrap anchorx="page" anchory="page"/>
            </v:shape>
          </w:pict>
        </mc:Fallback>
      </mc:AlternateContent>
    </w:r>
    <w:r>
      <w:rPr>
        <w:noProof/>
        <w:lang w:eastAsia="nl-NL"/>
      </w:rPr>
      <w:drawing>
        <wp:anchor distT="0" distB="0" distL="114300" distR="114300" simplePos="0" relativeHeight="251670016" behindDoc="1" locked="0" layoutInCell="1" allowOverlap="1" wp14:anchorId="4B1FEE33" wp14:editId="2301F651">
          <wp:simplePos x="0" y="0"/>
          <wp:positionH relativeFrom="page">
            <wp:posOffset>626745</wp:posOffset>
          </wp:positionH>
          <wp:positionV relativeFrom="page">
            <wp:posOffset>374650</wp:posOffset>
          </wp:positionV>
          <wp:extent cx="432000" cy="1238400"/>
          <wp:effectExtent l="0" t="0" r="635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90C9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11099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FCFB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EC679D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EB9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4EC6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522B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2C83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72C7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99A837E"/>
    <w:lvl w:ilvl="0">
      <w:start w:val="1"/>
      <w:numFmt w:val="bullet"/>
      <w:lvlText w:val=""/>
      <w:lvlJc w:val="left"/>
      <w:pPr>
        <w:tabs>
          <w:tab w:val="num" w:pos="360"/>
        </w:tabs>
        <w:ind w:left="360" w:hanging="360"/>
      </w:pPr>
      <w:rPr>
        <w:rFonts w:ascii="Symbol" w:hAnsi="Symbol" w:hint="default"/>
      </w:rPr>
    </w:lvl>
  </w:abstractNum>
  <w:abstractNum w:abstractNumId="10">
    <w:nsid w:val="05E13E99"/>
    <w:multiLevelType w:val="hybridMultilevel"/>
    <w:tmpl w:val="87BCD3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4290CA3"/>
    <w:multiLevelType w:val="hybridMultilevel"/>
    <w:tmpl w:val="B846DF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1B0548D3"/>
    <w:multiLevelType w:val="hybridMultilevel"/>
    <w:tmpl w:val="D63899AE"/>
    <w:lvl w:ilvl="0" w:tplc="D8DAD5B8">
      <w:start w:val="1"/>
      <w:numFmt w:val="decimal"/>
      <w:lvlText w:val="%1."/>
      <w:lvlJc w:val="left"/>
      <w:pPr>
        <w:tabs>
          <w:tab w:val="num" w:pos="720"/>
        </w:tabs>
        <w:ind w:left="992" w:hanging="632"/>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nsid w:val="1DAF6FFC"/>
    <w:multiLevelType w:val="hybridMultilevel"/>
    <w:tmpl w:val="E5405264"/>
    <w:lvl w:ilvl="0" w:tplc="596ABA3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1DB260E6"/>
    <w:multiLevelType w:val="hybridMultilevel"/>
    <w:tmpl w:val="F90C0804"/>
    <w:lvl w:ilvl="0" w:tplc="41C0E2EC">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29E488B"/>
    <w:multiLevelType w:val="hybridMultilevel"/>
    <w:tmpl w:val="924E43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7D6735A"/>
    <w:multiLevelType w:val="hybridMultilevel"/>
    <w:tmpl w:val="87DC70D0"/>
    <w:lvl w:ilvl="0" w:tplc="FD9E601C">
      <w:start w:val="1"/>
      <w:numFmt w:val="decimal"/>
      <w:lvlText w:val="%1."/>
      <w:lvlJc w:val="left"/>
      <w:pPr>
        <w:ind w:left="990" w:hanging="63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8">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9">
    <w:nsid w:val="40E9756F"/>
    <w:multiLevelType w:val="hybridMultilevel"/>
    <w:tmpl w:val="D526B1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61971D3"/>
    <w:multiLevelType w:val="hybridMultilevel"/>
    <w:tmpl w:val="316EA3B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1">
    <w:nsid w:val="46FE4455"/>
    <w:multiLevelType w:val="hybridMultilevel"/>
    <w:tmpl w:val="7CCAF1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C02244B"/>
    <w:multiLevelType w:val="hybridMultilevel"/>
    <w:tmpl w:val="42E47B2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nsid w:val="56C0494F"/>
    <w:multiLevelType w:val="hybridMultilevel"/>
    <w:tmpl w:val="BD1A309C"/>
    <w:lvl w:ilvl="0" w:tplc="C658AD1C">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89B6888"/>
    <w:multiLevelType w:val="multilevel"/>
    <w:tmpl w:val="03A083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B64164"/>
    <w:multiLevelType w:val="hybridMultilevel"/>
    <w:tmpl w:val="AA1EBF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5DC792D"/>
    <w:multiLevelType w:val="hybridMultilevel"/>
    <w:tmpl w:val="F516E8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E0D303B"/>
    <w:multiLevelType w:val="hybridMultilevel"/>
    <w:tmpl w:val="04E083D8"/>
    <w:lvl w:ilvl="0" w:tplc="A0C2DC46">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6FF426A2"/>
    <w:multiLevelType w:val="hybridMultilevel"/>
    <w:tmpl w:val="8758C60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9">
    <w:nsid w:val="733E6195"/>
    <w:multiLevelType w:val="hybridMultilevel"/>
    <w:tmpl w:val="C2EEB75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nsid w:val="75F80B02"/>
    <w:multiLevelType w:val="hybridMultilevel"/>
    <w:tmpl w:val="EFF055D2"/>
    <w:lvl w:ilvl="0" w:tplc="7F1E438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9E35DBA"/>
    <w:multiLevelType w:val="hybridMultilevel"/>
    <w:tmpl w:val="EF9603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24"/>
  </w:num>
  <w:num w:numId="16">
    <w:abstractNumId w:val="22"/>
  </w:num>
  <w:num w:numId="17">
    <w:abstractNumId w:val="28"/>
  </w:num>
  <w:num w:numId="18">
    <w:abstractNumId w:val="29"/>
  </w:num>
  <w:num w:numId="19">
    <w:abstractNumId w:val="16"/>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5"/>
  </w:num>
  <w:num w:numId="23">
    <w:abstractNumId w:val="21"/>
  </w:num>
  <w:num w:numId="24">
    <w:abstractNumId w:val="26"/>
  </w:num>
  <w:num w:numId="25">
    <w:abstractNumId w:val="10"/>
  </w:num>
  <w:num w:numId="26">
    <w:abstractNumId w:val="30"/>
  </w:num>
  <w:num w:numId="27">
    <w:abstractNumId w:val="25"/>
  </w:num>
  <w:num w:numId="28">
    <w:abstractNumId w:val="14"/>
  </w:num>
  <w:num w:numId="29">
    <w:abstractNumId w:val="23"/>
  </w:num>
  <w:num w:numId="30">
    <w:abstractNumId w:val="27"/>
  </w:num>
  <w:num w:numId="31">
    <w:abstractNumId w:val="3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defaultTabStop w:val="709"/>
  <w:hyphenationZone w:val="425"/>
  <w:drawingGridHorizontalSpacing w:val="85"/>
  <w:drawingGridVerticalSpacing w:val="142"/>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8E3"/>
    <w:rsid w:val="0000060B"/>
    <w:rsid w:val="000037E5"/>
    <w:rsid w:val="00004383"/>
    <w:rsid w:val="00013B5B"/>
    <w:rsid w:val="00026D47"/>
    <w:rsid w:val="000423A9"/>
    <w:rsid w:val="000546B1"/>
    <w:rsid w:val="000635E6"/>
    <w:rsid w:val="000722D6"/>
    <w:rsid w:val="000868E7"/>
    <w:rsid w:val="00092DC9"/>
    <w:rsid w:val="000C44F1"/>
    <w:rsid w:val="000E110B"/>
    <w:rsid w:val="000E69FD"/>
    <w:rsid w:val="000F27E0"/>
    <w:rsid w:val="000F34AF"/>
    <w:rsid w:val="00154EC0"/>
    <w:rsid w:val="00160D05"/>
    <w:rsid w:val="001706B1"/>
    <w:rsid w:val="001959F4"/>
    <w:rsid w:val="001C14DB"/>
    <w:rsid w:val="001C3467"/>
    <w:rsid w:val="001D4CF6"/>
    <w:rsid w:val="001F4221"/>
    <w:rsid w:val="00211391"/>
    <w:rsid w:val="00245D08"/>
    <w:rsid w:val="00292C57"/>
    <w:rsid w:val="002A1A9B"/>
    <w:rsid w:val="002D4922"/>
    <w:rsid w:val="002E5CC6"/>
    <w:rsid w:val="002F7227"/>
    <w:rsid w:val="00331729"/>
    <w:rsid w:val="00355DCC"/>
    <w:rsid w:val="00371582"/>
    <w:rsid w:val="00377E26"/>
    <w:rsid w:val="003A672E"/>
    <w:rsid w:val="003B254F"/>
    <w:rsid w:val="003C2832"/>
    <w:rsid w:val="003D22ED"/>
    <w:rsid w:val="0041042A"/>
    <w:rsid w:val="00411808"/>
    <w:rsid w:val="0043382C"/>
    <w:rsid w:val="004521E2"/>
    <w:rsid w:val="00454B40"/>
    <w:rsid w:val="00461756"/>
    <w:rsid w:val="0046311A"/>
    <w:rsid w:val="00473A85"/>
    <w:rsid w:val="00474A4E"/>
    <w:rsid w:val="004760D1"/>
    <w:rsid w:val="00492228"/>
    <w:rsid w:val="004C64F9"/>
    <w:rsid w:val="004E426E"/>
    <w:rsid w:val="00580839"/>
    <w:rsid w:val="0058398B"/>
    <w:rsid w:val="005A14F3"/>
    <w:rsid w:val="005A62B3"/>
    <w:rsid w:val="005C4AF5"/>
    <w:rsid w:val="005E36B9"/>
    <w:rsid w:val="005F1EDF"/>
    <w:rsid w:val="006475E6"/>
    <w:rsid w:val="00661ACE"/>
    <w:rsid w:val="00682002"/>
    <w:rsid w:val="006D4B9F"/>
    <w:rsid w:val="006F18C7"/>
    <w:rsid w:val="00787C51"/>
    <w:rsid w:val="00794817"/>
    <w:rsid w:val="007C2A97"/>
    <w:rsid w:val="007D3155"/>
    <w:rsid w:val="007E4665"/>
    <w:rsid w:val="007F0A23"/>
    <w:rsid w:val="00802F06"/>
    <w:rsid w:val="008047D9"/>
    <w:rsid w:val="00843FBB"/>
    <w:rsid w:val="00882B9E"/>
    <w:rsid w:val="008B5E4B"/>
    <w:rsid w:val="008C00E0"/>
    <w:rsid w:val="008C4443"/>
    <w:rsid w:val="008E7DAC"/>
    <w:rsid w:val="008F4E01"/>
    <w:rsid w:val="008F7AF1"/>
    <w:rsid w:val="00901055"/>
    <w:rsid w:val="00922C5B"/>
    <w:rsid w:val="00926095"/>
    <w:rsid w:val="00930D89"/>
    <w:rsid w:val="00934EBD"/>
    <w:rsid w:val="00935201"/>
    <w:rsid w:val="00942CDE"/>
    <w:rsid w:val="009528C1"/>
    <w:rsid w:val="0099243E"/>
    <w:rsid w:val="009A6482"/>
    <w:rsid w:val="009C5CE4"/>
    <w:rsid w:val="009D0749"/>
    <w:rsid w:val="009F1C43"/>
    <w:rsid w:val="009F2CCC"/>
    <w:rsid w:val="00A009CA"/>
    <w:rsid w:val="00A828E3"/>
    <w:rsid w:val="00A838B6"/>
    <w:rsid w:val="00AB0987"/>
    <w:rsid w:val="00AF7BAC"/>
    <w:rsid w:val="00B53C93"/>
    <w:rsid w:val="00B633A6"/>
    <w:rsid w:val="00BA2193"/>
    <w:rsid w:val="00BA41EB"/>
    <w:rsid w:val="00BB716F"/>
    <w:rsid w:val="00BC1083"/>
    <w:rsid w:val="00BC35AB"/>
    <w:rsid w:val="00BC4EA8"/>
    <w:rsid w:val="00BC7779"/>
    <w:rsid w:val="00C14EA7"/>
    <w:rsid w:val="00C151E9"/>
    <w:rsid w:val="00C21BB0"/>
    <w:rsid w:val="00C3378C"/>
    <w:rsid w:val="00C5088B"/>
    <w:rsid w:val="00C97A62"/>
    <w:rsid w:val="00CA2071"/>
    <w:rsid w:val="00CB6D12"/>
    <w:rsid w:val="00CC0D76"/>
    <w:rsid w:val="00CC14BA"/>
    <w:rsid w:val="00D3073E"/>
    <w:rsid w:val="00D426F0"/>
    <w:rsid w:val="00D467E2"/>
    <w:rsid w:val="00DA4AAF"/>
    <w:rsid w:val="00DA5144"/>
    <w:rsid w:val="00DC0EBD"/>
    <w:rsid w:val="00DC69B0"/>
    <w:rsid w:val="00DE2897"/>
    <w:rsid w:val="00DE4709"/>
    <w:rsid w:val="00DF1626"/>
    <w:rsid w:val="00E006B7"/>
    <w:rsid w:val="00E23B52"/>
    <w:rsid w:val="00E36DC7"/>
    <w:rsid w:val="00E42FB9"/>
    <w:rsid w:val="00E473AD"/>
    <w:rsid w:val="00E666D4"/>
    <w:rsid w:val="00EC1DEB"/>
    <w:rsid w:val="00EE306C"/>
    <w:rsid w:val="00EE75A5"/>
    <w:rsid w:val="00EF265E"/>
    <w:rsid w:val="00F1348E"/>
    <w:rsid w:val="00F35D11"/>
    <w:rsid w:val="00F40423"/>
    <w:rsid w:val="00F40D00"/>
    <w:rsid w:val="00F53FE3"/>
    <w:rsid w:val="00F77131"/>
    <w:rsid w:val="00F9004F"/>
    <w:rsid w:val="00F9024C"/>
    <w:rsid w:val="00F9703B"/>
    <w:rsid w:val="00FC6024"/>
    <w:rsid w:val="00FF05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uiPriority w:val="99"/>
    <w:rsid w:val="001F4221"/>
    <w:rPr>
      <w:color w:val="0000FF"/>
      <w:u w:val="single"/>
    </w:rPr>
  </w:style>
  <w:style w:type="paragraph" w:styleId="Voetnoottekst">
    <w:name w:val="footnote text"/>
    <w:basedOn w:val="Standaard"/>
    <w:link w:val="VoetnoottekstChar"/>
    <w:uiPriority w:val="99"/>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uiPriority w:val="99"/>
    <w:rsid w:val="001F4221"/>
    <w:rPr>
      <w:rFonts w:ascii="Times New Roman" w:eastAsia="Times New Roman" w:hAnsi="Times New Roman"/>
    </w:rPr>
  </w:style>
  <w:style w:type="character" w:styleId="Voetnootmarkering">
    <w:name w:val="footnote reference"/>
    <w:uiPriority w:val="99"/>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HideTWBExt">
    <w:name w:val="HideTWBExt"/>
    <w:rsid w:val="00454B40"/>
    <w:rPr>
      <w:rFonts w:ascii="Arial" w:hAnsi="Arial"/>
      <w:noProof/>
      <w:vanish/>
      <w:color w:val="000080"/>
      <w:sz w:val="20"/>
    </w:rPr>
  </w:style>
  <w:style w:type="paragraph" w:customStyle="1" w:styleId="Normal12">
    <w:name w:val="Normal12"/>
    <w:basedOn w:val="Standaard"/>
    <w:qFormat/>
    <w:rsid w:val="00454B40"/>
    <w:pPr>
      <w:widowControl w:val="0"/>
      <w:spacing w:after="240"/>
    </w:pPr>
    <w:rPr>
      <w:rFonts w:ascii="Times New Roman" w:eastAsia="Times New Roman" w:hAnsi="Times New Roman"/>
      <w:sz w:val="24"/>
      <w:szCs w:val="20"/>
      <w:lang w:eastAsia="en-GB"/>
    </w:rPr>
  </w:style>
  <w:style w:type="paragraph" w:styleId="Inhopg1">
    <w:name w:val="toc 1"/>
    <w:basedOn w:val="Normal12"/>
    <w:next w:val="Normal12"/>
    <w:autoRedefine/>
    <w:uiPriority w:val="39"/>
    <w:locked/>
    <w:rsid w:val="00454B40"/>
  </w:style>
  <w:style w:type="paragraph" w:styleId="Kopvaninhoudsopgave">
    <w:name w:val="TOC Heading"/>
    <w:basedOn w:val="Normal12"/>
    <w:next w:val="Normal12"/>
    <w:qFormat/>
    <w:rsid w:val="00454B40"/>
    <w:pPr>
      <w:keepNext/>
      <w:spacing w:before="240"/>
      <w:jc w:val="center"/>
    </w:pPr>
    <w:rPr>
      <w:rFonts w:ascii="Arial" w:hAnsi="Arial"/>
      <w:b/>
    </w:rPr>
  </w:style>
  <w:style w:type="paragraph" w:customStyle="1" w:styleId="TOCPage">
    <w:name w:val="TOC Page"/>
    <w:basedOn w:val="Normal12"/>
    <w:next w:val="Inhopg1"/>
    <w:rsid w:val="00454B40"/>
    <w:pPr>
      <w:keepNext/>
      <w:jc w:val="right"/>
    </w:pPr>
    <w:rPr>
      <w:rFonts w:ascii="Arial" w:hAnsi="Arial"/>
      <w:b/>
    </w:rPr>
  </w:style>
  <w:style w:type="character" w:customStyle="1" w:styleId="HideTWBInt">
    <w:name w:val="HideTWBInt"/>
    <w:rsid w:val="00454B40"/>
    <w:rPr>
      <w:vanish/>
      <w:color w:val="808080"/>
    </w:rPr>
  </w:style>
  <w:style w:type="paragraph" w:customStyle="1" w:styleId="PageHeading">
    <w:name w:val="PageHeading"/>
    <w:basedOn w:val="Standaard"/>
    <w:rsid w:val="00454B40"/>
    <w:pPr>
      <w:keepNext/>
      <w:widowControl w:val="0"/>
      <w:spacing w:before="240" w:after="240"/>
      <w:jc w:val="center"/>
    </w:pPr>
    <w:rPr>
      <w:rFonts w:ascii="Arial" w:eastAsia="Times New Roman" w:hAnsi="Arial"/>
      <w:b/>
      <w:sz w:val="24"/>
      <w:szCs w:val="20"/>
      <w:lang w:eastAsia="en-GB"/>
    </w:rPr>
  </w:style>
  <w:style w:type="paragraph" w:customStyle="1" w:styleId="NormalBold">
    <w:name w:val="NormalBold"/>
    <w:basedOn w:val="Standaard"/>
    <w:rsid w:val="00454B40"/>
    <w:pPr>
      <w:widowControl w:val="0"/>
    </w:pPr>
    <w:rPr>
      <w:rFonts w:ascii="Times New Roman" w:eastAsia="Times New Roman" w:hAnsi="Times New Roman"/>
      <w:b/>
      <w:sz w:val="24"/>
      <w:szCs w:val="20"/>
      <w:lang w:eastAsia="en-GB"/>
    </w:rPr>
  </w:style>
  <w:style w:type="paragraph" w:customStyle="1" w:styleId="Normal12Bold">
    <w:name w:val="Normal12Bold"/>
    <w:basedOn w:val="Normal12"/>
    <w:rsid w:val="00454B40"/>
    <w:rPr>
      <w:b/>
    </w:rPr>
  </w:style>
  <w:style w:type="paragraph" w:customStyle="1" w:styleId="Normal12Hanging">
    <w:name w:val="Normal12Hanging"/>
    <w:basedOn w:val="Normal12"/>
    <w:rsid w:val="00454B40"/>
    <w:pPr>
      <w:ind w:left="567" w:hanging="567"/>
    </w:pPr>
  </w:style>
  <w:style w:type="paragraph" w:customStyle="1" w:styleId="EPName">
    <w:name w:val="EPName"/>
    <w:basedOn w:val="Standaard"/>
    <w:rsid w:val="00454B40"/>
    <w:pPr>
      <w:widowControl w:val="0"/>
      <w:spacing w:before="80" w:after="80"/>
    </w:pPr>
    <w:rPr>
      <w:rFonts w:ascii="Arial Narrow" w:eastAsia="Times New Roman" w:hAnsi="Arial Narrow" w:cs="Arial"/>
      <w:b/>
      <w:color w:val="000000"/>
      <w:sz w:val="32"/>
      <w:lang w:eastAsia="en-GB"/>
    </w:rPr>
  </w:style>
  <w:style w:type="paragraph" w:customStyle="1" w:styleId="Cover12">
    <w:name w:val="Cover12"/>
    <w:basedOn w:val="Normal12"/>
    <w:rsid w:val="00454B40"/>
    <w:pPr>
      <w:ind w:left="1418"/>
    </w:pPr>
  </w:style>
  <w:style w:type="paragraph" w:customStyle="1" w:styleId="Cover24">
    <w:name w:val="Cover24"/>
    <w:basedOn w:val="Standaard"/>
    <w:rsid w:val="00454B40"/>
    <w:pPr>
      <w:widowControl w:val="0"/>
      <w:spacing w:after="480"/>
      <w:ind w:left="1418"/>
    </w:pPr>
    <w:rPr>
      <w:rFonts w:ascii="Times New Roman" w:eastAsia="Times New Roman" w:hAnsi="Times New Roman"/>
      <w:sz w:val="24"/>
      <w:szCs w:val="20"/>
      <w:lang w:eastAsia="en-GB"/>
    </w:rPr>
  </w:style>
  <w:style w:type="paragraph" w:customStyle="1" w:styleId="CoverNormal">
    <w:name w:val="CoverNormal"/>
    <w:basedOn w:val="Standaard"/>
    <w:rsid w:val="00454B40"/>
    <w:pPr>
      <w:widowControl w:val="0"/>
      <w:ind w:left="1418"/>
    </w:pPr>
    <w:rPr>
      <w:rFonts w:ascii="Times New Roman" w:eastAsia="Times New Roman" w:hAnsi="Times New Roman"/>
      <w:sz w:val="24"/>
      <w:szCs w:val="20"/>
      <w:lang w:eastAsia="en-GB"/>
    </w:rPr>
  </w:style>
  <w:style w:type="paragraph" w:customStyle="1" w:styleId="RefProc">
    <w:name w:val="RefProc"/>
    <w:basedOn w:val="Standaard"/>
    <w:rsid w:val="00454B40"/>
    <w:pPr>
      <w:widowControl w:val="0"/>
      <w:spacing w:before="240" w:after="240"/>
      <w:jc w:val="right"/>
    </w:pPr>
    <w:rPr>
      <w:rFonts w:ascii="Arial" w:eastAsia="Times New Roman" w:hAnsi="Arial"/>
      <w:b/>
      <w:caps/>
      <w:sz w:val="24"/>
      <w:szCs w:val="20"/>
      <w:lang w:eastAsia="en-GB"/>
    </w:rPr>
  </w:style>
  <w:style w:type="paragraph" w:customStyle="1" w:styleId="TypeDoc">
    <w:name w:val="TypeDoc"/>
    <w:basedOn w:val="Standaard"/>
    <w:rsid w:val="00454B40"/>
    <w:pPr>
      <w:widowControl w:val="0"/>
      <w:spacing w:after="480"/>
      <w:ind w:left="1418"/>
    </w:pPr>
    <w:rPr>
      <w:rFonts w:ascii="Arial" w:eastAsia="Times New Roman" w:hAnsi="Arial"/>
      <w:b/>
      <w:sz w:val="48"/>
      <w:szCs w:val="20"/>
      <w:lang w:eastAsia="en-GB"/>
    </w:rPr>
  </w:style>
  <w:style w:type="paragraph" w:customStyle="1" w:styleId="ZDate">
    <w:name w:val="ZDate"/>
    <w:basedOn w:val="Standaard"/>
    <w:rsid w:val="00454B40"/>
    <w:pPr>
      <w:widowControl w:val="0"/>
      <w:spacing w:after="1200"/>
    </w:pPr>
    <w:rPr>
      <w:rFonts w:ascii="Times New Roman" w:eastAsia="Times New Roman" w:hAnsi="Times New Roman"/>
      <w:sz w:val="24"/>
      <w:szCs w:val="20"/>
      <w:lang w:eastAsia="en-GB"/>
    </w:rPr>
  </w:style>
  <w:style w:type="paragraph" w:customStyle="1" w:styleId="ZCommittee">
    <w:name w:val="ZCommittee"/>
    <w:basedOn w:val="Standaard"/>
    <w:next w:val="Standaard"/>
    <w:rsid w:val="00454B40"/>
    <w:pPr>
      <w:widowControl w:val="0"/>
      <w:jc w:val="center"/>
    </w:pPr>
    <w:rPr>
      <w:rFonts w:ascii="Arial" w:eastAsia="Times New Roman" w:hAnsi="Arial" w:cs="Arial"/>
      <w:i/>
      <w:sz w:val="22"/>
      <w:lang w:eastAsia="en-GB"/>
    </w:rPr>
  </w:style>
  <w:style w:type="paragraph" w:customStyle="1" w:styleId="LineTop">
    <w:name w:val="LineTop"/>
    <w:basedOn w:val="Standaard"/>
    <w:next w:val="ZCommittee"/>
    <w:rsid w:val="00454B40"/>
    <w:pPr>
      <w:widowControl w:val="0"/>
      <w:pBdr>
        <w:top w:val="single" w:sz="4" w:space="1" w:color="auto"/>
      </w:pBdr>
      <w:jc w:val="center"/>
    </w:pPr>
    <w:rPr>
      <w:rFonts w:ascii="Arial" w:eastAsia="Times New Roman" w:hAnsi="Arial"/>
      <w:sz w:val="16"/>
      <w:szCs w:val="16"/>
      <w:lang w:eastAsia="en-GB"/>
    </w:rPr>
  </w:style>
  <w:style w:type="paragraph" w:customStyle="1" w:styleId="LineBottom">
    <w:name w:val="LineBottom"/>
    <w:basedOn w:val="Standaard"/>
    <w:next w:val="Standaard"/>
    <w:rsid w:val="00454B40"/>
    <w:pPr>
      <w:widowControl w:val="0"/>
      <w:pBdr>
        <w:bottom w:val="single" w:sz="4" w:space="1" w:color="auto"/>
      </w:pBdr>
      <w:spacing w:after="840"/>
      <w:jc w:val="center"/>
    </w:pPr>
    <w:rPr>
      <w:rFonts w:ascii="Arial" w:eastAsia="Times New Roman" w:hAnsi="Arial"/>
      <w:sz w:val="16"/>
      <w:szCs w:val="16"/>
      <w:lang w:eastAsia="en-GB"/>
    </w:rPr>
  </w:style>
  <w:style w:type="paragraph" w:customStyle="1" w:styleId="EPTerm">
    <w:name w:val="EPTerm"/>
    <w:basedOn w:val="Standaard"/>
    <w:next w:val="Standaard"/>
    <w:rsid w:val="00454B40"/>
    <w:pPr>
      <w:widowControl w:val="0"/>
      <w:spacing w:after="80"/>
    </w:pPr>
    <w:rPr>
      <w:rFonts w:ascii="Arial" w:eastAsia="Times New Roman" w:hAnsi="Arial" w:cs="Arial"/>
      <w:sz w:val="20"/>
      <w:lang w:eastAsia="en-GB"/>
    </w:rPr>
  </w:style>
  <w:style w:type="paragraph" w:customStyle="1" w:styleId="EPLogo">
    <w:name w:val="EPLogo"/>
    <w:basedOn w:val="Standaard"/>
    <w:qFormat/>
    <w:rsid w:val="00454B40"/>
    <w:pPr>
      <w:widowControl w:val="0"/>
      <w:jc w:val="right"/>
    </w:pPr>
    <w:rPr>
      <w:rFonts w:ascii="Times New Roman" w:eastAsia="Times New Roman" w:hAnsi="Times New Roman"/>
      <w:sz w:val="24"/>
      <w:szCs w:val="20"/>
      <w:lang w:eastAsia="en-GB"/>
    </w:rPr>
  </w:style>
  <w:style w:type="paragraph" w:customStyle="1" w:styleId="NormalTabs">
    <w:name w:val="NormalTabs"/>
    <w:basedOn w:val="Standaard"/>
    <w:qFormat/>
    <w:rsid w:val="00454B40"/>
    <w:pPr>
      <w:widowControl w:val="0"/>
      <w:tabs>
        <w:tab w:val="center" w:pos="284"/>
        <w:tab w:val="left" w:pos="426"/>
      </w:tabs>
    </w:pPr>
    <w:rPr>
      <w:rFonts w:ascii="Times New Roman" w:eastAsia="Times New Roman" w:hAnsi="Times New Roman"/>
      <w:snapToGrid w:val="0"/>
      <w:sz w:val="24"/>
      <w:szCs w:val="20"/>
    </w:rPr>
  </w:style>
  <w:style w:type="paragraph" w:customStyle="1" w:styleId="RollCallSubtitle">
    <w:name w:val="RollCallSubtitle"/>
    <w:basedOn w:val="Standaard"/>
    <w:qFormat/>
    <w:rsid w:val="00454B40"/>
    <w:pPr>
      <w:widowControl w:val="0"/>
      <w:spacing w:after="240"/>
    </w:pPr>
    <w:rPr>
      <w:rFonts w:ascii="Times New Roman" w:eastAsia="Times New Roman" w:hAnsi="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uiPriority w:val="99"/>
    <w:rsid w:val="001F4221"/>
    <w:rPr>
      <w:color w:val="0000FF"/>
      <w:u w:val="single"/>
    </w:rPr>
  </w:style>
  <w:style w:type="paragraph" w:styleId="Voetnoottekst">
    <w:name w:val="footnote text"/>
    <w:basedOn w:val="Standaard"/>
    <w:link w:val="VoetnoottekstChar"/>
    <w:uiPriority w:val="99"/>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uiPriority w:val="99"/>
    <w:rsid w:val="001F4221"/>
    <w:rPr>
      <w:rFonts w:ascii="Times New Roman" w:eastAsia="Times New Roman" w:hAnsi="Times New Roman"/>
    </w:rPr>
  </w:style>
  <w:style w:type="character" w:styleId="Voetnootmarkering">
    <w:name w:val="footnote reference"/>
    <w:uiPriority w:val="99"/>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HideTWBExt">
    <w:name w:val="HideTWBExt"/>
    <w:rsid w:val="00454B40"/>
    <w:rPr>
      <w:rFonts w:ascii="Arial" w:hAnsi="Arial"/>
      <w:noProof/>
      <w:vanish/>
      <w:color w:val="000080"/>
      <w:sz w:val="20"/>
    </w:rPr>
  </w:style>
  <w:style w:type="paragraph" w:customStyle="1" w:styleId="Normal12">
    <w:name w:val="Normal12"/>
    <w:basedOn w:val="Standaard"/>
    <w:qFormat/>
    <w:rsid w:val="00454B40"/>
    <w:pPr>
      <w:widowControl w:val="0"/>
      <w:spacing w:after="240"/>
    </w:pPr>
    <w:rPr>
      <w:rFonts w:ascii="Times New Roman" w:eastAsia="Times New Roman" w:hAnsi="Times New Roman"/>
      <w:sz w:val="24"/>
      <w:szCs w:val="20"/>
      <w:lang w:eastAsia="en-GB"/>
    </w:rPr>
  </w:style>
  <w:style w:type="paragraph" w:styleId="Inhopg1">
    <w:name w:val="toc 1"/>
    <w:basedOn w:val="Normal12"/>
    <w:next w:val="Normal12"/>
    <w:autoRedefine/>
    <w:uiPriority w:val="39"/>
    <w:locked/>
    <w:rsid w:val="00454B40"/>
  </w:style>
  <w:style w:type="paragraph" w:styleId="Kopvaninhoudsopgave">
    <w:name w:val="TOC Heading"/>
    <w:basedOn w:val="Normal12"/>
    <w:next w:val="Normal12"/>
    <w:qFormat/>
    <w:rsid w:val="00454B40"/>
    <w:pPr>
      <w:keepNext/>
      <w:spacing w:before="240"/>
      <w:jc w:val="center"/>
    </w:pPr>
    <w:rPr>
      <w:rFonts w:ascii="Arial" w:hAnsi="Arial"/>
      <w:b/>
    </w:rPr>
  </w:style>
  <w:style w:type="paragraph" w:customStyle="1" w:styleId="TOCPage">
    <w:name w:val="TOC Page"/>
    <w:basedOn w:val="Normal12"/>
    <w:next w:val="Inhopg1"/>
    <w:rsid w:val="00454B40"/>
    <w:pPr>
      <w:keepNext/>
      <w:jc w:val="right"/>
    </w:pPr>
    <w:rPr>
      <w:rFonts w:ascii="Arial" w:hAnsi="Arial"/>
      <w:b/>
    </w:rPr>
  </w:style>
  <w:style w:type="character" w:customStyle="1" w:styleId="HideTWBInt">
    <w:name w:val="HideTWBInt"/>
    <w:rsid w:val="00454B40"/>
    <w:rPr>
      <w:vanish/>
      <w:color w:val="808080"/>
    </w:rPr>
  </w:style>
  <w:style w:type="paragraph" w:customStyle="1" w:styleId="PageHeading">
    <w:name w:val="PageHeading"/>
    <w:basedOn w:val="Standaard"/>
    <w:rsid w:val="00454B40"/>
    <w:pPr>
      <w:keepNext/>
      <w:widowControl w:val="0"/>
      <w:spacing w:before="240" w:after="240"/>
      <w:jc w:val="center"/>
    </w:pPr>
    <w:rPr>
      <w:rFonts w:ascii="Arial" w:eastAsia="Times New Roman" w:hAnsi="Arial"/>
      <w:b/>
      <w:sz w:val="24"/>
      <w:szCs w:val="20"/>
      <w:lang w:eastAsia="en-GB"/>
    </w:rPr>
  </w:style>
  <w:style w:type="paragraph" w:customStyle="1" w:styleId="NormalBold">
    <w:name w:val="NormalBold"/>
    <w:basedOn w:val="Standaard"/>
    <w:rsid w:val="00454B40"/>
    <w:pPr>
      <w:widowControl w:val="0"/>
    </w:pPr>
    <w:rPr>
      <w:rFonts w:ascii="Times New Roman" w:eastAsia="Times New Roman" w:hAnsi="Times New Roman"/>
      <w:b/>
      <w:sz w:val="24"/>
      <w:szCs w:val="20"/>
      <w:lang w:eastAsia="en-GB"/>
    </w:rPr>
  </w:style>
  <w:style w:type="paragraph" w:customStyle="1" w:styleId="Normal12Bold">
    <w:name w:val="Normal12Bold"/>
    <w:basedOn w:val="Normal12"/>
    <w:rsid w:val="00454B40"/>
    <w:rPr>
      <w:b/>
    </w:rPr>
  </w:style>
  <w:style w:type="paragraph" w:customStyle="1" w:styleId="Normal12Hanging">
    <w:name w:val="Normal12Hanging"/>
    <w:basedOn w:val="Normal12"/>
    <w:rsid w:val="00454B40"/>
    <w:pPr>
      <w:ind w:left="567" w:hanging="567"/>
    </w:pPr>
  </w:style>
  <w:style w:type="paragraph" w:customStyle="1" w:styleId="EPName">
    <w:name w:val="EPName"/>
    <w:basedOn w:val="Standaard"/>
    <w:rsid w:val="00454B40"/>
    <w:pPr>
      <w:widowControl w:val="0"/>
      <w:spacing w:before="80" w:after="80"/>
    </w:pPr>
    <w:rPr>
      <w:rFonts w:ascii="Arial Narrow" w:eastAsia="Times New Roman" w:hAnsi="Arial Narrow" w:cs="Arial"/>
      <w:b/>
      <w:color w:val="000000"/>
      <w:sz w:val="32"/>
      <w:lang w:eastAsia="en-GB"/>
    </w:rPr>
  </w:style>
  <w:style w:type="paragraph" w:customStyle="1" w:styleId="Cover12">
    <w:name w:val="Cover12"/>
    <w:basedOn w:val="Normal12"/>
    <w:rsid w:val="00454B40"/>
    <w:pPr>
      <w:ind w:left="1418"/>
    </w:pPr>
  </w:style>
  <w:style w:type="paragraph" w:customStyle="1" w:styleId="Cover24">
    <w:name w:val="Cover24"/>
    <w:basedOn w:val="Standaard"/>
    <w:rsid w:val="00454B40"/>
    <w:pPr>
      <w:widowControl w:val="0"/>
      <w:spacing w:after="480"/>
      <w:ind w:left="1418"/>
    </w:pPr>
    <w:rPr>
      <w:rFonts w:ascii="Times New Roman" w:eastAsia="Times New Roman" w:hAnsi="Times New Roman"/>
      <w:sz w:val="24"/>
      <w:szCs w:val="20"/>
      <w:lang w:eastAsia="en-GB"/>
    </w:rPr>
  </w:style>
  <w:style w:type="paragraph" w:customStyle="1" w:styleId="CoverNormal">
    <w:name w:val="CoverNormal"/>
    <w:basedOn w:val="Standaard"/>
    <w:rsid w:val="00454B40"/>
    <w:pPr>
      <w:widowControl w:val="0"/>
      <w:ind w:left="1418"/>
    </w:pPr>
    <w:rPr>
      <w:rFonts w:ascii="Times New Roman" w:eastAsia="Times New Roman" w:hAnsi="Times New Roman"/>
      <w:sz w:val="24"/>
      <w:szCs w:val="20"/>
      <w:lang w:eastAsia="en-GB"/>
    </w:rPr>
  </w:style>
  <w:style w:type="paragraph" w:customStyle="1" w:styleId="RefProc">
    <w:name w:val="RefProc"/>
    <w:basedOn w:val="Standaard"/>
    <w:rsid w:val="00454B40"/>
    <w:pPr>
      <w:widowControl w:val="0"/>
      <w:spacing w:before="240" w:after="240"/>
      <w:jc w:val="right"/>
    </w:pPr>
    <w:rPr>
      <w:rFonts w:ascii="Arial" w:eastAsia="Times New Roman" w:hAnsi="Arial"/>
      <w:b/>
      <w:caps/>
      <w:sz w:val="24"/>
      <w:szCs w:val="20"/>
      <w:lang w:eastAsia="en-GB"/>
    </w:rPr>
  </w:style>
  <w:style w:type="paragraph" w:customStyle="1" w:styleId="TypeDoc">
    <w:name w:val="TypeDoc"/>
    <w:basedOn w:val="Standaard"/>
    <w:rsid w:val="00454B40"/>
    <w:pPr>
      <w:widowControl w:val="0"/>
      <w:spacing w:after="480"/>
      <w:ind w:left="1418"/>
    </w:pPr>
    <w:rPr>
      <w:rFonts w:ascii="Arial" w:eastAsia="Times New Roman" w:hAnsi="Arial"/>
      <w:b/>
      <w:sz w:val="48"/>
      <w:szCs w:val="20"/>
      <w:lang w:eastAsia="en-GB"/>
    </w:rPr>
  </w:style>
  <w:style w:type="paragraph" w:customStyle="1" w:styleId="ZDate">
    <w:name w:val="ZDate"/>
    <w:basedOn w:val="Standaard"/>
    <w:rsid w:val="00454B40"/>
    <w:pPr>
      <w:widowControl w:val="0"/>
      <w:spacing w:after="1200"/>
    </w:pPr>
    <w:rPr>
      <w:rFonts w:ascii="Times New Roman" w:eastAsia="Times New Roman" w:hAnsi="Times New Roman"/>
      <w:sz w:val="24"/>
      <w:szCs w:val="20"/>
      <w:lang w:eastAsia="en-GB"/>
    </w:rPr>
  </w:style>
  <w:style w:type="paragraph" w:customStyle="1" w:styleId="ZCommittee">
    <w:name w:val="ZCommittee"/>
    <w:basedOn w:val="Standaard"/>
    <w:next w:val="Standaard"/>
    <w:rsid w:val="00454B40"/>
    <w:pPr>
      <w:widowControl w:val="0"/>
      <w:jc w:val="center"/>
    </w:pPr>
    <w:rPr>
      <w:rFonts w:ascii="Arial" w:eastAsia="Times New Roman" w:hAnsi="Arial" w:cs="Arial"/>
      <w:i/>
      <w:sz w:val="22"/>
      <w:lang w:eastAsia="en-GB"/>
    </w:rPr>
  </w:style>
  <w:style w:type="paragraph" w:customStyle="1" w:styleId="LineTop">
    <w:name w:val="LineTop"/>
    <w:basedOn w:val="Standaard"/>
    <w:next w:val="ZCommittee"/>
    <w:rsid w:val="00454B40"/>
    <w:pPr>
      <w:widowControl w:val="0"/>
      <w:pBdr>
        <w:top w:val="single" w:sz="4" w:space="1" w:color="auto"/>
      </w:pBdr>
      <w:jc w:val="center"/>
    </w:pPr>
    <w:rPr>
      <w:rFonts w:ascii="Arial" w:eastAsia="Times New Roman" w:hAnsi="Arial"/>
      <w:sz w:val="16"/>
      <w:szCs w:val="16"/>
      <w:lang w:eastAsia="en-GB"/>
    </w:rPr>
  </w:style>
  <w:style w:type="paragraph" w:customStyle="1" w:styleId="LineBottom">
    <w:name w:val="LineBottom"/>
    <w:basedOn w:val="Standaard"/>
    <w:next w:val="Standaard"/>
    <w:rsid w:val="00454B40"/>
    <w:pPr>
      <w:widowControl w:val="0"/>
      <w:pBdr>
        <w:bottom w:val="single" w:sz="4" w:space="1" w:color="auto"/>
      </w:pBdr>
      <w:spacing w:after="840"/>
      <w:jc w:val="center"/>
    </w:pPr>
    <w:rPr>
      <w:rFonts w:ascii="Arial" w:eastAsia="Times New Roman" w:hAnsi="Arial"/>
      <w:sz w:val="16"/>
      <w:szCs w:val="16"/>
      <w:lang w:eastAsia="en-GB"/>
    </w:rPr>
  </w:style>
  <w:style w:type="paragraph" w:customStyle="1" w:styleId="EPTerm">
    <w:name w:val="EPTerm"/>
    <w:basedOn w:val="Standaard"/>
    <w:next w:val="Standaard"/>
    <w:rsid w:val="00454B40"/>
    <w:pPr>
      <w:widowControl w:val="0"/>
      <w:spacing w:after="80"/>
    </w:pPr>
    <w:rPr>
      <w:rFonts w:ascii="Arial" w:eastAsia="Times New Roman" w:hAnsi="Arial" w:cs="Arial"/>
      <w:sz w:val="20"/>
      <w:lang w:eastAsia="en-GB"/>
    </w:rPr>
  </w:style>
  <w:style w:type="paragraph" w:customStyle="1" w:styleId="EPLogo">
    <w:name w:val="EPLogo"/>
    <w:basedOn w:val="Standaard"/>
    <w:qFormat/>
    <w:rsid w:val="00454B40"/>
    <w:pPr>
      <w:widowControl w:val="0"/>
      <w:jc w:val="right"/>
    </w:pPr>
    <w:rPr>
      <w:rFonts w:ascii="Times New Roman" w:eastAsia="Times New Roman" w:hAnsi="Times New Roman"/>
      <w:sz w:val="24"/>
      <w:szCs w:val="20"/>
      <w:lang w:eastAsia="en-GB"/>
    </w:rPr>
  </w:style>
  <w:style w:type="paragraph" w:customStyle="1" w:styleId="NormalTabs">
    <w:name w:val="NormalTabs"/>
    <w:basedOn w:val="Standaard"/>
    <w:qFormat/>
    <w:rsid w:val="00454B40"/>
    <w:pPr>
      <w:widowControl w:val="0"/>
      <w:tabs>
        <w:tab w:val="center" w:pos="284"/>
        <w:tab w:val="left" w:pos="426"/>
      </w:tabs>
    </w:pPr>
    <w:rPr>
      <w:rFonts w:ascii="Times New Roman" w:eastAsia="Times New Roman" w:hAnsi="Times New Roman"/>
      <w:snapToGrid w:val="0"/>
      <w:sz w:val="24"/>
      <w:szCs w:val="20"/>
    </w:rPr>
  </w:style>
  <w:style w:type="paragraph" w:customStyle="1" w:styleId="RollCallSubtitle">
    <w:name w:val="RollCallSubtitle"/>
    <w:basedOn w:val="Standaard"/>
    <w:qFormat/>
    <w:rsid w:val="00454B40"/>
    <w:pPr>
      <w:widowControl w:val="0"/>
      <w:spacing w:after="240"/>
    </w:pPr>
    <w:rPr>
      <w:rFonts w:ascii="Times New Roman" w:eastAsia="Times New Roman" w:hAnsi="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header" Target="header2.xml" Id="rId16"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image" Target="media/image3.png" Id="rId15" /><Relationship Type="http://schemas.openxmlformats.org/officeDocument/2006/relationships/webSettings" Target="webSettings.xml" Id="rId10" /><Relationship Type="http://schemas.openxmlformats.org/officeDocument/2006/relationships/theme" Target="theme/theme1.xml" Id="rId19"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www.europarl.europa.eu/RegData/etudes/IDAN/2017/583117/uIPOL_IDA(2017)583117_EN.pdf" TargetMode="External"/><Relationship Id="rId2" Type="http://schemas.openxmlformats.org/officeDocument/2006/relationships/hyperlink" Target="http://www.europarl.europa.eu/RegData/etudes/IDAN/2015/510002/IPOL_IDA(2015)510002_EN.pdf" TargetMode="External"/><Relationship Id="rId1" Type="http://schemas.openxmlformats.org/officeDocument/2006/relationships/hyperlink" Target="http://www.europarl.europa.eu/RegData/etudes/note/join/2011/432760/IPOL-AFCO_NT(2011)432760_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24</ap:Pages>
  <ap:Words>5411</ap:Words>
  <ap:Characters>31540</ap:Characters>
  <ap:DocSecurity>4</ap:DocSecurity>
  <ap:Lines>262</ap:Lines>
  <ap:Paragraphs>73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36878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2018-01-17T10:52:00.0000000Z</lastPrinted>
  <dcterms:created xsi:type="dcterms:W3CDTF">2018-02-05T19:05:00.0000000Z</dcterms:created>
  <dcterms:modified xsi:type="dcterms:W3CDTF">2018-02-05T19:05:00.0000000Z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0x010100D2B926B0928C1545A9BF6ED857168A07</vt:lpwstr>
  </property>
</Properties>
</file>