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65" w:rsidP="00DD2FA3" w:rsidRDefault="00460465" w14:paraId="67C87D28" w14:textId="77777777">
      <w:pPr>
        <w:jc w:val="center"/>
        <w:outlineLvl w:val="0"/>
        <w:rPr>
          <w:b/>
          <w:lang w:val="nl-NL"/>
        </w:rPr>
      </w:pPr>
      <w:r w:rsidRPr="00460465">
        <w:rPr>
          <w:b/>
          <w:lang w:val="nl-NL"/>
        </w:rPr>
        <w:t>Position Paper ten behoeve van het rondetafelgesprek over de marktdominante van</w:t>
      </w:r>
    </w:p>
    <w:p w:rsidRPr="00460465" w:rsidR="00557215" w:rsidP="007E387A" w:rsidRDefault="00460465" w14:paraId="042C10FE" w14:textId="6C16AAEB">
      <w:pPr>
        <w:jc w:val="center"/>
        <w:rPr>
          <w:i/>
          <w:lang w:val="nl-NL"/>
        </w:rPr>
      </w:pPr>
      <w:r w:rsidRPr="00460465">
        <w:rPr>
          <w:b/>
          <w:lang w:val="nl-NL"/>
        </w:rPr>
        <w:t>internet- en technologiebedrijven</w:t>
      </w:r>
      <w:r w:rsidR="006A43D9">
        <w:rPr>
          <w:b/>
          <w:lang w:val="nl-NL"/>
        </w:rPr>
        <w:t xml:space="preserve"> –</w:t>
      </w:r>
      <w:r w:rsidR="006A43D9">
        <w:rPr>
          <w:lang w:val="nl-NL"/>
        </w:rPr>
        <w:t xml:space="preserve"> </w:t>
      </w:r>
      <w:r w:rsidRPr="00460465">
        <w:rPr>
          <w:i/>
          <w:lang w:val="nl-NL"/>
        </w:rPr>
        <w:t>Hans Vedder</w:t>
      </w:r>
      <w:r>
        <w:rPr>
          <w:rStyle w:val="Voetnootmarkering"/>
          <w:i/>
          <w:lang w:val="nl-NL"/>
        </w:rPr>
        <w:footnoteReference w:customMarkFollows="1" w:id="1"/>
        <w:t>*</w:t>
      </w:r>
    </w:p>
    <w:p w:rsidR="00EF3BC0" w:rsidP="007E387A" w:rsidRDefault="00EF3BC0" w14:paraId="0B5108D0" w14:textId="349BD403">
      <w:pPr>
        <w:jc w:val="both"/>
        <w:rPr>
          <w:lang w:val="nl-NL"/>
        </w:rPr>
      </w:pPr>
      <w:r>
        <w:rPr>
          <w:lang w:val="nl-NL"/>
        </w:rPr>
        <w:t>De</w:t>
      </w:r>
      <w:r w:rsidR="00971850">
        <w:rPr>
          <w:lang w:val="nl-NL"/>
        </w:rPr>
        <w:t>, gelet op het onderwerp van dit rondetafelgesprek,</w:t>
      </w:r>
      <w:r>
        <w:rPr>
          <w:lang w:val="nl-NL"/>
        </w:rPr>
        <w:t xml:space="preserve"> meest relevante mededingingsregels </w:t>
      </w:r>
      <w:r w:rsidR="006A43D9">
        <w:rPr>
          <w:lang w:val="nl-NL"/>
        </w:rPr>
        <w:t>zijn</w:t>
      </w:r>
      <w:r>
        <w:rPr>
          <w:lang w:val="nl-NL"/>
        </w:rPr>
        <w:t xml:space="preserve"> het verbod van misbruik van een machtspositie en het concentratietoezicht.</w:t>
      </w:r>
      <w:r w:rsidR="00CA7EB4">
        <w:rPr>
          <w:rStyle w:val="Voetnootmarkering"/>
          <w:lang w:val="nl-NL"/>
        </w:rPr>
        <w:footnoteReference w:id="2"/>
      </w:r>
    </w:p>
    <w:p w:rsidRPr="00C23A68" w:rsidR="00CA7EB4" w:rsidP="00DD2FA3" w:rsidRDefault="00C23A68" w14:paraId="3ECBDA4C" w14:textId="77777777">
      <w:pPr>
        <w:jc w:val="both"/>
        <w:outlineLvl w:val="0"/>
        <w:rPr>
          <w:i/>
          <w:lang w:val="nl-NL"/>
        </w:rPr>
      </w:pPr>
      <w:r w:rsidRPr="00C23A68">
        <w:rPr>
          <w:i/>
          <w:lang w:val="nl-NL"/>
        </w:rPr>
        <w:t xml:space="preserve">De meer economische benadering en </w:t>
      </w:r>
      <w:r>
        <w:rPr>
          <w:i/>
          <w:lang w:val="nl-NL"/>
        </w:rPr>
        <w:t>kleinere spelers op</w:t>
      </w:r>
      <w:r w:rsidRPr="00C23A68">
        <w:rPr>
          <w:i/>
          <w:lang w:val="nl-NL"/>
        </w:rPr>
        <w:t xml:space="preserve"> digitale markten</w:t>
      </w:r>
    </w:p>
    <w:p w:rsidR="00F00DE1" w:rsidP="007E387A" w:rsidRDefault="0037143E" w14:paraId="00D97C21" w14:textId="6E6CB1C1">
      <w:pPr>
        <w:jc w:val="both"/>
        <w:rPr>
          <w:lang w:val="nl-NL"/>
        </w:rPr>
      </w:pPr>
      <w:r>
        <w:rPr>
          <w:lang w:val="nl-NL"/>
        </w:rPr>
        <w:t>Uw vragen betreffen een deel van het mededingingsrecht dat sterk in beweging is</w:t>
      </w:r>
      <w:r w:rsidR="00F00DE1">
        <w:rPr>
          <w:lang w:val="nl-NL"/>
        </w:rPr>
        <w:t xml:space="preserve"> en de toepassing ervan op een economische sector waar </w:t>
      </w:r>
      <w:r>
        <w:rPr>
          <w:lang w:val="nl-NL"/>
        </w:rPr>
        <w:t xml:space="preserve">weinig eerdere </w:t>
      </w:r>
      <w:r w:rsidR="00F00DE1">
        <w:rPr>
          <w:lang w:val="nl-NL"/>
        </w:rPr>
        <w:t>toepassings</w:t>
      </w:r>
      <w:r>
        <w:rPr>
          <w:lang w:val="nl-NL"/>
        </w:rPr>
        <w:t>ervaring is, en de</w:t>
      </w:r>
      <w:r w:rsidR="00F00DE1">
        <w:rPr>
          <w:lang w:val="nl-NL"/>
        </w:rPr>
        <w:t xml:space="preserve"> onzekere</w:t>
      </w:r>
      <w:r>
        <w:rPr>
          <w:lang w:val="nl-NL"/>
        </w:rPr>
        <w:t xml:space="preserve"> dynamiek een extra grote invloed heeft.</w:t>
      </w:r>
      <w:r w:rsidR="00EF3BC0">
        <w:rPr>
          <w:lang w:val="nl-NL"/>
        </w:rPr>
        <w:t xml:space="preserve"> </w:t>
      </w:r>
      <w:r w:rsidR="00F00DE1">
        <w:rPr>
          <w:lang w:val="nl-NL"/>
        </w:rPr>
        <w:t xml:space="preserve">Zo is de marktmacht van </w:t>
      </w:r>
      <w:r w:rsidR="00F00DE1">
        <w:rPr>
          <w:lang w:val="nl-NL"/>
        </w:rPr>
        <w:t xml:space="preserve">internetondernemingen als Google en Facebook </w:t>
      </w:r>
      <w:r w:rsidR="00F00DE1">
        <w:rPr>
          <w:lang w:val="nl-NL"/>
        </w:rPr>
        <w:t xml:space="preserve">niet onomstreden. De significante netwerkeffecten voor de door deze bedrijven geleverde diensten wijzen op aanzienlijke </w:t>
      </w:r>
      <w:r w:rsidR="00A34700">
        <w:rPr>
          <w:lang w:val="nl-NL"/>
        </w:rPr>
        <w:t>toetreding barrières</w:t>
      </w:r>
      <w:r w:rsidR="00F00DE1">
        <w:rPr>
          <w:lang w:val="nl-NL"/>
        </w:rPr>
        <w:t xml:space="preserve"> tot digitale markten en dus marktmacht voor grote ondernemingen. Anderzijds bestaat voor veel van deze digitale diensten een offline equivalent.</w:t>
      </w:r>
    </w:p>
    <w:p w:rsidR="0037143E" w:rsidP="007E387A" w:rsidRDefault="00F00DE1" w14:paraId="2D825B12" w14:textId="5B322DBB">
      <w:pPr>
        <w:jc w:val="both"/>
        <w:rPr>
          <w:lang w:val="nl-NL"/>
        </w:rPr>
      </w:pPr>
      <w:r>
        <w:rPr>
          <w:lang w:val="nl-NL"/>
        </w:rPr>
        <w:t>Inzake</w:t>
      </w:r>
      <w:r w:rsidR="00EF3BC0">
        <w:rPr>
          <w:lang w:val="nl-NL"/>
        </w:rPr>
        <w:t xml:space="preserve"> de toepassing van het verbod op misbruik van een machtspositie</w:t>
      </w:r>
      <w:r>
        <w:rPr>
          <w:lang w:val="nl-NL"/>
        </w:rPr>
        <w:t xml:space="preserve"> en de positie van kleinere spelers verdient de </w:t>
      </w:r>
      <w:r w:rsidR="00EF3BC0">
        <w:rPr>
          <w:lang w:val="nl-NL"/>
        </w:rPr>
        <w:t>zogeheten ‘meer economische benadering’</w:t>
      </w:r>
      <w:r>
        <w:rPr>
          <w:lang w:val="nl-NL"/>
        </w:rPr>
        <w:t xml:space="preserve"> meer aandacht</w:t>
      </w:r>
      <w:r w:rsidR="00EF3BC0">
        <w:rPr>
          <w:lang w:val="nl-NL"/>
        </w:rPr>
        <w:t xml:space="preserve">. </w:t>
      </w:r>
      <w:r>
        <w:rPr>
          <w:lang w:val="nl-NL"/>
        </w:rPr>
        <w:t xml:space="preserve">Deze benadering </w:t>
      </w:r>
      <w:r w:rsidR="00EF3BC0">
        <w:rPr>
          <w:lang w:val="nl-NL"/>
        </w:rPr>
        <w:t>komt er</w:t>
      </w:r>
      <w:r w:rsidR="005A264D">
        <w:rPr>
          <w:lang w:val="nl-NL"/>
        </w:rPr>
        <w:t xml:space="preserve"> volgens de </w:t>
      </w:r>
      <w:r w:rsidR="005A264D">
        <w:rPr>
          <w:lang w:val="nl-NL"/>
        </w:rPr>
        <w:t xml:space="preserve">Europese </w:t>
      </w:r>
      <w:r w:rsidR="005A264D">
        <w:rPr>
          <w:lang w:val="nl-NL"/>
        </w:rPr>
        <w:t xml:space="preserve">Commissie </w:t>
      </w:r>
      <w:r w:rsidR="00EF3BC0">
        <w:rPr>
          <w:lang w:val="nl-NL"/>
        </w:rPr>
        <w:t>op neer dat voor ingrijpen op grond van het misbruikverbod</w:t>
      </w:r>
      <w:r w:rsidR="007E387A">
        <w:rPr>
          <w:lang w:val="nl-NL"/>
        </w:rPr>
        <w:t xml:space="preserve"> alleen ruimte is als er negatieve effecten op de consumentenwelvaart zijn</w:t>
      </w:r>
      <w:r w:rsidR="005A264D">
        <w:rPr>
          <w:lang w:val="nl-NL"/>
        </w:rPr>
        <w:t xml:space="preserve"> doordat even efficiëntie concurrenten worden uitgesloten</w:t>
      </w:r>
      <w:r>
        <w:rPr>
          <w:lang w:val="nl-NL"/>
        </w:rPr>
        <w:t xml:space="preserve"> van de markt</w:t>
      </w:r>
      <w:r w:rsidR="007E387A">
        <w:rPr>
          <w:lang w:val="nl-NL"/>
        </w:rPr>
        <w:t xml:space="preserve">. Dit is van groot belang voor digitale markten, waar netwerkeffecten </w:t>
      </w:r>
      <w:r w:rsidR="006A43D9">
        <w:rPr>
          <w:lang w:val="nl-NL"/>
        </w:rPr>
        <w:t>essentieel</w:t>
      </w:r>
      <w:r w:rsidR="007E387A">
        <w:rPr>
          <w:lang w:val="nl-NL"/>
        </w:rPr>
        <w:t xml:space="preserve"> zijn voor de waarde en marktmacht van ondernemingen en deze marktmacht ten koste kan gaan van de concurrentie</w:t>
      </w:r>
      <w:r w:rsidR="005A264D">
        <w:rPr>
          <w:lang w:val="nl-NL"/>
        </w:rPr>
        <w:t>druk</w:t>
      </w:r>
      <w:r w:rsidR="007E387A">
        <w:rPr>
          <w:lang w:val="nl-NL"/>
        </w:rPr>
        <w:t xml:space="preserve"> die uitgaat van kleinere spelers, terwijl consumenten niet direct benadeeld worden. </w:t>
      </w:r>
      <w:r w:rsidR="007A274C">
        <w:rPr>
          <w:lang w:val="nl-NL"/>
        </w:rPr>
        <w:t>Dit speelde ook in</w:t>
      </w:r>
      <w:r w:rsidR="007E387A">
        <w:rPr>
          <w:lang w:val="nl-NL"/>
        </w:rPr>
        <w:t xml:space="preserve"> de recent door het Hof beoordeelde </w:t>
      </w:r>
      <w:hyperlink w:history="1" r:id="rId8">
        <w:r w:rsidRPr="00A34700" w:rsidR="007E387A">
          <w:rPr>
            <w:rStyle w:val="Hyperlink"/>
            <w:i/>
            <w:lang w:val="nl-NL"/>
          </w:rPr>
          <w:t>Intel</w:t>
        </w:r>
      </w:hyperlink>
      <w:r w:rsidR="007E387A">
        <w:rPr>
          <w:lang w:val="nl-NL"/>
        </w:rPr>
        <w:t>-zaak</w:t>
      </w:r>
      <w:r w:rsidR="007A274C">
        <w:rPr>
          <w:lang w:val="nl-NL"/>
        </w:rPr>
        <w:t>. Daarin stond</w:t>
      </w:r>
      <w:r w:rsidR="007E387A">
        <w:rPr>
          <w:lang w:val="nl-NL"/>
        </w:rPr>
        <w:t xml:space="preserve"> de vraag centraal </w:t>
      </w:r>
      <w:r w:rsidR="007A274C">
        <w:rPr>
          <w:lang w:val="nl-NL"/>
        </w:rPr>
        <w:t xml:space="preserve">of </w:t>
      </w:r>
      <w:r w:rsidR="007E387A">
        <w:rPr>
          <w:lang w:val="nl-NL"/>
        </w:rPr>
        <w:t xml:space="preserve">een korting die door Intel werd gegeven aan computerfabrikanten in ruil voor </w:t>
      </w:r>
      <w:r w:rsidR="00045889">
        <w:rPr>
          <w:lang w:val="nl-NL"/>
        </w:rPr>
        <w:t xml:space="preserve">het </w:t>
      </w:r>
      <w:r w:rsidR="00BB745D">
        <w:rPr>
          <w:lang w:val="nl-NL"/>
        </w:rPr>
        <w:t>(</w:t>
      </w:r>
      <w:r w:rsidR="00045889">
        <w:rPr>
          <w:lang w:val="nl-NL"/>
        </w:rPr>
        <w:t>bijna</w:t>
      </w:r>
      <w:r w:rsidR="00BB745D">
        <w:rPr>
          <w:lang w:val="nl-NL"/>
        </w:rPr>
        <w:t>)</w:t>
      </w:r>
      <w:r w:rsidR="00045889">
        <w:rPr>
          <w:lang w:val="nl-NL"/>
        </w:rPr>
        <w:t xml:space="preserve"> exclusief gebruik van Intel </w:t>
      </w:r>
      <w:r w:rsidR="00B44D53">
        <w:rPr>
          <w:lang w:val="nl-NL"/>
        </w:rPr>
        <w:t>CPU’s</w:t>
      </w:r>
      <w:r w:rsidR="00045889">
        <w:rPr>
          <w:lang w:val="nl-NL"/>
        </w:rPr>
        <w:t xml:space="preserve"> ten nadele van AMD microprocessoren, </w:t>
      </w:r>
      <w:r w:rsidR="00C23A68">
        <w:rPr>
          <w:lang w:val="nl-NL"/>
        </w:rPr>
        <w:t xml:space="preserve">als zodanig </w:t>
      </w:r>
      <w:r w:rsidR="00045889">
        <w:rPr>
          <w:lang w:val="nl-NL"/>
        </w:rPr>
        <w:t>misbruik oplevert</w:t>
      </w:r>
      <w:r w:rsidR="005A264D">
        <w:rPr>
          <w:lang w:val="nl-NL"/>
        </w:rPr>
        <w:t xml:space="preserve">, terwijl de kortingen wel </w:t>
      </w:r>
      <w:r w:rsidR="007A274C">
        <w:rPr>
          <w:lang w:val="nl-NL"/>
        </w:rPr>
        <w:t xml:space="preserve">kunnen </w:t>
      </w:r>
      <w:r w:rsidR="005A264D">
        <w:rPr>
          <w:lang w:val="nl-NL"/>
        </w:rPr>
        <w:t>resulteren in lagere prijzen</w:t>
      </w:r>
      <w:r w:rsidR="00045889">
        <w:rPr>
          <w:lang w:val="nl-NL"/>
        </w:rPr>
        <w:t>. De onduidelijkheid over status van de meer economische benadering – dit arrest wordt zeer verschillend geïnterpreteerd</w:t>
      </w:r>
      <w:r w:rsidR="00045889">
        <w:rPr>
          <w:rStyle w:val="Voetnootmarkering"/>
          <w:lang w:val="nl-NL"/>
        </w:rPr>
        <w:footnoteReference w:id="3"/>
      </w:r>
      <w:r w:rsidR="00045889">
        <w:rPr>
          <w:lang w:val="nl-NL"/>
        </w:rPr>
        <w:t xml:space="preserve"> – zal van invloed zijn op de toepassing van het misbruikverbod in digitale markten. </w:t>
      </w:r>
      <w:r>
        <w:rPr>
          <w:lang w:val="nl-NL"/>
        </w:rPr>
        <w:t xml:space="preserve">De recente </w:t>
      </w:r>
      <w:hyperlink w:history="1" r:id="rId9">
        <w:r w:rsidRPr="00A34700">
          <w:rPr>
            <w:rStyle w:val="Hyperlink"/>
            <w:i/>
            <w:lang w:val="nl-NL"/>
          </w:rPr>
          <w:t>Google Shopping</w:t>
        </w:r>
      </w:hyperlink>
      <w:r>
        <w:rPr>
          <w:lang w:val="nl-NL"/>
        </w:rPr>
        <w:t xml:space="preserve"> zaak bevat bijvoorbeeld geen analyse van de efficiëntie effecten.</w:t>
      </w:r>
    </w:p>
    <w:p w:rsidR="006E74D7" w:rsidP="007E387A" w:rsidRDefault="006E74D7" w14:paraId="7CEC839F" w14:textId="290B2C52">
      <w:pPr>
        <w:jc w:val="both"/>
        <w:rPr>
          <w:lang w:val="nl-NL"/>
        </w:rPr>
      </w:pPr>
      <w:r>
        <w:rPr>
          <w:lang w:val="nl-NL"/>
        </w:rPr>
        <w:t xml:space="preserve">Het antwoord op uw eerste </w:t>
      </w:r>
      <w:r w:rsidR="001219DE">
        <w:rPr>
          <w:lang w:val="nl-NL"/>
        </w:rPr>
        <w:t>vraag kan ik niet direct geven</w:t>
      </w:r>
      <w:r>
        <w:rPr>
          <w:lang w:val="nl-NL"/>
        </w:rPr>
        <w:t xml:space="preserve">, maar het is duidelijk dat het mededingingsrecht wordt toegepast op gevallen waarin (grote) internet ondernemingen kleinere spelers inlijven (zoals in de </w:t>
      </w:r>
      <w:hyperlink w:history="1" r:id="rId10">
        <w:r w:rsidRPr="00A34700">
          <w:rPr>
            <w:rStyle w:val="Hyperlink"/>
            <w:i/>
            <w:lang w:val="nl-NL"/>
          </w:rPr>
          <w:t>Microsoft/Skype</w:t>
        </w:r>
      </w:hyperlink>
      <w:r>
        <w:rPr>
          <w:lang w:val="nl-NL"/>
        </w:rPr>
        <w:t xml:space="preserve"> overname of </w:t>
      </w:r>
      <w:hyperlink w:history="1" r:id="rId11">
        <w:r w:rsidR="00275230">
          <w:rPr>
            <w:rStyle w:val="Hyperlink"/>
            <w:i/>
            <w:lang w:val="nl-NL"/>
          </w:rPr>
          <w:t>Facebook/WhatsApp</w:t>
        </w:r>
      </w:hyperlink>
      <w:bookmarkStart w:name="_GoBack" w:id="0"/>
      <w:bookmarkEnd w:id="0"/>
      <w:r>
        <w:rPr>
          <w:lang w:val="nl-NL"/>
        </w:rPr>
        <w:t xml:space="preserve"> overname) of van de markt trachten te verdrijven (</w:t>
      </w:r>
      <w:r w:rsidRPr="006E74D7">
        <w:rPr>
          <w:i/>
          <w:lang w:val="nl-NL"/>
        </w:rPr>
        <w:t>Google shopping</w:t>
      </w:r>
      <w:r>
        <w:rPr>
          <w:lang w:val="nl-NL"/>
        </w:rPr>
        <w:t>)</w:t>
      </w:r>
      <w:r w:rsidR="00CA7EB4">
        <w:rPr>
          <w:lang w:val="nl-NL"/>
        </w:rPr>
        <w:t xml:space="preserve">. </w:t>
      </w:r>
      <w:r w:rsidR="00F00DE1">
        <w:rPr>
          <w:lang w:val="nl-NL"/>
        </w:rPr>
        <w:t>D</w:t>
      </w:r>
      <w:r w:rsidR="00CA7EB4">
        <w:rPr>
          <w:lang w:val="nl-NL"/>
        </w:rPr>
        <w:t xml:space="preserve">e onzekerheid over de meer economische benadering </w:t>
      </w:r>
      <w:r w:rsidR="00F00DE1">
        <w:rPr>
          <w:lang w:val="nl-NL"/>
        </w:rPr>
        <w:t>resulteert in de vraag in</w:t>
      </w:r>
      <w:r w:rsidR="00CA7EB4">
        <w:rPr>
          <w:lang w:val="nl-NL"/>
        </w:rPr>
        <w:t xml:space="preserve"> hoeverre schade aan de consumentenwelvaart bewezen moet worden. Dit laatste blijkt een relatief complexe aangelegenheid (in </w:t>
      </w:r>
      <w:hyperlink w:history="1" r:id="rId12">
        <w:r w:rsidRPr="0019548B" w:rsidR="00CA7EB4">
          <w:rPr>
            <w:rStyle w:val="Hyperlink"/>
            <w:i/>
            <w:lang w:val="nl-NL"/>
          </w:rPr>
          <w:t>Intel</w:t>
        </w:r>
      </w:hyperlink>
      <w:r w:rsidR="00CA7EB4">
        <w:rPr>
          <w:lang w:val="nl-NL"/>
        </w:rPr>
        <w:t xml:space="preserve"> vergt dit meer dan 150 </w:t>
      </w:r>
      <w:r w:rsidR="00CA7EB4">
        <w:rPr>
          <w:lang w:val="nl-NL"/>
        </w:rPr>
        <w:lastRenderedPageBreak/>
        <w:t xml:space="preserve">pagina’s) </w:t>
      </w:r>
      <w:r w:rsidR="008539B3">
        <w:rPr>
          <w:lang w:val="nl-NL"/>
        </w:rPr>
        <w:t>met de aanname dat dit za</w:t>
      </w:r>
      <w:r w:rsidR="00CA7EB4">
        <w:rPr>
          <w:lang w:val="nl-NL"/>
        </w:rPr>
        <w:t>l leiden tot hogere handhavingskosten. Deze hogere kosten kunnen leiden tot een verminderde prikkel het misbruikverbod te handhaven in dergelijke zaken. Zeker bij meerzijdige platform</w:t>
      </w:r>
      <w:r w:rsidR="001219DE">
        <w:rPr>
          <w:lang w:val="nl-NL"/>
        </w:rPr>
        <w:t>s</w:t>
      </w:r>
      <w:r w:rsidR="00CA7EB4">
        <w:rPr>
          <w:lang w:val="nl-NL"/>
        </w:rPr>
        <w:t xml:space="preserve">, waar welvaartseffecten op beide markten moeten worden afgewogen, </w:t>
      </w:r>
      <w:r w:rsidR="00C23A68">
        <w:rPr>
          <w:lang w:val="nl-NL"/>
        </w:rPr>
        <w:t xml:space="preserve">zal dit een complexe </w:t>
      </w:r>
      <w:r w:rsidR="00B44D53">
        <w:rPr>
          <w:lang w:val="nl-NL"/>
        </w:rPr>
        <w:t>aangelegenheid</w:t>
      </w:r>
      <w:r w:rsidR="00C23A68">
        <w:rPr>
          <w:lang w:val="nl-NL"/>
        </w:rPr>
        <w:t xml:space="preserve"> zijn waar onzekere consumentenvoorkeuren</w:t>
      </w:r>
      <w:r w:rsidR="008539B3">
        <w:rPr>
          <w:rStyle w:val="Voetnootmarkering"/>
          <w:lang w:val="nl-NL"/>
        </w:rPr>
        <w:footnoteReference w:id="4"/>
      </w:r>
      <w:r w:rsidR="006A43D9">
        <w:rPr>
          <w:lang w:val="nl-NL"/>
        </w:rPr>
        <w:t xml:space="preserve"> ten aanzien van innov</w:t>
      </w:r>
      <w:r w:rsidR="008539B3">
        <w:rPr>
          <w:lang w:val="nl-NL"/>
        </w:rPr>
        <w:t>atie, keuzevrijheid, en product</w:t>
      </w:r>
      <w:r w:rsidR="006A43D9">
        <w:rPr>
          <w:lang w:val="nl-NL"/>
        </w:rPr>
        <w:t xml:space="preserve"> </w:t>
      </w:r>
      <w:r w:rsidR="00A34700">
        <w:rPr>
          <w:lang w:val="nl-NL"/>
        </w:rPr>
        <w:t>efficiëntie</w:t>
      </w:r>
      <w:r w:rsidR="00C23A68">
        <w:rPr>
          <w:lang w:val="nl-NL"/>
        </w:rPr>
        <w:t xml:space="preserve"> </w:t>
      </w:r>
      <w:r w:rsidR="008539B3">
        <w:rPr>
          <w:lang w:val="nl-NL"/>
        </w:rPr>
        <w:t>onderling afgewogen moeten worden,</w:t>
      </w:r>
      <w:r w:rsidRPr="006A43D9" w:rsidR="006A43D9">
        <w:rPr>
          <w:vertAlign w:val="superscript"/>
          <w:lang w:val="nl-NL"/>
        </w:rPr>
        <w:footnoteReference w:id="5"/>
      </w:r>
      <w:r w:rsidR="008539B3">
        <w:rPr>
          <w:lang w:val="nl-NL"/>
        </w:rPr>
        <w:t xml:space="preserve"> waarna ze afgewogen worden tegen de effecten op de marktpositie van concurrenten.</w:t>
      </w:r>
      <w:r w:rsidR="00C23A68">
        <w:rPr>
          <w:lang w:val="nl-NL"/>
        </w:rPr>
        <w:t xml:space="preserve"> </w:t>
      </w:r>
    </w:p>
    <w:p w:rsidRPr="00C23A68" w:rsidR="00460465" w:rsidP="00DD2FA3" w:rsidRDefault="00C23A68" w14:paraId="188272E9" w14:textId="77777777">
      <w:pPr>
        <w:jc w:val="both"/>
        <w:outlineLvl w:val="0"/>
        <w:rPr>
          <w:i/>
          <w:lang w:val="nl-NL"/>
        </w:rPr>
      </w:pPr>
      <w:r w:rsidRPr="00C23A68">
        <w:rPr>
          <w:i/>
          <w:lang w:val="nl-NL"/>
        </w:rPr>
        <w:t>V</w:t>
      </w:r>
      <w:r w:rsidRPr="00C23A68" w:rsidR="00460465">
        <w:rPr>
          <w:i/>
          <w:lang w:val="nl-NL"/>
        </w:rPr>
        <w:t xml:space="preserve">rije meningsuiting </w:t>
      </w:r>
      <w:r w:rsidRPr="00C23A68">
        <w:rPr>
          <w:i/>
          <w:lang w:val="nl-NL"/>
        </w:rPr>
        <w:t>en kwaliteit van internetdiensten</w:t>
      </w:r>
    </w:p>
    <w:p w:rsidRPr="00460465" w:rsidR="00C23A68" w:rsidP="007E387A" w:rsidRDefault="00C23A68" w14:paraId="5F7F09C4" w14:textId="2F132BB4">
      <w:pPr>
        <w:jc w:val="both"/>
        <w:rPr>
          <w:lang w:val="nl-NL"/>
        </w:rPr>
      </w:pPr>
      <w:r>
        <w:rPr>
          <w:lang w:val="nl-NL"/>
        </w:rPr>
        <w:t>Uw tweede vraag vergt ook weer empirische gegevens die ik niet ken. Ik zie geen direct verband tussen dominantie van platfo</w:t>
      </w:r>
      <w:r w:rsidR="00BB745D">
        <w:rPr>
          <w:lang w:val="nl-NL"/>
        </w:rPr>
        <w:t>r</w:t>
      </w:r>
      <w:r>
        <w:rPr>
          <w:lang w:val="nl-NL"/>
        </w:rPr>
        <w:t>ms en vrije meningsuiting.</w:t>
      </w:r>
      <w:r w:rsidR="0038264E">
        <w:rPr>
          <w:lang w:val="nl-NL"/>
        </w:rPr>
        <w:t xml:space="preserve"> Wellicht bestaat er wel een verband tussen platforms en pluriformiteit van de pers.</w:t>
      </w:r>
      <w:r w:rsidR="0038264E">
        <w:rPr>
          <w:rStyle w:val="Voetnootmarkering"/>
          <w:lang w:val="nl-NL"/>
        </w:rPr>
        <w:footnoteReference w:id="6"/>
      </w:r>
      <w:r>
        <w:rPr>
          <w:lang w:val="nl-NL"/>
        </w:rPr>
        <w:t xml:space="preserve"> Filterbubbels en filtering door platforms is mogelijk onafhankelijk van dominantie en de platforms hebben geen prikkel tot filtering </w:t>
      </w:r>
      <w:r w:rsidR="00381C8C">
        <w:rPr>
          <w:lang w:val="nl-NL"/>
        </w:rPr>
        <w:t>tenzij het gebrek aan filtering ten koste gaat van de waarde van het platform</w:t>
      </w:r>
      <w:r>
        <w:rPr>
          <w:lang w:val="nl-NL"/>
        </w:rPr>
        <w:t>.</w:t>
      </w:r>
      <w:r w:rsidR="00381C8C">
        <w:rPr>
          <w:rStyle w:val="Voetnootmarkering"/>
          <w:lang w:val="nl-NL"/>
        </w:rPr>
        <w:footnoteReference w:id="7"/>
      </w:r>
      <w:r w:rsidR="00381C8C">
        <w:rPr>
          <w:lang w:val="nl-NL"/>
        </w:rPr>
        <w:t xml:space="preserve"> De platforms hebben wel een prikkel tot het zoveel mogelijk monetariseren van de informatie die zij vergaren. Zij kunnen hun marktmacht uitbuiten door het leveren van diensten met </w:t>
      </w:r>
      <w:r w:rsidR="008539B3">
        <w:rPr>
          <w:lang w:val="nl-NL"/>
        </w:rPr>
        <w:t>ondermaatse</w:t>
      </w:r>
      <w:r w:rsidR="00381C8C">
        <w:rPr>
          <w:lang w:val="nl-NL"/>
        </w:rPr>
        <w:t xml:space="preserve"> bescherming van persoonsgegevens, zoals in de </w:t>
      </w:r>
      <w:hyperlink w:history="1" r:id="rId13">
        <w:r w:rsidRPr="0019548B" w:rsidR="00381C8C">
          <w:rPr>
            <w:rStyle w:val="Hyperlink"/>
            <w:i/>
            <w:lang w:val="nl-NL"/>
          </w:rPr>
          <w:t>Facebook</w:t>
        </w:r>
      </w:hyperlink>
      <w:r w:rsidR="00381C8C">
        <w:rPr>
          <w:lang w:val="nl-NL"/>
        </w:rPr>
        <w:t xml:space="preserve">-zaak van het </w:t>
      </w:r>
      <w:r w:rsidRPr="00381C8C" w:rsidR="00381C8C">
        <w:rPr>
          <w:i/>
          <w:lang w:val="nl-NL"/>
        </w:rPr>
        <w:t>Bundeskartellamt</w:t>
      </w:r>
      <w:r w:rsidR="00381C8C">
        <w:rPr>
          <w:lang w:val="nl-NL"/>
        </w:rPr>
        <w:t>.</w:t>
      </w:r>
    </w:p>
    <w:p w:rsidRPr="0038264E" w:rsidR="00381C8C" w:rsidP="00DD2FA3" w:rsidRDefault="00381C8C" w14:paraId="27A69C17" w14:textId="77777777">
      <w:pPr>
        <w:jc w:val="both"/>
        <w:outlineLvl w:val="0"/>
        <w:rPr>
          <w:i/>
          <w:lang w:val="nl-NL"/>
        </w:rPr>
      </w:pPr>
      <w:r w:rsidRPr="0038264E">
        <w:rPr>
          <w:i/>
          <w:lang w:val="nl-NL"/>
        </w:rPr>
        <w:t>Uitdagingen voor mededingingsautoriteiten</w:t>
      </w:r>
      <w:r w:rsidR="005B6A60">
        <w:rPr>
          <w:i/>
          <w:lang w:val="nl-NL"/>
        </w:rPr>
        <w:t xml:space="preserve"> en het Rijk</w:t>
      </w:r>
    </w:p>
    <w:p w:rsidR="005B6A60" w:rsidP="007E387A" w:rsidRDefault="00381C8C" w14:paraId="601C80AA" w14:textId="4AA0D964">
      <w:pPr>
        <w:jc w:val="both"/>
        <w:rPr>
          <w:lang w:val="nl-NL"/>
        </w:rPr>
      </w:pPr>
      <w:r>
        <w:rPr>
          <w:lang w:val="nl-NL"/>
        </w:rPr>
        <w:t>De thans aanhangige zaken bij de Commissie en nationale mededingingsautoriteiten laten zien</w:t>
      </w:r>
      <w:r w:rsidR="008539B3">
        <w:rPr>
          <w:lang w:val="nl-NL"/>
        </w:rPr>
        <w:t xml:space="preserve"> dat mededingingsautoriteiten in </w:t>
      </w:r>
      <w:r w:rsidR="00A34700">
        <w:rPr>
          <w:lang w:val="nl-NL"/>
        </w:rPr>
        <w:t>voldoende</w:t>
      </w:r>
      <w:r w:rsidR="008539B3">
        <w:rPr>
          <w:lang w:val="nl-NL"/>
        </w:rPr>
        <w:t xml:space="preserve"> toegerust zijn</w:t>
      </w:r>
      <w:r>
        <w:rPr>
          <w:lang w:val="nl-NL"/>
        </w:rPr>
        <w:t xml:space="preserve">. De marktvorm (oligopolie, duopolie of monopolie) maakt daarvoor niet uit. Het is wel zo dat </w:t>
      </w:r>
      <w:r w:rsidR="0038264E">
        <w:rPr>
          <w:lang w:val="nl-NL"/>
        </w:rPr>
        <w:t>in dit soort markten meer complexe marktanalyses moeten plaatsvinden die weer tot hogere handhavingskoste</w:t>
      </w:r>
      <w:r w:rsidR="005B6A60">
        <w:rPr>
          <w:lang w:val="nl-NL"/>
        </w:rPr>
        <w:t xml:space="preserve">n kunnen leiden. Verder zal, zeker met een verdere </w:t>
      </w:r>
      <w:r w:rsidR="00B44D53">
        <w:rPr>
          <w:lang w:val="nl-NL"/>
        </w:rPr>
        <w:t>consolidatie</w:t>
      </w:r>
      <w:r w:rsidR="005B6A60">
        <w:rPr>
          <w:lang w:val="nl-NL"/>
        </w:rPr>
        <w:t xml:space="preserve"> van de markt, eerder behoefte bestaan aan handhaving van het misbruikverbod op uitbuitingszaken, zoals de Duitse </w:t>
      </w:r>
      <w:r w:rsidRPr="005B6A60" w:rsidR="005B6A60">
        <w:rPr>
          <w:i/>
          <w:lang w:val="nl-NL"/>
        </w:rPr>
        <w:t>Facebook</w:t>
      </w:r>
      <w:r w:rsidR="005B6A60">
        <w:rPr>
          <w:lang w:val="nl-NL"/>
        </w:rPr>
        <w:t xml:space="preserve">-zaak waar de bescherming van persoonsgegevens onder de maat was, ook al voldeed deze aan de wettelijke normen. Dit </w:t>
      </w:r>
      <w:r w:rsidR="00A34700">
        <w:rPr>
          <w:lang w:val="nl-NL"/>
        </w:rPr>
        <w:t xml:space="preserve">soort </w:t>
      </w:r>
      <w:r w:rsidR="005B6A60">
        <w:rPr>
          <w:lang w:val="nl-NL"/>
        </w:rPr>
        <w:t xml:space="preserve">zaken is impopulair bij mededingingsautoriteiten omdat ze uiteindelijk een oordeel vergen over de prijs en/of kwaliteit van een </w:t>
      </w:r>
      <w:r w:rsidR="00B44D53">
        <w:rPr>
          <w:lang w:val="nl-NL"/>
        </w:rPr>
        <w:t>commercieel</w:t>
      </w:r>
      <w:r w:rsidR="005B6A60">
        <w:rPr>
          <w:lang w:val="nl-NL"/>
        </w:rPr>
        <w:t xml:space="preserve"> product. </w:t>
      </w:r>
      <w:r w:rsidR="008539B3">
        <w:rPr>
          <w:lang w:val="nl-NL"/>
        </w:rPr>
        <w:t>Hier zou</w:t>
      </w:r>
      <w:r w:rsidR="00CC2717">
        <w:rPr>
          <w:lang w:val="nl-NL"/>
        </w:rPr>
        <w:t xml:space="preserve"> de wetgever</w:t>
      </w:r>
      <w:r w:rsidR="008539B3">
        <w:rPr>
          <w:lang w:val="nl-NL"/>
        </w:rPr>
        <w:t xml:space="preserve"> meer duidelijkheid over de doelstellingen van het mededingingsrecht </w:t>
      </w:r>
      <w:r w:rsidR="00CC2717">
        <w:rPr>
          <w:lang w:val="nl-NL"/>
        </w:rPr>
        <w:t xml:space="preserve">(gaat het om de bescherming van de structuur of het proces van concurrentie of </w:t>
      </w:r>
      <w:r w:rsidR="00A34700">
        <w:rPr>
          <w:lang w:val="nl-NL"/>
        </w:rPr>
        <w:t>consumentenwelvaart</w:t>
      </w:r>
      <w:r w:rsidR="00CC2717">
        <w:rPr>
          <w:lang w:val="nl-NL"/>
        </w:rPr>
        <w:t>?)</w:t>
      </w:r>
      <w:r w:rsidR="008539B3">
        <w:rPr>
          <w:lang w:val="nl-NL"/>
        </w:rPr>
        <w:t xml:space="preserve"> kunnen bieden. </w:t>
      </w:r>
      <w:r w:rsidR="00CC2717">
        <w:rPr>
          <w:lang w:val="nl-NL"/>
        </w:rPr>
        <w:t>Verder zou meer preventief kunnen worden opgetreden</w:t>
      </w:r>
      <w:r w:rsidR="005B6A60">
        <w:rPr>
          <w:lang w:val="nl-NL"/>
        </w:rPr>
        <w:t>, bijvoorbeeld door het uitbreiden van het concentratietoezicht</w:t>
      </w:r>
      <w:r w:rsidR="005A264D">
        <w:rPr>
          <w:rStyle w:val="Voetnootmarkering"/>
          <w:lang w:val="nl-NL"/>
        </w:rPr>
        <w:footnoteReference w:id="8"/>
      </w:r>
      <w:r w:rsidR="005A264D">
        <w:rPr>
          <w:lang w:val="nl-NL"/>
        </w:rPr>
        <w:t xml:space="preserve"> of het opleggen van regels over intercompatibiliteit</w:t>
      </w:r>
      <w:r w:rsidR="00CC2717">
        <w:rPr>
          <w:lang w:val="nl-NL"/>
        </w:rPr>
        <w:t xml:space="preserve"> en toegang tot data </w:t>
      </w:r>
      <w:r w:rsidRPr="00CC2717" w:rsidR="00CC2717">
        <w:rPr>
          <w:i/>
          <w:lang w:val="nl-NL"/>
        </w:rPr>
        <w:t>in internet of things</w:t>
      </w:r>
      <w:r w:rsidR="00CC2717">
        <w:rPr>
          <w:lang w:val="nl-NL"/>
        </w:rPr>
        <w:t>-markten</w:t>
      </w:r>
      <w:r w:rsidR="005B6A60">
        <w:rPr>
          <w:lang w:val="nl-NL"/>
        </w:rPr>
        <w:t>.</w:t>
      </w:r>
    </w:p>
    <w:p w:rsidRPr="00460465" w:rsidR="00460465" w:rsidP="007E387A" w:rsidRDefault="00460465" w14:paraId="4080EB20" w14:textId="77777777">
      <w:pPr>
        <w:jc w:val="both"/>
        <w:rPr>
          <w:lang w:val="nl-NL"/>
        </w:rPr>
      </w:pPr>
    </w:p>
    <w:sectPr w:rsidRPr="00460465" w:rsidR="004604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B786AC" w15:done="0"/>
  <w15:commentEx w15:paraId="5CB64541" w15:done="0"/>
  <w15:commentEx w15:paraId="578BC779" w15:done="0"/>
  <w15:commentEx w15:paraId="79ED1A9D" w15:done="0"/>
  <w15:commentEx w15:paraId="5FB581AD" w15:done="0"/>
  <w15:commentEx w15:paraId="28704646" w15:done="0"/>
  <w15:commentEx w15:paraId="7644B2AF" w15:done="0"/>
  <w15:commentEx w15:paraId="48E013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B786AC" w16cid:durableId="1E13743C"/>
  <w16cid:commentId w16cid:paraId="5CB64541" w16cid:durableId="1E13796F"/>
  <w16cid:commentId w16cid:paraId="578BC779" w16cid:durableId="1E1379C9"/>
  <w16cid:commentId w16cid:paraId="79ED1A9D" w16cid:durableId="1E137B87"/>
  <w16cid:commentId w16cid:paraId="5FB581AD" w16cid:durableId="1E137BC3"/>
  <w16cid:commentId w16cid:paraId="28704646" w16cid:durableId="1E137A6A"/>
  <w16cid:commentId w16cid:paraId="7644B2AF" w16cid:durableId="1E137AE0"/>
  <w16cid:commentId w16cid:paraId="48E0139F" w16cid:durableId="1E137C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CBF19" w14:textId="77777777" w:rsidR="005D4666" w:rsidRDefault="005D4666" w:rsidP="00460465">
      <w:pPr>
        <w:spacing w:after="0" w:line="240" w:lineRule="auto"/>
      </w:pPr>
      <w:r>
        <w:separator/>
      </w:r>
    </w:p>
  </w:endnote>
  <w:endnote w:type="continuationSeparator" w:id="0">
    <w:p w14:paraId="120D6DDF" w14:textId="77777777" w:rsidR="005D4666" w:rsidRDefault="005D4666" w:rsidP="0046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FB9CB" w14:textId="77777777" w:rsidR="005D4666" w:rsidRDefault="005D4666" w:rsidP="00460465">
      <w:pPr>
        <w:spacing w:after="0" w:line="240" w:lineRule="auto"/>
      </w:pPr>
      <w:r>
        <w:separator/>
      </w:r>
    </w:p>
  </w:footnote>
  <w:footnote w:type="continuationSeparator" w:id="0">
    <w:p w14:paraId="36952307" w14:textId="77777777" w:rsidR="005D4666" w:rsidRDefault="005D4666" w:rsidP="00460465">
      <w:pPr>
        <w:spacing w:after="0" w:line="240" w:lineRule="auto"/>
      </w:pPr>
      <w:r>
        <w:continuationSeparator/>
      </w:r>
    </w:p>
  </w:footnote>
  <w:footnote w:id="1">
    <w:p w14:paraId="4B69816A" w14:textId="7F376E84" w:rsidR="00460465" w:rsidRPr="00460465" w:rsidRDefault="00460465">
      <w:pPr>
        <w:pStyle w:val="Voetnoottekst"/>
        <w:rPr>
          <w:lang w:val="nl-NL"/>
        </w:rPr>
      </w:pPr>
      <w:r w:rsidRPr="00460465">
        <w:rPr>
          <w:rStyle w:val="Voetnootmarkering"/>
          <w:lang w:val="nl-NL"/>
        </w:rPr>
        <w:t>*</w:t>
      </w:r>
      <w:r w:rsidRPr="00460465">
        <w:rPr>
          <w:lang w:val="nl-NL"/>
        </w:rPr>
        <w:t xml:space="preserve"> Hoogleraar Recht der Economische Ordening, Rijksuniversiteit Groningen, </w:t>
      </w:r>
      <w:hyperlink r:id="rId1" w:history="1">
        <w:r w:rsidR="005A264D" w:rsidRPr="001B33C3">
          <w:rPr>
            <w:rStyle w:val="Hyperlink"/>
            <w:lang w:val="nl-NL"/>
          </w:rPr>
          <w:t>https://www.rug.nl/staff/h.h.b.vedder/</w:t>
        </w:r>
      </w:hyperlink>
      <w:r w:rsidR="005A264D">
        <w:rPr>
          <w:lang w:val="nl-NL"/>
        </w:rPr>
        <w:t xml:space="preserve">. </w:t>
      </w:r>
    </w:p>
  </w:footnote>
  <w:footnote w:id="2">
    <w:p w14:paraId="2996A018" w14:textId="4045343F" w:rsidR="00CA7EB4" w:rsidRPr="00CA7EB4" w:rsidRDefault="00CA7EB4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CA7EB4">
        <w:rPr>
          <w:lang w:val="nl-NL"/>
        </w:rPr>
        <w:t xml:space="preserve"> </w:t>
      </w:r>
      <w:r w:rsidR="006A43D9" w:rsidRPr="006A43D9">
        <w:rPr>
          <w:lang w:val="nl-NL"/>
        </w:rPr>
        <w:t xml:space="preserve">De regels </w:t>
      </w:r>
      <w:r w:rsidR="00A34700" w:rsidRPr="006A43D9">
        <w:rPr>
          <w:lang w:val="nl-NL"/>
        </w:rPr>
        <w:t>betreffende</w:t>
      </w:r>
      <w:r w:rsidR="006A43D9" w:rsidRPr="006A43D9">
        <w:rPr>
          <w:lang w:val="nl-NL"/>
        </w:rPr>
        <w:t xml:space="preserve"> staatssteun zijn voornamelijk van belang in verband met de </w:t>
      </w:r>
      <w:r w:rsidR="00A34700" w:rsidRPr="006A43D9">
        <w:rPr>
          <w:lang w:val="nl-NL"/>
        </w:rPr>
        <w:t>subsidiër</w:t>
      </w:r>
      <w:r w:rsidR="00A34700">
        <w:rPr>
          <w:lang w:val="nl-NL"/>
        </w:rPr>
        <w:t xml:space="preserve">ing </w:t>
      </w:r>
      <w:r w:rsidR="006A43D9">
        <w:rPr>
          <w:lang w:val="nl-NL"/>
        </w:rPr>
        <w:t xml:space="preserve">van de </w:t>
      </w:r>
      <w:r w:rsidR="006A43D9" w:rsidRPr="006A43D9">
        <w:rPr>
          <w:lang w:val="nl-NL"/>
        </w:rPr>
        <w:t>aanleg van bepaalde delen van de voor de internet</w:t>
      </w:r>
      <w:r w:rsidR="006A43D9">
        <w:rPr>
          <w:lang w:val="nl-NL"/>
        </w:rPr>
        <w:t>economie noodzakelijke netwerken. H</w:t>
      </w:r>
      <w:r w:rsidRPr="00CA7EB4">
        <w:rPr>
          <w:lang w:val="nl-NL"/>
        </w:rPr>
        <w:t>et bestendig beleid van de Commissie is hier zodanig dat er geen grote belemmeringen</w:t>
      </w:r>
      <w:r>
        <w:rPr>
          <w:lang w:val="nl-NL"/>
        </w:rPr>
        <w:t xml:space="preserve"> te verwachten</w:t>
      </w:r>
      <w:r w:rsidRPr="00CA7EB4">
        <w:rPr>
          <w:lang w:val="nl-NL"/>
        </w:rPr>
        <w:t xml:space="preserve"> zijn</w:t>
      </w:r>
      <w:r>
        <w:rPr>
          <w:lang w:val="nl-NL"/>
        </w:rPr>
        <w:t>.</w:t>
      </w:r>
    </w:p>
  </w:footnote>
  <w:footnote w:id="3">
    <w:p w14:paraId="1288715E" w14:textId="1787B00D" w:rsidR="00045889" w:rsidRPr="00045889" w:rsidRDefault="0004588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en-US"/>
        </w:rPr>
        <w:t xml:space="preserve">N. Petit, </w:t>
      </w:r>
      <w:r w:rsidRPr="006A43D9">
        <w:rPr>
          <w:i/>
          <w:lang w:val="en-US"/>
        </w:rPr>
        <w:t>The Judgment of the EU Court of Justice in Intel and the Rule of Reason in Abuse of Dominance Cases</w:t>
      </w:r>
      <w:r w:rsidR="00A34700">
        <w:rPr>
          <w:lang w:val="en-US"/>
        </w:rPr>
        <w:t xml:space="preserve">. </w:t>
      </w:r>
      <w:r w:rsidR="006E74D7">
        <w:rPr>
          <w:lang w:val="nl-NL"/>
        </w:rPr>
        <w:t>Beschikbaar van</w:t>
      </w:r>
      <w:r w:rsidRPr="00045889">
        <w:rPr>
          <w:lang w:val="nl-NL"/>
        </w:rPr>
        <w:t xml:space="preserve"> </w:t>
      </w:r>
      <w:hyperlink r:id="rId2" w:history="1">
        <w:r w:rsidRPr="00045889">
          <w:rPr>
            <w:rStyle w:val="Hyperlink"/>
            <w:lang w:val="nl-NL"/>
          </w:rPr>
          <w:t>https://ssrn.com/abstract=3086402</w:t>
        </w:r>
      </w:hyperlink>
      <w:r w:rsidRPr="00045889">
        <w:rPr>
          <w:lang w:val="nl-NL"/>
        </w:rPr>
        <w:t xml:space="preserve"> interpreteert het als een overwinning voor de meer economische benadering. </w:t>
      </w:r>
      <w:r>
        <w:rPr>
          <w:lang w:val="nl-NL"/>
        </w:rPr>
        <w:t>Anderen, zoals R. Barends, ‘</w:t>
      </w:r>
      <w:r w:rsidR="006E74D7">
        <w:rPr>
          <w:lang w:val="nl-NL"/>
        </w:rPr>
        <w:t xml:space="preserve">Recente </w:t>
      </w:r>
      <w:r w:rsidR="00A34700">
        <w:rPr>
          <w:lang w:val="nl-NL"/>
        </w:rPr>
        <w:t>ontwikkelingen</w:t>
      </w:r>
      <w:r w:rsidR="006E74D7">
        <w:rPr>
          <w:lang w:val="nl-NL"/>
        </w:rPr>
        <w:t xml:space="preserve"> inde EU-rechtspraak over mededinging, </w:t>
      </w:r>
      <w:r w:rsidR="006E74D7" w:rsidRPr="006A43D9">
        <w:rPr>
          <w:i/>
          <w:lang w:val="nl-NL"/>
        </w:rPr>
        <w:t>SEW</w:t>
      </w:r>
      <w:r w:rsidR="006E74D7">
        <w:rPr>
          <w:lang w:val="nl-NL"/>
        </w:rPr>
        <w:t xml:space="preserve"> 2017, 189, zien juist het einde van de meer economische benadering.</w:t>
      </w:r>
    </w:p>
  </w:footnote>
  <w:footnote w:id="4">
    <w:p w14:paraId="27A91770" w14:textId="19FD638A" w:rsidR="008539B3" w:rsidRPr="008539B3" w:rsidRDefault="008539B3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8539B3">
        <w:rPr>
          <w:lang w:val="nl-NL"/>
        </w:rPr>
        <w:t xml:space="preserve"> In </w:t>
      </w:r>
      <w:hyperlink r:id="rId3" w:history="1">
        <w:r w:rsidRPr="00A34700">
          <w:rPr>
            <w:rStyle w:val="Hyperlink"/>
            <w:i/>
            <w:lang w:val="nl-NL"/>
          </w:rPr>
          <w:t>Google Shopping</w:t>
        </w:r>
      </w:hyperlink>
      <w:r w:rsidRPr="008539B3">
        <w:rPr>
          <w:lang w:val="nl-NL"/>
        </w:rPr>
        <w:t xml:space="preserve"> geeft de Commissie aan dat de aanduiding </w:t>
      </w:r>
      <w:r>
        <w:rPr>
          <w:lang w:val="nl-NL"/>
        </w:rPr>
        <w:t>‘sponsored content’ niet toegankelijk zou zijn voor iedereen behalve de best ingevoerde consument, rn. 536.</w:t>
      </w:r>
    </w:p>
  </w:footnote>
  <w:footnote w:id="5">
    <w:p w14:paraId="4B79984C" w14:textId="1DBEA5F8" w:rsidR="00A34700" w:rsidRPr="00971850" w:rsidRDefault="006A43D9" w:rsidP="006A43D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71850">
        <w:t xml:space="preserve"> </w:t>
      </w:r>
      <w:r>
        <w:t xml:space="preserve">J. </w:t>
      </w:r>
      <w:r w:rsidRPr="00971850">
        <w:t xml:space="preserve">Drexl, </w:t>
      </w:r>
      <w:r w:rsidRPr="00971850">
        <w:rPr>
          <w:i/>
        </w:rPr>
        <w:t>Real Knowledge is to Know the Extent of One's Own Ignorance: On the Consumer Harm Approach in Innovation-Related Competition Cases</w:t>
      </w:r>
      <w:r w:rsidRPr="00971850">
        <w:t xml:space="preserve">. </w:t>
      </w:r>
      <w:r w:rsidRPr="00971850">
        <w:rPr>
          <w:lang w:val="nl-NL"/>
        </w:rPr>
        <w:t xml:space="preserve">Beschikbaar van: </w:t>
      </w:r>
      <w:hyperlink r:id="rId4" w:history="1">
        <w:r w:rsidRPr="00A34700">
          <w:rPr>
            <w:rStyle w:val="Hyperlink"/>
            <w:lang w:val="nl-NL"/>
          </w:rPr>
          <w:t>https://ssrn.com/abstract=1517757</w:t>
        </w:r>
      </w:hyperlink>
      <w:r>
        <w:rPr>
          <w:lang w:val="nl-NL"/>
        </w:rPr>
        <w:t>.</w:t>
      </w:r>
    </w:p>
  </w:footnote>
  <w:footnote w:id="6">
    <w:p w14:paraId="1771E2EA" w14:textId="77777777" w:rsidR="0038264E" w:rsidRPr="0038264E" w:rsidRDefault="0038264E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rPr>
          <w:lang w:val="nl-NL"/>
        </w:rPr>
        <w:t xml:space="preserve"> Dit heeft de Duitse wetgever willen regelen in de </w:t>
      </w:r>
      <w:r w:rsidRPr="0038264E">
        <w:rPr>
          <w:i/>
          <w:lang w:val="nl-NL"/>
        </w:rPr>
        <w:t>Neunte Novelle</w:t>
      </w:r>
      <w:r>
        <w:rPr>
          <w:lang w:val="nl-NL"/>
        </w:rPr>
        <w:t xml:space="preserve"> waardoor samenwerking van kranten eenvoudiger wordt.</w:t>
      </w:r>
    </w:p>
  </w:footnote>
  <w:footnote w:id="7">
    <w:p w14:paraId="071AF497" w14:textId="77777777" w:rsidR="00381C8C" w:rsidRPr="00381C8C" w:rsidRDefault="00381C8C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381C8C">
        <w:rPr>
          <w:lang w:val="nl-NL"/>
        </w:rPr>
        <w:t xml:space="preserve"> De aanwezigheid van racistische content op Youtube</w:t>
      </w:r>
      <w:r>
        <w:rPr>
          <w:lang w:val="nl-NL"/>
        </w:rPr>
        <w:t xml:space="preserve"> heeft bijvoorbeeld geleid tot het vertrek van enkele adverteerders.</w:t>
      </w:r>
    </w:p>
  </w:footnote>
  <w:footnote w:id="8">
    <w:p w14:paraId="2E422BF7" w14:textId="77777777" w:rsidR="005A264D" w:rsidRPr="005B6A60" w:rsidRDefault="005A264D" w:rsidP="005A264D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5B6A60">
        <w:rPr>
          <w:lang w:val="nl-NL"/>
        </w:rPr>
        <w:t xml:space="preserve"> De Duitse wetgever heeft </w:t>
      </w:r>
      <w:r>
        <w:rPr>
          <w:lang w:val="nl-NL"/>
        </w:rPr>
        <w:t xml:space="preserve">in de </w:t>
      </w:r>
      <w:r w:rsidRPr="005B6A60">
        <w:rPr>
          <w:i/>
          <w:lang w:val="nl-NL"/>
        </w:rPr>
        <w:t>Neunte Novelle</w:t>
      </w:r>
      <w:r>
        <w:rPr>
          <w:lang w:val="nl-NL"/>
        </w:rPr>
        <w:t xml:space="preserve"> </w:t>
      </w:r>
      <w:r w:rsidRPr="005B6A60">
        <w:rPr>
          <w:lang w:val="nl-NL"/>
        </w:rPr>
        <w:t>de aanmeldingsdrempel voor concentraties aangepast met het oog op de over</w:t>
      </w:r>
      <w:r>
        <w:rPr>
          <w:lang w:val="nl-NL"/>
        </w:rPr>
        <w:t>name v</w:t>
      </w:r>
      <w:r w:rsidRPr="005B6A60">
        <w:rPr>
          <w:lang w:val="nl-NL"/>
        </w:rPr>
        <w:t>an</w:t>
      </w:r>
      <w:r>
        <w:rPr>
          <w:lang w:val="nl-NL"/>
        </w:rPr>
        <w:t xml:space="preserve"> internet startups.</w:t>
      </w:r>
      <w:r w:rsidRPr="005B6A60">
        <w:rPr>
          <w:lang w:val="nl-NL"/>
        </w:rPr>
        <w:t xml:space="preserve">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65"/>
    <w:rsid w:val="00045889"/>
    <w:rsid w:val="001219DE"/>
    <w:rsid w:val="0019548B"/>
    <w:rsid w:val="00221D17"/>
    <w:rsid w:val="00275230"/>
    <w:rsid w:val="002B0012"/>
    <w:rsid w:val="0037143E"/>
    <w:rsid w:val="00381C8C"/>
    <w:rsid w:val="0038264E"/>
    <w:rsid w:val="00460465"/>
    <w:rsid w:val="00471D35"/>
    <w:rsid w:val="00492268"/>
    <w:rsid w:val="004B352C"/>
    <w:rsid w:val="00557215"/>
    <w:rsid w:val="005A264D"/>
    <w:rsid w:val="005B6A60"/>
    <w:rsid w:val="005D4666"/>
    <w:rsid w:val="00675BDD"/>
    <w:rsid w:val="006A43D9"/>
    <w:rsid w:val="006E74D7"/>
    <w:rsid w:val="00753C3C"/>
    <w:rsid w:val="007A274C"/>
    <w:rsid w:val="007E387A"/>
    <w:rsid w:val="008539B3"/>
    <w:rsid w:val="00971850"/>
    <w:rsid w:val="009E52A2"/>
    <w:rsid w:val="00A34700"/>
    <w:rsid w:val="00B44D53"/>
    <w:rsid w:val="00BB745D"/>
    <w:rsid w:val="00BE3874"/>
    <w:rsid w:val="00C23A68"/>
    <w:rsid w:val="00CA559C"/>
    <w:rsid w:val="00CA7EB4"/>
    <w:rsid w:val="00CC2717"/>
    <w:rsid w:val="00DD2FA3"/>
    <w:rsid w:val="00EF3BC0"/>
    <w:rsid w:val="00F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1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046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046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046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4588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52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52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52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52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52A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52A2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2A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046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046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046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4588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52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52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52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52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52A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52A2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2A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eur-lex.europa.eu/legal-content/NL/TXT/?uri=CELEX:62014CJ0413" TargetMode="External" Id="rId8" /><Relationship Type="http://schemas.openxmlformats.org/officeDocument/2006/relationships/hyperlink" Target="https://www.bundeskartellamt.de/SharedDocs/Meldung/EN/Pressemitteilungen/2016/02_03_2016_Facebook.html" TargetMode="External" Id="rId13" /><Relationship Type="http://schemas.microsoft.com/office/2016/09/relationships/commentsIds" Target="commentsIds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yperlink" Target="http://ec.europa.eu/competition/antitrust/cases/dec_docs/37990/37990_3581_18.pdf" TargetMode="External" Id="rId12" /><Relationship Type="http://schemas.microsoft.com/office/2011/relationships/people" Target="people.xml" Id="rId17" /><Relationship Type="http://schemas.openxmlformats.org/officeDocument/2006/relationships/styles" Target="styles.xml" Id="rId2" /><Relationship Type="http://schemas.microsoft.com/office/2011/relationships/commentsExtended" Target="commentsExtended.xml" Id="rId16" /><Relationship Type="http://schemas.openxmlformats.org/officeDocument/2006/relationships/footnotes" Target="footnotes.xml" Id="rId6" /><Relationship Type="http://schemas.openxmlformats.org/officeDocument/2006/relationships/hyperlink" Target="http://ec.europa.eu/competition/mergers/cases/decisions/m7217_20141003_20310_3962132_EN.pdf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://ec.europa.eu/competition/mergers/cases/decisions/m6281_924_2.pdf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ec.europa.eu/competition/antitrust/cases/dec_docs/39740/39740_14996_3.pdf" TargetMode="Externa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competition/antitrust/cases/dec_docs/39740/39740_14996_3.pdf" TargetMode="External"/><Relationship Id="rId2" Type="http://schemas.openxmlformats.org/officeDocument/2006/relationships/hyperlink" Target="https://ssrn.com/abstract=3086402" TargetMode="External"/><Relationship Id="rId1" Type="http://schemas.openxmlformats.org/officeDocument/2006/relationships/hyperlink" Target="https://www.rug.nl/staff/h.h.b.vedder/" TargetMode="External"/><Relationship Id="rId4" Type="http://schemas.openxmlformats.org/officeDocument/2006/relationships/hyperlink" Target="https://ssrn.com/abstract=151775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906</ap:Words>
  <ap:Characters>5169</ap:Characters>
  <ap:DocSecurity>0</ap:DocSecurity>
  <ap:Lines>43</ap:Lines>
  <ap:Paragraphs>12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6063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2018-01-25T10:55:00.0000000Z</lastPrinted>
  <dcterms:created xsi:type="dcterms:W3CDTF">2018-01-25T08:01:00.0000000Z</dcterms:created>
  <dcterms:modified xsi:type="dcterms:W3CDTF">2018-01-25T10:56:00.0000000Z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0x010100B99A91410B664D42BDD77A572B4DB839</vt:lpwstr>
  </property>
</Properties>
</file>