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82F99" w:rsidR="00882F99" w:rsidP="00882F99" w:rsidRDefault="00882F99">
      <w:pPr>
        <w:autoSpaceDE w:val="0"/>
        <w:autoSpaceDN w:val="0"/>
        <w:adjustRightInd w:val="0"/>
        <w:jc w:val="center"/>
        <w:rPr>
          <w:b/>
          <w:bCs/>
        </w:rPr>
      </w:pPr>
      <w:r w:rsidRPr="00882F99">
        <w:rPr>
          <w:b/>
          <w:bCs/>
        </w:rPr>
        <w:t>Geannoteerde agenda van de informele bijeenkomst van</w:t>
      </w:r>
    </w:p>
    <w:p w:rsidRPr="00882F99" w:rsidR="00882F99" w:rsidP="00882F99" w:rsidRDefault="00882F99">
      <w:pPr>
        <w:autoSpaceDE w:val="0"/>
        <w:autoSpaceDN w:val="0"/>
        <w:adjustRightInd w:val="0"/>
        <w:jc w:val="center"/>
        <w:rPr>
          <w:b/>
          <w:bCs/>
        </w:rPr>
      </w:pPr>
      <w:r w:rsidRPr="00882F99">
        <w:rPr>
          <w:b/>
          <w:bCs/>
        </w:rPr>
        <w:t>de Raad Justitie en Binnenlandse Zaken,</w:t>
      </w:r>
    </w:p>
    <w:p w:rsidRPr="00882F99" w:rsidR="00882F99" w:rsidP="00882F99" w:rsidRDefault="00882F99">
      <w:pPr>
        <w:autoSpaceDE w:val="0"/>
        <w:autoSpaceDN w:val="0"/>
        <w:adjustRightInd w:val="0"/>
        <w:jc w:val="center"/>
        <w:rPr>
          <w:b/>
          <w:bCs/>
        </w:rPr>
      </w:pPr>
      <w:r w:rsidRPr="00882F99">
        <w:rPr>
          <w:b/>
          <w:bCs/>
        </w:rPr>
        <w:t>25 en 26 januari 2018 te Sofia</w:t>
      </w:r>
    </w:p>
    <w:p w:rsidRPr="00882F99" w:rsidR="00882F99" w:rsidP="00882F99" w:rsidRDefault="00882F99">
      <w:pPr>
        <w:autoSpaceDE w:val="0"/>
        <w:autoSpaceDN w:val="0"/>
        <w:adjustRightInd w:val="0"/>
        <w:jc w:val="center"/>
        <w:rPr>
          <w:b/>
          <w:bCs/>
        </w:rPr>
      </w:pPr>
    </w:p>
    <w:p w:rsidR="00882F99" w:rsidP="00882F99" w:rsidRDefault="00882F99">
      <w:pPr>
        <w:autoSpaceDE w:val="0"/>
        <w:autoSpaceDN w:val="0"/>
        <w:adjustRightInd w:val="0"/>
        <w:rPr>
          <w:b/>
          <w:bCs/>
        </w:rPr>
      </w:pP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  <w:bookmarkStart w:name="_GoBack" w:id="0"/>
      <w:bookmarkEnd w:id="0"/>
      <w:r w:rsidRPr="00882F99">
        <w:rPr>
          <w:b/>
          <w:bCs/>
        </w:rPr>
        <w:t>I. Binnenlandse Zaken, Immigratie en Asiel</w:t>
      </w: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  <w:r w:rsidRPr="00882F99">
        <w:rPr>
          <w:b/>
          <w:bCs/>
        </w:rPr>
        <w:t>1. Sessie I en II: migratie en asiel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Op het moment van schrijven is nog niet bekend waarop de discussie zich zal toespitsen.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Naar alle waarschijnlijkheid zal het Bulgaarse voorzitterschap willen bespreken hoe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voortgang kan worden geboekt en voor een doorbraak kan worden gezorgd op het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Dublindossier en hierbij naar de algemene ideeën van de lidstaten willen vragen. Dit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mede in het licht van het tijdspad van de Leidersagenda van voorzitter van de Europese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 xml:space="preserve">Raad </w:t>
      </w:r>
      <w:proofErr w:type="spellStart"/>
      <w:r w:rsidRPr="00882F99">
        <w:t>Tusk</w:t>
      </w:r>
      <w:proofErr w:type="spellEnd"/>
      <w:r w:rsidRPr="00882F99">
        <w:t>, dat verzoekt om uiterlijk in juni 2018 een akkoord te bereiken. Na discussies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op expertniveau en in bilaterale vorm met de verschillende Voorzitterschappen in de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afgelopen periode, worden de onderhandelingen over de Dublin Verordening voortgezet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binnen de Raad door het Bulgaars voorzitterschap. Voor het kabinet blijft het van belang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dat herziening van de Dublin Verordening leidt tot een efficiëntere asielprocedure,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inclusief Dublinprocedures, die ook onder hoge migratiedruk blijft functioneren 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secundaire migratiestromen binnen de EU ontmoedigt.</w:t>
      </w: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  <w:r w:rsidRPr="00882F99">
        <w:rPr>
          <w:b/>
          <w:bCs/>
        </w:rPr>
        <w:t>2. Sessie III en IV: grenzen en veiligheid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Op basis van de, tijdens het Nederlandse EU voorzitterschap tot stand gebrachte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Verordening voor een Europese Grens -en Kustwachtagentschap, (2016/1624) zijn de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grensautoriteiten van de lidstaten en het EU Agentschap voor Grens- en Kustwacht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(</w:t>
      </w:r>
      <w:proofErr w:type="spellStart"/>
      <w:r w:rsidRPr="00882F99">
        <w:t>Frontex</w:t>
      </w:r>
      <w:proofErr w:type="spellEnd"/>
      <w:r w:rsidRPr="00882F99">
        <w:t>) gezamenlijk verantwoordelijk voor het uitvoeren van het geïntegreerde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grensbeheer (</w:t>
      </w:r>
      <w:proofErr w:type="spellStart"/>
      <w:r w:rsidRPr="00882F99">
        <w:rPr>
          <w:i/>
          <w:iCs/>
        </w:rPr>
        <w:t>Integrated</w:t>
      </w:r>
      <w:proofErr w:type="spellEnd"/>
      <w:r w:rsidRPr="00882F99">
        <w:rPr>
          <w:i/>
          <w:iCs/>
        </w:rPr>
        <w:t xml:space="preserve"> Border Management - IBM</w:t>
      </w:r>
      <w:r w:rsidRPr="00882F99">
        <w:t>). Het Europees geïntegreerd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grensbeheer gaat uit van het op vier niveaus gebaseerde toegangscontrolemodel 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omvat te nemen maatregelen in derde landen, zoals bijvoorbeeld in het kader van het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gemeenschappelijk visumbeleid, maatregelen met naburige derde landen,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grenstoezichtmaatregelen aan de Europese buitengrenzen, risicoanalyses en maatregelen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binnen het Schengengebied alsook op het gebied van terugkeer. In de genoemde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Verordening is vastgelegd dat er op verschillende niveaus strategieën opgesteld dienen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te worden om invulling te geven aan het geïntegreerde grensbeheer. Zo zullen lidstaten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hun eigen nationale strategie moeten opstellen, die in lijn moet zijn met de operationele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en technische strategie die het Europese Grens- en Kustwacht agentschap opstelt.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Tevens zal onder verantwoordelijkheid van de Europese instituties een Europese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(politieke) strategie worden opgesteld.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Het kabinet is van mening dat de Europese IBM-strategie zich moet richten op acties die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op Europees niveau, door de Europese instituties, genomen kunnen worden. Nederland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zal zich er, conform regeerakkoord, voor inzetten dat een Europese strategie stevige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aandacht kent voor samenwerking met derde landen, terugkeer, versterking van de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grenscontroles en samenwerking tussen (grens)autoriteiten. Nederland zal, na publicatie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van deze strategie en het verschijnen van de operationele en technische strategie van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het Europese Grens- en Kustwacht agentschap, ook een nationale strategie opstellen. Op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het moment van schrijven is nog niet bekend waar de precieze discussie tijdens dit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agendapunt zich op zal richten.</w:t>
      </w:r>
    </w:p>
    <w:p w:rsidRPr="00882F99" w:rsidR="00882F99" w:rsidP="00882F99" w:rsidRDefault="00882F99">
      <w:pPr>
        <w:rPr>
          <w:b/>
          <w:bCs/>
        </w:rPr>
      </w:pPr>
    </w:p>
    <w:p w:rsidRPr="00882F99" w:rsidR="009E7070" w:rsidP="00882F99" w:rsidRDefault="00882F99">
      <w:pPr>
        <w:rPr>
          <w:b/>
          <w:bCs/>
        </w:rPr>
      </w:pPr>
      <w:r w:rsidRPr="00882F99">
        <w:rPr>
          <w:b/>
          <w:bCs/>
        </w:rPr>
        <w:t>3. Lunchbespreking : de externe dimensie van migratie</w:t>
      </w:r>
    </w:p>
    <w:p w:rsidRPr="00882F99" w:rsidR="00882F99" w:rsidP="00882F99" w:rsidRDefault="00882F99">
      <w:pPr>
        <w:rPr>
          <w:b/>
          <w:bCs/>
        </w:rPr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Tijdens de lunch zal gesproken worden over de externe dimensie van de Europese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migratie-inzet. Op het moment van schrijven is nog niet bekend waar de bespreking zich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precies op zal richten. Naast de inspanningen op de Centraal Mediterrane Route, de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voortgang van de EU-AU-VN-taskforce voor Libië, zal mogelijk ook met UNHCR en IOM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van gedachten worden gewisseld over de aanstaande onderhandelingen over de VN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Compact voor veilige, geordende en reguliere migratie. Over de Nederlandse inzet in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deze onderhandelingen wordt Uw Kamer nader geïnformeerd.</w:t>
      </w: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  <w:r w:rsidRPr="00882F99">
        <w:rPr>
          <w:b/>
          <w:bCs/>
        </w:rPr>
        <w:t>II. Veiligheid en Justitie, Grondrechten en Burgerschap</w:t>
      </w: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  <w:r w:rsidRPr="00882F99">
        <w:rPr>
          <w:b/>
          <w:bCs/>
        </w:rPr>
        <w:t>4. Sessie I: Europees Openbaar Ministerie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Het Bulgaarse Voorzitterschap wil onder dit agendapunt de relaties bespreken tussen het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EOM en het Europees Orgaan voor Justitiële Samenwerking (</w:t>
      </w:r>
      <w:proofErr w:type="spellStart"/>
      <w:r w:rsidRPr="00882F99">
        <w:t>Eurojust</w:t>
      </w:r>
      <w:proofErr w:type="spellEnd"/>
      <w:r w:rsidRPr="00882F99">
        <w:t>), tussen het EOM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en het Europees Bureau voor Fraudebestrijding (OLAF) en tussen het EOM en de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Europese Politiedienst (Europol). Het Voorzitterschap vraagt de lidstaten de onderwerpen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te identificeren die in dat verband bijzondere aandacht verdienen.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 xml:space="preserve">Met betrekking tot de relatie met </w:t>
      </w:r>
      <w:proofErr w:type="spellStart"/>
      <w:r w:rsidRPr="00882F99">
        <w:t>Eurojust</w:t>
      </w:r>
      <w:proofErr w:type="spellEnd"/>
      <w:r w:rsidRPr="00882F99">
        <w:t xml:space="preserve"> en OLAF heeft Nederland sinds het begin van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de onderhandelingen over het EOM in het najaar van 2013 consequent in JBZ-verband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het standpunt ingenomen dat de oprichting van het EOM geen nadelige gevolgen zou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 xml:space="preserve">moeten hebben voor de positie en werkzaamheden van deze beide organisaties. </w:t>
      </w:r>
      <w:proofErr w:type="spellStart"/>
      <w:r w:rsidRPr="00882F99">
        <w:t>Eurojust</w:t>
      </w:r>
      <w:proofErr w:type="spellEnd"/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en OLAF hebben immers een eigenstandige en belangrijke rol bij de bescherming van de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financiële belangen van de EU. Die eigenstandige rol is complementair aan de specifieke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taak en bevoegdheid van het EOM zodra dat eenmaal van start is gegaan. Dat zal naar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verwachting eind 2020 het geval zijn. Nederland heeft dan ook bij herhaling in de JBZ</w:t>
      </w:r>
      <w:r w:rsidRPr="00882F99">
        <w:t>-</w:t>
      </w:r>
      <w:r w:rsidRPr="00882F99">
        <w:t>Raad</w:t>
      </w:r>
      <w:r w:rsidRPr="00882F99">
        <w:t xml:space="preserve"> </w:t>
      </w:r>
      <w:r w:rsidRPr="00882F99">
        <w:t>zorg uitgesproken over het voornemen van de Commissie tot overheveling van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 xml:space="preserve">financiële middelen en mensen vanuit </w:t>
      </w:r>
      <w:proofErr w:type="spellStart"/>
      <w:r w:rsidRPr="00882F99">
        <w:t>Eurojust</w:t>
      </w:r>
      <w:proofErr w:type="spellEnd"/>
      <w:r w:rsidRPr="00882F99">
        <w:t xml:space="preserve"> en OLAF naar het EOM, omdat het risico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daarvan is dat de taakvervulling en operationele slagkracht van deze organisaties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daarmee onder druk komen te staan.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Nederland heeft zich bovendien altijd sterk gemaakt - en zal dat ook blijven doen - voor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 xml:space="preserve">het behoud van een zelfstandige positie van </w:t>
      </w:r>
      <w:proofErr w:type="spellStart"/>
      <w:r w:rsidRPr="00882F99">
        <w:t>Eurojust</w:t>
      </w:r>
      <w:proofErr w:type="spellEnd"/>
      <w:r w:rsidRPr="00882F99">
        <w:t xml:space="preserve"> en OLAF, in die zin dat deze beide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organisaties niet op enigerlei wijze in de praktijk ondergeschikt dienen te raken aan het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EOM, maar als gelijkwaardige partners van het EOM met een eigen mandaat moeten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kunnen blijven optreden. Dat laatste brengt eveneens mee dat Nederland zich zal blijven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beijveren voor bevestiging van dit uitgangspunt in de tekst van de ontwerp-</w:t>
      </w:r>
      <w:proofErr w:type="spellStart"/>
      <w:r w:rsidRPr="00882F99">
        <w:t>Eurojustverordening</w:t>
      </w:r>
      <w:proofErr w:type="spellEnd"/>
      <w:r w:rsidRPr="00882F99">
        <w:t>,</w:t>
      </w:r>
      <w:r w:rsidRPr="00882F99">
        <w:t xml:space="preserve"> </w:t>
      </w:r>
      <w:r w:rsidRPr="00882F99">
        <w:t xml:space="preserve">die thans onderwerp is van een </w:t>
      </w:r>
      <w:proofErr w:type="spellStart"/>
      <w:r w:rsidRPr="00882F99">
        <w:t>triloog</w:t>
      </w:r>
      <w:proofErr w:type="spellEnd"/>
      <w:r w:rsidRPr="00882F99">
        <w:t>, en daarnaast in Verordening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883/2013 (OLAF), die in de loop van dit jaar zal worden gewijzigd om de tekst daarvan in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overeenstemming te kunnen brengen met die van Verordening 2017/1939 (EOM).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 xml:space="preserve">Verder meent Nederland dat het EOM en </w:t>
      </w:r>
      <w:proofErr w:type="spellStart"/>
      <w:r w:rsidRPr="00882F99">
        <w:t>Eurojust</w:t>
      </w:r>
      <w:proofErr w:type="spellEnd"/>
      <w:r w:rsidRPr="00882F99">
        <w:t xml:space="preserve"> afspraken over eventuele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 xml:space="preserve">administratieve ondersteuning door </w:t>
      </w:r>
      <w:proofErr w:type="spellStart"/>
      <w:r w:rsidRPr="00882F99">
        <w:t>Eurojust</w:t>
      </w:r>
      <w:proofErr w:type="spellEnd"/>
      <w:r w:rsidRPr="00882F99">
        <w:t xml:space="preserve"> van het EOM moeten vastleggen in een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‘service level agreement’, waarbij beide organisaties wederom gelijkwaardige partners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 xml:space="preserve">zijn. Afspraken over operationele samenwerking tussen het EOM en </w:t>
      </w:r>
      <w:proofErr w:type="spellStart"/>
      <w:r w:rsidRPr="00882F99">
        <w:t>Eurojust</w:t>
      </w:r>
      <w:proofErr w:type="spellEnd"/>
      <w:r w:rsidRPr="00882F99">
        <w:t xml:space="preserve"> en het EOM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en OLAF moeten nader worden vastgelegd in de vorm van een werkafspraak. De hiervoor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lastRenderedPageBreak/>
        <w:t>beschreven opvattingen stroken naar de mening van Nederland geheel met de specifieke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 xml:space="preserve">bepalingen in de EOM-verordening over de samenwerking tussen het EOM en </w:t>
      </w:r>
      <w:proofErr w:type="spellStart"/>
      <w:r w:rsidRPr="00882F99">
        <w:t>Eurojust</w:t>
      </w:r>
      <w:proofErr w:type="spellEnd"/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(zie artikel 100, Verordening 2017/1939) en tussen het EOM en OLAF (zie artikel 101,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Verordening 2017/1939). Het merendeel van de overige lidstaten steunt deze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opvattingen overigens ook.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 xml:space="preserve">Voor wat de samenwerking tussen het EOM en Europol aangaat, komt de </w:t>
      </w:r>
      <w:proofErr w:type="spellStart"/>
      <w:r w:rsidRPr="00882F99">
        <w:t>EOMverordening</w:t>
      </w:r>
      <w:proofErr w:type="spellEnd"/>
      <w:r w:rsidRPr="00882F99">
        <w:t xml:space="preserve"> </w:t>
      </w:r>
      <w:r w:rsidRPr="00882F99">
        <w:t>(zie artikel 102, Verordening 2017/1939) op dit punt in essentie neer op een</w:t>
      </w:r>
      <w:r w:rsidRPr="00882F99">
        <w:t xml:space="preserve"> </w:t>
      </w:r>
      <w:r w:rsidRPr="00882F99">
        <w:t>bevestiging van het feit dat het EOM ook met Europol een nauwe band zal onderhouden</w:t>
      </w:r>
      <w:r w:rsidRPr="00882F99">
        <w:t xml:space="preserve"> </w:t>
      </w:r>
      <w:r w:rsidRPr="00882F99">
        <w:t>en dat beide organisaties een werkafspraak moeten maken waarin hun samenwerking</w:t>
      </w:r>
      <w:r w:rsidRPr="00882F99">
        <w:t xml:space="preserve"> </w:t>
      </w:r>
      <w:r w:rsidRPr="00882F99">
        <w:t>nader wordt geregeld. Nederland steunt de gedachte dat het EOM en het Europol daartoe</w:t>
      </w:r>
      <w:r w:rsidRPr="00882F99">
        <w:t xml:space="preserve"> </w:t>
      </w:r>
      <w:r w:rsidRPr="00882F99">
        <w:t>binnen de voor hen beide geldende juridische mogelijkheden tijdig de noodzakelijke</w:t>
      </w:r>
      <w:r w:rsidRPr="00882F99">
        <w:t xml:space="preserve"> </w:t>
      </w:r>
      <w:r w:rsidRPr="00882F99">
        <w:t>stappen zetten.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In conclusie, Nederland zal er op aandringen dat de JBZ-ministers er nauw op zullen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moeten toezien dat alle bij de aanpak van EU-fraude betrokken EU-organisaties optimale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complementariteit, efficiency en besteding van schaarse middelen nastreven, teneinde op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deze wijze overbodige overlap tussen hen te vermijden en bovendien dat zij dit met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volledige inachtneming van de voor hen geldende juridische kaders en ieders specifieke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mandaat doen.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  <w:r w:rsidRPr="00882F99">
        <w:rPr>
          <w:b/>
          <w:bCs/>
        </w:rPr>
        <w:t xml:space="preserve">5. Sessie II: Verordening Brussel </w:t>
      </w:r>
      <w:proofErr w:type="spellStart"/>
      <w:r w:rsidRPr="00882F99">
        <w:rPr>
          <w:b/>
          <w:bCs/>
        </w:rPr>
        <w:t>IIa</w:t>
      </w:r>
      <w:proofErr w:type="spellEnd"/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Aan de basis van de discussie ligt het voorstel voor een verordening voor jurisdictie,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erkenning en handhaving van beslissingen in zaken van huwelijksrecht en ouderlijk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 xml:space="preserve">gezag en inzake internationale </w:t>
      </w:r>
      <w:proofErr w:type="spellStart"/>
      <w:r w:rsidRPr="00882F99">
        <w:t>kindontvoering</w:t>
      </w:r>
      <w:proofErr w:type="spellEnd"/>
      <w:r w:rsidRPr="00882F99">
        <w:t xml:space="preserve">. </w:t>
      </w:r>
      <w:proofErr w:type="spellStart"/>
      <w:r w:rsidRPr="00882F99">
        <w:t>Interinstitutioneel</w:t>
      </w:r>
      <w:proofErr w:type="spellEnd"/>
      <w:r w:rsidRPr="00882F99">
        <w:t xml:space="preserve"> dossiernummer: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2016/0190 (CNS).Dit betreft een unanimiteitsdossier. Beide Kamers hebben op grond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van artikel 3, vierde lid, Goedkeuringswet Verdrag van Lissabon een instemmingsrecht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op het uiteindelijke onderhandelingsresultaat.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Naar verwachting zal het voorzitterschap de JBZ-ministers vragen hoe het beste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voortgang geboekt kan worden rond de onderhandelingen over het voorstel. In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algemene zin kan ik u melden dat Nederland zich vanaf het begin van de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onderhandelingen positief heeft opgesteld ten aanzien van de voorgestelde herziening,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met als doel de praktische werking van de verordening te verbeteren (Kamerstukken II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2013/14, 22112, 1891 en Kamerstukken II 2015/16, 22112, 2202).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 xml:space="preserve">De besprekingen over de herziening van Verordening Brussel </w:t>
      </w:r>
      <w:proofErr w:type="spellStart"/>
      <w:r w:rsidRPr="00882F99">
        <w:t>IIa</w:t>
      </w:r>
      <w:proofErr w:type="spellEnd"/>
      <w:r w:rsidRPr="00882F99">
        <w:t xml:space="preserve"> lopen sinds 30 juni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2016. Onder meer worden de bevoegdheidsregels inzake ouderlijke verantwoordelijkheid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herzien, alsmede de regeling voor de tenuitvoerlegging van rechterlijke beslissingen uit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de ene lidstaat in een andere lidstaat. Daarnaast wordt de regeling voor samenwerking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tussen de contactpunten van de verschillende lidstaten (centrale autoriteiten)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verduidelijkt en worden extra regels opgesteld in aanvulling op het Haags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Kinderontvoeringsverdrag.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In juni 2017 werd een discussie gevoerd over de wijze waarop het hoor-recht van het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kind kan worden verankerd in de verordening. Nederland heeft zich op het standpunt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gesteld dat het opnemen van gemeenschappelijke criteria voor het horen van kinderen in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 xml:space="preserve">de </w:t>
      </w:r>
      <w:proofErr w:type="spellStart"/>
      <w:r w:rsidRPr="00882F99">
        <w:t>herziene</w:t>
      </w:r>
      <w:proofErr w:type="spellEnd"/>
      <w:r w:rsidRPr="00882F99">
        <w:t xml:space="preserve"> verordening wenselijk is. NL heeft daarnaast gepleit voor het behouden van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de mogelijkheid om de erkenning of tenuitvoerlegging van een beslissing te weigeren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lastRenderedPageBreak/>
        <w:t>indien het kind niet de gelegenheid heeft gekregen te worden gehoord.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In december 2017 is in de JBZ-raad een discussie gevoerd over de afschaffing van het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verlof tot tenuitvoerlegging (exequatur) voor alle beslissingen inzake de ouderlijke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verantwoordelijkheid. Er bleek overeenstemming te zijn over de afschaffing hiervan.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Over de wijze waarop dit vormt dient te worden gegeven, wordt verder onderhandeld op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technisch niveau. Het Bulgaars voorzitterschap wil ook een politieke impuls geven aan de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voortgang op dit dossier. De inzet van NL is hierbij gericht op een zo eenvoudig mogelijk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stelsel van tenuitvoerlegging.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  <w:r w:rsidRPr="00882F99">
        <w:rPr>
          <w:b/>
          <w:bCs/>
        </w:rPr>
        <w:t>6. E-</w:t>
      </w:r>
      <w:proofErr w:type="spellStart"/>
      <w:r w:rsidRPr="00882F99">
        <w:rPr>
          <w:b/>
          <w:bCs/>
        </w:rPr>
        <w:t>evidence</w:t>
      </w:r>
      <w:proofErr w:type="spellEnd"/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In het verslag van de JBZ-raad van oktober 2017 is aangegeven dat de Europese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 xml:space="preserve">Commissie </w:t>
      </w:r>
      <w:r w:rsidRPr="00882F99">
        <w:t>vroeg in 2018 een voorstel presenteert op basis van de raadsconclusies</w:t>
      </w:r>
      <w:r w:rsidRPr="00882F99">
        <w:t xml:space="preserve"> </w:t>
      </w:r>
      <w:r w:rsidRPr="00882F99">
        <w:t>inzake verbetering van de strafrechtspleging in de cyber ruimte die de Raad 9 juni 2016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heeft aangenomen. Nederland heeft er in de JBZ raad van oktober op aangedrongen dat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de Commissie dit voorstel snel presenteert. Deze presentatie heeft nog niet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plaatsgevonden, derhalve zal de voortgang van de Commissie worden aangehoord. Over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de inzet van Nederland op dit dossier is uw Kamer onder andere geïnformeerd bij de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Geannoteerde agenda voor de JBZ-raden in juni en oktober 2017.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  <w:r w:rsidRPr="00882F99">
        <w:rPr>
          <w:b/>
          <w:bCs/>
        </w:rPr>
        <w:t>7. Illegale online content</w:t>
      </w: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Op 18 januari zal een nieuw assessment van de afspraken voor de verwijdering van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rPr>
          <w:i/>
          <w:iCs/>
        </w:rPr>
        <w:t xml:space="preserve">online </w:t>
      </w:r>
      <w:proofErr w:type="spellStart"/>
      <w:r w:rsidRPr="00882F99">
        <w:rPr>
          <w:i/>
          <w:iCs/>
        </w:rPr>
        <w:t>hate</w:t>
      </w:r>
      <w:proofErr w:type="spellEnd"/>
      <w:r w:rsidRPr="00882F99">
        <w:rPr>
          <w:i/>
          <w:iCs/>
        </w:rPr>
        <w:t xml:space="preserve"> speech </w:t>
      </w:r>
      <w:r w:rsidRPr="00882F99">
        <w:t>het licht zien. Deze afspraken zijn gemaakt in het kader van de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Gedragscode tussen de Europese Commissie en IT-platformen. De Commissie zal de –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naar verwachting positieve – uitkomsten van het assessment delen op de JBZ-Raad. Een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positief assessment betekent een ondersteuning van de Nederlandse positie (zoals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verwoord in het BNC-fiche naar aanleiding van de Mededeling van de Commissie inzake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illegale online content) dat wetgeving op dit gebied geen toegevoegde waarde biedt.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  <w:r w:rsidRPr="00882F99">
        <w:rPr>
          <w:b/>
          <w:bCs/>
        </w:rPr>
        <w:t>8. Werklunch – onderwerp: civiele aspecten van robotica</w:t>
      </w:r>
    </w:p>
    <w:p w:rsidRPr="00882F99" w:rsidR="00882F99" w:rsidP="00882F99" w:rsidRDefault="00882F99">
      <w:pPr>
        <w:autoSpaceDE w:val="0"/>
        <w:autoSpaceDN w:val="0"/>
        <w:adjustRightInd w:val="0"/>
        <w:rPr>
          <w:b/>
          <w:bCs/>
        </w:rPr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Het voorzitterschap heeft een discussiepaper verspreid en nodigt op basis van het stuk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de aanwezige bewindspersonen uit tot gedachtewisseling over de vragen: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• Of zij op nationaal niveau wetgevingsinitiatieven of beleidsinitiatieven overwegen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of deze al genomen hebben in relatie tot kunstmatige intelligentie;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• Welke onderwerpen in de optiek van de bewindspersonen geprioriteerd zouden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moeten worden.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Er wordt thans door BZK een kabinetsbrede reactie voorbereid op twee rapporten van het</w:t>
      </w:r>
    </w:p>
    <w:p w:rsidRPr="00882F99" w:rsidR="00882F99" w:rsidP="00882F99" w:rsidRDefault="00882F99">
      <w:pPr>
        <w:autoSpaceDE w:val="0"/>
        <w:autoSpaceDN w:val="0"/>
        <w:adjustRightInd w:val="0"/>
      </w:pPr>
      <w:proofErr w:type="spellStart"/>
      <w:r w:rsidRPr="00882F99">
        <w:t>Rathenau</w:t>
      </w:r>
      <w:proofErr w:type="spellEnd"/>
      <w:r w:rsidRPr="00882F99">
        <w:t xml:space="preserve"> Instituut (2017) die raken aan het thema in het discussiepapier. Het onderwerp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raakt alle departementen. De titels van beide rapporten zijn: ‘Opwaarderen. Het borgen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van publieke waarden in de digitale samenleving’ en ‘Mensenrechten in de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Robotsamenleving’. In de rapporten worden vragen gesteld over de manier waarop het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kabinet voornemens is publieke waarden en mensenrechten adequaat te beschermen in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 xml:space="preserve">tijden van </w:t>
      </w:r>
      <w:r w:rsidRPr="00882F99">
        <w:rPr>
          <w:i/>
          <w:iCs/>
        </w:rPr>
        <w:t>big data</w:t>
      </w:r>
      <w:r w:rsidRPr="00882F99">
        <w:t xml:space="preserve">, het </w:t>
      </w:r>
      <w:r w:rsidRPr="00882F99">
        <w:rPr>
          <w:i/>
          <w:iCs/>
        </w:rPr>
        <w:t xml:space="preserve">Internet of </w:t>
      </w:r>
      <w:proofErr w:type="spellStart"/>
      <w:r w:rsidRPr="00882F99">
        <w:rPr>
          <w:i/>
          <w:iCs/>
        </w:rPr>
        <w:t>Things</w:t>
      </w:r>
      <w:proofErr w:type="spellEnd"/>
      <w:r w:rsidRPr="00882F99">
        <w:rPr>
          <w:i/>
          <w:iCs/>
        </w:rPr>
        <w:t xml:space="preserve"> </w:t>
      </w:r>
      <w:r w:rsidRPr="00882F99">
        <w:t>en robotica.</w:t>
      </w:r>
    </w:p>
    <w:p w:rsidRPr="00882F99" w:rsidR="00882F99" w:rsidP="00882F99" w:rsidRDefault="00882F99">
      <w:pPr>
        <w:autoSpaceDE w:val="0"/>
        <w:autoSpaceDN w:val="0"/>
        <w:adjustRightInd w:val="0"/>
      </w:pP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De verwachting is dat de kabinetsreactie op deze twee rapporten in het voorjaar aan het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parlement wordt verzonden. Ten aanzien van het lunchonderwerp is het voor Nederland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lastRenderedPageBreak/>
        <w:t>op deze korte termijn niet mogelijk al prioriteiten uit te spreken. Vanuit Nederlands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belang zou er, om het even welke EU-beleids- en of wetgevingsinitiatieven er worden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genomen, rekening moeten worden gehouden met de drieslag: veiligheid, innovatie- en</w:t>
      </w:r>
    </w:p>
    <w:p w:rsidRPr="00882F99" w:rsidR="00882F99" w:rsidP="00882F99" w:rsidRDefault="00882F99">
      <w:pPr>
        <w:autoSpaceDE w:val="0"/>
        <w:autoSpaceDN w:val="0"/>
        <w:adjustRightInd w:val="0"/>
      </w:pPr>
      <w:r w:rsidRPr="00882F99">
        <w:t>commerciële belangen en publieke waarden en individuele rechten.</w:t>
      </w:r>
    </w:p>
    <w:sectPr w:rsidRPr="00882F99" w:rsidR="00882F9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99"/>
    <w:rsid w:val="002E6985"/>
    <w:rsid w:val="00485333"/>
    <w:rsid w:val="004F79F1"/>
    <w:rsid w:val="00882F99"/>
    <w:rsid w:val="009E7070"/>
    <w:rsid w:val="00A54391"/>
    <w:rsid w:val="00DD2563"/>
    <w:rsid w:val="00F6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2010</ap:Words>
  <ap:Characters>11061</ap:Characters>
  <ap:DocSecurity>0</ap:DocSecurity>
  <ap:Lines>92</ap:Lines>
  <ap:Paragraphs>26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13045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2018-01-18T10:47:00.0000000Z</dcterms:created>
  <dcterms:modified xsi:type="dcterms:W3CDTF">2018-01-18T10:52:00.0000000Z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0x010100A82DAF1B49FBD246A696A6974A5D3C9B</vt:lpwstr>
  </property>
</Properties>
</file>